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eastAsia="仿宋_GB2312"/>
          <w:b/>
          <w:bCs/>
          <w:sz w:val="32"/>
          <w:szCs w:val="32"/>
        </w:rPr>
      </w:pPr>
      <w:r>
        <w:rPr>
          <w:rFonts w:hint="eastAsia" w:ascii="仿宋_GB2312" w:eastAsia="仿宋_GB2312"/>
          <w:b/>
          <w:bCs/>
          <w:sz w:val="32"/>
          <w:szCs w:val="32"/>
        </w:rPr>
        <w:t>附件一：</w:t>
      </w:r>
    </w:p>
    <w:p>
      <w:pPr>
        <w:spacing w:line="600" w:lineRule="exact"/>
        <w:jc w:val="center"/>
        <w:rPr>
          <w:rFonts w:ascii="方正小标宋简体" w:hAnsi="仿宋_GB2312" w:eastAsia="方正小标宋简体" w:cs="仿宋_GB2312"/>
          <w:sz w:val="44"/>
          <w:szCs w:val="44"/>
        </w:rPr>
      </w:pPr>
    </w:p>
    <w:p>
      <w:pPr>
        <w:spacing w:line="60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北京市“万兆之城”网络优秀设计暨优质工程案例推荐遴选办法</w:t>
      </w:r>
    </w:p>
    <w:p>
      <w:pPr>
        <w:widowControl/>
        <w:snapToGrid w:val="0"/>
        <w:spacing w:line="600" w:lineRule="exact"/>
        <w:ind w:left="3520" w:leftChars="1676"/>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（暂行）</w:t>
      </w:r>
    </w:p>
    <w:p>
      <w:pPr>
        <w:widowControl/>
        <w:numPr>
          <w:ilvl w:val="0"/>
          <w:numId w:val="1"/>
        </w:numPr>
        <w:snapToGrid w:val="0"/>
        <w:spacing w:before="100" w:beforeAutospacing="1" w:after="100" w:afterAutospacing="1" w:line="60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总 则</w:t>
      </w:r>
      <w:bookmarkStart w:id="0" w:name="_GoBack"/>
      <w:bookmarkEnd w:id="0"/>
    </w:p>
    <w:p>
      <w:pPr>
        <w:widowControl/>
        <w:snapToGrid w:val="0"/>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第一条</w:t>
      </w:r>
      <w:r>
        <w:rPr>
          <w:rFonts w:hint="eastAsia" w:ascii="仿宋_GB2312" w:hAnsi="仿宋_GB2312" w:eastAsia="仿宋_GB2312" w:cs="仿宋_GB2312"/>
          <w:kern w:val="0"/>
          <w:sz w:val="32"/>
          <w:szCs w:val="32"/>
        </w:rPr>
        <w:t>为落实国家网络强国</w:t>
      </w:r>
      <w:r>
        <w:rPr>
          <w:rFonts w:hint="eastAsia" w:ascii="仿宋_GB2312" w:hAnsi="仿宋_GB2312" w:eastAsia="仿宋_GB2312" w:cs="仿宋_GB2312"/>
          <w:sz w:val="32"/>
          <w:szCs w:val="32"/>
        </w:rPr>
        <w:t>、数字中国战略，推进实施“双万兆”网络高质量发展，助力北京全球数字经济标杆城市建设，</w:t>
      </w:r>
      <w:r>
        <w:rPr>
          <w:rFonts w:hint="eastAsia" w:ascii="仿宋_GB2312" w:hAnsi="仿宋_GB2312" w:eastAsia="仿宋_GB2312" w:cs="仿宋_GB2312"/>
          <w:kern w:val="0"/>
          <w:sz w:val="32"/>
          <w:szCs w:val="32"/>
        </w:rPr>
        <w:t>鼓励</w:t>
      </w:r>
      <w:r>
        <w:rPr>
          <w:rFonts w:hint="eastAsia" w:ascii="仿宋_GB2312" w:hAnsi="仿宋_GB2312" w:eastAsia="仿宋_GB2312" w:cs="仿宋_GB2312"/>
          <w:sz w:val="32"/>
          <w:szCs w:val="32"/>
        </w:rPr>
        <w:t>通</w:t>
      </w:r>
      <w:r>
        <w:rPr>
          <w:rFonts w:hint="eastAsia" w:ascii="仿宋_GB2312" w:hAnsi="仿宋_GB2312" w:eastAsia="仿宋_GB2312" w:cs="仿宋_GB2312"/>
          <w:kern w:val="0"/>
          <w:sz w:val="32"/>
          <w:szCs w:val="32"/>
        </w:rPr>
        <w:t>信建设从业单位加强规范管理,提升工程设计创新能力，</w:t>
      </w:r>
      <w:r>
        <w:rPr>
          <w:rFonts w:hint="eastAsia" w:ascii="仿宋_GB2312" w:hAnsi="仿宋_GB2312" w:eastAsia="仿宋_GB2312" w:cs="仿宋_GB2312"/>
          <w:sz w:val="32"/>
          <w:szCs w:val="32"/>
        </w:rPr>
        <w:t>推动通信行业高质量网络基础设施建设，</w:t>
      </w:r>
      <w:r>
        <w:rPr>
          <w:rFonts w:hint="eastAsia" w:ascii="仿宋_GB2312" w:hAnsi="仿宋_GB2312" w:eastAsia="仿宋_GB2312" w:cs="仿宋_GB2312"/>
          <w:kern w:val="0"/>
          <w:sz w:val="32"/>
          <w:szCs w:val="32"/>
        </w:rPr>
        <w:t>提升北京市通信行业网络建设能力，特制定本办法。</w:t>
      </w:r>
    </w:p>
    <w:p>
      <w:pPr>
        <w:widowControl/>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第二条</w:t>
      </w:r>
      <w:r>
        <w:rPr>
          <w:rFonts w:hint="eastAsia" w:ascii="仿宋_GB2312" w:hAnsi="仿宋_GB2312" w:eastAsia="仿宋_GB2312" w:cs="仿宋_GB2312"/>
          <w:kern w:val="0"/>
          <w:sz w:val="32"/>
          <w:szCs w:val="32"/>
        </w:rPr>
        <w:t>优秀设计、优质通信工程案例推荐遴选活动采取定期举办的方式，优秀设计暨优质工程推荐数量原则上不超过申报项目总数的三分之一</w:t>
      </w:r>
      <w:r>
        <w:rPr>
          <w:rFonts w:hint="eastAsia" w:ascii="仿宋_GB2312" w:hAnsi="仿宋_GB2312" w:eastAsia="仿宋_GB2312" w:cs="仿宋_GB2312"/>
          <w:sz w:val="32"/>
          <w:szCs w:val="32"/>
        </w:rPr>
        <w:t>。</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优秀设计暨优质通信工程推荐遴选工作应当遵循公开、公平、公正的原则。</w:t>
      </w:r>
    </w:p>
    <w:p>
      <w:pPr>
        <w:widowControl/>
        <w:snapToGrid w:val="0"/>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第四条 </w:t>
      </w:r>
      <w:r>
        <w:rPr>
          <w:rFonts w:hint="eastAsia" w:ascii="仿宋_GB2312" w:hAnsi="仿宋_GB2312" w:eastAsia="仿宋_GB2312" w:cs="仿宋_GB2312"/>
          <w:kern w:val="0"/>
          <w:sz w:val="32"/>
          <w:szCs w:val="32"/>
        </w:rPr>
        <w:t>北京市通信与互联网协会负责组织北京地区优秀设计暨优质通信工程推荐遴选工作。</w:t>
      </w:r>
    </w:p>
    <w:p>
      <w:pPr>
        <w:widowControl/>
        <w:numPr>
          <w:ilvl w:val="0"/>
          <w:numId w:val="1"/>
        </w:numPr>
        <w:snapToGrid w:val="0"/>
        <w:spacing w:line="60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申报范围和申报条件</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 xml:space="preserve">第五条 </w:t>
      </w:r>
      <w:r>
        <w:rPr>
          <w:rFonts w:hint="eastAsia" w:ascii="仿宋_GB2312" w:hAnsi="仿宋_GB2312" w:eastAsia="仿宋_GB2312" w:cs="仿宋_GB2312"/>
          <w:color w:val="000000"/>
          <w:kern w:val="0"/>
          <w:sz w:val="32"/>
          <w:szCs w:val="32"/>
        </w:rPr>
        <w:t>优秀设计项目申报应具备以下条件：</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（一）工程项目投资规模在150万元以上或设计费在5万元以上的通信工程建设项目可参加申报；在新技术或新工艺、绿色低碳、环保、共建共享等方面有重大创新的项目可不受投资额的限制；</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（二）工程项目符合基本建设程序，项目建设程序合法合规，可研、立项、设计等各项手续完备；</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（三）工程设计文件能很好地指导施工，工程概（预）算准确；</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（四）工程应在申报截止日期前竣工，并且正式运行3个月以上2年以内；</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（五）经过实践检验，在建设“双万兆”网络，推动</w:t>
      </w:r>
      <w:r>
        <w:rPr>
          <w:rFonts w:hint="eastAsia" w:ascii="仿宋_GB2312" w:hAnsi="仿宋_GB2312" w:eastAsia="仿宋_GB2312" w:cs="仿宋_GB2312"/>
          <w:color w:val="333333"/>
          <w:kern w:val="0"/>
          <w:sz w:val="32"/>
          <w:szCs w:val="32"/>
          <w:shd w:val="clear" w:color="auto" w:fill="FFFFFF"/>
        </w:rPr>
        <w:t>万兆城市建设行动、承载能力增强行动、行业融合赋能行动、用户体验提升行动、安全保障强化行动、信号升格专项行动、5G-A、F5G-A网络建设等重点任务发挥了重要作用</w:t>
      </w:r>
      <w:r>
        <w:rPr>
          <w:rFonts w:hint="eastAsia" w:ascii="仿宋_GB2312" w:hAnsi="仿宋_GB2312" w:eastAsia="仿宋_GB2312" w:cs="仿宋_GB2312"/>
          <w:color w:val="000000"/>
          <w:kern w:val="0"/>
          <w:sz w:val="32"/>
          <w:szCs w:val="32"/>
        </w:rPr>
        <w:t>，经济效益和社会效益类比同类型项目有明显提高。</w:t>
      </w:r>
    </w:p>
    <w:p>
      <w:pPr>
        <w:widowControl/>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第六条</w:t>
      </w:r>
      <w:r>
        <w:rPr>
          <w:rFonts w:hint="eastAsia" w:ascii="仿宋_GB2312" w:hAnsi="仿宋_GB2312" w:eastAsia="仿宋_GB2312" w:cs="仿宋_GB2312"/>
          <w:kern w:val="0"/>
          <w:sz w:val="32"/>
          <w:szCs w:val="32"/>
        </w:rPr>
        <w:t>优质工程申报项目应符合下列条件:</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（一）投资规模在150万元以上的</w:t>
      </w:r>
      <w:r>
        <w:rPr>
          <w:rFonts w:hint="eastAsia" w:ascii="仿宋_GB2312" w:hAnsi="仿宋_GB2312" w:eastAsia="仿宋_GB2312" w:cs="仿宋_GB2312"/>
          <w:sz w:val="32"/>
          <w:szCs w:val="32"/>
        </w:rPr>
        <w:t>新建、改建、扩建通信工程项目或单项通信工程。在节能、环保、绿色低碳、共建共享等方面有重大技术创新的项目可不受投资额的限制；</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（二）符合国家工程建设方针、政策，严格执行</w:t>
      </w:r>
      <w:r>
        <w:rPr>
          <w:rFonts w:hint="eastAsia" w:ascii="仿宋_GB2312" w:hAnsi="仿宋_GB2312" w:eastAsia="仿宋_GB2312" w:cs="仿宋_GB2312"/>
          <w:sz w:val="32"/>
          <w:szCs w:val="32"/>
        </w:rPr>
        <w:t>工程建设强制性标准和通信工程安全生产规范</w:t>
      </w:r>
      <w:r>
        <w:rPr>
          <w:rFonts w:hint="eastAsia" w:ascii="仿宋_GB2312" w:hAnsi="仿宋_GB2312" w:eastAsia="仿宋_GB2312" w:cs="仿宋_GB2312"/>
          <w:kern w:val="0"/>
          <w:sz w:val="32"/>
          <w:szCs w:val="32"/>
        </w:rPr>
        <w:t>的要求,工程施工质量符合设计文件要求；</w:t>
      </w:r>
    </w:p>
    <w:p>
      <w:pPr>
        <w:widowControl/>
        <w:adjustRightInd w:val="0"/>
        <w:snapToGrid w:val="0"/>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符合基本建设程序，各项手续完备。</w:t>
      </w:r>
      <w:r>
        <w:rPr>
          <w:rFonts w:hint="eastAsia" w:ascii="仿宋_GB2312" w:hAnsi="仿宋_GB2312" w:eastAsia="仿宋_GB2312" w:cs="仿宋_GB2312"/>
          <w:kern w:val="0"/>
          <w:sz w:val="32"/>
          <w:szCs w:val="32"/>
        </w:rPr>
        <w:t>项目管理规范，理念先进，方法科学;推广使用新技术、新工艺、新方法、新材料；符合安全、环保、美观要求；</w:t>
      </w:r>
    </w:p>
    <w:p>
      <w:pPr>
        <w:widowControl/>
        <w:adjustRightInd w:val="0"/>
        <w:snapToGrid w:val="0"/>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（四）资金管理规范,竣工决算未超过概算，无工程款拖欠；</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（五）至申报截止日期，工程已经竣工验收且投产运营3个月以上2年以内；</w:t>
      </w:r>
    </w:p>
    <w:p>
      <w:pPr>
        <w:widowControl/>
        <w:adjustRightInd w:val="0"/>
        <w:snapToGrid w:val="0"/>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（六）工程未发生过质量、安全、环保事故；</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经过工程运行实践检验,</w:t>
      </w:r>
      <w:r>
        <w:rPr>
          <w:rFonts w:hint="eastAsia" w:ascii="仿宋_GB2312" w:hAnsi="仿宋_GB2312" w:eastAsia="仿宋_GB2312" w:cs="仿宋_GB2312"/>
          <w:color w:val="000000"/>
          <w:kern w:val="0"/>
          <w:sz w:val="32"/>
          <w:szCs w:val="32"/>
        </w:rPr>
        <w:t>在建设“双万兆”网络，推动</w:t>
      </w:r>
      <w:r>
        <w:rPr>
          <w:rFonts w:hint="eastAsia" w:ascii="仿宋_GB2312" w:hAnsi="仿宋_GB2312" w:eastAsia="仿宋_GB2312" w:cs="仿宋_GB2312"/>
          <w:color w:val="333333"/>
          <w:kern w:val="0"/>
          <w:sz w:val="32"/>
          <w:szCs w:val="32"/>
          <w:shd w:val="clear" w:color="auto" w:fill="FFFFFF"/>
        </w:rPr>
        <w:t>万兆城市建设行动、承载能力增强行动、行业融合赋能行动、用户体验提升行动、安全保障强化行动、信号升格专项行动、5G-A、F5G-A网络建设等重点任务发挥了重要作用</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能很好地满足信息网络运营和使用的要求，</w:t>
      </w:r>
      <w:r>
        <w:rPr>
          <w:rFonts w:hint="eastAsia" w:ascii="仿宋_GB2312" w:hAnsi="仿宋_GB2312" w:eastAsia="仿宋_GB2312" w:cs="仿宋_GB2312"/>
          <w:color w:val="000000"/>
          <w:kern w:val="0"/>
          <w:sz w:val="32"/>
          <w:szCs w:val="32"/>
        </w:rPr>
        <w:t>经济效益和社会效益类比同类型项目有明显提高；</w:t>
      </w:r>
    </w:p>
    <w:p>
      <w:pPr>
        <w:widowControl/>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（八）原则上该项目应先被推荐为优秀设计的工程建设项目。</w:t>
      </w:r>
    </w:p>
    <w:p>
      <w:pPr>
        <w:widowControl/>
        <w:adjustRightInd w:val="0"/>
        <w:snapToGrid w:val="0"/>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第七条</w:t>
      </w:r>
      <w:r>
        <w:rPr>
          <w:rFonts w:hint="eastAsia" w:ascii="仿宋_GB2312" w:hAnsi="仿宋_GB2312" w:eastAsia="仿宋_GB2312" w:cs="仿宋_GB2312"/>
          <w:kern w:val="0"/>
          <w:sz w:val="32"/>
          <w:szCs w:val="32"/>
        </w:rPr>
        <w:t xml:space="preserve"> 下列项目不参加遴选：</w:t>
      </w:r>
    </w:p>
    <w:p>
      <w:pPr>
        <w:widowControl/>
        <w:adjustRightInd w:val="0"/>
        <w:snapToGrid w:val="0"/>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（一）单纯设备购置、软件安装项目；</w:t>
      </w:r>
    </w:p>
    <w:p>
      <w:pPr>
        <w:widowControl/>
        <w:adjustRightInd w:val="0"/>
        <w:snapToGrid w:val="0"/>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（二）纪念性项目、献礼性项目；</w:t>
      </w:r>
    </w:p>
    <w:p>
      <w:pPr>
        <w:widowControl/>
        <w:adjustRightInd w:val="0"/>
        <w:snapToGrid w:val="0"/>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（三）各类涉密、抢险救灾类项目；</w:t>
      </w:r>
    </w:p>
    <w:p>
      <w:pPr>
        <w:widowControl/>
        <w:adjustRightInd w:val="0"/>
        <w:snapToGrid w:val="0"/>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（四）未形成生产能力的项目；</w:t>
      </w:r>
    </w:p>
    <w:p>
      <w:pPr>
        <w:widowControl/>
        <w:adjustRightInd w:val="0"/>
        <w:snapToGrid w:val="0"/>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（五）明显不符合优质工程条件的项目。</w:t>
      </w:r>
    </w:p>
    <w:p>
      <w:pPr>
        <w:widowControl/>
        <w:adjustRightInd w:val="0"/>
        <w:snapToGrid w:val="0"/>
        <w:spacing w:line="600" w:lineRule="exact"/>
        <w:ind w:firstLine="643" w:firstLineChars="200"/>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第三章  申报标准</w:t>
      </w:r>
    </w:p>
    <w:p>
      <w:pPr>
        <w:widowControl/>
        <w:spacing w:line="60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 xml:space="preserve">第八条 </w:t>
      </w:r>
      <w:r>
        <w:rPr>
          <w:rFonts w:hint="eastAsia" w:ascii="仿宋_GB2312" w:hAnsi="仿宋_GB2312" w:eastAsia="仿宋_GB2312" w:cs="仿宋_GB2312"/>
          <w:color w:val="000000"/>
          <w:kern w:val="0"/>
          <w:sz w:val="32"/>
          <w:szCs w:val="32"/>
        </w:rPr>
        <w:t>优秀设计项目按技术创新、技术难度、经济效益、社会效益及推动设计技术进步等多方面进行综合遴选，推荐标准如下：</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优秀设计推荐</w:t>
      </w:r>
      <w:r>
        <w:rPr>
          <w:rFonts w:hint="eastAsia" w:ascii="仿宋_GB2312" w:hAnsi="仿宋_GB2312" w:eastAsia="仿宋_GB2312" w:cs="仿宋_GB2312"/>
          <w:color w:val="000000"/>
          <w:kern w:val="0"/>
          <w:sz w:val="32"/>
          <w:szCs w:val="32"/>
        </w:rPr>
        <w:t>：在技术创新方面有显著成就，技术难度大，对推动工程技术发展有重大影响，对促进设计技术进步有重大的作用，具推广性和示范性的设计。</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经典设计推荐</w:t>
      </w:r>
      <w:r>
        <w:rPr>
          <w:rFonts w:hint="eastAsia" w:ascii="仿宋_GB2312" w:hAnsi="仿宋_GB2312" w:eastAsia="仿宋_GB2312" w:cs="仿宋_GB2312"/>
          <w:color w:val="000000"/>
          <w:kern w:val="0"/>
          <w:sz w:val="32"/>
          <w:szCs w:val="32"/>
        </w:rPr>
        <w:t>：在技术创新上有较高成就，技术难度较大，对推动工程技术发展有较大影响，对促进设计技术进步有很大的作用，具推广性和示范性的设计。</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典型设计推荐：</w:t>
      </w:r>
      <w:r>
        <w:rPr>
          <w:rFonts w:hint="eastAsia" w:ascii="仿宋_GB2312" w:hAnsi="仿宋_GB2312" w:eastAsia="仿宋_GB2312" w:cs="仿宋_GB2312"/>
          <w:color w:val="000000"/>
          <w:kern w:val="0"/>
          <w:sz w:val="32"/>
          <w:szCs w:val="32"/>
        </w:rPr>
        <w:t>在技术创新上有一定成就，对推动工程技术发展有一定影响，对促进设计技术进步有一定的作用，具推广性和示范性的设计。</w:t>
      </w:r>
    </w:p>
    <w:p>
      <w:pPr>
        <w:pStyle w:val="2"/>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第九条</w:t>
      </w:r>
      <w:r>
        <w:rPr>
          <w:rFonts w:hint="eastAsia" w:ascii="仿宋_GB2312" w:hAnsi="仿宋_GB2312" w:eastAsia="仿宋_GB2312" w:cs="仿宋_GB2312"/>
          <w:color w:val="000000"/>
          <w:kern w:val="0"/>
          <w:sz w:val="32"/>
          <w:szCs w:val="32"/>
        </w:rPr>
        <w:t>优质工程项目按建设方案科学合理、工程管理规范、经济效益、社会效益及推广价值、创新点及项目亮点等多方面进行综合遴选，推荐标准如下：</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优质工程案例推荐</w:t>
      </w:r>
      <w:r>
        <w:rPr>
          <w:rFonts w:hint="eastAsia" w:ascii="仿宋_GB2312" w:hAnsi="仿宋_GB2312" w:eastAsia="仿宋_GB2312" w:cs="仿宋_GB2312"/>
          <w:color w:val="000000"/>
          <w:kern w:val="0"/>
          <w:sz w:val="32"/>
          <w:szCs w:val="32"/>
        </w:rPr>
        <w:t xml:space="preserve">：工程总投资不低于500万元，建设方案科学合理，符合“万兆之城”发展要求，满足市场需求，具有显著经济效益和社会效益；严格执行工程建设程序，工程建设管理模式具有较高的推广价值；工程建设方案技术先进，施工组织科学合理，施工工艺优良，按规定实行施工阶段监理，工程的质量完全符合国家、行业颁布的技术标准和验收规范，各项测试指标及分部分项工程一次性验收合格率不低于90%，竣工验收质量评定优良，具有突出的创新点、项目亮点及可复制性。 </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经典工程案例推荐</w:t>
      </w:r>
      <w:r>
        <w:rPr>
          <w:rFonts w:hint="eastAsia" w:ascii="仿宋_GB2312" w:hAnsi="仿宋_GB2312" w:eastAsia="仿宋_GB2312" w:cs="仿宋_GB2312"/>
          <w:color w:val="000000"/>
          <w:kern w:val="0"/>
          <w:sz w:val="32"/>
          <w:szCs w:val="32"/>
        </w:rPr>
        <w:t>：工程总投资不低于 300万元，建设方案科学合理， 符合“万兆之城”发展方向，满足市场需求；严格执行工程建设程序；工程建设管理模式具有借鉴意义；工程建设方案技术先进，施工组织科学合理，施工工艺优良，按规定实行施工阶段监理，工程的质量完全符合国家、行业、颁布的技术标准和验收规范，各项测试指标及分部分项工程一次性验收合格率不低于85%，竣工验收质量评定优良，具有显著的创新点、项目亮点及可复制性。</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典型工程案例推荐</w:t>
      </w:r>
      <w:r>
        <w:rPr>
          <w:rFonts w:hint="eastAsia" w:ascii="仿宋_GB2312" w:hAnsi="仿宋_GB2312" w:eastAsia="仿宋_GB2312" w:cs="仿宋_GB2312"/>
          <w:color w:val="000000"/>
          <w:kern w:val="0"/>
          <w:sz w:val="32"/>
          <w:szCs w:val="32"/>
        </w:rPr>
        <w:t>：工程总投资不低于150万元，建设方案科学合理， 符合“万兆之城”发展方向，满足市场需求；严格执行工程建设程序，科学合理组织施工，按规定实行施工阶段监理，工程的质量完全符合国家、行业、企业颁布的技术标准和验收规范，各项测试指标及分部分项工程一次性验收合格率不低于80%，竣工验收质量评定优良，具有一定的创新点、项目亮点及可复制性。</w:t>
      </w:r>
    </w:p>
    <w:p>
      <w:pPr>
        <w:pStyle w:val="2"/>
        <w:spacing w:line="600" w:lineRule="exact"/>
        <w:ind w:left="0" w:leftChars="0" w:firstLine="640" w:firstLineChars="200"/>
        <w:rPr>
          <w:rFonts w:ascii="仿宋_GB2312" w:hAnsi="仿宋_GB2312" w:eastAsia="仿宋_GB2312" w:cs="仿宋_GB2312"/>
          <w:kern w:val="0"/>
          <w:sz w:val="32"/>
          <w:szCs w:val="32"/>
        </w:rPr>
      </w:pPr>
    </w:p>
    <w:p>
      <w:pPr>
        <w:spacing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第四章  申报材料</w:t>
      </w:r>
    </w:p>
    <w:p>
      <w:pPr>
        <w:widowControl/>
        <w:spacing w:line="60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 xml:space="preserve">第十条 </w:t>
      </w:r>
      <w:r>
        <w:rPr>
          <w:rFonts w:hint="eastAsia" w:ascii="仿宋_GB2312" w:hAnsi="仿宋_GB2312" w:eastAsia="仿宋_GB2312" w:cs="仿宋_GB2312"/>
          <w:color w:val="000000"/>
          <w:kern w:val="0"/>
          <w:sz w:val="32"/>
          <w:szCs w:val="32"/>
        </w:rPr>
        <w:t>优秀设计申报材料（电子版）</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（一）优秀设计申报表（详见附件一）；</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（二）设计文本（盖章）一份；</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（三）项目的可行性研究报告一份；</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（四）申报单位的资质证书一份；</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（五）项目立项批准文件及设计批复各一份；</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（六）工程竣工验收文件及决算文件各一份；</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（七） 建设单位或用户评价意见一份（后评估报告亦可）；</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每个申报项目均应按照上述顺序编制并提供全套申报材料电子版 1 份，电子版中的扫描件内容应清晰可辨认。</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申报优质工程需要提交以下材料：</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（一）优质工程申请表（详见附件二）1份；</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（二）反映工程项目的技术水平、技术难度、经济效益和社会效益等方面的工程概况资料1份；</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（三）工程相关批复文件（立项或科研批复、初步设计批复、施工图设计或一阶段设计批复、开工报告、初验报告、试运行通知）扫描件1份；</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（四）质监申报及备案文件扫描件1份；</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（五）参建单位（设计、施工、监理）合同扫描件1份；</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（六）实施监理的项目，报送监理合同协议、监理规划、监理总结等一份；</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bCs/>
          <w:iCs/>
          <w:sz w:val="32"/>
          <w:szCs w:val="32"/>
        </w:rPr>
        <w:t>工程竣工验收文件（或证书）及决算证明文件</w:t>
      </w:r>
      <w:r>
        <w:rPr>
          <w:rFonts w:hint="eastAsia" w:ascii="仿宋_GB2312" w:hAnsi="仿宋_GB2312" w:eastAsia="仿宋_GB2312" w:cs="仿宋_GB2312"/>
          <w:sz w:val="32"/>
          <w:szCs w:val="32"/>
        </w:rPr>
        <w:t>(竣工验收文件中已有的，可免另附)</w:t>
      </w:r>
      <w:r>
        <w:rPr>
          <w:rFonts w:hint="eastAsia" w:ascii="仿宋_GB2312" w:hAnsi="仿宋_GB2312" w:eastAsia="仿宋_GB2312" w:cs="仿宋_GB2312"/>
          <w:bCs/>
          <w:iCs/>
          <w:sz w:val="32"/>
          <w:szCs w:val="32"/>
        </w:rPr>
        <w:t>各1份</w:t>
      </w:r>
      <w:r>
        <w:rPr>
          <w:rFonts w:hint="eastAsia" w:ascii="仿宋_GB2312" w:hAnsi="仿宋_GB2312" w:eastAsia="仿宋_GB2312" w:cs="仿宋_GB2312"/>
          <w:sz w:val="32"/>
          <w:szCs w:val="32"/>
        </w:rPr>
        <w:t>；</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（八）建设单位或用户评价意见</w:t>
      </w:r>
      <w:r>
        <w:rPr>
          <w:rFonts w:hint="eastAsia" w:ascii="仿宋_GB2312" w:hAnsi="仿宋_GB2312" w:eastAsia="仿宋_GB2312" w:cs="仿宋_GB2312"/>
          <w:bCs/>
          <w:iCs/>
          <w:sz w:val="32"/>
          <w:szCs w:val="32"/>
        </w:rPr>
        <w:t>1份；</w:t>
      </w:r>
    </w:p>
    <w:p>
      <w:pPr>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（九）反映工程实体全貌照片5张。</w:t>
      </w:r>
    </w:p>
    <w:p>
      <w:pPr>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第十二条</w:t>
      </w:r>
      <w:r>
        <w:rPr>
          <w:rFonts w:hint="eastAsia" w:ascii="仿宋_GB2312" w:hAnsi="仿宋_GB2312" w:eastAsia="仿宋_GB2312" w:cs="仿宋_GB2312"/>
          <w:kern w:val="0"/>
          <w:sz w:val="32"/>
          <w:szCs w:val="32"/>
        </w:rPr>
        <w:t>其他要求</w:t>
      </w:r>
    </w:p>
    <w:p>
      <w:pPr>
        <w:spacing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申报材料必须真实、准确，并涵盖所申报工程的全部内容；</w:t>
      </w:r>
    </w:p>
    <w:p>
      <w:pPr>
        <w:spacing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2、申</w:t>
      </w:r>
      <w:r>
        <w:rPr>
          <w:rFonts w:hint="eastAsia" w:ascii="仿宋_GB2312" w:hAnsi="仿宋_GB2312" w:eastAsia="仿宋_GB2312" w:cs="仿宋_GB2312"/>
          <w:kern w:val="0"/>
          <w:sz w:val="32"/>
          <w:szCs w:val="32"/>
        </w:rPr>
        <w:t>报材料提供的文件、证明、印章等必须清晰、齐全，</w:t>
      </w:r>
      <w:r>
        <w:rPr>
          <w:rFonts w:hint="eastAsia" w:ascii="仿宋_GB2312" w:hAnsi="仿宋_GB2312" w:eastAsia="仿宋_GB2312" w:cs="仿宋_GB2312"/>
          <w:sz w:val="32"/>
          <w:szCs w:val="32"/>
        </w:rPr>
        <w:t>文字精练、重点突出；</w:t>
      </w:r>
    </w:p>
    <w:p>
      <w:pPr>
        <w:spacing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3、对资料不全，字迹模糊的，按自动放弃申报资格处理.</w:t>
      </w:r>
    </w:p>
    <w:p>
      <w:pPr>
        <w:spacing w:line="600" w:lineRule="exact"/>
        <w:ind w:firstLine="2625" w:firstLineChars="817"/>
        <w:rPr>
          <w:rFonts w:ascii="仿宋_GB2312" w:hAnsi="仿宋_GB2312" w:eastAsia="仿宋_GB2312" w:cs="仿宋_GB2312"/>
          <w:bCs/>
          <w:iCs/>
          <w:sz w:val="32"/>
          <w:szCs w:val="32"/>
        </w:rPr>
      </w:pPr>
      <w:r>
        <w:rPr>
          <w:rFonts w:hint="eastAsia" w:ascii="仿宋_GB2312" w:hAnsi="仿宋_GB2312" w:eastAsia="仿宋_GB2312" w:cs="仿宋_GB2312"/>
          <w:b/>
          <w:iCs/>
          <w:sz w:val="32"/>
          <w:szCs w:val="32"/>
        </w:rPr>
        <w:t>第五章  遴选程序</w:t>
      </w:r>
    </w:p>
    <w:p>
      <w:pPr>
        <w:spacing w:line="600" w:lineRule="exact"/>
        <w:ind w:firstLine="687" w:firstLineChars="214"/>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申报</w:t>
      </w:r>
    </w:p>
    <w:p>
      <w:pPr>
        <w:spacing w:line="600" w:lineRule="exact"/>
        <w:ind w:firstLine="684" w:firstLineChars="214"/>
        <w:rPr>
          <w:rFonts w:ascii="仿宋_GB2312" w:hAnsi="仿宋_GB2312" w:eastAsia="仿宋_GB2312" w:cs="仿宋_GB2312"/>
          <w:sz w:val="32"/>
          <w:szCs w:val="32"/>
        </w:rPr>
      </w:pPr>
      <w:r>
        <w:rPr>
          <w:rFonts w:hint="eastAsia" w:ascii="仿宋_GB2312" w:hAnsi="仿宋_GB2312" w:eastAsia="仿宋_GB2312" w:cs="仿宋_GB2312"/>
          <w:sz w:val="32"/>
          <w:szCs w:val="32"/>
        </w:rPr>
        <w:t>各申报单位须经内部自评后进行申报。填写申报材料，（见附件一：优质工程申报表），并于2024年7月30日前将申报材料报北京市通信与互联网协会。</w:t>
      </w:r>
    </w:p>
    <w:p>
      <w:pPr>
        <w:spacing w:line="600" w:lineRule="exact"/>
        <w:ind w:firstLine="687" w:firstLineChars="214"/>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遴选审核程序</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一）合规性审查。由北京市通信与互联网协会组织的专家对所有申报项目材料进行合规性初步审查，确认材料的完整性、有效性、合规性；对符合申报条件的项目进行分类编号登记。对符合评优条件的项目提交遴选。</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初审。由北京市通信由于互联网协会组织有关专家，对通过合规性审查项目进行技术水平、技术难度、经济效益和社会效益等方面逐项审查、比较、综合分析,提出专家推荐意见，提交评专家组集体会议确定。</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（三）终审。由北京市通信与互联网协会组织召开全体专家会议，听取专家关于初审情况和初审结果的汇报后，对</w:t>
      </w:r>
      <w:r>
        <w:rPr>
          <w:rFonts w:hint="eastAsia" w:ascii="仿宋_GB2312" w:hAnsi="仿宋_GB2312" w:eastAsia="仿宋_GB2312" w:cs="仿宋_GB2312"/>
          <w:color w:val="000000"/>
          <w:kern w:val="0"/>
          <w:sz w:val="32"/>
          <w:szCs w:val="32"/>
        </w:rPr>
        <w:t>初审推荐</w:t>
      </w:r>
      <w:r>
        <w:rPr>
          <w:rFonts w:hint="eastAsia" w:ascii="仿宋_GB2312" w:hAnsi="仿宋_GB2312" w:eastAsia="仿宋_GB2312" w:cs="仿宋_GB2312"/>
          <w:sz w:val="32"/>
          <w:szCs w:val="32"/>
        </w:rPr>
        <w:t>结果进行评议，并根据优秀设计和优质工程案例推荐标准进行无记名打分。依据最终打分结果，提出获的优秀（质）、经典、典型设计（工程）推荐名单。</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(四）申诉。推荐名单将在北京互联网大会上予以发布，7个工作日内为异议期。如有不同意见，应在异议期内以书面形式提出申诉理由，并附有关证明材料，报北京市通信与互联网协会,否则不予受理。</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（五）公布结果。发布结束7个工作日后，最终推荐名单将在年度北京市通信与互联网协会网站予以公布。</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获得优质、经典、典型工程案例推荐项目的建设、设计、施工、监理单位，由北京市通信与互联网协会颁发证书，并将本次推荐名单向上一级同类项目评选活动给予积极推荐参评。</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b/>
          <w:sz w:val="32"/>
          <w:szCs w:val="32"/>
        </w:rPr>
        <w:t>第六章  遴选纪律</w:t>
      </w:r>
    </w:p>
    <w:p>
      <w:pPr>
        <w:spacing w:line="600" w:lineRule="exact"/>
        <w:ind w:firstLine="700" w:firstLineChars="218"/>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申报单位必须实事求是，不得弄虚作假。评选结果公布后，如发现与推荐条件不符者，撤消资格，追回证书,视情节给予批评警告。</w:t>
      </w:r>
    </w:p>
    <w:p>
      <w:pPr>
        <w:spacing w:line="600" w:lineRule="exact"/>
        <w:ind w:firstLine="700" w:firstLineChars="218"/>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参与遴选的专家,在遴选活动中弄虚作假，营私舞弊的,一经查实，取消其专家资格，并从北京市通信与互联网协会专家库中除名。</w:t>
      </w:r>
    </w:p>
    <w:p>
      <w:pPr>
        <w:spacing w:line="6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第七章  附则</w:t>
      </w:r>
    </w:p>
    <w:p>
      <w:pPr>
        <w:spacing w:line="600" w:lineRule="exact"/>
        <w:ind w:firstLine="700" w:firstLineChars="218"/>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本办法未尽事宜，根据遴选实践情况，适时进行补充、修改、完善。</w:t>
      </w:r>
    </w:p>
    <w:p>
      <w:pPr>
        <w:spacing w:line="600" w:lineRule="exact"/>
        <w:ind w:firstLine="700" w:firstLineChars="218"/>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第二九条</w:t>
      </w:r>
      <w:r>
        <w:rPr>
          <w:rFonts w:hint="eastAsia" w:ascii="仿宋_GB2312" w:hAnsi="仿宋_GB2312" w:eastAsia="仿宋_GB2312" w:cs="仿宋_GB2312"/>
          <w:sz w:val="32"/>
          <w:szCs w:val="32"/>
        </w:rPr>
        <w:t xml:space="preserve"> 本办法自发布之日起实施</w:t>
      </w:r>
    </w:p>
    <w:p>
      <w:pPr>
        <w:spacing w:line="600" w:lineRule="exact"/>
        <w:ind w:firstLine="700" w:firstLineChars="218"/>
        <w:rPr>
          <w:rFonts w:ascii="仿宋_GB2312" w:eastAsia="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本办法由北京市通信与互联网协会解释</w:t>
      </w:r>
    </w:p>
    <w:p>
      <w:pPr>
        <w:spacing w:line="60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1" w:fontKey="{1CFA2FDC-F760-4596-BDD7-51F4DDC4F295}"/>
  </w:font>
  <w:font w:name="仿宋_GB2312">
    <w:panose1 w:val="02010609030101010101"/>
    <w:charset w:val="86"/>
    <w:family w:val="modern"/>
    <w:pitch w:val="default"/>
    <w:sig w:usb0="00000001" w:usb1="080E0000" w:usb2="00000000" w:usb3="00000000" w:csb0="00040000" w:csb1="00000000"/>
    <w:embedRegular r:id="rId2" w:fontKey="{642519AF-2BD0-4163-A4C5-A71C54F767E5}"/>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155225"/>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2834F5"/>
    <w:multiLevelType w:val="multilevel"/>
    <w:tmpl w:val="582834F5"/>
    <w:lvl w:ilvl="0" w:tentative="0">
      <w:start w:val="1"/>
      <w:numFmt w:val="japaneseCounting"/>
      <w:lvlText w:val="第%1章"/>
      <w:lvlJc w:val="left"/>
      <w:pPr>
        <w:tabs>
          <w:tab w:val="left" w:pos="0"/>
        </w:tabs>
        <w:ind w:left="0" w:firstLine="0"/>
      </w:pPr>
      <w:rPr>
        <w:sz w:val="32"/>
      </w:rPr>
    </w:lvl>
    <w:lvl w:ilvl="1" w:tentative="0">
      <w:start w:val="1"/>
      <w:numFmt w:val="lowerLetter"/>
      <w:lvlText w:val="%2)"/>
      <w:lvlJc w:val="left"/>
      <w:pPr>
        <w:tabs>
          <w:tab w:val="left" w:pos="4038"/>
        </w:tabs>
        <w:ind w:left="4038" w:hanging="420"/>
      </w:pPr>
    </w:lvl>
    <w:lvl w:ilvl="2" w:tentative="0">
      <w:start w:val="1"/>
      <w:numFmt w:val="lowerRoman"/>
      <w:lvlText w:val="%3."/>
      <w:lvlJc w:val="right"/>
      <w:pPr>
        <w:tabs>
          <w:tab w:val="left" w:pos="4458"/>
        </w:tabs>
        <w:ind w:left="4458" w:hanging="420"/>
      </w:pPr>
    </w:lvl>
    <w:lvl w:ilvl="3" w:tentative="0">
      <w:start w:val="1"/>
      <w:numFmt w:val="decimal"/>
      <w:lvlText w:val="%4."/>
      <w:lvlJc w:val="left"/>
      <w:pPr>
        <w:tabs>
          <w:tab w:val="left" w:pos="4878"/>
        </w:tabs>
        <w:ind w:left="4878" w:hanging="42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yYzU1Y2VmNTMyMmU2MDc4YWQ2M2U5YzZkNzQ1OGIifQ=="/>
  </w:docVars>
  <w:rsids>
    <w:rsidRoot w:val="62D61F79"/>
    <w:rsid w:val="000F3608"/>
    <w:rsid w:val="000F5E4E"/>
    <w:rsid w:val="001A694E"/>
    <w:rsid w:val="002349AA"/>
    <w:rsid w:val="002700CB"/>
    <w:rsid w:val="002D6E2E"/>
    <w:rsid w:val="00456BEE"/>
    <w:rsid w:val="004868B6"/>
    <w:rsid w:val="005739B4"/>
    <w:rsid w:val="00635A54"/>
    <w:rsid w:val="006A459F"/>
    <w:rsid w:val="006C4AB7"/>
    <w:rsid w:val="007816A4"/>
    <w:rsid w:val="008C4E95"/>
    <w:rsid w:val="009152D1"/>
    <w:rsid w:val="009736C0"/>
    <w:rsid w:val="00AE19A2"/>
    <w:rsid w:val="00C10960"/>
    <w:rsid w:val="00C75307"/>
    <w:rsid w:val="00CA0EA7"/>
    <w:rsid w:val="00CB3E14"/>
    <w:rsid w:val="00D317B6"/>
    <w:rsid w:val="00D85911"/>
    <w:rsid w:val="00DA313D"/>
    <w:rsid w:val="00EC0294"/>
    <w:rsid w:val="00F36E16"/>
    <w:rsid w:val="023809AA"/>
    <w:rsid w:val="06B807E5"/>
    <w:rsid w:val="09033ED8"/>
    <w:rsid w:val="0E1F3027"/>
    <w:rsid w:val="10FC79C8"/>
    <w:rsid w:val="145F7564"/>
    <w:rsid w:val="14D65B16"/>
    <w:rsid w:val="14D91F11"/>
    <w:rsid w:val="15C80B92"/>
    <w:rsid w:val="1FE81629"/>
    <w:rsid w:val="26095CB5"/>
    <w:rsid w:val="2E702FBF"/>
    <w:rsid w:val="30E77E6A"/>
    <w:rsid w:val="323C54E7"/>
    <w:rsid w:val="337449C8"/>
    <w:rsid w:val="3E0B50C2"/>
    <w:rsid w:val="41801923"/>
    <w:rsid w:val="47285E28"/>
    <w:rsid w:val="4B612115"/>
    <w:rsid w:val="530A398D"/>
    <w:rsid w:val="53862AD9"/>
    <w:rsid w:val="5F8D4407"/>
    <w:rsid w:val="623871B9"/>
    <w:rsid w:val="62D61F79"/>
    <w:rsid w:val="6673644A"/>
    <w:rsid w:val="69731AF1"/>
    <w:rsid w:val="697F70D0"/>
    <w:rsid w:val="6A775E8B"/>
    <w:rsid w:val="6AB94857"/>
    <w:rsid w:val="6B870936"/>
    <w:rsid w:val="72127A93"/>
    <w:rsid w:val="7D826137"/>
    <w:rsid w:val="7DDE0D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spacing w:after="120"/>
      <w:ind w:left="420" w:leftChars="200"/>
    </w:pPr>
  </w:style>
  <w:style w:type="paragraph" w:styleId="3">
    <w:name w:val="footer"/>
    <w:basedOn w:val="1"/>
    <w:link w:val="12"/>
    <w:autoRedefine/>
    <w:qFormat/>
    <w:uiPriority w:val="99"/>
    <w:pPr>
      <w:tabs>
        <w:tab w:val="center" w:pos="4153"/>
        <w:tab w:val="right" w:pos="8306"/>
      </w:tabs>
      <w:snapToGrid w:val="0"/>
      <w:jc w:val="left"/>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autoRedefine/>
    <w:qFormat/>
    <w:uiPriority w:val="0"/>
    <w:pPr>
      <w:spacing w:line="360" w:lineRule="auto"/>
      <w:ind w:firstLine="524" w:firstLineChars="218"/>
    </w:pPr>
    <w:rPr>
      <w:rFonts w:ascii="宋体"/>
      <w:b/>
      <w:bCs/>
      <w:i/>
      <w:iCs/>
      <w:sz w:val="24"/>
      <w:szCs w:val="20"/>
    </w:rPr>
  </w:style>
  <w:style w:type="paragraph" w:styleId="6">
    <w:name w:val="Normal (Web)"/>
    <w:basedOn w:val="1"/>
    <w:autoRedefine/>
    <w:qFormat/>
    <w:uiPriority w:val="0"/>
    <w:pPr>
      <w:spacing w:beforeAutospacing="1" w:afterAutospacing="1"/>
      <w:jc w:val="left"/>
    </w:pPr>
    <w:rPr>
      <w:rFonts w:cs="Times New Roman"/>
      <w:kern w:val="0"/>
      <w:sz w:val="24"/>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customStyle="1" w:styleId="11">
    <w:name w:val="页眉 字符"/>
    <w:basedOn w:val="9"/>
    <w:link w:val="4"/>
    <w:autoRedefine/>
    <w:qFormat/>
    <w:uiPriority w:val="0"/>
    <w:rPr>
      <w:rFonts w:asciiTheme="minorHAnsi" w:hAnsiTheme="minorHAnsi" w:eastAsiaTheme="minorEastAsia" w:cstheme="minorBidi"/>
      <w:kern w:val="2"/>
      <w:sz w:val="18"/>
      <w:szCs w:val="18"/>
    </w:rPr>
  </w:style>
  <w:style w:type="character" w:customStyle="1" w:styleId="12">
    <w:name w:val="页脚 字符"/>
    <w:basedOn w:val="9"/>
    <w:link w:val="3"/>
    <w:autoRedefine/>
    <w:qFormat/>
    <w:uiPriority w:val="99"/>
    <w:rPr>
      <w:rFonts w:asciiTheme="minorHAnsi" w:hAnsiTheme="minorHAnsi" w:eastAsiaTheme="minorEastAsia" w:cstheme="minorBidi"/>
      <w:kern w:val="2"/>
      <w:sz w:val="18"/>
      <w:szCs w:val="18"/>
    </w:rPr>
  </w:style>
  <w:style w:type="paragraph" w:styleId="13">
    <w:name w:val="List Paragraph"/>
    <w:basedOn w:val="1"/>
    <w:autoRedefine/>
    <w:unhideWhenUsed/>
    <w:qFormat/>
    <w:uiPriority w:val="99"/>
    <w:pPr>
      <w:ind w:firstLine="420" w:firstLineChars="200"/>
    </w:pPr>
  </w:style>
  <w:style w:type="paragraph" w:customStyle="1" w:styleId="14">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995</Words>
  <Characters>5677</Characters>
  <Lines>47</Lines>
  <Paragraphs>13</Paragraphs>
  <TotalTime>8</TotalTime>
  <ScaleCrop>false</ScaleCrop>
  <LinksUpToDate>false</LinksUpToDate>
  <CharactersWithSpaces>6659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2023-05-23T06:40:00Z</dcterms:created>
  <dc:creator>铁铮</dc:creator>
  <cp:lastModifiedBy>马雪琼</cp:lastModifiedBy>
  <dcterms:modified xsi:type="dcterms:W3CDTF">2024-06-25T08:41:20Z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5772D22A6B424A4FAF2CBAB2FEA2FCF9_13</vt:lpwstr>
  </property>
</Properties>
</file>