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600" w:lineRule="exact"/>
        <w:ind w:left="3534" w:hanging="3534" w:hangingChars="1100"/>
        <w:outlineLvl w:val="0"/>
        <w:rPr>
          <w:rFonts w:ascii="仿宋_GB2312" w:eastAsia="仿宋_GB2312"/>
          <w:b/>
          <w:bCs/>
          <w:sz w:val="32"/>
          <w:szCs w:val="32"/>
        </w:rPr>
      </w:pPr>
      <w:r>
        <w:rPr>
          <w:rFonts w:hint="eastAsia" w:ascii="仿宋_GB2312" w:eastAsia="仿宋_GB2312"/>
          <w:b/>
          <w:bCs/>
          <w:sz w:val="32"/>
          <w:szCs w:val="32"/>
        </w:rPr>
        <w:t>附件一：</w:t>
      </w:r>
    </w:p>
    <w:p>
      <w:pPr>
        <w:spacing w:line="600" w:lineRule="exact"/>
        <w:jc w:val="center"/>
        <w:rPr>
          <w:rFonts w:hint="eastAsia" w:ascii="方正小标宋简体" w:hAnsi="仿宋_GB2312" w:eastAsia="方正小标宋简体" w:cs="仿宋_GB2312"/>
          <w:sz w:val="44"/>
          <w:szCs w:val="44"/>
        </w:rPr>
      </w:pPr>
    </w:p>
    <w:p>
      <w:pPr>
        <w:spacing w:line="600" w:lineRule="exact"/>
        <w:jc w:val="center"/>
        <w:rPr>
          <w:rFonts w:hint="eastAsia" w:ascii="方正小标宋简体" w:hAnsi="仿宋_GB2312" w:eastAsia="方正小标宋简体" w:cs="仿宋_GB2312"/>
          <w:sz w:val="44"/>
          <w:szCs w:val="44"/>
        </w:rPr>
      </w:pPr>
      <w:r>
        <w:rPr>
          <w:rFonts w:hint="eastAsia" w:ascii="方正小标宋简体" w:hAnsi="仿宋_GB2312" w:eastAsia="方正小标宋简体" w:cs="仿宋_GB2312"/>
          <w:sz w:val="44"/>
          <w:szCs w:val="44"/>
        </w:rPr>
        <w:t>北京市“万兆之城”网络优秀设计暨优质工程案例推荐遴选办法</w:t>
      </w:r>
    </w:p>
    <w:p>
      <w:pPr>
        <w:widowControl/>
        <w:snapToGrid w:val="0"/>
        <w:spacing w:line="600" w:lineRule="exact"/>
        <w:ind w:left="3520" w:leftChars="1676"/>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（暂行）</w:t>
      </w:r>
    </w:p>
    <w:p>
      <w:pPr>
        <w:widowControl/>
        <w:numPr>
          <w:ilvl w:val="0"/>
          <w:numId w:val="1"/>
        </w:numPr>
        <w:snapToGrid w:val="0"/>
        <w:spacing w:before="100" w:beforeAutospacing="1" w:after="100" w:afterAutospacing="1" w:line="600" w:lineRule="exact"/>
        <w:jc w:val="center"/>
        <w:outlineLvl w:val="0"/>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总 则</w:t>
      </w:r>
    </w:p>
    <w:p>
      <w:pPr>
        <w:widowControl/>
        <w:snapToGrid w:val="0"/>
        <w:spacing w:line="600" w:lineRule="exact"/>
        <w:ind w:firstLine="643"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第一条</w:t>
      </w:r>
      <w:r>
        <w:rPr>
          <w:rFonts w:hint="eastAsia" w:ascii="仿宋_GB2312" w:hAnsi="仿宋_GB2312" w:eastAsia="仿宋_GB2312" w:cs="仿宋_GB2312"/>
          <w:kern w:val="0"/>
          <w:sz w:val="32"/>
          <w:szCs w:val="32"/>
        </w:rPr>
        <w:t xml:space="preserve"> 为贯彻落实国家网络强国</w:t>
      </w:r>
      <w:r>
        <w:rPr>
          <w:rFonts w:hint="eastAsia" w:ascii="仿宋_GB2312" w:hAnsi="仿宋_GB2312" w:eastAsia="仿宋_GB2312" w:cs="仿宋_GB2312"/>
          <w:sz w:val="32"/>
          <w:szCs w:val="32"/>
        </w:rPr>
        <w:t>、数字中国战略，推动“双万兆”网络高质量发展，助力北京打造全球数字经济标杆城市，激励通</w:t>
      </w:r>
      <w:r>
        <w:rPr>
          <w:rFonts w:hint="eastAsia" w:ascii="仿宋_GB2312" w:hAnsi="仿宋_GB2312" w:eastAsia="仿宋_GB2312" w:cs="仿宋_GB2312"/>
          <w:kern w:val="0"/>
          <w:sz w:val="32"/>
          <w:szCs w:val="32"/>
        </w:rPr>
        <w:t>信建设从业单位加强工程规范管理，提升工程设计与建设水平，营造创新氛围，打造精品工程，</w:t>
      </w:r>
      <w:r>
        <w:rPr>
          <w:rFonts w:hint="eastAsia" w:ascii="仿宋_GB2312" w:hAnsi="仿宋_GB2312" w:eastAsia="仿宋_GB2312" w:cs="仿宋_GB2312"/>
          <w:sz w:val="32"/>
          <w:szCs w:val="32"/>
        </w:rPr>
        <w:t>促进信息通信行业高质量网络基础设施建设，</w:t>
      </w:r>
      <w:r>
        <w:rPr>
          <w:rFonts w:hint="eastAsia" w:ascii="仿宋_GB2312" w:hAnsi="仿宋_GB2312" w:eastAsia="仿宋_GB2312" w:cs="仿宋_GB2312"/>
          <w:kern w:val="0"/>
          <w:sz w:val="32"/>
          <w:szCs w:val="32"/>
        </w:rPr>
        <w:t>特制定本办法。</w:t>
      </w:r>
    </w:p>
    <w:p>
      <w:pPr>
        <w:widowControl/>
        <w:snapToGrid w:val="0"/>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kern w:val="0"/>
          <w:sz w:val="32"/>
          <w:szCs w:val="32"/>
        </w:rPr>
        <w:t>第二条</w:t>
      </w:r>
      <w:r>
        <w:rPr>
          <w:rFonts w:hint="eastAsia" w:ascii="仿宋_GB2312" w:hAnsi="仿宋_GB2312" w:eastAsia="仿宋_GB2312" w:cs="仿宋_GB2312"/>
          <w:kern w:val="0"/>
          <w:sz w:val="32"/>
          <w:szCs w:val="32"/>
        </w:rPr>
        <w:t>优秀设计和优质通信工程案例的推荐遴选活动将定期举行。原则上，推荐的优秀设计及优质工程案例数量不得超过申报项目总数的三分之一</w:t>
      </w:r>
      <w:r>
        <w:rPr>
          <w:rFonts w:hint="eastAsia" w:ascii="仿宋_GB2312" w:hAnsi="仿宋_GB2312" w:eastAsia="仿宋_GB2312" w:cs="仿宋_GB2312"/>
          <w:sz w:val="32"/>
          <w:szCs w:val="32"/>
        </w:rPr>
        <w:t>。</w:t>
      </w:r>
    </w:p>
    <w:p>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第三条</w:t>
      </w:r>
      <w:r>
        <w:rPr>
          <w:rFonts w:hint="eastAsia" w:ascii="仿宋_GB2312" w:hAnsi="仿宋_GB2312" w:eastAsia="仿宋_GB2312" w:cs="仿宋_GB2312"/>
          <w:sz w:val="32"/>
          <w:szCs w:val="32"/>
        </w:rPr>
        <w:t>优秀设计暨优质通信工程推荐遴选工作应严格遵循公开、公平、公正的基本原则。</w:t>
      </w:r>
    </w:p>
    <w:p>
      <w:pPr>
        <w:widowControl/>
        <w:snapToGrid w:val="0"/>
        <w:spacing w:line="600" w:lineRule="exact"/>
        <w:ind w:firstLine="643"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第四条</w:t>
      </w:r>
      <w:r>
        <w:rPr>
          <w:rFonts w:hint="eastAsia" w:ascii="仿宋_GB2312" w:hAnsi="仿宋_GB2312" w:eastAsia="仿宋_GB2312" w:cs="仿宋_GB2312"/>
          <w:kern w:val="0"/>
          <w:sz w:val="32"/>
          <w:szCs w:val="32"/>
        </w:rPr>
        <w:t>北京市通信与互联网协会承担北京地区优秀设计暨优质通信工程推荐遴选工作的组织职责。</w:t>
      </w:r>
    </w:p>
    <w:p>
      <w:pPr>
        <w:widowControl/>
        <w:numPr>
          <w:ilvl w:val="0"/>
          <w:numId w:val="1"/>
        </w:numPr>
        <w:snapToGrid w:val="0"/>
        <w:spacing w:line="600" w:lineRule="exact"/>
        <w:jc w:val="center"/>
        <w:outlineLvl w:val="0"/>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申报范围和申报条件</w:t>
      </w:r>
    </w:p>
    <w:p>
      <w:pPr>
        <w:widowControl/>
        <w:spacing w:line="6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b/>
          <w:bCs/>
          <w:color w:val="000000"/>
          <w:kern w:val="0"/>
          <w:sz w:val="32"/>
          <w:szCs w:val="32"/>
        </w:rPr>
        <w:t xml:space="preserve">第五条 </w:t>
      </w:r>
      <w:r>
        <w:rPr>
          <w:rFonts w:hint="eastAsia" w:ascii="仿宋_GB2312" w:hAnsi="仿宋_GB2312" w:eastAsia="仿宋_GB2312" w:cs="仿宋_GB2312"/>
          <w:color w:val="000000"/>
          <w:kern w:val="0"/>
          <w:sz w:val="32"/>
          <w:szCs w:val="32"/>
        </w:rPr>
        <w:t>优秀设计项目申报应具备以下条件：</w:t>
      </w:r>
    </w:p>
    <w:p>
      <w:pPr>
        <w:widowControl/>
        <w:spacing w:line="6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（一）工程项目投资规模在150万元以上或设计费在5万元以上的通信工程建设项目可参与申报；在新技术或新工艺、绿色低碳、环保、共建共享等方面有显著创新的项目可不受投资额限制；</w:t>
      </w:r>
    </w:p>
    <w:p>
      <w:pPr>
        <w:widowControl/>
        <w:spacing w:line="6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（二）工程项目须符合基本建设程序，项目建设程序合法合规，可行性研究、立项、设计等各项手续齐全完备；</w:t>
      </w:r>
    </w:p>
    <w:p>
      <w:pPr>
        <w:widowControl/>
        <w:spacing w:line="6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（三）工程设计文件应能有效指导施工，工程概（预）算精准；</w:t>
      </w:r>
    </w:p>
    <w:p>
      <w:pPr>
        <w:widowControl/>
        <w:spacing w:line="6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（四）工程须在申报截止日期前竣工，并正式运行3个月以上且不超过2年；</w:t>
      </w:r>
    </w:p>
    <w:p>
      <w:pPr>
        <w:widowControl/>
        <w:spacing w:line="6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（五）经过实践验证，在北京“双万兆”网络工程</w:t>
      </w:r>
      <w:r>
        <w:rPr>
          <w:rFonts w:hint="eastAsia" w:ascii="仿宋_GB2312" w:hAnsi="仿宋_GB2312" w:eastAsia="仿宋_GB2312" w:cs="仿宋_GB2312"/>
          <w:color w:val="333333"/>
          <w:kern w:val="0"/>
          <w:sz w:val="32"/>
          <w:szCs w:val="32"/>
          <w:shd w:val="clear" w:color="auto" w:fill="FFFFFF"/>
        </w:rPr>
        <w:t>建设中，该设计成果发挥了显著作用</w:t>
      </w:r>
      <w:r>
        <w:rPr>
          <w:rFonts w:hint="eastAsia" w:ascii="仿宋_GB2312" w:hAnsi="仿宋_GB2312" w:eastAsia="仿宋_GB2312" w:cs="仿宋_GB2312"/>
          <w:color w:val="000000"/>
          <w:kern w:val="0"/>
          <w:sz w:val="32"/>
          <w:szCs w:val="32"/>
        </w:rPr>
        <w:t>，其经济效益和社会效益相较于同类型项目均实现了显著提升。</w:t>
      </w:r>
    </w:p>
    <w:p>
      <w:pPr>
        <w:widowControl/>
        <w:snapToGrid w:val="0"/>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kern w:val="0"/>
          <w:sz w:val="32"/>
          <w:szCs w:val="32"/>
        </w:rPr>
        <w:t>第六条</w:t>
      </w:r>
      <w:r>
        <w:rPr>
          <w:rFonts w:hint="eastAsia" w:ascii="仿宋_GB2312" w:hAnsi="仿宋_GB2312" w:eastAsia="仿宋_GB2312" w:cs="仿宋_GB2312"/>
          <w:kern w:val="0"/>
          <w:sz w:val="32"/>
          <w:szCs w:val="32"/>
        </w:rPr>
        <w:t>优质工程申报项目需满足以下条件</w:t>
      </w:r>
      <w:r>
        <w:rPr>
          <w:rFonts w:hint="eastAsia" w:ascii="仿宋_GB2312" w:hAnsi="仿宋_GB2312" w:eastAsia="仿宋_GB2312" w:cs="仿宋_GB2312"/>
          <w:sz w:val="32"/>
          <w:szCs w:val="32"/>
        </w:rPr>
        <w:t>：</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（一）投资规模在150万元以上的</w:t>
      </w:r>
      <w:r>
        <w:rPr>
          <w:rFonts w:hint="eastAsia" w:ascii="仿宋_GB2312" w:hAnsi="仿宋_GB2312" w:eastAsia="仿宋_GB2312" w:cs="仿宋_GB2312"/>
          <w:sz w:val="32"/>
          <w:szCs w:val="32"/>
        </w:rPr>
        <w:t>新建、改建、扩建通信工程项目或单项通信工程。对于在节能、环保、绿色低碳、共建共享等方面具有重大技术创新的项目，可不受投资额限制；</w:t>
      </w:r>
    </w:p>
    <w:p>
      <w:pPr>
        <w:widowControl/>
        <w:spacing w:line="6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（二）严格遵守国家工程建设方针、政策，严格执行</w:t>
      </w:r>
      <w:r>
        <w:rPr>
          <w:rFonts w:hint="eastAsia" w:ascii="仿宋_GB2312" w:hAnsi="仿宋_GB2312" w:eastAsia="仿宋_GB2312" w:cs="仿宋_GB2312"/>
          <w:sz w:val="32"/>
          <w:szCs w:val="32"/>
        </w:rPr>
        <w:t>工程建设强制性标准及通信工程安全生产规范</w:t>
      </w:r>
      <w:r>
        <w:rPr>
          <w:rFonts w:hint="eastAsia" w:ascii="仿宋_GB2312" w:hAnsi="仿宋_GB2312" w:eastAsia="仿宋_GB2312" w:cs="仿宋_GB2312"/>
          <w:kern w:val="0"/>
          <w:sz w:val="32"/>
          <w:szCs w:val="32"/>
        </w:rPr>
        <w:t>要求，确保工程施工质量符合设计文件要求；</w:t>
      </w:r>
    </w:p>
    <w:p>
      <w:pPr>
        <w:widowControl/>
        <w:adjustRightInd w:val="0"/>
        <w:snapToGrid w:val="0"/>
        <w:spacing w:line="60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w:t>
      </w:r>
      <w:r>
        <w:rPr>
          <w:rFonts w:hint="eastAsia" w:ascii="仿宋_GB2312" w:hAnsi="仿宋_GB2312" w:eastAsia="仿宋_GB2312" w:cs="仿宋_GB2312"/>
          <w:sz w:val="32"/>
          <w:szCs w:val="32"/>
        </w:rPr>
        <w:t>遵循基本建设程序，各项手续齐全。</w:t>
      </w:r>
      <w:r>
        <w:rPr>
          <w:rFonts w:hint="eastAsia" w:ascii="仿宋_GB2312" w:hAnsi="仿宋_GB2312" w:eastAsia="仿宋_GB2312" w:cs="仿宋_GB2312"/>
          <w:kern w:val="0"/>
          <w:sz w:val="32"/>
          <w:szCs w:val="32"/>
        </w:rPr>
        <w:t>项目管理规范，理念先进，方法科学；积极推广新技术、新工艺、新方法、新材料的应用；符合安全、环保、美观等方面的要求；</w:t>
      </w:r>
    </w:p>
    <w:p>
      <w:pPr>
        <w:widowControl/>
        <w:adjustRightInd w:val="0"/>
        <w:snapToGrid w:val="0"/>
        <w:spacing w:line="60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（四）资金管理规范，竣工决算未超出概算，不存在工程款拖欠情况；</w:t>
      </w:r>
    </w:p>
    <w:p>
      <w:pPr>
        <w:snapToGrid w:val="0"/>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（五）截至申报截止日期，工程已完成竣工验收，并投入运营3个月以上但不超过2年；</w:t>
      </w:r>
    </w:p>
    <w:p>
      <w:pPr>
        <w:widowControl/>
        <w:adjustRightInd w:val="0"/>
        <w:snapToGrid w:val="0"/>
        <w:spacing w:line="60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（六）工程未曾发生质量、安全、环保事故。</w:t>
      </w:r>
    </w:p>
    <w:p>
      <w:pPr>
        <w:widowControl/>
        <w:spacing w:line="6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（七)</w:t>
      </w:r>
      <w:r>
        <w:rPr>
          <w:rFonts w:hint="eastAsia" w:ascii="仿宋_GB2312" w:hAnsi="仿宋_GB2312" w:eastAsia="仿宋_GB2312" w:cs="仿宋_GB2312"/>
          <w:sz w:val="32"/>
          <w:szCs w:val="32"/>
        </w:rPr>
        <w:t>经过工程运行实践的</w:t>
      </w:r>
      <w:r>
        <w:rPr>
          <w:rFonts w:hint="eastAsia" w:ascii="仿宋_GB2312" w:hAnsi="仿宋_GB2312" w:eastAsia="仿宋_GB2312" w:cs="仿宋_GB2312"/>
          <w:color w:val="000000"/>
          <w:kern w:val="0"/>
          <w:sz w:val="32"/>
          <w:szCs w:val="32"/>
        </w:rPr>
        <w:t>验证，该</w:t>
      </w:r>
      <w:r>
        <w:rPr>
          <w:rFonts w:hint="eastAsia" w:ascii="仿宋_GB2312" w:hAnsi="仿宋_GB2312" w:eastAsia="仿宋_GB2312" w:cs="仿宋_GB2312"/>
          <w:color w:val="333333"/>
          <w:kern w:val="0"/>
          <w:sz w:val="32"/>
          <w:szCs w:val="32"/>
          <w:shd w:val="clear" w:color="auto" w:fill="FFFFFF"/>
        </w:rPr>
        <w:t>工程成果</w:t>
      </w:r>
      <w:r>
        <w:rPr>
          <w:rFonts w:hint="eastAsia" w:ascii="仿宋_GB2312" w:hAnsi="仿宋_GB2312" w:eastAsia="仿宋_GB2312" w:cs="仿宋_GB2312"/>
          <w:sz w:val="32"/>
          <w:szCs w:val="32"/>
        </w:rPr>
        <w:t>能够高效满足信息网络运营与使用的需求，</w:t>
      </w:r>
      <w:r>
        <w:rPr>
          <w:rFonts w:hint="eastAsia" w:ascii="仿宋_GB2312" w:hAnsi="仿宋_GB2312" w:eastAsia="仿宋_GB2312" w:cs="仿宋_GB2312"/>
          <w:color w:val="000000"/>
          <w:kern w:val="0"/>
          <w:sz w:val="32"/>
          <w:szCs w:val="32"/>
        </w:rPr>
        <w:t>其经济效益和社会效益相较于同类型项目显著</w:t>
      </w:r>
      <w:r>
        <w:rPr>
          <w:rFonts w:hint="eastAsia" w:ascii="仿宋_GB2312" w:hAnsi="仿宋_GB2312" w:eastAsia="仿宋_GB2312" w:cs="仿宋_GB2312"/>
          <w:sz w:val="32"/>
          <w:szCs w:val="32"/>
        </w:rPr>
        <w:t>提高。</w:t>
      </w:r>
    </w:p>
    <w:p>
      <w:pPr>
        <w:widowControl/>
        <w:adjustRightInd w:val="0"/>
        <w:snapToGrid w:val="0"/>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（八）原则上，该项目应首先被推荐为优秀设计的工程建设项目。</w:t>
      </w:r>
    </w:p>
    <w:p>
      <w:pPr>
        <w:widowControl/>
        <w:adjustRightInd w:val="0"/>
        <w:snapToGrid w:val="0"/>
        <w:spacing w:line="600" w:lineRule="exact"/>
        <w:ind w:firstLine="643"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第七条</w:t>
      </w:r>
      <w:r>
        <w:rPr>
          <w:rFonts w:hint="eastAsia" w:ascii="仿宋_GB2312" w:hAnsi="仿宋_GB2312" w:eastAsia="仿宋_GB2312" w:cs="仿宋_GB2312"/>
          <w:kern w:val="0"/>
          <w:sz w:val="32"/>
          <w:szCs w:val="32"/>
        </w:rPr>
        <w:t xml:space="preserve"> 以下项目不纳入遴选范围：</w:t>
      </w:r>
    </w:p>
    <w:p>
      <w:pPr>
        <w:widowControl/>
        <w:adjustRightInd w:val="0"/>
        <w:snapToGrid w:val="0"/>
        <w:spacing w:line="60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（一）仅涉及设备购置、软件安装的项目；</w:t>
      </w:r>
    </w:p>
    <w:p>
      <w:pPr>
        <w:widowControl/>
        <w:adjustRightInd w:val="0"/>
        <w:snapToGrid w:val="0"/>
        <w:spacing w:line="60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（二）纪念性及献礼性项目；</w:t>
      </w:r>
    </w:p>
    <w:p>
      <w:pPr>
        <w:widowControl/>
        <w:adjustRightInd w:val="0"/>
        <w:snapToGrid w:val="0"/>
        <w:spacing w:line="60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（三）涉及保密、抢险救灾类项目；</w:t>
      </w:r>
    </w:p>
    <w:p>
      <w:pPr>
        <w:widowControl/>
        <w:adjustRightInd w:val="0"/>
        <w:snapToGrid w:val="0"/>
        <w:spacing w:line="60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（四）尚未形成生产能力的项目；</w:t>
      </w:r>
    </w:p>
    <w:p>
      <w:pPr>
        <w:widowControl/>
        <w:adjustRightInd w:val="0"/>
        <w:snapToGrid w:val="0"/>
        <w:spacing w:line="60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（五）明显不符合优质工程标准的项目。。</w:t>
      </w:r>
    </w:p>
    <w:p>
      <w:pPr>
        <w:widowControl/>
        <w:adjustRightInd w:val="0"/>
        <w:snapToGrid w:val="0"/>
        <w:spacing w:line="600" w:lineRule="exact"/>
        <w:ind w:firstLine="643" w:firstLineChars="200"/>
        <w:jc w:val="center"/>
        <w:outlineLvl w:val="0"/>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第三章  申报标准</w:t>
      </w:r>
    </w:p>
    <w:p>
      <w:pPr>
        <w:widowControl/>
        <w:spacing w:line="600" w:lineRule="exact"/>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color w:val="000000"/>
          <w:kern w:val="0"/>
          <w:sz w:val="32"/>
          <w:szCs w:val="32"/>
        </w:rPr>
        <w:t xml:space="preserve">第八条 </w:t>
      </w:r>
      <w:r>
        <w:rPr>
          <w:rFonts w:hint="eastAsia" w:ascii="仿宋_GB2312" w:hAnsi="仿宋_GB2312" w:eastAsia="仿宋_GB2312" w:cs="仿宋_GB2312"/>
          <w:color w:val="000000"/>
          <w:kern w:val="0"/>
          <w:sz w:val="32"/>
          <w:szCs w:val="32"/>
        </w:rPr>
        <w:t>优秀设计项目将综合考量技术创新性、技术难度、经济效益、社会效益以及对设计创新的推动作用等多个维度进行评选，具体推荐标准如下：</w:t>
      </w:r>
    </w:p>
    <w:p>
      <w:pPr>
        <w:widowControl/>
        <w:spacing w:line="6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b/>
          <w:bCs/>
          <w:color w:val="000000"/>
          <w:kern w:val="0"/>
          <w:sz w:val="32"/>
          <w:szCs w:val="32"/>
        </w:rPr>
        <w:t>优秀设计推荐</w:t>
      </w:r>
      <w:r>
        <w:rPr>
          <w:rFonts w:hint="eastAsia" w:ascii="仿宋_GB2312" w:hAnsi="仿宋_GB2312" w:eastAsia="仿宋_GB2312" w:cs="仿宋_GB2312"/>
          <w:color w:val="000000"/>
          <w:kern w:val="0"/>
          <w:sz w:val="32"/>
          <w:szCs w:val="32"/>
        </w:rPr>
        <w:t>：在技术创新领域取得显著成就，技术难度高，对推动工程技术进步具有重大影响，对促进设计创新发挥关键作用，具备推广价值和示范效应的设计。</w:t>
      </w:r>
    </w:p>
    <w:p>
      <w:pPr>
        <w:widowControl/>
        <w:spacing w:line="6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b/>
          <w:bCs/>
          <w:color w:val="000000"/>
          <w:kern w:val="0"/>
          <w:sz w:val="32"/>
          <w:szCs w:val="32"/>
        </w:rPr>
        <w:t>经典设计推荐</w:t>
      </w:r>
      <w:r>
        <w:rPr>
          <w:rFonts w:hint="eastAsia" w:ascii="仿宋_GB2312" w:hAnsi="仿宋_GB2312" w:eastAsia="仿宋_GB2312" w:cs="仿宋_GB2312"/>
          <w:color w:val="000000"/>
          <w:kern w:val="0"/>
          <w:sz w:val="32"/>
          <w:szCs w:val="32"/>
        </w:rPr>
        <w:t>：在技术创新上有较高成就，技术难度较大，对推动工程技术发展有较大影响，对促进设计创新有很大的作用，具推广性和示范性的设计。</w:t>
      </w:r>
    </w:p>
    <w:p>
      <w:pPr>
        <w:widowControl/>
        <w:spacing w:line="6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b/>
          <w:bCs/>
          <w:color w:val="000000"/>
          <w:kern w:val="0"/>
          <w:sz w:val="32"/>
          <w:szCs w:val="32"/>
        </w:rPr>
        <w:t>典型设计推荐：</w:t>
      </w:r>
      <w:r>
        <w:rPr>
          <w:rFonts w:hint="eastAsia" w:ascii="仿宋_GB2312" w:hAnsi="仿宋_GB2312" w:eastAsia="仿宋_GB2312" w:cs="仿宋_GB2312"/>
          <w:color w:val="000000"/>
          <w:kern w:val="0"/>
          <w:sz w:val="32"/>
          <w:szCs w:val="32"/>
        </w:rPr>
        <w:t>在技术创新上有一定成就，对推动工程技术发展有一定影响，对促进设计创新有一定的作用，具推广性和示范性的设计。</w:t>
      </w:r>
    </w:p>
    <w:p>
      <w:pPr>
        <w:pStyle w:val="2"/>
        <w:spacing w:line="600" w:lineRule="exact"/>
        <w:ind w:left="0" w:leftChars="0"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kern w:val="0"/>
          <w:sz w:val="32"/>
          <w:szCs w:val="32"/>
        </w:rPr>
        <w:t>第九条</w:t>
      </w:r>
      <w:r>
        <w:rPr>
          <w:rFonts w:hint="eastAsia" w:ascii="仿宋_GB2312" w:hAnsi="仿宋_GB2312" w:eastAsia="仿宋_GB2312" w:cs="仿宋_GB2312"/>
          <w:color w:val="000000"/>
          <w:kern w:val="0"/>
          <w:sz w:val="32"/>
          <w:szCs w:val="32"/>
        </w:rPr>
        <w:t>优质工程项目应根据建设方案的科学合理性、工程管理的规范性、经济效益、社会效益、推广价值以及项目管理创新等多个维度进行综合遴选，推荐标准如下：</w:t>
      </w:r>
    </w:p>
    <w:p>
      <w:pPr>
        <w:widowControl/>
        <w:spacing w:line="6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b/>
          <w:bCs/>
          <w:color w:val="000000"/>
          <w:kern w:val="0"/>
          <w:sz w:val="32"/>
          <w:szCs w:val="32"/>
        </w:rPr>
        <w:t>优质工程案例推荐</w:t>
      </w:r>
      <w:r>
        <w:rPr>
          <w:rFonts w:hint="eastAsia" w:ascii="仿宋_GB2312" w:hAnsi="仿宋_GB2312" w:eastAsia="仿宋_GB2312" w:cs="仿宋_GB2312"/>
          <w:color w:val="000000"/>
          <w:kern w:val="0"/>
          <w:sz w:val="32"/>
          <w:szCs w:val="32"/>
        </w:rPr>
        <w:t>：工程总投资不低于500万元，建设方案科学合理，完全契合“万兆之城”的发展要求，充分满足市场需求，展现出显著的经济效益和社会效益。严格执行工程建设程序，所采用的工程建设管理模式具有较高的推广价值。工程建设方案技术先进，施工组织科学合理，施工工艺精湛，严格按照规定实行施工阶段监理。工程的质量完全符合国家及行业颁布的技术标准和验收规范，各项测试指标及分部分项工程一次性验收合格率不低于90%，竣工验收质量评定为优良，具备突出的项目管理创新及高度的可复制性。</w:t>
      </w:r>
    </w:p>
    <w:p>
      <w:pPr>
        <w:widowControl/>
        <w:spacing w:line="6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b/>
          <w:bCs/>
          <w:color w:val="000000"/>
          <w:kern w:val="0"/>
          <w:sz w:val="32"/>
          <w:szCs w:val="32"/>
        </w:rPr>
        <w:t>经典工程案例推荐</w:t>
      </w:r>
      <w:r>
        <w:rPr>
          <w:rFonts w:hint="eastAsia" w:ascii="仿宋_GB2312" w:hAnsi="仿宋_GB2312" w:eastAsia="仿宋_GB2312" w:cs="仿宋_GB2312"/>
          <w:color w:val="000000"/>
          <w:kern w:val="0"/>
          <w:sz w:val="32"/>
          <w:szCs w:val="32"/>
        </w:rPr>
        <w:t>：工程总投资不低于300万元，建设方案科学合理，较契合“万兆之城”的发展方向，满足市场需求；严格执行工程建设程序；工程建设管理模式具备借鉴价值；工程建设方案技术先进，施工组织科学合理，施工工艺精湛，严格按规定实行施工阶段监理。工程质量完全符合国家及行业颁布的技术标准和验收规范，各项测试指标及分部分项工程一次性验收合格率不低于85%，竣工验收质量评定为优良，具有显著的项目管理创新及可复制性。</w:t>
      </w:r>
    </w:p>
    <w:p>
      <w:pPr>
        <w:widowControl/>
        <w:spacing w:line="6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b/>
          <w:bCs/>
          <w:color w:val="000000"/>
          <w:kern w:val="0"/>
          <w:sz w:val="32"/>
          <w:szCs w:val="32"/>
        </w:rPr>
        <w:t>典型工程案例推荐</w:t>
      </w:r>
      <w:r>
        <w:rPr>
          <w:rFonts w:hint="eastAsia" w:ascii="仿宋_GB2312" w:hAnsi="仿宋_GB2312" w:eastAsia="仿宋_GB2312" w:cs="仿宋_GB2312"/>
          <w:color w:val="000000"/>
          <w:kern w:val="0"/>
          <w:sz w:val="32"/>
          <w:szCs w:val="32"/>
        </w:rPr>
        <w:t>：工程总投资不低于150万元，建设方案科学合理，契合“万兆之城”的发展方向，充分满足市场需求。项目严格执行工程建设程序，科学合理地组织施工，并按规定实行施工阶段的监理。工程的质量完全符合国家、行业及企业颁布的技术标准和验收规范，各项测试指标及分部分项工程一次性验收合格率不低于80%。竣工验收质量评定为优良，项目还具备一定项目管理创新及可复制性。</w:t>
      </w:r>
    </w:p>
    <w:p>
      <w:pPr>
        <w:pStyle w:val="2"/>
        <w:spacing w:line="600" w:lineRule="exact"/>
        <w:ind w:left="0" w:leftChars="0" w:firstLine="640" w:firstLineChars="200"/>
        <w:rPr>
          <w:rFonts w:hint="eastAsia" w:ascii="仿宋_GB2312" w:hAnsi="仿宋_GB2312" w:eastAsia="仿宋_GB2312" w:cs="仿宋_GB2312"/>
          <w:kern w:val="0"/>
          <w:sz w:val="32"/>
          <w:szCs w:val="32"/>
        </w:rPr>
      </w:pPr>
    </w:p>
    <w:p>
      <w:pPr>
        <w:spacing w:line="600" w:lineRule="exact"/>
        <w:jc w:val="center"/>
        <w:outlineLvl w:val="0"/>
        <w:rPr>
          <w:rFonts w:hint="eastAsia" w:ascii="仿宋_GB2312" w:hAnsi="仿宋_GB2312" w:eastAsia="仿宋_GB2312" w:cs="仿宋_GB2312"/>
          <w:b/>
          <w:bCs/>
          <w:sz w:val="32"/>
          <w:szCs w:val="32"/>
        </w:rPr>
      </w:pPr>
      <w:r>
        <w:rPr>
          <w:rFonts w:hint="eastAsia" w:ascii="仿宋_GB2312" w:hAnsi="仿宋_GB2312" w:eastAsia="仿宋_GB2312" w:cs="仿宋_GB2312"/>
          <w:b/>
          <w:sz w:val="32"/>
          <w:szCs w:val="32"/>
        </w:rPr>
        <w:t>第四章  申报材料</w:t>
      </w:r>
    </w:p>
    <w:p>
      <w:pPr>
        <w:widowControl/>
        <w:spacing w:line="600" w:lineRule="exact"/>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color w:val="000000"/>
          <w:kern w:val="0"/>
          <w:sz w:val="32"/>
          <w:szCs w:val="32"/>
        </w:rPr>
        <w:t xml:space="preserve">第十条 </w:t>
      </w:r>
      <w:r>
        <w:rPr>
          <w:rFonts w:hint="eastAsia" w:ascii="仿宋_GB2312" w:hAnsi="仿宋_GB2312" w:eastAsia="仿宋_GB2312" w:cs="仿宋_GB2312"/>
          <w:color w:val="000000"/>
          <w:kern w:val="0"/>
          <w:sz w:val="32"/>
          <w:szCs w:val="32"/>
        </w:rPr>
        <w:t>优秀设计申报材料（电子版）</w:t>
      </w:r>
    </w:p>
    <w:p>
      <w:pPr>
        <w:widowControl/>
        <w:spacing w:line="6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（一）优秀设计申报表（详见附件一）；</w:t>
      </w:r>
      <w:r>
        <w:rPr>
          <w:rFonts w:hint="eastAsia" w:ascii="仿宋_GB2312" w:hAnsi="仿宋_GB2312" w:eastAsia="仿宋_GB2312" w:cs="仿宋_GB2312"/>
          <w:sz w:val="32"/>
          <w:szCs w:val="32"/>
        </w:rPr>
        <w:t xml:space="preserve">  </w:t>
      </w:r>
    </w:p>
    <w:p>
      <w:pPr>
        <w:widowControl/>
        <w:spacing w:line="6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（二）加盖公章的设计文本一份；</w:t>
      </w:r>
      <w:r>
        <w:rPr>
          <w:rFonts w:hint="eastAsia" w:ascii="仿宋_GB2312" w:hAnsi="仿宋_GB2312" w:eastAsia="仿宋_GB2312" w:cs="仿宋_GB2312"/>
          <w:sz w:val="32"/>
          <w:szCs w:val="32"/>
        </w:rPr>
        <w:t xml:space="preserve">  </w:t>
      </w:r>
    </w:p>
    <w:p>
      <w:pPr>
        <w:widowControl/>
        <w:spacing w:line="6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（三）项目可行性研究报告一份；</w:t>
      </w:r>
      <w:r>
        <w:rPr>
          <w:rFonts w:hint="eastAsia" w:ascii="仿宋_GB2312" w:hAnsi="仿宋_GB2312" w:eastAsia="仿宋_GB2312" w:cs="仿宋_GB2312"/>
          <w:sz w:val="32"/>
          <w:szCs w:val="32"/>
        </w:rPr>
        <w:t xml:space="preserve">  </w:t>
      </w:r>
    </w:p>
    <w:p>
      <w:pPr>
        <w:widowControl/>
        <w:spacing w:line="6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（四）申报单位资质证书一份；</w:t>
      </w:r>
      <w:r>
        <w:rPr>
          <w:rFonts w:hint="eastAsia" w:ascii="仿宋_GB2312" w:hAnsi="仿宋_GB2312" w:eastAsia="仿宋_GB2312" w:cs="仿宋_GB2312"/>
          <w:sz w:val="32"/>
          <w:szCs w:val="32"/>
        </w:rPr>
        <w:t xml:space="preserve">  </w:t>
      </w:r>
    </w:p>
    <w:p>
      <w:pPr>
        <w:widowControl/>
        <w:spacing w:line="6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（五）项目立项批准文件及设计批复文件各一份；</w:t>
      </w:r>
      <w:r>
        <w:rPr>
          <w:rFonts w:hint="eastAsia" w:ascii="仿宋_GB2312" w:hAnsi="仿宋_GB2312" w:eastAsia="仿宋_GB2312" w:cs="仿宋_GB2312"/>
          <w:sz w:val="32"/>
          <w:szCs w:val="32"/>
        </w:rPr>
        <w:t xml:space="preserve">  </w:t>
      </w:r>
    </w:p>
    <w:p>
      <w:pPr>
        <w:widowControl/>
        <w:spacing w:line="6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 xml:space="preserve">（六）工程竣工验收文件及决算文件各一份；  </w:t>
      </w:r>
    </w:p>
    <w:p>
      <w:pPr>
        <w:widowControl/>
        <w:spacing w:line="6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（七）建设单位或用户评价意见一份（后评估报告亦可）；</w:t>
      </w:r>
      <w:r>
        <w:rPr>
          <w:rFonts w:hint="eastAsia" w:ascii="仿宋_GB2312" w:hAnsi="仿宋_GB2312" w:eastAsia="仿宋_GB2312" w:cs="仿宋_GB2312"/>
          <w:sz w:val="32"/>
          <w:szCs w:val="32"/>
        </w:rPr>
        <w:t xml:space="preserve">  </w:t>
      </w:r>
    </w:p>
    <w:p>
      <w:pPr>
        <w:widowControl/>
        <w:spacing w:line="6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每个申报项目均需按照上述顺序编制并提供全套申报材料电子版1份，电子版中的扫描件内容须清晰可辨认。</w:t>
      </w:r>
    </w:p>
    <w:p>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第十一条</w:t>
      </w:r>
      <w:r>
        <w:rPr>
          <w:rFonts w:hint="eastAsia" w:ascii="仿宋_GB2312" w:hAnsi="仿宋_GB2312" w:eastAsia="仿宋_GB2312" w:cs="仿宋_GB2312"/>
          <w:sz w:val="32"/>
          <w:szCs w:val="32"/>
        </w:rPr>
        <w:t>申报优质工程需提交以下材料：</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（一）优质工程申请表（详见附件二）1份；</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（二）全面反映工程项目技术水平、技术难度、经济效益和社会效益和项目管理创新的工程概况资料1份；</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（三）工程相关批复文件（包括立项或科研批复、初步设计批复、施工图设计或一阶段设计批复、开工报告、初验报告、试运行通知）的扫描件1份；</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（四）实施监理的项目，需提交监理规划和监理总结等文件1份；</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w:t>
      </w:r>
      <w:r>
        <w:rPr>
          <w:rFonts w:hint="eastAsia" w:ascii="仿宋_GB2312" w:hAnsi="仿宋_GB2312" w:eastAsia="仿宋_GB2312" w:cs="仿宋_GB2312"/>
          <w:bCs/>
          <w:iCs/>
          <w:sz w:val="32"/>
          <w:szCs w:val="32"/>
        </w:rPr>
        <w:t>工程竣工验收文件（或证书）及决算证明文件</w:t>
      </w:r>
      <w:r>
        <w:rPr>
          <w:rFonts w:hint="eastAsia" w:ascii="仿宋_GB2312" w:hAnsi="仿宋_GB2312" w:eastAsia="仿宋_GB2312" w:cs="仿宋_GB2312"/>
          <w:sz w:val="32"/>
          <w:szCs w:val="32"/>
        </w:rPr>
        <w:t>（若竣工验收文件中已包含，可免另附</w:t>
      </w:r>
      <w:r>
        <w:rPr>
          <w:rFonts w:hint="eastAsia" w:ascii="仿宋_GB2312" w:hAnsi="仿宋_GB2312" w:eastAsia="仿宋_GB2312" w:cs="仿宋_GB2312"/>
          <w:bCs/>
          <w:iCs/>
          <w:sz w:val="32"/>
          <w:szCs w:val="32"/>
        </w:rPr>
        <w:t>）各1份</w:t>
      </w:r>
      <w:r>
        <w:rPr>
          <w:rFonts w:hint="eastAsia" w:ascii="仿宋_GB2312" w:hAnsi="仿宋_GB2312" w:eastAsia="仿宋_GB2312" w:cs="仿宋_GB2312"/>
          <w:sz w:val="32"/>
          <w:szCs w:val="32"/>
        </w:rPr>
        <w:t>；</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（六）建设单位或用户评价意见</w:t>
      </w:r>
      <w:r>
        <w:rPr>
          <w:rFonts w:hint="eastAsia" w:ascii="仿宋_GB2312" w:hAnsi="仿宋_GB2312" w:eastAsia="仿宋_GB2312" w:cs="仿宋_GB2312"/>
          <w:bCs/>
          <w:iCs/>
          <w:sz w:val="32"/>
          <w:szCs w:val="32"/>
        </w:rPr>
        <w:t>1份；</w:t>
      </w:r>
    </w:p>
    <w:p>
      <w:pPr>
        <w:spacing w:line="60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（七）反映工程实体全貌的照片5张。</w:t>
      </w:r>
    </w:p>
    <w:p>
      <w:pPr>
        <w:spacing w:line="600" w:lineRule="exact"/>
        <w:ind w:firstLine="643"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第十二条</w:t>
      </w:r>
      <w:r>
        <w:rPr>
          <w:rFonts w:hint="eastAsia" w:ascii="仿宋_GB2312" w:hAnsi="仿宋_GB2312" w:eastAsia="仿宋_GB2312" w:cs="仿宋_GB2312"/>
          <w:kern w:val="0"/>
          <w:sz w:val="32"/>
          <w:szCs w:val="32"/>
        </w:rPr>
        <w:t>其他要求</w:t>
      </w:r>
    </w:p>
    <w:p>
      <w:pPr>
        <w:spacing w:line="600" w:lineRule="exact"/>
        <w:ind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kern w:val="0"/>
          <w:sz w:val="32"/>
          <w:szCs w:val="32"/>
        </w:rPr>
        <w:t>申报材料必须真实、准确，全面涵盖所申报工程的所有内容；</w:t>
      </w:r>
      <w:r>
        <w:rPr>
          <w:rFonts w:hint="eastAsia" w:ascii="仿宋_GB2312" w:hAnsi="仿宋_GB2312" w:eastAsia="仿宋_GB2312" w:cs="仿宋_GB2312"/>
          <w:sz w:val="32"/>
          <w:szCs w:val="32"/>
        </w:rPr>
        <w:t xml:space="preserve">  </w:t>
      </w:r>
    </w:p>
    <w:p>
      <w:pPr>
        <w:spacing w:line="600" w:lineRule="exact"/>
        <w:ind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申</w:t>
      </w:r>
      <w:r>
        <w:rPr>
          <w:rFonts w:hint="eastAsia" w:ascii="仿宋_GB2312" w:hAnsi="仿宋_GB2312" w:eastAsia="仿宋_GB2312" w:cs="仿宋_GB2312"/>
          <w:kern w:val="0"/>
          <w:sz w:val="32"/>
          <w:szCs w:val="32"/>
        </w:rPr>
        <w:t>报材料中提供的文件、证明、印章等必须清晰、齐全，</w:t>
      </w:r>
      <w:r>
        <w:rPr>
          <w:rFonts w:hint="eastAsia" w:ascii="仿宋_GB2312" w:hAnsi="仿宋_GB2312" w:eastAsia="仿宋_GB2312" w:cs="仿宋_GB2312"/>
          <w:sz w:val="32"/>
          <w:szCs w:val="32"/>
        </w:rPr>
        <w:t xml:space="preserve">文字应精练且重点突出；  </w:t>
      </w:r>
    </w:p>
    <w:p>
      <w:pPr>
        <w:spacing w:line="600" w:lineRule="exact"/>
        <w:ind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对于资料不全或字迹模糊的情况，将视为自动放弃申报资格。</w:t>
      </w:r>
    </w:p>
    <w:p>
      <w:pPr>
        <w:spacing w:line="600" w:lineRule="exact"/>
        <w:ind w:firstLine="2625" w:firstLineChars="817"/>
        <w:outlineLvl w:val="0"/>
        <w:rPr>
          <w:rFonts w:hint="eastAsia" w:ascii="仿宋_GB2312" w:hAnsi="仿宋_GB2312" w:eastAsia="仿宋_GB2312" w:cs="仿宋_GB2312"/>
          <w:bCs/>
          <w:iCs/>
          <w:sz w:val="32"/>
          <w:szCs w:val="32"/>
        </w:rPr>
      </w:pPr>
      <w:r>
        <w:rPr>
          <w:rFonts w:hint="eastAsia" w:ascii="仿宋_GB2312" w:hAnsi="仿宋_GB2312" w:eastAsia="仿宋_GB2312" w:cs="仿宋_GB2312"/>
          <w:b/>
          <w:iCs/>
          <w:sz w:val="32"/>
          <w:szCs w:val="32"/>
        </w:rPr>
        <w:t>第五章  遴选程序</w:t>
      </w:r>
    </w:p>
    <w:p>
      <w:pPr>
        <w:spacing w:line="600" w:lineRule="exact"/>
        <w:ind w:firstLine="687" w:firstLineChars="214"/>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第十三条</w:t>
      </w:r>
      <w:r>
        <w:rPr>
          <w:rFonts w:hint="eastAsia" w:ascii="仿宋_GB2312" w:hAnsi="仿宋_GB2312" w:eastAsia="仿宋_GB2312" w:cs="仿宋_GB2312"/>
          <w:sz w:val="32"/>
          <w:szCs w:val="32"/>
        </w:rPr>
        <w:t xml:space="preserve">  申报</w:t>
      </w:r>
    </w:p>
    <w:p>
      <w:pPr>
        <w:spacing w:line="600" w:lineRule="exact"/>
        <w:ind w:firstLine="684" w:firstLineChars="21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各申报单位须经内部自评后进行申报。填写申报材料，（见附件一：优质工程申报表），并于2025年8月25日前将申报材料（电子版）报北京市通信与互联网协会。</w:t>
      </w:r>
    </w:p>
    <w:p>
      <w:pPr>
        <w:spacing w:line="600" w:lineRule="exact"/>
        <w:ind w:firstLine="687" w:firstLineChars="214"/>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第十四条</w:t>
      </w:r>
      <w:r>
        <w:rPr>
          <w:rFonts w:hint="eastAsia" w:ascii="仿宋_GB2312" w:hAnsi="仿宋_GB2312" w:eastAsia="仿宋_GB2312" w:cs="仿宋_GB2312"/>
          <w:sz w:val="32"/>
          <w:szCs w:val="32"/>
        </w:rPr>
        <w:t>遴选审核程序</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合规性审查。由北京市通信与互联网协会组织的专家对所有申报项目材料进行初步合规性审查，确认材料的完整性、有效性和合规性；对符合申报条件的项目进行分类编号登记，并将符合评优条件的项目提交遴选。</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初审。由北京市通信与互联网协会组织相关专家，对通过合规性审查的项目进行技术水平、技术难度、经济效益和社会效益、设计（项目管理）创新等方面的逐项审查、比较和综合评比，提出专家推荐意见，并提交评专家组集体会议确定。</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（三）终审。由北京市通信与互联网协会组织召开全体专家会议，听取专家关于初审情况和结果的汇报，对</w:t>
      </w:r>
      <w:r>
        <w:rPr>
          <w:rFonts w:hint="eastAsia" w:ascii="仿宋_GB2312" w:hAnsi="仿宋_GB2312" w:eastAsia="仿宋_GB2312" w:cs="仿宋_GB2312"/>
          <w:color w:val="000000"/>
          <w:kern w:val="0"/>
          <w:sz w:val="32"/>
          <w:szCs w:val="32"/>
        </w:rPr>
        <w:t>初审推荐</w:t>
      </w:r>
      <w:r>
        <w:rPr>
          <w:rFonts w:hint="eastAsia" w:ascii="仿宋_GB2312" w:hAnsi="仿宋_GB2312" w:eastAsia="仿宋_GB2312" w:cs="仿宋_GB2312"/>
          <w:sz w:val="32"/>
          <w:szCs w:val="32"/>
        </w:rPr>
        <w:t>结果进行评议，并根据优秀设计和优质工程案例推荐标准进行无记名打分。依据最终打分结果，提出获优秀（质）、经典、典型设计（工程）的推荐名单。</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（四）申诉。推荐名单将在北京互联网大会上发布，并设有7个工作日的异议期。如有不同意见，应在异议期内以书面形式提出申诉理由，并附相关证明材料，报送北京市通信与互联网协会，否则不予受理。</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（五）公布结果。发布结束7个工作日后，最终推荐名单将在年度北京市通信与互联网协会网站正式公布。</w:t>
      </w:r>
    </w:p>
    <w:p>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第十五条</w:t>
      </w:r>
      <w:r>
        <w:rPr>
          <w:rFonts w:hint="eastAsia" w:ascii="仿宋_GB2312" w:hAnsi="仿宋_GB2312" w:eastAsia="仿宋_GB2312" w:cs="仿宋_GB2312"/>
          <w:sz w:val="32"/>
          <w:szCs w:val="32"/>
        </w:rPr>
        <w:t xml:space="preserve">  荣获优质、经典及典型工程案例推荐的项目，将为参与建设的建设、设计、施工、监理单位颁发荣誉证书和奖牌；而对于获得优秀、经典及典型设计案例推荐的项目，将为其设计单位颁发荣誉证书和奖牌。</w:t>
      </w:r>
    </w:p>
    <w:p>
      <w:pPr>
        <w:spacing w:line="600" w:lineRule="exact"/>
        <w:jc w:val="center"/>
        <w:outlineLvl w:val="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第六章  遴选纪律</w:t>
      </w:r>
    </w:p>
    <w:p>
      <w:pPr>
        <w:spacing w:line="600" w:lineRule="exact"/>
        <w:ind w:firstLine="700" w:firstLineChars="218"/>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第十六条</w:t>
      </w:r>
      <w:r>
        <w:rPr>
          <w:rFonts w:hint="eastAsia" w:ascii="仿宋_GB2312" w:hAnsi="仿宋_GB2312" w:eastAsia="仿宋_GB2312" w:cs="仿宋_GB2312"/>
          <w:sz w:val="32"/>
          <w:szCs w:val="32"/>
        </w:rPr>
        <w:t xml:space="preserve">  申报单位必须秉持实事求是的原则，严禁弄虚作假。评选结果公布后，若发现申报者不符合推荐条件，将撤销其资格，追回证书，并根据情节轻重给予批评警告。</w:t>
      </w:r>
    </w:p>
    <w:p>
      <w:pPr>
        <w:spacing w:line="600" w:lineRule="exact"/>
        <w:ind w:firstLine="700" w:firstLineChars="218"/>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第十七条</w:t>
      </w:r>
      <w:r>
        <w:rPr>
          <w:rFonts w:hint="eastAsia" w:ascii="仿宋_GB2312" w:hAnsi="仿宋_GB2312" w:eastAsia="仿宋_GB2312" w:cs="仿宋_GB2312"/>
          <w:sz w:val="32"/>
          <w:szCs w:val="32"/>
        </w:rPr>
        <w:t xml:space="preserve"> 参与遴选的专家，若在遴选活动中存在弄虚作假、营私舞弊行为，一经查实，将取消其专家资格，并从北京市通信与互联网协会专家库中除名。</w:t>
      </w:r>
    </w:p>
    <w:p>
      <w:pPr>
        <w:spacing w:line="600" w:lineRule="exact"/>
        <w:jc w:val="center"/>
        <w:outlineLvl w:val="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第七章  附则</w:t>
      </w:r>
    </w:p>
    <w:p>
      <w:pPr>
        <w:spacing w:line="600" w:lineRule="exact"/>
        <w:ind w:firstLine="700" w:firstLineChars="218"/>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第十八条</w:t>
      </w:r>
      <w:r>
        <w:rPr>
          <w:rFonts w:hint="eastAsia" w:ascii="仿宋_GB2312" w:hAnsi="仿宋_GB2312" w:eastAsia="仿宋_GB2312" w:cs="仿宋_GB2312"/>
          <w:sz w:val="32"/>
          <w:szCs w:val="32"/>
        </w:rPr>
        <w:t xml:space="preserve">  本办法如有未尽事宜，将根据遴选实践的具体情况，适时进行补充、修订和完善。</w:t>
      </w:r>
    </w:p>
    <w:p>
      <w:pPr>
        <w:spacing w:line="600" w:lineRule="exact"/>
        <w:ind w:firstLine="700" w:firstLineChars="218"/>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w:t>
      </w:r>
      <w:r>
        <w:rPr>
          <w:rFonts w:hint="eastAsia" w:ascii="仿宋_GB2312" w:hAnsi="仿宋_GB2312" w:eastAsia="仿宋_GB2312" w:cs="仿宋_GB2312"/>
          <w:sz w:val="32"/>
          <w:szCs w:val="32"/>
        </w:rPr>
        <w:t>十九条 本办法自发布之日起正式实施。</w:t>
      </w:r>
    </w:p>
    <w:p>
      <w:pPr>
        <w:spacing w:line="600" w:lineRule="exact"/>
        <w:ind w:firstLine="700" w:firstLineChars="218"/>
        <w:rPr>
          <w:rFonts w:ascii="仿宋_GB2312" w:eastAsia="仿宋_GB2312"/>
          <w:sz w:val="32"/>
          <w:szCs w:val="32"/>
        </w:rPr>
      </w:pPr>
      <w:r>
        <w:rPr>
          <w:rFonts w:hint="eastAsia" w:ascii="仿宋_GB2312" w:hAnsi="仿宋_GB2312" w:eastAsia="仿宋_GB2312" w:cs="仿宋_GB2312"/>
          <w:b/>
          <w:bCs/>
          <w:sz w:val="32"/>
          <w:szCs w:val="32"/>
        </w:rPr>
        <w:t>第二十条</w:t>
      </w:r>
      <w:r>
        <w:rPr>
          <w:rFonts w:hint="eastAsia" w:ascii="仿宋_GB2312" w:hAnsi="仿宋_GB2312" w:eastAsia="仿宋_GB2312" w:cs="仿宋_GB2312"/>
          <w:sz w:val="32"/>
          <w:szCs w:val="32"/>
        </w:rPr>
        <w:t xml:space="preserve"> 本办法由北京市通信与互联网协会负责解释</w:t>
      </w:r>
      <w:r>
        <w:rPr>
          <w:rFonts w:hint="eastAsia" w:ascii="仿宋_GB2312" w:eastAsia="仿宋_GB2312"/>
          <w:sz w:val="32"/>
          <w:szCs w:val="32"/>
        </w:rPr>
        <w:t>。</w:t>
      </w:r>
    </w:p>
    <w:p>
      <w:pPr>
        <w:spacing w:line="600" w:lineRule="exact"/>
      </w:pP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embedRegular r:id="rId1" w:fontKey="{266EAB64-0415-49EA-967E-6AD0B7C424C3}"/>
  </w:font>
  <w:font w:name="仿宋_GB2312">
    <w:panose1 w:val="02010609030101010101"/>
    <w:charset w:val="86"/>
    <w:family w:val="modern"/>
    <w:pitch w:val="default"/>
    <w:sig w:usb0="00000001" w:usb1="080E0000" w:usb2="00000000" w:usb3="00000000" w:csb0="00040000" w:csb1="00000000"/>
    <w:embedRegular r:id="rId2" w:fontKey="{B910F347-7902-4D67-950B-967C00AD4D9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仿宋_GB18030">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4155225"/>
    </w:sdtPr>
    <w:sdtContent>
      <w:p>
        <w:pPr>
          <w:pStyle w:val="3"/>
          <w:jc w:val="center"/>
        </w:pPr>
        <w:r>
          <w:fldChar w:fldCharType="begin"/>
        </w:r>
        <w:r>
          <w:instrText xml:space="preserve">PAGE   \* MERGEFORMAT</w:instrText>
        </w:r>
        <w:r>
          <w:fldChar w:fldCharType="separate"/>
        </w:r>
        <w:r>
          <w:rPr>
            <w:lang w:val="zh-CN"/>
          </w:rPr>
          <w:t>2</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2834F5"/>
    <w:multiLevelType w:val="multilevel"/>
    <w:tmpl w:val="582834F5"/>
    <w:lvl w:ilvl="0" w:tentative="0">
      <w:start w:val="1"/>
      <w:numFmt w:val="japaneseCounting"/>
      <w:lvlText w:val="第%1章"/>
      <w:lvlJc w:val="left"/>
      <w:pPr>
        <w:tabs>
          <w:tab w:val="left" w:pos="0"/>
        </w:tabs>
        <w:ind w:left="0" w:firstLine="0"/>
      </w:pPr>
      <w:rPr>
        <w:sz w:val="32"/>
      </w:rPr>
    </w:lvl>
    <w:lvl w:ilvl="1" w:tentative="0">
      <w:start w:val="1"/>
      <w:numFmt w:val="lowerLetter"/>
      <w:lvlText w:val="%2)"/>
      <w:lvlJc w:val="left"/>
      <w:pPr>
        <w:tabs>
          <w:tab w:val="left" w:pos="4038"/>
        </w:tabs>
        <w:ind w:left="4038" w:hanging="420"/>
      </w:pPr>
    </w:lvl>
    <w:lvl w:ilvl="2" w:tentative="0">
      <w:start w:val="1"/>
      <w:numFmt w:val="lowerRoman"/>
      <w:lvlText w:val="%3."/>
      <w:lvlJc w:val="right"/>
      <w:pPr>
        <w:tabs>
          <w:tab w:val="left" w:pos="4458"/>
        </w:tabs>
        <w:ind w:left="4458" w:hanging="420"/>
      </w:pPr>
    </w:lvl>
    <w:lvl w:ilvl="3" w:tentative="0">
      <w:start w:val="1"/>
      <w:numFmt w:val="decimal"/>
      <w:lvlText w:val="%4."/>
      <w:lvlJc w:val="left"/>
      <w:pPr>
        <w:tabs>
          <w:tab w:val="left" w:pos="4878"/>
        </w:tabs>
        <w:ind w:left="4878" w:hanging="42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yYzU1Y2VmNTMyMmU2MDc4YWQ2M2U5YzZkNzQ1OGIifQ=="/>
  </w:docVars>
  <w:rsids>
    <w:rsidRoot w:val="62D61F79"/>
    <w:rsid w:val="000F5E4E"/>
    <w:rsid w:val="001A694E"/>
    <w:rsid w:val="002349AA"/>
    <w:rsid w:val="002D6E2E"/>
    <w:rsid w:val="00362CF0"/>
    <w:rsid w:val="00456BEE"/>
    <w:rsid w:val="004868B6"/>
    <w:rsid w:val="005739B4"/>
    <w:rsid w:val="00595D49"/>
    <w:rsid w:val="00635A54"/>
    <w:rsid w:val="00646958"/>
    <w:rsid w:val="006C4AB7"/>
    <w:rsid w:val="007816A4"/>
    <w:rsid w:val="008C4E95"/>
    <w:rsid w:val="009152D1"/>
    <w:rsid w:val="009736C0"/>
    <w:rsid w:val="00AE19A2"/>
    <w:rsid w:val="00BB796C"/>
    <w:rsid w:val="00C10960"/>
    <w:rsid w:val="00C75307"/>
    <w:rsid w:val="00CA0EA7"/>
    <w:rsid w:val="00CB3E14"/>
    <w:rsid w:val="00D85911"/>
    <w:rsid w:val="00DA313D"/>
    <w:rsid w:val="00EC0294"/>
    <w:rsid w:val="00F36E16"/>
    <w:rsid w:val="023809AA"/>
    <w:rsid w:val="06B807E5"/>
    <w:rsid w:val="09033ED8"/>
    <w:rsid w:val="0AE76EC3"/>
    <w:rsid w:val="0E1F3027"/>
    <w:rsid w:val="10FC79C8"/>
    <w:rsid w:val="14D91F11"/>
    <w:rsid w:val="15C80B92"/>
    <w:rsid w:val="1FE81629"/>
    <w:rsid w:val="203D7274"/>
    <w:rsid w:val="25D24CFD"/>
    <w:rsid w:val="26095CB5"/>
    <w:rsid w:val="29AF561F"/>
    <w:rsid w:val="2E702FBF"/>
    <w:rsid w:val="2F520F9E"/>
    <w:rsid w:val="30E77E6A"/>
    <w:rsid w:val="323C54E7"/>
    <w:rsid w:val="3E0B50C2"/>
    <w:rsid w:val="41801923"/>
    <w:rsid w:val="43B61F96"/>
    <w:rsid w:val="47285E28"/>
    <w:rsid w:val="4B612115"/>
    <w:rsid w:val="530A398D"/>
    <w:rsid w:val="53862AD9"/>
    <w:rsid w:val="5F8D4407"/>
    <w:rsid w:val="623871B9"/>
    <w:rsid w:val="62D61F79"/>
    <w:rsid w:val="6673644A"/>
    <w:rsid w:val="69731AF1"/>
    <w:rsid w:val="697F70D0"/>
    <w:rsid w:val="6A775E8B"/>
    <w:rsid w:val="6AB94857"/>
    <w:rsid w:val="6B870936"/>
    <w:rsid w:val="72127A93"/>
    <w:rsid w:val="7D826137"/>
    <w:rsid w:val="7DDE0D1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style>
  <w:style w:type="paragraph" w:styleId="3">
    <w:name w:val="footer"/>
    <w:basedOn w:val="1"/>
    <w:link w:val="12"/>
    <w:qFormat/>
    <w:uiPriority w:val="99"/>
    <w:pPr>
      <w:tabs>
        <w:tab w:val="center" w:pos="4153"/>
        <w:tab w:val="right" w:pos="8306"/>
      </w:tabs>
      <w:snapToGrid w:val="0"/>
      <w:jc w:val="left"/>
    </w:pPr>
    <w:rPr>
      <w:sz w:val="18"/>
      <w:szCs w:val="18"/>
    </w:rPr>
  </w:style>
  <w:style w:type="paragraph" w:styleId="4">
    <w:name w:val="header"/>
    <w:basedOn w:val="1"/>
    <w:link w:val="11"/>
    <w:autoRedefine/>
    <w:qFormat/>
    <w:uiPriority w:val="0"/>
    <w:pPr>
      <w:pBdr>
        <w:bottom w:val="single" w:color="auto" w:sz="6" w:space="1"/>
      </w:pBdr>
      <w:tabs>
        <w:tab w:val="center" w:pos="4153"/>
        <w:tab w:val="right" w:pos="8306"/>
      </w:tabs>
      <w:snapToGrid w:val="0"/>
      <w:jc w:val="center"/>
    </w:pPr>
    <w:rPr>
      <w:sz w:val="18"/>
      <w:szCs w:val="18"/>
    </w:rPr>
  </w:style>
  <w:style w:type="paragraph" w:styleId="5">
    <w:name w:val="Body Text Indent 3"/>
    <w:basedOn w:val="1"/>
    <w:qFormat/>
    <w:uiPriority w:val="0"/>
    <w:pPr>
      <w:spacing w:line="360" w:lineRule="auto"/>
      <w:ind w:firstLine="524" w:firstLineChars="218"/>
    </w:pPr>
    <w:rPr>
      <w:rFonts w:ascii="宋体"/>
      <w:b/>
      <w:bCs/>
      <w:i/>
      <w:iCs/>
      <w:sz w:val="24"/>
      <w:szCs w:val="20"/>
    </w:rPr>
  </w:style>
  <w:style w:type="paragraph" w:styleId="6">
    <w:name w:val="Normal (Web)"/>
    <w:basedOn w:val="1"/>
    <w:autoRedefine/>
    <w:qFormat/>
    <w:uiPriority w:val="0"/>
    <w:pPr>
      <w:spacing w:beforeAutospacing="1" w:afterAutospacing="1"/>
      <w:jc w:val="left"/>
    </w:pPr>
    <w:rPr>
      <w:rFonts w:cs="Times New Roman"/>
      <w:kern w:val="0"/>
      <w:sz w:val="24"/>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customStyle="1" w:styleId="11">
    <w:name w:val="页眉 字符"/>
    <w:basedOn w:val="9"/>
    <w:link w:val="4"/>
    <w:autoRedefine/>
    <w:qFormat/>
    <w:uiPriority w:val="0"/>
    <w:rPr>
      <w:rFonts w:asciiTheme="minorHAnsi" w:hAnsiTheme="minorHAnsi" w:eastAsiaTheme="minorEastAsia" w:cstheme="minorBidi"/>
      <w:kern w:val="2"/>
      <w:sz w:val="18"/>
      <w:szCs w:val="18"/>
    </w:rPr>
  </w:style>
  <w:style w:type="character" w:customStyle="1" w:styleId="12">
    <w:name w:val="页脚 字符"/>
    <w:basedOn w:val="9"/>
    <w:link w:val="3"/>
    <w:qFormat/>
    <w:uiPriority w:val="99"/>
    <w:rPr>
      <w:rFonts w:asciiTheme="minorHAnsi" w:hAnsiTheme="minorHAnsi" w:eastAsiaTheme="minorEastAsia" w:cstheme="minorBidi"/>
      <w:kern w:val="2"/>
      <w:sz w:val="18"/>
      <w:szCs w:val="18"/>
    </w:rPr>
  </w:style>
  <w:style w:type="paragraph" w:styleId="13">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22</Pages>
  <Words>999</Words>
  <Characters>5699</Characters>
  <Lines>47</Lines>
  <Paragraphs>13</Paragraphs>
  <TotalTime>352</TotalTime>
  <ScaleCrop>false</ScaleCrop>
  <LinksUpToDate>false</LinksUpToDate>
  <CharactersWithSpaces>6685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2023-05-23T06:40:00Z</dcterms:created>
  <dc:creator>铁铮</dc:creator>
  <cp:lastModifiedBy>马雪琼</cp:lastModifiedBy>
  <dcterms:modified xsi:type="dcterms:W3CDTF">2025-06-30T06:06:40Z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BA7DE4D966EA4C1BB7887DAE937B6DFA_13</vt:lpwstr>
  </property>
  <property fmtid="{D5CDD505-2E9C-101B-9397-08002B2CF9AE}" pid="4" name="KSOTemplateDocerSaveRecord">
    <vt:lpwstr>eyJoZGlkIjoiNjRiMTM5OGJjYWU1MTIyMGU5NWQ1MjNhNWZkNDI0M2EiLCJ1c2VySWQiOiIzOTk3MTI2NDYifQ==</vt:lpwstr>
  </property>
</Properties>
</file>