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4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附件2：</w:t>
      </w:r>
    </w:p>
    <w:p>
      <w:pPr>
        <w:spacing w:line="560" w:lineRule="exact"/>
        <w:ind w:right="34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北京通信与互联网行业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信用承诺书</w:t>
      </w:r>
    </w:p>
    <w:p>
      <w:pPr>
        <w:spacing w:line="560" w:lineRule="exact"/>
        <w:ind w:right="34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01"/>
        <w:rPr>
          <w:rFonts w:ascii="仿宋" w:hAnsi="仿宋" w:eastAsia="仿宋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为积极响应北京市通信与互联网协会关于加强行业信用建设的号召，共同营造诚实守信、健康有序的行业发展环境，切实保障用户合法权益，努力践行社会责任，我单位作为协会会员，郑重作出如下信用承诺：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一、依法合规经营：严格遵守国家有关通信与互联网行业的法律、法规和政策，在核准的经营范围内依法依规开展各项生产经营活动。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二、规范行业竞争：积极维护行业的整体利益和良好形象，公平参与市场竞争，坚持互利共赢，杜绝不正当竞争行为。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三、坚守服务诚信：建立健全服务质量管理制度，优化服务流程，提升服务水平。及时处理用户咨询、投诉和建议，保护消费者合法权益，提高用户满意度。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四、严护用户信息：切实保障用户隐私权，不非法收集和滥用个人信息，坚决遵守隐私保护的法律要求和行为规范，保障用户的知情权、选择权和控制权。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五、确保内容合规：对通过自身平台发布、传播的信息内容进行严格审核，不制作、复制、发布、传播含有法律法规禁止内容的信息。积极传播正能量，营造干净的网络环境。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六、筑牢安全防线：落实网络安全主体责任，健全网络安全防护体系，配备专业人员和技术手段，确保通信网络和互联网服务的安全稳定运行。不利用自身业务和技术实施网络攻击、网络入侵等违法活动，积极防范并及时处置网络安全事件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七、履行知识产权保护：尊重知识产权成果，不断完善知识产权保护机制，认真履行知识产权相关社会责任，共同营造良好的创新环境。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八、接受社会监督：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同意将《北京市通信与互联网协会诚信承诺书》通过北京市通信与互联网行业协会官网、北京市诚信自律公共服务平台网站进行公示，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自愿接受协会和社会各界对本企业经营活动的监督，如有违背以上承诺，愿承担一切后果。</w:t>
      </w:r>
    </w:p>
    <w:p>
      <w:pPr>
        <w:spacing w:line="480" w:lineRule="exact"/>
        <w:ind w:right="34" w:firstLine="600" w:firstLineChars="200"/>
        <w:rPr>
          <w:rFonts w:ascii="仿宋" w:hAnsi="仿宋" w:eastAsia="仿宋" w:cs="楷体_GB2312"/>
          <w:color w:val="000000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ascii="仿宋" w:hAnsi="仿宋" w:eastAsia="仿宋" w:cs="楷体_GB2312"/>
          <w:color w:val="000000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ascii="仿宋" w:hAnsi="仿宋" w:eastAsia="仿宋" w:cs="楷体_GB2312"/>
          <w:color w:val="000000"/>
          <w:kern w:val="0"/>
          <w:sz w:val="30"/>
          <w:szCs w:val="30"/>
        </w:rPr>
      </w:pPr>
    </w:p>
    <w:p>
      <w:pPr>
        <w:spacing w:line="480" w:lineRule="exact"/>
        <w:ind w:right="34" w:firstLine="600" w:firstLineChars="200"/>
        <w:rPr>
          <w:rFonts w:ascii="仿宋" w:hAnsi="仿宋" w:eastAsia="仿宋" w:cs="楷体_GB2312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191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E95D56"/>
    <w:rsid w:val="000A5198"/>
    <w:rsid w:val="0080316F"/>
    <w:rsid w:val="00C92D54"/>
    <w:rsid w:val="00E95D56"/>
    <w:rsid w:val="225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1050</Characters>
  <Lines>8</Lines>
  <Paragraphs>2</Paragraphs>
  <TotalTime>3</TotalTime>
  <ScaleCrop>false</ScaleCrop>
  <LinksUpToDate>false</LinksUpToDate>
  <CharactersWithSpaces>1232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2025-08-27T03:38:00Z</dcterms:created>
  <dc:creator>LMZ</dc:creator>
  <cp:lastModifiedBy>马雪琼</cp:lastModifiedBy>
  <dcterms:modified xsi:type="dcterms:W3CDTF">2026-04-14T03:10:09Z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2F5CBC2B4F084BB1B99B957044B15090_12</vt:lpwstr>
  </property>
</Properties>
</file>