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cs="仿宋_GB2312"/>
          <w:spacing w:val="-3"/>
          <w:sz w:val="32"/>
          <w:szCs w:val="32"/>
          <w:lang w:val="en-US" w:eastAsia="zh-CN" w:bidi="zh-CN"/>
        </w:rPr>
      </w:pPr>
      <w:r>
        <w:rPr>
          <w:rFonts w:hint="eastAsia" w:cs="仿宋_GB2312"/>
          <w:spacing w:val="-3"/>
          <w:sz w:val="32"/>
          <w:szCs w:val="32"/>
          <w:lang w:val="en-US" w:eastAsia="zh-CN" w:bidi="zh-CN"/>
        </w:rPr>
        <w:t>附件1：</w:t>
      </w:r>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cs="仿宋_GB2312"/>
          <w:spacing w:val="-3"/>
          <w:sz w:val="28"/>
          <w:szCs w:val="22"/>
          <w:lang w:val="en-US" w:eastAsia="zh-CN" w:bidi="zh-CN"/>
        </w:rPr>
      </w:pPr>
    </w:p>
    <w:p>
      <w:pPr>
        <w:pageBreakBefore w:val="0"/>
        <w:widowControl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北京信息化协会数字双碳产业</w:t>
      </w:r>
      <w:r>
        <w:rPr>
          <w:rFonts w:hint="eastAsia" w:ascii="方正小标宋简体" w:hAnsi="方正小标宋简体" w:eastAsia="方正小标宋简体" w:cs="方正小标宋简体"/>
          <w:b/>
          <w:bCs/>
          <w:sz w:val="44"/>
          <w:szCs w:val="44"/>
          <w:lang w:val="en-US" w:eastAsia="zh-CN"/>
        </w:rPr>
        <w:t>服务</w:t>
      </w:r>
      <w:r>
        <w:rPr>
          <w:rFonts w:hint="eastAsia" w:ascii="方正小标宋简体" w:hAnsi="方正小标宋简体" w:eastAsia="方正小标宋简体" w:cs="方正小标宋简体"/>
          <w:b/>
          <w:bCs/>
          <w:sz w:val="44"/>
          <w:szCs w:val="44"/>
        </w:rPr>
        <w:t>中心</w:t>
      </w:r>
    </w:p>
    <w:p>
      <w:pPr>
        <w:pageBreakBefore w:val="0"/>
        <w:widowControl w:val="0"/>
        <w:kinsoku/>
        <w:wordWrap/>
        <w:overflowPunct/>
        <w:topLinePunct w:val="0"/>
        <w:bidi w:val="0"/>
        <w:adjustRightInd/>
        <w:snapToGrid/>
        <w:spacing w:line="560" w:lineRule="exact"/>
        <w:jc w:val="center"/>
        <w:textAlignment w:val="auto"/>
        <w:rPr>
          <w:rFonts w:hint="eastAsia" w:ascii="方正小标宋" w:hAnsi="方正小标宋" w:eastAsia="方正小标宋" w:cs="方正小标宋"/>
          <w:b/>
          <w:bCs/>
          <w:sz w:val="44"/>
          <w:szCs w:val="44"/>
        </w:rPr>
      </w:pPr>
      <w:r>
        <w:rPr>
          <w:rFonts w:hint="eastAsia" w:ascii="方正小标宋简体" w:hAnsi="方正小标宋简体" w:eastAsia="方正小标宋简体" w:cs="方正小标宋简体"/>
          <w:b/>
          <w:bCs/>
          <w:sz w:val="44"/>
          <w:szCs w:val="44"/>
          <w:lang w:val="en-US" w:eastAsia="zh-CN"/>
        </w:rPr>
        <w:t>筹备方案及</w:t>
      </w:r>
      <w:r>
        <w:rPr>
          <w:rFonts w:hint="eastAsia" w:ascii="方正小标宋简体" w:hAnsi="方正小标宋简体" w:eastAsia="方正小标宋简体" w:cs="方正小标宋简体"/>
          <w:b/>
          <w:bCs/>
          <w:sz w:val="44"/>
          <w:szCs w:val="44"/>
        </w:rPr>
        <w:t>工作规划</w:t>
      </w:r>
    </w:p>
    <w:p>
      <w:pPr>
        <w:pageBreakBefore w:val="0"/>
        <w:widowControl w:val="0"/>
        <w:kinsoku/>
        <w:wordWrap/>
        <w:overflowPunct/>
        <w:topLinePunct w:val="0"/>
        <w:bidi w:val="0"/>
        <w:adjustRightInd/>
        <w:snapToGrid/>
        <w:spacing w:line="560" w:lineRule="exact"/>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rPr>
        <w:t>实现碳达峰、碳中和是我国向世界作出的庄严承诺，在带来能源革命的同时，重构生产方式和智慧城市管理，为整个经济社会带来深刻变更。如何抓住我国双碳战略的历史机遇，成为数字化、智能化为特点的信息化企业极其关切的内容。为此，</w:t>
      </w:r>
      <w:r>
        <w:rPr>
          <w:rFonts w:hint="eastAsia" w:ascii="仿宋_GB2312" w:hAnsi="仿宋_GB2312" w:eastAsia="仿宋_GB2312" w:cs="仿宋_GB2312"/>
          <w:b/>
          <w:bCs/>
          <w:sz w:val="32"/>
          <w:szCs w:val="32"/>
        </w:rPr>
        <w:t>在北京信息化协会下设数字双碳产业服务中心（简称：中心），作为协会下设的内设部门，为协会会员提供优质专业性服务。</w:t>
      </w:r>
      <w:r>
        <w:rPr>
          <w:rFonts w:hint="eastAsia" w:ascii="仿宋_GB2312" w:hAnsi="仿宋_GB2312" w:eastAsia="仿宋_GB2312" w:cs="仿宋_GB2312"/>
          <w:b/>
          <w:bCs/>
          <w:sz w:val="32"/>
          <w:szCs w:val="32"/>
          <w:lang w:val="en-US" w:eastAsia="zh-CN"/>
        </w:rPr>
        <w:t>同时，通过服务中心一定时间的运行管理，探索成立北京信息化协会数字双碳专业委员会。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为保障中心服务工作的有序进行，特制定本工作规划如下：</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b w:val="0"/>
          <w:bCs w:val="0"/>
          <w:sz w:val="32"/>
          <w:szCs w:val="32"/>
          <w:lang w:val="en-US" w:eastAsia="zh-CN"/>
        </w:rPr>
      </w:pPr>
      <w:r>
        <w:rPr>
          <w:rFonts w:hint="eastAsia" w:ascii="黑体" w:hAnsi="黑体" w:eastAsia="黑体" w:cs="黑体"/>
          <w:b w:val="0"/>
          <w:bCs w:val="0"/>
          <w:sz w:val="32"/>
          <w:szCs w:val="32"/>
          <w:lang w:val="en-US" w:eastAsia="zh-CN"/>
        </w:rPr>
        <w:t>一、项目必要性</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b w:val="0"/>
          <w:bCs w:val="0"/>
          <w:sz w:val="32"/>
          <w:szCs w:val="32"/>
          <w:lang w:val="en-US" w:eastAsia="zh-CN"/>
        </w:rPr>
      </w:pPr>
      <w:r>
        <w:rPr>
          <w:rFonts w:hint="eastAsia"/>
          <w:b/>
          <w:bCs/>
          <w:sz w:val="32"/>
          <w:szCs w:val="32"/>
        </w:rPr>
        <w:t>碳达峰、碳中和</w:t>
      </w:r>
      <w:r>
        <w:rPr>
          <w:rFonts w:hint="eastAsia"/>
          <w:b/>
          <w:bCs/>
          <w:sz w:val="32"/>
          <w:szCs w:val="32"/>
          <w:lang w:val="en-US" w:eastAsia="zh-CN"/>
        </w:rPr>
        <w:t>是国家战略并影响深远：</w:t>
      </w:r>
      <w:r>
        <w:rPr>
          <w:rFonts w:hint="eastAsia"/>
          <w:b w:val="0"/>
          <w:bCs w:val="0"/>
          <w:sz w:val="32"/>
          <w:szCs w:val="32"/>
          <w:lang w:val="en-US" w:eastAsia="zh-CN"/>
        </w:rPr>
        <w:t>碳减排是全世界共识，是应对全球气候变化和能源危机的必然选择。</w:t>
      </w:r>
      <w:r>
        <w:rPr>
          <w:rFonts w:hint="eastAsia"/>
          <w:b w:val="0"/>
          <w:bCs w:val="0"/>
          <w:sz w:val="32"/>
          <w:szCs w:val="32"/>
        </w:rPr>
        <w:t>今年4月30日，习近平总书记在主持中央政治局第二十九次集体学习时强调，实现碳达峰、碳中和是我国向世界作出的庄严承诺，也是一场广泛而深刻的经济社会变革。</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b w:val="0"/>
          <w:bCs w:val="0"/>
          <w:sz w:val="32"/>
          <w:szCs w:val="32"/>
        </w:rPr>
      </w:pPr>
      <w:r>
        <w:rPr>
          <w:rFonts w:hint="eastAsia"/>
          <w:b/>
          <w:bCs/>
          <w:sz w:val="32"/>
          <w:szCs w:val="32"/>
        </w:rPr>
        <w:t>数字双碳带来智慧城市和智慧园区模式升级：</w:t>
      </w:r>
      <w:r>
        <w:rPr>
          <w:rFonts w:hint="eastAsia"/>
          <w:b w:val="0"/>
          <w:bCs w:val="0"/>
          <w:sz w:val="32"/>
          <w:szCs w:val="32"/>
        </w:rPr>
        <w:t>随着“数字财政替代土地财政”模式的持续深入，城市建设和产业园区依托地产发展的模式越来越难以为继，加上智慧城市建设日益关注信息基础设施投入和GDP产出之间的关联，“数字基础设施建设与新能源应用场景建设”赋能“都市圈&amp;城市群经济”建设的趋势已经形成，驱动城市与产业园区建设必将以“数字产业化&amp;产业数字低碳化”模式升级。</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b w:val="0"/>
          <w:bCs w:val="0"/>
          <w:sz w:val="32"/>
          <w:szCs w:val="32"/>
        </w:rPr>
      </w:pPr>
      <w:r>
        <w:rPr>
          <w:rFonts w:hint="eastAsia"/>
          <w:b/>
          <w:bCs/>
          <w:sz w:val="32"/>
          <w:szCs w:val="32"/>
        </w:rPr>
        <w:t>数</w:t>
      </w:r>
      <w:r>
        <w:rPr>
          <w:rFonts w:hint="eastAsia"/>
          <w:b/>
          <w:bCs/>
          <w:sz w:val="32"/>
          <w:szCs w:val="32"/>
          <w:lang w:val="en-US" w:eastAsia="zh-CN"/>
        </w:rPr>
        <w:t>字</w:t>
      </w:r>
      <w:r>
        <w:rPr>
          <w:rFonts w:hint="eastAsia"/>
          <w:b/>
          <w:bCs/>
          <w:sz w:val="32"/>
          <w:szCs w:val="32"/>
        </w:rPr>
        <w:t>双碳产业本质是“发展权”竞争：</w:t>
      </w:r>
      <w:r>
        <w:rPr>
          <w:rFonts w:hint="eastAsia"/>
          <w:b w:val="0"/>
          <w:bCs w:val="0"/>
          <w:sz w:val="32"/>
          <w:szCs w:val="32"/>
        </w:rPr>
        <w:t>全球性“能源革命”驱动的数字双碳经济带来的“城市发展权商品化&amp;企业发展权货币化”（必须拥有“碳排放指标”才能获得发展权），倒逼城市发展和企业发展必须“把GDP与‘</w:t>
      </w:r>
      <w:bookmarkStart w:id="0" w:name="_GoBack"/>
      <w:bookmarkEnd w:id="0"/>
      <w:r>
        <w:rPr>
          <w:rFonts w:hint="eastAsia"/>
          <w:b w:val="0"/>
          <w:bCs w:val="0"/>
          <w:sz w:val="32"/>
          <w:szCs w:val="32"/>
        </w:rPr>
        <w:t>碳指标’紧紧挂钩”。一旦脱钩，GDP越高，“碳负债”就越高，</w:t>
      </w:r>
      <w:r>
        <w:rPr>
          <w:rFonts w:hint="eastAsia"/>
          <w:b w:val="0"/>
          <w:bCs w:val="0"/>
          <w:sz w:val="32"/>
          <w:szCs w:val="32"/>
          <w:lang w:val="en-US" w:eastAsia="zh-CN"/>
        </w:rPr>
        <w:t>制约城市发展</w:t>
      </w:r>
      <w:r>
        <w:rPr>
          <w:rFonts w:hint="eastAsia"/>
          <w:b w:val="0"/>
          <w:bCs w:val="0"/>
          <w:sz w:val="32"/>
          <w:szCs w:val="32"/>
          <w:lang w:eastAsia="zh-CN"/>
        </w:rPr>
        <w:t>。</w:t>
      </w:r>
      <w:r>
        <w:rPr>
          <w:rFonts w:hint="eastAsia"/>
          <w:b w:val="0"/>
          <w:bCs w:val="0"/>
          <w:sz w:val="32"/>
          <w:szCs w:val="32"/>
        </w:rPr>
        <w:t>国庆节前国家发改委对九省市触碰“碳红线”而强行“拉闸限电”，就是给未来城市经济发展模式树立了“航标”。</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b w:val="0"/>
          <w:bCs w:val="0"/>
          <w:sz w:val="32"/>
          <w:szCs w:val="32"/>
          <w:lang w:val="en-US" w:eastAsia="zh-CN"/>
        </w:rPr>
      </w:pPr>
      <w:r>
        <w:rPr>
          <w:rFonts w:hint="eastAsia"/>
          <w:b/>
          <w:bCs/>
          <w:sz w:val="32"/>
          <w:szCs w:val="32"/>
        </w:rPr>
        <w:t>数字双碳重构生产关系及发展模式：</w:t>
      </w:r>
      <w:r>
        <w:rPr>
          <w:rFonts w:hint="eastAsia"/>
          <w:b w:val="0"/>
          <w:bCs w:val="0"/>
          <w:sz w:val="32"/>
          <w:szCs w:val="32"/>
        </w:rPr>
        <w:t>在上述背景下，社会经济与产业结构需要重构，城市建设和发展模式需要变轨，企业经营与运营方式需要转型，教育机构与企业培训内容需要重设，资产管理与资本经营体系需要重建</w:t>
      </w:r>
      <w:r>
        <w:rPr>
          <w:b w:val="0"/>
          <w:bCs w:val="0"/>
          <w:sz w:val="32"/>
          <w:szCs w:val="32"/>
        </w:rPr>
        <w:t xml:space="preserve">……! </w:t>
      </w:r>
      <w:r>
        <w:rPr>
          <w:rFonts w:hint="eastAsia"/>
          <w:b w:val="0"/>
          <w:bCs w:val="0"/>
          <w:sz w:val="32"/>
          <w:szCs w:val="32"/>
        </w:rPr>
        <w:t>政府和企业在如此产业环境、政策环境、投资环境发生重大环境变化的时刻，亟需各类外部资源的服务输入</w:t>
      </w:r>
      <w:r>
        <w:rPr>
          <w:rFonts w:hint="eastAsia"/>
          <w:b w:val="0"/>
          <w:bCs w:val="0"/>
          <w:sz w:val="32"/>
          <w:szCs w:val="32"/>
          <w:lang w:eastAsia="zh-CN"/>
        </w:rPr>
        <w:t>。</w:t>
      </w:r>
      <w:r>
        <w:rPr>
          <w:rFonts w:hint="eastAsia"/>
          <w:b w:val="0"/>
          <w:bCs w:val="0"/>
          <w:sz w:val="32"/>
          <w:szCs w:val="32"/>
          <w:lang w:val="en-US" w:eastAsia="zh-CN"/>
        </w:rPr>
        <w:t>作为数字化、信息化建设的主要单位，数字双碳的发展对北京信息化企业至关重要。</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firstLine="640" w:firstLineChars="200"/>
        <w:jc w:val="both"/>
        <w:textAlignment w:val="auto"/>
        <w:rPr>
          <w:rStyle w:val="7"/>
          <w:rFonts w:hint="eastAsia" w:ascii="黑体" w:hAnsi="黑体" w:eastAsia="黑体" w:cs="黑体"/>
          <w:b w:val="0"/>
          <w:bCs w:val="0"/>
          <w:sz w:val="32"/>
          <w:szCs w:val="32"/>
        </w:rPr>
      </w:pPr>
      <w:r>
        <w:rPr>
          <w:rStyle w:val="7"/>
          <w:rFonts w:hint="eastAsia" w:ascii="黑体" w:hAnsi="黑体" w:eastAsia="黑体" w:cs="黑体"/>
          <w:b w:val="0"/>
          <w:bCs w:val="0"/>
          <w:sz w:val="32"/>
          <w:szCs w:val="32"/>
        </w:rPr>
        <w:t>主要工作任务：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因此，针对上述发展需求，为政府、行业和协会会员提供相关服务，成为成立协会“数字双碳产业服务中心”的价值所在，计划完成如下工作</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Chars="0"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1、“搭平台”</w:t>
      </w:r>
      <w:r>
        <w:rPr>
          <w:rFonts w:hint="eastAsia" w:ascii="仿宋_GB2312" w:hAnsi="仿宋_GB2312" w:eastAsia="仿宋_GB2312" w:cs="仿宋_GB2312"/>
          <w:b w:val="0"/>
          <w:bCs w:val="0"/>
          <w:sz w:val="32"/>
          <w:szCs w:val="32"/>
        </w:rPr>
        <w:t>—— 搭建专业性交流平台，成为双碳经济数字化、智能化发展的行业平台和资源平台。</w:t>
      </w:r>
    </w:p>
    <w:p>
      <w:pPr>
        <w:keepNext w:val="0"/>
        <w:keepLines w:val="0"/>
        <w:pageBreakBefore w:val="0"/>
        <w:widowControl w:val="0"/>
        <w:kinsoku/>
        <w:wordWrap/>
        <w:overflowPunct/>
        <w:topLinePunct w:val="0"/>
        <w:autoSpaceDE/>
        <w:autoSpaceDN/>
        <w:bidi w:val="0"/>
        <w:adjustRightInd/>
        <w:snapToGrid/>
        <w:spacing w:before="0" w:after="0" w:line="560" w:lineRule="exact"/>
        <w:ind w:leftChars="0"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2、“助市场”</w:t>
      </w:r>
      <w:r>
        <w:rPr>
          <w:rFonts w:hint="eastAsia" w:ascii="仿宋_GB2312" w:hAnsi="仿宋_GB2312" w:eastAsia="仿宋_GB2312" w:cs="仿宋_GB2312"/>
          <w:b w:val="0"/>
          <w:bCs w:val="0"/>
          <w:sz w:val="32"/>
          <w:szCs w:val="32"/>
        </w:rPr>
        <w:t>—— 抓住双碳发展机遇，助推和赋能信息化企业进入数字双碳市场，输入输出与“碳指标”相关的各类服务。</w:t>
      </w:r>
    </w:p>
    <w:p>
      <w:pPr>
        <w:keepNext w:val="0"/>
        <w:keepLines w:val="0"/>
        <w:pageBreakBefore w:val="0"/>
        <w:widowControl w:val="0"/>
        <w:kinsoku/>
        <w:wordWrap/>
        <w:overflowPunct/>
        <w:topLinePunct w:val="0"/>
        <w:autoSpaceDE/>
        <w:autoSpaceDN/>
        <w:bidi w:val="0"/>
        <w:adjustRightInd/>
        <w:snapToGrid/>
        <w:spacing w:before="0" w:after="0" w:line="560" w:lineRule="exact"/>
        <w:ind w:leftChars="0"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3、作培训</w:t>
      </w:r>
      <w:r>
        <w:rPr>
          <w:rFonts w:hint="eastAsia" w:ascii="仿宋_GB2312" w:hAnsi="仿宋_GB2312" w:eastAsia="仿宋_GB2312" w:cs="仿宋_GB2312"/>
          <w:b w:val="0"/>
          <w:bCs w:val="0"/>
          <w:sz w:val="32"/>
          <w:szCs w:val="32"/>
        </w:rPr>
        <w:t>——根据行业和会员需求，组织与碳指标相关公益培训、高端培训，推广行业技术和服务。</w:t>
      </w:r>
    </w:p>
    <w:p>
      <w:pPr>
        <w:keepNext w:val="0"/>
        <w:keepLines w:val="0"/>
        <w:pageBreakBefore w:val="0"/>
        <w:widowControl w:val="0"/>
        <w:kinsoku/>
        <w:wordWrap/>
        <w:overflowPunct/>
        <w:topLinePunct w:val="0"/>
        <w:autoSpaceDE/>
        <w:autoSpaceDN/>
        <w:bidi w:val="0"/>
        <w:adjustRightInd/>
        <w:snapToGrid/>
        <w:spacing w:before="0" w:after="0" w:line="560" w:lineRule="exact"/>
        <w:ind w:leftChars="0"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4、搞活动</w:t>
      </w:r>
      <w:r>
        <w:rPr>
          <w:rFonts w:hint="eastAsia" w:ascii="仿宋_GB2312" w:hAnsi="仿宋_GB2312" w:eastAsia="仿宋_GB2312" w:cs="仿宋_GB2312"/>
          <w:b w:val="0"/>
          <w:bCs w:val="0"/>
          <w:sz w:val="32"/>
          <w:szCs w:val="32"/>
        </w:rPr>
        <w:t>——计划每年度组织1-2场有影响力的行业高峰论坛、不定期组织各项沙龙、专业座谈</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b w:val="0"/>
          <w:bCs w:val="0"/>
          <w:sz w:val="32"/>
          <w:szCs w:val="32"/>
        </w:rPr>
      </w:pPr>
      <w:r>
        <w:rPr>
          <w:rFonts w:hint="eastAsia" w:ascii="黑体" w:hAnsi="黑体" w:eastAsia="黑体" w:cs="黑体"/>
          <w:b w:val="0"/>
          <w:bCs w:val="0"/>
          <w:sz w:val="32"/>
          <w:szCs w:val="32"/>
        </w:rPr>
        <w:t>三、推进计划</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“搭平台”</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搭建专业性的“数字双碳产业交流平台”，成为双碳经济数字化、智能化发展的行业平台和资源平台。</w:t>
      </w:r>
    </w:p>
    <w:p>
      <w:pPr>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1）面向内部资源：</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协会拥</w:t>
      </w:r>
      <w:r>
        <w:rPr>
          <w:rFonts w:hint="eastAsia" w:ascii="仿宋_GB2312" w:hAnsi="仿宋_GB2312" w:eastAsia="仿宋_GB2312" w:cs="仿宋_GB2312"/>
          <w:sz w:val="32"/>
          <w:szCs w:val="32"/>
          <w:lang w:val="en-US" w:eastAsia="zh-CN"/>
        </w:rPr>
        <w:t>有众多</w:t>
      </w:r>
      <w:r>
        <w:rPr>
          <w:rFonts w:hint="eastAsia" w:ascii="仿宋_GB2312" w:hAnsi="仿宋_GB2312" w:eastAsia="仿宋_GB2312" w:cs="仿宋_GB2312"/>
          <w:sz w:val="32"/>
          <w:szCs w:val="32"/>
        </w:rPr>
        <w:t>信息化企业和信创企业，会员单位大都是参与国家和北京市信息化建设、智慧城市建设、信创工程和数字城市建设的劲旅，担负着极其重要的建设责任和建设任务。作为城市的建设者，在城市发展遭遇“GDP与‘碳指标’紧紧挂钩”的今天，他们就像“手握钢枪，缺少弹药”的战士，亟需“双碳产业护卫舰”（产业资源）的保驾护航，完成从传统智慧城市建设到新型数字智慧城市建设的转型升级。</w:t>
      </w:r>
    </w:p>
    <w:p>
      <w:pPr>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2）面向双碳产业提供商</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双碳产业作为两次工业革命衍生出来的产业新品类，几乎覆盖到所有行业和人类生活的方方面面。导致双碳产业的行业集中度不高、绝大多数企业规模化不大、产业结构性不强，处于初级发展阶段。得遇市场窗口爆炸式开启，绝大多数企业都缺乏爆发的心理准备和物质准备。亟需与协会会员企业这样成熟的系统集成商和软件开发商合作，携手攻克共同面对的政策壁垒、技术壁垒、市场壁垒、资金壁垒、人力资源壁垒等难关。</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“助市场”</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——抓住双碳发展机遇，助推和赋能信息化企业进入数字双碳市场，输入输出与“碳指标”相关的各类服务。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助力会员企业为政提供新型智慧城市建设、数字零碳产业园建设服务。</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1）提供智慧城市项目地之基于“产业分析&amp;产业资源配置”的顶层设计服务；</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2）提供智慧城市项目地之资源对接服务；</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3）提供“数字零碳产业园”之“投资建设运营”全链服务；</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4）提供基于双碳产业建设项目的产业资源配置服务，包括</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第一，“源网荷储一体化”项目</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第二，“零碳产业园”项目</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第三，“绿色数据中心”建设</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第四，水电、林业碳汇项目方案</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第五，基于双碳的碳监测、碳审计、碳交易的相关服务。</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5）基于双碳项目建设的产业资源、科技资源、投资资源、政府资源的对接</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rPr>
        <w:t>“做培训”</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根据行业和会员需求，组织与碳指标相关公益培训、高端培训，推广行业技术和服务。</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借助中心的“双碳产业资源共享服务平台”优势和双碳行业与产业的资源优势，通过面向协会会员企业、双碳行业服务提供商、新型智慧城市和数字双碳建设单位等举办公益培训或者专题培训，助力和赋能协会会员企业投资建设运营新型智慧城市建设、数字零碳产业园建设、绿色数据中心建设、双碳产业数字管理建设等项目，实现中国经济下半场的跨越式发展。</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在专业领域可以按照“碳指标及碳绩效管理”、“源网荷储一体化”、“零碳产业园”、“绿色数据中心”、“双碳金融资产管理”等主题组织进行。</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4、</w:t>
      </w:r>
      <w:r>
        <w:rPr>
          <w:rFonts w:hint="eastAsia" w:ascii="仿宋_GB2312" w:hAnsi="仿宋_GB2312" w:eastAsia="仿宋_GB2312" w:cs="仿宋_GB2312"/>
          <w:b/>
          <w:bCs w:val="0"/>
          <w:sz w:val="32"/>
          <w:szCs w:val="32"/>
        </w:rPr>
        <w:t>“搞活动”</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——计划每年度组织1-2场有影响力的行业高峰论坛、不定期组织各项沙龙、专业座谈。</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四、筹备人员情况</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为落实双碳中心服务职能并推动专委会成立，</w:t>
      </w:r>
      <w:r>
        <w:rPr>
          <w:rFonts w:hint="eastAsia" w:cs="仿宋_GB2312"/>
          <w:sz w:val="32"/>
          <w:szCs w:val="32"/>
          <w:lang w:val="en-US" w:eastAsia="zh-CN"/>
        </w:rPr>
        <w:t>筹备组汇集了多位能源、数字双碳领域资深行业专家，以及多家能源用户单位和行业代表性单位。</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sz w:val="32"/>
          <w:szCs w:val="32"/>
          <w:lang w:val="en-US" w:eastAsia="zh-CN"/>
        </w:rPr>
      </w:pPr>
      <w:r>
        <w:rPr>
          <w:rFonts w:hint="eastAsia" w:ascii="黑体" w:hAnsi="黑体" w:eastAsia="黑体" w:cs="黑体"/>
          <w:b w:val="0"/>
          <w:bCs w:val="0"/>
          <w:sz w:val="32"/>
          <w:szCs w:val="32"/>
          <w:lang w:val="en-US" w:eastAsia="zh-CN"/>
        </w:rPr>
        <w:t>五、进度安排</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2021.10月-11月</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理事会审议并通过筹备方案，向协会公布，协会会员自愿参加数字双碳板块工作</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2021.11月-2022.1月</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cs="仿宋_GB2312"/>
          <w:b w:val="0"/>
          <w:bCs w:val="0"/>
          <w:sz w:val="32"/>
          <w:szCs w:val="32"/>
          <w:lang w:val="en-US" w:eastAsia="zh-CN"/>
        </w:rPr>
        <w:t>数字双碳板块工作说明会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参与单位调研交流，需求调研及研讨</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举办数字双碳发展研讨会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2022.1月-3月</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根据调研和研讨的结果，进一步细化服务中心工作任务及内容形成数字双碳专业委员会筹备和工作方案，提报协会理事会审议通过</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举办一期双碳主题培训</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2022.3月-12月</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专委会规范运作，并按计划完成相关规划任务。</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、经费情况</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协会会员</w:t>
      </w:r>
      <w:r>
        <w:rPr>
          <w:rFonts w:hint="eastAsia" w:ascii="仿宋_GB2312" w:hAnsi="仿宋_GB2312" w:eastAsia="仿宋_GB2312" w:cs="仿宋_GB2312"/>
          <w:b w:val="0"/>
          <w:bCs w:val="0"/>
          <w:sz w:val="32"/>
          <w:szCs w:val="32"/>
          <w:lang w:val="en-US" w:eastAsia="zh-CN"/>
        </w:rPr>
        <w:t>不重复收费，加入数字双碳中心/专业委员会</w:t>
      </w:r>
      <w:r>
        <w:rPr>
          <w:rFonts w:hint="eastAsia" w:ascii="仿宋_GB2312" w:hAnsi="仿宋_GB2312" w:eastAsia="仿宋_GB2312" w:cs="仿宋_GB2312"/>
          <w:b w:val="0"/>
          <w:bCs w:val="0"/>
          <w:sz w:val="32"/>
          <w:szCs w:val="32"/>
        </w:rPr>
        <w:t>不收取费用。</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E5B5DB"/>
    <w:multiLevelType w:val="singleLevel"/>
    <w:tmpl w:val="4FE5B5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03DF0"/>
    <w:rsid w:val="0CA03DF0"/>
    <w:rsid w:val="5A847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link w:val="7"/>
    <w:qFormat/>
    <w:uiPriority w:val="1"/>
    <w:pPr>
      <w:spacing w:before="49"/>
      <w:ind w:left="2197" w:right="2195"/>
      <w:jc w:val="center"/>
      <w:outlineLvl w:val="1"/>
    </w:pPr>
    <w:rPr>
      <w:rFonts w:ascii="宋体" w:hAnsi="宋体" w:eastAsia="宋体" w:cs="宋体"/>
      <w:b/>
      <w:bCs/>
      <w:sz w:val="36"/>
      <w:szCs w:val="36"/>
      <w:lang w:val="zh-CN" w:eastAsia="zh-CN" w:bidi="zh-CN"/>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楷体"/>
      <w:b/>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28"/>
      <w:szCs w:val="28"/>
      <w:lang w:val="zh-CN" w:eastAsia="zh-CN" w:bidi="zh-CN"/>
    </w:rPr>
  </w:style>
  <w:style w:type="character" w:customStyle="1" w:styleId="7">
    <w:name w:val="标题 1 Char"/>
    <w:link w:val="2"/>
    <w:qFormat/>
    <w:uiPriority w:val="0"/>
    <w:rPr>
      <w:rFonts w:ascii="宋体" w:hAnsi="宋体" w:eastAsia="宋体" w:cs="宋体"/>
      <w:b/>
      <w:bCs/>
      <w:sz w:val="36"/>
      <w:szCs w:val="36"/>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2021-10-27T03:25:00Z</dcterms:created>
  <dc:creator>Garrosh</dc:creator>
  <cp:lastModifiedBy>Garrosh</cp:lastModifiedBy>
  <dcterms:modified xsi:type="dcterms:W3CDTF">2021-10-27T06:45:03Z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BA5F0D2DDAB74D17B2D5240E4EB7CB88</vt:lpwstr>
  </property>
</Properties>
</file>