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产品特点</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“北京普惠健康保”与北京基本医疗保险制度紧密衔接，包含基本医疗保险目录内高额个人自付医疗费用和基本医疗保险目录外自费费用，满足多样化多层次医疗保障需求。</w:t>
      </w:r>
    </w:p>
    <w:p>
      <w:pPr>
        <w:spacing w:line="360" w:lineRule="auto"/>
        <w:ind w:firstLine="643" w:firstLineChars="200"/>
        <w:rPr>
          <w:rFonts w:hint="eastAsia" w:ascii="仿宋" w:hAnsi="仿宋" w:eastAsia="仿宋" w:cs="楷体"/>
          <w:b/>
          <w:bCs/>
          <w:sz w:val="32"/>
          <w:szCs w:val="32"/>
        </w:rPr>
      </w:pPr>
      <w:r>
        <w:rPr>
          <w:rFonts w:hint="eastAsia" w:ascii="仿宋" w:hAnsi="仿宋" w:eastAsia="仿宋" w:cs="楷体"/>
          <w:b/>
          <w:bCs/>
          <w:sz w:val="32"/>
          <w:szCs w:val="32"/>
        </w:rPr>
        <w:t>1、保障广：</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（1）涵盖医保内门急诊、住院责任的自付一、自付二部分；</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（2）医保外住院责任自费部分；</w:t>
      </w:r>
      <w:bookmarkStart w:id="0" w:name="_GoBack"/>
      <w:bookmarkEnd w:id="0"/>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（3）100种特药责任，其中包括国内特药25种，海南博鳌试验区国际特药75种。</w:t>
      </w:r>
    </w:p>
    <w:p>
      <w:pPr>
        <w:spacing w:line="360" w:lineRule="auto"/>
        <w:ind w:firstLine="643" w:firstLineChars="200"/>
        <w:rPr>
          <w:rFonts w:hint="eastAsia" w:ascii="仿宋" w:hAnsi="仿宋" w:eastAsia="仿宋" w:cs="楷体"/>
          <w:bCs/>
          <w:sz w:val="32"/>
          <w:szCs w:val="32"/>
        </w:rPr>
      </w:pPr>
      <w:r>
        <w:rPr>
          <w:rFonts w:ascii="仿宋" w:hAnsi="仿宋" w:eastAsia="仿宋" w:cs="楷体"/>
          <w:b/>
          <w:bCs/>
          <w:sz w:val="32"/>
          <w:szCs w:val="32"/>
        </w:rPr>
        <w:t>2</w:t>
      </w:r>
      <w:r>
        <w:rPr>
          <w:rFonts w:hint="eastAsia" w:ascii="仿宋" w:hAnsi="仿宋" w:eastAsia="仿宋" w:cs="楷体"/>
          <w:b/>
          <w:bCs/>
          <w:sz w:val="32"/>
          <w:szCs w:val="32"/>
        </w:rPr>
        <w:t>、服务优</w:t>
      </w:r>
      <w:r>
        <w:rPr>
          <w:rFonts w:hint="eastAsia" w:ascii="仿宋" w:hAnsi="仿宋" w:eastAsia="仿宋" w:cs="楷体"/>
          <w:bCs/>
          <w:sz w:val="32"/>
          <w:szCs w:val="32"/>
        </w:rPr>
        <w:t>（提供以下主要专享服务）：</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（1）金牌护士：出院后5次陪诊</w:t>
      </w:r>
      <w:r>
        <w:rPr>
          <w:rFonts w:ascii="仿宋" w:hAnsi="仿宋" w:eastAsia="仿宋" w:cs="楷体"/>
          <w:bCs/>
          <w:sz w:val="32"/>
          <w:szCs w:val="32"/>
        </w:rPr>
        <w:t>或</w:t>
      </w:r>
      <w:r>
        <w:rPr>
          <w:rFonts w:hint="eastAsia" w:ascii="仿宋" w:hAnsi="仿宋" w:eastAsia="仿宋" w:cs="楷体"/>
          <w:bCs/>
          <w:sz w:val="32"/>
          <w:szCs w:val="32"/>
        </w:rPr>
        <w:t>伤口换药、外科伤口拆线、留置胃管或导尿管等24项上门医学护理。</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（2）国内特药“镁信”专享服务：国内送药上门、预约购药、援助用药申请指导、慢病卡折扣、临床试验申请、重大疾病早筛。</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（3）国外特药“圆心惠保”专享服务: 提供处方审核、患者管理服务，强大的药品供应链体系。</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（4）理赔服务“医渡云”:统一接受电话及公众号线上咨询。线上申请：关注“北京普惠健康保”微信公众号，或拨打客服电话4000761788咨询。</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线下申请：被保险人可携带理赔相关材料至“北京普惠健康保”服务中心线下网点申请理赔。</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Cs/>
          <w:sz w:val="32"/>
          <w:szCs w:val="32"/>
        </w:rPr>
        <w:t>所有案件均可线上报案及交单办理理赔，保险公司线上审核完成后，需寄送理赔原件材料至服务中心线下网点。</w:t>
      </w:r>
    </w:p>
    <w:p>
      <w:pPr>
        <w:spacing w:line="360" w:lineRule="auto"/>
        <w:ind w:firstLine="643" w:firstLineChars="200"/>
        <w:rPr>
          <w:rFonts w:hint="eastAsia" w:ascii="仿宋" w:hAnsi="仿宋" w:eastAsia="仿宋" w:cs="楷体"/>
          <w:bCs/>
          <w:sz w:val="32"/>
          <w:szCs w:val="32"/>
        </w:rPr>
      </w:pPr>
      <w:r>
        <w:rPr>
          <w:rFonts w:ascii="仿宋" w:hAnsi="仿宋" w:eastAsia="仿宋" w:cs="楷体"/>
          <w:b/>
          <w:bCs/>
          <w:sz w:val="32"/>
          <w:szCs w:val="32"/>
        </w:rPr>
        <w:t>3</w:t>
      </w:r>
      <w:r>
        <w:rPr>
          <w:rFonts w:hint="eastAsia" w:ascii="仿宋" w:hAnsi="仿宋" w:eastAsia="仿宋" w:cs="楷体"/>
          <w:b/>
          <w:bCs/>
          <w:sz w:val="32"/>
          <w:szCs w:val="32"/>
        </w:rPr>
        <w:t>、报销比例可上升</w:t>
      </w:r>
      <w:r>
        <w:rPr>
          <w:rFonts w:hint="eastAsia" w:ascii="仿宋" w:hAnsi="仿宋" w:eastAsia="仿宋" w:cs="楷体"/>
          <w:bCs/>
          <w:sz w:val="32"/>
          <w:szCs w:val="32"/>
        </w:rPr>
        <w:t>：针对未发生赔款的参保人，每三年提高其医疗费用报销比例1个百分点，累计最高提升上限为10%。</w:t>
      </w:r>
    </w:p>
    <w:p>
      <w:pPr>
        <w:spacing w:line="360" w:lineRule="auto"/>
        <w:ind w:firstLine="643" w:firstLineChars="200"/>
        <w:rPr>
          <w:rFonts w:ascii="仿宋" w:hAnsi="仿宋" w:eastAsia="仿宋" w:cs="楷体"/>
          <w:bCs/>
          <w:sz w:val="32"/>
          <w:szCs w:val="32"/>
        </w:rPr>
      </w:pPr>
      <w:r>
        <w:rPr>
          <w:rFonts w:ascii="仿宋" w:hAnsi="仿宋" w:eastAsia="仿宋" w:cs="楷体"/>
          <w:b/>
          <w:bCs/>
          <w:sz w:val="32"/>
          <w:szCs w:val="32"/>
        </w:rPr>
        <w:t>4</w:t>
      </w:r>
      <w:r>
        <w:rPr>
          <w:rFonts w:hint="eastAsia" w:ascii="仿宋" w:hAnsi="仿宋" w:eastAsia="仿宋" w:cs="楷体"/>
          <w:b/>
          <w:bCs/>
          <w:sz w:val="32"/>
          <w:szCs w:val="32"/>
        </w:rPr>
        <w:t>、医疗机构覆盖广</w:t>
      </w:r>
      <w:r>
        <w:rPr>
          <w:rFonts w:hint="eastAsia" w:ascii="仿宋" w:hAnsi="仿宋" w:eastAsia="仿宋" w:cs="楷体"/>
          <w:bCs/>
          <w:sz w:val="32"/>
          <w:szCs w:val="32"/>
        </w:rPr>
        <w:t>：指定医疗机构指中华人民共和国境内（不包括香港、澳门、台湾地区）基本医疗保险定点社区卫生服务机构、二级（含）及以上医院（不包括其附属的国际医疗、特需医疗、贵宾医疗、外宾医疗或者相类似的部门和科室）住院+门诊医疗费用。</w:t>
      </w:r>
    </w:p>
    <w:p>
      <w:pPr>
        <w:spacing w:line="360" w:lineRule="auto"/>
        <w:ind w:firstLine="643" w:firstLineChars="200"/>
        <w:rPr>
          <w:rFonts w:ascii="仿宋" w:hAnsi="仿宋" w:eastAsia="仿宋" w:cs="楷体"/>
          <w:b/>
          <w:bCs/>
          <w:sz w:val="32"/>
          <w:szCs w:val="32"/>
        </w:rPr>
      </w:pPr>
      <w:r>
        <w:rPr>
          <w:rFonts w:hint="eastAsia" w:ascii="仿宋" w:hAnsi="仿宋" w:eastAsia="仿宋" w:cs="楷体"/>
          <w:b/>
          <w:bCs/>
          <w:sz w:val="32"/>
          <w:szCs w:val="32"/>
        </w:rPr>
        <w:t>5、</w:t>
      </w:r>
      <w:r>
        <w:rPr>
          <w:rFonts w:hint="eastAsia" w:ascii="仿宋" w:hAnsi="仿宋" w:eastAsia="仿宋" w:cs="楷体"/>
          <w:b/>
          <w:bCs/>
          <w:sz w:val="32"/>
          <w:szCs w:val="32"/>
        </w:rPr>
        <w:t>理赔</w:t>
      </w:r>
      <w:r>
        <w:rPr>
          <w:rFonts w:hint="eastAsia" w:ascii="仿宋" w:hAnsi="仿宋" w:eastAsia="仿宋" w:cs="楷体"/>
          <w:b/>
          <w:bCs/>
          <w:sz w:val="32"/>
          <w:szCs w:val="32"/>
        </w:rPr>
        <w:t>案例：</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2020年，IARC（世界卫生组织旗下的国际癌症研究中心）公布2020年全球癌症报告，报告中显示，中国癌症发病率、死亡率均为全球第一。</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下面以较为常见的神经外科胶质细胞瘤为例，进行北京普惠健康保赔偿计算。</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A某为北京市城镇职工基本医疗保险参保人，购买北京普惠健康保后，2021年因神经外科的胶质细胞瘤就医，医保报销后预计个人支付医疗费大致如下：手术费用5万元，放疗费用10万元，基因检测费用5万元，靶向药费用25万元，国际特药20万元，总计65万元。</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以此为例计算北京普惠健康保赔付：</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1、医保内自付医疗费用：</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(15-3.95)ⅹ80%=8.84万元</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2、医保外自费医疗费用：</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(30-2)ⅹ70%=19.6万元</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3、国际特药费用：</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（20-2）ⅹ60%=10.8万元</w:t>
      </w:r>
    </w:p>
    <w:p>
      <w:pPr>
        <w:spacing w:line="360" w:lineRule="auto"/>
        <w:ind w:firstLine="640" w:firstLineChars="200"/>
        <w:rPr>
          <w:rFonts w:hint="eastAsia" w:ascii="仿宋" w:hAnsi="仿宋" w:eastAsia="仿宋" w:cs="楷体"/>
          <w:b w:val="0"/>
          <w:bCs/>
          <w:sz w:val="32"/>
          <w:szCs w:val="32"/>
        </w:rPr>
      </w:pPr>
      <w:r>
        <w:rPr>
          <w:rFonts w:hint="eastAsia" w:ascii="仿宋" w:hAnsi="仿宋" w:eastAsia="仿宋" w:cs="楷体"/>
          <w:b w:val="0"/>
          <w:bCs/>
          <w:sz w:val="32"/>
          <w:szCs w:val="32"/>
        </w:rPr>
        <w:t>总计赔付 8.84+19.6+10.8=39.24万元。</w:t>
      </w:r>
    </w:p>
    <w:p>
      <w:pPr>
        <w:spacing w:line="360" w:lineRule="auto"/>
        <w:ind w:firstLine="640" w:firstLineChars="200"/>
        <w:rPr>
          <w:rFonts w:hint="eastAsia" w:ascii="仿宋" w:hAnsi="仿宋" w:eastAsia="仿宋" w:cs="楷体"/>
          <w:bCs/>
          <w:sz w:val="32"/>
          <w:szCs w:val="32"/>
        </w:rPr>
      </w:pPr>
      <w:r>
        <w:rPr>
          <w:rFonts w:hint="eastAsia" w:ascii="仿宋" w:hAnsi="仿宋" w:eastAsia="仿宋" w:cs="楷体"/>
          <w:b w:val="0"/>
          <w:bCs/>
          <w:sz w:val="32"/>
          <w:szCs w:val="32"/>
        </w:rPr>
        <w:t>注：特定既往症人群的报销比例医保内自付部分40%，医保外自费部分35%，特药部分30%。</w:t>
      </w:r>
    </w:p>
    <w:p>
      <w:pPr>
        <w:rPr>
          <w:rFonts w:ascii="仿宋" w:hAnsi="仿宋" w:eastAsia="仿宋" w:cs="仿宋"/>
          <w:bCs/>
          <w:sz w:val="32"/>
          <w:szCs w:val="32"/>
        </w:rPr>
      </w:pPr>
    </w:p>
    <w:p>
      <w:pPr>
        <w:ind w:firstLine="640" w:firstLineChars="200"/>
        <w:jc w:val="right"/>
        <w:rPr>
          <w:rFonts w:ascii="仿宋" w:hAnsi="仿宋" w:eastAsia="仿宋" w:cs="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33"/>
    <w:rsid w:val="000010FF"/>
    <w:rsid w:val="00014FC1"/>
    <w:rsid w:val="00042E31"/>
    <w:rsid w:val="000631FD"/>
    <w:rsid w:val="00093C6C"/>
    <w:rsid w:val="000A7C63"/>
    <w:rsid w:val="000B3046"/>
    <w:rsid w:val="000D0699"/>
    <w:rsid w:val="000E0706"/>
    <w:rsid w:val="00173810"/>
    <w:rsid w:val="00221563"/>
    <w:rsid w:val="002F08AA"/>
    <w:rsid w:val="003713C0"/>
    <w:rsid w:val="003821B0"/>
    <w:rsid w:val="004012D5"/>
    <w:rsid w:val="00474EC9"/>
    <w:rsid w:val="00476CD9"/>
    <w:rsid w:val="00516BE2"/>
    <w:rsid w:val="0052729C"/>
    <w:rsid w:val="00600F26"/>
    <w:rsid w:val="00610EE1"/>
    <w:rsid w:val="0065094D"/>
    <w:rsid w:val="006F6F15"/>
    <w:rsid w:val="00731852"/>
    <w:rsid w:val="007335CB"/>
    <w:rsid w:val="00766649"/>
    <w:rsid w:val="00780B48"/>
    <w:rsid w:val="00805D33"/>
    <w:rsid w:val="00873824"/>
    <w:rsid w:val="00886B42"/>
    <w:rsid w:val="008A6942"/>
    <w:rsid w:val="008B5A92"/>
    <w:rsid w:val="008D0104"/>
    <w:rsid w:val="008F0978"/>
    <w:rsid w:val="009132A3"/>
    <w:rsid w:val="00A23F83"/>
    <w:rsid w:val="00AA7C66"/>
    <w:rsid w:val="00B25490"/>
    <w:rsid w:val="00B36C7C"/>
    <w:rsid w:val="00B6719B"/>
    <w:rsid w:val="00BA64CE"/>
    <w:rsid w:val="00BB0517"/>
    <w:rsid w:val="00BB2D37"/>
    <w:rsid w:val="00BC2EDA"/>
    <w:rsid w:val="00C11320"/>
    <w:rsid w:val="00CB445A"/>
    <w:rsid w:val="00D12E89"/>
    <w:rsid w:val="00D30685"/>
    <w:rsid w:val="00D70B54"/>
    <w:rsid w:val="00D774A5"/>
    <w:rsid w:val="00DA678B"/>
    <w:rsid w:val="00DB2FC8"/>
    <w:rsid w:val="00E00FCB"/>
    <w:rsid w:val="00EF67CB"/>
    <w:rsid w:val="00EF7B1E"/>
    <w:rsid w:val="00F5132B"/>
    <w:rsid w:val="00F85FEA"/>
    <w:rsid w:val="00FA78DA"/>
    <w:rsid w:val="06876AEF"/>
    <w:rsid w:val="11DE1EC0"/>
    <w:rsid w:val="171D077E"/>
    <w:rsid w:val="5EDC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rich_media_meta"/>
    <w:basedOn w:val="7"/>
    <w:qFormat/>
    <w:uiPriority w:val="0"/>
  </w:style>
  <w:style w:type="character" w:customStyle="1" w:styleId="15">
    <w:name w:val="apple-converted-space"/>
    <w:basedOn w:val="7"/>
    <w:qFormat/>
    <w:uiPriority w:val="0"/>
  </w:style>
  <w:style w:type="character" w:customStyle="1" w:styleId="16">
    <w:name w:val="relate_profile_nickname"/>
    <w:basedOn w:val="7"/>
    <w:qFormat/>
    <w:uiPriority w:val="0"/>
  </w:style>
  <w:style w:type="character" w:customStyle="1" w:styleId="17">
    <w:name w:val="discuss_relation_tips"/>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Win7_32</Company>
  <Pages>5</Pages>
  <Words>258</Words>
  <Characters>1475</Characters>
  <Lines>12</Lines>
  <Paragraphs>3</Paragraphs>
  <TotalTime>28</TotalTime>
  <ScaleCrop>false</ScaleCrop>
  <LinksUpToDate>false</LinksUpToDate>
  <CharactersWithSpaces>1730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2021-07-26T06:38:00Z</dcterms:created>
  <dc:creator>Win7_32</dc:creator>
  <cp:lastModifiedBy>崔雅静</cp:lastModifiedBy>
  <dcterms:modified xsi:type="dcterms:W3CDTF">2021-07-28T08:57:14Z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6A193F70C83E4531AD7A48868592F8A8</vt:lpwstr>
  </property>
</Properties>
</file>