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仿宋_GB2312" w:cs="Times New Roman"/>
          <w:kern w:val="0"/>
          <w:sz w:val="32"/>
          <w:szCs w:val="32"/>
          <w:lang w:bidi="en-US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en-US"/>
        </w:rPr>
        <w:t>附件1：</w:t>
      </w:r>
      <w:bookmarkStart w:id="0" w:name="bookmark26"/>
      <w:bookmarkStart w:id="1" w:name="bookmark24"/>
      <w:bookmarkStart w:id="2" w:name="bookmark25"/>
    </w:p>
    <w:p>
      <w:pPr>
        <w:widowControl/>
        <w:spacing w:after="156" w:afterLines="50" w:line="52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</w:p>
    <w:p>
      <w:pPr>
        <w:widowControl/>
        <w:spacing w:after="156" w:afterLines="50" w:line="52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bookmarkStart w:id="21" w:name="_GoBack"/>
      <w:r>
        <w:rPr>
          <w:rFonts w:ascii="Times New Roman" w:hAnsi="Times New Roman" w:eastAsia="华文中宋" w:cs="Times New Roman"/>
          <w:b/>
          <w:bCs/>
          <w:sz w:val="36"/>
          <w:szCs w:val="36"/>
        </w:rPr>
        <w:t>第六届全国高等学校教师自制实验教学仪器设备</w:t>
      </w:r>
      <w:bookmarkEnd w:id="21"/>
    </w:p>
    <w:p>
      <w:pPr>
        <w:widowControl/>
        <w:spacing w:after="156" w:afterLines="50" w:line="520" w:lineRule="exact"/>
        <w:jc w:val="center"/>
        <w:rPr>
          <w:rFonts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创新大赛实施</w:t>
      </w:r>
      <w:bookmarkEnd w:id="0"/>
      <w:bookmarkEnd w:id="1"/>
      <w:bookmarkEnd w:id="2"/>
      <w:r>
        <w:rPr>
          <w:rFonts w:ascii="Times New Roman" w:hAnsi="Times New Roman" w:eastAsia="华文中宋" w:cs="Times New Roman"/>
          <w:b/>
          <w:bCs/>
          <w:sz w:val="36"/>
          <w:szCs w:val="36"/>
        </w:rPr>
        <w:t>细则</w:t>
      </w:r>
    </w:p>
    <w:p>
      <w:pPr>
        <w:spacing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val="zh-TW" w:bidi="zh-TW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val="zh-TW" w:eastAsia="zh-TW" w:bidi="zh-TW"/>
        </w:rPr>
      </w:pPr>
      <w:r>
        <w:rPr>
          <w:rFonts w:ascii="Times New Roman" w:hAnsi="Times New Roman" w:eastAsia="黑体" w:cs="Times New Roman"/>
          <w:sz w:val="32"/>
          <w:szCs w:val="32"/>
          <w:lang w:val="zh-TW" w:bidi="zh-TW"/>
        </w:rPr>
        <w:t>一、参赛</w:t>
      </w:r>
      <w:r>
        <w:rPr>
          <w:rFonts w:ascii="Times New Roman" w:hAnsi="Times New Roman" w:eastAsia="黑体" w:cs="Times New Roman"/>
          <w:sz w:val="32"/>
          <w:szCs w:val="32"/>
          <w:lang w:val="zh-TW" w:eastAsia="zh-TW" w:bidi="zh-TW"/>
        </w:rPr>
        <w:t>作品</w:t>
      </w:r>
      <w:r>
        <w:rPr>
          <w:rFonts w:ascii="Times New Roman" w:hAnsi="Times New Roman" w:eastAsia="黑体" w:cs="Times New Roman"/>
          <w:sz w:val="32"/>
          <w:szCs w:val="32"/>
          <w:lang w:val="zh-TW" w:bidi="zh-TW"/>
        </w:rPr>
        <w:t>相关</w:t>
      </w:r>
      <w:r>
        <w:rPr>
          <w:rFonts w:ascii="Times New Roman" w:hAnsi="Times New Roman" w:eastAsia="黑体" w:cs="Times New Roman"/>
          <w:sz w:val="32"/>
          <w:szCs w:val="32"/>
          <w:lang w:val="zh-TW" w:eastAsia="zh-TW" w:bidi="zh-TW"/>
        </w:rPr>
        <w:t>材料要求</w:t>
      </w:r>
    </w:p>
    <w:p>
      <w:pPr>
        <w:spacing w:line="560" w:lineRule="exact"/>
        <w:ind w:firstLine="640" w:firstLineChars="200"/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</w:pPr>
      <w:bookmarkStart w:id="3" w:name="bookmark28"/>
      <w:bookmarkEnd w:id="3"/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作品简介。包括完成单位、完成人、联系方式等基本信息，以及作品的作用、功能等简介，字数限2000字以内。</w:t>
      </w:r>
      <w:bookmarkStart w:id="4" w:name="bookmark29"/>
      <w:bookmarkEnd w:id="4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</w:pPr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主要性能及特色描述。依据评审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标准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所列的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评价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维度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及内容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进行简要介绍，字数限2000字以内。</w:t>
      </w:r>
      <w:bookmarkStart w:id="5" w:name="bookmark30"/>
      <w:bookmarkEnd w:id="5"/>
    </w:p>
    <w:p>
      <w:pPr>
        <w:spacing w:line="560" w:lineRule="exact"/>
        <w:ind w:firstLine="640" w:firstLineChars="200"/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</w:pPr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支撑材料。包括</w:t>
      </w:r>
      <w:r>
        <w:rPr>
          <w:rFonts w:ascii="Times New Roman" w:hAnsi="Times New Roman" w:eastAsia="仿宋_GB2312" w:cs="Times New Roman"/>
          <w:sz w:val="32"/>
          <w:szCs w:val="32"/>
          <w:lang w:bidi="en-US"/>
        </w:rPr>
        <w:t>3~5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张设备照片、教学应用证明（学校教务处盖章）、安全性论证（所在院系盖章）和学校推荐意见（学校实验室设备管理部门或教务处盖章）</w:t>
      </w:r>
      <w:bookmarkStart w:id="6" w:name="bookmark31"/>
      <w:bookmarkEnd w:id="6"/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4"/>
          <w:sz w:val="32"/>
          <w:szCs w:val="32"/>
          <w:lang w:val="zh-TW" w:eastAsia="zh-TW" w:bidi="zh-TW"/>
        </w:rPr>
      </w:pPr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视频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每个作品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需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提供视频支撑材料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，简要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介绍作品</w:t>
      </w:r>
      <w:r>
        <w:rPr>
          <w:rFonts w:ascii="Times New Roman" w:hAnsi="Times New Roman" w:eastAsia="仿宋_GB2312" w:cs="Times New Roman"/>
          <w:spacing w:val="-4"/>
          <w:sz w:val="32"/>
          <w:szCs w:val="32"/>
          <w:lang w:val="zh-TW" w:bidi="zh-TW"/>
        </w:rPr>
        <w:t>及其</w:t>
      </w:r>
      <w:r>
        <w:rPr>
          <w:rFonts w:ascii="Times New Roman" w:hAnsi="Times New Roman" w:eastAsia="仿宋_GB2312" w:cs="Times New Roman"/>
          <w:spacing w:val="-4"/>
          <w:sz w:val="32"/>
          <w:szCs w:val="32"/>
          <w:lang w:val="zh-TW" w:eastAsia="zh-TW" w:bidi="zh-TW"/>
        </w:rPr>
        <w:t>解决的教学问题、实验方案、实验步骤、实验结果评价等。</w:t>
      </w:r>
    </w:p>
    <w:p>
      <w:pPr>
        <w:spacing w:line="560" w:lineRule="exact"/>
        <w:ind w:firstLine="640" w:firstLineChars="200"/>
        <w:rPr>
          <w:rFonts w:ascii="Times New Roman" w:hAnsi="Times New Roman" w:eastAsia="PMingLiU" w:cs="Times New Roman"/>
          <w:sz w:val="32"/>
          <w:szCs w:val="32"/>
          <w:lang w:val="zh-TW"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视频要求：限定为</w:t>
      </w:r>
      <w:r>
        <w:rPr>
          <w:rFonts w:ascii="Times New Roman" w:hAnsi="Times New Roman" w:eastAsia="仿宋_GB2312" w:cs="Times New Roman"/>
          <w:sz w:val="32"/>
          <w:szCs w:val="32"/>
          <w:lang w:bidi="en-US"/>
        </w:rPr>
        <w:t>MP4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格式，时长不超过10分钟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文件大小不超过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en-US"/>
        </w:rPr>
        <w:t>500M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；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图像清晰稳定、构图合理、配音清楚、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含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中文字幕；片头以标题形式显示作品名称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标题时长不超过30秒。技术指标要求为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视频压缩采用</w:t>
      </w:r>
      <w:r>
        <w:rPr>
          <w:rFonts w:ascii="Times New Roman" w:hAnsi="Times New Roman" w:eastAsia="仿宋_GB2312" w:cs="Times New Roman"/>
          <w:sz w:val="32"/>
          <w:szCs w:val="32"/>
          <w:lang w:eastAsia="zh-TW" w:bidi="en-US"/>
        </w:rPr>
        <w:t>H.264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标准</w:t>
      </w:r>
      <w:r>
        <w:rPr>
          <w:rFonts w:ascii="Times New Roman" w:hAnsi="Times New Roman" w:eastAsia="仿宋_GB2312" w:cs="Times New Roman"/>
          <w:sz w:val="32"/>
          <w:szCs w:val="32"/>
          <w:lang w:eastAsia="zh-TW" w:bidi="en-US"/>
        </w:rPr>
        <w:t>（MPEG-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lang w:eastAsia="zh-TW" w:bidi="en-US"/>
        </w:rPr>
        <w:t>Part1</w:t>
      </w:r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0</w:t>
      </w:r>
      <w:r>
        <w:rPr>
          <w:rFonts w:ascii="Times New Roman" w:hAnsi="Times New Roman" w:eastAsia="等线" w:cs="Times New Roman"/>
          <w:sz w:val="32"/>
          <w:szCs w:val="32"/>
          <w:lang w:val="zh-TW" w:eastAsia="zh-TW" w:bidi="zh-TW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lang w:eastAsia="zh-TW" w:bidi="en-US"/>
        </w:rPr>
        <w:t>profile=main</w:t>
      </w:r>
      <w:r>
        <w:rPr>
          <w:rFonts w:ascii="Times New Roman" w:hAnsi="Times New Roman" w:eastAsia="仿宋_GB2312" w:cs="Times New Roman"/>
          <w:sz w:val="32"/>
          <w:szCs w:val="32"/>
          <w:lang w:bidi="en-US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eastAsia="zh-TW" w:bidi="en-US"/>
        </w:rPr>
        <w:t>level=3.0）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编码方式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，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TW" w:eastAsia="zh-TW" w:bidi="zh-TW"/>
        </w:rPr>
        <w:t>动态码流的最高码率不高于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eastAsia="zh-TW" w:bidi="en-US"/>
        </w:rPr>
        <w:t>2500kbps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bidi="en-US"/>
        </w:rPr>
        <w:t>，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TW" w:eastAsia="zh-TW" w:bidi="zh-TW"/>
        </w:rPr>
        <w:t>最低码率不低于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eastAsia="zh-TW" w:bidi="en-US"/>
        </w:rPr>
        <w:t>1024kbps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bidi="en-US"/>
        </w:rPr>
        <w:t>，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TW" w:eastAsia="zh-TW" w:bidi="zh-TW"/>
        </w:rPr>
        <w:t>帧率为25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eastAsia="zh-TW" w:bidi="en-US"/>
        </w:rPr>
        <w:t>fps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TW" w:bidi="zh-TW"/>
        </w:rPr>
        <w:t>，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TW" w:eastAsia="zh-TW" w:bidi="zh-TW"/>
        </w:rPr>
        <w:t>画面比例建议为16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CN" w:bidi="zh-CN"/>
        </w:rPr>
        <w:t>：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TW" w:eastAsia="zh-TW" w:bidi="zh-TW"/>
        </w:rPr>
        <w:t>9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TW" w:bidi="zh-TW"/>
        </w:rPr>
        <w:t>，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TW" w:eastAsia="zh-TW" w:bidi="zh-TW"/>
        </w:rPr>
        <w:t>分辨率不低于1024</w:t>
      </w:r>
      <w:r>
        <w:rPr>
          <w:rFonts w:ascii="Times New Roman" w:hAnsi="Times New Roman" w:eastAsia="PMingLiU" w:cs="Times New Roman"/>
          <w:spacing w:val="-6"/>
          <w:sz w:val="32"/>
          <w:szCs w:val="32"/>
          <w:lang w:val="zh-TW" w:eastAsia="zh-TW" w:bidi="zh-TW"/>
        </w:rPr>
        <w:t>×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TW" w:eastAsia="zh-TW" w:bidi="zh-TW"/>
        </w:rPr>
        <w:t>576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CN" w:eastAsia="zh-TW" w:bidi="zh-CN"/>
        </w:rPr>
        <w:t>（16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CN" w:bidi="zh-CN"/>
        </w:rPr>
        <w:t>：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CN" w:eastAsia="zh-TW" w:bidi="zh-CN"/>
        </w:rPr>
        <w:t>9）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TW" w:eastAsia="zh-TW" w:bidi="zh-TW"/>
        </w:rPr>
        <w:t>或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TW" w:eastAsia="zh-TW" w:bidi="en-US"/>
        </w:rPr>
        <w:t>720</w:t>
      </w:r>
      <w:r>
        <w:rPr>
          <w:rFonts w:ascii="Times New Roman" w:hAnsi="Times New Roman" w:eastAsia="PMingLiU" w:cs="Times New Roman"/>
          <w:spacing w:val="-6"/>
          <w:sz w:val="32"/>
          <w:szCs w:val="32"/>
          <w:lang w:val="zh-TW" w:eastAsia="zh-TW" w:bidi="zh-TW"/>
        </w:rPr>
        <w:t>×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TW" w:eastAsia="zh-TW" w:bidi="en-US"/>
        </w:rPr>
        <w:t>576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TW" w:eastAsia="zh-TW" w:bidi="zh-TW"/>
        </w:rPr>
        <w:t>（4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CN" w:bidi="zh-CN"/>
        </w:rPr>
        <w:t>：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TW" w:eastAsia="zh-TW" w:bidi="zh-TW"/>
        </w:rPr>
        <w:t>3）</w:t>
      </w:r>
      <w:r>
        <w:rPr>
          <w:rFonts w:ascii="Times New Roman" w:hAnsi="Times New Roman" w:eastAsia="仿宋_GB2312" w:cs="Times New Roman"/>
          <w:spacing w:val="-6"/>
          <w:sz w:val="32"/>
          <w:szCs w:val="32"/>
          <w:lang w:val="zh-TW" w:bidi="zh-TW"/>
        </w:rPr>
        <w:t>；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音频采样率为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en-US"/>
        </w:rPr>
        <w:t>48</w:t>
      </w:r>
      <w:r>
        <w:rPr>
          <w:rFonts w:ascii="Times New Roman" w:hAnsi="Times New Roman" w:eastAsia="PMingLiU" w:cs="Times New Roman"/>
          <w:sz w:val="32"/>
          <w:szCs w:val="32"/>
          <w:lang w:val="zh-TW" w:eastAsia="zh-TW" w:bidi="en-US"/>
        </w:rPr>
        <w:t>k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en-US"/>
        </w:rPr>
        <w:t>Hz</w:t>
      </w:r>
      <w:r>
        <w:rPr>
          <w:rFonts w:ascii="Times New Roman" w:hAnsi="Times New Roman" w:eastAsia="仿宋_GB2312" w:cs="Times New Roman"/>
          <w:sz w:val="32"/>
          <w:szCs w:val="32"/>
          <w:lang w:val="zh-TW" w:bidi="en-US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码流率1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en-US"/>
        </w:rPr>
        <w:t>28</w:t>
      </w:r>
      <w:r>
        <w:rPr>
          <w:rFonts w:ascii="Times New Roman" w:hAnsi="Times New Roman" w:eastAsia="PMingLiU" w:cs="Times New Roman"/>
          <w:sz w:val="32"/>
          <w:szCs w:val="32"/>
          <w:lang w:val="zh-TW" w:eastAsia="zh-TW" w:bidi="en-US"/>
        </w:rPr>
        <w:t>k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en-US"/>
        </w:rPr>
        <w:t>bp</w:t>
      </w:r>
      <w:r>
        <w:rPr>
          <w:rFonts w:ascii="Times New Roman" w:hAnsi="Times New Roman" w:eastAsia="PMingLiU" w:cs="Times New Roman"/>
          <w:sz w:val="32"/>
          <w:szCs w:val="32"/>
          <w:lang w:val="zh-TW" w:eastAsia="zh-TW" w:bidi="en-US"/>
        </w:rPr>
        <w:t>s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（恒定）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以上为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必须提供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的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材料，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也可提供其他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选择性支撑材料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，如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专利证书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获奖证书扫描件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及论文发表材料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等。</w:t>
      </w:r>
    </w:p>
    <w:p>
      <w:pPr>
        <w:spacing w:after="40" w:line="560" w:lineRule="exact"/>
        <w:ind w:firstLine="620"/>
        <w:rPr>
          <w:rFonts w:ascii="Times New Roman" w:hAnsi="Times New Roman" w:eastAsia="PMingLiU" w:cs="Times New Roman"/>
          <w:sz w:val="32"/>
          <w:szCs w:val="32"/>
          <w:lang w:val="zh-TW" w:bidi="zh-TW"/>
        </w:rPr>
      </w:pPr>
      <w:bookmarkStart w:id="7" w:name="bookmark32"/>
      <w:r>
        <w:rPr>
          <w:rFonts w:ascii="Times New Roman" w:hAnsi="Times New Roman" w:eastAsia="黑体" w:cs="Times New Roman"/>
          <w:sz w:val="32"/>
          <w:szCs w:val="32"/>
          <w:lang w:val="zh-TW" w:eastAsia="zh-TW" w:bidi="zh-TW"/>
        </w:rPr>
        <w:t>二</w:t>
      </w:r>
      <w:bookmarkEnd w:id="7"/>
      <w:r>
        <w:rPr>
          <w:rFonts w:ascii="Times New Roman" w:hAnsi="Times New Roman" w:eastAsia="黑体" w:cs="Times New Roman"/>
          <w:sz w:val="32"/>
          <w:szCs w:val="32"/>
          <w:lang w:val="zh-TW" w:eastAsia="zh-TW" w:bidi="zh-TW"/>
        </w:rPr>
        <w:t>、评审</w:t>
      </w:r>
      <w:r>
        <w:rPr>
          <w:rFonts w:ascii="Times New Roman" w:hAnsi="Times New Roman" w:eastAsia="黑体" w:cs="Times New Roman"/>
          <w:sz w:val="32"/>
          <w:szCs w:val="32"/>
          <w:lang w:val="zh-TW" w:bidi="zh-TW"/>
        </w:rPr>
        <w:t>标准</w:t>
      </w:r>
    </w:p>
    <w:p>
      <w:pPr>
        <w:spacing w:line="560" w:lineRule="exact"/>
        <w:ind w:firstLine="640" w:firstLineChars="200"/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</w:pPr>
      <w:bookmarkStart w:id="8" w:name="bookmark33"/>
      <w:bookmarkEnd w:id="8"/>
      <w:r>
        <w:rPr>
          <w:rFonts w:ascii="Times New Roman" w:hAnsi="Times New Roman" w:eastAsia="楷体_GB2312" w:cs="Times New Roman"/>
          <w:sz w:val="32"/>
          <w:szCs w:val="32"/>
          <w:lang w:val="zh-TW" w:bidi="zh-TW"/>
        </w:rPr>
        <w:t>（一）自由设计类</w:t>
      </w:r>
      <w:r>
        <w:rPr>
          <w:rFonts w:ascii="Times New Roman" w:hAnsi="Times New Roman" w:eastAsia="楷体_GB2312" w:cs="Times New Roman"/>
          <w:sz w:val="32"/>
          <w:szCs w:val="32"/>
          <w:lang w:val="zh-TW" w:eastAsia="zh-TW" w:bidi="zh-TW"/>
        </w:rPr>
        <w:t>评审标准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教学性（30分）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：紧密结合学科专业特点与人才培养需求，贴近教学实际，应用于课堂演示、实验教学等环节；满足本学科、本专业不同课程的教学要求，对改进教学方法能够起到促进作用；自制实验设备有与之配套的实验教材或指导书；教学仪器设备所示实验内容符合科学原理，能够体现科学知识和科学方法相统一的原则，有利于学习科学知识，树立科学意识，掌握科学方法和实验操作技能；</w:t>
      </w:r>
      <w:bookmarkStart w:id="9" w:name="bookmark34"/>
      <w:bookmarkEnd w:id="9"/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有利于推进素质教育，培养创新精神和实践能力。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bidi="zh-TW"/>
        </w:rPr>
      </w:pPr>
      <w:bookmarkStart w:id="10" w:name="bookmark35"/>
      <w:bookmarkEnd w:id="10"/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创新性（</w:t>
      </w:r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30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分）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：内容精彩，设计新颖，构思巧妙，体现新的教学实验方式、方法和内容；在应用新技术、新材料、新工艺方面有创新和发展；在信息技术与传统实验的融合方面有所创意，国内无同类设备或比同类设备更为先进、通用性更强</w:t>
      </w:r>
      <w:bookmarkStart w:id="11" w:name="bookmark36"/>
      <w:bookmarkEnd w:id="11"/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</w:pPr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3</w:t>
      </w:r>
      <w:bookmarkStart w:id="12" w:name="bookmark37"/>
      <w:bookmarkEnd w:id="12"/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实用性（20分）</w:t>
      </w:r>
      <w:r>
        <w:rPr>
          <w:rFonts w:ascii="Times New Roman" w:hAnsi="Times New Roman" w:eastAsia="仿宋_GB2312" w:cs="Times New Roman"/>
          <w:sz w:val="32"/>
          <w:szCs w:val="32"/>
          <w:lang w:val="zh-CN" w:bidi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易于操作、性能稳定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；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通用性好、安全可靠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；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价格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合理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、便于推广；满足认识性、启发性、综合性等实验教学环节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中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学生动手能力的训练要求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val="zh-TW" w:bidi="zh-TW"/>
        </w:rPr>
      </w:pPr>
      <w:r>
        <w:rPr>
          <w:rFonts w:ascii="Times New Roman" w:hAnsi="Times New Roman" w:eastAsia="等线" w:cs="Times New Roman"/>
          <w:sz w:val="32"/>
          <w:szCs w:val="32"/>
          <w:lang w:val="zh-TW" w:bidi="zh-TW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先进性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20分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lang w:val="zh-CN" w:bidi="zh-CN"/>
        </w:rPr>
        <w:t>：可直观地对某一理论或现象进行演示、验证；能够激发学生学习兴趣和深入思考，有利于学生主动参与、加强互动及合作交流。</w:t>
      </w:r>
    </w:p>
    <w:p>
      <w:pPr>
        <w:spacing w:line="560" w:lineRule="exact"/>
        <w:ind w:firstLine="640" w:firstLineChars="200"/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</w:pPr>
      <w:r>
        <w:rPr>
          <w:rFonts w:ascii="Times New Roman" w:hAnsi="Times New Roman" w:eastAsia="楷体_GB2312" w:cs="Times New Roman"/>
          <w:sz w:val="32"/>
          <w:szCs w:val="32"/>
          <w:lang w:val="zh-TW" w:bidi="zh-TW"/>
        </w:rPr>
        <w:t>（二）路演</w:t>
      </w:r>
      <w:r>
        <w:rPr>
          <w:rFonts w:ascii="Times New Roman" w:hAnsi="Times New Roman" w:eastAsia="楷体_GB2312" w:cs="Times New Roman"/>
          <w:sz w:val="32"/>
          <w:szCs w:val="32"/>
          <w:lang w:val="zh-TW" w:eastAsia="zh-TW" w:bidi="zh-TW"/>
        </w:rPr>
        <w:t>评审标准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教学性（</w:t>
      </w:r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25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分）</w:t>
      </w: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：紧密结合学科专业特点与人才培养需求，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贴近教学实际，适合应用于课堂演示、实验教学等环节；能够有效激发学生的学习兴趣和深入思考。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-4"/>
          <w:sz w:val="32"/>
          <w:szCs w:val="32"/>
          <w:lang w:val="zh-TW" w:bidi="zh-TW"/>
        </w:rPr>
      </w:pPr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创新性（</w:t>
      </w:r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25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分）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：内容精彩，设计新颖，构思巧妙，</w:t>
      </w:r>
      <w:r>
        <w:rPr>
          <w:rFonts w:ascii="Times New Roman" w:hAnsi="Times New Roman" w:eastAsia="仿宋_GB2312" w:cs="Times New Roman"/>
          <w:spacing w:val="-4"/>
          <w:sz w:val="32"/>
          <w:szCs w:val="32"/>
          <w:lang w:val="zh-TW" w:bidi="zh-TW"/>
        </w:rPr>
        <w:t>体现新的实验方式、方法和内容；外观设计美观并具有吸引力。</w:t>
      </w:r>
    </w:p>
    <w:p>
      <w:pPr>
        <w:spacing w:line="560" w:lineRule="exact"/>
        <w:ind w:firstLine="640" w:firstLineChars="200"/>
        <w:rPr>
          <w:rFonts w:ascii="Times New Roman" w:hAnsi="Times New Roman" w:eastAsia="PMingLiU" w:cs="Times New Roman"/>
          <w:sz w:val="32"/>
          <w:szCs w:val="32"/>
          <w:lang w:val="zh-TW" w:bidi="zh-TW"/>
        </w:rPr>
      </w:pPr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产业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性（</w:t>
      </w:r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25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分）</w:t>
      </w:r>
      <w:r>
        <w:rPr>
          <w:rFonts w:ascii="Times New Roman" w:hAnsi="Times New Roman" w:eastAsia="仿宋_GB2312" w:cs="Times New Roman"/>
          <w:sz w:val="32"/>
          <w:szCs w:val="32"/>
          <w:lang w:val="zh-CN" w:bidi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技术成熟，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具备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进行成果转化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和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进入市场的可行性，在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已有类似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商品中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具有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竞争力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；易于操作、性能稳定、安全可靠，价格合理、通用性好、便于推广。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CN" w:bidi="zh-CN"/>
        </w:rPr>
      </w:pPr>
      <w:r>
        <w:rPr>
          <w:rFonts w:ascii="Times New Roman" w:hAnsi="Times New Roman" w:eastAsia="等线" w:cs="Times New Roman"/>
          <w:sz w:val="32"/>
          <w:szCs w:val="32"/>
          <w:lang w:val="zh-TW" w:bidi="zh-TW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投资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性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（</w:t>
      </w:r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25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分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lang w:val="zh-CN" w:bidi="zh-CN"/>
        </w:rPr>
        <w:t>：具有获得投资的可能性以及投资回报周期的合理性。</w:t>
      </w:r>
    </w:p>
    <w:p>
      <w:pPr>
        <w:spacing w:line="560" w:lineRule="exact"/>
        <w:ind w:firstLine="640" w:firstLineChars="200"/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</w:pPr>
      <w:r>
        <w:rPr>
          <w:rFonts w:ascii="Times New Roman" w:hAnsi="Times New Roman" w:eastAsia="楷体_GB2312" w:cs="Times New Roman"/>
          <w:sz w:val="32"/>
          <w:szCs w:val="32"/>
          <w:lang w:val="zh-TW" w:bidi="zh-TW"/>
        </w:rPr>
        <w:t>（三）企业命题类</w:t>
      </w:r>
      <w:r>
        <w:rPr>
          <w:rFonts w:ascii="Times New Roman" w:hAnsi="Times New Roman" w:eastAsia="楷体_GB2312" w:cs="Times New Roman"/>
          <w:sz w:val="32"/>
          <w:szCs w:val="32"/>
          <w:lang w:val="zh-TW" w:eastAsia="zh-TW" w:bidi="zh-TW"/>
        </w:rPr>
        <w:t>评审标准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详见附件2、3的赛项说明。</w:t>
      </w:r>
    </w:p>
    <w:p>
      <w:pPr>
        <w:spacing w:line="560" w:lineRule="exact"/>
        <w:ind w:firstLine="640" w:firstLineChars="200"/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</w:pPr>
      <w:bookmarkStart w:id="13" w:name="bookmark38"/>
      <w:r>
        <w:rPr>
          <w:rFonts w:ascii="Times New Roman" w:hAnsi="Times New Roman" w:eastAsia="黑体" w:cs="Times New Roman"/>
          <w:sz w:val="32"/>
          <w:szCs w:val="32"/>
          <w:lang w:val="zh-TW" w:eastAsia="zh-TW" w:bidi="zh-TW"/>
        </w:rPr>
        <w:t>三</w:t>
      </w:r>
      <w:bookmarkEnd w:id="13"/>
      <w:r>
        <w:rPr>
          <w:rFonts w:ascii="Times New Roman" w:hAnsi="Times New Roman" w:eastAsia="黑体" w:cs="Times New Roman"/>
          <w:sz w:val="32"/>
          <w:szCs w:val="32"/>
          <w:lang w:val="zh-TW" w:eastAsia="zh-TW" w:bidi="zh-TW"/>
        </w:rPr>
        <w:t>、</w:t>
      </w:r>
      <w:r>
        <w:rPr>
          <w:rFonts w:ascii="Times New Roman" w:hAnsi="Times New Roman" w:eastAsia="黑体" w:cs="Times New Roman"/>
          <w:sz w:val="32"/>
          <w:szCs w:val="32"/>
          <w:lang w:val="zh-TW" w:bidi="zh-TW"/>
        </w:rPr>
        <w:t>大赛流程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bidi="zh-TW"/>
        </w:rPr>
      </w:pPr>
      <w:bookmarkStart w:id="14" w:name="bookmark39"/>
      <w:bookmarkEnd w:id="14"/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初赛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全部参赛作品通过网上申报，进入网上初赛环节。网上初赛按自由设计类赛项和企业命题类赛项分别进行。按参加网上初赛作品总数40％左右的比例，遴选优秀作品进入现场决赛环节。</w:t>
      </w:r>
    </w:p>
    <w:p>
      <w:pPr>
        <w:spacing w:line="560" w:lineRule="exact"/>
        <w:ind w:firstLine="640" w:firstLineChars="200"/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网上初赛遴选出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的作品名单将在中国高等教育学会网站公示，公示期为</w:t>
      </w:r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7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天。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公示期间若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经查明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，发现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确有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作品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弄虚作假或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参赛者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不符合条件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的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将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取消其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参加决赛的资格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</w:pPr>
      <w:bookmarkStart w:id="15" w:name="bookmark40"/>
      <w:bookmarkEnd w:id="15"/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决赛</w:t>
      </w:r>
    </w:p>
    <w:p>
      <w:pPr>
        <w:spacing w:line="560" w:lineRule="exact"/>
        <w:ind w:firstLine="640" w:firstLineChars="200"/>
        <w:rPr>
          <w:rFonts w:ascii="Times New Roman" w:hAnsi="Times New Roman" w:eastAsia="PMingLiU" w:cs="Times New Roman"/>
          <w:sz w:val="32"/>
          <w:szCs w:val="32"/>
          <w:lang w:val="zh-TW"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网上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初赛遴选出的优秀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作品自愿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报名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参加现场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决赛，现场决赛亦采取网上报名方式，作品联系人需在线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填写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作品尺寸、所需展位个数、展位负责人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、参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赛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人员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数量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等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信息。作品展示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不收取展位费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，报名后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因故不能参加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现场展示的将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视为自动放弃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现场决赛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资格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现场决赛将在中国高等教育博览会（20</w:t>
      </w:r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21·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春）期间举办（具体安排另行通知）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现场决赛按</w:t>
      </w:r>
      <w:r>
        <w:rPr>
          <w:rFonts w:ascii="Times New Roman" w:hAnsi="Times New Roman" w:eastAsia="仿宋_GB2312" w:cs="Times New Roman"/>
          <w:sz w:val="32"/>
          <w:szCs w:val="32"/>
          <w:lang w:eastAsia="zh-TW" w:bidi="zh-TW"/>
        </w:rPr>
        <w:t>自</w:t>
      </w: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由</w:t>
      </w:r>
      <w:r>
        <w:rPr>
          <w:rFonts w:ascii="Times New Roman" w:hAnsi="Times New Roman" w:eastAsia="仿宋_GB2312" w:cs="Times New Roman"/>
          <w:sz w:val="32"/>
          <w:szCs w:val="32"/>
          <w:lang w:eastAsia="zh-TW" w:bidi="zh-TW"/>
        </w:rPr>
        <w:t>设计类和企业命题类</w:t>
      </w: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分别</w:t>
      </w:r>
      <w:r>
        <w:rPr>
          <w:rFonts w:ascii="Times New Roman" w:hAnsi="Times New Roman" w:eastAsia="仿宋_GB2312" w:cs="Times New Roman"/>
          <w:sz w:val="32"/>
          <w:szCs w:val="32"/>
          <w:lang w:eastAsia="zh-TW" w:bidi="zh-TW"/>
        </w:rPr>
        <w:t>进行</w:t>
      </w: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，参赛教师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需准备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作品简介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和相应的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演示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文档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（格式统一要求为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PowerPoint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），由参赛教师现场介绍作品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不超过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3分钟）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并答辩。</w:t>
      </w:r>
    </w:p>
    <w:p>
      <w:pPr>
        <w:spacing w:line="560" w:lineRule="exact"/>
        <w:ind w:firstLine="640" w:firstLineChars="200"/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路演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路演与决赛同期进行。参赛教师在提交现场决赛报名申请时，可同时报名参加路演，参加路演的作品需提交《商业路演计划书》和《自主知识产权承诺书》。路演评审更侧重作品市场转化的可能性，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评审委员会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成员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由行业专家、投资机构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专家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等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担任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路演现场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需准备参赛作品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简介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和相应的演示文档（格式统一要求为PowerPoint）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，由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参赛教师介绍作品（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不超过</w:t>
      </w:r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分钟）并答辩。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val="zh-TW" w:eastAsia="zh-TW" w:bidi="zh-TW"/>
        </w:rPr>
      </w:pPr>
      <w:r>
        <w:rPr>
          <w:rFonts w:ascii="Times New Roman" w:hAnsi="Times New Roman" w:eastAsia="黑体" w:cs="Times New Roman"/>
          <w:sz w:val="32"/>
          <w:szCs w:val="32"/>
          <w:lang w:val="zh-TW" w:eastAsia="zh-TW" w:bidi="zh-TW"/>
        </w:rPr>
        <w:t>奖项设置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大赛设自由设计类奖、企业命题类奖、路演奖和团体奖四类奖项。其中自由设计类奖只针对参加自由设计类赛项评选的作品，企业命题类奖只针对参加企业命题类赛项评选的作品，两个类别的获奖作品均可参加路演奖和团体奖的评选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bidi="zh-TW"/>
        </w:rPr>
      </w:pPr>
      <w:r>
        <w:rPr>
          <w:rFonts w:ascii="Times New Roman" w:hAnsi="Times New Roman" w:eastAsia="楷体_GB2312" w:cs="Times New Roman"/>
          <w:sz w:val="32"/>
          <w:szCs w:val="32"/>
          <w:lang w:bidi="zh-TW"/>
        </w:rPr>
        <w:t>（一）自由设计类奖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设特等奖1个（奖金10万元人民币及获奖证书，可空缺）、一等奖12个（奖金1万元人民币及获奖证书）、二等奖40个（奖金3</w:t>
      </w:r>
      <w:r>
        <w:rPr>
          <w:rFonts w:hint="eastAsia" w:ascii="Times New Roman" w:hAnsi="Times New Roman" w:eastAsia="仿宋_GB2312" w:cs="Times New Roman"/>
          <w:sz w:val="32"/>
          <w:szCs w:val="32"/>
          <w:lang w:bidi="zh-TW"/>
        </w:rPr>
        <w:t>千</w:t>
      </w: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元人民币及获奖证书）、三等奖若干（获奖证书）。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bidi="zh-TW"/>
        </w:rPr>
      </w:pPr>
      <w:r>
        <w:rPr>
          <w:rFonts w:ascii="Times New Roman" w:hAnsi="Times New Roman" w:eastAsia="楷体_GB2312" w:cs="Times New Roman"/>
          <w:sz w:val="32"/>
          <w:szCs w:val="32"/>
          <w:lang w:bidi="zh-TW"/>
        </w:rPr>
        <w:t>（二）企业命题类奖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两个赛项中的每个赛项均设一等奖1个、二等奖3个、三等奖若干（≤10个）。（具体奖励详见附件2、3）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bidi="zh-TW"/>
        </w:rPr>
      </w:pPr>
      <w:r>
        <w:rPr>
          <w:rFonts w:ascii="Times New Roman" w:hAnsi="Times New Roman" w:eastAsia="楷体_GB2312" w:cs="Times New Roman"/>
          <w:sz w:val="32"/>
          <w:szCs w:val="32"/>
          <w:lang w:bidi="zh-TW"/>
        </w:rPr>
        <w:t>（三）路演奖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设金奖1个（奖金1万元人民币及获奖证书）、银奖3个（奖金5</w:t>
      </w:r>
      <w:r>
        <w:rPr>
          <w:rFonts w:hint="eastAsia" w:ascii="Times New Roman" w:hAnsi="Times New Roman" w:eastAsia="仿宋_GB2312" w:cs="Times New Roman"/>
          <w:sz w:val="32"/>
          <w:szCs w:val="32"/>
          <w:lang w:bidi="zh-TW"/>
        </w:rPr>
        <w:t>千</w:t>
      </w: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元人民币及获奖证书）、铜奖5个（奖金2</w:t>
      </w:r>
      <w:r>
        <w:rPr>
          <w:rFonts w:hint="eastAsia" w:ascii="Times New Roman" w:hAnsi="Times New Roman" w:eastAsia="仿宋_GB2312" w:cs="Times New Roman"/>
          <w:sz w:val="32"/>
          <w:szCs w:val="32"/>
          <w:lang w:bidi="zh-TW"/>
        </w:rPr>
        <w:t>千</w:t>
      </w: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元人民币及获奖证书）。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  <w:lang w:bidi="zh-TW"/>
        </w:rPr>
      </w:pPr>
      <w:r>
        <w:rPr>
          <w:rFonts w:ascii="Times New Roman" w:hAnsi="Times New Roman" w:eastAsia="楷体_GB2312" w:cs="Times New Roman"/>
          <w:sz w:val="32"/>
          <w:szCs w:val="32"/>
          <w:lang w:bidi="zh-TW"/>
        </w:rPr>
        <w:t>（四）团体奖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团体奖采用积分制排序，按参赛高校获奖作品等级积分从高到低排序，取前15名。同一作品获不同奖项的，取最高分，不累计计分。具体计分方法如下：</w:t>
      </w:r>
    </w:p>
    <w:p>
      <w:pPr>
        <w:spacing w:line="560" w:lineRule="exact"/>
        <w:ind w:left="2870" w:leftChars="300" w:hanging="2240" w:hangingChars="700"/>
        <w:rPr>
          <w:rFonts w:ascii="Times New Roman" w:hAnsi="Times New Roman" w:eastAsia="仿宋_GB2312" w:cs="Times New Roman"/>
          <w:sz w:val="32"/>
          <w:szCs w:val="32"/>
          <w:lang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自由设计类奖：</w:t>
      </w:r>
      <w:r>
        <w:rPr>
          <w:rFonts w:ascii="Times New Roman" w:hAnsi="Times New Roman" w:eastAsia="仿宋_GB2312" w:cs="Times New Roman"/>
          <w:spacing w:val="-14"/>
          <w:sz w:val="32"/>
          <w:szCs w:val="32"/>
          <w:lang w:bidi="zh-TW"/>
        </w:rPr>
        <w:t>特等奖10分、一等奖5分、二等奖3分、</w:t>
      </w: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三等奖1分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企业命题类奖：一等奖5分、二等奖3分、三等奖1分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zh-TW"/>
        </w:rPr>
      </w:pPr>
      <w:r>
        <w:rPr>
          <w:rFonts w:ascii="Times New Roman" w:hAnsi="Times New Roman" w:eastAsia="仿宋_GB2312" w:cs="Times New Roman"/>
          <w:sz w:val="32"/>
          <w:szCs w:val="32"/>
          <w:lang w:bidi="zh-TW"/>
        </w:rPr>
        <w:t>路   演   奖：金奖5分、银奖3分、铜奖1分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lang w:val="zh-TW" w:eastAsia="zh-TW" w:bidi="zh-TW"/>
        </w:rPr>
      </w:pPr>
      <w:r>
        <w:rPr>
          <w:rFonts w:ascii="Times New Roman" w:hAnsi="Times New Roman" w:eastAsia="黑体" w:cs="Times New Roman"/>
          <w:sz w:val="32"/>
          <w:szCs w:val="32"/>
          <w:lang w:val="zh-TW" w:eastAsia="zh-TW" w:bidi="zh-TW"/>
        </w:rPr>
        <w:t>其他事项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</w:pPr>
      <w:bookmarkStart w:id="16" w:name="bookmark42"/>
      <w:bookmarkEnd w:id="16"/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请各高校认真做好组织推荐工作，应用证明和推荐意见等材料需加盖公章后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扫描上传。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</w:pPr>
      <w:bookmarkStart w:id="17" w:name="bookmark43"/>
      <w:bookmarkEnd w:id="17"/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中国高等教育博览会期间，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将举行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获奖作品颁奖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仪式，并于赛后发放相应奖金。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大赛优秀作品将同时进行线上、线下集中展示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并通过大赛合作媒体对外发布和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宣传推广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活动期间设有自由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交流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环节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以自制实验教学仪器设备促进校际交流、促进高校优质实验教学资源共享，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推动自制实验教学仪器设备产品的成果转化。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18" w:name="bookmark45"/>
      <w:bookmarkEnd w:id="18"/>
      <w:bookmarkStart w:id="19" w:name="bookmark44"/>
      <w:bookmarkEnd w:id="19"/>
      <w:r>
        <w:rPr>
          <w:rFonts w:ascii="Times New Roman" w:hAnsi="Times New Roman" w:eastAsia="PMingLiU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．参赛者应保证作品及论文的原创性，不得抄袭、剽窃他人作品，保证不侵犯任何第三方知识产权或其他权利。如产生侵权行为或涉及知识产权纠纷，由申报者自行承担相应责任。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</w:pPr>
      <w:r>
        <w:rPr>
          <w:rFonts w:ascii="Times New Roman" w:hAnsi="Times New Roman" w:eastAsia="PMingLiU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大赛组委会拥有获奖作品的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宣传推广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权利，包括但不限于如下途径：获奖作品的非商业性使用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、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所有参赛作品的线上及线下出版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和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展出权。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</w:pPr>
      <w:bookmarkStart w:id="20" w:name="bookmark46"/>
      <w:bookmarkEnd w:id="20"/>
      <w:r>
        <w:rPr>
          <w:rFonts w:ascii="Times New Roman" w:hAnsi="Times New Roman" w:eastAsia="PMingLiU" w:cs="Times New Roman"/>
          <w:sz w:val="32"/>
          <w:szCs w:val="32"/>
          <w:lang w:val="zh-TW" w:eastAsia="zh-TW" w:bidi="zh-TW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组委会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将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为获得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路演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金奖、银奖、铜奖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的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作品</w:t>
      </w:r>
      <w:r>
        <w:rPr>
          <w:rFonts w:ascii="Times New Roman" w:hAnsi="Times New Roman" w:eastAsia="仿宋_GB2312" w:cs="Times New Roman"/>
          <w:sz w:val="32"/>
          <w:szCs w:val="32"/>
          <w:lang w:val="zh-TW" w:bidi="zh-TW"/>
        </w:rPr>
        <w:t>及企业命题类赛项获奖作品</w:t>
      </w:r>
      <w:r>
        <w:rPr>
          <w:rFonts w:ascii="Times New Roman" w:hAnsi="Times New Roman" w:eastAsia="仿宋_GB2312" w:cs="Times New Roman"/>
          <w:sz w:val="32"/>
          <w:szCs w:val="32"/>
          <w:lang w:val="zh-TW" w:eastAsia="zh-TW" w:bidi="zh-TW"/>
        </w:rPr>
        <w:t>提供后续成果转化对接服务，为参赛方办理技术转让等事宜提供支持。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4F301"/>
    <w:multiLevelType w:val="singleLevel"/>
    <w:tmpl w:val="6FA4F3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937E6"/>
    <w:rsid w:val="02B9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2020-09-24T08:51:00Z</dcterms:created>
  <dc:creator>文静</dc:creator>
  <cp:lastModifiedBy>文静</cp:lastModifiedBy>
  <dcterms:modified xsi:type="dcterms:W3CDTF">2020-09-24T08:54:18Z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