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371"/>
          <w:tab w:val="left" w:pos="7513"/>
        </w:tabs>
        <w:spacing w:line="54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附件3：</w:t>
      </w:r>
    </w:p>
    <w:p>
      <w:pPr>
        <w:spacing w:line="540" w:lineRule="exact"/>
        <w:rPr>
          <w:rFonts w:ascii="Times New Roman" w:hAnsi="Times New Roman" w:eastAsia="仿宋_GB2312" w:cs="Times New Roman"/>
          <w:sz w:val="32"/>
          <w:szCs w:val="32"/>
        </w:rPr>
      </w:pPr>
    </w:p>
    <w:p>
      <w:pPr>
        <w:adjustRightInd w:val="0"/>
        <w:snapToGrid w:val="0"/>
        <w:spacing w:line="560" w:lineRule="exact"/>
        <w:jc w:val="center"/>
        <w:rPr>
          <w:rFonts w:ascii="Times New Roman" w:hAnsi="Times New Roman" w:eastAsia="华文中宋" w:cs="Times New Roman"/>
          <w:b/>
          <w:bCs/>
          <w:kern w:val="0"/>
          <w:sz w:val="36"/>
          <w:szCs w:val="36"/>
          <w:lang w:bidi="en-US"/>
        </w:rPr>
      </w:pPr>
      <w:r>
        <w:rPr>
          <w:rFonts w:ascii="Times New Roman" w:hAnsi="Times New Roman" w:eastAsia="华文中宋" w:cs="Times New Roman"/>
          <w:b/>
          <w:bCs/>
          <w:kern w:val="0"/>
          <w:sz w:val="36"/>
          <w:szCs w:val="36"/>
          <w:lang w:bidi="en-US"/>
        </w:rPr>
        <w:t>第六届全国高等学校教师自制实验教学仪器设备</w:t>
      </w:r>
    </w:p>
    <w:p>
      <w:pPr>
        <w:adjustRightInd w:val="0"/>
        <w:snapToGrid w:val="0"/>
        <w:spacing w:line="560" w:lineRule="exact"/>
        <w:jc w:val="center"/>
        <w:rPr>
          <w:rFonts w:ascii="Times New Roman" w:hAnsi="Times New Roman" w:eastAsia="华文中宋" w:cs="Times New Roman"/>
          <w:b/>
          <w:bCs/>
          <w:kern w:val="0"/>
          <w:sz w:val="36"/>
          <w:szCs w:val="36"/>
          <w:lang w:bidi="en-US"/>
        </w:rPr>
      </w:pPr>
      <w:r>
        <w:rPr>
          <w:rFonts w:ascii="Times New Roman" w:hAnsi="Times New Roman" w:eastAsia="华文中宋" w:cs="Times New Roman"/>
          <w:b/>
          <w:bCs/>
          <w:kern w:val="0"/>
          <w:sz w:val="36"/>
          <w:szCs w:val="36"/>
          <w:lang w:bidi="en-US"/>
        </w:rPr>
        <w:t>创新大赛“虚拟仿真实验教学软件设计与研发”</w:t>
      </w:r>
    </w:p>
    <w:p>
      <w:pPr>
        <w:adjustRightInd w:val="0"/>
        <w:snapToGrid w:val="0"/>
        <w:spacing w:after="156" w:afterLines="50" w:line="560" w:lineRule="exact"/>
        <w:jc w:val="center"/>
        <w:rPr>
          <w:rFonts w:ascii="Times New Roman" w:hAnsi="Times New Roman" w:eastAsia="华文中宋" w:cs="Times New Roman"/>
          <w:b/>
          <w:bCs/>
          <w:kern w:val="0"/>
          <w:sz w:val="36"/>
          <w:szCs w:val="36"/>
          <w:lang w:bidi="en-US"/>
        </w:rPr>
      </w:pPr>
      <w:r>
        <w:rPr>
          <w:rFonts w:ascii="Times New Roman" w:hAnsi="Times New Roman" w:eastAsia="华文中宋" w:cs="Times New Roman"/>
          <w:b/>
          <w:bCs/>
          <w:kern w:val="0"/>
          <w:sz w:val="36"/>
          <w:szCs w:val="36"/>
          <w:lang w:bidi="en-US"/>
        </w:rPr>
        <w:t>赛项说明</w:t>
      </w:r>
    </w:p>
    <w:p>
      <w:pPr>
        <w:adjustRightInd w:val="0"/>
        <w:snapToGrid w:val="0"/>
        <w:spacing w:after="156" w:afterLines="50" w:line="580" w:lineRule="exact"/>
        <w:jc w:val="center"/>
        <w:rPr>
          <w:rFonts w:ascii="Times New Roman" w:hAnsi="Times New Roman" w:eastAsia="华文中宋" w:cs="Times New Roman"/>
          <w:b/>
          <w:bCs/>
          <w:kern w:val="0"/>
          <w:sz w:val="36"/>
          <w:szCs w:val="36"/>
          <w:lang w:bidi="en-US"/>
        </w:rPr>
      </w:pPr>
    </w:p>
    <w:p>
      <w:pPr>
        <w:numPr>
          <w:ilvl w:val="0"/>
          <w:numId w:val="1"/>
        </w:numPr>
        <w:adjustRightInd w:val="0"/>
        <w:snapToGrid w:val="0"/>
        <w:spacing w:before="156" w:beforeLines="50" w:line="520" w:lineRule="exact"/>
        <w:ind w:firstLine="640" w:firstLineChars="200"/>
        <w:jc w:val="left"/>
        <w:rPr>
          <w:rFonts w:ascii="Times New Roman" w:hAnsi="Times New Roman" w:eastAsia="黑体" w:cs="Times New Roman"/>
          <w:kern w:val="0"/>
          <w:sz w:val="32"/>
          <w:szCs w:val="32"/>
          <w:lang w:eastAsia="en-US" w:bidi="en-US"/>
        </w:rPr>
      </w:pPr>
      <w:r>
        <w:rPr>
          <w:rFonts w:ascii="Times New Roman" w:hAnsi="Times New Roman" w:eastAsia="黑体" w:cs="Times New Roman"/>
          <w:kern w:val="0"/>
          <w:sz w:val="32"/>
          <w:szCs w:val="32"/>
          <w:lang w:eastAsia="en-US" w:bidi="en-US"/>
        </w:rPr>
        <w:t>赛项名称</w:t>
      </w:r>
      <w:r>
        <w:rPr>
          <w:rFonts w:ascii="Times New Roman" w:hAnsi="Times New Roman" w:eastAsia="黑体" w:cs="Times New Roman"/>
          <w:kern w:val="0"/>
          <w:sz w:val="32"/>
          <w:szCs w:val="32"/>
          <w:lang w:bidi="en-US"/>
        </w:rPr>
        <w:t>与属性</w:t>
      </w:r>
    </w:p>
    <w:p>
      <w:pPr>
        <w:adjustRightInd w:val="0"/>
        <w:snapToGrid w:val="0"/>
        <w:spacing w:line="520" w:lineRule="exact"/>
        <w:ind w:firstLine="560"/>
        <w:jc w:val="left"/>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1．赛项名称：虚拟仿真实验教学软件设计与研发</w:t>
      </w:r>
    </w:p>
    <w:p>
      <w:pPr>
        <w:adjustRightInd w:val="0"/>
        <w:snapToGrid w:val="0"/>
        <w:spacing w:line="520" w:lineRule="exact"/>
        <w:ind w:firstLine="560"/>
        <w:jc w:val="left"/>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2．赛项属性：本赛项属于第六届全国高等学校教师自制实验教学仪器设备创新大赛企业命题类创新实践组。</w:t>
      </w:r>
    </w:p>
    <w:p>
      <w:pPr>
        <w:numPr>
          <w:ilvl w:val="0"/>
          <w:numId w:val="1"/>
        </w:numPr>
        <w:adjustRightInd w:val="0"/>
        <w:snapToGrid w:val="0"/>
        <w:spacing w:line="520" w:lineRule="exact"/>
        <w:ind w:firstLine="640" w:firstLineChars="200"/>
        <w:jc w:val="left"/>
        <w:rPr>
          <w:rFonts w:ascii="Times New Roman" w:hAnsi="Times New Roman" w:eastAsia="黑体" w:cs="Times New Roman"/>
          <w:kern w:val="0"/>
          <w:sz w:val="32"/>
          <w:szCs w:val="32"/>
          <w:lang w:eastAsia="en-US" w:bidi="en-US"/>
        </w:rPr>
      </w:pPr>
      <w:r>
        <w:rPr>
          <w:rFonts w:ascii="Times New Roman" w:hAnsi="Times New Roman" w:eastAsia="黑体" w:cs="Times New Roman"/>
          <w:kern w:val="0"/>
          <w:sz w:val="32"/>
          <w:szCs w:val="32"/>
          <w:lang w:bidi="en-US"/>
        </w:rPr>
        <w:t>承办</w:t>
      </w:r>
      <w:r>
        <w:rPr>
          <w:rFonts w:ascii="Times New Roman" w:hAnsi="Times New Roman" w:eastAsia="黑体" w:cs="Times New Roman"/>
          <w:kern w:val="0"/>
          <w:sz w:val="32"/>
          <w:szCs w:val="32"/>
          <w:lang w:eastAsia="en-US" w:bidi="en-US"/>
        </w:rPr>
        <w:t>单位</w:t>
      </w:r>
    </w:p>
    <w:p>
      <w:pPr>
        <w:adjustRightInd w:val="0"/>
        <w:snapToGrid w:val="0"/>
        <w:spacing w:line="520" w:lineRule="exact"/>
        <w:ind w:left="600"/>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北京润尼尔网络科技有限公司</w:t>
      </w:r>
    </w:p>
    <w:p>
      <w:pPr>
        <w:numPr>
          <w:ilvl w:val="0"/>
          <w:numId w:val="1"/>
        </w:numPr>
        <w:adjustRightInd w:val="0"/>
        <w:snapToGrid w:val="0"/>
        <w:spacing w:line="520" w:lineRule="exact"/>
        <w:ind w:firstLine="640" w:firstLineChars="200"/>
        <w:jc w:val="left"/>
        <w:rPr>
          <w:rFonts w:ascii="Times New Roman" w:hAnsi="Times New Roman" w:eastAsia="黑体" w:cs="Times New Roman"/>
          <w:kern w:val="0"/>
          <w:sz w:val="32"/>
          <w:szCs w:val="32"/>
          <w:lang w:eastAsia="en-US" w:bidi="en-US"/>
        </w:rPr>
      </w:pPr>
      <w:r>
        <w:rPr>
          <w:rFonts w:ascii="Times New Roman" w:hAnsi="Times New Roman" w:eastAsia="黑体" w:cs="Times New Roman"/>
          <w:kern w:val="0"/>
          <w:sz w:val="32"/>
          <w:szCs w:val="32"/>
          <w:lang w:eastAsia="en-US" w:bidi="en-US"/>
        </w:rPr>
        <w:t>赛项目的</w:t>
      </w:r>
    </w:p>
    <w:p>
      <w:pPr>
        <w:adjustRightInd w:val="0"/>
        <w:snapToGrid w:val="0"/>
        <w:spacing w:line="520" w:lineRule="exact"/>
        <w:ind w:firstLine="636"/>
        <w:jc w:val="left"/>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为学习贯彻《教育信息化2.0行动计划》和《教育部关于一流本科课程建设的实施意见》文件精神，推进信息技术与实验教学的深度融合，加强实验教学优质资源建设与应用，促进实验教学资源开放共享，提升高校实验教学质量和实践育人水平，进一步推动实验教学改革与创新，发挥企业在高校科技成果转化方面的促进作用，探索校企联合共建的可持续发展虚拟仿真实验教学服务支撑体系，促进产业升级与产教融合。</w:t>
      </w:r>
    </w:p>
    <w:p>
      <w:pPr>
        <w:adjustRightInd w:val="0"/>
        <w:snapToGrid w:val="0"/>
        <w:spacing w:line="520" w:lineRule="exact"/>
        <w:ind w:left="600"/>
        <w:jc w:val="left"/>
        <w:rPr>
          <w:rFonts w:ascii="Times New Roman" w:hAnsi="Times New Roman" w:eastAsia="黑体" w:cs="Times New Roman"/>
          <w:kern w:val="0"/>
          <w:sz w:val="32"/>
          <w:szCs w:val="32"/>
          <w:lang w:bidi="en-US"/>
        </w:rPr>
      </w:pPr>
      <w:r>
        <w:rPr>
          <w:rFonts w:ascii="Times New Roman" w:hAnsi="Times New Roman" w:eastAsia="黑体" w:cs="Times New Roman"/>
          <w:kern w:val="0"/>
          <w:sz w:val="32"/>
          <w:szCs w:val="32"/>
          <w:lang w:bidi="en-US"/>
        </w:rPr>
        <w:t>四、参赛对象</w:t>
      </w:r>
    </w:p>
    <w:p>
      <w:pPr>
        <w:adjustRightInd w:val="0"/>
        <w:snapToGrid w:val="0"/>
        <w:spacing w:line="520" w:lineRule="exact"/>
        <w:ind w:firstLine="636"/>
        <w:jc w:val="left"/>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普通高等学校在职教师</w:t>
      </w:r>
    </w:p>
    <w:p>
      <w:pPr>
        <w:adjustRightInd w:val="0"/>
        <w:snapToGrid w:val="0"/>
        <w:spacing w:line="520" w:lineRule="exact"/>
        <w:ind w:firstLine="604" w:firstLineChars="189"/>
        <w:jc w:val="left"/>
        <w:rPr>
          <w:rFonts w:ascii="Times New Roman" w:hAnsi="Times New Roman" w:eastAsia="黑体" w:cs="Times New Roman"/>
          <w:kern w:val="0"/>
          <w:sz w:val="32"/>
          <w:szCs w:val="32"/>
          <w:lang w:bidi="en-US"/>
        </w:rPr>
      </w:pPr>
      <w:r>
        <w:rPr>
          <w:rFonts w:ascii="Times New Roman" w:hAnsi="Times New Roman" w:eastAsia="黑体" w:cs="Times New Roman"/>
          <w:kern w:val="0"/>
          <w:sz w:val="32"/>
          <w:szCs w:val="32"/>
          <w:lang w:bidi="en-US"/>
        </w:rPr>
        <w:t>五、参赛作品要求</w:t>
      </w:r>
    </w:p>
    <w:p>
      <w:pPr>
        <w:adjustRightInd w:val="0"/>
        <w:snapToGrid w:val="0"/>
        <w:spacing w:line="520" w:lineRule="exact"/>
        <w:ind w:firstLine="636"/>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1．参赛作品应为各高等院校设计、研发的具有自主知识产权的虚拟仿真实验教学软件。</w:t>
      </w:r>
    </w:p>
    <w:p>
      <w:pPr>
        <w:adjustRightInd w:val="0"/>
        <w:snapToGrid w:val="0"/>
        <w:spacing w:line="520" w:lineRule="exact"/>
        <w:ind w:firstLine="636"/>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2．参赛作品所属学科专业范围包括计算机类、电子信息类、电气类、土木地矿类、药学类、公安技术类、法学类、力学类、材料类、文学类、体育学类、艺术学类、经济管理类等13个类别。</w:t>
      </w:r>
    </w:p>
    <w:p>
      <w:pPr>
        <w:adjustRightInd w:val="0"/>
        <w:snapToGrid w:val="0"/>
        <w:spacing w:line="520" w:lineRule="exact"/>
        <w:ind w:firstLine="636"/>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3．参赛作品应服务于高等院校实验教学需要，在实践中应用效果良好、运行安全可靠、具有应用推广价值、可进行成果转化且无知识产权纠纷（注：如涉及知识产权纠纷，由申报者自行承担责任）。</w:t>
      </w:r>
    </w:p>
    <w:p>
      <w:pPr>
        <w:spacing w:after="10" w:line="520" w:lineRule="exact"/>
        <w:ind w:firstLine="640" w:firstLineChars="200"/>
        <w:jc w:val="left"/>
        <w:rPr>
          <w:rFonts w:ascii="Times New Roman" w:hAnsi="Times New Roman" w:eastAsia="黑体" w:cs="Times New Roman"/>
          <w:kern w:val="0"/>
          <w:sz w:val="32"/>
          <w:szCs w:val="32"/>
          <w:lang w:bidi="en-US"/>
        </w:rPr>
      </w:pPr>
      <w:r>
        <w:rPr>
          <w:rFonts w:ascii="Times New Roman" w:hAnsi="Times New Roman" w:eastAsia="黑体" w:cs="Times New Roman"/>
          <w:bCs/>
          <w:kern w:val="0"/>
          <w:sz w:val="32"/>
          <w:szCs w:val="32"/>
          <w:lang w:bidi="en-US"/>
        </w:rPr>
        <w:t>六、提交材料要求</w:t>
      </w:r>
    </w:p>
    <w:p>
      <w:pPr>
        <w:spacing w:after="10" w:line="520" w:lineRule="exact"/>
        <w:ind w:firstLine="640" w:firstLineChars="200"/>
        <w:jc w:val="left"/>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1．已研制完成的虚拟仿真实验教学软件演示视频（视频格式要求与大赛一致）。</w:t>
      </w:r>
    </w:p>
    <w:p>
      <w:pPr>
        <w:spacing w:after="10" w:line="520" w:lineRule="exact"/>
        <w:ind w:firstLine="640" w:firstLineChars="200"/>
        <w:jc w:val="left"/>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2．大赛规定的其他材料。</w:t>
      </w:r>
    </w:p>
    <w:p>
      <w:pPr>
        <w:adjustRightInd w:val="0"/>
        <w:snapToGrid w:val="0"/>
        <w:spacing w:line="520" w:lineRule="exact"/>
        <w:ind w:firstLine="640" w:firstLineChars="200"/>
        <w:jc w:val="left"/>
        <w:rPr>
          <w:rFonts w:ascii="Times New Roman" w:hAnsi="Times New Roman" w:eastAsia="黑体" w:cs="Times New Roman"/>
          <w:kern w:val="0"/>
          <w:sz w:val="32"/>
          <w:szCs w:val="32"/>
          <w:lang w:eastAsia="en-US" w:bidi="en-US"/>
        </w:rPr>
      </w:pPr>
      <w:r>
        <w:rPr>
          <w:rFonts w:ascii="Times New Roman" w:hAnsi="Times New Roman" w:eastAsia="黑体" w:cs="Times New Roman"/>
          <w:kern w:val="0"/>
          <w:sz w:val="32"/>
          <w:szCs w:val="32"/>
          <w:lang w:bidi="en-US"/>
        </w:rPr>
        <w:t>七</w:t>
      </w:r>
      <w:r>
        <w:rPr>
          <w:rFonts w:ascii="Times New Roman" w:hAnsi="Times New Roman" w:eastAsia="黑体" w:cs="Times New Roman"/>
          <w:kern w:val="0"/>
          <w:sz w:val="32"/>
          <w:szCs w:val="32"/>
          <w:lang w:eastAsia="en-US" w:bidi="en-US"/>
        </w:rPr>
        <w:t>、评审标准</w:t>
      </w:r>
    </w:p>
    <w:tbl>
      <w:tblPr>
        <w:tblStyle w:val="2"/>
        <w:tblW w:w="497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6848"/>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3" w:type="pct"/>
            <w:vAlign w:val="center"/>
          </w:tcPr>
          <w:p>
            <w:pPr>
              <w:adjustRightInd w:val="0"/>
              <w:snapToGrid w:val="0"/>
              <w:jc w:val="center"/>
              <w:rPr>
                <w:rFonts w:ascii="Times New Roman" w:hAnsi="Times New Roman" w:eastAsia="黑体" w:cs="Times New Roman"/>
                <w:sz w:val="24"/>
                <w:szCs w:val="24"/>
                <w:lang w:eastAsia="en-US" w:bidi="en-US"/>
              </w:rPr>
            </w:pPr>
            <w:r>
              <w:rPr>
                <w:rFonts w:ascii="Times New Roman" w:hAnsi="Times New Roman" w:eastAsia="黑体" w:cs="Times New Roman"/>
                <w:sz w:val="24"/>
                <w:szCs w:val="24"/>
                <w:lang w:bidi="en-US"/>
              </w:rPr>
              <w:t>评审</w:t>
            </w:r>
            <w:r>
              <w:rPr>
                <w:rFonts w:ascii="Times New Roman" w:hAnsi="Times New Roman" w:eastAsia="黑体" w:cs="Times New Roman"/>
                <w:sz w:val="24"/>
                <w:szCs w:val="24"/>
                <w:lang w:eastAsia="en-US" w:bidi="en-US"/>
              </w:rPr>
              <w:t>指标</w:t>
            </w:r>
          </w:p>
        </w:tc>
        <w:tc>
          <w:tcPr>
            <w:tcW w:w="4041" w:type="pct"/>
            <w:vAlign w:val="center"/>
          </w:tcPr>
          <w:p>
            <w:pPr>
              <w:adjustRightInd w:val="0"/>
              <w:snapToGrid w:val="0"/>
              <w:jc w:val="center"/>
              <w:rPr>
                <w:rFonts w:ascii="Times New Roman" w:hAnsi="Times New Roman" w:eastAsia="黑体" w:cs="Times New Roman"/>
                <w:sz w:val="24"/>
                <w:szCs w:val="24"/>
                <w:lang w:eastAsia="en-US" w:bidi="en-US"/>
              </w:rPr>
            </w:pPr>
            <w:r>
              <w:rPr>
                <w:rFonts w:ascii="Times New Roman" w:hAnsi="Times New Roman" w:eastAsia="黑体" w:cs="Times New Roman"/>
                <w:sz w:val="24"/>
                <w:szCs w:val="24"/>
                <w:lang w:eastAsia="en-US" w:bidi="en-US"/>
              </w:rPr>
              <w:t>指标描述</w:t>
            </w:r>
          </w:p>
        </w:tc>
        <w:tc>
          <w:tcPr>
            <w:tcW w:w="515" w:type="pct"/>
            <w:vAlign w:val="center"/>
          </w:tcPr>
          <w:p>
            <w:pPr>
              <w:adjustRightInd w:val="0"/>
              <w:snapToGrid w:val="0"/>
              <w:jc w:val="center"/>
              <w:rPr>
                <w:rFonts w:ascii="Times New Roman" w:hAnsi="Times New Roman" w:eastAsia="黑体" w:cs="Times New Roman"/>
                <w:sz w:val="24"/>
                <w:szCs w:val="24"/>
                <w:lang w:eastAsia="en-US" w:bidi="en-US"/>
              </w:rPr>
            </w:pPr>
            <w:r>
              <w:rPr>
                <w:rFonts w:ascii="Times New Roman" w:hAnsi="Times New Roman" w:eastAsia="黑体" w:cs="Times New Roman"/>
                <w:sz w:val="24"/>
                <w:szCs w:val="24"/>
                <w:lang w:eastAsia="en-US" w:bidi="en-US"/>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443" w:type="pct"/>
            <w:vMerge w:val="restart"/>
            <w:vAlign w:val="center"/>
          </w:tcPr>
          <w:p>
            <w:pPr>
              <w:adjustRightInd w:val="0"/>
              <w:snapToGrid w:val="0"/>
              <w:jc w:val="center"/>
              <w:rPr>
                <w:rFonts w:ascii="Times New Roman" w:hAnsi="Times New Roman" w:eastAsia="黑体" w:cs="Times New Roman"/>
                <w:sz w:val="24"/>
                <w:szCs w:val="24"/>
                <w:lang w:bidi="en-US"/>
              </w:rPr>
            </w:pPr>
            <w:r>
              <w:rPr>
                <w:rFonts w:ascii="Times New Roman" w:hAnsi="Times New Roman" w:eastAsia="黑体" w:cs="Times New Roman"/>
                <w:sz w:val="24"/>
                <w:szCs w:val="24"/>
                <w:lang w:bidi="en-US"/>
              </w:rPr>
              <w:t>教</w:t>
            </w:r>
          </w:p>
          <w:p>
            <w:pPr>
              <w:adjustRightInd w:val="0"/>
              <w:snapToGrid w:val="0"/>
              <w:jc w:val="center"/>
              <w:rPr>
                <w:rFonts w:ascii="Times New Roman" w:hAnsi="Times New Roman" w:eastAsia="黑体" w:cs="Times New Roman"/>
                <w:sz w:val="24"/>
                <w:szCs w:val="24"/>
                <w:lang w:eastAsia="en-US" w:bidi="en-US"/>
              </w:rPr>
            </w:pPr>
            <w:r>
              <w:rPr>
                <w:rFonts w:ascii="Times New Roman" w:hAnsi="Times New Roman" w:eastAsia="黑体" w:cs="Times New Roman"/>
                <w:sz w:val="24"/>
                <w:szCs w:val="24"/>
                <w:lang w:bidi="en-US"/>
              </w:rPr>
              <w:t>学</w:t>
            </w:r>
          </w:p>
          <w:p>
            <w:pPr>
              <w:adjustRightInd w:val="0"/>
              <w:snapToGrid w:val="0"/>
              <w:jc w:val="center"/>
              <w:rPr>
                <w:rFonts w:ascii="Times New Roman" w:hAnsi="Times New Roman" w:eastAsia="黑体" w:cs="Times New Roman"/>
                <w:sz w:val="24"/>
                <w:szCs w:val="24"/>
                <w:lang w:eastAsia="en-US" w:bidi="en-US"/>
              </w:rPr>
            </w:pPr>
            <w:r>
              <w:rPr>
                <w:rFonts w:ascii="Times New Roman" w:hAnsi="Times New Roman" w:eastAsia="黑体" w:cs="Times New Roman"/>
                <w:sz w:val="24"/>
                <w:szCs w:val="24"/>
                <w:lang w:eastAsia="en-US" w:bidi="en-US"/>
              </w:rPr>
              <w:t>性</w:t>
            </w:r>
          </w:p>
        </w:tc>
        <w:tc>
          <w:tcPr>
            <w:tcW w:w="4041" w:type="pct"/>
            <w:vAlign w:val="center"/>
          </w:tcPr>
          <w:p>
            <w:pPr>
              <w:adjustRightInd w:val="0"/>
              <w:snapToGrid w:val="0"/>
              <w:rPr>
                <w:rFonts w:ascii="Times New Roman" w:hAnsi="Times New Roman" w:eastAsia="楷体" w:cs="Times New Roman"/>
                <w:b/>
                <w:bCs/>
                <w:sz w:val="24"/>
                <w:szCs w:val="24"/>
                <w:lang w:bidi="en-US"/>
              </w:rPr>
            </w:pPr>
            <w:r>
              <w:rPr>
                <w:rFonts w:ascii="Times New Roman" w:hAnsi="Times New Roman" w:eastAsia="楷体" w:cs="Times New Roman"/>
                <w:sz w:val="24"/>
                <w:szCs w:val="24"/>
                <w:lang w:bidi="en-US"/>
              </w:rPr>
              <w:t>突出虚拟仿真实验的特点和优势，完成现实中由于不可及、不可逆、高成本、高危险等因素所造成的无法开展或难以完成的实验。</w:t>
            </w:r>
          </w:p>
        </w:tc>
        <w:tc>
          <w:tcPr>
            <w:tcW w:w="515" w:type="pct"/>
            <w:vMerge w:val="restart"/>
            <w:vAlign w:val="center"/>
          </w:tcPr>
          <w:p>
            <w:pPr>
              <w:adjustRightInd w:val="0"/>
              <w:snapToGrid w:val="0"/>
              <w:jc w:val="center"/>
              <w:rPr>
                <w:rFonts w:ascii="Times New Roman" w:hAnsi="Times New Roman" w:eastAsia="楷体" w:cs="Times New Roman"/>
                <w:b/>
                <w:bCs/>
                <w:sz w:val="24"/>
                <w:szCs w:val="24"/>
                <w:lang w:eastAsia="en-US" w:bidi="en-US"/>
              </w:rPr>
            </w:pPr>
            <w:r>
              <w:rPr>
                <w:rFonts w:ascii="Times New Roman" w:hAnsi="Times New Roman" w:eastAsia="楷体" w:cs="Times New Roman"/>
                <w:sz w:val="24"/>
                <w:szCs w:val="24"/>
                <w:lang w:eastAsia="en-US" w:bidi="en-US"/>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443" w:type="pct"/>
            <w:vMerge w:val="continue"/>
            <w:vAlign w:val="center"/>
          </w:tcPr>
          <w:p>
            <w:pPr>
              <w:adjustRightInd w:val="0"/>
              <w:snapToGrid w:val="0"/>
              <w:jc w:val="center"/>
              <w:rPr>
                <w:rFonts w:ascii="Times New Roman" w:hAnsi="Times New Roman" w:eastAsia="黑体" w:cs="Times New Roman"/>
                <w:sz w:val="24"/>
                <w:szCs w:val="24"/>
                <w:lang w:eastAsia="en-US" w:bidi="en-US"/>
              </w:rPr>
            </w:pPr>
          </w:p>
        </w:tc>
        <w:tc>
          <w:tcPr>
            <w:tcW w:w="4041" w:type="pct"/>
            <w:vAlign w:val="center"/>
          </w:tcPr>
          <w:p>
            <w:pPr>
              <w:adjustRightInd w:val="0"/>
              <w:snapToGrid w:val="0"/>
              <w:jc w:val="left"/>
              <w:rPr>
                <w:rFonts w:ascii="Times New Roman" w:hAnsi="Times New Roman" w:eastAsia="楷体" w:cs="Times New Roman"/>
                <w:sz w:val="24"/>
                <w:szCs w:val="24"/>
                <w:lang w:bidi="en-US"/>
              </w:rPr>
            </w:pPr>
            <w:r>
              <w:rPr>
                <w:rFonts w:ascii="Times New Roman" w:hAnsi="Times New Roman" w:eastAsia="楷体" w:cs="Times New Roman"/>
                <w:sz w:val="24"/>
                <w:szCs w:val="24"/>
                <w:lang w:bidi="en-US"/>
              </w:rPr>
              <w:t>实验教学目标明确，学科特点鲜明，内容符合教学大纲要求；紧密结合学科专业的发展特点和人才培养需求，采用虚拟仿真技术解决内容抽象或实施困难的实验问题。</w:t>
            </w:r>
          </w:p>
        </w:tc>
        <w:tc>
          <w:tcPr>
            <w:tcW w:w="515" w:type="pct"/>
            <w:vMerge w:val="continue"/>
            <w:vAlign w:val="center"/>
          </w:tcPr>
          <w:p>
            <w:pPr>
              <w:adjustRightInd w:val="0"/>
              <w:snapToGrid w:val="0"/>
              <w:jc w:val="center"/>
              <w:rPr>
                <w:rFonts w:ascii="Times New Roman" w:hAnsi="Times New Roman" w:eastAsia="楷体" w:cs="Times New Roman"/>
                <w:sz w:val="24"/>
                <w:szCs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443" w:type="pct"/>
            <w:vMerge w:val="restart"/>
            <w:vAlign w:val="center"/>
          </w:tcPr>
          <w:p>
            <w:pPr>
              <w:adjustRightInd w:val="0"/>
              <w:snapToGrid w:val="0"/>
              <w:jc w:val="center"/>
              <w:rPr>
                <w:rFonts w:ascii="Times New Roman" w:hAnsi="Times New Roman" w:eastAsia="黑体" w:cs="Times New Roman"/>
                <w:sz w:val="24"/>
                <w:szCs w:val="24"/>
                <w:lang w:eastAsia="en-US" w:bidi="en-US"/>
              </w:rPr>
            </w:pPr>
            <w:r>
              <w:rPr>
                <w:rFonts w:ascii="Times New Roman" w:hAnsi="Times New Roman" w:eastAsia="黑体" w:cs="Times New Roman"/>
                <w:sz w:val="24"/>
                <w:szCs w:val="24"/>
                <w:lang w:eastAsia="en-US" w:bidi="en-US"/>
              </w:rPr>
              <w:t>创</w:t>
            </w:r>
          </w:p>
          <w:p>
            <w:pPr>
              <w:adjustRightInd w:val="0"/>
              <w:snapToGrid w:val="0"/>
              <w:jc w:val="center"/>
              <w:rPr>
                <w:rFonts w:ascii="Times New Roman" w:hAnsi="Times New Roman" w:eastAsia="黑体" w:cs="Times New Roman"/>
                <w:sz w:val="24"/>
                <w:szCs w:val="24"/>
                <w:lang w:eastAsia="en-US" w:bidi="en-US"/>
              </w:rPr>
            </w:pPr>
            <w:r>
              <w:rPr>
                <w:rFonts w:ascii="Times New Roman" w:hAnsi="Times New Roman" w:eastAsia="黑体" w:cs="Times New Roman"/>
                <w:sz w:val="24"/>
                <w:szCs w:val="24"/>
                <w:lang w:eastAsia="en-US" w:bidi="en-US"/>
              </w:rPr>
              <w:t>新</w:t>
            </w:r>
          </w:p>
          <w:p>
            <w:pPr>
              <w:adjustRightInd w:val="0"/>
              <w:snapToGrid w:val="0"/>
              <w:jc w:val="center"/>
              <w:rPr>
                <w:rFonts w:ascii="Times New Roman" w:hAnsi="Times New Roman" w:eastAsia="黑体" w:cs="Times New Roman"/>
                <w:sz w:val="24"/>
                <w:szCs w:val="24"/>
                <w:lang w:eastAsia="en-US" w:bidi="en-US"/>
              </w:rPr>
            </w:pPr>
            <w:r>
              <w:rPr>
                <w:rFonts w:ascii="Times New Roman" w:hAnsi="Times New Roman" w:eastAsia="黑体" w:cs="Times New Roman"/>
                <w:sz w:val="24"/>
                <w:szCs w:val="24"/>
                <w:lang w:eastAsia="en-US" w:bidi="en-US"/>
              </w:rPr>
              <w:t>性</w:t>
            </w:r>
          </w:p>
        </w:tc>
        <w:tc>
          <w:tcPr>
            <w:tcW w:w="4041" w:type="pct"/>
            <w:vAlign w:val="center"/>
          </w:tcPr>
          <w:p>
            <w:pPr>
              <w:adjustRightInd w:val="0"/>
              <w:snapToGrid w:val="0"/>
              <w:jc w:val="left"/>
              <w:rPr>
                <w:rFonts w:ascii="Times New Roman" w:hAnsi="Times New Roman" w:eastAsia="楷体" w:cs="Times New Roman"/>
                <w:sz w:val="24"/>
                <w:szCs w:val="24"/>
                <w:lang w:bidi="en-US"/>
              </w:rPr>
            </w:pPr>
            <w:r>
              <w:rPr>
                <w:rFonts w:ascii="Times New Roman" w:hAnsi="Times New Roman" w:eastAsia="楷体" w:cs="Times New Roman"/>
                <w:sz w:val="24"/>
                <w:szCs w:val="24"/>
                <w:lang w:bidi="en-US"/>
              </w:rPr>
              <w:t>紧密围绕基本概念、基本原理和基本的知识要点完成虚拟仿真实验，主题突出；针对性强，逻辑清晰；突出学科特点，内容相对完整，启发性强。</w:t>
            </w:r>
          </w:p>
        </w:tc>
        <w:tc>
          <w:tcPr>
            <w:tcW w:w="515" w:type="pct"/>
            <w:vMerge w:val="restart"/>
            <w:vAlign w:val="center"/>
          </w:tcPr>
          <w:p>
            <w:pPr>
              <w:adjustRightInd w:val="0"/>
              <w:snapToGrid w:val="0"/>
              <w:jc w:val="center"/>
              <w:rPr>
                <w:rFonts w:ascii="Times New Roman" w:hAnsi="Times New Roman" w:eastAsia="楷体" w:cs="Times New Roman"/>
                <w:sz w:val="24"/>
                <w:szCs w:val="24"/>
                <w:lang w:eastAsia="en-US" w:bidi="en-US"/>
              </w:rPr>
            </w:pPr>
            <w:r>
              <w:rPr>
                <w:rFonts w:ascii="Times New Roman" w:hAnsi="Times New Roman" w:eastAsia="楷体" w:cs="Times New Roman"/>
                <w:sz w:val="24"/>
                <w:szCs w:val="24"/>
                <w:lang w:eastAsia="en-US" w:bidi="en-US"/>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443" w:type="pct"/>
            <w:vMerge w:val="continue"/>
            <w:vAlign w:val="center"/>
          </w:tcPr>
          <w:p>
            <w:pPr>
              <w:adjustRightInd w:val="0"/>
              <w:snapToGrid w:val="0"/>
              <w:jc w:val="center"/>
              <w:rPr>
                <w:rFonts w:ascii="Times New Roman" w:hAnsi="Times New Roman" w:eastAsia="黑体" w:cs="Times New Roman"/>
                <w:sz w:val="24"/>
                <w:szCs w:val="24"/>
                <w:lang w:eastAsia="en-US" w:bidi="en-US"/>
              </w:rPr>
            </w:pPr>
          </w:p>
        </w:tc>
        <w:tc>
          <w:tcPr>
            <w:tcW w:w="4041" w:type="pct"/>
            <w:vAlign w:val="center"/>
          </w:tcPr>
          <w:p>
            <w:pPr>
              <w:adjustRightInd w:val="0"/>
              <w:snapToGrid w:val="0"/>
              <w:jc w:val="left"/>
              <w:rPr>
                <w:rFonts w:ascii="Times New Roman" w:hAnsi="Times New Roman" w:eastAsia="楷体" w:cs="Times New Roman"/>
                <w:sz w:val="24"/>
                <w:szCs w:val="24"/>
                <w:lang w:bidi="en-US"/>
              </w:rPr>
            </w:pPr>
            <w:r>
              <w:rPr>
                <w:rFonts w:ascii="Times New Roman" w:hAnsi="Times New Roman" w:eastAsia="楷体" w:cs="Times New Roman"/>
                <w:sz w:val="24"/>
                <w:szCs w:val="24"/>
                <w:lang w:bidi="en-US"/>
              </w:rPr>
              <w:t>突显专业背景和虚拟仿真特点，界面整洁、清新、美观，画面表达信息完整，元素有内涵，实验功能有特色；操作方便，逻辑结构嵌套合理，整体效果凸显。</w:t>
            </w:r>
          </w:p>
        </w:tc>
        <w:tc>
          <w:tcPr>
            <w:tcW w:w="515" w:type="pct"/>
            <w:vMerge w:val="continue"/>
            <w:vAlign w:val="center"/>
          </w:tcPr>
          <w:p>
            <w:pPr>
              <w:adjustRightInd w:val="0"/>
              <w:snapToGrid w:val="0"/>
              <w:jc w:val="center"/>
              <w:rPr>
                <w:rFonts w:ascii="Times New Roman" w:hAnsi="Times New Roman" w:eastAsia="楷体" w:cs="Times New Roman"/>
                <w:sz w:val="24"/>
                <w:szCs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443" w:type="pct"/>
            <w:vMerge w:val="continue"/>
            <w:vAlign w:val="center"/>
          </w:tcPr>
          <w:p>
            <w:pPr>
              <w:adjustRightInd w:val="0"/>
              <w:snapToGrid w:val="0"/>
              <w:jc w:val="center"/>
              <w:rPr>
                <w:rFonts w:ascii="Times New Roman" w:hAnsi="Times New Roman" w:eastAsia="黑体" w:cs="Times New Roman"/>
                <w:sz w:val="24"/>
                <w:szCs w:val="24"/>
                <w:lang w:bidi="en-US"/>
              </w:rPr>
            </w:pPr>
          </w:p>
        </w:tc>
        <w:tc>
          <w:tcPr>
            <w:tcW w:w="4041" w:type="pct"/>
            <w:vAlign w:val="center"/>
          </w:tcPr>
          <w:p>
            <w:pPr>
              <w:adjustRightInd w:val="0"/>
              <w:snapToGrid w:val="0"/>
              <w:jc w:val="left"/>
              <w:rPr>
                <w:rFonts w:ascii="Times New Roman" w:hAnsi="Times New Roman" w:eastAsia="楷体" w:cs="Times New Roman"/>
                <w:sz w:val="24"/>
                <w:szCs w:val="24"/>
                <w:lang w:bidi="en-US"/>
              </w:rPr>
            </w:pPr>
            <w:r>
              <w:rPr>
                <w:rFonts w:ascii="Times New Roman" w:hAnsi="Times New Roman" w:eastAsia="楷体" w:cs="Times New Roman"/>
                <w:sz w:val="24"/>
                <w:szCs w:val="24"/>
                <w:lang w:bidi="en-US"/>
              </w:rPr>
              <w:t>设计思路、实验内容及实现手法有创新，创新思路独特、切实体现虚实结合、有利于启发联想并适当延伸。</w:t>
            </w:r>
          </w:p>
        </w:tc>
        <w:tc>
          <w:tcPr>
            <w:tcW w:w="515" w:type="pct"/>
            <w:vMerge w:val="continue"/>
            <w:vAlign w:val="center"/>
          </w:tcPr>
          <w:p>
            <w:pPr>
              <w:adjustRightInd w:val="0"/>
              <w:snapToGrid w:val="0"/>
              <w:jc w:val="center"/>
              <w:rPr>
                <w:rFonts w:ascii="Times New Roman" w:hAnsi="Times New Roman" w:eastAsia="楷体" w:cs="Times New Roman"/>
                <w:sz w:val="24"/>
                <w:szCs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443" w:type="pct"/>
            <w:vMerge w:val="restart"/>
            <w:vAlign w:val="center"/>
          </w:tcPr>
          <w:p>
            <w:pPr>
              <w:adjustRightInd w:val="0"/>
              <w:snapToGrid w:val="0"/>
              <w:jc w:val="center"/>
              <w:rPr>
                <w:rFonts w:ascii="Times New Roman" w:hAnsi="Times New Roman" w:eastAsia="黑体" w:cs="Times New Roman"/>
                <w:sz w:val="24"/>
                <w:szCs w:val="24"/>
                <w:lang w:eastAsia="en-US" w:bidi="en-US"/>
              </w:rPr>
            </w:pPr>
            <w:r>
              <w:rPr>
                <w:rFonts w:ascii="Times New Roman" w:hAnsi="Times New Roman" w:eastAsia="黑体" w:cs="Times New Roman"/>
                <w:sz w:val="24"/>
                <w:szCs w:val="24"/>
                <w:lang w:eastAsia="en-US" w:bidi="en-US"/>
              </w:rPr>
              <w:t>实</w:t>
            </w:r>
          </w:p>
          <w:p>
            <w:pPr>
              <w:adjustRightInd w:val="0"/>
              <w:snapToGrid w:val="0"/>
              <w:jc w:val="center"/>
              <w:rPr>
                <w:rFonts w:ascii="Times New Roman" w:hAnsi="Times New Roman" w:eastAsia="黑体" w:cs="Times New Roman"/>
                <w:sz w:val="24"/>
                <w:szCs w:val="24"/>
                <w:lang w:eastAsia="en-US" w:bidi="en-US"/>
              </w:rPr>
            </w:pPr>
            <w:r>
              <w:rPr>
                <w:rFonts w:ascii="Times New Roman" w:hAnsi="Times New Roman" w:eastAsia="黑体" w:cs="Times New Roman"/>
                <w:sz w:val="24"/>
                <w:szCs w:val="24"/>
                <w:lang w:eastAsia="en-US" w:bidi="en-US"/>
              </w:rPr>
              <w:t>用</w:t>
            </w:r>
          </w:p>
          <w:p>
            <w:pPr>
              <w:adjustRightInd w:val="0"/>
              <w:snapToGrid w:val="0"/>
              <w:jc w:val="center"/>
              <w:rPr>
                <w:rFonts w:ascii="Times New Roman" w:hAnsi="Times New Roman" w:eastAsia="黑体" w:cs="Times New Roman"/>
                <w:sz w:val="24"/>
                <w:szCs w:val="24"/>
                <w:lang w:eastAsia="en-US" w:bidi="en-US"/>
              </w:rPr>
            </w:pPr>
            <w:r>
              <w:rPr>
                <w:rFonts w:ascii="Times New Roman" w:hAnsi="Times New Roman" w:eastAsia="黑体" w:cs="Times New Roman"/>
                <w:sz w:val="24"/>
                <w:szCs w:val="24"/>
                <w:lang w:eastAsia="en-US" w:bidi="en-US"/>
              </w:rPr>
              <w:t>性</w:t>
            </w:r>
          </w:p>
        </w:tc>
        <w:tc>
          <w:tcPr>
            <w:tcW w:w="4041" w:type="pct"/>
            <w:vAlign w:val="center"/>
          </w:tcPr>
          <w:p>
            <w:pPr>
              <w:adjustRightInd w:val="0"/>
              <w:snapToGrid w:val="0"/>
              <w:jc w:val="left"/>
              <w:rPr>
                <w:rFonts w:ascii="Times New Roman" w:hAnsi="Times New Roman" w:eastAsia="楷体" w:cs="Times New Roman"/>
                <w:sz w:val="24"/>
                <w:szCs w:val="24"/>
                <w:lang w:bidi="en-US"/>
              </w:rPr>
            </w:pPr>
            <w:r>
              <w:rPr>
                <w:rFonts w:ascii="Times New Roman" w:hAnsi="Times New Roman" w:eastAsia="楷体" w:cs="Times New Roman"/>
                <w:sz w:val="24"/>
                <w:szCs w:val="24"/>
                <w:lang w:bidi="en-US"/>
              </w:rPr>
              <w:t>数据链接、实验记录、过程回放、查找编辑、数据分析、自动图表、报告输出等功能完备，</w:t>
            </w:r>
            <w:r>
              <w:rPr>
                <w:rFonts w:ascii="Times New Roman" w:hAnsi="Times New Roman" w:eastAsia="楷体" w:cs="Times New Roman"/>
                <w:spacing w:val="-20"/>
                <w:sz w:val="24"/>
                <w:szCs w:val="24"/>
                <w:lang w:bidi="en-US"/>
              </w:rPr>
              <w:t>可操作性强；</w:t>
            </w:r>
            <w:r>
              <w:rPr>
                <w:rFonts w:ascii="Times New Roman" w:hAnsi="Times New Roman" w:eastAsia="楷体" w:cs="Times New Roman"/>
                <w:sz w:val="24"/>
                <w:szCs w:val="24"/>
                <w:lang w:bidi="en-US"/>
              </w:rPr>
              <w:t>实验介绍、原理分析、过程展示、自由练习、课堂讨论、实验考核、效果评价等功能要素齐全。能够实现中英文双语选项更好。</w:t>
            </w:r>
          </w:p>
        </w:tc>
        <w:tc>
          <w:tcPr>
            <w:tcW w:w="515" w:type="pct"/>
            <w:vMerge w:val="restart"/>
            <w:vAlign w:val="center"/>
          </w:tcPr>
          <w:p>
            <w:pPr>
              <w:adjustRightInd w:val="0"/>
              <w:snapToGrid w:val="0"/>
              <w:jc w:val="center"/>
              <w:rPr>
                <w:rFonts w:ascii="Times New Roman" w:hAnsi="Times New Roman" w:eastAsia="楷体" w:cs="Times New Roman"/>
                <w:sz w:val="24"/>
                <w:szCs w:val="24"/>
                <w:lang w:eastAsia="en-US" w:bidi="en-US"/>
              </w:rPr>
            </w:pPr>
            <w:r>
              <w:rPr>
                <w:rFonts w:ascii="Times New Roman" w:hAnsi="Times New Roman" w:eastAsia="楷体" w:cs="Times New Roman"/>
                <w:sz w:val="24"/>
                <w:szCs w:val="24"/>
                <w:lang w:eastAsia="en-US" w:bidi="en-US"/>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443" w:type="pct"/>
            <w:vMerge w:val="continue"/>
            <w:vAlign w:val="center"/>
          </w:tcPr>
          <w:p>
            <w:pPr>
              <w:adjustRightInd w:val="0"/>
              <w:snapToGrid w:val="0"/>
              <w:jc w:val="center"/>
              <w:rPr>
                <w:rFonts w:ascii="Times New Roman" w:hAnsi="Times New Roman" w:eastAsia="黑体" w:cs="Times New Roman"/>
                <w:sz w:val="24"/>
                <w:szCs w:val="24"/>
                <w:lang w:bidi="en-US"/>
              </w:rPr>
            </w:pPr>
          </w:p>
        </w:tc>
        <w:tc>
          <w:tcPr>
            <w:tcW w:w="4041" w:type="pct"/>
            <w:vAlign w:val="center"/>
          </w:tcPr>
          <w:p>
            <w:pPr>
              <w:adjustRightInd w:val="0"/>
              <w:snapToGrid w:val="0"/>
              <w:jc w:val="left"/>
              <w:rPr>
                <w:rFonts w:ascii="Times New Roman" w:hAnsi="Times New Roman" w:eastAsia="楷体" w:cs="Times New Roman"/>
                <w:sz w:val="24"/>
                <w:szCs w:val="24"/>
                <w:lang w:bidi="en-US"/>
              </w:rPr>
            </w:pPr>
            <w:r>
              <w:rPr>
                <w:rFonts w:ascii="Times New Roman" w:hAnsi="Times New Roman" w:eastAsia="楷体" w:cs="Times New Roman"/>
                <w:sz w:val="24"/>
                <w:szCs w:val="24"/>
                <w:lang w:bidi="en-US"/>
              </w:rPr>
              <w:t>已经在本校实验教学中得到了成果应用；已经在校内外进行了开放共享。实验机时足，网上点击使用率高，学生受益广，实践效果好。</w:t>
            </w:r>
          </w:p>
        </w:tc>
        <w:tc>
          <w:tcPr>
            <w:tcW w:w="515" w:type="pct"/>
            <w:vMerge w:val="continue"/>
            <w:vAlign w:val="center"/>
          </w:tcPr>
          <w:p>
            <w:pPr>
              <w:adjustRightInd w:val="0"/>
              <w:snapToGrid w:val="0"/>
              <w:jc w:val="center"/>
              <w:rPr>
                <w:rFonts w:ascii="Times New Roman" w:hAnsi="Times New Roman" w:eastAsia="楷体" w:cs="Times New Roman"/>
                <w:sz w:val="24"/>
                <w:szCs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43" w:type="pct"/>
            <w:vMerge w:val="restart"/>
            <w:vAlign w:val="center"/>
          </w:tcPr>
          <w:p>
            <w:pPr>
              <w:adjustRightInd w:val="0"/>
              <w:snapToGrid w:val="0"/>
              <w:jc w:val="center"/>
              <w:rPr>
                <w:rFonts w:ascii="Times New Roman" w:hAnsi="Times New Roman" w:eastAsia="黑体" w:cs="Times New Roman"/>
                <w:sz w:val="24"/>
                <w:szCs w:val="24"/>
                <w:lang w:eastAsia="en-US" w:bidi="en-US"/>
              </w:rPr>
            </w:pPr>
            <w:r>
              <w:rPr>
                <w:rFonts w:ascii="Times New Roman" w:hAnsi="Times New Roman" w:eastAsia="黑体" w:cs="Times New Roman"/>
                <w:sz w:val="24"/>
                <w:szCs w:val="24"/>
                <w:lang w:eastAsia="en-US" w:bidi="en-US"/>
              </w:rPr>
              <w:t>先</w:t>
            </w:r>
          </w:p>
          <w:p>
            <w:pPr>
              <w:adjustRightInd w:val="0"/>
              <w:snapToGrid w:val="0"/>
              <w:jc w:val="center"/>
              <w:rPr>
                <w:rFonts w:ascii="Times New Roman" w:hAnsi="Times New Roman" w:eastAsia="黑体" w:cs="Times New Roman"/>
                <w:sz w:val="24"/>
                <w:szCs w:val="24"/>
                <w:lang w:eastAsia="en-US" w:bidi="en-US"/>
              </w:rPr>
            </w:pPr>
            <w:r>
              <w:rPr>
                <w:rFonts w:ascii="Times New Roman" w:hAnsi="Times New Roman" w:eastAsia="黑体" w:cs="Times New Roman"/>
                <w:sz w:val="24"/>
                <w:szCs w:val="24"/>
                <w:lang w:eastAsia="en-US" w:bidi="en-US"/>
              </w:rPr>
              <w:t>进</w:t>
            </w:r>
          </w:p>
          <w:p>
            <w:pPr>
              <w:adjustRightInd w:val="0"/>
              <w:snapToGrid w:val="0"/>
              <w:jc w:val="center"/>
              <w:rPr>
                <w:rFonts w:ascii="Times New Roman" w:hAnsi="Times New Roman" w:eastAsia="黑体" w:cs="Times New Roman"/>
                <w:sz w:val="24"/>
                <w:szCs w:val="24"/>
                <w:lang w:eastAsia="en-US" w:bidi="en-US"/>
              </w:rPr>
            </w:pPr>
            <w:r>
              <w:rPr>
                <w:rFonts w:ascii="Times New Roman" w:hAnsi="Times New Roman" w:eastAsia="黑体" w:cs="Times New Roman"/>
                <w:sz w:val="24"/>
                <w:szCs w:val="24"/>
                <w:lang w:eastAsia="en-US" w:bidi="en-US"/>
              </w:rPr>
              <w:t>性</w:t>
            </w:r>
          </w:p>
        </w:tc>
        <w:tc>
          <w:tcPr>
            <w:tcW w:w="4041" w:type="pct"/>
            <w:vAlign w:val="center"/>
          </w:tcPr>
          <w:p>
            <w:pPr>
              <w:adjustRightInd w:val="0"/>
              <w:snapToGrid w:val="0"/>
              <w:jc w:val="left"/>
              <w:rPr>
                <w:rFonts w:ascii="Times New Roman" w:hAnsi="Times New Roman" w:eastAsia="楷体" w:cs="Times New Roman"/>
                <w:sz w:val="24"/>
                <w:szCs w:val="24"/>
                <w:lang w:bidi="en-US"/>
              </w:rPr>
            </w:pPr>
            <w:r>
              <w:rPr>
                <w:rFonts w:ascii="Times New Roman" w:hAnsi="Times New Roman" w:eastAsia="楷体" w:cs="Times New Roman"/>
                <w:sz w:val="24"/>
                <w:szCs w:val="24"/>
                <w:lang w:bidi="en-US"/>
              </w:rPr>
              <w:t>人机交互功能强，实验参数可调、虚拟环境可变，能够对不同的假设情况进行实验结果推演，验证不同猜想和假设。</w:t>
            </w:r>
          </w:p>
        </w:tc>
        <w:tc>
          <w:tcPr>
            <w:tcW w:w="515" w:type="pct"/>
            <w:vMerge w:val="restart"/>
            <w:vAlign w:val="center"/>
          </w:tcPr>
          <w:p>
            <w:pPr>
              <w:adjustRightInd w:val="0"/>
              <w:snapToGrid w:val="0"/>
              <w:jc w:val="center"/>
              <w:rPr>
                <w:rFonts w:ascii="Times New Roman" w:hAnsi="Times New Roman" w:eastAsia="楷体" w:cs="Times New Roman"/>
                <w:sz w:val="24"/>
                <w:szCs w:val="24"/>
                <w:lang w:eastAsia="en-US" w:bidi="en-US"/>
              </w:rPr>
            </w:pPr>
            <w:r>
              <w:rPr>
                <w:rFonts w:ascii="Times New Roman" w:hAnsi="Times New Roman" w:eastAsia="楷体" w:cs="Times New Roman"/>
                <w:sz w:val="24"/>
                <w:szCs w:val="24"/>
                <w:lang w:eastAsia="en-US" w:bidi="en-US"/>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443" w:type="pct"/>
            <w:vMerge w:val="continue"/>
            <w:vAlign w:val="center"/>
          </w:tcPr>
          <w:p>
            <w:pPr>
              <w:adjustRightInd w:val="0"/>
              <w:snapToGrid w:val="0"/>
              <w:jc w:val="center"/>
              <w:rPr>
                <w:rFonts w:ascii="Times New Roman" w:hAnsi="Times New Roman" w:eastAsia="黑体" w:cs="Times New Roman"/>
                <w:sz w:val="24"/>
                <w:szCs w:val="24"/>
                <w:lang w:eastAsia="en-US" w:bidi="en-US"/>
              </w:rPr>
            </w:pPr>
          </w:p>
        </w:tc>
        <w:tc>
          <w:tcPr>
            <w:tcW w:w="4041" w:type="pct"/>
            <w:vAlign w:val="center"/>
          </w:tcPr>
          <w:p>
            <w:pPr>
              <w:adjustRightInd w:val="0"/>
              <w:snapToGrid w:val="0"/>
              <w:jc w:val="left"/>
              <w:rPr>
                <w:rFonts w:ascii="Times New Roman" w:hAnsi="Times New Roman" w:eastAsia="楷体" w:cs="Times New Roman"/>
                <w:sz w:val="24"/>
                <w:szCs w:val="24"/>
                <w:lang w:bidi="en-US"/>
              </w:rPr>
            </w:pPr>
            <w:r>
              <w:rPr>
                <w:rFonts w:ascii="Times New Roman" w:hAnsi="Times New Roman" w:eastAsia="楷体" w:cs="Times New Roman"/>
                <w:sz w:val="24"/>
                <w:szCs w:val="24"/>
                <w:lang w:bidi="en-US"/>
              </w:rPr>
              <w:t>虚拟场景与真实场景高度逼近，界面清晰、画面流畅、质感厚重、色彩逼真、音质醇厚。实验空间、装置、过程、现象及效果等在视、听、触等方面能够产生身临其境效果。</w:t>
            </w:r>
          </w:p>
        </w:tc>
        <w:tc>
          <w:tcPr>
            <w:tcW w:w="515" w:type="pct"/>
            <w:vMerge w:val="continue"/>
            <w:vAlign w:val="center"/>
          </w:tcPr>
          <w:p>
            <w:pPr>
              <w:adjustRightInd w:val="0"/>
              <w:snapToGrid w:val="0"/>
              <w:jc w:val="center"/>
              <w:rPr>
                <w:rFonts w:ascii="Times New Roman" w:hAnsi="Times New Roman" w:eastAsia="楷体" w:cs="Times New Roman"/>
                <w:sz w:val="24"/>
                <w:szCs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443" w:type="pct"/>
            <w:vMerge w:val="continue"/>
            <w:vAlign w:val="center"/>
          </w:tcPr>
          <w:p>
            <w:pPr>
              <w:adjustRightInd w:val="0"/>
              <w:snapToGrid w:val="0"/>
              <w:jc w:val="center"/>
              <w:rPr>
                <w:rFonts w:ascii="Times New Roman" w:hAnsi="Times New Roman" w:eastAsia="黑体" w:cs="Times New Roman"/>
                <w:sz w:val="24"/>
                <w:szCs w:val="24"/>
                <w:lang w:bidi="en-US"/>
              </w:rPr>
            </w:pPr>
          </w:p>
        </w:tc>
        <w:tc>
          <w:tcPr>
            <w:tcW w:w="4041" w:type="pct"/>
            <w:vAlign w:val="center"/>
          </w:tcPr>
          <w:p>
            <w:pPr>
              <w:adjustRightInd w:val="0"/>
              <w:snapToGrid w:val="0"/>
              <w:jc w:val="left"/>
              <w:rPr>
                <w:rFonts w:ascii="Times New Roman" w:hAnsi="Times New Roman" w:eastAsia="楷体" w:cs="Times New Roman"/>
                <w:sz w:val="24"/>
                <w:szCs w:val="24"/>
                <w:lang w:bidi="en-US"/>
              </w:rPr>
            </w:pPr>
            <w:r>
              <w:rPr>
                <w:rFonts w:ascii="Times New Roman" w:hAnsi="Times New Roman" w:eastAsia="楷体" w:cs="Times New Roman"/>
                <w:sz w:val="24"/>
                <w:szCs w:val="24"/>
                <w:lang w:bidi="en-US"/>
              </w:rPr>
              <w:t>软件作品在制作过程中使用具有国内自主知识产权的工具进行设计开发。</w:t>
            </w:r>
          </w:p>
        </w:tc>
        <w:tc>
          <w:tcPr>
            <w:tcW w:w="515" w:type="pct"/>
            <w:vMerge w:val="continue"/>
            <w:vAlign w:val="center"/>
          </w:tcPr>
          <w:p>
            <w:pPr>
              <w:adjustRightInd w:val="0"/>
              <w:snapToGrid w:val="0"/>
              <w:jc w:val="center"/>
              <w:rPr>
                <w:rFonts w:ascii="Times New Roman" w:hAnsi="Times New Roman" w:eastAsia="楷体" w:cs="Times New Roman"/>
                <w:sz w:val="24"/>
                <w:szCs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43" w:type="pct"/>
            <w:tcBorders>
              <w:bottom w:val="single" w:color="auto" w:sz="4" w:space="0"/>
            </w:tcBorders>
            <w:vAlign w:val="center"/>
          </w:tcPr>
          <w:p>
            <w:pPr>
              <w:adjustRightInd w:val="0"/>
              <w:snapToGrid w:val="0"/>
              <w:jc w:val="center"/>
              <w:rPr>
                <w:rFonts w:ascii="Times New Roman" w:hAnsi="Times New Roman" w:eastAsia="楷体" w:cs="Times New Roman"/>
                <w:sz w:val="24"/>
                <w:szCs w:val="24"/>
                <w:lang w:bidi="en-US"/>
              </w:rPr>
            </w:pPr>
            <w:r>
              <w:rPr>
                <w:rFonts w:ascii="Times New Roman" w:hAnsi="Times New Roman" w:eastAsia="黑体" w:cs="Times New Roman"/>
                <w:sz w:val="24"/>
                <w:szCs w:val="24"/>
                <w:lang w:eastAsia="en-US" w:bidi="en-US"/>
              </w:rPr>
              <w:t>合计</w:t>
            </w:r>
          </w:p>
        </w:tc>
        <w:tc>
          <w:tcPr>
            <w:tcW w:w="4041" w:type="pct"/>
            <w:tcBorders>
              <w:bottom w:val="single" w:color="auto" w:sz="4" w:space="0"/>
            </w:tcBorders>
            <w:vAlign w:val="center"/>
          </w:tcPr>
          <w:p>
            <w:pPr>
              <w:adjustRightInd w:val="0"/>
              <w:snapToGrid w:val="0"/>
              <w:jc w:val="left"/>
              <w:rPr>
                <w:rFonts w:ascii="Times New Roman" w:hAnsi="Times New Roman" w:eastAsia="楷体" w:cs="Times New Roman"/>
                <w:sz w:val="24"/>
                <w:szCs w:val="24"/>
                <w:lang w:eastAsia="en-US" w:bidi="en-US"/>
              </w:rPr>
            </w:pPr>
          </w:p>
        </w:tc>
        <w:tc>
          <w:tcPr>
            <w:tcW w:w="515" w:type="pct"/>
            <w:tcBorders>
              <w:bottom w:val="single" w:color="auto" w:sz="4" w:space="0"/>
            </w:tcBorders>
            <w:vAlign w:val="center"/>
          </w:tcPr>
          <w:p>
            <w:pPr>
              <w:adjustRightInd w:val="0"/>
              <w:snapToGrid w:val="0"/>
              <w:jc w:val="center"/>
              <w:rPr>
                <w:rFonts w:ascii="Times New Roman" w:hAnsi="Times New Roman" w:eastAsia="楷体" w:cs="Times New Roman"/>
                <w:spacing w:val="-10"/>
                <w:sz w:val="24"/>
                <w:szCs w:val="24"/>
                <w:lang w:bidi="en-US"/>
              </w:rPr>
            </w:pPr>
            <w:r>
              <w:rPr>
                <w:rFonts w:ascii="Times New Roman" w:hAnsi="Times New Roman" w:eastAsia="楷体" w:cs="Times New Roman"/>
                <w:spacing w:val="-10"/>
                <w:sz w:val="24"/>
                <w:szCs w:val="24"/>
                <w:lang w:eastAsia="en-US" w:bidi="en-US"/>
              </w:rPr>
              <w:t>100</w:t>
            </w:r>
            <w:r>
              <w:rPr>
                <w:rFonts w:ascii="Times New Roman" w:hAnsi="Times New Roman" w:eastAsia="楷体" w:cs="Times New Roman"/>
                <w:spacing w:val="-10"/>
                <w:sz w:val="24"/>
                <w:szCs w:val="24"/>
                <w:lang w:bidi="en-US"/>
              </w:rPr>
              <w:t>分</w:t>
            </w:r>
          </w:p>
        </w:tc>
      </w:tr>
    </w:tbl>
    <w:p>
      <w:pPr>
        <w:adjustRightInd w:val="0"/>
        <w:snapToGrid w:val="0"/>
        <w:spacing w:line="320" w:lineRule="exact"/>
        <w:ind w:left="720" w:hanging="720" w:hangingChars="300"/>
        <w:rPr>
          <w:rFonts w:ascii="Times New Roman" w:hAnsi="Times New Roman" w:eastAsia="楷体" w:cs="Times New Roman"/>
          <w:kern w:val="0"/>
          <w:sz w:val="24"/>
          <w:szCs w:val="24"/>
          <w:lang w:bidi="en-US"/>
        </w:rPr>
      </w:pPr>
      <w:r>
        <w:rPr>
          <w:rFonts w:ascii="Times New Roman" w:hAnsi="Times New Roman" w:eastAsia="楷体" w:cs="Times New Roman"/>
          <w:kern w:val="0"/>
          <w:sz w:val="24"/>
          <w:szCs w:val="24"/>
          <w:lang w:bidi="en-US"/>
        </w:rPr>
        <w:t>备注：企业命题类赛项作品如报名参加路演，将统一根据路演评审标准进行评定，具体评审标准参见《大赛实施细则》（附件1）。</w:t>
      </w:r>
    </w:p>
    <w:p>
      <w:pPr>
        <w:ind w:firstLine="640" w:firstLineChars="200"/>
        <w:rPr>
          <w:rFonts w:ascii="Times New Roman" w:hAnsi="Times New Roman" w:eastAsia="黑体" w:cs="Times New Roman"/>
          <w:sz w:val="32"/>
          <w:szCs w:val="32"/>
          <w:lang w:eastAsia="en-US" w:bidi="en-US"/>
        </w:rPr>
      </w:pPr>
      <w:r>
        <w:rPr>
          <w:rFonts w:ascii="Times New Roman" w:hAnsi="Times New Roman" w:eastAsia="黑体" w:cs="Times New Roman"/>
          <w:sz w:val="32"/>
          <w:szCs w:val="32"/>
          <w:lang w:bidi="en-US"/>
        </w:rPr>
        <w:t>八</w:t>
      </w:r>
      <w:r>
        <w:rPr>
          <w:rFonts w:ascii="Times New Roman" w:hAnsi="Times New Roman" w:eastAsia="黑体" w:cs="Times New Roman"/>
          <w:sz w:val="32"/>
          <w:szCs w:val="32"/>
          <w:lang w:eastAsia="en-US" w:bidi="en-US"/>
        </w:rPr>
        <w:t>、奖项设置</w:t>
      </w:r>
    </w:p>
    <w:tbl>
      <w:tblPr>
        <w:tblStyle w:val="2"/>
        <w:tblW w:w="8487"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4491"/>
        <w:gridCol w:w="2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205" w:type="dxa"/>
          </w:tcPr>
          <w:p>
            <w:pPr>
              <w:adjustRightInd w:val="0"/>
              <w:snapToGrid w:val="0"/>
              <w:spacing w:line="360" w:lineRule="exact"/>
              <w:jc w:val="center"/>
              <w:rPr>
                <w:rFonts w:ascii="Times New Roman" w:hAnsi="Times New Roman" w:eastAsia="黑体" w:cs="Times New Roman"/>
                <w:bCs/>
                <w:sz w:val="24"/>
                <w:szCs w:val="24"/>
                <w:lang w:eastAsia="en-US" w:bidi="en-US"/>
              </w:rPr>
            </w:pPr>
            <w:r>
              <w:rPr>
                <w:rFonts w:ascii="Times New Roman" w:hAnsi="Times New Roman" w:eastAsia="黑体" w:cs="Times New Roman"/>
                <w:bCs/>
                <w:sz w:val="24"/>
                <w:szCs w:val="24"/>
                <w:lang w:eastAsia="en-US" w:bidi="en-US"/>
              </w:rPr>
              <w:t>奖项</w:t>
            </w:r>
          </w:p>
        </w:tc>
        <w:tc>
          <w:tcPr>
            <w:tcW w:w="4491" w:type="dxa"/>
          </w:tcPr>
          <w:p>
            <w:pPr>
              <w:adjustRightInd w:val="0"/>
              <w:snapToGrid w:val="0"/>
              <w:spacing w:line="360" w:lineRule="exact"/>
              <w:jc w:val="center"/>
              <w:rPr>
                <w:rFonts w:ascii="Times New Roman" w:hAnsi="Times New Roman" w:eastAsia="黑体" w:cs="Times New Roman"/>
                <w:bCs/>
                <w:sz w:val="24"/>
                <w:szCs w:val="24"/>
                <w:lang w:eastAsia="en-US" w:bidi="en-US"/>
              </w:rPr>
            </w:pPr>
            <w:r>
              <w:rPr>
                <w:rFonts w:ascii="Times New Roman" w:hAnsi="Times New Roman" w:eastAsia="黑体" w:cs="Times New Roman"/>
                <w:bCs/>
                <w:sz w:val="24"/>
                <w:szCs w:val="24"/>
                <w:lang w:eastAsia="en-US" w:bidi="en-US"/>
              </w:rPr>
              <w:t>获奖数</w:t>
            </w:r>
          </w:p>
        </w:tc>
        <w:tc>
          <w:tcPr>
            <w:tcW w:w="2791" w:type="dxa"/>
          </w:tcPr>
          <w:p>
            <w:pPr>
              <w:adjustRightInd w:val="0"/>
              <w:snapToGrid w:val="0"/>
              <w:spacing w:line="360" w:lineRule="exact"/>
              <w:ind w:firstLine="480" w:firstLineChars="200"/>
              <w:jc w:val="center"/>
              <w:rPr>
                <w:rFonts w:ascii="Times New Roman" w:hAnsi="Times New Roman" w:eastAsia="黑体" w:cs="Times New Roman"/>
                <w:bCs/>
                <w:sz w:val="24"/>
                <w:szCs w:val="24"/>
                <w:lang w:eastAsia="en-US" w:bidi="en-US"/>
              </w:rPr>
            </w:pPr>
            <w:r>
              <w:rPr>
                <w:rFonts w:ascii="Times New Roman" w:hAnsi="Times New Roman" w:eastAsia="黑体" w:cs="Times New Roman"/>
                <w:bCs/>
                <w:sz w:val="24"/>
                <w:szCs w:val="24"/>
                <w:lang w:eastAsia="en-US" w:bidi="en-US"/>
              </w:rPr>
              <w:t>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05" w:type="dxa"/>
            <w:vAlign w:val="center"/>
          </w:tcPr>
          <w:p>
            <w:pPr>
              <w:adjustRightInd w:val="0"/>
              <w:snapToGrid w:val="0"/>
              <w:spacing w:line="360" w:lineRule="exact"/>
              <w:jc w:val="center"/>
              <w:rPr>
                <w:rFonts w:ascii="Times New Roman" w:hAnsi="Times New Roman" w:eastAsia="黑体" w:cs="Times New Roman"/>
                <w:bCs/>
                <w:sz w:val="24"/>
                <w:szCs w:val="24"/>
                <w:lang w:eastAsia="en-US" w:bidi="en-US"/>
              </w:rPr>
            </w:pPr>
            <w:r>
              <w:rPr>
                <w:rFonts w:ascii="Times New Roman" w:hAnsi="Times New Roman" w:eastAsia="黑体" w:cs="Times New Roman"/>
                <w:bCs/>
                <w:sz w:val="24"/>
                <w:szCs w:val="24"/>
                <w:lang w:eastAsia="en-US" w:bidi="en-US"/>
              </w:rPr>
              <w:t>一等奖</w:t>
            </w:r>
          </w:p>
        </w:tc>
        <w:tc>
          <w:tcPr>
            <w:tcW w:w="4491" w:type="dxa"/>
            <w:vAlign w:val="center"/>
          </w:tcPr>
          <w:p>
            <w:pPr>
              <w:adjustRightInd w:val="0"/>
              <w:snapToGrid w:val="0"/>
              <w:spacing w:line="360" w:lineRule="exact"/>
              <w:jc w:val="center"/>
              <w:rPr>
                <w:rFonts w:ascii="Times New Roman" w:hAnsi="Times New Roman" w:eastAsia="楷体" w:cs="Times New Roman"/>
                <w:sz w:val="24"/>
                <w:szCs w:val="24"/>
                <w:lang w:bidi="en-US"/>
              </w:rPr>
            </w:pPr>
            <w:r>
              <w:rPr>
                <w:rFonts w:ascii="Times New Roman" w:hAnsi="Times New Roman" w:eastAsia="楷体" w:cs="Times New Roman"/>
                <w:sz w:val="24"/>
                <w:szCs w:val="24"/>
                <w:lang w:eastAsia="en-US" w:bidi="en-US"/>
              </w:rPr>
              <w:t>1</w:t>
            </w:r>
            <w:r>
              <w:rPr>
                <w:rFonts w:ascii="Times New Roman" w:hAnsi="Times New Roman" w:eastAsia="楷体" w:cs="Times New Roman"/>
                <w:sz w:val="24"/>
                <w:szCs w:val="24"/>
                <w:lang w:bidi="en-US"/>
              </w:rPr>
              <w:t>个</w:t>
            </w:r>
          </w:p>
        </w:tc>
        <w:tc>
          <w:tcPr>
            <w:tcW w:w="2791" w:type="dxa"/>
            <w:vAlign w:val="center"/>
          </w:tcPr>
          <w:p>
            <w:pPr>
              <w:adjustRightInd w:val="0"/>
              <w:snapToGrid w:val="0"/>
              <w:spacing w:line="360" w:lineRule="exact"/>
              <w:jc w:val="center"/>
              <w:rPr>
                <w:rFonts w:ascii="Times New Roman" w:hAnsi="Times New Roman" w:eastAsia="楷体" w:cs="Times New Roman"/>
                <w:sz w:val="24"/>
                <w:szCs w:val="24"/>
                <w:lang w:bidi="en-US"/>
              </w:rPr>
            </w:pPr>
            <w:r>
              <w:rPr>
                <w:rFonts w:ascii="Times New Roman" w:hAnsi="Times New Roman" w:eastAsia="楷体" w:cs="Times New Roman"/>
                <w:sz w:val="24"/>
                <w:szCs w:val="24"/>
                <w:lang w:bidi="en-US"/>
              </w:rPr>
              <w:t>奖金2万元人民币</w:t>
            </w:r>
          </w:p>
          <w:p>
            <w:pPr>
              <w:adjustRightInd w:val="0"/>
              <w:snapToGrid w:val="0"/>
              <w:spacing w:line="360" w:lineRule="exact"/>
              <w:jc w:val="center"/>
              <w:rPr>
                <w:rFonts w:ascii="Times New Roman" w:hAnsi="Times New Roman" w:eastAsia="楷体" w:cs="Times New Roman"/>
                <w:sz w:val="24"/>
                <w:szCs w:val="24"/>
                <w:lang w:bidi="en-US"/>
              </w:rPr>
            </w:pPr>
            <w:r>
              <w:rPr>
                <w:rFonts w:ascii="Times New Roman" w:hAnsi="Times New Roman" w:eastAsia="楷体" w:cs="Times New Roman"/>
                <w:sz w:val="24"/>
                <w:szCs w:val="24"/>
                <w:lang w:bidi="en-US"/>
              </w:rPr>
              <w:t>并颁发获奖证书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205" w:type="dxa"/>
            <w:vAlign w:val="center"/>
          </w:tcPr>
          <w:p>
            <w:pPr>
              <w:adjustRightInd w:val="0"/>
              <w:snapToGrid w:val="0"/>
              <w:spacing w:line="360" w:lineRule="exact"/>
              <w:jc w:val="center"/>
              <w:rPr>
                <w:rFonts w:ascii="Times New Roman" w:hAnsi="Times New Roman" w:eastAsia="黑体" w:cs="Times New Roman"/>
                <w:bCs/>
                <w:sz w:val="24"/>
                <w:szCs w:val="24"/>
                <w:lang w:eastAsia="en-US" w:bidi="en-US"/>
              </w:rPr>
            </w:pPr>
            <w:r>
              <w:rPr>
                <w:rFonts w:ascii="Times New Roman" w:hAnsi="Times New Roman" w:eastAsia="黑体" w:cs="Times New Roman"/>
                <w:bCs/>
                <w:sz w:val="24"/>
                <w:szCs w:val="24"/>
                <w:lang w:eastAsia="en-US" w:bidi="en-US"/>
              </w:rPr>
              <w:t>二等奖</w:t>
            </w:r>
          </w:p>
        </w:tc>
        <w:tc>
          <w:tcPr>
            <w:tcW w:w="4491" w:type="dxa"/>
            <w:vAlign w:val="center"/>
          </w:tcPr>
          <w:p>
            <w:pPr>
              <w:adjustRightInd w:val="0"/>
              <w:snapToGrid w:val="0"/>
              <w:spacing w:line="360" w:lineRule="exact"/>
              <w:jc w:val="center"/>
              <w:rPr>
                <w:rFonts w:ascii="Times New Roman" w:hAnsi="Times New Roman" w:eastAsia="楷体" w:cs="Times New Roman"/>
                <w:sz w:val="24"/>
                <w:szCs w:val="24"/>
                <w:lang w:bidi="en-US"/>
              </w:rPr>
            </w:pPr>
            <w:r>
              <w:rPr>
                <w:rFonts w:ascii="Times New Roman" w:hAnsi="Times New Roman" w:eastAsia="楷体" w:cs="Times New Roman"/>
                <w:sz w:val="24"/>
                <w:szCs w:val="24"/>
                <w:lang w:eastAsia="en-US" w:bidi="en-US"/>
              </w:rPr>
              <w:t>3</w:t>
            </w:r>
            <w:r>
              <w:rPr>
                <w:rFonts w:ascii="Times New Roman" w:hAnsi="Times New Roman" w:eastAsia="楷体" w:cs="Times New Roman"/>
                <w:sz w:val="24"/>
                <w:szCs w:val="24"/>
                <w:lang w:bidi="en-US"/>
              </w:rPr>
              <w:t>个</w:t>
            </w:r>
          </w:p>
        </w:tc>
        <w:tc>
          <w:tcPr>
            <w:tcW w:w="2791" w:type="dxa"/>
            <w:vAlign w:val="center"/>
          </w:tcPr>
          <w:p>
            <w:pPr>
              <w:adjustRightInd w:val="0"/>
              <w:snapToGrid w:val="0"/>
              <w:spacing w:line="360" w:lineRule="exact"/>
              <w:jc w:val="center"/>
              <w:rPr>
                <w:rFonts w:ascii="Times New Roman" w:hAnsi="Times New Roman" w:eastAsia="楷体" w:cs="Times New Roman"/>
                <w:sz w:val="24"/>
                <w:szCs w:val="24"/>
                <w:lang w:bidi="en-US"/>
              </w:rPr>
            </w:pPr>
            <w:r>
              <w:rPr>
                <w:rFonts w:ascii="Times New Roman" w:hAnsi="Times New Roman" w:eastAsia="楷体" w:cs="Times New Roman"/>
                <w:sz w:val="24"/>
                <w:szCs w:val="24"/>
                <w:lang w:bidi="en-US"/>
              </w:rPr>
              <w:t>奖金1万元人民币</w:t>
            </w:r>
          </w:p>
          <w:p>
            <w:pPr>
              <w:adjustRightInd w:val="0"/>
              <w:snapToGrid w:val="0"/>
              <w:spacing w:line="360" w:lineRule="exact"/>
              <w:jc w:val="center"/>
              <w:rPr>
                <w:rFonts w:ascii="Times New Roman" w:hAnsi="Times New Roman" w:eastAsia="楷体" w:cs="Times New Roman"/>
                <w:sz w:val="24"/>
                <w:szCs w:val="24"/>
                <w:lang w:bidi="en-US"/>
              </w:rPr>
            </w:pPr>
            <w:r>
              <w:rPr>
                <w:rFonts w:ascii="Times New Roman" w:hAnsi="Times New Roman" w:eastAsia="楷体" w:cs="Times New Roman"/>
                <w:sz w:val="24"/>
                <w:szCs w:val="24"/>
                <w:lang w:bidi="en-US"/>
              </w:rPr>
              <w:t>并颁发获奖证书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05" w:type="dxa"/>
            <w:vAlign w:val="center"/>
          </w:tcPr>
          <w:p>
            <w:pPr>
              <w:adjustRightInd w:val="0"/>
              <w:snapToGrid w:val="0"/>
              <w:spacing w:line="360" w:lineRule="exact"/>
              <w:jc w:val="center"/>
              <w:rPr>
                <w:rFonts w:ascii="Times New Roman" w:hAnsi="Times New Roman" w:eastAsia="黑体" w:cs="Times New Roman"/>
                <w:bCs/>
                <w:sz w:val="24"/>
                <w:szCs w:val="24"/>
                <w:lang w:eastAsia="en-US" w:bidi="en-US"/>
              </w:rPr>
            </w:pPr>
            <w:r>
              <w:rPr>
                <w:rFonts w:ascii="Times New Roman" w:hAnsi="Times New Roman" w:eastAsia="黑体" w:cs="Times New Roman"/>
                <w:bCs/>
                <w:sz w:val="24"/>
                <w:szCs w:val="24"/>
                <w:lang w:eastAsia="en-US" w:bidi="en-US"/>
              </w:rPr>
              <w:t>三等奖</w:t>
            </w:r>
          </w:p>
        </w:tc>
        <w:tc>
          <w:tcPr>
            <w:tcW w:w="4491" w:type="dxa"/>
            <w:vAlign w:val="center"/>
          </w:tcPr>
          <w:p>
            <w:pPr>
              <w:adjustRightInd w:val="0"/>
              <w:snapToGrid w:val="0"/>
              <w:spacing w:line="360" w:lineRule="exact"/>
              <w:jc w:val="center"/>
              <w:rPr>
                <w:rFonts w:ascii="Times New Roman" w:hAnsi="Times New Roman" w:eastAsia="楷体" w:cs="Times New Roman"/>
                <w:sz w:val="24"/>
                <w:szCs w:val="24"/>
                <w:lang w:bidi="en-US"/>
              </w:rPr>
            </w:pPr>
            <w:r>
              <w:rPr>
                <w:rFonts w:ascii="Times New Roman" w:hAnsi="Times New Roman" w:eastAsia="楷体" w:cs="Times New Roman"/>
                <w:sz w:val="24"/>
                <w:szCs w:val="24"/>
                <w:lang w:bidi="en-US"/>
              </w:rPr>
              <w:t>若干（≤10个，具体名额根据参赛作品数量确定）</w:t>
            </w:r>
          </w:p>
        </w:tc>
        <w:tc>
          <w:tcPr>
            <w:tcW w:w="2791" w:type="dxa"/>
            <w:vAlign w:val="center"/>
          </w:tcPr>
          <w:p>
            <w:pPr>
              <w:adjustRightInd w:val="0"/>
              <w:snapToGrid w:val="0"/>
              <w:spacing w:line="360" w:lineRule="exact"/>
              <w:jc w:val="center"/>
              <w:rPr>
                <w:rFonts w:ascii="Times New Roman" w:hAnsi="Times New Roman" w:eastAsia="楷体" w:cs="Times New Roman"/>
                <w:sz w:val="24"/>
                <w:szCs w:val="24"/>
                <w:lang w:bidi="en-US"/>
              </w:rPr>
            </w:pPr>
            <w:r>
              <w:rPr>
                <w:rFonts w:ascii="Times New Roman" w:hAnsi="Times New Roman" w:eastAsia="楷体" w:cs="Times New Roman"/>
                <w:sz w:val="24"/>
                <w:szCs w:val="24"/>
                <w:lang w:bidi="en-US"/>
              </w:rPr>
              <w:t>奖金3千元人民币</w:t>
            </w:r>
          </w:p>
          <w:p>
            <w:pPr>
              <w:adjustRightInd w:val="0"/>
              <w:snapToGrid w:val="0"/>
              <w:spacing w:line="360" w:lineRule="exact"/>
              <w:jc w:val="center"/>
              <w:rPr>
                <w:rFonts w:ascii="Times New Roman" w:hAnsi="Times New Roman" w:eastAsia="楷体" w:cs="Times New Roman"/>
                <w:sz w:val="24"/>
                <w:szCs w:val="24"/>
                <w:lang w:bidi="en-US"/>
              </w:rPr>
            </w:pPr>
            <w:r>
              <w:rPr>
                <w:rFonts w:ascii="Times New Roman" w:hAnsi="Times New Roman" w:eastAsia="楷体" w:cs="Times New Roman"/>
                <w:sz w:val="24"/>
                <w:szCs w:val="24"/>
                <w:lang w:bidi="en-US"/>
              </w:rPr>
              <w:t>并颁发获奖证书</w:t>
            </w:r>
          </w:p>
        </w:tc>
      </w:tr>
    </w:tbl>
    <w:p>
      <w:pPr>
        <w:adjustRightInd w:val="0"/>
        <w:snapToGrid w:val="0"/>
        <w:spacing w:line="320" w:lineRule="exact"/>
        <w:ind w:left="720" w:hanging="720" w:hangingChars="300"/>
        <w:rPr>
          <w:rFonts w:ascii="Times New Roman" w:hAnsi="Times New Roman" w:eastAsia="等线" w:cs="Times New Roman"/>
        </w:rPr>
      </w:pPr>
      <w:r>
        <w:rPr>
          <w:rFonts w:ascii="Times New Roman" w:hAnsi="Times New Roman" w:eastAsia="楷体" w:cs="Times New Roman"/>
          <w:kern w:val="0"/>
          <w:sz w:val="24"/>
          <w:szCs w:val="24"/>
          <w:lang w:bidi="en-US"/>
        </w:rPr>
        <w:t>备注：除赛项奖励外，入围现场决赛的企业命题类赛项作品可参与大赛路演奖、团体奖的评选和积分（具体详见大赛通知）。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BC1F50"/>
    <w:multiLevelType w:val="singleLevel"/>
    <w:tmpl w:val="B7BC1F5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B96879"/>
    <w:rsid w:val="42B96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2020-09-24T08:56:00Z</dcterms:created>
  <dc:creator>文静</dc:creator>
  <cp:lastModifiedBy>文静</cp:lastModifiedBy>
  <dcterms:modified xsi:type="dcterms:W3CDTF">2020-09-24T08:56:47Z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