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jc w:val="center"/>
        <w:textAlignment w:val="auto"/>
        <w:rPr>
          <w:rFonts w:hint="eastAsia" w:ascii="仿宋_GB2312" w:hAnsi="仿宋" w:eastAsia="仿宋_GB2312" w:cstheme="minorBidi"/>
          <w:kern w:val="2"/>
          <w:sz w:val="44"/>
          <w:szCs w:val="44"/>
          <w:lang w:val="en" w:eastAsia="zh-CN" w:bidi="ar-SA"/>
        </w:rPr>
      </w:pPr>
      <w:r>
        <w:rPr>
          <w:rFonts w:hint="eastAsia" w:ascii="方正小标宋简体" w:hAnsi="方正小标宋简体" w:eastAsia="方正小标宋简体" w:cs="方正小标宋简体"/>
          <w:kern w:val="2"/>
          <w:sz w:val="44"/>
          <w:szCs w:val="44"/>
          <w:lang w:val="en-US" w:eastAsia="zh-CN" w:bidi="ar-SA"/>
        </w:rPr>
        <w:t>2020年度</w:t>
      </w:r>
      <w:r>
        <w:rPr>
          <w:rFonts w:hint="eastAsia" w:ascii="方正小标宋简体" w:hAnsi="方正小标宋简体" w:eastAsia="方正小标宋简体" w:cs="方正小标宋简体"/>
          <w:kern w:val="2"/>
          <w:sz w:val="44"/>
          <w:szCs w:val="44"/>
          <w:lang w:val="en" w:eastAsia="zh-CN" w:bidi="ar-SA"/>
        </w:rPr>
        <w:t>高校统战工作研究课题立项名单</w:t>
      </w:r>
    </w:p>
    <w:tbl>
      <w:tblPr>
        <w:tblStyle w:val="3"/>
        <w:tblW w:w="0" w:type="auto"/>
        <w:tblInd w:w="0" w:type="dxa"/>
        <w:shd w:val="clear" w:color="auto" w:fill="auto"/>
        <w:tblLayout w:type="autofit"/>
        <w:tblCellMar>
          <w:top w:w="0" w:type="dxa"/>
          <w:left w:w="0" w:type="dxa"/>
          <w:bottom w:w="0" w:type="dxa"/>
          <w:right w:w="0" w:type="dxa"/>
        </w:tblCellMar>
      </w:tblPr>
      <w:tblGrid>
        <w:gridCol w:w="1595"/>
        <w:gridCol w:w="6570"/>
        <w:gridCol w:w="975"/>
        <w:gridCol w:w="2040"/>
        <w:gridCol w:w="1217"/>
        <w:gridCol w:w="1017"/>
      </w:tblGrid>
      <w:tr>
        <w:tblPrEx>
          <w:shd w:val="clear" w:color="auto" w:fill="auto"/>
          <w:tblCellMar>
            <w:top w:w="0" w:type="dxa"/>
            <w:left w:w="0" w:type="dxa"/>
            <w:bottom w:w="0" w:type="dxa"/>
            <w:right w:w="0" w:type="dxa"/>
          </w:tblCellMar>
        </w:tblPrEx>
        <w:trPr>
          <w:trHeight w:val="1077"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课题批准号</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课题名称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申报人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申报单位</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立项类别</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资助经费</w:t>
            </w:r>
            <w:r>
              <w:rPr>
                <w:rFonts w:hint="eastAsia" w:ascii="仿宋_GB2312" w:hAnsi="仿宋" w:eastAsia="仿宋_GB2312" w:cstheme="minorBidi"/>
                <w:kern w:val="2"/>
                <w:sz w:val="18"/>
                <w:szCs w:val="18"/>
                <w:lang w:val="en-US" w:eastAsia="zh-CN" w:bidi="ar-SA"/>
              </w:rPr>
              <w:t>（万元）</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2020TZZD01</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以西迁精神为引领，做好高校党外知识分子思想政治工作研究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张定红</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西安交通大学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2020TZZD02</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高校党外知识分子思想政治引领制度化研究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周文全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西南大学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2020TZZD03</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高校党外知识分子思想引领研究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冯身洪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同济大学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2020TZZD04</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习近平关于加强和改进统一战线工作的重要思想研究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阎占定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中南民族大学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2020TZZD05</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宗教路径依赖对大学生的影响及高校治理对策研究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崔若椈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山东师范大学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2020TZYB01</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新形势下高校党外知识分子思想政治引领研究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陈骥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北京航空航天大学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2020TZYB02</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心理学视角下的高校党外知识分子教育引导机制研究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赵海信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武汉</w:t>
            </w:r>
            <w:bookmarkStart w:id="0" w:name="_GoBack"/>
            <w:bookmarkEnd w:id="0"/>
            <w:r>
              <w:rPr>
                <w:rFonts w:hint="eastAsia" w:ascii="仿宋_GB2312" w:hAnsi="仿宋" w:eastAsia="仿宋_GB2312" w:cstheme="minorBidi"/>
                <w:kern w:val="2"/>
                <w:sz w:val="24"/>
                <w:szCs w:val="24"/>
                <w:lang w:val="en-US" w:eastAsia="zh-CN" w:bidi="ar-SA"/>
              </w:rPr>
              <w:t>理工大学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2020TZYB03</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双向嵌入视角下归国留学人员统战工作创新机制研究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刘蕾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中国矿业大学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2020TZYB04</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党的十八大以来习近平高校统一战线理论创新研究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巩茹敏</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哈尔滨工业大学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2020TZYB05</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总体国家安全观视域下民族高校防范和抵御宗教渗透对策研究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马广成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北方民族大学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2020TZYB06</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习近平总书记的民族观及其实践要求研究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徐占元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兰州交通大学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2020TZYB07</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新时代陕西高校抵御与防范宗教渗透体系构建研究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赵海霞</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西北工业大学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2020TZYB08</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互联网环境中新疆高校防范和抵御宗教渗透对策研究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王晓江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新疆大学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2020TZYB09</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以十九大精神为引领 创新智媒时代高校统战工作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李飞雪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中国传媒大学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2020TZYB10</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重大突发公共卫生事件中高校党外知识分子思想政治引领研究</w:t>
            </w:r>
          </w:p>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——以华中科技大学统一战线抗击新冠肺炎疫情为例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杨筱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华中科技大学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2020TZYB11</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基于意识形态安全视域下的高校宗教渗透防范模式与实现</w:t>
            </w:r>
          </w:p>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朱建飞</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南京理工大学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2020TZYB12</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高校少数民族学生马克思主义宗教观教育实践研究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吕晓丽</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北京科技大学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2020TZYB13</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高校党外知识分子发挥立德树人作用的理论研究与实践探索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王尧</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南京信息工程大学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2020TZYB14</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高校网络统战工作研究</w:t>
            </w:r>
          </w:p>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——基于电子科技大学“智慧统战系统”的实践探索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武好明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电子科技大学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2020TZYB15</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新时代高校归国留学教师思想状况及统战工作对策研究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徐引正</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长安大学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2020TZYB16</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提升高校开展沪港澳青年合作交流深度的思考和探索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张卫刚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上海交通大学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2020TZYB17</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发挥高校统战文化建设在高校统战工作中特殊作用研究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刘海龙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东北大学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2020TZYB18</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大统战格局下东部地区高校防范和抵御宗教渗透对策研究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秦承涛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山东大学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2020TZYB19</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贯彻落实习近平总书记关于加强和改进统一战线工作的重要思想的探索与实践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赵东元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复旦大学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2020TZYB20</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风险评估视角下高校宗教渗透防控对策研究</w:t>
            </w:r>
          </w:p>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——以湖南省高校为对象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李佳</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湖南大学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2020TZYB21</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新媒体时代高校网络统战工作的挑战与应对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何婉文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中山大学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2020TZYB22</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新时代高校党外知识分子思想政治引领研究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蒙慧</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兰州大学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2020TZYB23</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高校归国留学人员政治引领和政治吸纳机制研究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魏 彬</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东南大学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2020TZYB24</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高校两级管理体制下二级学院统战工作创新发展研究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石琼</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四川大学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2020TZYB25</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高校党外知识分子思想政治引领研究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王莉华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郑州大学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2020TZYB26</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高校统战工作对大学生防范和抵御宗教渗透的重要意义研究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谢 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中南大学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52"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2020TZYB27</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高校党外知识分子统战工作精准性研究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姚跃传</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合肥工业大学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04138"/>
    <w:rsid w:val="05F04138"/>
    <w:rsid w:val="630D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2020-10-09T08:20:00Z</dcterms:created>
  <dc:creator>qzuser</dc:creator>
  <cp:lastModifiedBy>qzuser</cp:lastModifiedBy>
  <dcterms:modified xsi:type="dcterms:W3CDTF">2020-12-21T08:44:28Z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