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CE6E" w14:textId="77777777" w:rsidR="00BE1A79" w:rsidRDefault="00BE1A79" w:rsidP="00BE1A79">
      <w:pPr>
        <w:numPr>
          <w:ilvl w:val="255"/>
          <w:numId w:val="0"/>
        </w:numPr>
        <w:adjustRightInd w:val="0"/>
        <w:snapToGrid w:val="0"/>
        <w:spacing w:line="620" w:lineRule="exact"/>
        <w:rPr>
          <w:rFonts w:ascii="黑体" w:eastAsia="黑体" w:hAnsi="黑体" w:cs="黑体"/>
          <w:color w:val="000000"/>
          <w:kern w:val="2"/>
          <w:sz w:val="32"/>
          <w:szCs w:val="32"/>
        </w:rPr>
      </w:pPr>
      <w:r>
        <w:rPr>
          <w:rFonts w:ascii="黑体" w:eastAsia="黑体" w:hAnsi="黑体" w:cs="黑体" w:hint="eastAsia"/>
          <w:color w:val="000000"/>
          <w:kern w:val="2"/>
          <w:sz w:val="32"/>
          <w:szCs w:val="32"/>
        </w:rPr>
        <w:t>附件1</w:t>
      </w:r>
    </w:p>
    <w:p w14:paraId="003C5CCF" w14:textId="77777777" w:rsidR="00BE1A79" w:rsidRDefault="00BE1A79" w:rsidP="00BE1A79">
      <w:pPr>
        <w:numPr>
          <w:ilvl w:val="255"/>
          <w:numId w:val="0"/>
        </w:numPr>
        <w:adjustRightInd w:val="0"/>
        <w:snapToGrid w:val="0"/>
        <w:spacing w:line="560" w:lineRule="exact"/>
        <w:jc w:val="center"/>
        <w:rPr>
          <w:rFonts w:ascii="方正小标宋简体" w:eastAsia="方正小标宋简体" w:hAnsi="方正小标宋简体" w:cs="方正小标宋简体"/>
          <w:color w:val="000000"/>
          <w:kern w:val="2"/>
          <w:sz w:val="44"/>
          <w:szCs w:val="44"/>
        </w:rPr>
      </w:pPr>
      <w:r>
        <w:rPr>
          <w:rFonts w:ascii="方正小标宋简体" w:eastAsia="方正小标宋简体" w:hAnsi="方正小标宋简体" w:cs="方正小标宋简体" w:hint="eastAsia"/>
          <w:color w:val="000000"/>
          <w:kern w:val="2"/>
          <w:sz w:val="44"/>
          <w:szCs w:val="44"/>
        </w:rPr>
        <w:t>专家简介</w:t>
      </w:r>
    </w:p>
    <w:p w14:paraId="26C114A4" w14:textId="77777777" w:rsidR="00BE1A79" w:rsidRDefault="00BE1A79" w:rsidP="00BE1A79">
      <w:pPr>
        <w:widowControl w:val="0"/>
        <w:spacing w:line="560" w:lineRule="exact"/>
        <w:ind w:firstLineChars="200" w:firstLine="643"/>
        <w:rPr>
          <w:rFonts w:ascii="仿宋_GB2312" w:eastAsia="仿宋_GB2312" w:hAnsi="仿宋_GB2312" w:cs="仿宋_GB2312"/>
          <w:sz w:val="32"/>
          <w:szCs w:val="32"/>
        </w:rPr>
      </w:pPr>
      <w:proofErr w:type="gramStart"/>
      <w:r>
        <w:rPr>
          <w:rFonts w:ascii="仿宋_GB2312" w:eastAsia="仿宋_GB2312" w:hAnsi="仿宋_GB2312" w:cs="仿宋_GB2312" w:hint="eastAsia"/>
          <w:b/>
          <w:bCs/>
          <w:sz w:val="32"/>
          <w:szCs w:val="32"/>
        </w:rPr>
        <w:t>汲</w:t>
      </w:r>
      <w:proofErr w:type="gramEnd"/>
      <w:r>
        <w:rPr>
          <w:rFonts w:ascii="仿宋_GB2312" w:eastAsia="仿宋_GB2312" w:hAnsi="仿宋_GB2312" w:cs="仿宋_GB2312" w:hint="eastAsia"/>
          <w:b/>
          <w:bCs/>
          <w:sz w:val="32"/>
          <w:szCs w:val="32"/>
        </w:rPr>
        <w:t xml:space="preserve">培文 </w:t>
      </w:r>
      <w:r>
        <w:rPr>
          <w:rFonts w:ascii="仿宋_GB2312" w:eastAsia="仿宋_GB2312" w:hAnsi="仿宋_GB2312" w:cs="仿宋_GB2312" w:hint="eastAsia"/>
          <w:sz w:val="32"/>
          <w:szCs w:val="32"/>
        </w:rPr>
        <w:t>研究员，国家自然科学基金委员会数理科学部原常务副主任，中国力学会特邀理事。</w:t>
      </w:r>
    </w:p>
    <w:p w14:paraId="5841AE32" w14:textId="77777777" w:rsidR="00BE1A79" w:rsidRDefault="00BE1A79" w:rsidP="00BE1A79">
      <w:pPr>
        <w:widowControl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易  凌 </w:t>
      </w:r>
      <w:r>
        <w:rPr>
          <w:rFonts w:ascii="仿宋_GB2312" w:eastAsia="仿宋_GB2312" w:hAnsi="仿宋_GB2312" w:cs="仿宋_GB2312" w:hint="eastAsia"/>
          <w:sz w:val="32"/>
          <w:szCs w:val="32"/>
        </w:rPr>
        <w:t>教授，硕士生导师，浙江大学法学博士后，浙江万里学院法经济学研究中心主任，</w:t>
      </w:r>
      <w:proofErr w:type="gramStart"/>
      <w:r>
        <w:rPr>
          <w:rFonts w:ascii="仿宋_GB2312" w:eastAsia="仿宋_GB2312" w:hAnsi="仿宋_GB2312" w:cs="仿宋_GB2312" w:hint="eastAsia"/>
          <w:sz w:val="32"/>
          <w:szCs w:val="32"/>
        </w:rPr>
        <w:t>囯</w:t>
      </w:r>
      <w:proofErr w:type="gramEnd"/>
      <w:r>
        <w:rPr>
          <w:rFonts w:ascii="仿宋_GB2312" w:eastAsia="仿宋_GB2312" w:hAnsi="仿宋_GB2312" w:cs="仿宋_GB2312" w:hint="eastAsia"/>
          <w:sz w:val="32"/>
          <w:szCs w:val="32"/>
        </w:rPr>
        <w:t>家社会科学基金项目和</w:t>
      </w:r>
      <w:proofErr w:type="gramStart"/>
      <w:r>
        <w:rPr>
          <w:rFonts w:ascii="仿宋_GB2312" w:eastAsia="仿宋_GB2312" w:hAnsi="仿宋_GB2312" w:cs="仿宋_GB2312" w:hint="eastAsia"/>
          <w:sz w:val="32"/>
          <w:szCs w:val="32"/>
        </w:rPr>
        <w:t>囯</w:t>
      </w:r>
      <w:proofErr w:type="gramEnd"/>
      <w:r>
        <w:rPr>
          <w:rFonts w:ascii="仿宋_GB2312" w:eastAsia="仿宋_GB2312" w:hAnsi="仿宋_GB2312" w:cs="仿宋_GB2312" w:hint="eastAsia"/>
          <w:sz w:val="32"/>
          <w:szCs w:val="32"/>
        </w:rPr>
        <w:t>家自然科学基金项目评审专家。先后主持完成国家级项目4项，其中主持完成国家软科学重大招标项目1项，主持完成省级项目12项，公开发表学术论文80余篇，主编、撰写著作及教材5部，参与40余部省市及国家法律法规的修改与论证工作，30余部的法规修改建议被立法部门采纳吸收。撰写的要报</w:t>
      </w:r>
      <w:proofErr w:type="gramStart"/>
      <w:r>
        <w:rPr>
          <w:rFonts w:ascii="仿宋_GB2312" w:eastAsia="仿宋_GB2312" w:hAnsi="仿宋_GB2312" w:cs="仿宋_GB2312" w:hint="eastAsia"/>
          <w:sz w:val="32"/>
          <w:szCs w:val="32"/>
        </w:rPr>
        <w:t>智库成果</w:t>
      </w:r>
      <w:proofErr w:type="gramEnd"/>
      <w:r>
        <w:rPr>
          <w:rFonts w:ascii="仿宋_GB2312" w:eastAsia="仿宋_GB2312" w:hAnsi="仿宋_GB2312" w:cs="仿宋_GB2312" w:hint="eastAsia"/>
          <w:sz w:val="32"/>
          <w:szCs w:val="32"/>
        </w:rPr>
        <w:t>先后10余次获得省市领导肯定性批示。</w:t>
      </w:r>
    </w:p>
    <w:p w14:paraId="6AC49B7D" w14:textId="77777777" w:rsidR="00BE1A79" w:rsidRDefault="00BE1A79" w:rsidP="00BE1A79">
      <w:pPr>
        <w:pStyle w:val="a3"/>
        <w:shd w:val="clear" w:color="auto" w:fill="FFFFFF"/>
        <w:spacing w:line="560" w:lineRule="exact"/>
        <w:ind w:firstLineChars="200" w:firstLine="643"/>
        <w:rPr>
          <w:rFonts w:ascii="仿宋_GB2312" w:eastAsia="仿宋_GB2312" w:hAnsi="仿宋_GB2312" w:cs="仿宋_GB2312"/>
          <w:sz w:val="32"/>
          <w:szCs w:val="32"/>
        </w:rPr>
      </w:pPr>
      <w:proofErr w:type="gramStart"/>
      <w:r>
        <w:rPr>
          <w:rFonts w:ascii="仿宋_GB2312" w:eastAsia="仿宋_GB2312" w:hAnsi="仿宋_GB2312" w:cs="仿宋_GB2312" w:hint="eastAsia"/>
          <w:b/>
          <w:bCs/>
          <w:color w:val="333333"/>
          <w:sz w:val="32"/>
          <w:szCs w:val="32"/>
          <w:shd w:val="clear" w:color="auto" w:fill="FFFFFF"/>
        </w:rPr>
        <w:t>董必荣</w:t>
      </w:r>
      <w:proofErr w:type="gramEnd"/>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sz w:val="32"/>
          <w:szCs w:val="32"/>
        </w:rPr>
        <w:t>南京审计大学党委常委、副校长，教授，管理学（会计学）博士。现为教育部会计学专业教学指导委员会委员、财政部内部控制标准委员会咨询专家，中国对外经济贸易会计学会副会长。在《会计研究》《中国工业经济》《审计研究》等专业核心期刊上发表学术论文60余篇，出版专著1本、教材1本，先后主持国家社科基金3项（含重点项目2项）、教育部人文社会科学基金1项、江苏省社会科学基金2项（含重点项目1项）以及其他等省部级课题多项。</w:t>
      </w:r>
    </w:p>
    <w:p w14:paraId="138DF6C2" w14:textId="77777777" w:rsidR="00BE1A79" w:rsidRDefault="00BE1A79" w:rsidP="00BE1A79">
      <w:pPr>
        <w:widowControl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陈  江 </w:t>
      </w:r>
      <w:r>
        <w:rPr>
          <w:rFonts w:ascii="仿宋_GB2312" w:eastAsia="仿宋_GB2312" w:hAnsi="仿宋_GB2312" w:cs="仿宋_GB2312" w:hint="eastAsia"/>
          <w:sz w:val="32"/>
          <w:szCs w:val="32"/>
        </w:rPr>
        <w:t>北京大学信息科学技术学院教授，在北大获得</w:t>
      </w:r>
      <w:r>
        <w:rPr>
          <w:rFonts w:ascii="仿宋_GB2312" w:eastAsia="仿宋_GB2312" w:hAnsi="仿宋_GB2312" w:cs="仿宋_GB2312" w:hint="eastAsia"/>
          <w:sz w:val="32"/>
          <w:szCs w:val="32"/>
        </w:rPr>
        <w:lastRenderedPageBreak/>
        <w:t>理学学士和工学博士后留校任教。北大教学卓越奖、十佳教师、教学优秀奖获得者，担任北大教师教学发展中心培训专家。专业研究方向：无线通信，电路与系统。潜心教学，目前在北大主讲电子线路分析与设计、创新与快速原型研制、电子游戏通论等八门课程，深受学生青睐。近年来受邀做PPT运用、直播授课等主题的报告讲座百余场，广获好评。</w:t>
      </w:r>
    </w:p>
    <w:p w14:paraId="48403CFA" w14:textId="77777777" w:rsidR="00BE1A79" w:rsidRDefault="00BE1A79" w:rsidP="00BE1A79">
      <w:pPr>
        <w:widowControl w:val="0"/>
        <w:spacing w:line="560" w:lineRule="exact"/>
        <w:ind w:firstLineChars="200" w:firstLine="643"/>
        <w:jc w:val="both"/>
        <w:rPr>
          <w:rFonts w:ascii="仿宋_GB2312" w:eastAsia="仿宋_GB2312" w:hAnsi="仿宋_GB2312" w:cs="仿宋_GB2312"/>
          <w:kern w:val="2"/>
          <w:sz w:val="32"/>
          <w:szCs w:val="32"/>
          <w:lang w:bidi="ar"/>
        </w:rPr>
      </w:pPr>
      <w:proofErr w:type="gramStart"/>
      <w:r>
        <w:rPr>
          <w:rFonts w:ascii="仿宋_GB2312" w:eastAsia="仿宋_GB2312" w:hAnsi="仿宋_GB2312" w:cs="仿宋_GB2312" w:hint="eastAsia"/>
          <w:b/>
          <w:bCs/>
          <w:color w:val="000000"/>
          <w:kern w:val="2"/>
          <w:sz w:val="32"/>
          <w:szCs w:val="32"/>
        </w:rPr>
        <w:t>焦丽珍</w:t>
      </w:r>
      <w:proofErr w:type="gramEnd"/>
      <w:r>
        <w:rPr>
          <w:rFonts w:ascii="仿宋_GB2312" w:eastAsia="仿宋_GB2312" w:hAnsi="仿宋_GB2312" w:cs="仿宋_GB2312" w:hint="eastAsia"/>
          <w:b/>
          <w:bCs/>
          <w:color w:val="000000"/>
          <w:kern w:val="2"/>
          <w:sz w:val="32"/>
          <w:szCs w:val="32"/>
        </w:rPr>
        <w:t xml:space="preserve"> </w:t>
      </w:r>
      <w:r>
        <w:rPr>
          <w:rFonts w:ascii="仿宋_GB2312" w:eastAsia="仿宋_GB2312" w:hAnsi="仿宋_GB2312" w:cs="仿宋_GB2312" w:hint="eastAsia"/>
          <w:kern w:val="2"/>
          <w:sz w:val="32"/>
          <w:szCs w:val="32"/>
          <w:lang w:bidi="ar"/>
        </w:rPr>
        <w:t>《现代教育技术》编辑部主任，中国教育技术协会人工智能专业委员会理事，</w:t>
      </w:r>
      <w:proofErr w:type="gramStart"/>
      <w:r>
        <w:rPr>
          <w:rFonts w:ascii="仿宋_GB2312" w:eastAsia="仿宋_GB2312" w:hAnsi="仿宋_GB2312" w:cs="仿宋_GB2312" w:hint="eastAsia"/>
          <w:kern w:val="2"/>
          <w:sz w:val="32"/>
          <w:szCs w:val="32"/>
          <w:lang w:bidi="ar"/>
        </w:rPr>
        <w:t>科大讯飞</w:t>
      </w:r>
      <w:proofErr w:type="gramEnd"/>
      <w:r>
        <w:rPr>
          <w:rFonts w:ascii="仿宋_GB2312" w:eastAsia="仿宋_GB2312" w:hAnsi="仿宋_GB2312" w:cs="仿宋_GB2312" w:hint="eastAsia"/>
          <w:kern w:val="2"/>
          <w:sz w:val="32"/>
          <w:szCs w:val="32"/>
          <w:lang w:bidi="ar"/>
        </w:rPr>
        <w:t>AI应用教研院特聘专家。曾获中国教育技术协会期刊专业委员会优秀编辑以及多次获得清华大学信息化技术中心先进工作者。曾为华东师范大学、华南师范大学、南京邮电大学、天津大学等20多所院校的青年教师、硕博士等进行过期刊论文写作与发表的内容分享，深受师生欢迎。</w:t>
      </w:r>
    </w:p>
    <w:p w14:paraId="63702E1E" w14:textId="77777777" w:rsidR="00BE1A79" w:rsidRDefault="00BE1A79" w:rsidP="00BE1A79">
      <w:pPr>
        <w:spacing w:line="560" w:lineRule="exact"/>
        <w:ind w:firstLineChars="200" w:firstLine="643"/>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 xml:space="preserve">顾晓薇 </w:t>
      </w:r>
      <w:r>
        <w:rPr>
          <w:rFonts w:ascii="仿宋_GB2312" w:eastAsia="仿宋_GB2312" w:hAnsi="仿宋_GB2312" w:cs="仿宋_GB2312" w:hint="eastAsia"/>
          <w:color w:val="000000"/>
          <w:sz w:val="32"/>
          <w:szCs w:val="32"/>
        </w:rPr>
        <w:t>教授，博士生导师，国家重点研发计划首席科学家，国家“万人计划领军人才”教学名师，辽宁省教学名师，辽宁省巾帼建功标兵。教育部新世纪优秀人才、智慧教学之星，辽宁省百千万工程领军人才、辽宁省“百千万人才工程”百人层次。现任辽宁省固</w:t>
      </w:r>
      <w:proofErr w:type="gramStart"/>
      <w:r>
        <w:rPr>
          <w:rFonts w:ascii="仿宋_GB2312" w:eastAsia="仿宋_GB2312" w:hAnsi="仿宋_GB2312" w:cs="仿宋_GB2312" w:hint="eastAsia"/>
          <w:color w:val="000000"/>
          <w:sz w:val="32"/>
          <w:szCs w:val="32"/>
        </w:rPr>
        <w:t>废产业</w:t>
      </w:r>
      <w:proofErr w:type="gramEnd"/>
      <w:r>
        <w:rPr>
          <w:rFonts w:ascii="仿宋_GB2312" w:eastAsia="仿宋_GB2312" w:hAnsi="仿宋_GB2312" w:cs="仿宋_GB2312" w:hint="eastAsia"/>
          <w:color w:val="000000"/>
          <w:sz w:val="32"/>
          <w:szCs w:val="32"/>
        </w:rPr>
        <w:t>技术创新研究院院长、常务副理事长兼秘书长，东北大学智慧水利与资源环境科技创新中心执行主任，兼任教育部矿业类专业本科教学指导委员会委员、国家矿业类专业认证委员会骨干专家委员兼副秘书长、辽宁省矿业</w:t>
      </w:r>
      <w:proofErr w:type="gramStart"/>
      <w:r>
        <w:rPr>
          <w:rFonts w:ascii="仿宋_GB2312" w:eastAsia="仿宋_GB2312" w:hAnsi="仿宋_GB2312" w:cs="仿宋_GB2312" w:hint="eastAsia"/>
          <w:color w:val="000000"/>
          <w:sz w:val="32"/>
          <w:szCs w:val="32"/>
        </w:rPr>
        <w:t>类教指</w:t>
      </w:r>
      <w:proofErr w:type="gramEnd"/>
      <w:r>
        <w:rPr>
          <w:rFonts w:ascii="仿宋_GB2312" w:eastAsia="仿宋_GB2312" w:hAnsi="仿宋_GB2312" w:cs="仿宋_GB2312" w:hint="eastAsia"/>
          <w:color w:val="000000"/>
          <w:sz w:val="32"/>
          <w:szCs w:val="32"/>
        </w:rPr>
        <w:t>委主任、中国</w:t>
      </w:r>
      <w:r>
        <w:rPr>
          <w:rFonts w:ascii="仿宋_GB2312" w:eastAsia="仿宋_GB2312" w:hAnsi="仿宋_GB2312" w:cs="仿宋_GB2312" w:hint="eastAsia"/>
          <w:color w:val="000000"/>
          <w:sz w:val="32"/>
          <w:szCs w:val="32"/>
        </w:rPr>
        <w:lastRenderedPageBreak/>
        <w:t>混凝土与水泥制品协会混凝土工程技术分会副理事长、中国建筑学会建筑材料分会理事等多项社会兼职。</w:t>
      </w:r>
    </w:p>
    <w:p w14:paraId="2124777C" w14:textId="77777777" w:rsidR="006F37CA" w:rsidRPr="00BE1A79" w:rsidRDefault="00BE1A79"/>
    <w:sectPr w:rsidR="006F37CA" w:rsidRPr="00BE1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79"/>
    <w:rsid w:val="004F65BC"/>
    <w:rsid w:val="00BE1A79"/>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0C69"/>
  <w15:chartTrackingRefBased/>
  <w15:docId w15:val="{76E87CFF-4CDF-4C53-A24E-C02DC5BE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A7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E1A79"/>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2021-10-27T03:33:00Z</dcterms:created>
  <dcterms:modified xsi:type="dcterms:W3CDTF">2021-10-27T03:34:00Z</dcterms:modified>
</cp:coreProperties>
</file>