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中国高等教育学会分支机构建设规范（2023）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-自评打分表</w:t>
      </w:r>
    </w:p>
    <w:p>
      <w:pPr>
        <w:spacing w:after="312" w:afterLines="1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分支机构名称：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                                 理事长确认（签字）：</w:t>
      </w:r>
    </w:p>
    <w:tbl>
      <w:tblPr>
        <w:tblStyle w:val="9"/>
        <w:tblW w:w="1456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324"/>
        <w:gridCol w:w="9041"/>
        <w:gridCol w:w="139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0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  <w:lang w:eastAsia="zh-CN"/>
              </w:rPr>
              <w:t>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50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党建引领力</w:t>
            </w: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党建工作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政治理论学习常态化，认真学习贯彻党中央精神、教育部党组和学会工作部署。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坚持正确办会方向，认真贯彻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落实意识形态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责任制，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学术活动、课题研究、新闻宣传等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不发生意识形态领域问题、网络舆情事件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探索功能型党组织及其活动形式，推进党建和业务工作深度融合。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组织凝聚力</w:t>
            </w: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会员发展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积极有序吸纳团体会员和个人会员，成效明显。会费收缴率高，会费使用效益大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会员服务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举措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。会员活跃度高，积极参与分支机构活动。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人才凝聚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吸引集聚一批学术造诣深厚、学术声誉良好、具有国际视野的专家队伍。支持培养一批中青年拔尖人才，凝聚推进事业发展的强大合力。积极邀请港澳台专家学者参加分支机构活动。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学术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力</w:t>
            </w: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学术活动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围绕本领域高等教育改革发展重大关切，举办学术年会、研讨会、论坛等各类学术活动。学术活动规格高、影响大，活动内容具有前沿性和引领力，培育形成学术品牌。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课题研究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秉持“四新四真四统一”研究原则，设立并开展研究课题，立项数量适中，资助经费量力而为。取得业内认可的高水平研究成果，通过多种形式及时发布，引领本领域学术研究方向。严格执行学会课题管理办法，日程管理规范有序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智库建设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围绕中心服务大局，主动承担中央部委或地方政府有关部门委托任务。发挥学术社团研究优势，积极承接各类委托研究项目，引导有组织的科研，在建言咨政、决策咨询等方面发挥积极作用。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社会公信力</w:t>
            </w: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内部治理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理事会、监事（会）架构合理，按期组织换届、定期召开工作会议。领导班子健全有力，规模适度，分工明确，履职尽责。制定内部议事决策制度，探索总结工作办法。按程序申请用章、报批活动、财务报销，依法依章规范办会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宣传阵地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采用会刊/内刊、工作简讯、官方网站、微信公众号、微博等多种形式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开展多层次多角度的宣传工作。积极对接学会宣传工作，向学会提供重要新闻稿件，形成同频共振宣传态势。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基础保障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秘书处配备至少2名专兼职工作人员。有固定办公场所和办公设备。有充足的经费保障。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综合影响力</w:t>
            </w: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社会影响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坚持大服务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理念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，积极参与教育部相关司局或地方教育行政部门的重点工作，开展专业培训、教育评价和有关标准研制等工作。发挥桥梁纽带作用，推动政产学研用相融合，拓展政府、企业与高校的合作路径。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eastAsia="zh-CN"/>
              </w:rPr>
              <w:t>附加项</w:t>
            </w: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国际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eastAsia="zh-CN"/>
              </w:rPr>
              <w:t>交流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积极邀请知华友华的国外专家学者参加分支机构活动。有选择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加入国际组织。推荐专家进入国际组织担任职务。主办申办或合作开展国际会议。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表彰奖励</w:t>
            </w:r>
          </w:p>
        </w:tc>
        <w:tc>
          <w:tcPr>
            <w:tcW w:w="904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在参与国家和教育部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等中央部委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重大活动、围绕中心服务大局方面作出突出贡献，受到省部级及以上表彰奖励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领导肯定性批示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3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exact"/>
        </w:trPr>
        <w:tc>
          <w:tcPr>
            <w:tcW w:w="11865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700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</w:p>
    <w:sectPr>
      <w:pgSz w:w="16838" w:h="11906" w:orient="landscape"/>
      <w:pgMar w:top="1380" w:right="1440" w:bottom="1471" w:left="144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93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MzMyYWE1NTE4OWM4OGQxZTU4ZjJhYzE2ZjZlYjAifQ=="/>
  </w:docVars>
  <w:rsids>
    <w:rsidRoot w:val="00D96661"/>
    <w:rsid w:val="000016CB"/>
    <w:rsid w:val="0003434C"/>
    <w:rsid w:val="00044EC2"/>
    <w:rsid w:val="00055441"/>
    <w:rsid w:val="000559FC"/>
    <w:rsid w:val="00065CE8"/>
    <w:rsid w:val="00097A80"/>
    <w:rsid w:val="000B65F2"/>
    <w:rsid w:val="000E0C5E"/>
    <w:rsid w:val="000E65F5"/>
    <w:rsid w:val="00106517"/>
    <w:rsid w:val="00112396"/>
    <w:rsid w:val="0018540C"/>
    <w:rsid w:val="00187381"/>
    <w:rsid w:val="001A4267"/>
    <w:rsid w:val="002041D0"/>
    <w:rsid w:val="002161ED"/>
    <w:rsid w:val="002A78F8"/>
    <w:rsid w:val="002C6337"/>
    <w:rsid w:val="002D47F5"/>
    <w:rsid w:val="002E082B"/>
    <w:rsid w:val="002E4EF0"/>
    <w:rsid w:val="002F658F"/>
    <w:rsid w:val="00302428"/>
    <w:rsid w:val="0031671A"/>
    <w:rsid w:val="003169D9"/>
    <w:rsid w:val="00335B2A"/>
    <w:rsid w:val="003419D3"/>
    <w:rsid w:val="00365E29"/>
    <w:rsid w:val="00376C7E"/>
    <w:rsid w:val="00390B20"/>
    <w:rsid w:val="003A2206"/>
    <w:rsid w:val="003A4FD7"/>
    <w:rsid w:val="003B220F"/>
    <w:rsid w:val="003B2C5C"/>
    <w:rsid w:val="003F4131"/>
    <w:rsid w:val="003F5F0F"/>
    <w:rsid w:val="00404FF6"/>
    <w:rsid w:val="00414048"/>
    <w:rsid w:val="00420109"/>
    <w:rsid w:val="00427F76"/>
    <w:rsid w:val="004340BC"/>
    <w:rsid w:val="00436BE9"/>
    <w:rsid w:val="0044369F"/>
    <w:rsid w:val="0045542A"/>
    <w:rsid w:val="00494887"/>
    <w:rsid w:val="004B59F9"/>
    <w:rsid w:val="004D46F3"/>
    <w:rsid w:val="004E1E1C"/>
    <w:rsid w:val="004E2279"/>
    <w:rsid w:val="004F4C93"/>
    <w:rsid w:val="0050217F"/>
    <w:rsid w:val="00536B91"/>
    <w:rsid w:val="005A15E2"/>
    <w:rsid w:val="005B1005"/>
    <w:rsid w:val="0060348B"/>
    <w:rsid w:val="00604E2E"/>
    <w:rsid w:val="00621699"/>
    <w:rsid w:val="006305F1"/>
    <w:rsid w:val="006401D5"/>
    <w:rsid w:val="00644F91"/>
    <w:rsid w:val="00646C76"/>
    <w:rsid w:val="006A6570"/>
    <w:rsid w:val="006E2E42"/>
    <w:rsid w:val="00743D91"/>
    <w:rsid w:val="00746328"/>
    <w:rsid w:val="00772DCB"/>
    <w:rsid w:val="00776D63"/>
    <w:rsid w:val="007932EC"/>
    <w:rsid w:val="007B38AE"/>
    <w:rsid w:val="007B57FE"/>
    <w:rsid w:val="008049E3"/>
    <w:rsid w:val="00816E10"/>
    <w:rsid w:val="00824D04"/>
    <w:rsid w:val="00827376"/>
    <w:rsid w:val="00833F41"/>
    <w:rsid w:val="00877252"/>
    <w:rsid w:val="0088520B"/>
    <w:rsid w:val="008B4EC9"/>
    <w:rsid w:val="008F1331"/>
    <w:rsid w:val="008F6434"/>
    <w:rsid w:val="00905BE0"/>
    <w:rsid w:val="00920607"/>
    <w:rsid w:val="009265AE"/>
    <w:rsid w:val="00932D50"/>
    <w:rsid w:val="009401FD"/>
    <w:rsid w:val="00950879"/>
    <w:rsid w:val="00962B44"/>
    <w:rsid w:val="00974D3C"/>
    <w:rsid w:val="009C3BF3"/>
    <w:rsid w:val="009D281B"/>
    <w:rsid w:val="009F4BCE"/>
    <w:rsid w:val="00A732FE"/>
    <w:rsid w:val="00A76EEE"/>
    <w:rsid w:val="00A8311A"/>
    <w:rsid w:val="00A937BC"/>
    <w:rsid w:val="00A9592D"/>
    <w:rsid w:val="00AA6526"/>
    <w:rsid w:val="00AB6A0D"/>
    <w:rsid w:val="00AC0E0F"/>
    <w:rsid w:val="00AC1018"/>
    <w:rsid w:val="00AD59A6"/>
    <w:rsid w:val="00AE483D"/>
    <w:rsid w:val="00AF143C"/>
    <w:rsid w:val="00AF5A3C"/>
    <w:rsid w:val="00AF76C2"/>
    <w:rsid w:val="00B05A5E"/>
    <w:rsid w:val="00B06C72"/>
    <w:rsid w:val="00B34572"/>
    <w:rsid w:val="00B465E9"/>
    <w:rsid w:val="00BC0962"/>
    <w:rsid w:val="00BE3537"/>
    <w:rsid w:val="00BF78C4"/>
    <w:rsid w:val="00C53F07"/>
    <w:rsid w:val="00C727E4"/>
    <w:rsid w:val="00C84581"/>
    <w:rsid w:val="00CE1243"/>
    <w:rsid w:val="00CE47F7"/>
    <w:rsid w:val="00CF0424"/>
    <w:rsid w:val="00CF0A0F"/>
    <w:rsid w:val="00D03808"/>
    <w:rsid w:val="00D14C0D"/>
    <w:rsid w:val="00D219CF"/>
    <w:rsid w:val="00D21EF4"/>
    <w:rsid w:val="00D25B15"/>
    <w:rsid w:val="00D42486"/>
    <w:rsid w:val="00D42961"/>
    <w:rsid w:val="00D43BF4"/>
    <w:rsid w:val="00D5055D"/>
    <w:rsid w:val="00D6098B"/>
    <w:rsid w:val="00D67288"/>
    <w:rsid w:val="00D67B20"/>
    <w:rsid w:val="00D732F9"/>
    <w:rsid w:val="00D849A9"/>
    <w:rsid w:val="00D87540"/>
    <w:rsid w:val="00D96661"/>
    <w:rsid w:val="00DA253D"/>
    <w:rsid w:val="00DC34AF"/>
    <w:rsid w:val="00DC667A"/>
    <w:rsid w:val="00DD5067"/>
    <w:rsid w:val="00DE7E1E"/>
    <w:rsid w:val="00E11615"/>
    <w:rsid w:val="00E15DF0"/>
    <w:rsid w:val="00E31C0A"/>
    <w:rsid w:val="00E34EE3"/>
    <w:rsid w:val="00E90EB0"/>
    <w:rsid w:val="00EA1860"/>
    <w:rsid w:val="00EB5D32"/>
    <w:rsid w:val="00EB7AAA"/>
    <w:rsid w:val="00EC7817"/>
    <w:rsid w:val="00EF304E"/>
    <w:rsid w:val="00EF7148"/>
    <w:rsid w:val="00F04AC2"/>
    <w:rsid w:val="00F13934"/>
    <w:rsid w:val="00F261C1"/>
    <w:rsid w:val="00F34B76"/>
    <w:rsid w:val="00F54D77"/>
    <w:rsid w:val="00F55C4C"/>
    <w:rsid w:val="00F57AB5"/>
    <w:rsid w:val="00F97ADA"/>
    <w:rsid w:val="00FD34D6"/>
    <w:rsid w:val="00FF4640"/>
    <w:rsid w:val="00FF69E1"/>
    <w:rsid w:val="01EB4C3E"/>
    <w:rsid w:val="02296B8E"/>
    <w:rsid w:val="02A62ABD"/>
    <w:rsid w:val="0515615B"/>
    <w:rsid w:val="058405CB"/>
    <w:rsid w:val="05DE1C41"/>
    <w:rsid w:val="064F03FA"/>
    <w:rsid w:val="06AD5319"/>
    <w:rsid w:val="07160886"/>
    <w:rsid w:val="075C2EB1"/>
    <w:rsid w:val="07B632C4"/>
    <w:rsid w:val="08A87368"/>
    <w:rsid w:val="08DE7361"/>
    <w:rsid w:val="09E65BDA"/>
    <w:rsid w:val="0B833D44"/>
    <w:rsid w:val="0E6A4594"/>
    <w:rsid w:val="0EC01B8A"/>
    <w:rsid w:val="1092654A"/>
    <w:rsid w:val="10D464B9"/>
    <w:rsid w:val="10DF16AE"/>
    <w:rsid w:val="11C54FA5"/>
    <w:rsid w:val="135B70C7"/>
    <w:rsid w:val="13DA27B8"/>
    <w:rsid w:val="150C05DA"/>
    <w:rsid w:val="16466A5F"/>
    <w:rsid w:val="18FF5B47"/>
    <w:rsid w:val="191B6E46"/>
    <w:rsid w:val="19476F32"/>
    <w:rsid w:val="196B5072"/>
    <w:rsid w:val="19983F34"/>
    <w:rsid w:val="1C5E2C8D"/>
    <w:rsid w:val="1DF17368"/>
    <w:rsid w:val="1E7222D2"/>
    <w:rsid w:val="1F133B3F"/>
    <w:rsid w:val="1FB00327"/>
    <w:rsid w:val="1FB96E93"/>
    <w:rsid w:val="21052F46"/>
    <w:rsid w:val="21253D5D"/>
    <w:rsid w:val="223910F2"/>
    <w:rsid w:val="23281C0E"/>
    <w:rsid w:val="2661459D"/>
    <w:rsid w:val="26913BAD"/>
    <w:rsid w:val="27005B2E"/>
    <w:rsid w:val="27EA058F"/>
    <w:rsid w:val="281F5153"/>
    <w:rsid w:val="289526D6"/>
    <w:rsid w:val="28FC01D0"/>
    <w:rsid w:val="29F67E89"/>
    <w:rsid w:val="2B510AEF"/>
    <w:rsid w:val="2C2B27CE"/>
    <w:rsid w:val="2C5C2132"/>
    <w:rsid w:val="2C5F4C00"/>
    <w:rsid w:val="2D391970"/>
    <w:rsid w:val="2DFB447D"/>
    <w:rsid w:val="2E31460A"/>
    <w:rsid w:val="2E5161D8"/>
    <w:rsid w:val="2E743475"/>
    <w:rsid w:val="2F184D05"/>
    <w:rsid w:val="2F5A61E4"/>
    <w:rsid w:val="322B44BF"/>
    <w:rsid w:val="326B0A0B"/>
    <w:rsid w:val="33505337"/>
    <w:rsid w:val="337B2C91"/>
    <w:rsid w:val="355A4511"/>
    <w:rsid w:val="35CA7CBA"/>
    <w:rsid w:val="3687595A"/>
    <w:rsid w:val="371112C7"/>
    <w:rsid w:val="37F65B4F"/>
    <w:rsid w:val="3A03299B"/>
    <w:rsid w:val="3A800D71"/>
    <w:rsid w:val="3A860E1C"/>
    <w:rsid w:val="3AC0188F"/>
    <w:rsid w:val="3AFF54E9"/>
    <w:rsid w:val="3C163B20"/>
    <w:rsid w:val="3CEB6517"/>
    <w:rsid w:val="3DE43672"/>
    <w:rsid w:val="3DF62DEF"/>
    <w:rsid w:val="3DFB5304"/>
    <w:rsid w:val="3E2E14FC"/>
    <w:rsid w:val="3EDB5D41"/>
    <w:rsid w:val="3FB11777"/>
    <w:rsid w:val="3FF75806"/>
    <w:rsid w:val="4062292E"/>
    <w:rsid w:val="406D3AA0"/>
    <w:rsid w:val="40AA40D3"/>
    <w:rsid w:val="42C200DC"/>
    <w:rsid w:val="431C3012"/>
    <w:rsid w:val="45E9357B"/>
    <w:rsid w:val="464E045D"/>
    <w:rsid w:val="468B249C"/>
    <w:rsid w:val="47543B33"/>
    <w:rsid w:val="47AF53FF"/>
    <w:rsid w:val="48C7608A"/>
    <w:rsid w:val="4A3F516B"/>
    <w:rsid w:val="4A5B15A7"/>
    <w:rsid w:val="4AF073E2"/>
    <w:rsid w:val="4D8960BC"/>
    <w:rsid w:val="4EB55522"/>
    <w:rsid w:val="4EF95A73"/>
    <w:rsid w:val="4F1A2F78"/>
    <w:rsid w:val="4F1B1326"/>
    <w:rsid w:val="4F4D56A6"/>
    <w:rsid w:val="4FC769B0"/>
    <w:rsid w:val="4FD020BF"/>
    <w:rsid w:val="50A0006C"/>
    <w:rsid w:val="50CC41CE"/>
    <w:rsid w:val="53D861B7"/>
    <w:rsid w:val="54703A7A"/>
    <w:rsid w:val="553277FC"/>
    <w:rsid w:val="55435EE9"/>
    <w:rsid w:val="55E12938"/>
    <w:rsid w:val="56674A60"/>
    <w:rsid w:val="58FB1E6B"/>
    <w:rsid w:val="598A113A"/>
    <w:rsid w:val="59995C18"/>
    <w:rsid w:val="5B3E44A4"/>
    <w:rsid w:val="5B994314"/>
    <w:rsid w:val="5BCA1CC1"/>
    <w:rsid w:val="5C7C0A24"/>
    <w:rsid w:val="5CD20B78"/>
    <w:rsid w:val="5D8B3944"/>
    <w:rsid w:val="5E237B7C"/>
    <w:rsid w:val="5E74076B"/>
    <w:rsid w:val="5EAB50EF"/>
    <w:rsid w:val="609B12C1"/>
    <w:rsid w:val="60CA2201"/>
    <w:rsid w:val="60E41BF7"/>
    <w:rsid w:val="618619A2"/>
    <w:rsid w:val="61B72F7F"/>
    <w:rsid w:val="636D20C8"/>
    <w:rsid w:val="63C03B5D"/>
    <w:rsid w:val="646B1B68"/>
    <w:rsid w:val="647533B8"/>
    <w:rsid w:val="64B11999"/>
    <w:rsid w:val="66617D84"/>
    <w:rsid w:val="66F63BD0"/>
    <w:rsid w:val="68D53A3A"/>
    <w:rsid w:val="6A352A86"/>
    <w:rsid w:val="6A6E02D8"/>
    <w:rsid w:val="6C261447"/>
    <w:rsid w:val="6C496990"/>
    <w:rsid w:val="6C8A62E2"/>
    <w:rsid w:val="6CCD33BF"/>
    <w:rsid w:val="6CD65DF1"/>
    <w:rsid w:val="6D9538FD"/>
    <w:rsid w:val="6E747AA1"/>
    <w:rsid w:val="702D72C8"/>
    <w:rsid w:val="70B974CE"/>
    <w:rsid w:val="70CD2847"/>
    <w:rsid w:val="728D27E4"/>
    <w:rsid w:val="731A751C"/>
    <w:rsid w:val="73B478D2"/>
    <w:rsid w:val="73C5259B"/>
    <w:rsid w:val="757342F0"/>
    <w:rsid w:val="769F26D1"/>
    <w:rsid w:val="77050FFF"/>
    <w:rsid w:val="77185FAC"/>
    <w:rsid w:val="78542BE7"/>
    <w:rsid w:val="79697771"/>
    <w:rsid w:val="79DE1563"/>
    <w:rsid w:val="7AEB7308"/>
    <w:rsid w:val="7B3A1655"/>
    <w:rsid w:val="7E181161"/>
    <w:rsid w:val="7E9A185E"/>
    <w:rsid w:val="7E9A2AD9"/>
    <w:rsid w:val="7F3A6687"/>
    <w:rsid w:val="7FD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10"/>
    <w:link w:val="3"/>
    <w:autoRedefine/>
    <w:semiHidden/>
    <w:qFormat/>
    <w:uiPriority w:val="99"/>
  </w:style>
  <w:style w:type="character" w:customStyle="1" w:styleId="17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character" w:customStyle="1" w:styleId="21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71"/>
    <w:basedOn w:val="10"/>
    <w:autoRedefine/>
    <w:qFormat/>
    <w:uiPriority w:val="0"/>
    <w:rPr>
      <w:rFonts w:ascii="方正舒体" w:hAnsi="方正舒体" w:eastAsia="方正舒体" w:cs="方正舒体"/>
      <w:color w:val="000000"/>
      <w:sz w:val="24"/>
      <w:szCs w:val="24"/>
      <w:u w:val="none"/>
    </w:rPr>
  </w:style>
  <w:style w:type="character" w:customStyle="1" w:styleId="23">
    <w:name w:val="font61"/>
    <w:basedOn w:val="10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1085</Words>
  <Characters>233</Characters>
  <Lines>1</Lines>
  <Paragraphs>2</Paragraphs>
  <TotalTime>27</TotalTime>
  <ScaleCrop>false</ScaleCrop>
  <LinksUpToDate>false</LinksUpToDate>
  <CharactersWithSpaces>1316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2020-12-03T03:11:00Z</dcterms:created>
  <dc:creator>Administrator</dc:creator>
  <cp:lastModifiedBy>陈</cp:lastModifiedBy>
  <cp:lastPrinted>2023-12-20T09:34:22Z</cp:lastPrinted>
  <dcterms:modified xsi:type="dcterms:W3CDTF">2023-12-20T09:58:41Z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09A8901F4BEB4B78ADB252761C36C52D_13</vt:lpwstr>
  </property>
</Properties>
</file>