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ECC">
      <w:pPr>
        <w:spacing w:line="500" w:lineRule="exact"/>
        <w:ind w:firstLine="723"/>
        <w:jc w:val="center"/>
        <w:rPr>
          <w:rFonts w:hint="eastAsia" w:ascii="仿宋" w:hAnsi="仿宋" w:eastAsia="仿宋"/>
          <w:b/>
          <w:color w:val="000000" w:themeColor="text1"/>
          <w:sz w:val="36"/>
          <w:szCs w:val="36"/>
        </w:rPr>
      </w:pPr>
      <w:r>
        <w:rPr>
          <w:rFonts w:ascii="仿宋" w:hAnsi="仿宋" w:eastAsia="仿宋"/>
          <w:b/>
          <w:color w:val="000000" w:themeColor="text1"/>
          <w:sz w:val="36"/>
          <w:szCs w:val="36"/>
        </w:rPr>
        <w:t>融合</w:t>
      </w:r>
      <w:r>
        <w:rPr>
          <w:rFonts w:hint="eastAsia" w:ascii="仿宋" w:hAnsi="仿宋" w:eastAsia="仿宋"/>
          <w:b/>
          <w:color w:val="000000" w:themeColor="text1"/>
          <w:sz w:val="36"/>
          <w:szCs w:val="36"/>
        </w:rPr>
        <w:t>模式下优质课展示</w:t>
      </w:r>
    </w:p>
    <w:p w14:paraId="67EEE924">
      <w:pPr>
        <w:spacing w:line="500" w:lineRule="exact"/>
        <w:ind w:firstLine="723"/>
        <w:jc w:val="center"/>
        <w:rPr>
          <w:rFonts w:hint="eastAsia" w:ascii="仿宋" w:hAnsi="仿宋" w:eastAsia="仿宋"/>
          <w:b/>
          <w:color w:val="000000" w:themeColor="text1"/>
          <w:sz w:val="36"/>
          <w:szCs w:val="36"/>
        </w:rPr>
      </w:pPr>
    </w:p>
    <w:p w14:paraId="5372EC88">
      <w:pPr>
        <w:pStyle w:val="2"/>
        <w:spacing w:line="480" w:lineRule="exact"/>
        <w:ind w:firstLine="602"/>
        <w:rPr>
          <w:sz w:val="28"/>
          <w:szCs w:val="28"/>
        </w:rPr>
      </w:pPr>
      <w:r>
        <w:rPr>
          <w:rFonts w:hint="eastAsia"/>
          <w:sz w:val="28"/>
          <w:szCs w:val="28"/>
        </w:rPr>
        <w:t>一、项目内容</w:t>
      </w:r>
    </w:p>
    <w:p w14:paraId="222D28B5">
      <w:pPr>
        <w:autoSpaceDE w:val="0"/>
        <w:autoSpaceDN w:val="0"/>
        <w:snapToGrid w:val="0"/>
        <w:spacing w:line="480" w:lineRule="exact"/>
        <w:ind w:firstLine="560" w:firstLineChars="200"/>
        <w:rPr>
          <w:rFonts w:hint="eastAsia" w:ascii="仿宋" w:hAnsi="仿宋" w:eastAsia="仿宋" w:cstheme="minorEastAsia"/>
          <w:sz w:val="28"/>
          <w:szCs w:val="28"/>
        </w:rPr>
      </w:pPr>
      <w:r>
        <w:rPr>
          <w:rFonts w:hint="eastAsia" w:ascii="仿宋" w:hAnsi="仿宋" w:eastAsia="仿宋" w:cs="等线"/>
          <w:sz w:val="28"/>
          <w:szCs w:val="28"/>
        </w:rPr>
        <w:t>在电子白板、触摸一体机等多媒体交互设备或平板电脑等移动终端支撑的课堂环境中，开展学科及跨学科教学活动，可依托智慧教育平台打造“双师课堂”等，突出技术与教学的深度融合。</w:t>
      </w:r>
    </w:p>
    <w:p w14:paraId="5A4490CF">
      <w:pPr>
        <w:pStyle w:val="2"/>
        <w:spacing w:line="480" w:lineRule="exact"/>
        <w:ind w:firstLine="602"/>
        <w:rPr>
          <w:sz w:val="28"/>
          <w:szCs w:val="28"/>
        </w:rPr>
      </w:pPr>
      <w:r>
        <w:rPr>
          <w:rFonts w:hint="eastAsia"/>
          <w:sz w:val="28"/>
          <w:szCs w:val="28"/>
        </w:rPr>
        <w:t>二、参与范围</w:t>
      </w:r>
    </w:p>
    <w:p w14:paraId="13744E83">
      <w:pPr>
        <w:autoSpaceDE w:val="0"/>
        <w:autoSpaceDN w:val="0"/>
        <w:snapToGrid w:val="0"/>
        <w:spacing w:line="480" w:lineRule="exact"/>
        <w:ind w:firstLine="544" w:firstLineChars="200"/>
        <w:rPr>
          <w:rFonts w:hint="eastAsia" w:ascii="仿宋" w:hAnsi="仿宋" w:eastAsia="仿宋" w:cstheme="minorEastAsia"/>
          <w:spacing w:val="-4"/>
          <w:kern w:val="0"/>
          <w:sz w:val="28"/>
          <w:szCs w:val="28"/>
        </w:rPr>
      </w:pPr>
      <w:r>
        <w:rPr>
          <w:rFonts w:hint="eastAsia" w:ascii="仿宋" w:hAnsi="仿宋" w:eastAsia="仿宋" w:cstheme="minorEastAsia"/>
          <w:spacing w:val="-4"/>
          <w:kern w:val="0"/>
          <w:sz w:val="28"/>
          <w:szCs w:val="28"/>
        </w:rPr>
        <w:t>（一）</w:t>
      </w:r>
      <w:r>
        <w:rPr>
          <w:rFonts w:hint="eastAsia" w:ascii="仿宋" w:hAnsi="仿宋" w:eastAsia="仿宋" w:cstheme="minorEastAsia"/>
          <w:color w:val="000000" w:themeColor="text1"/>
          <w:spacing w:val="-4"/>
          <w:kern w:val="0"/>
          <w:sz w:val="28"/>
          <w:szCs w:val="28"/>
        </w:rPr>
        <w:t>组别：幼教</w:t>
      </w:r>
      <w:r>
        <w:rPr>
          <w:rFonts w:ascii="仿宋" w:hAnsi="仿宋" w:eastAsia="仿宋" w:cstheme="minorEastAsia"/>
          <w:color w:val="000000" w:themeColor="text1"/>
          <w:spacing w:val="-4"/>
          <w:kern w:val="0"/>
          <w:sz w:val="28"/>
          <w:szCs w:val="28"/>
        </w:rPr>
        <w:t>组</w:t>
      </w:r>
      <w:r>
        <w:rPr>
          <w:rFonts w:hint="eastAsia" w:ascii="仿宋" w:hAnsi="仿宋" w:eastAsia="仿宋" w:cstheme="minorEastAsia"/>
          <w:color w:val="000000" w:themeColor="text1"/>
          <w:spacing w:val="-4"/>
          <w:kern w:val="0"/>
          <w:sz w:val="28"/>
          <w:szCs w:val="28"/>
        </w:rPr>
        <w:t>、小学组、初中组、高中组（含中职）、准教师组（</w:t>
      </w:r>
      <w:r>
        <w:rPr>
          <w:rFonts w:hint="eastAsia" w:ascii="仿宋" w:hAnsi="仿宋" w:eastAsia="仿宋"/>
          <w:sz w:val="28"/>
          <w:szCs w:val="28"/>
        </w:rPr>
        <w:t>仅限在校师范生</w:t>
      </w:r>
      <w:r>
        <w:rPr>
          <w:rFonts w:hint="eastAsia" w:ascii="仿宋" w:hAnsi="仿宋" w:eastAsia="仿宋" w:cs="等线"/>
          <w:color w:val="000000"/>
          <w:kern w:val="0"/>
          <w:sz w:val="28"/>
          <w:szCs w:val="28"/>
        </w:rPr>
        <w:t>或实习教师参与</w:t>
      </w:r>
      <w:r>
        <w:rPr>
          <w:rFonts w:hint="eastAsia" w:ascii="仿宋" w:hAnsi="仿宋" w:eastAsia="仿宋" w:cstheme="minorEastAsia"/>
          <w:color w:val="000000" w:themeColor="text1"/>
          <w:spacing w:val="-4"/>
          <w:kern w:val="0"/>
          <w:sz w:val="28"/>
          <w:szCs w:val="28"/>
        </w:rPr>
        <w:t>，可模拟课堂）。</w:t>
      </w:r>
    </w:p>
    <w:p w14:paraId="6FF4ADFC">
      <w:pPr>
        <w:autoSpaceDE w:val="0"/>
        <w:autoSpaceDN w:val="0"/>
        <w:snapToGrid w:val="0"/>
        <w:spacing w:line="480" w:lineRule="exact"/>
        <w:ind w:firstLine="544" w:firstLineChars="200"/>
        <w:rPr>
          <w:rFonts w:hint="eastAsia" w:ascii="仿宋" w:hAnsi="仿宋" w:eastAsia="仿宋" w:cstheme="minorEastAsia"/>
          <w:spacing w:val="-4"/>
          <w:kern w:val="0"/>
          <w:sz w:val="28"/>
          <w:szCs w:val="28"/>
        </w:rPr>
      </w:pPr>
      <w:r>
        <w:rPr>
          <w:rFonts w:hint="eastAsia" w:ascii="仿宋" w:hAnsi="仿宋" w:eastAsia="仿宋" w:cstheme="minorEastAsia"/>
          <w:spacing w:val="-4"/>
          <w:kern w:val="0"/>
          <w:sz w:val="28"/>
          <w:szCs w:val="28"/>
        </w:rPr>
        <w:t>（二）学科：不限。</w:t>
      </w:r>
    </w:p>
    <w:p w14:paraId="18C397CE">
      <w:pPr>
        <w:autoSpaceDE w:val="0"/>
        <w:autoSpaceDN w:val="0"/>
        <w:snapToGrid w:val="0"/>
        <w:spacing w:line="480" w:lineRule="exact"/>
        <w:ind w:firstLine="560" w:firstLineChars="200"/>
        <w:rPr>
          <w:rFonts w:hint="eastAsia" w:ascii="仿宋" w:hAnsi="仿宋" w:eastAsia="仿宋" w:cstheme="minorEastAsia"/>
          <w:sz w:val="28"/>
          <w:szCs w:val="28"/>
        </w:rPr>
      </w:pPr>
      <w:bookmarkStart w:id="0" w:name="OLE_LINK6"/>
      <w:r>
        <w:rPr>
          <w:rFonts w:hint="eastAsia" w:ascii="仿宋" w:hAnsi="仿宋" w:eastAsia="仿宋" w:cs="仿宋_GB2312"/>
          <w:kern w:val="0"/>
          <w:sz w:val="28"/>
          <w:szCs w:val="28"/>
        </w:rPr>
        <w:t>（三）参与人数：</w:t>
      </w:r>
      <w:r>
        <w:rPr>
          <w:rFonts w:hint="eastAsia" w:ascii="仿宋" w:hAnsi="仿宋" w:eastAsia="仿宋" w:cstheme="minorEastAsia"/>
          <w:spacing w:val="-4"/>
          <w:kern w:val="0"/>
          <w:sz w:val="28"/>
          <w:szCs w:val="28"/>
        </w:rPr>
        <w:t>1</w:t>
      </w:r>
      <w:r>
        <w:rPr>
          <w:rFonts w:ascii="仿宋" w:hAnsi="仿宋" w:eastAsia="仿宋" w:cstheme="minorEastAsia"/>
          <w:spacing w:val="-4"/>
          <w:kern w:val="0"/>
          <w:sz w:val="28"/>
          <w:szCs w:val="28"/>
        </w:rPr>
        <w:t>-2</w:t>
      </w:r>
      <w:r>
        <w:rPr>
          <w:rFonts w:hint="eastAsia" w:ascii="仿宋" w:hAnsi="仿宋" w:eastAsia="仿宋" w:cstheme="minorEastAsia"/>
          <w:spacing w:val="-4"/>
          <w:kern w:val="0"/>
          <w:sz w:val="28"/>
          <w:szCs w:val="28"/>
        </w:rPr>
        <w:t>人，</w:t>
      </w:r>
      <w:r>
        <w:rPr>
          <w:rFonts w:hint="eastAsia" w:ascii="仿宋" w:hAnsi="仿宋" w:eastAsia="仿宋" w:cstheme="minorEastAsia"/>
          <w:color w:val="000000" w:themeColor="text1"/>
          <w:sz w:val="28"/>
          <w:szCs w:val="28"/>
        </w:rPr>
        <w:t>每人仅限参与一个项目、提交一件作品。</w:t>
      </w:r>
      <w:bookmarkStart w:id="1" w:name="OLE_LINK4"/>
      <w:r>
        <w:rPr>
          <w:rFonts w:hint="eastAsia" w:ascii="仿宋" w:hAnsi="仿宋" w:eastAsia="仿宋" w:cstheme="minorEastAsia"/>
          <w:color w:val="000000" w:themeColor="text1"/>
          <w:sz w:val="28"/>
          <w:szCs w:val="28"/>
        </w:rPr>
        <w:t>每件作品可增设1名指导教师（允许空缺），且指导教师不得作为该作品的作者本人。</w:t>
      </w:r>
      <w:bookmarkEnd w:id="1"/>
    </w:p>
    <w:bookmarkEnd w:id="0"/>
    <w:p w14:paraId="22A38C09">
      <w:pPr>
        <w:pStyle w:val="2"/>
        <w:spacing w:line="480" w:lineRule="exact"/>
        <w:ind w:firstLine="602"/>
        <w:rPr>
          <w:sz w:val="28"/>
          <w:szCs w:val="28"/>
        </w:rPr>
      </w:pPr>
      <w:r>
        <w:rPr>
          <w:rFonts w:hint="eastAsia"/>
          <w:sz w:val="28"/>
          <w:szCs w:val="28"/>
        </w:rPr>
        <w:t>三、作品要求</w:t>
      </w:r>
    </w:p>
    <w:p w14:paraId="773FF2B5">
      <w:pPr>
        <w:autoSpaceDE w:val="0"/>
        <w:autoSpaceDN w:val="0"/>
        <w:snapToGrid w:val="0"/>
        <w:spacing w:line="480" w:lineRule="exact"/>
        <w:ind w:firstLine="560" w:firstLineChars="200"/>
        <w:rPr>
          <w:rFonts w:hint="eastAsia" w:ascii="仿宋" w:hAnsi="仿宋" w:eastAsia="仿宋" w:cstheme="majorEastAsia"/>
          <w:kern w:val="0"/>
          <w:sz w:val="28"/>
          <w:szCs w:val="28"/>
        </w:rPr>
      </w:pPr>
      <w:r>
        <w:rPr>
          <w:rFonts w:hint="eastAsia" w:ascii="仿宋" w:hAnsi="仿宋" w:eastAsia="仿宋" w:cstheme="majorEastAsia"/>
          <w:kern w:val="0"/>
          <w:sz w:val="28"/>
          <w:szCs w:val="28"/>
        </w:rPr>
        <w:t>（一）设计与反思：教学（活动）设计与反思电子稿，1个文档，</w:t>
      </w:r>
      <w:r>
        <w:rPr>
          <w:rFonts w:ascii="仿宋" w:hAnsi="仿宋" w:eastAsia="仿宋" w:cstheme="majorEastAsia"/>
          <w:kern w:val="0"/>
          <w:sz w:val="28"/>
          <w:szCs w:val="28"/>
        </w:rPr>
        <w:t>PDF</w:t>
      </w:r>
      <w:r>
        <w:rPr>
          <w:rFonts w:hint="eastAsia" w:ascii="仿宋" w:hAnsi="仿宋" w:eastAsia="仿宋" w:cs="仿宋_GB2312"/>
          <w:kern w:val="0"/>
          <w:sz w:val="28"/>
          <w:szCs w:val="28"/>
        </w:rPr>
        <w:t>格式</w:t>
      </w:r>
      <w:r>
        <w:rPr>
          <w:rFonts w:hint="eastAsia" w:ascii="仿宋" w:hAnsi="仿宋" w:eastAsia="仿宋" w:cstheme="majorEastAsia"/>
          <w:kern w:val="0"/>
          <w:sz w:val="28"/>
          <w:szCs w:val="28"/>
        </w:rPr>
        <w:t>。</w:t>
      </w:r>
    </w:p>
    <w:p w14:paraId="24DFBBC0">
      <w:pPr>
        <w:autoSpaceDE w:val="0"/>
        <w:autoSpaceDN w:val="0"/>
        <w:snapToGrid w:val="0"/>
        <w:spacing w:line="48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（二）课堂教学实录：单节课堂教学（活动）实况录像。MP4格式，大小控制在 2GB 以内，时长：幼儿活动时长为15-30分钟，中小学（含中职）时长为30-45分钟</w:t>
      </w:r>
      <w:r>
        <w:rPr>
          <w:rFonts w:ascii="仿宋" w:hAnsi="仿宋" w:eastAsia="仿宋" w:cs="仿宋_GB2312"/>
          <w:kern w:val="0"/>
          <w:sz w:val="28"/>
          <w:szCs w:val="28"/>
        </w:rPr>
        <w:t>。</w:t>
      </w:r>
    </w:p>
    <w:p w14:paraId="36327078">
      <w:pPr>
        <w:autoSpaceDE w:val="0"/>
        <w:autoSpaceDN w:val="0"/>
        <w:snapToGrid w:val="0"/>
        <w:spacing w:line="480" w:lineRule="exact"/>
        <w:ind w:firstLine="560" w:firstLineChars="200"/>
        <w:rPr>
          <w:rFonts w:hint="eastAsia" w:ascii="仿宋" w:hAnsi="仿宋" w:eastAsia="仿宋" w:cs="仿宋_GB2312"/>
          <w:kern w:val="0"/>
          <w:sz w:val="28"/>
          <w:szCs w:val="28"/>
        </w:rPr>
      </w:pPr>
      <w:r>
        <w:rPr>
          <w:rFonts w:ascii="仿宋" w:hAnsi="仿宋" w:eastAsia="仿宋" w:cs="仿宋_GB2312"/>
          <w:kern w:val="0"/>
          <w:sz w:val="28"/>
          <w:szCs w:val="28"/>
        </w:rPr>
        <w:t>课堂</w:t>
      </w:r>
      <w:r>
        <w:rPr>
          <w:rFonts w:hint="eastAsia" w:ascii="仿宋" w:hAnsi="仿宋" w:eastAsia="仿宋" w:cs="仿宋_GB2312"/>
          <w:kern w:val="0"/>
          <w:sz w:val="28"/>
          <w:szCs w:val="28"/>
        </w:rPr>
        <w:t>教学</w:t>
      </w:r>
      <w:r>
        <w:rPr>
          <w:rFonts w:ascii="仿宋" w:hAnsi="仿宋" w:eastAsia="仿宋" w:cs="仿宋_GB2312"/>
          <w:kern w:val="0"/>
          <w:sz w:val="28"/>
          <w:szCs w:val="28"/>
        </w:rPr>
        <w:t>实录片头不</w:t>
      </w:r>
      <w:r>
        <w:rPr>
          <w:rFonts w:hint="eastAsia" w:ascii="仿宋" w:hAnsi="仿宋" w:eastAsia="仿宋" w:cs="仿宋_GB2312"/>
          <w:kern w:val="0"/>
          <w:sz w:val="28"/>
          <w:szCs w:val="28"/>
        </w:rPr>
        <w:t>超过5</w:t>
      </w:r>
      <w:r>
        <w:rPr>
          <w:rFonts w:ascii="仿宋" w:hAnsi="仿宋" w:eastAsia="仿宋" w:cs="仿宋_GB2312"/>
          <w:kern w:val="0"/>
          <w:sz w:val="28"/>
          <w:szCs w:val="28"/>
        </w:rPr>
        <w:t>秒，标注课程名称、学科、年级、教材版本、主讲教师及单位等关键信息。</w:t>
      </w:r>
      <w:r>
        <w:rPr>
          <w:rFonts w:hint="eastAsia" w:ascii="仿宋" w:hAnsi="仿宋" w:eastAsia="仿宋" w:cs="仿宋_GB2312"/>
          <w:kern w:val="0"/>
          <w:sz w:val="28"/>
          <w:szCs w:val="28"/>
        </w:rPr>
        <w:t>实录</w:t>
      </w:r>
      <w:r>
        <w:rPr>
          <w:rFonts w:ascii="仿宋" w:hAnsi="仿宋" w:eastAsia="仿宋" w:cs="仿宋_GB2312"/>
          <w:kern w:val="0"/>
          <w:sz w:val="28"/>
          <w:szCs w:val="28"/>
        </w:rPr>
        <w:t>可剪辑，但只能做“去冗余、保连贯”的剪辑，不能把不同时间、不同班级、不同教学内容的片段</w:t>
      </w:r>
      <w:r>
        <w:rPr>
          <w:rFonts w:hint="eastAsia" w:ascii="仿宋" w:hAnsi="仿宋" w:eastAsia="仿宋" w:cs="仿宋_GB2312"/>
          <w:kern w:val="0"/>
          <w:sz w:val="28"/>
          <w:szCs w:val="28"/>
        </w:rPr>
        <w:t>进行</w:t>
      </w:r>
      <w:r>
        <w:rPr>
          <w:rFonts w:ascii="仿宋" w:hAnsi="仿宋" w:eastAsia="仿宋" w:cs="仿宋_GB2312"/>
          <w:kern w:val="0"/>
          <w:sz w:val="28"/>
          <w:szCs w:val="28"/>
        </w:rPr>
        <w:t>拼接。</w:t>
      </w:r>
    </w:p>
    <w:p w14:paraId="51ED515F">
      <w:pPr>
        <w:pStyle w:val="2"/>
        <w:spacing w:line="480" w:lineRule="exact"/>
        <w:ind w:firstLine="602"/>
        <w:rPr>
          <w:sz w:val="28"/>
          <w:szCs w:val="28"/>
        </w:rPr>
      </w:pPr>
      <w:r>
        <w:rPr>
          <w:rFonts w:hint="eastAsia"/>
          <w:sz w:val="28"/>
          <w:szCs w:val="28"/>
        </w:rPr>
        <w:t>四、作品提交与</w:t>
      </w:r>
      <w:r>
        <w:rPr>
          <w:sz w:val="28"/>
          <w:szCs w:val="28"/>
        </w:rPr>
        <w:t>遴选</w:t>
      </w:r>
    </w:p>
    <w:p w14:paraId="489EEFD8">
      <w:pPr>
        <w:spacing w:line="480" w:lineRule="exact"/>
        <w:ind w:firstLine="560" w:firstLineChars="200"/>
        <w:rPr>
          <w:rFonts w:hint="eastAsia" w:ascii="仿宋" w:hAnsi="仿宋" w:eastAsia="仿宋"/>
          <w:sz w:val="28"/>
          <w:szCs w:val="28"/>
        </w:rPr>
      </w:pPr>
      <w:bookmarkStart w:id="2" w:name="_Hlk159147972"/>
      <w:bookmarkStart w:id="3" w:name="_Hlk219106096"/>
      <w:bookmarkStart w:id="4" w:name="_Hlk219105389"/>
      <w:r>
        <w:rPr>
          <w:rFonts w:hint="eastAsia" w:ascii="仿宋" w:hAnsi="仿宋" w:eastAsia="仿宋"/>
          <w:sz w:val="28"/>
          <w:szCs w:val="28"/>
        </w:rPr>
        <w:t>（一）</w:t>
      </w:r>
      <w:bookmarkEnd w:id="2"/>
      <w:bookmarkStart w:id="5" w:name="_Hlk159147948"/>
      <w:r>
        <w:rPr>
          <w:rFonts w:hint="eastAsia" w:ascii="仿宋" w:hAnsi="仿宋" w:eastAsia="仿宋"/>
          <w:sz w:val="28"/>
          <w:szCs w:val="28"/>
        </w:rPr>
        <w:t>报名及作品提交方式：E</w:t>
      </w:r>
      <w:r>
        <w:rPr>
          <w:rFonts w:ascii="仿宋" w:hAnsi="仿宋" w:eastAsia="仿宋"/>
          <w:sz w:val="28"/>
          <w:szCs w:val="28"/>
        </w:rPr>
        <w:t>OC</w:t>
      </w:r>
      <w:r>
        <w:rPr>
          <w:rFonts w:hint="eastAsia" w:ascii="仿宋" w:hAnsi="仿宋" w:eastAsia="仿宋"/>
          <w:sz w:val="28"/>
          <w:szCs w:val="28"/>
        </w:rPr>
        <w:t>官网在线报名及提交作品，时间为2026年4月</w:t>
      </w:r>
      <w:r>
        <w:rPr>
          <w:rFonts w:ascii="仿宋" w:hAnsi="仿宋" w:eastAsia="仿宋"/>
          <w:sz w:val="28"/>
          <w:szCs w:val="28"/>
        </w:rPr>
        <w:t>1</w:t>
      </w:r>
      <w:r>
        <w:rPr>
          <w:rFonts w:hint="eastAsia" w:ascii="仿宋" w:hAnsi="仿宋" w:eastAsia="仿宋"/>
          <w:sz w:val="28"/>
          <w:szCs w:val="28"/>
        </w:rPr>
        <w:t>日-</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w:t>
      </w:r>
      <w:bookmarkEnd w:id="5"/>
    </w:p>
    <w:p w14:paraId="14640BD6">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作品</w:t>
      </w:r>
      <w:r>
        <w:rPr>
          <w:rFonts w:ascii="仿宋" w:hAnsi="仿宋" w:eastAsia="仿宋"/>
          <w:sz w:val="28"/>
          <w:szCs w:val="28"/>
        </w:rPr>
        <w:t>遴选</w:t>
      </w:r>
      <w:r>
        <w:rPr>
          <w:rFonts w:hint="eastAsia" w:ascii="仿宋" w:hAnsi="仿宋" w:eastAsia="仿宋"/>
          <w:sz w:val="28"/>
          <w:szCs w:val="28"/>
        </w:rPr>
        <w:t>：组织</w:t>
      </w:r>
      <w:r>
        <w:rPr>
          <w:rFonts w:ascii="仿宋" w:hAnsi="仿宋" w:eastAsia="仿宋"/>
          <w:sz w:val="28"/>
          <w:szCs w:val="28"/>
        </w:rPr>
        <w:t>专家对征集作品进行遴选</w:t>
      </w:r>
      <w:r>
        <w:rPr>
          <w:rFonts w:hint="eastAsia" w:ascii="仿宋" w:hAnsi="仿宋" w:eastAsia="仿宋"/>
          <w:sz w:val="28"/>
          <w:szCs w:val="28"/>
        </w:rPr>
        <w:t>，2026年</w:t>
      </w:r>
      <w:r>
        <w:rPr>
          <w:rFonts w:ascii="仿宋" w:hAnsi="仿宋" w:eastAsia="仿宋"/>
          <w:sz w:val="28"/>
          <w:szCs w:val="28"/>
        </w:rPr>
        <w:t>8</w:t>
      </w:r>
      <w:r>
        <w:rPr>
          <w:rFonts w:hint="eastAsia" w:ascii="仿宋" w:hAnsi="仿宋" w:eastAsia="仿宋"/>
          <w:sz w:val="28"/>
          <w:szCs w:val="28"/>
        </w:rPr>
        <w:t>月底通过官网“个</w:t>
      </w:r>
      <w:r>
        <w:rPr>
          <w:rFonts w:ascii="仿宋" w:hAnsi="仿宋" w:eastAsia="仿宋"/>
          <w:sz w:val="28"/>
          <w:szCs w:val="28"/>
        </w:rPr>
        <w:t>人中心</w:t>
      </w:r>
      <w:r>
        <w:rPr>
          <w:rFonts w:hint="eastAsia" w:ascii="仿宋" w:hAnsi="仿宋" w:eastAsia="仿宋"/>
          <w:sz w:val="28"/>
          <w:szCs w:val="28"/>
        </w:rPr>
        <w:t>”</w:t>
      </w:r>
      <w:r>
        <w:rPr>
          <w:rFonts w:ascii="仿宋" w:hAnsi="仿宋" w:eastAsia="仿宋"/>
          <w:sz w:val="28"/>
          <w:szCs w:val="28"/>
        </w:rPr>
        <w:t>查询</w:t>
      </w:r>
      <w:r>
        <w:rPr>
          <w:rFonts w:hint="eastAsia" w:ascii="仿宋" w:hAnsi="仿宋" w:eastAsia="仿宋"/>
          <w:sz w:val="28"/>
          <w:szCs w:val="28"/>
        </w:rPr>
        <w:t>作品是否入围第</w:t>
      </w:r>
      <w:r>
        <w:rPr>
          <w:rFonts w:ascii="仿宋" w:hAnsi="仿宋" w:eastAsia="仿宋"/>
          <w:sz w:val="28"/>
          <w:szCs w:val="28"/>
        </w:rPr>
        <w:t>二阶段</w:t>
      </w:r>
      <w:r>
        <w:rPr>
          <w:rFonts w:hint="eastAsia" w:ascii="仿宋" w:hAnsi="仿宋" w:eastAsia="仿宋"/>
          <w:sz w:val="28"/>
          <w:szCs w:val="28"/>
        </w:rPr>
        <w:t>成果</w:t>
      </w:r>
      <w:r>
        <w:rPr>
          <w:rFonts w:ascii="仿宋" w:hAnsi="仿宋" w:eastAsia="仿宋"/>
          <w:sz w:val="28"/>
          <w:szCs w:val="28"/>
        </w:rPr>
        <w:t>交流展示</w:t>
      </w:r>
      <w:r>
        <w:rPr>
          <w:rFonts w:hint="eastAsia" w:ascii="仿宋" w:hAnsi="仿宋" w:eastAsia="仿宋"/>
          <w:sz w:val="28"/>
          <w:szCs w:val="28"/>
        </w:rPr>
        <w:t>，具体见“成果</w:t>
      </w:r>
      <w:r>
        <w:rPr>
          <w:rFonts w:ascii="仿宋" w:hAnsi="仿宋" w:eastAsia="仿宋"/>
          <w:sz w:val="28"/>
          <w:szCs w:val="28"/>
        </w:rPr>
        <w:t>交流展示</w:t>
      </w:r>
      <w:r>
        <w:rPr>
          <w:rFonts w:hint="eastAsia" w:ascii="仿宋" w:hAnsi="仿宋" w:eastAsia="仿宋"/>
          <w:sz w:val="28"/>
          <w:szCs w:val="28"/>
        </w:rPr>
        <w:t>通知”</w:t>
      </w:r>
      <w:r>
        <w:rPr>
          <w:rFonts w:ascii="仿宋" w:hAnsi="仿宋" w:eastAsia="仿宋"/>
          <w:sz w:val="28"/>
          <w:szCs w:val="28"/>
        </w:rPr>
        <w:t>。</w:t>
      </w:r>
    </w:p>
    <w:p w14:paraId="3398A623">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（三）活动荣誉：各项目遴选入围</w:t>
      </w:r>
      <w:r>
        <w:rPr>
          <w:rFonts w:ascii="仿宋" w:hAnsi="仿宋" w:eastAsia="仿宋"/>
          <w:sz w:val="28"/>
          <w:szCs w:val="28"/>
        </w:rPr>
        <w:t>作品</w:t>
      </w:r>
      <w:r>
        <w:rPr>
          <w:rFonts w:hint="eastAsia" w:ascii="仿宋" w:hAnsi="仿宋" w:eastAsia="仿宋"/>
          <w:sz w:val="28"/>
          <w:szCs w:val="28"/>
        </w:rPr>
        <w:t>参加成果</w:t>
      </w:r>
      <w:r>
        <w:rPr>
          <w:rFonts w:ascii="仿宋" w:hAnsi="仿宋" w:eastAsia="仿宋"/>
          <w:sz w:val="28"/>
          <w:szCs w:val="28"/>
        </w:rPr>
        <w:t>交流展示后，</w:t>
      </w:r>
      <w:r>
        <w:rPr>
          <w:rFonts w:hint="eastAsia" w:ascii="仿宋" w:hAnsi="仿宋" w:eastAsia="仿宋"/>
          <w:sz w:val="28"/>
          <w:szCs w:val="28"/>
        </w:rPr>
        <w:t>由中国教育技术协会颁发荣誉证书，根据作品质量，依次颁发示范教学成果、优质教学成果、应用教学成果。特别优秀作品将推荐</w:t>
      </w:r>
      <w:r>
        <w:rPr>
          <w:rFonts w:ascii="仿宋" w:hAnsi="仿宋" w:eastAsia="仿宋"/>
          <w:sz w:val="28"/>
          <w:szCs w:val="28"/>
        </w:rPr>
        <w:t>至</w:t>
      </w:r>
      <w:r>
        <w:rPr>
          <w:rFonts w:hint="eastAsia" w:ascii="仿宋" w:hAnsi="仿宋" w:eastAsia="仿宋"/>
          <w:sz w:val="28"/>
          <w:szCs w:val="28"/>
        </w:rPr>
        <w:t>《中国信息技术教育》杂志刊发。</w:t>
      </w:r>
      <w:bookmarkStart w:id="6" w:name="_Hlk219108351"/>
      <w:bookmarkStart w:id="7" w:name="_Hlk219108232"/>
      <w:r>
        <w:rPr>
          <w:rFonts w:ascii="仿宋" w:hAnsi="仿宋" w:eastAsia="仿宋"/>
          <w:sz w:val="28"/>
          <w:szCs w:val="28"/>
        </w:rPr>
        <w:t>另设组织工作荣誉，颁发给</w:t>
      </w:r>
      <w:r>
        <w:rPr>
          <w:rFonts w:hint="eastAsia" w:ascii="仿宋" w:hAnsi="仿宋" w:eastAsia="仿宋"/>
          <w:sz w:val="28"/>
          <w:szCs w:val="28"/>
          <w:lang w:val="en-US" w:eastAsia="zh-CN"/>
        </w:rPr>
        <w:t>在</w:t>
      </w:r>
      <w:r>
        <w:rPr>
          <w:rFonts w:ascii="仿宋" w:hAnsi="仿宋" w:eastAsia="仿宋"/>
          <w:sz w:val="28"/>
          <w:szCs w:val="28"/>
        </w:rPr>
        <w:t>活动组织实施过程中做出突出贡献的地方组织单位、学校及个人</w:t>
      </w:r>
      <w:r>
        <w:rPr>
          <w:rFonts w:hint="eastAsia" w:ascii="仿宋" w:hAnsi="仿宋" w:eastAsia="仿宋"/>
          <w:sz w:val="28"/>
          <w:szCs w:val="28"/>
        </w:rPr>
        <w:t>。2026年10月底</w:t>
      </w:r>
      <w:bookmarkStart w:id="8" w:name="_GoBack"/>
      <w:bookmarkEnd w:id="8"/>
      <w:r>
        <w:rPr>
          <w:rFonts w:hint="eastAsia" w:ascii="仿宋" w:hAnsi="仿宋" w:eastAsia="仿宋"/>
          <w:sz w:val="28"/>
          <w:szCs w:val="28"/>
        </w:rPr>
        <w:t>，公布活动荣誉成果</w:t>
      </w:r>
      <w:r>
        <w:rPr>
          <w:rFonts w:hint="eastAsia" w:ascii="仿宋" w:hAnsi="仿宋" w:eastAsia="仿宋"/>
          <w:sz w:val="28"/>
          <w:szCs w:val="28"/>
          <w:lang w:val="en-US" w:eastAsia="zh-CN"/>
        </w:rPr>
        <w:t>查询方式</w:t>
      </w:r>
      <w:r>
        <w:rPr>
          <w:rFonts w:hint="eastAsia" w:ascii="仿宋" w:hAnsi="仿宋" w:eastAsia="仿宋"/>
          <w:sz w:val="28"/>
          <w:szCs w:val="28"/>
        </w:rPr>
        <w:t>及组织工作申报办法</w:t>
      </w:r>
      <w:bookmarkEnd w:id="6"/>
      <w:r>
        <w:rPr>
          <w:rFonts w:hint="eastAsia" w:ascii="仿宋" w:hAnsi="仿宋" w:eastAsia="仿宋"/>
          <w:sz w:val="28"/>
          <w:szCs w:val="28"/>
        </w:rPr>
        <w:t>。</w:t>
      </w:r>
      <w:bookmarkEnd w:id="3"/>
      <w:bookmarkEnd w:id="7"/>
    </w:p>
    <w:bookmarkEnd w:id="4"/>
    <w:p w14:paraId="591BEF16">
      <w:pPr>
        <w:pStyle w:val="2"/>
        <w:spacing w:line="480" w:lineRule="exact"/>
        <w:ind w:firstLine="602"/>
        <w:rPr>
          <w:sz w:val="28"/>
          <w:szCs w:val="28"/>
        </w:rPr>
      </w:pPr>
      <w:r>
        <w:rPr>
          <w:rFonts w:hint="eastAsia"/>
          <w:sz w:val="28"/>
          <w:szCs w:val="28"/>
        </w:rPr>
        <w:t>五、作品标准</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720"/>
        <w:gridCol w:w="822"/>
      </w:tblGrid>
      <w:tr w14:paraId="7536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shd w:val="clear" w:color="auto" w:fill="auto"/>
            <w:vAlign w:val="center"/>
          </w:tcPr>
          <w:p w14:paraId="1FB00712">
            <w:pPr>
              <w:spacing w:line="500" w:lineRule="exact"/>
              <w:rPr>
                <w:rFonts w:hint="eastAsia" w:ascii="仿宋" w:hAnsi="仿宋" w:eastAsia="仿宋" w:cs="黑体"/>
                <w:b/>
                <w:sz w:val="24"/>
                <w:szCs w:val="24"/>
              </w:rPr>
            </w:pPr>
            <w:r>
              <w:rPr>
                <w:rFonts w:hint="eastAsia" w:ascii="仿宋" w:hAnsi="仿宋" w:eastAsia="仿宋" w:cs="黑体"/>
                <w:b/>
                <w:sz w:val="24"/>
                <w:szCs w:val="24"/>
              </w:rPr>
              <w:t>指标</w:t>
            </w:r>
          </w:p>
        </w:tc>
        <w:tc>
          <w:tcPr>
            <w:tcW w:w="6720" w:type="dxa"/>
            <w:shd w:val="clear" w:color="auto" w:fill="auto"/>
            <w:vAlign w:val="center"/>
          </w:tcPr>
          <w:p w14:paraId="3F0BFC7B">
            <w:pPr>
              <w:spacing w:line="500" w:lineRule="exact"/>
              <w:ind w:firstLine="482"/>
              <w:jc w:val="center"/>
              <w:rPr>
                <w:rFonts w:hint="eastAsia" w:ascii="仿宋" w:hAnsi="仿宋" w:eastAsia="仿宋" w:cs="黑体"/>
                <w:b/>
                <w:sz w:val="24"/>
                <w:szCs w:val="24"/>
              </w:rPr>
            </w:pPr>
            <w:r>
              <w:rPr>
                <w:rFonts w:hint="eastAsia" w:ascii="仿宋" w:hAnsi="仿宋" w:eastAsia="仿宋" w:cs="黑体"/>
                <w:b/>
                <w:sz w:val="24"/>
                <w:szCs w:val="24"/>
              </w:rPr>
              <w:t>指标说明</w:t>
            </w:r>
          </w:p>
        </w:tc>
        <w:tc>
          <w:tcPr>
            <w:tcW w:w="822" w:type="dxa"/>
            <w:shd w:val="clear" w:color="auto" w:fill="auto"/>
            <w:vAlign w:val="center"/>
          </w:tcPr>
          <w:p w14:paraId="49E1C456">
            <w:pPr>
              <w:spacing w:line="500" w:lineRule="exact"/>
              <w:jc w:val="center"/>
              <w:rPr>
                <w:rFonts w:hint="eastAsia" w:ascii="仿宋" w:hAnsi="仿宋" w:eastAsia="仿宋" w:cs="黑体"/>
                <w:b/>
                <w:sz w:val="24"/>
                <w:szCs w:val="24"/>
              </w:rPr>
            </w:pPr>
            <w:r>
              <w:rPr>
                <w:rFonts w:hint="eastAsia" w:ascii="仿宋" w:hAnsi="仿宋" w:eastAsia="仿宋" w:cs="黑体"/>
                <w:b/>
                <w:sz w:val="24"/>
                <w:szCs w:val="24"/>
              </w:rPr>
              <w:t>权重</w:t>
            </w:r>
          </w:p>
        </w:tc>
      </w:tr>
      <w:tr w14:paraId="4A01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shd w:val="clear" w:color="auto" w:fill="auto"/>
            <w:vAlign w:val="center"/>
          </w:tcPr>
          <w:p w14:paraId="349BFFB4">
            <w:pPr>
              <w:spacing w:line="500" w:lineRule="exact"/>
              <w:rPr>
                <w:rFonts w:hint="eastAsia" w:ascii="仿宋" w:hAnsi="仿宋" w:eastAsia="仿宋" w:cs="黑体"/>
                <w:sz w:val="24"/>
                <w:szCs w:val="24"/>
              </w:rPr>
            </w:pPr>
            <w:r>
              <w:rPr>
                <w:rFonts w:hint="eastAsia" w:ascii="仿宋" w:hAnsi="仿宋" w:eastAsia="仿宋" w:cs="黑体"/>
                <w:sz w:val="24"/>
                <w:szCs w:val="24"/>
              </w:rPr>
              <w:t>教学</w:t>
            </w:r>
          </w:p>
          <w:p w14:paraId="5FAD667E">
            <w:pPr>
              <w:spacing w:line="500" w:lineRule="exact"/>
              <w:rPr>
                <w:rFonts w:hint="eastAsia" w:ascii="仿宋" w:hAnsi="仿宋" w:eastAsia="仿宋" w:cs="黑体"/>
                <w:sz w:val="24"/>
                <w:szCs w:val="24"/>
              </w:rPr>
            </w:pPr>
            <w:r>
              <w:rPr>
                <w:rFonts w:hint="eastAsia" w:ascii="仿宋" w:hAnsi="仿宋" w:eastAsia="仿宋" w:cs="黑体"/>
                <w:sz w:val="24"/>
                <w:szCs w:val="24"/>
              </w:rPr>
              <w:t>设计</w:t>
            </w:r>
          </w:p>
          <w:p w14:paraId="1A41E244">
            <w:pPr>
              <w:spacing w:line="500" w:lineRule="exact"/>
              <w:rPr>
                <w:rFonts w:hint="eastAsia" w:ascii="仿宋" w:hAnsi="仿宋" w:eastAsia="仿宋" w:cs="黑体"/>
                <w:sz w:val="24"/>
                <w:szCs w:val="24"/>
              </w:rPr>
            </w:pPr>
            <w:r>
              <w:rPr>
                <w:rFonts w:hint="eastAsia" w:ascii="仿宋" w:hAnsi="仿宋" w:eastAsia="仿宋" w:cs="黑体"/>
                <w:sz w:val="24"/>
                <w:szCs w:val="24"/>
              </w:rPr>
              <w:t>与</w:t>
            </w:r>
          </w:p>
          <w:p w14:paraId="6C921328">
            <w:pPr>
              <w:spacing w:line="500" w:lineRule="exact"/>
              <w:rPr>
                <w:rFonts w:hint="eastAsia" w:ascii="仿宋" w:hAnsi="仿宋" w:eastAsia="仿宋" w:cs="黑体"/>
                <w:sz w:val="24"/>
                <w:szCs w:val="24"/>
              </w:rPr>
            </w:pPr>
            <w:r>
              <w:rPr>
                <w:rFonts w:hint="eastAsia" w:ascii="仿宋" w:hAnsi="仿宋" w:eastAsia="仿宋" w:cs="黑体"/>
                <w:sz w:val="24"/>
                <w:szCs w:val="24"/>
              </w:rPr>
              <w:t>反思</w:t>
            </w:r>
          </w:p>
          <w:p w14:paraId="3AF5D82C">
            <w:pPr>
              <w:spacing w:line="500" w:lineRule="exact"/>
              <w:rPr>
                <w:rFonts w:hint="eastAsia" w:ascii="仿宋" w:hAnsi="仿宋" w:eastAsia="仿宋" w:cs="黑体"/>
                <w:sz w:val="24"/>
                <w:szCs w:val="24"/>
              </w:rPr>
            </w:pPr>
            <w:r>
              <w:rPr>
                <w:rFonts w:hint="eastAsia" w:ascii="仿宋" w:hAnsi="仿宋" w:eastAsia="仿宋" w:cs="黑体"/>
                <w:sz w:val="24"/>
                <w:szCs w:val="24"/>
              </w:rPr>
              <w:t>文案</w:t>
            </w:r>
          </w:p>
        </w:tc>
        <w:tc>
          <w:tcPr>
            <w:tcW w:w="6720" w:type="dxa"/>
            <w:shd w:val="clear" w:color="auto" w:fill="auto"/>
            <w:vAlign w:val="center"/>
          </w:tcPr>
          <w:p w14:paraId="0472E688">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教学（活动）目标符合</w:t>
            </w:r>
            <w:r>
              <w:rPr>
                <w:rFonts w:hint="eastAsia" w:ascii="仿宋" w:hAnsi="仿宋" w:eastAsia="仿宋" w:cstheme="minorEastAsia"/>
                <w:color w:val="000000" w:themeColor="text1"/>
                <w:sz w:val="24"/>
                <w:szCs w:val="24"/>
              </w:rPr>
              <w:t>新课程标准</w:t>
            </w:r>
            <w:r>
              <w:rPr>
                <w:rFonts w:hint="eastAsia" w:ascii="仿宋" w:hAnsi="仿宋" w:eastAsia="仿宋" w:cstheme="minorEastAsia"/>
                <w:sz w:val="24"/>
                <w:szCs w:val="24"/>
              </w:rPr>
              <w:t>或</w:t>
            </w:r>
            <w:r>
              <w:rPr>
                <w:rFonts w:ascii="仿宋" w:hAnsi="仿宋" w:eastAsia="仿宋" w:cstheme="minorEastAsia"/>
                <w:sz w:val="24"/>
                <w:szCs w:val="24"/>
              </w:rPr>
              <w:t>相关要求</w:t>
            </w:r>
            <w:r>
              <w:rPr>
                <w:rFonts w:hint="eastAsia" w:ascii="仿宋" w:hAnsi="仿宋" w:eastAsia="仿宋" w:cstheme="minorEastAsia"/>
                <w:sz w:val="24"/>
                <w:szCs w:val="24"/>
              </w:rPr>
              <w:t>，明确完整，可操作、可检测，体现以学生（幼儿）发展为中心的课程改革新理念。</w:t>
            </w:r>
          </w:p>
        </w:tc>
        <w:tc>
          <w:tcPr>
            <w:tcW w:w="822" w:type="dxa"/>
            <w:vMerge w:val="restart"/>
            <w:shd w:val="clear" w:color="auto" w:fill="auto"/>
            <w:vAlign w:val="center"/>
          </w:tcPr>
          <w:p w14:paraId="47029B04">
            <w:pPr>
              <w:spacing w:line="500" w:lineRule="exact"/>
              <w:jc w:val="center"/>
              <w:rPr>
                <w:rFonts w:hint="eastAsia" w:ascii="仿宋" w:hAnsi="仿宋" w:eastAsia="仿宋"/>
                <w:sz w:val="24"/>
                <w:szCs w:val="24"/>
              </w:rPr>
            </w:pPr>
            <w:r>
              <w:rPr>
                <w:rFonts w:hint="eastAsia" w:ascii="仿宋" w:hAnsi="仿宋" w:eastAsia="仿宋"/>
                <w:sz w:val="24"/>
                <w:szCs w:val="24"/>
              </w:rPr>
              <w:t>20</w:t>
            </w:r>
          </w:p>
        </w:tc>
      </w:tr>
      <w:tr w14:paraId="7015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3EE3DBCD">
            <w:pPr>
              <w:spacing w:line="500" w:lineRule="exact"/>
              <w:ind w:firstLine="480"/>
              <w:jc w:val="center"/>
              <w:rPr>
                <w:rFonts w:hint="eastAsia" w:ascii="仿宋" w:hAnsi="仿宋" w:eastAsia="仿宋" w:cs="黑体"/>
                <w:sz w:val="24"/>
                <w:szCs w:val="24"/>
              </w:rPr>
            </w:pPr>
          </w:p>
        </w:tc>
        <w:tc>
          <w:tcPr>
            <w:tcW w:w="6720" w:type="dxa"/>
            <w:shd w:val="clear" w:color="auto" w:fill="auto"/>
            <w:vAlign w:val="center"/>
          </w:tcPr>
          <w:p w14:paraId="467414B9">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教学（活动）设计要素完整，结构严谨，重难点明确，活动恰当，技术应用要体现出优势。</w:t>
            </w:r>
          </w:p>
        </w:tc>
        <w:tc>
          <w:tcPr>
            <w:tcW w:w="822" w:type="dxa"/>
            <w:vMerge w:val="continue"/>
            <w:shd w:val="clear" w:color="auto" w:fill="auto"/>
            <w:vAlign w:val="center"/>
          </w:tcPr>
          <w:p w14:paraId="6E4BE175">
            <w:pPr>
              <w:spacing w:line="500" w:lineRule="exact"/>
              <w:ind w:firstLine="480"/>
              <w:jc w:val="center"/>
              <w:rPr>
                <w:rFonts w:hint="eastAsia" w:ascii="仿宋" w:hAnsi="仿宋" w:eastAsia="仿宋"/>
                <w:sz w:val="24"/>
                <w:szCs w:val="24"/>
              </w:rPr>
            </w:pPr>
          </w:p>
        </w:tc>
      </w:tr>
      <w:tr w14:paraId="22C2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7B53C02B">
            <w:pPr>
              <w:spacing w:line="500" w:lineRule="exact"/>
              <w:ind w:firstLine="480"/>
              <w:jc w:val="center"/>
              <w:rPr>
                <w:rFonts w:hint="eastAsia" w:ascii="仿宋" w:hAnsi="仿宋" w:eastAsia="仿宋" w:cs="黑体"/>
                <w:sz w:val="24"/>
                <w:szCs w:val="24"/>
              </w:rPr>
            </w:pPr>
          </w:p>
        </w:tc>
        <w:tc>
          <w:tcPr>
            <w:tcW w:w="6720" w:type="dxa"/>
            <w:shd w:val="clear" w:color="auto" w:fill="auto"/>
            <w:vAlign w:val="center"/>
          </w:tcPr>
          <w:p w14:paraId="57003AF7">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教学（活动）反思具有针对性，对技术应用</w:t>
            </w:r>
            <w:r>
              <w:rPr>
                <w:rFonts w:ascii="仿宋" w:hAnsi="仿宋" w:eastAsia="仿宋" w:cstheme="minorEastAsia"/>
                <w:sz w:val="24"/>
                <w:szCs w:val="24"/>
              </w:rPr>
              <w:t>的</w:t>
            </w:r>
            <w:r>
              <w:rPr>
                <w:rFonts w:hint="eastAsia" w:ascii="仿宋" w:hAnsi="仿宋" w:eastAsia="仿宋" w:cstheme="minorEastAsia"/>
                <w:sz w:val="24"/>
                <w:szCs w:val="24"/>
              </w:rPr>
              <w:t>方式和成效的分析客观，问题挖掘准确，改进设想具体。</w:t>
            </w:r>
          </w:p>
        </w:tc>
        <w:tc>
          <w:tcPr>
            <w:tcW w:w="822" w:type="dxa"/>
            <w:vMerge w:val="continue"/>
            <w:shd w:val="clear" w:color="auto" w:fill="auto"/>
            <w:vAlign w:val="center"/>
          </w:tcPr>
          <w:p w14:paraId="3EE2ED9F">
            <w:pPr>
              <w:spacing w:line="500" w:lineRule="exact"/>
              <w:ind w:firstLine="480"/>
              <w:jc w:val="center"/>
              <w:rPr>
                <w:rFonts w:hint="eastAsia" w:ascii="仿宋" w:hAnsi="仿宋" w:eastAsia="仿宋"/>
                <w:sz w:val="24"/>
                <w:szCs w:val="24"/>
              </w:rPr>
            </w:pPr>
          </w:p>
        </w:tc>
      </w:tr>
      <w:tr w14:paraId="0161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shd w:val="clear" w:color="auto" w:fill="auto"/>
            <w:vAlign w:val="center"/>
          </w:tcPr>
          <w:p w14:paraId="25A8AF5A">
            <w:pPr>
              <w:spacing w:line="500" w:lineRule="exact"/>
              <w:jc w:val="left"/>
              <w:rPr>
                <w:rFonts w:hint="eastAsia" w:ascii="仿宋" w:hAnsi="仿宋" w:eastAsia="仿宋" w:cs="黑体"/>
                <w:sz w:val="24"/>
                <w:szCs w:val="24"/>
              </w:rPr>
            </w:pPr>
            <w:r>
              <w:rPr>
                <w:rFonts w:hint="eastAsia" w:ascii="仿宋" w:hAnsi="仿宋" w:eastAsia="仿宋" w:cs="黑体"/>
                <w:sz w:val="24"/>
                <w:szCs w:val="24"/>
              </w:rPr>
              <w:t>教学</w:t>
            </w:r>
          </w:p>
          <w:p w14:paraId="535BD42E">
            <w:pPr>
              <w:spacing w:line="500" w:lineRule="exact"/>
              <w:jc w:val="left"/>
              <w:rPr>
                <w:rFonts w:hint="eastAsia" w:ascii="仿宋" w:hAnsi="仿宋" w:eastAsia="仿宋" w:cs="黑体"/>
                <w:sz w:val="24"/>
                <w:szCs w:val="24"/>
              </w:rPr>
            </w:pPr>
            <w:r>
              <w:rPr>
                <w:rFonts w:hint="eastAsia" w:ascii="仿宋" w:hAnsi="仿宋" w:eastAsia="仿宋" w:cs="黑体"/>
                <w:sz w:val="24"/>
                <w:szCs w:val="24"/>
              </w:rPr>
              <w:t>过程</w:t>
            </w:r>
          </w:p>
        </w:tc>
        <w:tc>
          <w:tcPr>
            <w:tcW w:w="6720" w:type="dxa"/>
            <w:shd w:val="clear" w:color="auto" w:fill="auto"/>
            <w:vAlign w:val="center"/>
          </w:tcPr>
          <w:p w14:paraId="04E7C34E">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在教学中突出学生（幼儿）的主体地位，体现信息技术环境下学与教方式的转变。</w:t>
            </w:r>
          </w:p>
        </w:tc>
        <w:tc>
          <w:tcPr>
            <w:tcW w:w="822" w:type="dxa"/>
            <w:vMerge w:val="restart"/>
            <w:shd w:val="clear" w:color="auto" w:fill="auto"/>
            <w:vAlign w:val="center"/>
          </w:tcPr>
          <w:p w14:paraId="4A3C2B9A">
            <w:pPr>
              <w:spacing w:line="500" w:lineRule="exact"/>
              <w:jc w:val="center"/>
              <w:rPr>
                <w:rFonts w:hint="eastAsia" w:ascii="仿宋" w:hAnsi="仿宋" w:eastAsia="仿宋"/>
                <w:sz w:val="24"/>
                <w:szCs w:val="24"/>
              </w:rPr>
            </w:pPr>
            <w:r>
              <w:rPr>
                <w:rFonts w:hint="eastAsia" w:ascii="仿宋" w:hAnsi="仿宋" w:eastAsia="仿宋"/>
                <w:sz w:val="24"/>
                <w:szCs w:val="24"/>
              </w:rPr>
              <w:t>30</w:t>
            </w:r>
          </w:p>
        </w:tc>
      </w:tr>
      <w:tr w14:paraId="3451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15E45262">
            <w:pPr>
              <w:spacing w:line="500" w:lineRule="exact"/>
              <w:ind w:firstLine="480"/>
              <w:jc w:val="center"/>
              <w:rPr>
                <w:rFonts w:hint="eastAsia" w:ascii="仿宋" w:hAnsi="仿宋" w:eastAsia="仿宋" w:cs="黑体"/>
                <w:sz w:val="24"/>
                <w:szCs w:val="24"/>
              </w:rPr>
            </w:pPr>
          </w:p>
        </w:tc>
        <w:tc>
          <w:tcPr>
            <w:tcW w:w="6720" w:type="dxa"/>
            <w:shd w:val="clear" w:color="auto" w:fill="auto"/>
            <w:vAlign w:val="center"/>
          </w:tcPr>
          <w:p w14:paraId="73394880">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能够采取多种策略组织教学与活动，教学（活动）环节合理、自然、流畅。</w:t>
            </w:r>
            <w:r>
              <w:rPr>
                <w:rFonts w:hint="eastAsia" w:ascii="仿宋" w:hAnsi="仿宋" w:eastAsia="仿宋" w:cstheme="minorEastAsia"/>
                <w:color w:val="000000" w:themeColor="text1"/>
                <w:sz w:val="24"/>
                <w:szCs w:val="24"/>
              </w:rPr>
              <w:t>双师模式下，角色切换灵活，分工合理，课堂教学氛围和谐、</w:t>
            </w:r>
            <w:r>
              <w:rPr>
                <w:rFonts w:ascii="仿宋" w:hAnsi="仿宋" w:eastAsia="仿宋" w:cstheme="minorEastAsia"/>
                <w:color w:val="000000" w:themeColor="text1"/>
                <w:sz w:val="24"/>
                <w:szCs w:val="24"/>
              </w:rPr>
              <w:t>互动形式丰富</w:t>
            </w:r>
            <w:r>
              <w:rPr>
                <w:rFonts w:hint="eastAsia" w:ascii="仿宋" w:hAnsi="仿宋" w:eastAsia="仿宋" w:cstheme="minorEastAsia"/>
                <w:color w:val="000000" w:themeColor="text1"/>
                <w:sz w:val="24"/>
                <w:szCs w:val="24"/>
              </w:rPr>
              <w:t>，学生的情感、行动和思维参与积极、活跃。</w:t>
            </w:r>
          </w:p>
        </w:tc>
        <w:tc>
          <w:tcPr>
            <w:tcW w:w="822" w:type="dxa"/>
            <w:vMerge w:val="continue"/>
            <w:shd w:val="clear" w:color="auto" w:fill="auto"/>
            <w:vAlign w:val="center"/>
          </w:tcPr>
          <w:p w14:paraId="779F461A">
            <w:pPr>
              <w:spacing w:line="500" w:lineRule="exact"/>
              <w:ind w:firstLine="480"/>
              <w:jc w:val="center"/>
              <w:rPr>
                <w:rFonts w:hint="eastAsia" w:ascii="仿宋" w:hAnsi="仿宋" w:eastAsia="仿宋"/>
                <w:sz w:val="24"/>
                <w:szCs w:val="24"/>
              </w:rPr>
            </w:pPr>
          </w:p>
        </w:tc>
      </w:tr>
      <w:tr w14:paraId="2405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2F53556F">
            <w:pPr>
              <w:spacing w:line="500" w:lineRule="exact"/>
              <w:ind w:firstLine="480"/>
              <w:jc w:val="center"/>
              <w:rPr>
                <w:rFonts w:hint="eastAsia" w:ascii="仿宋" w:hAnsi="仿宋" w:eastAsia="仿宋" w:cs="黑体"/>
                <w:sz w:val="24"/>
                <w:szCs w:val="24"/>
              </w:rPr>
            </w:pPr>
          </w:p>
        </w:tc>
        <w:tc>
          <w:tcPr>
            <w:tcW w:w="6720" w:type="dxa"/>
            <w:shd w:val="clear" w:color="auto" w:fill="auto"/>
            <w:vAlign w:val="center"/>
          </w:tcPr>
          <w:p w14:paraId="2B013D05">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重视学习者已有的经验，符合学生（幼儿）认知特点和规律。</w:t>
            </w:r>
          </w:p>
        </w:tc>
        <w:tc>
          <w:tcPr>
            <w:tcW w:w="822" w:type="dxa"/>
            <w:vMerge w:val="continue"/>
            <w:shd w:val="clear" w:color="auto" w:fill="auto"/>
            <w:vAlign w:val="center"/>
          </w:tcPr>
          <w:p w14:paraId="698EBD69">
            <w:pPr>
              <w:spacing w:line="500" w:lineRule="exact"/>
              <w:ind w:firstLine="480"/>
              <w:jc w:val="center"/>
              <w:rPr>
                <w:rFonts w:hint="eastAsia" w:ascii="仿宋" w:hAnsi="仿宋" w:eastAsia="仿宋"/>
                <w:sz w:val="24"/>
                <w:szCs w:val="24"/>
              </w:rPr>
            </w:pPr>
          </w:p>
        </w:tc>
      </w:tr>
      <w:tr w14:paraId="2F14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shd w:val="clear" w:color="auto" w:fill="auto"/>
            <w:noWrap/>
            <w:vAlign w:val="center"/>
          </w:tcPr>
          <w:p w14:paraId="78B8766E">
            <w:pPr>
              <w:spacing w:line="500" w:lineRule="exact"/>
              <w:rPr>
                <w:rFonts w:hint="eastAsia" w:ascii="仿宋" w:hAnsi="仿宋" w:eastAsia="仿宋" w:cs="黑体"/>
                <w:sz w:val="24"/>
                <w:szCs w:val="24"/>
              </w:rPr>
            </w:pPr>
            <w:r>
              <w:rPr>
                <w:rFonts w:hint="eastAsia" w:ascii="仿宋" w:hAnsi="仿宋" w:eastAsia="仿宋" w:cs="黑体"/>
                <w:sz w:val="24"/>
                <w:szCs w:val="24"/>
              </w:rPr>
              <w:t>技术</w:t>
            </w:r>
          </w:p>
          <w:p w14:paraId="57A45AB0">
            <w:pPr>
              <w:spacing w:line="500" w:lineRule="exact"/>
              <w:rPr>
                <w:rFonts w:hint="eastAsia" w:ascii="仿宋" w:hAnsi="仿宋" w:eastAsia="仿宋" w:cs="黑体"/>
                <w:sz w:val="24"/>
                <w:szCs w:val="24"/>
              </w:rPr>
            </w:pPr>
            <w:r>
              <w:rPr>
                <w:rFonts w:hint="eastAsia" w:ascii="仿宋" w:hAnsi="仿宋" w:eastAsia="仿宋" w:cs="黑体"/>
                <w:sz w:val="24"/>
                <w:szCs w:val="24"/>
              </w:rPr>
              <w:t>运用</w:t>
            </w:r>
          </w:p>
        </w:tc>
        <w:tc>
          <w:tcPr>
            <w:tcW w:w="6720" w:type="dxa"/>
            <w:shd w:val="clear" w:color="auto" w:fill="auto"/>
            <w:vAlign w:val="center"/>
          </w:tcPr>
          <w:p w14:paraId="5737EE2C">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能够将信息技术作为学生（幼儿）学习和认知的工具、学具。</w:t>
            </w:r>
          </w:p>
        </w:tc>
        <w:tc>
          <w:tcPr>
            <w:tcW w:w="822" w:type="dxa"/>
            <w:vMerge w:val="restart"/>
            <w:shd w:val="clear" w:color="auto" w:fill="auto"/>
            <w:noWrap/>
            <w:vAlign w:val="center"/>
          </w:tcPr>
          <w:p w14:paraId="17B8FED4">
            <w:pPr>
              <w:spacing w:line="500" w:lineRule="exact"/>
              <w:jc w:val="center"/>
              <w:rPr>
                <w:rFonts w:hint="eastAsia" w:ascii="仿宋" w:hAnsi="仿宋" w:eastAsia="仿宋"/>
                <w:sz w:val="24"/>
                <w:szCs w:val="24"/>
              </w:rPr>
            </w:pPr>
            <w:r>
              <w:rPr>
                <w:rFonts w:hint="eastAsia" w:ascii="仿宋" w:hAnsi="仿宋" w:eastAsia="仿宋"/>
                <w:sz w:val="24"/>
                <w:szCs w:val="24"/>
              </w:rPr>
              <w:t>30</w:t>
            </w:r>
          </w:p>
        </w:tc>
      </w:tr>
      <w:tr w14:paraId="14D5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4D0754FA">
            <w:pPr>
              <w:spacing w:line="500" w:lineRule="exact"/>
              <w:ind w:firstLine="480"/>
              <w:jc w:val="center"/>
              <w:rPr>
                <w:rFonts w:hint="eastAsia" w:ascii="仿宋" w:hAnsi="仿宋" w:eastAsia="仿宋" w:cs="黑体"/>
                <w:sz w:val="24"/>
                <w:szCs w:val="24"/>
              </w:rPr>
            </w:pPr>
          </w:p>
        </w:tc>
        <w:tc>
          <w:tcPr>
            <w:tcW w:w="6720" w:type="dxa"/>
            <w:shd w:val="clear" w:color="auto" w:fill="auto"/>
            <w:vAlign w:val="center"/>
          </w:tcPr>
          <w:p w14:paraId="2D53C8F9">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精准有效解决教学重难点问题，增进人机、师生、生生深层次互动。</w:t>
            </w:r>
          </w:p>
        </w:tc>
        <w:tc>
          <w:tcPr>
            <w:tcW w:w="822" w:type="dxa"/>
            <w:vMerge w:val="continue"/>
            <w:shd w:val="clear" w:color="auto" w:fill="auto"/>
            <w:vAlign w:val="center"/>
          </w:tcPr>
          <w:p w14:paraId="0251BD3F">
            <w:pPr>
              <w:spacing w:line="500" w:lineRule="exact"/>
              <w:ind w:firstLine="480"/>
              <w:jc w:val="center"/>
              <w:rPr>
                <w:rFonts w:hint="eastAsia" w:ascii="仿宋" w:hAnsi="仿宋" w:eastAsia="仿宋"/>
                <w:sz w:val="24"/>
                <w:szCs w:val="24"/>
              </w:rPr>
            </w:pPr>
          </w:p>
        </w:tc>
      </w:tr>
      <w:tr w14:paraId="1B65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67BE8B45">
            <w:pPr>
              <w:spacing w:line="500" w:lineRule="exact"/>
              <w:ind w:firstLine="480"/>
              <w:jc w:val="center"/>
              <w:rPr>
                <w:rFonts w:hint="eastAsia" w:ascii="仿宋" w:hAnsi="仿宋" w:eastAsia="仿宋" w:cs="黑体"/>
                <w:sz w:val="24"/>
                <w:szCs w:val="24"/>
              </w:rPr>
            </w:pPr>
          </w:p>
        </w:tc>
        <w:tc>
          <w:tcPr>
            <w:tcW w:w="6720" w:type="dxa"/>
            <w:shd w:val="clear" w:color="auto" w:fill="auto"/>
            <w:noWrap/>
            <w:vAlign w:val="center"/>
          </w:tcPr>
          <w:p w14:paraId="13F1C51D">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巧妙运用信息技术工具和手段，引导学生（幼儿）开展多种形式的学习。</w:t>
            </w:r>
          </w:p>
        </w:tc>
        <w:tc>
          <w:tcPr>
            <w:tcW w:w="822" w:type="dxa"/>
            <w:vMerge w:val="continue"/>
            <w:shd w:val="clear" w:color="auto" w:fill="auto"/>
            <w:vAlign w:val="center"/>
          </w:tcPr>
          <w:p w14:paraId="3D23A45B">
            <w:pPr>
              <w:spacing w:line="500" w:lineRule="exact"/>
              <w:ind w:firstLine="480"/>
              <w:jc w:val="center"/>
              <w:rPr>
                <w:rFonts w:hint="eastAsia" w:ascii="仿宋" w:hAnsi="仿宋" w:eastAsia="仿宋"/>
                <w:sz w:val="24"/>
                <w:szCs w:val="24"/>
              </w:rPr>
            </w:pPr>
          </w:p>
        </w:tc>
      </w:tr>
      <w:tr w14:paraId="2860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shd w:val="clear" w:color="auto" w:fill="auto"/>
            <w:vAlign w:val="center"/>
          </w:tcPr>
          <w:p w14:paraId="0CE79485">
            <w:pPr>
              <w:spacing w:line="500" w:lineRule="exact"/>
              <w:rPr>
                <w:rFonts w:hint="eastAsia" w:ascii="仿宋" w:hAnsi="仿宋" w:eastAsia="仿宋" w:cs="黑体"/>
                <w:sz w:val="24"/>
                <w:szCs w:val="24"/>
              </w:rPr>
            </w:pPr>
            <w:r>
              <w:rPr>
                <w:rFonts w:hint="eastAsia" w:ascii="仿宋" w:hAnsi="仿宋" w:eastAsia="仿宋" w:cs="黑体"/>
                <w:sz w:val="24"/>
                <w:szCs w:val="24"/>
              </w:rPr>
              <w:t>教师</w:t>
            </w:r>
          </w:p>
          <w:p w14:paraId="2B395888">
            <w:pPr>
              <w:spacing w:line="500" w:lineRule="exact"/>
              <w:rPr>
                <w:rFonts w:hint="eastAsia" w:ascii="仿宋" w:hAnsi="仿宋" w:eastAsia="仿宋" w:cs="黑体"/>
                <w:sz w:val="24"/>
                <w:szCs w:val="24"/>
              </w:rPr>
            </w:pPr>
            <w:r>
              <w:rPr>
                <w:rFonts w:hint="eastAsia" w:ascii="仿宋" w:hAnsi="仿宋" w:eastAsia="仿宋" w:cs="黑体"/>
                <w:sz w:val="24"/>
                <w:szCs w:val="24"/>
              </w:rPr>
              <w:t>素养</w:t>
            </w:r>
          </w:p>
        </w:tc>
        <w:tc>
          <w:tcPr>
            <w:tcW w:w="6720" w:type="dxa"/>
            <w:shd w:val="clear" w:color="auto" w:fill="auto"/>
            <w:vAlign w:val="center"/>
          </w:tcPr>
          <w:p w14:paraId="5206254F">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教学专业知识扎实，能够准确把握学科的基本特征和学生的认知特征实施教学。</w:t>
            </w:r>
          </w:p>
        </w:tc>
        <w:tc>
          <w:tcPr>
            <w:tcW w:w="822" w:type="dxa"/>
            <w:vMerge w:val="restart"/>
            <w:shd w:val="clear" w:color="auto" w:fill="auto"/>
            <w:vAlign w:val="center"/>
          </w:tcPr>
          <w:p w14:paraId="50D2219D">
            <w:pPr>
              <w:spacing w:line="500" w:lineRule="exact"/>
              <w:jc w:val="center"/>
              <w:rPr>
                <w:rFonts w:hint="eastAsia" w:ascii="仿宋" w:hAnsi="仿宋" w:eastAsia="仿宋"/>
                <w:sz w:val="24"/>
                <w:szCs w:val="24"/>
              </w:rPr>
            </w:pPr>
            <w:r>
              <w:rPr>
                <w:rFonts w:hint="eastAsia" w:ascii="仿宋" w:hAnsi="仿宋" w:eastAsia="仿宋"/>
                <w:sz w:val="24"/>
                <w:szCs w:val="24"/>
              </w:rPr>
              <w:t>10</w:t>
            </w:r>
          </w:p>
        </w:tc>
      </w:tr>
      <w:tr w14:paraId="1EB8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13D02E1E">
            <w:pPr>
              <w:spacing w:line="500" w:lineRule="exact"/>
              <w:ind w:firstLine="480"/>
              <w:jc w:val="center"/>
              <w:rPr>
                <w:rFonts w:hint="eastAsia" w:ascii="仿宋" w:hAnsi="仿宋" w:eastAsia="仿宋" w:cs="黑体"/>
                <w:sz w:val="24"/>
                <w:szCs w:val="24"/>
              </w:rPr>
            </w:pPr>
          </w:p>
        </w:tc>
        <w:tc>
          <w:tcPr>
            <w:tcW w:w="6720" w:type="dxa"/>
            <w:shd w:val="clear" w:color="auto" w:fill="auto"/>
            <w:vAlign w:val="center"/>
          </w:tcPr>
          <w:p w14:paraId="34860380">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技术</w:t>
            </w:r>
            <w:r>
              <w:rPr>
                <w:rFonts w:ascii="仿宋" w:hAnsi="仿宋" w:eastAsia="仿宋" w:cstheme="minorEastAsia"/>
                <w:sz w:val="24"/>
                <w:szCs w:val="24"/>
              </w:rPr>
              <w:t>运用</w:t>
            </w:r>
            <w:r>
              <w:rPr>
                <w:rFonts w:hint="eastAsia" w:ascii="仿宋" w:hAnsi="仿宋" w:eastAsia="仿宋" w:cstheme="minorEastAsia"/>
                <w:sz w:val="24"/>
                <w:szCs w:val="24"/>
              </w:rPr>
              <w:t>得当</w:t>
            </w:r>
            <w:r>
              <w:rPr>
                <w:rFonts w:ascii="仿宋" w:hAnsi="仿宋" w:eastAsia="仿宋" w:cstheme="minorEastAsia"/>
                <w:sz w:val="24"/>
                <w:szCs w:val="24"/>
              </w:rPr>
              <w:t>、</w:t>
            </w:r>
            <w:r>
              <w:rPr>
                <w:rFonts w:hint="eastAsia" w:ascii="仿宋" w:hAnsi="仿宋" w:eastAsia="仿宋" w:cstheme="minorEastAsia"/>
                <w:sz w:val="24"/>
                <w:szCs w:val="24"/>
              </w:rPr>
              <w:t>教学设备操作娴熟，教态亲切、自然，语言准确、清晰、生动。</w:t>
            </w:r>
          </w:p>
        </w:tc>
        <w:tc>
          <w:tcPr>
            <w:tcW w:w="822" w:type="dxa"/>
            <w:vMerge w:val="continue"/>
            <w:shd w:val="clear" w:color="auto" w:fill="auto"/>
            <w:vAlign w:val="center"/>
          </w:tcPr>
          <w:p w14:paraId="14410DBC">
            <w:pPr>
              <w:spacing w:line="500" w:lineRule="exact"/>
              <w:ind w:firstLine="480"/>
              <w:jc w:val="center"/>
              <w:rPr>
                <w:rFonts w:hint="eastAsia" w:ascii="仿宋" w:hAnsi="仿宋" w:eastAsia="仿宋"/>
                <w:sz w:val="24"/>
                <w:szCs w:val="24"/>
              </w:rPr>
            </w:pPr>
          </w:p>
        </w:tc>
      </w:tr>
      <w:tr w14:paraId="2FCC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shd w:val="clear" w:color="auto" w:fill="auto"/>
            <w:vAlign w:val="center"/>
          </w:tcPr>
          <w:p w14:paraId="2B5F2EE1">
            <w:pPr>
              <w:spacing w:line="500" w:lineRule="exact"/>
              <w:rPr>
                <w:rFonts w:hint="eastAsia" w:ascii="仿宋" w:hAnsi="仿宋" w:eastAsia="仿宋" w:cs="黑体"/>
                <w:sz w:val="24"/>
                <w:szCs w:val="24"/>
              </w:rPr>
            </w:pPr>
            <w:r>
              <w:rPr>
                <w:rFonts w:hint="eastAsia" w:ascii="仿宋" w:hAnsi="仿宋" w:eastAsia="仿宋" w:cs="黑体"/>
                <w:sz w:val="24"/>
                <w:szCs w:val="24"/>
              </w:rPr>
              <w:t>教学</w:t>
            </w:r>
          </w:p>
          <w:p w14:paraId="7D9630A5">
            <w:pPr>
              <w:spacing w:line="500" w:lineRule="exact"/>
              <w:rPr>
                <w:rFonts w:hint="eastAsia" w:ascii="仿宋" w:hAnsi="仿宋" w:eastAsia="仿宋" w:cs="黑体"/>
                <w:sz w:val="24"/>
                <w:szCs w:val="24"/>
              </w:rPr>
            </w:pPr>
            <w:r>
              <w:rPr>
                <w:rFonts w:hint="eastAsia" w:ascii="仿宋" w:hAnsi="仿宋" w:eastAsia="仿宋" w:cs="黑体"/>
                <w:sz w:val="24"/>
                <w:szCs w:val="24"/>
              </w:rPr>
              <w:t>效果</w:t>
            </w:r>
          </w:p>
        </w:tc>
        <w:tc>
          <w:tcPr>
            <w:tcW w:w="6720" w:type="dxa"/>
            <w:shd w:val="clear" w:color="auto" w:fill="auto"/>
            <w:vAlign w:val="center"/>
          </w:tcPr>
          <w:p w14:paraId="05D53204">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完成教学（活动）目标，不同层次的学生（幼儿）都得到相应提高、获得发展。</w:t>
            </w:r>
          </w:p>
        </w:tc>
        <w:tc>
          <w:tcPr>
            <w:tcW w:w="822" w:type="dxa"/>
            <w:vMerge w:val="restart"/>
            <w:shd w:val="clear" w:color="auto" w:fill="auto"/>
            <w:vAlign w:val="center"/>
          </w:tcPr>
          <w:p w14:paraId="5EEC7188">
            <w:pPr>
              <w:spacing w:line="500" w:lineRule="exact"/>
              <w:jc w:val="center"/>
              <w:rPr>
                <w:rFonts w:hint="eastAsia" w:ascii="仿宋" w:hAnsi="仿宋" w:eastAsia="仿宋"/>
                <w:sz w:val="24"/>
                <w:szCs w:val="24"/>
              </w:rPr>
            </w:pPr>
            <w:r>
              <w:rPr>
                <w:rFonts w:hint="eastAsia" w:ascii="仿宋" w:hAnsi="仿宋" w:eastAsia="仿宋"/>
                <w:sz w:val="24"/>
                <w:szCs w:val="24"/>
              </w:rPr>
              <w:t>10</w:t>
            </w:r>
          </w:p>
        </w:tc>
      </w:tr>
      <w:tr w14:paraId="4C9E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4F0FDB9D">
            <w:pPr>
              <w:spacing w:line="500" w:lineRule="exact"/>
              <w:ind w:firstLine="480"/>
              <w:rPr>
                <w:rFonts w:hint="eastAsia" w:ascii="仿宋" w:hAnsi="仿宋" w:eastAsia="仿宋" w:cstheme="minorEastAsia"/>
                <w:sz w:val="24"/>
                <w:szCs w:val="24"/>
              </w:rPr>
            </w:pPr>
          </w:p>
        </w:tc>
        <w:tc>
          <w:tcPr>
            <w:tcW w:w="6720" w:type="dxa"/>
            <w:shd w:val="clear" w:color="auto" w:fill="auto"/>
            <w:vAlign w:val="center"/>
          </w:tcPr>
          <w:p w14:paraId="2E68EFA7">
            <w:pPr>
              <w:spacing w:line="500" w:lineRule="exact"/>
              <w:rPr>
                <w:rFonts w:hint="eastAsia" w:ascii="仿宋" w:hAnsi="仿宋" w:eastAsia="仿宋" w:cstheme="minorEastAsia"/>
                <w:sz w:val="24"/>
                <w:szCs w:val="24"/>
              </w:rPr>
            </w:pPr>
            <w:r>
              <w:rPr>
                <w:rFonts w:hint="eastAsia" w:ascii="仿宋" w:hAnsi="仿宋" w:eastAsia="仿宋" w:cstheme="minorEastAsia"/>
                <w:sz w:val="24"/>
                <w:szCs w:val="24"/>
              </w:rPr>
              <w:t>课堂教学氛围和谐、民主、向上，学生（幼儿）的情感、行动和思维参与积极、活跃。</w:t>
            </w:r>
          </w:p>
        </w:tc>
        <w:tc>
          <w:tcPr>
            <w:tcW w:w="822" w:type="dxa"/>
            <w:vMerge w:val="continue"/>
            <w:shd w:val="clear" w:color="auto" w:fill="auto"/>
          </w:tcPr>
          <w:p w14:paraId="0ABE9670">
            <w:pPr>
              <w:spacing w:line="500" w:lineRule="exact"/>
              <w:ind w:firstLine="480"/>
              <w:rPr>
                <w:rFonts w:hint="eastAsia" w:ascii="仿宋" w:hAnsi="仿宋" w:eastAsia="仿宋"/>
                <w:sz w:val="24"/>
                <w:szCs w:val="24"/>
              </w:rPr>
            </w:pPr>
          </w:p>
        </w:tc>
      </w:tr>
    </w:tbl>
    <w:p w14:paraId="655BFA5D">
      <w:pPr>
        <w:pStyle w:val="2"/>
        <w:spacing w:line="480" w:lineRule="exact"/>
        <w:ind w:firstLine="602"/>
        <w:rPr>
          <w:sz w:val="28"/>
          <w:szCs w:val="28"/>
        </w:rPr>
      </w:pPr>
      <w:r>
        <w:rPr>
          <w:rFonts w:hint="eastAsia"/>
          <w:sz w:val="28"/>
          <w:szCs w:val="28"/>
        </w:rPr>
        <w:t>六</w:t>
      </w:r>
      <w:r>
        <w:rPr>
          <w:sz w:val="28"/>
          <w:szCs w:val="28"/>
        </w:rPr>
        <w:t>、注意事项</w:t>
      </w:r>
    </w:p>
    <w:p w14:paraId="14A0BE78">
      <w:pPr>
        <w:spacing w:line="480" w:lineRule="exact"/>
        <w:ind w:firstLine="560" w:firstLineChars="200"/>
        <w:rPr>
          <w:rFonts w:hint="eastAsia" w:ascii="仿宋" w:hAnsi="仿宋" w:eastAsia="仿宋"/>
          <w:sz w:val="28"/>
          <w:szCs w:val="28"/>
        </w:rPr>
      </w:pPr>
      <w:r>
        <w:rPr>
          <w:rFonts w:hint="eastAsia" w:ascii="仿宋" w:hAnsi="仿宋" w:eastAsia="仿宋" w:cstheme="minorEastAsia"/>
          <w:sz w:val="28"/>
          <w:szCs w:val="28"/>
        </w:rPr>
        <w:t>（一）本项目作品一经</w:t>
      </w:r>
      <w:r>
        <w:rPr>
          <w:rFonts w:ascii="仿宋" w:hAnsi="仿宋" w:eastAsia="仿宋" w:cstheme="minorEastAsia"/>
          <w:sz w:val="28"/>
          <w:szCs w:val="28"/>
        </w:rPr>
        <w:t>发现</w:t>
      </w:r>
      <w:r>
        <w:rPr>
          <w:rFonts w:hint="eastAsia" w:ascii="仿宋" w:hAnsi="仿宋" w:eastAsia="仿宋" w:cstheme="minorEastAsia"/>
          <w:sz w:val="28"/>
          <w:szCs w:val="28"/>
        </w:rPr>
        <w:t>或</w:t>
      </w:r>
      <w:r>
        <w:rPr>
          <w:rFonts w:ascii="仿宋" w:hAnsi="仿宋" w:eastAsia="仿宋" w:cstheme="minorEastAsia"/>
          <w:sz w:val="28"/>
          <w:szCs w:val="28"/>
        </w:rPr>
        <w:t>举报</w:t>
      </w:r>
      <w:r>
        <w:rPr>
          <w:rFonts w:hint="eastAsia" w:ascii="仿宋" w:hAnsi="仿宋" w:eastAsia="仿宋" w:cstheme="minorEastAsia"/>
          <w:sz w:val="28"/>
          <w:szCs w:val="28"/>
        </w:rPr>
        <w:t>包含以下问题直接取消参加展示交流资格和</w:t>
      </w:r>
      <w:r>
        <w:rPr>
          <w:rFonts w:ascii="仿宋" w:hAnsi="仿宋" w:eastAsia="仿宋" w:cstheme="minorEastAsia"/>
          <w:sz w:val="28"/>
          <w:szCs w:val="28"/>
        </w:rPr>
        <w:t>所获</w:t>
      </w:r>
      <w:r>
        <w:rPr>
          <w:rFonts w:hint="eastAsia" w:ascii="仿宋" w:hAnsi="仿宋" w:eastAsia="仿宋" w:cstheme="minorEastAsia"/>
          <w:sz w:val="28"/>
          <w:szCs w:val="28"/>
        </w:rPr>
        <w:t>成果：</w:t>
      </w:r>
    </w:p>
    <w:p w14:paraId="75B7BEA8">
      <w:pPr>
        <w:snapToGrid w:val="0"/>
        <w:spacing w:line="48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1.政治性错误和科学性错误；</w:t>
      </w:r>
    </w:p>
    <w:p w14:paraId="251A34A9">
      <w:pPr>
        <w:snapToGrid w:val="0"/>
        <w:spacing w:line="48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2.弄虚作假行为；</w:t>
      </w:r>
    </w:p>
    <w:p w14:paraId="7962F428">
      <w:pPr>
        <w:snapToGrid w:val="0"/>
        <w:spacing w:line="48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3.已参加过其他国家级活动；</w:t>
      </w:r>
    </w:p>
    <w:p w14:paraId="643DAEA5">
      <w:pPr>
        <w:snapToGrid w:val="0"/>
        <w:spacing w:line="48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4.参加者信息不真实、作品内容不完整。</w:t>
      </w:r>
    </w:p>
    <w:p w14:paraId="2D61E38F">
      <w:pPr>
        <w:snapToGrid w:val="0"/>
        <w:spacing w:line="48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（二）本项目作品必须为作者原创，本人拥有该作品的著作权，不得剽窃、抄袭他人作品，一经</w:t>
      </w:r>
      <w:r>
        <w:rPr>
          <w:rFonts w:ascii="仿宋" w:hAnsi="仿宋" w:eastAsia="仿宋" w:cstheme="minorEastAsia"/>
          <w:sz w:val="28"/>
          <w:szCs w:val="28"/>
        </w:rPr>
        <w:t>发现</w:t>
      </w:r>
      <w:r>
        <w:rPr>
          <w:rFonts w:hint="eastAsia" w:ascii="仿宋" w:hAnsi="仿宋" w:eastAsia="仿宋" w:cstheme="minorEastAsia"/>
          <w:sz w:val="28"/>
          <w:szCs w:val="28"/>
        </w:rPr>
        <w:t>或</w:t>
      </w:r>
      <w:r>
        <w:rPr>
          <w:rFonts w:ascii="仿宋" w:hAnsi="仿宋" w:eastAsia="仿宋" w:cstheme="minorEastAsia"/>
          <w:sz w:val="28"/>
          <w:szCs w:val="28"/>
        </w:rPr>
        <w:t>举报</w:t>
      </w:r>
      <w:r>
        <w:rPr>
          <w:rFonts w:hint="eastAsia" w:ascii="仿宋" w:hAnsi="仿宋" w:eastAsia="仿宋" w:cstheme="minorEastAsia"/>
          <w:sz w:val="28"/>
          <w:szCs w:val="28"/>
        </w:rPr>
        <w:t>直接取消参加展示交流资格和</w:t>
      </w:r>
      <w:r>
        <w:rPr>
          <w:rFonts w:ascii="仿宋" w:hAnsi="仿宋" w:eastAsia="仿宋" w:cstheme="minorEastAsia"/>
          <w:sz w:val="28"/>
          <w:szCs w:val="28"/>
        </w:rPr>
        <w:t>所获</w:t>
      </w:r>
      <w:r>
        <w:rPr>
          <w:rFonts w:hint="eastAsia" w:ascii="仿宋" w:hAnsi="仿宋" w:eastAsia="仿宋" w:cstheme="minorEastAsia"/>
          <w:sz w:val="28"/>
          <w:szCs w:val="28"/>
        </w:rPr>
        <w:t>成果。</w:t>
      </w:r>
    </w:p>
    <w:p w14:paraId="1F63A2D8">
      <w:pPr>
        <w:pStyle w:val="2"/>
        <w:spacing w:line="480" w:lineRule="exact"/>
        <w:ind w:firstLine="602"/>
        <w:rPr>
          <w:sz w:val="28"/>
          <w:szCs w:val="28"/>
        </w:rPr>
      </w:pPr>
      <w:r>
        <w:rPr>
          <w:sz w:val="28"/>
          <w:szCs w:val="28"/>
        </w:rPr>
        <w:drawing>
          <wp:anchor distT="0" distB="0" distL="114300" distR="114300" simplePos="0" relativeHeight="251659264" behindDoc="0" locked="0" layoutInCell="1" allowOverlap="1">
            <wp:simplePos x="0" y="0"/>
            <wp:positionH relativeFrom="column">
              <wp:posOffset>4006215</wp:posOffset>
            </wp:positionH>
            <wp:positionV relativeFrom="paragraph">
              <wp:posOffset>277495</wp:posOffset>
            </wp:positionV>
            <wp:extent cx="1009650" cy="1009650"/>
            <wp:effectExtent l="0" t="0" r="0" b="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r>
        <w:rPr>
          <w:rFonts w:hint="eastAsia"/>
          <w:sz w:val="28"/>
          <w:szCs w:val="28"/>
        </w:rPr>
        <w:t>七</w:t>
      </w:r>
      <w:r>
        <w:rPr>
          <w:sz w:val="28"/>
          <w:szCs w:val="28"/>
        </w:rPr>
        <w:t>、</w:t>
      </w:r>
      <w:r>
        <w:rPr>
          <w:rFonts w:hint="eastAsia"/>
          <w:sz w:val="28"/>
          <w:szCs w:val="28"/>
        </w:rPr>
        <w:t>活动信息</w:t>
      </w:r>
    </w:p>
    <w:p w14:paraId="4C6AED4B">
      <w:pPr>
        <w:widowControl/>
        <w:spacing w:line="480" w:lineRule="exact"/>
        <w:ind w:firstLine="560" w:firstLineChars="200"/>
        <w:rPr>
          <w:sz w:val="28"/>
          <w:szCs w:val="28"/>
        </w:rPr>
      </w:pPr>
      <w:r>
        <w:rPr>
          <w:rFonts w:hint="eastAsia" w:ascii="仿宋" w:hAnsi="仿宋" w:eastAsia="仿宋"/>
          <w:bCs/>
          <w:color w:val="000000"/>
          <w:sz w:val="28"/>
          <w:szCs w:val="28"/>
        </w:rPr>
        <w:t>中国教育技术协会官网：</w:t>
      </w:r>
      <w:r>
        <w:rPr>
          <w:rFonts w:ascii="仿宋" w:hAnsi="仿宋" w:eastAsia="仿宋"/>
          <w:bCs/>
          <w:color w:val="000000"/>
          <w:sz w:val="28"/>
          <w:szCs w:val="28"/>
        </w:rPr>
        <w:t>www.caet.org.cn</w:t>
      </w:r>
      <w:r>
        <w:rPr>
          <w:sz w:val="28"/>
          <w:szCs w:val="28"/>
        </w:rPr>
        <w:t xml:space="preserve"> </w:t>
      </w:r>
    </w:p>
    <w:p w14:paraId="3D1E3242">
      <w:pPr>
        <w:widowControl/>
        <w:spacing w:line="480" w:lineRule="exact"/>
        <w:ind w:firstLine="560" w:firstLineChars="200"/>
        <w:rPr>
          <w:rFonts w:hint="eastAsia" w:ascii="仿宋" w:hAnsi="仿宋" w:eastAsia="仿宋" w:cstheme="minorEastAsia"/>
          <w:sz w:val="28"/>
          <w:szCs w:val="28"/>
        </w:rPr>
      </w:pPr>
      <w:r>
        <w:rPr>
          <w:rFonts w:ascii="仿宋" w:hAnsi="仿宋" w:eastAsia="仿宋" w:cstheme="minorEastAsia"/>
          <w:sz w:val="28"/>
          <w:szCs w:val="28"/>
        </w:rPr>
        <w:t>EOC</w:t>
      </w:r>
      <w:r>
        <w:rPr>
          <w:rFonts w:hint="eastAsia" w:ascii="仿宋" w:hAnsi="仿宋" w:eastAsia="仿宋" w:cstheme="minorEastAsia"/>
          <w:sz w:val="28"/>
          <w:szCs w:val="28"/>
        </w:rPr>
        <w:t>活动网站：</w:t>
      </w:r>
      <w:r>
        <w:rPr>
          <w:rFonts w:ascii="仿宋" w:hAnsi="仿宋" w:eastAsia="仿宋"/>
          <w:sz w:val="28"/>
          <w:szCs w:val="28"/>
        </w:rPr>
        <w:t>www.eochd.com</w:t>
      </w:r>
    </w:p>
    <w:p w14:paraId="4A7AE9EA">
      <w:pPr>
        <w:widowControl/>
        <w:spacing w:line="480" w:lineRule="exact"/>
        <w:ind w:firstLine="560" w:firstLineChars="200"/>
        <w:rPr>
          <w:sz w:val="28"/>
          <w:szCs w:val="28"/>
        </w:rPr>
      </w:pPr>
      <w:r>
        <w:rPr>
          <w:rFonts w:hint="eastAsia" w:ascii="仿宋" w:hAnsi="仿宋" w:eastAsia="仿宋" w:cstheme="minorEastAsia"/>
          <w:sz w:val="28"/>
          <w:szCs w:val="28"/>
        </w:rPr>
        <w:t>联系电话：0</w:t>
      </w:r>
      <w:r>
        <w:rPr>
          <w:rFonts w:ascii="仿宋" w:hAnsi="仿宋" w:eastAsia="仿宋" w:cstheme="minorEastAsia"/>
          <w:sz w:val="28"/>
          <w:szCs w:val="28"/>
        </w:rPr>
        <w:t>10-87663458</w:t>
      </w:r>
    </w:p>
    <w:p w14:paraId="686C8AF9">
      <w:pPr>
        <w:widowControl/>
        <w:spacing w:line="480" w:lineRule="exact"/>
        <w:ind w:firstLine="6160" w:firstLineChars="2200"/>
        <w:rPr>
          <w:rFonts w:hint="eastAsia" w:ascii="仿宋" w:hAnsi="仿宋" w:eastAsia="仿宋" w:cstheme="minorEastAsia"/>
          <w:sz w:val="28"/>
          <w:szCs w:val="28"/>
        </w:rPr>
      </w:pPr>
      <w:r>
        <w:rPr>
          <w:rFonts w:hint="eastAsia" w:ascii="仿宋" w:hAnsi="仿宋" w:eastAsia="仿宋" w:cstheme="minorEastAsia"/>
          <w:sz w:val="28"/>
          <w:szCs w:val="28"/>
        </w:rPr>
        <w:t>E</w:t>
      </w:r>
      <w:r>
        <w:rPr>
          <w:rFonts w:ascii="仿宋" w:hAnsi="仿宋" w:eastAsia="仿宋" w:cstheme="minorEastAsia"/>
          <w:sz w:val="28"/>
          <w:szCs w:val="28"/>
        </w:rPr>
        <w:t>OC活动</w:t>
      </w:r>
      <w:r>
        <w:rPr>
          <w:rFonts w:hint="eastAsia" w:ascii="仿宋" w:hAnsi="仿宋" w:eastAsia="仿宋" w:cstheme="minorEastAsia"/>
          <w:sz w:val="28"/>
          <w:szCs w:val="28"/>
        </w:rPr>
        <w:t>公众号</w:t>
      </w:r>
    </w:p>
    <w:sectPr>
      <w:headerReference r:id="rId3" w:type="default"/>
      <w:footerReference r:id="rId4"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462190"/>
    </w:sdtPr>
    <w:sdtContent>
      <w:p w14:paraId="1940EF7E">
        <w:pPr>
          <w:pStyle w:val="9"/>
          <w:ind w:firstLine="360"/>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34A5">
    <w:pPr>
      <w:pStyle w:val="10"/>
      <w:pBdr>
        <w:bottom w:val="none" w:color="auto" w:sz="0" w:space="0"/>
      </w:pBdr>
      <w:jc w:val="left"/>
      <w:textAlignment w:val="center"/>
      <w:rPr>
        <w:rFonts w:hint="eastAsia" w:ascii="仿宋" w:hAnsi="仿宋" w:eastAsia="仿宋"/>
        <w:sz w:val="21"/>
        <w:szCs w:val="21"/>
      </w:rPr>
    </w:pPr>
    <w:r>
      <w:drawing>
        <wp:anchor distT="0" distB="0" distL="114300" distR="114300" simplePos="0" relativeHeight="251659264" behindDoc="0" locked="0" layoutInCell="1" allowOverlap="1">
          <wp:simplePos x="0" y="0"/>
          <wp:positionH relativeFrom="column">
            <wp:posOffset>303530</wp:posOffset>
          </wp:positionH>
          <wp:positionV relativeFrom="paragraph">
            <wp:posOffset>-97155</wp:posOffset>
          </wp:positionV>
          <wp:extent cx="266700" cy="285750"/>
          <wp:effectExtent l="0" t="0" r="0" b="0"/>
          <wp:wrapNone/>
          <wp:docPr id="1" name="图片 1" descr="1667185328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718532818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6700" cy="285750"/>
                  </a:xfrm>
                  <a:prstGeom prst="rect">
                    <a:avLst/>
                  </a:prstGeom>
                  <a:noFill/>
                  <a:ln>
                    <a:noFill/>
                  </a:ln>
                </pic:spPr>
              </pic:pic>
            </a:graphicData>
          </a:graphic>
        </wp:anchor>
      </w:drawing>
    </w:r>
    <w:r>
      <w:rPr>
        <w:rFonts w:hint="eastAsia" w:ascii="仿宋" w:hAnsi="仿宋" w:eastAsia="仿宋"/>
        <w:sz w:val="21"/>
        <w:szCs w:val="21"/>
      </w:rPr>
      <w:t>2026　</w:t>
    </w:r>
    <w:r>
      <w:rPr>
        <w:rFonts w:ascii="仿宋" w:hAnsi="仿宋" w:eastAsia="仿宋"/>
        <w:sz w:val="21"/>
        <w:szCs w:val="21"/>
      </w:rPr>
      <w:t xml:space="preserve">　 </w:t>
    </w:r>
    <w:r>
      <w:rPr>
        <w:rFonts w:hint="eastAsia" w:ascii="仿宋" w:hAnsi="仿宋" w:eastAsia="仿宋"/>
        <w:sz w:val="21"/>
        <w:szCs w:val="21"/>
      </w:rPr>
      <w:t>教学案例</w:t>
    </w:r>
    <w:r>
      <w:rPr>
        <w:rFonts w:hint="eastAsia" w:ascii="仿宋" w:hAnsi="仿宋" w:eastAsia="仿宋"/>
      </w:rPr>
      <w:t>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2MzBmMjFkYmZiYjU1ZWRjNmM3YTY2ZGFmMDU2OTAifQ=="/>
  </w:docVars>
  <w:rsids>
    <w:rsidRoot w:val="00882119"/>
    <w:rsid w:val="000072A8"/>
    <w:rsid w:val="000164DC"/>
    <w:rsid w:val="000165A6"/>
    <w:rsid w:val="00031D67"/>
    <w:rsid w:val="000361E6"/>
    <w:rsid w:val="00036FEF"/>
    <w:rsid w:val="00040147"/>
    <w:rsid w:val="000412A0"/>
    <w:rsid w:val="0004269B"/>
    <w:rsid w:val="00043B2D"/>
    <w:rsid w:val="000475F8"/>
    <w:rsid w:val="00047CE9"/>
    <w:rsid w:val="00051F73"/>
    <w:rsid w:val="000530EC"/>
    <w:rsid w:val="00057109"/>
    <w:rsid w:val="00062781"/>
    <w:rsid w:val="00062B1C"/>
    <w:rsid w:val="0006409F"/>
    <w:rsid w:val="00065494"/>
    <w:rsid w:val="0008446A"/>
    <w:rsid w:val="00084BD2"/>
    <w:rsid w:val="000852B7"/>
    <w:rsid w:val="00087203"/>
    <w:rsid w:val="0009013E"/>
    <w:rsid w:val="0009438D"/>
    <w:rsid w:val="00095926"/>
    <w:rsid w:val="00095E29"/>
    <w:rsid w:val="0009794F"/>
    <w:rsid w:val="000A2DB6"/>
    <w:rsid w:val="000B486D"/>
    <w:rsid w:val="000B5E98"/>
    <w:rsid w:val="000C1D7E"/>
    <w:rsid w:val="000C254E"/>
    <w:rsid w:val="000C77A8"/>
    <w:rsid w:val="000C7A03"/>
    <w:rsid w:val="000D0EE6"/>
    <w:rsid w:val="000D26AB"/>
    <w:rsid w:val="000E529B"/>
    <w:rsid w:val="000F4347"/>
    <w:rsid w:val="000F459A"/>
    <w:rsid w:val="000F6B83"/>
    <w:rsid w:val="00101DE7"/>
    <w:rsid w:val="00102D12"/>
    <w:rsid w:val="0011097F"/>
    <w:rsid w:val="00113F75"/>
    <w:rsid w:val="00117517"/>
    <w:rsid w:val="0012658A"/>
    <w:rsid w:val="00126CF2"/>
    <w:rsid w:val="00126F33"/>
    <w:rsid w:val="00131330"/>
    <w:rsid w:val="001334B1"/>
    <w:rsid w:val="001402E3"/>
    <w:rsid w:val="00142126"/>
    <w:rsid w:val="0014740D"/>
    <w:rsid w:val="001479C4"/>
    <w:rsid w:val="00153850"/>
    <w:rsid w:val="001539ED"/>
    <w:rsid w:val="0015586F"/>
    <w:rsid w:val="00157AFD"/>
    <w:rsid w:val="001703AC"/>
    <w:rsid w:val="001703E3"/>
    <w:rsid w:val="00171F71"/>
    <w:rsid w:val="001731E7"/>
    <w:rsid w:val="00173FC4"/>
    <w:rsid w:val="001749A6"/>
    <w:rsid w:val="00177395"/>
    <w:rsid w:val="0017753D"/>
    <w:rsid w:val="001776C0"/>
    <w:rsid w:val="00180877"/>
    <w:rsid w:val="00181CCA"/>
    <w:rsid w:val="001829B2"/>
    <w:rsid w:val="00184209"/>
    <w:rsid w:val="0018587F"/>
    <w:rsid w:val="00186F86"/>
    <w:rsid w:val="001872F5"/>
    <w:rsid w:val="001A321D"/>
    <w:rsid w:val="001A4384"/>
    <w:rsid w:val="001A7D1C"/>
    <w:rsid w:val="001B176F"/>
    <w:rsid w:val="001B19A5"/>
    <w:rsid w:val="001B27D0"/>
    <w:rsid w:val="001B741E"/>
    <w:rsid w:val="001C1664"/>
    <w:rsid w:val="001C49BF"/>
    <w:rsid w:val="001C4C25"/>
    <w:rsid w:val="001C6178"/>
    <w:rsid w:val="001C6389"/>
    <w:rsid w:val="001D3A5F"/>
    <w:rsid w:val="001D7DA3"/>
    <w:rsid w:val="001E0ABD"/>
    <w:rsid w:val="001E1DCC"/>
    <w:rsid w:val="001E2126"/>
    <w:rsid w:val="001E2D10"/>
    <w:rsid w:val="001E4255"/>
    <w:rsid w:val="001E475B"/>
    <w:rsid w:val="001E5AD8"/>
    <w:rsid w:val="001F1957"/>
    <w:rsid w:val="001F4872"/>
    <w:rsid w:val="001F6129"/>
    <w:rsid w:val="001F7EF3"/>
    <w:rsid w:val="00202930"/>
    <w:rsid w:val="002047AF"/>
    <w:rsid w:val="00210C36"/>
    <w:rsid w:val="00213388"/>
    <w:rsid w:val="00215AF1"/>
    <w:rsid w:val="00216A42"/>
    <w:rsid w:val="002234C7"/>
    <w:rsid w:val="00240DF2"/>
    <w:rsid w:val="00241069"/>
    <w:rsid w:val="00243C5A"/>
    <w:rsid w:val="00246089"/>
    <w:rsid w:val="00246C71"/>
    <w:rsid w:val="00247818"/>
    <w:rsid w:val="002508FD"/>
    <w:rsid w:val="00252064"/>
    <w:rsid w:val="00252E4F"/>
    <w:rsid w:val="00263A0B"/>
    <w:rsid w:val="0027448E"/>
    <w:rsid w:val="002800E1"/>
    <w:rsid w:val="00282C9D"/>
    <w:rsid w:val="00296B10"/>
    <w:rsid w:val="002972DA"/>
    <w:rsid w:val="002A20EF"/>
    <w:rsid w:val="002A341F"/>
    <w:rsid w:val="002A5A95"/>
    <w:rsid w:val="002A6E73"/>
    <w:rsid w:val="002A72BE"/>
    <w:rsid w:val="002A74F7"/>
    <w:rsid w:val="002B42CF"/>
    <w:rsid w:val="002C47E6"/>
    <w:rsid w:val="002C5393"/>
    <w:rsid w:val="002C5615"/>
    <w:rsid w:val="002C5F35"/>
    <w:rsid w:val="002C7EB2"/>
    <w:rsid w:val="002D2326"/>
    <w:rsid w:val="002D269A"/>
    <w:rsid w:val="002D3963"/>
    <w:rsid w:val="002D5250"/>
    <w:rsid w:val="002E0E9E"/>
    <w:rsid w:val="002E197B"/>
    <w:rsid w:val="002F26F1"/>
    <w:rsid w:val="002F4414"/>
    <w:rsid w:val="002F4449"/>
    <w:rsid w:val="002F58EA"/>
    <w:rsid w:val="002F75B6"/>
    <w:rsid w:val="00300D46"/>
    <w:rsid w:val="00301C42"/>
    <w:rsid w:val="003109D3"/>
    <w:rsid w:val="003124B0"/>
    <w:rsid w:val="00314A67"/>
    <w:rsid w:val="003154D7"/>
    <w:rsid w:val="00322082"/>
    <w:rsid w:val="00323803"/>
    <w:rsid w:val="00334683"/>
    <w:rsid w:val="00335C4C"/>
    <w:rsid w:val="003444F9"/>
    <w:rsid w:val="00345777"/>
    <w:rsid w:val="003463C2"/>
    <w:rsid w:val="00346D78"/>
    <w:rsid w:val="00356FD6"/>
    <w:rsid w:val="003675F0"/>
    <w:rsid w:val="0036765A"/>
    <w:rsid w:val="00370797"/>
    <w:rsid w:val="00370B91"/>
    <w:rsid w:val="00372123"/>
    <w:rsid w:val="00372CB7"/>
    <w:rsid w:val="0037658C"/>
    <w:rsid w:val="003832E1"/>
    <w:rsid w:val="0038671A"/>
    <w:rsid w:val="00390819"/>
    <w:rsid w:val="00395A41"/>
    <w:rsid w:val="003A59FD"/>
    <w:rsid w:val="003A7780"/>
    <w:rsid w:val="003B3266"/>
    <w:rsid w:val="003B3D73"/>
    <w:rsid w:val="003B46E2"/>
    <w:rsid w:val="003B472F"/>
    <w:rsid w:val="003B5E63"/>
    <w:rsid w:val="003B6770"/>
    <w:rsid w:val="003B6D43"/>
    <w:rsid w:val="003C1C67"/>
    <w:rsid w:val="003D35BF"/>
    <w:rsid w:val="003D4417"/>
    <w:rsid w:val="003E0B8E"/>
    <w:rsid w:val="003E2D09"/>
    <w:rsid w:val="003E3923"/>
    <w:rsid w:val="003E4DE8"/>
    <w:rsid w:val="003E5A87"/>
    <w:rsid w:val="003F219E"/>
    <w:rsid w:val="003F2825"/>
    <w:rsid w:val="003F3D70"/>
    <w:rsid w:val="003F5D5B"/>
    <w:rsid w:val="003F6D9C"/>
    <w:rsid w:val="00400699"/>
    <w:rsid w:val="00405617"/>
    <w:rsid w:val="0041058D"/>
    <w:rsid w:val="00415B4E"/>
    <w:rsid w:val="00420958"/>
    <w:rsid w:val="00425383"/>
    <w:rsid w:val="00426B9F"/>
    <w:rsid w:val="00430AAE"/>
    <w:rsid w:val="00430D3C"/>
    <w:rsid w:val="004335FB"/>
    <w:rsid w:val="00433F72"/>
    <w:rsid w:val="0043581E"/>
    <w:rsid w:val="00435E3C"/>
    <w:rsid w:val="0043759E"/>
    <w:rsid w:val="00443248"/>
    <w:rsid w:val="00443EB6"/>
    <w:rsid w:val="00447A4F"/>
    <w:rsid w:val="0045090B"/>
    <w:rsid w:val="0045269C"/>
    <w:rsid w:val="00452C76"/>
    <w:rsid w:val="00453B19"/>
    <w:rsid w:val="00453D84"/>
    <w:rsid w:val="0045479E"/>
    <w:rsid w:val="00461CF1"/>
    <w:rsid w:val="004656A6"/>
    <w:rsid w:val="004658D4"/>
    <w:rsid w:val="0046601C"/>
    <w:rsid w:val="00466F43"/>
    <w:rsid w:val="004744DA"/>
    <w:rsid w:val="004769FB"/>
    <w:rsid w:val="00476B20"/>
    <w:rsid w:val="004838E3"/>
    <w:rsid w:val="004855C0"/>
    <w:rsid w:val="00486671"/>
    <w:rsid w:val="004869DA"/>
    <w:rsid w:val="004916CA"/>
    <w:rsid w:val="00494343"/>
    <w:rsid w:val="00496656"/>
    <w:rsid w:val="004B3A91"/>
    <w:rsid w:val="004B507D"/>
    <w:rsid w:val="004B761E"/>
    <w:rsid w:val="004B7BBE"/>
    <w:rsid w:val="004C7940"/>
    <w:rsid w:val="004D2C27"/>
    <w:rsid w:val="004D46E3"/>
    <w:rsid w:val="004E1D1D"/>
    <w:rsid w:val="004E4274"/>
    <w:rsid w:val="004E674C"/>
    <w:rsid w:val="004E716B"/>
    <w:rsid w:val="004F3590"/>
    <w:rsid w:val="004F6998"/>
    <w:rsid w:val="00500D14"/>
    <w:rsid w:val="005022DD"/>
    <w:rsid w:val="00505AE5"/>
    <w:rsid w:val="0050607F"/>
    <w:rsid w:val="005106BD"/>
    <w:rsid w:val="00514754"/>
    <w:rsid w:val="00517270"/>
    <w:rsid w:val="00533022"/>
    <w:rsid w:val="005338CE"/>
    <w:rsid w:val="00534A80"/>
    <w:rsid w:val="005364D8"/>
    <w:rsid w:val="00537D9B"/>
    <w:rsid w:val="005454D6"/>
    <w:rsid w:val="00545990"/>
    <w:rsid w:val="00545F2D"/>
    <w:rsid w:val="00552F6B"/>
    <w:rsid w:val="005538F2"/>
    <w:rsid w:val="00570469"/>
    <w:rsid w:val="005750EC"/>
    <w:rsid w:val="0059009B"/>
    <w:rsid w:val="0059182E"/>
    <w:rsid w:val="00597077"/>
    <w:rsid w:val="005A3E9E"/>
    <w:rsid w:val="005A5576"/>
    <w:rsid w:val="005B0285"/>
    <w:rsid w:val="005B1348"/>
    <w:rsid w:val="005B2694"/>
    <w:rsid w:val="005B303D"/>
    <w:rsid w:val="005B3F60"/>
    <w:rsid w:val="005B444C"/>
    <w:rsid w:val="005B67CC"/>
    <w:rsid w:val="005B6901"/>
    <w:rsid w:val="005B6F88"/>
    <w:rsid w:val="005C093A"/>
    <w:rsid w:val="005D1579"/>
    <w:rsid w:val="005D3E36"/>
    <w:rsid w:val="005D498D"/>
    <w:rsid w:val="005D6EFF"/>
    <w:rsid w:val="005E0DC7"/>
    <w:rsid w:val="005E32A0"/>
    <w:rsid w:val="005F0DD0"/>
    <w:rsid w:val="005F14C6"/>
    <w:rsid w:val="005F5453"/>
    <w:rsid w:val="00600A09"/>
    <w:rsid w:val="006042B4"/>
    <w:rsid w:val="00606F22"/>
    <w:rsid w:val="00612381"/>
    <w:rsid w:val="006144C6"/>
    <w:rsid w:val="00620457"/>
    <w:rsid w:val="00623532"/>
    <w:rsid w:val="00623BEE"/>
    <w:rsid w:val="0062594C"/>
    <w:rsid w:val="00642C6F"/>
    <w:rsid w:val="00644FCA"/>
    <w:rsid w:val="006479FF"/>
    <w:rsid w:val="00647C98"/>
    <w:rsid w:val="00650C62"/>
    <w:rsid w:val="00650F69"/>
    <w:rsid w:val="00652F0C"/>
    <w:rsid w:val="00655A7C"/>
    <w:rsid w:val="00656BEF"/>
    <w:rsid w:val="00657B9F"/>
    <w:rsid w:val="00662BBF"/>
    <w:rsid w:val="00667925"/>
    <w:rsid w:val="00671C65"/>
    <w:rsid w:val="006776B3"/>
    <w:rsid w:val="00682768"/>
    <w:rsid w:val="006831B6"/>
    <w:rsid w:val="00685522"/>
    <w:rsid w:val="00685937"/>
    <w:rsid w:val="00691545"/>
    <w:rsid w:val="00694F94"/>
    <w:rsid w:val="00696597"/>
    <w:rsid w:val="00697224"/>
    <w:rsid w:val="006A08E9"/>
    <w:rsid w:val="006A3BA2"/>
    <w:rsid w:val="006A7596"/>
    <w:rsid w:val="006B19FB"/>
    <w:rsid w:val="006B62F2"/>
    <w:rsid w:val="006B639F"/>
    <w:rsid w:val="006B74D1"/>
    <w:rsid w:val="006C2A5D"/>
    <w:rsid w:val="006C3777"/>
    <w:rsid w:val="006D6EF1"/>
    <w:rsid w:val="006E663A"/>
    <w:rsid w:val="006E6996"/>
    <w:rsid w:val="006F3958"/>
    <w:rsid w:val="00702A0F"/>
    <w:rsid w:val="00707AA3"/>
    <w:rsid w:val="00713383"/>
    <w:rsid w:val="007139EC"/>
    <w:rsid w:val="00715DC1"/>
    <w:rsid w:val="007163D7"/>
    <w:rsid w:val="00720AD0"/>
    <w:rsid w:val="007226FF"/>
    <w:rsid w:val="007233B5"/>
    <w:rsid w:val="007279A1"/>
    <w:rsid w:val="00731F0C"/>
    <w:rsid w:val="00732DA5"/>
    <w:rsid w:val="0073381D"/>
    <w:rsid w:val="00736410"/>
    <w:rsid w:val="00742834"/>
    <w:rsid w:val="00743B13"/>
    <w:rsid w:val="00755DC3"/>
    <w:rsid w:val="00757EC2"/>
    <w:rsid w:val="00764A0C"/>
    <w:rsid w:val="0076509A"/>
    <w:rsid w:val="00766A91"/>
    <w:rsid w:val="00781E9C"/>
    <w:rsid w:val="00782CFA"/>
    <w:rsid w:val="00790DBF"/>
    <w:rsid w:val="00793D27"/>
    <w:rsid w:val="007962E8"/>
    <w:rsid w:val="007A2335"/>
    <w:rsid w:val="007A2877"/>
    <w:rsid w:val="007A2EF1"/>
    <w:rsid w:val="007A61C9"/>
    <w:rsid w:val="007A7AAC"/>
    <w:rsid w:val="007B0426"/>
    <w:rsid w:val="007B505F"/>
    <w:rsid w:val="007B5D55"/>
    <w:rsid w:val="007B6640"/>
    <w:rsid w:val="007B686B"/>
    <w:rsid w:val="007C14B8"/>
    <w:rsid w:val="007C1E79"/>
    <w:rsid w:val="007C1E99"/>
    <w:rsid w:val="007D4906"/>
    <w:rsid w:val="007D63DB"/>
    <w:rsid w:val="007E6ED9"/>
    <w:rsid w:val="007F2C2B"/>
    <w:rsid w:val="007F39C9"/>
    <w:rsid w:val="008004CD"/>
    <w:rsid w:val="00813C79"/>
    <w:rsid w:val="00813FA7"/>
    <w:rsid w:val="00821F29"/>
    <w:rsid w:val="00824712"/>
    <w:rsid w:val="008262F4"/>
    <w:rsid w:val="008308EB"/>
    <w:rsid w:val="00830E0A"/>
    <w:rsid w:val="0083375A"/>
    <w:rsid w:val="00834CE9"/>
    <w:rsid w:val="00835163"/>
    <w:rsid w:val="008354AB"/>
    <w:rsid w:val="00836388"/>
    <w:rsid w:val="008374F0"/>
    <w:rsid w:val="00841D6E"/>
    <w:rsid w:val="0085045C"/>
    <w:rsid w:val="008508FA"/>
    <w:rsid w:val="00853001"/>
    <w:rsid w:val="008537BF"/>
    <w:rsid w:val="008559A3"/>
    <w:rsid w:val="00860D21"/>
    <w:rsid w:val="00864DEE"/>
    <w:rsid w:val="008700E0"/>
    <w:rsid w:val="00876169"/>
    <w:rsid w:val="008815D5"/>
    <w:rsid w:val="00881CE1"/>
    <w:rsid w:val="00882119"/>
    <w:rsid w:val="008905B4"/>
    <w:rsid w:val="00891A82"/>
    <w:rsid w:val="0089268E"/>
    <w:rsid w:val="0089299B"/>
    <w:rsid w:val="00897B12"/>
    <w:rsid w:val="00897B63"/>
    <w:rsid w:val="008A45B1"/>
    <w:rsid w:val="008A518C"/>
    <w:rsid w:val="008A74C7"/>
    <w:rsid w:val="008B04F4"/>
    <w:rsid w:val="008B1E2F"/>
    <w:rsid w:val="008B6CDD"/>
    <w:rsid w:val="008C196A"/>
    <w:rsid w:val="008C218D"/>
    <w:rsid w:val="008C52E8"/>
    <w:rsid w:val="008C68A8"/>
    <w:rsid w:val="008D1BA2"/>
    <w:rsid w:val="008D3054"/>
    <w:rsid w:val="008D4EFF"/>
    <w:rsid w:val="008D53A3"/>
    <w:rsid w:val="008E0DF1"/>
    <w:rsid w:val="008E17BF"/>
    <w:rsid w:val="008E2892"/>
    <w:rsid w:val="008E4147"/>
    <w:rsid w:val="008E4E3B"/>
    <w:rsid w:val="008E4F7F"/>
    <w:rsid w:val="008E50CB"/>
    <w:rsid w:val="008E7390"/>
    <w:rsid w:val="008F0594"/>
    <w:rsid w:val="008F238E"/>
    <w:rsid w:val="008F4092"/>
    <w:rsid w:val="008F4570"/>
    <w:rsid w:val="008F4B71"/>
    <w:rsid w:val="008F6706"/>
    <w:rsid w:val="00900B6E"/>
    <w:rsid w:val="0090184C"/>
    <w:rsid w:val="00902922"/>
    <w:rsid w:val="00903D24"/>
    <w:rsid w:val="00912B71"/>
    <w:rsid w:val="00917114"/>
    <w:rsid w:val="00917681"/>
    <w:rsid w:val="00923AE9"/>
    <w:rsid w:val="00932311"/>
    <w:rsid w:val="00935887"/>
    <w:rsid w:val="00940AEE"/>
    <w:rsid w:val="00940CDE"/>
    <w:rsid w:val="00940ED8"/>
    <w:rsid w:val="00942852"/>
    <w:rsid w:val="00950CBD"/>
    <w:rsid w:val="00952385"/>
    <w:rsid w:val="00954153"/>
    <w:rsid w:val="009549BF"/>
    <w:rsid w:val="0095583D"/>
    <w:rsid w:val="009568B0"/>
    <w:rsid w:val="00960F57"/>
    <w:rsid w:val="00962C1F"/>
    <w:rsid w:val="00962C9E"/>
    <w:rsid w:val="00965455"/>
    <w:rsid w:val="00976CE8"/>
    <w:rsid w:val="00982699"/>
    <w:rsid w:val="00982EFC"/>
    <w:rsid w:val="009860A0"/>
    <w:rsid w:val="00986247"/>
    <w:rsid w:val="0099376A"/>
    <w:rsid w:val="00994001"/>
    <w:rsid w:val="009A1C78"/>
    <w:rsid w:val="009A1F7C"/>
    <w:rsid w:val="009A44B9"/>
    <w:rsid w:val="009A6019"/>
    <w:rsid w:val="009A6FB8"/>
    <w:rsid w:val="009A7535"/>
    <w:rsid w:val="009B1E5B"/>
    <w:rsid w:val="009B3027"/>
    <w:rsid w:val="009B7A83"/>
    <w:rsid w:val="009B7FE4"/>
    <w:rsid w:val="009C11A9"/>
    <w:rsid w:val="009C3939"/>
    <w:rsid w:val="009C6159"/>
    <w:rsid w:val="009C6416"/>
    <w:rsid w:val="009D1832"/>
    <w:rsid w:val="009D1AAA"/>
    <w:rsid w:val="009D30DB"/>
    <w:rsid w:val="009D5BAD"/>
    <w:rsid w:val="009D7556"/>
    <w:rsid w:val="009E1194"/>
    <w:rsid w:val="009E16C8"/>
    <w:rsid w:val="009E1BB4"/>
    <w:rsid w:val="009E23D7"/>
    <w:rsid w:val="009E3D84"/>
    <w:rsid w:val="009F44C5"/>
    <w:rsid w:val="00A07631"/>
    <w:rsid w:val="00A07C1F"/>
    <w:rsid w:val="00A1227C"/>
    <w:rsid w:val="00A1460D"/>
    <w:rsid w:val="00A15490"/>
    <w:rsid w:val="00A16D49"/>
    <w:rsid w:val="00A203F4"/>
    <w:rsid w:val="00A21A64"/>
    <w:rsid w:val="00A242FC"/>
    <w:rsid w:val="00A26661"/>
    <w:rsid w:val="00A267D9"/>
    <w:rsid w:val="00A269C7"/>
    <w:rsid w:val="00A26C17"/>
    <w:rsid w:val="00A30C93"/>
    <w:rsid w:val="00A313ED"/>
    <w:rsid w:val="00A319E2"/>
    <w:rsid w:val="00A32DDE"/>
    <w:rsid w:val="00A33179"/>
    <w:rsid w:val="00A34D09"/>
    <w:rsid w:val="00A351FD"/>
    <w:rsid w:val="00A4400A"/>
    <w:rsid w:val="00A46951"/>
    <w:rsid w:val="00A50C82"/>
    <w:rsid w:val="00A52101"/>
    <w:rsid w:val="00A54BE2"/>
    <w:rsid w:val="00A57CDD"/>
    <w:rsid w:val="00A57F51"/>
    <w:rsid w:val="00A601A0"/>
    <w:rsid w:val="00A60469"/>
    <w:rsid w:val="00A63DB4"/>
    <w:rsid w:val="00A6418C"/>
    <w:rsid w:val="00A64B9A"/>
    <w:rsid w:val="00A657E1"/>
    <w:rsid w:val="00A6729F"/>
    <w:rsid w:val="00A72960"/>
    <w:rsid w:val="00A739AB"/>
    <w:rsid w:val="00A7569D"/>
    <w:rsid w:val="00A7586F"/>
    <w:rsid w:val="00A7632E"/>
    <w:rsid w:val="00A82AB6"/>
    <w:rsid w:val="00A84A15"/>
    <w:rsid w:val="00A86205"/>
    <w:rsid w:val="00A86900"/>
    <w:rsid w:val="00A92A4F"/>
    <w:rsid w:val="00AA2A55"/>
    <w:rsid w:val="00AA4BC7"/>
    <w:rsid w:val="00AA55B0"/>
    <w:rsid w:val="00AA73F0"/>
    <w:rsid w:val="00AA7C63"/>
    <w:rsid w:val="00AB3674"/>
    <w:rsid w:val="00AC482F"/>
    <w:rsid w:val="00AD6D27"/>
    <w:rsid w:val="00AE55B8"/>
    <w:rsid w:val="00AF1F4F"/>
    <w:rsid w:val="00AF4092"/>
    <w:rsid w:val="00AF42E6"/>
    <w:rsid w:val="00AF5E07"/>
    <w:rsid w:val="00B01E24"/>
    <w:rsid w:val="00B02184"/>
    <w:rsid w:val="00B06CC3"/>
    <w:rsid w:val="00B105F1"/>
    <w:rsid w:val="00B17CEF"/>
    <w:rsid w:val="00B2481E"/>
    <w:rsid w:val="00B25B40"/>
    <w:rsid w:val="00B266F3"/>
    <w:rsid w:val="00B30817"/>
    <w:rsid w:val="00B33944"/>
    <w:rsid w:val="00B36B5D"/>
    <w:rsid w:val="00B44522"/>
    <w:rsid w:val="00B4517E"/>
    <w:rsid w:val="00B45A39"/>
    <w:rsid w:val="00B531CD"/>
    <w:rsid w:val="00B53D30"/>
    <w:rsid w:val="00B5676A"/>
    <w:rsid w:val="00B60E6B"/>
    <w:rsid w:val="00B62F58"/>
    <w:rsid w:val="00B63026"/>
    <w:rsid w:val="00B64A42"/>
    <w:rsid w:val="00B73E1B"/>
    <w:rsid w:val="00B754A8"/>
    <w:rsid w:val="00B7760A"/>
    <w:rsid w:val="00B77AFF"/>
    <w:rsid w:val="00B8049B"/>
    <w:rsid w:val="00B8715E"/>
    <w:rsid w:val="00B901FD"/>
    <w:rsid w:val="00B90751"/>
    <w:rsid w:val="00B952EB"/>
    <w:rsid w:val="00B95F8A"/>
    <w:rsid w:val="00B9618D"/>
    <w:rsid w:val="00B96CF9"/>
    <w:rsid w:val="00BA13DA"/>
    <w:rsid w:val="00BB2A8B"/>
    <w:rsid w:val="00BB5F64"/>
    <w:rsid w:val="00BB7315"/>
    <w:rsid w:val="00BC1E3A"/>
    <w:rsid w:val="00BC2742"/>
    <w:rsid w:val="00BD3E7A"/>
    <w:rsid w:val="00BD4067"/>
    <w:rsid w:val="00BD7CB1"/>
    <w:rsid w:val="00BE5FFB"/>
    <w:rsid w:val="00BE661B"/>
    <w:rsid w:val="00BE6723"/>
    <w:rsid w:val="00BF3BC2"/>
    <w:rsid w:val="00BF5294"/>
    <w:rsid w:val="00BF567F"/>
    <w:rsid w:val="00BF7F9B"/>
    <w:rsid w:val="00C0348B"/>
    <w:rsid w:val="00C04FE6"/>
    <w:rsid w:val="00C144BE"/>
    <w:rsid w:val="00C14FCC"/>
    <w:rsid w:val="00C15DCD"/>
    <w:rsid w:val="00C17F44"/>
    <w:rsid w:val="00C20EE7"/>
    <w:rsid w:val="00C2661B"/>
    <w:rsid w:val="00C3191A"/>
    <w:rsid w:val="00C34738"/>
    <w:rsid w:val="00C40DB3"/>
    <w:rsid w:val="00C42244"/>
    <w:rsid w:val="00C42554"/>
    <w:rsid w:val="00C43707"/>
    <w:rsid w:val="00C4563A"/>
    <w:rsid w:val="00C45E02"/>
    <w:rsid w:val="00C468BF"/>
    <w:rsid w:val="00C47286"/>
    <w:rsid w:val="00C506B2"/>
    <w:rsid w:val="00C514E9"/>
    <w:rsid w:val="00C60F26"/>
    <w:rsid w:val="00C6295A"/>
    <w:rsid w:val="00C65C64"/>
    <w:rsid w:val="00C65EB9"/>
    <w:rsid w:val="00C66F9B"/>
    <w:rsid w:val="00C7102E"/>
    <w:rsid w:val="00C71984"/>
    <w:rsid w:val="00C7402C"/>
    <w:rsid w:val="00C74BDF"/>
    <w:rsid w:val="00C77D99"/>
    <w:rsid w:val="00C83A68"/>
    <w:rsid w:val="00C87A65"/>
    <w:rsid w:val="00C90FC9"/>
    <w:rsid w:val="00C9507E"/>
    <w:rsid w:val="00C95129"/>
    <w:rsid w:val="00CA3B20"/>
    <w:rsid w:val="00CA5EEE"/>
    <w:rsid w:val="00CA700D"/>
    <w:rsid w:val="00CB0A70"/>
    <w:rsid w:val="00CB10B4"/>
    <w:rsid w:val="00CB4C2B"/>
    <w:rsid w:val="00CB6780"/>
    <w:rsid w:val="00CB6F1A"/>
    <w:rsid w:val="00CB72E5"/>
    <w:rsid w:val="00CC3C9B"/>
    <w:rsid w:val="00CC5C4E"/>
    <w:rsid w:val="00CC78EB"/>
    <w:rsid w:val="00CE016E"/>
    <w:rsid w:val="00CE3A73"/>
    <w:rsid w:val="00CE5D1F"/>
    <w:rsid w:val="00CE60F0"/>
    <w:rsid w:val="00CF3132"/>
    <w:rsid w:val="00CF3515"/>
    <w:rsid w:val="00CF6AFE"/>
    <w:rsid w:val="00D000CB"/>
    <w:rsid w:val="00D01F27"/>
    <w:rsid w:val="00D15543"/>
    <w:rsid w:val="00D1712B"/>
    <w:rsid w:val="00D17241"/>
    <w:rsid w:val="00D17FF0"/>
    <w:rsid w:val="00D20278"/>
    <w:rsid w:val="00D21C17"/>
    <w:rsid w:val="00D25C2A"/>
    <w:rsid w:val="00D305EB"/>
    <w:rsid w:val="00D31390"/>
    <w:rsid w:val="00D33AD5"/>
    <w:rsid w:val="00D35CEC"/>
    <w:rsid w:val="00D42BB0"/>
    <w:rsid w:val="00D43362"/>
    <w:rsid w:val="00D43C0F"/>
    <w:rsid w:val="00D43C38"/>
    <w:rsid w:val="00D45645"/>
    <w:rsid w:val="00D515A3"/>
    <w:rsid w:val="00D516A1"/>
    <w:rsid w:val="00D53990"/>
    <w:rsid w:val="00D54194"/>
    <w:rsid w:val="00D560F3"/>
    <w:rsid w:val="00D636F6"/>
    <w:rsid w:val="00D641C9"/>
    <w:rsid w:val="00D66409"/>
    <w:rsid w:val="00D74694"/>
    <w:rsid w:val="00D77FB1"/>
    <w:rsid w:val="00D81DB5"/>
    <w:rsid w:val="00D852ED"/>
    <w:rsid w:val="00D9039E"/>
    <w:rsid w:val="00D93C0A"/>
    <w:rsid w:val="00DA2124"/>
    <w:rsid w:val="00DA5B5E"/>
    <w:rsid w:val="00DB1174"/>
    <w:rsid w:val="00DB7AEA"/>
    <w:rsid w:val="00DC107C"/>
    <w:rsid w:val="00DC2E34"/>
    <w:rsid w:val="00DC6C28"/>
    <w:rsid w:val="00DD6DC1"/>
    <w:rsid w:val="00DD6DF3"/>
    <w:rsid w:val="00DD77D2"/>
    <w:rsid w:val="00DE12BE"/>
    <w:rsid w:val="00DE5B23"/>
    <w:rsid w:val="00DE6FB3"/>
    <w:rsid w:val="00DF0997"/>
    <w:rsid w:val="00DF1FD6"/>
    <w:rsid w:val="00DF2251"/>
    <w:rsid w:val="00DF2B8D"/>
    <w:rsid w:val="00DF4388"/>
    <w:rsid w:val="00E01648"/>
    <w:rsid w:val="00E02000"/>
    <w:rsid w:val="00E04078"/>
    <w:rsid w:val="00E15BEF"/>
    <w:rsid w:val="00E24723"/>
    <w:rsid w:val="00E2759B"/>
    <w:rsid w:val="00E31B07"/>
    <w:rsid w:val="00E338A9"/>
    <w:rsid w:val="00E34163"/>
    <w:rsid w:val="00E367FE"/>
    <w:rsid w:val="00E4092B"/>
    <w:rsid w:val="00E40E19"/>
    <w:rsid w:val="00E41A77"/>
    <w:rsid w:val="00E443EC"/>
    <w:rsid w:val="00E46902"/>
    <w:rsid w:val="00E5070A"/>
    <w:rsid w:val="00E6043B"/>
    <w:rsid w:val="00E607E3"/>
    <w:rsid w:val="00E613BB"/>
    <w:rsid w:val="00E6429C"/>
    <w:rsid w:val="00E735E9"/>
    <w:rsid w:val="00E802CF"/>
    <w:rsid w:val="00E80831"/>
    <w:rsid w:val="00E85BF5"/>
    <w:rsid w:val="00E92339"/>
    <w:rsid w:val="00E93DE4"/>
    <w:rsid w:val="00E943A3"/>
    <w:rsid w:val="00E94CBE"/>
    <w:rsid w:val="00E96F22"/>
    <w:rsid w:val="00EA2660"/>
    <w:rsid w:val="00EB1AC9"/>
    <w:rsid w:val="00EC0853"/>
    <w:rsid w:val="00EC3B7D"/>
    <w:rsid w:val="00EC4A50"/>
    <w:rsid w:val="00EC7E77"/>
    <w:rsid w:val="00ED11C8"/>
    <w:rsid w:val="00ED4021"/>
    <w:rsid w:val="00ED6721"/>
    <w:rsid w:val="00EE3CC0"/>
    <w:rsid w:val="00EE61B0"/>
    <w:rsid w:val="00EE6A36"/>
    <w:rsid w:val="00EF08C1"/>
    <w:rsid w:val="00EF33EA"/>
    <w:rsid w:val="00F008D0"/>
    <w:rsid w:val="00F01C6A"/>
    <w:rsid w:val="00F0250E"/>
    <w:rsid w:val="00F12F90"/>
    <w:rsid w:val="00F13CEE"/>
    <w:rsid w:val="00F20306"/>
    <w:rsid w:val="00F20D68"/>
    <w:rsid w:val="00F3073D"/>
    <w:rsid w:val="00F3231F"/>
    <w:rsid w:val="00F35FF5"/>
    <w:rsid w:val="00F36E85"/>
    <w:rsid w:val="00F45960"/>
    <w:rsid w:val="00F55F19"/>
    <w:rsid w:val="00F56194"/>
    <w:rsid w:val="00F618C0"/>
    <w:rsid w:val="00F66EC5"/>
    <w:rsid w:val="00F71321"/>
    <w:rsid w:val="00F72252"/>
    <w:rsid w:val="00F73E74"/>
    <w:rsid w:val="00F84F8E"/>
    <w:rsid w:val="00F855E4"/>
    <w:rsid w:val="00F90C5B"/>
    <w:rsid w:val="00F92A94"/>
    <w:rsid w:val="00F955D2"/>
    <w:rsid w:val="00FA06D3"/>
    <w:rsid w:val="00FA204B"/>
    <w:rsid w:val="00FA3978"/>
    <w:rsid w:val="00FB2473"/>
    <w:rsid w:val="00FB51B2"/>
    <w:rsid w:val="00FB5455"/>
    <w:rsid w:val="00FC1A5B"/>
    <w:rsid w:val="00FC3649"/>
    <w:rsid w:val="00FC54DB"/>
    <w:rsid w:val="00FD0D96"/>
    <w:rsid w:val="00FD32E0"/>
    <w:rsid w:val="00FD5592"/>
    <w:rsid w:val="00FE1A8F"/>
    <w:rsid w:val="00FE65EF"/>
    <w:rsid w:val="00FE6CF4"/>
    <w:rsid w:val="00FF4AA3"/>
    <w:rsid w:val="038B37FB"/>
    <w:rsid w:val="0BE005DD"/>
    <w:rsid w:val="16691598"/>
    <w:rsid w:val="1679258F"/>
    <w:rsid w:val="18D971EB"/>
    <w:rsid w:val="204D15B5"/>
    <w:rsid w:val="22FB43C5"/>
    <w:rsid w:val="27F86A1C"/>
    <w:rsid w:val="328951AD"/>
    <w:rsid w:val="38AF2FF5"/>
    <w:rsid w:val="3B9B0788"/>
    <w:rsid w:val="425753C1"/>
    <w:rsid w:val="4830444C"/>
    <w:rsid w:val="49511CC8"/>
    <w:rsid w:val="4F1A1AF2"/>
    <w:rsid w:val="51E92DE8"/>
    <w:rsid w:val="574A64BC"/>
    <w:rsid w:val="5A296BA4"/>
    <w:rsid w:val="5C2A6387"/>
    <w:rsid w:val="5D2B0A78"/>
    <w:rsid w:val="5F4643B3"/>
    <w:rsid w:val="666A215A"/>
    <w:rsid w:val="7BB86805"/>
    <w:rsid w:val="7C90129E"/>
    <w:rsid w:val="7FE36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outlineLvl w:val="0"/>
    </w:pPr>
    <w:rPr>
      <w:rFonts w:eastAsia="仿宋"/>
      <w:b/>
      <w:bCs/>
      <w:kern w:val="44"/>
      <w:sz w:val="30"/>
      <w:szCs w:val="44"/>
    </w:rPr>
  </w:style>
  <w:style w:type="paragraph" w:styleId="3">
    <w:name w:val="heading 2"/>
    <w:basedOn w:val="1"/>
    <w:next w:val="1"/>
    <w:link w:val="25"/>
    <w:autoRedefine/>
    <w:qFormat/>
    <w:uiPriority w:val="9"/>
    <w:pPr>
      <w:keepNext/>
      <w:keepLines/>
      <w:jc w:val="left"/>
      <w:outlineLvl w:val="1"/>
    </w:pPr>
    <w:rPr>
      <w:rFonts w:ascii="Calibri Light" w:hAnsi="Calibri Light" w:eastAsia="仿宋"/>
      <w:b/>
      <w:bCs/>
      <w:sz w:val="30"/>
      <w:szCs w:val="32"/>
    </w:rPr>
  </w:style>
  <w:style w:type="paragraph" w:styleId="4">
    <w:name w:val="heading 3"/>
    <w:basedOn w:val="1"/>
    <w:next w:val="1"/>
    <w:link w:val="27"/>
    <w:autoRedefine/>
    <w:unhideWhenUsed/>
    <w:qFormat/>
    <w:uiPriority w:val="9"/>
    <w:pPr>
      <w:keepNext/>
      <w:keepLines/>
      <w:ind w:firstLine="200" w:firstLineChars="200"/>
      <w:jc w:val="left"/>
      <w:outlineLvl w:val="2"/>
    </w:pPr>
    <w:rPr>
      <w:rFonts w:eastAsia="仿宋"/>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200" w:firstLineChars="200"/>
    </w:pPr>
    <w:rPr>
      <w:rFonts w:ascii="Times New Roman" w:hAnsi="Times New Roman"/>
      <w:sz w:val="24"/>
      <w:szCs w:val="24"/>
    </w:rPr>
  </w:style>
  <w:style w:type="paragraph" w:styleId="6">
    <w:name w:val="annotation text"/>
    <w:basedOn w:val="1"/>
    <w:link w:val="29"/>
    <w:autoRedefine/>
    <w:semiHidden/>
    <w:unhideWhenUsed/>
    <w:qFormat/>
    <w:uiPriority w:val="99"/>
    <w:pPr>
      <w:jc w:val="left"/>
    </w:pPr>
  </w:style>
  <w:style w:type="paragraph" w:styleId="7">
    <w:name w:val="Body Text"/>
    <w:basedOn w:val="1"/>
    <w:link w:val="21"/>
    <w:autoRedefine/>
    <w:semiHidden/>
    <w:unhideWhenUsed/>
    <w:qFormat/>
    <w:uiPriority w:val="99"/>
    <w:pPr>
      <w:spacing w:after="120"/>
    </w:pPr>
  </w:style>
  <w:style w:type="paragraph" w:styleId="8">
    <w:name w:val="Balloon Text"/>
    <w:basedOn w:val="1"/>
    <w:link w:val="23"/>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30"/>
    <w:autoRedefine/>
    <w:semiHidden/>
    <w:unhideWhenUsed/>
    <w:qFormat/>
    <w:uiPriority w:val="99"/>
    <w:rPr>
      <w:b/>
      <w:bCs/>
    </w:rPr>
  </w:style>
  <w:style w:type="paragraph" w:styleId="12">
    <w:name w:val="Body Text First Indent"/>
    <w:basedOn w:val="7"/>
    <w:link w:val="22"/>
    <w:autoRedefine/>
    <w:unhideWhenUsed/>
    <w:qFormat/>
    <w:uiPriority w:val="99"/>
    <w:pPr>
      <w:ind w:firstLine="420" w:firstLineChars="100"/>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autoRedefine/>
    <w:qFormat/>
    <w:uiPriority w:val="20"/>
    <w:rPr>
      <w:i/>
      <w:iCs/>
    </w:rPr>
  </w:style>
  <w:style w:type="character" w:styleId="17">
    <w:name w:val="Hyperlink"/>
    <w:autoRedefine/>
    <w:qFormat/>
    <w:uiPriority w:val="0"/>
    <w:rPr>
      <w:color w:val="0000FF"/>
      <w:u w:val="single"/>
    </w:rPr>
  </w:style>
  <w:style w:type="character" w:styleId="18">
    <w:name w:val="annotation reference"/>
    <w:basedOn w:val="15"/>
    <w:autoRedefine/>
    <w:semiHidden/>
    <w:unhideWhenUsed/>
    <w:qFormat/>
    <w:uiPriority w:val="99"/>
    <w:rPr>
      <w:sz w:val="21"/>
      <w:szCs w:val="21"/>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99"/>
    <w:rPr>
      <w:sz w:val="18"/>
      <w:szCs w:val="18"/>
    </w:rPr>
  </w:style>
  <w:style w:type="character" w:customStyle="1" w:styleId="21">
    <w:name w:val="正文文本 字符"/>
    <w:basedOn w:val="15"/>
    <w:link w:val="7"/>
    <w:autoRedefine/>
    <w:semiHidden/>
    <w:qFormat/>
    <w:uiPriority w:val="99"/>
    <w:rPr>
      <w:rFonts w:ascii="Calibri" w:hAnsi="Calibri" w:eastAsia="宋体" w:cs="Times New Roman"/>
    </w:rPr>
  </w:style>
  <w:style w:type="character" w:customStyle="1" w:styleId="22">
    <w:name w:val="正文文本首行缩进 字符"/>
    <w:basedOn w:val="21"/>
    <w:link w:val="12"/>
    <w:autoRedefine/>
    <w:qFormat/>
    <w:uiPriority w:val="99"/>
    <w:rPr>
      <w:rFonts w:ascii="Calibri" w:hAnsi="Calibri" w:eastAsia="宋体" w:cs="Times New Roman"/>
    </w:rPr>
  </w:style>
  <w:style w:type="character" w:customStyle="1" w:styleId="23">
    <w:name w:val="批注框文本 字符"/>
    <w:basedOn w:val="15"/>
    <w:link w:val="8"/>
    <w:autoRedefine/>
    <w:semiHidden/>
    <w:qFormat/>
    <w:uiPriority w:val="99"/>
    <w:rPr>
      <w:rFonts w:ascii="Calibri" w:hAnsi="Calibri" w:eastAsia="宋体" w:cs="Times New Roman"/>
      <w:sz w:val="18"/>
      <w:szCs w:val="18"/>
    </w:rPr>
  </w:style>
  <w:style w:type="character" w:customStyle="1" w:styleId="24">
    <w:name w:val="标题 1 字符"/>
    <w:basedOn w:val="15"/>
    <w:link w:val="2"/>
    <w:autoRedefine/>
    <w:qFormat/>
    <w:uiPriority w:val="9"/>
    <w:rPr>
      <w:rFonts w:eastAsia="仿宋"/>
      <w:b/>
      <w:bCs/>
      <w:kern w:val="44"/>
      <w:sz w:val="30"/>
      <w:szCs w:val="44"/>
    </w:rPr>
  </w:style>
  <w:style w:type="character" w:customStyle="1" w:styleId="25">
    <w:name w:val="标题 2 字符"/>
    <w:basedOn w:val="15"/>
    <w:link w:val="3"/>
    <w:autoRedefine/>
    <w:qFormat/>
    <w:uiPriority w:val="9"/>
    <w:rPr>
      <w:rFonts w:ascii="Calibri Light" w:hAnsi="Calibri Light" w:eastAsia="仿宋" w:cs="Times New Roman"/>
      <w:b/>
      <w:bCs/>
      <w:sz w:val="30"/>
      <w:szCs w:val="32"/>
    </w:rPr>
  </w:style>
  <w:style w:type="paragraph" w:styleId="26">
    <w:name w:val="List Paragraph"/>
    <w:basedOn w:val="1"/>
    <w:autoRedefine/>
    <w:qFormat/>
    <w:uiPriority w:val="34"/>
    <w:pPr>
      <w:ind w:firstLine="420" w:firstLineChars="200"/>
    </w:pPr>
  </w:style>
  <w:style w:type="character" w:customStyle="1" w:styleId="27">
    <w:name w:val="标题 3 字符"/>
    <w:basedOn w:val="15"/>
    <w:link w:val="4"/>
    <w:autoRedefine/>
    <w:qFormat/>
    <w:uiPriority w:val="9"/>
    <w:rPr>
      <w:rFonts w:ascii="Calibri" w:hAnsi="Calibri" w:eastAsia="仿宋" w:cs="Times New Roman"/>
      <w:b/>
      <w:bCs/>
      <w:sz w:val="28"/>
      <w:szCs w:val="32"/>
    </w:rPr>
  </w:style>
  <w:style w:type="character" w:customStyle="1" w:styleId="28">
    <w:name w:val="apple-converted-space"/>
    <w:basedOn w:val="15"/>
    <w:autoRedefine/>
    <w:qFormat/>
    <w:uiPriority w:val="0"/>
  </w:style>
  <w:style w:type="character" w:customStyle="1" w:styleId="29">
    <w:name w:val="批注文字 字符"/>
    <w:basedOn w:val="15"/>
    <w:link w:val="6"/>
    <w:autoRedefine/>
    <w:semiHidden/>
    <w:qFormat/>
    <w:uiPriority w:val="99"/>
    <w:rPr>
      <w:kern w:val="2"/>
      <w:sz w:val="21"/>
      <w:szCs w:val="22"/>
    </w:rPr>
  </w:style>
  <w:style w:type="character" w:customStyle="1" w:styleId="30">
    <w:name w:val="批注主题 字符"/>
    <w:basedOn w:val="29"/>
    <w:link w:val="11"/>
    <w:autoRedefine/>
    <w:semiHidden/>
    <w:qFormat/>
    <w:uiPriority w:val="99"/>
    <w:rPr>
      <w:b/>
      <w:bCs/>
      <w:kern w:val="2"/>
      <w:sz w:val="21"/>
      <w:szCs w:val="22"/>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5A55-C2D5-447B-88CE-499C54A6120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1492</Words>
  <Characters>1572</Characters>
  <Lines>11</Lines>
  <Paragraphs>3</Paragraphs>
  <TotalTime>1195</TotalTime>
  <ScaleCrop>false</ScaleCrop>
  <LinksUpToDate>false</LinksUpToDate>
  <CharactersWithSpaces>1575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2017-11-09T01:45:00Z</dcterms:created>
  <dc:creator>yinyue1</dc:creator>
  <cp:lastModifiedBy>Mr.Q</cp:lastModifiedBy>
  <dcterms:modified xsi:type="dcterms:W3CDTF">2026-01-27T02:08:35Z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D6AF6FD8EC154D87B874D99A2D32F353</vt:lpwstr>
  </property>
  <property fmtid="{D5CDD505-2E9C-101B-9397-08002B2CF9AE}" pid="4" name="KSOTemplateDocerSaveRecord">
    <vt:lpwstr>eyJoZGlkIjoiMzYyYTUxNDAzMDFiYTBjOWIyMjNmZDg3ZWVhOGVjNTciLCJ1c2VySWQiOiI3ODY4NjY1MDMifQ==</vt:lpwstr>
  </property>
</Properties>
</file>