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34" w:rsidRDefault="008A6C08">
      <w:pPr>
        <w:jc w:val="center"/>
        <w:rPr>
          <w:rFonts w:ascii="方正小标宋_GBK" w:eastAsia="方正小标宋_GBK" w:hAnsi="方正小标宋_GBK"/>
          <w:bCs/>
          <w:sz w:val="36"/>
          <w:szCs w:val="28"/>
        </w:rPr>
      </w:pPr>
      <w:bookmarkStart w:id="0" w:name="OLE_LINK2"/>
      <w:bookmarkStart w:id="1" w:name="OLE_LINK1"/>
      <w:r>
        <w:rPr>
          <w:rFonts w:ascii="方正小标宋_GBK" w:eastAsia="方正小标宋_GBK" w:hAnsi="方正小标宋_GBK" w:hint="eastAsia"/>
          <w:sz w:val="36"/>
          <w:szCs w:val="28"/>
        </w:rPr>
        <w:t>202</w:t>
      </w:r>
      <w:r w:rsidR="00B96F1A">
        <w:rPr>
          <w:rFonts w:ascii="方正小标宋_GBK" w:eastAsia="方正小标宋_GBK" w:hAnsi="方正小标宋_GBK"/>
          <w:sz w:val="36"/>
          <w:szCs w:val="28"/>
        </w:rPr>
        <w:t>2</w:t>
      </w:r>
      <w:bookmarkStart w:id="2" w:name="_GoBack"/>
      <w:bookmarkEnd w:id="2"/>
      <w:r>
        <w:rPr>
          <w:rFonts w:ascii="方正小标宋_GBK" w:eastAsia="方正小标宋_GBK" w:hAnsi="方正小标宋_GBK" w:hint="eastAsia"/>
          <w:sz w:val="36"/>
          <w:szCs w:val="28"/>
        </w:rPr>
        <w:t>北京软件和信息服务企业信息表</w:t>
      </w:r>
    </w:p>
    <w:bookmarkEnd w:id="0"/>
    <w:bookmarkEnd w:id="1"/>
    <w:p w:rsidR="00182934" w:rsidRDefault="008A6C08">
      <w:pPr>
        <w:pStyle w:val="3"/>
        <w:spacing w:beforeLines="50" w:before="156" w:afterLines="50" w:after="156"/>
        <w:rPr>
          <w:sz w:val="32"/>
          <w:szCs w:val="28"/>
        </w:rPr>
      </w:pPr>
      <w:r>
        <w:rPr>
          <w:rFonts w:hint="eastAsia"/>
          <w:sz w:val="32"/>
          <w:szCs w:val="28"/>
        </w:rPr>
        <w:t>一、基本情况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2444"/>
        <w:gridCol w:w="2082"/>
        <w:gridCol w:w="2066"/>
      </w:tblGrid>
      <w:tr w:rsidR="00182934">
        <w:trPr>
          <w:trHeight w:val="454"/>
        </w:trPr>
        <w:tc>
          <w:tcPr>
            <w:tcW w:w="1704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企业名称</w:t>
            </w:r>
          </w:p>
        </w:tc>
        <w:tc>
          <w:tcPr>
            <w:tcW w:w="6592" w:type="dxa"/>
            <w:gridSpan w:val="3"/>
            <w:vAlign w:val="center"/>
          </w:tcPr>
          <w:p w:rsidR="00182934" w:rsidRDefault="00182934">
            <w:pPr>
              <w:jc w:val="center"/>
              <w:rPr>
                <w:sz w:val="24"/>
                <w:szCs w:val="21"/>
              </w:rPr>
            </w:pPr>
          </w:p>
        </w:tc>
      </w:tr>
      <w:tr w:rsidR="00182934">
        <w:trPr>
          <w:trHeight w:val="454"/>
        </w:trPr>
        <w:tc>
          <w:tcPr>
            <w:tcW w:w="1704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通信地址</w:t>
            </w:r>
          </w:p>
        </w:tc>
        <w:tc>
          <w:tcPr>
            <w:tcW w:w="6592" w:type="dxa"/>
            <w:gridSpan w:val="3"/>
            <w:vAlign w:val="center"/>
          </w:tcPr>
          <w:p w:rsidR="00182934" w:rsidRDefault="00182934">
            <w:pPr>
              <w:jc w:val="center"/>
              <w:rPr>
                <w:sz w:val="24"/>
                <w:szCs w:val="21"/>
              </w:rPr>
            </w:pPr>
          </w:p>
        </w:tc>
      </w:tr>
      <w:tr w:rsidR="00182934">
        <w:trPr>
          <w:trHeight w:val="454"/>
        </w:trPr>
        <w:tc>
          <w:tcPr>
            <w:tcW w:w="1704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联系人</w:t>
            </w:r>
          </w:p>
        </w:tc>
        <w:tc>
          <w:tcPr>
            <w:tcW w:w="2444" w:type="dxa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2082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2066" w:type="dxa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trHeight w:val="454"/>
        </w:trPr>
        <w:tc>
          <w:tcPr>
            <w:tcW w:w="1704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手机</w:t>
            </w:r>
          </w:p>
        </w:tc>
        <w:tc>
          <w:tcPr>
            <w:tcW w:w="2444" w:type="dxa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2082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电子邮箱</w:t>
            </w:r>
          </w:p>
        </w:tc>
        <w:tc>
          <w:tcPr>
            <w:tcW w:w="2066" w:type="dxa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trHeight w:val="1170"/>
        </w:trPr>
        <w:tc>
          <w:tcPr>
            <w:tcW w:w="1704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企业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类型</w:t>
            </w:r>
          </w:p>
        </w:tc>
        <w:tc>
          <w:tcPr>
            <w:tcW w:w="6592" w:type="dxa"/>
            <w:gridSpan w:val="3"/>
            <w:vAlign w:val="center"/>
          </w:tcPr>
          <w:p w:rsidR="00182934" w:rsidRDefault="008A6C08">
            <w:pPr>
              <w:spacing w:beforeLines="30" w:before="93" w:line="360" w:lineRule="auto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□国有企业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□集体企业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□私营企业</w:t>
            </w:r>
          </w:p>
          <w:p w:rsidR="00182934" w:rsidRDefault="008A6C08">
            <w:pPr>
              <w:spacing w:line="360" w:lineRule="auto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□港澳台投资企业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□中外合资经营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□中外合作经营</w:t>
            </w:r>
          </w:p>
        </w:tc>
      </w:tr>
      <w:tr w:rsidR="00182934">
        <w:trPr>
          <w:trHeight w:val="1170"/>
        </w:trPr>
        <w:tc>
          <w:tcPr>
            <w:tcW w:w="1704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产品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领域</w:t>
            </w:r>
          </w:p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（单选）</w:t>
            </w:r>
          </w:p>
        </w:tc>
        <w:tc>
          <w:tcPr>
            <w:tcW w:w="6592" w:type="dxa"/>
            <w:gridSpan w:val="3"/>
            <w:vAlign w:val="center"/>
          </w:tcPr>
          <w:p w:rsidR="00182934" w:rsidRDefault="008A6C08">
            <w:pPr>
              <w:spacing w:line="360" w:lineRule="auto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□行业应用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□通用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应用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软件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基础软件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□工业软件</w:t>
            </w:r>
          </w:p>
          <w:p w:rsidR="00182934" w:rsidRDefault="008A6C08">
            <w:pPr>
              <w:spacing w:line="360" w:lineRule="auto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□服务外包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□信息安全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□互联网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服务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□其他：</w:t>
            </w:r>
            <w:r>
              <w:rPr>
                <w:rFonts w:ascii="宋体" w:eastAsia="宋体" w:hAnsi="宋体" w:hint="eastAsia"/>
                <w:sz w:val="22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  <w:u w:val="single"/>
              </w:rPr>
              <w:t xml:space="preserve">        </w:t>
            </w:r>
          </w:p>
        </w:tc>
      </w:tr>
      <w:tr w:rsidR="00182934">
        <w:trPr>
          <w:trHeight w:val="1233"/>
        </w:trPr>
        <w:tc>
          <w:tcPr>
            <w:tcW w:w="1704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应用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领域</w:t>
            </w:r>
          </w:p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（可多选）</w:t>
            </w:r>
          </w:p>
        </w:tc>
        <w:tc>
          <w:tcPr>
            <w:tcW w:w="6592" w:type="dxa"/>
            <w:gridSpan w:val="3"/>
            <w:vAlign w:val="center"/>
          </w:tcPr>
          <w:p w:rsidR="00182934" w:rsidRDefault="008A6C08">
            <w:pPr>
              <w:spacing w:beforeLines="30" w:before="93" w:line="360" w:lineRule="auto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□金融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2"/>
                <w:szCs w:val="20"/>
              </w:rPr>
              <w:t>汽车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制造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2"/>
                <w:szCs w:val="20"/>
              </w:rPr>
              <w:t>电子制造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2"/>
                <w:szCs w:val="20"/>
              </w:rPr>
              <w:t>其它制造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2"/>
                <w:szCs w:val="20"/>
              </w:rPr>
              <w:t>交通</w:t>
            </w:r>
          </w:p>
          <w:p w:rsidR="00182934" w:rsidRDefault="008A6C08">
            <w:pPr>
              <w:spacing w:line="360" w:lineRule="auto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通信及软件服务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□政务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商业零售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物流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□医疗</w:t>
            </w:r>
          </w:p>
          <w:p w:rsidR="00182934" w:rsidRDefault="008A6C08">
            <w:pPr>
              <w:spacing w:line="360" w:lineRule="auto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□教育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2"/>
                <w:szCs w:val="20"/>
              </w:rPr>
              <w:t>公共服务（电水气等）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□其他：</w:t>
            </w:r>
            <w:r>
              <w:rPr>
                <w:rFonts w:ascii="宋体" w:eastAsia="宋体" w:hAnsi="宋体" w:hint="eastAsia"/>
                <w:sz w:val="22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  <w:u w:val="single"/>
              </w:rPr>
              <w:t xml:space="preserve">              </w:t>
            </w:r>
          </w:p>
        </w:tc>
      </w:tr>
      <w:tr w:rsidR="00182934">
        <w:trPr>
          <w:trHeight w:val="1233"/>
        </w:trPr>
        <w:tc>
          <w:tcPr>
            <w:tcW w:w="1704" w:type="dxa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收入模式</w:t>
            </w:r>
          </w:p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（可多选）</w:t>
            </w:r>
          </w:p>
        </w:tc>
        <w:tc>
          <w:tcPr>
            <w:tcW w:w="6592" w:type="dxa"/>
            <w:gridSpan w:val="3"/>
            <w:vAlign w:val="center"/>
          </w:tcPr>
          <w:p w:rsidR="00182934" w:rsidRDefault="008A6C08">
            <w:pPr>
              <w:spacing w:line="360" w:lineRule="auto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□广告模式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□软件产品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许可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□解决方案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/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系统集成</w:t>
            </w:r>
          </w:p>
          <w:p w:rsidR="00182934" w:rsidRDefault="008A6C08">
            <w:pPr>
              <w:spacing w:line="360" w:lineRule="auto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□软件定制开发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□云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服务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(SaaS/PaaS/IaaS)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□外包服务</w:t>
            </w:r>
          </w:p>
          <w:p w:rsidR="00182934" w:rsidRDefault="008A6C08">
            <w:pPr>
              <w:spacing w:line="360" w:lineRule="auto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数据服务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技术支持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/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运维服务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sym w:font="Wingdings 2" w:char="00A3"/>
            </w:r>
            <w:r>
              <w:rPr>
                <w:rFonts w:ascii="宋体" w:eastAsia="宋体" w:hAnsi="宋体" w:hint="eastAsia"/>
                <w:sz w:val="22"/>
                <w:szCs w:val="20"/>
              </w:rPr>
              <w:t>其他：</w:t>
            </w:r>
            <w:r>
              <w:rPr>
                <w:rFonts w:ascii="宋体" w:eastAsia="宋体" w:hAnsi="宋体" w:hint="eastAsia"/>
                <w:sz w:val="22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  <w:u w:val="single"/>
              </w:rPr>
              <w:t xml:space="preserve">         </w:t>
            </w:r>
          </w:p>
        </w:tc>
      </w:tr>
      <w:tr w:rsidR="00182934">
        <w:trPr>
          <w:trHeight w:val="1565"/>
        </w:trPr>
        <w:tc>
          <w:tcPr>
            <w:tcW w:w="8296" w:type="dxa"/>
            <w:gridSpan w:val="4"/>
          </w:tcPr>
          <w:p w:rsidR="00182934" w:rsidRDefault="008A6C08">
            <w:pPr>
              <w:spacing w:line="300" w:lineRule="auto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企业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及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核心产品简介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4</w:t>
            </w:r>
            <w:r>
              <w:rPr>
                <w:rFonts w:ascii="宋体" w:eastAsia="宋体" w:hAnsi="宋体"/>
                <w:sz w:val="24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字以内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）</w:t>
            </w: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trHeight w:val="1565"/>
        </w:trPr>
        <w:tc>
          <w:tcPr>
            <w:tcW w:w="8296" w:type="dxa"/>
            <w:gridSpan w:val="4"/>
          </w:tcPr>
          <w:p w:rsidR="00182934" w:rsidRDefault="008A6C08">
            <w:pPr>
              <w:spacing w:line="300" w:lineRule="auto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lastRenderedPageBreak/>
              <w:t>综述企业的核心优势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和成就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，特别是在科技研发成果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及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孵化、生态建设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融合应用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业务模式创新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方面所取得的成就（</w:t>
            </w:r>
            <w:r>
              <w:rPr>
                <w:rFonts w:ascii="宋体" w:eastAsia="宋体" w:hAnsi="宋体"/>
                <w:sz w:val="24"/>
                <w:szCs w:val="21"/>
              </w:rPr>
              <w:t>500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字以内）</w:t>
            </w: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trHeight w:val="1565"/>
        </w:trPr>
        <w:tc>
          <w:tcPr>
            <w:tcW w:w="8296" w:type="dxa"/>
            <w:gridSpan w:val="4"/>
          </w:tcPr>
          <w:p w:rsidR="00182934" w:rsidRDefault="008A6C08">
            <w:pPr>
              <w:spacing w:beforeLines="50" w:before="156" w:line="36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海外业务发展情况：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如无海外业务，请填写“无”，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2</w:t>
            </w:r>
            <w:r>
              <w:rPr>
                <w:rFonts w:ascii="宋体" w:eastAsia="宋体" w:hAnsi="宋体"/>
                <w:sz w:val="24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字以内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）</w:t>
            </w: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trHeight w:val="1559"/>
        </w:trPr>
        <w:tc>
          <w:tcPr>
            <w:tcW w:w="8296" w:type="dxa"/>
            <w:gridSpan w:val="4"/>
          </w:tcPr>
          <w:p w:rsidR="00182934" w:rsidRDefault="008A6C08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社会责任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履行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包括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扶贫、捐赠、公益项目、活动等，请列明时间、地点、主题等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；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如无，请填写“无”，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3</w:t>
            </w:r>
            <w:r>
              <w:rPr>
                <w:rFonts w:ascii="宋体" w:eastAsia="宋体" w:hAnsi="宋体"/>
                <w:sz w:val="24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字以内）</w:t>
            </w: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  <w:p w:rsidR="00182934" w:rsidRDefault="00182934">
            <w:pPr>
              <w:spacing w:line="300" w:lineRule="auto"/>
              <w:ind w:firstLineChars="73" w:firstLine="175"/>
              <w:rPr>
                <w:rFonts w:ascii="宋体" w:eastAsia="宋体" w:hAnsi="宋体"/>
                <w:sz w:val="24"/>
                <w:szCs w:val="21"/>
              </w:rPr>
            </w:pPr>
          </w:p>
        </w:tc>
      </w:tr>
    </w:tbl>
    <w:p w:rsidR="00182934" w:rsidRDefault="00182934">
      <w:pPr>
        <w:spacing w:line="300" w:lineRule="auto"/>
        <w:rPr>
          <w:rFonts w:ascii="宋体" w:eastAsia="宋体" w:hAnsi="宋体"/>
          <w:szCs w:val="18"/>
        </w:rPr>
      </w:pPr>
    </w:p>
    <w:p w:rsidR="00182934" w:rsidRDefault="008A6C08">
      <w:pPr>
        <w:numPr>
          <w:ilvl w:val="0"/>
          <w:numId w:val="1"/>
        </w:numPr>
        <w:spacing w:line="300" w:lineRule="auto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 w:val="24"/>
          <w:szCs w:val="21"/>
        </w:rPr>
        <w:t>请</w:t>
      </w:r>
      <w:r>
        <w:rPr>
          <w:rFonts w:ascii="宋体" w:eastAsia="宋体" w:hAnsi="宋体" w:hint="eastAsia"/>
          <w:sz w:val="24"/>
          <w:szCs w:val="21"/>
        </w:rPr>
        <w:t>以独立文件形式</w:t>
      </w:r>
      <w:r>
        <w:rPr>
          <w:rFonts w:ascii="宋体" w:eastAsia="宋体" w:hAnsi="宋体" w:hint="eastAsia"/>
          <w:sz w:val="24"/>
          <w:szCs w:val="21"/>
        </w:rPr>
        <w:t>提供企业负责人照片、企业形象照片、公司</w:t>
      </w:r>
      <w:r>
        <w:rPr>
          <w:rFonts w:ascii="宋体" w:eastAsia="宋体" w:hAnsi="宋体" w:hint="eastAsia"/>
          <w:sz w:val="24"/>
          <w:szCs w:val="21"/>
        </w:rPr>
        <w:t>logo</w:t>
      </w:r>
      <w:r>
        <w:rPr>
          <w:rFonts w:ascii="宋体" w:eastAsia="宋体" w:hAnsi="宋体" w:hint="eastAsia"/>
          <w:sz w:val="24"/>
          <w:szCs w:val="21"/>
        </w:rPr>
        <w:t>（</w:t>
      </w:r>
      <w:r>
        <w:rPr>
          <w:rFonts w:ascii="宋体" w:eastAsia="宋体" w:hAnsi="宋体" w:hint="eastAsia"/>
          <w:sz w:val="24"/>
          <w:szCs w:val="21"/>
        </w:rPr>
        <w:t>AI</w:t>
      </w:r>
      <w:r>
        <w:rPr>
          <w:rFonts w:ascii="宋体" w:eastAsia="宋体" w:hAnsi="宋体" w:hint="eastAsia"/>
          <w:sz w:val="24"/>
          <w:szCs w:val="21"/>
        </w:rPr>
        <w:t>格式文件）</w:t>
      </w:r>
      <w:r>
        <w:rPr>
          <w:rFonts w:ascii="宋体" w:eastAsia="宋体" w:hAnsi="宋体" w:hint="eastAsia"/>
          <w:sz w:val="24"/>
          <w:szCs w:val="21"/>
        </w:rPr>
        <w:t>作为</w:t>
      </w:r>
      <w:r>
        <w:rPr>
          <w:rFonts w:ascii="宋体" w:eastAsia="宋体" w:hAnsi="宋体" w:hint="eastAsia"/>
          <w:sz w:val="24"/>
          <w:szCs w:val="21"/>
        </w:rPr>
        <w:t>附件</w:t>
      </w:r>
    </w:p>
    <w:p w:rsidR="00182934" w:rsidRDefault="00182934">
      <w:pPr>
        <w:spacing w:line="300" w:lineRule="auto"/>
        <w:rPr>
          <w:rFonts w:ascii="宋体" w:eastAsia="宋体" w:hAnsi="宋体"/>
          <w:szCs w:val="18"/>
        </w:rPr>
      </w:pPr>
    </w:p>
    <w:p w:rsidR="00182934" w:rsidRDefault="00182934">
      <w:pPr>
        <w:spacing w:line="300" w:lineRule="auto"/>
        <w:rPr>
          <w:rFonts w:ascii="宋体" w:eastAsia="宋体" w:hAnsi="宋体"/>
          <w:szCs w:val="18"/>
        </w:rPr>
      </w:pPr>
    </w:p>
    <w:p w:rsidR="00182934" w:rsidRDefault="008A6C08"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br w:type="page"/>
      </w:r>
    </w:p>
    <w:p w:rsidR="00182934" w:rsidRDefault="008A6C08">
      <w:pPr>
        <w:pStyle w:val="3"/>
        <w:spacing w:beforeLines="50" w:before="156" w:afterLines="50" w:after="156"/>
        <w:rPr>
          <w:sz w:val="32"/>
          <w:szCs w:val="28"/>
        </w:rPr>
      </w:pPr>
      <w:r>
        <w:rPr>
          <w:rFonts w:hint="eastAsia"/>
          <w:sz w:val="32"/>
          <w:szCs w:val="28"/>
        </w:rPr>
        <w:lastRenderedPageBreak/>
        <w:t>二、主要指标</w:t>
      </w:r>
    </w:p>
    <w:tbl>
      <w:tblPr>
        <w:tblStyle w:val="a3"/>
        <w:tblW w:w="4953" w:type="pct"/>
        <w:tblLook w:val="04A0" w:firstRow="1" w:lastRow="0" w:firstColumn="1" w:lastColumn="0" w:noHBand="0" w:noVBand="1"/>
      </w:tblPr>
      <w:tblGrid>
        <w:gridCol w:w="4502"/>
        <w:gridCol w:w="1412"/>
        <w:gridCol w:w="1260"/>
        <w:gridCol w:w="1268"/>
      </w:tblGrid>
      <w:tr w:rsidR="00182934">
        <w:trPr>
          <w:trHeight w:val="445"/>
        </w:trPr>
        <w:tc>
          <w:tcPr>
            <w:tcW w:w="2665" w:type="pct"/>
            <w:shd w:val="clear" w:color="auto" w:fill="F2F2F2" w:themeFill="background1" w:themeFillShade="F2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调研指标</w:t>
            </w:r>
          </w:p>
        </w:tc>
        <w:tc>
          <w:tcPr>
            <w:tcW w:w="836" w:type="pct"/>
            <w:shd w:val="clear" w:color="auto" w:fill="F2F2F2" w:themeFill="background1" w:themeFillShade="F2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1"/>
              </w:rPr>
              <w:t>02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年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1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20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年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:rsidR="00182934" w:rsidRDefault="008A6C0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1"/>
              </w:rPr>
              <w:t>01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年</w:t>
            </w:r>
          </w:p>
        </w:tc>
      </w:tr>
      <w:tr w:rsidR="00182934">
        <w:trPr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营业收入（万元）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软件和信息服务业收入（万元）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员工数量（人）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8A6C08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  <w:vertAlign w:val="superscript"/>
              </w:rPr>
              <w:t>注</w:t>
            </w:r>
            <w:r>
              <w:rPr>
                <w:rFonts w:ascii="宋体" w:eastAsia="宋体" w:hAnsi="宋体" w:hint="eastAsia"/>
                <w:sz w:val="24"/>
                <w:szCs w:val="21"/>
                <w:vertAlign w:val="superscript"/>
              </w:rPr>
              <w:t>2</w:t>
            </w:r>
          </w:p>
        </w:tc>
      </w:tr>
      <w:tr w:rsidR="00182934">
        <w:trPr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利润总额（万元）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研发员工数量（人）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研发投入（万元）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截止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当前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，专利总授权量（件）</w:t>
            </w:r>
            <w:r>
              <w:rPr>
                <w:rFonts w:ascii="宋体" w:eastAsia="宋体" w:hAnsi="宋体" w:hint="eastAsia"/>
                <w:sz w:val="24"/>
                <w:szCs w:val="21"/>
                <w:vertAlign w:val="superscript"/>
              </w:rPr>
              <w:t>注</w:t>
            </w:r>
            <w:r>
              <w:rPr>
                <w:rFonts w:ascii="宋体" w:eastAsia="宋体" w:hAnsi="宋体" w:hint="eastAsia"/>
                <w:sz w:val="24"/>
                <w:szCs w:val="21"/>
                <w:vertAlign w:val="superscript"/>
              </w:rPr>
              <w:t>1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shd w:val="clear" w:color="auto" w:fill="A5A5A5" w:themeFill="background1" w:themeFillShade="A5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  <w:highlight w:val="yellow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  <w:highlight w:val="yellow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ind w:firstLineChars="100" w:firstLine="220"/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其中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发明专利总授权量（件）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shd w:val="clear" w:color="auto" w:fill="A5A5A5" w:themeFill="background1" w:themeFillShade="A5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  <w:highlight w:val="yellow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  <w:highlight w:val="yellow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截止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当前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，软件著作权登记总数（件）</w:t>
            </w:r>
            <w:r>
              <w:rPr>
                <w:rFonts w:ascii="宋体" w:eastAsia="宋体" w:hAnsi="宋体" w:hint="eastAsia"/>
                <w:sz w:val="24"/>
                <w:szCs w:val="21"/>
                <w:vertAlign w:val="superscript"/>
              </w:rPr>
              <w:t>注</w:t>
            </w:r>
            <w:r>
              <w:rPr>
                <w:rFonts w:ascii="宋体" w:eastAsia="宋体" w:hAnsi="宋体" w:hint="eastAsia"/>
                <w:sz w:val="24"/>
                <w:szCs w:val="21"/>
                <w:vertAlign w:val="superscript"/>
              </w:rPr>
              <w:t>1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shd w:val="clear" w:color="auto" w:fill="A5A5A5" w:themeFill="background1" w:themeFillShade="A5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  <w:highlight w:val="yellow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  <w:highlight w:val="yellow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海外业务收入（万美元）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海外机构员工数量（人）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jc w:val="left"/>
              <w:rPr>
                <w:rFonts w:ascii="宋体" w:eastAsia="宋体" w:hAnsi="宋体"/>
                <w:sz w:val="24"/>
                <w:szCs w:val="21"/>
                <w:vertAlign w:val="superscript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新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兴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业务总收入（万元）</w:t>
            </w:r>
            <w:r>
              <w:rPr>
                <w:rFonts w:ascii="宋体" w:eastAsia="宋体" w:hAnsi="宋体" w:hint="eastAsia"/>
                <w:sz w:val="24"/>
                <w:szCs w:val="21"/>
                <w:vertAlign w:val="superscript"/>
              </w:rPr>
              <w:t>注</w:t>
            </w:r>
            <w:r>
              <w:rPr>
                <w:rFonts w:ascii="宋体" w:eastAsia="宋体" w:hAnsi="宋体" w:hint="eastAsia"/>
                <w:sz w:val="24"/>
                <w:szCs w:val="21"/>
                <w:vertAlign w:val="superscript"/>
              </w:rPr>
              <w:t>3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ind w:leftChars="-4" w:left="-8" w:firstLineChars="145" w:firstLine="319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其中：大数据业务收入（万元）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ind w:firstLineChars="145" w:firstLine="319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云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服务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业务收入（万元）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ind w:firstLineChars="145" w:firstLine="319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人工智能业务收入（万元）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ind w:firstLineChars="145" w:firstLine="319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集成电路业务收入（万元）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ind w:firstLineChars="145" w:firstLine="319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智能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硬件及相关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装备业务收入（万元）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ind w:firstLineChars="145" w:firstLine="319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智能网联汽车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及相关装备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业务收入（万元）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ind w:firstLineChars="145" w:firstLine="319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区块链业务收入（万元）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182934">
        <w:trPr>
          <w:cantSplit/>
          <w:trHeight w:val="454"/>
        </w:trPr>
        <w:tc>
          <w:tcPr>
            <w:tcW w:w="2665" w:type="pct"/>
            <w:vAlign w:val="center"/>
          </w:tcPr>
          <w:p w:rsidR="00182934" w:rsidRDefault="008A6C08">
            <w:pPr>
              <w:ind w:firstLineChars="145" w:firstLine="319"/>
              <w:jc w:val="left"/>
              <w:rPr>
                <w:rFonts w:ascii="宋体" w:eastAsia="宋体" w:hAnsi="宋体"/>
                <w:sz w:val="22"/>
                <w:szCs w:val="20"/>
              </w:rPr>
            </w:pPr>
            <w:r>
              <w:rPr>
                <w:rFonts w:ascii="宋体" w:eastAsia="宋体" w:hAnsi="宋体" w:hint="eastAsia"/>
                <w:sz w:val="22"/>
                <w:szCs w:val="20"/>
              </w:rPr>
              <w:t>其他：</w:t>
            </w:r>
            <w:r>
              <w:rPr>
                <w:rFonts w:ascii="宋体" w:eastAsia="宋体" w:hAnsi="宋体" w:hint="eastAsia"/>
                <w:sz w:val="22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0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22"/>
                <w:szCs w:val="20"/>
              </w:rPr>
              <w:t>（万元）</w:t>
            </w:r>
          </w:p>
        </w:tc>
        <w:tc>
          <w:tcPr>
            <w:tcW w:w="83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46" w:type="pct"/>
            <w:vAlign w:val="center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51" w:type="pct"/>
            <w:tcBorders>
              <w:tr2bl w:val="single" w:sz="4" w:space="0" w:color="auto"/>
            </w:tcBorders>
            <w:shd w:val="clear" w:color="auto" w:fill="A5A5A5" w:themeFill="background1" w:themeFillShade="A5"/>
          </w:tcPr>
          <w:p w:rsidR="00182934" w:rsidRDefault="00182934">
            <w:pPr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</w:tc>
      </w:tr>
    </w:tbl>
    <w:p w:rsidR="00182934" w:rsidRDefault="008A6C08">
      <w:pPr>
        <w:spacing w:line="300" w:lineRule="auto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注：</w:t>
      </w:r>
      <w:r>
        <w:rPr>
          <w:rFonts w:ascii="宋体" w:eastAsia="宋体" w:hAnsi="宋体" w:hint="eastAsia"/>
          <w:szCs w:val="18"/>
        </w:rPr>
        <w:t>1</w:t>
      </w:r>
      <w:r>
        <w:rPr>
          <w:rFonts w:ascii="宋体" w:eastAsia="宋体" w:hAnsi="宋体"/>
          <w:szCs w:val="18"/>
        </w:rPr>
        <w:t>.</w:t>
      </w:r>
      <w:r>
        <w:rPr>
          <w:rFonts w:ascii="宋体" w:eastAsia="宋体" w:hAnsi="宋体" w:hint="eastAsia"/>
          <w:szCs w:val="18"/>
        </w:rPr>
        <w:t>专利授权量和软著数量，均为</w:t>
      </w:r>
      <w:r>
        <w:rPr>
          <w:rFonts w:ascii="宋体" w:eastAsia="宋体" w:hAnsi="宋体" w:hint="eastAsia"/>
          <w:szCs w:val="18"/>
        </w:rPr>
        <w:t>截止</w:t>
      </w:r>
      <w:r>
        <w:rPr>
          <w:rFonts w:ascii="宋体" w:eastAsia="宋体" w:hAnsi="宋体" w:hint="eastAsia"/>
          <w:szCs w:val="18"/>
        </w:rPr>
        <w:t>2022</w:t>
      </w:r>
      <w:r>
        <w:rPr>
          <w:rFonts w:ascii="宋体" w:eastAsia="宋体" w:hAnsi="宋体" w:hint="eastAsia"/>
          <w:szCs w:val="18"/>
        </w:rPr>
        <w:t>年</w:t>
      </w:r>
      <w:r>
        <w:rPr>
          <w:rFonts w:ascii="宋体" w:eastAsia="宋体" w:hAnsi="宋体" w:hint="eastAsia"/>
          <w:szCs w:val="18"/>
        </w:rPr>
        <w:t>8</w:t>
      </w:r>
      <w:r>
        <w:rPr>
          <w:rFonts w:ascii="宋体" w:eastAsia="宋体" w:hAnsi="宋体" w:hint="eastAsia"/>
          <w:szCs w:val="18"/>
        </w:rPr>
        <w:t>月底</w:t>
      </w:r>
      <w:r>
        <w:rPr>
          <w:rFonts w:ascii="宋体" w:eastAsia="宋体" w:hAnsi="宋体" w:hint="eastAsia"/>
          <w:szCs w:val="18"/>
        </w:rPr>
        <w:t>的</w:t>
      </w:r>
      <w:r>
        <w:rPr>
          <w:rFonts w:ascii="宋体" w:eastAsia="宋体" w:hAnsi="宋体" w:hint="eastAsia"/>
          <w:szCs w:val="18"/>
        </w:rPr>
        <w:t>最新累积量。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2.</w:t>
      </w:r>
      <w:r>
        <w:rPr>
          <w:rFonts w:ascii="宋体" w:eastAsia="宋体" w:hAnsi="宋体" w:hint="eastAsia"/>
          <w:szCs w:val="18"/>
        </w:rPr>
        <w:t>表中灰色底纹单元格不用填写。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3.</w:t>
      </w:r>
      <w:r>
        <w:rPr>
          <w:rFonts w:ascii="宋体" w:eastAsia="宋体" w:hAnsi="宋体" w:hint="eastAsia"/>
          <w:szCs w:val="18"/>
        </w:rPr>
        <w:t>新兴技术产品和服务的年度营收规模。其中：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大数据业务，包括数据流程服务（数据采集预处理、标注审核、分析集成、流通分发及服务工具平台开发）、数据分析挖掘；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云计算业务，包括</w:t>
      </w:r>
      <w:r>
        <w:rPr>
          <w:rFonts w:ascii="宋体" w:eastAsia="宋体" w:hAnsi="宋体" w:hint="eastAsia"/>
          <w:szCs w:val="18"/>
        </w:rPr>
        <w:t>SaaS/PaaS/IaaS</w:t>
      </w:r>
      <w:r>
        <w:rPr>
          <w:rFonts w:ascii="宋体" w:eastAsia="宋体" w:hAnsi="宋体" w:hint="eastAsia"/>
          <w:szCs w:val="18"/>
        </w:rPr>
        <w:t>；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人工智能业务，包括</w:t>
      </w:r>
      <w:r>
        <w:rPr>
          <w:rFonts w:ascii="宋体" w:eastAsia="宋体" w:hAnsi="宋体" w:hint="eastAsia"/>
          <w:szCs w:val="18"/>
        </w:rPr>
        <w:t>AI</w:t>
      </w:r>
      <w:r>
        <w:rPr>
          <w:rFonts w:ascii="宋体" w:eastAsia="宋体" w:hAnsi="宋体" w:hint="eastAsia"/>
          <w:szCs w:val="18"/>
        </w:rPr>
        <w:t>平台服务、各行业智慧化解决方案；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集成电路业务，包括</w:t>
      </w:r>
      <w:r>
        <w:rPr>
          <w:rFonts w:ascii="宋体" w:eastAsia="宋体" w:hAnsi="宋体" w:hint="eastAsia"/>
          <w:szCs w:val="18"/>
        </w:rPr>
        <w:t>IC</w:t>
      </w:r>
      <w:r>
        <w:rPr>
          <w:rFonts w:ascii="宋体" w:eastAsia="宋体" w:hAnsi="宋体" w:hint="eastAsia"/>
          <w:szCs w:val="18"/>
        </w:rPr>
        <w:t>设计、</w:t>
      </w:r>
      <w:r>
        <w:rPr>
          <w:rFonts w:ascii="宋体" w:eastAsia="宋体" w:hAnsi="宋体" w:hint="eastAsia"/>
          <w:szCs w:val="18"/>
        </w:rPr>
        <w:t>EDA</w:t>
      </w:r>
      <w:r>
        <w:rPr>
          <w:rFonts w:ascii="宋体" w:eastAsia="宋体" w:hAnsi="宋体" w:hint="eastAsia"/>
          <w:szCs w:val="18"/>
        </w:rPr>
        <w:t>软件及相关技术服务；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智能硬件及相关装备业务，包括智能手机或嵌入智能系统的各类硬件设备和装置，如智</w:t>
      </w:r>
      <w:r>
        <w:rPr>
          <w:rFonts w:ascii="宋体" w:eastAsia="宋体" w:hAnsi="宋体" w:hint="eastAsia"/>
          <w:szCs w:val="18"/>
        </w:rPr>
        <w:lastRenderedPageBreak/>
        <w:t>能摄像头、无人机和各类机器人；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智能网联汽车及相关装备业务，包括智能网联整车、智能车机系统、自动驾驶系统、车载计算单元等其它车载智能装备；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区块链业务，包括代币、</w:t>
      </w:r>
      <w:r>
        <w:rPr>
          <w:rFonts w:ascii="宋体" w:eastAsia="宋体" w:hAnsi="宋体" w:hint="eastAsia"/>
          <w:szCs w:val="18"/>
        </w:rPr>
        <w:t>NFT</w:t>
      </w:r>
      <w:r>
        <w:rPr>
          <w:rFonts w:ascii="宋体" w:eastAsia="宋体" w:hAnsi="宋体" w:hint="eastAsia"/>
          <w:szCs w:val="18"/>
        </w:rPr>
        <w:t>、智能合约等基于区块链的产品和服务。</w:t>
      </w:r>
    </w:p>
    <w:p w:rsidR="00182934" w:rsidRDefault="008A6C08">
      <w:pPr>
        <w:spacing w:line="300" w:lineRule="auto"/>
        <w:ind w:firstLineChars="200" w:firstLine="420"/>
        <w:rPr>
          <w:rFonts w:ascii="宋体" w:eastAsia="宋体" w:hAnsi="宋体"/>
          <w:szCs w:val="18"/>
        </w:rPr>
      </w:pPr>
      <w:r>
        <w:rPr>
          <w:rFonts w:ascii="宋体" w:eastAsia="宋体" w:hAnsi="宋体" w:hint="eastAsia"/>
          <w:szCs w:val="18"/>
        </w:rPr>
        <w:t>如果公司主营业务就是新兴业务，如提供</w:t>
      </w:r>
      <w:r>
        <w:rPr>
          <w:rFonts w:ascii="宋体" w:eastAsia="宋体" w:hAnsi="宋体" w:hint="eastAsia"/>
          <w:szCs w:val="18"/>
        </w:rPr>
        <w:t>SaaS</w:t>
      </w:r>
      <w:r>
        <w:rPr>
          <w:rFonts w:ascii="宋体" w:eastAsia="宋体" w:hAnsi="宋体" w:hint="eastAsia"/>
          <w:szCs w:val="18"/>
        </w:rPr>
        <w:t>服务，则新兴业务总收入应接近公司营业收入，应该等于其下细分的云服务业务收入。</w:t>
      </w:r>
    </w:p>
    <w:p w:rsidR="00182934" w:rsidRDefault="00182934">
      <w:pPr>
        <w:spacing w:line="300" w:lineRule="auto"/>
        <w:ind w:firstLineChars="177" w:firstLine="425"/>
        <w:rPr>
          <w:rFonts w:ascii="宋体" w:eastAsia="宋体" w:hAnsi="宋体"/>
          <w:sz w:val="24"/>
          <w:szCs w:val="21"/>
        </w:rPr>
      </w:pPr>
    </w:p>
    <w:p w:rsidR="00182934" w:rsidRDefault="00182934">
      <w:pPr>
        <w:spacing w:line="300" w:lineRule="auto"/>
        <w:ind w:firstLine="480"/>
        <w:rPr>
          <w:rFonts w:ascii="宋体" w:eastAsia="宋体" w:hAnsi="宋体"/>
          <w:sz w:val="24"/>
          <w:szCs w:val="21"/>
        </w:rPr>
      </w:pPr>
    </w:p>
    <w:p w:rsidR="00182934" w:rsidRDefault="00182934"/>
    <w:sectPr w:rsidR="0018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08" w:rsidRDefault="008A6C08" w:rsidP="00B96F1A">
      <w:r>
        <w:separator/>
      </w:r>
    </w:p>
  </w:endnote>
  <w:endnote w:type="continuationSeparator" w:id="0">
    <w:p w:rsidR="008A6C08" w:rsidRDefault="008A6C08" w:rsidP="00B9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08" w:rsidRDefault="008A6C08" w:rsidP="00B96F1A">
      <w:r>
        <w:separator/>
      </w:r>
    </w:p>
  </w:footnote>
  <w:footnote w:type="continuationSeparator" w:id="0">
    <w:p w:rsidR="008A6C08" w:rsidRDefault="008A6C08" w:rsidP="00B9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4770D5"/>
    <w:multiLevelType w:val="singleLevel"/>
    <w:tmpl w:val="FC47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74191E99"/>
    <w:rsid w:val="00182934"/>
    <w:rsid w:val="008A6C08"/>
    <w:rsid w:val="00B96F1A"/>
    <w:rsid w:val="00F879FE"/>
    <w:rsid w:val="03475DAD"/>
    <w:rsid w:val="0B955853"/>
    <w:rsid w:val="0F581F74"/>
    <w:rsid w:val="0FCF70D9"/>
    <w:rsid w:val="11063C09"/>
    <w:rsid w:val="14F84F4F"/>
    <w:rsid w:val="152F2693"/>
    <w:rsid w:val="1AD36D98"/>
    <w:rsid w:val="1F247681"/>
    <w:rsid w:val="28BE5C95"/>
    <w:rsid w:val="2C9771E3"/>
    <w:rsid w:val="323D328F"/>
    <w:rsid w:val="3FDE6CAC"/>
    <w:rsid w:val="3FDF5BEB"/>
    <w:rsid w:val="421A678E"/>
    <w:rsid w:val="44314200"/>
    <w:rsid w:val="44D57966"/>
    <w:rsid w:val="46755143"/>
    <w:rsid w:val="47B85B61"/>
    <w:rsid w:val="4AC07A17"/>
    <w:rsid w:val="4CF22F8E"/>
    <w:rsid w:val="51501349"/>
    <w:rsid w:val="549B7616"/>
    <w:rsid w:val="55744199"/>
    <w:rsid w:val="588A0C8F"/>
    <w:rsid w:val="58B261B0"/>
    <w:rsid w:val="59D86F20"/>
    <w:rsid w:val="5EC8350B"/>
    <w:rsid w:val="606A7C36"/>
    <w:rsid w:val="61AB77FD"/>
    <w:rsid w:val="6D8C2200"/>
    <w:rsid w:val="74191E99"/>
    <w:rsid w:val="76436AB4"/>
    <w:rsid w:val="77E15134"/>
    <w:rsid w:val="78716AAF"/>
    <w:rsid w:val="7AE87FB7"/>
    <w:rsid w:val="7B3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6D2A6D-AD1B-4740-8DA8-DEDACDE0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8"/>
    <w:next w:val="a"/>
    <w:uiPriority w:val="9"/>
    <w:unhideWhenUsed/>
    <w:qFormat/>
    <w:pPr>
      <w:adjustRightInd w:val="0"/>
      <w:snapToGrid w:val="0"/>
      <w:spacing w:before="0" w:after="0" w:line="240" w:lineRule="auto"/>
      <w:jc w:val="center"/>
      <w:outlineLvl w:val="2"/>
    </w:pPr>
    <w:rPr>
      <w:rFonts w:ascii="仿宋_GB2312" w:eastAsia="黑体" w:hAnsi="Times New Roman"/>
      <w:sz w:val="30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96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6F1A"/>
    <w:rPr>
      <w:kern w:val="2"/>
      <w:sz w:val="18"/>
      <w:szCs w:val="18"/>
    </w:rPr>
  </w:style>
  <w:style w:type="paragraph" w:styleId="a5">
    <w:name w:val="footer"/>
    <w:basedOn w:val="a"/>
    <w:link w:val="Char0"/>
    <w:rsid w:val="00B96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6F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blueblueblue</dc:creator>
  <cp:lastModifiedBy>741578056@qq.com</cp:lastModifiedBy>
  <cp:revision>2</cp:revision>
  <dcterms:created xsi:type="dcterms:W3CDTF">2022-08-22T05:35:00Z</dcterms:created>
  <dcterms:modified xsi:type="dcterms:W3CDTF">2022-08-22T05:35:00Z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F74A9BEFFB5341E996CA3043898C42CE</vt:lpwstr>
  </property>
</Properties>
</file>