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5AC4A">
      <w:pPr>
        <w:pStyle w:val="2"/>
        <w:spacing w:before="0" w:after="0"/>
        <w:jc w:val="center"/>
        <w:rPr>
          <w:rFonts w:ascii="方正小标宋简体" w:eastAsia="方正小标宋简体"/>
          <w:b w:val="0"/>
          <w:bCs w:val="0"/>
          <w:sz w:val="32"/>
          <w:szCs w:val="32"/>
        </w:rPr>
      </w:pPr>
      <w:r>
        <w:rPr>
          <w:rFonts w:hint="eastAsia" w:ascii="方正小标宋简体" w:eastAsia="方正小标宋简体"/>
          <w:b w:val="0"/>
          <w:bCs w:val="0"/>
          <w:sz w:val="32"/>
          <w:szCs w:val="32"/>
        </w:rPr>
        <w:t>盛瀚青年科学家基金项目指南</w:t>
      </w:r>
    </w:p>
    <w:p w14:paraId="31EFD5D9">
      <w:pPr>
        <w:jc w:val="center"/>
      </w:pPr>
      <w:r>
        <w:t>（2026年度）</w:t>
      </w:r>
    </w:p>
    <w:p w14:paraId="3A2E6DEA">
      <w:pPr>
        <w:pStyle w:val="3"/>
        <w:spacing w:before="156" w:beforeLines="50" w:after="156" w:afterLines="50" w:line="400" w:lineRule="exact"/>
        <w:ind w:firstLine="420" w:firstLineChars="200"/>
        <w:rPr>
          <w:b w:val="0"/>
          <w:bCs w:val="0"/>
          <w:sz w:val="21"/>
          <w:szCs w:val="21"/>
        </w:rPr>
      </w:pPr>
      <w:r>
        <w:rPr>
          <w:b w:val="0"/>
          <w:bCs w:val="0"/>
          <w:sz w:val="21"/>
          <w:szCs w:val="21"/>
        </w:rPr>
        <w:t>一、基金设立背景与宗旨</w:t>
      </w:r>
    </w:p>
    <w:p w14:paraId="78D34F22">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为促进色谱分离与检测领域基础研究与产业技术深度融合，推动离子色谱及相关检测技术的原始创新与工程化应用，</w:t>
      </w:r>
      <w:r>
        <w:rPr>
          <w:rFonts w:hint="eastAsia" w:asciiTheme="minorEastAsia" w:hAnsiTheme="minorEastAsia" w:eastAsiaTheme="minorEastAsia"/>
          <w:sz w:val="21"/>
          <w:szCs w:val="21"/>
        </w:rPr>
        <w:t>由</w:t>
      </w:r>
      <w:r>
        <w:rPr>
          <w:rFonts w:asciiTheme="minorEastAsia" w:hAnsiTheme="minorEastAsia" w:eastAsiaTheme="minorEastAsia"/>
          <w:sz w:val="21"/>
          <w:szCs w:val="21"/>
        </w:rPr>
        <w:t>青岛盛瀚色谱技术有限公司</w:t>
      </w:r>
      <w:r>
        <w:rPr>
          <w:rFonts w:hint="eastAsia" w:asciiTheme="minorEastAsia" w:hAnsiTheme="minorEastAsia" w:eastAsiaTheme="minorEastAsia"/>
          <w:sz w:val="21"/>
          <w:szCs w:val="21"/>
        </w:rPr>
        <w:t>提供资助经费</w:t>
      </w:r>
      <w:bookmarkStart w:id="0" w:name="_GoBack"/>
      <w:bookmarkEnd w:id="0"/>
      <w:r>
        <w:rPr>
          <w:rFonts w:asciiTheme="minorEastAsia" w:hAnsiTheme="minorEastAsia" w:eastAsiaTheme="minorEastAsia"/>
          <w:sz w:val="21"/>
          <w:szCs w:val="21"/>
        </w:rPr>
        <w:t>设立“</w:t>
      </w:r>
      <w:r>
        <w:rPr>
          <w:rFonts w:hint="eastAsia" w:asciiTheme="minorEastAsia" w:hAnsiTheme="minorEastAsia" w:eastAsiaTheme="minorEastAsia"/>
          <w:sz w:val="21"/>
          <w:szCs w:val="21"/>
        </w:rPr>
        <w:t>盛瀚</w:t>
      </w:r>
      <w:r>
        <w:rPr>
          <w:rFonts w:asciiTheme="minorEastAsia" w:hAnsiTheme="minorEastAsia" w:eastAsiaTheme="minorEastAsia"/>
          <w:sz w:val="21"/>
          <w:szCs w:val="21"/>
        </w:rPr>
        <w:t>青年科学家基金”（以下简称“基金”）。</w:t>
      </w:r>
    </w:p>
    <w:p w14:paraId="287A2C4E">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本基金旨在面向全国高等院校、科研院所及企业研发机构的青年科研人员，围绕离子色谱全产业链关键技术瓶颈，资助具有前瞻性、创新性和应用价值的基础研究与应用基础研究项目，培养青年科研骨干，助推我国色谱产业核心技术自主可控与高质量发展。</w:t>
      </w:r>
    </w:p>
    <w:p w14:paraId="6D46DED1">
      <w:pPr>
        <w:pStyle w:val="3"/>
        <w:spacing w:before="156" w:beforeLines="50" w:after="156" w:afterLines="50" w:line="400" w:lineRule="exact"/>
        <w:ind w:firstLine="420" w:firstLineChars="200"/>
        <w:rPr>
          <w:b w:val="0"/>
          <w:bCs w:val="0"/>
          <w:sz w:val="21"/>
          <w:szCs w:val="21"/>
        </w:rPr>
      </w:pPr>
      <w:r>
        <w:rPr>
          <w:b w:val="0"/>
          <w:bCs w:val="0"/>
          <w:sz w:val="21"/>
          <w:szCs w:val="21"/>
        </w:rPr>
        <w:t>二、</w:t>
      </w:r>
      <w:r>
        <w:rPr>
          <w:rFonts w:hint="eastAsia"/>
          <w:b w:val="0"/>
          <w:bCs w:val="0"/>
          <w:sz w:val="21"/>
          <w:szCs w:val="21"/>
        </w:rPr>
        <w:t>评审机制</w:t>
      </w:r>
    </w:p>
    <w:p w14:paraId="66A18318">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采取同行匿名函评与会评相结合的方式，重点考察项目的创新性、可行性、与产业需求的契合度及申请人的科研潜力。</w:t>
      </w:r>
      <w:r>
        <w:rPr>
          <w:rFonts w:hint="eastAsia" w:asciiTheme="minorEastAsia" w:hAnsiTheme="minorEastAsia" w:eastAsiaTheme="minorEastAsia"/>
          <w:sz w:val="21"/>
          <w:szCs w:val="21"/>
        </w:rPr>
        <w:t>单项资助额度原则上为5万至50万元，具体金额将依据研究内容的深度与广度综合评定，可适当上浮或下调。项目执行周期为2年。</w:t>
      </w:r>
    </w:p>
    <w:p w14:paraId="1EA66E2F">
      <w:pPr>
        <w:pStyle w:val="3"/>
        <w:spacing w:before="156" w:beforeLines="50" w:after="156" w:afterLines="50" w:line="400" w:lineRule="exact"/>
        <w:ind w:firstLine="420" w:firstLineChars="200"/>
        <w:rPr>
          <w:b w:val="0"/>
          <w:bCs w:val="0"/>
          <w:sz w:val="21"/>
          <w:szCs w:val="21"/>
        </w:rPr>
      </w:pPr>
      <w:r>
        <w:rPr>
          <w:b w:val="0"/>
          <w:bCs w:val="0"/>
          <w:sz w:val="21"/>
          <w:szCs w:val="21"/>
        </w:rPr>
        <w:t>三、资助方向</w:t>
      </w:r>
    </w:p>
    <w:p w14:paraId="639A504A">
      <w:pPr>
        <w:spacing w:line="400" w:lineRule="exact"/>
        <w:ind w:firstLine="420" w:firstLineChars="200"/>
        <w:rPr>
          <w:rFonts w:hint="eastAsia" w:ascii="宋体" w:hAnsi="宋体" w:eastAsia="宋体"/>
          <w:sz w:val="21"/>
          <w:szCs w:val="21"/>
        </w:rPr>
      </w:pPr>
      <w:r>
        <w:rPr>
          <w:rFonts w:ascii="宋体" w:hAnsi="宋体" w:eastAsia="宋体"/>
          <w:sz w:val="21"/>
          <w:szCs w:val="21"/>
        </w:rPr>
        <w:t>2026年度基金重点资助以下</w:t>
      </w:r>
      <w:r>
        <w:rPr>
          <w:rFonts w:hint="eastAsia" w:ascii="宋体" w:hAnsi="宋体" w:eastAsia="宋体"/>
          <w:sz w:val="21"/>
          <w:szCs w:val="21"/>
        </w:rPr>
        <w:t>5</w:t>
      </w:r>
      <w:r>
        <w:rPr>
          <w:rFonts w:ascii="宋体" w:hAnsi="宋体" w:eastAsia="宋体"/>
          <w:b/>
          <w:sz w:val="21"/>
          <w:szCs w:val="21"/>
        </w:rPr>
        <w:t>个</w:t>
      </w:r>
      <w:r>
        <w:rPr>
          <w:rFonts w:ascii="宋体" w:hAnsi="宋体" w:eastAsia="宋体"/>
          <w:sz w:val="21"/>
          <w:szCs w:val="21"/>
        </w:rPr>
        <w:t>研究方向。项目应聚焦离子色谱及色谱分离检测领域的关键科学与技术问题，鼓励基础研究与实际应用相结合，鼓励跨学科交叉创新。</w:t>
      </w:r>
    </w:p>
    <w:p w14:paraId="04B58624">
      <w:pPr>
        <w:spacing w:line="400" w:lineRule="exact"/>
        <w:ind w:firstLine="422" w:firstLineChars="200"/>
        <w:rPr>
          <w:rFonts w:hint="eastAsia" w:ascii="宋体" w:hAnsi="宋体" w:eastAsia="宋体"/>
          <w:sz w:val="21"/>
          <w:szCs w:val="21"/>
        </w:rPr>
      </w:pPr>
      <w:r>
        <w:rPr>
          <w:rFonts w:ascii="宋体" w:hAnsi="宋体" w:eastAsia="宋体"/>
          <w:b/>
          <w:sz w:val="21"/>
          <w:szCs w:val="21"/>
        </w:rPr>
        <w:t>说明：</w:t>
      </w:r>
      <w:r>
        <w:rPr>
          <w:rFonts w:ascii="宋体" w:hAnsi="宋体" w:eastAsia="宋体"/>
          <w:sz w:val="21"/>
          <w:szCs w:val="21"/>
        </w:rPr>
        <w:t>各方向项下的【研究要点】为框架性指引，供申请人明确大致范围。具体研究内容的技术细节、工艺参数、材料配方及测试方案等涉密信息，已做脱敏处理。申请人如需进一步了解相关技术背景，可在申报前联系</w:t>
      </w:r>
      <w:r>
        <w:rPr>
          <w:rFonts w:hint="eastAsia" w:ascii="宋体" w:hAnsi="宋体" w:eastAsia="宋体"/>
          <w:sz w:val="21"/>
          <w:szCs w:val="21"/>
        </w:rPr>
        <w:t>青岛</w:t>
      </w:r>
      <w:r>
        <w:rPr>
          <w:rFonts w:ascii="宋体" w:hAnsi="宋体" w:eastAsia="宋体"/>
          <w:sz w:val="21"/>
          <w:szCs w:val="21"/>
        </w:rPr>
        <w:t>盛瀚色谱技术</w:t>
      </w:r>
      <w:r>
        <w:rPr>
          <w:rFonts w:hint="eastAsia" w:ascii="宋体" w:hAnsi="宋体" w:eastAsia="宋体"/>
          <w:sz w:val="21"/>
          <w:szCs w:val="21"/>
        </w:rPr>
        <w:t>有限公司</w:t>
      </w:r>
      <w:r>
        <w:rPr>
          <w:rFonts w:ascii="宋体" w:hAnsi="宋体" w:eastAsia="宋体"/>
          <w:sz w:val="21"/>
          <w:szCs w:val="21"/>
        </w:rPr>
        <w:t>，在签署保密协议后获取必要的技术咨询支持。</w:t>
      </w:r>
    </w:p>
    <w:p w14:paraId="6E603278">
      <w:pPr>
        <w:pStyle w:val="4"/>
        <w:spacing w:before="0" w:after="0" w:line="400" w:lineRule="exact"/>
        <w:ind w:firstLine="422" w:firstLineChars="200"/>
        <w:rPr>
          <w:rFonts w:hint="eastAsia" w:ascii="宋体" w:hAnsi="宋体" w:eastAsia="宋体"/>
          <w:sz w:val="21"/>
          <w:szCs w:val="21"/>
        </w:rPr>
      </w:pPr>
      <w:r>
        <w:rPr>
          <w:rFonts w:ascii="宋体" w:hAnsi="宋体" w:eastAsia="宋体"/>
          <w:sz w:val="21"/>
          <w:szCs w:val="21"/>
        </w:rPr>
        <w:t>方向</w:t>
      </w:r>
      <w:r>
        <w:rPr>
          <w:rFonts w:hint="eastAsia" w:ascii="宋体" w:hAnsi="宋体" w:eastAsia="宋体"/>
          <w:sz w:val="21"/>
          <w:szCs w:val="21"/>
        </w:rPr>
        <w:t>一、</w:t>
      </w:r>
      <w:r>
        <w:rPr>
          <w:rFonts w:ascii="宋体" w:hAnsi="宋体" w:eastAsia="宋体"/>
          <w:sz w:val="21"/>
          <w:szCs w:val="21"/>
        </w:rPr>
        <w:t>新污染物色谱检测全流程方案</w:t>
      </w:r>
    </w:p>
    <w:p w14:paraId="7F047782">
      <w:pPr>
        <w:spacing w:line="400" w:lineRule="exact"/>
        <w:ind w:firstLine="422" w:firstLineChars="200"/>
        <w:rPr>
          <w:rFonts w:hint="eastAsia" w:ascii="宋体" w:hAnsi="宋体" w:eastAsia="宋体"/>
          <w:sz w:val="21"/>
          <w:szCs w:val="21"/>
        </w:rPr>
      </w:pPr>
      <w:r>
        <w:rPr>
          <w:rFonts w:ascii="宋体" w:hAnsi="宋体" w:eastAsia="宋体"/>
          <w:b/>
          <w:sz w:val="21"/>
          <w:szCs w:val="21"/>
        </w:rPr>
        <w:t>研究目标：</w:t>
      </w:r>
      <w:r>
        <w:rPr>
          <w:rFonts w:hint="eastAsia" w:ascii="宋体" w:hAnsi="宋体" w:eastAsia="宋体"/>
          <w:b/>
          <w:sz w:val="21"/>
          <w:szCs w:val="21"/>
        </w:rPr>
        <w:t>针对</w:t>
      </w:r>
      <w:r>
        <w:rPr>
          <w:rFonts w:ascii="宋体" w:hAnsi="宋体" w:eastAsia="宋体"/>
          <w:sz w:val="21"/>
          <w:szCs w:val="21"/>
        </w:rPr>
        <w:t>全氟和多氟烷基物质（PFAS）、高氯酸盐、卤代乙酸等，</w:t>
      </w:r>
      <w:r>
        <w:rPr>
          <w:rFonts w:hint="eastAsia" w:ascii="宋体" w:hAnsi="宋体" w:eastAsia="宋体"/>
          <w:sz w:val="21"/>
          <w:szCs w:val="21"/>
        </w:rPr>
        <w:t>建立以离子</w:t>
      </w:r>
      <w:r>
        <w:rPr>
          <w:rFonts w:ascii="宋体" w:hAnsi="宋体" w:eastAsia="宋体"/>
          <w:sz w:val="21"/>
          <w:szCs w:val="21"/>
        </w:rPr>
        <w:t>色谱为前端分离核心、串联高分辨质谱的确证与定量方案，简化前处理流程，提升复杂基质下的检测通量。</w:t>
      </w:r>
    </w:p>
    <w:p w14:paraId="1BA8C401">
      <w:pPr>
        <w:spacing w:line="400" w:lineRule="exact"/>
        <w:ind w:firstLine="422" w:firstLineChars="200"/>
        <w:rPr>
          <w:rFonts w:hint="eastAsia" w:ascii="宋体" w:hAnsi="宋体" w:eastAsia="宋体"/>
          <w:sz w:val="21"/>
          <w:szCs w:val="21"/>
        </w:rPr>
      </w:pPr>
      <w:r>
        <w:rPr>
          <w:rFonts w:ascii="宋体" w:hAnsi="宋体" w:eastAsia="宋体"/>
          <w:b/>
          <w:sz w:val="21"/>
          <w:szCs w:val="21"/>
        </w:rPr>
        <w:t>研究要点：</w:t>
      </w:r>
    </w:p>
    <w:p w14:paraId="2272DFB2">
      <w:pPr>
        <w:numPr>
          <w:ilvl w:val="0"/>
          <w:numId w:val="1"/>
        </w:numPr>
        <w:spacing w:line="400" w:lineRule="exact"/>
        <w:ind w:left="0" w:firstLine="420" w:firstLineChars="200"/>
        <w:rPr>
          <w:rFonts w:hint="eastAsia" w:ascii="宋体" w:hAnsi="宋体" w:eastAsia="宋体"/>
          <w:sz w:val="21"/>
          <w:szCs w:val="21"/>
        </w:rPr>
      </w:pPr>
      <w:r>
        <w:rPr>
          <w:rFonts w:ascii="宋体" w:hAnsi="宋体" w:eastAsia="宋体"/>
          <w:sz w:val="21"/>
          <w:szCs w:val="21"/>
        </w:rPr>
        <w:t>PFAS的在线前处理</w:t>
      </w:r>
      <w:r>
        <w:rPr>
          <w:rFonts w:hint="eastAsia" w:ascii="宋体" w:hAnsi="宋体" w:eastAsia="宋体"/>
          <w:sz w:val="21"/>
          <w:szCs w:val="21"/>
        </w:rPr>
        <w:t>－</w:t>
      </w:r>
      <w:r>
        <w:rPr>
          <w:rFonts w:ascii="宋体" w:hAnsi="宋体" w:eastAsia="宋体"/>
          <w:sz w:val="21"/>
          <w:szCs w:val="21"/>
        </w:rPr>
        <w:t>色谱-质谱联用方法开发与方法验证；</w:t>
      </w:r>
    </w:p>
    <w:p w14:paraId="59519D10">
      <w:pPr>
        <w:numPr>
          <w:ilvl w:val="0"/>
          <w:numId w:val="1"/>
        </w:numPr>
        <w:spacing w:line="400" w:lineRule="exact"/>
        <w:ind w:left="0" w:firstLine="420" w:firstLineChars="200"/>
        <w:rPr>
          <w:rFonts w:hint="eastAsia" w:ascii="宋体" w:hAnsi="宋体" w:eastAsia="宋体"/>
          <w:sz w:val="21"/>
          <w:szCs w:val="21"/>
        </w:rPr>
      </w:pPr>
      <w:r>
        <w:rPr>
          <w:rFonts w:ascii="宋体" w:hAnsi="宋体" w:eastAsia="宋体"/>
          <w:sz w:val="21"/>
          <w:szCs w:val="21"/>
        </w:rPr>
        <w:t>饮用水中痕量卤代乙酸与无机阴离子的同步检测方案研究；</w:t>
      </w:r>
    </w:p>
    <w:p w14:paraId="51CF081C">
      <w:pPr>
        <w:numPr>
          <w:ilvl w:val="0"/>
          <w:numId w:val="1"/>
        </w:numPr>
        <w:spacing w:line="400" w:lineRule="exact"/>
        <w:ind w:left="0" w:firstLine="420" w:firstLineChars="200"/>
        <w:rPr>
          <w:rFonts w:hint="eastAsia" w:ascii="宋体" w:hAnsi="宋体" w:eastAsia="宋体"/>
          <w:sz w:val="21"/>
          <w:szCs w:val="21"/>
        </w:rPr>
      </w:pPr>
      <w:r>
        <w:rPr>
          <w:rFonts w:ascii="宋体" w:hAnsi="宋体" w:eastAsia="宋体"/>
          <w:sz w:val="21"/>
          <w:szCs w:val="21"/>
        </w:rPr>
        <w:t>突发环境事件中高氯酸盐的现场快速筛查与实验室确证方法对比；</w:t>
      </w:r>
    </w:p>
    <w:p w14:paraId="5D29B361">
      <w:pPr>
        <w:numPr>
          <w:ilvl w:val="0"/>
          <w:numId w:val="1"/>
        </w:numPr>
        <w:spacing w:line="400" w:lineRule="exact"/>
        <w:ind w:left="0" w:firstLine="420" w:firstLineChars="200"/>
        <w:rPr>
          <w:rFonts w:hint="eastAsia" w:ascii="宋体" w:hAnsi="宋体" w:eastAsia="宋体"/>
          <w:sz w:val="21"/>
          <w:szCs w:val="21"/>
        </w:rPr>
      </w:pPr>
      <w:r>
        <w:rPr>
          <w:rFonts w:hint="eastAsia" w:ascii="宋体" w:hAnsi="宋体" w:eastAsia="宋体"/>
          <w:sz w:val="21"/>
          <w:szCs w:val="21"/>
        </w:rPr>
        <w:t xml:space="preserve"> 大通量环境样本色谱数据的自动化处理与报告</w:t>
      </w:r>
      <w:r>
        <w:rPr>
          <w:rFonts w:ascii="宋体" w:hAnsi="宋体" w:eastAsia="宋体"/>
          <w:sz w:val="21"/>
          <w:szCs w:val="21"/>
        </w:rPr>
        <w:t>生成流程优化。</w:t>
      </w:r>
    </w:p>
    <w:p w14:paraId="78CDA5E0">
      <w:pPr>
        <w:spacing w:line="400" w:lineRule="exact"/>
        <w:ind w:firstLine="422" w:firstLineChars="200"/>
        <w:rPr>
          <w:rFonts w:hint="eastAsia" w:ascii="宋体" w:hAnsi="宋体" w:eastAsia="宋体"/>
          <w:sz w:val="21"/>
          <w:szCs w:val="21"/>
        </w:rPr>
      </w:pPr>
      <w:r>
        <w:rPr>
          <w:rFonts w:ascii="宋体" w:hAnsi="宋体" w:eastAsia="宋体"/>
          <w:b/>
          <w:sz w:val="21"/>
          <w:szCs w:val="21"/>
        </w:rPr>
        <w:t>考核指标：</w:t>
      </w:r>
      <w:r>
        <w:rPr>
          <w:rFonts w:ascii="宋体" w:hAnsi="宋体" w:eastAsia="宋体"/>
          <w:sz w:val="21"/>
          <w:szCs w:val="21"/>
        </w:rPr>
        <w:t>建立不少于3种新污染物的色谱</w:t>
      </w:r>
      <w:r>
        <w:rPr>
          <w:rFonts w:hint="eastAsia" w:ascii="宋体" w:hAnsi="宋体" w:eastAsia="宋体"/>
          <w:sz w:val="21"/>
          <w:szCs w:val="21"/>
        </w:rPr>
        <w:t>－</w:t>
      </w:r>
      <w:r>
        <w:rPr>
          <w:rFonts w:ascii="宋体" w:hAnsi="宋体" w:eastAsia="宋体"/>
          <w:sz w:val="21"/>
          <w:szCs w:val="21"/>
        </w:rPr>
        <w:t>质谱确证方法；PFAS方法定量限≤5 ng/L；卤代乙酸回收率</w:t>
      </w:r>
      <w:r>
        <w:rPr>
          <w:rFonts w:hint="eastAsia" w:ascii="宋体" w:hAnsi="宋体" w:eastAsia="宋体"/>
          <w:sz w:val="21"/>
          <w:szCs w:val="21"/>
        </w:rPr>
        <w:t>70%—120%</w:t>
      </w:r>
      <w:r>
        <w:rPr>
          <w:rFonts w:ascii="宋体" w:hAnsi="宋体" w:eastAsia="宋体"/>
          <w:sz w:val="21"/>
          <w:szCs w:val="21"/>
        </w:rPr>
        <w:t>；在不少于3家省级环境监测中心完成实际水样验证。</w:t>
      </w:r>
    </w:p>
    <w:p w14:paraId="3DAC1A6C">
      <w:pPr>
        <w:pStyle w:val="4"/>
        <w:spacing w:before="0" w:after="0" w:line="400" w:lineRule="exact"/>
        <w:ind w:firstLine="422" w:firstLineChars="200"/>
        <w:rPr>
          <w:rFonts w:hint="eastAsia" w:ascii="宋体" w:hAnsi="宋体" w:eastAsia="宋体"/>
          <w:sz w:val="21"/>
          <w:szCs w:val="21"/>
        </w:rPr>
      </w:pPr>
      <w:r>
        <w:rPr>
          <w:rFonts w:ascii="宋体" w:hAnsi="宋体" w:eastAsia="宋体"/>
          <w:sz w:val="21"/>
          <w:szCs w:val="21"/>
        </w:rPr>
        <w:t>方向</w:t>
      </w:r>
      <w:r>
        <w:rPr>
          <w:rFonts w:hint="eastAsia" w:ascii="宋体" w:hAnsi="宋体" w:eastAsia="宋体"/>
          <w:sz w:val="21"/>
          <w:szCs w:val="21"/>
        </w:rPr>
        <w:t>二</w:t>
      </w:r>
      <w:r>
        <w:rPr>
          <w:rFonts w:ascii="宋体" w:hAnsi="宋体" w:eastAsia="宋体"/>
          <w:sz w:val="21"/>
          <w:szCs w:val="21"/>
        </w:rPr>
        <w:t>：智能</w:t>
      </w:r>
      <w:r>
        <w:rPr>
          <w:rFonts w:hint="eastAsia" w:ascii="宋体" w:hAnsi="宋体" w:eastAsia="宋体"/>
          <w:sz w:val="21"/>
          <w:szCs w:val="21"/>
        </w:rPr>
        <w:t>离子色谱行业数据库</w:t>
      </w:r>
    </w:p>
    <w:p w14:paraId="2E19E03D">
      <w:pPr>
        <w:spacing w:line="400" w:lineRule="exact"/>
        <w:ind w:firstLine="422" w:firstLineChars="200"/>
        <w:rPr>
          <w:rFonts w:hint="eastAsia" w:ascii="宋体" w:hAnsi="宋体" w:eastAsia="宋体"/>
          <w:sz w:val="21"/>
          <w:szCs w:val="21"/>
        </w:rPr>
      </w:pPr>
      <w:r>
        <w:rPr>
          <w:rFonts w:ascii="宋体" w:hAnsi="宋体" w:eastAsia="宋体"/>
          <w:b/>
          <w:sz w:val="21"/>
          <w:szCs w:val="21"/>
        </w:rPr>
        <w:t>研究目标：</w:t>
      </w:r>
      <w:r>
        <w:rPr>
          <w:rFonts w:hint="eastAsia" w:ascii="宋体" w:hAnsi="宋体" w:eastAsia="宋体"/>
          <w:sz w:val="21"/>
          <w:szCs w:val="21"/>
        </w:rPr>
        <w:t>构建离子色谱智能数据库</w:t>
      </w:r>
      <w:r>
        <w:rPr>
          <w:rFonts w:ascii="宋体" w:hAnsi="宋体" w:eastAsia="宋体"/>
          <w:sz w:val="21"/>
          <w:szCs w:val="21"/>
        </w:rPr>
        <w:t>。</w:t>
      </w:r>
    </w:p>
    <w:p w14:paraId="453557BE">
      <w:pPr>
        <w:spacing w:line="400" w:lineRule="exact"/>
        <w:ind w:firstLine="422" w:firstLineChars="200"/>
        <w:rPr>
          <w:rFonts w:hint="eastAsia" w:ascii="宋体" w:hAnsi="宋体" w:eastAsia="宋体"/>
          <w:sz w:val="21"/>
          <w:szCs w:val="21"/>
        </w:rPr>
      </w:pPr>
      <w:r>
        <w:rPr>
          <w:rFonts w:ascii="宋体" w:hAnsi="宋体" w:eastAsia="宋体"/>
          <w:b/>
          <w:sz w:val="21"/>
          <w:szCs w:val="21"/>
        </w:rPr>
        <w:t>研究要点：</w:t>
      </w:r>
    </w:p>
    <w:p w14:paraId="4DC74BA2">
      <w:pPr>
        <w:numPr>
          <w:ilvl w:val="0"/>
          <w:numId w:val="2"/>
        </w:numPr>
        <w:spacing w:line="400" w:lineRule="exact"/>
        <w:ind w:left="0" w:firstLine="420" w:firstLineChars="200"/>
        <w:rPr>
          <w:rFonts w:hint="eastAsia" w:ascii="宋体" w:hAnsi="宋体" w:eastAsia="宋体"/>
          <w:sz w:val="21"/>
          <w:szCs w:val="21"/>
        </w:rPr>
      </w:pPr>
      <w:r>
        <w:rPr>
          <w:rFonts w:ascii="宋体" w:hAnsi="宋体" w:eastAsia="宋体"/>
          <w:sz w:val="21"/>
          <w:szCs w:val="21"/>
        </w:rPr>
        <w:t>基于在线监测数据的工业过程预警模型构建与现场验证。</w:t>
      </w:r>
    </w:p>
    <w:p w14:paraId="32347CC7">
      <w:pPr>
        <w:numPr>
          <w:ilvl w:val="0"/>
          <w:numId w:val="2"/>
        </w:numPr>
        <w:spacing w:line="400" w:lineRule="exact"/>
        <w:ind w:left="0" w:firstLine="420" w:firstLineChars="200"/>
        <w:rPr>
          <w:rFonts w:hint="eastAsia" w:ascii="宋体" w:hAnsi="宋体" w:eastAsia="宋体"/>
          <w:sz w:val="21"/>
          <w:szCs w:val="21"/>
        </w:rPr>
      </w:pPr>
      <w:r>
        <w:rPr>
          <w:rFonts w:hint="eastAsia" w:ascii="宋体" w:hAnsi="宋体" w:eastAsia="宋体"/>
          <w:sz w:val="21"/>
          <w:szCs w:val="21"/>
        </w:rPr>
        <w:t>构建智能离子色谱行业数据库。</w:t>
      </w:r>
    </w:p>
    <w:p w14:paraId="324460BE">
      <w:pPr>
        <w:spacing w:line="400" w:lineRule="exact"/>
        <w:ind w:firstLine="422" w:firstLineChars="200"/>
        <w:rPr>
          <w:rFonts w:hint="eastAsia" w:ascii="宋体" w:hAnsi="宋体" w:eastAsia="宋体"/>
          <w:sz w:val="21"/>
          <w:szCs w:val="21"/>
        </w:rPr>
      </w:pPr>
      <w:r>
        <w:rPr>
          <w:rFonts w:ascii="宋体" w:hAnsi="宋体" w:eastAsia="宋体"/>
          <w:b/>
          <w:sz w:val="21"/>
          <w:szCs w:val="21"/>
        </w:rPr>
        <w:t>考核指标：</w:t>
      </w:r>
      <w:r>
        <w:rPr>
          <w:rFonts w:ascii="宋体" w:hAnsi="宋体" w:eastAsia="宋体"/>
          <w:sz w:val="21"/>
          <w:szCs w:val="21"/>
        </w:rPr>
        <w:t>建立一套智能判峰系统，对测试集色谱数据的峰识别准确率≥95%；单张色谱图自动判读时间≤10 s；系统在至少3种不同类型色谱体系上的泛化性能得到验证；在线预警模型对水质突变事件的响应时间≤5</w:t>
      </w:r>
      <w:r>
        <w:rPr>
          <w:rFonts w:hint="eastAsia" w:ascii="宋体" w:hAnsi="宋体" w:eastAsia="宋体"/>
          <w:sz w:val="21"/>
          <w:szCs w:val="21"/>
        </w:rPr>
        <w:t xml:space="preserve"> min</w:t>
      </w:r>
      <w:r>
        <w:rPr>
          <w:rFonts w:ascii="宋体" w:hAnsi="宋体" w:eastAsia="宋体"/>
          <w:sz w:val="21"/>
          <w:szCs w:val="21"/>
        </w:rPr>
        <w:t>。</w:t>
      </w:r>
    </w:p>
    <w:p w14:paraId="2C3F365B">
      <w:pPr>
        <w:spacing w:line="400" w:lineRule="exact"/>
        <w:ind w:firstLine="422" w:firstLineChars="200"/>
        <w:rPr>
          <w:rFonts w:hint="eastAsia" w:ascii="宋体" w:hAnsi="宋体" w:eastAsia="宋体"/>
          <w:sz w:val="21"/>
          <w:szCs w:val="21"/>
        </w:rPr>
      </w:pPr>
      <w:r>
        <w:rPr>
          <w:rFonts w:ascii="宋体" w:hAnsi="宋体" w:eastAsia="宋体"/>
          <w:b/>
          <w:sz w:val="21"/>
          <w:szCs w:val="21"/>
        </w:rPr>
        <w:t>方向三：新型离子化合物检测方法及技术开发</w:t>
      </w:r>
    </w:p>
    <w:p w14:paraId="4E6091F0">
      <w:pPr>
        <w:spacing w:line="400" w:lineRule="exact"/>
        <w:ind w:firstLine="422" w:firstLineChars="200"/>
        <w:rPr>
          <w:rFonts w:hint="eastAsia" w:ascii="宋体" w:hAnsi="宋体" w:eastAsia="宋体"/>
          <w:sz w:val="21"/>
          <w:szCs w:val="21"/>
        </w:rPr>
      </w:pPr>
      <w:r>
        <w:rPr>
          <w:rFonts w:ascii="宋体" w:hAnsi="宋体" w:eastAsia="宋体"/>
          <w:b/>
          <w:sz w:val="21"/>
          <w:szCs w:val="21"/>
        </w:rPr>
        <w:t>研究目标：</w:t>
      </w:r>
      <w:r>
        <w:rPr>
          <w:rFonts w:ascii="宋体" w:hAnsi="宋体" w:eastAsia="宋体"/>
          <w:sz w:val="21"/>
          <w:szCs w:val="21"/>
        </w:rPr>
        <w:t xml:space="preserve"> 面向痕量离子检测灵敏度不足、选择性有限、形态分析能力缺失等瓶颈问题，发展电化学、光学、质谱及多检测器联用等新型检测技术，作为离子色谱检测器的补充与改善，构建高灵敏、高选择性的痕量离子分析新方法体系，拓展离子色谱技术在环境新污染物监测、元素形态分析等场景的应用边界。</w:t>
      </w:r>
    </w:p>
    <w:p w14:paraId="69CB7FD3">
      <w:pPr>
        <w:spacing w:line="400" w:lineRule="exact"/>
        <w:ind w:firstLine="422" w:firstLineChars="200"/>
        <w:rPr>
          <w:rFonts w:hint="eastAsia" w:ascii="宋体" w:hAnsi="宋体" w:eastAsia="宋体"/>
          <w:sz w:val="21"/>
          <w:szCs w:val="21"/>
        </w:rPr>
      </w:pPr>
      <w:r>
        <w:rPr>
          <w:rFonts w:ascii="宋体" w:hAnsi="宋体" w:eastAsia="宋体"/>
          <w:b/>
          <w:sz w:val="21"/>
          <w:szCs w:val="21"/>
        </w:rPr>
        <w:t>研究要点：</w:t>
      </w:r>
    </w:p>
    <w:p w14:paraId="3EF3A11D">
      <w:pPr>
        <w:numPr>
          <w:ilvl w:val="0"/>
          <w:numId w:val="3"/>
        </w:numPr>
        <w:spacing w:line="400" w:lineRule="exact"/>
        <w:ind w:left="0" w:firstLine="422" w:firstLineChars="200"/>
        <w:rPr>
          <w:rFonts w:hint="eastAsia" w:ascii="宋体" w:hAnsi="宋体" w:eastAsia="宋体"/>
          <w:sz w:val="21"/>
          <w:szCs w:val="21"/>
        </w:rPr>
      </w:pPr>
      <w:r>
        <w:rPr>
          <w:rFonts w:ascii="宋体" w:hAnsi="宋体" w:eastAsia="宋体"/>
          <w:b/>
          <w:sz w:val="21"/>
          <w:szCs w:val="21"/>
        </w:rPr>
        <w:t>电化学</w:t>
      </w:r>
      <w:r>
        <w:rPr>
          <w:rFonts w:hint="eastAsia" w:ascii="宋体" w:hAnsi="宋体" w:eastAsia="宋体"/>
          <w:b/>
          <w:sz w:val="21"/>
          <w:szCs w:val="21"/>
        </w:rPr>
        <w:t>离子检测技术</w:t>
      </w:r>
      <w:r>
        <w:rPr>
          <w:rFonts w:ascii="宋体" w:hAnsi="宋体" w:eastAsia="宋体"/>
          <w:b/>
          <w:sz w:val="21"/>
          <w:szCs w:val="21"/>
        </w:rPr>
        <w:t>开发</w:t>
      </w:r>
      <w:r>
        <w:rPr>
          <w:rFonts w:ascii="宋体" w:hAnsi="宋体" w:eastAsia="宋体"/>
          <w:sz w:val="21"/>
          <w:szCs w:val="21"/>
        </w:rPr>
        <w:t>：</w:t>
      </w:r>
      <w:r>
        <w:rPr>
          <w:rFonts w:hint="eastAsia" w:ascii="宋体" w:hAnsi="宋体" w:eastAsia="宋体"/>
          <w:sz w:val="21"/>
          <w:szCs w:val="21"/>
        </w:rPr>
        <w:t>通过电化学及相关联用技术实现离子痕量检测</w:t>
      </w:r>
    </w:p>
    <w:p w14:paraId="237898BF">
      <w:pPr>
        <w:numPr>
          <w:ilvl w:val="0"/>
          <w:numId w:val="3"/>
        </w:numPr>
        <w:spacing w:line="400" w:lineRule="exact"/>
        <w:ind w:left="0" w:firstLine="422" w:firstLineChars="200"/>
        <w:rPr>
          <w:rFonts w:hint="eastAsia" w:ascii="宋体" w:hAnsi="宋体" w:eastAsia="宋体"/>
          <w:sz w:val="21"/>
          <w:szCs w:val="21"/>
        </w:rPr>
      </w:pPr>
      <w:r>
        <w:rPr>
          <w:rFonts w:hint="eastAsia" w:ascii="宋体" w:hAnsi="宋体" w:eastAsia="宋体"/>
          <w:b/>
          <w:sz w:val="21"/>
          <w:szCs w:val="21"/>
        </w:rPr>
        <w:t>光谱及荧光离子检测技术</w:t>
      </w:r>
      <w:r>
        <w:rPr>
          <w:rFonts w:ascii="宋体" w:hAnsi="宋体" w:eastAsia="宋体"/>
          <w:b/>
          <w:sz w:val="21"/>
          <w:szCs w:val="21"/>
        </w:rPr>
        <w:t>研究</w:t>
      </w:r>
      <w:r>
        <w:rPr>
          <w:rFonts w:ascii="宋体" w:hAnsi="宋体" w:eastAsia="宋体"/>
          <w:sz w:val="21"/>
          <w:szCs w:val="21"/>
        </w:rPr>
        <w:t>：设计离子特异性</w:t>
      </w:r>
      <w:r>
        <w:rPr>
          <w:rFonts w:hint="eastAsia" w:ascii="宋体" w:hAnsi="宋体" w:eastAsia="宋体"/>
          <w:sz w:val="21"/>
          <w:szCs w:val="21"/>
        </w:rPr>
        <w:t>物质及</w:t>
      </w:r>
      <w:r>
        <w:rPr>
          <w:rFonts w:ascii="宋体" w:hAnsi="宋体" w:eastAsia="宋体"/>
          <w:sz w:val="21"/>
          <w:szCs w:val="21"/>
        </w:rPr>
        <w:t>离子的光学增强检测</w:t>
      </w:r>
      <w:r>
        <w:rPr>
          <w:rFonts w:hint="eastAsia" w:ascii="宋体" w:hAnsi="宋体" w:eastAsia="宋体"/>
          <w:sz w:val="21"/>
          <w:szCs w:val="21"/>
        </w:rPr>
        <w:t>技术，并实现离子痕量检测</w:t>
      </w:r>
      <w:r>
        <w:rPr>
          <w:rFonts w:ascii="宋体" w:hAnsi="宋体" w:eastAsia="宋体"/>
          <w:sz w:val="21"/>
          <w:szCs w:val="21"/>
        </w:rPr>
        <w:t>；</w:t>
      </w:r>
    </w:p>
    <w:p w14:paraId="6A9F3444">
      <w:pPr>
        <w:numPr>
          <w:ilvl w:val="0"/>
          <w:numId w:val="3"/>
        </w:numPr>
        <w:spacing w:line="400" w:lineRule="exact"/>
        <w:ind w:left="0" w:firstLine="422" w:firstLineChars="200"/>
        <w:rPr>
          <w:rFonts w:hint="eastAsia" w:ascii="宋体" w:hAnsi="宋体" w:eastAsia="宋体"/>
          <w:sz w:val="21"/>
          <w:szCs w:val="21"/>
        </w:rPr>
      </w:pPr>
      <w:r>
        <w:rPr>
          <w:rFonts w:ascii="宋体" w:hAnsi="宋体" w:eastAsia="宋体"/>
          <w:b/>
          <w:sz w:val="21"/>
          <w:szCs w:val="21"/>
        </w:rPr>
        <w:t>新型检测技术的互补性评价与适用场景界定</w:t>
      </w:r>
      <w:r>
        <w:rPr>
          <w:rFonts w:ascii="宋体" w:hAnsi="宋体" w:eastAsia="宋体"/>
          <w:sz w:val="21"/>
          <w:szCs w:val="21"/>
        </w:rPr>
        <w:t>：系统对比新型检测技术与传统电导检测在灵敏度、选择性、基质耐受性等方面的差异，明确各技术的优势适用区间，形成方法选择策略指南。</w:t>
      </w:r>
    </w:p>
    <w:p w14:paraId="78A50B3D">
      <w:pPr>
        <w:spacing w:line="400" w:lineRule="exact"/>
        <w:ind w:firstLine="422" w:firstLineChars="200"/>
        <w:rPr>
          <w:rFonts w:hint="eastAsia" w:ascii="宋体" w:hAnsi="宋体" w:eastAsia="宋体"/>
          <w:sz w:val="21"/>
          <w:szCs w:val="21"/>
        </w:rPr>
      </w:pPr>
      <w:r>
        <w:rPr>
          <w:rFonts w:ascii="宋体" w:hAnsi="宋体" w:eastAsia="宋体"/>
          <w:b/>
          <w:sz w:val="21"/>
          <w:szCs w:val="21"/>
        </w:rPr>
        <w:t>考核指标：</w:t>
      </w:r>
      <w:r>
        <w:rPr>
          <w:rFonts w:ascii="宋体" w:hAnsi="宋体" w:eastAsia="宋体"/>
          <w:sz w:val="21"/>
          <w:szCs w:val="21"/>
        </w:rPr>
        <w:t>建立不少于3种新型痕量离子检测方法；目标离子检出限</w:t>
      </w:r>
      <w:r>
        <w:rPr>
          <w:rFonts w:hint="eastAsia" w:ascii="宋体" w:hAnsi="宋体" w:eastAsia="宋体"/>
          <w:sz w:val="21"/>
          <w:szCs w:val="21"/>
        </w:rPr>
        <w:t>与</w:t>
      </w:r>
      <w:r>
        <w:rPr>
          <w:rFonts w:ascii="宋体" w:hAnsi="宋体" w:eastAsia="宋体"/>
          <w:sz w:val="21"/>
          <w:szCs w:val="21"/>
        </w:rPr>
        <w:t>电导检测</w:t>
      </w:r>
      <w:r>
        <w:rPr>
          <w:rFonts w:hint="eastAsia" w:ascii="宋体" w:hAnsi="宋体" w:eastAsia="宋体"/>
          <w:sz w:val="21"/>
          <w:szCs w:val="21"/>
        </w:rPr>
        <w:t>一致或更优</w:t>
      </w:r>
      <w:r>
        <w:rPr>
          <w:rFonts w:ascii="宋体" w:hAnsi="宋体" w:eastAsia="宋体"/>
          <w:sz w:val="21"/>
          <w:szCs w:val="21"/>
        </w:rPr>
        <w:t>；方法在至少2种实际水样</w:t>
      </w:r>
      <w:r>
        <w:rPr>
          <w:rFonts w:hint="eastAsia" w:ascii="宋体" w:hAnsi="宋体" w:eastAsia="宋体"/>
          <w:sz w:val="21"/>
          <w:szCs w:val="21"/>
        </w:rPr>
        <w:t>或其他实际样品</w:t>
      </w:r>
      <w:r>
        <w:rPr>
          <w:rFonts w:ascii="宋体" w:hAnsi="宋体" w:eastAsia="宋体"/>
          <w:sz w:val="21"/>
          <w:szCs w:val="21"/>
        </w:rPr>
        <w:t>基质中完成验证；形成1套新型检测技术与离子色谱的联用</w:t>
      </w:r>
      <w:r>
        <w:rPr>
          <w:rFonts w:hint="eastAsia" w:ascii="宋体" w:hAnsi="宋体" w:eastAsia="宋体"/>
          <w:sz w:val="21"/>
          <w:szCs w:val="21"/>
        </w:rPr>
        <w:t>方案</w:t>
      </w:r>
      <w:r>
        <w:rPr>
          <w:rFonts w:ascii="宋体" w:hAnsi="宋体" w:eastAsia="宋体"/>
          <w:sz w:val="21"/>
          <w:szCs w:val="21"/>
        </w:rPr>
        <w:t>。</w:t>
      </w:r>
    </w:p>
    <w:p w14:paraId="117738D6">
      <w:pPr>
        <w:spacing w:line="400" w:lineRule="exact"/>
        <w:ind w:firstLine="422" w:firstLineChars="200"/>
        <w:rPr>
          <w:rFonts w:hint="eastAsia" w:ascii="宋体" w:hAnsi="宋体" w:eastAsia="宋体"/>
          <w:sz w:val="21"/>
          <w:szCs w:val="21"/>
        </w:rPr>
      </w:pPr>
      <w:r>
        <w:rPr>
          <w:rFonts w:ascii="宋体" w:hAnsi="宋体" w:eastAsia="宋体"/>
          <w:b/>
          <w:sz w:val="21"/>
          <w:szCs w:val="21"/>
        </w:rPr>
        <w:t>方向</w:t>
      </w:r>
      <w:r>
        <w:rPr>
          <w:rFonts w:hint="eastAsia" w:ascii="宋体" w:hAnsi="宋体" w:eastAsia="宋体"/>
          <w:b/>
          <w:sz w:val="21"/>
          <w:szCs w:val="21"/>
        </w:rPr>
        <w:t>四</w:t>
      </w:r>
      <w:r>
        <w:rPr>
          <w:rFonts w:ascii="宋体" w:hAnsi="宋体" w:eastAsia="宋体"/>
          <w:b/>
          <w:sz w:val="21"/>
          <w:szCs w:val="21"/>
        </w:rPr>
        <w:t>：新型安培/电化学检测器</w:t>
      </w:r>
    </w:p>
    <w:p w14:paraId="40D1E74C">
      <w:pPr>
        <w:spacing w:line="400" w:lineRule="exact"/>
        <w:ind w:firstLine="422" w:firstLineChars="200"/>
        <w:rPr>
          <w:rFonts w:hint="eastAsia" w:ascii="宋体" w:hAnsi="宋体" w:eastAsia="宋体"/>
          <w:sz w:val="21"/>
          <w:szCs w:val="21"/>
        </w:rPr>
      </w:pPr>
      <w:r>
        <w:rPr>
          <w:rFonts w:ascii="宋体" w:hAnsi="宋体" w:eastAsia="宋体"/>
          <w:b/>
          <w:sz w:val="21"/>
          <w:szCs w:val="21"/>
        </w:rPr>
        <w:t>研究目标：</w:t>
      </w:r>
      <w:r>
        <w:rPr>
          <w:rFonts w:ascii="宋体" w:hAnsi="宋体" w:eastAsia="宋体"/>
          <w:sz w:val="21"/>
          <w:szCs w:val="21"/>
        </w:rPr>
        <w:t>针对传统安培检测器选择性不足、电极稳定性差、抗污染能力弱等核心瓶颈，发展基于新型</w:t>
      </w:r>
      <w:r>
        <w:rPr>
          <w:rFonts w:hint="eastAsia" w:ascii="宋体" w:hAnsi="宋体" w:eastAsia="宋体"/>
          <w:sz w:val="21"/>
          <w:szCs w:val="21"/>
        </w:rPr>
        <w:t>工艺、</w:t>
      </w:r>
      <w:r>
        <w:rPr>
          <w:rFonts w:ascii="宋体" w:hAnsi="宋体" w:eastAsia="宋体"/>
          <w:sz w:val="21"/>
          <w:szCs w:val="21"/>
        </w:rPr>
        <w:t>修饰电极、智能脉冲波形与微流控集成的新一代安培/电化学检测技术，</w:t>
      </w:r>
      <w:r>
        <w:rPr>
          <w:rFonts w:hint="eastAsia" w:ascii="宋体" w:hAnsi="宋体" w:eastAsia="宋体"/>
          <w:sz w:val="21"/>
          <w:szCs w:val="21"/>
        </w:rPr>
        <w:t>突破</w:t>
      </w:r>
      <w:r>
        <w:rPr>
          <w:rFonts w:ascii="宋体" w:hAnsi="宋体" w:eastAsia="宋体"/>
          <w:sz w:val="21"/>
          <w:szCs w:val="21"/>
        </w:rPr>
        <w:t>离子色谱对非电导响应物质（糖类、氨基酸、含硫化合物等）的检测局限，拓展离子色谱在生命科学、食品医药等领域的应用。</w:t>
      </w:r>
    </w:p>
    <w:p w14:paraId="4FA31EB5">
      <w:pPr>
        <w:spacing w:line="400" w:lineRule="exact"/>
        <w:ind w:firstLine="422" w:firstLineChars="200"/>
        <w:rPr>
          <w:rFonts w:hint="eastAsia" w:ascii="宋体" w:hAnsi="宋体" w:eastAsia="宋体"/>
          <w:sz w:val="21"/>
          <w:szCs w:val="21"/>
        </w:rPr>
      </w:pPr>
      <w:r>
        <w:rPr>
          <w:rFonts w:ascii="宋体" w:hAnsi="宋体" w:eastAsia="宋体"/>
          <w:b/>
          <w:sz w:val="21"/>
          <w:szCs w:val="21"/>
        </w:rPr>
        <w:t>研究要点：</w:t>
      </w:r>
    </w:p>
    <w:p w14:paraId="3FDDE643">
      <w:pPr>
        <w:numPr>
          <w:ilvl w:val="0"/>
          <w:numId w:val="4"/>
        </w:numPr>
        <w:spacing w:line="400" w:lineRule="exact"/>
        <w:ind w:left="0" w:firstLine="422" w:firstLineChars="200"/>
        <w:rPr>
          <w:rFonts w:hint="eastAsia" w:ascii="宋体" w:hAnsi="宋体" w:eastAsia="宋体"/>
          <w:sz w:val="21"/>
          <w:szCs w:val="21"/>
        </w:rPr>
      </w:pPr>
      <w:r>
        <w:rPr>
          <w:rFonts w:hint="eastAsia" w:ascii="宋体" w:hAnsi="宋体" w:eastAsia="宋体"/>
          <w:b/>
          <w:sz w:val="21"/>
          <w:szCs w:val="21"/>
        </w:rPr>
        <w:t>新型</w:t>
      </w:r>
      <w:r>
        <w:rPr>
          <w:rFonts w:ascii="宋体" w:hAnsi="宋体" w:eastAsia="宋体"/>
          <w:b/>
          <w:sz w:val="21"/>
          <w:szCs w:val="21"/>
        </w:rPr>
        <w:t>电极研究</w:t>
      </w:r>
      <w:r>
        <w:rPr>
          <w:rFonts w:ascii="宋体" w:hAnsi="宋体" w:eastAsia="宋体"/>
          <w:sz w:val="21"/>
          <w:szCs w:val="21"/>
        </w:rPr>
        <w:t>：开发</w:t>
      </w:r>
      <w:r>
        <w:rPr>
          <w:rFonts w:hint="eastAsia" w:ascii="宋体" w:hAnsi="宋体" w:eastAsia="宋体"/>
          <w:sz w:val="21"/>
          <w:szCs w:val="21"/>
        </w:rPr>
        <w:t>新型材料电化学</w:t>
      </w:r>
      <w:r>
        <w:rPr>
          <w:rFonts w:ascii="宋体" w:hAnsi="宋体" w:eastAsia="宋体"/>
          <w:sz w:val="21"/>
          <w:szCs w:val="21"/>
        </w:rPr>
        <w:t>电极，研究其电催化活性、抗吸附污染机制与长期稳定性，建立电极表面结构与检测性能构效关系；</w:t>
      </w:r>
    </w:p>
    <w:p w14:paraId="72DBBD7E">
      <w:pPr>
        <w:numPr>
          <w:ilvl w:val="0"/>
          <w:numId w:val="4"/>
        </w:numPr>
        <w:spacing w:line="400" w:lineRule="exact"/>
        <w:ind w:left="0" w:firstLine="422" w:firstLineChars="200"/>
        <w:rPr>
          <w:rFonts w:hint="eastAsia" w:ascii="宋体" w:hAnsi="宋体" w:eastAsia="宋体"/>
          <w:sz w:val="21"/>
          <w:szCs w:val="21"/>
        </w:rPr>
      </w:pPr>
      <w:r>
        <w:rPr>
          <w:rFonts w:ascii="宋体" w:hAnsi="宋体" w:eastAsia="宋体"/>
          <w:b/>
          <w:bCs w:val="0"/>
          <w:sz w:val="21"/>
          <w:szCs w:val="21"/>
        </w:rPr>
        <w:t>高性价比抛弃式电极设计</w:t>
      </w:r>
      <w:r>
        <w:rPr>
          <w:rFonts w:ascii="宋体" w:hAnsi="宋体" w:eastAsia="宋体"/>
          <w:sz w:val="21"/>
          <w:szCs w:val="21"/>
        </w:rPr>
        <w:t>：研究</w:t>
      </w:r>
      <w:r>
        <w:rPr>
          <w:rFonts w:hint="eastAsia" w:ascii="宋体" w:hAnsi="宋体" w:eastAsia="宋体"/>
          <w:sz w:val="21"/>
          <w:szCs w:val="21"/>
        </w:rPr>
        <w:t>与金、银等电极性能一致的低成本高性价比的</w:t>
      </w:r>
      <w:r>
        <w:rPr>
          <w:rFonts w:ascii="宋体" w:hAnsi="宋体" w:eastAsia="宋体"/>
          <w:sz w:val="21"/>
          <w:szCs w:val="21"/>
        </w:rPr>
        <w:t>抛弃式/一次性电极，</w:t>
      </w:r>
      <w:r>
        <w:rPr>
          <w:rFonts w:hint="eastAsia" w:ascii="宋体" w:hAnsi="宋体" w:eastAsia="宋体"/>
          <w:sz w:val="21"/>
          <w:szCs w:val="21"/>
        </w:rPr>
        <w:t>并实现批量制备</w:t>
      </w:r>
      <w:r>
        <w:rPr>
          <w:rFonts w:ascii="宋体" w:hAnsi="宋体" w:eastAsia="宋体"/>
          <w:sz w:val="21"/>
          <w:szCs w:val="21"/>
        </w:rPr>
        <w:t>，实现免维护检测模式</w:t>
      </w:r>
      <w:r>
        <w:rPr>
          <w:rFonts w:hint="eastAsia" w:ascii="宋体" w:hAnsi="宋体" w:eastAsia="宋体"/>
          <w:sz w:val="21"/>
          <w:szCs w:val="21"/>
        </w:rPr>
        <w:t>（更换周期&gt;30d）</w:t>
      </w:r>
      <w:r>
        <w:rPr>
          <w:rFonts w:ascii="宋体" w:hAnsi="宋体" w:eastAsia="宋体"/>
          <w:sz w:val="21"/>
          <w:szCs w:val="21"/>
        </w:rPr>
        <w:t xml:space="preserve">，降低电极再生与维护成本； </w:t>
      </w:r>
    </w:p>
    <w:p w14:paraId="3ED77062">
      <w:pPr>
        <w:numPr>
          <w:ilvl w:val="0"/>
          <w:numId w:val="4"/>
        </w:numPr>
        <w:spacing w:line="400" w:lineRule="exact"/>
        <w:ind w:left="0" w:firstLine="422" w:firstLineChars="200"/>
        <w:rPr>
          <w:rFonts w:hint="eastAsia" w:ascii="宋体" w:hAnsi="宋体" w:eastAsia="宋体"/>
          <w:sz w:val="21"/>
          <w:szCs w:val="21"/>
        </w:rPr>
      </w:pPr>
      <w:r>
        <w:rPr>
          <w:rFonts w:ascii="宋体" w:hAnsi="宋体" w:eastAsia="宋体"/>
          <w:b/>
          <w:sz w:val="21"/>
          <w:szCs w:val="21"/>
        </w:rPr>
        <w:t>智能脉冲安培波形设计与优化</w:t>
      </w:r>
      <w:r>
        <w:rPr>
          <w:rFonts w:ascii="宋体" w:hAnsi="宋体" w:eastAsia="宋体"/>
          <w:sz w:val="21"/>
          <w:szCs w:val="21"/>
        </w:rPr>
        <w:t>：研究多阶脉冲、方波脉冲、自适应波形等新型脉冲安培技术，利用机器学习优化脉冲参数（电位、频率、脉宽），实现对复杂基质中目标物的高选择性检测；</w:t>
      </w:r>
    </w:p>
    <w:p w14:paraId="21D0B0CB">
      <w:pPr>
        <w:numPr>
          <w:ilvl w:val="0"/>
          <w:numId w:val="4"/>
        </w:numPr>
        <w:spacing w:line="400" w:lineRule="exact"/>
        <w:ind w:left="0" w:firstLine="422" w:firstLineChars="200"/>
        <w:rPr>
          <w:rFonts w:hint="eastAsia" w:ascii="宋体" w:hAnsi="宋体" w:eastAsia="宋体"/>
          <w:sz w:val="21"/>
          <w:szCs w:val="21"/>
        </w:rPr>
      </w:pPr>
      <w:r>
        <w:rPr>
          <w:rFonts w:ascii="宋体" w:hAnsi="宋体" w:eastAsia="宋体"/>
          <w:b/>
          <w:sz w:val="21"/>
          <w:szCs w:val="21"/>
        </w:rPr>
        <w:t>非电导响应物质检测方法开发</w:t>
      </w:r>
      <w:r>
        <w:rPr>
          <w:rFonts w:ascii="宋体" w:hAnsi="宋体" w:eastAsia="宋体"/>
          <w:sz w:val="21"/>
          <w:szCs w:val="21"/>
        </w:rPr>
        <w:t>：面向糖类、氨基酸、含硫化合物、儿茶酚胺类等非电导响应物质，建立离子色谱-安培/电化学检测联用方法，验证方法在生物体液、食品、环境样品中的适用性。</w:t>
      </w:r>
    </w:p>
    <w:p w14:paraId="5658E1A2">
      <w:pPr>
        <w:spacing w:line="400" w:lineRule="exact"/>
        <w:ind w:firstLine="422" w:firstLineChars="200"/>
        <w:rPr>
          <w:rFonts w:hint="eastAsia" w:ascii="宋体" w:hAnsi="宋体" w:eastAsia="宋体"/>
          <w:sz w:val="21"/>
          <w:szCs w:val="21"/>
        </w:rPr>
      </w:pPr>
      <w:r>
        <w:rPr>
          <w:rFonts w:ascii="宋体" w:hAnsi="宋体" w:eastAsia="宋体"/>
          <w:b/>
          <w:sz w:val="21"/>
          <w:szCs w:val="21"/>
        </w:rPr>
        <w:t>考核指标：</w:t>
      </w:r>
      <w:r>
        <w:rPr>
          <w:rFonts w:ascii="宋体" w:hAnsi="宋体" w:eastAsia="宋体"/>
          <w:sz w:val="21"/>
          <w:szCs w:val="21"/>
        </w:rPr>
        <w:t>建立不少于3种非电导响应物质的离子色谱</w:t>
      </w:r>
      <w:r>
        <w:rPr>
          <w:rFonts w:hint="eastAsia" w:ascii="宋体" w:hAnsi="宋体" w:eastAsia="宋体"/>
          <w:sz w:val="21"/>
          <w:szCs w:val="21"/>
        </w:rPr>
        <w:t>－</w:t>
      </w:r>
      <w:r>
        <w:rPr>
          <w:rFonts w:ascii="宋体" w:hAnsi="宋体" w:eastAsia="宋体"/>
          <w:sz w:val="21"/>
          <w:szCs w:val="21"/>
        </w:rPr>
        <w:t>安培检测方法；目标物检出限较传统脉冲安培检测降低≥50%；修饰电极连续运行稳定性≥500次进样或≥72小时，信号漂移≤10%；在至少2类实际样品（如血液、食品）中完成方法验证。</w:t>
      </w:r>
    </w:p>
    <w:p w14:paraId="1019E656">
      <w:pPr>
        <w:spacing w:line="400" w:lineRule="exact"/>
        <w:ind w:firstLine="422" w:firstLineChars="200"/>
        <w:rPr>
          <w:rFonts w:hint="eastAsia" w:ascii="宋体" w:hAnsi="宋体" w:eastAsia="宋体"/>
          <w:sz w:val="21"/>
          <w:szCs w:val="21"/>
        </w:rPr>
      </w:pPr>
      <w:r>
        <w:rPr>
          <w:rFonts w:ascii="宋体" w:hAnsi="宋体" w:eastAsia="宋体"/>
          <w:b/>
          <w:sz w:val="21"/>
          <w:szCs w:val="21"/>
        </w:rPr>
        <w:t>方向</w:t>
      </w:r>
      <w:r>
        <w:rPr>
          <w:rFonts w:hint="eastAsia" w:ascii="宋体" w:hAnsi="宋体" w:eastAsia="宋体"/>
          <w:b/>
          <w:sz w:val="21"/>
          <w:szCs w:val="21"/>
        </w:rPr>
        <w:t>五</w:t>
      </w:r>
      <w:r>
        <w:rPr>
          <w:rFonts w:ascii="宋体" w:hAnsi="宋体" w:eastAsia="宋体"/>
          <w:b/>
          <w:sz w:val="21"/>
          <w:szCs w:val="21"/>
        </w:rPr>
        <w:t>：离子色谱在新能源，生物医药等领域应用拓展以及自动化前处理模块、黑灯智慧实验室等</w:t>
      </w:r>
    </w:p>
    <w:p w14:paraId="4CA62D2F">
      <w:pPr>
        <w:spacing w:line="400" w:lineRule="exact"/>
        <w:ind w:firstLine="422" w:firstLineChars="200"/>
        <w:rPr>
          <w:rFonts w:hint="eastAsia" w:ascii="宋体" w:hAnsi="宋体" w:eastAsia="宋体"/>
          <w:sz w:val="21"/>
          <w:szCs w:val="21"/>
        </w:rPr>
      </w:pPr>
      <w:r>
        <w:rPr>
          <w:rFonts w:ascii="宋体" w:hAnsi="宋体" w:eastAsia="宋体"/>
          <w:b/>
          <w:sz w:val="21"/>
          <w:szCs w:val="21"/>
        </w:rPr>
        <w:t>研究目标：</w:t>
      </w:r>
      <w:r>
        <w:rPr>
          <w:rFonts w:ascii="宋体" w:hAnsi="宋体" w:eastAsia="宋体"/>
          <w:sz w:val="21"/>
          <w:szCs w:val="21"/>
        </w:rPr>
        <w:t>开拓离子色谱在锂电池、氢能、光伏及临床诊断等新兴领域的跨界应用，针对高纯化学品、生物体液等特殊基体建立简便、可靠、低成本的检测新方法，解决行业刚需。</w:t>
      </w:r>
    </w:p>
    <w:p w14:paraId="1E2049E7">
      <w:pPr>
        <w:spacing w:line="400" w:lineRule="exact"/>
        <w:ind w:firstLine="422" w:firstLineChars="200"/>
        <w:rPr>
          <w:rFonts w:hint="eastAsia" w:ascii="宋体" w:hAnsi="宋体" w:eastAsia="宋体"/>
          <w:sz w:val="21"/>
          <w:szCs w:val="21"/>
        </w:rPr>
      </w:pPr>
      <w:r>
        <w:rPr>
          <w:rFonts w:ascii="宋体" w:hAnsi="宋体" w:eastAsia="宋体"/>
          <w:b/>
          <w:sz w:val="21"/>
          <w:szCs w:val="21"/>
        </w:rPr>
        <w:t>研究要点：</w:t>
      </w:r>
    </w:p>
    <w:p w14:paraId="57BFF6FD">
      <w:pPr>
        <w:numPr>
          <w:ilvl w:val="0"/>
          <w:numId w:val="5"/>
        </w:numPr>
        <w:spacing w:line="400" w:lineRule="exact"/>
        <w:ind w:left="0" w:firstLine="420" w:firstLineChars="200"/>
        <w:rPr>
          <w:rFonts w:hint="eastAsia" w:ascii="宋体" w:hAnsi="宋体" w:eastAsia="宋体"/>
          <w:sz w:val="21"/>
          <w:szCs w:val="21"/>
        </w:rPr>
      </w:pPr>
      <w:r>
        <w:rPr>
          <w:rFonts w:ascii="宋体" w:hAnsi="宋体" w:eastAsia="宋体"/>
          <w:sz w:val="21"/>
          <w:szCs w:val="21"/>
        </w:rPr>
        <w:t>高有机基体条件下锂电池相关材料中痕量腐蚀性离子的检测方法研究；</w:t>
      </w:r>
    </w:p>
    <w:p w14:paraId="7A731A1A">
      <w:pPr>
        <w:numPr>
          <w:ilvl w:val="0"/>
          <w:numId w:val="5"/>
        </w:numPr>
        <w:spacing w:line="400" w:lineRule="exact"/>
        <w:ind w:left="0" w:firstLine="420" w:firstLineChars="200"/>
        <w:rPr>
          <w:rFonts w:hint="eastAsia" w:ascii="宋体" w:hAnsi="宋体" w:eastAsia="宋体"/>
          <w:sz w:val="21"/>
          <w:szCs w:val="21"/>
        </w:rPr>
      </w:pPr>
      <w:r>
        <w:rPr>
          <w:rFonts w:ascii="宋体" w:hAnsi="宋体" w:eastAsia="宋体"/>
          <w:sz w:val="21"/>
          <w:szCs w:val="21"/>
        </w:rPr>
        <w:t>离子色谱技术在氢能及光伏领域关键冷却液/清洗液中痕量杂质的检测方案验证；</w:t>
      </w:r>
    </w:p>
    <w:p w14:paraId="2CBD619D">
      <w:pPr>
        <w:numPr>
          <w:ilvl w:val="0"/>
          <w:numId w:val="5"/>
        </w:numPr>
        <w:spacing w:line="400" w:lineRule="exact"/>
        <w:ind w:left="0" w:firstLine="420" w:firstLineChars="200"/>
        <w:rPr>
          <w:rFonts w:hint="eastAsia" w:ascii="宋体" w:hAnsi="宋体" w:eastAsia="宋体"/>
          <w:sz w:val="21"/>
          <w:szCs w:val="21"/>
        </w:rPr>
      </w:pPr>
      <w:r>
        <w:rPr>
          <w:rFonts w:ascii="宋体" w:hAnsi="宋体" w:eastAsia="宋体"/>
          <w:sz w:val="21"/>
          <w:szCs w:val="21"/>
        </w:rPr>
        <w:t>离子色谱在临床尿液/血清中有机酸代谢物检测中的适用性探索与方法开发。</w:t>
      </w:r>
    </w:p>
    <w:p w14:paraId="1BBC163F">
      <w:pPr>
        <w:numPr>
          <w:ilvl w:val="0"/>
          <w:numId w:val="5"/>
        </w:numPr>
        <w:spacing w:line="400" w:lineRule="exact"/>
        <w:ind w:left="0" w:firstLine="420" w:firstLineChars="200"/>
        <w:rPr>
          <w:rFonts w:hint="eastAsia" w:ascii="宋体" w:hAnsi="宋体" w:eastAsia="宋体"/>
          <w:sz w:val="21"/>
          <w:szCs w:val="21"/>
        </w:rPr>
      </w:pPr>
      <w:r>
        <w:rPr>
          <w:rFonts w:hint="eastAsia" w:ascii="宋体" w:hAnsi="宋体" w:eastAsia="宋体"/>
          <w:sz w:val="21"/>
          <w:szCs w:val="21"/>
        </w:rPr>
        <w:t>离子色谱在新兴领域的应用开拓工作，实现国产离子色谱在新领域的应用突破。</w:t>
      </w:r>
    </w:p>
    <w:p w14:paraId="78569BC6">
      <w:pPr>
        <w:spacing w:line="400" w:lineRule="exact"/>
        <w:ind w:firstLine="422" w:firstLineChars="200"/>
        <w:rPr>
          <w:rFonts w:hint="eastAsia" w:ascii="宋体" w:hAnsi="宋体" w:eastAsia="宋体"/>
          <w:sz w:val="21"/>
          <w:szCs w:val="21"/>
        </w:rPr>
      </w:pPr>
      <w:r>
        <w:rPr>
          <w:rFonts w:ascii="宋体" w:hAnsi="宋体" w:eastAsia="宋体"/>
          <w:b/>
          <w:sz w:val="21"/>
          <w:szCs w:val="21"/>
        </w:rPr>
        <w:t>考核指标：</w:t>
      </w:r>
      <w:r>
        <w:rPr>
          <w:rFonts w:hint="eastAsia" w:ascii="宋体" w:hAnsi="宋体" w:eastAsia="宋体"/>
          <w:sz w:val="21"/>
          <w:szCs w:val="21"/>
        </w:rPr>
        <w:t>完成方法学验证，检出限等指标达到相关标准要求（具体根据实际场景的需求来确认），</w:t>
      </w:r>
      <w:r>
        <w:rPr>
          <w:rFonts w:ascii="宋体" w:hAnsi="宋体" w:eastAsia="宋体"/>
          <w:sz w:val="21"/>
          <w:szCs w:val="21"/>
        </w:rPr>
        <w:t>在</w:t>
      </w:r>
      <w:r>
        <w:rPr>
          <w:rFonts w:hint="eastAsia" w:ascii="宋体" w:hAnsi="宋体" w:eastAsia="宋体"/>
          <w:sz w:val="21"/>
          <w:szCs w:val="21"/>
        </w:rPr>
        <w:t>相关客户应用场景进行验证，完成</w:t>
      </w:r>
      <w:r>
        <w:rPr>
          <w:rFonts w:ascii="宋体" w:hAnsi="宋体" w:eastAsia="宋体"/>
          <w:sz w:val="21"/>
          <w:szCs w:val="21"/>
        </w:rPr>
        <w:t>不少于50批次真实样品的验证比对。</w:t>
      </w:r>
    </w:p>
    <w:p w14:paraId="1990D519">
      <w:pPr>
        <w:pStyle w:val="3"/>
        <w:spacing w:before="156" w:beforeLines="50" w:after="156" w:afterLines="50" w:line="400" w:lineRule="exact"/>
        <w:ind w:firstLine="420" w:firstLineChars="200"/>
        <w:rPr>
          <w:b w:val="0"/>
          <w:bCs w:val="0"/>
          <w:sz w:val="21"/>
          <w:szCs w:val="21"/>
        </w:rPr>
      </w:pPr>
      <w:r>
        <w:rPr>
          <w:b w:val="0"/>
          <w:bCs w:val="0"/>
          <w:sz w:val="21"/>
          <w:szCs w:val="21"/>
        </w:rPr>
        <w:t>四、涉密信息管理及技术咨询说明</w:t>
      </w:r>
    </w:p>
    <w:p w14:paraId="263D7849">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为保护</w:t>
      </w:r>
      <w:r>
        <w:rPr>
          <w:rFonts w:hint="eastAsia" w:asciiTheme="minorEastAsia" w:hAnsiTheme="minorEastAsia" w:eastAsiaTheme="minorEastAsia"/>
          <w:sz w:val="21"/>
          <w:szCs w:val="21"/>
        </w:rPr>
        <w:t>青岛</w:t>
      </w:r>
      <w:r>
        <w:rPr>
          <w:rFonts w:asciiTheme="minorEastAsia" w:hAnsiTheme="minorEastAsia" w:eastAsiaTheme="minorEastAsia"/>
          <w:sz w:val="21"/>
          <w:szCs w:val="21"/>
        </w:rPr>
        <w:t>盛瀚色谱</w:t>
      </w:r>
      <w:r>
        <w:rPr>
          <w:rFonts w:hint="eastAsia" w:asciiTheme="minorEastAsia" w:hAnsiTheme="minorEastAsia" w:eastAsiaTheme="minorEastAsia"/>
          <w:sz w:val="21"/>
          <w:szCs w:val="21"/>
        </w:rPr>
        <w:t>技术有限公司</w:t>
      </w:r>
      <w:r>
        <w:rPr>
          <w:rFonts w:asciiTheme="minorEastAsia" w:hAnsiTheme="minorEastAsia" w:eastAsiaTheme="minorEastAsia"/>
          <w:sz w:val="21"/>
          <w:szCs w:val="21"/>
        </w:rPr>
        <w:t>的核心技术秘密，同时为申请人提供必要的研究背景信息，特制定本条款：</w:t>
      </w:r>
    </w:p>
    <w:p w14:paraId="3A81916A">
      <w:pPr>
        <w:numPr>
          <w:ilvl w:val="0"/>
          <w:numId w:val="6"/>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指南信息脱敏：</w:t>
      </w:r>
      <w:r>
        <w:rPr>
          <w:rFonts w:asciiTheme="minorEastAsia" w:hAnsiTheme="minorEastAsia" w:eastAsiaTheme="minorEastAsia"/>
          <w:sz w:val="21"/>
          <w:szCs w:val="21"/>
        </w:rPr>
        <w:t>本指南公开发布版本仅列示研究方向和框架性研究要点，不涉及具体工艺参数、材料配方、设计方案、测试方法等技术细节。</w:t>
      </w:r>
    </w:p>
    <w:p w14:paraId="59AB1C6A">
      <w:pPr>
        <w:numPr>
          <w:ilvl w:val="0"/>
          <w:numId w:val="7"/>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技术咨询与保密协议：</w:t>
      </w:r>
      <w:r>
        <w:rPr>
          <w:rFonts w:asciiTheme="minorEastAsia" w:hAnsiTheme="minorEastAsia" w:eastAsiaTheme="minorEastAsia"/>
          <w:sz w:val="21"/>
          <w:szCs w:val="21"/>
        </w:rPr>
        <w:t>申请人如需了解与研究相关的细化技术背景，可在申报前联系</w:t>
      </w:r>
      <w:r>
        <w:rPr>
          <w:rFonts w:hint="eastAsia" w:asciiTheme="minorEastAsia" w:hAnsiTheme="minorEastAsia" w:eastAsiaTheme="minorEastAsia"/>
          <w:sz w:val="21"/>
          <w:szCs w:val="21"/>
        </w:rPr>
        <w:t>青岛</w:t>
      </w:r>
      <w:r>
        <w:rPr>
          <w:rFonts w:asciiTheme="minorEastAsia" w:hAnsiTheme="minorEastAsia" w:eastAsiaTheme="minorEastAsia"/>
          <w:sz w:val="21"/>
          <w:szCs w:val="21"/>
        </w:rPr>
        <w:t>盛瀚色谱技术</w:t>
      </w:r>
      <w:r>
        <w:rPr>
          <w:rFonts w:hint="eastAsia" w:asciiTheme="minorEastAsia" w:hAnsiTheme="minorEastAsia" w:eastAsiaTheme="minorEastAsia"/>
          <w:sz w:val="21"/>
          <w:szCs w:val="21"/>
        </w:rPr>
        <w:t>有限公司</w:t>
      </w:r>
      <w:r>
        <w:rPr>
          <w:rFonts w:asciiTheme="minorEastAsia" w:hAnsiTheme="minorEastAsia" w:eastAsiaTheme="minorEastAsia"/>
          <w:sz w:val="21"/>
          <w:szCs w:val="21"/>
        </w:rPr>
        <w:t>。经双方确认后，签署《技术咨询保密协议》，将提供必要的技术说明文档或口头技术咨询。</w:t>
      </w:r>
    </w:p>
    <w:p w14:paraId="1FFA3DD3">
      <w:pPr>
        <w:numPr>
          <w:ilvl w:val="0"/>
          <w:numId w:val="8"/>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申报书中的保密处理：</w:t>
      </w:r>
      <w:r>
        <w:rPr>
          <w:rFonts w:asciiTheme="minorEastAsia" w:hAnsiTheme="minorEastAsia" w:eastAsiaTheme="minorEastAsia"/>
          <w:sz w:val="21"/>
          <w:szCs w:val="21"/>
        </w:rPr>
        <w:t>申请人在撰写申报书时，涉及</w:t>
      </w:r>
      <w:r>
        <w:rPr>
          <w:rFonts w:hint="eastAsia" w:asciiTheme="minorEastAsia" w:hAnsiTheme="minorEastAsia" w:eastAsiaTheme="minorEastAsia"/>
          <w:sz w:val="21"/>
          <w:szCs w:val="21"/>
        </w:rPr>
        <w:t>青岛</w:t>
      </w:r>
      <w:r>
        <w:rPr>
          <w:rFonts w:asciiTheme="minorEastAsia" w:hAnsiTheme="minorEastAsia" w:eastAsiaTheme="minorEastAsia"/>
          <w:sz w:val="21"/>
          <w:szCs w:val="21"/>
        </w:rPr>
        <w:t>盛瀚色谱技术</w:t>
      </w:r>
      <w:r>
        <w:rPr>
          <w:rFonts w:hint="eastAsia" w:asciiTheme="minorEastAsia" w:hAnsiTheme="minorEastAsia" w:eastAsiaTheme="minorEastAsia"/>
          <w:sz w:val="21"/>
          <w:szCs w:val="21"/>
        </w:rPr>
        <w:t>有限公司</w:t>
      </w:r>
      <w:r>
        <w:rPr>
          <w:rFonts w:asciiTheme="minorEastAsia" w:hAnsiTheme="minorEastAsia" w:eastAsiaTheme="minorEastAsia"/>
          <w:sz w:val="21"/>
          <w:szCs w:val="21"/>
        </w:rPr>
        <w:t>未公开技术信息的引用部分，应注意自行做脱敏处理；</w:t>
      </w:r>
      <w:r>
        <w:rPr>
          <w:rFonts w:hint="eastAsia" w:asciiTheme="minorEastAsia" w:hAnsiTheme="minorEastAsia" w:eastAsiaTheme="minorEastAsia"/>
          <w:sz w:val="21"/>
          <w:szCs w:val="21"/>
        </w:rPr>
        <w:t>青岛</w:t>
      </w:r>
      <w:r>
        <w:rPr>
          <w:rFonts w:asciiTheme="minorEastAsia" w:hAnsiTheme="minorEastAsia" w:eastAsiaTheme="minorEastAsia"/>
          <w:sz w:val="21"/>
          <w:szCs w:val="21"/>
        </w:rPr>
        <w:t>盛瀚色谱技术</w:t>
      </w:r>
      <w:r>
        <w:rPr>
          <w:rFonts w:hint="eastAsia" w:asciiTheme="minorEastAsia" w:hAnsiTheme="minorEastAsia" w:eastAsiaTheme="minorEastAsia"/>
          <w:sz w:val="21"/>
          <w:szCs w:val="21"/>
        </w:rPr>
        <w:t>有限公司</w:t>
      </w:r>
      <w:r>
        <w:rPr>
          <w:rFonts w:asciiTheme="minorEastAsia" w:hAnsiTheme="minorEastAsia" w:eastAsiaTheme="minorEastAsia"/>
          <w:sz w:val="21"/>
          <w:szCs w:val="21"/>
        </w:rPr>
        <w:t>在形式审查中如发现申报书不当引用了保密信息，有权要求申请人修改或删除相关内容。</w:t>
      </w:r>
    </w:p>
    <w:p w14:paraId="556E952D">
      <w:pPr>
        <w:numPr>
          <w:ilvl w:val="0"/>
          <w:numId w:val="9"/>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评审过程中的保密义务：</w:t>
      </w:r>
      <w:r>
        <w:rPr>
          <w:rFonts w:asciiTheme="minorEastAsia" w:hAnsiTheme="minorEastAsia" w:eastAsiaTheme="minorEastAsia"/>
          <w:sz w:val="21"/>
          <w:szCs w:val="21"/>
        </w:rPr>
        <w:t>参与评审的专家、工作人员及依托单位管理人员均须签署保密承诺书，承诺对评审过程中接触到的全部技术信息、申报材料信息及资助项目研究成果信息承担保密义务，未经授权不得对外泄露、复制或用于与评审无关的任何用途。</w:t>
      </w:r>
    </w:p>
    <w:p w14:paraId="3D1EFB06">
      <w:pPr>
        <w:numPr>
          <w:ilvl w:val="0"/>
          <w:numId w:val="10"/>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违规处理：</w:t>
      </w:r>
      <w:r>
        <w:rPr>
          <w:rFonts w:asciiTheme="minorEastAsia" w:hAnsiTheme="minorEastAsia" w:eastAsiaTheme="minorEastAsia"/>
          <w:sz w:val="21"/>
          <w:szCs w:val="21"/>
        </w:rPr>
        <w:t>任何单位或个人如违反上述保密约定，泄露、盗用或未经许可使用涉密信息，</w:t>
      </w:r>
      <w:r>
        <w:rPr>
          <w:rFonts w:hint="eastAsia" w:asciiTheme="minorEastAsia" w:hAnsiTheme="minorEastAsia" w:eastAsiaTheme="minorEastAsia"/>
          <w:sz w:val="21"/>
          <w:szCs w:val="21"/>
        </w:rPr>
        <w:t>青岛</w:t>
      </w:r>
      <w:r>
        <w:rPr>
          <w:rFonts w:asciiTheme="minorEastAsia" w:hAnsiTheme="minorEastAsia" w:eastAsiaTheme="minorEastAsia"/>
          <w:sz w:val="21"/>
          <w:szCs w:val="21"/>
        </w:rPr>
        <w:t>盛瀚色谱</w:t>
      </w:r>
      <w:r>
        <w:rPr>
          <w:rFonts w:hint="eastAsia" w:asciiTheme="minorEastAsia" w:hAnsiTheme="minorEastAsia" w:eastAsiaTheme="minorEastAsia"/>
          <w:sz w:val="21"/>
          <w:szCs w:val="21"/>
        </w:rPr>
        <w:t>技术有限公司</w:t>
      </w:r>
      <w:r>
        <w:rPr>
          <w:rFonts w:asciiTheme="minorEastAsia" w:hAnsiTheme="minorEastAsia" w:eastAsiaTheme="minorEastAsia"/>
          <w:sz w:val="21"/>
          <w:szCs w:val="21"/>
        </w:rPr>
        <w:t>及</w:t>
      </w:r>
      <w:r>
        <w:rPr>
          <w:rFonts w:hint="eastAsia" w:asciiTheme="minorEastAsia" w:hAnsiTheme="minorEastAsia" w:eastAsiaTheme="minorEastAsia"/>
          <w:sz w:val="21"/>
          <w:szCs w:val="21"/>
        </w:rPr>
        <w:t>中国分析测试协会</w:t>
      </w:r>
      <w:r>
        <w:rPr>
          <w:rFonts w:asciiTheme="minorEastAsia" w:hAnsiTheme="minorEastAsia" w:eastAsiaTheme="minorEastAsia"/>
          <w:sz w:val="21"/>
          <w:szCs w:val="21"/>
        </w:rPr>
        <w:t>保留追究其法律责任的权利。</w:t>
      </w:r>
    </w:p>
    <w:p w14:paraId="6D2295E5">
      <w:pPr>
        <w:pStyle w:val="3"/>
        <w:spacing w:before="156" w:beforeLines="50" w:after="156" w:afterLines="50" w:line="400" w:lineRule="exact"/>
        <w:ind w:firstLine="420" w:firstLineChars="200"/>
        <w:rPr>
          <w:b w:val="0"/>
          <w:bCs w:val="0"/>
          <w:sz w:val="21"/>
          <w:szCs w:val="21"/>
        </w:rPr>
      </w:pPr>
      <w:r>
        <w:rPr>
          <w:b w:val="0"/>
          <w:bCs w:val="0"/>
          <w:sz w:val="21"/>
          <w:szCs w:val="21"/>
        </w:rPr>
        <w:t>五、申报要求</w:t>
      </w:r>
    </w:p>
    <w:p w14:paraId="6113BE88">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（一）申请人条件</w:t>
      </w:r>
    </w:p>
    <w:p w14:paraId="2D2C569E">
      <w:pPr>
        <w:numPr>
          <w:ilvl w:val="0"/>
          <w:numId w:val="11"/>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申请人年龄不超过</w:t>
      </w:r>
      <w:r>
        <w:rPr>
          <w:rFonts w:hint="eastAsia" w:asciiTheme="minorEastAsia" w:hAnsiTheme="minorEastAsia" w:eastAsiaTheme="minorEastAsia"/>
          <w:sz w:val="21"/>
          <w:szCs w:val="21"/>
        </w:rPr>
        <w:t>35</w:t>
      </w:r>
      <w:r>
        <w:rPr>
          <w:rFonts w:asciiTheme="minorEastAsia" w:hAnsiTheme="minorEastAsia" w:eastAsiaTheme="minorEastAsia"/>
          <w:sz w:val="21"/>
          <w:szCs w:val="21"/>
        </w:rPr>
        <w:t>周岁（19</w:t>
      </w:r>
      <w:r>
        <w:rPr>
          <w:rFonts w:hint="eastAsia" w:asciiTheme="minorEastAsia" w:hAnsiTheme="minorEastAsia" w:eastAsiaTheme="minorEastAsia"/>
          <w:sz w:val="21"/>
          <w:szCs w:val="21"/>
        </w:rPr>
        <w:t>91</w:t>
      </w:r>
      <w:r>
        <w:rPr>
          <w:rFonts w:asciiTheme="minorEastAsia" w:hAnsiTheme="minorEastAsia" w:eastAsiaTheme="minorEastAsia"/>
          <w:sz w:val="21"/>
          <w:szCs w:val="21"/>
        </w:rPr>
        <w:t>年1月1日及以后出生），具有博士学位或副高级及以上专业技术职称；</w:t>
      </w:r>
    </w:p>
    <w:p w14:paraId="61BAD478">
      <w:pPr>
        <w:numPr>
          <w:ilvl w:val="0"/>
          <w:numId w:val="11"/>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在国内外高等院校、科研院所</w:t>
      </w:r>
      <w:r>
        <w:rPr>
          <w:rFonts w:hint="eastAsia" w:asciiTheme="minorEastAsia" w:hAnsiTheme="minorEastAsia" w:eastAsiaTheme="minorEastAsia"/>
          <w:sz w:val="21"/>
          <w:szCs w:val="21"/>
        </w:rPr>
        <w:t>等</w:t>
      </w:r>
      <w:r>
        <w:rPr>
          <w:rFonts w:asciiTheme="minorEastAsia" w:hAnsiTheme="minorEastAsia" w:eastAsiaTheme="minorEastAsia"/>
          <w:sz w:val="21"/>
          <w:szCs w:val="21"/>
        </w:rPr>
        <w:t>研发机构从事与资助方向相关的研究工作；</w:t>
      </w:r>
    </w:p>
    <w:p w14:paraId="7286A001">
      <w:pPr>
        <w:numPr>
          <w:ilvl w:val="0"/>
          <w:numId w:val="11"/>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具有独立开展科研工作的能力和良好的科研记录；</w:t>
      </w:r>
    </w:p>
    <w:p w14:paraId="6DDBA732">
      <w:pPr>
        <w:numPr>
          <w:ilvl w:val="0"/>
          <w:numId w:val="11"/>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优先资助具有产业界合作经验或工程应用背景的青年科研人员。</w:t>
      </w:r>
    </w:p>
    <w:p w14:paraId="77DE4CE5">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（二）依托单位资质审核</w:t>
      </w:r>
    </w:p>
    <w:p w14:paraId="3C4C0D38">
      <w:pPr>
        <w:numPr>
          <w:ilvl w:val="0"/>
          <w:numId w:val="12"/>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依托单位须为在中国境内注册的高等院校、科研院所或具有独立法人资格的企业研发机构；</w:t>
      </w:r>
    </w:p>
    <w:p w14:paraId="34130D58">
      <w:pPr>
        <w:numPr>
          <w:ilvl w:val="0"/>
          <w:numId w:val="12"/>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依托单位应具备开展相关研究的基本实验条件和科研管理能力；</w:t>
      </w:r>
    </w:p>
    <w:p w14:paraId="350F99EF">
      <w:pPr>
        <w:numPr>
          <w:ilvl w:val="0"/>
          <w:numId w:val="12"/>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资质审核机制：</w:t>
      </w:r>
      <w:r>
        <w:rPr>
          <w:rFonts w:hint="eastAsia" w:asciiTheme="minorEastAsia" w:hAnsiTheme="minorEastAsia" w:eastAsiaTheme="minorEastAsia"/>
          <w:sz w:val="21"/>
          <w:szCs w:val="21"/>
        </w:rPr>
        <w:t>为确保基金资助项目所涉核心技术信息的安全，将对与盛瀚色谱构成直接商业竞争关系的企业及其关联研究机构，进行资质审核，严格防范核心技术外泄风险。</w:t>
      </w:r>
    </w:p>
    <w:p w14:paraId="1AA926B2">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（三）限项要求</w:t>
      </w:r>
    </w:p>
    <w:p w14:paraId="33C24F3B">
      <w:pPr>
        <w:numPr>
          <w:ilvl w:val="0"/>
          <w:numId w:val="13"/>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同一申请人限报1项，且作为项目负责人累计获得本基金资助不超过2次；</w:t>
      </w:r>
    </w:p>
    <w:p w14:paraId="043301AA">
      <w:pPr>
        <w:numPr>
          <w:ilvl w:val="0"/>
          <w:numId w:val="13"/>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已获国家自然科学基金或其他国家级项目资助的相同内容不得重复申报。</w:t>
      </w:r>
    </w:p>
    <w:p w14:paraId="14E6A4FF">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（四）研究期限与经费</w:t>
      </w:r>
    </w:p>
    <w:p w14:paraId="31689523">
      <w:pPr>
        <w:numPr>
          <w:ilvl w:val="0"/>
          <w:numId w:val="14"/>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项目执行期为2年（2026年11月—2028年10月）；</w:t>
      </w:r>
    </w:p>
    <w:p w14:paraId="7D109276">
      <w:pPr>
        <w:numPr>
          <w:ilvl w:val="0"/>
          <w:numId w:val="14"/>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单项资助强度为</w:t>
      </w:r>
      <w:r>
        <w:rPr>
          <w:rFonts w:hint="eastAsia" w:asciiTheme="minorEastAsia" w:hAnsiTheme="minorEastAsia" w:eastAsiaTheme="minorEastAsia"/>
          <w:sz w:val="21"/>
          <w:szCs w:val="21"/>
        </w:rPr>
        <w:t>5万至50万</w:t>
      </w:r>
      <w:r>
        <w:rPr>
          <w:rFonts w:asciiTheme="minorEastAsia" w:hAnsiTheme="minorEastAsia" w:eastAsiaTheme="minorEastAsia"/>
          <w:sz w:val="21"/>
          <w:szCs w:val="21"/>
        </w:rPr>
        <w:t>元人民币，根据研究内容的深度与广度确定；</w:t>
      </w:r>
    </w:p>
    <w:p w14:paraId="16837FC1">
      <w:pPr>
        <w:numPr>
          <w:ilvl w:val="0"/>
          <w:numId w:val="14"/>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经费使用须符合国家相关科研经费管理规定。</w:t>
      </w:r>
    </w:p>
    <w:p w14:paraId="69CF7E1D">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（五）成果要求</w:t>
      </w:r>
    </w:p>
    <w:p w14:paraId="791CC07A">
      <w:pPr>
        <w:numPr>
          <w:ilvl w:val="0"/>
          <w:numId w:val="15"/>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项目结题须提交完整的研究报告及全部原始数据（或数据索引）；</w:t>
      </w:r>
    </w:p>
    <w:p w14:paraId="20F1A054">
      <w:pPr>
        <w:numPr>
          <w:ilvl w:val="0"/>
          <w:numId w:val="15"/>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鼓励发表高水平学术论文，论文致谢须标注本基金资助编号；</w:t>
      </w:r>
    </w:p>
    <w:p w14:paraId="6B8E3447">
      <w:pPr>
        <w:numPr>
          <w:ilvl w:val="0"/>
          <w:numId w:val="15"/>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鼓励申请相关发明专利；</w:t>
      </w:r>
    </w:p>
    <w:p w14:paraId="404E3661">
      <w:pPr>
        <w:numPr>
          <w:ilvl w:val="0"/>
          <w:numId w:val="15"/>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鼓励形成行业标准草案、企业SOP、实际样品比对大数据报告等多样化成果形式；</w:t>
      </w:r>
    </w:p>
    <w:p w14:paraId="6EA6664E">
      <w:pPr>
        <w:numPr>
          <w:ilvl w:val="0"/>
          <w:numId w:val="15"/>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研究成果涉及双方知识产权的归属与使用规则，按</w:t>
      </w:r>
      <w:r>
        <w:rPr>
          <w:rFonts w:hint="eastAsia" w:asciiTheme="minorEastAsia" w:hAnsiTheme="minorEastAsia" w:eastAsiaTheme="minorEastAsia"/>
          <w:sz w:val="21"/>
          <w:szCs w:val="21"/>
        </w:rPr>
        <w:t>国家相关规定</w:t>
      </w:r>
      <w:r>
        <w:rPr>
          <w:rFonts w:asciiTheme="minorEastAsia" w:hAnsiTheme="minorEastAsia" w:eastAsiaTheme="minorEastAsia"/>
          <w:sz w:val="21"/>
          <w:szCs w:val="21"/>
        </w:rPr>
        <w:t>及项目立项后签署的《资助项目协议书》中的知识产权条款执行。</w:t>
      </w:r>
    </w:p>
    <w:p w14:paraId="64A76FA9">
      <w:pPr>
        <w:pStyle w:val="3"/>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六、申报与评审流程</w:t>
      </w:r>
    </w:p>
    <w:p w14:paraId="12321002">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（一）时间安排</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6"/>
        <w:gridCol w:w="5373"/>
      </w:tblGrid>
      <w:tr w14:paraId="7060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16EFEAA2">
            <w:pPr>
              <w:snapToGrid w:val="0"/>
              <w:spacing w:line="400" w:lineRule="exact"/>
              <w:ind w:firstLine="422" w:firstLineChars="200"/>
              <w:jc w:val="center"/>
              <w:rPr>
                <w:rFonts w:hint="eastAsia" w:asciiTheme="minorEastAsia" w:hAnsiTheme="minorEastAsia" w:eastAsiaTheme="minorEastAsia"/>
                <w:b/>
                <w:sz w:val="21"/>
                <w:szCs w:val="21"/>
              </w:rPr>
            </w:pPr>
            <w:r>
              <w:rPr>
                <w:rFonts w:asciiTheme="minorEastAsia" w:hAnsiTheme="minorEastAsia" w:eastAsiaTheme="minorEastAsia"/>
                <w:b/>
                <w:sz w:val="21"/>
                <w:szCs w:val="21"/>
              </w:rPr>
              <w:t>阶段</w:t>
            </w:r>
          </w:p>
        </w:tc>
        <w:tc>
          <w:tcPr>
            <w:tcW w:w="5373" w:type="dxa"/>
            <w:vAlign w:val="center"/>
          </w:tcPr>
          <w:p w14:paraId="488D6D59">
            <w:pPr>
              <w:snapToGrid w:val="0"/>
              <w:spacing w:line="400" w:lineRule="exact"/>
              <w:ind w:firstLine="422" w:firstLineChars="200"/>
              <w:jc w:val="center"/>
              <w:rPr>
                <w:rFonts w:hint="eastAsia" w:asciiTheme="minorEastAsia" w:hAnsiTheme="minorEastAsia" w:eastAsiaTheme="minorEastAsia"/>
                <w:b/>
                <w:sz w:val="21"/>
                <w:szCs w:val="21"/>
              </w:rPr>
            </w:pPr>
            <w:r>
              <w:rPr>
                <w:rFonts w:asciiTheme="minorEastAsia" w:hAnsiTheme="minorEastAsia" w:eastAsiaTheme="minorEastAsia"/>
                <w:b/>
                <w:sz w:val="21"/>
                <w:szCs w:val="21"/>
              </w:rPr>
              <w:t>时间</w:t>
            </w:r>
          </w:p>
        </w:tc>
      </w:tr>
      <w:tr w14:paraId="1417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6DB5EE4A">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指南发布</w:t>
            </w:r>
          </w:p>
        </w:tc>
        <w:tc>
          <w:tcPr>
            <w:tcW w:w="5373" w:type="dxa"/>
            <w:vAlign w:val="center"/>
          </w:tcPr>
          <w:p w14:paraId="2F3053EB">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2026年7月1日</w:t>
            </w:r>
          </w:p>
        </w:tc>
      </w:tr>
      <w:tr w14:paraId="2163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7CDDD360">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申报截止</w:t>
            </w:r>
          </w:p>
        </w:tc>
        <w:tc>
          <w:tcPr>
            <w:tcW w:w="5373" w:type="dxa"/>
            <w:vAlign w:val="center"/>
          </w:tcPr>
          <w:p w14:paraId="17A7C4A6">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2026年8月31日</w:t>
            </w:r>
          </w:p>
        </w:tc>
      </w:tr>
      <w:tr w14:paraId="6283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2D9B93C9">
            <w:pPr>
              <w:snapToGrid w:val="0"/>
              <w:spacing w:line="400" w:lineRule="exact"/>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项目评审</w:t>
            </w:r>
          </w:p>
        </w:tc>
        <w:tc>
          <w:tcPr>
            <w:tcW w:w="5373" w:type="dxa"/>
            <w:vAlign w:val="center"/>
          </w:tcPr>
          <w:p w14:paraId="567AE764">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2026年9月</w:t>
            </w:r>
          </w:p>
        </w:tc>
      </w:tr>
      <w:tr w14:paraId="2AEA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34057D3C">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立项公布</w:t>
            </w:r>
          </w:p>
        </w:tc>
        <w:tc>
          <w:tcPr>
            <w:tcW w:w="5373" w:type="dxa"/>
            <w:vAlign w:val="center"/>
          </w:tcPr>
          <w:p w14:paraId="0A456B3E">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2026年1</w:t>
            </w:r>
            <w:r>
              <w:rPr>
                <w:rFonts w:hint="eastAsia" w:asciiTheme="minorEastAsia" w:hAnsiTheme="minorEastAsia" w:eastAsiaTheme="minorEastAsia"/>
                <w:sz w:val="21"/>
                <w:szCs w:val="21"/>
              </w:rPr>
              <w:t>0</w:t>
            </w:r>
            <w:r>
              <w:rPr>
                <w:rFonts w:asciiTheme="minorEastAsia" w:hAnsiTheme="minorEastAsia" w:eastAsiaTheme="minorEastAsia"/>
                <w:sz w:val="21"/>
                <w:szCs w:val="21"/>
              </w:rPr>
              <w:t>月</w:t>
            </w:r>
          </w:p>
        </w:tc>
      </w:tr>
      <w:tr w14:paraId="38E0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146" w:type="dxa"/>
            <w:vAlign w:val="center"/>
          </w:tcPr>
          <w:p w14:paraId="7CC5B84B">
            <w:pPr>
              <w:snapToGrid w:val="0"/>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项目启动</w:t>
            </w:r>
          </w:p>
        </w:tc>
        <w:tc>
          <w:tcPr>
            <w:tcW w:w="5373" w:type="dxa"/>
            <w:vAlign w:val="center"/>
          </w:tcPr>
          <w:p w14:paraId="55FE2278">
            <w:pPr>
              <w:snapToGrid w:val="0"/>
              <w:spacing w:line="400" w:lineRule="exact"/>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2026年11月</w:t>
            </w:r>
          </w:p>
        </w:tc>
      </w:tr>
    </w:tbl>
    <w:p w14:paraId="66AF7249">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（二）申报方式</w:t>
      </w:r>
    </w:p>
    <w:p w14:paraId="05B7E2F3">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通过</w:t>
      </w:r>
      <w:r>
        <w:rPr>
          <w:rFonts w:hint="eastAsia" w:asciiTheme="minorEastAsia" w:hAnsiTheme="minorEastAsia" w:eastAsiaTheme="minorEastAsia"/>
          <w:sz w:val="21"/>
          <w:szCs w:val="21"/>
        </w:rPr>
        <w:t>中国分析测试协会、青岛盛瀚色谱技术有限公司</w:t>
      </w:r>
      <w:r>
        <w:rPr>
          <w:rFonts w:asciiTheme="minorEastAsia" w:hAnsiTheme="minorEastAsia" w:eastAsiaTheme="minorEastAsia"/>
          <w:sz w:val="21"/>
          <w:szCs w:val="21"/>
        </w:rPr>
        <w:t>官方网站下载申报模板，按要求填写提交。</w:t>
      </w:r>
    </w:p>
    <w:p w14:paraId="64B7E968">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（三）评审程序</w:t>
      </w:r>
    </w:p>
    <w:p w14:paraId="16A3A143">
      <w:pPr>
        <w:numPr>
          <w:ilvl w:val="0"/>
          <w:numId w:val="16"/>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形式审查：</w:t>
      </w:r>
      <w:r>
        <w:rPr>
          <w:rFonts w:asciiTheme="minorEastAsia" w:hAnsiTheme="minorEastAsia" w:eastAsiaTheme="minorEastAsia"/>
          <w:sz w:val="21"/>
          <w:szCs w:val="21"/>
        </w:rPr>
        <w:t>由</w:t>
      </w:r>
      <w:r>
        <w:rPr>
          <w:rFonts w:hint="eastAsia" w:asciiTheme="minorEastAsia" w:hAnsiTheme="minorEastAsia" w:eastAsiaTheme="minorEastAsia"/>
          <w:sz w:val="21"/>
          <w:szCs w:val="21"/>
        </w:rPr>
        <w:t>青岛盛瀚色谱技术有限公司</w:t>
      </w:r>
      <w:r>
        <w:rPr>
          <w:rFonts w:asciiTheme="minorEastAsia" w:hAnsiTheme="minorEastAsia" w:eastAsiaTheme="minorEastAsia"/>
          <w:sz w:val="21"/>
          <w:szCs w:val="21"/>
        </w:rPr>
        <w:t>对申报材料进行形式审查；</w:t>
      </w:r>
    </w:p>
    <w:p w14:paraId="5BDA9707">
      <w:pPr>
        <w:numPr>
          <w:ilvl w:val="0"/>
          <w:numId w:val="16"/>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匿名函评：</w:t>
      </w:r>
      <w:r>
        <w:rPr>
          <w:rFonts w:asciiTheme="minorEastAsia" w:hAnsiTheme="minorEastAsia" w:eastAsiaTheme="minorEastAsia"/>
          <w:sz w:val="21"/>
          <w:szCs w:val="21"/>
        </w:rPr>
        <w:t>每份申报书由至少3位同行专家进行匿名评审；通过函评的项目进行答辩汇报，由评审专家组进行综合评议，确定拟资助项目；</w:t>
      </w:r>
    </w:p>
    <w:p w14:paraId="405029F2">
      <w:pPr>
        <w:numPr>
          <w:ilvl w:val="0"/>
          <w:numId w:val="16"/>
        </w:numPr>
        <w:spacing w:line="400" w:lineRule="exact"/>
        <w:ind w:left="0" w:firstLine="422" w:firstLineChars="200"/>
        <w:rPr>
          <w:rFonts w:hint="eastAsia" w:asciiTheme="minorEastAsia" w:hAnsiTheme="minorEastAsia" w:eastAsiaTheme="minorEastAsia"/>
          <w:sz w:val="21"/>
          <w:szCs w:val="21"/>
        </w:rPr>
      </w:pPr>
      <w:r>
        <w:rPr>
          <w:rFonts w:asciiTheme="minorEastAsia" w:hAnsiTheme="minorEastAsia" w:eastAsiaTheme="minorEastAsia"/>
          <w:b/>
          <w:sz w:val="21"/>
          <w:szCs w:val="21"/>
        </w:rPr>
        <w:t>公示与立项：</w:t>
      </w:r>
      <w:r>
        <w:rPr>
          <w:rFonts w:asciiTheme="minorEastAsia" w:hAnsiTheme="minorEastAsia" w:eastAsiaTheme="minorEastAsia"/>
          <w:sz w:val="21"/>
          <w:szCs w:val="21"/>
        </w:rPr>
        <w:t>拟资助项目公示5个工作日，无异议后正式立项，签订《资助项目协议书》，明确双方权利义务及知识产权归属。</w:t>
      </w:r>
    </w:p>
    <w:p w14:paraId="3FE18528">
      <w:pPr>
        <w:pStyle w:val="4"/>
        <w:spacing w:before="0" w:after="0" w:line="400" w:lineRule="exact"/>
        <w:ind w:firstLine="422"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（四）评审标准</w:t>
      </w:r>
    </w:p>
    <w:p w14:paraId="735FB123">
      <w:pPr>
        <w:spacing w:line="400" w:lineRule="exact"/>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评审将重点考察：科学价值与创新性（25%）、与产业需求的契合度（20%）、研究方案的可行性（20%）、申请人的科研能力与潜力（20%）、经费预算合理性（15%）。</w:t>
      </w:r>
    </w:p>
    <w:p w14:paraId="4C301BDC">
      <w:pPr>
        <w:pStyle w:val="3"/>
        <w:spacing w:before="0" w:after="0" w:line="400" w:lineRule="exact"/>
        <w:ind w:firstLine="422"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七、</w:t>
      </w:r>
      <w:r>
        <w:rPr>
          <w:rFonts w:asciiTheme="minorEastAsia" w:hAnsiTheme="minorEastAsia" w:eastAsiaTheme="minorEastAsia"/>
          <w:sz w:val="21"/>
          <w:szCs w:val="21"/>
        </w:rPr>
        <w:t>附则</w:t>
      </w:r>
    </w:p>
    <w:p w14:paraId="3FDF7AA7">
      <w:pPr>
        <w:numPr>
          <w:ilvl w:val="0"/>
          <w:numId w:val="17"/>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本指南由青岛盛瀚色谱技术有限公司负责解释；</w:t>
      </w:r>
    </w:p>
    <w:p w14:paraId="2F243CE2">
      <w:pPr>
        <w:numPr>
          <w:ilvl w:val="0"/>
          <w:numId w:val="17"/>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项目实施过程中如涉及实验伦理、生物安全等事项，申请人须提供相应批件；</w:t>
      </w:r>
    </w:p>
    <w:p w14:paraId="1F32AAB4">
      <w:pPr>
        <w:numPr>
          <w:ilvl w:val="0"/>
          <w:numId w:val="17"/>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欢迎各依托单位给予项目配套经费支持；</w:t>
      </w:r>
    </w:p>
    <w:p w14:paraId="0D92EAE4">
      <w:pPr>
        <w:numPr>
          <w:ilvl w:val="0"/>
          <w:numId w:val="17"/>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本基金每年滚动发布指南，资助方向将根据产业需求和前沿进展动态调整；</w:t>
      </w:r>
    </w:p>
    <w:p w14:paraId="118A36AF">
      <w:pPr>
        <w:numPr>
          <w:ilvl w:val="0"/>
          <w:numId w:val="17"/>
        </w:numPr>
        <w:spacing w:line="400" w:lineRule="exact"/>
        <w:ind w:left="0"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本指南公开发布版本中所有研究要点均为框架性指引，具体技术细节已做脱敏处理。</w:t>
      </w:r>
    </w:p>
    <w:p w14:paraId="5B88CA69">
      <w:pPr>
        <w:spacing w:line="400" w:lineRule="exact"/>
        <w:ind w:firstLine="420" w:firstLineChars="200"/>
        <w:rPr>
          <w:rFonts w:hint="eastAsia" w:asciiTheme="minorEastAsia" w:hAnsiTheme="minorEastAsia" w:eastAsiaTheme="minorEastAsia"/>
          <w:sz w:val="21"/>
          <w:szCs w:val="21"/>
        </w:rPr>
      </w:pPr>
    </w:p>
    <w:p w14:paraId="2E866233">
      <w:pPr>
        <w:spacing w:line="400" w:lineRule="exact"/>
        <w:ind w:firstLine="422" w:firstLineChars="200"/>
        <w:jc w:val="right"/>
        <w:rPr>
          <w:rFonts w:hint="eastAsia" w:asciiTheme="minorEastAsia" w:hAnsiTheme="minorEastAsia" w:eastAsiaTheme="minorEastAsia"/>
          <w:b/>
          <w:sz w:val="21"/>
          <w:szCs w:val="21"/>
        </w:rPr>
      </w:pPr>
      <w:r>
        <w:rPr>
          <w:rFonts w:asciiTheme="minorEastAsia" w:hAnsiTheme="minorEastAsia" w:eastAsiaTheme="minorEastAsia"/>
          <w:b/>
          <w:sz w:val="21"/>
          <w:szCs w:val="21"/>
        </w:rPr>
        <w:t>青岛盛瀚色谱技术有限公司</w:t>
      </w:r>
    </w:p>
    <w:p w14:paraId="45A8550D">
      <w:pPr>
        <w:spacing w:line="400" w:lineRule="exact"/>
        <w:ind w:firstLine="422" w:firstLineChars="200"/>
        <w:jc w:val="right"/>
      </w:pPr>
      <w:r>
        <w:rPr>
          <w:rFonts w:asciiTheme="minorEastAsia" w:hAnsiTheme="minorEastAsia" w:eastAsiaTheme="minorEastAsia"/>
          <w:b/>
          <w:sz w:val="21"/>
          <w:szCs w:val="21"/>
        </w:rPr>
        <w:t>2026年</w:t>
      </w:r>
      <w:r>
        <w:rPr>
          <w:rFonts w:hint="eastAsia" w:asciiTheme="minorEastAsia" w:hAnsiTheme="minorEastAsia" w:eastAsiaTheme="minorEastAsia"/>
          <w:b/>
          <w:sz w:val="21"/>
          <w:szCs w:val="21"/>
        </w:rPr>
        <w:t>7</w:t>
      </w:r>
      <w:r>
        <w:rPr>
          <w:rFonts w:asciiTheme="minorEastAsia" w:hAnsiTheme="minorEastAsia" w:eastAsiaTheme="minorEastAsia"/>
          <w:b/>
          <w:sz w:val="21"/>
          <w:szCs w:val="21"/>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949C5"/>
    <w:multiLevelType w:val="singleLevel"/>
    <w:tmpl w:val="96D949C5"/>
    <w:lvl w:ilvl="0" w:tentative="0">
      <w:start w:val="1"/>
      <w:numFmt w:val="decimal"/>
      <w:lvlText w:val="%1."/>
      <w:lvlJc w:val="left"/>
      <w:pPr>
        <w:ind w:left="720" w:hanging="360"/>
      </w:pPr>
      <w:rPr>
        <w:sz w:val="24"/>
      </w:rPr>
    </w:lvl>
  </w:abstractNum>
  <w:abstractNum w:abstractNumId="1">
    <w:nsid w:val="A647D6F1"/>
    <w:multiLevelType w:val="singleLevel"/>
    <w:tmpl w:val="A647D6F1"/>
    <w:lvl w:ilvl="0" w:tentative="0">
      <w:start w:val="1"/>
      <w:numFmt w:val="decimal"/>
      <w:lvlText w:val="%1."/>
      <w:lvlJc w:val="left"/>
      <w:pPr>
        <w:ind w:left="720" w:hanging="360"/>
      </w:pPr>
      <w:rPr>
        <w:sz w:val="24"/>
      </w:rPr>
    </w:lvl>
  </w:abstractNum>
  <w:abstractNum w:abstractNumId="2">
    <w:nsid w:val="CEC1849B"/>
    <w:multiLevelType w:val="singleLevel"/>
    <w:tmpl w:val="CEC1849B"/>
    <w:lvl w:ilvl="0" w:tentative="0">
      <w:start w:val="1"/>
      <w:numFmt w:val="decimal"/>
      <w:lvlText w:val="%1."/>
      <w:lvlJc w:val="left"/>
      <w:pPr>
        <w:ind w:left="720" w:hanging="360"/>
      </w:pPr>
      <w:rPr>
        <w:sz w:val="24"/>
      </w:rPr>
    </w:lvl>
  </w:abstractNum>
  <w:abstractNum w:abstractNumId="3">
    <w:nsid w:val="D170CA8E"/>
    <w:multiLevelType w:val="singleLevel"/>
    <w:tmpl w:val="D170CA8E"/>
    <w:lvl w:ilvl="0" w:tentative="0">
      <w:start w:val="1"/>
      <w:numFmt w:val="decimal"/>
      <w:lvlText w:val="%1."/>
      <w:lvlJc w:val="left"/>
      <w:pPr>
        <w:ind w:left="720" w:hanging="360"/>
      </w:pPr>
      <w:rPr>
        <w:sz w:val="24"/>
      </w:rPr>
    </w:lvl>
  </w:abstractNum>
  <w:abstractNum w:abstractNumId="4">
    <w:nsid w:val="D1E20E4F"/>
    <w:multiLevelType w:val="singleLevel"/>
    <w:tmpl w:val="D1E20E4F"/>
    <w:lvl w:ilvl="0" w:tentative="0">
      <w:start w:val="1"/>
      <w:numFmt w:val="decimal"/>
      <w:lvlText w:val="%1."/>
      <w:lvlJc w:val="left"/>
      <w:pPr>
        <w:ind w:left="720" w:hanging="360"/>
      </w:pPr>
      <w:rPr>
        <w:sz w:val="24"/>
      </w:rPr>
    </w:lvl>
  </w:abstractNum>
  <w:abstractNum w:abstractNumId="5">
    <w:nsid w:val="D264F4F2"/>
    <w:multiLevelType w:val="singleLevel"/>
    <w:tmpl w:val="D264F4F2"/>
    <w:lvl w:ilvl="0" w:tentative="0">
      <w:start w:val="1"/>
      <w:numFmt w:val="decimal"/>
      <w:lvlText w:val="%1."/>
      <w:lvlJc w:val="left"/>
      <w:pPr>
        <w:ind w:left="720" w:hanging="360"/>
      </w:pPr>
      <w:rPr>
        <w:sz w:val="24"/>
      </w:rPr>
    </w:lvl>
  </w:abstractNum>
  <w:abstractNum w:abstractNumId="6">
    <w:nsid w:val="D5ABD817"/>
    <w:multiLevelType w:val="singleLevel"/>
    <w:tmpl w:val="D5ABD817"/>
    <w:lvl w:ilvl="0" w:tentative="0">
      <w:start w:val="1"/>
      <w:numFmt w:val="decimal"/>
      <w:lvlText w:val="%1."/>
      <w:lvlJc w:val="left"/>
      <w:pPr>
        <w:ind w:left="720" w:hanging="360"/>
      </w:pPr>
      <w:rPr>
        <w:sz w:val="24"/>
      </w:rPr>
    </w:lvl>
  </w:abstractNum>
  <w:abstractNum w:abstractNumId="7">
    <w:nsid w:val="F9E151FC"/>
    <w:multiLevelType w:val="singleLevel"/>
    <w:tmpl w:val="F9E151FC"/>
    <w:lvl w:ilvl="0" w:tentative="0">
      <w:start w:val="2"/>
      <w:numFmt w:val="decimal"/>
      <w:lvlText w:val="%1."/>
      <w:lvlJc w:val="left"/>
      <w:pPr>
        <w:ind w:left="720" w:hanging="360"/>
      </w:pPr>
      <w:rPr>
        <w:sz w:val="24"/>
      </w:rPr>
    </w:lvl>
  </w:abstractNum>
  <w:abstractNum w:abstractNumId="8">
    <w:nsid w:val="1BEBE9A9"/>
    <w:multiLevelType w:val="singleLevel"/>
    <w:tmpl w:val="1BEBE9A9"/>
    <w:lvl w:ilvl="0" w:tentative="0">
      <w:start w:val="3"/>
      <w:numFmt w:val="decimal"/>
      <w:lvlText w:val="%1."/>
      <w:lvlJc w:val="left"/>
      <w:pPr>
        <w:ind w:left="720" w:hanging="360"/>
      </w:pPr>
      <w:rPr>
        <w:sz w:val="24"/>
      </w:rPr>
    </w:lvl>
  </w:abstractNum>
  <w:abstractNum w:abstractNumId="9">
    <w:nsid w:val="1D93AD20"/>
    <w:multiLevelType w:val="singleLevel"/>
    <w:tmpl w:val="1D93AD20"/>
    <w:lvl w:ilvl="0" w:tentative="0">
      <w:start w:val="1"/>
      <w:numFmt w:val="decimal"/>
      <w:lvlText w:val="%1."/>
      <w:lvlJc w:val="left"/>
      <w:pPr>
        <w:ind w:left="720" w:hanging="360"/>
      </w:pPr>
      <w:rPr>
        <w:sz w:val="24"/>
      </w:rPr>
    </w:lvl>
  </w:abstractNum>
  <w:abstractNum w:abstractNumId="10">
    <w:nsid w:val="25070500"/>
    <w:multiLevelType w:val="singleLevel"/>
    <w:tmpl w:val="25070500"/>
    <w:lvl w:ilvl="0" w:tentative="0">
      <w:start w:val="4"/>
      <w:numFmt w:val="decimal"/>
      <w:lvlText w:val="%1."/>
      <w:lvlJc w:val="left"/>
      <w:pPr>
        <w:ind w:left="720" w:hanging="360"/>
      </w:pPr>
      <w:rPr>
        <w:sz w:val="24"/>
      </w:rPr>
    </w:lvl>
  </w:abstractNum>
  <w:abstractNum w:abstractNumId="11">
    <w:nsid w:val="448F64D8"/>
    <w:multiLevelType w:val="singleLevel"/>
    <w:tmpl w:val="448F64D8"/>
    <w:lvl w:ilvl="0" w:tentative="0">
      <w:start w:val="1"/>
      <w:numFmt w:val="decimal"/>
      <w:lvlText w:val="%1."/>
      <w:lvlJc w:val="left"/>
      <w:pPr>
        <w:ind w:left="720" w:hanging="360"/>
      </w:pPr>
      <w:rPr>
        <w:sz w:val="24"/>
      </w:rPr>
    </w:lvl>
  </w:abstractNum>
  <w:abstractNum w:abstractNumId="12">
    <w:nsid w:val="4F5DB049"/>
    <w:multiLevelType w:val="singleLevel"/>
    <w:tmpl w:val="4F5DB049"/>
    <w:lvl w:ilvl="0" w:tentative="0">
      <w:start w:val="1"/>
      <w:numFmt w:val="decimal"/>
      <w:lvlText w:val="%1."/>
      <w:lvlJc w:val="left"/>
      <w:pPr>
        <w:ind w:left="720" w:hanging="360"/>
      </w:pPr>
      <w:rPr>
        <w:sz w:val="24"/>
      </w:rPr>
    </w:lvl>
  </w:abstractNum>
  <w:abstractNum w:abstractNumId="13">
    <w:nsid w:val="5B62EE46"/>
    <w:multiLevelType w:val="singleLevel"/>
    <w:tmpl w:val="5B62EE46"/>
    <w:lvl w:ilvl="0" w:tentative="0">
      <w:start w:val="1"/>
      <w:numFmt w:val="decimal"/>
      <w:lvlText w:val="%1."/>
      <w:lvlJc w:val="left"/>
      <w:pPr>
        <w:ind w:left="720" w:hanging="360"/>
      </w:pPr>
      <w:rPr>
        <w:sz w:val="24"/>
      </w:rPr>
    </w:lvl>
  </w:abstractNum>
  <w:abstractNum w:abstractNumId="14">
    <w:nsid w:val="5EDDD728"/>
    <w:multiLevelType w:val="singleLevel"/>
    <w:tmpl w:val="5EDDD728"/>
    <w:lvl w:ilvl="0" w:tentative="0">
      <w:start w:val="5"/>
      <w:numFmt w:val="decimal"/>
      <w:lvlText w:val="%1."/>
      <w:lvlJc w:val="left"/>
      <w:pPr>
        <w:ind w:left="720" w:hanging="360"/>
      </w:pPr>
      <w:rPr>
        <w:sz w:val="24"/>
      </w:rPr>
    </w:lvl>
  </w:abstractNum>
  <w:abstractNum w:abstractNumId="15">
    <w:nsid w:val="69B1770C"/>
    <w:multiLevelType w:val="multilevel"/>
    <w:tmpl w:val="69B177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47503CF"/>
    <w:multiLevelType w:val="multilevel"/>
    <w:tmpl w:val="747503C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2"/>
  </w:num>
  <w:num w:numId="2">
    <w:abstractNumId w:val="3"/>
  </w:num>
  <w:num w:numId="3">
    <w:abstractNumId w:val="16"/>
  </w:num>
  <w:num w:numId="4">
    <w:abstractNumId w:val="15"/>
  </w:num>
  <w:num w:numId="5">
    <w:abstractNumId w:val="2"/>
  </w:num>
  <w:num w:numId="6">
    <w:abstractNumId w:val="9"/>
  </w:num>
  <w:num w:numId="7">
    <w:abstractNumId w:val="7"/>
  </w:num>
  <w:num w:numId="8">
    <w:abstractNumId w:val="8"/>
  </w:num>
  <w:num w:numId="9">
    <w:abstractNumId w:val="10"/>
  </w:num>
  <w:num w:numId="10">
    <w:abstractNumId w:val="14"/>
  </w:num>
  <w:num w:numId="11">
    <w:abstractNumId w:val="13"/>
  </w:num>
  <w:num w:numId="12">
    <w:abstractNumId w:val="4"/>
  </w:num>
  <w:num w:numId="13">
    <w:abstractNumId w:val="1"/>
  </w:num>
  <w:num w:numId="14">
    <w:abstractNumId w:val="0"/>
  </w:num>
  <w:num w:numId="15">
    <w:abstractNumId w:val="5"/>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7C"/>
    <w:rsid w:val="00040623"/>
    <w:rsid w:val="00066978"/>
    <w:rsid w:val="000E3ECB"/>
    <w:rsid w:val="00244CB6"/>
    <w:rsid w:val="00275081"/>
    <w:rsid w:val="00276C8B"/>
    <w:rsid w:val="002D293E"/>
    <w:rsid w:val="00381543"/>
    <w:rsid w:val="004016DB"/>
    <w:rsid w:val="00582B7A"/>
    <w:rsid w:val="00676F08"/>
    <w:rsid w:val="008258CC"/>
    <w:rsid w:val="00830EA3"/>
    <w:rsid w:val="00851B3F"/>
    <w:rsid w:val="00880289"/>
    <w:rsid w:val="00954C9D"/>
    <w:rsid w:val="009B5E33"/>
    <w:rsid w:val="00AA1B7C"/>
    <w:rsid w:val="00AA4D00"/>
    <w:rsid w:val="00AF3777"/>
    <w:rsid w:val="00C77825"/>
    <w:rsid w:val="00D20EB3"/>
    <w:rsid w:val="00D7055D"/>
    <w:rsid w:val="00DC6A49"/>
    <w:rsid w:val="00E13BE5"/>
    <w:rsid w:val="00F95B09"/>
    <w:rsid w:val="00FD6498"/>
    <w:rsid w:val="04AE5CF3"/>
    <w:rsid w:val="15A86082"/>
    <w:rsid w:val="322D74DF"/>
    <w:rsid w:val="37A51826"/>
    <w:rsid w:val="49CE269D"/>
    <w:rsid w:val="4C4C77BA"/>
    <w:rsid w:val="4D3038F1"/>
    <w:rsid w:val="4F623AE2"/>
    <w:rsid w:val="5227652F"/>
    <w:rsid w:val="54112AA4"/>
    <w:rsid w:val="54EF0678"/>
    <w:rsid w:val="621C331E"/>
    <w:rsid w:val="7641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仿宋"/>
      <w:bCs/>
      <w:kern w:val="2"/>
      <w:sz w:val="28"/>
      <w:szCs w:val="28"/>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styleId="10">
    <w:name w:val="Emphasis"/>
    <w:basedOn w:val="8"/>
    <w:qFormat/>
    <w:uiPriority w:val="0"/>
    <w:rPr>
      <w:i/>
    </w:rPr>
  </w:style>
  <w:style w:type="character" w:customStyle="1" w:styleId="11">
    <w:name w:val="页眉 字符"/>
    <w:basedOn w:val="8"/>
    <w:link w:val="6"/>
    <w:qFormat/>
    <w:uiPriority w:val="0"/>
    <w:rPr>
      <w:rFonts w:ascii="Times New Roman" w:hAnsi="Times New Roman" w:eastAsia="仿宋" w:cs="仿宋"/>
      <w:bCs/>
      <w:kern w:val="2"/>
      <w:sz w:val="18"/>
      <w:szCs w:val="18"/>
    </w:rPr>
  </w:style>
  <w:style w:type="character" w:customStyle="1" w:styleId="12">
    <w:name w:val="页脚 字符"/>
    <w:basedOn w:val="8"/>
    <w:link w:val="5"/>
    <w:qFormat/>
    <w:uiPriority w:val="0"/>
    <w:rPr>
      <w:rFonts w:ascii="Times New Roman" w:hAnsi="Times New Roman" w:eastAsia="仿宋" w:cs="仿宋"/>
      <w:bCs/>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270bcc7f-9f65-482d-aa70-966699e7ec62</errorID>
      <errorWord>5-30万</errorWord>
      <group>L1_Knowledge</group>
      <groupName>知识性问题</groupName>
      <ability>L2_Knowledge</ability>
      <abilityName>其他知识</abilityName>
      <candidateList>
        <item>5万—30万</item>
      </candidateList>
      <explain>1. “5-30万”中的单位“万”仅出现在后一个数字上，容易引起歧义；根据《现代汉语标点符号数字用法规范手册》，数字表示范围两边需要使用统一的格式。2.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630E206</paraID>
      <start>77</start>
      <end>83</end>
      <status>modified</status>
      <modifiedWord>5万—30万</modifiedWord>
      <trackRevisions>false</trackRevisions>
    </reviewItem>
    <reviewItem>
      <errorID>4a297b1e-cdc3-4e62-93c1-bb6c9c9403bc</errorID>
      <errorWord>针对的</errorWord>
      <group>L1_Word</group>
      <groupName>字词问题</groupName>
      <ability>L2_Typo</ability>
      <abilityName>字词错误</abilityName>
      <candidateList>
        <item>针对</item>
      </candidateList>
      <explain/>
      <paraID>7F047782</paraID>
      <start>5</start>
      <end>7</end>
      <status>modified</status>
      <modifiedWord>针对</modifiedWord>
      <trackRevisions>false</trackRevisions>
    </reviewItem>
    <reviewItem>
      <errorID>145f5bae-1ae0-44ce-bfae-36dd35213a7a</errorID>
      <errorWord>离子</errorWord>
      <group>L1_Grammar</group>
      <groupName>语法问题</groupName>
      <ability>L2_Grammar</ability>
      <abilityName>语法错误</abilityName>
      <candidateList>
        <item>建立以离子</item>
      </candidateList>
      <explain/>
      <paraID>7F047782</paraID>
      <start>34</start>
      <end>39</end>
      <status>modified</status>
      <modifiedWord>建立以离子</modifiedWord>
      <trackRevisions>false</trackRevisions>
    </reviewItem>
    <reviewItem>
      <errorID>291aef7e-9a7b-4f3f-9df9-08dc782f11fa</errorID>
      <errorWord>-</errorWord>
      <group>L1_Format</group>
      <groupName>格式问题</groupName>
      <ability>L2_HalfPunc_CN</ability>
      <abilityName>全半角问题</abilityName>
      <candidateList>
        <item>－</item>
      </candidateList>
      <explain>文本全半角错误。</explain>
      <paraID>2272DFB2</paraID>
      <start>10</start>
      <end>11</end>
      <status>modified</status>
      <modifiedWord>－</modifiedWord>
      <trackRevisions>false</trackRevisions>
    </reviewItem>
    <reviewItem>
      <errorID>09c24098-80f4-44b9-8761-421c76733c51</errorID>
      <errorWord>大通量环境样本色谱数据的自动化处理与报告 </errorWord>
      <group>L1_Word</group>
      <groupName>字词问题</groupName>
      <ability>L2_Typo</ability>
      <abilityName>字词错误</abilityName>
      <candidateList>
        <item> 大通量环境样本色谱数据的自动化处理与报告</item>
      </candidateList>
      <explain/>
      <paraID>5D29B361</paraID>
      <start>0</start>
      <end>21</end>
      <status>modified</status>
      <modifiedWord> 大通量环境样本色谱数据的自动化处理与报告</modifiedWord>
      <trackRevisions>false</trackRevisions>
    </reviewItem>
    <reviewItem>
      <errorID>e4c02133-aef3-408c-8295-df1b35418b53</errorID>
      <errorWord>-</errorWord>
      <group>L1_Format</group>
      <groupName>格式问题</groupName>
      <ability>L2_HalfPunc_CN</ability>
      <abilityName>全半角问题</abilityName>
      <candidateList>
        <item>－</item>
      </candidateList>
      <explain>文本全半角错误。</explain>
      <paraID>78CDA5E0</paraID>
      <start>19</start>
      <end>20</end>
      <status>modified</status>
      <modifiedWord>－</modifiedWord>
      <trackRevisions>false</trackRevisions>
    </reviewItem>
    <reviewItem>
      <errorID>96f7484a-7137-4ea0-bf2e-d169c91c088b</errorID>
      <errorWord>70%-120%</errorWord>
      <group>L1_Knowledge</group>
      <groupName>知识性问题</groupName>
      <ability>L2_Knowledge</ability>
      <abilityName>其他知识</abilityName>
      <candidateList>
        <item>70%—120%</item>
      </candidateList>
      <explain>1. “70%-120%”中的单位“%”仅出现在后一个数字上，容易引起歧义；根据《现代汉语标点符号数字用法规范手册》，数字表示范围两边需要使用统一的格式。2. 根据标点国标 4.13 中的规则，数字、时间或地域连接符应使用（视觉上更长的）“—”或“～”。</explain>
      <paraID>78CDA5E0</paraID>
      <start>51</start>
      <end>59</end>
      <status>modified</status>
      <modifiedWord>70%—120%</modifiedWord>
      <trackRevisions>false</trackRevisions>
    </reviewItem>
    <reviewItem>
      <errorID>412cf83b-64ff-4a30-af96-fec8f513e122</errorID>
      <errorWord>构建</errorWord>
      <group>L1_Word</group>
      <groupName>字词问题</groupName>
      <ability>L2_Typo</ability>
      <abilityName>字词错误</abilityName>
      <candidateList>
        <item> 构建</item>
      </candidateList>
      <explain/>
      <paraID>32347CC7</paraID>
      <start>0</start>
      <end>3</end>
      <status>modified</status>
      <modifiedWord> 构建</modifiedWord>
      <trackRevisions>false</trackRevisions>
    </reviewItem>
    <reviewItem>
      <errorID>b01d8eb9-ee6b-4e17-96d0-69c4b5a019ef</errorID>
      <errorWord>数据库</errorWord>
      <group>L1_Punc</group>
      <groupName>标点问题</groupName>
      <ability>L2_Punc_CN</ability>
      <abilityName>标点符号问题</abilityName>
      <candidateList>
        <item>数据库。</item>
      </candidateList>
      <explain/>
      <paraID>32347CC7</paraID>
      <start>11</start>
      <end>15</end>
      <status>modified</status>
      <modifiedWord>数据库。</modifiedWord>
      <trackRevisions>false</trackRevisions>
    </reviewItem>
    <reviewItem>
      <errorID>d4410ad6-8335-4434-b9ce-9a609655bd74</errorID>
      <errorWord>分钟</errorWord>
      <group>L1_Grammar</group>
      <groupName>语法问题</groupName>
      <ability>L2_Grammar</ability>
      <abilityName>语法错误</abilityName>
      <candidateList>
        <item> min</item>
      </candidateList>
      <explain/>
      <paraID>324460BE</paraID>
      <start>99</start>
      <end>103</end>
      <status>modified</status>
      <modifiedWord> min</modifiedWord>
      <trackRevisions>false</trackRevisions>
    </reviewItem>
    <reviewItem>
      <errorID>8f9d560d-5d56-4f97-b823-22e307ef5987</errorID>
      <errorWord>技术研究</errorWord>
      <group>L1_Grammar</group>
      <groupName>语法问题</groupName>
      <ability>L2_Grammar</ability>
      <abilityName>语法错误</abilityName>
      <candidateList>
        <item>技术</item>
      </candidateList>
      <explain/>
      <paraID>237898BF</paraID>
      <start>33</start>
      <end>35</end>
      <status>modified</status>
      <modifiedWord>技术</modifiedWord>
      <trackRevisions>false</trackRevisions>
    </reviewItem>
    <reviewItem>
      <errorID>3aa5e4e4-c71c-49b6-bf8a-c7ea4252744c</errorID>
      <errorWord>助力</errorWord>
      <group>L1_Word</group>
      <groupName>字词问题</groupName>
      <ability>L2_Typo</ability>
      <abilityName>字词错误</abilityName>
      <candidateList>
        <item>突破</item>
      </candidateList>
      <explain/>
      <paraID>40D1E74C</paraID>
      <start>81</start>
      <end>83</end>
      <status>modified</status>
      <modifiedWord>突破</modifiedWord>
      <trackRevisions>false</trackRevisions>
    </reviewItem>
    <reviewItem>
      <errorID>6d671cba-cd0f-41d3-9f23-f51c49a49c4f</errorID>
      <errorWord>低成本性能和</errorWord>
      <group>L1_Grammar</group>
      <groupName>语法问题</groupName>
      <ability>L2_Grammar</ability>
      <abilityName>语法错误</abilityName>
      <candidateList>
        <item>与</item>
      </candidateList>
      <explain/>
      <paraID>72DBBD7E</paraID>
      <start>14</start>
      <end>15</end>
      <status>modified</status>
      <modifiedWord>与</modifiedWord>
      <trackRevisions>false</trackRevisions>
    </reviewItem>
    <reviewItem>
      <errorID>3e369955-e4a6-4fb3-bee5-88afb36f534b</errorID>
      <errorWord>高性价比</errorWord>
      <group>L1_Political</group>
      <groupName>政治性问题</groupName>
      <ability>L2_Keyword</ability>
      <abilityName>固定表述</abilityName>
      <candidateList>
        <item>的低成本高性价比</item>
      </candidateList>
      <explain>此处内容疑似含有固定表述相关错误，建议核查。</explain>
      <paraID>72DBBD7E</paraID>
      <start>25</start>
      <end>33</end>
      <status>modified</status>
      <modifiedWord>的低成本高性价比</modifiedWord>
      <trackRevisions>false</trackRevisions>
    </reviewItem>
    <reviewItem>
      <errorID>f3f77f14-79f6-42f1-a21e-57564e4fa9d9</errorID>
      <errorWord>-</errorWord>
      <group>L1_Format</group>
      <groupName>格式问题</groupName>
      <ability>L2_HalfPunc_CN</ability>
      <abilityName>全半角问题</abilityName>
      <candidateList>
        <item>－</item>
      </candidateList>
      <explain>文本全半角错误。</explain>
      <paraID>5658E1A2</paraID>
      <start>25</start>
      <end>26</end>
      <status>modified</status>
      <modifiedWord>－</modifiedWord>
      <trackRevisions>false</trackRevisions>
    </reviewItem>
    <reviewItem>
      <errorID>a7c280f1-f76b-405c-bc3b-a47d2df17379</errorID>
      <errorWord>完成</errorWord>
      <group>L1_Punc</group>
      <groupName>标点问题</groupName>
      <ability>L2_Punc_CN</ability>
      <abilityName>标点符号问题</abilityName>
      <candidateList>
        <item>，完成</item>
      </candidateList>
      <explain/>
      <paraID>78569BC6</paraID>
      <start>57</start>
      <end>60</end>
      <status>modified</status>
      <modifiedWord>，完成</modifiedWord>
      <trackRevisions>false</trackRevisions>
    </reviewItem>
    <reviewItem>
      <errorID>3265c6d1-2a34-441f-9cbe-9080d4d03821</errorID>
      <errorWord>5-30万</errorWord>
      <group>L1_Knowledge</group>
      <groupName>知识性问题</groupName>
      <ability>L2_Knowledge</ability>
      <abilityName>其他知识</abilityName>
      <candidateList>
        <item>5万—30万</item>
      </candidateList>
      <explain>1. “5-30万”中的单位“万”仅出现在后一个数字上，容易引起歧义；根据《现代汉语标点符号数字用法规范手册》，数字表示范围两边需要使用统一的格式。2.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7D109276</paraID>
      <start>7</start>
      <end>13</end>
      <status>modified</status>
      <modifiedWord>5万—30万</modifiedWord>
      <trackRevisions>false</trackRevisions>
    </reviewItem>
    <reviewItem>
      <errorID>f5492f3e-39a3-4771-87ee-5a47d40b2c89</errorID>
      <errorWord>2027年1月</errorWord>
      <group>L1_Other</group>
      <groupName>其他问题</groupName>
      <ability>L2_Consistency</ability>
      <abilityName>一致性检查</abilityName>
      <candidateList>
        <item>2026年11月</item>
      </candidateList>
      <explain>数字一致性错误，前文明确项目执行期为2026年11月—2028年10月，项目启动时间此处记录不一致，应与前文执行期起始时间保持一致</explain>
      <paraID>55FE2278</paraID>
      <start>0</start>
      <end>8</end>
      <status>modified</status>
      <modifiedWord>2026年11月</modifiedWord>
      <trackRevisions>false</trackRevisions>
    </reviewItem>
    <reviewItem>
      <errorID>530fd016-ce37-4a3f-bb73-78f862911eee</errorID>
      <errorWord>/</errorWord>
      <group>L1_Punc</group>
      <groupName>标点问题</groupName>
      <ability>L2_Punc_CN</ability>
      <abilityName>标点符号问题</abilityName>
      <candidateList>
        <item>、</item>
      </candidateList>
      <explain/>
      <paraID> 5B7E2F3</paraID>
      <start>10</start>
      <end>11</end>
      <status>modified</status>
      <modifiedWord>、</modifiedWord>
      <trackRevisions>false</trackRevisions>
    </reviewItem>
    <reviewItem>
      <errorID>d32abdc2-f858-4c20-b1b5-a4f21b826b4c</errorID>
      <errorWord>/</errorWord>
      <group>L1_Punc</group>
      <groupName>标点问题</groupName>
      <ability>L2_Punc_CN</ability>
      <abilityName>标点符号问题</abilityName>
      <candidateList>
        <item/>
      </candidateList>
      <explain/>
      <paraID> 5B7E2F3</paraID>
      <start>27</start>
      <end>27</end>
      <status>modified</status>
      <modifiedWord/>
      <trackRevisions>false</trackRevisions>
    </reviewItem>
    <reviewItem>
      <errorID>28ce6a0f-6c88-494a-ae8c-f9728802e5ec</errorID>
      <errorWord>八、</errorWord>
      <group>L1_Format</group>
      <groupName>格式问题</groupName>
      <ability>L2_Ordinal</ability>
      <abilityName>序号格式</abilityName>
      <candidateList>
        <item>七、</item>
      </candidateList>
      <explain>标题顺序错误，请检查标题顺序是否合理。</explain>
      <paraID>78E8ECAF</paraID>
      <start>0</start>
      <end>2</end>
      <status>modified</status>
      <modifiedWord>七、</modifiedWord>
      <trackRevisions>false</trackRevisions>
    </reviewItem>
    <reviewItem>
      <errorID>3034aeab-ecd9-4b60-876d-1ec472ebae90</errorID>
      <errorWord>九、</errorWord>
      <group>L1_Format</group>
      <groupName>格式问题</groupName>
      <ability>L2_Ordinal</ability>
      <abilityName>序号格式</abilityName>
      <candidateList>
        <item>八、</item>
      </candidateList>
      <explain>标题顺序错误，请检查标题顺序是否合理。</explain>
      <paraID>4C301BDC</paraID>
      <start>0</start>
      <end>2</end>
      <status>modified</status>
      <modifiedWord>八、</modifiedWord>
      <trackRevisions>false</trackRevisions>
    </reviewItem>
  </reviewItems>
  <config/>
</contractReview>
</file>

<file path=customXml/itemProps1.xml><?xml version="1.0" encoding="utf-8"?>
<ds:datastoreItem xmlns:ds="http://schemas.openxmlformats.org/officeDocument/2006/customXml" ds:itemID="{C3687B9C-0A3F-4577-960C-E10EB2E6E166}">
  <ds:schemaRefs/>
</ds:datastoreItem>
</file>

<file path=docProps/app.xml><?xml version="1.0" encoding="utf-8"?>
<Properties xmlns="http://schemas.openxmlformats.org/officeDocument/2006/extended-properties" xmlns:vt="http://schemas.openxmlformats.org/officeDocument/2006/docPropsVTypes">
  <Template>Normal</Template>
  <Pages>5</Pages>
  <Words>3994</Words>
  <Characters>4080</Characters>
  <Lines>85</Lines>
  <Paragraphs>107</Paragraphs>
  <TotalTime>11</TotalTime>
  <ScaleCrop>false</ScaleCrop>
  <LinksUpToDate>false</LinksUpToDate>
  <CharactersWithSpaces>4086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2026-07-27T12:32:00Z</dcterms:created>
  <dc:creator>sunya</dc:creator>
  <cp:lastModifiedBy>超</cp:lastModifiedBy>
  <dcterms:modified xsi:type="dcterms:W3CDTF">2026-07-28T01:27:56Z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E121441593844CBD88353E268067F11C_13</vt:lpwstr>
  </property>
  <property fmtid="{D5CDD505-2E9C-101B-9397-08002B2CF9AE}" pid="4" name="KSOTemplateDocerSaveRecord">
    <vt:lpwstr>eyJoZGlkIjoiYmNiNmY3MWFjZTQ2ZDhhMTM4ZjY2NzgzNTIzYzM4NTMiLCJ1c2VySWQiOiIzOTU0NTAyMjcifQ==</vt:lpwstr>
  </property>
</Properties>
</file>