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269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7A27D4F2">
      <w:pPr>
        <w:spacing w:line="560" w:lineRule="exact"/>
        <w:jc w:val="center"/>
        <w:rPr>
          <w:rFonts w:hint="eastAsia" w:ascii="方正小标宋简体" w:eastAsia="方正小标宋简体" w:hAnsiTheme="majorEastAsia"/>
          <w:sz w:val="40"/>
          <w:szCs w:val="40"/>
        </w:rPr>
      </w:pPr>
      <w:r>
        <w:rPr>
          <w:rFonts w:hint="eastAsia" w:ascii="方正小标宋简体" w:eastAsia="方正小标宋简体" w:hAnsiTheme="majorEastAsia"/>
          <w:sz w:val="40"/>
          <w:szCs w:val="40"/>
          <w:lang w:val="en-US" w:eastAsia="zh-CN"/>
        </w:rPr>
        <w:t>承</w:t>
      </w:r>
      <w:r>
        <w:rPr>
          <w:rFonts w:hint="eastAsia" w:ascii="方正小标宋简体" w:eastAsia="方正小标宋简体" w:hAnsiTheme="majorEastAsia"/>
          <w:sz w:val="40"/>
          <w:szCs w:val="40"/>
        </w:rPr>
        <w:t>办第</w:t>
      </w:r>
      <w:r>
        <w:rPr>
          <w:rFonts w:hint="eastAsia" w:ascii="方正小标宋简体" w:eastAsia="方正小标宋简体" w:hAnsiTheme="majorEastAsia"/>
          <w:sz w:val="40"/>
          <w:szCs w:val="40"/>
          <w:lang w:val="en-US" w:eastAsia="zh-CN"/>
        </w:rPr>
        <w:t>十</w:t>
      </w:r>
      <w:r>
        <w:rPr>
          <w:rFonts w:hint="eastAsia" w:ascii="方正小标宋简体" w:eastAsia="方正小标宋简体" w:hAnsiTheme="majorEastAsia"/>
          <w:sz w:val="40"/>
          <w:szCs w:val="40"/>
        </w:rPr>
        <w:t>届全国青少年无人机大赛</w:t>
      </w:r>
    </w:p>
    <w:p w14:paraId="3B889EA5">
      <w:pPr>
        <w:spacing w:line="560" w:lineRule="exact"/>
        <w:jc w:val="center"/>
        <w:rPr>
          <w:rFonts w:hint="eastAsia" w:ascii="方正小标宋简体" w:eastAsia="方正小标宋简体" w:hAnsiTheme="majorEastAsia"/>
          <w:sz w:val="40"/>
          <w:szCs w:val="40"/>
        </w:rPr>
      </w:pPr>
      <w:r>
        <w:rPr>
          <w:rFonts w:hint="eastAsia" w:ascii="方正小标宋简体" w:eastAsia="方正小标宋简体" w:hAnsiTheme="majorEastAsia"/>
          <w:sz w:val="40"/>
          <w:szCs w:val="40"/>
          <w:lang w:val="en-US" w:eastAsia="zh-CN"/>
        </w:rPr>
        <w:t>河北省</w:t>
      </w:r>
      <w:r>
        <w:rPr>
          <w:rFonts w:hint="eastAsia" w:ascii="方正小标宋简体" w:eastAsia="方正小标宋简体" w:hAnsiTheme="majorEastAsia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 w:hAnsiTheme="majorEastAsia"/>
          <w:sz w:val="40"/>
          <w:szCs w:val="40"/>
          <w:lang w:val="en-US" w:eastAsia="zh-CN"/>
        </w:rPr>
        <w:t>XX市级赛</w:t>
      </w:r>
      <w:r>
        <w:rPr>
          <w:rFonts w:hint="eastAsia" w:ascii="方正小标宋简体" w:eastAsia="方正小标宋简体" w:hAnsiTheme="majorEastAsia"/>
          <w:sz w:val="40"/>
          <w:szCs w:val="40"/>
          <w:lang w:eastAsia="zh-CN"/>
        </w:rPr>
        <w:t>）</w:t>
      </w:r>
      <w:r>
        <w:rPr>
          <w:rFonts w:hint="eastAsia" w:ascii="方正小标宋简体" w:eastAsia="方正小标宋简体" w:hAnsiTheme="majorEastAsia"/>
          <w:sz w:val="40"/>
          <w:szCs w:val="40"/>
        </w:rPr>
        <w:t>承诺书</w:t>
      </w:r>
    </w:p>
    <w:p w14:paraId="5FF8A12F">
      <w:pPr>
        <w:spacing w:line="560" w:lineRule="exact"/>
        <w:ind w:firstLine="420" w:firstLineChars="200"/>
        <w:jc w:val="both"/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color w:val="000000"/>
          <w:sz w:val="21"/>
          <w:szCs w:val="21"/>
          <w:lang w:val="en-US" w:eastAsia="zh-CN"/>
        </w:rPr>
        <w:t xml:space="preserve"> </w:t>
      </w:r>
    </w:p>
    <w:p w14:paraId="32E28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本单位作为竞赛组织的承办方，自愿对竞赛活动的全过程承担主体责任，并作出如下承诺：</w:t>
      </w:r>
    </w:p>
    <w:p w14:paraId="13E83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承办方直接负责实施竞赛活动，不进行委托、授权。</w:t>
      </w:r>
    </w:p>
    <w:p w14:paraId="70B15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color w:val="000000"/>
          <w:sz w:val="32"/>
          <w:szCs w:val="32"/>
        </w:rPr>
        <w:t>本单位将周密制定竞赛活动实施办法，确保任何单位、组织及个人不得向学生、学校收取成本费、工本费、活动费、报名费、食宿费、参赛材料费、器材费和其他各种名目的费用，做到“零收费”；不指定参与竞赛活动时的交通、酒店、餐厅等配套服务；不通过面向参赛学生组织与竞赛关联的培训、游学、冬令营、夏令营等方式，变相收取费用；不推销或变相推销资料、书籍、辅助工具、器材、材料等商品；不面向参赛的学生、家长或老师开展培训；不借竞赛之名开展等级考试违规收取费用。赞助单位不借赞助竞赛活动进行相关营销、促销活动。不以任何方式向学生或组织学生参赛的学校转嫁竞赛活动成本。</w:t>
      </w:r>
    </w:p>
    <w:p w14:paraId="230F4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、坚持自愿原则，不强迫、诱导任何学校、学生或家长参加竞赛活动。</w:t>
      </w:r>
    </w:p>
    <w:p w14:paraId="39B48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</w:rPr>
        <w:t>、竞赛对符合条件的中小学生平等开放，不设置任何歧视性条件。</w:t>
      </w:r>
    </w:p>
    <w:p w14:paraId="302B1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五、本单位严格专家选聘，选择熟悉中小学教育教学情况和了解青少年成长规律，在相关领域有专业影响力的专家。科学管理专家团队，遵守利益回避性原则，</w:t>
      </w:r>
      <w:r>
        <w:rPr>
          <w:rFonts w:hint="eastAsia" w:ascii="仿宋_GB2312" w:eastAsia="仿宋_GB2312"/>
          <w:color w:val="000000"/>
          <w:sz w:val="32"/>
          <w:szCs w:val="32"/>
        </w:rPr>
        <w:t>命题和评奖等重要环节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建立随机抽选专家机制。</w:t>
      </w:r>
    </w:p>
    <w:p w14:paraId="493A7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竞赛过程遵循科学规范的程序，加强学术诚信的要求，明确竞赛内容规范要求，严格评审认定，竞赛结果经过专家团队严肃评审，公开结果及申诉渠道，杜绝弄虚作假、学术不端、有失公允的情况发生。</w:t>
      </w:r>
    </w:p>
    <w:p w14:paraId="5DAB4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color w:val="000000"/>
          <w:sz w:val="32"/>
          <w:szCs w:val="32"/>
        </w:rPr>
        <w:t>竞赛以及竞赛产生的结果不作为中小学招生入学的依据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和高考加分项目，不得在高校招生中违规使用竞赛结果</w:t>
      </w:r>
      <w:r>
        <w:rPr>
          <w:rFonts w:hint="eastAsia" w:ascii="仿宋_GB2312" w:eastAsia="仿宋_GB2312"/>
          <w:color w:val="000000"/>
          <w:sz w:val="32"/>
          <w:szCs w:val="32"/>
        </w:rPr>
        <w:t>。在竞赛产生的文件、证书、奖章显著位置标注教育部批准文号以及 “不作为中小学招生入学依据”等字样。</w:t>
      </w:r>
    </w:p>
    <w:p w14:paraId="4BA72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八、在申报过程中提交的所有材料真实有效。</w:t>
      </w:r>
    </w:p>
    <w:p w14:paraId="011D5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如在组织竞赛过程中有违反上述承诺的行为，本单位愿意接受并落实教育部、地方教育行政部门提出的整改要求,包括撤销竞赛的决定，并妥善做好善后工作。</w:t>
      </w:r>
    </w:p>
    <w:p w14:paraId="5F56B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380D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25CEF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1600"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盖章） </w:t>
      </w:r>
    </w:p>
    <w:p w14:paraId="0154E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16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法人代表（或授权代表）签字：</w:t>
      </w:r>
    </w:p>
    <w:p w14:paraId="4A672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160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   月   日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785E5-5C09-4C49-9F5A-EFF634A94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97B88E-7084-4BA4-AAD1-130236F979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38A8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4595" cy="539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874C0">
                          <w:pPr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45pt;width:94.85pt;mso-position-horizontal:outside;mso-position-horizontal-relative:margin;z-index:251659264;mso-width-relative:page;mso-height-relative:page;" filled="f" stroked="f" coordsize="21600,21600" o:gfxdata="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K+Cf1AAAAAQBAAAPAAAAAAAAAAEAIAAAACIAAABkcnMvZG93bnJldi54&#10;bWxQSwECFAAUAAAACACHTuJAj71RUD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D874C0">
                    <w:pPr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4F48C4"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9D95">
    <w:pPr>
      <w:pStyle w:val="3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5F9F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35F9F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034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2Q3Y2RjM2FiYmJmMTA5ZmYyNGU0NjQyMDFjMWIifQ=="/>
  </w:docVars>
  <w:rsids>
    <w:rsidRoot w:val="17BF7C77"/>
    <w:rsid w:val="00066EA2"/>
    <w:rsid w:val="000736CE"/>
    <w:rsid w:val="001C6F83"/>
    <w:rsid w:val="00254240"/>
    <w:rsid w:val="00275190"/>
    <w:rsid w:val="002854FC"/>
    <w:rsid w:val="003030CF"/>
    <w:rsid w:val="003252A8"/>
    <w:rsid w:val="003B51C9"/>
    <w:rsid w:val="003F3DAD"/>
    <w:rsid w:val="00421935"/>
    <w:rsid w:val="0043674B"/>
    <w:rsid w:val="00451898"/>
    <w:rsid w:val="004959BB"/>
    <w:rsid w:val="005159FC"/>
    <w:rsid w:val="0054115F"/>
    <w:rsid w:val="00566C4E"/>
    <w:rsid w:val="005C0B9E"/>
    <w:rsid w:val="007669B9"/>
    <w:rsid w:val="00766CB3"/>
    <w:rsid w:val="007C4BC7"/>
    <w:rsid w:val="007E7106"/>
    <w:rsid w:val="008D1C26"/>
    <w:rsid w:val="0090258B"/>
    <w:rsid w:val="009073A0"/>
    <w:rsid w:val="00941D99"/>
    <w:rsid w:val="009B7689"/>
    <w:rsid w:val="00A53CC1"/>
    <w:rsid w:val="00A711DB"/>
    <w:rsid w:val="00AA36FB"/>
    <w:rsid w:val="00AC1E6C"/>
    <w:rsid w:val="00AE07A3"/>
    <w:rsid w:val="00B25522"/>
    <w:rsid w:val="00BF6BD3"/>
    <w:rsid w:val="00C2019F"/>
    <w:rsid w:val="00C84C64"/>
    <w:rsid w:val="00CF32E1"/>
    <w:rsid w:val="00D074E9"/>
    <w:rsid w:val="00D262F4"/>
    <w:rsid w:val="00D307AF"/>
    <w:rsid w:val="00D33944"/>
    <w:rsid w:val="00D673BF"/>
    <w:rsid w:val="00D7694E"/>
    <w:rsid w:val="00D90D4F"/>
    <w:rsid w:val="00E641AE"/>
    <w:rsid w:val="00E72846"/>
    <w:rsid w:val="00EB35EB"/>
    <w:rsid w:val="00ED26CF"/>
    <w:rsid w:val="00EE431B"/>
    <w:rsid w:val="00F15137"/>
    <w:rsid w:val="00F53497"/>
    <w:rsid w:val="00F82B44"/>
    <w:rsid w:val="00FA034A"/>
    <w:rsid w:val="00FB127E"/>
    <w:rsid w:val="00FB43D0"/>
    <w:rsid w:val="00FF68E6"/>
    <w:rsid w:val="0643179E"/>
    <w:rsid w:val="09293C1C"/>
    <w:rsid w:val="0AA96666"/>
    <w:rsid w:val="0EED53BE"/>
    <w:rsid w:val="120C00D0"/>
    <w:rsid w:val="150D3595"/>
    <w:rsid w:val="15233958"/>
    <w:rsid w:val="17BF7C77"/>
    <w:rsid w:val="19266D83"/>
    <w:rsid w:val="1F2C14A5"/>
    <w:rsid w:val="2C600C62"/>
    <w:rsid w:val="2CDF7FCA"/>
    <w:rsid w:val="2F411CA9"/>
    <w:rsid w:val="306F1404"/>
    <w:rsid w:val="30973638"/>
    <w:rsid w:val="3237675B"/>
    <w:rsid w:val="32AD5728"/>
    <w:rsid w:val="35551771"/>
    <w:rsid w:val="39594DCB"/>
    <w:rsid w:val="3AD50F39"/>
    <w:rsid w:val="3D787406"/>
    <w:rsid w:val="459D1BC5"/>
    <w:rsid w:val="49060BED"/>
    <w:rsid w:val="4AFF5FAF"/>
    <w:rsid w:val="52044B50"/>
    <w:rsid w:val="56572253"/>
    <w:rsid w:val="5CBF734C"/>
    <w:rsid w:val="5D1E39DD"/>
    <w:rsid w:val="5D23187C"/>
    <w:rsid w:val="5D4D19A0"/>
    <w:rsid w:val="63187111"/>
    <w:rsid w:val="69243D2C"/>
    <w:rsid w:val="69CC74C5"/>
    <w:rsid w:val="6ADF6666"/>
    <w:rsid w:val="78DB10C2"/>
    <w:rsid w:val="7D2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字符"/>
    <w:basedOn w:val="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3">
    <w:name w:val="List Paragraph"/>
    <w:basedOn w:val="1"/>
    <w:autoRedefine/>
    <w:qFormat/>
    <w:uiPriority w:val="34"/>
    <w:pPr>
      <w:widowControl w:val="0"/>
      <w:kinsoku/>
      <w:spacing w:line="560" w:lineRule="exact"/>
      <w:ind w:firstLine="672" w:firstLineChars="200"/>
      <w:jc w:val="both"/>
    </w:pPr>
    <w:rPr>
      <w:rFonts w:ascii="仿宋" w:hAnsi="仿宋" w:eastAsia="仿宋" w:cs="仿宋"/>
      <w:snapToGrid/>
      <w:spacing w:val="8"/>
      <w:kern w:val="2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825</Words>
  <Characters>826</Characters>
  <Lines>7</Lines>
  <Paragraphs>2</Paragraphs>
  <TotalTime>14</TotalTime>
  <ScaleCrop>false</ScaleCrop>
  <LinksUpToDate>false</LinksUpToDate>
  <CharactersWithSpaces>835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2023-03-03T13:34:00Z</dcterms:created>
  <dc:creator>仲夏夜之梦</dc:creator>
  <cp:lastModifiedBy>吴红军</cp:lastModifiedBy>
  <cp:lastPrinted>2024-03-08T12:10:00Z</cp:lastPrinted>
  <dcterms:modified xsi:type="dcterms:W3CDTF">2026-01-07T16:06:25Z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FF69FDEC50134A8C885ACE55F289A8E5</vt:lpwstr>
  </property>
  <property fmtid="{D5CDD505-2E9C-101B-9397-08002B2CF9AE}" pid="4" name="KSOTemplateDocerSaveRecord">
    <vt:lpwstr>eyJoZGlkIjoiNGQ4NWQ0NjYzOWEwNTYwYWJhZDJhMDBhNTAzNjUzZGQiLCJ1c2VySWQiOiIyNzU5MzQ0NjkifQ==</vt:lpwstr>
  </property>
</Properties>
</file>