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1531E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bookmarkStart w:id="0" w:name="_Hlk213338329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00A2BCA9">
      <w:pPr>
        <w:spacing w:line="560" w:lineRule="exact"/>
        <w:ind w:right="24" w:rightChars="0"/>
        <w:jc w:val="center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第十届全国青少年无人机大赛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河北省赛</w:t>
      </w:r>
      <w:r>
        <w:rPr>
          <w:rFonts w:hint="eastAsia" w:ascii="方正小标宋简体" w:eastAsia="方正小标宋简体"/>
          <w:sz w:val="40"/>
          <w:szCs w:val="40"/>
        </w:rPr>
        <w:t>承办实施方案（内容提纲）</w:t>
      </w:r>
    </w:p>
    <w:p w14:paraId="5A6F20CA">
      <w:pPr>
        <w:spacing w:line="560" w:lineRule="exact"/>
        <w:ind w:right="24" w:rightChars="0"/>
        <w:jc w:val="center"/>
        <w:rPr>
          <w:rFonts w:ascii="仿宋_GB2312"/>
          <w:sz w:val="32"/>
          <w:szCs w:val="48"/>
        </w:rPr>
      </w:pPr>
      <w:r>
        <w:rPr>
          <w:rFonts w:hint="eastAsia" w:ascii="楷体_GB2312" w:eastAsia="楷体_GB2312"/>
          <w:sz w:val="32"/>
          <w:szCs w:val="48"/>
        </w:rPr>
        <w:t>申报单位：【填写单位全称】</w:t>
      </w:r>
    </w:p>
    <w:p w14:paraId="7449BB19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摘要</w:t>
      </w:r>
    </w:p>
    <w:p w14:paraId="4B9BA67E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简要概述方案核心内容：承办意愿、核心优势、承诺保障与预期效果。</w:t>
      </w:r>
    </w:p>
    <w:p w14:paraId="2D4F05B8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1． 前言与背景分析</w:t>
      </w:r>
    </w:p>
    <w:p w14:paraId="4B9B246E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1.1.大赛背景与意义：阐述对全国青少年无人机大赛宗旨、规模和影响力的理解。</w:t>
      </w:r>
    </w:p>
    <w:p w14:paraId="19D17FD5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1.2.承办初衷：说明本单位申办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  <w14:ligatures w14:val="none"/>
        </w:rPr>
        <w:t>河北省赛</w:t>
      </w: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的初衷、目的与期望达成的目标。</w:t>
      </w:r>
    </w:p>
    <w:p w14:paraId="1521C920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1.3.本地基础：分析本地区在青少年科技教育、无人机项目普及与发展方面的基础与优势。</w:t>
      </w:r>
    </w:p>
    <w:p w14:paraId="4C2D93AF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2．承办单位概况与优势</w:t>
      </w:r>
    </w:p>
    <w:p w14:paraId="0B879039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2.1.单位简介：申报单位性质、规模、主要职能与核心业务。</w:t>
      </w:r>
    </w:p>
    <w:p w14:paraId="6AB4808B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2.2.相关经验：详细列举过去三年内承办或协办的国家级、省级大型活动（特别是青少年科技、体育竞赛类）的成功案例，包括活动名称、规模、时间及成果。</w:t>
      </w:r>
    </w:p>
    <w:p w14:paraId="29B44A49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2.3.核心优势：综合阐述在组织能力、专业团队、场地设施、社会资源、经费保障等方面的独特优势。</w:t>
      </w:r>
    </w:p>
    <w:p w14:paraId="04929AAE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3．组织机构与责任分工</w:t>
      </w:r>
    </w:p>
    <w:p w14:paraId="0744B59E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3.1.领导小组：拟成立的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  <w14:ligatures w14:val="none"/>
        </w:rPr>
        <w:t>省赛</w:t>
      </w: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筹备工作领导小组，明确组长、副组长及成员（建议由单位主要领导及当地政府、教育、体育等相关单位负责人组成），明确其总体职责。</w:t>
      </w:r>
    </w:p>
    <w:p w14:paraId="71F82EE9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3.2.执行工作小组：下设各专职小组，明确各组负责人及职责：</w:t>
      </w:r>
    </w:p>
    <w:p w14:paraId="592C898B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*综合协调组：负责与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  <w14:ligatures w14:val="none"/>
        </w:rPr>
        <w:t>河北省</w:t>
      </w: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组委会对接，总体统筹、进度管理和内外协调。</w:t>
      </w:r>
    </w:p>
    <w:p w14:paraId="1CA57EBA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*竞赛组织组：负责对接裁判委员会，场地布置、器材准备、赛程管理、成绩统计等。</w:t>
      </w:r>
    </w:p>
    <w:p w14:paraId="13FB6842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*接待服务组：负责裁判、嘉宾、媒体的接送站、住宿、餐饮、交通指引等。</w:t>
      </w:r>
    </w:p>
    <w:p w14:paraId="2EDB78C8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*宣传推广组：负责整体视觉设计、媒体邀请、新闻发布、氛围营造、活动直播、影像记录等。</w:t>
      </w:r>
    </w:p>
    <w:p w14:paraId="34B54B1A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*安全保障组：负责制定并执行安全应急预案，管理场地安保、消防、医疗救护、人身财产保险、秩序维护等。</w:t>
      </w:r>
    </w:p>
    <w:p w14:paraId="2A0EF1FF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*后勤保障组：负责物资采购、财务管理、水电网络、志愿者招募与管理等。</w:t>
      </w:r>
    </w:p>
    <w:p w14:paraId="1A669D67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3.3.志愿者计划：志愿者需求数量、来源（如高校学生）、培训计划与管理方案。</w:t>
      </w:r>
    </w:p>
    <w:p w14:paraId="6DB1431E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4．场地设施与布局规划</w:t>
      </w:r>
    </w:p>
    <w:p w14:paraId="4468D9C6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4.1.主赛场：提供具体场馆名称、位置、平面图、面积、净高、照明、通风、电源接口、网络条件等详细参数。</w:t>
      </w:r>
    </w:p>
    <w:p w14:paraId="05774EC9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4.2.附属功能区规划：</w:t>
      </w:r>
    </w:p>
    <w:p w14:paraId="4D161DEE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*开幕式/闭幕式场地</w:t>
      </w:r>
    </w:p>
    <w:p w14:paraId="6487140B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*参赛队伍报到与注册区</w:t>
      </w:r>
    </w:p>
    <w:p w14:paraId="2D18C902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*裁判工作与成绩复核区</w:t>
      </w:r>
    </w:p>
    <w:p w14:paraId="2AE4117E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*器材调试与检录区</w:t>
      </w:r>
    </w:p>
    <w:p w14:paraId="0A7FD85B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*嘉宾休息室与媒体中心</w:t>
      </w:r>
    </w:p>
    <w:p w14:paraId="659BDCC5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*医疗点与安保指挥部</w:t>
      </w:r>
    </w:p>
    <w:p w14:paraId="277156DF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*餐饮服务区与商品售卖区</w:t>
      </w:r>
    </w:p>
    <w:p w14:paraId="421E72AB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4.3.场地周边环境：描述交通便利性、酒店分布、停车容量等。</w:t>
      </w:r>
    </w:p>
    <w:p w14:paraId="2521D2CE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5．竞赛组织与赛务服务</w:t>
      </w:r>
    </w:p>
    <w:p w14:paraId="1DA0E3A8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5.1.赛程安排：协助拟定比赛日程表，包括报到、开幕式、各项目比赛、颁奖仪式等环节的时间节点。</w:t>
      </w:r>
    </w:p>
    <w:p w14:paraId="404A6E10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5.2.场地标准化：承诺按照大赛组委会发布的最新竞赛规则与场地标准进行安排。</w:t>
      </w:r>
    </w:p>
    <w:p w14:paraId="2F96BD09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5.3.裁判与仲裁服务：承诺提供必要的裁判工作条件，并配合仲裁委员会开展工作。</w:t>
      </w:r>
    </w:p>
    <w:p w14:paraId="44DECE2D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6．宣传推广方案</w:t>
      </w:r>
    </w:p>
    <w:p w14:paraId="32985EE7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6.1.预热期宣传：通过官网、公众号、本地媒体等渠道发布承办消息，营造社会期待。</w:t>
      </w:r>
    </w:p>
    <w:p w14:paraId="1A7D937F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6.2.赛期集中宣传：邀请中央、省、市各级媒体进行全方位报道；组织官方直播；及时发布赛况花絮。</w:t>
      </w:r>
    </w:p>
    <w:p w14:paraId="5E901EDD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6.3.氛围营造：在城市主要入口、交通枢纽、赛场周边通过道旗、海报、电子屏等方式进行视觉宣传。</w:t>
      </w:r>
    </w:p>
    <w:p w14:paraId="59FCF92C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6.4.后期深度报道：赛后进行获奖选手专访、成果总结性报道，扩大赛事持续影响力。</w:t>
      </w:r>
    </w:p>
    <w:p w14:paraId="58EFF49C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7．后勤接待与生活保障</w:t>
      </w:r>
    </w:p>
    <w:p w14:paraId="0887E688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7.1.住宿与餐饮：具备整体接待能力，提供推荐的合作酒店清单（不同价位档次），并说明协议价格、地理位置及往返赛场的交通接驳方案。提供赛场内工作人员餐饮服务的解决方案。</w:t>
      </w:r>
    </w:p>
    <w:p w14:paraId="60A3AB6C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7.2.交通保障：描述机场、火车站至驻地和赛场的接站方案，以及赛事期间各驻地至赛场的循环班车安排。</w:t>
      </w:r>
    </w:p>
    <w:p w14:paraId="01F43B09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7.3.票务与旅游：是否可推荐本地科技旅游、文化参观路线。</w:t>
      </w:r>
    </w:p>
    <w:p w14:paraId="118971DC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8．安全保障与应急预案</w:t>
      </w:r>
    </w:p>
    <w:p w14:paraId="60E1B121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8.1.安全保卫体系：与公安、消防部门的联动机制；入场安检方案；赛场内外24小时巡逻与监控方案；人员分流与疏导方案。</w:t>
      </w:r>
    </w:p>
    <w:p w14:paraId="4D553646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8.2.医疗卫生保障：赛场内医疗点的设置（数量、位置）、配备的医护人员与急救设备；与附近定点医院的绿色通道机制。</w:t>
      </w:r>
    </w:p>
    <w:p w14:paraId="590FFBDC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8.3.突发事件应急预案：针对火灾、断电、人群拥挤踩踏、突发伤病、恶劣天气、网络攻击等突发情况的详细应对流程与责任人。</w:t>
      </w:r>
    </w:p>
    <w:p w14:paraId="553E1E5B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8.4.保险：为所有参赛人员、工作人员、志愿者购买相应的人身意外伤害和财产保险。</w:t>
      </w:r>
    </w:p>
    <w:p w14:paraId="4B1F776D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9．经费预算与筹措方案</w:t>
      </w:r>
    </w:p>
    <w:p w14:paraId="11357FCB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9.1.经费来源：详细说明经费筹措渠道（如：政府专项拨款、单位自筹、企业赞助等）。</w:t>
      </w:r>
    </w:p>
    <w:p w14:paraId="4C745780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9.2.支出预算：编制详细的预算明细表，主要科目包括：</w:t>
      </w:r>
    </w:p>
    <w:p w14:paraId="264DB1A7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*场地租赁与布置费</w:t>
      </w:r>
    </w:p>
    <w:p w14:paraId="0DA51994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*器材租赁与购置费</w:t>
      </w:r>
    </w:p>
    <w:p w14:paraId="11D3084D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*裁判及专家劳务费</w:t>
      </w:r>
    </w:p>
    <w:p w14:paraId="67F23B07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*工作人员与志愿者补贴</w:t>
      </w:r>
    </w:p>
    <w:p w14:paraId="52CF5934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*宣传与市场推广费</w:t>
      </w:r>
    </w:p>
    <w:p w14:paraId="779DFBAD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*嘉宾及参赛队接待费（需明确承担范围）</w:t>
      </w:r>
    </w:p>
    <w:p w14:paraId="02CD093F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*安保与医疗保障费</w:t>
      </w:r>
    </w:p>
    <w:p w14:paraId="0EE870DC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*后勤及行政管理费</w:t>
      </w:r>
    </w:p>
    <w:p w14:paraId="063E5988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*不可预见费</w:t>
      </w:r>
    </w:p>
    <w:p w14:paraId="20FD63F7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9.3.财务管理制度：严格财务管理，做到专款专用，并接受审计。</w:t>
      </w:r>
    </w:p>
    <w:p w14:paraId="33F0BEFE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40" w:firstLineChars="200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10．地方政府支持情况</w:t>
      </w:r>
    </w:p>
    <w:p w14:paraId="35DBDBF5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*附上地方政府或主管单位出具的支持函。</w:t>
      </w:r>
    </w:p>
    <w:p w14:paraId="3FB49E70">
      <w:pPr>
        <w:keepNext w:val="0"/>
        <w:keepLines w:val="0"/>
        <w:pageBreakBefore w:val="0"/>
        <w:widowControl w:val="0"/>
        <w:tabs>
          <w:tab w:val="left" w:pos="822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</w:pPr>
      <w:r>
        <w:rPr>
          <w:rFonts w:hint="eastAsia" w:ascii="仿宋_GB2312" w:hAnsi="Times New Roman" w:eastAsia="仿宋_GB2312" w:cs="Times New Roman"/>
          <w:sz w:val="32"/>
          <w:szCs w:val="32"/>
          <w14:ligatures w14:val="none"/>
        </w:rPr>
        <w:t>*具体阐述支持内容，如：政策协调、公共交通、市容环境、安全等。</w:t>
      </w:r>
      <w:bookmarkEnd w:id="0"/>
    </w:p>
    <w:sectPr>
      <w:footerReference r:id="rId3" w:type="default"/>
      <w:footerReference r:id="rId4" w:type="even"/>
      <w:pgSz w:w="11906" w:h="16838"/>
      <w:pgMar w:top="2098" w:right="1531" w:bottom="1984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C993EDE-C228-4D22-AD47-99AA21AA861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FAF5C42-53AD-4DAC-BB33-9D4001A312A6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894CEF2-425B-47BC-912F-9F197AC69B9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938A8">
    <w:pPr>
      <w:pStyle w:val="3"/>
      <w:jc w:val="right"/>
      <w:rPr>
        <w:rFonts w:hint="eastAsia" w:asciiTheme="majorEastAsia" w:hAnsiTheme="majorEastAsia" w:eastAsiaTheme="majorEastAsia" w:cs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204595" cy="5391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4595" cy="5391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D874C0">
                          <w:pPr>
                            <w:jc w:val="right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42.45pt;width:94.85pt;mso-position-horizontal:outside;mso-position-horizontal-relative:margin;z-index:251659264;mso-width-relative:page;mso-height-relative:page;" filled="f" stroked="f" coordsize="21600,21600" o:gfxdata="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eK+Cf1AAAAAQBAAAPAAAAAAAAAAEAIAAAACIAAABkcnMvZG93bnJldi54&#10;bWxQSwECFAAUAAAACACHTuJAj71RUDcCAABiBAAADgAAAAAAAAABACAAAAAj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1D874C0">
                    <w:pPr>
                      <w:jc w:val="right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14F48C4">
    <w:pPr>
      <w:pStyle w:val="3"/>
      <w:rPr>
        <w:rFonts w:hint="eastAsia" w:asciiTheme="majorEastAsia" w:hAnsiTheme="majorEastAsia" w:eastAsiaTheme="majorEastAsia" w:cstheme="majorEastAsia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6E9D95">
    <w:pPr>
      <w:pStyle w:val="3"/>
      <w:rPr>
        <w:rFonts w:hint="eastAsia"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535F9F">
                          <w:pP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535F9F">
                    <w:pPr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0FA034E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N2Q3Y2RjM2FiYmJmMTA5ZmYyNGU0NjQyMDFjMWIifQ=="/>
  </w:docVars>
  <w:rsids>
    <w:rsidRoot w:val="17BF7C77"/>
    <w:rsid w:val="00066EA2"/>
    <w:rsid w:val="000736CE"/>
    <w:rsid w:val="001C6F83"/>
    <w:rsid w:val="00254240"/>
    <w:rsid w:val="00275190"/>
    <w:rsid w:val="002854FC"/>
    <w:rsid w:val="003030CF"/>
    <w:rsid w:val="003252A8"/>
    <w:rsid w:val="003B51C9"/>
    <w:rsid w:val="003F3DAD"/>
    <w:rsid w:val="00421935"/>
    <w:rsid w:val="0043674B"/>
    <w:rsid w:val="00451898"/>
    <w:rsid w:val="004959BB"/>
    <w:rsid w:val="005159FC"/>
    <w:rsid w:val="0054115F"/>
    <w:rsid w:val="00566C4E"/>
    <w:rsid w:val="005C0B9E"/>
    <w:rsid w:val="007669B9"/>
    <w:rsid w:val="00766CB3"/>
    <w:rsid w:val="007C4BC7"/>
    <w:rsid w:val="007E7106"/>
    <w:rsid w:val="008D1C26"/>
    <w:rsid w:val="0090258B"/>
    <w:rsid w:val="009073A0"/>
    <w:rsid w:val="00941D99"/>
    <w:rsid w:val="009B7689"/>
    <w:rsid w:val="00A53CC1"/>
    <w:rsid w:val="00A711DB"/>
    <w:rsid w:val="00AA36FB"/>
    <w:rsid w:val="00AC1E6C"/>
    <w:rsid w:val="00AE07A3"/>
    <w:rsid w:val="00B25522"/>
    <w:rsid w:val="00BF6BD3"/>
    <w:rsid w:val="00C2019F"/>
    <w:rsid w:val="00C84C64"/>
    <w:rsid w:val="00CF32E1"/>
    <w:rsid w:val="00D074E9"/>
    <w:rsid w:val="00D307AF"/>
    <w:rsid w:val="00D33944"/>
    <w:rsid w:val="00D673BF"/>
    <w:rsid w:val="00D7694E"/>
    <w:rsid w:val="00D90D4F"/>
    <w:rsid w:val="00E641AE"/>
    <w:rsid w:val="00E72846"/>
    <w:rsid w:val="00EB35EB"/>
    <w:rsid w:val="00ED26CF"/>
    <w:rsid w:val="00EE431B"/>
    <w:rsid w:val="00F15137"/>
    <w:rsid w:val="00F53497"/>
    <w:rsid w:val="00F82B44"/>
    <w:rsid w:val="00FA034A"/>
    <w:rsid w:val="00FB127E"/>
    <w:rsid w:val="00FB43D0"/>
    <w:rsid w:val="00FF68E6"/>
    <w:rsid w:val="02DF7C01"/>
    <w:rsid w:val="0643179E"/>
    <w:rsid w:val="09293C1C"/>
    <w:rsid w:val="0AA96666"/>
    <w:rsid w:val="0D254AD7"/>
    <w:rsid w:val="0EED53BE"/>
    <w:rsid w:val="120C00D0"/>
    <w:rsid w:val="150D3595"/>
    <w:rsid w:val="15233958"/>
    <w:rsid w:val="17BF7C77"/>
    <w:rsid w:val="19266D83"/>
    <w:rsid w:val="1B7E53D4"/>
    <w:rsid w:val="1F2C14A5"/>
    <w:rsid w:val="2A9B26C4"/>
    <w:rsid w:val="2CDF7FCA"/>
    <w:rsid w:val="2F411CA9"/>
    <w:rsid w:val="306F1404"/>
    <w:rsid w:val="30973638"/>
    <w:rsid w:val="3237675B"/>
    <w:rsid w:val="32AD5728"/>
    <w:rsid w:val="35551771"/>
    <w:rsid w:val="36974ED0"/>
    <w:rsid w:val="394B5CBD"/>
    <w:rsid w:val="39594DCB"/>
    <w:rsid w:val="3AD50F39"/>
    <w:rsid w:val="3BBA7AA0"/>
    <w:rsid w:val="3CE07B72"/>
    <w:rsid w:val="3D787406"/>
    <w:rsid w:val="459D1BC5"/>
    <w:rsid w:val="46535859"/>
    <w:rsid w:val="47C87C98"/>
    <w:rsid w:val="4A111CB3"/>
    <w:rsid w:val="4AAC3789"/>
    <w:rsid w:val="4AD67FFE"/>
    <w:rsid w:val="4AFF5FAF"/>
    <w:rsid w:val="50153B7F"/>
    <w:rsid w:val="52044B50"/>
    <w:rsid w:val="56572253"/>
    <w:rsid w:val="5A2450EA"/>
    <w:rsid w:val="5CA6628A"/>
    <w:rsid w:val="5CBF734C"/>
    <w:rsid w:val="5D1E39DD"/>
    <w:rsid w:val="5D23187C"/>
    <w:rsid w:val="5D4D19A0"/>
    <w:rsid w:val="5DBC0B64"/>
    <w:rsid w:val="5FBB0234"/>
    <w:rsid w:val="63187111"/>
    <w:rsid w:val="69243D2C"/>
    <w:rsid w:val="69CC74C5"/>
    <w:rsid w:val="6ADF6666"/>
    <w:rsid w:val="6E072901"/>
    <w:rsid w:val="6FE63E7C"/>
    <w:rsid w:val="705670A0"/>
    <w:rsid w:val="75407D51"/>
    <w:rsid w:val="78357840"/>
    <w:rsid w:val="78DB10C2"/>
    <w:rsid w:val="7D26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000FF"/>
      <w:u w:val="single"/>
    </w:rPr>
  </w:style>
  <w:style w:type="character" w:customStyle="1" w:styleId="12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1 字符"/>
    <w:basedOn w:val="8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15">
    <w:name w:val="List Paragraph"/>
    <w:basedOn w:val="1"/>
    <w:autoRedefine/>
    <w:qFormat/>
    <w:uiPriority w:val="34"/>
    <w:pPr>
      <w:widowControl w:val="0"/>
      <w:kinsoku/>
      <w:spacing w:line="560" w:lineRule="exact"/>
      <w:ind w:firstLine="672" w:firstLineChars="200"/>
      <w:jc w:val="both"/>
    </w:pPr>
    <w:rPr>
      <w:rFonts w:ascii="仿宋" w:hAnsi="仿宋" w:eastAsia="仿宋" w:cs="仿宋"/>
      <w:snapToGrid/>
      <w:spacing w:val="8"/>
      <w:kern w:val="2"/>
      <w:sz w:val="32"/>
      <w:szCs w:val="32"/>
      <w:shd w:val="clear" w:color="auto" w:fill="FFFFFF"/>
    </w:rPr>
  </w:style>
  <w:style w:type="paragraph" w:customStyle="1" w:styleId="16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1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7424</Words>
  <Characters>7860</Characters>
  <Lines>7</Lines>
  <Paragraphs>2</Paragraphs>
  <TotalTime>6</TotalTime>
  <ScaleCrop>false</ScaleCrop>
  <LinksUpToDate>false</LinksUpToDate>
  <CharactersWithSpaces>8084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2023-03-03T13:34:00Z</dcterms:created>
  <dc:creator>仲夏夜之梦</dc:creator>
  <cp:lastModifiedBy>吴红军</cp:lastModifiedBy>
  <cp:lastPrinted>2024-03-08T12:10:00Z</cp:lastPrinted>
  <dcterms:modified xsi:type="dcterms:W3CDTF">2026-03-24T06:14:21Z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5C300FF9E992488AA6505E0D032EEF48_13</vt:lpwstr>
  </property>
  <property fmtid="{D5CDD505-2E9C-101B-9397-08002B2CF9AE}" pid="4" name="KSOTemplateDocerSaveRecord">
    <vt:lpwstr>eyJoZGlkIjoiNGQ4NWQ0NjYzOWEwNTYwYWJhZDJhMDBhNTAzNjUzZGQiLCJ1c2VySWQiOiIyNzU5MzQ0NjkifQ==</vt:lpwstr>
  </property>
</Properties>
</file>