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b/>
          <w:sz w:val="30"/>
          <w:szCs w:val="30"/>
        </w:rPr>
      </w:pPr>
    </w:p>
    <w:tbl>
      <w:tblPr>
        <w:tblStyle w:val="19"/>
        <w:tblW w:w="9640" w:type="dxa"/>
        <w:tblInd w:w="-652" w:type="dxa"/>
        <w:tblLayout w:type="fixed"/>
        <w:tblCellMar>
          <w:top w:w="0" w:type="dxa"/>
          <w:left w:w="0" w:type="dxa"/>
          <w:bottom w:w="0" w:type="dxa"/>
          <w:right w:w="0" w:type="dxa"/>
        </w:tblCellMar>
      </w:tblPr>
      <w:tblGrid>
        <w:gridCol w:w="454"/>
        <w:gridCol w:w="283"/>
        <w:gridCol w:w="2042"/>
        <w:gridCol w:w="453"/>
        <w:gridCol w:w="1134"/>
        <w:gridCol w:w="5124"/>
        <w:gridCol w:w="150"/>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rPr>
                <w:rFonts w:ascii="Times New Roman" w:hAnsi="Times New Roman" w:eastAsia="黑体" w:cs="Times New Roman"/>
                <w:b/>
                <w:szCs w:val="20"/>
              </w:rPr>
            </w:pPr>
          </w:p>
        </w:tc>
        <w:tc>
          <w:tcPr>
            <w:tcW w:w="2325" w:type="dxa"/>
            <w:gridSpan w:val="2"/>
            <w:vAlign w:val="center"/>
          </w:tcPr>
          <w:p>
            <w:pPr>
              <w:jc w:val="left"/>
              <w:textAlignment w:val="center"/>
              <w:rPr>
                <w:rFonts w:ascii="黑体" w:hAnsi="黑体" w:eastAsia="黑体" w:cs="Times New Roman"/>
                <w:kern w:val="0"/>
                <w:szCs w:val="20"/>
              </w:rPr>
            </w:pPr>
          </w:p>
          <w:p>
            <w:pPr>
              <w:rPr>
                <w:rFonts w:ascii="黑体" w:hAnsi="黑体" w:eastAsia="黑体" w:cs="Times New Roman"/>
                <w:szCs w:val="20"/>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rPr>
                <w:rFonts w:ascii="黑体" w:hAnsi="黑体" w:eastAsia="黑体" w:cs="Times New Roman"/>
                <w:szCs w:val="20"/>
              </w:rPr>
            </w:pPr>
          </w:p>
        </w:tc>
        <w:tc>
          <w:tcPr>
            <w:tcW w:w="2042" w:type="dxa"/>
            <w:vAlign w:val="center"/>
          </w:tcPr>
          <w:p>
            <w:pPr>
              <w:rPr>
                <w:rFonts w:ascii="Times New Roman" w:hAnsi="Times New Roman" w:eastAsia="黑体" w:cs="Times New Roman"/>
                <w:szCs w:val="20"/>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rPr>
                <w:rFonts w:ascii="Times New Roman" w:hAnsi="Times New Roman" w:eastAsia="黑体" w:cs="Times New Roman"/>
                <w:szCs w:val="20"/>
              </w:rPr>
            </w:pPr>
          </w:p>
        </w:tc>
        <w:tc>
          <w:tcPr>
            <w:tcW w:w="2042" w:type="dxa"/>
            <w:vAlign w:val="center"/>
          </w:tcPr>
          <w:p>
            <w:pPr>
              <w:ind w:left="57"/>
              <w:rPr>
                <w:rFonts w:ascii="Arial Narrow" w:hAnsi="Arial Narrow" w:eastAsia="黑体" w:cs="Times New Roman"/>
                <w:szCs w:val="20"/>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rPr>
                <w:rFonts w:ascii="Times New Roman" w:hAnsi="Times New Roman" w:eastAsia="黑体" w:cs="Times New Roman"/>
                <w:i/>
                <w:szCs w:val="20"/>
              </w:rPr>
            </w:pPr>
          </w:p>
        </w:tc>
        <w:tc>
          <w:tcPr>
            <w:tcW w:w="2042" w:type="dxa"/>
            <w:vAlign w:val="center"/>
          </w:tcPr>
          <w:p>
            <w:pPr>
              <w:ind w:left="57"/>
              <w:rPr>
                <w:rFonts w:ascii="Arial Narrow" w:hAnsi="Arial Narrow" w:eastAsia="黑体" w:cs="Times New Roman"/>
                <w:i/>
                <w:szCs w:val="20"/>
              </w:rPr>
            </w:pPr>
          </w:p>
        </w:tc>
      </w:tr>
      <w:tr>
        <w:tblPrEx>
          <w:tblCellMar>
            <w:top w:w="0" w:type="dxa"/>
            <w:left w:w="0" w:type="dxa"/>
            <w:bottom w:w="0" w:type="dxa"/>
            <w:right w:w="0" w:type="dxa"/>
          </w:tblCellMar>
        </w:tblPrEx>
        <w:trPr>
          <w:trHeight w:val="368" w:hRule="exact"/>
        </w:trPr>
        <w:tc>
          <w:tcPr>
            <w:tcW w:w="9640" w:type="dxa"/>
            <w:gridSpan w:val="7"/>
          </w:tcPr>
          <w:p>
            <w:pPr>
              <w:spacing w:before="120" w:after="120"/>
              <w:rPr>
                <w:rFonts w:ascii="Times New Roman" w:hAnsi="Times New Roman" w:eastAsia="宋体" w:cs="Times New Roman"/>
                <w:szCs w:val="20"/>
              </w:rPr>
            </w:pPr>
          </w:p>
        </w:tc>
      </w:tr>
      <w:tr>
        <w:tblPrEx>
          <w:tblCellMar>
            <w:top w:w="0" w:type="dxa"/>
            <w:left w:w="0" w:type="dxa"/>
            <w:bottom w:w="0" w:type="dxa"/>
            <w:right w:w="0" w:type="dxa"/>
          </w:tblCellMar>
        </w:tblPrEx>
        <w:trPr>
          <w:trHeight w:val="120" w:hRule="exact"/>
        </w:trPr>
        <w:tc>
          <w:tcPr>
            <w:tcW w:w="9640" w:type="dxa"/>
            <w:gridSpan w:val="7"/>
          </w:tcPr>
          <w:p>
            <w:pPr>
              <w:spacing w:before="120" w:after="120"/>
              <w:rPr>
                <w:rFonts w:ascii="Times New Roman" w:hAnsi="Times New Roman" w:eastAsia="宋体" w:cs="Times New Roman"/>
                <w:szCs w:val="20"/>
              </w:rPr>
            </w:pPr>
          </w:p>
        </w:tc>
      </w:tr>
      <w:tr>
        <w:tblPrEx>
          <w:tblCellMar>
            <w:top w:w="0" w:type="dxa"/>
            <w:left w:w="0" w:type="dxa"/>
            <w:bottom w:w="0" w:type="dxa"/>
            <w:right w:w="0" w:type="dxa"/>
          </w:tblCellMar>
        </w:tblPrEx>
        <w:trPr>
          <w:trHeight w:val="518" w:hRule="exact"/>
        </w:trPr>
        <w:tc>
          <w:tcPr>
            <w:tcW w:w="9640" w:type="dxa"/>
            <w:gridSpan w:val="7"/>
          </w:tcPr>
          <w:p>
            <w:pPr>
              <w:spacing w:before="120" w:after="120"/>
              <w:rPr>
                <w:rFonts w:ascii="Times New Roman" w:hAnsi="Times New Roman" w:eastAsia="宋体" w:cs="Times New Roman"/>
                <w:szCs w:val="20"/>
              </w:rPr>
            </w:pPr>
          </w:p>
        </w:tc>
      </w:tr>
      <w:tr>
        <w:tblPrEx>
          <w:tblCellMar>
            <w:top w:w="0" w:type="dxa"/>
            <w:left w:w="0" w:type="dxa"/>
            <w:bottom w:w="0" w:type="dxa"/>
            <w:right w:w="0" w:type="dxa"/>
          </w:tblCellMar>
        </w:tblPrEx>
        <w:trPr>
          <w:trHeight w:val="722" w:hRule="exact"/>
        </w:trPr>
        <w:tc>
          <w:tcPr>
            <w:tcW w:w="9640" w:type="dxa"/>
            <w:gridSpan w:val="7"/>
            <w:vAlign w:val="center"/>
          </w:tcPr>
          <w:p>
            <w:pPr>
              <w:spacing w:after="240" w:line="560" w:lineRule="exact"/>
              <w:ind w:right="28"/>
              <w:jc w:val="center"/>
              <w:rPr>
                <w:rFonts w:ascii="Times New Roman" w:hAnsi="Times New Roman" w:eastAsia="黑体" w:cs="Times New Roman"/>
                <w:w w:val="140"/>
                <w:sz w:val="52"/>
                <w:szCs w:val="20"/>
              </w:rPr>
            </w:pPr>
            <w:r>
              <w:rPr>
                <w:rFonts w:hint="eastAsia" w:ascii="Times New Roman" w:hAnsi="Times New Roman" w:eastAsia="黑体" w:cs="Times New Roman"/>
                <w:w w:val="140"/>
                <w:sz w:val="52"/>
                <w:szCs w:val="20"/>
              </w:rPr>
              <w:t>团体标准</w:t>
            </w:r>
          </w:p>
          <w:p>
            <w:pPr>
              <w:spacing w:line="520" w:lineRule="exact"/>
              <w:rPr>
                <w:rFonts w:ascii="Times New Roman" w:hAnsi="Times New Roman" w:eastAsia="宋体" w:cs="Times New Roman"/>
                <w:w w:val="140"/>
                <w:sz w:val="52"/>
                <w:szCs w:val="20"/>
              </w:rPr>
            </w:pPr>
          </w:p>
        </w:tc>
      </w:tr>
      <w:tr>
        <w:tblPrEx>
          <w:tblCellMar>
            <w:top w:w="0" w:type="dxa"/>
            <w:left w:w="0" w:type="dxa"/>
            <w:bottom w:w="0" w:type="dxa"/>
            <w:right w:w="0" w:type="dxa"/>
          </w:tblCellMar>
        </w:tblPrEx>
        <w:trPr>
          <w:trHeight w:val="340" w:hRule="exact"/>
        </w:trPr>
        <w:tc>
          <w:tcPr>
            <w:tcW w:w="9640" w:type="dxa"/>
            <w:gridSpan w:val="7"/>
          </w:tcPr>
          <w:p>
            <w:pPr>
              <w:jc w:val="center"/>
              <w:rPr>
                <w:rFonts w:ascii="Times New Roman" w:hAnsi="Times New Roman" w:eastAsia="黑体" w:cs="Times New Roman"/>
                <w:b/>
                <w:sz w:val="52"/>
                <w:szCs w:val="20"/>
              </w:rPr>
            </w:pPr>
          </w:p>
        </w:tc>
      </w:tr>
      <w:tr>
        <w:tblPrEx>
          <w:tblCellMar>
            <w:top w:w="0" w:type="dxa"/>
            <w:left w:w="0" w:type="dxa"/>
            <w:bottom w:w="0" w:type="dxa"/>
            <w:right w:w="0" w:type="dxa"/>
          </w:tblCellMar>
        </w:tblPrEx>
        <w:trPr>
          <w:cantSplit/>
          <w:trHeight w:val="60" w:hRule="exact"/>
        </w:trPr>
        <w:tc>
          <w:tcPr>
            <w:tcW w:w="3232" w:type="dxa"/>
            <w:gridSpan w:val="4"/>
            <w:vAlign w:val="center"/>
          </w:tcPr>
          <w:p>
            <w:pPr>
              <w:rPr>
                <w:rFonts w:ascii="Times New Roman" w:hAnsi="Times New Roman" w:eastAsia="宋体" w:cs="Times New Roman"/>
                <w:szCs w:val="20"/>
              </w:rPr>
            </w:pPr>
          </w:p>
        </w:tc>
        <w:tc>
          <w:tcPr>
            <w:tcW w:w="1134" w:type="dxa"/>
            <w:vAlign w:val="center"/>
          </w:tcPr>
          <w:p>
            <w:pPr>
              <w:jc w:val="right"/>
              <w:rPr>
                <w:rFonts w:ascii="Times New Roman" w:hAnsi="Times New Roman" w:eastAsia="宋体" w:cs="Times New Roman"/>
                <w:szCs w:val="20"/>
              </w:rPr>
            </w:pPr>
          </w:p>
        </w:tc>
        <w:tc>
          <w:tcPr>
            <w:tcW w:w="5124" w:type="dxa"/>
            <w:vAlign w:val="center"/>
          </w:tcPr>
          <w:p>
            <w:pPr>
              <w:wordWrap w:val="0"/>
              <w:jc w:val="right"/>
              <w:rPr>
                <w:rFonts w:ascii="Times New Roman" w:hAnsi="Times New Roman" w:eastAsia="宋体" w:cs="Times New Roman"/>
                <w:szCs w:val="20"/>
              </w:rPr>
            </w:pPr>
          </w:p>
        </w:tc>
        <w:tc>
          <w:tcPr>
            <w:tcW w:w="150" w:type="dxa"/>
            <w:vAlign w:val="center"/>
          </w:tcPr>
          <w:p>
            <w:pPr>
              <w:rPr>
                <w:rFonts w:ascii="Times New Roman" w:hAnsi="Times New Roman" w:eastAsia="宋体" w:cs="Times New Roman"/>
                <w:szCs w:val="20"/>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rPr>
                <w:rFonts w:ascii="Times New Roman" w:hAnsi="Times New Roman" w:eastAsia="宋体" w:cs="Times New Roman"/>
                <w:szCs w:val="20"/>
              </w:rPr>
            </w:pPr>
          </w:p>
        </w:tc>
        <w:tc>
          <w:tcPr>
            <w:tcW w:w="1134" w:type="dxa"/>
            <w:vAlign w:val="center"/>
          </w:tcPr>
          <w:p>
            <w:pPr>
              <w:jc w:val="right"/>
              <w:rPr>
                <w:rFonts w:ascii="Times New Roman" w:hAnsi="Times New Roman" w:eastAsia="宋体" w:cs="Times New Roman"/>
                <w:szCs w:val="20"/>
              </w:rPr>
            </w:pPr>
          </w:p>
        </w:tc>
        <w:tc>
          <w:tcPr>
            <w:tcW w:w="5124" w:type="dxa"/>
            <w:vAlign w:val="center"/>
          </w:tcPr>
          <w:p>
            <w:pPr>
              <w:spacing w:line="360" w:lineRule="exact"/>
              <w:jc w:val="right"/>
              <w:rPr>
                <w:rFonts w:ascii="黑体" w:hAnsi="黑体" w:eastAsia="黑体" w:cs="Times New Roman"/>
                <w:szCs w:val="20"/>
              </w:rPr>
            </w:pPr>
          </w:p>
        </w:tc>
        <w:tc>
          <w:tcPr>
            <w:tcW w:w="150" w:type="dxa"/>
            <w:vAlign w:val="center"/>
          </w:tcPr>
          <w:p>
            <w:pPr>
              <w:rPr>
                <w:rFonts w:ascii="Times New Roman" w:hAnsi="Times New Roman" w:eastAsia="宋体" w:cs="Times New Roman"/>
                <w:szCs w:val="20"/>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rPr>
                <w:rFonts w:ascii="Times New Roman" w:hAnsi="Times New Roman" w:eastAsia="宋体" w:cs="Times New Roman"/>
                <w:szCs w:val="20"/>
              </w:rPr>
            </w:pPr>
          </w:p>
        </w:tc>
        <w:tc>
          <w:tcPr>
            <w:tcW w:w="1134" w:type="dxa"/>
            <w:vAlign w:val="center"/>
          </w:tcPr>
          <w:p>
            <w:pPr>
              <w:jc w:val="right"/>
              <w:rPr>
                <w:rFonts w:ascii="Times New Roman" w:hAnsi="Times New Roman" w:eastAsia="宋体" w:cs="Times New Roman"/>
                <w:szCs w:val="20"/>
              </w:rPr>
            </w:pPr>
          </w:p>
        </w:tc>
        <w:tc>
          <w:tcPr>
            <w:tcW w:w="5124" w:type="dxa"/>
            <w:vAlign w:val="center"/>
          </w:tcPr>
          <w:p>
            <w:pPr>
              <w:wordWrap w:val="0"/>
              <w:jc w:val="right"/>
              <w:rPr>
                <w:rFonts w:ascii="Times New Roman" w:hAnsi="Times New Roman" w:eastAsia="宋体" w:cs="Times New Roman"/>
                <w:szCs w:val="20"/>
              </w:rPr>
            </w:pPr>
          </w:p>
        </w:tc>
        <w:tc>
          <w:tcPr>
            <w:tcW w:w="150" w:type="dxa"/>
            <w:vAlign w:val="center"/>
          </w:tcPr>
          <w:p>
            <w:pPr>
              <w:rPr>
                <w:rFonts w:ascii="Times New Roman" w:hAnsi="Times New Roman" w:eastAsia="宋体" w:cs="Times New Roman"/>
                <w:szCs w:val="20"/>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jc w:val="center"/>
              <w:rPr>
                <w:rFonts w:ascii="Times New Roman" w:hAnsi="Times New Roman" w:eastAsia="黑体" w:cs="Times New Roman"/>
                <w:b/>
                <w:sz w:val="52"/>
                <w:szCs w:val="20"/>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jc w:val="center"/>
              <w:rPr>
                <w:rFonts w:ascii="Times New Roman" w:hAnsi="Times New Roman" w:eastAsia="黑体" w:cs="Times New Roman"/>
                <w:sz w:val="52"/>
                <w:szCs w:val="20"/>
              </w:rPr>
            </w:pPr>
          </w:p>
        </w:tc>
      </w:tr>
      <w:tr>
        <w:tblPrEx>
          <w:tblCellMar>
            <w:top w:w="0" w:type="dxa"/>
            <w:left w:w="0" w:type="dxa"/>
            <w:bottom w:w="0" w:type="dxa"/>
            <w:right w:w="0" w:type="dxa"/>
          </w:tblCellMar>
        </w:tblPrEx>
        <w:trPr>
          <w:trHeight w:val="834" w:hRule="exact"/>
        </w:trPr>
        <w:tc>
          <w:tcPr>
            <w:tcW w:w="9640" w:type="dxa"/>
            <w:gridSpan w:val="7"/>
            <w:vAlign w:val="center"/>
          </w:tcPr>
          <w:p>
            <w:pPr>
              <w:spacing w:before="120" w:beforeLines="50" w:after="120" w:afterLines="50" w:line="360" w:lineRule="auto"/>
              <w:jc w:val="center"/>
              <w:rPr>
                <w:rFonts w:ascii="黑体" w:hAnsi="黑体" w:eastAsia="黑体" w:cs="Times New Roman"/>
                <w:color w:val="000000"/>
                <w:sz w:val="48"/>
                <w:szCs w:val="48"/>
              </w:rPr>
            </w:pPr>
            <w:r>
              <w:rPr>
                <w:rFonts w:hint="eastAsia" w:ascii="黑体" w:hAnsi="黑体" w:eastAsia="黑体" w:cs="Times New Roman"/>
                <w:color w:val="000000"/>
                <w:sz w:val="48"/>
                <w:szCs w:val="48"/>
              </w:rPr>
              <w:t>VVER型核电机组大修放射性源项控制指南</w:t>
            </w:r>
          </w:p>
          <w:p>
            <w:pPr>
              <w:ind w:left="-105" w:leftChars="-50"/>
              <w:jc w:val="center"/>
              <w:rPr>
                <w:rFonts w:ascii="黑体" w:hAnsi="黑体" w:eastAsia="黑体" w:cs="Times New Roman"/>
                <w:sz w:val="52"/>
                <w:szCs w:val="52"/>
              </w:rPr>
            </w:pPr>
          </w:p>
          <w:p>
            <w:pPr>
              <w:spacing w:line="680" w:lineRule="exact"/>
              <w:jc w:val="center"/>
              <w:textAlignment w:val="center"/>
              <w:rPr>
                <w:rFonts w:ascii="黑体" w:hAnsi="Times New Roman" w:eastAsia="黑体" w:cs="Times New Roman"/>
                <w:kern w:val="0"/>
                <w:sz w:val="52"/>
                <w:szCs w:val="20"/>
              </w:rPr>
            </w:pPr>
          </w:p>
          <w:p>
            <w:pPr>
              <w:spacing w:line="640" w:lineRule="exact"/>
              <w:jc w:val="center"/>
              <w:rPr>
                <w:rFonts w:ascii="黑体" w:hAnsi="Times New Roman" w:eastAsia="黑体" w:cs="Times New Roman"/>
                <w:spacing w:val="-6"/>
                <w:sz w:val="52"/>
                <w:szCs w:val="52"/>
              </w:rPr>
            </w:pPr>
          </w:p>
        </w:tc>
      </w:tr>
      <w:tr>
        <w:tblPrEx>
          <w:tblCellMar>
            <w:top w:w="0" w:type="dxa"/>
            <w:left w:w="0" w:type="dxa"/>
            <w:bottom w:w="0" w:type="dxa"/>
            <w:right w:w="0" w:type="dxa"/>
          </w:tblCellMar>
        </w:tblPrEx>
        <w:trPr>
          <w:trHeight w:val="1122" w:hRule="exact"/>
        </w:trPr>
        <w:tc>
          <w:tcPr>
            <w:tcW w:w="9640" w:type="dxa"/>
            <w:gridSpan w:val="7"/>
            <w:vAlign w:val="center"/>
          </w:tcPr>
          <w:p>
            <w:pPr>
              <w:jc w:val="center"/>
              <w:rPr>
                <w:rFonts w:ascii="Times New Roman" w:hAnsi="Times New Roman" w:eastAsia="黑体" w:cs="Times New Roman"/>
                <w:i/>
                <w:szCs w:val="20"/>
              </w:rPr>
            </w:pPr>
            <w:r>
              <w:rPr>
                <w:rFonts w:hint="eastAsia" w:ascii="Times New Roman" w:hAnsi="Times New Roman" w:eastAsia="黑体" w:cs="Times New Roman"/>
                <w:color w:val="000000"/>
                <w:sz w:val="28"/>
                <w:szCs w:val="28"/>
              </w:rPr>
              <w:t xml:space="preserve">Guidance on the </w:t>
            </w:r>
            <w:r>
              <w:rPr>
                <w:rFonts w:ascii="Times New Roman" w:hAnsi="Times New Roman" w:eastAsia="黑体" w:cs="Times New Roman"/>
                <w:color w:val="000000"/>
                <w:sz w:val="28"/>
                <w:szCs w:val="28"/>
              </w:rPr>
              <w:t>control of</w:t>
            </w:r>
            <w:r>
              <w:rPr>
                <w:rFonts w:hint="eastAsia" w:ascii="Times New Roman" w:hAnsi="Times New Roman" w:eastAsia="黑体" w:cs="Times New Roman"/>
                <w:color w:val="000000"/>
                <w:sz w:val="28"/>
                <w:szCs w:val="28"/>
              </w:rPr>
              <w:t xml:space="preserve"> r</w:t>
            </w:r>
            <w:r>
              <w:rPr>
                <w:rFonts w:ascii="Times New Roman" w:hAnsi="Times New Roman" w:eastAsia="黑体" w:cs="Times New Roman"/>
                <w:color w:val="000000"/>
                <w:sz w:val="28"/>
                <w:szCs w:val="28"/>
              </w:rPr>
              <w:t>adioactive sources for overhaul of VVER</w:t>
            </w:r>
            <w:r>
              <w:rPr>
                <w:rFonts w:hint="eastAsia" w:ascii="Times New Roman" w:hAnsi="Times New Roman" w:eastAsia="黑体" w:cs="Times New Roman"/>
                <w:color w:val="000000"/>
                <w:sz w:val="28"/>
                <w:szCs w:val="28"/>
              </w:rPr>
              <w:t>-</w:t>
            </w:r>
            <w:r>
              <w:rPr>
                <w:rFonts w:ascii="Times New Roman" w:hAnsi="Times New Roman" w:eastAsia="黑体" w:cs="Times New Roman"/>
                <w:color w:val="000000"/>
                <w:sz w:val="28"/>
                <w:szCs w:val="28"/>
              </w:rPr>
              <w:t>type nuclear power plant</w:t>
            </w:r>
          </w:p>
          <w:p>
            <w:pPr>
              <w:spacing w:line="0" w:lineRule="atLeast"/>
              <w:jc w:val="center"/>
              <w:rPr>
                <w:rFonts w:cs="Times New Roman" w:asciiTheme="minorEastAsia" w:hAnsiTheme="minorEastAsia"/>
                <w:color w:val="000000"/>
                <w:sz w:val="22"/>
                <w:szCs w:val="28"/>
              </w:rPr>
            </w:pPr>
            <w:r>
              <w:rPr>
                <w:rFonts w:hint="eastAsia" w:cs="Times New Roman" w:asciiTheme="minorEastAsia" w:hAnsiTheme="minorEastAsia"/>
                <w:color w:val="000000"/>
                <w:sz w:val="22"/>
                <w:szCs w:val="28"/>
              </w:rPr>
              <w:t>（文件类型：征求意见稿）</w:t>
            </w:r>
          </w:p>
          <w:p>
            <w:pPr>
              <w:spacing w:line="0" w:lineRule="atLeast"/>
              <w:jc w:val="center"/>
              <w:rPr>
                <w:rFonts w:cs="Times New Roman" w:asciiTheme="minorEastAsia" w:hAnsiTheme="minorEastAsia"/>
                <w:color w:val="000000"/>
                <w:sz w:val="28"/>
                <w:szCs w:val="28"/>
              </w:rPr>
            </w:pPr>
          </w:p>
        </w:tc>
      </w:tr>
      <w:tr>
        <w:tblPrEx>
          <w:tblCellMar>
            <w:top w:w="0" w:type="dxa"/>
            <w:left w:w="0" w:type="dxa"/>
            <w:bottom w:w="0" w:type="dxa"/>
            <w:right w:w="0" w:type="dxa"/>
          </w:tblCellMar>
        </w:tblPrEx>
        <w:trPr>
          <w:trHeight w:val="454" w:hRule="exact"/>
        </w:trPr>
        <w:tc>
          <w:tcPr>
            <w:tcW w:w="9640" w:type="dxa"/>
            <w:gridSpan w:val="7"/>
            <w:vAlign w:val="center"/>
          </w:tcPr>
          <w:p>
            <w:pPr>
              <w:spacing w:line="360" w:lineRule="exact"/>
              <w:jc w:val="center"/>
              <w:rPr>
                <w:rFonts w:ascii="Calibri" w:hAnsi="Calibri" w:eastAsia="宋体" w:cs="Times New Roman"/>
                <w:b/>
                <w:sz w:val="28"/>
                <w:szCs w:val="28"/>
              </w:rPr>
            </w:pPr>
          </w:p>
        </w:tc>
      </w:tr>
    </w:tbl>
    <w:p>
      <w:pPr>
        <w:rPr>
          <w:rFonts w:ascii="Times New Roman" w:hAnsi="Times New Roman" w:eastAsia="宋体" w:cs="Times New Roman"/>
          <w:szCs w:val="20"/>
        </w:rPr>
      </w:pPr>
    </w:p>
    <w:p>
      <w:pPr>
        <w:rPr>
          <w:rFonts w:ascii="Times New Roman" w:hAnsi="Times New Roman" w:eastAsia="宋体" w:cs="Times New Roman"/>
          <w:szCs w:val="20"/>
        </w:rPr>
      </w:pPr>
    </w:p>
    <w:p>
      <w:pPr>
        <w:rPr>
          <w:rFonts w:ascii="Times New Roman" w:hAnsi="Times New Roman" w:eastAsia="宋体" w:cs="Times New Roman"/>
          <w:szCs w:val="2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r>
        <w:rPr>
          <w:rFonts w:ascii="Times New Roman" w:hAnsi="Times New Roman" w:eastAsia="宋体" w:cs="Times New Roman"/>
          <w:sz w:val="20"/>
          <w:szCs w:val="20"/>
        </w:rPr>
        <w:pict>
          <v:shape id="文本框 23" o:spid="_x0000_s2050" o:spt="202" type="#_x0000_t202" style="position:absolute;left:0pt;margin-left:-36pt;margin-top:654.9pt;height:170.1pt;width:481.9pt;mso-position-vertical-relative:page;z-index:251659264;mso-width-relative:page;mso-height-relative:page;" stroked="f" coordsize="21600,21600"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">
            <v:path/>
            <v:fill focussize="0,0"/>
            <v:stroke on="f" joinstyle="miter"/>
            <v:imagedata o:title=""/>
            <o:lock v:ext="edit"/>
            <v:textbox inset="0mm,0mm,0mm,0mm">
              <w:txbxContent>
                <w:tbl>
                  <w:tblPr>
                    <w:tblStyle w:val="19"/>
                    <w:tblW w:w="9639" w:type="dxa"/>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rPr>
                            <w:rFonts w:ascii="黑体" w:hAnsi="黑体" w:eastAsia="黑体"/>
                          </w:rPr>
                        </w:pPr>
                        <w:r>
                          <w:rPr>
                            <w:rFonts w:hint="eastAsia" w:ascii="黑体" w:hAnsi="黑体" w:eastAsia="黑体"/>
                            <w:spacing w:val="10"/>
                            <w:sz w:val="28"/>
                            <w:szCs w:val="28"/>
                          </w:rPr>
                          <w:t>20**</w:t>
                        </w:r>
                        <w:r>
                          <w:rPr>
                            <w:rFonts w:hint="eastAsia" w:ascii="黑体" w:hAnsi="黑体" w:eastAsia="黑体"/>
                            <w:sz w:val="28"/>
                          </w:rPr>
                          <w:t>-</w:t>
                        </w:r>
                        <w:r>
                          <w:rPr>
                            <w:rFonts w:hint="eastAsia" w:ascii="黑体" w:hAnsi="黑体" w:eastAsia="黑体"/>
                            <w:spacing w:val="10"/>
                            <w:sz w:val="28"/>
                            <w:szCs w:val="28"/>
                          </w:rPr>
                          <w:t>**</w:t>
                        </w:r>
                        <w:r>
                          <w:rPr>
                            <w:rFonts w:hint="eastAsia" w:ascii="黑体" w:hAnsi="黑体" w:eastAsia="黑体"/>
                            <w:sz w:val="28"/>
                          </w:rPr>
                          <w:t>-</w:t>
                        </w:r>
                        <w:r>
                          <w:rPr>
                            <w:rFonts w:hint="eastAsia" w:ascii="黑体" w:hAnsi="黑体" w:eastAsia="黑体"/>
                            <w:spacing w:val="10"/>
                            <w:sz w:val="28"/>
                            <w:szCs w:val="28"/>
                          </w:rPr>
                          <w:t>**</w:t>
                        </w:r>
                        <w:r>
                          <w:rPr>
                            <w:rFonts w:hint="eastAsia" w:ascii="黑体" w:hAnsi="黑体" w:eastAsia="黑体"/>
                            <w:sz w:val="28"/>
                          </w:rPr>
                          <w:t>发布</w:t>
                        </w:r>
                      </w:p>
                    </w:tc>
                    <w:tc>
                      <w:tcPr>
                        <w:tcW w:w="3175" w:type="dxa"/>
                        <w:tcBorders>
                          <w:bottom w:val="single" w:color="auto" w:sz="8" w:space="0"/>
                        </w:tcBorders>
                        <w:vAlign w:val="bottom"/>
                      </w:tcPr>
                      <w:p>
                        <w:pPr>
                          <w:jc w:val="center"/>
                          <w:rPr>
                            <w:rFonts w:ascii="黑体" w:eastAsia="黑体"/>
                            <w:sz w:val="28"/>
                          </w:rPr>
                        </w:pPr>
                      </w:p>
                    </w:tc>
                    <w:tc>
                      <w:tcPr>
                        <w:tcW w:w="3232" w:type="dxa"/>
                        <w:tcBorders>
                          <w:bottom w:val="single" w:color="auto" w:sz="8" w:space="0"/>
                        </w:tcBorders>
                        <w:vAlign w:val="bottom"/>
                      </w:tcPr>
                      <w:p>
                        <w:pPr>
                          <w:jc w:val="right"/>
                          <w:rPr>
                            <w:rFonts w:ascii="黑体" w:hAnsi="黑体" w:eastAsia="黑体"/>
                          </w:rPr>
                        </w:pPr>
                        <w:r>
                          <w:rPr>
                            <w:rFonts w:hint="eastAsia" w:ascii="黑体" w:hAnsi="黑体" w:eastAsia="黑体"/>
                            <w:spacing w:val="10"/>
                            <w:sz w:val="28"/>
                            <w:szCs w:val="28"/>
                          </w:rPr>
                          <w:t>20**</w:t>
                        </w:r>
                        <w:r>
                          <w:rPr>
                            <w:rFonts w:hint="eastAsia" w:ascii="黑体" w:hAnsi="黑体" w:eastAsia="黑体"/>
                            <w:sz w:val="28"/>
                          </w:rPr>
                          <w:t>-</w:t>
                        </w:r>
                        <w:r>
                          <w:rPr>
                            <w:rFonts w:hint="eastAsia" w:ascii="黑体" w:hAnsi="黑体" w:eastAsia="黑体"/>
                            <w:spacing w:val="10"/>
                            <w:sz w:val="28"/>
                            <w:szCs w:val="28"/>
                          </w:rPr>
                          <w:t>**</w:t>
                        </w:r>
                        <w:r>
                          <w:rPr>
                            <w:rFonts w:hint="eastAsia" w:ascii="黑体" w:hAnsi="黑体" w:eastAsia="黑体"/>
                            <w:sz w:val="28"/>
                          </w:rPr>
                          <w:t>-</w:t>
                        </w:r>
                        <w:r>
                          <w:rPr>
                            <w:rFonts w:hint="eastAsia" w:ascii="黑体" w:hAnsi="黑体" w:eastAsia="黑体"/>
                            <w:spacing w:val="10"/>
                            <w:sz w:val="28"/>
                            <w:szCs w:val="28"/>
                          </w:rPr>
                          <w:t>**</w:t>
                        </w:r>
                        <w:r>
                          <w:rPr>
                            <w:rFonts w:hint="eastAsia" w:ascii="黑体" w:hAnsi="黑体" w:eastAsia="黑体"/>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jc w:val="center"/>
                          <w:rPr>
                            <w:sz w:val="30"/>
                            <w:szCs w:val="30"/>
                          </w:rPr>
                        </w:pPr>
                      </w:p>
                    </w:tc>
                  </w:tr>
                </w:tbl>
                <w:p/>
              </w:txbxContent>
            </v:textbox>
          </v:shape>
        </w:pict>
      </w:r>
    </w:p>
    <w:p>
      <w:pPr>
        <w:pStyle w:val="31"/>
        <w:outlineLvl w:val="9"/>
        <w:rPr>
          <w:rFonts w:hAnsi="黑体"/>
        </w:rPr>
      </w:pPr>
      <w:bookmarkStart w:id="0" w:name="_Toc509933846"/>
      <w:bookmarkStart w:id="1" w:name="_Toc510534525"/>
      <w:r>
        <w:rPr>
          <w:rFonts w:hint="eastAsia" w:hAnsi="黑体"/>
        </w:rPr>
        <w:t>目</w:t>
      </w:r>
      <w:bookmarkStart w:id="2" w:name="BKML"/>
      <w:r>
        <w:rPr>
          <w:rFonts w:hAnsi="黑体"/>
        </w:rPr>
        <w:t> </w:t>
      </w:r>
      <w:r>
        <w:rPr>
          <w:rFonts w:hint="eastAsia" w:hAnsi="黑体"/>
        </w:rPr>
        <w:t>次</w:t>
      </w:r>
      <w:bookmarkEnd w:id="0"/>
      <w:bookmarkEnd w:id="1"/>
      <w:bookmarkEnd w:id="2"/>
    </w:p>
    <w:p>
      <w:pPr>
        <w:pStyle w:val="12"/>
        <w:tabs>
          <w:tab w:val="right" w:leader="dot" w:pos="8302"/>
        </w:tabs>
        <w:spacing w:before="0" w:after="0" w:line="360" w:lineRule="auto"/>
        <w:rPr>
          <w:rFonts w:asciiTheme="minorEastAsia" w:hAnsiTheme="minorEastAsia" w:cstheme="minorBidi"/>
          <w:b w:val="0"/>
          <w:bCs w:val="0"/>
          <w:caps w:val="0"/>
          <w:sz w:val="24"/>
          <w:szCs w:val="24"/>
        </w:rPr>
      </w:pPr>
      <w:r>
        <w:rPr>
          <w:rFonts w:cs="Times New Roman" w:asciiTheme="minorEastAsia" w:hAnsiTheme="minorEastAsia"/>
          <w:b w:val="0"/>
          <w:caps w:val="0"/>
          <w:sz w:val="24"/>
          <w:szCs w:val="24"/>
        </w:rPr>
        <w:fldChar w:fldCharType="begin"/>
      </w:r>
      <w:r>
        <w:rPr>
          <w:rFonts w:cs="Times New Roman" w:asciiTheme="minorEastAsia" w:hAnsiTheme="minorEastAsia"/>
          <w:b w:val="0"/>
          <w:caps w:val="0"/>
          <w:sz w:val="24"/>
          <w:szCs w:val="24"/>
        </w:rPr>
        <w:instrText xml:space="preserve"> TOC \o "1-2" \h \z \u </w:instrText>
      </w:r>
      <w:r>
        <w:rPr>
          <w:rFonts w:cs="Times New Roman" w:asciiTheme="minorEastAsia" w:hAnsiTheme="minorEastAsia"/>
          <w:b w:val="0"/>
          <w:caps w:val="0"/>
          <w:sz w:val="24"/>
          <w:szCs w:val="24"/>
        </w:rPr>
        <w:fldChar w:fldCharType="separate"/>
      </w:r>
      <w:r>
        <w:fldChar w:fldCharType="begin"/>
      </w:r>
      <w:r>
        <w:instrText xml:space="preserve"> HYPERLINK \l "_Toc103503473" </w:instrText>
      </w:r>
      <w:r>
        <w:fldChar w:fldCharType="separate"/>
      </w:r>
      <w:r>
        <w:rPr>
          <w:rStyle w:val="22"/>
          <w:rFonts w:hint="eastAsia" w:asciiTheme="minorEastAsia" w:hAnsiTheme="minorEastAsia"/>
          <w:b w:val="0"/>
          <w:sz w:val="24"/>
          <w:szCs w:val="24"/>
        </w:rPr>
        <w:t>前言</w:t>
      </w:r>
      <w:r>
        <w:rPr>
          <w:rFonts w:asciiTheme="minorEastAsia" w:hAnsiTheme="minorEastAsia"/>
          <w:b w:val="0"/>
          <w:sz w:val="24"/>
          <w:szCs w:val="24"/>
        </w:rPr>
        <w:tab/>
      </w:r>
      <w:r>
        <w:rPr>
          <w:rFonts w:asciiTheme="minorEastAsia" w:hAnsiTheme="minorEastAsia"/>
          <w:b w:val="0"/>
          <w:sz w:val="24"/>
          <w:szCs w:val="24"/>
        </w:rPr>
        <w:fldChar w:fldCharType="begin"/>
      </w:r>
      <w:r>
        <w:rPr>
          <w:rFonts w:asciiTheme="minorEastAsia" w:hAnsiTheme="minorEastAsia"/>
          <w:b w:val="0"/>
          <w:sz w:val="24"/>
          <w:szCs w:val="24"/>
        </w:rPr>
        <w:instrText xml:space="preserve"> PAGEREF _Toc103503473 \h </w:instrText>
      </w:r>
      <w:r>
        <w:rPr>
          <w:rFonts w:asciiTheme="minorEastAsia" w:hAnsiTheme="minorEastAsia"/>
          <w:b w:val="0"/>
          <w:sz w:val="24"/>
          <w:szCs w:val="24"/>
        </w:rPr>
        <w:fldChar w:fldCharType="separate"/>
      </w:r>
      <w:r>
        <w:rPr>
          <w:rFonts w:asciiTheme="minorEastAsia" w:hAnsiTheme="minorEastAsia"/>
          <w:b w:val="0"/>
          <w:sz w:val="24"/>
          <w:szCs w:val="24"/>
        </w:rPr>
        <w:t>III</w:t>
      </w:r>
      <w:r>
        <w:rPr>
          <w:rFonts w:asciiTheme="minorEastAsia" w:hAnsiTheme="minorEastAsia"/>
          <w:b w:val="0"/>
          <w:sz w:val="24"/>
          <w:szCs w:val="24"/>
        </w:rPr>
        <w:fldChar w:fldCharType="end"/>
      </w:r>
      <w:r>
        <w:rPr>
          <w:rFonts w:asciiTheme="minorEastAsia" w:hAnsiTheme="minorEastAsia"/>
          <w:b w:val="0"/>
          <w:sz w:val="24"/>
          <w:szCs w:val="24"/>
        </w:rPr>
        <w:fldChar w:fldCharType="end"/>
      </w:r>
    </w:p>
    <w:p>
      <w:pPr>
        <w:pStyle w:val="12"/>
        <w:tabs>
          <w:tab w:val="right" w:leader="dot" w:pos="8302"/>
        </w:tabs>
        <w:spacing w:before="0" w:after="0" w:line="360" w:lineRule="auto"/>
        <w:rPr>
          <w:rFonts w:asciiTheme="minorEastAsia" w:hAnsiTheme="minorEastAsia" w:cstheme="minorBidi"/>
          <w:b w:val="0"/>
          <w:bCs w:val="0"/>
          <w:caps w:val="0"/>
          <w:sz w:val="24"/>
          <w:szCs w:val="24"/>
        </w:rPr>
      </w:pPr>
      <w:r>
        <w:fldChar w:fldCharType="begin"/>
      </w:r>
      <w:r>
        <w:instrText xml:space="preserve"> HYPERLINK \l "_Toc103503474" </w:instrText>
      </w:r>
      <w:r>
        <w:fldChar w:fldCharType="separate"/>
      </w:r>
      <w:r>
        <w:rPr>
          <w:rStyle w:val="22"/>
          <w:rFonts w:hint="eastAsia" w:asciiTheme="minorEastAsia" w:hAnsiTheme="minorEastAsia"/>
          <w:b w:val="0"/>
          <w:sz w:val="24"/>
          <w:szCs w:val="24"/>
        </w:rPr>
        <w:t>引言</w:t>
      </w:r>
      <w:r>
        <w:rPr>
          <w:rFonts w:asciiTheme="minorEastAsia" w:hAnsiTheme="minorEastAsia"/>
          <w:b w:val="0"/>
          <w:sz w:val="24"/>
          <w:szCs w:val="24"/>
        </w:rPr>
        <w:tab/>
      </w:r>
      <w:r>
        <w:rPr>
          <w:rFonts w:asciiTheme="minorEastAsia" w:hAnsiTheme="minorEastAsia"/>
          <w:b w:val="0"/>
          <w:sz w:val="24"/>
          <w:szCs w:val="24"/>
        </w:rPr>
        <w:fldChar w:fldCharType="begin"/>
      </w:r>
      <w:r>
        <w:rPr>
          <w:rFonts w:asciiTheme="minorEastAsia" w:hAnsiTheme="minorEastAsia"/>
          <w:b w:val="0"/>
          <w:sz w:val="24"/>
          <w:szCs w:val="24"/>
        </w:rPr>
        <w:instrText xml:space="preserve"> PAGEREF _Toc103503474 \h </w:instrText>
      </w:r>
      <w:r>
        <w:rPr>
          <w:rFonts w:asciiTheme="minorEastAsia" w:hAnsiTheme="minorEastAsia"/>
          <w:b w:val="0"/>
          <w:sz w:val="24"/>
          <w:szCs w:val="24"/>
        </w:rPr>
        <w:fldChar w:fldCharType="separate"/>
      </w:r>
      <w:r>
        <w:rPr>
          <w:rFonts w:asciiTheme="minorEastAsia" w:hAnsiTheme="minorEastAsia"/>
          <w:b w:val="0"/>
          <w:sz w:val="24"/>
          <w:szCs w:val="24"/>
        </w:rPr>
        <w:t>IV</w:t>
      </w:r>
      <w:r>
        <w:rPr>
          <w:rFonts w:asciiTheme="minorEastAsia" w:hAnsiTheme="minorEastAsia"/>
          <w:b w:val="0"/>
          <w:sz w:val="24"/>
          <w:szCs w:val="24"/>
        </w:rPr>
        <w:fldChar w:fldCharType="end"/>
      </w:r>
      <w:r>
        <w:rPr>
          <w:rFonts w:asciiTheme="minorEastAsia" w:hAnsiTheme="minorEastAsia"/>
          <w:b w:val="0"/>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"_Toc103503475" </w:instrText>
      </w:r>
      <w:r>
        <w:fldChar w:fldCharType="separate"/>
      </w:r>
      <w:r>
        <w:rPr>
          <w:rStyle w:val="22"/>
          <w:rFonts w:asciiTheme="minorEastAsia" w:hAnsiTheme="minorEastAsia"/>
          <w:sz w:val="24"/>
          <w:szCs w:val="24"/>
        </w:rPr>
        <w:t>1</w:t>
      </w:r>
      <w:r>
        <w:rPr>
          <w:rStyle w:val="22"/>
          <w:rFonts w:hint="eastAsia" w:asciiTheme="minorEastAsia" w:hAnsiTheme="minorEastAsia"/>
          <w:sz w:val="24"/>
          <w:szCs w:val="24"/>
        </w:rPr>
        <w:t xml:space="preserve"> 范围</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_Toc103503475 \h </w:instrText>
      </w:r>
      <w:r>
        <w:rPr>
          <w:rFonts w:asciiTheme="minorEastAsia" w:hAnsiTheme="minorEastAsia"/>
          <w:sz w:val="24"/>
          <w:szCs w:val="24"/>
        </w:rPr>
        <w:fldChar w:fldCharType="separate"/>
      </w:r>
      <w:r>
        <w:rPr>
          <w:rFonts w:asciiTheme="minorEastAsia" w:hAnsiTheme="minorEastAsia"/>
          <w:sz w:val="24"/>
          <w:szCs w:val="24"/>
        </w:rPr>
        <w:t>5</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"_Toc103503476" </w:instrText>
      </w:r>
      <w:r>
        <w:fldChar w:fldCharType="separate"/>
      </w:r>
      <w:r>
        <w:rPr>
          <w:rStyle w:val="22"/>
          <w:rFonts w:asciiTheme="minorEastAsia" w:hAnsiTheme="minorEastAsia"/>
          <w:sz w:val="24"/>
          <w:szCs w:val="24"/>
        </w:rPr>
        <w:t>2</w:t>
      </w:r>
      <w:r>
        <w:rPr>
          <w:rStyle w:val="22"/>
          <w:rFonts w:hint="eastAsia" w:asciiTheme="minorEastAsia" w:hAnsiTheme="minorEastAsia"/>
          <w:sz w:val="24"/>
          <w:szCs w:val="24"/>
        </w:rPr>
        <w:t xml:space="preserve"> 规范性引用文件</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_Toc103503476 \h </w:instrText>
      </w:r>
      <w:r>
        <w:rPr>
          <w:rFonts w:asciiTheme="minorEastAsia" w:hAnsiTheme="minorEastAsia"/>
          <w:sz w:val="24"/>
          <w:szCs w:val="24"/>
        </w:rPr>
        <w:fldChar w:fldCharType="separate"/>
      </w:r>
      <w:r>
        <w:rPr>
          <w:rFonts w:asciiTheme="minorEastAsia" w:hAnsiTheme="minorEastAsia"/>
          <w:sz w:val="24"/>
          <w:szCs w:val="24"/>
        </w:rPr>
        <w:t>5</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"_Toc103503477" </w:instrText>
      </w:r>
      <w:r>
        <w:fldChar w:fldCharType="separate"/>
      </w:r>
      <w:r>
        <w:rPr>
          <w:rStyle w:val="22"/>
          <w:rFonts w:asciiTheme="minorEastAsia" w:hAnsiTheme="minorEastAsia"/>
          <w:sz w:val="24"/>
          <w:szCs w:val="24"/>
        </w:rPr>
        <w:t>3</w:t>
      </w:r>
      <w:r>
        <w:rPr>
          <w:rStyle w:val="22"/>
          <w:rFonts w:hint="eastAsia" w:asciiTheme="minorEastAsia" w:hAnsiTheme="minorEastAsia"/>
          <w:sz w:val="24"/>
          <w:szCs w:val="24"/>
        </w:rPr>
        <w:t xml:space="preserve"> 术语和定义</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_Toc103503477 \h </w:instrText>
      </w:r>
      <w:r>
        <w:rPr>
          <w:rFonts w:asciiTheme="minorEastAsia" w:hAnsiTheme="minorEastAsia"/>
          <w:sz w:val="24"/>
          <w:szCs w:val="24"/>
        </w:rPr>
        <w:fldChar w:fldCharType="separate"/>
      </w:r>
      <w:r>
        <w:rPr>
          <w:rFonts w:asciiTheme="minorEastAsia" w:hAnsiTheme="minorEastAsia"/>
          <w:sz w:val="24"/>
          <w:szCs w:val="24"/>
        </w:rPr>
        <w:t>5</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"_Toc103503478" </w:instrText>
      </w:r>
      <w:r>
        <w:fldChar w:fldCharType="separate"/>
      </w:r>
      <w:r>
        <w:rPr>
          <w:rStyle w:val="22"/>
          <w:rFonts w:asciiTheme="minorEastAsia" w:hAnsiTheme="minorEastAsia"/>
          <w:sz w:val="24"/>
          <w:szCs w:val="24"/>
        </w:rPr>
        <w:t>4</w:t>
      </w:r>
      <w:r>
        <w:rPr>
          <w:rStyle w:val="22"/>
          <w:rFonts w:hint="eastAsia" w:asciiTheme="minorEastAsia" w:hAnsiTheme="minorEastAsia"/>
          <w:sz w:val="24"/>
          <w:szCs w:val="24"/>
        </w:rPr>
        <w:t xml:space="preserve"> 基本要求</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_Toc103503478 \h </w:instrText>
      </w:r>
      <w:r>
        <w:rPr>
          <w:rFonts w:asciiTheme="minorEastAsia" w:hAnsiTheme="minorEastAsia"/>
          <w:sz w:val="24"/>
          <w:szCs w:val="24"/>
        </w:rPr>
        <w:fldChar w:fldCharType="separate"/>
      </w:r>
      <w:r>
        <w:rPr>
          <w:rFonts w:asciiTheme="minorEastAsia" w:hAnsiTheme="minorEastAsia"/>
          <w:sz w:val="24"/>
          <w:szCs w:val="24"/>
        </w:rPr>
        <w:t>5</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"_Toc103503479" </w:instrText>
      </w:r>
      <w:r>
        <w:fldChar w:fldCharType="separate"/>
      </w:r>
      <w:r>
        <w:rPr>
          <w:rStyle w:val="22"/>
          <w:rFonts w:asciiTheme="minorEastAsia" w:hAnsiTheme="minorEastAsia"/>
          <w:sz w:val="24"/>
          <w:szCs w:val="24"/>
        </w:rPr>
        <w:t>5</w:t>
      </w:r>
      <w:r>
        <w:rPr>
          <w:rStyle w:val="22"/>
          <w:rFonts w:hint="eastAsia" w:asciiTheme="minorEastAsia" w:hAnsiTheme="minorEastAsia"/>
          <w:sz w:val="24"/>
          <w:szCs w:val="24"/>
        </w:rPr>
        <w:t xml:space="preserve"> 一般控制措施</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_Toc103503479 \h </w:instrText>
      </w:r>
      <w:r>
        <w:rPr>
          <w:rFonts w:asciiTheme="minorEastAsia" w:hAnsiTheme="minorEastAsia"/>
          <w:sz w:val="24"/>
          <w:szCs w:val="24"/>
        </w:rPr>
        <w:fldChar w:fldCharType="separate"/>
      </w:r>
      <w:r>
        <w:rPr>
          <w:rFonts w:asciiTheme="minorEastAsia" w:hAnsiTheme="minorEastAsia"/>
          <w:sz w:val="24"/>
          <w:szCs w:val="24"/>
        </w:rPr>
        <w:t>6</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"_Toc103503480" </w:instrText>
      </w:r>
      <w:r>
        <w:fldChar w:fldCharType="separate"/>
      </w:r>
      <w:r>
        <w:rPr>
          <w:rStyle w:val="22"/>
          <w:rFonts w:asciiTheme="minorEastAsia" w:hAnsiTheme="minorEastAsia"/>
          <w:sz w:val="24"/>
          <w:szCs w:val="24"/>
        </w:rPr>
        <w:t>6</w:t>
      </w:r>
      <w:r>
        <w:rPr>
          <w:rStyle w:val="22"/>
          <w:rFonts w:hint="eastAsia" w:asciiTheme="minorEastAsia" w:hAnsiTheme="minorEastAsia"/>
          <w:sz w:val="24"/>
          <w:szCs w:val="24"/>
        </w:rPr>
        <w:t xml:space="preserve"> 特殊控制措施</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_Toc103503480 \h </w:instrText>
      </w:r>
      <w:r>
        <w:rPr>
          <w:rFonts w:asciiTheme="minorEastAsia" w:hAnsiTheme="minorEastAsia"/>
          <w:sz w:val="24"/>
          <w:szCs w:val="24"/>
        </w:rPr>
        <w:fldChar w:fldCharType="separate"/>
      </w:r>
      <w:r>
        <w:rPr>
          <w:rFonts w:asciiTheme="minorEastAsia" w:hAnsiTheme="minorEastAsia"/>
          <w:sz w:val="24"/>
          <w:szCs w:val="24"/>
        </w:rPr>
        <w:t>7</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"_Toc103503481" </w:instrText>
      </w:r>
      <w:r>
        <w:fldChar w:fldCharType="separate"/>
      </w:r>
      <w:r>
        <w:rPr>
          <w:rStyle w:val="22"/>
          <w:rFonts w:asciiTheme="minorEastAsia" w:hAnsiTheme="minorEastAsia"/>
          <w:sz w:val="24"/>
          <w:szCs w:val="24"/>
        </w:rPr>
        <w:t>7</w:t>
      </w:r>
      <w:r>
        <w:rPr>
          <w:rStyle w:val="22"/>
          <w:rFonts w:hint="eastAsia" w:asciiTheme="minorEastAsia" w:hAnsiTheme="minorEastAsia"/>
          <w:sz w:val="24"/>
          <w:szCs w:val="24"/>
        </w:rPr>
        <w:t xml:space="preserve"> 净化效果评价</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_Toc103503481 \h </w:instrText>
      </w:r>
      <w:r>
        <w:rPr>
          <w:rFonts w:asciiTheme="minorEastAsia" w:hAnsiTheme="minorEastAsia"/>
          <w:sz w:val="24"/>
          <w:szCs w:val="24"/>
        </w:rPr>
        <w:fldChar w:fldCharType="separate"/>
      </w:r>
      <w:r>
        <w:rPr>
          <w:rFonts w:asciiTheme="minorEastAsia" w:hAnsiTheme="minorEastAsia"/>
          <w:sz w:val="24"/>
          <w:szCs w:val="24"/>
        </w:rPr>
        <w:t>7</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"_Toc103503482" </w:instrText>
      </w:r>
      <w:r>
        <w:fldChar w:fldCharType="separate"/>
      </w:r>
      <w:r>
        <w:rPr>
          <w:rStyle w:val="22"/>
          <w:rFonts w:hint="eastAsia" w:cs="Times New Roman" w:asciiTheme="minorEastAsia" w:hAnsiTheme="minorEastAsia"/>
          <w:kern w:val="0"/>
          <w:sz w:val="24"/>
          <w:szCs w:val="24"/>
        </w:rPr>
        <w:t xml:space="preserve">附录A </w:t>
      </w:r>
      <w:r>
        <w:rPr>
          <w:rStyle w:val="22"/>
          <w:rFonts w:cs="Times New Roman" w:asciiTheme="minorEastAsia" w:hAnsiTheme="minorEastAsia"/>
          <w:kern w:val="0"/>
          <w:sz w:val="24"/>
          <w:szCs w:val="24"/>
        </w:rPr>
        <w:t>VVER</w:t>
      </w:r>
      <w:r>
        <w:rPr>
          <w:rStyle w:val="22"/>
          <w:rFonts w:hint="eastAsia" w:cs="Times New Roman" w:asciiTheme="minorEastAsia" w:hAnsiTheme="minorEastAsia"/>
          <w:kern w:val="0"/>
          <w:sz w:val="24"/>
          <w:szCs w:val="24"/>
        </w:rPr>
        <w:t>型机组大修放射性源项控制框图</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_Toc103503482 \h </w:instrText>
      </w:r>
      <w:r>
        <w:rPr>
          <w:rFonts w:asciiTheme="minorEastAsia" w:hAnsiTheme="minorEastAsia"/>
          <w:sz w:val="24"/>
          <w:szCs w:val="24"/>
        </w:rPr>
        <w:fldChar w:fldCharType="separate"/>
      </w:r>
      <w:r>
        <w:rPr>
          <w:rFonts w:asciiTheme="minorEastAsia" w:hAnsiTheme="minorEastAsia"/>
          <w:sz w:val="24"/>
          <w:szCs w:val="24"/>
        </w:rPr>
        <w:t>9</w:t>
      </w:r>
      <w:r>
        <w:rPr>
          <w:rFonts w:asciiTheme="minorEastAsia" w:hAnsiTheme="minorEastAsia"/>
          <w:sz w:val="24"/>
          <w:szCs w:val="24"/>
        </w:rPr>
        <w:fldChar w:fldCharType="end"/>
      </w:r>
      <w:r>
        <w:rPr>
          <w:rFonts w:asciiTheme="minorEastAsia" w:hAnsiTheme="minorEastAsia"/>
          <w:sz w:val="24"/>
          <w:szCs w:val="24"/>
        </w:rPr>
        <w:fldChar w:fldCharType="end"/>
      </w:r>
    </w:p>
    <w:p>
      <w:pPr>
        <w:pStyle w:val="15"/>
        <w:tabs>
          <w:tab w:val="right" w:leader="dot" w:pos="8302"/>
        </w:tabs>
        <w:spacing w:line="360" w:lineRule="auto"/>
        <w:ind w:left="0"/>
        <w:rPr>
          <w:rFonts w:asciiTheme="minorEastAsia" w:hAnsiTheme="minorEastAsia" w:cstheme="minorBidi"/>
          <w:smallCaps w:val="0"/>
          <w:sz w:val="24"/>
          <w:szCs w:val="24"/>
        </w:rPr>
      </w:pPr>
      <w:r>
        <w:fldChar w:fldCharType="begin"/>
      </w:r>
      <w:r>
        <w:instrText xml:space="preserve"> HYPERLINK \l "_Toc103503484" </w:instrText>
      </w:r>
      <w:r>
        <w:fldChar w:fldCharType="separate"/>
      </w:r>
      <w:r>
        <w:rPr>
          <w:rStyle w:val="22"/>
          <w:rFonts w:hint="eastAsia" w:cs="Times New Roman" w:asciiTheme="minorEastAsia" w:hAnsiTheme="minorEastAsia"/>
          <w:kern w:val="0"/>
          <w:sz w:val="24"/>
          <w:szCs w:val="24"/>
        </w:rPr>
        <w:t>附录B 特殊控制措施净化流程示意图</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_Toc103503484 \h </w:instrText>
      </w:r>
      <w:r>
        <w:rPr>
          <w:rFonts w:asciiTheme="minorEastAsia" w:hAnsiTheme="minorEastAsia"/>
          <w:sz w:val="24"/>
          <w:szCs w:val="24"/>
        </w:rPr>
        <w:fldChar w:fldCharType="separate"/>
      </w:r>
      <w:r>
        <w:rPr>
          <w:rFonts w:asciiTheme="minorEastAsia" w:hAnsiTheme="minorEastAsia"/>
          <w:sz w:val="24"/>
          <w:szCs w:val="24"/>
        </w:rPr>
        <w:t>10</w:t>
      </w:r>
      <w:r>
        <w:rPr>
          <w:rFonts w:asciiTheme="minorEastAsia" w:hAnsiTheme="minorEastAsia"/>
          <w:sz w:val="24"/>
          <w:szCs w:val="24"/>
        </w:rPr>
        <w:fldChar w:fldCharType="end"/>
      </w:r>
      <w:r>
        <w:rPr>
          <w:rFonts w:asciiTheme="minorEastAsia" w:hAnsiTheme="minorEastAsia"/>
          <w:sz w:val="24"/>
          <w:szCs w:val="24"/>
        </w:rPr>
        <w:fldChar w:fldCharType="end"/>
      </w:r>
    </w:p>
    <w:p>
      <w:pPr>
        <w:pStyle w:val="12"/>
        <w:tabs>
          <w:tab w:val="right" w:leader="dot" w:pos="8302"/>
        </w:tabs>
        <w:spacing w:before="0" w:after="0" w:line="360" w:lineRule="auto"/>
        <w:rPr>
          <w:rFonts w:asciiTheme="minorEastAsia" w:hAnsiTheme="minorEastAsia" w:cstheme="minorBidi"/>
          <w:b w:val="0"/>
          <w:bCs w:val="0"/>
          <w:caps w:val="0"/>
          <w:sz w:val="24"/>
          <w:szCs w:val="24"/>
        </w:rPr>
      </w:pPr>
      <w:r>
        <w:fldChar w:fldCharType="begin"/>
      </w:r>
      <w:r>
        <w:instrText xml:space="preserve"> HYPERLINK \l "_Toc103503486" </w:instrText>
      </w:r>
      <w:r>
        <w:fldChar w:fldCharType="separate"/>
      </w:r>
      <w:r>
        <w:rPr>
          <w:rStyle w:val="22"/>
          <w:rFonts w:hint="eastAsia" w:asciiTheme="minorEastAsia" w:hAnsiTheme="minorEastAsia"/>
          <w:b w:val="0"/>
          <w:sz w:val="24"/>
          <w:szCs w:val="24"/>
        </w:rPr>
        <w:t>参</w:t>
      </w:r>
      <w:r>
        <w:rPr>
          <w:rStyle w:val="22"/>
          <w:rFonts w:asciiTheme="minorEastAsia" w:hAnsiTheme="minorEastAsia"/>
          <w:b w:val="0"/>
          <w:sz w:val="24"/>
          <w:szCs w:val="24"/>
        </w:rPr>
        <w:t xml:space="preserve"> </w:t>
      </w:r>
      <w:r>
        <w:rPr>
          <w:rStyle w:val="22"/>
          <w:rFonts w:hint="eastAsia" w:asciiTheme="minorEastAsia" w:hAnsiTheme="minorEastAsia"/>
          <w:b w:val="0"/>
          <w:sz w:val="24"/>
          <w:szCs w:val="24"/>
        </w:rPr>
        <w:t>考</w:t>
      </w:r>
      <w:r>
        <w:rPr>
          <w:rStyle w:val="22"/>
          <w:rFonts w:asciiTheme="minorEastAsia" w:hAnsiTheme="minorEastAsia"/>
          <w:b w:val="0"/>
          <w:sz w:val="24"/>
          <w:szCs w:val="24"/>
        </w:rPr>
        <w:t xml:space="preserve"> </w:t>
      </w:r>
      <w:r>
        <w:rPr>
          <w:rStyle w:val="22"/>
          <w:rFonts w:hint="eastAsia" w:asciiTheme="minorEastAsia" w:hAnsiTheme="minorEastAsia"/>
          <w:b w:val="0"/>
          <w:sz w:val="24"/>
          <w:szCs w:val="24"/>
        </w:rPr>
        <w:t>文</w:t>
      </w:r>
      <w:r>
        <w:rPr>
          <w:rStyle w:val="22"/>
          <w:rFonts w:asciiTheme="minorEastAsia" w:hAnsiTheme="minorEastAsia"/>
          <w:b w:val="0"/>
          <w:sz w:val="24"/>
          <w:szCs w:val="24"/>
        </w:rPr>
        <w:t xml:space="preserve"> </w:t>
      </w:r>
      <w:r>
        <w:rPr>
          <w:rStyle w:val="22"/>
          <w:rFonts w:hint="eastAsia" w:asciiTheme="minorEastAsia" w:hAnsiTheme="minorEastAsia"/>
          <w:b w:val="0"/>
          <w:sz w:val="24"/>
          <w:szCs w:val="24"/>
        </w:rPr>
        <w:t>献</w:t>
      </w:r>
      <w:r>
        <w:rPr>
          <w:rFonts w:asciiTheme="minorEastAsia" w:hAnsiTheme="minorEastAsia"/>
          <w:b w:val="0"/>
          <w:sz w:val="24"/>
          <w:szCs w:val="24"/>
        </w:rPr>
        <w:tab/>
      </w:r>
      <w:r>
        <w:rPr>
          <w:rFonts w:asciiTheme="minorEastAsia" w:hAnsiTheme="minorEastAsia"/>
          <w:b w:val="0"/>
          <w:sz w:val="24"/>
          <w:szCs w:val="24"/>
        </w:rPr>
        <w:fldChar w:fldCharType="begin"/>
      </w:r>
      <w:r>
        <w:rPr>
          <w:rFonts w:asciiTheme="minorEastAsia" w:hAnsiTheme="minorEastAsia"/>
          <w:b w:val="0"/>
          <w:sz w:val="24"/>
          <w:szCs w:val="24"/>
        </w:rPr>
        <w:instrText xml:space="preserve"> PAGEREF _Toc103503486 \h </w:instrText>
      </w:r>
      <w:r>
        <w:rPr>
          <w:rFonts w:asciiTheme="minorEastAsia" w:hAnsiTheme="minorEastAsia"/>
          <w:b w:val="0"/>
          <w:sz w:val="24"/>
          <w:szCs w:val="24"/>
        </w:rPr>
        <w:fldChar w:fldCharType="separate"/>
      </w:r>
      <w:r>
        <w:rPr>
          <w:rFonts w:asciiTheme="minorEastAsia" w:hAnsiTheme="minorEastAsia"/>
          <w:b w:val="0"/>
          <w:sz w:val="24"/>
          <w:szCs w:val="24"/>
        </w:rPr>
        <w:t>11</w:t>
      </w:r>
      <w:r>
        <w:rPr>
          <w:rFonts w:asciiTheme="minorEastAsia" w:hAnsiTheme="minorEastAsia"/>
          <w:b w:val="0"/>
          <w:sz w:val="24"/>
          <w:szCs w:val="24"/>
        </w:rPr>
        <w:fldChar w:fldCharType="end"/>
      </w:r>
      <w:r>
        <w:rPr>
          <w:rFonts w:asciiTheme="minorEastAsia" w:hAnsiTheme="minorEastAsia"/>
          <w:b w:val="0"/>
          <w:sz w:val="24"/>
          <w:szCs w:val="24"/>
        </w:rPr>
        <w:fldChar w:fldCharType="end"/>
      </w:r>
    </w:p>
    <w:p>
      <w:pPr>
        <w:spacing w:line="360" w:lineRule="auto"/>
      </w:pPr>
      <w:r>
        <w:rPr>
          <w:rFonts w:cs="Times New Roman" w:asciiTheme="minorEastAsia" w:hAnsiTheme="minorEastAsia"/>
          <w:caps/>
          <w:sz w:val="24"/>
          <w:szCs w:val="24"/>
        </w:rPr>
        <w:fldChar w:fldCharType="end"/>
      </w:r>
    </w:p>
    <w:p/>
    <w:p/>
    <w:p>
      <w:pPr>
        <w:ind w:firstLine="420" w:firstLineChars="200"/>
      </w:pPr>
      <w:r>
        <w:br w:type="page"/>
      </w:r>
    </w:p>
    <w:p>
      <w:pPr>
        <w:pStyle w:val="63"/>
        <w:spacing w:after="360"/>
      </w:pPr>
      <w:bookmarkStart w:id="3" w:name="_Toc124150059"/>
      <w:r>
        <w:rPr>
          <w:spacing w:val="320"/>
        </w:rPr>
        <w:t>前</w:t>
      </w:r>
      <w:r>
        <w:t>言</w:t>
      </w:r>
      <w:bookmarkEnd w:id="3"/>
    </w:p>
    <w:p>
      <w:pPr>
        <w:pStyle w:val="27"/>
        <w:ind w:firstLine="420"/>
        <w:rPr>
          <w:rFonts w:ascii="Times New Roman"/>
        </w:rPr>
      </w:pPr>
      <w:r>
        <w:rPr>
          <w:rFonts w:hint="eastAsia" w:ascii="Times New Roman"/>
        </w:rPr>
        <w:t>本文件按照GB/T 1.1—2020《标准化工作导则  第1部分：标准化文件的结构和起草规则》的规定起草。</w:t>
      </w:r>
    </w:p>
    <w:p>
      <w:pPr>
        <w:pStyle w:val="27"/>
        <w:ind w:firstLine="420"/>
        <w:rPr>
          <w:rFonts w:ascii="Times New Roman"/>
        </w:rPr>
      </w:pPr>
      <w:r>
        <w:rPr>
          <w:rFonts w:hint="eastAsia" w:ascii="Times New Roman"/>
        </w:rPr>
        <w:t>本文件由中国核学会提出。</w:t>
      </w:r>
    </w:p>
    <w:p>
      <w:pPr>
        <w:pStyle w:val="27"/>
        <w:ind w:firstLine="420"/>
        <w:rPr>
          <w:rFonts w:ascii="Times New Roman"/>
        </w:rPr>
      </w:pPr>
      <w:r>
        <w:rPr>
          <w:rFonts w:hint="eastAsia" w:ascii="Times New Roman"/>
        </w:rPr>
        <w:t>本文件由核工业标准化研究所归口。</w:t>
      </w:r>
    </w:p>
    <w:p>
      <w:pPr>
        <w:pStyle w:val="27"/>
        <w:ind w:firstLine="420"/>
        <w:rPr>
          <w:rFonts w:ascii="Times New Roman"/>
        </w:rPr>
      </w:pPr>
      <w:r>
        <w:rPr>
          <w:rFonts w:hint="eastAsia" w:ascii="Times New Roman"/>
        </w:rPr>
        <w:t>本文件起草单位：江苏核电有限公司、核电运行研究（上海）有限公司、辽宁核电有限公司。</w:t>
      </w:r>
    </w:p>
    <w:p>
      <w:pPr>
        <w:pStyle w:val="27"/>
        <w:ind w:firstLine="420"/>
        <w:rPr>
          <w:rFonts w:ascii="Times New Roman"/>
          <w:color w:val="FF0000"/>
        </w:rPr>
      </w:pPr>
      <w:r>
        <w:rPr>
          <w:rFonts w:hint="eastAsia" w:ascii="Times New Roman"/>
        </w:rPr>
        <w:t>本文件主要起草人：</w:t>
      </w:r>
      <w:r>
        <w:rPr>
          <w:rFonts w:hint="eastAsia" w:ascii="Times New Roman"/>
          <w:spacing w:val="-15"/>
        </w:rPr>
        <w:t>。</w:t>
      </w:r>
    </w:p>
    <w:p>
      <w:pPr>
        <w:pStyle w:val="27"/>
        <w:ind w:firstLine="420"/>
        <w:rPr>
          <w:rFonts w:hAnsi="宋体"/>
        </w:rPr>
      </w:pPr>
    </w:p>
    <w:p>
      <w:pPr>
        <w:pStyle w:val="27"/>
        <w:ind w:firstLine="420"/>
      </w:pPr>
      <w:r>
        <w:br w:type="page"/>
      </w:r>
    </w:p>
    <w:p>
      <w:pPr>
        <w:pStyle w:val="34"/>
      </w:pPr>
      <w:bookmarkStart w:id="4" w:name="_Toc103503474"/>
      <w:bookmarkStart w:id="5" w:name="_Toc510534526"/>
      <w:bookmarkStart w:id="6" w:name="_Toc509933847"/>
      <w:bookmarkStart w:id="7" w:name="_Toc436205034"/>
      <w:r>
        <w:rPr>
          <w:rFonts w:hint="eastAsia"/>
        </w:rPr>
        <w:t>引</w:t>
      </w:r>
      <w:bookmarkStart w:id="8" w:name="BKYY"/>
      <w:r>
        <w:t> </w:t>
      </w:r>
      <w:r>
        <w:rPr>
          <w:rFonts w:hint="eastAsia"/>
        </w:rPr>
        <w:t>言</w:t>
      </w:r>
      <w:bookmarkEnd w:id="4"/>
      <w:bookmarkEnd w:id="5"/>
      <w:bookmarkEnd w:id="6"/>
      <w:bookmarkEnd w:id="7"/>
      <w:bookmarkEnd w:id="8"/>
    </w:p>
    <w:p>
      <w:pPr>
        <w:pStyle w:val="27"/>
        <w:numPr>
          <w:ilvl w:val="0"/>
          <w:numId w:val="6"/>
        </w:numPr>
        <w:spacing w:line="360" w:lineRule="auto"/>
        <w:ind w:firstLine="420"/>
        <w:jc w:val="left"/>
        <w:rPr>
          <w:rFonts w:hAnsi="宋体"/>
          <w:szCs w:val="21"/>
        </w:rPr>
      </w:pPr>
      <w:r>
        <w:rPr>
          <w:rFonts w:hint="eastAsia"/>
        </w:rPr>
        <w:t>集体剂量是中国核电安全状态指标之一，同时也是WANO性能指标之一。它体现了核电机组的运行、维修和安全的综合管理水平。随着机组运行年限的增加，一回路活化腐蚀产物不断增加，机组辐射源项随之上升，给核电厂集体剂量控制带来持续增加的挑战。</w:t>
      </w:r>
    </w:p>
    <w:p>
      <w:pPr>
        <w:pStyle w:val="27"/>
        <w:numPr>
          <w:ilvl w:val="0"/>
          <w:numId w:val="6"/>
        </w:numPr>
        <w:spacing w:line="360" w:lineRule="auto"/>
        <w:ind w:firstLine="420"/>
        <w:jc w:val="left"/>
        <w:rPr>
          <w:rFonts w:hAnsi="宋体"/>
          <w:szCs w:val="21"/>
        </w:rPr>
      </w:pPr>
      <w:r>
        <w:rPr>
          <w:rFonts w:hint="eastAsia"/>
        </w:rPr>
        <w:t>核电厂源项控制效果的好坏，直接关系到电厂集体剂量的控制效果。目前国内外没有VVER机组的源项控制标准文件或者指导文件，尤其对于新建核电厂，需要重新摸索建立源项控制体系，不利于集体剂量的控制体系建设。因此，有必要编制VVER型核电机组大修放射性源项控制指南，以指导相关电厂开展源项控制工作。</w:t>
      </w:r>
    </w:p>
    <w:p>
      <w:pPr>
        <w:pStyle w:val="27"/>
        <w:ind w:firstLine="420"/>
        <w:rPr>
          <w:rFonts w:hAnsi="宋体"/>
          <w:szCs w:val="21"/>
        </w:rPr>
      </w:pPr>
    </w:p>
    <w:p>
      <w:pPr>
        <w:pStyle w:val="27"/>
        <w:ind w:firstLine="420"/>
      </w:pPr>
    </w:p>
    <w:p>
      <w:pPr>
        <w:pStyle w:val="27"/>
        <w:ind w:firstLine="199" w:firstLineChars="95"/>
        <w:sectPr>
          <w:pgSz w:w="11906" w:h="16838"/>
          <w:pgMar w:top="1440" w:right="1797" w:bottom="1440" w:left="1797" w:header="1418" w:footer="1134" w:gutter="0"/>
          <w:pgNumType w:fmt="upperRoman" w:start="1"/>
          <w:cols w:space="720" w:num="1"/>
          <w:formProt w:val="0"/>
          <w:docGrid w:linePitch="312" w:charSpace="0"/>
        </w:sectPr>
      </w:pPr>
    </w:p>
    <w:tbl>
      <w:tblPr>
        <w:tblStyle w:val="19"/>
        <w:tblW w:w="9356" w:type="dxa"/>
        <w:tblInd w:w="0" w:type="dxa"/>
        <w:tblLayout w:type="fixed"/>
        <w:tblCellMar>
          <w:top w:w="0" w:type="dxa"/>
          <w:left w:w="0" w:type="dxa"/>
          <w:bottom w:w="0" w:type="dxa"/>
          <w:right w:w="0" w:type="dxa"/>
        </w:tblCellMar>
      </w:tblPr>
      <w:tblGrid>
        <w:gridCol w:w="9356"/>
      </w:tblGrid>
      <w:tr>
        <w:tblPrEx>
          <w:tblCellMar>
            <w:top w:w="0" w:type="dxa"/>
            <w:left w:w="0" w:type="dxa"/>
            <w:bottom w:w="0" w:type="dxa"/>
            <w:right w:w="0" w:type="dxa"/>
          </w:tblCellMar>
        </w:tblPrEx>
        <w:trPr>
          <w:trHeight w:val="360" w:hRule="exact"/>
        </w:trPr>
        <w:tc>
          <w:tcPr>
            <w:tcW w:w="9356" w:type="dxa"/>
            <w:vAlign w:val="center"/>
          </w:tcPr>
          <w:p>
            <w:pPr>
              <w:pStyle w:val="31"/>
              <w:spacing w:before="0" w:after="0" w:line="360" w:lineRule="exact"/>
              <w:outlineLvl w:val="9"/>
              <w:rPr>
                <w:szCs w:val="32"/>
              </w:rPr>
            </w:pPr>
            <w:r>
              <w:rPr>
                <w:rFonts w:hint="eastAsia"/>
              </w:rPr>
              <w:t>VVER型核电机组大修放射性源项控制指南</w:t>
            </w:r>
          </w:p>
          <w:p/>
          <w:p/>
          <w:p/>
          <w:p/>
          <w:p/>
          <w:p/>
          <w:p/>
          <w:p/>
          <w:p/>
          <w:p/>
          <w:p>
            <w:pPr>
              <w:spacing w:line="360" w:lineRule="exact"/>
              <w:jc w:val="center"/>
              <w:rPr>
                <w:rFonts w:ascii="黑体" w:eastAsia="黑体"/>
                <w:sz w:val="32"/>
                <w:szCs w:val="32"/>
              </w:rPr>
            </w:pPr>
          </w:p>
        </w:tc>
      </w:tr>
      <w:tr>
        <w:tblPrEx>
          <w:tblCellMar>
            <w:top w:w="0" w:type="dxa"/>
            <w:left w:w="0" w:type="dxa"/>
            <w:bottom w:w="0" w:type="dxa"/>
            <w:right w:w="0" w:type="dxa"/>
          </w:tblCellMar>
        </w:tblPrEx>
        <w:trPr>
          <w:trHeight w:val="316" w:hRule="exact"/>
        </w:trPr>
        <w:tc>
          <w:tcPr>
            <w:tcW w:w="9356" w:type="dxa"/>
          </w:tcPr>
          <w:p>
            <w:pPr>
              <w:jc w:val="center"/>
              <w:rPr>
                <w:rFonts w:ascii="黑体" w:eastAsia="黑体"/>
                <w:sz w:val="32"/>
                <w:szCs w:val="32"/>
              </w:rPr>
            </w:pPr>
          </w:p>
        </w:tc>
      </w:tr>
    </w:tbl>
    <w:p>
      <w:pPr>
        <w:pStyle w:val="26"/>
        <w:numPr>
          <w:ilvl w:val="0"/>
          <w:numId w:val="2"/>
        </w:numPr>
        <w:spacing w:before="240" w:beforeLines="100" w:after="240" w:afterLines="100"/>
        <w:rPr>
          <w:rFonts w:ascii="Times New Roman"/>
        </w:rPr>
      </w:pPr>
      <w:bookmarkStart w:id="9" w:name="_Toc103503475"/>
      <w:bookmarkStart w:id="10" w:name="_Toc510534528"/>
      <w:bookmarkStart w:id="11" w:name="_Toc509933849"/>
      <w:bookmarkStart w:id="12" w:name="_Toc459724774"/>
      <w:bookmarkStart w:id="13" w:name="_Toc459720143"/>
      <w:bookmarkStart w:id="14" w:name="_Toc459704603"/>
      <w:r>
        <w:rPr>
          <w:rFonts w:ascii="Times New Roman"/>
        </w:rPr>
        <w:t>范围</w:t>
      </w:r>
      <w:bookmarkEnd w:id="9"/>
      <w:bookmarkEnd w:id="10"/>
      <w:bookmarkEnd w:id="11"/>
      <w:bookmarkEnd w:id="12"/>
      <w:bookmarkEnd w:id="13"/>
      <w:bookmarkEnd w:id="14"/>
    </w:p>
    <w:p>
      <w:pPr>
        <w:pStyle w:val="27"/>
        <w:ind w:firstLine="420"/>
      </w:pPr>
      <w:bookmarkStart w:id="15" w:name="_Toc459724775"/>
      <w:bookmarkStart w:id="16" w:name="_Toc459704604"/>
      <w:bookmarkStart w:id="17" w:name="_Toc459720144"/>
      <w:r>
        <w:rPr>
          <w:rFonts w:hint="eastAsia"/>
        </w:rPr>
        <w:t>本文件规定了VVER型核电机组大修阶段放射性源项控制的要求，包括总体原则、控制措施、控制效果评价。</w:t>
      </w:r>
    </w:p>
    <w:p>
      <w:pPr>
        <w:pStyle w:val="27"/>
        <w:ind w:firstLine="420"/>
      </w:pPr>
      <w:r>
        <w:rPr>
          <w:rFonts w:hint="eastAsia"/>
        </w:rPr>
        <w:t>本文件适用于VVER型核电机组大修阶段放射性源项控制管理，不包括机组设计阶段开展的放射性源项控制措施，如表面钝化、减少易活化材料使用等。其它类型的核电站机组可参考执行。</w:t>
      </w:r>
    </w:p>
    <w:p>
      <w:pPr>
        <w:pStyle w:val="26"/>
        <w:numPr>
          <w:ilvl w:val="0"/>
          <w:numId w:val="2"/>
        </w:numPr>
        <w:spacing w:before="240" w:beforeLines="100" w:after="240" w:afterLines="100"/>
        <w:rPr>
          <w:rFonts w:ascii="Times New Roman"/>
        </w:rPr>
      </w:pPr>
      <w:bookmarkStart w:id="18" w:name="_Toc509933850"/>
      <w:bookmarkStart w:id="19" w:name="_Toc103503476"/>
      <w:bookmarkStart w:id="20" w:name="_Toc510534529"/>
      <w:r>
        <w:rPr>
          <w:rFonts w:ascii="Times New Roman"/>
        </w:rPr>
        <w:t>规范性引用文件</w:t>
      </w:r>
      <w:bookmarkEnd w:id="15"/>
      <w:bookmarkEnd w:id="16"/>
      <w:bookmarkEnd w:id="17"/>
      <w:bookmarkEnd w:id="18"/>
      <w:bookmarkEnd w:id="19"/>
      <w:bookmarkEnd w:id="20"/>
    </w:p>
    <w:p>
      <w:pPr>
        <w:spacing w:line="276" w:lineRule="auto"/>
        <w:ind w:firstLine="420" w:firstLineChars="200"/>
      </w:pPr>
      <w:bookmarkStart w:id="21" w:name="_Toc459704605"/>
      <w:bookmarkEnd w:id="21"/>
      <w:bookmarkStart w:id="22" w:name="_Toc459724776"/>
      <w:bookmarkStart w:id="23" w:name="_Toc459720145"/>
      <w:r>
        <w:rPr>
          <w:rFonts w:hint="eastAsia"/>
        </w:rPr>
        <w:t>下列文件中的条款通过本标准的引用而成为本标准的条款。凡是注日期的引用文件，其随后所有的修改单（不包含勘误的内容）或修订版均不适用于本标准，然而，鼓励根据本标准达成协议的各方研究是否可使用这些文件的最新版本。凡是不注日期的引用文件，其最新版本适用于本标准。</w:t>
      </w:r>
    </w:p>
    <w:p>
      <w:pPr>
        <w:pStyle w:val="46"/>
        <w:numPr>
          <w:ilvl w:val="0"/>
          <w:numId w:val="7"/>
        </w:numPr>
      </w:pPr>
      <w:r>
        <w:rPr>
          <w:rFonts w:hint="eastAsia"/>
        </w:rPr>
        <w:t>GB 18871-2002  电离辐射与辐射源安全基本标准</w:t>
      </w:r>
    </w:p>
    <w:p>
      <w:pPr>
        <w:pStyle w:val="46"/>
      </w:pPr>
      <w:r>
        <w:rPr>
          <w:rFonts w:hint="eastAsia"/>
        </w:rPr>
        <w:t>GB/T 13976-2008 压水堆核电厂运行状态下的放射性源项</w:t>
      </w:r>
    </w:p>
    <w:p>
      <w:pPr>
        <w:pStyle w:val="46"/>
      </w:pPr>
      <w:r>
        <w:rPr>
          <w:rFonts w:hint="eastAsia"/>
        </w:rPr>
        <w:t>HAD103/04 核电厂运行期间的辐射防护</w:t>
      </w:r>
    </w:p>
    <w:p>
      <w:pPr>
        <w:pStyle w:val="26"/>
        <w:numPr>
          <w:ilvl w:val="0"/>
          <w:numId w:val="2"/>
        </w:numPr>
        <w:spacing w:before="240" w:beforeLines="100" w:after="240" w:afterLines="100"/>
        <w:rPr>
          <w:rFonts w:ascii="Times New Roman"/>
        </w:rPr>
      </w:pPr>
      <w:bookmarkStart w:id="24" w:name="_Toc436205037"/>
      <w:bookmarkStart w:id="25" w:name="_Toc510534530"/>
      <w:bookmarkStart w:id="26" w:name="_Toc103503477"/>
      <w:bookmarkStart w:id="27" w:name="_Toc509933851"/>
      <w:r>
        <w:rPr>
          <w:rFonts w:hint="eastAsia" w:ascii="Times New Roman"/>
        </w:rPr>
        <w:t>术语和定义</w:t>
      </w:r>
      <w:bookmarkEnd w:id="24"/>
      <w:bookmarkEnd w:id="25"/>
      <w:bookmarkEnd w:id="26"/>
      <w:bookmarkEnd w:id="27"/>
      <w:bookmarkStart w:id="46" w:name="_GoBack"/>
      <w:bookmarkEnd w:id="46"/>
    </w:p>
    <w:p>
      <w:pPr>
        <w:spacing w:line="276" w:lineRule="auto"/>
        <w:ind w:firstLine="567" w:firstLineChars="270"/>
      </w:pPr>
      <w:r>
        <w:rPr>
          <w:rFonts w:hint="eastAsia"/>
        </w:rPr>
        <w:t>GB 18871-2002定义的术语和定义及下列术语和定义适用于本标准。</w:t>
      </w:r>
    </w:p>
    <w:p>
      <w:pPr>
        <w:pStyle w:val="29"/>
        <w:rPr>
          <w:rFonts w:ascii="宋体"/>
        </w:rPr>
      </w:pPr>
      <w:bookmarkStart w:id="28" w:name="_Toc454956350"/>
      <w:bookmarkStart w:id="29" w:name="_Toc463703901"/>
      <w:bookmarkStart w:id="30" w:name="_Toc463703851"/>
      <w:bookmarkStart w:id="31" w:name="_Toc454869880"/>
      <w:r>
        <w:rPr>
          <w:rFonts w:hint="eastAsia" w:hAnsi="黑体"/>
        </w:rPr>
        <w:t>气态流出物</w:t>
      </w:r>
      <w:r>
        <w:rPr>
          <w:rFonts w:hint="eastAsia"/>
        </w:rPr>
        <w:t>gaseous effluent</w:t>
      </w:r>
      <w:r>
        <w:rPr>
          <w:rFonts w:ascii="宋体"/>
        </w:rPr>
        <w:t xml:space="preserve"> </w:t>
      </w:r>
    </w:p>
    <w:p>
      <w:pPr>
        <w:pStyle w:val="27"/>
        <w:ind w:firstLine="567" w:firstLineChars="270"/>
        <w:rPr>
          <w:color w:val="000000" w:themeColor="text1"/>
        </w:rPr>
      </w:pPr>
      <w:r>
        <w:rPr>
          <w:rFonts w:hint="eastAsia"/>
          <w:color w:val="000000" w:themeColor="text1"/>
        </w:rPr>
        <w:t>已处理过含有放射性物质的废气，这些放射性物质是由于核电厂运行而产生的。</w:t>
      </w:r>
    </w:p>
    <w:p>
      <w:pPr>
        <w:pStyle w:val="29"/>
        <w:spacing w:line="276" w:lineRule="auto"/>
        <w:rPr>
          <w:rFonts w:hAnsi="黑体"/>
        </w:rPr>
      </w:pPr>
      <w:bookmarkStart w:id="32" w:name="_Toc463703903"/>
      <w:bookmarkStart w:id="33" w:name="_Toc463703853"/>
      <w:r>
        <w:rPr>
          <w:rFonts w:hint="eastAsia" w:hAnsi="黑体"/>
        </w:rPr>
        <w:t xml:space="preserve">放射性卤素 </w:t>
      </w:r>
      <w:r>
        <w:rPr>
          <w:rFonts w:hAnsi="黑体"/>
        </w:rPr>
        <w:t xml:space="preserve"> </w:t>
      </w:r>
      <w:bookmarkEnd w:id="32"/>
      <w:bookmarkEnd w:id="33"/>
      <w:r>
        <w:rPr>
          <w:rFonts w:hint="eastAsia" w:hAnsi="黑体"/>
        </w:rPr>
        <w:t>r</w:t>
      </w:r>
      <w:r>
        <w:rPr>
          <w:rFonts w:hAnsi="黑体"/>
        </w:rPr>
        <w:t xml:space="preserve">adiation </w:t>
      </w:r>
      <w:r>
        <w:rPr>
          <w:rFonts w:hint="eastAsia" w:hAnsi="黑体"/>
        </w:rPr>
        <w:t>halogens</w:t>
      </w:r>
    </w:p>
    <w:p>
      <w:pPr>
        <w:pStyle w:val="27"/>
        <w:ind w:left="567" w:leftChars="270" w:firstLine="0" w:firstLineChars="0"/>
        <w:rPr>
          <w:rFonts w:ascii="Times New Roman"/>
          <w:color w:val="000000" w:themeColor="text1"/>
        </w:rPr>
      </w:pPr>
      <w:r>
        <w:rPr>
          <w:rFonts w:hint="eastAsia" w:ascii="Times New Roman"/>
          <w:color w:val="000000" w:themeColor="text1"/>
        </w:rPr>
        <w:t>氟、氯、溴、碘的放射性同位素（其中碘的放射性同位素是剂量计算中的关键性同位素）。</w:t>
      </w:r>
    </w:p>
    <w:p>
      <w:pPr>
        <w:pStyle w:val="29"/>
        <w:spacing w:line="276" w:lineRule="auto"/>
        <w:rPr>
          <w:rFonts w:hAnsi="黑体"/>
        </w:rPr>
      </w:pPr>
      <w:r>
        <w:rPr>
          <w:rFonts w:hint="eastAsia" w:hAnsi="黑体"/>
        </w:rPr>
        <w:t>卸料 discharge</w:t>
      </w:r>
    </w:p>
    <w:p>
      <w:pPr>
        <w:pStyle w:val="27"/>
        <w:ind w:firstLine="567" w:firstLineChars="270"/>
        <w:rPr>
          <w:color w:val="000000" w:themeColor="text1"/>
          <w:szCs w:val="21"/>
        </w:rPr>
      </w:pPr>
      <w:r>
        <w:rPr>
          <w:rFonts w:hint="eastAsia"/>
          <w:color w:val="000000" w:themeColor="text1"/>
          <w:szCs w:val="21"/>
        </w:rPr>
        <w:t>将乏燃料组件从反应堆内取出的操作过程。</w:t>
      </w:r>
    </w:p>
    <w:p>
      <w:pPr>
        <w:pStyle w:val="29"/>
        <w:spacing w:line="276" w:lineRule="auto"/>
        <w:rPr>
          <w:rFonts w:hAnsi="黑体"/>
        </w:rPr>
      </w:pPr>
      <w:r>
        <w:rPr>
          <w:rFonts w:hint="eastAsia" w:hAnsi="黑体"/>
        </w:rPr>
        <w:t>停堆</w:t>
      </w:r>
      <w:r>
        <w:rPr>
          <w:rFonts w:hAnsi="黑体"/>
        </w:rPr>
        <w:t xml:space="preserve">  </w:t>
      </w:r>
      <w:r>
        <w:rPr>
          <w:rFonts w:hint="eastAsia" w:hAnsi="黑体"/>
        </w:rPr>
        <w:t>shutdown</w:t>
      </w:r>
    </w:p>
    <w:p>
      <w:pPr>
        <w:pStyle w:val="27"/>
        <w:ind w:firstLine="567" w:firstLineChars="270"/>
        <w:rPr>
          <w:rFonts w:ascii="Times New Roman"/>
          <w:color w:val="FF0000"/>
        </w:rPr>
      </w:pPr>
      <w:r>
        <w:rPr>
          <w:rFonts w:hint="eastAsia" w:ascii="Times New Roman"/>
          <w:color w:val="000000" w:themeColor="text1"/>
        </w:rPr>
        <w:t>使反应堆达到规定次临界深度的过程，也指反应堆处于规定次临界深度的状态。</w:t>
      </w:r>
      <w:bookmarkEnd w:id="28"/>
      <w:bookmarkEnd w:id="29"/>
      <w:bookmarkEnd w:id="30"/>
      <w:bookmarkEnd w:id="31"/>
    </w:p>
    <w:p>
      <w:pPr>
        <w:pStyle w:val="26"/>
        <w:numPr>
          <w:ilvl w:val="0"/>
          <w:numId w:val="2"/>
        </w:numPr>
        <w:spacing w:before="240" w:beforeLines="100" w:after="240" w:afterLines="100"/>
        <w:rPr>
          <w:rFonts w:ascii="Times New Roman"/>
        </w:rPr>
      </w:pPr>
      <w:bookmarkStart w:id="34" w:name="_Toc103503478"/>
      <w:r>
        <w:rPr>
          <w:rFonts w:hint="eastAsia" w:ascii="Times New Roman"/>
        </w:rPr>
        <w:t>基本要求</w:t>
      </w:r>
      <w:bookmarkEnd w:id="34"/>
    </w:p>
    <w:p>
      <w:pPr>
        <w:pStyle w:val="48"/>
        <w:numPr>
          <w:ilvl w:val="2"/>
          <w:numId w:val="8"/>
        </w:numPr>
        <w:spacing w:line="276" w:lineRule="auto"/>
        <w:ind w:left="531" w:right="-105" w:hanging="530" w:hangingChars="248"/>
        <w:rPr>
          <w:rFonts w:ascii="宋体" w:eastAsia="宋体"/>
        </w:rPr>
      </w:pPr>
      <w:r>
        <w:rPr>
          <w:rFonts w:hint="eastAsia" w:ascii="宋体" w:eastAsia="宋体"/>
        </w:rPr>
        <w:t>大修放射性源项控制的效果，直接影响大修工作现场的辐射水平、人员受照剂量，进而影响电厂辐射防护绩效。</w:t>
      </w:r>
    </w:p>
    <w:p>
      <w:pPr>
        <w:pStyle w:val="48"/>
        <w:numPr>
          <w:ilvl w:val="2"/>
          <w:numId w:val="8"/>
        </w:numPr>
        <w:spacing w:line="276" w:lineRule="auto"/>
        <w:ind w:left="531" w:right="-105" w:hanging="530" w:hangingChars="248"/>
        <w:rPr>
          <w:rFonts w:ascii="宋体" w:eastAsia="宋体"/>
        </w:rPr>
      </w:pPr>
      <w:r>
        <w:rPr>
          <w:rFonts w:hint="eastAsia" w:ascii="宋体" w:eastAsia="宋体"/>
        </w:rPr>
        <w:t>大修放射性源项控制包括机组停堆前控制、机组停堆期间控制、机组启动控制。</w:t>
      </w:r>
    </w:p>
    <w:p>
      <w:pPr>
        <w:pStyle w:val="48"/>
        <w:numPr>
          <w:ilvl w:val="2"/>
          <w:numId w:val="8"/>
        </w:numPr>
        <w:spacing w:line="276" w:lineRule="auto"/>
        <w:ind w:left="531" w:right="-105" w:hanging="530" w:hangingChars="248"/>
        <w:rPr>
          <w:rFonts w:ascii="宋体" w:eastAsia="宋体"/>
        </w:rPr>
      </w:pPr>
      <w:r>
        <w:rPr>
          <w:rFonts w:hint="eastAsia" w:ascii="宋体" w:eastAsia="宋体"/>
        </w:rPr>
        <w:t>放射性源项控制优先利用机组已有的放射性净化系统，重点通过机组一回路水化学控制、系统净化、系统冲洗、设备去污等方式实现对放射性源项的去除。</w:t>
      </w:r>
    </w:p>
    <w:p>
      <w:pPr>
        <w:pStyle w:val="48"/>
        <w:numPr>
          <w:ilvl w:val="2"/>
          <w:numId w:val="8"/>
        </w:numPr>
        <w:spacing w:line="276" w:lineRule="auto"/>
        <w:ind w:left="531" w:right="-105" w:hanging="530" w:hangingChars="248"/>
        <w:rPr>
          <w:rFonts w:ascii="宋体" w:eastAsia="宋体"/>
        </w:rPr>
      </w:pPr>
      <w:r>
        <w:rPr>
          <w:rFonts w:hint="eastAsia" w:ascii="宋体" w:eastAsia="宋体"/>
        </w:rPr>
        <w:t>放射性源项的去除方法应与机组大修系统设备停运、放射性活化产物释放规律、放射性活化产物所在的系统设备、机组运行状态进行匹配，最大限度的去除放射性源项。</w:t>
      </w:r>
    </w:p>
    <w:p>
      <w:pPr>
        <w:pStyle w:val="48"/>
        <w:numPr>
          <w:ilvl w:val="2"/>
          <w:numId w:val="8"/>
        </w:numPr>
        <w:spacing w:line="276" w:lineRule="auto"/>
        <w:ind w:left="531" w:right="-105" w:hanging="530" w:hangingChars="248"/>
        <w:rPr>
          <w:rFonts w:ascii="宋体" w:eastAsia="宋体"/>
        </w:rPr>
      </w:pPr>
      <w:r>
        <w:rPr>
          <w:rFonts w:hint="eastAsia" w:ascii="宋体" w:eastAsia="宋体"/>
        </w:rPr>
        <w:t>制定的放射性源项去除方法，应考虑放射性废物产生量、去除设备转运、放射性废物转运等问题。</w:t>
      </w:r>
    </w:p>
    <w:p>
      <w:pPr>
        <w:pStyle w:val="48"/>
        <w:numPr>
          <w:ilvl w:val="2"/>
          <w:numId w:val="8"/>
        </w:numPr>
        <w:spacing w:line="276" w:lineRule="auto"/>
        <w:ind w:left="531" w:right="-105" w:hanging="530" w:hangingChars="248"/>
        <w:rPr>
          <w:rFonts w:ascii="宋体" w:eastAsia="宋体"/>
        </w:rPr>
      </w:pPr>
      <w:r>
        <w:rPr>
          <w:rFonts w:hint="eastAsia" w:ascii="宋体" w:eastAsia="宋体"/>
        </w:rPr>
        <w:t>电厂应结合实际情况，建立机组大修放射性源项控制指南文件，新的控制方法需要与运行部门、化学部门、设备管理部门经过充分论证后才能正式实施。</w:t>
      </w:r>
    </w:p>
    <w:p>
      <w:pPr>
        <w:pStyle w:val="26"/>
        <w:numPr>
          <w:ilvl w:val="0"/>
          <w:numId w:val="2"/>
        </w:numPr>
        <w:spacing w:before="240" w:beforeLines="100" w:after="240" w:afterLines="100"/>
        <w:rPr>
          <w:rFonts w:ascii="Times New Roman"/>
        </w:rPr>
      </w:pPr>
      <w:bookmarkStart w:id="35" w:name="_Toc103503479"/>
      <w:r>
        <w:rPr>
          <w:rFonts w:hint="eastAsia" w:ascii="Times New Roman"/>
        </w:rPr>
        <w:t>一般控制措施</w:t>
      </w:r>
      <w:bookmarkEnd w:id="35"/>
    </w:p>
    <w:p>
      <w:pPr>
        <w:pStyle w:val="26"/>
        <w:numPr>
          <w:ilvl w:val="1"/>
          <w:numId w:val="2"/>
        </w:numPr>
        <w:spacing w:beforeLines="0" w:afterLines="0"/>
        <w:outlineLvl w:val="9"/>
        <w:rPr>
          <w:rFonts w:ascii="Times New Roman"/>
        </w:rPr>
      </w:pPr>
      <w:r>
        <w:rPr>
          <w:rFonts w:hint="eastAsia" w:ascii="Times New Roman"/>
        </w:rPr>
        <w:t>水化学控制</w:t>
      </w:r>
    </w:p>
    <w:p>
      <w:pPr>
        <w:spacing w:line="276" w:lineRule="auto"/>
        <w:ind w:firstLine="420" w:firstLineChars="200"/>
      </w:pPr>
      <w:r>
        <w:rPr>
          <w:rFonts w:hint="eastAsia"/>
        </w:rPr>
        <w:t>通过控制一回路溶氢、</w:t>
      </w:r>
      <w:r>
        <w:t>PH值</w:t>
      </w:r>
      <w:r>
        <w:rPr>
          <w:rFonts w:hint="eastAsia"/>
        </w:rPr>
        <w:t>等水化学参数，改变一回路放射性活化产物的溶解度、迁移，实现对放射性活化产物的去除。</w:t>
      </w:r>
    </w:p>
    <w:p>
      <w:pPr>
        <w:pStyle w:val="32"/>
        <w:ind w:left="437" w:hanging="436" w:hangingChars="208"/>
        <w:outlineLvl w:val="9"/>
        <w:rPr>
          <w:rFonts w:asciiTheme="minorEastAsia" w:hAnsiTheme="minorEastAsia" w:eastAsiaTheme="minorEastAsia"/>
        </w:rPr>
      </w:pPr>
      <w:r>
        <w:rPr>
          <w:rFonts w:hint="eastAsia" w:asciiTheme="minorEastAsia" w:hAnsiTheme="minorEastAsia" w:eastAsiaTheme="minorEastAsia"/>
        </w:rPr>
        <w:t>一回路溶氢控制</w:t>
      </w:r>
    </w:p>
    <w:p>
      <w:pPr>
        <w:pStyle w:val="46"/>
        <w:numPr>
          <w:ilvl w:val="0"/>
          <w:numId w:val="9"/>
        </w:numPr>
      </w:pPr>
      <w:r>
        <w:t>溶氢控制值的制定需要结合水化学控制规程和运行规程</w:t>
      </w:r>
      <w:r>
        <w:rPr>
          <w:rFonts w:hint="eastAsia"/>
        </w:rPr>
        <w:t>。</w:t>
      </w:r>
    </w:p>
    <w:p>
      <w:pPr>
        <w:pStyle w:val="46"/>
      </w:pPr>
      <w:r>
        <w:rPr>
          <w:rFonts w:hint="eastAsia"/>
        </w:rPr>
        <w:t>在开展溶氢控制工作前，需要编制工作方案，重点包括溶氢控制目标值、异常情况响应等内容。</w:t>
      </w:r>
    </w:p>
    <w:p>
      <w:pPr>
        <w:pStyle w:val="46"/>
      </w:pPr>
      <w:r>
        <w:rPr>
          <w:rFonts w:hint="eastAsia"/>
        </w:rPr>
        <w:t>溶氢控制一般在大修停机前3个月开始进行控制。</w:t>
      </w:r>
    </w:p>
    <w:p>
      <w:pPr>
        <w:pStyle w:val="46"/>
      </w:pPr>
      <w:r>
        <w:t>溶氢控制期间</w:t>
      </w:r>
      <w:r>
        <w:rPr>
          <w:rFonts w:hint="eastAsia"/>
        </w:rPr>
        <w:t>，</w:t>
      </w:r>
      <w:r>
        <w:t>应及时跟踪一回路总γ放射性水平变化</w:t>
      </w:r>
      <w:r>
        <w:rPr>
          <w:rFonts w:hint="eastAsia"/>
        </w:rPr>
        <w:t>，</w:t>
      </w:r>
      <w:r>
        <w:t>并评估控制效果</w:t>
      </w:r>
      <w:r>
        <w:rPr>
          <w:rFonts w:hint="eastAsia"/>
        </w:rPr>
        <w:t>。</w:t>
      </w:r>
    </w:p>
    <w:p>
      <w:pPr>
        <w:pStyle w:val="32"/>
        <w:ind w:left="437" w:hanging="436" w:hangingChars="208"/>
        <w:outlineLvl w:val="9"/>
        <w:rPr>
          <w:rFonts w:asciiTheme="minorEastAsia" w:hAnsiTheme="minorEastAsia" w:eastAsiaTheme="minorEastAsia"/>
        </w:rPr>
      </w:pPr>
      <w:r>
        <w:rPr>
          <w:rFonts w:asciiTheme="minorEastAsia" w:hAnsiTheme="minorEastAsia" w:eastAsiaTheme="minorEastAsia"/>
        </w:rPr>
        <w:t>一回路</w:t>
      </w:r>
      <w:r>
        <w:rPr>
          <w:rFonts w:hint="eastAsia" w:asciiTheme="minorEastAsia" w:hAnsiTheme="minorEastAsia" w:eastAsiaTheme="minorEastAsia"/>
        </w:rPr>
        <w:t>PH调节和控制</w:t>
      </w:r>
    </w:p>
    <w:p>
      <w:pPr>
        <w:pStyle w:val="46"/>
        <w:numPr>
          <w:ilvl w:val="0"/>
          <w:numId w:val="10"/>
        </w:numPr>
      </w:pPr>
      <w:r>
        <w:t>一回路</w:t>
      </w:r>
      <w:r>
        <w:rPr>
          <w:rFonts w:hint="eastAsia"/>
        </w:rPr>
        <w:t>运行的最佳PH值</w:t>
      </w:r>
      <w:r>
        <w:t>应结合</w:t>
      </w:r>
      <w:r>
        <w:rPr>
          <w:rFonts w:hint="eastAsia"/>
        </w:rPr>
        <w:t>机组硼钾协调曲线制定。</w:t>
      </w:r>
    </w:p>
    <w:p>
      <w:pPr>
        <w:pStyle w:val="46"/>
        <w:numPr>
          <w:ilvl w:val="0"/>
          <w:numId w:val="10"/>
        </w:numPr>
      </w:pPr>
      <w:r>
        <w:t>在机组运行期间</w:t>
      </w:r>
      <w:r>
        <w:rPr>
          <w:rFonts w:hint="eastAsia"/>
        </w:rPr>
        <w:t>PH值偏离最佳值时，应通过加入化学试剂、运行控制操作等进行调节。</w:t>
      </w:r>
    </w:p>
    <w:p>
      <w:pPr>
        <w:pStyle w:val="46"/>
        <w:numPr>
          <w:ilvl w:val="0"/>
          <w:numId w:val="10"/>
        </w:numPr>
      </w:pPr>
      <w:r>
        <w:rPr>
          <w:rFonts w:hint="eastAsia"/>
        </w:rPr>
        <w:t>机组在制定最佳运行PH值时，需要考虑运行规程、对燃料的影响、放射性活化产物沉积的影响。</w:t>
      </w:r>
    </w:p>
    <w:p>
      <w:pPr>
        <w:pStyle w:val="26"/>
        <w:numPr>
          <w:ilvl w:val="1"/>
          <w:numId w:val="2"/>
        </w:numPr>
        <w:spacing w:beforeLines="0" w:afterLines="0"/>
        <w:outlineLvl w:val="9"/>
        <w:rPr>
          <w:rFonts w:ascii="Times New Roman"/>
        </w:rPr>
      </w:pPr>
      <w:r>
        <w:rPr>
          <w:rFonts w:hint="eastAsia" w:ascii="Times New Roman"/>
        </w:rPr>
        <w:t>大修前系统净化</w:t>
      </w:r>
    </w:p>
    <w:p>
      <w:pPr>
        <w:pStyle w:val="26"/>
        <w:numPr>
          <w:ilvl w:val="2"/>
          <w:numId w:val="2"/>
        </w:numPr>
        <w:spacing w:beforeLines="0" w:afterLines="0"/>
        <w:ind w:left="-2" w:leftChars="-1"/>
        <w:outlineLvl w:val="9"/>
        <w:rPr>
          <w:rFonts w:asciiTheme="minorEastAsia" w:hAnsiTheme="minorEastAsia" w:eastAsiaTheme="minorEastAsia"/>
        </w:rPr>
      </w:pPr>
      <w:r>
        <w:rPr>
          <w:rFonts w:hint="eastAsia" w:asciiTheme="minorEastAsia" w:hAnsiTheme="minorEastAsia" w:eastAsiaTheme="minorEastAsia"/>
        </w:rPr>
        <w:t>对低浓度含硼水箱净化</w:t>
      </w:r>
    </w:p>
    <w:p>
      <w:pPr>
        <w:pStyle w:val="46"/>
        <w:numPr>
          <w:ilvl w:val="0"/>
          <w:numId w:val="11"/>
        </w:numPr>
      </w:pPr>
      <w:r>
        <w:t>机组大修前</w:t>
      </w:r>
      <w:r>
        <w:rPr>
          <w:rFonts w:hint="eastAsia"/>
        </w:rPr>
        <w:t>，对低浓度含硼水箱贮存的介质放射性进行水化学分析，制定净化目标。</w:t>
      </w:r>
    </w:p>
    <w:p>
      <w:pPr>
        <w:pStyle w:val="46"/>
        <w:numPr>
          <w:ilvl w:val="0"/>
          <w:numId w:val="11"/>
        </w:numPr>
      </w:pPr>
      <w:r>
        <w:t>对</w:t>
      </w:r>
      <w:r>
        <w:rPr>
          <w:rFonts w:hint="eastAsia"/>
        </w:rPr>
        <w:t>燃料水池和含硼水贮罐水净化系统的净化容量进行评估。</w:t>
      </w:r>
    </w:p>
    <w:p>
      <w:pPr>
        <w:pStyle w:val="46"/>
        <w:numPr>
          <w:ilvl w:val="0"/>
          <w:numId w:val="11"/>
        </w:numPr>
      </w:pPr>
      <w:r>
        <w:t>净化期间</w:t>
      </w:r>
      <w:r>
        <w:rPr>
          <w:rFonts w:hint="eastAsia"/>
        </w:rPr>
        <w:t>，</w:t>
      </w:r>
      <w:r>
        <w:t>应及时跟踪一回路总γ放射性水平变化</w:t>
      </w:r>
      <w:r>
        <w:rPr>
          <w:rFonts w:hint="eastAsia"/>
        </w:rPr>
        <w:t>，</w:t>
      </w:r>
      <w:r>
        <w:t>并评估</w:t>
      </w:r>
      <w:r>
        <w:rPr>
          <w:rFonts w:hint="eastAsia"/>
        </w:rPr>
        <w:t>净化</w:t>
      </w:r>
      <w:r>
        <w:t>效果</w:t>
      </w:r>
      <w:r>
        <w:rPr>
          <w:rFonts w:hint="eastAsia"/>
        </w:rPr>
        <w:t>。</w:t>
      </w:r>
    </w:p>
    <w:p>
      <w:pPr>
        <w:pStyle w:val="46"/>
        <w:numPr>
          <w:ilvl w:val="0"/>
          <w:numId w:val="11"/>
        </w:numPr>
      </w:pPr>
      <w:r>
        <w:rPr>
          <w:rFonts w:hint="eastAsia"/>
        </w:rPr>
        <w:t>净化期间对除放射性外的其他水化学参数进行监测，出现偏差时及时停止净化或者调整净化策略。</w:t>
      </w:r>
    </w:p>
    <w:p>
      <w:pPr>
        <w:pStyle w:val="26"/>
        <w:numPr>
          <w:ilvl w:val="2"/>
          <w:numId w:val="2"/>
        </w:numPr>
        <w:spacing w:beforeLines="0" w:afterLines="0"/>
        <w:ind w:left="-2" w:leftChars="-1"/>
        <w:outlineLvl w:val="9"/>
        <w:rPr>
          <w:rFonts w:asciiTheme="minorEastAsia" w:hAnsiTheme="minorEastAsia" w:eastAsiaTheme="minorEastAsia"/>
        </w:rPr>
      </w:pPr>
      <w:r>
        <w:rPr>
          <w:rFonts w:asciiTheme="minorEastAsia" w:hAnsiTheme="minorEastAsia" w:eastAsiaTheme="minorEastAsia"/>
        </w:rPr>
        <w:t>对</w:t>
      </w:r>
      <w:r>
        <w:rPr>
          <w:rFonts w:hint="eastAsia" w:asciiTheme="minorEastAsia" w:hAnsiTheme="minorEastAsia" w:eastAsiaTheme="minorEastAsia"/>
        </w:rPr>
        <w:t>乏燃料水池净化</w:t>
      </w:r>
    </w:p>
    <w:p>
      <w:pPr>
        <w:pStyle w:val="46"/>
        <w:numPr>
          <w:ilvl w:val="0"/>
          <w:numId w:val="12"/>
        </w:numPr>
      </w:pPr>
      <w:r>
        <w:t>机组大修前</w:t>
      </w:r>
      <w:r>
        <w:rPr>
          <w:rFonts w:hint="eastAsia"/>
        </w:rPr>
        <w:t>，对乏燃料水池贮存的介质放射性进行水化学分析，制定净化目标；</w:t>
      </w:r>
    </w:p>
    <w:p>
      <w:pPr>
        <w:pStyle w:val="46"/>
        <w:numPr>
          <w:ilvl w:val="0"/>
          <w:numId w:val="12"/>
        </w:numPr>
      </w:pPr>
      <w:r>
        <w:t>对</w:t>
      </w:r>
      <w:r>
        <w:rPr>
          <w:rFonts w:hint="eastAsia"/>
        </w:rPr>
        <w:t>燃料水池和含硼水贮罐水净化系统的净化容量进行评估。</w:t>
      </w:r>
    </w:p>
    <w:p>
      <w:pPr>
        <w:pStyle w:val="46"/>
        <w:numPr>
          <w:ilvl w:val="0"/>
          <w:numId w:val="12"/>
        </w:numPr>
      </w:pPr>
      <w:r>
        <w:t>净化期间</w:t>
      </w:r>
      <w:r>
        <w:rPr>
          <w:rFonts w:hint="eastAsia"/>
        </w:rPr>
        <w:t>，</w:t>
      </w:r>
      <w:r>
        <w:t>应及时跟踪一回路总γ放射性水平变化</w:t>
      </w:r>
      <w:r>
        <w:rPr>
          <w:rFonts w:hint="eastAsia"/>
        </w:rPr>
        <w:t>，</w:t>
      </w:r>
      <w:r>
        <w:t>并评估</w:t>
      </w:r>
      <w:r>
        <w:rPr>
          <w:rFonts w:hint="eastAsia"/>
        </w:rPr>
        <w:t>净化</w:t>
      </w:r>
      <w:r>
        <w:t>效果</w:t>
      </w:r>
      <w:r>
        <w:rPr>
          <w:rFonts w:hint="eastAsia"/>
        </w:rPr>
        <w:t>。</w:t>
      </w:r>
    </w:p>
    <w:p>
      <w:pPr>
        <w:pStyle w:val="46"/>
        <w:numPr>
          <w:ilvl w:val="0"/>
          <w:numId w:val="12"/>
        </w:numPr>
      </w:pPr>
      <w:r>
        <w:rPr>
          <w:rFonts w:hint="eastAsia"/>
        </w:rPr>
        <w:t>净化期间对除放射性外的其他水化学参数进行监测，出现偏差时及时停止净化或者调整净化策略。</w:t>
      </w:r>
    </w:p>
    <w:p>
      <w:pPr>
        <w:pStyle w:val="26"/>
        <w:numPr>
          <w:ilvl w:val="1"/>
          <w:numId w:val="2"/>
        </w:numPr>
        <w:spacing w:beforeLines="0" w:afterLines="0"/>
        <w:outlineLvl w:val="9"/>
        <w:rPr>
          <w:rFonts w:ascii="Times New Roman"/>
        </w:rPr>
      </w:pPr>
      <w:r>
        <w:rPr>
          <w:rFonts w:hint="eastAsia" w:ascii="Times New Roman"/>
        </w:rPr>
        <w:t>大修期间一回路介质净化</w:t>
      </w:r>
    </w:p>
    <w:p>
      <w:pPr>
        <w:pStyle w:val="26"/>
        <w:numPr>
          <w:ilvl w:val="2"/>
          <w:numId w:val="2"/>
        </w:numPr>
        <w:spacing w:beforeLines="0" w:afterLines="0"/>
        <w:ind w:left="0"/>
        <w:outlineLvl w:val="9"/>
        <w:rPr>
          <w:rFonts w:asciiTheme="minorEastAsia" w:hAnsiTheme="minorEastAsia" w:eastAsiaTheme="minorEastAsia"/>
        </w:rPr>
      </w:pPr>
      <w:r>
        <w:rPr>
          <w:rFonts w:hint="eastAsia" w:asciiTheme="minorEastAsia" w:hAnsiTheme="minorEastAsia" w:eastAsiaTheme="minorEastAsia"/>
        </w:rPr>
        <w:t>一回路冷却剂净化系统净化</w:t>
      </w:r>
    </w:p>
    <w:p>
      <w:pPr>
        <w:pStyle w:val="46"/>
        <w:numPr>
          <w:ilvl w:val="0"/>
          <w:numId w:val="13"/>
        </w:numPr>
      </w:pPr>
      <w:r>
        <w:rPr>
          <w:rFonts w:hint="eastAsia"/>
        </w:rPr>
        <w:t>在大修开始前，根据最终安全分析报告放射性源项计算结果，结合机组燃料状态，制定机组下行期间一回路放射性净化目标值。</w:t>
      </w:r>
    </w:p>
    <w:p>
      <w:pPr>
        <w:pStyle w:val="46"/>
      </w:pPr>
      <w:r>
        <w:rPr>
          <w:rFonts w:hint="eastAsia"/>
        </w:rPr>
        <w:t>在大修开始前一周，对一回路冷却剂净化系统进行冲洗，并检查系统状态。</w:t>
      </w:r>
    </w:p>
    <w:p>
      <w:pPr>
        <w:pStyle w:val="46"/>
      </w:pPr>
      <w:r>
        <w:rPr>
          <w:rFonts w:hint="eastAsia"/>
        </w:rPr>
        <w:t>在机组达到最小可监测功率时，投运一回路冷却剂净化系统的一个阴树脂床、一个阳树脂床联合对一回路介质进行净化，并保持最大净化流量。</w:t>
      </w:r>
    </w:p>
    <w:p>
      <w:pPr>
        <w:pStyle w:val="46"/>
      </w:pPr>
      <w:r>
        <w:rPr>
          <w:rFonts w:hint="eastAsia"/>
        </w:rPr>
        <w:t>净化期间，应及时跟踪一回路总γ放射性水平变化，评估净化效果以及达到净化目标值的时间。</w:t>
      </w:r>
    </w:p>
    <w:p>
      <w:pPr>
        <w:pStyle w:val="46"/>
      </w:pPr>
      <w:r>
        <w:rPr>
          <w:rFonts w:hint="eastAsia"/>
        </w:rPr>
        <w:t>净化期间，应及关注过滤器净化效率，并根据效率及时进行树脂床切换。</w:t>
      </w:r>
    </w:p>
    <w:p>
      <w:pPr>
        <w:pStyle w:val="26"/>
        <w:numPr>
          <w:ilvl w:val="2"/>
          <w:numId w:val="2"/>
        </w:numPr>
        <w:spacing w:beforeLines="0" w:afterLines="0"/>
        <w:ind w:left="0"/>
        <w:outlineLvl w:val="9"/>
        <w:rPr>
          <w:rFonts w:asciiTheme="minorEastAsia" w:hAnsiTheme="minorEastAsia" w:eastAsiaTheme="minorEastAsia"/>
        </w:rPr>
      </w:pPr>
      <w:r>
        <w:rPr>
          <w:rFonts w:hint="eastAsia" w:asciiTheme="minorEastAsia" w:hAnsiTheme="minorEastAsia" w:eastAsiaTheme="minorEastAsia"/>
        </w:rPr>
        <w:t>一回路冷却剂暂存系统净化</w:t>
      </w:r>
    </w:p>
    <w:p>
      <w:pPr>
        <w:pStyle w:val="46"/>
        <w:numPr>
          <w:ilvl w:val="0"/>
          <w:numId w:val="14"/>
        </w:numPr>
      </w:pPr>
      <w:r>
        <w:rPr>
          <w:rFonts w:hint="eastAsia"/>
        </w:rPr>
        <w:t>一回路氮气吹扫后，一回路水位到达主泵解密封水位范围内，一回路水化学环境由酸性还原工况逐渐转变为酸性氧化环境，在主要活化腐蚀产物快速上涨期间，投运一回路冷却剂暂存系统的阳树脂床进行净化，直至一回路升水位前停止净化，期间保持最大净化流量。</w:t>
      </w:r>
    </w:p>
    <w:p>
      <w:pPr>
        <w:pStyle w:val="46"/>
      </w:pPr>
      <w:r>
        <w:rPr>
          <w:rFonts w:hint="eastAsia"/>
        </w:rPr>
        <w:t>一回路升水位至蒸汽发生器传热管吹扫水位期间，投运一回路冷却剂暂存系统的阳树脂床进行净化，直至蒸汽发生器传热管吹扫工作结束，期间保持最大净化流量。</w:t>
      </w:r>
    </w:p>
    <w:p>
      <w:pPr>
        <w:pStyle w:val="46"/>
      </w:pPr>
      <w:r>
        <w:rPr>
          <w:rFonts w:hint="eastAsia"/>
        </w:rPr>
        <w:t>净化期间，应及时跟踪一回路总γ放射性水平变化，并评估净化效果。</w:t>
      </w:r>
    </w:p>
    <w:p>
      <w:pPr>
        <w:pStyle w:val="46"/>
      </w:pPr>
      <w:r>
        <w:rPr>
          <w:rFonts w:hint="eastAsia"/>
        </w:rPr>
        <w:t>净化期间，应及时关注树脂床净化效率，并根据效率及时进行树脂床切换。</w:t>
      </w:r>
    </w:p>
    <w:p>
      <w:pPr>
        <w:pStyle w:val="26"/>
        <w:numPr>
          <w:ilvl w:val="2"/>
          <w:numId w:val="2"/>
        </w:numPr>
        <w:spacing w:beforeLines="0" w:afterLines="0"/>
        <w:ind w:left="0"/>
        <w:outlineLvl w:val="9"/>
        <w:rPr>
          <w:rFonts w:asciiTheme="minorEastAsia" w:hAnsiTheme="minorEastAsia" w:eastAsiaTheme="minorEastAsia"/>
        </w:rPr>
      </w:pPr>
      <w:r>
        <w:rPr>
          <w:rFonts w:hint="eastAsia" w:asciiTheme="minorEastAsia" w:hAnsiTheme="minorEastAsia" w:eastAsiaTheme="minorEastAsia"/>
        </w:rPr>
        <w:t>机组大修换料期间净化</w:t>
      </w:r>
    </w:p>
    <w:p>
      <w:pPr>
        <w:pStyle w:val="46"/>
        <w:numPr>
          <w:ilvl w:val="0"/>
          <w:numId w:val="15"/>
        </w:numPr>
      </w:pPr>
      <w:r>
        <w:rPr>
          <w:rFonts w:hint="eastAsia"/>
        </w:rPr>
        <w:t>在一回路与乏燃料水池连通后，使用燃料水池和含硼水贮罐水净化系统对乏燃料水池进行净化，净化至换料工作结束。</w:t>
      </w:r>
    </w:p>
    <w:p>
      <w:pPr>
        <w:pStyle w:val="46"/>
      </w:pPr>
      <w:r>
        <w:rPr>
          <w:rFonts w:hint="eastAsia"/>
        </w:rPr>
        <w:t>净化期间对除放射性外的其他水化学参数进行监测，出现偏差时及时停止净化或者调整净化策略。</w:t>
      </w:r>
    </w:p>
    <w:p>
      <w:pPr>
        <w:pStyle w:val="26"/>
        <w:numPr>
          <w:ilvl w:val="1"/>
          <w:numId w:val="2"/>
        </w:numPr>
        <w:spacing w:beforeLines="0" w:afterLines="0"/>
        <w:outlineLvl w:val="9"/>
        <w:rPr>
          <w:rFonts w:ascii="Times New Roman"/>
        </w:rPr>
      </w:pPr>
      <w:r>
        <w:rPr>
          <w:rFonts w:hint="eastAsia" w:ascii="Times New Roman"/>
        </w:rPr>
        <w:t>启堆期间一回路介质净化</w:t>
      </w:r>
    </w:p>
    <w:p>
      <w:pPr>
        <w:pStyle w:val="26"/>
        <w:numPr>
          <w:ilvl w:val="2"/>
          <w:numId w:val="2"/>
        </w:numPr>
        <w:spacing w:beforeLines="0" w:afterLines="0"/>
        <w:ind w:left="-2" w:leftChars="-1"/>
        <w:outlineLvl w:val="9"/>
        <w:rPr>
          <w:rFonts w:asciiTheme="minorEastAsia" w:hAnsiTheme="minorEastAsia" w:eastAsiaTheme="minorEastAsia"/>
        </w:rPr>
      </w:pPr>
      <w:r>
        <w:rPr>
          <w:rFonts w:hint="eastAsia" w:asciiTheme="minorEastAsia" w:hAnsiTheme="minorEastAsia" w:eastAsiaTheme="minorEastAsia"/>
        </w:rPr>
        <w:t>大修启机前，提前建立一回路上充下泄，并最大流量投运一回路冷却剂净化系统，净化至主回路开始添加联氨为止。</w:t>
      </w:r>
    </w:p>
    <w:p>
      <w:pPr>
        <w:pStyle w:val="26"/>
        <w:numPr>
          <w:ilvl w:val="2"/>
          <w:numId w:val="2"/>
        </w:numPr>
        <w:spacing w:beforeLines="0" w:afterLines="0"/>
        <w:ind w:left="-2" w:leftChars="-1"/>
        <w:outlineLvl w:val="9"/>
        <w:rPr>
          <w:rFonts w:asciiTheme="minorEastAsia" w:hAnsiTheme="minorEastAsia" w:eastAsiaTheme="minorEastAsia"/>
        </w:rPr>
      </w:pPr>
      <w:r>
        <w:rPr>
          <w:rFonts w:hint="eastAsia" w:asciiTheme="minorEastAsia" w:hAnsiTheme="minorEastAsia" w:eastAsiaTheme="minorEastAsia"/>
        </w:rPr>
        <w:t>一回路冷却剂净化系统氨钾饱和并冲洗合格，投运净化系统至功率运行。</w:t>
      </w:r>
    </w:p>
    <w:p>
      <w:pPr>
        <w:pStyle w:val="26"/>
        <w:numPr>
          <w:ilvl w:val="2"/>
          <w:numId w:val="2"/>
        </w:numPr>
        <w:spacing w:beforeLines="0" w:afterLines="0"/>
        <w:ind w:left="-2" w:leftChars="-1"/>
        <w:outlineLvl w:val="9"/>
        <w:rPr>
          <w:rFonts w:asciiTheme="minorEastAsia" w:hAnsiTheme="minorEastAsia" w:eastAsiaTheme="minorEastAsia"/>
        </w:rPr>
      </w:pPr>
      <w:r>
        <w:rPr>
          <w:rFonts w:hint="eastAsia" w:asciiTheme="minorEastAsia" w:hAnsiTheme="minorEastAsia" w:eastAsiaTheme="minorEastAsia"/>
        </w:rPr>
        <w:t>净化期间，应及时跟踪一回路总γ放射性水平变化，评估后续变化趋势及影响。</w:t>
      </w:r>
    </w:p>
    <w:p>
      <w:pPr>
        <w:pStyle w:val="26"/>
        <w:numPr>
          <w:ilvl w:val="2"/>
          <w:numId w:val="2"/>
        </w:numPr>
        <w:spacing w:beforeLines="0" w:afterLines="0"/>
        <w:ind w:left="-2" w:leftChars="-1"/>
        <w:outlineLvl w:val="9"/>
        <w:rPr>
          <w:rFonts w:asciiTheme="minorEastAsia" w:hAnsiTheme="minorEastAsia" w:eastAsiaTheme="minorEastAsia"/>
        </w:rPr>
      </w:pPr>
      <w:r>
        <w:rPr>
          <w:rFonts w:hint="eastAsia" w:asciiTheme="minorEastAsia" w:hAnsiTheme="minorEastAsia" w:eastAsiaTheme="minorEastAsia"/>
        </w:rPr>
        <w:t>净化期间，对除放射性外的其他水化学参数进行监测，出现偏差时及时停止净化或者调整净化策略。</w:t>
      </w:r>
    </w:p>
    <w:p>
      <w:pPr>
        <w:pStyle w:val="26"/>
        <w:numPr>
          <w:ilvl w:val="1"/>
          <w:numId w:val="2"/>
        </w:numPr>
        <w:spacing w:beforeLines="0" w:afterLines="0"/>
        <w:outlineLvl w:val="9"/>
        <w:rPr>
          <w:rFonts w:ascii="Times New Roman"/>
        </w:rPr>
      </w:pPr>
      <w:r>
        <w:rPr>
          <w:rFonts w:hint="eastAsia" w:ascii="Times New Roman"/>
        </w:rPr>
        <w:t>其他源项控制措施</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根据辐射水平普查结果，建立机组大修期间高剂量率系统及设备辐射数据库；</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根据高剂量率系统、设备数据库，建立系统在线和离线冲洗控制措施，如；</w:t>
      </w:r>
    </w:p>
    <w:p>
      <w:pPr>
        <w:pStyle w:val="27"/>
        <w:ind w:left="1272" w:leftChars="404" w:hanging="424" w:hangingChars="202"/>
        <w:rPr>
          <w:rFonts w:ascii="Times New Roman"/>
        </w:rPr>
      </w:pPr>
      <w:r>
        <w:rPr>
          <w:rFonts w:hint="eastAsia" w:ascii="Times New Roman"/>
        </w:rPr>
        <w:t>——对于储罐类设备，通过外接设备进行内部冲洗或通过工艺系统充排水进行冲洗或反冲洗；</w:t>
      </w:r>
    </w:p>
    <w:p>
      <w:pPr>
        <w:pStyle w:val="27"/>
        <w:ind w:left="942" w:leftChars="405" w:hanging="92" w:hangingChars="44"/>
        <w:rPr>
          <w:rFonts w:ascii="Times New Roman"/>
        </w:rPr>
      </w:pPr>
      <w:r>
        <w:rPr>
          <w:rFonts w:hint="eastAsia" w:ascii="Times New Roman"/>
        </w:rPr>
        <w:t>——对于可拆卸设备部件，通过超声波装置进行去污；</w:t>
      </w:r>
    </w:p>
    <w:p>
      <w:pPr>
        <w:pStyle w:val="27"/>
        <w:ind w:left="942" w:leftChars="405" w:hanging="92" w:hangingChars="44"/>
        <w:rPr>
          <w:rFonts w:ascii="Times New Roman"/>
        </w:rPr>
      </w:pPr>
      <w:r>
        <w:rPr>
          <w:rFonts w:hint="eastAsia" w:ascii="Times New Roman"/>
        </w:rPr>
        <w:t>——对于高剂量率系统管线，可通过系统充排水进行在线冲洗。</w:t>
      </w:r>
    </w:p>
    <w:p>
      <w:pPr>
        <w:pStyle w:val="26"/>
        <w:numPr>
          <w:ilvl w:val="0"/>
          <w:numId w:val="2"/>
        </w:numPr>
        <w:spacing w:before="240" w:beforeLines="100" w:after="240" w:afterLines="100"/>
        <w:rPr>
          <w:rFonts w:ascii="Times New Roman"/>
        </w:rPr>
      </w:pPr>
      <w:bookmarkStart w:id="36" w:name="_Toc103503480"/>
      <w:r>
        <w:rPr>
          <w:rFonts w:hint="eastAsia" w:ascii="Times New Roman"/>
        </w:rPr>
        <w:t>特殊控制措施</w:t>
      </w:r>
      <w:bookmarkEnd w:id="36"/>
    </w:p>
    <w:p>
      <w:pPr>
        <w:pStyle w:val="26"/>
        <w:numPr>
          <w:ilvl w:val="1"/>
          <w:numId w:val="2"/>
        </w:numPr>
        <w:spacing w:beforeLines="0" w:afterLines="0"/>
        <w:ind w:left="531" w:hanging="531" w:hangingChars="253"/>
        <w:outlineLvl w:val="9"/>
        <w:rPr>
          <w:rFonts w:asciiTheme="minorEastAsia" w:hAnsiTheme="minorEastAsia" w:eastAsiaTheme="minorEastAsia"/>
        </w:rPr>
      </w:pPr>
      <w:r>
        <w:rPr>
          <w:rFonts w:hint="eastAsia" w:asciiTheme="minorEastAsia" w:hAnsiTheme="minorEastAsia" w:eastAsiaTheme="minorEastAsia"/>
        </w:rPr>
        <w:t>特殊控制措施主要针对机组燃料缺陷情况下所采取除“5一般控制措施”之外，需要采取的特殊源项控制措施。</w:t>
      </w:r>
    </w:p>
    <w:p>
      <w:pPr>
        <w:pStyle w:val="26"/>
        <w:numPr>
          <w:ilvl w:val="1"/>
          <w:numId w:val="2"/>
        </w:numPr>
        <w:spacing w:beforeLines="0" w:afterLines="0"/>
        <w:ind w:left="531" w:hanging="531" w:hangingChars="253"/>
        <w:outlineLvl w:val="9"/>
        <w:rPr>
          <w:rFonts w:hAnsi="黑体"/>
        </w:rPr>
      </w:pPr>
      <w:r>
        <w:rPr>
          <w:rFonts w:hint="eastAsia" w:hAnsi="黑体"/>
        </w:rPr>
        <w:t>一回路换水</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在主泵停运到反应堆解密封期间，通过余热导出系统、燃料水池和含硼水贮罐水净化系统和硼水贮存系统进行一回路换水，净化流程图见附录B。</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根据燃料缺陷评估结论，制定净化目标。</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评估硼水贮存水箱放射性，并按照5.2.1方式进行净化。</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及时跟踪一回路总碘放射性水平变化，评估净化趋势和净化时间。</w:t>
      </w:r>
    </w:p>
    <w:p>
      <w:pPr>
        <w:pStyle w:val="26"/>
        <w:numPr>
          <w:ilvl w:val="1"/>
          <w:numId w:val="2"/>
        </w:numPr>
        <w:spacing w:beforeLines="0" w:afterLines="0"/>
        <w:ind w:left="531" w:hanging="531" w:hangingChars="253"/>
        <w:outlineLvl w:val="9"/>
        <w:rPr>
          <w:rFonts w:hAnsi="黑体"/>
        </w:rPr>
      </w:pPr>
      <w:r>
        <w:rPr>
          <w:rFonts w:hint="eastAsia" w:hAnsi="黑体"/>
        </w:rPr>
        <w:t>一回路换水净化</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在一回路氮气吹扫期间，通过余热导出系统、燃料水池和含硼水贮罐水净化系统和硼水贮存系统进行一回路换水净化，净化流程图见附录B。</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根据燃料缺陷评估结论，制定净化目标。</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及时跟踪一回路总碘放射性水平变化，评估净化趋势和净化时间。</w:t>
      </w:r>
    </w:p>
    <w:p>
      <w:pPr>
        <w:pStyle w:val="26"/>
        <w:numPr>
          <w:ilvl w:val="1"/>
          <w:numId w:val="2"/>
        </w:numPr>
        <w:spacing w:beforeLines="0" w:afterLines="0"/>
        <w:ind w:left="531" w:hanging="531" w:hangingChars="253"/>
        <w:outlineLvl w:val="9"/>
        <w:rPr>
          <w:rFonts w:hAnsi="黑体"/>
        </w:rPr>
      </w:pPr>
      <w:r>
        <w:rPr>
          <w:rFonts w:hint="eastAsia" w:hAnsi="黑体"/>
        </w:rPr>
        <w:t>放射性流出物排放控制</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一回路氮气吹扫气体接入反应堆厂房净化通风系统。</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一回路设备解密封前，反应堆厂房通风系统切换为净化排风工况。</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一回路介质取样房间排风口加装过滤装置。</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一回路排水系统地漏封堵，并定期进行补水。</w:t>
      </w:r>
    </w:p>
    <w:p>
      <w:pPr>
        <w:pStyle w:val="26"/>
        <w:numPr>
          <w:ilvl w:val="2"/>
          <w:numId w:val="2"/>
        </w:numPr>
        <w:spacing w:beforeLines="0" w:afterLines="0"/>
        <w:ind w:left="2"/>
        <w:outlineLvl w:val="9"/>
        <w:rPr>
          <w:rFonts w:asciiTheme="minorEastAsia" w:hAnsiTheme="minorEastAsia" w:eastAsiaTheme="minorEastAsia"/>
        </w:rPr>
      </w:pPr>
      <w:r>
        <w:rPr>
          <w:rFonts w:hint="eastAsia" w:asciiTheme="minorEastAsia" w:hAnsiTheme="minorEastAsia" w:eastAsiaTheme="minorEastAsia"/>
        </w:rPr>
        <w:t>评估、预测烟囱放射性气态流出物排放情况。</w:t>
      </w:r>
    </w:p>
    <w:p>
      <w:pPr>
        <w:pStyle w:val="26"/>
        <w:numPr>
          <w:ilvl w:val="0"/>
          <w:numId w:val="2"/>
        </w:numPr>
        <w:spacing w:before="240" w:beforeLines="100" w:after="240" w:afterLines="100"/>
        <w:rPr>
          <w:rFonts w:ascii="Times New Roman"/>
        </w:rPr>
      </w:pPr>
      <w:bookmarkStart w:id="37" w:name="_Toc103503481"/>
      <w:r>
        <w:rPr>
          <w:rFonts w:hint="eastAsia" w:ascii="Times New Roman"/>
        </w:rPr>
        <w:t>净化效果评价</w:t>
      </w:r>
      <w:bookmarkEnd w:id="37"/>
    </w:p>
    <w:p>
      <w:pPr>
        <w:pStyle w:val="26"/>
        <w:numPr>
          <w:ilvl w:val="1"/>
          <w:numId w:val="2"/>
        </w:numPr>
        <w:spacing w:beforeLines="0" w:afterLines="0"/>
        <w:outlineLvl w:val="9"/>
        <w:rPr>
          <w:rFonts w:asciiTheme="minorEastAsia" w:hAnsiTheme="minorEastAsia" w:eastAsiaTheme="minorEastAsia"/>
        </w:rPr>
      </w:pPr>
      <w:r>
        <w:rPr>
          <w:rFonts w:hint="eastAsia" w:asciiTheme="minorEastAsia" w:hAnsiTheme="minorEastAsia" w:eastAsiaTheme="minorEastAsia"/>
        </w:rPr>
        <w:t>一回路放射性净化应建立效果评价机制。</w:t>
      </w:r>
    </w:p>
    <w:p>
      <w:pPr>
        <w:pStyle w:val="26"/>
        <w:numPr>
          <w:ilvl w:val="1"/>
          <w:numId w:val="2"/>
        </w:numPr>
        <w:spacing w:beforeLines="0" w:afterLines="0"/>
        <w:outlineLvl w:val="9"/>
        <w:rPr>
          <w:rFonts w:asciiTheme="minorEastAsia" w:hAnsiTheme="minorEastAsia" w:eastAsiaTheme="minorEastAsia"/>
        </w:rPr>
      </w:pPr>
      <w:r>
        <w:rPr>
          <w:rFonts w:hint="eastAsia" w:asciiTheme="minorEastAsia" w:hAnsiTheme="minorEastAsia" w:eastAsiaTheme="minorEastAsia"/>
        </w:rPr>
        <w:t>一回路系统净化是净化、循环注入、再净化的混合过程，净化时间公式如下：</w:t>
      </w:r>
    </w:p>
    <w:p>
      <w:pPr>
        <w:pStyle w:val="46"/>
        <w:numPr>
          <w:ilvl w:val="0"/>
          <w:numId w:val="0"/>
        </w:numPr>
        <w:ind w:left="846"/>
      </w:pPr>
      <w:r>
        <w:t xml:space="preserve">           </w:t>
      </w:r>
      <w:r>
        <w:rPr>
          <w:rFonts w:ascii="Calibri" w:hAnsi="Calibri"/>
          <w:position w:val="-28"/>
          <w:sz w:val="24"/>
        </w:rPr>
        <w:drawing>
          <wp:inline distT="0" distB="0" distL="0" distR="0">
            <wp:extent cx="922020" cy="4241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922020" cy="424180"/>
                    </a:xfrm>
                    <a:prstGeom prst="rect">
                      <a:avLst/>
                    </a:prstGeom>
                    <a:noFill/>
                    <a:ln>
                      <a:noFill/>
                    </a:ln>
                  </pic:spPr>
                </pic:pic>
              </a:graphicData>
            </a:graphic>
          </wp:inline>
        </w:drawing>
      </w:r>
      <w:r>
        <w:rPr>
          <w:rFonts w:hint="eastAsia" w:ascii="Calibri" w:hAnsi="Calibri"/>
          <w:sz w:val="24"/>
        </w:rPr>
        <w:t xml:space="preserve">    </w:t>
      </w:r>
    </w:p>
    <w:p>
      <w:pPr>
        <w:pStyle w:val="46"/>
        <w:numPr>
          <w:ilvl w:val="0"/>
          <w:numId w:val="0"/>
        </w:numPr>
        <w:ind w:left="846"/>
      </w:pPr>
      <w:r>
        <w:rPr>
          <w:rFonts w:hint="eastAsia"/>
        </w:rPr>
        <w:t>其中：</w:t>
      </w:r>
    </w:p>
    <w:p>
      <w:pPr>
        <w:pStyle w:val="46"/>
        <w:numPr>
          <w:ilvl w:val="0"/>
          <w:numId w:val="0"/>
        </w:numPr>
        <w:ind w:left="846"/>
      </w:pPr>
      <w:r>
        <w:rPr>
          <w:rFonts w:hint="eastAsia"/>
        </w:rPr>
        <w:t>V</w:t>
      </w:r>
      <w:r>
        <w:rPr>
          <w:rFonts w:hint="eastAsia"/>
          <w:vertAlign w:val="subscript"/>
        </w:rPr>
        <w:t>0</w:t>
      </w:r>
      <w:r>
        <w:rPr>
          <w:rFonts w:hint="eastAsia"/>
        </w:rPr>
        <w:t>——一回路水装量；</w:t>
      </w:r>
    </w:p>
    <w:p>
      <w:pPr>
        <w:pStyle w:val="46"/>
        <w:numPr>
          <w:ilvl w:val="0"/>
          <w:numId w:val="0"/>
        </w:numPr>
        <w:ind w:left="846"/>
      </w:pPr>
      <w:r>
        <w:rPr>
          <w:rFonts w:hint="eastAsia"/>
        </w:rPr>
        <w:t>L——树脂床总净化流量；</w:t>
      </w:r>
    </w:p>
    <w:p>
      <w:pPr>
        <w:pStyle w:val="46"/>
        <w:numPr>
          <w:ilvl w:val="0"/>
          <w:numId w:val="0"/>
        </w:numPr>
        <w:ind w:left="846"/>
      </w:pPr>
      <w:r>
        <w:t>K</w:t>
      </w:r>
      <w:r>
        <w:rPr>
          <w:rFonts w:hint="eastAsia"/>
        </w:rPr>
        <w:t>——树脂床单次循环除碘的效率；</w:t>
      </w:r>
    </w:p>
    <w:p>
      <w:pPr>
        <w:pStyle w:val="46"/>
        <w:numPr>
          <w:ilvl w:val="0"/>
          <w:numId w:val="0"/>
        </w:numPr>
        <w:ind w:left="846"/>
      </w:pPr>
      <w:r>
        <w:rPr>
          <w:rFonts w:hint="eastAsia"/>
        </w:rPr>
        <w:t>C</w:t>
      </w:r>
      <w:r>
        <w:rPr>
          <w:rFonts w:hint="eastAsia"/>
          <w:vertAlign w:val="subscript"/>
        </w:rPr>
        <w:t>0</w:t>
      </w:r>
      <w:r>
        <w:rPr>
          <w:rFonts w:hint="eastAsia"/>
        </w:rPr>
        <w:t>——原始一回路中总碘体积活度；</w:t>
      </w:r>
    </w:p>
    <w:p>
      <w:pPr>
        <w:pStyle w:val="46"/>
        <w:numPr>
          <w:ilvl w:val="0"/>
          <w:numId w:val="0"/>
        </w:numPr>
        <w:ind w:left="846"/>
      </w:pPr>
      <w:r>
        <w:rPr>
          <w:rFonts w:hint="eastAsia"/>
        </w:rPr>
        <w:t>C(t)——净化后一回路中总碘体积活度。</w:t>
      </w: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p>
      <w:pPr>
        <w:pStyle w:val="27"/>
        <w:tabs>
          <w:tab w:val="center" w:pos="4201"/>
          <w:tab w:val="right" w:leader="dot" w:pos="9298"/>
        </w:tabs>
        <w:ind w:firstLine="420"/>
        <w:rPr>
          <w:rFonts w:ascii="Times New Roman"/>
          <w:color w:val="000000"/>
        </w:rPr>
      </w:pPr>
    </w:p>
    <w:bookmarkEnd w:id="22"/>
    <w:bookmarkEnd w:id="23"/>
    <w:p>
      <w:pPr>
        <w:jc w:val="center"/>
        <w:rPr>
          <w:rFonts w:ascii="黑体" w:hAnsi="黑体" w:eastAsia="黑体" w:cs="Times New Roman"/>
          <w:kern w:val="0"/>
          <w:szCs w:val="21"/>
        </w:rPr>
      </w:pPr>
    </w:p>
    <w:p>
      <w:pPr>
        <w:jc w:val="center"/>
        <w:rPr>
          <w:rFonts w:ascii="黑体" w:hAnsi="黑体" w:eastAsia="黑体" w:cs="Times New Roman"/>
          <w:kern w:val="0"/>
          <w:szCs w:val="21"/>
        </w:rPr>
      </w:pPr>
    </w:p>
    <w:p>
      <w:pPr>
        <w:widowControl/>
        <w:jc w:val="left"/>
        <w:rPr>
          <w:rFonts w:ascii="黑体" w:hAnsi="黑体" w:eastAsia="黑体" w:cs="Times New Roman"/>
          <w:kern w:val="0"/>
          <w:szCs w:val="21"/>
        </w:rPr>
      </w:pPr>
      <w:r>
        <w:rPr>
          <w:rFonts w:ascii="黑体" w:hAnsi="黑体" w:eastAsia="黑体" w:cs="Times New Roman"/>
          <w:kern w:val="0"/>
          <w:szCs w:val="21"/>
        </w:rPr>
        <w:br w:type="page"/>
      </w:r>
    </w:p>
    <w:p>
      <w:pPr>
        <w:jc w:val="center"/>
        <w:outlineLvl w:val="1"/>
        <w:rPr>
          <w:rFonts w:ascii="黑体" w:hAnsi="黑体" w:eastAsia="黑体" w:cs="Times New Roman"/>
          <w:kern w:val="0"/>
          <w:szCs w:val="21"/>
        </w:rPr>
      </w:pPr>
      <w:bookmarkStart w:id="38" w:name="_Toc103503482"/>
      <w:r>
        <w:rPr>
          <w:rFonts w:hint="eastAsia" w:ascii="黑体" w:hAnsi="黑体" w:eastAsia="黑体" w:cs="Times New Roman"/>
          <w:kern w:val="0"/>
          <w:szCs w:val="21"/>
        </w:rPr>
        <w:t>附录A</w:t>
      </w:r>
      <w:bookmarkEnd w:id="38"/>
    </w:p>
    <w:p>
      <w:pPr>
        <w:pStyle w:val="54"/>
        <w:keepNext w:val="0"/>
        <w:keepLines w:val="0"/>
        <w:numPr>
          <w:ilvl w:val="0"/>
          <w:numId w:val="0"/>
        </w:numPr>
        <w:spacing w:before="0" w:after="0" w:line="240" w:lineRule="auto"/>
        <w:ind w:left="-20" w:leftChars="-67" w:right="-105" w:hanging="121" w:hangingChars="58"/>
        <w:jc w:val="center"/>
        <w:outlineLvl w:val="1"/>
        <w:rPr>
          <w:rFonts w:ascii="黑体" w:hAnsi="黑体" w:eastAsia="黑体"/>
          <w:b w:val="0"/>
          <w:sz w:val="21"/>
          <w:szCs w:val="21"/>
        </w:rPr>
      </w:pPr>
      <w:bookmarkStart w:id="39" w:name="_Toc103502721"/>
      <w:bookmarkStart w:id="40" w:name="_Toc103502612"/>
      <w:r>
        <w:rPr>
          <w:rFonts w:hint="eastAsia" w:ascii="黑体" w:hAnsi="黑体" w:eastAsia="黑体"/>
          <w:b w:val="0"/>
          <w:sz w:val="21"/>
          <w:szCs w:val="21"/>
        </w:rPr>
        <w:t>（资料性附录）</w:t>
      </w:r>
      <w:bookmarkEnd w:id="39"/>
      <w:bookmarkEnd w:id="40"/>
    </w:p>
    <w:p>
      <w:pPr>
        <w:widowControl/>
        <w:spacing w:after="720" w:afterLines="300"/>
        <w:jc w:val="center"/>
        <w:outlineLvl w:val="1"/>
        <w:rPr>
          <w:rFonts w:ascii="黑体" w:hAnsi="黑体" w:eastAsia="黑体" w:cs="Times New Roman"/>
          <w:kern w:val="0"/>
          <w:szCs w:val="21"/>
        </w:rPr>
      </w:pPr>
      <w:bookmarkStart w:id="41" w:name="_Toc103333351"/>
      <w:bookmarkStart w:id="42" w:name="_Toc103503483"/>
      <w:r>
        <w:rPr>
          <w:rFonts w:hint="eastAsia" w:ascii="黑体" w:hAnsi="黑体" w:eastAsia="黑体" w:cs="Times New Roman"/>
          <w:kern w:val="0"/>
          <w:szCs w:val="21"/>
        </w:rPr>
        <w:t>VVER型机组大修放射性源项控制框图</w:t>
      </w:r>
      <w:bookmarkEnd w:id="41"/>
      <w:bookmarkEnd w:id="42"/>
    </w:p>
    <w:p>
      <w:pPr>
        <w:widowControl/>
        <w:jc w:val="center"/>
        <w:rPr>
          <w:rFonts w:hint="eastAsia"/>
        </w:rPr>
      </w:pPr>
      <w:r>
        <w:rPr>
          <w:rFonts w:ascii="黑体" w:hAnsi="黑体" w:eastAsia="黑体"/>
        </w:rPr>
        <w:object>
          <v:shape id="_x0000_i1025" o:spt="75" type="#_x0000_t75" style="height:241.65pt;width:428.55pt;" o:ole="t" filled="f" o:preferrelative="t" stroked="f" coordsize="21600,21600">
            <v:path/>
            <v:fill on="f" focussize="0,0"/>
            <v:stroke on="f" joinstyle="miter"/>
            <v:imagedata r:id="rId7" o:title=""/>
            <o:lock v:ext="edit" aspectratio="t"/>
            <w10:wrap type="none"/>
            <w10:anchorlock/>
          </v:shape>
          <o:OLEObject Type="Embed" ProgID="Visio.Drawing.11" ShapeID="_x0000_i1025" DrawAspect="Content" ObjectID="_1468075725" r:id="rId6">
            <o:LockedField>false</o:LockedField>
          </o:OLEObject>
        </w:object>
      </w:r>
      <w:r>
        <w:rPr>
          <w:rFonts w:ascii="黑体" w:hAnsi="黑体" w:eastAsia="黑体"/>
        </w:rPr>
        <w:t xml:space="preserve">图A,1  </w:t>
      </w:r>
      <w:r>
        <w:rPr>
          <w:rFonts w:hint="eastAsia" w:ascii="黑体" w:hAnsi="黑体" w:eastAsia="黑体" w:cs="Times New Roman"/>
          <w:kern w:val="0"/>
          <w:szCs w:val="21"/>
        </w:rPr>
        <w:t>VVER型机组大修放射性源项控制框图</w:t>
      </w:r>
    </w:p>
    <w:p>
      <w:pPr>
        <w:pStyle w:val="27"/>
        <w:ind w:firstLine="420"/>
      </w:pPr>
      <w:r>
        <w:br w:type="page"/>
      </w:r>
    </w:p>
    <w:p>
      <w:pPr>
        <w:jc w:val="center"/>
        <w:outlineLvl w:val="1"/>
        <w:rPr>
          <w:rFonts w:ascii="黑体" w:hAnsi="黑体" w:eastAsia="黑体" w:cs="Times New Roman"/>
          <w:kern w:val="0"/>
          <w:szCs w:val="21"/>
        </w:rPr>
      </w:pPr>
      <w:bookmarkStart w:id="43" w:name="_Toc103503484"/>
      <w:r>
        <w:rPr>
          <w:rFonts w:hint="eastAsia" w:ascii="黑体" w:hAnsi="黑体" w:eastAsia="黑体" w:cs="Times New Roman"/>
          <w:kern w:val="0"/>
          <w:szCs w:val="21"/>
        </w:rPr>
        <w:t>附录B</w:t>
      </w:r>
      <w:bookmarkEnd w:id="43"/>
    </w:p>
    <w:p>
      <w:pPr>
        <w:pStyle w:val="54"/>
        <w:keepNext w:val="0"/>
        <w:keepLines w:val="0"/>
        <w:numPr>
          <w:ilvl w:val="0"/>
          <w:numId w:val="0"/>
        </w:numPr>
        <w:spacing w:before="0" w:after="0" w:line="240" w:lineRule="auto"/>
        <w:ind w:left="-20" w:leftChars="-67" w:right="-105" w:hanging="121" w:hangingChars="58"/>
        <w:jc w:val="center"/>
        <w:outlineLvl w:val="1"/>
        <w:rPr>
          <w:rFonts w:ascii="黑体" w:hAnsi="黑体" w:eastAsia="黑体"/>
          <w:b w:val="0"/>
          <w:sz w:val="21"/>
          <w:szCs w:val="21"/>
        </w:rPr>
      </w:pPr>
      <w:r>
        <w:rPr>
          <w:rFonts w:hint="eastAsia" w:ascii="黑体" w:hAnsi="黑体" w:eastAsia="黑体"/>
          <w:b w:val="0"/>
          <w:sz w:val="21"/>
          <w:szCs w:val="21"/>
        </w:rPr>
        <w:t>（资料性附录）</w:t>
      </w:r>
    </w:p>
    <w:p>
      <w:pPr>
        <w:spacing w:after="720" w:afterLines="300"/>
        <w:jc w:val="center"/>
        <w:outlineLvl w:val="1"/>
        <w:rPr>
          <w:rFonts w:ascii="黑体" w:hAnsi="黑体" w:eastAsia="黑体" w:cs="Times New Roman"/>
          <w:kern w:val="0"/>
          <w:szCs w:val="21"/>
        </w:rPr>
      </w:pPr>
      <w:bookmarkStart w:id="44" w:name="_Toc103333353"/>
      <w:bookmarkStart w:id="45" w:name="_Toc103503485"/>
      <w:r>
        <w:rPr>
          <w:rFonts w:hint="eastAsia" w:ascii="黑体" w:hAnsi="黑体" w:eastAsia="黑体" w:cs="Times New Roman"/>
          <w:kern w:val="0"/>
          <w:szCs w:val="21"/>
        </w:rPr>
        <w:t>特殊控制措施净化流程示意图</w:t>
      </w:r>
      <w:bookmarkEnd w:id="44"/>
      <w:bookmarkEnd w:id="45"/>
    </w:p>
    <w:p>
      <w:pPr>
        <w:pStyle w:val="46"/>
        <w:numPr>
          <w:ilvl w:val="0"/>
          <w:numId w:val="0"/>
        </w:numPr>
        <w:ind w:left="846"/>
      </w:pPr>
      <w:r>
        <w:drawing>
          <wp:inline distT="0" distB="0" distL="0" distR="0">
            <wp:extent cx="4495800" cy="2743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4495800" cy="2743200"/>
                    </a:xfrm>
                    <a:prstGeom prst="rect">
                      <a:avLst/>
                    </a:prstGeom>
                  </pic:spPr>
                </pic:pic>
              </a:graphicData>
            </a:graphic>
          </wp:inline>
        </w:drawing>
      </w:r>
    </w:p>
    <w:p>
      <w:pPr>
        <w:spacing w:after="120" w:afterLines="50"/>
        <w:ind w:left="567" w:leftChars="270" w:right="508" w:rightChars="242"/>
        <w:rPr>
          <w:szCs w:val="21"/>
        </w:rPr>
      </w:pPr>
      <w:r>
        <w:rPr>
          <w:rFonts w:hint="eastAsia"/>
          <w:szCs w:val="21"/>
        </w:rPr>
        <w:t>说明：1-反应堆；2-蒸汽发生器；3-主泵；4-主管道热段；5-主管道过渡段；6-主管道冷段；7-</w:t>
      </w:r>
      <w:r>
        <w:rPr>
          <w:rFonts w:hint="eastAsia" w:ascii="Arial" w:hAnsi="Arial" w:cs="Arial"/>
          <w:szCs w:val="21"/>
        </w:rPr>
        <w:t>硼水贮存</w:t>
      </w:r>
      <w:r>
        <w:rPr>
          <w:rFonts w:hint="eastAsia"/>
          <w:szCs w:val="21"/>
        </w:rPr>
        <w:t>水箱40系列；8-</w:t>
      </w:r>
      <w:r>
        <w:rPr>
          <w:rFonts w:hint="eastAsia" w:ascii="Arial" w:hAnsi="Arial" w:cs="Arial"/>
          <w:szCs w:val="21"/>
        </w:rPr>
        <w:t>硼水贮存</w:t>
      </w:r>
      <w:r>
        <w:rPr>
          <w:rFonts w:hint="eastAsia"/>
          <w:szCs w:val="21"/>
        </w:rPr>
        <w:t>水箱10系列；9-</w:t>
      </w:r>
      <w:r>
        <w:rPr>
          <w:rFonts w:hint="eastAsia" w:ascii="Arial" w:hAnsi="Arial" w:cs="Arial"/>
          <w:szCs w:val="21"/>
        </w:rPr>
        <w:t>余热导出系统的</w:t>
      </w:r>
      <w:r>
        <w:rPr>
          <w:rFonts w:hint="eastAsia"/>
          <w:szCs w:val="21"/>
        </w:rPr>
        <w:t>管线；10-低压安注系统泵40系列；11-低压安注系统泵20系列；12-</w:t>
      </w:r>
      <w:r>
        <w:rPr>
          <w:rFonts w:hint="eastAsia" w:ascii="Arial" w:hAnsi="Arial" w:cs="Arial"/>
          <w:szCs w:val="21"/>
        </w:rPr>
        <w:t>乏池净化系统树脂床</w:t>
      </w:r>
      <w:r>
        <w:rPr>
          <w:rFonts w:hint="eastAsia"/>
          <w:szCs w:val="21"/>
        </w:rPr>
        <w:t>；13-</w:t>
      </w:r>
      <w:r>
        <w:rPr>
          <w:rFonts w:hint="eastAsia" w:ascii="Arial" w:hAnsi="Arial" w:cs="Arial"/>
          <w:szCs w:val="21"/>
        </w:rPr>
        <w:t>乏池净化系统泵</w:t>
      </w:r>
      <w:r>
        <w:rPr>
          <w:rFonts w:hint="eastAsia"/>
          <w:szCs w:val="21"/>
        </w:rPr>
        <w:t>。</w:t>
      </w:r>
    </w:p>
    <w:p>
      <w:pPr>
        <w:widowControl/>
        <w:jc w:val="center"/>
        <w:rPr>
          <w:rFonts w:hint="eastAsia" w:ascii="黑体" w:hAnsi="黑体" w:eastAsia="黑体" w:cs="Times New Roman"/>
          <w:kern w:val="0"/>
          <w:szCs w:val="21"/>
        </w:rPr>
      </w:pPr>
      <w:r>
        <w:rPr>
          <w:rFonts w:ascii="黑体" w:hAnsi="黑体" w:eastAsia="黑体" w:cs="Times New Roman"/>
          <w:kern w:val="0"/>
          <w:szCs w:val="21"/>
        </w:rPr>
        <w:t>图</w:t>
      </w:r>
      <w:r>
        <w:rPr>
          <w:rFonts w:hint="eastAsia" w:ascii="黑体" w:hAnsi="黑体" w:eastAsia="黑体" w:cs="Times New Roman"/>
          <w:kern w:val="0"/>
          <w:szCs w:val="21"/>
        </w:rPr>
        <w:t>B.</w:t>
      </w:r>
      <w:r>
        <w:rPr>
          <w:rFonts w:ascii="黑体" w:hAnsi="黑体" w:eastAsia="黑体" w:cs="Times New Roman"/>
          <w:kern w:val="0"/>
          <w:szCs w:val="21"/>
        </w:rPr>
        <w:t xml:space="preserve">1 </w:t>
      </w:r>
      <w:r>
        <w:rPr>
          <w:rFonts w:hint="eastAsia" w:ascii="黑体" w:hAnsi="黑体" w:eastAsia="黑体" w:cs="Times New Roman"/>
          <w:kern w:val="0"/>
          <w:szCs w:val="21"/>
        </w:rPr>
        <w:t>特殊控制措施净化流程示意图</w:t>
      </w:r>
    </w:p>
    <w:p>
      <w:pPr>
        <w:widowControl/>
        <w:jc w:val="center"/>
        <w:rPr>
          <w:rFonts w:ascii="黑体" w:hAnsi="黑体" w:eastAsia="黑体" w:cs="Times New Roman"/>
          <w:kern w:val="0"/>
          <w:szCs w:val="21"/>
        </w:rPr>
      </w:pPr>
      <w:r>
        <w:rPr>
          <w:rFonts w:ascii="黑体" w:hAnsi="黑体" w:eastAsia="黑体" w:cs="Times New Roman"/>
          <w:kern w:val="0"/>
          <w:szCs w:val="21"/>
        </w:rPr>
        <w:br w:type="page"/>
      </w:r>
    </w:p>
    <w:p>
      <w:pPr>
        <w:pStyle w:val="27"/>
        <w:ind w:firstLine="420"/>
      </w:pPr>
    </w:p>
    <w:tbl>
      <w:tblPr>
        <w:tblStyle w:val="19"/>
        <w:tblW w:w="9379" w:type="dxa"/>
        <w:tblInd w:w="102" w:type="dxa"/>
        <w:tblLayout w:type="fixed"/>
        <w:tblCellMar>
          <w:top w:w="0" w:type="dxa"/>
          <w:left w:w="108" w:type="dxa"/>
          <w:bottom w:w="0" w:type="dxa"/>
          <w:right w:w="108" w:type="dxa"/>
        </w:tblCellMar>
      </w:tblPr>
      <w:tblGrid>
        <w:gridCol w:w="3088"/>
        <w:gridCol w:w="3190"/>
        <w:gridCol w:w="3101"/>
      </w:tblGrid>
      <w:tr>
        <w:tblPrEx>
          <w:tblCellMar>
            <w:top w:w="0" w:type="dxa"/>
            <w:left w:w="108" w:type="dxa"/>
            <w:bottom w:w="0" w:type="dxa"/>
            <w:right w:w="108" w:type="dxa"/>
          </w:tblCellMar>
        </w:tblPrEx>
        <w:trPr>
          <w:trHeight w:val="464" w:hRule="atLeast"/>
        </w:trPr>
        <w:tc>
          <w:tcPr>
            <w:tcW w:w="3088" w:type="dxa"/>
            <w:tcBorders>
              <w:top w:val="nil"/>
              <w:left w:val="nil"/>
              <w:bottom w:val="nil"/>
              <w:right w:val="nil"/>
            </w:tcBorders>
          </w:tcPr>
          <w:p>
            <w:pPr>
              <w:pStyle w:val="27"/>
              <w:ind w:firstLine="420"/>
            </w:pPr>
          </w:p>
        </w:tc>
        <w:tc>
          <w:tcPr>
            <w:tcW w:w="3190" w:type="dxa"/>
            <w:tcBorders>
              <w:top w:val="nil"/>
              <w:left w:val="nil"/>
              <w:bottom w:val="single" w:color="auto" w:sz="4" w:space="0"/>
              <w:right w:val="nil"/>
            </w:tcBorders>
          </w:tcPr>
          <w:p>
            <w:pPr>
              <w:spacing w:line="240" w:lineRule="atLeast"/>
              <w:ind w:firstLine="420"/>
            </w:pPr>
          </w:p>
          <w:p>
            <w:pPr>
              <w:spacing w:line="240" w:lineRule="atLeast"/>
            </w:pPr>
          </w:p>
          <w:p>
            <w:pPr>
              <w:spacing w:line="240" w:lineRule="atLeast"/>
            </w:pPr>
          </w:p>
        </w:tc>
        <w:tc>
          <w:tcPr>
            <w:tcW w:w="3101" w:type="dxa"/>
            <w:tcBorders>
              <w:top w:val="nil"/>
              <w:left w:val="nil"/>
              <w:bottom w:val="nil"/>
              <w:right w:val="nil"/>
            </w:tcBorders>
          </w:tcPr>
          <w:p>
            <w:pPr>
              <w:spacing w:line="240" w:lineRule="atLeast"/>
              <w:ind w:firstLine="420"/>
            </w:pPr>
          </w:p>
        </w:tc>
      </w:tr>
    </w:tbl>
    <w:p>
      <w:pPr>
        <w:jc w:val="left"/>
        <w:rPr>
          <w:rFonts w:ascii="仿宋" w:hAnsi="仿宋" w:eastAsia="仿宋"/>
          <w:sz w:val="30"/>
          <w:szCs w:val="30"/>
        </w:rPr>
      </w:pPr>
    </w:p>
    <w:sectPr>
      <w:headerReference r:id="rId3"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宋体">
    <w:panose1 w:val="020B0503020204020204"/>
    <w:charset w:val="86"/>
    <w:family w:val="auto"/>
    <w:pitch w:val="default"/>
    <w:sig w:usb0="80000287" w:usb1="280F3C52" w:usb2="00000016" w:usb3="00000000" w:csb0="0004001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11270"/>
      </w:tabs>
      <w:wordWrap w:val="0"/>
      <w:jc w:val="both"/>
      <w:rPr>
        <w:rFonts w:ascii="黑体" w:hAnsi="黑体" w:eastAsia="黑体"/>
        <w:sz w:val="21"/>
        <w:szCs w:val="21"/>
      </w:rPr>
    </w:pPr>
    <w:r>
      <w:rPr>
        <w:rFonts w:ascii="黑体" w:hAnsi="黑体" w:eastAsia="黑体"/>
        <w:sz w:val="21"/>
        <w:szCs w:val="21"/>
      </w:rPr>
      <w:tab/>
    </w:r>
    <w:r>
      <w:rPr>
        <w:rFonts w:ascii="黑体" w:hAnsi="黑体" w:eastAsia="黑体"/>
        <w:sz w:val="21"/>
        <w:szCs w:val="21"/>
      </w:rPr>
      <w:tab/>
    </w:r>
    <w:r>
      <w:rPr>
        <w:rFonts w:ascii="黑体" w:hAnsi="黑体" w:eastAsia="黑体"/>
        <w:sz w:val="21"/>
        <w:szCs w:val="21"/>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F6030D"/>
    <w:multiLevelType w:val="multilevel"/>
    <w:tmpl w:val="04F6030D"/>
    <w:lvl w:ilvl="0" w:tentative="0">
      <w:start w:val="1"/>
      <w:numFmt w:val="lowerLetter"/>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07ED3FEA"/>
    <w:multiLevelType w:val="multilevel"/>
    <w:tmpl w:val="07ED3FEA"/>
    <w:lvl w:ilvl="0" w:tentative="0">
      <w:start w:val="1"/>
      <w:numFmt w:val="none"/>
      <w:pStyle w:val="63"/>
      <w:lvlText w:val="%1"/>
      <w:lvlJc w:val="left"/>
      <w:pPr>
        <w:ind w:left="425" w:hanging="425"/>
      </w:pPr>
      <w:rPr>
        <w:rFonts w:hint="eastAsia"/>
      </w:rPr>
    </w:lvl>
    <w:lvl w:ilvl="1" w:tentative="0">
      <w:start w:val="1"/>
      <w:numFmt w:val="decimal"/>
      <w:pStyle w:val="64"/>
      <w:suff w:val="nothing"/>
      <w:lvlText w:val="%10.%2 "/>
      <w:lvlJc w:val="left"/>
      <w:pPr>
        <w:ind w:left="0" w:firstLine="0"/>
      </w:pPr>
      <w:rPr>
        <w:rFonts w:hint="eastAsia" w:ascii="黑体" w:hAnsi="等线" w:eastAsia="黑体"/>
        <w:b w:val="0"/>
        <w:i w:val="0"/>
        <w:sz w:val="21"/>
      </w:rPr>
    </w:lvl>
    <w:lvl w:ilvl="2" w:tentative="0">
      <w:start w:val="1"/>
      <w:numFmt w:val="decimal"/>
      <w:pStyle w:val="65"/>
      <w:suff w:val="nothing"/>
      <w:lvlText w:val="%10.%2.%3 "/>
      <w:lvlJc w:val="left"/>
      <w:pPr>
        <w:ind w:left="0" w:firstLine="0"/>
      </w:pPr>
      <w:rPr>
        <w:rFonts w:hint="eastAsia" w:ascii="黑体" w:hAnsi="等线" w:eastAsia="黑体"/>
        <w:b w:val="0"/>
        <w:i w:val="0"/>
        <w:sz w:val="21"/>
      </w:rPr>
    </w:lvl>
    <w:lvl w:ilvl="3" w:tentative="0">
      <w:start w:val="1"/>
      <w:numFmt w:val="decimal"/>
      <w:pStyle w:val="66"/>
      <w:suff w:val="nothing"/>
      <w:lvlText w:val="%10.%2.%3.%4 "/>
      <w:lvlJc w:val="left"/>
      <w:pPr>
        <w:ind w:left="0" w:firstLine="0"/>
      </w:pPr>
      <w:rPr>
        <w:rFonts w:hint="eastAsia" w:ascii="黑体" w:hAnsi="等线" w:eastAsia="黑体"/>
        <w:b w:val="0"/>
        <w:i w:val="0"/>
        <w:sz w:val="21"/>
      </w:rPr>
    </w:lvl>
    <w:lvl w:ilvl="4" w:tentative="0">
      <w:start w:val="1"/>
      <w:numFmt w:val="decimal"/>
      <w:pStyle w:val="67"/>
      <w:suff w:val="nothing"/>
      <w:lvlText w:val="%10.%2.%3.%4.%5 "/>
      <w:lvlJc w:val="left"/>
      <w:pPr>
        <w:ind w:left="0" w:firstLine="0"/>
      </w:pPr>
      <w:rPr>
        <w:rFonts w:hint="eastAsia" w:ascii="黑体" w:hAnsi="等线" w:eastAsia="黑体"/>
        <w:b w:val="0"/>
        <w:i w:val="0"/>
        <w:sz w:val="21"/>
      </w:rPr>
    </w:lvl>
    <w:lvl w:ilvl="5" w:tentative="0">
      <w:start w:val="1"/>
      <w:numFmt w:val="decimal"/>
      <w:pStyle w:val="68"/>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1FC91163"/>
    <w:multiLevelType w:val="multilevel"/>
    <w:tmpl w:val="1FC91163"/>
    <w:lvl w:ilvl="0" w:tentative="0">
      <w:start w:val="1"/>
      <w:numFmt w:val="decimal"/>
      <w:pStyle w:val="3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56E2192"/>
    <w:multiLevelType w:val="multilevel"/>
    <w:tmpl w:val="256E2192"/>
    <w:lvl w:ilvl="0" w:tentative="0">
      <w:start w:val="1"/>
      <w:numFmt w:val="none"/>
      <w:pStyle w:val="34"/>
      <w:suff w:val="nothing"/>
      <w:lvlText w:val="%1"/>
      <w:lvlJc w:val="left"/>
      <w:pPr>
        <w:ind w:left="0" w:firstLine="0"/>
      </w:pPr>
      <w:rPr>
        <w:rFonts w:hint="default" w:ascii="Times New Roman" w:hAnsi="Times New Roman"/>
        <w:b/>
        <w:i w:val="0"/>
        <w:sz w:val="21"/>
      </w:rPr>
    </w:lvl>
    <w:lvl w:ilvl="1" w:tentative="0">
      <w:start w:val="1"/>
      <w:numFmt w:val="decimal"/>
      <w:pStyle w:val="26"/>
      <w:suff w:val="nothing"/>
      <w:lvlText w:val="%1%2　"/>
      <w:lvlJc w:val="left"/>
      <w:pPr>
        <w:ind w:left="360" w:firstLine="0"/>
      </w:pPr>
      <w:rPr>
        <w:rFonts w:hint="eastAsia" w:ascii="黑体" w:hAnsi="Times New Roman" w:eastAsia="黑体"/>
        <w:b w:val="0"/>
        <w:i w:val="0"/>
        <w:sz w:val="21"/>
      </w:rPr>
    </w:lvl>
    <w:lvl w:ilvl="2" w:tentative="0">
      <w:start w:val="1"/>
      <w:numFmt w:val="decimal"/>
      <w:pStyle w:val="29"/>
      <w:suff w:val="nothing"/>
      <w:lvlText w:val="%13.%3　"/>
      <w:lvlJc w:val="left"/>
      <w:pPr>
        <w:ind w:left="0" w:firstLine="0"/>
      </w:pPr>
      <w:rPr>
        <w:rFonts w:hint="eastAsia" w:ascii="黑体" w:hAnsi="Times New Roman" w:eastAsia="黑体"/>
        <w:b w:val="0"/>
        <w:i w:val="0"/>
        <w:sz w:val="21"/>
      </w:rPr>
    </w:lvl>
    <w:lvl w:ilvl="3" w:tentative="0">
      <w:start w:val="1"/>
      <w:numFmt w:val="decimal"/>
      <w:pStyle w:val="32"/>
      <w:suff w:val="nothing"/>
      <w:lvlText w:val="%15.1.%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E9B1F38"/>
    <w:multiLevelType w:val="multilevel"/>
    <w:tmpl w:val="2E9B1F38"/>
    <w:lvl w:ilvl="0" w:tentative="0">
      <w:start w:val="1"/>
      <w:numFmt w:val="lowerLetter"/>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5">
    <w:nsid w:val="57187D6F"/>
    <w:multiLevelType w:val="multilevel"/>
    <w:tmpl w:val="57187D6F"/>
    <w:lvl w:ilvl="0" w:tentative="0">
      <w:start w:val="1"/>
      <w:numFmt w:val="lowerLetter"/>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
    <w:nsid w:val="665D3E5E"/>
    <w:multiLevelType w:val="multilevel"/>
    <w:tmpl w:val="665D3E5E"/>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60" w:firstLine="0"/>
      </w:pPr>
      <w:rPr>
        <w:rFonts w:hint="eastAsia" w:ascii="黑体" w:hAnsi="Times New Roman" w:eastAsia="黑体"/>
        <w:b w:val="0"/>
        <w:i w:val="0"/>
        <w:sz w:val="21"/>
      </w:rPr>
    </w:lvl>
    <w:lvl w:ilvl="2" w:tentative="0">
      <w:start w:val="1"/>
      <w:numFmt w:val="decimal"/>
      <w:suff w:val="nothing"/>
      <w:lvlText w:val="%14.%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60" w:firstLine="0"/>
      </w:pPr>
      <w:rPr>
        <w:rFonts w:hint="eastAsia" w:ascii="黑体" w:hAnsi="Times New Roman" w:eastAsia="黑体"/>
        <w:b w:val="0"/>
        <w:i w:val="0"/>
        <w:sz w:val="21"/>
      </w:rPr>
    </w:lvl>
    <w:lvl w:ilvl="2" w:tentative="0">
      <w:start w:val="1"/>
      <w:numFmt w:val="decimal"/>
      <w:suff w:val="nothing"/>
      <w:lvlText w:val="%13.%3　"/>
      <w:lvlJc w:val="left"/>
      <w:pPr>
        <w:ind w:left="0" w:firstLine="0"/>
      </w:pPr>
      <w:rPr>
        <w:rFonts w:hint="eastAsia" w:ascii="黑体" w:hAnsi="Times New Roman" w:eastAsia="黑体"/>
        <w:b w:val="0"/>
        <w:i w:val="0"/>
        <w:sz w:val="21"/>
      </w:rPr>
    </w:lvl>
    <w:lvl w:ilvl="3" w:tentative="0">
      <w:start w:val="1"/>
      <w:numFmt w:val="decimal"/>
      <w:suff w:val="nothing"/>
      <w:lvlText w:val="%15.1.%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74B51508"/>
    <w:multiLevelType w:val="multilevel"/>
    <w:tmpl w:val="74B51508"/>
    <w:lvl w:ilvl="0" w:tentative="0">
      <w:start w:val="1"/>
      <w:numFmt w:val="decimal"/>
      <w:pStyle w:val="54"/>
      <w:isLgl/>
      <w:suff w:val="space"/>
      <w:lvlText w:val="%1.0"/>
      <w:lvlJc w:val="left"/>
      <w:pPr>
        <w:ind w:left="1248" w:hanging="964"/>
      </w:pPr>
      <w:rPr>
        <w:rFonts w:hint="default" w:ascii="Times New Roman" w:hAnsi="Times New Roman" w:eastAsia="宋体"/>
        <w:b/>
        <w:i w:val="0"/>
        <w:sz w:val="24"/>
      </w:rPr>
    </w:lvl>
    <w:lvl w:ilvl="1" w:tentative="0">
      <w:start w:val="1"/>
      <w:numFmt w:val="decimal"/>
      <w:pStyle w:val="55"/>
      <w:isLgl/>
      <w:suff w:val="space"/>
      <w:lvlText w:val="%1.%2"/>
      <w:lvlJc w:val="left"/>
      <w:pPr>
        <w:ind w:left="964" w:hanging="964"/>
      </w:pPr>
      <w:rPr>
        <w:rFonts w:hint="default" w:ascii="Times New Roman" w:hAnsi="Times New Roman" w:eastAsia="宋体"/>
        <w:b/>
        <w:i w:val="0"/>
      </w:rPr>
    </w:lvl>
    <w:lvl w:ilvl="2" w:tentative="0">
      <w:start w:val="1"/>
      <w:numFmt w:val="decimal"/>
      <w:pStyle w:val="56"/>
      <w:suff w:val="space"/>
      <w:lvlText w:val="%1.%2.%3"/>
      <w:lvlJc w:val="left"/>
      <w:pPr>
        <w:ind w:left="1674" w:hanging="964"/>
      </w:pPr>
      <w:rPr>
        <w:rFonts w:hint="default" w:ascii="Times New Roman" w:hAnsi="Times New Roman" w:eastAsia="宋体"/>
        <w:b/>
        <w:i w:val="0"/>
      </w:rPr>
    </w:lvl>
    <w:lvl w:ilvl="3" w:tentative="0">
      <w:start w:val="1"/>
      <w:numFmt w:val="decimal"/>
      <w:suff w:val="space"/>
      <w:lvlText w:val="%1.%2.%3.%4"/>
      <w:lvlJc w:val="left"/>
      <w:pPr>
        <w:ind w:left="0" w:firstLine="0"/>
      </w:pPr>
      <w:rPr>
        <w:rFonts w:hint="default" w:ascii="Times New Roman" w:hAnsi="Times New Roman" w:eastAsia="宋体"/>
        <w:b/>
        <w:i w:val="0"/>
        <w:lang w:val="en-US"/>
      </w:rPr>
    </w:lvl>
    <w:lvl w:ilvl="4" w:tentative="0">
      <w:start w:val="1"/>
      <w:numFmt w:val="decimal"/>
      <w:pStyle w:val="57"/>
      <w:suff w:val="space"/>
      <w:lvlText w:val="%5)"/>
      <w:lvlJc w:val="left"/>
      <w:pPr>
        <w:ind w:left="0" w:firstLine="0"/>
      </w:pPr>
      <w:rPr>
        <w:rFonts w:hint="eastAsia"/>
        <w:b w:val="0"/>
      </w:rPr>
    </w:lvl>
    <w:lvl w:ilvl="5" w:tentative="0">
      <w:start w:val="1"/>
      <w:numFmt w:val="decimal"/>
      <w:pStyle w:val="58"/>
      <w:suff w:val="space"/>
      <w:lvlText w:val="（%6）"/>
      <w:lvlJc w:val="left"/>
      <w:pPr>
        <w:ind w:left="0" w:firstLine="0"/>
      </w:pPr>
      <w:rPr>
        <w:rFonts w:hint="eastAsia"/>
      </w:rPr>
    </w:lvl>
    <w:lvl w:ilvl="6" w:tentative="0">
      <w:start w:val="1"/>
      <w:numFmt w:val="lowerLetter"/>
      <w:pStyle w:val="59"/>
      <w:suff w:val="space"/>
      <w:lvlText w:val="%7）"/>
      <w:lvlJc w:val="left"/>
      <w:pPr>
        <w:ind w:left="0" w:firstLine="0"/>
      </w:pPr>
      <w:rPr>
        <w:rFonts w:hint="eastAsia"/>
      </w:rPr>
    </w:lvl>
    <w:lvl w:ilvl="7" w:tentative="0">
      <w:start w:val="1"/>
      <w:numFmt w:val="lowerLetter"/>
      <w:pStyle w:val="60"/>
      <w:suff w:val="space"/>
      <w:lvlText w:val="（%8）"/>
      <w:lvlJc w:val="left"/>
      <w:pPr>
        <w:ind w:left="0" w:firstLine="0"/>
      </w:pPr>
      <w:rPr>
        <w:rFonts w:hint="eastAsia"/>
      </w:rPr>
    </w:lvl>
    <w:lvl w:ilvl="8" w:tentative="0">
      <w:start w:val="1"/>
      <w:numFmt w:val="none"/>
      <w:suff w:val="space"/>
      <w:lvlText w:val=""/>
      <w:lvlJc w:val="left"/>
      <w:pPr>
        <w:ind w:left="964" w:hanging="964"/>
      </w:pPr>
      <w:rPr>
        <w:rFonts w:hint="eastAsia"/>
      </w:rPr>
    </w:lvl>
  </w:abstractNum>
  <w:abstractNum w:abstractNumId="9">
    <w:nsid w:val="757F5264"/>
    <w:multiLevelType w:val="multilevel"/>
    <w:tmpl w:val="757F5264"/>
    <w:lvl w:ilvl="0" w:tentative="0">
      <w:start w:val="1"/>
      <w:numFmt w:val="lowerLetter"/>
      <w:pStyle w:val="46"/>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3"/>
  </w:num>
  <w:num w:numId="2">
    <w:abstractNumId w:val="2"/>
  </w:num>
  <w:num w:numId="3">
    <w:abstractNumId w:val="9"/>
  </w:num>
  <w:num w:numId="4">
    <w:abstractNumId w:val="8"/>
  </w:num>
  <w:num w:numId="5">
    <w:abstractNumId w:val="1"/>
  </w:num>
  <w:num w:numId="6">
    <w:abstractNumId w:val="7"/>
  </w:num>
  <w:num w:numId="7">
    <w:abstractNumId w:val="9"/>
    <w:lvlOverride w:ilvl="0">
      <w:startOverride w:val="1"/>
    </w:lvlOverride>
  </w:num>
  <w:num w:numId="8">
    <w:abstractNumId w:val="6"/>
  </w:num>
  <w:num w:numId="9">
    <w:abstractNumId w:val="9"/>
    <w:lvlOverride w:ilvl="0">
      <w:startOverride w:val="1"/>
    </w:lvlOverride>
  </w:num>
  <w:num w:numId="10">
    <w:abstractNumId w:val="0"/>
  </w:num>
  <w:num w:numId="11">
    <w:abstractNumId w:val="5"/>
  </w:num>
  <w:num w:numId="12">
    <w:abstractNumId w:val="4"/>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7831"/>
    <w:rsid w:val="00000A81"/>
    <w:rsid w:val="00016417"/>
    <w:rsid w:val="00051519"/>
    <w:rsid w:val="00053659"/>
    <w:rsid w:val="00060D8E"/>
    <w:rsid w:val="000A1CB0"/>
    <w:rsid w:val="000A5F9B"/>
    <w:rsid w:val="000C29F0"/>
    <w:rsid w:val="000F1177"/>
    <w:rsid w:val="000F3546"/>
    <w:rsid w:val="00101828"/>
    <w:rsid w:val="0011064A"/>
    <w:rsid w:val="00195740"/>
    <w:rsid w:val="00195EBA"/>
    <w:rsid w:val="001A33E4"/>
    <w:rsid w:val="001E3CBE"/>
    <w:rsid w:val="00210EDC"/>
    <w:rsid w:val="00226F03"/>
    <w:rsid w:val="0023356A"/>
    <w:rsid w:val="00234936"/>
    <w:rsid w:val="00246634"/>
    <w:rsid w:val="00247A37"/>
    <w:rsid w:val="002568DB"/>
    <w:rsid w:val="00257016"/>
    <w:rsid w:val="0027772A"/>
    <w:rsid w:val="002A3ABC"/>
    <w:rsid w:val="002A716C"/>
    <w:rsid w:val="002B0482"/>
    <w:rsid w:val="002B3B6F"/>
    <w:rsid w:val="002B4C9F"/>
    <w:rsid w:val="002D1620"/>
    <w:rsid w:val="0034011E"/>
    <w:rsid w:val="0034118B"/>
    <w:rsid w:val="00351019"/>
    <w:rsid w:val="00361B01"/>
    <w:rsid w:val="003A4FF5"/>
    <w:rsid w:val="004056BF"/>
    <w:rsid w:val="00406931"/>
    <w:rsid w:val="00435258"/>
    <w:rsid w:val="0044676F"/>
    <w:rsid w:val="00467DE9"/>
    <w:rsid w:val="004714DE"/>
    <w:rsid w:val="004C64E4"/>
    <w:rsid w:val="004D2C41"/>
    <w:rsid w:val="0050150D"/>
    <w:rsid w:val="005A4262"/>
    <w:rsid w:val="005B63FD"/>
    <w:rsid w:val="005C4D5C"/>
    <w:rsid w:val="005D718A"/>
    <w:rsid w:val="005E4503"/>
    <w:rsid w:val="005F249D"/>
    <w:rsid w:val="005F3E66"/>
    <w:rsid w:val="005F72FB"/>
    <w:rsid w:val="006232CF"/>
    <w:rsid w:val="00653FBA"/>
    <w:rsid w:val="00670459"/>
    <w:rsid w:val="00673E36"/>
    <w:rsid w:val="00692CC5"/>
    <w:rsid w:val="006E4104"/>
    <w:rsid w:val="006E78C3"/>
    <w:rsid w:val="007461D2"/>
    <w:rsid w:val="00754AD5"/>
    <w:rsid w:val="007558D6"/>
    <w:rsid w:val="00784066"/>
    <w:rsid w:val="007A732B"/>
    <w:rsid w:val="007D24E9"/>
    <w:rsid w:val="00826483"/>
    <w:rsid w:val="008427A7"/>
    <w:rsid w:val="008679A4"/>
    <w:rsid w:val="008B0B0F"/>
    <w:rsid w:val="008B1166"/>
    <w:rsid w:val="008D309F"/>
    <w:rsid w:val="00912270"/>
    <w:rsid w:val="00931243"/>
    <w:rsid w:val="00940AA8"/>
    <w:rsid w:val="00952FDF"/>
    <w:rsid w:val="009664D7"/>
    <w:rsid w:val="00970892"/>
    <w:rsid w:val="009807BE"/>
    <w:rsid w:val="00984ED3"/>
    <w:rsid w:val="009C6235"/>
    <w:rsid w:val="009D51E0"/>
    <w:rsid w:val="009D7D82"/>
    <w:rsid w:val="009E38CB"/>
    <w:rsid w:val="00A7277B"/>
    <w:rsid w:val="00A93EB2"/>
    <w:rsid w:val="00A955CE"/>
    <w:rsid w:val="00AB3E24"/>
    <w:rsid w:val="00B132C3"/>
    <w:rsid w:val="00B530B7"/>
    <w:rsid w:val="00B5365B"/>
    <w:rsid w:val="00B670AB"/>
    <w:rsid w:val="00B81E96"/>
    <w:rsid w:val="00BB49F7"/>
    <w:rsid w:val="00BC7831"/>
    <w:rsid w:val="00BE2D3F"/>
    <w:rsid w:val="00C553DB"/>
    <w:rsid w:val="00C63393"/>
    <w:rsid w:val="00C736CA"/>
    <w:rsid w:val="00C82158"/>
    <w:rsid w:val="00D15E0F"/>
    <w:rsid w:val="00D26685"/>
    <w:rsid w:val="00D62642"/>
    <w:rsid w:val="00D70986"/>
    <w:rsid w:val="00DA4619"/>
    <w:rsid w:val="00DA744C"/>
    <w:rsid w:val="00DD59AD"/>
    <w:rsid w:val="00DE1D6D"/>
    <w:rsid w:val="00E32DD0"/>
    <w:rsid w:val="00E60530"/>
    <w:rsid w:val="00E66908"/>
    <w:rsid w:val="00EB4CD8"/>
    <w:rsid w:val="00EC0255"/>
    <w:rsid w:val="00F024E8"/>
    <w:rsid w:val="00F10A24"/>
    <w:rsid w:val="00F40D77"/>
    <w:rsid w:val="00F51C34"/>
    <w:rsid w:val="00F948F3"/>
    <w:rsid w:val="025122A3"/>
    <w:rsid w:val="585970DA"/>
    <w:rsid w:val="CFFD07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1"/>
    <w:qFormat/>
    <w:uiPriority w:val="9"/>
    <w:pPr>
      <w:keepNext/>
      <w:keepLines/>
      <w:spacing w:before="340" w:after="330" w:line="578" w:lineRule="auto"/>
      <w:outlineLvl w:val="0"/>
    </w:pPr>
    <w:rPr>
      <w:b/>
      <w:bCs/>
      <w:kern w:val="44"/>
      <w:sz w:val="44"/>
      <w:szCs w:val="4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unhideWhenUsed/>
    <w:qFormat/>
    <w:uiPriority w:val="39"/>
    <w:pPr>
      <w:ind w:left="1260"/>
      <w:jc w:val="left"/>
    </w:pPr>
    <w:rPr>
      <w:rFonts w:cstheme="minorHAnsi"/>
      <w:sz w:val="18"/>
      <w:szCs w:val="18"/>
    </w:rPr>
  </w:style>
  <w:style w:type="paragraph" w:styleId="4">
    <w:name w:val="annotation text"/>
    <w:basedOn w:val="1"/>
    <w:link w:val="69"/>
    <w:unhideWhenUsed/>
    <w:qFormat/>
    <w:uiPriority w:val="99"/>
    <w:pPr>
      <w:jc w:val="left"/>
    </w:pPr>
  </w:style>
  <w:style w:type="paragraph" w:styleId="5">
    <w:name w:val="Body Text 3"/>
    <w:basedOn w:val="1"/>
    <w:link w:val="24"/>
    <w:qFormat/>
    <w:uiPriority w:val="0"/>
    <w:pPr>
      <w:widowControl/>
    </w:pPr>
    <w:rPr>
      <w:rFonts w:ascii="Times New Roman" w:hAnsi="Times New Roman" w:eastAsia="仿宋_GB2312" w:cs="Times New Roman"/>
      <w:kern w:val="0"/>
      <w:sz w:val="28"/>
      <w:szCs w:val="20"/>
    </w:rPr>
  </w:style>
  <w:style w:type="paragraph" w:styleId="6">
    <w:name w:val="toc 5"/>
    <w:basedOn w:val="1"/>
    <w:next w:val="1"/>
    <w:unhideWhenUsed/>
    <w:qFormat/>
    <w:uiPriority w:val="39"/>
    <w:pPr>
      <w:ind w:left="840"/>
      <w:jc w:val="left"/>
    </w:pPr>
    <w:rPr>
      <w:rFonts w:cstheme="minorHAnsi"/>
      <w:sz w:val="18"/>
      <w:szCs w:val="18"/>
    </w:rPr>
  </w:style>
  <w:style w:type="paragraph" w:styleId="7">
    <w:name w:val="toc 3"/>
    <w:basedOn w:val="1"/>
    <w:next w:val="1"/>
    <w:unhideWhenUsed/>
    <w:qFormat/>
    <w:uiPriority w:val="39"/>
    <w:pPr>
      <w:ind w:left="420"/>
      <w:jc w:val="left"/>
    </w:pPr>
    <w:rPr>
      <w:rFonts w:cstheme="minorHAnsi"/>
      <w:i/>
      <w:iCs/>
      <w:sz w:val="20"/>
      <w:szCs w:val="20"/>
    </w:rPr>
  </w:style>
  <w:style w:type="paragraph" w:styleId="8">
    <w:name w:val="toc 8"/>
    <w:basedOn w:val="1"/>
    <w:next w:val="1"/>
    <w:unhideWhenUsed/>
    <w:qFormat/>
    <w:uiPriority w:val="39"/>
    <w:pPr>
      <w:ind w:left="1470"/>
      <w:jc w:val="left"/>
    </w:pPr>
    <w:rPr>
      <w:rFonts w:cstheme="minorHAnsi"/>
      <w:sz w:val="18"/>
      <w:szCs w:val="18"/>
    </w:rPr>
  </w:style>
  <w:style w:type="paragraph" w:styleId="9">
    <w:name w:val="Balloon Text"/>
    <w:basedOn w:val="1"/>
    <w:link w:val="40"/>
    <w:semiHidden/>
    <w:unhideWhenUsed/>
    <w:qFormat/>
    <w:uiPriority w:val="99"/>
    <w:rPr>
      <w:sz w:val="18"/>
      <w:szCs w:val="18"/>
    </w:rPr>
  </w:style>
  <w:style w:type="paragraph" w:styleId="10">
    <w:name w:val="footer"/>
    <w:basedOn w:val="1"/>
    <w:link w:val="37"/>
    <w:unhideWhenUsed/>
    <w:qFormat/>
    <w:uiPriority w:val="99"/>
    <w:pPr>
      <w:tabs>
        <w:tab w:val="center" w:pos="4153"/>
        <w:tab w:val="right" w:pos="8306"/>
      </w:tabs>
      <w:snapToGrid w:val="0"/>
      <w:jc w:val="left"/>
    </w:pPr>
    <w:rPr>
      <w:sz w:val="18"/>
      <w:szCs w:val="18"/>
    </w:rPr>
  </w:style>
  <w:style w:type="paragraph" w:styleId="11">
    <w:name w:val="header"/>
    <w:basedOn w:val="1"/>
    <w:link w:val="36"/>
    <w:qFormat/>
    <w:uiPriority w:val="99"/>
    <w:pPr>
      <w:tabs>
        <w:tab w:val="center" w:pos="4153"/>
        <w:tab w:val="right" w:pos="8306"/>
      </w:tabs>
      <w:snapToGrid w:val="0"/>
      <w:jc w:val="center"/>
    </w:pPr>
    <w:rPr>
      <w:rFonts w:ascii="Times New Roman" w:hAnsi="Times New Roman" w:eastAsia="宋体" w:cs="Times New Roman"/>
      <w:sz w:val="18"/>
      <w:szCs w:val="18"/>
    </w:rPr>
  </w:style>
  <w:style w:type="paragraph" w:styleId="12">
    <w:name w:val="toc 1"/>
    <w:next w:val="1"/>
    <w:qFormat/>
    <w:uiPriority w:val="39"/>
    <w:pPr>
      <w:widowControl w:val="0"/>
      <w:spacing w:before="120" w:after="120"/>
    </w:pPr>
    <w:rPr>
      <w:rFonts w:asciiTheme="minorHAnsi" w:hAnsiTheme="minorHAnsi" w:eastAsiaTheme="minorEastAsia" w:cstheme="minorHAnsi"/>
      <w:b/>
      <w:bCs/>
      <w:caps/>
      <w:kern w:val="2"/>
      <w:lang w:val="en-US" w:eastAsia="zh-CN" w:bidi="ar-SA"/>
    </w:rPr>
  </w:style>
  <w:style w:type="paragraph" w:styleId="13">
    <w:name w:val="toc 4"/>
    <w:basedOn w:val="1"/>
    <w:next w:val="1"/>
    <w:unhideWhenUsed/>
    <w:qFormat/>
    <w:uiPriority w:val="39"/>
    <w:pPr>
      <w:ind w:left="630"/>
      <w:jc w:val="left"/>
    </w:pPr>
    <w:rPr>
      <w:rFonts w:cstheme="minorHAnsi"/>
      <w:sz w:val="18"/>
      <w:szCs w:val="18"/>
    </w:rPr>
  </w:style>
  <w:style w:type="paragraph" w:styleId="14">
    <w:name w:val="toc 6"/>
    <w:basedOn w:val="1"/>
    <w:next w:val="1"/>
    <w:unhideWhenUsed/>
    <w:qFormat/>
    <w:uiPriority w:val="39"/>
    <w:pPr>
      <w:ind w:left="1050"/>
      <w:jc w:val="left"/>
    </w:pPr>
    <w:rPr>
      <w:rFonts w:cstheme="minorHAnsi"/>
      <w:sz w:val="18"/>
      <w:szCs w:val="18"/>
    </w:rPr>
  </w:style>
  <w:style w:type="paragraph" w:styleId="15">
    <w:name w:val="toc 2"/>
    <w:basedOn w:val="1"/>
    <w:next w:val="1"/>
    <w:unhideWhenUsed/>
    <w:qFormat/>
    <w:uiPriority w:val="39"/>
    <w:pPr>
      <w:ind w:left="210"/>
      <w:jc w:val="left"/>
    </w:pPr>
    <w:rPr>
      <w:rFonts w:cstheme="minorHAnsi"/>
      <w:smallCaps/>
      <w:sz w:val="20"/>
      <w:szCs w:val="20"/>
    </w:rPr>
  </w:style>
  <w:style w:type="paragraph" w:styleId="16">
    <w:name w:val="toc 9"/>
    <w:basedOn w:val="1"/>
    <w:next w:val="1"/>
    <w:unhideWhenUsed/>
    <w:qFormat/>
    <w:uiPriority w:val="39"/>
    <w:pPr>
      <w:ind w:left="1680"/>
      <w:jc w:val="left"/>
    </w:pPr>
    <w:rPr>
      <w:rFonts w:cstheme="minorHAnsi"/>
      <w:sz w:val="18"/>
      <w:szCs w:val="18"/>
    </w:rPr>
  </w:style>
  <w:style w:type="paragraph" w:styleId="1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annotation subject"/>
    <w:basedOn w:val="4"/>
    <w:next w:val="4"/>
    <w:link w:val="70"/>
    <w:semiHidden/>
    <w:unhideWhenUsed/>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themeColor="hyperlink"/>
      <w:u w:val="single"/>
    </w:rPr>
  </w:style>
  <w:style w:type="character" w:styleId="23">
    <w:name w:val="annotation reference"/>
    <w:basedOn w:val="21"/>
    <w:semiHidden/>
    <w:unhideWhenUsed/>
    <w:qFormat/>
    <w:uiPriority w:val="99"/>
    <w:rPr>
      <w:sz w:val="21"/>
      <w:szCs w:val="21"/>
    </w:rPr>
  </w:style>
  <w:style w:type="character" w:customStyle="1" w:styleId="24">
    <w:name w:val="正文文本 3 字符"/>
    <w:basedOn w:val="21"/>
    <w:link w:val="5"/>
    <w:qFormat/>
    <w:uiPriority w:val="0"/>
    <w:rPr>
      <w:rFonts w:ascii="Times New Roman" w:hAnsi="Times New Roman" w:eastAsia="仿宋_GB2312" w:cs="Times New Roman"/>
      <w:kern w:val="0"/>
      <w:sz w:val="28"/>
      <w:szCs w:val="20"/>
    </w:rPr>
  </w:style>
  <w:style w:type="character" w:customStyle="1" w:styleId="25">
    <w:name w:val="章标题 Char"/>
    <w:link w:val="26"/>
    <w:qFormat/>
    <w:uiPriority w:val="0"/>
    <w:rPr>
      <w:rFonts w:ascii="黑体" w:eastAsia="黑体"/>
      <w:kern w:val="2"/>
      <w:sz w:val="21"/>
      <w:szCs w:val="22"/>
    </w:rPr>
  </w:style>
  <w:style w:type="paragraph" w:customStyle="1" w:styleId="26">
    <w:name w:val="章标题"/>
    <w:next w:val="27"/>
    <w:link w:val="25"/>
    <w:qFormat/>
    <w:uiPriority w:val="0"/>
    <w:pPr>
      <w:numPr>
        <w:ilvl w:val="1"/>
        <w:numId w:val="1"/>
      </w:numPr>
      <w:spacing w:beforeLines="50" w:afterLines="50"/>
      <w:jc w:val="both"/>
      <w:outlineLvl w:val="1"/>
    </w:pPr>
    <w:rPr>
      <w:rFonts w:ascii="黑体" w:eastAsia="黑体" w:hAnsiTheme="minorHAnsi" w:cstheme="minorBidi"/>
      <w:kern w:val="2"/>
      <w:sz w:val="21"/>
      <w:szCs w:val="22"/>
      <w:lang w:val="en-US" w:eastAsia="zh-CN" w:bidi="ar-SA"/>
    </w:rPr>
  </w:style>
  <w:style w:type="paragraph" w:customStyle="1" w:styleId="27">
    <w:name w:val="段"/>
    <w:link w:val="4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一级条标题 Char"/>
    <w:link w:val="29"/>
    <w:qFormat/>
    <w:uiPriority w:val="0"/>
    <w:rPr>
      <w:rFonts w:eastAsia="黑体"/>
      <w:kern w:val="2"/>
      <w:sz w:val="21"/>
      <w:szCs w:val="22"/>
    </w:rPr>
  </w:style>
  <w:style w:type="paragraph" w:customStyle="1" w:styleId="29">
    <w:name w:val="一级条标题"/>
    <w:next w:val="27"/>
    <w:link w:val="28"/>
    <w:qFormat/>
    <w:uiPriority w:val="0"/>
    <w:pPr>
      <w:numPr>
        <w:ilvl w:val="2"/>
        <w:numId w:val="1"/>
      </w:numPr>
      <w:outlineLvl w:val="2"/>
    </w:pPr>
    <w:rPr>
      <w:rFonts w:eastAsia="黑体" w:asciiTheme="minorHAnsi" w:hAnsiTheme="minorHAnsi" w:cstheme="minorBidi"/>
      <w:kern w:val="2"/>
      <w:sz w:val="21"/>
      <w:szCs w:val="22"/>
      <w:lang w:val="en-US" w:eastAsia="zh-CN" w:bidi="ar-SA"/>
    </w:rPr>
  </w:style>
  <w:style w:type="character" w:customStyle="1" w:styleId="30">
    <w:name w:val="页眉 Char"/>
    <w:basedOn w:val="21"/>
    <w:semiHidden/>
    <w:qFormat/>
    <w:uiPriority w:val="99"/>
    <w:rPr>
      <w:sz w:val="18"/>
      <w:szCs w:val="18"/>
    </w:rPr>
  </w:style>
  <w:style w:type="paragraph" w:customStyle="1" w:styleId="31">
    <w:name w:val="目次、标准名称标题"/>
    <w:basedOn w:val="1"/>
    <w:next w:val="1"/>
    <w:qFormat/>
    <w:uiPriority w:val="0"/>
    <w:pPr>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32">
    <w:name w:val="二级条标题"/>
    <w:basedOn w:val="29"/>
    <w:next w:val="27"/>
    <w:qFormat/>
    <w:uiPriority w:val="0"/>
    <w:pPr>
      <w:numPr>
        <w:ilvl w:val="3"/>
      </w:numPr>
      <w:tabs>
        <w:tab w:val="left" w:pos="435"/>
      </w:tabs>
      <w:ind w:left="435" w:hanging="435"/>
      <w:outlineLvl w:val="3"/>
    </w:pPr>
  </w:style>
  <w:style w:type="paragraph" w:customStyle="1" w:styleId="33">
    <w:name w:val="注：（正文）"/>
    <w:basedOn w:val="1"/>
    <w:next w:val="27"/>
    <w:qFormat/>
    <w:uiPriority w:val="0"/>
    <w:pPr>
      <w:numPr>
        <w:ilvl w:val="0"/>
        <w:numId w:val="2"/>
      </w:numPr>
      <w:tabs>
        <w:tab w:val="left" w:pos="1080"/>
      </w:tabs>
      <w:autoSpaceDE w:val="0"/>
      <w:autoSpaceDN w:val="0"/>
      <w:ind w:left="726" w:hanging="363"/>
    </w:pPr>
    <w:rPr>
      <w:rFonts w:ascii="宋体" w:hAnsi="Times New Roman" w:eastAsia="宋体" w:cs="Times New Roman"/>
      <w:kern w:val="0"/>
      <w:sz w:val="18"/>
      <w:szCs w:val="18"/>
    </w:rPr>
  </w:style>
  <w:style w:type="paragraph" w:customStyle="1" w:styleId="34">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5">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36">
    <w:name w:val="页眉 字符"/>
    <w:link w:val="11"/>
    <w:qFormat/>
    <w:uiPriority w:val="99"/>
    <w:rPr>
      <w:rFonts w:ascii="Times New Roman" w:hAnsi="Times New Roman" w:eastAsia="宋体" w:cs="Times New Roman"/>
      <w:sz w:val="18"/>
      <w:szCs w:val="18"/>
    </w:rPr>
  </w:style>
  <w:style w:type="character" w:customStyle="1" w:styleId="37">
    <w:name w:val="页脚 字符"/>
    <w:basedOn w:val="21"/>
    <w:link w:val="10"/>
    <w:qFormat/>
    <w:uiPriority w:val="99"/>
    <w:rPr>
      <w:sz w:val="18"/>
      <w:szCs w:val="18"/>
    </w:rPr>
  </w:style>
  <w:style w:type="paragraph" w:styleId="38">
    <w:name w:val="List Paragraph"/>
    <w:basedOn w:val="1"/>
    <w:unhideWhenUsed/>
    <w:qFormat/>
    <w:uiPriority w:val="99"/>
    <w:pPr>
      <w:ind w:firstLine="420" w:firstLineChars="200"/>
    </w:pPr>
    <w:rPr>
      <w:szCs w:val="24"/>
    </w:rPr>
  </w:style>
  <w:style w:type="character" w:customStyle="1" w:styleId="39">
    <w:name w:val="未处理的提及1"/>
    <w:basedOn w:val="21"/>
    <w:semiHidden/>
    <w:unhideWhenUsed/>
    <w:qFormat/>
    <w:uiPriority w:val="99"/>
    <w:rPr>
      <w:color w:val="605E5C"/>
      <w:shd w:val="clear" w:color="auto" w:fill="E1DFDD"/>
    </w:rPr>
  </w:style>
  <w:style w:type="character" w:customStyle="1" w:styleId="40">
    <w:name w:val="批注框文本 字符"/>
    <w:basedOn w:val="21"/>
    <w:link w:val="9"/>
    <w:semiHidden/>
    <w:qFormat/>
    <w:uiPriority w:val="99"/>
    <w:rPr>
      <w:sz w:val="18"/>
      <w:szCs w:val="18"/>
    </w:rPr>
  </w:style>
  <w:style w:type="paragraph" w:customStyle="1" w:styleId="41">
    <w:name w:val="正文 + 宋体"/>
    <w:basedOn w:val="1"/>
    <w:qFormat/>
    <w:uiPriority w:val="0"/>
    <w:pPr>
      <w:spacing w:line="360" w:lineRule="auto"/>
      <w:ind w:firstLine="480" w:firstLineChars="200"/>
    </w:pPr>
    <w:rPr>
      <w:rFonts w:ascii="宋体" w:hAnsi="宋体" w:eastAsia="宋体" w:cs="Times New Roman"/>
      <w:sz w:val="24"/>
      <w:szCs w:val="24"/>
    </w:rPr>
  </w:style>
  <w:style w:type="character" w:customStyle="1" w:styleId="42">
    <w:name w:val="fontstyle01"/>
    <w:basedOn w:val="21"/>
    <w:qFormat/>
    <w:uiPriority w:val="0"/>
    <w:rPr>
      <w:rFonts w:hint="eastAsia" w:ascii="仿宋" w:hAnsi="仿宋" w:eastAsia="仿宋"/>
      <w:color w:val="000000"/>
      <w:sz w:val="30"/>
      <w:szCs w:val="30"/>
    </w:rPr>
  </w:style>
  <w:style w:type="paragraph" w:customStyle="1" w:styleId="43">
    <w:name w:val="Default"/>
    <w:qFormat/>
    <w:uiPriority w:val="0"/>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44">
    <w:name w:val="未处理的提及2"/>
    <w:basedOn w:val="21"/>
    <w:semiHidden/>
    <w:unhideWhenUsed/>
    <w:qFormat/>
    <w:uiPriority w:val="99"/>
    <w:rPr>
      <w:color w:val="605E5C"/>
      <w:shd w:val="clear" w:color="auto" w:fill="E1DFDD"/>
    </w:rPr>
  </w:style>
  <w:style w:type="character" w:customStyle="1" w:styleId="45">
    <w:name w:val="段 Char"/>
    <w:basedOn w:val="21"/>
    <w:link w:val="27"/>
    <w:qFormat/>
    <w:uiPriority w:val="0"/>
    <w:rPr>
      <w:rFonts w:ascii="宋体" w:hAnsi="Times New Roman" w:eastAsia="宋体" w:cs="Times New Roman"/>
      <w:kern w:val="0"/>
      <w:szCs w:val="20"/>
    </w:rPr>
  </w:style>
  <w:style w:type="paragraph" w:customStyle="1" w:styleId="46">
    <w:name w:val="标准文件_段"/>
    <w:link w:val="62"/>
    <w:qFormat/>
    <w:uiPriority w:val="0"/>
    <w:pPr>
      <w:numPr>
        <w:ilvl w:val="0"/>
        <w:numId w:val="3"/>
      </w:numPr>
      <w:autoSpaceDE w:val="0"/>
      <w:autoSpaceDN w:val="0"/>
      <w:adjustRightInd w:val="0"/>
      <w:snapToGrid w:val="0"/>
      <w:spacing w:line="276" w:lineRule="auto"/>
      <w:jc w:val="both"/>
    </w:pPr>
    <w:rPr>
      <w:rFonts w:ascii="宋体" w:hAnsi="Times New Roman" w:eastAsia="宋体" w:cs="Times New Roman"/>
      <w:color w:val="000000" w:themeColor="text1"/>
      <w:spacing w:val="2"/>
      <w:sz w:val="21"/>
      <w:lang w:val="en-US" w:eastAsia="zh-CN" w:bidi="ar-SA"/>
    </w:rPr>
  </w:style>
  <w:style w:type="paragraph" w:customStyle="1" w:styleId="47">
    <w:name w:val="标准文件_章标题"/>
    <w:next w:val="46"/>
    <w:qFormat/>
    <w:uiPriority w:val="0"/>
    <w:p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48">
    <w:name w:val="标准文件_一级条标题"/>
    <w:basedOn w:val="47"/>
    <w:next w:val="46"/>
    <w:qFormat/>
    <w:uiPriority w:val="0"/>
    <w:pPr>
      <w:spacing w:beforeLines="0" w:afterLines="0"/>
      <w:outlineLvl w:val="2"/>
    </w:pPr>
  </w:style>
  <w:style w:type="paragraph" w:customStyle="1" w:styleId="49">
    <w:name w:val="标准文件_二级条标题"/>
    <w:basedOn w:val="48"/>
    <w:next w:val="46"/>
    <w:qFormat/>
    <w:uiPriority w:val="0"/>
    <w:pPr>
      <w:outlineLvl w:val="3"/>
    </w:pPr>
  </w:style>
  <w:style w:type="paragraph" w:customStyle="1" w:styleId="50">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1">
    <w:name w:val="标准文件_三级条标题"/>
    <w:basedOn w:val="49"/>
    <w:next w:val="46"/>
    <w:qFormat/>
    <w:uiPriority w:val="0"/>
    <w:pPr>
      <w:ind w:left="-50"/>
      <w:outlineLvl w:val="4"/>
    </w:pPr>
  </w:style>
  <w:style w:type="paragraph" w:customStyle="1" w:styleId="52">
    <w:name w:val="标准文件_四级条标题"/>
    <w:basedOn w:val="51"/>
    <w:next w:val="46"/>
    <w:qFormat/>
    <w:uiPriority w:val="0"/>
    <w:pPr>
      <w:ind w:left="0"/>
      <w:outlineLvl w:val="5"/>
    </w:pPr>
  </w:style>
  <w:style w:type="paragraph" w:customStyle="1" w:styleId="53">
    <w:name w:val="标准文件_五级条标题"/>
    <w:basedOn w:val="52"/>
    <w:next w:val="46"/>
    <w:qFormat/>
    <w:uiPriority w:val="0"/>
    <w:pPr>
      <w:outlineLvl w:val="6"/>
    </w:pPr>
  </w:style>
  <w:style w:type="paragraph" w:customStyle="1" w:styleId="54">
    <w:name w:val="ARIS TITLE1"/>
    <w:basedOn w:val="1"/>
    <w:qFormat/>
    <w:uiPriority w:val="0"/>
    <w:pPr>
      <w:keepNext/>
      <w:keepLines/>
      <w:numPr>
        <w:ilvl w:val="0"/>
        <w:numId w:val="4"/>
      </w:numPr>
      <w:autoSpaceDE w:val="0"/>
      <w:autoSpaceDN w:val="0"/>
      <w:adjustRightInd w:val="0"/>
      <w:spacing w:before="120" w:after="120" w:line="276" w:lineRule="auto"/>
      <w:ind w:right="210"/>
      <w:jc w:val="left"/>
      <w:outlineLvl w:val="0"/>
    </w:pPr>
    <w:rPr>
      <w:rFonts w:ascii="@宋体" w:hAnsi="@宋体" w:eastAsia="宋体" w:cs="@宋体"/>
      <w:b/>
      <w:bCs/>
      <w:kern w:val="0"/>
      <w:sz w:val="24"/>
      <w:szCs w:val="24"/>
    </w:rPr>
  </w:style>
  <w:style w:type="paragraph" w:customStyle="1" w:styleId="55">
    <w:name w:val="ARIS TITLE2"/>
    <w:basedOn w:val="1"/>
    <w:qFormat/>
    <w:uiPriority w:val="0"/>
    <w:pPr>
      <w:keepNext/>
      <w:keepLines/>
      <w:numPr>
        <w:ilvl w:val="1"/>
        <w:numId w:val="4"/>
      </w:numPr>
      <w:tabs>
        <w:tab w:val="left" w:pos="709"/>
      </w:tabs>
      <w:autoSpaceDE w:val="0"/>
      <w:autoSpaceDN w:val="0"/>
      <w:adjustRightInd w:val="0"/>
      <w:spacing w:before="120" w:after="120" w:line="276" w:lineRule="auto"/>
      <w:jc w:val="left"/>
      <w:outlineLvl w:val="0"/>
    </w:pPr>
    <w:rPr>
      <w:rFonts w:ascii="Calibri" w:hAnsi="Calibri" w:eastAsia="宋体" w:cs="@宋体"/>
      <w:b/>
      <w:kern w:val="0"/>
      <w:sz w:val="24"/>
      <w:szCs w:val="24"/>
    </w:rPr>
  </w:style>
  <w:style w:type="paragraph" w:customStyle="1" w:styleId="56">
    <w:name w:val="ARIS TITLE3"/>
    <w:basedOn w:val="2"/>
    <w:next w:val="1"/>
    <w:qFormat/>
    <w:uiPriority w:val="0"/>
    <w:pPr>
      <w:keepNext w:val="0"/>
      <w:keepLines w:val="0"/>
      <w:numPr>
        <w:ilvl w:val="2"/>
        <w:numId w:val="4"/>
      </w:numPr>
      <w:tabs>
        <w:tab w:val="left" w:pos="-142"/>
        <w:tab w:val="left" w:pos="0"/>
        <w:tab w:val="left" w:pos="360"/>
      </w:tabs>
      <w:spacing w:before="120" w:after="120" w:line="280" w:lineRule="exact"/>
      <w:ind w:left="993" w:firstLine="0"/>
      <w:jc w:val="left"/>
    </w:pPr>
    <w:rPr>
      <w:rFonts w:ascii="@宋体" w:hAnsi="@宋体" w:eastAsia="宋体" w:cs="Times New Roman"/>
      <w:bCs w:val="0"/>
      <w:sz w:val="24"/>
      <w:szCs w:val="20"/>
    </w:rPr>
  </w:style>
  <w:style w:type="paragraph" w:customStyle="1" w:styleId="57">
    <w:name w:val="ARIS TITLE5"/>
    <w:basedOn w:val="1"/>
    <w:qFormat/>
    <w:uiPriority w:val="0"/>
    <w:pPr>
      <w:numPr>
        <w:ilvl w:val="4"/>
        <w:numId w:val="4"/>
      </w:numPr>
      <w:spacing w:before="50" w:beforeLines="50" w:after="50" w:afterLines="50"/>
      <w:outlineLvl w:val="4"/>
    </w:pPr>
    <w:rPr>
      <w:rFonts w:ascii="Times New Roman" w:hAnsi="Times New Roman" w:eastAsia="宋体" w:cs="Times New Roman"/>
      <w:kern w:val="0"/>
      <w:sz w:val="24"/>
      <w:szCs w:val="20"/>
      <w:lang w:val="zh-CN" w:eastAsia="zh-CN"/>
    </w:rPr>
  </w:style>
  <w:style w:type="paragraph" w:customStyle="1" w:styleId="58">
    <w:name w:val="ARIS TITLE6"/>
    <w:basedOn w:val="57"/>
    <w:qFormat/>
    <w:uiPriority w:val="0"/>
    <w:pPr>
      <w:numPr>
        <w:ilvl w:val="5"/>
      </w:numPr>
      <w:tabs>
        <w:tab w:val="left" w:pos="360"/>
        <w:tab w:val="left" w:pos="2695"/>
      </w:tabs>
      <w:ind w:left="2508" w:hanging="528"/>
      <w:outlineLvl w:val="5"/>
    </w:pPr>
  </w:style>
  <w:style w:type="paragraph" w:customStyle="1" w:styleId="59">
    <w:name w:val="ARIS TITLE7"/>
    <w:basedOn w:val="58"/>
    <w:qFormat/>
    <w:uiPriority w:val="0"/>
    <w:pPr>
      <w:numPr>
        <w:ilvl w:val="6"/>
      </w:numPr>
      <w:tabs>
        <w:tab w:val="left" w:pos="3007"/>
      </w:tabs>
      <w:ind w:left="2820" w:hanging="528"/>
      <w:outlineLvl w:val="6"/>
    </w:pPr>
  </w:style>
  <w:style w:type="paragraph" w:customStyle="1" w:styleId="60">
    <w:name w:val="ARIS TITLE8"/>
    <w:basedOn w:val="59"/>
    <w:qFormat/>
    <w:uiPriority w:val="0"/>
    <w:pPr>
      <w:numPr>
        <w:ilvl w:val="7"/>
      </w:numPr>
      <w:tabs>
        <w:tab w:val="left" w:pos="3319"/>
      </w:tabs>
      <w:ind w:left="3132" w:leftChars="200" w:hanging="528"/>
      <w:outlineLvl w:val="7"/>
    </w:pPr>
  </w:style>
  <w:style w:type="character" w:customStyle="1" w:styleId="61">
    <w:name w:val="标题 1 字符"/>
    <w:basedOn w:val="21"/>
    <w:link w:val="2"/>
    <w:qFormat/>
    <w:uiPriority w:val="9"/>
    <w:rPr>
      <w:b/>
      <w:bCs/>
      <w:kern w:val="44"/>
      <w:sz w:val="44"/>
      <w:szCs w:val="44"/>
    </w:rPr>
  </w:style>
  <w:style w:type="character" w:customStyle="1" w:styleId="62">
    <w:name w:val="标准文件_段 Char"/>
    <w:link w:val="46"/>
    <w:qFormat/>
    <w:uiPriority w:val="0"/>
    <w:rPr>
      <w:rFonts w:ascii="宋体" w:hAnsi="Times New Roman" w:eastAsia="宋体" w:cs="Times New Roman"/>
      <w:color w:val="000000" w:themeColor="text1"/>
      <w:spacing w:val="2"/>
      <w:sz w:val="21"/>
    </w:rPr>
  </w:style>
  <w:style w:type="paragraph" w:customStyle="1" w:styleId="63">
    <w:name w:val="标准文件_前言、引言标题"/>
    <w:next w:val="1"/>
    <w:qFormat/>
    <w:uiPriority w:val="0"/>
    <w:pPr>
      <w:numPr>
        <w:ilvl w:val="0"/>
        <w:numId w:val="5"/>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64">
    <w:name w:val="标准文件_引言一级条标题"/>
    <w:basedOn w:val="46"/>
    <w:next w:val="46"/>
    <w:qFormat/>
    <w:uiPriority w:val="0"/>
    <w:pPr>
      <w:numPr>
        <w:ilvl w:val="1"/>
        <w:numId w:val="5"/>
      </w:numPr>
      <w:adjustRightInd/>
      <w:snapToGrid/>
      <w:spacing w:before="50" w:beforeLines="50" w:after="50" w:afterLines="50" w:line="240" w:lineRule="auto"/>
    </w:pPr>
    <w:rPr>
      <w:rFonts w:ascii="黑体" w:eastAsia="黑体"/>
      <w:color w:val="auto"/>
      <w:spacing w:val="0"/>
    </w:rPr>
  </w:style>
  <w:style w:type="paragraph" w:customStyle="1" w:styleId="65">
    <w:name w:val="标准文件_引言二级条标题"/>
    <w:basedOn w:val="46"/>
    <w:next w:val="46"/>
    <w:qFormat/>
    <w:uiPriority w:val="0"/>
    <w:pPr>
      <w:numPr>
        <w:ilvl w:val="2"/>
        <w:numId w:val="5"/>
      </w:numPr>
      <w:adjustRightInd/>
      <w:snapToGrid/>
      <w:spacing w:before="50" w:beforeLines="50" w:after="50" w:afterLines="50" w:line="240" w:lineRule="auto"/>
    </w:pPr>
    <w:rPr>
      <w:rFonts w:ascii="黑体" w:eastAsia="黑体"/>
      <w:color w:val="auto"/>
      <w:spacing w:val="0"/>
    </w:rPr>
  </w:style>
  <w:style w:type="paragraph" w:customStyle="1" w:styleId="66">
    <w:name w:val="标准文件_引言三级条标题"/>
    <w:basedOn w:val="46"/>
    <w:next w:val="46"/>
    <w:qFormat/>
    <w:uiPriority w:val="0"/>
    <w:pPr>
      <w:numPr>
        <w:ilvl w:val="3"/>
        <w:numId w:val="5"/>
      </w:numPr>
      <w:adjustRightInd/>
      <w:snapToGrid/>
      <w:spacing w:before="50" w:beforeLines="50" w:after="50" w:afterLines="50" w:line="240" w:lineRule="auto"/>
    </w:pPr>
    <w:rPr>
      <w:rFonts w:ascii="黑体" w:eastAsia="黑体"/>
      <w:color w:val="auto"/>
      <w:spacing w:val="0"/>
    </w:rPr>
  </w:style>
  <w:style w:type="paragraph" w:customStyle="1" w:styleId="67">
    <w:name w:val="标准文件_引言四级条标题"/>
    <w:basedOn w:val="46"/>
    <w:next w:val="46"/>
    <w:qFormat/>
    <w:uiPriority w:val="0"/>
    <w:pPr>
      <w:numPr>
        <w:ilvl w:val="4"/>
        <w:numId w:val="5"/>
      </w:numPr>
      <w:adjustRightInd/>
      <w:snapToGrid/>
      <w:spacing w:before="50" w:beforeLines="50" w:after="50" w:afterLines="50" w:line="240" w:lineRule="auto"/>
    </w:pPr>
    <w:rPr>
      <w:rFonts w:ascii="黑体" w:eastAsia="黑体"/>
      <w:color w:val="auto"/>
      <w:spacing w:val="0"/>
    </w:rPr>
  </w:style>
  <w:style w:type="paragraph" w:customStyle="1" w:styleId="68">
    <w:name w:val="标准文件_引言五级条标题"/>
    <w:basedOn w:val="46"/>
    <w:next w:val="46"/>
    <w:qFormat/>
    <w:uiPriority w:val="0"/>
    <w:pPr>
      <w:numPr>
        <w:ilvl w:val="5"/>
        <w:numId w:val="5"/>
      </w:numPr>
      <w:adjustRightInd/>
      <w:snapToGrid/>
      <w:spacing w:before="50" w:beforeLines="50" w:after="50" w:afterLines="50" w:line="240" w:lineRule="auto"/>
    </w:pPr>
    <w:rPr>
      <w:rFonts w:ascii="黑体" w:eastAsia="黑体"/>
      <w:color w:val="auto"/>
      <w:spacing w:val="0"/>
    </w:rPr>
  </w:style>
  <w:style w:type="character" w:customStyle="1" w:styleId="69">
    <w:name w:val="批注文字 字符"/>
    <w:basedOn w:val="21"/>
    <w:link w:val="4"/>
    <w:qFormat/>
    <w:uiPriority w:val="99"/>
    <w:rPr>
      <w:kern w:val="2"/>
      <w:sz w:val="21"/>
      <w:szCs w:val="22"/>
    </w:rPr>
  </w:style>
  <w:style w:type="character" w:customStyle="1" w:styleId="70">
    <w:name w:val="批注主题 字符"/>
    <w:basedOn w:val="69"/>
    <w:link w:val="18"/>
    <w:semiHidden/>
    <w:qFormat/>
    <w:uiPriority w:val="99"/>
    <w:rPr>
      <w:b/>
      <w:bCs/>
      <w:kern w:val="2"/>
      <w:sz w:val="21"/>
      <w:szCs w:val="22"/>
    </w:rPr>
  </w:style>
  <w:style w:type="paragraph" w:customStyle="1" w:styleId="7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emf"/><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778</Words>
  <Characters>4440</Characters>
  <Lines>37</Lines>
  <Paragraphs>10</Paragraphs>
  <TotalTime>376</TotalTime>
  <ScaleCrop>false</ScaleCrop>
  <LinksUpToDate>false</LinksUpToDate>
  <CharactersWithSpaces>5208</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2019-08-07T10:38:00Z</dcterms:created>
  <dc:creator>fengxue</dc:creator>
  <cp:lastModifiedBy>M22181</cp:lastModifiedBy>
  <cp:lastPrinted>2019-09-11T11:12:00Z</cp:lastPrinted>
  <dcterms:modified xsi:type="dcterms:W3CDTF">2025-03-24T15:47:33Z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F7F178FB37CEA3E0150EE1671F37C922</vt:lpwstr>
  </property>
</Properties>
</file>