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517957211" w:displacedByCustomXml="next"/>
    <w:bookmarkStart w:id="1" w:name="_Toc517867549" w:displacedByCustomXml="next"/>
    <w:bookmarkStart w:id="2" w:name="_Toc517860462" w:displacedByCustomXml="next"/>
    <w:bookmarkStart w:id="3" w:name="_Toc517864613" w:displacedByCustomXml="next"/>
    <w:bookmarkStart w:id="4" w:name="_Toc517864657" w:displacedByCustomXml="next"/>
    <w:sdt>
      <w:sdtPr>
        <w:rPr>
          <w:rFonts w:ascii="Times New Roman" w:eastAsia="宋体"/>
          <w:kern w:val="2"/>
          <w:szCs w:val="24"/>
        </w:rPr>
        <w:id w:val="1872955887"/>
      </w:sdtPr>
      <w:sdtEndPr/>
      <w:sdtContent>
        <w:p w14:paraId="38DF089F" w14:textId="77777777" w:rsidR="0025520F" w:rsidRDefault="00231F8D">
          <w:pPr>
            <w:pStyle w:val="affffffd"/>
            <w:framePr w:wrap="around"/>
          </w:pPr>
          <w:r>
            <w:rPr>
              <w:rFonts w:ascii="Times New Roman"/>
            </w:rPr>
            <w:t>ICS</w:t>
          </w:r>
          <w:r>
            <w:rPr>
              <w:rFonts w:hAnsi="黑体"/>
            </w:rPr>
            <w:t> </w:t>
          </w:r>
          <w:r>
            <w:t>27.120.20</w:t>
          </w:r>
        </w:p>
        <w:p w14:paraId="5F5A8065" w14:textId="77777777" w:rsidR="0025520F" w:rsidRDefault="00231F8D">
          <w:pPr>
            <w:pStyle w:val="affffffd"/>
            <w:framePr w:wrap="around"/>
          </w:pPr>
          <w:r>
            <w:t>CCS F 65</w:t>
          </w:r>
        </w:p>
        <w:p w14:paraId="2DFC8B38" w14:textId="46CAB7EF" w:rsidR="0025520F" w:rsidRDefault="0025520F">
          <w:pPr>
            <w:framePr w:hSpace="180" w:vSpace="180" w:wrap="around" w:hAnchor="margin" w:y="1" w:anchorLock="1"/>
            <w:jc w:val="right"/>
            <w:textAlignment w:val="center"/>
            <w:rPr>
              <w:rFonts w:eastAsia="黑体"/>
              <w:kern w:val="0"/>
              <w:szCs w:val="21"/>
            </w:rPr>
          </w:pPr>
        </w:p>
        <w:p w14:paraId="4C75A5BB" w14:textId="77777777" w:rsidR="0025520F" w:rsidRDefault="0025520F">
          <w:pPr>
            <w:pStyle w:val="affffffd"/>
            <w:framePr w:wrap="around"/>
            <w:jc w:val="right"/>
          </w:pPr>
        </w:p>
        <w:p w14:paraId="5863CE39" w14:textId="77777777" w:rsidR="0025520F" w:rsidRDefault="0025520F">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p>
        <w:p w14:paraId="07EB5201" w14:textId="77777777" w:rsidR="0025520F" w:rsidRDefault="00231F8D">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r>
            <w:rPr>
              <w:rFonts w:ascii="黑体" w:eastAsia="黑体" w:hAnsi="宋体" w:hint="eastAsia"/>
              <w:spacing w:val="-40"/>
              <w:kern w:val="0"/>
              <w:sz w:val="52"/>
              <w:szCs w:val="52"/>
            </w:rPr>
            <w:t>中国核学会团体标准</w:t>
          </w:r>
        </w:p>
        <w:p w14:paraId="69B5960D" w14:textId="77777777" w:rsidR="0025520F" w:rsidRDefault="0025520F">
          <w:pPr>
            <w:pStyle w:val="20"/>
            <w:framePr w:wrap="around"/>
            <w:rPr>
              <w:rFonts w:ascii="Times New Roman"/>
            </w:rPr>
          </w:pPr>
        </w:p>
        <w:p w14:paraId="764A5892" w14:textId="77777777" w:rsidR="0025520F" w:rsidRDefault="00231F8D">
          <w:pPr>
            <w:pStyle w:val="20"/>
            <w:framePr w:wrap="around"/>
          </w:pPr>
          <w:r>
            <w:rPr>
              <w:rFonts w:ascii="Times New Roman"/>
            </w:rPr>
            <w:t xml:space="preserve">T/CNS </w:t>
          </w:r>
          <w:r>
            <w:fldChar w:fldCharType="begin">
              <w:ffData>
                <w:name w:val="StdNo1"/>
                <w:enabled/>
                <w:calcOnExit w:val="0"/>
                <w:textInput>
                  <w:default w:val="XXXXX"/>
                </w:textInput>
              </w:ffData>
            </w:fldChar>
          </w:r>
          <w:bookmarkStart w:id="5" w:name="StdNo1"/>
          <w:r>
            <w:instrText xml:space="preserve"> FORMTEXT </w:instrText>
          </w:r>
          <w:r>
            <w:fldChar w:fldCharType="separate"/>
          </w:r>
          <w:r>
            <w:t>XXXXX</w:t>
          </w:r>
          <w:r>
            <w:fldChar w:fldCharType="end"/>
          </w:r>
          <w:bookmarkEnd w:id="5"/>
          <w:r>
            <w:t>—</w:t>
          </w:r>
          <w:r>
            <w:fldChar w:fldCharType="begin">
              <w:ffData>
                <w:name w:val="StdNo2"/>
                <w:enabled/>
                <w:calcOnExit w:val="0"/>
                <w:textInput>
                  <w:default w:val="XXXX"/>
                  <w:maxLength w:val="4"/>
                </w:textInput>
              </w:ffData>
            </w:fldChar>
          </w:r>
          <w:bookmarkStart w:id="6" w:name="StdNo2"/>
          <w:r>
            <w:instrText xml:space="preserve"> FORMTEXT </w:instrText>
          </w:r>
          <w:r>
            <w:fldChar w:fldCharType="separate"/>
          </w:r>
          <w:r>
            <w:t>XXXX</w:t>
          </w:r>
          <w: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5520F" w14:paraId="0E14C192" w14:textId="77777777">
            <w:tc>
              <w:tcPr>
                <w:tcW w:w="9356" w:type="dxa"/>
                <w:tcBorders>
                  <w:top w:val="nil"/>
                  <w:left w:val="nil"/>
                  <w:bottom w:val="nil"/>
                  <w:right w:val="nil"/>
                </w:tcBorders>
                <w:shd w:val="clear" w:color="auto" w:fill="auto"/>
              </w:tcPr>
              <w:p w14:paraId="1D34CFCE" w14:textId="77777777" w:rsidR="0025520F" w:rsidRDefault="00231F8D">
                <w:pPr>
                  <w:pStyle w:val="affffe"/>
                  <w:framePr w:wrap="around"/>
                </w:pPr>
                <w:r>
                  <w:rPr>
                    <w:noProof/>
                  </w:rPr>
                  <mc:AlternateContent>
                    <mc:Choice Requires="wps">
                      <w:drawing>
                        <wp:anchor distT="0" distB="0" distL="114300" distR="114300" simplePos="0" relativeHeight="251659776" behindDoc="1" locked="0" layoutInCell="1" allowOverlap="1" wp14:anchorId="37BB02FB" wp14:editId="1C6E208A">
                          <wp:simplePos x="0" y="0"/>
                          <wp:positionH relativeFrom="column">
                            <wp:posOffset>4734560</wp:posOffset>
                          </wp:positionH>
                          <wp:positionV relativeFrom="paragraph">
                            <wp:posOffset>34290</wp:posOffset>
                          </wp:positionV>
                          <wp:extent cx="1143000" cy="228600"/>
                          <wp:effectExtent l="0" t="0" r="0" b="0"/>
                          <wp:wrapNone/>
                          <wp:docPr id="71" name="矩形 7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372.8pt;margin-top:2.7pt;height:18pt;width:90pt;z-index:-251654144;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eYPLL1gAAAAgBAAAPAAAAAAAAAAEAIAAA&#10;ADgAAABkcnMvZG93bnJldi54bWxQSwECFAAUAAAACACHTuJAoHdOIr8BAAB9AwAADgAAAAAAAAAB&#10;ACAAAAA7AQAAZHJzL2Uyb0RvYy54bWxQSwUGAAAAAAYABgBZAQAAbAUAAAAA&#10;">
                          <v:fill on="t" focussize="0,0"/>
                          <v:stroke on="f"/>
                          <v:imagedata o:title=""/>
                          <o:lock v:ext="edit" aspectratio="f"/>
                        </v:rect>
                      </w:pict>
                    </mc:Fallback>
                  </mc:AlternateContent>
                </w:r>
                <w:r>
                  <w:fldChar w:fldCharType="begin">
                    <w:ffData>
                      <w:name w:val="DT"/>
                      <w:enabled/>
                      <w:calcOnExit w:val="0"/>
                      <w:textInput/>
                    </w:ffData>
                  </w:fldChar>
                </w:r>
                <w:bookmarkStart w:id="7" w:name="DT"/>
                <w:r>
                  <w:instrText xml:space="preserve"> FORMTEXT </w:instrText>
                </w:r>
                <w:r>
                  <w:fldChar w:fldCharType="separate"/>
                </w:r>
                <w:r>
                  <w:t>     </w:t>
                </w:r>
                <w:r>
                  <w:fldChar w:fldCharType="end"/>
                </w:r>
                <w:bookmarkEnd w:id="7"/>
              </w:p>
            </w:tc>
          </w:tr>
        </w:tbl>
        <w:p w14:paraId="4D52A633" w14:textId="77777777" w:rsidR="0025520F" w:rsidRDefault="0025520F">
          <w:pPr>
            <w:pStyle w:val="affffffd"/>
            <w:framePr w:wrap="around"/>
            <w:jc w:val="right"/>
          </w:pPr>
        </w:p>
        <w:p w14:paraId="76BEDA26" w14:textId="77777777" w:rsidR="0025520F" w:rsidRDefault="00231F8D">
          <w:pPr>
            <w:pStyle w:val="afffff"/>
            <w:framePr w:wrap="around" w:x="1309" w:y="5739"/>
          </w:pPr>
          <w:bookmarkStart w:id="8" w:name="_Hlk58165412"/>
          <w:r>
            <w:rPr>
              <w:rFonts w:hint="eastAsia"/>
            </w:rPr>
            <w:t>高温气冷堆核动力厂反应堆结构总体设计准则</w:t>
          </w:r>
        </w:p>
        <w:bookmarkEnd w:id="8"/>
        <w:p w14:paraId="12C3EC07" w14:textId="77777777" w:rsidR="0025520F" w:rsidRDefault="00231F8D">
          <w:pPr>
            <w:pStyle w:val="afffff1"/>
            <w:framePr w:wrap="around" w:x="1309" w:y="5739"/>
            <w:ind w:firstLine="210"/>
            <w:rPr>
              <w:rFonts w:ascii="Times New Roman" w:eastAsia="黑体"/>
            </w:rPr>
          </w:pPr>
          <w:r>
            <w:rPr>
              <w:rFonts w:ascii="Times New Roman" w:eastAsia="黑体"/>
            </w:rPr>
            <w:t>Technical code for</w:t>
          </w:r>
          <w:r w:rsidRPr="00CE2E80">
            <w:rPr>
              <w:rFonts w:ascii="Times New Roman" w:eastAsia="黑体"/>
            </w:rPr>
            <w:t xml:space="preserve"> </w:t>
          </w:r>
          <w:r w:rsidR="00D76742" w:rsidRPr="00CE2E80">
            <w:rPr>
              <w:rFonts w:ascii="Times New Roman" w:eastAsia="黑体" w:hint="eastAsia"/>
            </w:rPr>
            <w:t>general</w:t>
          </w:r>
          <w:r w:rsidR="00D76742" w:rsidRPr="00CE2E80">
            <w:rPr>
              <w:rFonts w:ascii="Times New Roman" w:eastAsia="黑体"/>
            </w:rPr>
            <w:t xml:space="preserve"> design of reactor structure</w:t>
          </w:r>
          <w:r w:rsidRPr="00CE2E80">
            <w:rPr>
              <w:rFonts w:ascii="Times New Roman" w:eastAsia="黑体"/>
            </w:rPr>
            <w:t xml:space="preserve"> </w:t>
          </w:r>
          <w:r>
            <w:rPr>
              <w:rFonts w:ascii="Times New Roman" w:eastAsia="黑体"/>
            </w:rPr>
            <w:t>for high-temperature gas-cooled reactor nuclear power plants</w:t>
          </w:r>
        </w:p>
        <w:p w14:paraId="014284B7" w14:textId="77777777" w:rsidR="0025520F" w:rsidRDefault="0025520F">
          <w:pPr>
            <w:pStyle w:val="afffff1"/>
            <w:framePr w:wrap="around" w:x="1309" w:y="5739"/>
            <w:ind w:firstLine="21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25520F" w14:paraId="013A991F" w14:textId="77777777">
            <w:tc>
              <w:tcPr>
                <w:tcW w:w="9855" w:type="dxa"/>
                <w:tcBorders>
                  <w:top w:val="nil"/>
                  <w:left w:val="nil"/>
                  <w:bottom w:val="nil"/>
                  <w:right w:val="nil"/>
                </w:tcBorders>
                <w:shd w:val="clear" w:color="auto" w:fill="auto"/>
              </w:tcPr>
              <w:p w14:paraId="6FEA0E7C" w14:textId="4A42B80F" w:rsidR="0025520F" w:rsidRDefault="00231F8D">
                <w:pPr>
                  <w:pStyle w:val="afffff2"/>
                  <w:framePr w:wrap="around" w:x="1309" w:y="5739"/>
                  <w:ind w:firstLine="420"/>
                </w:pPr>
                <w:r>
                  <w:rPr>
                    <w:noProof/>
                  </w:rPr>
                  <mc:AlternateContent>
                    <mc:Choice Requires="wps">
                      <w:drawing>
                        <wp:anchor distT="0" distB="0" distL="114300" distR="114300" simplePos="0" relativeHeight="251657728" behindDoc="1" locked="1" layoutInCell="1" allowOverlap="1" wp14:anchorId="47E3214E" wp14:editId="6F8178A3">
                          <wp:simplePos x="0" y="0"/>
                          <wp:positionH relativeFrom="column">
                            <wp:posOffset>2200910</wp:posOffset>
                          </wp:positionH>
                          <wp:positionV relativeFrom="paragraph">
                            <wp:posOffset>573405</wp:posOffset>
                          </wp:positionV>
                          <wp:extent cx="1905000" cy="254000"/>
                          <wp:effectExtent l="0" t="0" r="0" b="0"/>
                          <wp:wrapNone/>
                          <wp:docPr id="69" name="矩形 69"/>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BYmuktUAAAAKAQAADwAAAAAAAAABACAAAAA4&#10;AAAAZHJzL2Rvd25yZXYueG1sUEsBAhQAFAAAAAgAh07iQGRrf/W+AQAAfQMAAA4AAAAAAAAAAQAg&#10;AAAAOgEAAGRycy9lMm9Eb2MueG1sUEsFBgAAAAAGAAYAWQEAAGo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56704" behindDoc="1" locked="0" layoutInCell="1" allowOverlap="1" wp14:anchorId="54FDF41C" wp14:editId="2D8AA96B">
                          <wp:simplePos x="0" y="0"/>
                          <wp:positionH relativeFrom="column">
                            <wp:posOffset>2454910</wp:posOffset>
                          </wp:positionH>
                          <wp:positionV relativeFrom="paragraph">
                            <wp:posOffset>255905</wp:posOffset>
                          </wp:positionV>
                          <wp:extent cx="1270000" cy="304800"/>
                          <wp:effectExtent l="0" t="0" r="0" b="0"/>
                          <wp:wrapNone/>
                          <wp:docPr id="70" name="矩形 70"/>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A+GL5dYAAAAJAQAADwAAAAAAAAABACAAAAA4&#10;AAAAZHJzL2Rvd25yZXYueG1sUEsBAhQAFAAAAAgAh07iQHbg1MW9AQAAfQMAAA4AAAAAAAAAAQAg&#10;AAAAOwEAAGRycy9lMm9Eb2MueG1sUEsFBgAAAAAGAAYAWQEAAGoFAAAAAA==&#10;">
                          <v:fill on="t" focussize="0,0"/>
                          <v:stroke on="f"/>
                          <v:imagedata o:title=""/>
                          <o:lock v:ext="edit" aspectratio="f"/>
                        </v:rect>
                      </w:pict>
                    </mc:Fallback>
                  </mc:AlternateContent>
                </w:r>
                <w:r w:rsidR="00352FA4">
                  <w:rPr>
                    <w:rFonts w:hint="eastAsia"/>
                  </w:rPr>
                  <w:t>(征求意见稿</w:t>
                </w:r>
                <w:r w:rsidR="00352FA4">
                  <w:t>)</w:t>
                </w:r>
              </w:p>
            </w:tc>
          </w:tr>
          <w:tr w:rsidR="0025520F" w14:paraId="6540B489" w14:textId="77777777">
            <w:tc>
              <w:tcPr>
                <w:tcW w:w="9855" w:type="dxa"/>
                <w:tcBorders>
                  <w:top w:val="nil"/>
                  <w:left w:val="nil"/>
                  <w:bottom w:val="nil"/>
                  <w:right w:val="nil"/>
                </w:tcBorders>
                <w:shd w:val="clear" w:color="auto" w:fill="auto"/>
              </w:tcPr>
              <w:p w14:paraId="4010F2D5" w14:textId="3DD7F22B" w:rsidR="0025520F" w:rsidRDefault="00352FA4">
                <w:pPr>
                  <w:pStyle w:val="afffff3"/>
                  <w:framePr w:wrap="around" w:x="1309" w:y="5739"/>
                  <w:ind w:firstLine="630"/>
                </w:pPr>
                <w:r>
                  <w:fldChar w:fldCharType="begin">
                    <w:ffData>
                      <w:name w:val="WCRQ"/>
                      <w:enabled/>
                      <w:calcOnExit w:val="0"/>
                      <w:textInput>
                        <w:default w:val="本稿完成日期：2025年7月"/>
                      </w:textInput>
                    </w:ffData>
                  </w:fldChar>
                </w:r>
                <w:bookmarkStart w:id="9" w:name="WCRQ"/>
                <w:r>
                  <w:instrText xml:space="preserve"> FORMTEXT </w:instrText>
                </w:r>
                <w:r>
                  <w:fldChar w:fldCharType="separate"/>
                </w:r>
                <w:r>
                  <w:rPr>
                    <w:rFonts w:hint="eastAsia"/>
                    <w:noProof/>
                  </w:rPr>
                  <w:t>本稿完成日期：2025年7月</w:t>
                </w:r>
                <w:r>
                  <w:fldChar w:fldCharType="end"/>
                </w:r>
                <w:bookmarkEnd w:id="9"/>
              </w:p>
            </w:tc>
          </w:tr>
        </w:tbl>
        <w:p w14:paraId="36BBEF70" w14:textId="77777777" w:rsidR="0025520F" w:rsidRDefault="0015229B">
          <w:pPr>
            <w:widowControl/>
            <w:jc w:val="left"/>
          </w:pPr>
        </w:p>
      </w:sdtContent>
    </w:sdt>
    <w:p w14:paraId="62DD6D82" w14:textId="77777777" w:rsidR="0025520F" w:rsidRDefault="0025520F"/>
    <w:p w14:paraId="63BF0704" w14:textId="77777777" w:rsidR="0025520F" w:rsidRDefault="0025520F"/>
    <w:p w14:paraId="69FF3505" w14:textId="77777777" w:rsidR="00352FA4" w:rsidRDefault="00352FA4" w:rsidP="00352FA4">
      <w:pPr>
        <w:pStyle w:val="affffff0"/>
        <w:framePr w:wrap="around"/>
      </w:pPr>
      <w:r>
        <w:rPr>
          <w:rFonts w:hint="eastAsia"/>
        </w:rPr>
        <w:t>T</w:t>
      </w:r>
      <w:r>
        <w:t>/</w:t>
      </w:r>
      <w:bookmarkStart w:id="10"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10"/>
    </w:p>
    <w:p w14:paraId="327D08C9" w14:textId="2B9006AD" w:rsidR="0025520F" w:rsidRDefault="00352FA4">
      <w:r w:rsidRPr="00352FA4">
        <mc:AlternateContent>
          <mc:Choice Requires="wps">
            <w:drawing>
              <wp:anchor distT="0" distB="0" distL="114300" distR="114300" simplePos="0" relativeHeight="251661824" behindDoc="0" locked="0" layoutInCell="1" allowOverlap="1" wp14:anchorId="4F5CEE64" wp14:editId="3B326079">
                <wp:simplePos x="0" y="0"/>
                <wp:positionH relativeFrom="column">
                  <wp:posOffset>-635</wp:posOffset>
                </wp:positionH>
                <wp:positionV relativeFrom="paragraph">
                  <wp:posOffset>-530225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C0D77" id="Line 11"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41.75pt" to="481.85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">
                <o:lock v:ext="edit" shapetype="f"/>
              </v:line>
            </w:pict>
          </mc:Fallback>
        </mc:AlternateContent>
      </w:r>
    </w:p>
    <w:p w14:paraId="01C6C2D1" w14:textId="77777777" w:rsidR="0025520F" w:rsidRDefault="0025520F"/>
    <w:p w14:paraId="412C7D74" w14:textId="77777777" w:rsidR="0025520F" w:rsidRDefault="0025520F"/>
    <w:p w14:paraId="62D5A774" w14:textId="77777777" w:rsidR="0025520F" w:rsidRDefault="0025520F"/>
    <w:p w14:paraId="3985F597" w14:textId="77777777" w:rsidR="0025520F" w:rsidRDefault="0025520F"/>
    <w:p w14:paraId="35959E9C" w14:textId="77777777" w:rsidR="00352FA4" w:rsidRDefault="00352FA4" w:rsidP="00352FA4">
      <w:pPr>
        <w:pStyle w:val="afffffff4"/>
        <w:framePr w:wrap="around" w:hAnchor="page" w:x="1585" w:y="14137"/>
        <w:spacing w:line="360" w:lineRule="auto"/>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872" behindDoc="0" locked="1" layoutInCell="1" allowOverlap="1" wp14:anchorId="47F28529" wp14:editId="3DEB6277">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C2922" id="Line 10"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077B5C27" w14:textId="77777777" w:rsidR="00352FA4" w:rsidRDefault="00352FA4" w:rsidP="00352FA4">
      <w:pPr>
        <w:pStyle w:val="afffffff5"/>
        <w:framePr w:wrap="around" w:hAnchor="page" w:x="6613"/>
        <w:spacing w:line="360" w:lineRule="auto"/>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49175D6E" w14:textId="77777777" w:rsidR="00352FA4" w:rsidRDefault="00352FA4" w:rsidP="00352FA4">
      <w:pPr>
        <w:pStyle w:val="affffff2"/>
        <w:framePr w:wrap="around"/>
        <w:spacing w:line="360" w:lineRule="auto"/>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fffb"/>
          <w:rFonts w:hint="eastAsia"/>
        </w:rPr>
        <w:t>发布</w:t>
      </w:r>
    </w:p>
    <w:p w14:paraId="632B83A3" w14:textId="58518359" w:rsidR="0025520F" w:rsidRPr="00352FA4" w:rsidRDefault="0025520F">
      <w:pPr>
        <w:jc w:val="center"/>
        <w:rPr>
          <w:rFonts w:ascii="黑体" w:eastAsia="黑体"/>
          <w:kern w:val="0"/>
          <w:sz w:val="28"/>
          <w:szCs w:val="20"/>
        </w:rPr>
      </w:pPr>
      <w:bookmarkStart w:id="11" w:name="_GoBack"/>
      <w:bookmarkEnd w:id="11"/>
    </w:p>
    <w:p w14:paraId="1765DFA1" w14:textId="77777777" w:rsidR="0025520F" w:rsidRDefault="00231F8D" w:rsidP="00DE4B35">
      <w:pPr>
        <w:pStyle w:val="afffd"/>
        <w:tabs>
          <w:tab w:val="left" w:pos="3586"/>
          <w:tab w:val="center" w:pos="4677"/>
          <w:tab w:val="left" w:pos="8081"/>
          <w:tab w:val="left" w:pos="8608"/>
        </w:tabs>
        <w:jc w:val="left"/>
      </w:pPr>
      <w:r>
        <w:lastRenderedPageBreak/>
        <w:tab/>
      </w:r>
      <w:r>
        <w:tab/>
      </w:r>
      <w:r>
        <w:rPr>
          <w:rFonts w:hint="eastAsia"/>
        </w:rPr>
        <w:t>目</w:t>
      </w:r>
      <w:bookmarkStart w:id="12" w:name="BKML"/>
      <w:r>
        <w:rPr>
          <w:rFonts w:ascii="MS Mincho" w:eastAsia="MS Mincho" w:hAnsi="MS Mincho" w:cs="MS Mincho" w:hint="eastAsia"/>
        </w:rPr>
        <w:t>  </w:t>
      </w:r>
      <w:r>
        <w:rPr>
          <w:rFonts w:hint="eastAsia"/>
        </w:rPr>
        <w:t>次</w:t>
      </w:r>
      <w:bookmarkEnd w:id="12"/>
      <w:r>
        <w:tab/>
      </w:r>
      <w:r w:rsidR="00DE4B35">
        <w:tab/>
      </w:r>
    </w:p>
    <w:p w14:paraId="3A40EE0B" w14:textId="77777777" w:rsidR="0025520F" w:rsidRDefault="00231F8D">
      <w:pPr>
        <w:pStyle w:val="TOC1"/>
        <w:tabs>
          <w:tab w:val="clear" w:pos="9241"/>
          <w:tab w:val="right" w:leader="dot" w:pos="9355"/>
        </w:tabs>
      </w:pPr>
      <w:r>
        <w:fldChar w:fldCharType="begin"/>
      </w:r>
      <w:r>
        <w:instrText xml:space="preserve"> TOC \h \z \t "前言、引言标题,1,参考文献、索引标题,1,章标题,1,参考文献,1,附录标识,1" </w:instrText>
      </w:r>
      <w:r>
        <w:fldChar w:fldCharType="separate"/>
      </w:r>
      <w:hyperlink w:anchor="_Toc1942260761" w:history="1">
        <w:r>
          <w:rPr>
            <w:rFonts w:hint="eastAsia"/>
          </w:rPr>
          <w:t>前</w:t>
        </w:r>
        <w:r>
          <w:t>  </w:t>
        </w:r>
        <w:r>
          <w:rPr>
            <w:rFonts w:hint="eastAsia"/>
          </w:rPr>
          <w:t>言</w:t>
        </w:r>
        <w:r>
          <w:tab/>
        </w:r>
        <w:r>
          <w:fldChar w:fldCharType="begin"/>
        </w:r>
        <w:r>
          <w:instrText xml:space="preserve"> PAGEREF _Toc1942260761 \h </w:instrText>
        </w:r>
        <w:r>
          <w:fldChar w:fldCharType="separate"/>
        </w:r>
        <w:r>
          <w:t>II</w:t>
        </w:r>
        <w:r>
          <w:fldChar w:fldCharType="end"/>
        </w:r>
      </w:hyperlink>
    </w:p>
    <w:p w14:paraId="67F8EB91" w14:textId="77777777" w:rsidR="0025520F" w:rsidRDefault="0015229B">
      <w:pPr>
        <w:pStyle w:val="TOC1"/>
        <w:tabs>
          <w:tab w:val="clear" w:pos="9241"/>
          <w:tab w:val="right" w:leader="dot" w:pos="9355"/>
        </w:tabs>
      </w:pPr>
      <w:hyperlink w:anchor="_Toc1825175727" w:history="1">
        <w:r w:rsidR="00231F8D">
          <w:rPr>
            <w:rFonts w:ascii="黑体" w:eastAsia="黑体" w:hint="eastAsia"/>
          </w:rPr>
          <w:t xml:space="preserve">1 </w:t>
        </w:r>
        <w:r w:rsidR="00231F8D">
          <w:rPr>
            <w:rFonts w:hint="eastAsia"/>
          </w:rPr>
          <w:t>范围</w:t>
        </w:r>
        <w:r w:rsidR="00231F8D">
          <w:tab/>
        </w:r>
        <w:r w:rsidR="00231F8D">
          <w:fldChar w:fldCharType="begin"/>
        </w:r>
        <w:r w:rsidR="00231F8D">
          <w:instrText xml:space="preserve"> PAGEREF _Toc1825175727 \h </w:instrText>
        </w:r>
        <w:r w:rsidR="00231F8D">
          <w:fldChar w:fldCharType="separate"/>
        </w:r>
        <w:r w:rsidR="00231F8D">
          <w:t>3</w:t>
        </w:r>
        <w:r w:rsidR="00231F8D">
          <w:fldChar w:fldCharType="end"/>
        </w:r>
      </w:hyperlink>
    </w:p>
    <w:p w14:paraId="53721621" w14:textId="77777777" w:rsidR="0025520F" w:rsidRDefault="0015229B">
      <w:pPr>
        <w:pStyle w:val="TOC1"/>
        <w:tabs>
          <w:tab w:val="clear" w:pos="9241"/>
          <w:tab w:val="right" w:leader="dot" w:pos="9355"/>
        </w:tabs>
      </w:pPr>
      <w:hyperlink w:anchor="_Toc1072029941" w:history="1">
        <w:r w:rsidR="00231F8D">
          <w:rPr>
            <w:rFonts w:ascii="黑体" w:eastAsia="黑体" w:hint="eastAsia"/>
          </w:rPr>
          <w:t xml:space="preserve">2 </w:t>
        </w:r>
        <w:r w:rsidR="00231F8D">
          <w:rPr>
            <w:rFonts w:hint="eastAsia"/>
          </w:rPr>
          <w:t>规范性引用文件</w:t>
        </w:r>
        <w:r w:rsidR="00231F8D">
          <w:tab/>
        </w:r>
        <w:r w:rsidR="00231F8D">
          <w:fldChar w:fldCharType="begin"/>
        </w:r>
        <w:r w:rsidR="00231F8D">
          <w:instrText xml:space="preserve"> PAGEREF _Toc1072029941 \h </w:instrText>
        </w:r>
        <w:r w:rsidR="00231F8D">
          <w:fldChar w:fldCharType="separate"/>
        </w:r>
        <w:r w:rsidR="00231F8D">
          <w:t>3</w:t>
        </w:r>
        <w:r w:rsidR="00231F8D">
          <w:fldChar w:fldCharType="end"/>
        </w:r>
      </w:hyperlink>
    </w:p>
    <w:p w14:paraId="5AC7E4E0" w14:textId="77777777" w:rsidR="0025520F" w:rsidRDefault="0015229B">
      <w:pPr>
        <w:pStyle w:val="TOC1"/>
        <w:tabs>
          <w:tab w:val="clear" w:pos="9241"/>
          <w:tab w:val="right" w:leader="dot" w:pos="9355"/>
        </w:tabs>
      </w:pPr>
      <w:hyperlink w:anchor="_Toc219420057" w:history="1">
        <w:r w:rsidR="00231F8D">
          <w:rPr>
            <w:rFonts w:ascii="黑体" w:eastAsia="黑体" w:hint="eastAsia"/>
          </w:rPr>
          <w:t xml:space="preserve">3 </w:t>
        </w:r>
        <w:r w:rsidR="00231F8D">
          <w:rPr>
            <w:rFonts w:hint="eastAsia"/>
          </w:rPr>
          <w:t>术语和定义</w:t>
        </w:r>
        <w:r w:rsidR="00231F8D">
          <w:tab/>
        </w:r>
        <w:r w:rsidR="00231F8D">
          <w:fldChar w:fldCharType="begin"/>
        </w:r>
        <w:r w:rsidR="00231F8D">
          <w:instrText xml:space="preserve"> PAGEREF _Toc219420057 \h </w:instrText>
        </w:r>
        <w:r w:rsidR="00231F8D">
          <w:fldChar w:fldCharType="separate"/>
        </w:r>
        <w:r w:rsidR="00231F8D">
          <w:t>3</w:t>
        </w:r>
        <w:r w:rsidR="00231F8D">
          <w:fldChar w:fldCharType="end"/>
        </w:r>
      </w:hyperlink>
    </w:p>
    <w:p w14:paraId="41A44D00" w14:textId="77777777" w:rsidR="0025520F" w:rsidRDefault="0015229B">
      <w:pPr>
        <w:pStyle w:val="TOC1"/>
        <w:tabs>
          <w:tab w:val="clear" w:pos="9241"/>
          <w:tab w:val="right" w:leader="dot" w:pos="9355"/>
        </w:tabs>
      </w:pPr>
      <w:hyperlink w:anchor="_Toc563476100" w:history="1">
        <w:r w:rsidR="00231F8D">
          <w:rPr>
            <w:rFonts w:ascii="黑体" w:eastAsia="黑体" w:hint="eastAsia"/>
          </w:rPr>
          <w:t xml:space="preserve">4 </w:t>
        </w:r>
        <w:r w:rsidR="00231F8D">
          <w:rPr>
            <w:rFonts w:hint="eastAsia"/>
          </w:rPr>
          <w:t>一般要求</w:t>
        </w:r>
        <w:r w:rsidR="00231F8D">
          <w:tab/>
        </w:r>
        <w:r w:rsidR="00231F8D">
          <w:fldChar w:fldCharType="begin"/>
        </w:r>
        <w:r w:rsidR="00231F8D">
          <w:instrText xml:space="preserve"> PAGEREF _Toc563476100 \h </w:instrText>
        </w:r>
        <w:r w:rsidR="00231F8D">
          <w:fldChar w:fldCharType="separate"/>
        </w:r>
        <w:r w:rsidR="00231F8D">
          <w:t>4</w:t>
        </w:r>
        <w:r w:rsidR="00231F8D">
          <w:fldChar w:fldCharType="end"/>
        </w:r>
      </w:hyperlink>
    </w:p>
    <w:p w14:paraId="572ADADB" w14:textId="77777777" w:rsidR="0025520F" w:rsidRDefault="0015229B">
      <w:pPr>
        <w:pStyle w:val="TOC1"/>
        <w:tabs>
          <w:tab w:val="clear" w:pos="9241"/>
          <w:tab w:val="right" w:leader="dot" w:pos="9355"/>
        </w:tabs>
      </w:pPr>
      <w:hyperlink w:anchor="_Toc2087413077" w:history="1">
        <w:r w:rsidR="00231F8D">
          <w:rPr>
            <w:rFonts w:ascii="黑体" w:eastAsia="黑体" w:hint="eastAsia"/>
          </w:rPr>
          <w:t xml:space="preserve">5 </w:t>
        </w:r>
        <w:r w:rsidR="00231F8D">
          <w:rPr>
            <w:rFonts w:hint="eastAsia"/>
          </w:rPr>
          <w:t>接口分界</w:t>
        </w:r>
        <w:r w:rsidR="00231F8D">
          <w:tab/>
        </w:r>
        <w:r w:rsidR="00231F8D">
          <w:fldChar w:fldCharType="begin"/>
        </w:r>
        <w:r w:rsidR="00231F8D">
          <w:instrText xml:space="preserve"> PAGEREF _Toc2087413077 \h </w:instrText>
        </w:r>
        <w:r w:rsidR="00231F8D">
          <w:fldChar w:fldCharType="separate"/>
        </w:r>
        <w:r w:rsidR="00231F8D">
          <w:t>4</w:t>
        </w:r>
        <w:r w:rsidR="00231F8D">
          <w:fldChar w:fldCharType="end"/>
        </w:r>
      </w:hyperlink>
    </w:p>
    <w:p w14:paraId="221AE5F1" w14:textId="77777777" w:rsidR="0025520F" w:rsidRDefault="0015229B">
      <w:pPr>
        <w:pStyle w:val="TOC1"/>
        <w:tabs>
          <w:tab w:val="clear" w:pos="9241"/>
          <w:tab w:val="right" w:leader="dot" w:pos="9355"/>
        </w:tabs>
      </w:pPr>
      <w:hyperlink w:anchor="_Toc1858727747" w:history="1">
        <w:r w:rsidR="00231F8D">
          <w:rPr>
            <w:rFonts w:ascii="黑体" w:eastAsia="黑体" w:hint="eastAsia"/>
          </w:rPr>
          <w:t xml:space="preserve">6 </w:t>
        </w:r>
        <w:r w:rsidR="00231F8D">
          <w:rPr>
            <w:rFonts w:hint="eastAsia"/>
          </w:rPr>
          <w:t>设计</w:t>
        </w:r>
        <w:r w:rsidR="00231F8D">
          <w:tab/>
        </w:r>
        <w:r w:rsidR="00231F8D">
          <w:fldChar w:fldCharType="begin"/>
        </w:r>
        <w:r w:rsidR="00231F8D">
          <w:instrText xml:space="preserve"> PAGEREF _Toc1858727747 \h </w:instrText>
        </w:r>
        <w:r w:rsidR="00231F8D">
          <w:fldChar w:fldCharType="separate"/>
        </w:r>
        <w:r w:rsidR="00231F8D">
          <w:t>5</w:t>
        </w:r>
        <w:r w:rsidR="00231F8D">
          <w:fldChar w:fldCharType="end"/>
        </w:r>
      </w:hyperlink>
    </w:p>
    <w:p w14:paraId="7CF414FB" w14:textId="77777777" w:rsidR="0025520F" w:rsidRDefault="0015229B">
      <w:pPr>
        <w:pStyle w:val="TOC1"/>
        <w:tabs>
          <w:tab w:val="clear" w:pos="9241"/>
          <w:tab w:val="right" w:leader="dot" w:pos="9355"/>
        </w:tabs>
      </w:pPr>
      <w:hyperlink w:anchor="_Toc192630920" w:history="1">
        <w:r w:rsidR="00231F8D">
          <w:rPr>
            <w:rFonts w:ascii="黑体" w:eastAsia="黑体" w:hint="eastAsia"/>
          </w:rPr>
          <w:t xml:space="preserve">7 </w:t>
        </w:r>
        <w:r w:rsidR="00231F8D">
          <w:rPr>
            <w:rFonts w:hint="eastAsia"/>
          </w:rPr>
          <w:t>反应堆机构材料选择</w:t>
        </w:r>
        <w:r w:rsidR="00231F8D">
          <w:tab/>
        </w:r>
        <w:r w:rsidR="00231F8D">
          <w:fldChar w:fldCharType="begin"/>
        </w:r>
        <w:r w:rsidR="00231F8D">
          <w:instrText xml:space="preserve"> PAGEREF _Toc192630920 \h </w:instrText>
        </w:r>
        <w:r w:rsidR="00231F8D">
          <w:fldChar w:fldCharType="separate"/>
        </w:r>
        <w:r w:rsidR="00231F8D">
          <w:t>6</w:t>
        </w:r>
        <w:r w:rsidR="00231F8D">
          <w:fldChar w:fldCharType="end"/>
        </w:r>
      </w:hyperlink>
    </w:p>
    <w:p w14:paraId="3AD5D77F" w14:textId="77777777" w:rsidR="0025520F" w:rsidRDefault="0015229B">
      <w:pPr>
        <w:pStyle w:val="TOC1"/>
        <w:tabs>
          <w:tab w:val="clear" w:pos="9241"/>
          <w:tab w:val="right" w:leader="dot" w:pos="9355"/>
        </w:tabs>
      </w:pPr>
      <w:hyperlink w:anchor="_Toc1290016411" w:history="1">
        <w:r w:rsidR="00231F8D">
          <w:rPr>
            <w:rFonts w:ascii="黑体" w:eastAsia="黑体" w:hint="eastAsia"/>
          </w:rPr>
          <w:t xml:space="preserve">8 </w:t>
        </w:r>
        <w:r w:rsidR="00231F8D">
          <w:rPr>
            <w:rFonts w:hint="eastAsia"/>
          </w:rPr>
          <w:t>反应堆结构总体设计</w:t>
        </w:r>
        <w:r w:rsidR="00231F8D">
          <w:tab/>
        </w:r>
        <w:r w:rsidR="00231F8D">
          <w:fldChar w:fldCharType="begin"/>
        </w:r>
        <w:r w:rsidR="00231F8D">
          <w:instrText xml:space="preserve"> PAGEREF _Toc1290016411 \h </w:instrText>
        </w:r>
        <w:r w:rsidR="00231F8D">
          <w:fldChar w:fldCharType="separate"/>
        </w:r>
        <w:r w:rsidR="00231F8D">
          <w:t>6</w:t>
        </w:r>
        <w:r w:rsidR="00231F8D">
          <w:fldChar w:fldCharType="end"/>
        </w:r>
      </w:hyperlink>
    </w:p>
    <w:p w14:paraId="38B8F5C9" w14:textId="77777777" w:rsidR="0025520F" w:rsidRDefault="0015229B">
      <w:pPr>
        <w:pStyle w:val="TOC1"/>
        <w:tabs>
          <w:tab w:val="clear" w:pos="9241"/>
          <w:tab w:val="right" w:leader="dot" w:pos="9355"/>
        </w:tabs>
      </w:pPr>
      <w:hyperlink w:anchor="_Toc310919565" w:history="1">
        <w:r w:rsidR="00231F8D">
          <w:rPr>
            <w:rFonts w:ascii="黑体" w:eastAsia="黑体" w:hint="eastAsia"/>
          </w:rPr>
          <w:t xml:space="preserve">9 </w:t>
        </w:r>
        <w:r w:rsidR="00231F8D">
          <w:rPr>
            <w:rFonts w:hint="eastAsia"/>
          </w:rPr>
          <w:t>反应堆设备的制造、检查、运输、贮存和安装</w:t>
        </w:r>
        <w:r w:rsidR="00231F8D">
          <w:tab/>
        </w:r>
        <w:r w:rsidR="00231F8D">
          <w:fldChar w:fldCharType="begin"/>
        </w:r>
        <w:r w:rsidR="00231F8D">
          <w:instrText xml:space="preserve"> PAGEREF _Toc310919565 \h </w:instrText>
        </w:r>
        <w:r w:rsidR="00231F8D">
          <w:fldChar w:fldCharType="separate"/>
        </w:r>
        <w:r w:rsidR="00231F8D">
          <w:t>7</w:t>
        </w:r>
        <w:r w:rsidR="00231F8D">
          <w:fldChar w:fldCharType="end"/>
        </w:r>
      </w:hyperlink>
    </w:p>
    <w:p w14:paraId="2AB9E0E9" w14:textId="77777777" w:rsidR="0025520F" w:rsidRDefault="0015229B">
      <w:pPr>
        <w:pStyle w:val="TOC1"/>
        <w:tabs>
          <w:tab w:val="clear" w:pos="9241"/>
          <w:tab w:val="right" w:leader="dot" w:pos="9355"/>
        </w:tabs>
      </w:pPr>
      <w:hyperlink w:anchor="_Toc797415804" w:history="1">
        <w:r w:rsidR="00231F8D">
          <w:rPr>
            <w:rFonts w:ascii="黑体" w:eastAsia="黑体" w:hint="eastAsia"/>
          </w:rPr>
          <w:t xml:space="preserve">10 </w:t>
        </w:r>
        <w:r w:rsidR="00231F8D">
          <w:rPr>
            <w:rFonts w:hint="eastAsia"/>
          </w:rPr>
          <w:t>反应堆结构的役前试验、在役检查和在役试验</w:t>
        </w:r>
        <w:r w:rsidR="00231F8D">
          <w:tab/>
        </w:r>
        <w:r w:rsidR="00231F8D">
          <w:fldChar w:fldCharType="begin"/>
        </w:r>
        <w:r w:rsidR="00231F8D">
          <w:instrText xml:space="preserve"> PAGEREF _Toc797415804 \h </w:instrText>
        </w:r>
        <w:r w:rsidR="00231F8D">
          <w:fldChar w:fldCharType="separate"/>
        </w:r>
        <w:r w:rsidR="00231F8D">
          <w:t>7</w:t>
        </w:r>
        <w:r w:rsidR="00231F8D">
          <w:fldChar w:fldCharType="end"/>
        </w:r>
      </w:hyperlink>
    </w:p>
    <w:p w14:paraId="37F609A9" w14:textId="77777777" w:rsidR="0025520F" w:rsidRDefault="0015229B">
      <w:pPr>
        <w:pStyle w:val="TOC1"/>
        <w:tabs>
          <w:tab w:val="clear" w:pos="9241"/>
          <w:tab w:val="right" w:leader="dot" w:pos="9355"/>
        </w:tabs>
      </w:pPr>
      <w:hyperlink w:anchor="_Toc1869460548" w:history="1">
        <w:r w:rsidR="00231F8D">
          <w:rPr>
            <w:rFonts w:ascii="黑体" w:eastAsia="黑体" w:hint="eastAsia"/>
          </w:rPr>
          <w:t xml:space="preserve">11 </w:t>
        </w:r>
        <w:r w:rsidR="00231F8D">
          <w:rPr>
            <w:rFonts w:hint="eastAsia"/>
          </w:rPr>
          <w:t>反应堆换料</w:t>
        </w:r>
        <w:r w:rsidR="00231F8D">
          <w:tab/>
        </w:r>
        <w:r w:rsidR="00231F8D">
          <w:fldChar w:fldCharType="begin"/>
        </w:r>
        <w:r w:rsidR="00231F8D">
          <w:instrText xml:space="preserve"> PAGEREF _Toc1869460548 \h </w:instrText>
        </w:r>
        <w:r w:rsidR="00231F8D">
          <w:fldChar w:fldCharType="separate"/>
        </w:r>
        <w:r w:rsidR="00231F8D">
          <w:t>7</w:t>
        </w:r>
        <w:r w:rsidR="00231F8D">
          <w:fldChar w:fldCharType="end"/>
        </w:r>
      </w:hyperlink>
    </w:p>
    <w:p w14:paraId="74DD6904" w14:textId="77777777" w:rsidR="0025520F" w:rsidRDefault="0015229B">
      <w:pPr>
        <w:pStyle w:val="TOC1"/>
        <w:tabs>
          <w:tab w:val="clear" w:pos="9241"/>
          <w:tab w:val="right" w:leader="dot" w:pos="9355"/>
        </w:tabs>
      </w:pPr>
      <w:hyperlink w:anchor="_Toc190190979" w:history="1">
        <w:r w:rsidR="00231F8D">
          <w:rPr>
            <w:rFonts w:ascii="黑体" w:eastAsia="黑体" w:hint="eastAsia"/>
          </w:rPr>
          <w:t xml:space="preserve">12 </w:t>
        </w:r>
        <w:r w:rsidR="00231F8D">
          <w:rPr>
            <w:rFonts w:hint="eastAsia"/>
          </w:rPr>
          <w:t>反应堆退役</w:t>
        </w:r>
        <w:r w:rsidR="00231F8D">
          <w:tab/>
        </w:r>
        <w:r w:rsidR="00231F8D">
          <w:fldChar w:fldCharType="begin"/>
        </w:r>
        <w:r w:rsidR="00231F8D">
          <w:instrText xml:space="preserve"> PAGEREF _Toc190190979 \h </w:instrText>
        </w:r>
        <w:r w:rsidR="00231F8D">
          <w:fldChar w:fldCharType="separate"/>
        </w:r>
        <w:r w:rsidR="00231F8D">
          <w:t>8</w:t>
        </w:r>
        <w:r w:rsidR="00231F8D">
          <w:fldChar w:fldCharType="end"/>
        </w:r>
      </w:hyperlink>
    </w:p>
    <w:p w14:paraId="6D12A960" w14:textId="77777777" w:rsidR="0025520F" w:rsidRDefault="0015229B">
      <w:pPr>
        <w:pStyle w:val="TOC1"/>
        <w:tabs>
          <w:tab w:val="clear" w:pos="9241"/>
          <w:tab w:val="right" w:leader="dot" w:pos="9355"/>
        </w:tabs>
      </w:pPr>
      <w:hyperlink w:anchor="_Toc1084117317" w:history="1">
        <w:r w:rsidR="00231F8D">
          <w:rPr>
            <w:rFonts w:ascii="黑体" w:eastAsia="黑体" w:hint="eastAsia"/>
          </w:rPr>
          <w:t xml:space="preserve">13 </w:t>
        </w:r>
        <w:r w:rsidR="00231F8D">
          <w:rPr>
            <w:rFonts w:hint="eastAsia"/>
          </w:rPr>
          <w:t>参考标准、规范</w:t>
        </w:r>
        <w:r w:rsidR="00231F8D">
          <w:tab/>
        </w:r>
        <w:r w:rsidR="00231F8D">
          <w:fldChar w:fldCharType="begin"/>
        </w:r>
        <w:r w:rsidR="00231F8D">
          <w:instrText xml:space="preserve"> PAGEREF _Toc1084117317 \h </w:instrText>
        </w:r>
        <w:r w:rsidR="00231F8D">
          <w:fldChar w:fldCharType="separate"/>
        </w:r>
        <w:r w:rsidR="00231F8D">
          <w:t>8</w:t>
        </w:r>
        <w:r w:rsidR="00231F8D">
          <w:fldChar w:fldCharType="end"/>
        </w:r>
      </w:hyperlink>
    </w:p>
    <w:p w14:paraId="7FF8A981" w14:textId="77777777" w:rsidR="0025520F" w:rsidRDefault="00231F8D">
      <w:pPr>
        <w:pStyle w:val="affd"/>
      </w:pPr>
      <w:r>
        <w:rPr>
          <w:szCs w:val="21"/>
        </w:rPr>
        <w:fldChar w:fldCharType="end"/>
      </w:r>
    </w:p>
    <w:p w14:paraId="018BADC8" w14:textId="77777777" w:rsidR="0025520F" w:rsidRDefault="00231F8D">
      <w:pPr>
        <w:pStyle w:val="affffff3"/>
        <w:tabs>
          <w:tab w:val="left" w:pos="1527"/>
          <w:tab w:val="center" w:pos="4677"/>
        </w:tabs>
        <w:jc w:val="left"/>
      </w:pPr>
      <w:r>
        <w:lastRenderedPageBreak/>
        <w:tab/>
      </w:r>
      <w:r>
        <w:tab/>
      </w:r>
      <w:bookmarkStart w:id="13" w:name="_Toc1942260761"/>
      <w:r>
        <w:rPr>
          <w:rFonts w:hint="eastAsia"/>
        </w:rPr>
        <w:t>前</w:t>
      </w:r>
      <w:bookmarkStart w:id="14" w:name="BKQY"/>
      <w:r>
        <w:t>  </w:t>
      </w:r>
      <w:r>
        <w:rPr>
          <w:rFonts w:hint="eastAsia"/>
        </w:rPr>
        <w:t>言</w:t>
      </w:r>
      <w:bookmarkEnd w:id="4"/>
      <w:bookmarkEnd w:id="3"/>
      <w:bookmarkEnd w:id="2"/>
      <w:bookmarkEnd w:id="1"/>
      <w:bookmarkEnd w:id="0"/>
      <w:bookmarkEnd w:id="13"/>
      <w:bookmarkEnd w:id="14"/>
    </w:p>
    <w:p w14:paraId="66968521" w14:textId="77777777" w:rsidR="0025520F" w:rsidRDefault="00231F8D">
      <w:pPr>
        <w:pStyle w:val="affd"/>
        <w:rPr>
          <w:color w:val="000000" w:themeColor="text1"/>
        </w:rPr>
      </w:pPr>
      <w:r>
        <w:rPr>
          <w:rFonts w:hint="eastAsia"/>
          <w:color w:val="000000" w:themeColor="text1"/>
        </w:rPr>
        <w:t>本文件按照GB/T 1.1－20</w:t>
      </w:r>
      <w:r>
        <w:rPr>
          <w:color w:val="000000" w:themeColor="text1"/>
        </w:rPr>
        <w:t>20</w:t>
      </w:r>
      <w:r>
        <w:rPr>
          <w:rFonts w:hint="eastAsia"/>
          <w:color w:val="000000" w:themeColor="text1"/>
        </w:rPr>
        <w:t xml:space="preserve">《标准化工作导则 </w:t>
      </w:r>
      <w:r>
        <w:rPr>
          <w:color w:val="000000" w:themeColor="text1"/>
        </w:rPr>
        <w:t xml:space="preserve"> </w:t>
      </w:r>
      <w:r>
        <w:rPr>
          <w:rFonts w:hint="eastAsia"/>
          <w:color w:val="000000" w:themeColor="text1"/>
        </w:rPr>
        <w:t>第1部分：标准化文件的结构和起草规则》的规定起草。</w:t>
      </w:r>
    </w:p>
    <w:p w14:paraId="377E3B07" w14:textId="77777777" w:rsidR="0025520F" w:rsidRDefault="00231F8D">
      <w:pPr>
        <w:pStyle w:val="affd"/>
        <w:rPr>
          <w:color w:val="000000" w:themeColor="text1"/>
        </w:rPr>
      </w:pPr>
      <w:r>
        <w:rPr>
          <w:rFonts w:hint="eastAsia"/>
          <w:color w:val="000000" w:themeColor="text1"/>
        </w:rPr>
        <w:t>请注意本文件的某些内容可能涉及专利。本文件的发布机构不承担识别专利的责任。</w:t>
      </w:r>
    </w:p>
    <w:p w14:paraId="00AB3A0A" w14:textId="77777777" w:rsidR="0025520F" w:rsidRDefault="00231F8D">
      <w:pPr>
        <w:pStyle w:val="affd"/>
        <w:rPr>
          <w:color w:val="000000" w:themeColor="text1"/>
        </w:rPr>
      </w:pPr>
      <w:r>
        <w:rPr>
          <w:rFonts w:hint="eastAsia"/>
          <w:color w:val="000000" w:themeColor="text1"/>
        </w:rPr>
        <w:t>本文件由中国</w:t>
      </w:r>
      <w:r>
        <w:rPr>
          <w:color w:val="000000" w:themeColor="text1"/>
        </w:rPr>
        <w:t>核学会</w:t>
      </w:r>
      <w:r>
        <w:rPr>
          <w:rFonts w:hint="eastAsia"/>
          <w:color w:val="000000" w:themeColor="text1"/>
        </w:rPr>
        <w:t>提出。</w:t>
      </w:r>
    </w:p>
    <w:p w14:paraId="43DE317A" w14:textId="77777777" w:rsidR="0025520F" w:rsidRDefault="00231F8D">
      <w:pPr>
        <w:pStyle w:val="affd"/>
        <w:rPr>
          <w:color w:val="000000" w:themeColor="text1"/>
        </w:rPr>
      </w:pPr>
      <w:r>
        <w:rPr>
          <w:rFonts w:hint="eastAsia"/>
          <w:color w:val="000000" w:themeColor="text1"/>
        </w:rPr>
        <w:t>本文件由核工业标准化研究所归口。</w:t>
      </w:r>
    </w:p>
    <w:p w14:paraId="3E1CF6BB" w14:textId="77777777" w:rsidR="0025520F" w:rsidRDefault="00231F8D">
      <w:pPr>
        <w:pStyle w:val="affd"/>
        <w:rPr>
          <w:color w:val="000000" w:themeColor="text1"/>
        </w:rPr>
      </w:pPr>
      <w:r>
        <w:rPr>
          <w:rFonts w:hint="eastAsia"/>
          <w:color w:val="000000" w:themeColor="text1"/>
        </w:rPr>
        <w:t>本文件起草单位：</w:t>
      </w:r>
      <w:bookmarkStart w:id="15" w:name="_Hlk203639364"/>
      <w:r>
        <w:rPr>
          <w:rFonts w:hint="eastAsia"/>
          <w:color w:val="000000" w:themeColor="text1"/>
        </w:rPr>
        <w:t>清华大学核能与新能源技术研究院</w:t>
      </w:r>
      <w:bookmarkEnd w:id="15"/>
      <w:r w:rsidR="00B74A66">
        <w:rPr>
          <w:rFonts w:hint="eastAsia"/>
          <w:color w:val="000000" w:themeColor="text1"/>
        </w:rPr>
        <w:t>、中核能源科技有限公司</w:t>
      </w:r>
      <w:r>
        <w:rPr>
          <w:rFonts w:hint="eastAsia"/>
          <w:color w:val="000000" w:themeColor="text1"/>
        </w:rPr>
        <w:t>。</w:t>
      </w:r>
    </w:p>
    <w:p w14:paraId="783227F7" w14:textId="77777777" w:rsidR="0025520F" w:rsidRDefault="00231F8D">
      <w:pPr>
        <w:pStyle w:val="affd"/>
        <w:rPr>
          <w:color w:val="000000" w:themeColor="text1"/>
        </w:rPr>
        <w:sectPr w:rsidR="0025520F">
          <w:headerReference w:type="even" r:id="rId8"/>
          <w:headerReference w:type="default" r:id="rId9"/>
          <w:footerReference w:type="even" r:id="rId10"/>
          <w:footerReference w:type="default" r:id="rId11"/>
          <w:pgSz w:w="11906" w:h="16838"/>
          <w:pgMar w:top="567" w:right="1134" w:bottom="1134" w:left="1417" w:header="1418" w:footer="1134" w:gutter="0"/>
          <w:pgNumType w:fmt="upperRoman" w:start="0"/>
          <w:cols w:space="425"/>
          <w:formProt w:val="0"/>
          <w:titlePg/>
          <w:docGrid w:type="lines" w:linePitch="312"/>
        </w:sectPr>
      </w:pPr>
      <w:r>
        <w:rPr>
          <w:rFonts w:hint="eastAsia"/>
          <w:color w:val="000000" w:themeColor="text1"/>
        </w:rPr>
        <w:t>本文件</w:t>
      </w:r>
      <w:r>
        <w:rPr>
          <w:color w:val="000000" w:themeColor="text1"/>
        </w:rPr>
        <w:t>主要起草人员：</w:t>
      </w:r>
      <w:bookmarkStart w:id="16" w:name="_Hlk203639427"/>
      <w:r>
        <w:rPr>
          <w:rFonts w:hint="eastAsia"/>
          <w:color w:val="000000" w:themeColor="text1"/>
        </w:rPr>
        <w:t>张征明</w:t>
      </w:r>
      <w:r>
        <w:rPr>
          <w:color w:val="000000" w:themeColor="text1"/>
        </w:rPr>
        <w:t>、</w:t>
      </w:r>
      <w:r>
        <w:rPr>
          <w:rFonts w:hint="eastAsia"/>
          <w:color w:val="000000" w:themeColor="text1"/>
        </w:rPr>
        <w:t>孙立斌、史力</w:t>
      </w:r>
      <w:r>
        <w:rPr>
          <w:color w:val="000000" w:themeColor="text1"/>
        </w:rPr>
        <w:t>、</w:t>
      </w:r>
      <w:r>
        <w:rPr>
          <w:rFonts w:hint="eastAsia"/>
          <w:color w:val="000000" w:themeColor="text1"/>
        </w:rPr>
        <w:t>张易阳、傅激扬</w:t>
      </w:r>
      <w:bookmarkEnd w:id="16"/>
      <w:r>
        <w:rPr>
          <w:rFonts w:hint="eastAsia"/>
          <w:color w:val="000000" w:themeColor="text1"/>
        </w:rPr>
        <w:t>。</w:t>
      </w:r>
    </w:p>
    <w:p w14:paraId="37342C3C" w14:textId="77777777" w:rsidR="0025520F" w:rsidRDefault="00231F8D">
      <w:pPr>
        <w:pStyle w:val="afffd"/>
      </w:pPr>
      <w:r>
        <w:rPr>
          <w:rFonts w:hint="eastAsia"/>
        </w:rPr>
        <w:lastRenderedPageBreak/>
        <w:t>高温气冷堆核动力厂一回路压力容器主螺栓</w:t>
      </w:r>
      <w:proofErr w:type="gramStart"/>
      <w:r>
        <w:rPr>
          <w:rFonts w:hint="eastAsia"/>
        </w:rPr>
        <w:t>拉伸机</w:t>
      </w:r>
      <w:proofErr w:type="gramEnd"/>
      <w:r>
        <w:rPr>
          <w:rFonts w:hint="eastAsia"/>
        </w:rPr>
        <w:t>及辅助操作设备设计及制造要求</w:t>
      </w:r>
    </w:p>
    <w:p w14:paraId="6791DD3A" w14:textId="77777777" w:rsidR="0025520F" w:rsidRDefault="00231F8D">
      <w:pPr>
        <w:pStyle w:val="a1"/>
        <w:spacing w:before="312" w:after="312"/>
      </w:pPr>
      <w:bookmarkStart w:id="17" w:name="_Toc517867550"/>
      <w:bookmarkStart w:id="18" w:name="_Toc517864614"/>
      <w:bookmarkStart w:id="19" w:name="_Toc517860463"/>
      <w:bookmarkStart w:id="20" w:name="_Toc517864658"/>
      <w:bookmarkStart w:id="21" w:name="_Toc517957212"/>
      <w:bookmarkStart w:id="22" w:name="_Toc1825175727"/>
      <w:r>
        <w:rPr>
          <w:rFonts w:hint="eastAsia"/>
        </w:rPr>
        <w:t>范围</w:t>
      </w:r>
      <w:bookmarkEnd w:id="17"/>
      <w:bookmarkEnd w:id="18"/>
      <w:bookmarkEnd w:id="19"/>
      <w:bookmarkEnd w:id="20"/>
      <w:bookmarkEnd w:id="21"/>
      <w:bookmarkEnd w:id="22"/>
    </w:p>
    <w:p w14:paraId="61E0D555" w14:textId="77777777" w:rsidR="0025520F" w:rsidRDefault="00231F8D">
      <w:pPr>
        <w:pStyle w:val="affd"/>
      </w:pPr>
      <w:r>
        <w:rPr>
          <w:rFonts w:hint="eastAsia"/>
        </w:rPr>
        <w:t>本文件规定了高温气冷堆核电厂反应堆结构总体设计</w:t>
      </w:r>
      <w:bookmarkStart w:id="23" w:name="_Hlk203639582"/>
      <w:r>
        <w:rPr>
          <w:rFonts w:hint="eastAsia"/>
        </w:rPr>
        <w:t>的最低要求</w:t>
      </w:r>
      <w:bookmarkEnd w:id="23"/>
      <w:r>
        <w:rPr>
          <w:rFonts w:hint="eastAsia"/>
        </w:rPr>
        <w:t>。</w:t>
      </w:r>
    </w:p>
    <w:p w14:paraId="096500DD" w14:textId="77777777" w:rsidR="0025520F" w:rsidRDefault="00231F8D">
      <w:pPr>
        <w:pStyle w:val="affd"/>
      </w:pPr>
      <w:r>
        <w:rPr>
          <w:rFonts w:hint="eastAsia"/>
        </w:rPr>
        <w:t>本文件适用于高温气冷堆核电厂反应堆结构总体设计。设计时，除需满足本准则要求外，还需遵循反应堆诸设备（包括：一回路压力容器、堆内陶瓷构件、堆内金属构件、控制棒系统、吸收球系统、热气导管、蒸汽发生器和支承件等）的设计准则。</w:t>
      </w:r>
    </w:p>
    <w:p w14:paraId="02DECFBE" w14:textId="77777777" w:rsidR="0025520F" w:rsidRDefault="00231F8D">
      <w:pPr>
        <w:pStyle w:val="a1"/>
        <w:spacing w:before="312" w:after="312"/>
      </w:pPr>
      <w:bookmarkStart w:id="24" w:name="_Toc517864615"/>
      <w:bookmarkStart w:id="25" w:name="_Toc1072029941"/>
      <w:bookmarkStart w:id="26" w:name="_Toc517864659"/>
      <w:bookmarkStart w:id="27" w:name="_Toc517867551"/>
      <w:bookmarkStart w:id="28" w:name="_Toc517860464"/>
      <w:bookmarkStart w:id="29" w:name="_Toc517957213"/>
      <w:r>
        <w:rPr>
          <w:rFonts w:hint="eastAsia"/>
        </w:rPr>
        <w:t>规范性引用文件</w:t>
      </w:r>
      <w:bookmarkEnd w:id="24"/>
      <w:bookmarkEnd w:id="25"/>
      <w:bookmarkEnd w:id="26"/>
      <w:bookmarkEnd w:id="27"/>
      <w:bookmarkEnd w:id="28"/>
      <w:bookmarkEnd w:id="29"/>
    </w:p>
    <w:p w14:paraId="38D45B01" w14:textId="77777777" w:rsidR="0025520F" w:rsidRDefault="00231F8D">
      <w:pPr>
        <w:pStyle w:val="affd"/>
      </w:pPr>
      <w:bookmarkStart w:id="30" w:name="_Hlk203639607"/>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30"/>
      <w:r>
        <w:rPr>
          <w:rFonts w:hint="eastAsia"/>
        </w:rPr>
        <w:t>。</w:t>
      </w:r>
    </w:p>
    <w:p w14:paraId="45B40AEF" w14:textId="77777777" w:rsidR="0025520F" w:rsidRDefault="00231F8D">
      <w:pPr>
        <w:pStyle w:val="affd"/>
      </w:pPr>
      <w:bookmarkStart w:id="31" w:name="_Toc517864616"/>
      <w:bookmarkStart w:id="32" w:name="_Toc517957214"/>
      <w:bookmarkStart w:id="33" w:name="_Toc517864660"/>
      <w:bookmarkStart w:id="34" w:name="_Toc517867552"/>
      <w:bookmarkStart w:id="35" w:name="_Toc517860465"/>
      <w:r>
        <w:t>HAF 102  《核电厂设计安全规定》</w:t>
      </w:r>
    </w:p>
    <w:p w14:paraId="27144DF0" w14:textId="77777777" w:rsidR="0025520F" w:rsidRDefault="00231F8D">
      <w:pPr>
        <w:pStyle w:val="a1"/>
        <w:spacing w:before="312" w:after="312"/>
      </w:pPr>
      <w:bookmarkStart w:id="36" w:name="_Toc219420057"/>
      <w:r>
        <w:rPr>
          <w:rFonts w:hint="eastAsia"/>
        </w:rPr>
        <w:t>术语和定义</w:t>
      </w:r>
      <w:bookmarkEnd w:id="31"/>
      <w:bookmarkEnd w:id="32"/>
      <w:bookmarkEnd w:id="33"/>
      <w:bookmarkEnd w:id="34"/>
      <w:bookmarkEnd w:id="35"/>
      <w:bookmarkEnd w:id="36"/>
    </w:p>
    <w:p w14:paraId="50FEC53B" w14:textId="77777777" w:rsidR="0025520F" w:rsidRDefault="00231F8D">
      <w:pPr>
        <w:pStyle w:val="affd"/>
        <w:spacing w:before="240" w:line="360" w:lineRule="exact"/>
      </w:pPr>
      <w:r>
        <w:rPr>
          <w:rFonts w:hint="eastAsia"/>
        </w:rPr>
        <w:t>下列术语和定义适用于本文件。</w:t>
      </w:r>
    </w:p>
    <w:p w14:paraId="58E1487E" w14:textId="77777777" w:rsidR="0025520F" w:rsidRDefault="0025520F">
      <w:pPr>
        <w:pStyle w:val="a2"/>
        <w:spacing w:before="156" w:after="156"/>
        <w:ind w:left="0"/>
        <w:rPr>
          <w:rFonts w:ascii="Times New Roman"/>
        </w:rPr>
      </w:pPr>
      <w:bookmarkStart w:id="37" w:name="_Toc433102439"/>
      <w:bookmarkStart w:id="38" w:name="_Toc433102324"/>
      <w:bookmarkStart w:id="39" w:name="_Toc428532809"/>
      <w:bookmarkStart w:id="40" w:name="_Toc425758416"/>
      <w:bookmarkStart w:id="41" w:name="_Toc428955742"/>
    </w:p>
    <w:bookmarkEnd w:id="37"/>
    <w:bookmarkEnd w:id="38"/>
    <w:bookmarkEnd w:id="39"/>
    <w:bookmarkEnd w:id="40"/>
    <w:bookmarkEnd w:id="41"/>
    <w:p w14:paraId="55A6DE5E" w14:textId="77777777" w:rsidR="0025520F" w:rsidRDefault="00231F8D">
      <w:pPr>
        <w:pStyle w:val="a2"/>
        <w:numPr>
          <w:ilvl w:val="0"/>
          <w:numId w:val="0"/>
        </w:numPr>
        <w:spacing w:before="156" w:after="156" w:line="360" w:lineRule="auto"/>
        <w:ind w:firstLineChars="200" w:firstLine="420"/>
        <w:rPr>
          <w:color w:val="000000" w:themeColor="text1"/>
        </w:rPr>
      </w:pPr>
      <w:r>
        <w:rPr>
          <w:rFonts w:hint="eastAsia"/>
          <w:color w:val="000000" w:themeColor="text1"/>
        </w:rPr>
        <w:t xml:space="preserve">载荷   </w:t>
      </w:r>
      <w:r>
        <w:rPr>
          <w:color w:val="000000" w:themeColor="text1"/>
        </w:rPr>
        <w:t>l</w:t>
      </w:r>
      <w:r>
        <w:rPr>
          <w:rFonts w:hint="eastAsia"/>
          <w:color w:val="000000" w:themeColor="text1"/>
        </w:rPr>
        <w:t>oad</w:t>
      </w:r>
    </w:p>
    <w:p w14:paraId="7DAD98C2" w14:textId="77777777" w:rsidR="0025520F" w:rsidRDefault="00231F8D">
      <w:pPr>
        <w:pStyle w:val="affd"/>
        <w:rPr>
          <w:rFonts w:ascii="Times New Roman"/>
        </w:rPr>
      </w:pPr>
      <w:r>
        <w:rPr>
          <w:rFonts w:hint="eastAsia"/>
        </w:rPr>
        <w:t>在反应堆的运行状态下，反应堆设备受到对应的周围介质或结构的作用，如压力、力、力矩、温度、腐蚀、</w:t>
      </w:r>
      <w:proofErr w:type="gramStart"/>
      <w:r>
        <w:rPr>
          <w:rFonts w:hint="eastAsia"/>
        </w:rPr>
        <w:t>浸蚀</w:t>
      </w:r>
      <w:proofErr w:type="gramEnd"/>
      <w:r>
        <w:rPr>
          <w:rFonts w:hint="eastAsia"/>
        </w:rPr>
        <w:t>、辐照等，这些作用需在结构设计中予以考虑。</w:t>
      </w:r>
    </w:p>
    <w:p w14:paraId="07CA37CD" w14:textId="77777777" w:rsidR="0025520F" w:rsidRDefault="0025520F">
      <w:pPr>
        <w:pStyle w:val="a2"/>
        <w:spacing w:before="156" w:after="156"/>
        <w:ind w:left="0"/>
      </w:pPr>
      <w:bookmarkStart w:id="42" w:name="_Toc149838423"/>
      <w:bookmarkStart w:id="43" w:name="_Toc433978990"/>
      <w:bookmarkEnd w:id="42"/>
    </w:p>
    <w:p w14:paraId="73CB678C" w14:textId="77777777" w:rsidR="0025520F" w:rsidRDefault="00231F8D">
      <w:pPr>
        <w:pStyle w:val="a2"/>
        <w:numPr>
          <w:ilvl w:val="0"/>
          <w:numId w:val="0"/>
        </w:numPr>
        <w:spacing w:before="156" w:after="156" w:line="360" w:lineRule="auto"/>
        <w:ind w:firstLineChars="200" w:firstLine="420"/>
        <w:rPr>
          <w:color w:val="000000" w:themeColor="text1"/>
        </w:rPr>
      </w:pPr>
      <w:r>
        <w:rPr>
          <w:rFonts w:hint="eastAsia"/>
          <w:color w:val="000000" w:themeColor="text1"/>
        </w:rPr>
        <w:t xml:space="preserve">工况   </w:t>
      </w:r>
      <w:r>
        <w:rPr>
          <w:color w:val="000000" w:themeColor="text1"/>
        </w:rPr>
        <w:t>o</w:t>
      </w:r>
      <w:r>
        <w:rPr>
          <w:rFonts w:hint="eastAsia"/>
          <w:color w:val="000000" w:themeColor="text1"/>
        </w:rPr>
        <w:t xml:space="preserve">peration </w:t>
      </w:r>
      <w:r>
        <w:rPr>
          <w:color w:val="000000" w:themeColor="text1"/>
        </w:rPr>
        <w:t>c</w:t>
      </w:r>
      <w:r>
        <w:rPr>
          <w:rFonts w:hint="eastAsia"/>
          <w:color w:val="000000" w:themeColor="text1"/>
        </w:rPr>
        <w:t>ondition</w:t>
      </w:r>
    </w:p>
    <w:bookmarkEnd w:id="43"/>
    <w:p w14:paraId="5D5048EA" w14:textId="77777777" w:rsidR="0025520F" w:rsidRDefault="00231F8D">
      <w:pPr>
        <w:pStyle w:val="affd"/>
        <w:autoSpaceDE/>
        <w:autoSpaceDN/>
      </w:pPr>
      <w:r>
        <w:rPr>
          <w:rFonts w:ascii="Times New Roman" w:hint="eastAsia"/>
        </w:rPr>
        <w:t>根据核能动力装置的载荷及保证不同的安全裕度而划分的不同的运行状态。</w:t>
      </w:r>
    </w:p>
    <w:p w14:paraId="6C0A17F1" w14:textId="77777777" w:rsidR="0025520F" w:rsidRDefault="0025520F">
      <w:pPr>
        <w:pStyle w:val="a2"/>
        <w:spacing w:before="156" w:after="156"/>
        <w:ind w:left="210" w:hanging="210"/>
      </w:pPr>
    </w:p>
    <w:p w14:paraId="5A4557B5" w14:textId="77777777" w:rsidR="0025520F" w:rsidRDefault="00231F8D">
      <w:pPr>
        <w:pStyle w:val="a2"/>
        <w:numPr>
          <w:ilvl w:val="0"/>
          <w:numId w:val="0"/>
        </w:numPr>
        <w:spacing w:before="156" w:after="156"/>
        <w:ind w:leftChars="200" w:left="420" w:firstLineChars="104" w:firstLine="218"/>
        <w:rPr>
          <w:color w:val="000000" w:themeColor="text1"/>
        </w:rPr>
      </w:pPr>
      <w:r>
        <w:rPr>
          <w:color w:val="000000" w:themeColor="text1"/>
        </w:rPr>
        <w:t>在役检查</w:t>
      </w:r>
      <w:r>
        <w:rPr>
          <w:rFonts w:hint="eastAsia"/>
          <w:color w:val="000000" w:themeColor="text1"/>
        </w:rPr>
        <w:t xml:space="preserve">   </w:t>
      </w:r>
      <w:r>
        <w:rPr>
          <w:color w:val="000000" w:themeColor="text1"/>
        </w:rPr>
        <w:t>in-service inspection</w:t>
      </w:r>
    </w:p>
    <w:p w14:paraId="3142AEF8" w14:textId="77777777" w:rsidR="0025520F" w:rsidRDefault="00231F8D">
      <w:pPr>
        <w:ind w:firstLineChars="200" w:firstLine="420"/>
      </w:pPr>
      <w:r>
        <w:t>为确保</w:t>
      </w:r>
      <w:r>
        <w:rPr>
          <w:rFonts w:hint="eastAsia"/>
        </w:rPr>
        <w:t>核电厂运行期间</w:t>
      </w:r>
      <w:r>
        <w:t>核安全相关设备的结构和承压边界的完整性</w:t>
      </w:r>
      <w:r>
        <w:rPr>
          <w:rFonts w:hint="eastAsia"/>
        </w:rPr>
        <w:t>而</w:t>
      </w:r>
      <w:r>
        <w:t>进行的一系列检验和试验</w:t>
      </w:r>
      <w:r>
        <w:rPr>
          <w:rFonts w:hint="eastAsia"/>
        </w:rPr>
        <w:t>。</w:t>
      </w:r>
    </w:p>
    <w:p w14:paraId="663F2F5E" w14:textId="77777777" w:rsidR="0025520F" w:rsidRDefault="00231F8D">
      <w:pPr>
        <w:pStyle w:val="a1"/>
        <w:spacing w:before="312" w:after="312"/>
      </w:pPr>
      <w:bookmarkStart w:id="44" w:name="_Toc563476100"/>
      <w:r>
        <w:rPr>
          <w:rFonts w:hint="eastAsia"/>
          <w:szCs w:val="21"/>
        </w:rPr>
        <w:t>一般要求</w:t>
      </w:r>
      <w:bookmarkEnd w:id="44"/>
    </w:p>
    <w:p w14:paraId="210909BC" w14:textId="77777777" w:rsidR="0025520F" w:rsidRDefault="00231F8D">
      <w:pPr>
        <w:pStyle w:val="affd"/>
      </w:pPr>
      <w:r>
        <w:rPr>
          <w:rFonts w:hint="eastAsia"/>
        </w:rPr>
        <w:lastRenderedPageBreak/>
        <w:t>本准则中所涉及的运行及事故工况遵照《高温气冷堆核电厂工况分类》的规定。反应堆</w:t>
      </w:r>
      <w:proofErr w:type="gramStart"/>
      <w:r>
        <w:rPr>
          <w:rFonts w:hint="eastAsia"/>
        </w:rPr>
        <w:t>诸设备</w:t>
      </w:r>
      <w:proofErr w:type="gramEnd"/>
      <w:r>
        <w:rPr>
          <w:rFonts w:hint="eastAsia"/>
        </w:rPr>
        <w:t>对各类运行及事故工况还应满足下列要求：</w:t>
      </w:r>
    </w:p>
    <w:p w14:paraId="72C729F1" w14:textId="77777777" w:rsidR="0025520F" w:rsidRDefault="00231F8D">
      <w:pPr>
        <w:pStyle w:val="ad"/>
        <w:numPr>
          <w:ilvl w:val="0"/>
          <w:numId w:val="11"/>
        </w:numPr>
        <w:ind w:hanging="420"/>
      </w:pPr>
      <w:r>
        <w:rPr>
          <w:rFonts w:hint="eastAsia"/>
        </w:rPr>
        <w:t>在工况Ⅰ和Ⅱ下（含SL-1地震载荷），反应堆</w:t>
      </w:r>
      <w:proofErr w:type="gramStart"/>
      <w:r>
        <w:rPr>
          <w:rFonts w:hint="eastAsia"/>
        </w:rPr>
        <w:t>诸设备</w:t>
      </w:r>
      <w:proofErr w:type="gramEnd"/>
      <w:r>
        <w:rPr>
          <w:rFonts w:hint="eastAsia"/>
        </w:rPr>
        <w:t>不应发生渐进性变形失效和疲劳失效。</w:t>
      </w:r>
    </w:p>
    <w:p w14:paraId="5DA0E8AD" w14:textId="77777777" w:rsidR="0025520F" w:rsidRDefault="00231F8D">
      <w:pPr>
        <w:pStyle w:val="ad"/>
        <w:numPr>
          <w:ilvl w:val="0"/>
          <w:numId w:val="11"/>
        </w:numPr>
        <w:ind w:hanging="420"/>
      </w:pPr>
      <w:r>
        <w:rPr>
          <w:rFonts w:hint="eastAsia"/>
        </w:rPr>
        <w:t>在工况Ⅲ下（含SL-1及SL-2地震载荷），反应堆</w:t>
      </w:r>
      <w:proofErr w:type="gramStart"/>
      <w:r>
        <w:rPr>
          <w:rFonts w:hint="eastAsia"/>
        </w:rPr>
        <w:t>诸设备</w:t>
      </w:r>
      <w:proofErr w:type="gramEnd"/>
      <w:r>
        <w:rPr>
          <w:rFonts w:hint="eastAsia"/>
        </w:rPr>
        <w:t>不应发生渐进性变形失效和疲劳失效，但允许反应堆停堆，使反应堆达到次临界。</w:t>
      </w:r>
    </w:p>
    <w:p w14:paraId="010B24DF" w14:textId="77777777" w:rsidR="0025520F" w:rsidRDefault="00231F8D">
      <w:pPr>
        <w:pStyle w:val="ad"/>
        <w:numPr>
          <w:ilvl w:val="0"/>
          <w:numId w:val="11"/>
        </w:numPr>
        <w:ind w:hanging="420"/>
      </w:pPr>
      <w:r>
        <w:rPr>
          <w:rFonts w:hint="eastAsia"/>
        </w:rPr>
        <w:t>在工况Ⅳ下（含SL-1及SL-2地震载荷），反应堆金属构件可出现局部的塑性变形，</w:t>
      </w:r>
      <w:proofErr w:type="gramStart"/>
      <w:r>
        <w:rPr>
          <w:rFonts w:hint="eastAsia"/>
        </w:rPr>
        <w:t>陶瓷堆体结构</w:t>
      </w:r>
      <w:proofErr w:type="gramEnd"/>
      <w:r>
        <w:rPr>
          <w:rFonts w:hint="eastAsia"/>
        </w:rPr>
        <w:t>应保证绝大部分控制棒能够插入反射层，并保证堆芯的正常冷却条件。</w:t>
      </w:r>
    </w:p>
    <w:p w14:paraId="23922155" w14:textId="77777777" w:rsidR="0025520F" w:rsidRDefault="00231F8D">
      <w:pPr>
        <w:pStyle w:val="ad"/>
        <w:numPr>
          <w:ilvl w:val="0"/>
          <w:numId w:val="11"/>
        </w:numPr>
        <w:ind w:hanging="420"/>
      </w:pPr>
      <w:r>
        <w:rPr>
          <w:rFonts w:hint="eastAsia"/>
        </w:rPr>
        <w:t>在工况Ⅴ下（含SL-1及SL-2地震载荷），反应堆</w:t>
      </w:r>
      <w:proofErr w:type="gramStart"/>
      <w:r>
        <w:rPr>
          <w:rFonts w:hint="eastAsia"/>
        </w:rPr>
        <w:t>诸设备</w:t>
      </w:r>
      <w:proofErr w:type="gramEnd"/>
      <w:r>
        <w:rPr>
          <w:rFonts w:hint="eastAsia"/>
        </w:rPr>
        <w:t>不应发生弹塑性失稳失效和过度的变形；保证大部分控制棒能够插入反射层，使反应堆达到次临界，并保持适当的余热冷却条件。</w:t>
      </w:r>
    </w:p>
    <w:p w14:paraId="381574B3" w14:textId="77777777" w:rsidR="0025520F" w:rsidRDefault="00231F8D">
      <w:pPr>
        <w:pStyle w:val="affd"/>
        <w:spacing w:line="360" w:lineRule="atLeast"/>
      </w:pPr>
      <w:r>
        <w:rPr>
          <w:rFonts w:hint="eastAsia"/>
        </w:rPr>
        <w:t>考虑在堆的全寿期内，以上地震载荷的循环次数为：SL-1发生5次，SL-2发生1次，每次地震发生的载荷循环次数为10次。地震载荷的幅值按实际计算得到的部件核算点处的最大地震响应值。</w:t>
      </w:r>
    </w:p>
    <w:p w14:paraId="2A2ACC8F" w14:textId="77777777" w:rsidR="0025520F" w:rsidRDefault="00231F8D">
      <w:pPr>
        <w:pStyle w:val="a1"/>
        <w:spacing w:before="312" w:after="312"/>
      </w:pPr>
      <w:bookmarkStart w:id="45" w:name="_Toc2087413077"/>
      <w:r>
        <w:rPr>
          <w:rFonts w:hint="eastAsia"/>
        </w:rPr>
        <w:t>接口分界</w:t>
      </w:r>
      <w:bookmarkEnd w:id="45"/>
    </w:p>
    <w:p w14:paraId="46F65DB8" w14:textId="77777777" w:rsidR="0025520F" w:rsidRDefault="00231F8D">
      <w:pPr>
        <w:pStyle w:val="affd"/>
      </w:pPr>
      <w:r>
        <w:rPr>
          <w:rFonts w:hint="eastAsia"/>
        </w:rPr>
        <w:t>反应堆压力边界部件与堆外部件连接时应以下列规定为分界。</w:t>
      </w:r>
    </w:p>
    <w:p w14:paraId="74763887" w14:textId="77777777" w:rsidR="0025520F" w:rsidRDefault="00231F8D">
      <w:pPr>
        <w:pStyle w:val="a2"/>
        <w:spacing w:before="156" w:after="156"/>
        <w:ind w:left="0"/>
      </w:pPr>
      <w:r>
        <w:rPr>
          <w:rFonts w:hint="eastAsia"/>
        </w:rPr>
        <w:t>与外管道连接时：</w:t>
      </w:r>
    </w:p>
    <w:p w14:paraId="76638754" w14:textId="77777777" w:rsidR="0025520F" w:rsidRDefault="00231F8D">
      <w:pPr>
        <w:pStyle w:val="ad"/>
        <w:numPr>
          <w:ilvl w:val="0"/>
          <w:numId w:val="12"/>
        </w:numPr>
        <w:ind w:hanging="420"/>
      </w:pPr>
      <w:r>
        <w:rPr>
          <w:rFonts w:hint="eastAsia"/>
        </w:rPr>
        <w:t>若用焊接连接，应以第一个环焊缝接头为分界，但不包括此焊缝，该焊缝归属于所连接的外管道；</w:t>
      </w:r>
    </w:p>
    <w:p w14:paraId="634B9E1F" w14:textId="77777777" w:rsidR="0025520F" w:rsidRDefault="00231F8D">
      <w:pPr>
        <w:pStyle w:val="ad"/>
        <w:numPr>
          <w:ilvl w:val="0"/>
          <w:numId w:val="12"/>
        </w:numPr>
        <w:ind w:hanging="420"/>
      </w:pPr>
      <w:r>
        <w:rPr>
          <w:rFonts w:hint="eastAsia"/>
        </w:rPr>
        <w:t>若用螺纹连接，应以第一个螺纹接头为分界；</w:t>
      </w:r>
    </w:p>
    <w:p w14:paraId="66FDE7CC" w14:textId="77777777" w:rsidR="0025520F" w:rsidRDefault="00231F8D">
      <w:pPr>
        <w:pStyle w:val="ad"/>
        <w:numPr>
          <w:ilvl w:val="0"/>
          <w:numId w:val="12"/>
        </w:numPr>
        <w:ind w:hanging="420"/>
      </w:pPr>
      <w:r>
        <w:rPr>
          <w:rFonts w:hint="eastAsia"/>
        </w:rPr>
        <w:t>若用法兰连接，应以第一个法兰面为分界，但不包括螺栓连接件。</w:t>
      </w:r>
    </w:p>
    <w:p w14:paraId="35B26376" w14:textId="77777777" w:rsidR="0025520F" w:rsidRDefault="00231F8D">
      <w:pPr>
        <w:pStyle w:val="a2"/>
        <w:spacing w:before="156" w:after="156"/>
        <w:ind w:left="0"/>
      </w:pPr>
      <w:r>
        <w:rPr>
          <w:rFonts w:hint="eastAsia"/>
        </w:rPr>
        <w:t>若非承压部件直接与反应堆压力边界部件外表面焊接，此焊缝应包括在分界内。</w:t>
      </w:r>
    </w:p>
    <w:p w14:paraId="179E845B" w14:textId="77777777" w:rsidR="0025520F" w:rsidRDefault="00231F8D">
      <w:pPr>
        <w:pStyle w:val="a2"/>
        <w:spacing w:before="156" w:after="156"/>
        <w:ind w:left="0"/>
        <w:rPr>
          <w:rFonts w:eastAsia="宋体"/>
        </w:rPr>
      </w:pPr>
      <w:r>
        <w:rPr>
          <w:rFonts w:hint="eastAsia"/>
        </w:rPr>
        <w:t>反应堆</w:t>
      </w:r>
      <w:proofErr w:type="gramStart"/>
      <w:r>
        <w:rPr>
          <w:rFonts w:hint="eastAsia"/>
        </w:rPr>
        <w:t>诸设备</w:t>
      </w:r>
      <w:proofErr w:type="gramEnd"/>
      <w:r>
        <w:rPr>
          <w:rFonts w:hint="eastAsia"/>
        </w:rPr>
        <w:t>之间的分界也可按本原则进行。</w:t>
      </w:r>
    </w:p>
    <w:p w14:paraId="37484C69" w14:textId="77777777" w:rsidR="0025520F" w:rsidRDefault="00231F8D">
      <w:pPr>
        <w:pStyle w:val="a1"/>
        <w:spacing w:before="312" w:after="312"/>
      </w:pPr>
      <w:bookmarkStart w:id="46" w:name="_Toc1858727747"/>
      <w:r>
        <w:rPr>
          <w:rFonts w:hint="eastAsia"/>
        </w:rPr>
        <w:t>设计</w:t>
      </w:r>
      <w:bookmarkEnd w:id="46"/>
    </w:p>
    <w:p w14:paraId="6BA81835" w14:textId="77777777" w:rsidR="0025520F" w:rsidRDefault="00231F8D">
      <w:pPr>
        <w:pStyle w:val="a2"/>
        <w:spacing w:before="156" w:after="156"/>
        <w:ind w:left="0"/>
      </w:pPr>
      <w:r>
        <w:rPr>
          <w:rFonts w:hint="eastAsia"/>
        </w:rPr>
        <w:t>设计压力和设计温度</w:t>
      </w:r>
    </w:p>
    <w:p w14:paraId="2AB58EB5" w14:textId="77777777" w:rsidR="0025520F" w:rsidRDefault="00231F8D">
      <w:pPr>
        <w:pStyle w:val="affd"/>
      </w:pPr>
      <w:r>
        <w:rPr>
          <w:rFonts w:hint="eastAsia"/>
        </w:rPr>
        <w:t>设计工况是以反应堆处在工况Ⅰ和工况Ⅱ下所承受的最高载荷来确定的不随时间变化的一种工况。</w:t>
      </w:r>
    </w:p>
    <w:p w14:paraId="12308D80" w14:textId="77777777" w:rsidR="0025520F" w:rsidRDefault="00231F8D">
      <w:pPr>
        <w:pStyle w:val="affff2"/>
        <w:ind w:left="0"/>
      </w:pPr>
      <w:r>
        <w:t>设计压力</w:t>
      </w:r>
    </w:p>
    <w:p w14:paraId="6BB10F82" w14:textId="77777777" w:rsidR="0025520F" w:rsidRDefault="00231F8D">
      <w:pPr>
        <w:ind w:firstLineChars="200" w:firstLine="420"/>
      </w:pPr>
      <w:r>
        <w:rPr>
          <w:rFonts w:hint="eastAsia"/>
        </w:rPr>
        <w:t>反应堆结构设计的设计内压或设计</w:t>
      </w:r>
      <w:proofErr w:type="gramStart"/>
      <w:r>
        <w:rPr>
          <w:rFonts w:hint="eastAsia"/>
        </w:rPr>
        <w:t>外压应不</w:t>
      </w:r>
      <w:proofErr w:type="gramEnd"/>
      <w:r>
        <w:rPr>
          <w:rFonts w:hint="eastAsia"/>
        </w:rPr>
        <w:t>低于反应堆处在工况Ⅰ和工况Ⅱ下可能出现的最大内外压差，并应包括允许的压力波动和控制系统误差等的影响。</w:t>
      </w:r>
    </w:p>
    <w:p w14:paraId="02ACEE48" w14:textId="77777777" w:rsidR="0025520F" w:rsidRDefault="00231F8D">
      <w:pPr>
        <w:pStyle w:val="affff2"/>
        <w:ind w:left="0"/>
      </w:pPr>
      <w:r>
        <w:t>设计温度</w:t>
      </w:r>
    </w:p>
    <w:p w14:paraId="3F3E03F7" w14:textId="77777777" w:rsidR="0025520F" w:rsidRDefault="00231F8D">
      <w:pPr>
        <w:ind w:firstLineChars="200" w:firstLine="420"/>
      </w:pPr>
      <w:r>
        <w:rPr>
          <w:rFonts w:hint="eastAsia"/>
        </w:rPr>
        <w:t>反应堆结构设计温度应不低于反应堆处在工况</w:t>
      </w:r>
      <w:r>
        <w:rPr>
          <w:rFonts w:hint="eastAsia"/>
        </w:rPr>
        <w:t>I</w:t>
      </w:r>
      <w:r>
        <w:rPr>
          <w:rFonts w:hint="eastAsia"/>
        </w:rPr>
        <w:t>和工况Ⅱ时各设备的整个厚度上可能出现的最高平均温度，并宜考虑可能存在的内热源和控制系统的误差等的影响而留有适当的裕量。</w:t>
      </w:r>
    </w:p>
    <w:p w14:paraId="492B0355" w14:textId="77777777" w:rsidR="0025520F" w:rsidRDefault="00231F8D">
      <w:pPr>
        <w:pStyle w:val="a2"/>
        <w:spacing w:before="156" w:after="156"/>
        <w:ind w:left="0"/>
      </w:pPr>
      <w:r>
        <w:rPr>
          <w:rFonts w:hint="eastAsia"/>
        </w:rPr>
        <w:t>需考虑的载荷</w:t>
      </w:r>
    </w:p>
    <w:p w14:paraId="122BB43D" w14:textId="77777777" w:rsidR="0025520F" w:rsidRDefault="00231F8D">
      <w:pPr>
        <w:ind w:firstLineChars="200" w:firstLine="420"/>
      </w:pPr>
      <w:r>
        <w:rPr>
          <w:rFonts w:hint="eastAsia"/>
        </w:rPr>
        <w:lastRenderedPageBreak/>
        <w:t>在设计反应堆结构时宜考虑的载荷包括但不限于：</w:t>
      </w:r>
    </w:p>
    <w:p w14:paraId="31AE5244" w14:textId="77777777" w:rsidR="0025520F" w:rsidRDefault="00231F8D">
      <w:pPr>
        <w:pStyle w:val="ad"/>
        <w:numPr>
          <w:ilvl w:val="0"/>
          <w:numId w:val="13"/>
        </w:numPr>
        <w:ind w:hanging="420"/>
      </w:pPr>
      <w:r>
        <w:rPr>
          <w:rFonts w:hint="eastAsia"/>
        </w:rPr>
        <w:t>内压和外压；</w:t>
      </w:r>
    </w:p>
    <w:p w14:paraId="0796C6D6" w14:textId="77777777" w:rsidR="0025520F" w:rsidRDefault="00231F8D">
      <w:pPr>
        <w:pStyle w:val="ad"/>
        <w:numPr>
          <w:ilvl w:val="0"/>
          <w:numId w:val="13"/>
        </w:numPr>
        <w:ind w:hanging="420"/>
      </w:pPr>
      <w:r>
        <w:rPr>
          <w:rFonts w:hint="eastAsia"/>
        </w:rPr>
        <w:t>冲击载荷，包括快速压力波动；</w:t>
      </w:r>
    </w:p>
    <w:p w14:paraId="3E56A1D6" w14:textId="77777777" w:rsidR="0025520F" w:rsidRDefault="00231F8D">
      <w:pPr>
        <w:pStyle w:val="ad"/>
        <w:numPr>
          <w:ilvl w:val="0"/>
          <w:numId w:val="13"/>
        </w:numPr>
        <w:ind w:hanging="420"/>
      </w:pPr>
      <w:r>
        <w:rPr>
          <w:rFonts w:hint="eastAsia"/>
        </w:rPr>
        <w:t>设备自重，以及运行或试验时设备正常内容物的重量</w:t>
      </w:r>
    </w:p>
    <w:p w14:paraId="1C8B5B06" w14:textId="77777777" w:rsidR="0025520F" w:rsidRDefault="00231F8D">
      <w:pPr>
        <w:pStyle w:val="ad"/>
        <w:numPr>
          <w:ilvl w:val="0"/>
          <w:numId w:val="13"/>
        </w:numPr>
        <w:ind w:hanging="420"/>
      </w:pPr>
      <w:r>
        <w:rPr>
          <w:rFonts w:hint="eastAsia"/>
        </w:rPr>
        <w:t>堆内流体的静压力以及流体流动形成的动压力；</w:t>
      </w:r>
    </w:p>
    <w:p w14:paraId="292FA536" w14:textId="77777777" w:rsidR="0025520F" w:rsidRDefault="00231F8D">
      <w:pPr>
        <w:pStyle w:val="ad"/>
        <w:numPr>
          <w:ilvl w:val="0"/>
          <w:numId w:val="13"/>
        </w:numPr>
        <w:ind w:hanging="420"/>
      </w:pPr>
      <w:r>
        <w:rPr>
          <w:rFonts w:hint="eastAsia"/>
        </w:rPr>
        <w:t>反应堆设备之间，以及反应堆和其他设备、管道等之间的作用力；</w:t>
      </w:r>
    </w:p>
    <w:p w14:paraId="23E1CCA7" w14:textId="77777777" w:rsidR="0025520F" w:rsidRDefault="00231F8D">
      <w:pPr>
        <w:pStyle w:val="ad"/>
        <w:numPr>
          <w:ilvl w:val="0"/>
          <w:numId w:val="13"/>
        </w:numPr>
        <w:ind w:hanging="420"/>
      </w:pPr>
      <w:r>
        <w:rPr>
          <w:rFonts w:hint="eastAsia"/>
        </w:rPr>
        <w:t>地震等产生的振动和冲击载荷；</w:t>
      </w:r>
    </w:p>
    <w:p w14:paraId="2874F9D0" w14:textId="77777777" w:rsidR="0025520F" w:rsidRDefault="00231F8D">
      <w:pPr>
        <w:pStyle w:val="ad"/>
        <w:numPr>
          <w:ilvl w:val="0"/>
          <w:numId w:val="13"/>
        </w:numPr>
        <w:ind w:hanging="420"/>
      </w:pPr>
      <w:r>
        <w:rPr>
          <w:rFonts w:hint="eastAsia"/>
        </w:rPr>
        <w:t>事故条件下（如管道破裂）产生的冲击力；</w:t>
      </w:r>
    </w:p>
    <w:p w14:paraId="2AA05D8E" w14:textId="77777777" w:rsidR="0025520F" w:rsidRDefault="00231F8D">
      <w:pPr>
        <w:pStyle w:val="ad"/>
        <w:numPr>
          <w:ilvl w:val="0"/>
          <w:numId w:val="13"/>
        </w:numPr>
        <w:ind w:hanging="420"/>
      </w:pPr>
      <w:r>
        <w:rPr>
          <w:rFonts w:hint="eastAsia"/>
        </w:rPr>
        <w:t>支承</w:t>
      </w:r>
      <w:proofErr w:type="gramStart"/>
      <w:r>
        <w:rPr>
          <w:rFonts w:hint="eastAsia"/>
        </w:rPr>
        <w:t>件产生</w:t>
      </w:r>
      <w:proofErr w:type="gramEnd"/>
      <w:r>
        <w:rPr>
          <w:rFonts w:hint="eastAsia"/>
        </w:rPr>
        <w:t>的反作用力；</w:t>
      </w:r>
    </w:p>
    <w:p w14:paraId="6531E4E1" w14:textId="77777777" w:rsidR="0025520F" w:rsidRDefault="00231F8D">
      <w:pPr>
        <w:pStyle w:val="ad"/>
        <w:numPr>
          <w:ilvl w:val="0"/>
          <w:numId w:val="13"/>
        </w:numPr>
        <w:ind w:hanging="420"/>
      </w:pPr>
      <w:r>
        <w:rPr>
          <w:rFonts w:hint="eastAsia"/>
        </w:rPr>
        <w:t>热效应、温度梯度和</w:t>
      </w:r>
      <w:proofErr w:type="gramStart"/>
      <w:r>
        <w:rPr>
          <w:rFonts w:hint="eastAsia"/>
        </w:rPr>
        <w:t>热胀差引起</w:t>
      </w:r>
      <w:proofErr w:type="gramEnd"/>
      <w:r>
        <w:rPr>
          <w:rFonts w:hint="eastAsia"/>
        </w:rPr>
        <w:t>的载荷；</w:t>
      </w:r>
    </w:p>
    <w:p w14:paraId="462672D7" w14:textId="77777777" w:rsidR="0025520F" w:rsidRDefault="00231F8D">
      <w:pPr>
        <w:pStyle w:val="ad"/>
        <w:numPr>
          <w:ilvl w:val="0"/>
          <w:numId w:val="13"/>
        </w:numPr>
        <w:ind w:hanging="420"/>
      </w:pPr>
      <w:r>
        <w:rPr>
          <w:rFonts w:hint="eastAsia"/>
        </w:rPr>
        <w:t>引起载荷的其他因素。</w:t>
      </w:r>
    </w:p>
    <w:p w14:paraId="4C10798C" w14:textId="77777777" w:rsidR="0025520F" w:rsidRDefault="00231F8D">
      <w:pPr>
        <w:pStyle w:val="a2"/>
        <w:spacing w:before="156" w:after="156"/>
        <w:ind w:left="0"/>
      </w:pPr>
      <w:r>
        <w:rPr>
          <w:rFonts w:hint="eastAsia"/>
        </w:rPr>
        <w:t>分析法设计</w:t>
      </w:r>
    </w:p>
    <w:p w14:paraId="2F13C8BA" w14:textId="77777777" w:rsidR="0025520F" w:rsidRDefault="00231F8D">
      <w:pPr>
        <w:pStyle w:val="affff2"/>
        <w:ind w:left="0"/>
        <w:rPr>
          <w:szCs w:val="20"/>
        </w:rPr>
      </w:pPr>
      <w:bookmarkStart w:id="47" w:name="_Toc429292984"/>
      <w:r>
        <w:rPr>
          <w:rFonts w:hint="eastAsia"/>
          <w:szCs w:val="20"/>
        </w:rPr>
        <w:t>金属部件</w:t>
      </w:r>
      <w:bookmarkEnd w:id="47"/>
    </w:p>
    <w:p w14:paraId="25084B62" w14:textId="77777777" w:rsidR="0025520F" w:rsidRDefault="00231F8D">
      <w:pPr>
        <w:pStyle w:val="ad"/>
        <w:numPr>
          <w:ilvl w:val="0"/>
          <w:numId w:val="14"/>
        </w:numPr>
        <w:ind w:hanging="420"/>
      </w:pPr>
      <w:r>
        <w:rPr>
          <w:rFonts w:hint="eastAsia"/>
        </w:rPr>
        <w:t xml:space="preserve"> 反应堆的重要结构（如承压边界部件或其它承载部件）应采用分析法设计。采用最大剪切应力强度理论及其对应的限值条件，在设计工况及各种工况下，各类应力应在规定的限值内。</w:t>
      </w:r>
    </w:p>
    <w:p w14:paraId="4A40B0D6" w14:textId="77777777" w:rsidR="0025520F" w:rsidRDefault="00231F8D">
      <w:pPr>
        <w:pStyle w:val="ad"/>
        <w:numPr>
          <w:ilvl w:val="0"/>
          <w:numId w:val="14"/>
        </w:numPr>
        <w:ind w:hanging="420"/>
      </w:pPr>
      <w:r>
        <w:rPr>
          <w:rFonts w:hint="eastAsia"/>
        </w:rPr>
        <w:t>应根据适用的规范和标准确定设计工况及各类工况下的使用限制条件，同时还应考虑特殊应力限值，如纯剪切应力等。</w:t>
      </w:r>
    </w:p>
    <w:p w14:paraId="2ECCF176" w14:textId="77777777" w:rsidR="0025520F" w:rsidRDefault="00231F8D">
      <w:pPr>
        <w:pStyle w:val="ad"/>
        <w:numPr>
          <w:ilvl w:val="0"/>
          <w:numId w:val="14"/>
        </w:numPr>
        <w:ind w:hanging="420"/>
      </w:pPr>
      <w:r>
        <w:rPr>
          <w:rFonts w:hint="eastAsia"/>
        </w:rPr>
        <w:t>对于一回路压力边界部件，应根据实际使用载荷和循环次数进行疲劳分析，应考虑热应力棘轮效应，应采用弹性断裂力学原理评定或防止脆性断裂。</w:t>
      </w:r>
    </w:p>
    <w:p w14:paraId="07580F0B" w14:textId="77777777" w:rsidR="0025520F" w:rsidRDefault="00231F8D">
      <w:pPr>
        <w:pStyle w:val="ad"/>
        <w:numPr>
          <w:ilvl w:val="0"/>
          <w:numId w:val="14"/>
        </w:numPr>
        <w:ind w:hanging="420"/>
      </w:pPr>
      <w:r>
        <w:rPr>
          <w:rFonts w:hint="eastAsia"/>
        </w:rPr>
        <w:t>应对反应堆结构的变形进行分析，尤其应对法兰在压力、温度载荷作用下的变形进行详细分析，以保证压力边界有良好的密封性能。</w:t>
      </w:r>
    </w:p>
    <w:p w14:paraId="5845BDEF" w14:textId="77777777" w:rsidR="0025520F" w:rsidRDefault="00231F8D">
      <w:pPr>
        <w:pStyle w:val="ad"/>
        <w:numPr>
          <w:ilvl w:val="0"/>
          <w:numId w:val="14"/>
        </w:numPr>
        <w:ind w:hanging="420"/>
      </w:pPr>
      <w:r>
        <w:rPr>
          <w:rFonts w:hint="eastAsia"/>
        </w:rPr>
        <w:t>对于长时间工作在高温（低合金钢部件超过3750</w:t>
      </w:r>
      <w:r>
        <w:rPr>
          <w:rFonts w:hint="eastAsia"/>
        </w:rPr>
        <w:sym w:font="Symbol" w:char="F0B0"/>
      </w:r>
      <w:r>
        <w:rPr>
          <w:rFonts w:hint="eastAsia"/>
        </w:rPr>
        <w:t>C、不锈钢或镍基合金部件超过425</w:t>
      </w:r>
      <w:r>
        <w:rPr>
          <w:rFonts w:hint="eastAsia"/>
        </w:rPr>
        <w:sym w:font="Symbol" w:char="F0B0"/>
      </w:r>
      <w:r>
        <w:rPr>
          <w:rFonts w:hint="eastAsia"/>
        </w:rPr>
        <w:t>C）以上的部件，要进行高温蠕变和高温疲劳分析，并满足高温蠕变和高温疲劳的强度设计要求。</w:t>
      </w:r>
    </w:p>
    <w:p w14:paraId="069468B9" w14:textId="77777777" w:rsidR="0025520F" w:rsidRDefault="00231F8D">
      <w:pPr>
        <w:pStyle w:val="a1"/>
        <w:numPr>
          <w:ilvl w:val="0"/>
          <w:numId w:val="0"/>
        </w:numPr>
        <w:spacing w:before="312" w:after="312"/>
      </w:pPr>
      <w:r>
        <w:t xml:space="preserve">6.3.2  </w:t>
      </w:r>
      <w:r>
        <w:rPr>
          <w:rFonts w:hint="eastAsia"/>
        </w:rPr>
        <w:t>陶瓷部件</w:t>
      </w:r>
    </w:p>
    <w:p w14:paraId="06822E18" w14:textId="77777777" w:rsidR="0025520F" w:rsidRDefault="00231F8D">
      <w:pPr>
        <w:autoSpaceDN w:val="0"/>
        <w:spacing w:line="360" w:lineRule="auto"/>
        <w:ind w:left="420"/>
      </w:pPr>
      <w:r>
        <w:t>陶瓷部件</w:t>
      </w:r>
      <w:r>
        <w:rPr>
          <w:rFonts w:hint="eastAsia"/>
        </w:rPr>
        <w:t>的</w:t>
      </w:r>
      <w:r>
        <w:t>设计要求参照《高温气冷堆核电厂陶瓷堆芯支承结构设计准则》有关规定。</w:t>
      </w:r>
    </w:p>
    <w:p w14:paraId="4B2EFAA0" w14:textId="77777777" w:rsidR="0025520F" w:rsidRDefault="00231F8D">
      <w:pPr>
        <w:pStyle w:val="a1"/>
        <w:spacing w:before="312" w:after="312"/>
      </w:pPr>
      <w:bookmarkStart w:id="48" w:name="_Toc1581398770"/>
      <w:bookmarkStart w:id="49" w:name="_Toc2059704439"/>
      <w:bookmarkStart w:id="50" w:name="_Toc192630920"/>
      <w:r>
        <w:rPr>
          <w:rFonts w:hint="eastAsia"/>
        </w:rPr>
        <w:t>反应堆机构材料选择</w:t>
      </w:r>
      <w:bookmarkEnd w:id="48"/>
      <w:bookmarkEnd w:id="49"/>
      <w:bookmarkEnd w:id="50"/>
    </w:p>
    <w:p w14:paraId="6451B6E5" w14:textId="77777777" w:rsidR="0025520F" w:rsidRDefault="00231F8D">
      <w:pPr>
        <w:pStyle w:val="a2"/>
        <w:spacing w:before="156" w:after="156"/>
        <w:ind w:left="0"/>
        <w:rPr>
          <w:rFonts w:ascii="Times New Roman" w:eastAsia="宋体"/>
          <w:kern w:val="2"/>
          <w:szCs w:val="24"/>
        </w:rPr>
      </w:pPr>
      <w:bookmarkStart w:id="51" w:name="_Toc429292958"/>
      <w:bookmarkStart w:id="52" w:name="_Toc426039174"/>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应按其使用条件合理地选用材料，使用的材料应符合国家有关规定。</w:t>
      </w:r>
    </w:p>
    <w:p w14:paraId="2DE2692D" w14:textId="77777777" w:rsidR="0025520F" w:rsidRDefault="00231F8D">
      <w:pPr>
        <w:pStyle w:val="a2"/>
        <w:spacing w:before="156" w:after="156"/>
        <w:ind w:left="0"/>
        <w:rPr>
          <w:rFonts w:ascii="Times New Roman" w:eastAsia="宋体"/>
          <w:kern w:val="2"/>
          <w:szCs w:val="24"/>
        </w:rPr>
      </w:pPr>
      <w:bookmarkStart w:id="53" w:name="_Toc429292959"/>
      <w:bookmarkStart w:id="54" w:name="_Toc426039175"/>
      <w:bookmarkEnd w:id="51"/>
      <w:bookmarkEnd w:id="52"/>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如需采用新材料时，宜通过材料性能试验、辐照试验或论证。</w:t>
      </w:r>
    </w:p>
    <w:p w14:paraId="61E9B218" w14:textId="77777777" w:rsidR="0025520F" w:rsidRDefault="00231F8D">
      <w:pPr>
        <w:pStyle w:val="a2"/>
        <w:spacing w:before="156" w:after="156"/>
        <w:ind w:left="0"/>
        <w:rPr>
          <w:rFonts w:ascii="Times New Roman" w:eastAsia="宋体"/>
          <w:kern w:val="2"/>
          <w:szCs w:val="24"/>
        </w:rPr>
      </w:pPr>
      <w:bookmarkStart w:id="55" w:name="_Toc429292960"/>
      <w:bookmarkStart w:id="56" w:name="_Toc426039176"/>
      <w:bookmarkEnd w:id="53"/>
      <w:bookmarkEnd w:id="54"/>
      <w:r>
        <w:rPr>
          <w:rFonts w:ascii="Times New Roman" w:eastAsia="宋体" w:hint="eastAsia"/>
          <w:kern w:val="2"/>
          <w:szCs w:val="24"/>
        </w:rPr>
        <w:t>在强辐照区域，宜尽量限制或禁止使用活化截面大、活化后半衰期长或辐照后易脆化的材料。</w:t>
      </w:r>
    </w:p>
    <w:bookmarkEnd w:id="55"/>
    <w:bookmarkEnd w:id="56"/>
    <w:p w14:paraId="5D623F40"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应注意材料相互之间以及材料与反应堆冷却剂之间的相容性。</w:t>
      </w:r>
    </w:p>
    <w:p w14:paraId="1D214FBF" w14:textId="77777777" w:rsidR="0025520F" w:rsidRDefault="00231F8D">
      <w:pPr>
        <w:pStyle w:val="a1"/>
        <w:spacing w:before="312" w:after="312"/>
      </w:pPr>
      <w:bookmarkStart w:id="57" w:name="_Toc16116633"/>
      <w:bookmarkStart w:id="58" w:name="_Toc1290016411"/>
      <w:bookmarkStart w:id="59" w:name="_Toc1311512118"/>
      <w:r>
        <w:rPr>
          <w:rFonts w:hint="eastAsia"/>
        </w:rPr>
        <w:t>反应堆结构总体设计</w:t>
      </w:r>
      <w:bookmarkEnd w:id="57"/>
      <w:bookmarkEnd w:id="58"/>
      <w:bookmarkEnd w:id="59"/>
    </w:p>
    <w:p w14:paraId="21FD0F88"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lastRenderedPageBreak/>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应按设计工况进行设计，</w:t>
      </w:r>
      <w:r>
        <w:rPr>
          <w:rFonts w:ascii="Times New Roman" w:eastAsia="宋体" w:hint="eastAsia"/>
          <w:kern w:val="2"/>
          <w:szCs w:val="24"/>
        </w:rPr>
        <w:t xml:space="preserve">  </w:t>
      </w:r>
      <w:r>
        <w:rPr>
          <w:rFonts w:ascii="Times New Roman" w:eastAsia="宋体" w:hint="eastAsia"/>
          <w:kern w:val="2"/>
          <w:szCs w:val="24"/>
        </w:rPr>
        <w:t>并对其它工况和试验条件进行应力和变形计算，对主要承力部件还应进行疲劳分析，分别提出计算和分析报告，证明其满足</w:t>
      </w:r>
      <w:proofErr w:type="gramStart"/>
      <w:r>
        <w:rPr>
          <w:rFonts w:ascii="Times New Roman" w:eastAsia="宋体" w:hint="eastAsia"/>
          <w:kern w:val="2"/>
          <w:szCs w:val="24"/>
        </w:rPr>
        <w:t>诸设</w:t>
      </w:r>
      <w:proofErr w:type="gramEnd"/>
      <w:r>
        <w:rPr>
          <w:rFonts w:ascii="Times New Roman" w:eastAsia="宋体" w:hint="eastAsia"/>
          <w:kern w:val="2"/>
          <w:szCs w:val="24"/>
        </w:rPr>
        <w:t>备的应力、变形和疲劳分析等的限值规定。</w:t>
      </w:r>
    </w:p>
    <w:p w14:paraId="04499047"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陶瓷堆芯结构的设计应考虑</w:t>
      </w:r>
      <w:proofErr w:type="gramStart"/>
      <w:r>
        <w:rPr>
          <w:rFonts w:ascii="Times New Roman" w:eastAsia="宋体" w:hint="eastAsia"/>
          <w:kern w:val="2"/>
          <w:szCs w:val="24"/>
        </w:rPr>
        <w:t>到漏流的</w:t>
      </w:r>
      <w:proofErr w:type="gramEnd"/>
      <w:r>
        <w:rPr>
          <w:rFonts w:ascii="Times New Roman" w:eastAsia="宋体" w:hint="eastAsia"/>
          <w:kern w:val="2"/>
          <w:szCs w:val="24"/>
        </w:rPr>
        <w:t>限制和在不同运行条件下的整体性要求，对其热态行为要有准确的认识并进行充分的分析和论证，还应根据总体设计需求考虑陶瓷构件在役期间的远距离更换的操作。</w:t>
      </w:r>
    </w:p>
    <w:p w14:paraId="1530AC4B"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在各种可信的事故条件下，反应堆主回路压力边界不应出现当量尺寸（内径）在</w:t>
      </w:r>
      <w:r>
        <w:rPr>
          <w:rFonts w:ascii="Times New Roman" w:eastAsia="宋体" w:hint="eastAsia"/>
          <w:kern w:val="2"/>
          <w:szCs w:val="24"/>
        </w:rPr>
        <w:sym w:font="Symbol" w:char="F046"/>
      </w:r>
      <w:r>
        <w:rPr>
          <w:rFonts w:ascii="Times New Roman" w:eastAsia="宋体" w:hint="eastAsia"/>
          <w:kern w:val="2"/>
          <w:szCs w:val="24"/>
        </w:rPr>
        <w:t>65mm</w:t>
      </w:r>
      <w:r>
        <w:rPr>
          <w:rFonts w:ascii="Times New Roman" w:eastAsia="宋体" w:hint="eastAsia"/>
          <w:kern w:val="2"/>
          <w:szCs w:val="24"/>
        </w:rPr>
        <w:t>以上的大口径破口。</w:t>
      </w:r>
    </w:p>
    <w:p w14:paraId="074E6B14"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诸设备和堆体</w:t>
      </w:r>
      <w:proofErr w:type="gramEnd"/>
      <w:r>
        <w:rPr>
          <w:rFonts w:ascii="Times New Roman" w:eastAsia="宋体" w:hint="eastAsia"/>
          <w:kern w:val="2"/>
          <w:szCs w:val="24"/>
        </w:rPr>
        <w:t>石墨构件的设计应保证控制棒驱动线对中，保证控制棒顺利插入控制棒孔道</w:t>
      </w:r>
      <w:proofErr w:type="gramStart"/>
      <w:r>
        <w:rPr>
          <w:rFonts w:ascii="Times New Roman" w:eastAsia="宋体" w:hint="eastAsia"/>
          <w:kern w:val="2"/>
          <w:szCs w:val="24"/>
        </w:rPr>
        <w:t>并运</w:t>
      </w:r>
      <w:proofErr w:type="gramEnd"/>
      <w:r>
        <w:rPr>
          <w:rFonts w:ascii="Times New Roman" w:eastAsia="宋体" w:hint="eastAsia"/>
          <w:kern w:val="2"/>
          <w:szCs w:val="24"/>
        </w:rPr>
        <w:t>动自如，能有效地调节反应堆功率，快速落棒时间满足反应堆快速停堆要求。在各种事故和</w:t>
      </w:r>
      <w:r>
        <w:rPr>
          <w:rFonts w:ascii="Times New Roman" w:eastAsia="宋体" w:hint="eastAsia"/>
          <w:kern w:val="2"/>
          <w:szCs w:val="24"/>
        </w:rPr>
        <w:t>SL-2</w:t>
      </w:r>
      <w:r>
        <w:rPr>
          <w:rFonts w:ascii="Times New Roman" w:eastAsia="宋体" w:hint="eastAsia"/>
          <w:kern w:val="2"/>
          <w:szCs w:val="24"/>
        </w:rPr>
        <w:t>工况下，也应保证控制棒插入反射层的功能。</w:t>
      </w:r>
    </w:p>
    <w:p w14:paraId="666E89B9"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应合理地进行设计和布置，使反应堆运行、管理、检修和换料的操纵方便、易行；堆内流量分配合理并减少无效漏量；有利于排出反应堆剩余发热和确保反应堆的安全。</w:t>
      </w:r>
    </w:p>
    <w:p w14:paraId="39A66589"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应能引导和便于插入堆内测量装置，不应由于引入堆内测量装置而影响堆的换料和安全。</w:t>
      </w:r>
    </w:p>
    <w:p w14:paraId="3F91FEC1"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反应堆结构设计必须保证反应堆压力边界能定期进行在役检查，为反应堆压力边界泄漏提供监测手段，并为反应堆压力容器材料辐照监督提供条件。</w:t>
      </w:r>
    </w:p>
    <w:p w14:paraId="5EE6FE9D"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反应堆结构设计应保证一回路冷却剂为控制棒驱动机构提供适当的冷却条件，使其温度不超过限值。</w:t>
      </w:r>
    </w:p>
    <w:p w14:paraId="5EC2B855"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反应堆堆</w:t>
      </w:r>
      <w:proofErr w:type="gramStart"/>
      <w:r>
        <w:rPr>
          <w:rFonts w:ascii="Times New Roman" w:eastAsia="宋体" w:hint="eastAsia"/>
          <w:kern w:val="2"/>
          <w:szCs w:val="24"/>
        </w:rPr>
        <w:t>腔具有</w:t>
      </w:r>
      <w:proofErr w:type="gramEnd"/>
      <w:r>
        <w:rPr>
          <w:rFonts w:ascii="Times New Roman" w:eastAsia="宋体" w:hint="eastAsia"/>
          <w:kern w:val="2"/>
          <w:szCs w:val="24"/>
        </w:rPr>
        <w:t>适当的隔热和冷却条件，不应</w:t>
      </w:r>
      <w:proofErr w:type="gramStart"/>
      <w:r>
        <w:rPr>
          <w:rFonts w:ascii="Times New Roman" w:eastAsia="宋体" w:hint="eastAsia"/>
          <w:kern w:val="2"/>
          <w:szCs w:val="24"/>
        </w:rPr>
        <w:t>使堆</w:t>
      </w:r>
      <w:proofErr w:type="gramEnd"/>
      <w:r>
        <w:rPr>
          <w:rFonts w:ascii="Times New Roman" w:eastAsia="宋体" w:hint="eastAsia"/>
          <w:kern w:val="2"/>
          <w:szCs w:val="24"/>
        </w:rPr>
        <w:t>腔和附近的混凝土温度超过限值。</w:t>
      </w:r>
    </w:p>
    <w:p w14:paraId="6F2672E9"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在反应堆整个寿期内，反应堆支承结构应安全可靠，具有足够的抗震和抗冲击能力，保证在工况Ⅴ下反应堆仍能安全自立。</w:t>
      </w:r>
    </w:p>
    <w:p w14:paraId="31135346"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在反应堆整个寿期内，应考虑快中子辐照剂量对压力容器和堆内陶瓷构件、堆内金属构件结构完整性的影响。对于金属构件，应保证寿期内的运行温度满足相关限制条件；对于陶瓷构件，应保证其失效概率满足相关限制条件。</w:t>
      </w:r>
    </w:p>
    <w:p w14:paraId="4D6E7D5E"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之间应配合适当，既保证安全可靠又要尽可能便于安装。</w:t>
      </w:r>
    </w:p>
    <w:p w14:paraId="22CC704B" w14:textId="77777777" w:rsidR="0025520F" w:rsidRDefault="00231F8D">
      <w:pPr>
        <w:pStyle w:val="a1"/>
        <w:spacing w:before="312" w:after="312"/>
      </w:pPr>
      <w:bookmarkStart w:id="60" w:name="_Toc310919565"/>
      <w:bookmarkStart w:id="61" w:name="_Toc73552594"/>
      <w:bookmarkStart w:id="62" w:name="_Toc92598336"/>
      <w:bookmarkStart w:id="63" w:name="_Toc812014418"/>
      <w:bookmarkStart w:id="64" w:name="_Toc289311309"/>
      <w:r>
        <w:rPr>
          <w:rFonts w:hint="eastAsia"/>
        </w:rPr>
        <w:t>反应堆设备的制造、检查、运输、贮存和安装</w:t>
      </w:r>
      <w:bookmarkEnd w:id="60"/>
      <w:bookmarkEnd w:id="61"/>
      <w:bookmarkEnd w:id="62"/>
      <w:bookmarkEnd w:id="63"/>
      <w:bookmarkEnd w:id="64"/>
    </w:p>
    <w:p w14:paraId="17FCAB5D"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的清洁度应满足要求，应在符合规定的</w:t>
      </w:r>
      <w:proofErr w:type="gramStart"/>
      <w:r>
        <w:rPr>
          <w:rFonts w:ascii="Times New Roman" w:eastAsia="宋体" w:hint="eastAsia"/>
          <w:kern w:val="2"/>
          <w:szCs w:val="24"/>
        </w:rPr>
        <w:t>清洁条</w:t>
      </w:r>
      <w:proofErr w:type="gramEnd"/>
      <w:r>
        <w:rPr>
          <w:rFonts w:ascii="Times New Roman" w:eastAsia="宋体" w:hint="eastAsia"/>
          <w:kern w:val="2"/>
          <w:szCs w:val="24"/>
        </w:rPr>
        <w:t>件的厂房内制造和组装，防止环境对构件的腐蚀和外来污染，不得将铁屑、杂物等掉入设备内。</w:t>
      </w:r>
    </w:p>
    <w:p w14:paraId="5346D884"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反应堆各机械设备应进行无损检验，检验合格并验收合格后方可出厂。检查人员应经授权部门的考试合格后方可执行检查工作。对检查人员应定期复试，</w:t>
      </w:r>
      <w:r>
        <w:rPr>
          <w:rFonts w:hint="eastAsia"/>
        </w:rPr>
        <w:t>只准许</w:t>
      </w:r>
      <w:r>
        <w:rPr>
          <w:rFonts w:ascii="Times New Roman" w:eastAsia="宋体" w:hint="eastAsia"/>
          <w:kern w:val="2"/>
          <w:szCs w:val="24"/>
        </w:rPr>
        <w:t>在规定的有效期限内施行的检查有效。</w:t>
      </w:r>
    </w:p>
    <w:p w14:paraId="5FED0F9A"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应具有检查人员签字的合格证书、检查记录，并应提供完整的质量保证文件、有关技术资料和设备档案。</w:t>
      </w:r>
    </w:p>
    <w:p w14:paraId="247C6402"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lastRenderedPageBreak/>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的包装、运输、接收和装卸等应按相应的技术条件执行，应有妥善措施保证不因运输和装卸而损害产品。</w:t>
      </w:r>
    </w:p>
    <w:p w14:paraId="53156B21"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应在适当的库房或场地内存放，温度和湿度等应符合要求，不应因设备的存放引起超过技术条件规定的变形、锈蚀等。</w:t>
      </w:r>
    </w:p>
    <w:p w14:paraId="77BBB8FC"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在安装前应进行必要的复验和清洗，清洗液</w:t>
      </w:r>
      <w:r>
        <w:rPr>
          <w:rFonts w:ascii="Times New Roman" w:eastAsia="宋体" w:hint="eastAsia"/>
          <w:kern w:val="2"/>
          <w:szCs w:val="24"/>
        </w:rPr>
        <w:t>(</w:t>
      </w:r>
      <w:r>
        <w:rPr>
          <w:rFonts w:ascii="Times New Roman" w:eastAsia="宋体" w:hint="eastAsia"/>
          <w:kern w:val="2"/>
          <w:szCs w:val="24"/>
        </w:rPr>
        <w:t>气</w:t>
      </w:r>
      <w:r>
        <w:rPr>
          <w:rFonts w:ascii="Times New Roman" w:eastAsia="宋体" w:hint="eastAsia"/>
          <w:kern w:val="2"/>
          <w:szCs w:val="24"/>
        </w:rPr>
        <w:t xml:space="preserve">) </w:t>
      </w:r>
      <w:r>
        <w:rPr>
          <w:rFonts w:ascii="Times New Roman" w:eastAsia="宋体" w:hint="eastAsia"/>
          <w:kern w:val="2"/>
          <w:szCs w:val="24"/>
        </w:rPr>
        <w:t>不应对产品的使用带来有害的影响。设备和零、部件应在检查合格后方可安装。</w:t>
      </w:r>
    </w:p>
    <w:p w14:paraId="77B4A03E" w14:textId="77777777" w:rsidR="0025520F" w:rsidRDefault="00231F8D">
      <w:pPr>
        <w:pStyle w:val="a1"/>
        <w:spacing w:before="312" w:after="312"/>
      </w:pPr>
      <w:bookmarkStart w:id="65" w:name="_Toc92598337"/>
      <w:bookmarkStart w:id="66" w:name="_Toc73552595"/>
      <w:bookmarkStart w:id="67" w:name="_Toc267746641"/>
      <w:bookmarkStart w:id="68" w:name="_Toc552193555"/>
      <w:bookmarkStart w:id="69" w:name="_Toc797415804"/>
      <w:r>
        <w:rPr>
          <w:rFonts w:hint="eastAsia"/>
        </w:rPr>
        <w:t>反应堆结构的役前试验</w:t>
      </w:r>
      <w:bookmarkEnd w:id="65"/>
      <w:bookmarkEnd w:id="66"/>
      <w:r>
        <w:rPr>
          <w:rFonts w:hint="eastAsia"/>
        </w:rPr>
        <w:t>、在役检查和在役试验</w:t>
      </w:r>
      <w:bookmarkEnd w:id="67"/>
      <w:bookmarkEnd w:id="68"/>
      <w:bookmarkEnd w:id="69"/>
    </w:p>
    <w:p w14:paraId="67745EBC"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应根据核电厂在役检查大纲的规定进行役前检查、在役检查和在役试验。</w:t>
      </w:r>
    </w:p>
    <w:p w14:paraId="76634802"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w:t>
      </w:r>
      <w:proofErr w:type="gramStart"/>
      <w:r>
        <w:rPr>
          <w:rFonts w:ascii="Times New Roman" w:eastAsia="宋体" w:hint="eastAsia"/>
          <w:kern w:val="2"/>
          <w:szCs w:val="24"/>
        </w:rPr>
        <w:t>诸设备</w:t>
      </w:r>
      <w:proofErr w:type="gramEnd"/>
      <w:r>
        <w:rPr>
          <w:rFonts w:ascii="Times New Roman" w:eastAsia="宋体" w:hint="eastAsia"/>
          <w:kern w:val="2"/>
          <w:szCs w:val="24"/>
        </w:rPr>
        <w:t>在现场安装完毕后、反应堆装料前，应按在役检查的相关规定进行役前检查和试验，对压力边界设备进行役前检查、压力试验和泄漏试验，合格后方可装料和投入运行。在反应堆运行期间，各设备和压力边界部件应按在役检查大纲的要求定期进行在役检查、压力试验和泄漏试验。水压试验、气压试验与气密试验的条件与要求应按有关规定进行。</w:t>
      </w:r>
    </w:p>
    <w:p w14:paraId="59CE5C47" w14:textId="77777777" w:rsidR="0025520F" w:rsidRDefault="00231F8D">
      <w:pPr>
        <w:pStyle w:val="a1"/>
        <w:spacing w:before="312" w:after="312"/>
      </w:pPr>
      <w:bookmarkStart w:id="70" w:name="_Toc92598338"/>
      <w:bookmarkStart w:id="71" w:name="_Toc1039554822"/>
      <w:bookmarkStart w:id="72" w:name="_Toc1440240198"/>
      <w:bookmarkStart w:id="73" w:name="_Toc1869460548"/>
      <w:bookmarkStart w:id="74" w:name="_Toc73552596"/>
      <w:r>
        <w:rPr>
          <w:rFonts w:hint="eastAsia"/>
        </w:rPr>
        <w:t>反应堆换料</w:t>
      </w:r>
      <w:bookmarkEnd w:id="70"/>
      <w:bookmarkEnd w:id="71"/>
      <w:bookmarkEnd w:id="72"/>
      <w:bookmarkEnd w:id="73"/>
      <w:bookmarkEnd w:id="74"/>
    </w:p>
    <w:p w14:paraId="5CB6EAD4" w14:textId="77777777" w:rsidR="0025520F" w:rsidRDefault="00231F8D">
      <w:pPr>
        <w:ind w:firstLineChars="200" w:firstLine="420"/>
      </w:pPr>
      <w:r>
        <w:rPr>
          <w:rFonts w:hint="eastAsia"/>
        </w:rPr>
        <w:t>反应堆</w:t>
      </w:r>
      <w:proofErr w:type="gramStart"/>
      <w:r>
        <w:rPr>
          <w:rFonts w:hint="eastAsia"/>
        </w:rPr>
        <w:t>诸设备</w:t>
      </w:r>
      <w:proofErr w:type="gramEnd"/>
      <w:r>
        <w:rPr>
          <w:rFonts w:hint="eastAsia"/>
        </w:rPr>
        <w:t>的设计应保证换料操作顺利进行和乏燃料的妥善存放。</w:t>
      </w:r>
    </w:p>
    <w:p w14:paraId="705BBB74" w14:textId="77777777" w:rsidR="0025520F" w:rsidRDefault="00231F8D">
      <w:pPr>
        <w:pStyle w:val="a1"/>
        <w:spacing w:before="312" w:after="312"/>
      </w:pPr>
      <w:bookmarkStart w:id="75" w:name="_Toc1828822449"/>
      <w:bookmarkStart w:id="76" w:name="_Toc73552597"/>
      <w:bookmarkStart w:id="77" w:name="_Toc92598339"/>
      <w:bookmarkStart w:id="78" w:name="_Toc190190979"/>
      <w:bookmarkStart w:id="79" w:name="_Toc2018425009"/>
      <w:r>
        <w:rPr>
          <w:rFonts w:hint="eastAsia"/>
        </w:rPr>
        <w:t>反应堆退役</w:t>
      </w:r>
      <w:bookmarkEnd w:id="75"/>
      <w:bookmarkEnd w:id="76"/>
      <w:bookmarkEnd w:id="77"/>
      <w:bookmarkEnd w:id="78"/>
      <w:bookmarkEnd w:id="79"/>
    </w:p>
    <w:p w14:paraId="0A333553"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反应堆结构设计应考虑退役要求。</w:t>
      </w:r>
    </w:p>
    <w:p w14:paraId="69915F15"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反应堆退役应符合有关退役规定。</w:t>
      </w:r>
    </w:p>
    <w:p w14:paraId="08F98FBC" w14:textId="77777777" w:rsidR="0025520F" w:rsidRDefault="00231F8D">
      <w:pPr>
        <w:pStyle w:val="a1"/>
        <w:spacing w:before="312" w:after="312"/>
      </w:pPr>
      <w:bookmarkStart w:id="80" w:name="_Toc2017438251"/>
      <w:bookmarkStart w:id="81" w:name="_Toc85460832"/>
      <w:bookmarkStart w:id="82" w:name="_Toc1084117317"/>
      <w:r>
        <w:rPr>
          <w:rFonts w:hint="eastAsia"/>
        </w:rPr>
        <w:t>参考标准、规范</w:t>
      </w:r>
      <w:bookmarkEnd w:id="80"/>
      <w:bookmarkEnd w:id="81"/>
      <w:bookmarkEnd w:id="82"/>
    </w:p>
    <w:p w14:paraId="690BD05F"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本准则适用范围内的安全</w:t>
      </w:r>
      <w:r>
        <w:rPr>
          <w:rFonts w:ascii="Times New Roman" w:eastAsia="宋体" w:hint="eastAsia"/>
          <w:kern w:val="2"/>
          <w:szCs w:val="24"/>
        </w:rPr>
        <w:t>1</w:t>
      </w:r>
      <w:r>
        <w:rPr>
          <w:rFonts w:ascii="Times New Roman" w:eastAsia="宋体" w:hint="eastAsia"/>
          <w:kern w:val="2"/>
          <w:szCs w:val="24"/>
        </w:rPr>
        <w:t>、</w:t>
      </w:r>
      <w:r>
        <w:rPr>
          <w:rFonts w:ascii="Times New Roman" w:eastAsia="宋体" w:hint="eastAsia"/>
          <w:kern w:val="2"/>
          <w:szCs w:val="24"/>
        </w:rPr>
        <w:t>2</w:t>
      </w:r>
      <w:r>
        <w:rPr>
          <w:rFonts w:ascii="Times New Roman" w:eastAsia="宋体" w:hint="eastAsia"/>
          <w:kern w:val="2"/>
          <w:szCs w:val="24"/>
        </w:rPr>
        <w:t>、</w:t>
      </w:r>
      <w:r>
        <w:rPr>
          <w:rFonts w:ascii="Times New Roman" w:eastAsia="宋体" w:hint="eastAsia"/>
          <w:kern w:val="2"/>
          <w:szCs w:val="24"/>
        </w:rPr>
        <w:t>3</w:t>
      </w:r>
      <w:r>
        <w:rPr>
          <w:rFonts w:ascii="Times New Roman" w:eastAsia="宋体" w:hint="eastAsia"/>
          <w:kern w:val="2"/>
          <w:szCs w:val="24"/>
        </w:rPr>
        <w:t>级部件的设计分别参照</w:t>
      </w:r>
      <w:r>
        <w:rPr>
          <w:rFonts w:ascii="Times New Roman" w:eastAsia="宋体" w:hint="eastAsia"/>
          <w:kern w:val="2"/>
          <w:szCs w:val="24"/>
        </w:rPr>
        <w:t>ASME-</w:t>
      </w:r>
      <w:r>
        <w:rPr>
          <w:rFonts w:ascii="Times New Roman" w:eastAsia="宋体" w:hint="eastAsia"/>
          <w:kern w:val="2"/>
          <w:szCs w:val="24"/>
        </w:rPr>
        <w:t>Ⅲ</w:t>
      </w:r>
      <w:r>
        <w:rPr>
          <w:rFonts w:ascii="Times New Roman" w:eastAsia="宋体" w:hint="eastAsia"/>
          <w:kern w:val="2"/>
          <w:szCs w:val="24"/>
        </w:rPr>
        <w:t>-1-NB</w:t>
      </w:r>
      <w:r>
        <w:rPr>
          <w:rFonts w:ascii="Times New Roman" w:eastAsia="宋体" w:hint="eastAsia"/>
          <w:kern w:val="2"/>
          <w:szCs w:val="24"/>
        </w:rPr>
        <w:t>、</w:t>
      </w:r>
      <w:r>
        <w:rPr>
          <w:rFonts w:ascii="Times New Roman" w:eastAsia="宋体" w:hint="eastAsia"/>
          <w:kern w:val="2"/>
          <w:szCs w:val="24"/>
        </w:rPr>
        <w:t>NC</w:t>
      </w:r>
      <w:r>
        <w:rPr>
          <w:rFonts w:ascii="Times New Roman" w:eastAsia="宋体" w:hint="eastAsia"/>
          <w:kern w:val="2"/>
          <w:szCs w:val="24"/>
        </w:rPr>
        <w:t>、</w:t>
      </w:r>
      <w:r>
        <w:rPr>
          <w:rFonts w:ascii="Times New Roman" w:eastAsia="宋体" w:hint="eastAsia"/>
          <w:kern w:val="2"/>
          <w:szCs w:val="24"/>
        </w:rPr>
        <w:t>ND</w:t>
      </w:r>
      <w:r>
        <w:rPr>
          <w:rFonts w:ascii="Times New Roman" w:eastAsia="宋体" w:hint="eastAsia"/>
          <w:kern w:val="2"/>
          <w:szCs w:val="24"/>
        </w:rPr>
        <w:t>分册，安全级部件支承件参照</w:t>
      </w:r>
      <w:r>
        <w:rPr>
          <w:rFonts w:ascii="Times New Roman" w:eastAsia="宋体" w:hint="eastAsia"/>
          <w:kern w:val="2"/>
          <w:szCs w:val="24"/>
        </w:rPr>
        <w:t>ASME-</w:t>
      </w:r>
      <w:r>
        <w:rPr>
          <w:rFonts w:ascii="Times New Roman" w:eastAsia="宋体" w:hint="eastAsia"/>
          <w:kern w:val="2"/>
          <w:szCs w:val="24"/>
        </w:rPr>
        <w:t>Ⅲ</w:t>
      </w:r>
      <w:r>
        <w:rPr>
          <w:rFonts w:ascii="Times New Roman" w:eastAsia="宋体" w:hint="eastAsia"/>
          <w:kern w:val="2"/>
          <w:szCs w:val="24"/>
        </w:rPr>
        <w:t>-1-NF</w:t>
      </w:r>
      <w:r>
        <w:rPr>
          <w:rFonts w:ascii="Times New Roman" w:eastAsia="宋体" w:hint="eastAsia"/>
          <w:kern w:val="2"/>
          <w:szCs w:val="24"/>
        </w:rPr>
        <w:t>分册，堆内金属构件参照</w:t>
      </w:r>
      <w:r>
        <w:rPr>
          <w:rFonts w:ascii="Times New Roman" w:eastAsia="宋体" w:hint="eastAsia"/>
          <w:kern w:val="2"/>
          <w:szCs w:val="24"/>
        </w:rPr>
        <w:t>ASME-</w:t>
      </w:r>
      <w:r>
        <w:rPr>
          <w:rFonts w:ascii="Times New Roman" w:eastAsia="宋体" w:hint="eastAsia"/>
          <w:kern w:val="2"/>
          <w:szCs w:val="24"/>
        </w:rPr>
        <w:t>Ⅲ</w:t>
      </w:r>
      <w:r>
        <w:rPr>
          <w:rFonts w:ascii="Times New Roman" w:eastAsia="宋体" w:hint="eastAsia"/>
          <w:kern w:val="2"/>
          <w:szCs w:val="24"/>
        </w:rPr>
        <w:t>-1-NG</w:t>
      </w:r>
      <w:r>
        <w:rPr>
          <w:rFonts w:ascii="Times New Roman" w:eastAsia="宋体" w:hint="eastAsia"/>
          <w:kern w:val="2"/>
          <w:szCs w:val="24"/>
        </w:rPr>
        <w:t>分册，</w:t>
      </w:r>
      <w:r>
        <w:rPr>
          <w:rFonts w:ascii="Times New Roman" w:eastAsia="宋体" w:hint="eastAsia"/>
          <w:kern w:val="2"/>
          <w:szCs w:val="24"/>
        </w:rPr>
        <w:t>ASME</w:t>
      </w:r>
      <w:r>
        <w:rPr>
          <w:rFonts w:ascii="Times New Roman" w:eastAsia="宋体" w:hint="eastAsia"/>
          <w:kern w:val="2"/>
          <w:szCs w:val="24"/>
        </w:rPr>
        <w:t>规范以</w:t>
      </w:r>
      <w:r>
        <w:rPr>
          <w:rFonts w:ascii="Times New Roman" w:eastAsia="宋体" w:hint="eastAsia"/>
          <w:kern w:val="2"/>
          <w:szCs w:val="24"/>
        </w:rPr>
        <w:t>2004</w:t>
      </w:r>
      <w:r>
        <w:rPr>
          <w:rFonts w:ascii="Times New Roman" w:eastAsia="宋体" w:hint="eastAsia"/>
          <w:kern w:val="2"/>
          <w:szCs w:val="24"/>
        </w:rPr>
        <w:t>年版为准。</w:t>
      </w:r>
    </w:p>
    <w:p w14:paraId="0545CBBE" w14:textId="77777777" w:rsidR="0025520F" w:rsidRDefault="00231F8D">
      <w:pPr>
        <w:pStyle w:val="a2"/>
        <w:spacing w:before="156" w:after="156"/>
        <w:ind w:left="0"/>
        <w:rPr>
          <w:rFonts w:ascii="Times New Roman" w:eastAsia="宋体"/>
          <w:kern w:val="2"/>
          <w:szCs w:val="24"/>
        </w:rPr>
      </w:pPr>
      <w:r>
        <w:rPr>
          <w:rFonts w:ascii="Times New Roman" w:eastAsia="宋体" w:hint="eastAsia"/>
          <w:kern w:val="2"/>
          <w:szCs w:val="24"/>
        </w:rPr>
        <w:t>其它安全级部件，如堆内陶瓷构件等，为了便于标准的实际操作，可参照其它标准，但所参照的标准应等效于或不低于</w:t>
      </w:r>
      <w:r>
        <w:rPr>
          <w:rFonts w:ascii="Times New Roman" w:eastAsia="宋体" w:hint="eastAsia"/>
          <w:kern w:val="2"/>
          <w:szCs w:val="24"/>
        </w:rPr>
        <w:t>ASME</w:t>
      </w:r>
      <w:r>
        <w:rPr>
          <w:rFonts w:ascii="Times New Roman" w:eastAsia="宋体" w:hint="eastAsia"/>
          <w:kern w:val="2"/>
          <w:szCs w:val="24"/>
        </w:rPr>
        <w:t>的相关标准。</w:t>
      </w:r>
    </w:p>
    <w:p w14:paraId="61A5FBD5" w14:textId="77777777" w:rsidR="0025520F" w:rsidRDefault="0025520F">
      <w:pPr>
        <w:ind w:firstLineChars="200" w:firstLine="420"/>
      </w:pPr>
    </w:p>
    <w:sectPr w:rsidR="002552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7D60F" w14:textId="77777777" w:rsidR="0015229B" w:rsidRDefault="0015229B">
      <w:r>
        <w:separator/>
      </w:r>
    </w:p>
  </w:endnote>
  <w:endnote w:type="continuationSeparator" w:id="0">
    <w:p w14:paraId="592C047A" w14:textId="77777777" w:rsidR="0015229B" w:rsidRDefault="0015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
    </w:sdtPr>
    <w:sdtEndPr/>
    <w:sdtContent>
      <w:p w14:paraId="1F03CDCB" w14:textId="77777777" w:rsidR="0025520F" w:rsidRDefault="00231F8D">
        <w:pPr>
          <w:pStyle w:val="aff9"/>
          <w:jc w:val="center"/>
        </w:pPr>
        <w:r>
          <w:fldChar w:fldCharType="begin"/>
        </w:r>
        <w:r>
          <w:instrText>PAGE   \* MERGEFORMAT</w:instrText>
        </w:r>
        <w:r>
          <w:fldChar w:fldCharType="separate"/>
        </w:r>
        <w:r>
          <w:rPr>
            <w:lang w:val="zh-CN"/>
          </w:rPr>
          <w:t>II</w:t>
        </w:r>
        <w:r>
          <w:fldChar w:fldCharType="end"/>
        </w:r>
      </w:p>
    </w:sdtContent>
  </w:sdt>
  <w:p w14:paraId="6FFA972C" w14:textId="77777777" w:rsidR="0025520F" w:rsidRDefault="0025520F">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55C28" w14:textId="77777777" w:rsidR="0025520F" w:rsidRDefault="00231F8D">
    <w:pPr>
      <w:pStyle w:val="afffb"/>
      <w:jc w:val="center"/>
    </w:pPr>
    <w:r>
      <w:fldChar w:fldCharType="begin"/>
    </w:r>
    <w:r>
      <w:instrText xml:space="preserve"> PAGE  \* MERGEFORMAT </w:instrText>
    </w:r>
    <w:r>
      <w:fldChar w:fldCharType="separate"/>
    </w:r>
    <w: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476D7" w14:textId="77777777" w:rsidR="0015229B" w:rsidRDefault="0015229B">
      <w:r>
        <w:separator/>
      </w:r>
    </w:p>
  </w:footnote>
  <w:footnote w:type="continuationSeparator" w:id="0">
    <w:p w14:paraId="4CEA2BF3" w14:textId="77777777" w:rsidR="0015229B" w:rsidRDefault="00152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93604" w14:textId="77777777" w:rsidR="0025520F" w:rsidRDefault="00231F8D">
    <w:pPr>
      <w:pStyle w:val="afffc"/>
      <w:ind w:right="420"/>
      <w:jc w:val="left"/>
    </w:pPr>
    <w:r>
      <w:t xml:space="preserve">T/CNS </w:t>
    </w:r>
    <w:r>
      <w:rPr>
        <w:rFonts w:hint="eastAsia"/>
        <w:color w:val="FF0000"/>
      </w:rPr>
      <w:t>XXX</w:t>
    </w:r>
    <w:r>
      <w:t>—</w:t>
    </w:r>
    <w:r>
      <w:rPr>
        <w:rFonts w:hint="eastAsia"/>
      </w:rPr>
      <w:t>20</w:t>
    </w:r>
    <w:r>
      <w:t>2</w:t>
    </w:r>
    <w:r w:rsidR="00DE4B35">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650BA" w14:textId="77777777" w:rsidR="0025520F" w:rsidRDefault="00231F8D">
    <w:pPr>
      <w:pStyle w:val="afffc"/>
      <w:ind w:right="420"/>
    </w:pPr>
    <w:r>
      <w:t xml:space="preserve">T/CNS </w:t>
    </w:r>
    <w:r>
      <w:rPr>
        <w:rFonts w:hint="eastAsia"/>
        <w:color w:val="FF0000"/>
      </w:rPr>
      <w:t>XXX</w:t>
    </w:r>
    <w:r>
      <w:t>—</w:t>
    </w:r>
    <w:r>
      <w:rPr>
        <w:rFonts w:hint="eastAsia"/>
      </w:rPr>
      <w:t>20</w:t>
    </w:r>
    <w:r>
      <w:t>2</w:t>
    </w:r>
    <w:r w:rsidR="00DE4B35">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2"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426"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420"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7"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8"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0" w15:restartNumberingAfterBreak="0">
    <w:nsid w:val="6DBF04F4"/>
    <w:multiLevelType w:val="multilevel"/>
    <w:tmpl w:val="5BEC0A32"/>
    <w:lvl w:ilvl="0">
      <w:start w:val="1"/>
      <w:numFmt w:val="none"/>
      <w:pStyle w:val="af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5"/>
  </w:num>
  <w:num w:numId="2">
    <w:abstractNumId w:val="2"/>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8"/>
  </w:num>
  <w:num w:numId="8">
    <w:abstractNumId w:val="7"/>
  </w:num>
  <w:num w:numId="9">
    <w:abstractNumId w:val="9"/>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977F31C1"/>
    <w:rsid w:val="ADF7B26F"/>
    <w:rsid w:val="AFFC114C"/>
    <w:rsid w:val="BBDDCB53"/>
    <w:rsid w:val="BCDFE344"/>
    <w:rsid w:val="BCF91439"/>
    <w:rsid w:val="C7FE5C60"/>
    <w:rsid w:val="D7EFB282"/>
    <w:rsid w:val="DC2D3A0E"/>
    <w:rsid w:val="DCAF6EBA"/>
    <w:rsid w:val="DEFE0D7E"/>
    <w:rsid w:val="DFEF525A"/>
    <w:rsid w:val="DFFBE873"/>
    <w:rsid w:val="EB7DE4FA"/>
    <w:rsid w:val="EFFF0899"/>
    <w:rsid w:val="F4FEF3F2"/>
    <w:rsid w:val="F5EBE60E"/>
    <w:rsid w:val="F5F707E2"/>
    <w:rsid w:val="F797D365"/>
    <w:rsid w:val="FADDCFED"/>
    <w:rsid w:val="FB4FB62E"/>
    <w:rsid w:val="FEE0210F"/>
    <w:rsid w:val="FEFF0949"/>
    <w:rsid w:val="00011073"/>
    <w:rsid w:val="00020446"/>
    <w:rsid w:val="00025ED6"/>
    <w:rsid w:val="00050EE5"/>
    <w:rsid w:val="00067E18"/>
    <w:rsid w:val="00072564"/>
    <w:rsid w:val="000730C5"/>
    <w:rsid w:val="000A3C5E"/>
    <w:rsid w:val="000A5D1B"/>
    <w:rsid w:val="000B232E"/>
    <w:rsid w:val="000B2395"/>
    <w:rsid w:val="000B32CD"/>
    <w:rsid w:val="000C6438"/>
    <w:rsid w:val="000D536C"/>
    <w:rsid w:val="000E7A7E"/>
    <w:rsid w:val="0010500D"/>
    <w:rsid w:val="00105159"/>
    <w:rsid w:val="00106FAD"/>
    <w:rsid w:val="0013087D"/>
    <w:rsid w:val="00130886"/>
    <w:rsid w:val="00137605"/>
    <w:rsid w:val="001439B4"/>
    <w:rsid w:val="00150C78"/>
    <w:rsid w:val="0015229B"/>
    <w:rsid w:val="001A2055"/>
    <w:rsid w:val="001C349F"/>
    <w:rsid w:val="001C4ADC"/>
    <w:rsid w:val="001D5E78"/>
    <w:rsid w:val="0020061D"/>
    <w:rsid w:val="00230F8F"/>
    <w:rsid w:val="00231F8D"/>
    <w:rsid w:val="00241C26"/>
    <w:rsid w:val="002448E4"/>
    <w:rsid w:val="0025520F"/>
    <w:rsid w:val="00261CDC"/>
    <w:rsid w:val="00262043"/>
    <w:rsid w:val="002814FA"/>
    <w:rsid w:val="002A0F8A"/>
    <w:rsid w:val="002B4466"/>
    <w:rsid w:val="002C6343"/>
    <w:rsid w:val="00326A91"/>
    <w:rsid w:val="003274C1"/>
    <w:rsid w:val="00327DEF"/>
    <w:rsid w:val="00352FA4"/>
    <w:rsid w:val="003671A5"/>
    <w:rsid w:val="003679A8"/>
    <w:rsid w:val="00381262"/>
    <w:rsid w:val="00383232"/>
    <w:rsid w:val="0039670B"/>
    <w:rsid w:val="003A5E97"/>
    <w:rsid w:val="003B2BFA"/>
    <w:rsid w:val="003B315B"/>
    <w:rsid w:val="003B3F9F"/>
    <w:rsid w:val="003B6152"/>
    <w:rsid w:val="003C42F0"/>
    <w:rsid w:val="003E4289"/>
    <w:rsid w:val="003E7B96"/>
    <w:rsid w:val="003F22F7"/>
    <w:rsid w:val="00404A97"/>
    <w:rsid w:val="0042290A"/>
    <w:rsid w:val="00427000"/>
    <w:rsid w:val="00431797"/>
    <w:rsid w:val="004324C8"/>
    <w:rsid w:val="00437B28"/>
    <w:rsid w:val="004421A6"/>
    <w:rsid w:val="004554E1"/>
    <w:rsid w:val="0047236B"/>
    <w:rsid w:val="00480ABA"/>
    <w:rsid w:val="004872F3"/>
    <w:rsid w:val="004A60C5"/>
    <w:rsid w:val="004B30B2"/>
    <w:rsid w:val="004E67B1"/>
    <w:rsid w:val="004F64BB"/>
    <w:rsid w:val="004F7C2D"/>
    <w:rsid w:val="00503420"/>
    <w:rsid w:val="00505CAE"/>
    <w:rsid w:val="00510C77"/>
    <w:rsid w:val="00522D6F"/>
    <w:rsid w:val="00524116"/>
    <w:rsid w:val="00524980"/>
    <w:rsid w:val="00526F54"/>
    <w:rsid w:val="005557F8"/>
    <w:rsid w:val="005C503D"/>
    <w:rsid w:val="005E7B79"/>
    <w:rsid w:val="00620E27"/>
    <w:rsid w:val="00636A01"/>
    <w:rsid w:val="006432E0"/>
    <w:rsid w:val="0064384B"/>
    <w:rsid w:val="0064408E"/>
    <w:rsid w:val="006461C0"/>
    <w:rsid w:val="006548B7"/>
    <w:rsid w:val="00670A06"/>
    <w:rsid w:val="006819C6"/>
    <w:rsid w:val="00690548"/>
    <w:rsid w:val="00697AF6"/>
    <w:rsid w:val="006A11EB"/>
    <w:rsid w:val="006B5DDE"/>
    <w:rsid w:val="006C3EBF"/>
    <w:rsid w:val="006D223A"/>
    <w:rsid w:val="006D401E"/>
    <w:rsid w:val="006D7D85"/>
    <w:rsid w:val="006E1C38"/>
    <w:rsid w:val="006F1EC3"/>
    <w:rsid w:val="00702069"/>
    <w:rsid w:val="00710718"/>
    <w:rsid w:val="00725023"/>
    <w:rsid w:val="00726263"/>
    <w:rsid w:val="00732970"/>
    <w:rsid w:val="00746986"/>
    <w:rsid w:val="00756D05"/>
    <w:rsid w:val="0076021B"/>
    <w:rsid w:val="00766411"/>
    <w:rsid w:val="00775AFD"/>
    <w:rsid w:val="00791AE9"/>
    <w:rsid w:val="00792780"/>
    <w:rsid w:val="00794F58"/>
    <w:rsid w:val="00795A99"/>
    <w:rsid w:val="0079682C"/>
    <w:rsid w:val="007C1FC6"/>
    <w:rsid w:val="007C46C1"/>
    <w:rsid w:val="007D181F"/>
    <w:rsid w:val="007D1F43"/>
    <w:rsid w:val="007F14E7"/>
    <w:rsid w:val="007F2DC9"/>
    <w:rsid w:val="00800B3C"/>
    <w:rsid w:val="0081626C"/>
    <w:rsid w:val="00817236"/>
    <w:rsid w:val="00817442"/>
    <w:rsid w:val="00842970"/>
    <w:rsid w:val="00861FF0"/>
    <w:rsid w:val="008823AC"/>
    <w:rsid w:val="00887D0D"/>
    <w:rsid w:val="008A6DF2"/>
    <w:rsid w:val="008B1ACA"/>
    <w:rsid w:val="008D42CA"/>
    <w:rsid w:val="008D7D19"/>
    <w:rsid w:val="008F404C"/>
    <w:rsid w:val="008F40D6"/>
    <w:rsid w:val="008F4922"/>
    <w:rsid w:val="00901504"/>
    <w:rsid w:val="00913963"/>
    <w:rsid w:val="00926623"/>
    <w:rsid w:val="0092746D"/>
    <w:rsid w:val="009573EA"/>
    <w:rsid w:val="00962BE1"/>
    <w:rsid w:val="00981996"/>
    <w:rsid w:val="009A3260"/>
    <w:rsid w:val="009D0CBA"/>
    <w:rsid w:val="009D790B"/>
    <w:rsid w:val="009E20A7"/>
    <w:rsid w:val="009E7590"/>
    <w:rsid w:val="009F5752"/>
    <w:rsid w:val="009F5AA6"/>
    <w:rsid w:val="00A22D37"/>
    <w:rsid w:val="00A350BE"/>
    <w:rsid w:val="00A73549"/>
    <w:rsid w:val="00A765F3"/>
    <w:rsid w:val="00A95ED0"/>
    <w:rsid w:val="00AA0CE4"/>
    <w:rsid w:val="00AB2E86"/>
    <w:rsid w:val="00AB4950"/>
    <w:rsid w:val="00AD1313"/>
    <w:rsid w:val="00AD6C7D"/>
    <w:rsid w:val="00AE5CE2"/>
    <w:rsid w:val="00B04594"/>
    <w:rsid w:val="00B137A6"/>
    <w:rsid w:val="00B2489B"/>
    <w:rsid w:val="00B56A50"/>
    <w:rsid w:val="00B71891"/>
    <w:rsid w:val="00B74A66"/>
    <w:rsid w:val="00B774F6"/>
    <w:rsid w:val="00B8102F"/>
    <w:rsid w:val="00B855AF"/>
    <w:rsid w:val="00B91A65"/>
    <w:rsid w:val="00B9378A"/>
    <w:rsid w:val="00BA23DE"/>
    <w:rsid w:val="00BC3E6B"/>
    <w:rsid w:val="00C0060D"/>
    <w:rsid w:val="00C009F5"/>
    <w:rsid w:val="00C12407"/>
    <w:rsid w:val="00C35FF8"/>
    <w:rsid w:val="00C4776E"/>
    <w:rsid w:val="00C50E06"/>
    <w:rsid w:val="00C540EE"/>
    <w:rsid w:val="00C6529B"/>
    <w:rsid w:val="00C657F7"/>
    <w:rsid w:val="00C72D1F"/>
    <w:rsid w:val="00C76A52"/>
    <w:rsid w:val="00C807E9"/>
    <w:rsid w:val="00C81FA3"/>
    <w:rsid w:val="00C91371"/>
    <w:rsid w:val="00C934EF"/>
    <w:rsid w:val="00CA4872"/>
    <w:rsid w:val="00CB4F91"/>
    <w:rsid w:val="00CB7A08"/>
    <w:rsid w:val="00CC778F"/>
    <w:rsid w:val="00CD2FEB"/>
    <w:rsid w:val="00CE2E80"/>
    <w:rsid w:val="00CE445C"/>
    <w:rsid w:val="00CF658A"/>
    <w:rsid w:val="00D0613E"/>
    <w:rsid w:val="00D10EDE"/>
    <w:rsid w:val="00D130FF"/>
    <w:rsid w:val="00D15A99"/>
    <w:rsid w:val="00D450A8"/>
    <w:rsid w:val="00D47E98"/>
    <w:rsid w:val="00D50784"/>
    <w:rsid w:val="00D76742"/>
    <w:rsid w:val="00D95F7E"/>
    <w:rsid w:val="00DB091D"/>
    <w:rsid w:val="00DB7BE9"/>
    <w:rsid w:val="00DC24B5"/>
    <w:rsid w:val="00DC45B2"/>
    <w:rsid w:val="00DD3E07"/>
    <w:rsid w:val="00DE4B35"/>
    <w:rsid w:val="00DF0BEA"/>
    <w:rsid w:val="00E034BE"/>
    <w:rsid w:val="00E23D72"/>
    <w:rsid w:val="00E453FF"/>
    <w:rsid w:val="00E56D53"/>
    <w:rsid w:val="00E80D90"/>
    <w:rsid w:val="00E84160"/>
    <w:rsid w:val="00E842CC"/>
    <w:rsid w:val="00E91004"/>
    <w:rsid w:val="00F3219A"/>
    <w:rsid w:val="00F522DE"/>
    <w:rsid w:val="00F71344"/>
    <w:rsid w:val="00F864EB"/>
    <w:rsid w:val="00F97430"/>
    <w:rsid w:val="00FA0448"/>
    <w:rsid w:val="00FA6C45"/>
    <w:rsid w:val="00FB3AB4"/>
    <w:rsid w:val="00FC4ADC"/>
    <w:rsid w:val="00FC73A0"/>
    <w:rsid w:val="00FD7635"/>
    <w:rsid w:val="00FE17F3"/>
    <w:rsid w:val="00FE5C2E"/>
    <w:rsid w:val="07E3E709"/>
    <w:rsid w:val="16FB88A5"/>
    <w:rsid w:val="1BFF1DB0"/>
    <w:rsid w:val="2F5F8A89"/>
    <w:rsid w:val="2FE34BB8"/>
    <w:rsid w:val="38DE54C4"/>
    <w:rsid w:val="39FD396D"/>
    <w:rsid w:val="3B73B275"/>
    <w:rsid w:val="5AE7CECE"/>
    <w:rsid w:val="5DFF1820"/>
    <w:rsid w:val="5FFF40C9"/>
    <w:rsid w:val="62F739D6"/>
    <w:rsid w:val="6F73E84E"/>
    <w:rsid w:val="6FF7DD91"/>
    <w:rsid w:val="7A7E884D"/>
    <w:rsid w:val="7AFE5410"/>
    <w:rsid w:val="7EAF3DEA"/>
    <w:rsid w:val="7F7771EB"/>
    <w:rsid w:val="7FEEE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E673F14"/>
  <w15:docId w15:val="{6454BAB1-AE9E-4238-9199-2664E110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lsdException w:name="annotation text" w:uiPriority="0"/>
    <w:lsdException w:name="header" w:uiPriority="0" w:unhideWhenUsed="1"/>
    <w:lsdException w:name="footer" w:unhideWhenUsed="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c">
    <w:name w:val="Normal"/>
    <w:qFormat/>
    <w:pPr>
      <w:widowControl w:val="0"/>
      <w:jc w:val="both"/>
    </w:pPr>
    <w:rPr>
      <w:rFonts w:ascii="Times New Roman" w:eastAsia="宋体" w:hAnsi="Times New Roman" w:cs="Times New Roman"/>
      <w:kern w:val="2"/>
      <w:sz w:val="21"/>
      <w:szCs w:val="24"/>
    </w:rPr>
  </w:style>
  <w:style w:type="paragraph" w:styleId="1">
    <w:name w:val="heading 1"/>
    <w:basedOn w:val="afc"/>
    <w:next w:val="afc"/>
    <w:link w:val="10"/>
    <w:qFormat/>
    <w:pPr>
      <w:keepNext/>
      <w:keepLines/>
      <w:spacing w:before="340" w:after="330" w:line="578" w:lineRule="auto"/>
      <w:outlineLvl w:val="0"/>
    </w:pPr>
    <w:rPr>
      <w:b/>
      <w:bCs/>
      <w:kern w:val="44"/>
      <w:sz w:val="44"/>
      <w:szCs w:val="44"/>
    </w:rPr>
  </w:style>
  <w:style w:type="paragraph" w:styleId="3">
    <w:name w:val="heading 3"/>
    <w:basedOn w:val="afc"/>
    <w:next w:val="afc"/>
    <w:uiPriority w:val="9"/>
    <w:unhideWhenUsed/>
    <w:qFormat/>
    <w:pPr>
      <w:keepNext/>
      <w:keepLines/>
      <w:spacing w:before="120"/>
      <w:outlineLvl w:val="2"/>
    </w:pPr>
    <w:rPr>
      <w:rFonts w:eastAsia="黑体"/>
      <w:bCs/>
      <w:szCs w:val="32"/>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TOC7">
    <w:name w:val="toc 7"/>
    <w:basedOn w:val="afc"/>
    <w:next w:val="afc"/>
    <w:semiHidden/>
    <w:pPr>
      <w:tabs>
        <w:tab w:val="right" w:leader="dot" w:pos="9241"/>
      </w:tabs>
      <w:ind w:firstLineChars="500" w:firstLine="505"/>
      <w:jc w:val="left"/>
    </w:pPr>
    <w:rPr>
      <w:rFonts w:ascii="宋体"/>
      <w:szCs w:val="21"/>
    </w:rPr>
  </w:style>
  <w:style w:type="paragraph" w:styleId="8">
    <w:name w:val="index 8"/>
    <w:basedOn w:val="afc"/>
    <w:next w:val="afc"/>
    <w:pPr>
      <w:ind w:left="1680" w:hanging="210"/>
      <w:jc w:val="left"/>
    </w:pPr>
    <w:rPr>
      <w:rFonts w:ascii="Calibri" w:hAnsi="Calibri"/>
      <w:sz w:val="20"/>
      <w:szCs w:val="20"/>
    </w:rPr>
  </w:style>
  <w:style w:type="paragraph" w:styleId="aff0">
    <w:name w:val="caption"/>
    <w:basedOn w:val="afc"/>
    <w:next w:val="afc"/>
    <w:qFormat/>
    <w:pPr>
      <w:spacing w:before="152" w:after="160"/>
    </w:pPr>
    <w:rPr>
      <w:rFonts w:ascii="Arial" w:eastAsia="黑体" w:hAnsi="Arial" w:cs="Arial"/>
      <w:sz w:val="20"/>
      <w:szCs w:val="20"/>
    </w:rPr>
  </w:style>
  <w:style w:type="paragraph" w:styleId="5">
    <w:name w:val="index 5"/>
    <w:basedOn w:val="afc"/>
    <w:next w:val="afc"/>
    <w:pPr>
      <w:ind w:left="1050" w:hanging="210"/>
      <w:jc w:val="left"/>
    </w:pPr>
    <w:rPr>
      <w:rFonts w:ascii="Calibri" w:hAnsi="Calibri"/>
      <w:sz w:val="20"/>
      <w:szCs w:val="20"/>
    </w:rPr>
  </w:style>
  <w:style w:type="paragraph" w:styleId="aff1">
    <w:name w:val="Document Map"/>
    <w:basedOn w:val="afc"/>
    <w:link w:val="aff2"/>
    <w:semiHidden/>
    <w:pPr>
      <w:shd w:val="clear" w:color="auto" w:fill="000080"/>
    </w:pPr>
  </w:style>
  <w:style w:type="paragraph" w:styleId="aff3">
    <w:name w:val="annotation text"/>
    <w:basedOn w:val="afc"/>
    <w:link w:val="aff4"/>
    <w:pPr>
      <w:jc w:val="left"/>
    </w:pPr>
  </w:style>
  <w:style w:type="paragraph" w:styleId="6">
    <w:name w:val="index 6"/>
    <w:basedOn w:val="afc"/>
    <w:next w:val="afc"/>
    <w:pPr>
      <w:ind w:left="1260" w:hanging="210"/>
      <w:jc w:val="left"/>
    </w:pPr>
    <w:rPr>
      <w:rFonts w:ascii="Calibri" w:hAnsi="Calibri"/>
      <w:sz w:val="20"/>
      <w:szCs w:val="20"/>
    </w:rPr>
  </w:style>
  <w:style w:type="paragraph" w:styleId="4">
    <w:name w:val="index 4"/>
    <w:basedOn w:val="afc"/>
    <w:next w:val="afc"/>
    <w:pPr>
      <w:ind w:left="840" w:hanging="210"/>
      <w:jc w:val="left"/>
    </w:pPr>
    <w:rPr>
      <w:rFonts w:ascii="Calibri" w:hAnsi="Calibri"/>
      <w:sz w:val="20"/>
      <w:szCs w:val="20"/>
    </w:rPr>
  </w:style>
  <w:style w:type="paragraph" w:styleId="TOC5">
    <w:name w:val="toc 5"/>
    <w:basedOn w:val="afc"/>
    <w:next w:val="afc"/>
    <w:semiHidden/>
    <w:pPr>
      <w:tabs>
        <w:tab w:val="right" w:leader="dot" w:pos="9241"/>
      </w:tabs>
      <w:ind w:firstLineChars="300" w:firstLine="300"/>
      <w:jc w:val="left"/>
    </w:pPr>
    <w:rPr>
      <w:rFonts w:ascii="宋体"/>
      <w:szCs w:val="21"/>
    </w:rPr>
  </w:style>
  <w:style w:type="paragraph" w:styleId="TOC3">
    <w:name w:val="toc 3"/>
    <w:basedOn w:val="afc"/>
    <w:next w:val="afc"/>
    <w:uiPriority w:val="39"/>
    <w:qFormat/>
    <w:pPr>
      <w:tabs>
        <w:tab w:val="right" w:leader="dot" w:pos="9241"/>
      </w:tabs>
      <w:ind w:firstLineChars="100" w:firstLine="102"/>
      <w:jc w:val="left"/>
    </w:pPr>
    <w:rPr>
      <w:rFonts w:ascii="宋体"/>
      <w:szCs w:val="21"/>
    </w:rPr>
  </w:style>
  <w:style w:type="paragraph" w:styleId="TOC8">
    <w:name w:val="toc 8"/>
    <w:basedOn w:val="afc"/>
    <w:next w:val="afc"/>
    <w:semiHidden/>
    <w:pPr>
      <w:tabs>
        <w:tab w:val="right" w:leader="dot" w:pos="9241"/>
      </w:tabs>
      <w:ind w:firstLineChars="600" w:firstLine="607"/>
      <w:jc w:val="left"/>
    </w:pPr>
    <w:rPr>
      <w:rFonts w:ascii="宋体"/>
      <w:szCs w:val="21"/>
    </w:rPr>
  </w:style>
  <w:style w:type="paragraph" w:styleId="30">
    <w:name w:val="index 3"/>
    <w:basedOn w:val="afc"/>
    <w:next w:val="afc"/>
    <w:pPr>
      <w:ind w:left="630" w:hanging="210"/>
      <w:jc w:val="left"/>
    </w:pPr>
    <w:rPr>
      <w:rFonts w:ascii="Calibri" w:hAnsi="Calibri"/>
      <w:sz w:val="20"/>
      <w:szCs w:val="20"/>
    </w:rPr>
  </w:style>
  <w:style w:type="paragraph" w:styleId="aff5">
    <w:name w:val="endnote text"/>
    <w:basedOn w:val="afc"/>
    <w:link w:val="aff6"/>
    <w:semiHidden/>
    <w:pPr>
      <w:snapToGrid w:val="0"/>
      <w:jc w:val="left"/>
    </w:pPr>
  </w:style>
  <w:style w:type="paragraph" w:styleId="aff7">
    <w:name w:val="Balloon Text"/>
    <w:basedOn w:val="afc"/>
    <w:link w:val="aff8"/>
    <w:rPr>
      <w:sz w:val="18"/>
      <w:szCs w:val="18"/>
    </w:rPr>
  </w:style>
  <w:style w:type="paragraph" w:styleId="aff9">
    <w:name w:val="footer"/>
    <w:basedOn w:val="afc"/>
    <w:link w:val="affa"/>
    <w:uiPriority w:val="99"/>
    <w:unhideWhenUsed/>
    <w:pPr>
      <w:tabs>
        <w:tab w:val="center" w:pos="4153"/>
        <w:tab w:val="right" w:pos="8306"/>
      </w:tabs>
      <w:snapToGrid w:val="0"/>
      <w:jc w:val="left"/>
    </w:pPr>
    <w:rPr>
      <w:sz w:val="18"/>
      <w:szCs w:val="18"/>
    </w:rPr>
  </w:style>
  <w:style w:type="paragraph" w:styleId="affb">
    <w:name w:val="header"/>
    <w:basedOn w:val="afc"/>
    <w:link w:val="affc"/>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fc"/>
    <w:next w:val="afc"/>
    <w:uiPriority w:val="39"/>
    <w:qFormat/>
    <w:pPr>
      <w:tabs>
        <w:tab w:val="right" w:leader="dot" w:pos="9241"/>
      </w:tabs>
      <w:spacing w:beforeLines="25" w:before="78" w:afterLines="25" w:after="78"/>
    </w:pPr>
    <w:rPr>
      <w:rFonts w:ascii="宋体"/>
      <w:szCs w:val="21"/>
    </w:rPr>
  </w:style>
  <w:style w:type="paragraph" w:styleId="TOC4">
    <w:name w:val="toc 4"/>
    <w:basedOn w:val="afc"/>
    <w:next w:val="afc"/>
    <w:semiHidden/>
    <w:pPr>
      <w:tabs>
        <w:tab w:val="right" w:leader="dot" w:pos="9241"/>
      </w:tabs>
      <w:ind w:firstLineChars="200" w:firstLine="198"/>
      <w:jc w:val="left"/>
    </w:pPr>
    <w:rPr>
      <w:rFonts w:ascii="宋体"/>
      <w:szCs w:val="21"/>
    </w:rPr>
  </w:style>
  <w:style w:type="paragraph" w:styleId="afb">
    <w:name w:val="index heading"/>
    <w:basedOn w:val="afc"/>
    <w:next w:val="11"/>
    <w:pPr>
      <w:spacing w:before="120" w:after="120"/>
      <w:jc w:val="center"/>
    </w:pPr>
    <w:rPr>
      <w:rFonts w:ascii="Calibri" w:hAnsi="Calibri"/>
      <w:b/>
      <w:bCs/>
      <w:iCs/>
      <w:szCs w:val="20"/>
    </w:rPr>
  </w:style>
  <w:style w:type="paragraph" w:styleId="11">
    <w:name w:val="index 1"/>
    <w:basedOn w:val="afc"/>
    <w:next w:val="affd"/>
    <w:pPr>
      <w:tabs>
        <w:tab w:val="right" w:leader="dot" w:pos="9299"/>
      </w:tabs>
      <w:jc w:val="left"/>
    </w:pPr>
    <w:rPr>
      <w:rFonts w:ascii="宋体"/>
      <w:szCs w:val="21"/>
    </w:rPr>
  </w:style>
  <w:style w:type="paragraph" w:customStyle="1" w:styleId="affd">
    <w:name w:val="段"/>
    <w:link w:val="Char"/>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c"/>
    <w:link w:val="affe"/>
    <w:pPr>
      <w:numPr>
        <w:numId w:val="1"/>
      </w:numPr>
      <w:snapToGrid w:val="0"/>
      <w:jc w:val="left"/>
    </w:pPr>
    <w:rPr>
      <w:rFonts w:ascii="宋体"/>
      <w:sz w:val="18"/>
      <w:szCs w:val="18"/>
    </w:rPr>
  </w:style>
  <w:style w:type="paragraph" w:styleId="TOC6">
    <w:name w:val="toc 6"/>
    <w:basedOn w:val="afc"/>
    <w:next w:val="afc"/>
    <w:semiHidden/>
    <w:pPr>
      <w:tabs>
        <w:tab w:val="right" w:leader="dot" w:pos="9241"/>
      </w:tabs>
      <w:ind w:firstLineChars="400" w:firstLine="403"/>
      <w:jc w:val="left"/>
    </w:pPr>
    <w:rPr>
      <w:rFonts w:ascii="宋体"/>
      <w:szCs w:val="21"/>
    </w:rPr>
  </w:style>
  <w:style w:type="paragraph" w:styleId="7">
    <w:name w:val="index 7"/>
    <w:basedOn w:val="afc"/>
    <w:next w:val="afc"/>
    <w:pPr>
      <w:ind w:left="1470" w:hanging="210"/>
      <w:jc w:val="left"/>
    </w:pPr>
    <w:rPr>
      <w:rFonts w:ascii="Calibri" w:hAnsi="Calibri"/>
      <w:sz w:val="20"/>
      <w:szCs w:val="20"/>
    </w:rPr>
  </w:style>
  <w:style w:type="paragraph" w:styleId="9">
    <w:name w:val="index 9"/>
    <w:basedOn w:val="afc"/>
    <w:next w:val="afc"/>
    <w:pPr>
      <w:ind w:left="1890" w:hanging="210"/>
      <w:jc w:val="left"/>
    </w:pPr>
    <w:rPr>
      <w:rFonts w:ascii="Calibri" w:hAnsi="Calibri"/>
      <w:sz w:val="20"/>
      <w:szCs w:val="20"/>
    </w:rPr>
  </w:style>
  <w:style w:type="paragraph" w:styleId="TOC2">
    <w:name w:val="toc 2"/>
    <w:basedOn w:val="afc"/>
    <w:next w:val="afc"/>
    <w:uiPriority w:val="39"/>
    <w:qFormat/>
    <w:pPr>
      <w:tabs>
        <w:tab w:val="right" w:leader="dot" w:pos="9241"/>
      </w:tabs>
    </w:pPr>
    <w:rPr>
      <w:rFonts w:ascii="宋体"/>
      <w:szCs w:val="21"/>
    </w:rPr>
  </w:style>
  <w:style w:type="paragraph" w:styleId="TOC9">
    <w:name w:val="toc 9"/>
    <w:basedOn w:val="afc"/>
    <w:next w:val="afc"/>
    <w:semiHidden/>
    <w:pPr>
      <w:ind w:left="1470"/>
      <w:jc w:val="left"/>
    </w:pPr>
    <w:rPr>
      <w:sz w:val="20"/>
      <w:szCs w:val="20"/>
    </w:rPr>
  </w:style>
  <w:style w:type="paragraph" w:styleId="afff">
    <w:name w:val="Normal (Web)"/>
    <w:basedOn w:val="afc"/>
    <w:uiPriority w:val="99"/>
    <w:unhideWhenUsed/>
    <w:pPr>
      <w:widowControl/>
      <w:spacing w:before="100" w:beforeAutospacing="1" w:after="100" w:afterAutospacing="1"/>
      <w:jc w:val="left"/>
    </w:pPr>
    <w:rPr>
      <w:rFonts w:ascii="宋体" w:hAnsi="宋体" w:cs="宋体"/>
      <w:kern w:val="0"/>
      <w:sz w:val="24"/>
    </w:rPr>
  </w:style>
  <w:style w:type="paragraph" w:styleId="2">
    <w:name w:val="index 2"/>
    <w:basedOn w:val="afc"/>
    <w:next w:val="afc"/>
    <w:pPr>
      <w:ind w:left="420" w:hanging="210"/>
      <w:jc w:val="left"/>
    </w:pPr>
    <w:rPr>
      <w:rFonts w:ascii="Calibri" w:hAnsi="Calibri"/>
      <w:sz w:val="20"/>
      <w:szCs w:val="20"/>
    </w:rPr>
  </w:style>
  <w:style w:type="paragraph" w:styleId="afff0">
    <w:name w:val="Title"/>
    <w:basedOn w:val="afc"/>
    <w:next w:val="afc"/>
    <w:link w:val="afff1"/>
    <w:qFormat/>
    <w:pPr>
      <w:spacing w:before="240" w:after="60"/>
      <w:jc w:val="center"/>
      <w:outlineLvl w:val="0"/>
    </w:pPr>
    <w:rPr>
      <w:rFonts w:ascii="Cambria" w:hAnsi="Cambria"/>
      <w:b/>
      <w:bCs/>
      <w:sz w:val="32"/>
      <w:szCs w:val="32"/>
    </w:rPr>
  </w:style>
  <w:style w:type="paragraph" w:styleId="afff2">
    <w:name w:val="annotation subject"/>
    <w:basedOn w:val="aff3"/>
    <w:next w:val="aff3"/>
    <w:link w:val="afff3"/>
    <w:rPr>
      <w:b/>
      <w:bCs/>
    </w:rPr>
  </w:style>
  <w:style w:type="table" w:styleId="afff4">
    <w:name w:val="Table Grid"/>
    <w:basedOn w:val="afe"/>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semiHidden/>
    <w:rPr>
      <w:vertAlign w:val="superscript"/>
    </w:rPr>
  </w:style>
  <w:style w:type="character" w:styleId="afff6">
    <w:name w:val="page number"/>
    <w:rPr>
      <w:rFonts w:ascii="Times New Roman" w:eastAsia="宋体" w:hAnsi="Times New Roman"/>
      <w:sz w:val="18"/>
    </w:rPr>
  </w:style>
  <w:style w:type="character" w:styleId="afff7">
    <w:name w:val="FollowedHyperlink"/>
    <w:rPr>
      <w:color w:val="800080"/>
      <w:u w:val="single"/>
    </w:rPr>
  </w:style>
  <w:style w:type="character" w:styleId="afff8">
    <w:name w:val="Hyperlink"/>
    <w:uiPriority w:val="99"/>
    <w:rPr>
      <w:color w:val="0000FF"/>
      <w:spacing w:val="0"/>
      <w:w w:val="100"/>
      <w:szCs w:val="21"/>
      <w:u w:val="single"/>
    </w:rPr>
  </w:style>
  <w:style w:type="character" w:styleId="afff9">
    <w:name w:val="annotation reference"/>
    <w:uiPriority w:val="99"/>
    <w:rPr>
      <w:sz w:val="21"/>
      <w:szCs w:val="21"/>
    </w:rPr>
  </w:style>
  <w:style w:type="character" w:styleId="afffa">
    <w:name w:val="footnote reference"/>
    <w:semiHidden/>
    <w:rPr>
      <w:vertAlign w:val="superscript"/>
    </w:rPr>
  </w:style>
  <w:style w:type="character" w:customStyle="1" w:styleId="affc">
    <w:name w:val="页眉 字符"/>
    <w:basedOn w:val="afd"/>
    <w:link w:val="affb"/>
    <w:rPr>
      <w:sz w:val="18"/>
      <w:szCs w:val="18"/>
    </w:rPr>
  </w:style>
  <w:style w:type="character" w:customStyle="1" w:styleId="affa">
    <w:name w:val="页脚 字符"/>
    <w:basedOn w:val="afd"/>
    <w:link w:val="aff9"/>
    <w:uiPriority w:val="99"/>
    <w:rPr>
      <w:sz w:val="18"/>
      <w:szCs w:val="18"/>
    </w:rPr>
  </w:style>
  <w:style w:type="character" w:customStyle="1" w:styleId="10">
    <w:name w:val="标题 1 字符"/>
    <w:basedOn w:val="afd"/>
    <w:link w:val="1"/>
    <w:rPr>
      <w:rFonts w:ascii="Times New Roman" w:eastAsia="宋体" w:hAnsi="Times New Roman" w:cs="Times New Roman"/>
      <w:b/>
      <w:bCs/>
      <w:kern w:val="44"/>
      <w:sz w:val="44"/>
      <w:szCs w:val="44"/>
    </w:rPr>
  </w:style>
  <w:style w:type="character" w:customStyle="1" w:styleId="Char">
    <w:name w:val="段 Char"/>
    <w:link w:val="affd"/>
    <w:rPr>
      <w:rFonts w:ascii="宋体" w:eastAsia="宋体" w:hAnsi="Times New Roman" w:cs="Times New Roman"/>
      <w:kern w:val="0"/>
      <w:szCs w:val="20"/>
    </w:rPr>
  </w:style>
  <w:style w:type="paragraph" w:customStyle="1" w:styleId="a2">
    <w:name w:val="一级条标题"/>
    <w:next w:val="affd"/>
    <w:pPr>
      <w:numPr>
        <w:ilvl w:val="1"/>
        <w:numId w:val="2"/>
      </w:numPr>
      <w:spacing w:beforeLines="50" w:afterLines="50"/>
      <w:outlineLvl w:val="2"/>
    </w:pPr>
    <w:rPr>
      <w:rFonts w:ascii="黑体" w:eastAsia="黑体" w:hAnsi="Times New Roman" w:cs="Times New Roman"/>
      <w:sz w:val="21"/>
      <w:szCs w:val="21"/>
    </w:rPr>
  </w:style>
  <w:style w:type="paragraph" w:customStyle="1" w:styleId="afffb">
    <w:name w:val="标准书脚_奇数页"/>
    <w:pPr>
      <w:spacing w:before="120"/>
      <w:ind w:right="198"/>
      <w:jc w:val="right"/>
    </w:pPr>
    <w:rPr>
      <w:rFonts w:ascii="宋体" w:eastAsia="宋体" w:hAnsi="Times New Roman" w:cs="Times New Roman"/>
      <w:sz w:val="18"/>
      <w:szCs w:val="18"/>
    </w:rPr>
  </w:style>
  <w:style w:type="paragraph" w:customStyle="1" w:styleId="afffc">
    <w:name w:val="标准书眉_奇数页"/>
    <w:next w:val="afc"/>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d"/>
    <w:pPr>
      <w:numPr>
        <w:numId w:val="2"/>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pPr>
      <w:numPr>
        <w:ilvl w:val="2"/>
      </w:numPr>
      <w:spacing w:before="50" w:after="50"/>
      <w:ind w:left="709"/>
      <w:outlineLvl w:val="3"/>
    </w:pPr>
  </w:style>
  <w:style w:type="paragraph" w:customStyle="1" w:styleId="20">
    <w:name w:val="封面标准号2"/>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pPr>
      <w:widowControl w:val="0"/>
      <w:numPr>
        <w:numId w:val="3"/>
      </w:numPr>
      <w:jc w:val="both"/>
    </w:pPr>
    <w:rPr>
      <w:rFonts w:ascii="宋体" w:eastAsia="宋体" w:hAnsi="Times New Roman" w:cs="Times New Roman"/>
      <w:sz w:val="21"/>
    </w:rPr>
  </w:style>
  <w:style w:type="paragraph" w:customStyle="1" w:styleId="aa">
    <w:name w:val="列项●（二级）"/>
    <w:pPr>
      <w:numPr>
        <w:ilvl w:val="1"/>
        <w:numId w:val="3"/>
      </w:numPr>
      <w:tabs>
        <w:tab w:val="left" w:pos="840"/>
      </w:tabs>
      <w:jc w:val="both"/>
    </w:pPr>
    <w:rPr>
      <w:rFonts w:ascii="宋体" w:eastAsia="宋体" w:hAnsi="Times New Roman" w:cs="Times New Roman"/>
      <w:sz w:val="21"/>
    </w:rPr>
  </w:style>
  <w:style w:type="paragraph" w:customStyle="1" w:styleId="afffd">
    <w:name w:val="目次、标准名称标题"/>
    <w:basedOn w:val="afc"/>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ffe">
    <w:name w:val="示例"/>
    <w:next w:val="affff"/>
    <w:pPr>
      <w:widowControl w:val="0"/>
      <w:ind w:firstLine="363"/>
      <w:jc w:val="both"/>
    </w:pPr>
    <w:rPr>
      <w:rFonts w:ascii="宋体" w:eastAsia="宋体" w:hAnsi="Times New Roman" w:cs="Times New Roman"/>
      <w:sz w:val="18"/>
      <w:szCs w:val="18"/>
    </w:rPr>
  </w:style>
  <w:style w:type="paragraph" w:customStyle="1" w:styleId="affff">
    <w:name w:val="示例内容"/>
    <w:pPr>
      <w:ind w:firstLineChars="200" w:firstLine="200"/>
    </w:pPr>
    <w:rPr>
      <w:rFonts w:ascii="宋体" w:eastAsia="宋体" w:hAnsi="Times New Roman" w:cs="Times New Roman"/>
      <w:sz w:val="18"/>
      <w:szCs w:val="18"/>
    </w:rPr>
  </w:style>
  <w:style w:type="paragraph" w:customStyle="1" w:styleId="ae">
    <w:name w:val="数字编号列项（二级）"/>
    <w:pPr>
      <w:numPr>
        <w:ilvl w:val="1"/>
        <w:numId w:val="4"/>
      </w:numPr>
      <w:jc w:val="both"/>
    </w:pPr>
    <w:rPr>
      <w:rFonts w:ascii="宋体" w:eastAsia="宋体" w:hAnsi="Times New Roman" w:cs="Times New Roman"/>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ffff0">
    <w:name w:val="注："/>
    <w:next w:val="affd"/>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5"/>
      </w:numPr>
      <w:autoSpaceDE w:val="0"/>
      <w:autoSpaceDN w:val="0"/>
      <w:jc w:val="both"/>
    </w:pPr>
    <w:rPr>
      <w:rFonts w:ascii="宋体" w:eastAsia="宋体" w:hAnsi="Times New Roman" w:cs="Times New Roman"/>
      <w:sz w:val="18"/>
      <w:szCs w:val="18"/>
    </w:rPr>
  </w:style>
  <w:style w:type="paragraph" w:customStyle="1" w:styleId="ad">
    <w:name w:val="字母编号列项（一级）"/>
    <w:pPr>
      <w:numPr>
        <w:numId w:val="4"/>
      </w:numPr>
      <w:jc w:val="both"/>
    </w:pPr>
    <w:rPr>
      <w:rFonts w:ascii="宋体" w:eastAsia="宋体" w:hAnsi="Times New Roman" w:cs="Times New Roman"/>
      <w:sz w:val="21"/>
    </w:rPr>
  </w:style>
  <w:style w:type="paragraph" w:customStyle="1" w:styleId="ab">
    <w:name w:val="列项◆（三级）"/>
    <w:basedOn w:val="afc"/>
    <w:pPr>
      <w:numPr>
        <w:ilvl w:val="2"/>
        <w:numId w:val="3"/>
      </w:numPr>
    </w:pPr>
    <w:rPr>
      <w:rFonts w:ascii="宋体"/>
      <w:szCs w:val="21"/>
    </w:rPr>
  </w:style>
  <w:style w:type="paragraph" w:customStyle="1" w:styleId="af">
    <w:name w:val="编号列项（三级）"/>
    <w:pPr>
      <w:numPr>
        <w:ilvl w:val="2"/>
        <w:numId w:val="4"/>
      </w:numPr>
    </w:pPr>
    <w:rPr>
      <w:rFonts w:ascii="宋体" w:eastAsia="宋体" w:hAnsi="Times New Roman" w:cs="Times New Roman"/>
      <w:sz w:val="21"/>
    </w:rPr>
  </w:style>
  <w:style w:type="paragraph" w:customStyle="1" w:styleId="affff1">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2">
    <w:name w:val="二级无"/>
    <w:basedOn w:val="a3"/>
    <w:pPr>
      <w:spacing w:beforeLines="0" w:afterLines="0"/>
    </w:pPr>
    <w:rPr>
      <w:rFonts w:ascii="宋体" w:eastAsia="宋体"/>
    </w:rPr>
  </w:style>
  <w:style w:type="paragraph" w:customStyle="1" w:styleId="affff3">
    <w:name w:val="注：（正文）"/>
    <w:basedOn w:val="affff0"/>
    <w:next w:val="affd"/>
  </w:style>
  <w:style w:type="paragraph" w:customStyle="1" w:styleId="a0">
    <w:name w:val="注×：（正文）"/>
    <w:pPr>
      <w:numPr>
        <w:numId w:val="6"/>
      </w:numPr>
      <w:jc w:val="both"/>
    </w:pPr>
    <w:rPr>
      <w:rFonts w:ascii="宋体" w:eastAsia="宋体" w:hAnsi="Times New Roman" w:cs="Times New Roman"/>
      <w:sz w:val="18"/>
      <w:szCs w:val="18"/>
    </w:rPr>
  </w:style>
  <w:style w:type="paragraph" w:customStyle="1" w:styleId="affff4">
    <w:name w:val="标准标志"/>
    <w:next w:val="afc"/>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5">
    <w:name w:val="标准称谓"/>
    <w:next w:val="af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6">
    <w:name w:val="标准书脚_偶数页"/>
    <w:pPr>
      <w:spacing w:before="120"/>
      <w:ind w:left="221"/>
    </w:pPr>
    <w:rPr>
      <w:rFonts w:ascii="宋体" w:eastAsia="宋体" w:hAnsi="Times New Roman" w:cs="Times New Roman"/>
      <w:sz w:val="18"/>
      <w:szCs w:val="18"/>
    </w:rPr>
  </w:style>
  <w:style w:type="paragraph" w:customStyle="1" w:styleId="affff7">
    <w:name w:val="标准书眉_偶数页"/>
    <w:basedOn w:val="afffc"/>
    <w:next w:val="afc"/>
    <w:pPr>
      <w:jc w:val="left"/>
    </w:pPr>
  </w:style>
  <w:style w:type="paragraph" w:customStyle="1" w:styleId="affff8">
    <w:name w:val="标准书眉一"/>
    <w:pPr>
      <w:jc w:val="both"/>
    </w:pPr>
    <w:rPr>
      <w:rFonts w:ascii="Times New Roman" w:eastAsia="宋体" w:hAnsi="Times New Roman" w:cs="Times New Roman"/>
    </w:rPr>
  </w:style>
  <w:style w:type="paragraph" w:customStyle="1" w:styleId="affff9">
    <w:name w:val="参考文献"/>
    <w:basedOn w:val="afc"/>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a">
    <w:name w:val="参考文献、索引标题"/>
    <w:basedOn w:val="afc"/>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b">
    <w:name w:val="发布"/>
    <w:basedOn w:val="afd"/>
    <w:rPr>
      <w:rFonts w:ascii="黑体" w:eastAsia="黑体"/>
      <w:spacing w:val="85"/>
      <w:w w:val="100"/>
      <w:position w:val="3"/>
      <w:sz w:val="28"/>
      <w:szCs w:val="28"/>
    </w:rPr>
  </w:style>
  <w:style w:type="paragraph" w:customStyle="1" w:styleId="affffc">
    <w:name w:val="发布部门"/>
    <w:next w:val="affd"/>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d">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e">
    <w:name w:val="封面标准代替信息"/>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0">
    <w:name w:val="封面标准英文名称"/>
    <w:basedOn w:val="afffff"/>
    <w:pPr>
      <w:framePr w:wrap="around"/>
      <w:spacing w:before="370" w:line="400" w:lineRule="exact"/>
    </w:pPr>
    <w:rPr>
      <w:rFonts w:ascii="Times New Roman"/>
      <w:sz w:val="28"/>
      <w:szCs w:val="28"/>
    </w:rPr>
  </w:style>
  <w:style w:type="paragraph" w:customStyle="1" w:styleId="afffff1">
    <w:name w:val="封面一致性程度标识"/>
    <w:basedOn w:val="afffff0"/>
    <w:pPr>
      <w:framePr w:wrap="around"/>
      <w:spacing w:before="440"/>
    </w:pPr>
    <w:rPr>
      <w:rFonts w:ascii="宋体" w:eastAsia="宋体"/>
    </w:rPr>
  </w:style>
  <w:style w:type="paragraph" w:customStyle="1" w:styleId="afffff2">
    <w:name w:val="封面标准文稿类别"/>
    <w:basedOn w:val="afffff1"/>
    <w:pPr>
      <w:framePr w:wrap="around"/>
      <w:spacing w:after="160" w:line="240" w:lineRule="auto"/>
    </w:pPr>
    <w:rPr>
      <w:sz w:val="24"/>
    </w:rPr>
  </w:style>
  <w:style w:type="paragraph" w:customStyle="1" w:styleId="afffff3">
    <w:name w:val="封面标准文稿编辑信息"/>
    <w:basedOn w:val="afffff2"/>
    <w:pPr>
      <w:framePr w:wrap="around"/>
      <w:spacing w:before="180" w:line="180" w:lineRule="exact"/>
    </w:pPr>
    <w:rPr>
      <w:sz w:val="21"/>
    </w:rPr>
  </w:style>
  <w:style w:type="paragraph" w:customStyle="1" w:styleId="afffff4">
    <w:name w:val="封面正文"/>
    <w:pPr>
      <w:jc w:val="both"/>
    </w:pPr>
    <w:rPr>
      <w:rFonts w:ascii="Times New Roman" w:eastAsia="宋体" w:hAnsi="Times New Roman" w:cs="Times New Roman"/>
    </w:rPr>
  </w:style>
  <w:style w:type="paragraph" w:customStyle="1" w:styleId="af2">
    <w:name w:val="附录标识"/>
    <w:basedOn w:val="afc"/>
    <w:next w:val="affd"/>
    <w:pPr>
      <w:keepNext/>
      <w:widowControl/>
      <w:numPr>
        <w:numId w:val="7"/>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5">
    <w:name w:val="附录标题"/>
    <w:basedOn w:val="affd"/>
    <w:next w:val="affd"/>
    <w:pPr>
      <w:ind w:firstLineChars="0" w:firstLine="0"/>
      <w:jc w:val="center"/>
    </w:pPr>
    <w:rPr>
      <w:rFonts w:ascii="黑体" w:eastAsia="黑体"/>
    </w:rPr>
  </w:style>
  <w:style w:type="paragraph" w:customStyle="1" w:styleId="af0">
    <w:name w:val="附录表标号"/>
    <w:basedOn w:val="afc"/>
    <w:next w:val="affd"/>
    <w:pPr>
      <w:numPr>
        <w:numId w:val="8"/>
      </w:numPr>
      <w:tabs>
        <w:tab w:val="clear" w:pos="0"/>
      </w:tabs>
      <w:spacing w:line="14" w:lineRule="exact"/>
      <w:ind w:left="811" w:hanging="448"/>
      <w:jc w:val="center"/>
      <w:outlineLvl w:val="0"/>
    </w:pPr>
    <w:rPr>
      <w:color w:val="FFFFFF"/>
    </w:rPr>
  </w:style>
  <w:style w:type="paragraph" w:customStyle="1" w:styleId="af1">
    <w:name w:val="附录表标题"/>
    <w:basedOn w:val="afc"/>
    <w:next w:val="affd"/>
    <w:pPr>
      <w:numPr>
        <w:ilvl w:val="1"/>
        <w:numId w:val="8"/>
      </w:numPr>
      <w:spacing w:beforeLines="50" w:afterLines="50"/>
      <w:jc w:val="center"/>
    </w:pPr>
    <w:rPr>
      <w:rFonts w:ascii="黑体" w:eastAsia="黑体"/>
      <w:szCs w:val="21"/>
    </w:rPr>
  </w:style>
  <w:style w:type="paragraph" w:customStyle="1" w:styleId="af5">
    <w:name w:val="附录二级条标题"/>
    <w:basedOn w:val="afc"/>
    <w:next w:val="affd"/>
    <w:pPr>
      <w:widowControl/>
      <w:numPr>
        <w:ilvl w:val="3"/>
        <w:numId w:val="7"/>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6">
    <w:name w:val="附录二级无"/>
    <w:basedOn w:val="af5"/>
    <w:pPr>
      <w:spacing w:beforeLines="0" w:afterLines="0"/>
    </w:pPr>
    <w:rPr>
      <w:rFonts w:ascii="宋体" w:eastAsia="宋体"/>
      <w:szCs w:val="21"/>
    </w:rPr>
  </w:style>
  <w:style w:type="paragraph" w:customStyle="1" w:styleId="afffff7">
    <w:name w:val="附录公式"/>
    <w:basedOn w:val="affd"/>
    <w:next w:val="affd"/>
    <w:link w:val="Char0"/>
    <w:qFormat/>
  </w:style>
  <w:style w:type="character" w:customStyle="1" w:styleId="Char0">
    <w:name w:val="附录公式 Char"/>
    <w:link w:val="afffff7"/>
    <w:rPr>
      <w:rFonts w:ascii="宋体" w:eastAsia="宋体" w:hAnsi="Times New Roman" w:cs="Times New Roman"/>
      <w:kern w:val="0"/>
      <w:szCs w:val="20"/>
    </w:rPr>
  </w:style>
  <w:style w:type="paragraph" w:customStyle="1" w:styleId="afffff8">
    <w:name w:val="附录公式编号制表符"/>
    <w:basedOn w:val="afc"/>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pPr>
      <w:numPr>
        <w:ilvl w:val="4"/>
      </w:numPr>
      <w:tabs>
        <w:tab w:val="left" w:pos="360"/>
      </w:tabs>
      <w:outlineLvl w:val="4"/>
    </w:pPr>
  </w:style>
  <w:style w:type="paragraph" w:customStyle="1" w:styleId="afffff9">
    <w:name w:val="附录三级无"/>
    <w:basedOn w:val="af6"/>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9"/>
      </w:numPr>
    </w:pPr>
    <w:rPr>
      <w:rFonts w:ascii="宋体" w:eastAsia="宋体" w:hAnsi="Times New Roman" w:cs="Times New Roman"/>
      <w:sz w:val="21"/>
    </w:rPr>
  </w:style>
  <w:style w:type="paragraph" w:customStyle="1" w:styleId="af7">
    <w:name w:val="附录四级条标题"/>
    <w:basedOn w:val="af6"/>
    <w:next w:val="affd"/>
    <w:pPr>
      <w:numPr>
        <w:ilvl w:val="5"/>
      </w:numPr>
      <w:outlineLvl w:val="5"/>
    </w:pPr>
  </w:style>
  <w:style w:type="paragraph" w:customStyle="1" w:styleId="afffffa">
    <w:name w:val="附录四级无"/>
    <w:basedOn w:val="af7"/>
    <w:pPr>
      <w:tabs>
        <w:tab w:val="clear" w:pos="360"/>
      </w:tabs>
      <w:spacing w:beforeLines="0" w:afterLines="0"/>
    </w:pPr>
    <w:rPr>
      <w:rFonts w:ascii="宋体" w:eastAsia="宋体"/>
      <w:szCs w:val="21"/>
    </w:rPr>
  </w:style>
  <w:style w:type="paragraph" w:customStyle="1" w:styleId="a7">
    <w:name w:val="附录图标号"/>
    <w:basedOn w:val="afc"/>
    <w:pPr>
      <w:keepNext/>
      <w:pageBreakBefore/>
      <w:widowControl/>
      <w:numPr>
        <w:numId w:val="10"/>
      </w:numPr>
      <w:spacing w:line="14" w:lineRule="exact"/>
      <w:ind w:left="0" w:firstLine="363"/>
      <w:jc w:val="center"/>
      <w:outlineLvl w:val="0"/>
    </w:pPr>
    <w:rPr>
      <w:color w:val="FFFFFF"/>
    </w:rPr>
  </w:style>
  <w:style w:type="paragraph" w:customStyle="1" w:styleId="a8">
    <w:name w:val="附录图标题"/>
    <w:basedOn w:val="afc"/>
    <w:next w:val="affd"/>
    <w:pPr>
      <w:numPr>
        <w:ilvl w:val="1"/>
        <w:numId w:val="10"/>
      </w:numPr>
      <w:spacing w:beforeLines="50" w:afterLines="50"/>
      <w:jc w:val="center"/>
    </w:pPr>
    <w:rPr>
      <w:rFonts w:ascii="黑体" w:eastAsia="黑体"/>
      <w:szCs w:val="21"/>
    </w:rPr>
  </w:style>
  <w:style w:type="paragraph" w:customStyle="1" w:styleId="af8">
    <w:name w:val="附录五级条标题"/>
    <w:basedOn w:val="af7"/>
    <w:next w:val="affd"/>
    <w:pPr>
      <w:numPr>
        <w:ilvl w:val="6"/>
      </w:numPr>
      <w:outlineLvl w:val="6"/>
    </w:pPr>
  </w:style>
  <w:style w:type="paragraph" w:customStyle="1" w:styleId="afffffb">
    <w:name w:val="附录五级无"/>
    <w:basedOn w:val="af8"/>
    <w:pPr>
      <w:tabs>
        <w:tab w:val="clear" w:pos="360"/>
      </w:tabs>
      <w:spacing w:beforeLines="0" w:afterLines="0"/>
    </w:pPr>
    <w:rPr>
      <w:rFonts w:ascii="宋体" w:eastAsia="宋体"/>
      <w:szCs w:val="21"/>
    </w:rPr>
  </w:style>
  <w:style w:type="paragraph" w:customStyle="1" w:styleId="af3">
    <w:name w:val="附录章标题"/>
    <w:next w:val="affd"/>
    <w:pPr>
      <w:numPr>
        <w:ilvl w:val="1"/>
        <w:numId w:val="7"/>
      </w:num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d"/>
    <w:pPr>
      <w:numPr>
        <w:ilvl w:val="2"/>
      </w:numPr>
      <w:autoSpaceDN w:val="0"/>
      <w:spacing w:beforeLines="50" w:afterLines="50"/>
      <w:outlineLvl w:val="2"/>
    </w:pPr>
  </w:style>
  <w:style w:type="paragraph" w:customStyle="1" w:styleId="afffffc">
    <w:name w:val="附录一级无"/>
    <w:basedOn w:val="af4"/>
    <w:pPr>
      <w:spacing w:beforeLines="0" w:afterLines="0"/>
    </w:pPr>
    <w:rPr>
      <w:rFonts w:ascii="宋体" w:eastAsia="宋体"/>
      <w:szCs w:val="21"/>
    </w:rPr>
  </w:style>
  <w:style w:type="paragraph" w:customStyle="1" w:styleId="af9">
    <w:name w:val="附录字母编号列项（一级）"/>
    <w:qFormat/>
    <w:pPr>
      <w:numPr>
        <w:numId w:val="9"/>
      </w:numPr>
    </w:pPr>
    <w:rPr>
      <w:rFonts w:ascii="宋体" w:eastAsia="宋体" w:hAnsi="Times New Roman" w:cs="Times New Roman"/>
      <w:sz w:val="21"/>
    </w:rPr>
  </w:style>
  <w:style w:type="character" w:customStyle="1" w:styleId="affe">
    <w:name w:val="脚注文本 字符"/>
    <w:basedOn w:val="afd"/>
    <w:link w:val="ac"/>
    <w:rPr>
      <w:rFonts w:ascii="宋体" w:eastAsia="宋体" w:hAnsi="Times New Roman" w:cs="Times New Roman"/>
      <w:sz w:val="18"/>
      <w:szCs w:val="18"/>
    </w:rPr>
  </w:style>
  <w:style w:type="paragraph" w:customStyle="1" w:styleId="afffffd">
    <w:name w:val="列项说明"/>
    <w:basedOn w:val="afc"/>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列项说明数字编号"/>
    <w:pPr>
      <w:ind w:leftChars="400" w:left="600" w:hangingChars="200" w:hanging="200"/>
    </w:pPr>
    <w:rPr>
      <w:rFonts w:ascii="宋体" w:eastAsia="宋体" w:hAnsi="Times New Roman" w:cs="Times New Roman"/>
      <w:sz w:val="21"/>
    </w:rPr>
  </w:style>
  <w:style w:type="paragraph" w:customStyle="1" w:styleId="affffff">
    <w:name w:val="目次、索引正文"/>
    <w:pPr>
      <w:spacing w:line="320" w:lineRule="exact"/>
      <w:jc w:val="both"/>
    </w:pPr>
    <w:rPr>
      <w:rFonts w:ascii="宋体" w:eastAsia="宋体" w:hAnsi="Times New Roman" w:cs="Times New Roman"/>
      <w:sz w:val="21"/>
    </w:rPr>
  </w:style>
  <w:style w:type="paragraph" w:customStyle="1" w:styleId="affffff0">
    <w:name w:val="其他标准标志"/>
    <w:basedOn w:val="affff4"/>
    <w:qFormat/>
    <w:pPr>
      <w:framePr w:w="6101" w:wrap="around" w:vAnchor="page" w:hAnchor="page" w:x="4673" w:y="942"/>
    </w:pPr>
    <w:rPr>
      <w:w w:val="130"/>
    </w:rPr>
  </w:style>
  <w:style w:type="paragraph" w:customStyle="1" w:styleId="affffff1">
    <w:name w:val="其他标准称谓"/>
    <w:next w:val="afc"/>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2">
    <w:name w:val="其他发布部门"/>
    <w:basedOn w:val="affffc"/>
    <w:pPr>
      <w:framePr w:wrap="around" w:y="15310"/>
      <w:spacing w:line="0" w:lineRule="atLeast"/>
    </w:pPr>
    <w:rPr>
      <w:rFonts w:ascii="黑体" w:eastAsia="黑体"/>
      <w:b w:val="0"/>
    </w:rPr>
  </w:style>
  <w:style w:type="paragraph" w:customStyle="1" w:styleId="affffff3">
    <w:name w:val="前言、引言标题"/>
    <w:next w:val="affd"/>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4">
    <w:name w:val="三级无"/>
    <w:basedOn w:val="a4"/>
    <w:pPr>
      <w:spacing w:beforeLines="0" w:afterLines="0"/>
    </w:pPr>
    <w:rPr>
      <w:rFonts w:ascii="宋体" w:eastAsia="宋体"/>
    </w:rPr>
  </w:style>
  <w:style w:type="paragraph" w:customStyle="1" w:styleId="affffff5">
    <w:name w:val="实施日期"/>
    <w:basedOn w:val="affffd"/>
    <w:pPr>
      <w:framePr w:wrap="around" w:vAnchor="page" w:hAnchor="text"/>
      <w:jc w:val="right"/>
    </w:pPr>
  </w:style>
  <w:style w:type="paragraph" w:customStyle="1" w:styleId="affffff6">
    <w:name w:val="示例后文字"/>
    <w:basedOn w:val="affd"/>
    <w:next w:val="affd"/>
    <w:qFormat/>
    <w:pPr>
      <w:ind w:firstLine="360"/>
    </w:pPr>
    <w:rPr>
      <w:sz w:val="18"/>
    </w:rPr>
  </w:style>
  <w:style w:type="paragraph" w:customStyle="1" w:styleId="affffff7">
    <w:name w:val="首示例"/>
    <w:next w:val="affd"/>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7"/>
    <w:rPr>
      <w:rFonts w:ascii="宋体" w:eastAsia="宋体" w:hAnsi="宋体" w:cs="Times New Roman"/>
      <w:sz w:val="18"/>
      <w:szCs w:val="18"/>
    </w:rPr>
  </w:style>
  <w:style w:type="paragraph" w:customStyle="1" w:styleId="affffff8">
    <w:name w:val="四级无"/>
    <w:basedOn w:val="a5"/>
    <w:pPr>
      <w:spacing w:beforeLines="0" w:afterLines="0"/>
    </w:pPr>
    <w:rPr>
      <w:rFonts w:ascii="宋体" w:eastAsia="宋体"/>
    </w:rPr>
  </w:style>
  <w:style w:type="paragraph" w:customStyle="1" w:styleId="affffff9">
    <w:name w:val="条文脚注"/>
    <w:basedOn w:val="ac"/>
    <w:pPr>
      <w:numPr>
        <w:numId w:val="0"/>
      </w:numPr>
      <w:jc w:val="both"/>
    </w:pPr>
  </w:style>
  <w:style w:type="paragraph" w:customStyle="1" w:styleId="affffffa">
    <w:name w:val="图标脚注说明"/>
    <w:basedOn w:val="affd"/>
    <w:pPr>
      <w:ind w:left="840" w:firstLineChars="0" w:hanging="420"/>
    </w:pPr>
    <w:rPr>
      <w:sz w:val="18"/>
      <w:szCs w:val="18"/>
    </w:rPr>
  </w:style>
  <w:style w:type="paragraph" w:customStyle="1" w:styleId="affffffb">
    <w:name w:val="图表脚注说明"/>
    <w:basedOn w:val="afc"/>
    <w:pPr>
      <w:ind w:left="544" w:hanging="181"/>
    </w:pPr>
    <w:rPr>
      <w:rFonts w:ascii="宋体"/>
      <w:sz w:val="18"/>
      <w:szCs w:val="18"/>
    </w:rPr>
  </w:style>
  <w:style w:type="paragraph" w:customStyle="1" w:styleId="affffffc">
    <w:name w:val="图的脚注"/>
    <w:next w:val="affd"/>
    <w:qFormat/>
    <w:pPr>
      <w:widowControl w:val="0"/>
      <w:ind w:leftChars="200" w:left="840" w:hangingChars="200" w:hanging="420"/>
      <w:jc w:val="both"/>
    </w:pPr>
    <w:rPr>
      <w:rFonts w:ascii="宋体" w:eastAsia="宋体" w:hAnsi="Times New Roman" w:cs="Times New Roman"/>
      <w:sz w:val="18"/>
    </w:rPr>
  </w:style>
  <w:style w:type="character" w:customStyle="1" w:styleId="aff6">
    <w:name w:val="尾注文本 字符"/>
    <w:basedOn w:val="afd"/>
    <w:link w:val="aff5"/>
    <w:semiHidden/>
    <w:rPr>
      <w:rFonts w:ascii="Times New Roman" w:eastAsia="宋体" w:hAnsi="Times New Roman" w:cs="Times New Roman"/>
      <w:szCs w:val="24"/>
    </w:rPr>
  </w:style>
  <w:style w:type="character" w:customStyle="1" w:styleId="aff2">
    <w:name w:val="文档结构图 字符"/>
    <w:basedOn w:val="afd"/>
    <w:link w:val="aff1"/>
    <w:semiHidden/>
    <w:rPr>
      <w:rFonts w:ascii="Times New Roman" w:eastAsia="宋体" w:hAnsi="Times New Roman" w:cs="Times New Roman"/>
      <w:szCs w:val="24"/>
      <w:shd w:val="clear" w:color="auto" w:fill="000080"/>
    </w:rPr>
  </w:style>
  <w:style w:type="paragraph" w:customStyle="1" w:styleId="affffffd">
    <w:name w:val="文献分类号"/>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e">
    <w:name w:val="五级无"/>
    <w:basedOn w:val="a6"/>
    <w:pPr>
      <w:spacing w:beforeLines="0" w:afterLines="0"/>
    </w:pPr>
    <w:rPr>
      <w:rFonts w:ascii="宋体" w:eastAsia="宋体"/>
    </w:rPr>
  </w:style>
  <w:style w:type="paragraph" w:customStyle="1" w:styleId="afffffff">
    <w:name w:val="一级无"/>
    <w:basedOn w:val="a2"/>
    <w:pPr>
      <w:spacing w:beforeLines="0" w:afterLines="0"/>
    </w:pPr>
    <w:rPr>
      <w:rFonts w:ascii="宋体" w:eastAsia="宋体"/>
    </w:rPr>
  </w:style>
  <w:style w:type="paragraph" w:customStyle="1" w:styleId="afffffff0">
    <w:name w:val="正文表标题"/>
    <w:next w:val="affd"/>
    <w:pPr>
      <w:tabs>
        <w:tab w:val="left" w:pos="360"/>
      </w:tabs>
      <w:spacing w:beforeLines="50" w:afterLines="50"/>
      <w:jc w:val="center"/>
    </w:pPr>
    <w:rPr>
      <w:rFonts w:ascii="黑体" w:eastAsia="黑体" w:hAnsi="Times New Roman" w:cs="Times New Roman"/>
      <w:sz w:val="21"/>
    </w:rPr>
  </w:style>
  <w:style w:type="paragraph" w:customStyle="1" w:styleId="afffffff1">
    <w:name w:val="正文公式编号制表符"/>
    <w:basedOn w:val="affd"/>
    <w:next w:val="affd"/>
    <w:qFormat/>
    <w:pPr>
      <w:ind w:firstLineChars="0" w:firstLine="0"/>
    </w:pPr>
  </w:style>
  <w:style w:type="paragraph" w:customStyle="1" w:styleId="afffffff2">
    <w:name w:val="正文图标题"/>
    <w:next w:val="affd"/>
    <w:pPr>
      <w:tabs>
        <w:tab w:val="left" w:pos="360"/>
      </w:tabs>
      <w:spacing w:beforeLines="50" w:afterLines="50"/>
      <w:jc w:val="center"/>
    </w:pPr>
    <w:rPr>
      <w:rFonts w:ascii="黑体" w:eastAsia="黑体" w:hAnsi="Times New Roman" w:cs="Times New Roman"/>
      <w:sz w:val="21"/>
    </w:rPr>
  </w:style>
  <w:style w:type="paragraph" w:customStyle="1" w:styleId="afffffff3">
    <w:name w:val="终结线"/>
    <w:basedOn w:val="afc"/>
    <w:pPr>
      <w:framePr w:hSpace="181" w:vSpace="181" w:wrap="around" w:vAnchor="text" w:hAnchor="margin" w:xAlign="center" w:y="285"/>
    </w:pPr>
  </w:style>
  <w:style w:type="paragraph" w:customStyle="1" w:styleId="afffffff4">
    <w:name w:val="其他发布日期"/>
    <w:basedOn w:val="affffd"/>
    <w:pPr>
      <w:framePr w:wrap="around" w:vAnchor="page" w:hAnchor="text" w:x="1419"/>
    </w:pPr>
  </w:style>
  <w:style w:type="paragraph" w:customStyle="1" w:styleId="afffffff5">
    <w:name w:val="其他实施日期"/>
    <w:basedOn w:val="affffff5"/>
    <w:pPr>
      <w:framePr w:wrap="around"/>
    </w:pPr>
  </w:style>
  <w:style w:type="paragraph" w:customStyle="1" w:styleId="21">
    <w:name w:val="封面标准名称2"/>
    <w:basedOn w:val="afffff"/>
    <w:pPr>
      <w:framePr w:wrap="around" w:y="4469"/>
      <w:spacing w:beforeLines="630"/>
    </w:pPr>
  </w:style>
  <w:style w:type="paragraph" w:customStyle="1" w:styleId="22">
    <w:name w:val="封面标准英文名称2"/>
    <w:basedOn w:val="afffff0"/>
    <w:pPr>
      <w:framePr w:wrap="around" w:y="4469"/>
    </w:pPr>
  </w:style>
  <w:style w:type="paragraph" w:customStyle="1" w:styleId="23">
    <w:name w:val="封面一致性程度标识2"/>
    <w:basedOn w:val="afffff1"/>
    <w:pPr>
      <w:framePr w:wrap="around" w:y="4469"/>
    </w:pPr>
  </w:style>
  <w:style w:type="paragraph" w:customStyle="1" w:styleId="24">
    <w:name w:val="封面标准文稿类别2"/>
    <w:basedOn w:val="afffff2"/>
    <w:pPr>
      <w:framePr w:wrap="around" w:y="4469"/>
    </w:pPr>
  </w:style>
  <w:style w:type="paragraph" w:customStyle="1" w:styleId="25">
    <w:name w:val="封面标准文稿编辑信息2"/>
    <w:basedOn w:val="afffff3"/>
    <w:pPr>
      <w:framePr w:wrap="around" w:y="4469"/>
    </w:pPr>
  </w:style>
  <w:style w:type="paragraph" w:customStyle="1" w:styleId="afffffff6">
    <w:name w:val="标准文件_注："/>
    <w:next w:val="afc"/>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7">
    <w:name w:val="标准文件_段"/>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8">
    <w:name w:val="标准文件_章标题"/>
    <w:next w:val="afffffff7"/>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9">
    <w:name w:val="标准文件_一级条标题"/>
    <w:basedOn w:val="afffffff8"/>
    <w:next w:val="afffffff7"/>
    <w:pPr>
      <w:spacing w:beforeLines="0" w:afterLines="0"/>
      <w:ind w:leftChars="0" w:left="0"/>
      <w:outlineLvl w:val="2"/>
    </w:pPr>
  </w:style>
  <w:style w:type="paragraph" w:customStyle="1" w:styleId="afffffffa">
    <w:name w:val="标准文件_二级条标题"/>
    <w:basedOn w:val="afffffff9"/>
    <w:next w:val="afffffff7"/>
    <w:pPr>
      <w:outlineLvl w:val="3"/>
    </w:pPr>
  </w:style>
  <w:style w:type="paragraph" w:customStyle="1" w:styleId="afffffffb">
    <w:name w:val="前言标题"/>
    <w:next w:val="afc"/>
    <w:pPr>
      <w:shd w:val="clear" w:color="FFFFFF" w:fill="FFFFFF"/>
      <w:spacing w:before="540" w:after="600"/>
      <w:jc w:val="center"/>
      <w:outlineLvl w:val="0"/>
    </w:pPr>
    <w:rPr>
      <w:rFonts w:ascii="黑体" w:eastAsia="黑体" w:hAnsi="Times New Roman" w:cs="Times New Roman"/>
      <w:sz w:val="32"/>
    </w:rPr>
  </w:style>
  <w:style w:type="paragraph" w:customStyle="1" w:styleId="afffffffc">
    <w:name w:val="标准文件_三级条标题"/>
    <w:basedOn w:val="afffffffa"/>
    <w:next w:val="afffffff7"/>
    <w:pPr>
      <w:ind w:left="-50"/>
      <w:outlineLvl w:val="4"/>
    </w:pPr>
  </w:style>
  <w:style w:type="paragraph" w:customStyle="1" w:styleId="afffffffd">
    <w:name w:val="标准文件_四级条标题"/>
    <w:basedOn w:val="afffffffc"/>
    <w:next w:val="afffffff7"/>
    <w:pPr>
      <w:ind w:left="0"/>
      <w:outlineLvl w:val="5"/>
    </w:pPr>
  </w:style>
  <w:style w:type="paragraph" w:customStyle="1" w:styleId="afffffffe">
    <w:name w:val="标准文件_五级条标题"/>
    <w:basedOn w:val="afffffffd"/>
    <w:next w:val="afffffff7"/>
    <w:pPr>
      <w:outlineLvl w:val="6"/>
    </w:pPr>
  </w:style>
  <w:style w:type="paragraph" w:customStyle="1" w:styleId="affffffff">
    <w:name w:val="标准文件_正文公式"/>
    <w:basedOn w:val="afc"/>
    <w:next w:val="afc"/>
    <w:pPr>
      <w:tabs>
        <w:tab w:val="right" w:leader="middleDot" w:pos="0"/>
      </w:tabs>
      <w:adjustRightInd w:val="0"/>
      <w:spacing w:line="276" w:lineRule="auto"/>
      <w:jc w:val="right"/>
    </w:pPr>
    <w:rPr>
      <w:rFonts w:ascii="宋体"/>
      <w:szCs w:val="20"/>
    </w:rPr>
  </w:style>
  <w:style w:type="paragraph" w:customStyle="1" w:styleId="TableBodyCtr">
    <w:name w:val="Table Body Ctr"/>
    <w:basedOn w:val="afc"/>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c"/>
  </w:style>
  <w:style w:type="character" w:customStyle="1" w:styleId="aff8">
    <w:name w:val="批注框文本 字符"/>
    <w:basedOn w:val="afd"/>
    <w:link w:val="aff7"/>
    <w:rPr>
      <w:rFonts w:ascii="Times New Roman" w:eastAsia="宋体" w:hAnsi="Times New Roman" w:cs="Times New Roman"/>
      <w:sz w:val="18"/>
      <w:szCs w:val="18"/>
    </w:rPr>
  </w:style>
  <w:style w:type="character" w:customStyle="1" w:styleId="aff4">
    <w:name w:val="批注文字 字符"/>
    <w:basedOn w:val="afd"/>
    <w:link w:val="aff3"/>
    <w:rPr>
      <w:rFonts w:ascii="Times New Roman" w:eastAsia="宋体" w:hAnsi="Times New Roman" w:cs="Times New Roman"/>
      <w:szCs w:val="24"/>
    </w:rPr>
  </w:style>
  <w:style w:type="character" w:customStyle="1" w:styleId="afff3">
    <w:name w:val="批注主题 字符"/>
    <w:basedOn w:val="aff4"/>
    <w:link w:val="afff2"/>
    <w:rPr>
      <w:rFonts w:ascii="Times New Roman" w:eastAsia="宋体" w:hAnsi="Times New Roman" w:cs="Times New Roman"/>
      <w:b/>
      <w:bCs/>
      <w:szCs w:val="24"/>
    </w:rPr>
  </w:style>
  <w:style w:type="table" w:customStyle="1" w:styleId="13">
    <w:name w:val="网格型1"/>
    <w:basedOn w:val="afe"/>
    <w:uiPriority w:val="59"/>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rPr>
      <w:rFonts w:cs="Times New Roman"/>
      <w:sz w:val="24"/>
    </w:rPr>
  </w:style>
  <w:style w:type="paragraph" w:customStyle="1" w:styleId="AMDisplayEquation">
    <w:name w:val="AMDisplayEquation"/>
    <w:basedOn w:val="afc"/>
    <w:next w:val="afc"/>
    <w:link w:val="AMDisplayEquationChar"/>
    <w:pPr>
      <w:tabs>
        <w:tab w:val="center" w:pos="4160"/>
        <w:tab w:val="right" w:pos="8300"/>
      </w:tabs>
      <w:ind w:firstLineChars="200" w:firstLine="420"/>
    </w:pPr>
    <w:rPr>
      <w:rFonts w:ascii="Calibri" w:hAnsi="Calibri"/>
      <w:szCs w:val="22"/>
    </w:rPr>
  </w:style>
  <w:style w:type="character" w:customStyle="1" w:styleId="AMDisplayEquationChar">
    <w:name w:val="AMDisplayEquation Char"/>
    <w:link w:val="AMDisplayEquation"/>
    <w:rPr>
      <w:rFonts w:ascii="Calibri" w:eastAsia="宋体" w:hAnsi="Calibri" w:cs="Times New Roman"/>
    </w:rPr>
  </w:style>
  <w:style w:type="paragraph" w:customStyle="1" w:styleId="14">
    <w:name w:val="修订1"/>
    <w:hidden/>
    <w:uiPriority w:val="99"/>
    <w:semiHidden/>
    <w:rPr>
      <w:rFonts w:ascii="Times New Roman" w:eastAsia="宋体" w:hAnsi="Times New Roman" w:cs="Times New Roman"/>
      <w:kern w:val="2"/>
      <w:sz w:val="21"/>
      <w:szCs w:val="24"/>
    </w:rPr>
  </w:style>
  <w:style w:type="table" w:customStyle="1" w:styleId="26">
    <w:name w:val="网格型2"/>
    <w:basedOn w:val="afe"/>
    <w:uiPriority w:val="59"/>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0">
    <w:name w:val="List Paragraph"/>
    <w:basedOn w:val="afc"/>
    <w:uiPriority w:val="34"/>
    <w:qFormat/>
    <w:pPr>
      <w:ind w:firstLineChars="200" w:firstLine="420"/>
    </w:pPr>
    <w:rPr>
      <w:rFonts w:ascii="Calibri" w:hAnsi="Calibri"/>
      <w:szCs w:val="22"/>
    </w:rPr>
  </w:style>
  <w:style w:type="character" w:customStyle="1" w:styleId="afff1">
    <w:name w:val="标题 字符"/>
    <w:basedOn w:val="afd"/>
    <w:link w:val="afff0"/>
    <w:rPr>
      <w:rFonts w:ascii="Cambria" w:eastAsia="宋体" w:hAnsi="Cambria" w:cs="Times New Roman"/>
      <w:b/>
      <w:bCs/>
      <w:sz w:val="32"/>
      <w:szCs w:val="32"/>
    </w:rPr>
  </w:style>
  <w:style w:type="paragraph" w:customStyle="1" w:styleId="TOC10">
    <w:name w:val="TOC 标题1"/>
    <w:basedOn w:val="1"/>
    <w:next w:val="afc"/>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styleId="affffffff1">
    <w:name w:val="No Spacing"/>
    <w:link w:val="affffffff2"/>
    <w:uiPriority w:val="1"/>
    <w:qFormat/>
    <w:rPr>
      <w:sz w:val="22"/>
      <w:szCs w:val="22"/>
    </w:rPr>
  </w:style>
  <w:style w:type="character" w:customStyle="1" w:styleId="affffffff2">
    <w:name w:val="无间隔 字符"/>
    <w:basedOn w:val="afd"/>
    <w:link w:val="affffffff1"/>
    <w:uiPriority w:val="1"/>
    <w:rPr>
      <w:kern w:val="0"/>
      <w:sz w:val="22"/>
    </w:rPr>
  </w:style>
  <w:style w:type="character" w:styleId="affffffff3">
    <w:name w:val="Placeholder Text"/>
    <w:basedOn w:val="afd"/>
    <w:uiPriority w:val="99"/>
    <w:semiHidden/>
    <w:rPr>
      <w:color w:val="808080"/>
    </w:rPr>
  </w:style>
  <w:style w:type="paragraph" w:customStyle="1" w:styleId="affffffff4">
    <w:name w:val="标准文件_数字编号列项（二级）"/>
    <w:qFormat/>
    <w:pPr>
      <w:tabs>
        <w:tab w:val="left" w:pos="1259"/>
      </w:tabs>
      <w:ind w:left="420" w:hanging="42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827</Words>
  <Characters>4718</Characters>
  <Application>Microsoft Office Word</Application>
  <DocSecurity>0</DocSecurity>
  <Lines>39</Lines>
  <Paragraphs>11</Paragraphs>
  <ScaleCrop>false</ScaleCrop>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3</cp:revision>
  <cp:lastPrinted>2023-11-09T08:18:00Z</cp:lastPrinted>
  <dcterms:created xsi:type="dcterms:W3CDTF">2025-07-21T02:56:00Z</dcterms:created>
  <dcterms:modified xsi:type="dcterms:W3CDTF">2025-07-23T01:33:00Z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97B20FC95D17125C345177684270B36F_42</vt:lpwstr>
  </property>
</Properties>
</file>