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16DF" w:rsidRDefault="009333F2">
      <w:pPr>
        <w:pStyle w:val="affffff7"/>
        <w:framePr w:h="1801" w:hRule="exact" w:wrap="around"/>
      </w:pPr>
      <w:bookmarkStart w:id="0" w:name="_Hlk122552383"/>
      <w:bookmarkStart w:id="1" w:name="c1"/>
      <w:bookmarkEnd w:id="0"/>
      <w:r>
        <w:rPr>
          <w:rFonts w:ascii="Times New Roman"/>
        </w:rPr>
        <w:t>ICS</w:t>
      </w:r>
      <w:r>
        <w:rPr>
          <w:rFonts w:hAnsi="黑体"/>
        </w:rPr>
        <w:t> </w:t>
      </w:r>
      <w:r>
        <w:rPr>
          <w:rFonts w:hint="eastAsia"/>
        </w:rPr>
        <w:fldChar w:fldCharType="begin">
          <w:ffData>
            <w:name w:val="ICS"/>
            <w:enabled/>
            <w:calcOnExit w:val="0"/>
            <w:helpText w:type="text" w:val="请输入正确的ICS号："/>
            <w:textInput>
              <w:default w:val="27.120.10"/>
            </w:textInput>
          </w:ffData>
        </w:fldChar>
      </w:r>
      <w:r>
        <w:rPr>
          <w:rFonts w:hint="eastAsia"/>
        </w:rPr>
        <w:instrText>FORMTEXT</w:instrText>
      </w:r>
      <w:r>
        <w:rPr>
          <w:rFonts w:hint="eastAsia"/>
        </w:rPr>
      </w:r>
      <w:r>
        <w:rPr>
          <w:rFonts w:hint="eastAsia"/>
        </w:rPr>
        <w:fldChar w:fldCharType="separate"/>
      </w:r>
      <w:r>
        <w:rPr>
          <w:rFonts w:hint="eastAsia"/>
        </w:rPr>
        <w:t>27.120.20</w:t>
      </w:r>
      <w:r>
        <w:rPr>
          <w:rFonts w:hint="eastAsia"/>
        </w:rPr>
        <w:fldChar w:fldCharType="end"/>
      </w:r>
    </w:p>
    <w:p w:rsidR="008916DF" w:rsidRDefault="009333F2">
      <w:pPr>
        <w:pStyle w:val="affffff7"/>
        <w:framePr w:h="1801" w:hRule="exact" w:wrap="around"/>
      </w:pPr>
      <w:r>
        <w:rPr>
          <w:rFonts w:ascii="Times New Roman"/>
        </w:rPr>
        <w:t>CCS</w:t>
      </w:r>
      <w:r>
        <w:rPr>
          <w:rFonts w:ascii="Times New Roman" w:hint="eastAsia"/>
        </w:rPr>
        <w:t xml:space="preserve"> </w:t>
      </w:r>
      <w:r>
        <w:rPr>
          <w:rFonts w:hint="eastAsia"/>
        </w:rPr>
        <w:t>F 83</w:t>
      </w:r>
    </w:p>
    <w:p w:rsidR="008916DF" w:rsidRDefault="009333F2">
      <w:pPr>
        <w:pStyle w:val="affffff7"/>
        <w:framePr w:h="1801" w:hRule="exact" w:wrap="around"/>
        <w:jc w:val="right"/>
        <w:rPr>
          <w:rFonts w:ascii="Times New Roman"/>
          <w:b/>
          <w:bCs/>
          <w:w w:val="130"/>
          <w:sz w:val="96"/>
          <w:szCs w:val="96"/>
        </w:rPr>
      </w:pPr>
      <w:r>
        <w:rPr>
          <w:rFonts w:ascii="Times New Roman"/>
          <w:b/>
          <w:bCs/>
          <w:w w:val="130"/>
          <w:sz w:val="96"/>
          <w:szCs w:val="96"/>
        </w:rPr>
        <w:t>T/CNS</w:t>
      </w:r>
    </w:p>
    <w:p w:rsidR="008916DF" w:rsidRDefault="008916DF">
      <w:pPr>
        <w:pStyle w:val="affffff7"/>
        <w:framePr w:h="1801" w:hRule="exact" w:wrap="around"/>
      </w:pPr>
    </w:p>
    <w:bookmarkEnd w:id="1"/>
    <w:p w:rsidR="008916DF" w:rsidRDefault="009333F2">
      <w:pPr>
        <w:pStyle w:val="afffffd"/>
        <w:framePr w:wrap="around"/>
        <w:rPr>
          <w:sz w:val="52"/>
        </w:rPr>
      </w:pPr>
      <w:r>
        <w:rPr>
          <w:rFonts w:hint="eastAsia"/>
          <w:sz w:val="52"/>
        </w:rPr>
        <w:t>中国核学会团体标准</w:t>
      </w:r>
    </w:p>
    <w:p w:rsidR="008916DF" w:rsidRDefault="009333F2">
      <w:pPr>
        <w:pStyle w:val="22"/>
        <w:framePr w:h="1126" w:hRule="exact" w:wrap="around" w:y="3016"/>
        <w:rPr>
          <w:rFonts w:hAnsi="黑体" w:cs="黑体"/>
        </w:rPr>
      </w:pPr>
      <w:r>
        <w:rPr>
          <w:rFonts w:hAnsi="黑体" w:cs="黑体" w:hint="eastAsia"/>
        </w:rPr>
        <w:t>T/CNS XXXX</w:t>
      </w:r>
      <w:r>
        <w:rPr>
          <w:rFonts w:hAnsi="黑体" w:cs="黑体" w:hint="eastAsia"/>
        </w:rPr>
        <w:t>—</w:t>
      </w:r>
      <w:r>
        <w:rPr>
          <w:rFonts w:hAnsi="黑体" w:cs="黑体" w:hint="eastAsia"/>
        </w:rPr>
        <w:t>XXXX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8916DF">
        <w:tc>
          <w:tcPr>
            <w:tcW w:w="9356" w:type="dxa"/>
            <w:tcBorders>
              <w:top w:val="nil"/>
              <w:left w:val="nil"/>
              <w:bottom w:val="nil"/>
              <w:right w:val="nil"/>
            </w:tcBorders>
            <w:shd w:val="clear" w:color="auto" w:fill="auto"/>
          </w:tcPr>
          <w:bookmarkStart w:id="2" w:name="DT"/>
          <w:p w:rsidR="008916DF" w:rsidRDefault="009333F2">
            <w:pPr>
              <w:pStyle w:val="affffa"/>
              <w:framePr w:h="1126" w:hRule="exact" w:wrap="around" w:y="3016"/>
            </w:pPr>
            <w:r>
              <w:rPr>
                <w:noProof/>
              </w:rPr>
              <mc:AlternateContent>
                <mc:Choice Requires="wps">
                  <w:drawing>
                    <wp:anchor distT="0" distB="0" distL="114300" distR="114300" simplePos="0" relativeHeight="251662336"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5" name="DT"/>
                      <wp:cNvGraphicFramePr/>
                      <a:graphic xmlns:a="http://schemas.openxmlformats.org/drawingml/2006/main">
                        <a:graphicData uri="http://schemas.microsoft.com/office/word/2010/wordprocessingShape">
                          <wps:wsp>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DT" o:spid="_x0000_s1026" o:spt="1" style="position:absolute;left:0pt;margin-left:372.8pt;margin-top:2.7pt;height:18pt;width:90pt;z-index:-251654144;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B5g8svWAAAACAEAAA8AAAAAAAAAAQAgAAAAIgAAAGRycy9kb3ducmV2LnhtbFBLAQIUABQAAAAI&#10;AIdO4kAmFjv77wEAAPADAAAOAAAAAAAAAAEAIAAAACUBAABkcnMvZTJvRG9jLnhtbFBLBQYAAAAA&#10;BgAGAFkBAACGBQAAAAA=&#10;">
                      <v:fill on="t" focussize="0,0"/>
                      <v:stroke on="f"/>
                      <v:imagedata o:title=""/>
                      <o:lock v:ext="edit" aspectratio="f"/>
                    </v:rect>
                  </w:pict>
                </mc:Fallback>
              </mc:AlternateContent>
            </w:r>
            <w:r>
              <w:fldChar w:fldCharType="begin">
                <w:ffData>
                  <w:name w:val="DT"/>
                  <w:enabled/>
                  <w:calcOnExit w:val="0"/>
                  <w:textInput/>
                </w:ffData>
              </w:fldChar>
            </w:r>
            <w:r>
              <w:instrText xml:space="preserve"> FORMTEXT </w:instrText>
            </w:r>
            <w:r>
              <w:fldChar w:fldCharType="separate"/>
            </w:r>
            <w:r>
              <w:t>     </w:t>
            </w:r>
            <w:r>
              <w:fldChar w:fldCharType="end"/>
            </w:r>
            <w:bookmarkEnd w:id="2"/>
          </w:p>
        </w:tc>
      </w:tr>
    </w:tbl>
    <w:p w:rsidR="008916DF" w:rsidRDefault="008916DF">
      <w:pPr>
        <w:pStyle w:val="22"/>
        <w:framePr w:h="1126" w:hRule="exact" w:wrap="around" w:y="3016"/>
        <w:rPr>
          <w:rFonts w:hAnsi="黑体"/>
        </w:rPr>
      </w:pPr>
    </w:p>
    <w:p w:rsidR="008916DF" w:rsidRDefault="008916DF">
      <w:pPr>
        <w:pStyle w:val="22"/>
        <w:framePr w:h="1126" w:hRule="exact" w:wrap="around" w:y="3016"/>
        <w:rPr>
          <w:rFonts w:hAnsi="黑体"/>
        </w:rPr>
      </w:pPr>
    </w:p>
    <w:p w:rsidR="008916DF" w:rsidRDefault="009333F2">
      <w:pPr>
        <w:pStyle w:val="affffb"/>
        <w:framePr w:w="10417" w:wrap="around" w:x="787" w:y="6082"/>
        <w:rPr>
          <w:rFonts w:ascii="Times New Roman"/>
          <w:color w:val="000000"/>
          <w:spacing w:val="20"/>
          <w:sz w:val="48"/>
          <w:szCs w:val="48"/>
        </w:rPr>
      </w:pPr>
      <w:r>
        <w:rPr>
          <w:rFonts w:ascii="Times New Roman" w:hint="eastAsia"/>
          <w:color w:val="000000"/>
          <w:spacing w:val="20"/>
          <w:sz w:val="48"/>
          <w:szCs w:val="48"/>
        </w:rPr>
        <w:t>多模块高温气冷堆核动力厂</w:t>
      </w:r>
    </w:p>
    <w:p w:rsidR="008916DF" w:rsidRDefault="009333F2">
      <w:pPr>
        <w:pStyle w:val="affffb"/>
        <w:framePr w:w="10417" w:wrap="around" w:x="787" w:y="6082"/>
      </w:pPr>
      <w:r>
        <w:rPr>
          <w:rFonts w:ascii="Times New Roman" w:hint="eastAsia"/>
          <w:color w:val="000000"/>
          <w:spacing w:val="20"/>
          <w:sz w:val="48"/>
          <w:szCs w:val="48"/>
        </w:rPr>
        <w:t>电气配置及布置准则</w:t>
      </w:r>
    </w:p>
    <w:p w:rsidR="008916DF" w:rsidRDefault="009333F2">
      <w:pPr>
        <w:pStyle w:val="affffc"/>
        <w:framePr w:w="10417" w:wrap="around" w:x="787" w:y="6082"/>
        <w:rPr>
          <w:b/>
        </w:rPr>
      </w:pPr>
      <w:r>
        <w:rPr>
          <w:rFonts w:hint="eastAsia"/>
          <w:bCs/>
          <w:color w:val="000000"/>
        </w:rPr>
        <w:t>Guidelines for electrical configu</w:t>
      </w:r>
      <w:r>
        <w:rPr>
          <w:rFonts w:hint="eastAsia"/>
          <w:bCs/>
          <w:color w:val="000000"/>
        </w:rPr>
        <w:t xml:space="preserve">ration and layout of </w:t>
      </w:r>
      <w:r>
        <w:rPr>
          <w:rFonts w:hint="eastAsia"/>
          <w:bCs/>
          <w:color w:val="000000"/>
        </w:rPr>
        <w:t>m</w:t>
      </w:r>
      <w:r>
        <w:rPr>
          <w:rFonts w:hint="eastAsia"/>
          <w:bCs/>
          <w:color w:val="000000"/>
        </w:rPr>
        <w:t xml:space="preserve">ulti-module </w:t>
      </w:r>
      <w:r>
        <w:rPr>
          <w:rFonts w:hint="eastAsia"/>
          <w:bCs/>
          <w:color w:val="000000"/>
        </w:rPr>
        <w:t>h</w:t>
      </w:r>
      <w:r>
        <w:rPr>
          <w:rFonts w:hint="eastAsia"/>
          <w:bCs/>
          <w:color w:val="000000"/>
        </w:rPr>
        <w:t xml:space="preserve">igh </w:t>
      </w:r>
      <w:r>
        <w:rPr>
          <w:rFonts w:hint="eastAsia"/>
          <w:bCs/>
          <w:color w:val="000000"/>
        </w:rPr>
        <w:t>t</w:t>
      </w:r>
      <w:r>
        <w:rPr>
          <w:rFonts w:hint="eastAsia"/>
          <w:bCs/>
          <w:color w:val="000000"/>
        </w:rPr>
        <w:t xml:space="preserve">emperature </w:t>
      </w:r>
      <w:r>
        <w:rPr>
          <w:rFonts w:hint="eastAsia"/>
          <w:bCs/>
          <w:color w:val="000000"/>
        </w:rPr>
        <w:t>g</w:t>
      </w:r>
      <w:r>
        <w:rPr>
          <w:rFonts w:hint="eastAsia"/>
          <w:bCs/>
          <w:color w:val="000000"/>
        </w:rPr>
        <w:t xml:space="preserve">as </w:t>
      </w:r>
      <w:r>
        <w:rPr>
          <w:rFonts w:hint="eastAsia"/>
          <w:bCs/>
          <w:color w:val="000000"/>
        </w:rPr>
        <w:t>c</w:t>
      </w:r>
      <w:r>
        <w:rPr>
          <w:rFonts w:hint="eastAsia"/>
          <w:bCs/>
          <w:color w:val="000000"/>
        </w:rPr>
        <w:t xml:space="preserve">ooled </w:t>
      </w:r>
      <w:r>
        <w:rPr>
          <w:rFonts w:hint="eastAsia"/>
          <w:bCs/>
          <w:color w:val="000000"/>
        </w:rPr>
        <w:t>r</w:t>
      </w:r>
      <w:r>
        <w:rPr>
          <w:rFonts w:hint="eastAsia"/>
          <w:bCs/>
          <w:color w:val="000000"/>
        </w:rPr>
        <w:t xml:space="preserve">eactor </w:t>
      </w:r>
      <w:r>
        <w:rPr>
          <w:rFonts w:hint="eastAsia"/>
          <w:bCs/>
          <w:color w:val="000000"/>
        </w:rPr>
        <w:t>n</w:t>
      </w:r>
      <w:r>
        <w:rPr>
          <w:rFonts w:hint="eastAsia"/>
          <w:bCs/>
          <w:color w:val="000000"/>
        </w:rPr>
        <w:t xml:space="preserve">uclear </w:t>
      </w:r>
      <w:r>
        <w:rPr>
          <w:rFonts w:hint="eastAsia"/>
          <w:bCs/>
          <w:color w:val="000000"/>
        </w:rPr>
        <w:t>p</w:t>
      </w:r>
      <w:r>
        <w:rPr>
          <w:rFonts w:hint="eastAsia"/>
          <w:bCs/>
          <w:color w:val="000000"/>
        </w:rPr>
        <w:t xml:space="preserve">ower </w:t>
      </w:r>
      <w:r>
        <w:rPr>
          <w:rFonts w:hint="eastAsia"/>
          <w:bCs/>
          <w:color w:val="000000"/>
        </w:rPr>
        <w:t>p</w:t>
      </w:r>
      <w:r>
        <w:rPr>
          <w:rFonts w:hint="eastAsia"/>
          <w:bCs/>
          <w:color w:val="000000"/>
        </w:rPr>
        <w:t>lants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5"/>
      </w:tblGrid>
      <w:tr w:rsidR="008916DF">
        <w:tc>
          <w:tcPr>
            <w:tcW w:w="9855" w:type="dxa"/>
            <w:tcBorders>
              <w:top w:val="nil"/>
              <w:left w:val="nil"/>
              <w:bottom w:val="nil"/>
              <w:right w:val="nil"/>
            </w:tcBorders>
            <w:shd w:val="clear" w:color="auto" w:fill="auto"/>
          </w:tcPr>
          <w:p w:rsidR="008916DF" w:rsidRDefault="009333F2">
            <w:pPr>
              <w:pStyle w:val="affffe"/>
              <w:framePr w:w="10417" w:wrap="around" w:x="787" w:y="6082"/>
            </w:pPr>
            <w:r>
              <w:rPr>
                <w:rFonts w:hint="eastAsia"/>
              </w:rPr>
              <w:t>征求意见稿</w:t>
            </w:r>
            <w:r>
              <w:rPr>
                <w:noProof/>
              </w:rPr>
              <mc:AlternateContent>
                <mc:Choice Requires="wps">
                  <w:drawing>
                    <wp:anchor distT="0" distB="0" distL="114300" distR="114300" simplePos="0" relativeHeight="251664384" behindDoc="1" locked="1" layoutInCell="1" allowOverlap="1">
                      <wp:simplePos x="0" y="0"/>
                      <wp:positionH relativeFrom="column">
                        <wp:posOffset>2200910</wp:posOffset>
                      </wp:positionH>
                      <wp:positionV relativeFrom="paragraph">
                        <wp:posOffset>573405</wp:posOffset>
                      </wp:positionV>
                      <wp:extent cx="1905000" cy="254000"/>
                      <wp:effectExtent l="0" t="0" r="0" b="0"/>
                      <wp:wrapNone/>
                      <wp:docPr id="4" name="RQ"/>
                      <wp:cNvGraphicFramePr/>
                      <a:graphic xmlns:a="http://schemas.openxmlformats.org/drawingml/2006/main">
                        <a:graphicData uri="http://schemas.microsoft.com/office/word/2010/wordprocessingShape">
                          <wps:wsp>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RQ" o:spid="_x0000_s1026" o:spt="1" style="position:absolute;left:0pt;margin-left:173.3pt;margin-top:45.15pt;height:20pt;width:150pt;z-index:-251652096;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BYmuktUAAAAKAQAADwAAAAAAAAABACAAAAAiAAAAZHJzL2Rvd25yZXYueG1sUEsBAhQAFAAAAAgA&#10;h07iQKHcPxTvAQAA8AMAAA4AAAAAAAAAAQAgAAAAJAEAAGRycy9lMm9Eb2MueG1sUEsFBgAAAAAG&#10;AAYAWQEAAIUFAAAAAA==&#10;">
                      <v:fill on="t" focussize="0,0"/>
                      <v:stroke on="f"/>
                      <v:imagedata o:title=""/>
                      <o:lock v:ext="edit" aspectratio="f"/>
                      <w10:anchorlock/>
                    </v:rect>
                  </w:pict>
                </mc:Fallback>
              </mc:AlternateContent>
            </w:r>
            <w:r>
              <w:rPr>
                <w:noProof/>
              </w:rPr>
              <mc:AlternateContent>
                <mc:Choice Requires="wps">
                  <w:drawing>
                    <wp:anchor distT="0" distB="0" distL="114300" distR="114300" simplePos="0" relativeHeight="251663360" behindDoc="1" locked="0" layoutInCell="1" allowOverlap="1">
                      <wp:simplePos x="0" y="0"/>
                      <wp:positionH relativeFrom="column">
                        <wp:posOffset>2454910</wp:posOffset>
                      </wp:positionH>
                      <wp:positionV relativeFrom="paragraph">
                        <wp:posOffset>255905</wp:posOffset>
                      </wp:positionV>
                      <wp:extent cx="1270000" cy="304800"/>
                      <wp:effectExtent l="0" t="0" r="0" b="0"/>
                      <wp:wrapNone/>
                      <wp:docPr id="3" name="LB"/>
                      <wp:cNvGraphicFramePr/>
                      <a:graphic xmlns:a="http://schemas.openxmlformats.org/drawingml/2006/main">
                        <a:graphicData uri="http://schemas.microsoft.com/office/word/2010/wordprocessingShape">
                          <wps:wsp>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LB" o:spid="_x0000_s1026" o:spt="1" style="position:absolute;left:0pt;margin-left:193.3pt;margin-top:20.15pt;height:24pt;width:100pt;z-index:-251653120;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APhi+XWAAAACQEAAA8AAAAAAAAAAQAgAAAAIgAAAGRycy9kb3ducmV2LnhtbFBLAQIUABQAAAAI&#10;AIdO4kAUtNKs7wEAAPADAAAOAAAAAAAAAAEAIAAAACUBAABkcnMvZTJvRG9jLnhtbFBLBQYAAAAA&#10;BgAGAFkBAACGBQAAAAA=&#10;">
                      <v:fill on="t" focussize="0,0"/>
                      <v:stroke on="f"/>
                      <v:imagedata o:title=""/>
                      <o:lock v:ext="edit" aspectratio="f"/>
                    </v:rect>
                  </w:pict>
                </mc:Fallback>
              </mc:AlternateContent>
            </w:r>
          </w:p>
        </w:tc>
      </w:tr>
      <w:tr w:rsidR="008916DF">
        <w:tc>
          <w:tcPr>
            <w:tcW w:w="9855" w:type="dxa"/>
            <w:tcBorders>
              <w:top w:val="nil"/>
              <w:left w:val="nil"/>
              <w:bottom w:val="nil"/>
              <w:right w:val="nil"/>
            </w:tcBorders>
            <w:shd w:val="clear" w:color="auto" w:fill="auto"/>
          </w:tcPr>
          <w:p w:rsidR="008916DF" w:rsidRDefault="00F25F6A">
            <w:pPr>
              <w:pStyle w:val="afffff"/>
              <w:framePr w:w="10417" w:wrap="around" w:x="787" w:y="6082"/>
            </w:pPr>
            <w:r>
              <w:fldChar w:fldCharType="begin">
                <w:ffData>
                  <w:name w:val="WCRQ"/>
                  <w:enabled/>
                  <w:calcOnExit w:val="0"/>
                  <w:textInput>
                    <w:default w:val="本稿完成日期：2025年7月"/>
                  </w:textInput>
                </w:ffData>
              </w:fldChar>
            </w:r>
            <w:bookmarkStart w:id="3" w:name="WCRQ"/>
            <w:r>
              <w:instrText xml:space="preserve"> FORMTEXT </w:instrText>
            </w:r>
            <w:r>
              <w:fldChar w:fldCharType="separate"/>
            </w:r>
            <w:r>
              <w:rPr>
                <w:rFonts w:hint="eastAsia"/>
                <w:noProof/>
              </w:rPr>
              <w:t>本稿完成日期：</w:t>
            </w:r>
            <w:r>
              <w:rPr>
                <w:noProof/>
              </w:rPr>
              <w:t>2025</w:t>
            </w:r>
            <w:r>
              <w:rPr>
                <w:rFonts w:hint="eastAsia"/>
                <w:noProof/>
              </w:rPr>
              <w:t>年</w:t>
            </w:r>
            <w:r>
              <w:rPr>
                <w:noProof/>
              </w:rPr>
              <w:t>7</w:t>
            </w:r>
            <w:r>
              <w:rPr>
                <w:rFonts w:hint="eastAsia"/>
                <w:noProof/>
              </w:rPr>
              <w:t>月</w:t>
            </w:r>
            <w:bookmarkEnd w:id="3"/>
            <w:r>
              <w:fldChar w:fldCharType="end"/>
            </w:r>
            <w:bookmarkStart w:id="4" w:name="_GoBack"/>
            <w:bookmarkEnd w:id="4"/>
          </w:p>
        </w:tc>
      </w:tr>
    </w:tbl>
    <w:p w:rsidR="008916DF" w:rsidRDefault="009333F2">
      <w:pPr>
        <w:pStyle w:val="affffffc"/>
        <w:framePr w:wrap="around" w:hAnchor="page" w:x="1585" w:y="14137"/>
      </w:pPr>
      <w:r>
        <w:rPr>
          <w:rFonts w:ascii="黑体"/>
        </w:rPr>
        <w:t>XXXX</w:t>
      </w:r>
      <w:r>
        <w:t xml:space="preserve"> </w:t>
      </w:r>
      <w:r>
        <w:rPr>
          <w:rFonts w:ascii="黑体"/>
        </w:rPr>
        <w:t>-</w:t>
      </w:r>
      <w:r>
        <w:t xml:space="preserve"> </w:t>
      </w:r>
      <w:r>
        <w:rPr>
          <w:rFonts w:ascii="黑体"/>
        </w:rPr>
        <w:t>XX</w:t>
      </w:r>
      <w:r>
        <w:t xml:space="preserve"> </w:t>
      </w:r>
      <w:r>
        <w:rPr>
          <w:rFonts w:ascii="黑体"/>
        </w:rPr>
        <w:t>-</w:t>
      </w:r>
      <w:r>
        <w:t xml:space="preserve"> </w:t>
      </w:r>
      <w:r>
        <w:rPr>
          <w:rFonts w:ascii="黑体"/>
        </w:rPr>
        <w:t>XX</w:t>
      </w:r>
      <w:r>
        <w:rPr>
          <w:rFonts w:hint="eastAsia"/>
        </w:rPr>
        <w:t>发布</w:t>
      </w:r>
      <w:r>
        <w:rPr>
          <w:noProof/>
        </w:rPr>
        <mc:AlternateContent>
          <mc:Choice Requires="wps">
            <w:drawing>
              <wp:anchor distT="0" distB="0" distL="114300" distR="114300" simplePos="0" relativeHeight="251660288" behindDoc="0" locked="1" layoutInCell="1" allowOverlap="1">
                <wp:simplePos x="0" y="0"/>
                <wp:positionH relativeFrom="column">
                  <wp:posOffset>-635</wp:posOffset>
                </wp:positionH>
                <wp:positionV relativeFrom="page">
                  <wp:posOffset>9251950</wp:posOffset>
                </wp:positionV>
                <wp:extent cx="6120130" cy="0"/>
                <wp:effectExtent l="0" t="0" r="1270" b="0"/>
                <wp:wrapNone/>
                <wp:docPr id="2" name="Line 10"/>
                <wp:cNvGraphicFramePr/>
                <a:graphic xmlns:a="http://schemas.openxmlformats.org/drawingml/2006/main">
                  <a:graphicData uri="http://schemas.microsoft.com/office/word/2010/wordprocessingShape">
                    <wps:wsp>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Line 10" o:spid="_x0000_s1026" o:spt="20" style="position:absolute;left:0pt;margin-left:-0.05pt;margin-top:728.5pt;height:0pt;width:481.9pt;mso-position-vertical-relative:page;z-index:251660288;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CWHazzWAAAA&#10;CwEAAA8AAAAAAAAAAQAgAAAAIgAAAGRycy9kb3ducmV2LnhtbFBLAQIUABQAAAAIAIdO4kDcfFU7&#10;rQEAAG4DAAAOAAAAAAAAAAEAIAAAACUBAABkcnMvZTJvRG9jLnhtbFBLBQYAAAAABgAGAFkBAABE&#10;BQAAAAA=&#10;">
                <v:fill on="f" focussize="0,0"/>
                <v:stroke color="#000000" joinstyle="round"/>
                <v:imagedata o:title=""/>
                <o:lock v:ext="edit" aspectratio="f"/>
                <w10:anchorlock/>
              </v:line>
            </w:pict>
          </mc:Fallback>
        </mc:AlternateContent>
      </w:r>
    </w:p>
    <w:p w:rsidR="008916DF" w:rsidRDefault="009333F2">
      <w:pPr>
        <w:pStyle w:val="affffffd"/>
        <w:framePr w:wrap="around" w:hAnchor="page" w:x="6613"/>
      </w:pPr>
      <w:r>
        <w:rPr>
          <w:rFonts w:ascii="黑体"/>
        </w:rPr>
        <w:t>XXXX</w:t>
      </w:r>
      <w:r>
        <w:t xml:space="preserve"> </w:t>
      </w:r>
      <w:r>
        <w:rPr>
          <w:rFonts w:ascii="黑体"/>
        </w:rPr>
        <w:t>-</w:t>
      </w:r>
      <w:r>
        <w:t xml:space="preserve"> </w:t>
      </w:r>
      <w:r>
        <w:rPr>
          <w:rFonts w:ascii="黑体"/>
        </w:rPr>
        <w:t>XX</w:t>
      </w:r>
      <w:r>
        <w:t xml:space="preserve"> </w:t>
      </w:r>
      <w:r>
        <w:rPr>
          <w:rFonts w:ascii="黑体"/>
        </w:rPr>
        <w:t>–</w:t>
      </w:r>
      <w:r>
        <w:t xml:space="preserve"> </w:t>
      </w:r>
      <w:r>
        <w:rPr>
          <w:rFonts w:ascii="黑体"/>
        </w:rPr>
        <w:t xml:space="preserve">XX </w:t>
      </w:r>
      <w:r>
        <w:rPr>
          <w:rFonts w:hint="eastAsia"/>
        </w:rPr>
        <w:t>实施</w:t>
      </w:r>
    </w:p>
    <w:p w:rsidR="008916DF" w:rsidRDefault="009333F2">
      <w:pPr>
        <w:pStyle w:val="afffffe"/>
        <w:framePr w:wrap="around"/>
      </w:pPr>
      <w:r>
        <w:rPr>
          <w:rFonts w:hint="eastAsia"/>
        </w:rPr>
        <w:t>中国核学会</w:t>
      </w:r>
      <w:r>
        <w:rPr>
          <w:rFonts w:ascii="MS Mincho" w:eastAsia="MS Mincho" w:hAnsi="MS Mincho" w:cs="MS Mincho" w:hint="eastAsia"/>
        </w:rPr>
        <w:t>   </w:t>
      </w:r>
      <w:r>
        <w:rPr>
          <w:rStyle w:val="affff7"/>
          <w:rFonts w:hint="eastAsia"/>
        </w:rPr>
        <w:t>发布</w:t>
      </w:r>
    </w:p>
    <w:p w:rsidR="008916DF" w:rsidRDefault="009333F2">
      <w:pPr>
        <w:pStyle w:val="afff1"/>
        <w:sectPr w:rsidR="008916DF">
          <w:headerReference w:type="even" r:id="rId10"/>
          <w:footerReference w:type="even" r:id="rId11"/>
          <w:pgSz w:w="11906" w:h="16838"/>
          <w:pgMar w:top="567" w:right="1134" w:bottom="1134" w:left="1417" w:header="0" w:footer="0" w:gutter="0"/>
          <w:pgNumType w:fmt="upperRoman" w:start="1"/>
          <w:cols w:space="425"/>
          <w:docGrid w:type="lines" w:linePitch="312"/>
        </w:sectPr>
      </w:pPr>
      <w:r>
        <w:rPr>
          <w:noProof/>
        </w:rPr>
        <mc:AlternateContent>
          <mc:Choice Requires="wps">
            <w:drawing>
              <wp:anchor distT="0" distB="0" distL="114300" distR="114300" simplePos="0" relativeHeight="251661312" behindDoc="0" locked="0" layoutInCell="1" allowOverlap="1">
                <wp:simplePos x="0" y="0"/>
                <wp:positionH relativeFrom="column">
                  <wp:posOffset>-635</wp:posOffset>
                </wp:positionH>
                <wp:positionV relativeFrom="paragraph">
                  <wp:posOffset>2339975</wp:posOffset>
                </wp:positionV>
                <wp:extent cx="6120130" cy="0"/>
                <wp:effectExtent l="0" t="0" r="1270" b="0"/>
                <wp:wrapNone/>
                <wp:docPr id="1" name="Line 11"/>
                <wp:cNvGraphicFramePr/>
                <a:graphic xmlns:a="http://schemas.openxmlformats.org/drawingml/2006/main">
                  <a:graphicData uri="http://schemas.microsoft.com/office/word/2010/wordprocessingShape">
                    <wps:wsp>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Line 11" o:spid="_x0000_s1026" o:spt="20" style="position:absolute;left:0pt;margin-left:-0.05pt;margin-top:184.25pt;height:0pt;width:481.9pt;z-index:251661312;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BCQeJf1wAA&#10;AAkBAAAPAAAAAAAAAAEAIAAAACIAAABkcnMvZG93bnJldi54bWxQSwECFAAUAAAACACHTuJANW0K&#10;n60BAABuAwAADgAAAAAAAAABACAAAAAmAQAAZHJzL2Uyb0RvYy54bWxQSwUGAAAAAAYABgBZAQAA&#10;RQUAAAAA&#10;">
                <v:fill on="f" focussize="0,0"/>
                <v:stroke color="#000000" joinstyle="round"/>
                <v:imagedata o:title=""/>
                <o:lock v:ext="edit" aspectratio="f"/>
              </v:line>
            </w:pict>
          </mc:Fallback>
        </mc:AlternateContent>
      </w:r>
    </w:p>
    <w:p w:rsidR="008916DF" w:rsidRDefault="009333F2">
      <w:pPr>
        <w:pStyle w:val="afffc"/>
        <w:rPr>
          <w:rFonts w:hAnsi="黑体"/>
        </w:rPr>
      </w:pPr>
      <w:bookmarkStart w:id="5" w:name="_Toc195538725"/>
      <w:bookmarkStart w:id="6" w:name="_Toc48658960"/>
      <w:r>
        <w:rPr>
          <w:rFonts w:hAnsi="黑体" w:hint="eastAsia"/>
        </w:rPr>
        <w:lastRenderedPageBreak/>
        <w:t>目</w:t>
      </w:r>
      <w:bookmarkStart w:id="7" w:name="BKML"/>
      <w:r>
        <w:rPr>
          <w:rFonts w:hAnsi="黑体" w:cs="MS Mincho"/>
        </w:rPr>
        <w:t>  </w:t>
      </w:r>
      <w:r>
        <w:rPr>
          <w:rFonts w:hAnsi="黑体" w:hint="eastAsia"/>
        </w:rPr>
        <w:t>次</w:t>
      </w:r>
      <w:bookmarkEnd w:id="5"/>
      <w:bookmarkEnd w:id="6"/>
      <w:bookmarkEnd w:id="7"/>
    </w:p>
    <w:sdt>
      <w:sdtPr>
        <w:rPr>
          <w:rFonts w:ascii="Times New Roman"/>
          <w:szCs w:val="24"/>
          <w:lang w:val="zh-CN"/>
        </w:rPr>
        <w:id w:val="-283963139"/>
        <w:docPartObj>
          <w:docPartGallery w:val="Table of Contents"/>
          <w:docPartUnique/>
        </w:docPartObj>
      </w:sdtPr>
      <w:sdtEndPr>
        <w:rPr>
          <w:b/>
          <w:bCs/>
        </w:rPr>
      </w:sdtEndPr>
      <w:sdtContent>
        <w:p w:rsidR="008916DF" w:rsidRDefault="009333F2">
          <w:pPr>
            <w:pStyle w:val="TOC1"/>
            <w:spacing w:before="78" w:after="78"/>
            <w:rPr>
              <w:rFonts w:asciiTheme="minorHAnsi" w:eastAsiaTheme="minorEastAsia" w:hAnsiTheme="minorHAnsi" w:cstheme="minorBidi"/>
              <w:szCs w:val="22"/>
            </w:rPr>
          </w:pPr>
          <w:r>
            <w:rPr>
              <w:rFonts w:asciiTheme="majorHAnsi" w:eastAsiaTheme="majorEastAsia" w:hAnsiTheme="majorHAnsi" w:cstheme="majorBidi"/>
              <w:color w:val="2F5496" w:themeColor="accent1" w:themeShade="BF"/>
              <w:kern w:val="0"/>
              <w:sz w:val="32"/>
              <w:szCs w:val="32"/>
            </w:rPr>
            <w:fldChar w:fldCharType="begin"/>
          </w:r>
          <w:r>
            <w:instrText xml:space="preserve"> TOC \o "1-3" \h \z \u </w:instrText>
          </w:r>
          <w:r>
            <w:rPr>
              <w:rFonts w:asciiTheme="majorHAnsi" w:eastAsiaTheme="majorEastAsia" w:hAnsiTheme="majorHAnsi" w:cstheme="majorBidi"/>
              <w:color w:val="2F5496" w:themeColor="accent1" w:themeShade="BF"/>
              <w:kern w:val="0"/>
              <w:sz w:val="32"/>
              <w:szCs w:val="32"/>
            </w:rPr>
            <w:fldChar w:fldCharType="separate"/>
          </w:r>
          <w:hyperlink w:anchor="_Toc195538726" w:history="1">
            <w:r>
              <w:rPr>
                <w:rStyle w:val="afff7"/>
                <w:rFonts w:hint="eastAsia"/>
              </w:rPr>
              <w:t>前言</w:t>
            </w:r>
            <w:r>
              <w:tab/>
            </w:r>
            <w:r>
              <w:fldChar w:fldCharType="begin"/>
            </w:r>
            <w:r>
              <w:instrText xml:space="preserve"> PAGEREF _Toc195538726 \h </w:instrText>
            </w:r>
            <w:r>
              <w:fldChar w:fldCharType="separate"/>
            </w:r>
            <w:r>
              <w:t>II</w:t>
            </w:r>
            <w:r>
              <w:fldChar w:fldCharType="end"/>
            </w:r>
          </w:hyperlink>
        </w:p>
        <w:p w:rsidR="008916DF" w:rsidRDefault="009333F2">
          <w:pPr>
            <w:pStyle w:val="TOC2"/>
            <w:rPr>
              <w:rFonts w:asciiTheme="minorHAnsi" w:eastAsiaTheme="minorEastAsia" w:hAnsiTheme="minorHAnsi" w:cstheme="minorBidi"/>
              <w:szCs w:val="22"/>
            </w:rPr>
          </w:pPr>
          <w:hyperlink w:anchor="_Toc195538727" w:history="1">
            <w:r>
              <w:rPr>
                <w:rStyle w:val="afff7"/>
              </w:rPr>
              <w:t>1</w:t>
            </w:r>
            <w:r>
              <w:rPr>
                <w:rStyle w:val="afff7"/>
                <w:rFonts w:hint="eastAsia"/>
              </w:rPr>
              <w:t xml:space="preserve"> </w:t>
            </w:r>
            <w:r>
              <w:rPr>
                <w:rStyle w:val="afff7"/>
                <w:rFonts w:hint="eastAsia"/>
              </w:rPr>
              <w:t>范围</w:t>
            </w:r>
            <w:r>
              <w:tab/>
            </w:r>
            <w:r>
              <w:fldChar w:fldCharType="begin"/>
            </w:r>
            <w:r>
              <w:instrText xml:space="preserve"> PAGEREF _Toc195538727 \h </w:instrText>
            </w:r>
            <w:r>
              <w:fldChar w:fldCharType="separate"/>
            </w:r>
            <w:r>
              <w:t>1</w:t>
            </w:r>
            <w:r>
              <w:fldChar w:fldCharType="end"/>
            </w:r>
          </w:hyperlink>
        </w:p>
        <w:p w:rsidR="008916DF" w:rsidRDefault="009333F2">
          <w:pPr>
            <w:pStyle w:val="TOC2"/>
            <w:rPr>
              <w:rFonts w:asciiTheme="minorHAnsi" w:eastAsiaTheme="minorEastAsia" w:hAnsiTheme="minorHAnsi" w:cstheme="minorBidi"/>
              <w:szCs w:val="22"/>
            </w:rPr>
          </w:pPr>
          <w:hyperlink w:anchor="_Toc195538728" w:history="1">
            <w:r>
              <w:rPr>
                <w:rStyle w:val="afff7"/>
              </w:rPr>
              <w:t>2</w:t>
            </w:r>
            <w:r>
              <w:rPr>
                <w:rStyle w:val="afff7"/>
                <w:rFonts w:hint="eastAsia"/>
              </w:rPr>
              <w:t xml:space="preserve"> </w:t>
            </w:r>
            <w:r>
              <w:rPr>
                <w:rStyle w:val="afff7"/>
                <w:rFonts w:hint="eastAsia"/>
              </w:rPr>
              <w:t>规范性引用文件</w:t>
            </w:r>
            <w:r>
              <w:tab/>
            </w:r>
            <w:r>
              <w:fldChar w:fldCharType="begin"/>
            </w:r>
            <w:r>
              <w:instrText xml:space="preserve"> PAGEREF _Toc1</w:instrText>
            </w:r>
            <w:r>
              <w:instrText xml:space="preserve">95538728 \h </w:instrText>
            </w:r>
            <w:r>
              <w:fldChar w:fldCharType="separate"/>
            </w:r>
            <w:r>
              <w:t>1</w:t>
            </w:r>
            <w:r>
              <w:fldChar w:fldCharType="end"/>
            </w:r>
          </w:hyperlink>
        </w:p>
        <w:p w:rsidR="008916DF" w:rsidRDefault="009333F2">
          <w:pPr>
            <w:pStyle w:val="TOC2"/>
            <w:rPr>
              <w:rFonts w:asciiTheme="minorHAnsi" w:eastAsiaTheme="minorEastAsia" w:hAnsiTheme="minorHAnsi" w:cstheme="minorBidi"/>
              <w:szCs w:val="22"/>
            </w:rPr>
          </w:pPr>
          <w:hyperlink w:anchor="_Toc195538729" w:history="1">
            <w:r>
              <w:rPr>
                <w:rStyle w:val="afff7"/>
              </w:rPr>
              <w:t>3</w:t>
            </w:r>
            <w:r>
              <w:rPr>
                <w:rStyle w:val="afff7"/>
                <w:rFonts w:hint="eastAsia"/>
              </w:rPr>
              <w:t xml:space="preserve"> </w:t>
            </w:r>
            <w:r>
              <w:rPr>
                <w:rStyle w:val="afff7"/>
                <w:rFonts w:hint="eastAsia"/>
              </w:rPr>
              <w:t>术语和定义</w:t>
            </w:r>
            <w:r>
              <w:tab/>
            </w:r>
            <w:r>
              <w:fldChar w:fldCharType="begin"/>
            </w:r>
            <w:r>
              <w:instrText xml:space="preserve"> PAGEREF _Toc195538729 \h </w:instrText>
            </w:r>
            <w:r>
              <w:fldChar w:fldCharType="separate"/>
            </w:r>
            <w:r>
              <w:t>1</w:t>
            </w:r>
            <w:r>
              <w:fldChar w:fldCharType="end"/>
            </w:r>
          </w:hyperlink>
        </w:p>
        <w:p w:rsidR="008916DF" w:rsidRDefault="009333F2">
          <w:pPr>
            <w:pStyle w:val="TOC2"/>
            <w:rPr>
              <w:rFonts w:asciiTheme="minorHAnsi" w:eastAsiaTheme="minorEastAsia" w:hAnsiTheme="minorHAnsi" w:cstheme="minorBidi"/>
              <w:szCs w:val="22"/>
            </w:rPr>
          </w:pPr>
          <w:hyperlink w:anchor="_Toc195538735" w:history="1">
            <w:r>
              <w:rPr>
                <w:rStyle w:val="afff7"/>
              </w:rPr>
              <w:t>4</w:t>
            </w:r>
            <w:r>
              <w:rPr>
                <w:rStyle w:val="afff7"/>
                <w:rFonts w:hint="eastAsia"/>
              </w:rPr>
              <w:t xml:space="preserve"> </w:t>
            </w:r>
            <w:r>
              <w:rPr>
                <w:rStyle w:val="afff7"/>
                <w:rFonts w:hint="eastAsia"/>
              </w:rPr>
              <w:t>电气配置</w:t>
            </w:r>
            <w:r>
              <w:rPr>
                <w:rStyle w:val="afff7"/>
                <w:rFonts w:hint="eastAsia"/>
              </w:rPr>
              <w:t>及布置准则</w:t>
            </w:r>
            <w:r>
              <w:tab/>
            </w:r>
            <w:r>
              <w:fldChar w:fldCharType="begin"/>
            </w:r>
            <w:r>
              <w:instrText xml:space="preserve"> PAGEREF _Toc195538735 \h </w:instrText>
            </w:r>
            <w:r>
              <w:fldChar w:fldCharType="separate"/>
            </w:r>
            <w:r>
              <w:t>2</w:t>
            </w:r>
            <w:r>
              <w:fldChar w:fldCharType="end"/>
            </w:r>
          </w:hyperlink>
        </w:p>
        <w:p w:rsidR="008916DF" w:rsidRDefault="009333F2">
          <w:pPr>
            <w:pStyle w:val="TOC3"/>
            <w:ind w:firstLine="210"/>
            <w:rPr>
              <w:rFonts w:asciiTheme="minorHAnsi" w:eastAsiaTheme="minorEastAsia" w:hAnsiTheme="minorHAnsi" w:cstheme="minorBidi"/>
              <w:szCs w:val="22"/>
            </w:rPr>
          </w:pPr>
          <w:hyperlink w:anchor="_Toc195538736" w:history="1">
            <w:r>
              <w:rPr>
                <w:rStyle w:val="afff7"/>
              </w:rPr>
              <w:t>4.1</w:t>
            </w:r>
            <w:r>
              <w:rPr>
                <w:rStyle w:val="afff7"/>
                <w:rFonts w:hint="eastAsia"/>
              </w:rPr>
              <w:t xml:space="preserve"> </w:t>
            </w:r>
            <w:r>
              <w:rPr>
                <w:rStyle w:val="afff7"/>
                <w:rFonts w:hint="eastAsia"/>
              </w:rPr>
              <w:t>总体要求</w:t>
            </w:r>
            <w:r>
              <w:tab/>
            </w:r>
            <w:r>
              <w:fldChar w:fldCharType="begin"/>
            </w:r>
            <w:r>
              <w:instrText xml:space="preserve"> PAGEREF _Toc195538736 \h </w:instrText>
            </w:r>
            <w:r>
              <w:fldChar w:fldCharType="separate"/>
            </w:r>
            <w:r>
              <w:t>2</w:t>
            </w:r>
            <w:r>
              <w:fldChar w:fldCharType="end"/>
            </w:r>
          </w:hyperlink>
        </w:p>
        <w:p w:rsidR="008916DF" w:rsidRDefault="009333F2">
          <w:pPr>
            <w:pStyle w:val="TOC3"/>
            <w:ind w:firstLine="210"/>
            <w:rPr>
              <w:rFonts w:asciiTheme="minorHAnsi" w:eastAsiaTheme="minorEastAsia" w:hAnsiTheme="minorHAnsi" w:cstheme="minorBidi"/>
              <w:szCs w:val="22"/>
            </w:rPr>
          </w:pPr>
          <w:hyperlink w:anchor="_Toc195538737" w:history="1">
            <w:r>
              <w:rPr>
                <w:rStyle w:val="afff7"/>
              </w:rPr>
              <w:t>4.2</w:t>
            </w:r>
            <w:r>
              <w:rPr>
                <w:rStyle w:val="afff7"/>
                <w:rFonts w:hint="eastAsia"/>
              </w:rPr>
              <w:t xml:space="preserve"> </w:t>
            </w:r>
            <w:r>
              <w:rPr>
                <w:rStyle w:val="afff7"/>
                <w:rFonts w:hint="eastAsia"/>
              </w:rPr>
              <w:t>电力系统配置</w:t>
            </w:r>
            <w:r>
              <w:tab/>
            </w:r>
            <w:r>
              <w:fldChar w:fldCharType="begin"/>
            </w:r>
            <w:r>
              <w:instrText xml:space="preserve"> PAGEREF _Toc195538737 \h </w:instrText>
            </w:r>
            <w:r>
              <w:fldChar w:fldCharType="separate"/>
            </w:r>
            <w:r>
              <w:t>2</w:t>
            </w:r>
            <w:r>
              <w:fldChar w:fldCharType="end"/>
            </w:r>
          </w:hyperlink>
        </w:p>
        <w:p w:rsidR="008916DF" w:rsidRDefault="009333F2">
          <w:pPr>
            <w:pStyle w:val="TOC3"/>
            <w:ind w:firstLine="210"/>
            <w:rPr>
              <w:rFonts w:asciiTheme="minorHAnsi" w:eastAsiaTheme="minorEastAsia" w:hAnsiTheme="minorHAnsi" w:cstheme="minorBidi"/>
              <w:szCs w:val="22"/>
            </w:rPr>
          </w:pPr>
          <w:hyperlink w:anchor="_Toc195538738" w:history="1">
            <w:r>
              <w:rPr>
                <w:rStyle w:val="afff7"/>
              </w:rPr>
              <w:t>4.3</w:t>
            </w:r>
            <w:r>
              <w:rPr>
                <w:rStyle w:val="afff7"/>
                <w:rFonts w:hint="eastAsia"/>
              </w:rPr>
              <w:t xml:space="preserve"> </w:t>
            </w:r>
            <w:r>
              <w:rPr>
                <w:rStyle w:val="afff7"/>
                <w:rFonts w:hint="eastAsia"/>
              </w:rPr>
              <w:t>电气设备布置</w:t>
            </w:r>
            <w:r>
              <w:tab/>
            </w:r>
            <w:r>
              <w:fldChar w:fldCharType="begin"/>
            </w:r>
            <w:r>
              <w:instrText xml:space="preserve"> PAGEREF _Toc195538738 \h </w:instrText>
            </w:r>
            <w:r>
              <w:fldChar w:fldCharType="separate"/>
            </w:r>
            <w:r>
              <w:t>2</w:t>
            </w:r>
            <w:r>
              <w:fldChar w:fldCharType="end"/>
            </w:r>
          </w:hyperlink>
        </w:p>
        <w:p w:rsidR="008916DF" w:rsidRDefault="009333F2">
          <w:pPr>
            <w:pStyle w:val="TOC2"/>
            <w:rPr>
              <w:rFonts w:asciiTheme="minorHAnsi" w:eastAsiaTheme="minorEastAsia" w:hAnsiTheme="minorHAnsi" w:cstheme="minorBidi"/>
              <w:szCs w:val="22"/>
            </w:rPr>
          </w:pPr>
          <w:hyperlink w:anchor="_Toc195538739" w:history="1">
            <w:r>
              <w:rPr>
                <w:rStyle w:val="afff7"/>
              </w:rPr>
              <w:t>5</w:t>
            </w:r>
            <w:r>
              <w:rPr>
                <w:rStyle w:val="afff7"/>
                <w:rFonts w:hint="eastAsia"/>
              </w:rPr>
              <w:t xml:space="preserve"> </w:t>
            </w:r>
            <w:r>
              <w:rPr>
                <w:rStyle w:val="afff7"/>
                <w:rFonts w:hint="eastAsia"/>
              </w:rPr>
              <w:t>电缆布置</w:t>
            </w:r>
            <w:r>
              <w:tab/>
            </w:r>
            <w:r>
              <w:fldChar w:fldCharType="begin"/>
            </w:r>
            <w:r>
              <w:instrText xml:space="preserve"> PAGEREF _Toc195538739 \h </w:instrText>
            </w:r>
            <w:r>
              <w:fldChar w:fldCharType="separate"/>
            </w:r>
            <w:r>
              <w:t>3</w:t>
            </w:r>
            <w:r>
              <w:fldChar w:fldCharType="end"/>
            </w:r>
          </w:hyperlink>
        </w:p>
        <w:p w:rsidR="008916DF" w:rsidRDefault="009333F2">
          <w:pPr>
            <w:pStyle w:val="TOC2"/>
            <w:rPr>
              <w:rFonts w:asciiTheme="minorHAnsi" w:eastAsiaTheme="minorEastAsia" w:hAnsiTheme="minorHAnsi" w:cstheme="minorBidi"/>
              <w:szCs w:val="22"/>
            </w:rPr>
          </w:pPr>
          <w:hyperlink w:anchor="_Toc195538740" w:history="1">
            <w:r>
              <w:rPr>
                <w:rStyle w:val="afff7"/>
                <w:rFonts w:hint="eastAsia"/>
              </w:rPr>
              <w:t>参考文献</w:t>
            </w:r>
            <w:r>
              <w:tab/>
            </w:r>
            <w:r>
              <w:fldChar w:fldCharType="begin"/>
            </w:r>
            <w:r>
              <w:instrText xml:space="preserve"> PAGEREF _Toc195538740 \h </w:instrText>
            </w:r>
            <w:r>
              <w:fldChar w:fldCharType="separate"/>
            </w:r>
            <w:r>
              <w:t>4</w:t>
            </w:r>
            <w:r>
              <w:fldChar w:fldCharType="end"/>
            </w:r>
          </w:hyperlink>
        </w:p>
        <w:p w:rsidR="008916DF" w:rsidRDefault="009333F2">
          <w:r>
            <w:rPr>
              <w:b/>
              <w:bCs/>
              <w:lang w:val="zh-CN"/>
            </w:rPr>
            <w:fldChar w:fldCharType="end"/>
          </w:r>
        </w:p>
      </w:sdtContent>
    </w:sdt>
    <w:p w:rsidR="008916DF" w:rsidRDefault="008916DF">
      <w:pPr>
        <w:pStyle w:val="afff1"/>
      </w:pPr>
    </w:p>
    <w:p w:rsidR="008916DF" w:rsidRDefault="008916DF">
      <w:pPr>
        <w:pStyle w:val="afff1"/>
      </w:pPr>
    </w:p>
    <w:p w:rsidR="008916DF" w:rsidRDefault="009333F2">
      <w:pPr>
        <w:pStyle w:val="affffff"/>
      </w:pPr>
      <w:bookmarkStart w:id="8" w:name="_Toc195538726"/>
      <w:bookmarkStart w:id="9" w:name="_Toc20302068"/>
      <w:r>
        <w:rPr>
          <w:rFonts w:hint="eastAsia"/>
        </w:rPr>
        <w:lastRenderedPageBreak/>
        <w:t>前</w:t>
      </w:r>
      <w:bookmarkStart w:id="10" w:name="BKQY"/>
      <w:r>
        <w:rPr>
          <w:rFonts w:ascii="MS Mincho" w:eastAsia="MS Mincho" w:hAnsi="MS Mincho" w:cs="MS Mincho" w:hint="eastAsia"/>
        </w:rPr>
        <w:t>  </w:t>
      </w:r>
      <w:r>
        <w:rPr>
          <w:rFonts w:hint="eastAsia"/>
        </w:rPr>
        <w:t>言</w:t>
      </w:r>
      <w:bookmarkEnd w:id="8"/>
      <w:bookmarkEnd w:id="9"/>
      <w:bookmarkEnd w:id="10"/>
    </w:p>
    <w:p w:rsidR="008916DF" w:rsidRDefault="009333F2">
      <w:pPr>
        <w:pStyle w:val="afff1"/>
        <w:rPr>
          <w:rFonts w:hAnsi="宋体" w:cs="宋体"/>
        </w:rPr>
      </w:pPr>
      <w:r>
        <w:rPr>
          <w:rFonts w:ascii="Times New Roman"/>
        </w:rPr>
        <w:t>本</w:t>
      </w:r>
      <w:r>
        <w:rPr>
          <w:rFonts w:hAnsi="宋体" w:cs="宋体" w:hint="eastAsia"/>
        </w:rPr>
        <w:t>文件按照</w:t>
      </w:r>
      <w:r>
        <w:rPr>
          <w:rFonts w:hAnsi="宋体" w:cs="宋体" w:hint="eastAsia"/>
          <w:color w:val="000000"/>
        </w:rPr>
        <w:t>GB/T 1.1</w:t>
      </w:r>
      <w:r>
        <w:rPr>
          <w:rFonts w:hAnsi="宋体" w:cs="宋体" w:hint="eastAsia"/>
          <w:color w:val="000000"/>
        </w:rPr>
        <w:t>—</w:t>
      </w:r>
      <w:r>
        <w:rPr>
          <w:rFonts w:hAnsi="宋体" w:cs="宋体" w:hint="eastAsia"/>
          <w:color w:val="000000"/>
        </w:rPr>
        <w:t>2020</w:t>
      </w:r>
      <w:r>
        <w:rPr>
          <w:rFonts w:hAnsi="宋体" w:cs="宋体" w:hint="eastAsia"/>
          <w:color w:val="000000"/>
        </w:rPr>
        <w:t>《标准化工作导则</w:t>
      </w:r>
      <w:r>
        <w:rPr>
          <w:rFonts w:hAnsi="宋体" w:cs="宋体" w:hint="eastAsia"/>
          <w:color w:val="000000"/>
        </w:rPr>
        <w:t xml:space="preserve"> </w:t>
      </w:r>
      <w:r>
        <w:rPr>
          <w:rFonts w:hAnsi="宋体" w:cs="宋体" w:hint="eastAsia"/>
          <w:color w:val="000000"/>
        </w:rPr>
        <w:t>第</w:t>
      </w:r>
      <w:r>
        <w:rPr>
          <w:rFonts w:hAnsi="宋体" w:cs="宋体" w:hint="eastAsia"/>
          <w:color w:val="000000"/>
        </w:rPr>
        <w:t>1</w:t>
      </w:r>
      <w:r>
        <w:rPr>
          <w:rFonts w:hAnsi="宋体" w:cs="宋体" w:hint="eastAsia"/>
          <w:color w:val="000000"/>
        </w:rPr>
        <w:t>部分：标准化文件的结构和</w:t>
      </w:r>
      <w:r>
        <w:rPr>
          <w:rFonts w:hAnsi="宋体" w:cs="宋体" w:hint="eastAsia"/>
          <w:color w:val="000000"/>
        </w:rPr>
        <w:t>起草规则》</w:t>
      </w:r>
      <w:r>
        <w:rPr>
          <w:rFonts w:hAnsi="宋体" w:cs="宋体" w:hint="eastAsia"/>
        </w:rPr>
        <w:t>的规定起草。</w:t>
      </w:r>
    </w:p>
    <w:p w:rsidR="008916DF" w:rsidRDefault="009333F2">
      <w:pPr>
        <w:pStyle w:val="afff1"/>
        <w:rPr>
          <w:rFonts w:ascii="Times New Roman"/>
        </w:rPr>
      </w:pPr>
      <w:r>
        <w:rPr>
          <w:rFonts w:ascii="Times New Roman" w:hint="eastAsia"/>
        </w:rPr>
        <w:t>请注意本文件的某些内容可能涉及专利。本文件的发布机构不承担识别专利的责任。</w:t>
      </w:r>
    </w:p>
    <w:p w:rsidR="008916DF" w:rsidRDefault="009333F2">
      <w:pPr>
        <w:pStyle w:val="afff1"/>
        <w:rPr>
          <w:rFonts w:ascii="Times New Roman"/>
        </w:rPr>
      </w:pPr>
      <w:r>
        <w:rPr>
          <w:rFonts w:ascii="Times New Roman" w:hint="eastAsia"/>
        </w:rPr>
        <w:t>本文件由中国核学会提出。</w:t>
      </w:r>
    </w:p>
    <w:p w:rsidR="008916DF" w:rsidRDefault="009333F2">
      <w:pPr>
        <w:pStyle w:val="afff1"/>
        <w:rPr>
          <w:rFonts w:ascii="Times New Roman"/>
          <w:color w:val="000000"/>
        </w:rPr>
      </w:pPr>
      <w:r>
        <w:rPr>
          <w:rFonts w:ascii="Times New Roman" w:hint="eastAsia"/>
        </w:rPr>
        <w:t>本文件</w:t>
      </w:r>
      <w:r>
        <w:rPr>
          <w:rFonts w:ascii="Times New Roman" w:hint="eastAsia"/>
          <w:color w:val="000000"/>
        </w:rPr>
        <w:t>由核工业标准化研究所归口。</w:t>
      </w:r>
    </w:p>
    <w:p w:rsidR="008916DF" w:rsidRDefault="009333F2">
      <w:pPr>
        <w:pStyle w:val="afff1"/>
        <w:rPr>
          <w:rFonts w:ascii="Times New Roman"/>
        </w:rPr>
      </w:pPr>
      <w:r>
        <w:rPr>
          <w:rFonts w:ascii="Times New Roman" w:hint="eastAsia"/>
          <w:color w:val="000000"/>
        </w:rPr>
        <w:t>本文件起草单位：</w:t>
      </w:r>
      <w:r>
        <w:rPr>
          <w:rFonts w:ascii="Times New Roman" w:hint="eastAsia"/>
        </w:rPr>
        <w:t>中核能源科技有限公司，清华大学核能与新能源技术研究院</w:t>
      </w:r>
      <w:r>
        <w:rPr>
          <w:rFonts w:ascii="Times New Roman" w:hint="eastAsia"/>
        </w:rPr>
        <w:t>。</w:t>
      </w:r>
    </w:p>
    <w:p w:rsidR="008916DF" w:rsidRDefault="009333F2">
      <w:pPr>
        <w:pStyle w:val="afff1"/>
        <w:rPr>
          <w:rFonts w:ascii="Times New Roman"/>
        </w:rPr>
      </w:pPr>
      <w:r>
        <w:rPr>
          <w:rFonts w:ascii="Times New Roman" w:hint="eastAsia"/>
        </w:rPr>
        <w:t>本文件主要起草人：</w:t>
      </w:r>
      <w:r>
        <w:rPr>
          <w:rFonts w:ascii="Times New Roman" w:hint="eastAsia"/>
          <w:color w:val="000000"/>
        </w:rPr>
        <w:t>刘宇婷、王煦、孙卫东、肖孟男、黎闫、朱文</w:t>
      </w:r>
      <w:proofErr w:type="gramStart"/>
      <w:r>
        <w:rPr>
          <w:rFonts w:ascii="Times New Roman" w:hint="eastAsia"/>
          <w:color w:val="000000"/>
        </w:rPr>
        <w:t>韬</w:t>
      </w:r>
      <w:proofErr w:type="gramEnd"/>
      <w:r>
        <w:rPr>
          <w:rFonts w:ascii="Times New Roman" w:hint="eastAsia"/>
          <w:color w:val="000000"/>
        </w:rPr>
        <w:t>、孙凤</w:t>
      </w:r>
      <w:r>
        <w:rPr>
          <w:rFonts w:ascii="Times New Roman" w:hint="eastAsia"/>
        </w:rPr>
        <w:t>。</w:t>
      </w:r>
    </w:p>
    <w:p w:rsidR="008916DF" w:rsidRDefault="008916DF">
      <w:pPr>
        <w:pStyle w:val="afff1"/>
      </w:pPr>
    </w:p>
    <w:p w:rsidR="008916DF" w:rsidRDefault="008916DF">
      <w:pPr>
        <w:pStyle w:val="afff1"/>
        <w:ind w:firstLineChars="0" w:firstLine="0"/>
        <w:sectPr w:rsidR="008916DF">
          <w:headerReference w:type="default" r:id="rId12"/>
          <w:footerReference w:type="default" r:id="rId13"/>
          <w:pgSz w:w="11906" w:h="16838"/>
          <w:pgMar w:top="1417" w:right="1417" w:bottom="567" w:left="1134" w:header="1418" w:footer="1134" w:gutter="0"/>
          <w:pgNumType w:fmt="upperRoman" w:start="1"/>
          <w:cols w:space="425"/>
          <w:formProt w:val="0"/>
          <w:docGrid w:type="lines" w:linePitch="312"/>
        </w:sectPr>
      </w:pPr>
    </w:p>
    <w:p w:rsidR="008916DF" w:rsidRDefault="009333F2">
      <w:pPr>
        <w:pStyle w:val="afff1"/>
        <w:ind w:firstLine="640"/>
        <w:jc w:val="center"/>
        <w:rPr>
          <w:rFonts w:ascii="黑体" w:eastAsia="黑体" w:hAnsi="黑体"/>
          <w:sz w:val="32"/>
          <w:szCs w:val="32"/>
        </w:rPr>
      </w:pPr>
      <w:r>
        <w:rPr>
          <w:rFonts w:ascii="黑体" w:eastAsia="黑体" w:hAnsi="黑体" w:hint="eastAsia"/>
          <w:sz w:val="32"/>
          <w:szCs w:val="32"/>
        </w:rPr>
        <w:lastRenderedPageBreak/>
        <w:t>多模块高温气冷堆核动力厂电气配置及布置准则</w:t>
      </w:r>
    </w:p>
    <w:p w:rsidR="008916DF" w:rsidRDefault="009333F2">
      <w:pPr>
        <w:pStyle w:val="a4"/>
        <w:ind w:left="0"/>
        <w:rPr>
          <w:szCs w:val="21"/>
        </w:rPr>
      </w:pPr>
      <w:bookmarkStart w:id="11" w:name="_Toc195538727"/>
      <w:bookmarkStart w:id="12" w:name="_Toc20302069"/>
      <w:bookmarkStart w:id="13" w:name="_Toc20301579"/>
      <w:r>
        <w:rPr>
          <w:rFonts w:hint="eastAsia"/>
          <w:szCs w:val="21"/>
        </w:rPr>
        <w:t>范围</w:t>
      </w:r>
      <w:bookmarkEnd w:id="11"/>
      <w:bookmarkEnd w:id="12"/>
      <w:bookmarkEnd w:id="13"/>
    </w:p>
    <w:p w:rsidR="008916DF" w:rsidRDefault="009333F2">
      <w:pPr>
        <w:pStyle w:val="afff1"/>
        <w:rPr>
          <w:rFonts w:ascii="Times New Roman"/>
        </w:rPr>
      </w:pPr>
      <w:r>
        <w:rPr>
          <w:rFonts w:ascii="Times New Roman" w:hint="eastAsia"/>
        </w:rPr>
        <w:t>本文件规定了多模块高温气冷堆核动力厂的电气布置及配置准则的要求，包括总体要求、</w:t>
      </w:r>
      <w:r>
        <w:rPr>
          <w:rFonts w:ascii="Times New Roman" w:hint="eastAsia"/>
        </w:rPr>
        <w:t>不同模块之间用电负荷的供电配置要求</w:t>
      </w:r>
      <w:r>
        <w:rPr>
          <w:rFonts w:ascii="Times New Roman" w:hint="eastAsia"/>
        </w:rPr>
        <w:t>、</w:t>
      </w:r>
      <w:r>
        <w:rPr>
          <w:rFonts w:ascii="Times New Roman" w:hint="eastAsia"/>
        </w:rPr>
        <w:t>不同模块之间安全级和</w:t>
      </w:r>
      <w:proofErr w:type="gramStart"/>
      <w:r>
        <w:rPr>
          <w:rFonts w:ascii="Times New Roman" w:hint="eastAsia"/>
        </w:rPr>
        <w:t>非安全</w:t>
      </w:r>
      <w:proofErr w:type="gramEnd"/>
      <w:r>
        <w:rPr>
          <w:rFonts w:ascii="Times New Roman" w:hint="eastAsia"/>
        </w:rPr>
        <w:t>级电气设备和电缆的布置要求</w:t>
      </w:r>
      <w:r>
        <w:rPr>
          <w:rFonts w:ascii="Times New Roman" w:hint="eastAsia"/>
        </w:rPr>
        <w:t>等内容</w:t>
      </w:r>
      <w:r>
        <w:rPr>
          <w:rFonts w:ascii="Times New Roman" w:hint="eastAsia"/>
        </w:rPr>
        <w:t>。</w:t>
      </w:r>
    </w:p>
    <w:p w:rsidR="008916DF" w:rsidRDefault="009333F2">
      <w:pPr>
        <w:pStyle w:val="afff1"/>
      </w:pPr>
      <w:r>
        <w:rPr>
          <w:rFonts w:ascii="Times New Roman" w:hint="eastAsia"/>
        </w:rPr>
        <w:t>本文件</w:t>
      </w:r>
      <w:r>
        <w:rPr>
          <w:rFonts w:ascii="Times New Roman" w:hint="eastAsia"/>
        </w:rPr>
        <w:t>适用于为供热应用设计的多模块高温气冷堆核动力厂的电气配置和布置工作，其他类型核动力厂的电气配置和布置工作可参照执行</w:t>
      </w:r>
      <w:r>
        <w:rPr>
          <w:rFonts w:ascii="Times New Roman"/>
        </w:rPr>
        <w:t>。</w:t>
      </w:r>
    </w:p>
    <w:p w:rsidR="008916DF" w:rsidRDefault="009333F2">
      <w:pPr>
        <w:pStyle w:val="a4"/>
        <w:ind w:left="0"/>
        <w:rPr>
          <w:szCs w:val="21"/>
        </w:rPr>
      </w:pPr>
      <w:bookmarkStart w:id="14" w:name="_Toc20302070"/>
      <w:bookmarkStart w:id="15" w:name="_Toc195538728"/>
      <w:bookmarkStart w:id="16" w:name="_Toc20301580"/>
      <w:r>
        <w:rPr>
          <w:rFonts w:hint="eastAsia"/>
          <w:szCs w:val="21"/>
        </w:rPr>
        <w:t>规范性引用文件</w:t>
      </w:r>
      <w:bookmarkEnd w:id="14"/>
      <w:bookmarkEnd w:id="15"/>
      <w:bookmarkEnd w:id="16"/>
    </w:p>
    <w:p w:rsidR="008916DF" w:rsidRDefault="009333F2">
      <w:pPr>
        <w:pStyle w:val="afff1"/>
        <w:rPr>
          <w:rFonts w:ascii="Times New Roman"/>
        </w:rPr>
      </w:pPr>
      <w:r>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8916DF" w:rsidRDefault="008916DF">
      <w:pPr>
        <w:pStyle w:val="afff1"/>
        <w:rPr>
          <w:rFonts w:ascii="Times New Roman"/>
        </w:rPr>
      </w:pPr>
    </w:p>
    <w:p w:rsidR="008916DF" w:rsidRDefault="009333F2">
      <w:pPr>
        <w:pStyle w:val="a4"/>
        <w:ind w:left="0"/>
        <w:rPr>
          <w:szCs w:val="21"/>
        </w:rPr>
      </w:pPr>
      <w:bookmarkStart w:id="17" w:name="_Toc504579609"/>
      <w:bookmarkStart w:id="18" w:name="_Toc381002925"/>
      <w:bookmarkStart w:id="19" w:name="_Toc195538729"/>
      <w:bookmarkStart w:id="20" w:name="_Toc504579062"/>
      <w:bookmarkStart w:id="21" w:name="_Toc381003436"/>
      <w:bookmarkStart w:id="22" w:name="_Toc502135604"/>
      <w:bookmarkStart w:id="23" w:name="_Toc490662725"/>
      <w:bookmarkStart w:id="24" w:name="_Toc20302071"/>
      <w:bookmarkStart w:id="25" w:name="_Toc380005105"/>
      <w:r>
        <w:rPr>
          <w:rFonts w:hint="eastAsia"/>
          <w:szCs w:val="21"/>
        </w:rPr>
        <w:t>术</w:t>
      </w:r>
      <w:r>
        <w:rPr>
          <w:rFonts w:hint="eastAsia"/>
          <w:szCs w:val="21"/>
        </w:rPr>
        <w:t>语和定义</w:t>
      </w:r>
      <w:bookmarkEnd w:id="17"/>
      <w:bookmarkEnd w:id="18"/>
      <w:bookmarkEnd w:id="19"/>
      <w:bookmarkEnd w:id="20"/>
      <w:bookmarkEnd w:id="21"/>
      <w:bookmarkEnd w:id="22"/>
      <w:bookmarkEnd w:id="23"/>
      <w:bookmarkEnd w:id="24"/>
      <w:bookmarkEnd w:id="25"/>
    </w:p>
    <w:p w:rsidR="008916DF" w:rsidRDefault="009333F2">
      <w:pPr>
        <w:pStyle w:val="afff1"/>
      </w:pPr>
      <w:r>
        <w:rPr>
          <w:rFonts w:ascii="Times New Roman" w:hint="eastAsia"/>
          <w:szCs w:val="21"/>
        </w:rPr>
        <w:t>下列</w:t>
      </w:r>
      <w:r>
        <w:rPr>
          <w:rFonts w:ascii="Times New Roman"/>
          <w:szCs w:val="21"/>
        </w:rPr>
        <w:t>术语和定义适用于本文件</w:t>
      </w:r>
      <w:r>
        <w:rPr>
          <w:rFonts w:ascii="Times New Roman" w:hint="eastAsia"/>
          <w:szCs w:val="21"/>
        </w:rPr>
        <w:t>。</w:t>
      </w:r>
    </w:p>
    <w:p w:rsidR="008916DF" w:rsidRDefault="008916DF">
      <w:pPr>
        <w:pStyle w:val="a5"/>
      </w:pPr>
      <w:bookmarkStart w:id="26" w:name="_Toc48658966"/>
      <w:bookmarkStart w:id="27" w:name="_Toc195538730"/>
      <w:bookmarkEnd w:id="26"/>
    </w:p>
    <w:p w:rsidR="008916DF" w:rsidRDefault="009333F2">
      <w:pPr>
        <w:pStyle w:val="a5"/>
        <w:numPr>
          <w:ilvl w:val="255"/>
          <w:numId w:val="0"/>
        </w:numPr>
        <w:ind w:firstLineChars="200" w:firstLine="420"/>
        <w:rPr>
          <w:rFonts w:hAnsi="黑体" w:cs="黑体"/>
        </w:rPr>
      </w:pPr>
      <w:r>
        <w:rPr>
          <w:rFonts w:hAnsi="黑体" w:cs="黑体" w:hint="eastAsia"/>
        </w:rPr>
        <w:t>模块</w:t>
      </w:r>
      <w:r>
        <w:rPr>
          <w:rFonts w:hAnsi="黑体" w:cs="黑体" w:hint="eastAsia"/>
        </w:rPr>
        <w:t>/</w:t>
      </w:r>
      <w:r>
        <w:rPr>
          <w:rFonts w:hAnsi="黑体" w:cs="黑体" w:hint="eastAsia"/>
        </w:rPr>
        <w:t>模组</w:t>
      </w:r>
      <w:r>
        <w:rPr>
          <w:rFonts w:hAnsi="黑体" w:cs="黑体" w:hint="eastAsia"/>
        </w:rPr>
        <w:t xml:space="preserve"> module/ module set</w:t>
      </w:r>
      <w:bookmarkEnd w:id="27"/>
    </w:p>
    <w:p w:rsidR="008916DF" w:rsidRDefault="009333F2">
      <w:pPr>
        <w:pStyle w:val="afff1"/>
        <w:rPr>
          <w:szCs w:val="21"/>
        </w:rPr>
      </w:pPr>
      <w:r>
        <w:rPr>
          <w:rFonts w:hint="eastAsia"/>
        </w:rPr>
        <w:t>模块指核蒸汽供应系统模块，每个模块由反应堆、蒸汽发生器、</w:t>
      </w:r>
      <w:proofErr w:type="gramStart"/>
      <w:r>
        <w:rPr>
          <w:rFonts w:hint="eastAsia"/>
        </w:rPr>
        <w:t>主氦风机</w:t>
      </w:r>
      <w:proofErr w:type="gramEnd"/>
      <w:r>
        <w:rPr>
          <w:rFonts w:hint="eastAsia"/>
        </w:rPr>
        <w:t>、热气导管等构成，具备独立运行的能力，每两个模块组成一个模组</w:t>
      </w:r>
      <w:r>
        <w:rPr>
          <w:rFonts w:hint="eastAsia"/>
          <w:szCs w:val="21"/>
        </w:rPr>
        <w:t>。</w:t>
      </w:r>
    </w:p>
    <w:p w:rsidR="008916DF" w:rsidRDefault="008916DF">
      <w:pPr>
        <w:pStyle w:val="a5"/>
      </w:pPr>
      <w:bookmarkStart w:id="28" w:name="_Toc48658968"/>
      <w:bookmarkStart w:id="29" w:name="_Toc195538731"/>
      <w:bookmarkEnd w:id="28"/>
    </w:p>
    <w:p w:rsidR="008916DF" w:rsidRDefault="009333F2">
      <w:pPr>
        <w:pStyle w:val="a5"/>
        <w:numPr>
          <w:ilvl w:val="255"/>
          <w:numId w:val="0"/>
        </w:numPr>
        <w:ind w:firstLineChars="200" w:firstLine="420"/>
      </w:pPr>
      <w:r>
        <w:rPr>
          <w:rFonts w:hint="eastAsia"/>
        </w:rPr>
        <w:t>风险指引</w:t>
      </w:r>
      <w:r>
        <w:rPr>
          <w:rFonts w:hint="eastAsia"/>
        </w:rPr>
        <w:t xml:space="preserve"> risk-informed</w:t>
      </w:r>
      <w:bookmarkEnd w:id="29"/>
    </w:p>
    <w:p w:rsidR="008916DF" w:rsidRDefault="009333F2">
      <w:pPr>
        <w:pStyle w:val="afff1"/>
      </w:pPr>
      <w:r>
        <w:rPr>
          <w:rFonts w:hint="eastAsia"/>
        </w:rPr>
        <w:t>一种将概率风险评价的见解与其他来源的见解一起考虑的决策方法。</w:t>
      </w:r>
    </w:p>
    <w:p w:rsidR="008916DF" w:rsidRDefault="008916DF">
      <w:pPr>
        <w:pStyle w:val="a5"/>
      </w:pPr>
      <w:bookmarkStart w:id="30" w:name="_Toc48658970"/>
      <w:bookmarkStart w:id="31" w:name="_Toc195538732"/>
      <w:bookmarkEnd w:id="30"/>
    </w:p>
    <w:p w:rsidR="008916DF" w:rsidRDefault="009333F2">
      <w:pPr>
        <w:pStyle w:val="a5"/>
        <w:numPr>
          <w:ilvl w:val="255"/>
          <w:numId w:val="0"/>
        </w:numPr>
        <w:ind w:firstLineChars="200" w:firstLine="420"/>
      </w:pPr>
      <w:r>
        <w:rPr>
          <w:rFonts w:hint="eastAsia"/>
        </w:rPr>
        <w:t>风险重要</w:t>
      </w:r>
      <w:r>
        <w:rPr>
          <w:rFonts w:hint="eastAsia"/>
        </w:rPr>
        <w:t xml:space="preserve"> risk-significant</w:t>
      </w:r>
      <w:bookmarkEnd w:id="31"/>
    </w:p>
    <w:p w:rsidR="008916DF" w:rsidRDefault="009333F2">
      <w:pPr>
        <w:pStyle w:val="afff1"/>
      </w:pPr>
      <w:r>
        <w:rPr>
          <w:rFonts w:hint="eastAsia"/>
        </w:rPr>
        <w:t>若基于风险指引技术确定系统或设备满足特定风险重要度判定准则，则认为这些系统或设备是风险重要的。</w:t>
      </w:r>
    </w:p>
    <w:p w:rsidR="008916DF" w:rsidRDefault="008916DF">
      <w:pPr>
        <w:pStyle w:val="a5"/>
      </w:pPr>
      <w:bookmarkStart w:id="32" w:name="_Toc195538733"/>
    </w:p>
    <w:p w:rsidR="008916DF" w:rsidRDefault="009333F2">
      <w:pPr>
        <w:pStyle w:val="a5"/>
        <w:numPr>
          <w:ilvl w:val="255"/>
          <w:numId w:val="0"/>
        </w:numPr>
        <w:ind w:firstLineChars="200" w:firstLine="420"/>
      </w:pPr>
      <w:r>
        <w:rPr>
          <w:rFonts w:hint="eastAsia"/>
        </w:rPr>
        <w:t>核动力厂运行中断</w:t>
      </w:r>
      <w:r>
        <w:rPr>
          <w:rFonts w:hint="eastAsia"/>
        </w:rPr>
        <w:t xml:space="preserve"> nuclear power </w:t>
      </w:r>
      <w:r>
        <w:rPr>
          <w:rFonts w:hint="eastAsia"/>
        </w:rPr>
        <w:t>plant outage</w:t>
      </w:r>
      <w:bookmarkEnd w:id="32"/>
    </w:p>
    <w:p w:rsidR="008916DF" w:rsidRDefault="009333F2">
      <w:pPr>
        <w:pStyle w:val="afff1"/>
      </w:pPr>
      <w:r>
        <w:rPr>
          <w:rFonts w:hint="eastAsia"/>
        </w:rPr>
        <w:t>反应堆紧急停堆或后撤（预期无法按技术规格书要求时间恢复），以及供热装置无法连续供给合格工业蒸汽。</w:t>
      </w:r>
    </w:p>
    <w:p w:rsidR="008916DF" w:rsidRDefault="008916DF">
      <w:pPr>
        <w:pStyle w:val="afff1"/>
      </w:pPr>
    </w:p>
    <w:p w:rsidR="008916DF" w:rsidRDefault="008916DF">
      <w:pPr>
        <w:pStyle w:val="afff1"/>
        <w:ind w:firstLineChars="0" w:firstLine="0"/>
      </w:pPr>
    </w:p>
    <w:p w:rsidR="008916DF" w:rsidRDefault="008916DF">
      <w:pPr>
        <w:pStyle w:val="a5"/>
      </w:pPr>
      <w:bookmarkStart w:id="33" w:name="_Toc195538734"/>
    </w:p>
    <w:p w:rsidR="008916DF" w:rsidRDefault="009333F2">
      <w:pPr>
        <w:pStyle w:val="a5"/>
        <w:numPr>
          <w:ilvl w:val="255"/>
          <w:numId w:val="0"/>
        </w:numPr>
        <w:ind w:firstLineChars="200" w:firstLine="420"/>
      </w:pPr>
      <w:r>
        <w:rPr>
          <w:rFonts w:hint="eastAsia"/>
        </w:rPr>
        <w:t>功能相关性</w:t>
      </w:r>
      <w:r>
        <w:rPr>
          <w:rStyle w:val="afff9"/>
          <w:rFonts w:hint="eastAsia"/>
        </w:rPr>
        <w:footnoteReference w:id="1"/>
      </w:r>
      <w:r>
        <w:rPr>
          <w:rFonts w:hint="eastAsia"/>
        </w:rPr>
        <w:t xml:space="preserve"> functional dependency</w:t>
      </w:r>
      <w:bookmarkEnd w:id="33"/>
    </w:p>
    <w:p w:rsidR="008916DF" w:rsidRDefault="009333F2">
      <w:pPr>
        <w:pStyle w:val="afff1"/>
      </w:pPr>
      <w:r>
        <w:rPr>
          <w:rFonts w:hint="eastAsia"/>
        </w:rPr>
        <w:t>指服务同一用户的设备和电缆的功能存在一定关联。</w:t>
      </w:r>
    </w:p>
    <w:p w:rsidR="008916DF" w:rsidRDefault="009333F2">
      <w:pPr>
        <w:pStyle w:val="a4"/>
        <w:ind w:left="0"/>
        <w:rPr>
          <w:szCs w:val="21"/>
        </w:rPr>
      </w:pPr>
      <w:bookmarkStart w:id="34" w:name="_Toc119926293"/>
      <w:bookmarkStart w:id="35" w:name="_Toc119926390"/>
      <w:bookmarkStart w:id="36" w:name="_Toc119926287"/>
      <w:bookmarkStart w:id="37" w:name="_Toc119926388"/>
      <w:bookmarkStart w:id="38" w:name="_Toc381002926"/>
      <w:bookmarkStart w:id="39" w:name="_Toc119926395"/>
      <w:bookmarkStart w:id="40" w:name="_Toc119926291"/>
      <w:bookmarkStart w:id="41" w:name="_Toc119926286"/>
      <w:bookmarkStart w:id="42" w:name="_Toc119071413"/>
      <w:bookmarkStart w:id="43" w:name="_Toc119926391"/>
      <w:bookmarkStart w:id="44" w:name="_Toc119926392"/>
      <w:bookmarkStart w:id="45" w:name="_Toc119926285"/>
      <w:bookmarkStart w:id="46" w:name="_Toc119926396"/>
      <w:bookmarkStart w:id="47" w:name="_Toc119926394"/>
      <w:bookmarkStart w:id="48" w:name="_Toc381003437"/>
      <w:bookmarkStart w:id="49" w:name="_Toc119926292"/>
      <w:bookmarkStart w:id="50" w:name="_Toc48658972"/>
      <w:bookmarkStart w:id="51" w:name="_Toc490662726"/>
      <w:bookmarkStart w:id="52" w:name="_Toc48658976"/>
      <w:bookmarkStart w:id="53" w:name="_Toc119926393"/>
      <w:bookmarkStart w:id="54" w:name="_Toc119926289"/>
      <w:bookmarkStart w:id="55" w:name="_Toc119926290"/>
      <w:bookmarkStart w:id="56" w:name="_Toc119926288"/>
      <w:bookmarkStart w:id="57" w:name="_Toc48658974"/>
      <w:bookmarkStart w:id="58" w:name="_Toc490662728"/>
      <w:bookmarkStart w:id="59" w:name="_Toc380005106"/>
      <w:bookmarkStart w:id="60" w:name="_Toc119926389"/>
      <w:bookmarkStart w:id="61" w:name="_Toc195538735"/>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rPr>
          <w:rFonts w:hint="eastAsia"/>
          <w:szCs w:val="21"/>
        </w:rPr>
        <w:t>电气配置及布置准则</w:t>
      </w:r>
      <w:bookmarkEnd w:id="61"/>
    </w:p>
    <w:p w:rsidR="008916DF" w:rsidRDefault="009333F2">
      <w:pPr>
        <w:pStyle w:val="a5"/>
      </w:pPr>
      <w:bookmarkStart w:id="62" w:name="_Toc195538736"/>
      <w:r>
        <w:rPr>
          <w:rFonts w:hint="eastAsia"/>
        </w:rPr>
        <w:t>总体要求</w:t>
      </w:r>
      <w:bookmarkEnd w:id="62"/>
    </w:p>
    <w:p w:rsidR="008916DF" w:rsidRDefault="009333F2">
      <w:pPr>
        <w:pStyle w:val="afff1"/>
        <w:numPr>
          <w:ilvl w:val="255"/>
          <w:numId w:val="0"/>
        </w:numPr>
        <w:ind w:left="561"/>
      </w:pPr>
      <w:r>
        <w:rPr>
          <w:rFonts w:hint="eastAsia"/>
        </w:rPr>
        <w:t>多模块高温气冷堆核动力厂电气配置及布置准则的总体要求包括：</w:t>
      </w:r>
    </w:p>
    <w:p w:rsidR="008916DF" w:rsidRDefault="009333F2">
      <w:pPr>
        <w:pStyle w:val="afff1"/>
        <w:numPr>
          <w:ilvl w:val="0"/>
          <w:numId w:val="19"/>
        </w:numPr>
        <w:ind w:firstLineChars="0"/>
      </w:pPr>
      <w:r>
        <w:t>同一模块的安全级电气设备和电缆的冗余系列之间应采取实体隔离或空间隔离措施，使得在任何设计基准事件发生期间及之后，该安全级电气设备和电缆仍能执行所要求的安全功能</w:t>
      </w:r>
      <w:r>
        <w:rPr>
          <w:rFonts w:hint="eastAsia"/>
        </w:rPr>
        <w:t>。</w:t>
      </w:r>
    </w:p>
    <w:p w:rsidR="008916DF" w:rsidRDefault="009333F2">
      <w:pPr>
        <w:pStyle w:val="afff1"/>
        <w:numPr>
          <w:ilvl w:val="0"/>
          <w:numId w:val="19"/>
        </w:numPr>
        <w:ind w:firstLineChars="0"/>
      </w:pPr>
      <w:r>
        <w:rPr>
          <w:rFonts w:hint="eastAsia"/>
        </w:rPr>
        <w:t>为了保证连续供给蒸汽并维</w:t>
      </w:r>
      <w:r>
        <w:rPr>
          <w:rFonts w:hint="eastAsia"/>
        </w:rPr>
        <w:t>持所需的供汽量，电气设计和电缆的敷设宜避免多个反应堆模块紧急停堆或后撤。宜避免紧急停堆或后撤的反应堆模块数量应根据核动力厂供热目标和实际设计情况确定。</w:t>
      </w:r>
    </w:p>
    <w:p w:rsidR="008916DF" w:rsidRDefault="009333F2">
      <w:pPr>
        <w:pStyle w:val="afff1"/>
        <w:numPr>
          <w:ilvl w:val="0"/>
          <w:numId w:val="19"/>
        </w:numPr>
        <w:ind w:firstLineChars="0"/>
        <w:rPr>
          <w:szCs w:val="21"/>
        </w:rPr>
      </w:pPr>
      <w:r>
        <w:rPr>
          <w:rFonts w:hint="eastAsia"/>
        </w:rPr>
        <w:t>应基于风险指引技术识别风险重要的和存在功能相关性的设备和电缆，在设计上考虑相应的配置和布置要求。</w:t>
      </w:r>
    </w:p>
    <w:p w:rsidR="008916DF" w:rsidRDefault="009333F2">
      <w:pPr>
        <w:pStyle w:val="a5"/>
      </w:pPr>
      <w:bookmarkStart w:id="63" w:name="_Toc119926400"/>
      <w:bookmarkStart w:id="64" w:name="_Toc119926401"/>
      <w:bookmarkStart w:id="65" w:name="_Toc119926399"/>
      <w:bookmarkStart w:id="66" w:name="_Toc119926296"/>
      <w:bookmarkStart w:id="67" w:name="_Toc119926297"/>
      <w:bookmarkStart w:id="68" w:name="_Toc119926298"/>
      <w:bookmarkStart w:id="69" w:name="_Toc195538737"/>
      <w:bookmarkEnd w:id="63"/>
      <w:bookmarkEnd w:id="64"/>
      <w:bookmarkEnd w:id="65"/>
      <w:bookmarkEnd w:id="66"/>
      <w:bookmarkEnd w:id="67"/>
      <w:bookmarkEnd w:id="68"/>
      <w:r>
        <w:rPr>
          <w:rFonts w:hint="eastAsia"/>
        </w:rPr>
        <w:t>电力系统配置</w:t>
      </w:r>
      <w:bookmarkEnd w:id="69"/>
    </w:p>
    <w:p w:rsidR="008916DF" w:rsidRDefault="009333F2">
      <w:pPr>
        <w:pStyle w:val="afff1"/>
        <w:ind w:leftChars="67" w:left="141"/>
      </w:pPr>
      <w:r>
        <w:rPr>
          <w:rFonts w:hint="eastAsia"/>
        </w:rPr>
        <w:t>厂外电力系统</w:t>
      </w:r>
      <w:proofErr w:type="gramStart"/>
      <w:r>
        <w:rPr>
          <w:rFonts w:hint="eastAsia"/>
        </w:rPr>
        <w:t>宜设置</w:t>
      </w:r>
      <w:proofErr w:type="gramEnd"/>
      <w:r>
        <w:rPr>
          <w:rFonts w:hint="eastAsia"/>
        </w:rPr>
        <w:t>两个实体独立的厂外电源，丧失一路厂外电源不影响另一路厂外电源执行其功能。</w:t>
      </w:r>
    </w:p>
    <w:p w:rsidR="008916DF" w:rsidRDefault="009333F2">
      <w:pPr>
        <w:pStyle w:val="afff1"/>
        <w:ind w:leftChars="67" w:left="141"/>
      </w:pPr>
      <w:r>
        <w:rPr>
          <w:rFonts w:hint="eastAsia"/>
        </w:rPr>
        <w:t>对于安全级系统用电负荷，设计上应进行如下配置：</w:t>
      </w:r>
    </w:p>
    <w:p w:rsidR="008916DF" w:rsidRDefault="009333F2">
      <w:pPr>
        <w:pStyle w:val="afff1"/>
        <w:numPr>
          <w:ilvl w:val="0"/>
          <w:numId w:val="20"/>
        </w:numPr>
        <w:ind w:firstLineChars="0"/>
      </w:pPr>
      <w:r>
        <w:rPr>
          <w:rFonts w:hint="eastAsia"/>
        </w:rPr>
        <w:t>每个模组执行安全功能的设备及支持安全功能所需的</w:t>
      </w:r>
      <w:proofErr w:type="gramStart"/>
      <w:r>
        <w:rPr>
          <w:rFonts w:hint="eastAsia"/>
        </w:rPr>
        <w:t>仪控设备应分模</w:t>
      </w:r>
      <w:proofErr w:type="gramEnd"/>
      <w:r>
        <w:rPr>
          <w:rFonts w:hint="eastAsia"/>
        </w:rPr>
        <w:t>组供电。</w:t>
      </w:r>
    </w:p>
    <w:p w:rsidR="008916DF" w:rsidRDefault="009333F2">
      <w:pPr>
        <w:pStyle w:val="afff1"/>
        <w:numPr>
          <w:ilvl w:val="0"/>
          <w:numId w:val="20"/>
        </w:numPr>
        <w:ind w:firstLineChars="0"/>
      </w:pPr>
      <w:proofErr w:type="gramStart"/>
      <w:r>
        <w:rPr>
          <w:rFonts w:hint="eastAsia"/>
        </w:rPr>
        <w:t>同一模组</w:t>
      </w:r>
      <w:proofErr w:type="gramEnd"/>
      <w:r>
        <w:rPr>
          <w:rFonts w:hint="eastAsia"/>
        </w:rPr>
        <w:t>执行安全功能的系统及支持安全功</w:t>
      </w:r>
      <w:r>
        <w:rPr>
          <w:rFonts w:hint="eastAsia"/>
        </w:rPr>
        <w:t>能所需</w:t>
      </w:r>
      <w:proofErr w:type="gramStart"/>
      <w:r>
        <w:rPr>
          <w:rFonts w:hint="eastAsia"/>
        </w:rPr>
        <w:t>的仪控系</w:t>
      </w:r>
      <w:proofErr w:type="gramEnd"/>
      <w:r>
        <w:rPr>
          <w:rFonts w:hint="eastAsia"/>
        </w:rPr>
        <w:t>统的冗余设备，应采用不同安全通道的电源供电。</w:t>
      </w:r>
    </w:p>
    <w:p w:rsidR="008916DF" w:rsidRDefault="009333F2">
      <w:pPr>
        <w:pStyle w:val="afff1"/>
        <w:numPr>
          <w:ilvl w:val="0"/>
          <w:numId w:val="20"/>
        </w:numPr>
        <w:ind w:firstLineChars="0"/>
      </w:pPr>
      <w:r>
        <w:rPr>
          <w:rFonts w:hint="eastAsia"/>
        </w:rPr>
        <w:t>失</w:t>
      </w:r>
      <w:proofErr w:type="gramStart"/>
      <w:r>
        <w:rPr>
          <w:rFonts w:hint="eastAsia"/>
        </w:rPr>
        <w:t>电可能</w:t>
      </w:r>
      <w:proofErr w:type="gramEnd"/>
      <w:r>
        <w:rPr>
          <w:rFonts w:hint="eastAsia"/>
        </w:rPr>
        <w:t>导致核动力厂运行中断的</w:t>
      </w:r>
      <w:proofErr w:type="gramStart"/>
      <w:r>
        <w:rPr>
          <w:rFonts w:hint="eastAsia"/>
        </w:rPr>
        <w:t>分模组设</w:t>
      </w:r>
      <w:proofErr w:type="gramEnd"/>
      <w:r>
        <w:rPr>
          <w:rFonts w:hint="eastAsia"/>
        </w:rPr>
        <w:t>置的安全级系统设备</w:t>
      </w:r>
      <w:proofErr w:type="gramStart"/>
      <w:r>
        <w:rPr>
          <w:rFonts w:hint="eastAsia"/>
        </w:rPr>
        <w:t>应分模</w:t>
      </w:r>
      <w:proofErr w:type="gramEnd"/>
      <w:r>
        <w:rPr>
          <w:rFonts w:hint="eastAsia"/>
        </w:rPr>
        <w:t>组供电。</w:t>
      </w:r>
    </w:p>
    <w:p w:rsidR="008916DF" w:rsidRDefault="009333F2">
      <w:pPr>
        <w:pStyle w:val="afff1"/>
        <w:ind w:leftChars="67" w:left="141"/>
      </w:pPr>
      <w:r>
        <w:rPr>
          <w:rFonts w:hint="eastAsia"/>
        </w:rPr>
        <w:t>对于</w:t>
      </w:r>
      <w:proofErr w:type="gramStart"/>
      <w:r>
        <w:rPr>
          <w:rFonts w:hint="eastAsia"/>
        </w:rPr>
        <w:t>非安全</w:t>
      </w:r>
      <w:proofErr w:type="gramEnd"/>
      <w:r>
        <w:rPr>
          <w:rFonts w:hint="eastAsia"/>
        </w:rPr>
        <w:t>级系统用电负荷，设计上应进行如下配置：</w:t>
      </w:r>
    </w:p>
    <w:p w:rsidR="008916DF" w:rsidRDefault="009333F2">
      <w:pPr>
        <w:pStyle w:val="afff1"/>
        <w:numPr>
          <w:ilvl w:val="0"/>
          <w:numId w:val="18"/>
        </w:numPr>
        <w:tabs>
          <w:tab w:val="clear" w:pos="420"/>
        </w:tabs>
        <w:ind w:left="1001" w:firstLineChars="0"/>
      </w:pPr>
      <w:r>
        <w:rPr>
          <w:rFonts w:hint="eastAsia"/>
        </w:rPr>
        <w:t>风险重要的或失</w:t>
      </w:r>
      <w:proofErr w:type="gramStart"/>
      <w:r>
        <w:rPr>
          <w:rFonts w:hint="eastAsia"/>
        </w:rPr>
        <w:t>电可能</w:t>
      </w:r>
      <w:proofErr w:type="gramEnd"/>
      <w:r>
        <w:rPr>
          <w:rFonts w:hint="eastAsia"/>
        </w:rPr>
        <w:t>导致核动力厂运行中断的</w:t>
      </w:r>
      <w:proofErr w:type="gramStart"/>
      <w:r>
        <w:rPr>
          <w:rFonts w:hint="eastAsia"/>
        </w:rPr>
        <w:t>分模组设</w:t>
      </w:r>
      <w:proofErr w:type="gramEnd"/>
      <w:r>
        <w:rPr>
          <w:rFonts w:hint="eastAsia"/>
        </w:rPr>
        <w:t>置的低压负荷</w:t>
      </w:r>
      <w:proofErr w:type="gramStart"/>
      <w:r>
        <w:rPr>
          <w:rFonts w:hint="eastAsia"/>
        </w:rPr>
        <w:t>非安</w:t>
      </w:r>
      <w:proofErr w:type="gramEnd"/>
      <w:r>
        <w:rPr>
          <w:rFonts w:hint="eastAsia"/>
        </w:rPr>
        <w:t>全级设备，</w:t>
      </w:r>
      <w:proofErr w:type="gramStart"/>
      <w:r>
        <w:rPr>
          <w:rFonts w:hint="eastAsia"/>
        </w:rPr>
        <w:t>应分模</w:t>
      </w:r>
      <w:proofErr w:type="gramEnd"/>
      <w:r>
        <w:rPr>
          <w:rFonts w:hint="eastAsia"/>
        </w:rPr>
        <w:t>组供电。</w:t>
      </w:r>
    </w:p>
    <w:p w:rsidR="008916DF" w:rsidRDefault="009333F2">
      <w:pPr>
        <w:pStyle w:val="afff1"/>
        <w:numPr>
          <w:ilvl w:val="0"/>
          <w:numId w:val="18"/>
        </w:numPr>
        <w:tabs>
          <w:tab w:val="clear" w:pos="420"/>
        </w:tabs>
        <w:ind w:left="1001" w:firstLineChars="0"/>
      </w:pPr>
      <w:r>
        <w:rPr>
          <w:rFonts w:hint="eastAsia"/>
        </w:rPr>
        <w:t>风险重要的或失</w:t>
      </w:r>
      <w:proofErr w:type="gramStart"/>
      <w:r>
        <w:rPr>
          <w:rFonts w:hint="eastAsia"/>
        </w:rPr>
        <w:t>电可能</w:t>
      </w:r>
      <w:proofErr w:type="gramEnd"/>
      <w:r>
        <w:rPr>
          <w:rFonts w:hint="eastAsia"/>
        </w:rPr>
        <w:t>导致核动力厂运行中断的</w:t>
      </w:r>
      <w:proofErr w:type="gramStart"/>
      <w:r>
        <w:rPr>
          <w:rFonts w:hint="eastAsia"/>
        </w:rPr>
        <w:t>分模组设</w:t>
      </w:r>
      <w:proofErr w:type="gramEnd"/>
      <w:r>
        <w:rPr>
          <w:rFonts w:hint="eastAsia"/>
        </w:rPr>
        <w:t>置的中压负荷</w:t>
      </w:r>
      <w:proofErr w:type="gramStart"/>
      <w:r>
        <w:rPr>
          <w:rFonts w:hint="eastAsia"/>
        </w:rPr>
        <w:t>非安</w:t>
      </w:r>
      <w:proofErr w:type="gramEnd"/>
      <w:r>
        <w:rPr>
          <w:rFonts w:hint="eastAsia"/>
        </w:rPr>
        <w:t>全级设备，应至少采用不同母线供电。</w:t>
      </w:r>
    </w:p>
    <w:p w:rsidR="008916DF" w:rsidRDefault="009333F2">
      <w:pPr>
        <w:pStyle w:val="afff1"/>
        <w:numPr>
          <w:ilvl w:val="0"/>
          <w:numId w:val="18"/>
        </w:numPr>
        <w:tabs>
          <w:tab w:val="clear" w:pos="420"/>
        </w:tabs>
        <w:ind w:left="1001" w:firstLineChars="0"/>
      </w:pPr>
      <w:r>
        <w:rPr>
          <w:rFonts w:hint="eastAsia"/>
        </w:rPr>
        <w:t>风险重要的或失</w:t>
      </w:r>
      <w:proofErr w:type="gramStart"/>
      <w:r>
        <w:rPr>
          <w:rFonts w:hint="eastAsia"/>
        </w:rPr>
        <w:t>电可能</w:t>
      </w:r>
      <w:proofErr w:type="gramEnd"/>
      <w:r>
        <w:rPr>
          <w:rFonts w:hint="eastAsia"/>
        </w:rPr>
        <w:t>导致核动力厂运行中断的公用系统备用设备，应至少采用不同母线供电。</w:t>
      </w:r>
    </w:p>
    <w:p w:rsidR="008916DF" w:rsidRDefault="009333F2">
      <w:pPr>
        <w:rPr>
          <w:rFonts w:ascii="宋体"/>
        </w:rPr>
      </w:pPr>
      <w:r>
        <w:rPr>
          <w:rFonts w:ascii="宋体" w:hint="eastAsia"/>
        </w:rPr>
        <w:br w:type="page"/>
      </w:r>
    </w:p>
    <w:p w:rsidR="008916DF" w:rsidRDefault="009333F2">
      <w:pPr>
        <w:pStyle w:val="a5"/>
      </w:pPr>
      <w:bookmarkStart w:id="70" w:name="_Toc195538738"/>
      <w:r>
        <w:rPr>
          <w:rFonts w:hint="eastAsia"/>
        </w:rPr>
        <w:lastRenderedPageBreak/>
        <w:t>电气设备布置</w:t>
      </w:r>
      <w:bookmarkEnd w:id="70"/>
    </w:p>
    <w:p w:rsidR="008916DF" w:rsidRDefault="009333F2">
      <w:pPr>
        <w:pStyle w:val="afff1"/>
        <w:ind w:leftChars="67" w:left="141"/>
      </w:pPr>
      <w:r>
        <w:rPr>
          <w:rFonts w:hint="eastAsia"/>
        </w:rPr>
        <w:t>对于安全级电气设备，布置上应遵循如下准则：</w:t>
      </w:r>
    </w:p>
    <w:p w:rsidR="008916DF" w:rsidRDefault="009333F2">
      <w:pPr>
        <w:pStyle w:val="afff1"/>
        <w:numPr>
          <w:ilvl w:val="0"/>
          <w:numId w:val="21"/>
        </w:numPr>
        <w:ind w:firstLineChars="0"/>
      </w:pPr>
      <w:proofErr w:type="gramStart"/>
      <w:r>
        <w:rPr>
          <w:rFonts w:hint="eastAsia"/>
        </w:rPr>
        <w:t>分模组设置</w:t>
      </w:r>
      <w:proofErr w:type="gramEnd"/>
      <w:r>
        <w:rPr>
          <w:rFonts w:hint="eastAsia"/>
        </w:rPr>
        <w:t>的安全级电气设备</w:t>
      </w:r>
      <w:proofErr w:type="gramStart"/>
      <w:r>
        <w:rPr>
          <w:rFonts w:hint="eastAsia"/>
        </w:rPr>
        <w:t>应分模</w:t>
      </w:r>
      <w:proofErr w:type="gramEnd"/>
      <w:r>
        <w:rPr>
          <w:rFonts w:hint="eastAsia"/>
        </w:rPr>
        <w:t>组布置在不同防火分区内。特殊情况下若无法满足该准则，不同</w:t>
      </w:r>
      <w:proofErr w:type="gramStart"/>
      <w:r>
        <w:rPr>
          <w:rFonts w:hint="eastAsia"/>
        </w:rPr>
        <w:t>模组同一</w:t>
      </w:r>
      <w:proofErr w:type="gramEnd"/>
      <w:r>
        <w:rPr>
          <w:rFonts w:hint="eastAsia"/>
        </w:rPr>
        <w:t>通道的安全级电气设备可布置在同一防火分区；若该通道失效就会导致电厂运行中断，则应采用距离分隔等手段进行防护。</w:t>
      </w:r>
    </w:p>
    <w:p w:rsidR="008916DF" w:rsidRDefault="009333F2">
      <w:pPr>
        <w:pStyle w:val="afff1"/>
        <w:numPr>
          <w:ilvl w:val="0"/>
          <w:numId w:val="21"/>
        </w:numPr>
        <w:ind w:firstLineChars="0"/>
      </w:pPr>
      <w:proofErr w:type="gramStart"/>
      <w:r>
        <w:rPr>
          <w:rFonts w:hint="eastAsia"/>
        </w:rPr>
        <w:t>同一模组</w:t>
      </w:r>
      <w:proofErr w:type="gramEnd"/>
      <w:r>
        <w:rPr>
          <w:rFonts w:hint="eastAsia"/>
        </w:rPr>
        <w:t>的安全级系统不同通道之间电气设备应布置在不同防火分区内。风险重要的或可能导致核动力厂运行中断的</w:t>
      </w:r>
      <w:proofErr w:type="gramStart"/>
      <w:r>
        <w:rPr>
          <w:rFonts w:hint="eastAsia"/>
        </w:rPr>
        <w:t>分模组设置的非安全</w:t>
      </w:r>
      <w:proofErr w:type="gramEnd"/>
      <w:r>
        <w:rPr>
          <w:rFonts w:hint="eastAsia"/>
        </w:rPr>
        <w:t>级电气设备</w:t>
      </w:r>
      <w:proofErr w:type="gramStart"/>
      <w:r>
        <w:rPr>
          <w:rFonts w:hint="eastAsia"/>
        </w:rPr>
        <w:t>应分模</w:t>
      </w:r>
      <w:proofErr w:type="gramEnd"/>
      <w:r>
        <w:rPr>
          <w:rFonts w:hint="eastAsia"/>
        </w:rPr>
        <w:t>组布置在不同防火分区内。特殊情况下若无法满足该准则，不同</w:t>
      </w:r>
      <w:proofErr w:type="gramStart"/>
      <w:r>
        <w:rPr>
          <w:rFonts w:hint="eastAsia"/>
        </w:rPr>
        <w:t>模组同一</w:t>
      </w:r>
      <w:proofErr w:type="gramEnd"/>
      <w:r>
        <w:rPr>
          <w:rFonts w:hint="eastAsia"/>
        </w:rPr>
        <w:t>通道的</w:t>
      </w:r>
      <w:proofErr w:type="gramStart"/>
      <w:r>
        <w:rPr>
          <w:rFonts w:hint="eastAsia"/>
        </w:rPr>
        <w:t>非安</w:t>
      </w:r>
      <w:proofErr w:type="gramEnd"/>
      <w:r>
        <w:rPr>
          <w:rFonts w:hint="eastAsia"/>
        </w:rPr>
        <w:t>全级电气设备可布置在同一防火分区；若该通道失效就会导</w:t>
      </w:r>
      <w:r>
        <w:rPr>
          <w:rFonts w:hint="eastAsia"/>
        </w:rPr>
        <w:t>致电厂运行中断，则应采用距离分隔等手段进行防护。</w:t>
      </w:r>
    </w:p>
    <w:p w:rsidR="008916DF" w:rsidRDefault="009333F2">
      <w:pPr>
        <w:pStyle w:val="afff1"/>
        <w:ind w:leftChars="67" w:left="141"/>
      </w:pPr>
      <w:r>
        <w:rPr>
          <w:rFonts w:hint="eastAsia"/>
        </w:rPr>
        <w:t>通过风险指引技术识别的具有功能相关性的电气设备不宜布置在同一防火分区内。若布置在同一防火分区内，可采用其他措施进行防护。</w:t>
      </w:r>
    </w:p>
    <w:p w:rsidR="008916DF" w:rsidRDefault="009333F2">
      <w:pPr>
        <w:pStyle w:val="a4"/>
        <w:ind w:left="0"/>
        <w:rPr>
          <w:szCs w:val="21"/>
        </w:rPr>
      </w:pPr>
      <w:bookmarkStart w:id="71" w:name="_Toc119926431"/>
      <w:bookmarkStart w:id="72" w:name="_Toc119926346"/>
      <w:bookmarkStart w:id="73" w:name="_Toc119926347"/>
      <w:bookmarkStart w:id="74" w:name="_Toc119926343"/>
      <w:bookmarkStart w:id="75" w:name="_Toc119926335"/>
      <w:bookmarkStart w:id="76" w:name="_Toc119926439"/>
      <w:bookmarkStart w:id="77" w:name="_Toc119926325"/>
      <w:bookmarkStart w:id="78" w:name="_Toc119926341"/>
      <w:bookmarkStart w:id="79" w:name="_Toc119926423"/>
      <w:bookmarkStart w:id="80" w:name="_Toc119926444"/>
      <w:bookmarkStart w:id="81" w:name="_Toc119926437"/>
      <w:bookmarkStart w:id="82" w:name="_Toc119926326"/>
      <w:bookmarkStart w:id="83" w:name="_Toc119926426"/>
      <w:bookmarkStart w:id="84" w:name="_Toc119926328"/>
      <w:bookmarkStart w:id="85" w:name="_Toc119926322"/>
      <w:bookmarkStart w:id="86" w:name="_Toc119926446"/>
      <w:bookmarkStart w:id="87" w:name="_Toc119926359"/>
      <w:bookmarkStart w:id="88" w:name="_Toc119926442"/>
      <w:bookmarkStart w:id="89" w:name="_Toc119926336"/>
      <w:bookmarkStart w:id="90" w:name="_Toc119926438"/>
      <w:bookmarkStart w:id="91" w:name="_Toc119926316"/>
      <w:bookmarkStart w:id="92" w:name="_Toc119926434"/>
      <w:bookmarkStart w:id="93" w:name="_Toc119926342"/>
      <w:bookmarkStart w:id="94" w:name="_Toc119926447"/>
      <w:bookmarkStart w:id="95" w:name="_Toc119926345"/>
      <w:bookmarkStart w:id="96" w:name="_Toc119926344"/>
      <w:bookmarkStart w:id="97" w:name="_Toc119926462"/>
      <w:bookmarkStart w:id="98" w:name="_Toc119926430"/>
      <w:bookmarkStart w:id="99" w:name="_Toc119926453"/>
      <w:bookmarkStart w:id="100" w:name="_Toc119926458"/>
      <w:bookmarkStart w:id="101" w:name="_Toc119926445"/>
      <w:bookmarkStart w:id="102" w:name="_Toc119926450"/>
      <w:bookmarkStart w:id="103" w:name="_Toc119926435"/>
      <w:bookmarkStart w:id="104" w:name="_Toc119926333"/>
      <w:bookmarkStart w:id="105" w:name="_Toc119926358"/>
      <w:bookmarkStart w:id="106" w:name="_Toc119926436"/>
      <w:bookmarkStart w:id="107" w:name="_Toc119926355"/>
      <w:bookmarkStart w:id="108" w:name="_Toc119926448"/>
      <w:bookmarkStart w:id="109" w:name="_Toc119926356"/>
      <w:bookmarkStart w:id="110" w:name="_Toc119926353"/>
      <w:bookmarkStart w:id="111" w:name="_Toc119926440"/>
      <w:bookmarkStart w:id="112" w:name="_Toc119926332"/>
      <w:bookmarkStart w:id="113" w:name="_Toc119926460"/>
      <w:bookmarkStart w:id="114" w:name="_Toc119926349"/>
      <w:bookmarkStart w:id="115" w:name="_Toc119926315"/>
      <w:bookmarkStart w:id="116" w:name="_Toc119926416"/>
      <w:bookmarkStart w:id="117" w:name="_Toc119926449"/>
      <w:bookmarkStart w:id="118" w:name="_Toc119926408"/>
      <w:bookmarkStart w:id="119" w:name="_Toc119926338"/>
      <w:bookmarkStart w:id="120" w:name="_Toc119926461"/>
      <w:bookmarkStart w:id="121" w:name="_Toc119926351"/>
      <w:bookmarkStart w:id="122" w:name="_Toc119926456"/>
      <w:bookmarkStart w:id="123" w:name="_Toc119926457"/>
      <w:bookmarkStart w:id="124" w:name="_Toc119926350"/>
      <w:bookmarkStart w:id="125" w:name="_Toc119926454"/>
      <w:bookmarkStart w:id="126" w:name="_Toc119926441"/>
      <w:bookmarkStart w:id="127" w:name="_Toc119926337"/>
      <w:bookmarkStart w:id="128" w:name="_Toc119926354"/>
      <w:bookmarkStart w:id="129" w:name="_Toc119926339"/>
      <w:bookmarkStart w:id="130" w:name="_Toc119926340"/>
      <w:bookmarkStart w:id="131" w:name="_Toc119926459"/>
      <w:bookmarkStart w:id="132" w:name="_Toc119926443"/>
      <w:bookmarkStart w:id="133" w:name="_Toc119926417"/>
      <w:bookmarkStart w:id="134" w:name="_Toc119926452"/>
      <w:bookmarkStart w:id="135" w:name="_Toc119926410"/>
      <w:bookmarkStart w:id="136" w:name="_Toc119926451"/>
      <w:bookmarkStart w:id="137" w:name="_Toc119926307"/>
      <w:bookmarkStart w:id="138" w:name="_Toc119926413"/>
      <w:bookmarkStart w:id="139" w:name="_Toc119926411"/>
      <w:bookmarkStart w:id="140" w:name="_Toc119926412"/>
      <w:bookmarkStart w:id="141" w:name="_Toc119926305"/>
      <w:bookmarkStart w:id="142" w:name="_Toc119926303"/>
      <w:bookmarkStart w:id="143" w:name="_Toc119926306"/>
      <w:bookmarkStart w:id="144" w:name="_Toc119926311"/>
      <w:bookmarkStart w:id="145" w:name="_Toc119926455"/>
      <w:bookmarkStart w:id="146" w:name="_Toc119926348"/>
      <w:bookmarkStart w:id="147" w:name="_Toc119926329"/>
      <w:bookmarkStart w:id="148" w:name="_Toc119926313"/>
      <w:bookmarkStart w:id="149" w:name="_Toc119926309"/>
      <w:bookmarkStart w:id="150" w:name="_Toc119926407"/>
      <w:bookmarkStart w:id="151" w:name="_Toc119926310"/>
      <w:bookmarkStart w:id="152" w:name="_Toc119926357"/>
      <w:bookmarkStart w:id="153" w:name="_Toc119926414"/>
      <w:bookmarkStart w:id="154" w:name="_Toc119926406"/>
      <w:bookmarkStart w:id="155" w:name="_Toc119926421"/>
      <w:bookmarkStart w:id="156" w:name="_Toc119926304"/>
      <w:bookmarkStart w:id="157" w:name="_Toc119926418"/>
      <w:bookmarkStart w:id="158" w:name="_Toc119926334"/>
      <w:bookmarkStart w:id="159" w:name="_Toc119926312"/>
      <w:bookmarkStart w:id="160" w:name="_Toc119926317"/>
      <w:bookmarkStart w:id="161" w:name="_Toc119926314"/>
      <w:bookmarkStart w:id="162" w:name="_Toc119926425"/>
      <w:bookmarkStart w:id="163" w:name="_Toc119926319"/>
      <w:bookmarkStart w:id="164" w:name="_Toc119926432"/>
      <w:bookmarkStart w:id="165" w:name="_Toc119926409"/>
      <w:bookmarkStart w:id="166" w:name="_Toc119926352"/>
      <w:bookmarkStart w:id="167" w:name="_Toc119926330"/>
      <w:bookmarkStart w:id="168" w:name="_Toc119926308"/>
      <w:bookmarkStart w:id="169" w:name="_Toc119926424"/>
      <w:bookmarkStart w:id="170" w:name="_Toc119926433"/>
      <w:bookmarkStart w:id="171" w:name="_Toc119926324"/>
      <w:bookmarkStart w:id="172" w:name="_Toc119926429"/>
      <w:bookmarkStart w:id="173" w:name="_Toc119926428"/>
      <w:bookmarkStart w:id="174" w:name="_Toc119926420"/>
      <w:bookmarkStart w:id="175" w:name="_Toc119926415"/>
      <w:bookmarkStart w:id="176" w:name="_Toc119926331"/>
      <w:bookmarkStart w:id="177" w:name="_Toc119926427"/>
      <w:bookmarkStart w:id="178" w:name="_Toc119926323"/>
      <w:bookmarkStart w:id="179" w:name="_Toc119926419"/>
      <w:bookmarkStart w:id="180" w:name="_Toc119926327"/>
      <w:bookmarkStart w:id="181" w:name="_Toc119926321"/>
      <w:bookmarkStart w:id="182" w:name="_Toc119926422"/>
      <w:bookmarkStart w:id="183" w:name="_Toc119926320"/>
      <w:bookmarkStart w:id="184" w:name="_Toc119926318"/>
      <w:bookmarkStart w:id="185" w:name="_Toc195538739"/>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r>
        <w:rPr>
          <w:rFonts w:hint="eastAsia"/>
          <w:szCs w:val="21"/>
        </w:rPr>
        <w:t>电缆布置</w:t>
      </w:r>
      <w:bookmarkEnd w:id="185"/>
    </w:p>
    <w:p w:rsidR="008916DF" w:rsidRDefault="009333F2">
      <w:pPr>
        <w:pStyle w:val="afff1"/>
      </w:pPr>
      <w:r>
        <w:rPr>
          <w:rFonts w:hint="eastAsia"/>
        </w:rPr>
        <w:t>安全级电缆与</w:t>
      </w:r>
      <w:proofErr w:type="gramStart"/>
      <w:r>
        <w:rPr>
          <w:rFonts w:hint="eastAsia"/>
        </w:rPr>
        <w:t>非安全</w:t>
      </w:r>
      <w:proofErr w:type="gramEnd"/>
      <w:r>
        <w:rPr>
          <w:rFonts w:hint="eastAsia"/>
        </w:rPr>
        <w:t>级电缆应分别布置在不同桥架内。电力电缆</w:t>
      </w:r>
      <w:proofErr w:type="gramStart"/>
      <w:r>
        <w:rPr>
          <w:rFonts w:hint="eastAsia"/>
        </w:rPr>
        <w:t>和仪控电缆</w:t>
      </w:r>
      <w:proofErr w:type="gramEnd"/>
      <w:r>
        <w:rPr>
          <w:rFonts w:hint="eastAsia"/>
        </w:rPr>
        <w:t>应分别布置在不同桥架内。</w:t>
      </w:r>
    </w:p>
    <w:p w:rsidR="008916DF" w:rsidRDefault="009333F2">
      <w:pPr>
        <w:pStyle w:val="afff1"/>
      </w:pPr>
      <w:r>
        <w:rPr>
          <w:rFonts w:hint="eastAsia"/>
        </w:rPr>
        <w:t>对于安全级电缆，布置上应遵循如下准则：</w:t>
      </w:r>
    </w:p>
    <w:p w:rsidR="008916DF" w:rsidRDefault="009333F2">
      <w:pPr>
        <w:pStyle w:val="afff1"/>
        <w:numPr>
          <w:ilvl w:val="0"/>
          <w:numId w:val="22"/>
        </w:numPr>
        <w:ind w:firstLineChars="0"/>
      </w:pPr>
      <w:proofErr w:type="gramStart"/>
      <w:r>
        <w:rPr>
          <w:rFonts w:hint="eastAsia"/>
        </w:rPr>
        <w:t>同一模组</w:t>
      </w:r>
      <w:proofErr w:type="gramEnd"/>
      <w:r>
        <w:rPr>
          <w:rFonts w:hint="eastAsia"/>
        </w:rPr>
        <w:t>的安全级系统不同通道之间的电缆应布置在不同防火分区内。特殊情况下若无法满足该准则，则应进行防火包覆，其中可保留一个通道电缆</w:t>
      </w:r>
      <w:proofErr w:type="gramStart"/>
      <w:r>
        <w:rPr>
          <w:rFonts w:hint="eastAsia"/>
        </w:rPr>
        <w:t>不</w:t>
      </w:r>
      <w:proofErr w:type="gramEnd"/>
      <w:r>
        <w:rPr>
          <w:rFonts w:hint="eastAsia"/>
        </w:rPr>
        <w:t>包覆，其他安全级通道均需包覆。</w:t>
      </w:r>
    </w:p>
    <w:p w:rsidR="008916DF" w:rsidRDefault="009333F2">
      <w:pPr>
        <w:pStyle w:val="afff1"/>
        <w:numPr>
          <w:ilvl w:val="0"/>
          <w:numId w:val="22"/>
        </w:numPr>
        <w:ind w:firstLineChars="0"/>
      </w:pPr>
      <w:proofErr w:type="gramStart"/>
      <w:r>
        <w:rPr>
          <w:rFonts w:hint="eastAsia"/>
        </w:rPr>
        <w:t>分模组设置</w:t>
      </w:r>
      <w:proofErr w:type="gramEnd"/>
      <w:r>
        <w:rPr>
          <w:rFonts w:hint="eastAsia"/>
        </w:rPr>
        <w:t>的安全级电缆</w:t>
      </w:r>
      <w:proofErr w:type="gramStart"/>
      <w:r>
        <w:rPr>
          <w:rFonts w:hint="eastAsia"/>
        </w:rPr>
        <w:t>应分模</w:t>
      </w:r>
      <w:proofErr w:type="gramEnd"/>
      <w:r>
        <w:rPr>
          <w:rFonts w:hint="eastAsia"/>
        </w:rPr>
        <w:t>组布置在不同防火分区内。特殊情况下若无法满足该准则，不同</w:t>
      </w:r>
      <w:proofErr w:type="gramStart"/>
      <w:r>
        <w:rPr>
          <w:rFonts w:hint="eastAsia"/>
        </w:rPr>
        <w:t>模组同一</w:t>
      </w:r>
      <w:proofErr w:type="gramEnd"/>
      <w:r>
        <w:rPr>
          <w:rFonts w:hint="eastAsia"/>
        </w:rPr>
        <w:t>通道的安全级电缆允许合并布置；若该通道失效会导致多个反应堆模块运行中断，应采用防火包覆等方式对该通道进行隔离。</w:t>
      </w:r>
    </w:p>
    <w:p w:rsidR="008916DF" w:rsidRDefault="009333F2">
      <w:pPr>
        <w:pStyle w:val="afff1"/>
      </w:pPr>
      <w:r>
        <w:rPr>
          <w:rFonts w:hint="eastAsia"/>
        </w:rPr>
        <w:t>对于</w:t>
      </w:r>
      <w:proofErr w:type="gramStart"/>
      <w:r>
        <w:rPr>
          <w:rFonts w:hint="eastAsia"/>
        </w:rPr>
        <w:t>非安全</w:t>
      </w:r>
      <w:proofErr w:type="gramEnd"/>
      <w:r>
        <w:rPr>
          <w:rFonts w:hint="eastAsia"/>
        </w:rPr>
        <w:t>级电缆，布置上应遵循如下准则：</w:t>
      </w:r>
    </w:p>
    <w:p w:rsidR="008916DF" w:rsidRDefault="009333F2">
      <w:pPr>
        <w:pStyle w:val="afff1"/>
        <w:numPr>
          <w:ilvl w:val="0"/>
          <w:numId w:val="23"/>
        </w:numPr>
        <w:ind w:firstLineChars="0"/>
      </w:pPr>
      <w:r>
        <w:rPr>
          <w:rFonts w:hint="eastAsia"/>
        </w:rPr>
        <w:tab/>
      </w:r>
      <w:r>
        <w:rPr>
          <w:rFonts w:hint="eastAsia"/>
        </w:rPr>
        <w:t>风险重要的或导致核动力厂运行中断的</w:t>
      </w:r>
      <w:proofErr w:type="gramStart"/>
      <w:r>
        <w:rPr>
          <w:rFonts w:hint="eastAsia"/>
        </w:rPr>
        <w:t>分模组设置</w:t>
      </w:r>
      <w:proofErr w:type="gramEnd"/>
      <w:r>
        <w:rPr>
          <w:rFonts w:hint="eastAsia"/>
        </w:rPr>
        <w:t>的电缆，</w:t>
      </w:r>
      <w:proofErr w:type="gramStart"/>
      <w:r>
        <w:rPr>
          <w:rFonts w:hint="eastAsia"/>
        </w:rPr>
        <w:t>应分模</w:t>
      </w:r>
      <w:proofErr w:type="gramEnd"/>
      <w:r>
        <w:rPr>
          <w:rFonts w:hint="eastAsia"/>
        </w:rPr>
        <w:t>组布置在不同防火分区内。特殊情况下若无法满足该准则，可采用防火包覆、耐火电缆、距离分隔等手段进行防护。</w:t>
      </w:r>
    </w:p>
    <w:p w:rsidR="008916DF" w:rsidRDefault="009333F2">
      <w:pPr>
        <w:pStyle w:val="afff1"/>
        <w:numPr>
          <w:ilvl w:val="0"/>
          <w:numId w:val="23"/>
        </w:numPr>
        <w:ind w:firstLineChars="0"/>
      </w:pPr>
      <w:r>
        <w:rPr>
          <w:rFonts w:hint="eastAsia"/>
        </w:rPr>
        <w:t>风险重要的或导致核动力厂运行中断的公用系统备用设备的电缆，宜布置在不同防火分区内，或采用防火包覆、耐火</w:t>
      </w:r>
      <w:r>
        <w:rPr>
          <w:rFonts w:hint="eastAsia"/>
        </w:rPr>
        <w:t>电缆、距离分隔等手段进行防护。</w:t>
      </w:r>
    </w:p>
    <w:p w:rsidR="008916DF" w:rsidRDefault="009333F2">
      <w:pPr>
        <w:pStyle w:val="afff1"/>
      </w:pPr>
      <w:r>
        <w:rPr>
          <w:rFonts w:hint="eastAsia"/>
        </w:rPr>
        <w:t>通过风险指引技术识别的具有功能相关性的电缆不宜布置在同一防火分区内。若布置在同一防火分区内，可采用其他措施进行防护。</w:t>
      </w:r>
    </w:p>
    <w:p w:rsidR="008916DF" w:rsidRDefault="008916DF">
      <w:pPr>
        <w:pStyle w:val="afff1"/>
        <w:sectPr w:rsidR="008916DF">
          <w:footerReference w:type="even" r:id="rId14"/>
          <w:footerReference w:type="default" r:id="rId15"/>
          <w:pgSz w:w="11906" w:h="16838"/>
          <w:pgMar w:top="1417" w:right="1417" w:bottom="567" w:left="1134" w:header="1418" w:footer="1134" w:gutter="0"/>
          <w:pgNumType w:start="1"/>
          <w:cols w:space="425"/>
          <w:formProt w:val="0"/>
          <w:docGrid w:type="lines" w:linePitch="312"/>
        </w:sectPr>
      </w:pPr>
    </w:p>
    <w:p w:rsidR="008916DF" w:rsidRDefault="009333F2">
      <w:pPr>
        <w:pStyle w:val="a4"/>
        <w:numPr>
          <w:ilvl w:val="0"/>
          <w:numId w:val="0"/>
        </w:numPr>
        <w:jc w:val="center"/>
      </w:pPr>
      <w:bookmarkStart w:id="186" w:name="_Toc195538740"/>
      <w:r>
        <w:rPr>
          <w:rFonts w:hint="eastAsia"/>
        </w:rPr>
        <w:lastRenderedPageBreak/>
        <w:t>参</w:t>
      </w:r>
      <w:r>
        <w:rPr>
          <w:rFonts w:hint="eastAsia"/>
        </w:rPr>
        <w:t xml:space="preserve"> </w:t>
      </w:r>
      <w:r>
        <w:t xml:space="preserve"> </w:t>
      </w:r>
      <w:r>
        <w:rPr>
          <w:rFonts w:hint="eastAsia"/>
        </w:rPr>
        <w:t>考</w:t>
      </w:r>
      <w:r>
        <w:rPr>
          <w:rFonts w:hint="eastAsia"/>
        </w:rPr>
        <w:t xml:space="preserve"> </w:t>
      </w:r>
      <w:r>
        <w:t xml:space="preserve"> </w:t>
      </w:r>
      <w:r>
        <w:rPr>
          <w:rFonts w:hint="eastAsia"/>
        </w:rPr>
        <w:t>文</w:t>
      </w:r>
      <w:r>
        <w:rPr>
          <w:rFonts w:hint="eastAsia"/>
        </w:rPr>
        <w:t xml:space="preserve"> </w:t>
      </w:r>
      <w:r>
        <w:t xml:space="preserve"> </w:t>
      </w:r>
      <w:r>
        <w:rPr>
          <w:rFonts w:hint="eastAsia"/>
        </w:rPr>
        <w:t>献</w:t>
      </w:r>
      <w:bookmarkEnd w:id="186"/>
    </w:p>
    <w:p w:rsidR="008916DF" w:rsidRDefault="009333F2">
      <w:pPr>
        <w:pStyle w:val="afff1"/>
        <w:numPr>
          <w:ilvl w:val="0"/>
          <w:numId w:val="24"/>
        </w:numPr>
        <w:rPr>
          <w:szCs w:val="24"/>
        </w:rPr>
      </w:pPr>
      <w:r>
        <w:rPr>
          <w:szCs w:val="24"/>
        </w:rPr>
        <w:t xml:space="preserve">HAD102/11-2019 </w:t>
      </w:r>
      <w:r>
        <w:rPr>
          <w:szCs w:val="24"/>
        </w:rPr>
        <w:t>核动力厂防火与防爆设计</w:t>
      </w:r>
    </w:p>
    <w:p w:rsidR="008916DF" w:rsidRDefault="009333F2">
      <w:pPr>
        <w:pStyle w:val="afff1"/>
        <w:numPr>
          <w:ilvl w:val="0"/>
          <w:numId w:val="24"/>
        </w:numPr>
        <w:rPr>
          <w:szCs w:val="24"/>
        </w:rPr>
      </w:pPr>
      <w:r>
        <w:rPr>
          <w:szCs w:val="24"/>
        </w:rPr>
        <w:t xml:space="preserve">GB/T 22158-2021 </w:t>
      </w:r>
      <w:r>
        <w:rPr>
          <w:szCs w:val="24"/>
        </w:rPr>
        <w:t>核电厂防火设计规范</w:t>
      </w:r>
    </w:p>
    <w:p w:rsidR="008916DF" w:rsidRDefault="009333F2">
      <w:pPr>
        <w:pStyle w:val="afff1"/>
        <w:numPr>
          <w:ilvl w:val="0"/>
          <w:numId w:val="24"/>
        </w:numPr>
        <w:rPr>
          <w:szCs w:val="24"/>
        </w:rPr>
      </w:pPr>
      <w:r>
        <w:rPr>
          <w:szCs w:val="24"/>
        </w:rPr>
        <w:t>HAD 102/13-2021</w:t>
      </w:r>
      <w:r>
        <w:rPr>
          <w:rFonts w:hint="eastAsia"/>
          <w:szCs w:val="24"/>
        </w:rPr>
        <w:t xml:space="preserve"> </w:t>
      </w:r>
      <w:r>
        <w:rPr>
          <w:rFonts w:hint="eastAsia"/>
          <w:szCs w:val="24"/>
        </w:rPr>
        <w:t>核动力厂电力系统设计</w:t>
      </w:r>
    </w:p>
    <w:p w:rsidR="008916DF" w:rsidRDefault="009333F2">
      <w:pPr>
        <w:pStyle w:val="afff1"/>
        <w:numPr>
          <w:ilvl w:val="0"/>
          <w:numId w:val="24"/>
        </w:numPr>
      </w:pPr>
      <w:r>
        <w:rPr>
          <w:szCs w:val="24"/>
        </w:rPr>
        <w:t xml:space="preserve">GB/T </w:t>
      </w:r>
      <w:r>
        <w:rPr>
          <w:szCs w:val="24"/>
        </w:rPr>
        <w:t>13286-2021</w:t>
      </w:r>
      <w:r>
        <w:rPr>
          <w:rFonts w:hint="eastAsia"/>
          <w:szCs w:val="24"/>
        </w:rPr>
        <w:t xml:space="preserve"> </w:t>
      </w:r>
      <w:r>
        <w:rPr>
          <w:rFonts w:hint="eastAsia"/>
          <w:szCs w:val="24"/>
        </w:rPr>
        <w:t>核电厂安全级电气设备和电路独立性准则</w:t>
      </w:r>
    </w:p>
    <w:p w:rsidR="008916DF" w:rsidRDefault="009333F2">
      <w:pPr>
        <w:pStyle w:val="afff1"/>
      </w:pPr>
      <w:r>
        <w:rPr>
          <w:noProof/>
        </w:rPr>
        <mc:AlternateContent>
          <mc:Choice Requires="wps">
            <w:drawing>
              <wp:anchor distT="0" distB="0" distL="114300" distR="114300" simplePos="0" relativeHeight="251665408" behindDoc="0" locked="0" layoutInCell="1" allowOverlap="1">
                <wp:simplePos x="0" y="0"/>
                <wp:positionH relativeFrom="column">
                  <wp:posOffset>1668780</wp:posOffset>
                </wp:positionH>
                <wp:positionV relativeFrom="paragraph">
                  <wp:posOffset>244475</wp:posOffset>
                </wp:positionV>
                <wp:extent cx="2388235" cy="6350"/>
                <wp:effectExtent l="0" t="0" r="31115" b="31750"/>
                <wp:wrapTopAndBottom/>
                <wp:docPr id="6" name="直接连接符 6"/>
                <wp:cNvGraphicFramePr/>
                <a:graphic xmlns:a="http://schemas.openxmlformats.org/drawingml/2006/main">
                  <a:graphicData uri="http://schemas.microsoft.com/office/word/2010/wordprocessingShape">
                    <wps:wsp>
                      <wps:cNvCnPr/>
                      <wps:spPr>
                        <a:xfrm>
                          <a:off x="0" y="0"/>
                          <a:ext cx="2388235" cy="63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margin-left:131.4pt;margin-top:19.25pt;height:0.5pt;width:188.05pt;mso-wrap-distance-bottom:0pt;mso-wrap-distance-top:0pt;z-index:251665408;mso-width-relative:page;mso-height-relative:page;" filled="f" stroked="t" coordsize="21600,21600" o:gfxdata="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Ajd&#10;kUDaAAAACQEAAA8AAAAAAAAAAQAgAAAAIgAAAGRycy9kb3ducmV2LnhtbFBLAQIUABQAAAAIAIdO&#10;4kDbiXXM6AEAALUDAAAOAAAAAAAAAAEAIAAAACkBAABkcnMvZTJvRG9jLnhtbFBLBQYAAAAABgAG&#10;AFkBAACDBQAAAAA=&#10;">
                <v:fill on="f" focussize="0,0"/>
                <v:stroke weight="1pt" color="#000000 [3213]" miterlimit="8" joinstyle="miter"/>
                <v:imagedata o:title=""/>
                <o:lock v:ext="edit" aspectratio="f"/>
                <w10:wrap type="topAndBottom"/>
              </v:line>
            </w:pict>
          </mc:Fallback>
        </mc:AlternateContent>
      </w:r>
    </w:p>
    <w:sectPr w:rsidR="008916DF">
      <w:pgSz w:w="11906" w:h="16838"/>
      <w:pgMar w:top="1134" w:right="1417" w:bottom="567" w:left="1134" w:header="1418" w:footer="1134" w:gutter="0"/>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33F2" w:rsidRDefault="009333F2">
      <w:r>
        <w:separator/>
      </w:r>
    </w:p>
  </w:endnote>
  <w:endnote w:type="continuationSeparator" w:id="0">
    <w:p w:rsidR="009333F2" w:rsidRDefault="00933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楷体_GB2312">
    <w:altName w:val="楷体"/>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仿宋体">
    <w:altName w:val="方正舒体"/>
    <w:charset w:val="86"/>
    <w:family w:val="roma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MS Mincho">
    <w:altName w:val="Yu Gothic"/>
    <w:panose1 w:val="02020609040205080304"/>
    <w:charset w:val="80"/>
    <w:family w:val="modern"/>
    <w:pitch w:val="default"/>
    <w:sig w:usb0="00000000" w:usb1="00000000" w:usb2="08000012" w:usb3="00000000" w:csb0="0002009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16DF" w:rsidRDefault="009333F2">
    <w:pPr>
      <w:pStyle w:val="affff2"/>
      <w:jc w:val="center"/>
    </w:pPr>
    <w:r>
      <w:rPr>
        <w:noProof/>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916DF" w:rsidRDefault="009333F2">
                          <w:pPr>
                            <w:pStyle w:val="affff2"/>
                            <w:jc w:val="center"/>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70"/>
                      <w:jc w:val="center"/>
                    </w:pPr>
                    <w:r>
                      <w:fldChar w:fldCharType="begin"/>
                    </w:r>
                    <w:r>
                      <w:instrText xml:space="preserve"> PAGE  \* MERGEFORMAT </w:instrText>
                    </w:r>
                    <w:r>
                      <w:fldChar w:fldCharType="separate"/>
                    </w:r>
                    <w:r>
                      <w:t>II</w:t>
                    </w:r>
                    <w:r>
                      <w:fldChar w:fldCharType="end"/>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16DF" w:rsidRDefault="009333F2">
    <w:pPr>
      <w:pStyle w:val="afffa"/>
    </w:pPr>
    <w:r>
      <w:rPr>
        <w:noProof/>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916DF" w:rsidRDefault="009333F2">
                          <w:pPr>
                            <w:pStyle w:val="afffa"/>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45"/>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16DF" w:rsidRDefault="009333F2">
    <w:pPr>
      <w:pStyle w:val="affff2"/>
      <w:jc w:val="center"/>
    </w:pPr>
    <w:r>
      <w:rPr>
        <w:noProof/>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916DF" w:rsidRDefault="009333F2">
                          <w:pPr>
                            <w:pStyle w:val="affff2"/>
                            <w:jc w:val="center"/>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pPr>
                      <w:pStyle w:val="70"/>
                      <w:jc w:val="center"/>
                    </w:pPr>
                    <w:r>
                      <w:fldChar w:fldCharType="begin"/>
                    </w:r>
                    <w:r>
                      <w:instrText xml:space="preserve"> PAGE  \* MERGEFORMAT </w:instrText>
                    </w:r>
                    <w:r>
                      <w:fldChar w:fldCharType="separate"/>
                    </w:r>
                    <w:r>
                      <w:t>II</w:t>
                    </w:r>
                    <w:r>
                      <w:fldChar w:fldCharType="end"/>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16DF" w:rsidRDefault="009333F2">
    <w:pPr>
      <w:pStyle w:val="affe"/>
      <w:jc w:val="center"/>
    </w:pPr>
    <w:r>
      <w:rPr>
        <w:noProof/>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916DF" w:rsidRDefault="009333F2">
                          <w:pPr>
                            <w:pStyle w:val="affe"/>
                            <w:jc w:val="center"/>
                          </w:pPr>
                          <w:r>
                            <w:rPr>
                              <w:rStyle w:val="afff6"/>
                            </w:rPr>
                            <w:fldChar w:fldCharType="begin"/>
                          </w:r>
                          <w:r>
                            <w:rPr>
                              <w:rStyle w:val="afff6"/>
                            </w:rPr>
                            <w:instrText xml:space="preserve"> PAGE </w:instrText>
                          </w:r>
                          <w:r>
                            <w:rPr>
                              <w:rStyle w:val="afff6"/>
                            </w:rPr>
                            <w:fldChar w:fldCharType="separate"/>
                          </w:r>
                          <w:r>
                            <w:rPr>
                              <w:rStyle w:val="afff6"/>
                            </w:rPr>
                            <w:t>1</w:t>
                          </w:r>
                          <w:r>
                            <w:rPr>
                              <w:rStyle w:val="afff6"/>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20"/>
                      <w:jc w:val="center"/>
                    </w:pPr>
                    <w:r>
                      <w:rPr>
                        <w:rStyle w:val="39"/>
                      </w:rPr>
                      <w:fldChar w:fldCharType="begin"/>
                    </w:r>
                    <w:r>
                      <w:rPr>
                        <w:rStyle w:val="39"/>
                      </w:rPr>
                      <w:instrText xml:space="preserve"> PAGE </w:instrText>
                    </w:r>
                    <w:r>
                      <w:rPr>
                        <w:rStyle w:val="39"/>
                      </w:rPr>
                      <w:fldChar w:fldCharType="separate"/>
                    </w:r>
                    <w:r>
                      <w:rPr>
                        <w:rStyle w:val="39"/>
                      </w:rPr>
                      <w:t>1</w:t>
                    </w:r>
                    <w:r>
                      <w:rPr>
                        <w:rStyle w:val="39"/>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33F2" w:rsidRDefault="009333F2">
      <w:r>
        <w:separator/>
      </w:r>
    </w:p>
  </w:footnote>
  <w:footnote w:type="continuationSeparator" w:id="0">
    <w:p w:rsidR="009333F2" w:rsidRDefault="009333F2">
      <w:r>
        <w:continuationSeparator/>
      </w:r>
    </w:p>
  </w:footnote>
  <w:footnote w:id="1">
    <w:p w:rsidR="008916DF" w:rsidRDefault="009333F2">
      <w:pPr>
        <w:widowControl/>
        <w:ind w:firstLine="420"/>
        <w:rPr>
          <w:rFonts w:ascii="宋体" w:hAnsi="宋体" w:cs="宋体"/>
          <w:kern w:val="0"/>
          <w:sz w:val="18"/>
          <w:szCs w:val="18"/>
        </w:rPr>
      </w:pPr>
      <w:r>
        <w:rPr>
          <w:rStyle w:val="afff9"/>
          <w:rFonts w:ascii="宋体" w:hAnsi="宋体" w:cs="宋体" w:hint="eastAsia"/>
          <w:sz w:val="18"/>
          <w:szCs w:val="18"/>
        </w:rPr>
        <w:footnoteRef/>
      </w:r>
      <w:r>
        <w:rPr>
          <w:rFonts w:ascii="宋体" w:hAnsi="宋体" w:cs="宋体" w:hint="eastAsia"/>
          <w:sz w:val="18"/>
          <w:szCs w:val="18"/>
        </w:rPr>
        <w:t xml:space="preserve"> </w:t>
      </w:r>
      <w:r>
        <w:rPr>
          <w:rFonts w:ascii="宋体" w:hAnsi="宋体" w:cs="宋体" w:hint="eastAsia"/>
          <w:kern w:val="0"/>
          <w:sz w:val="18"/>
          <w:szCs w:val="18"/>
        </w:rPr>
        <w:t>存在功能相关性的主要情况包括：</w:t>
      </w:r>
    </w:p>
    <w:p w:rsidR="008916DF" w:rsidRDefault="009333F2">
      <w:pPr>
        <w:pStyle w:val="afff1"/>
        <w:numPr>
          <w:ilvl w:val="0"/>
          <w:numId w:val="18"/>
        </w:numPr>
        <w:tabs>
          <w:tab w:val="clear" w:pos="420"/>
          <w:tab w:val="clear" w:pos="4201"/>
          <w:tab w:val="clear" w:pos="9298"/>
          <w:tab w:val="left" w:pos="740"/>
          <w:tab w:val="left" w:pos="840"/>
          <w:tab w:val="left" w:pos="1315"/>
          <w:tab w:val="left" w:pos="1753"/>
        </w:tabs>
        <w:ind w:left="420" w:firstLineChars="100" w:firstLine="180"/>
        <w:rPr>
          <w:sz w:val="18"/>
          <w:szCs w:val="18"/>
        </w:rPr>
      </w:pPr>
      <w:r>
        <w:rPr>
          <w:rFonts w:hint="eastAsia"/>
          <w:sz w:val="18"/>
          <w:szCs w:val="18"/>
        </w:rPr>
        <w:t>不同系统或设备执行同一功能；</w:t>
      </w:r>
    </w:p>
    <w:p w:rsidR="008916DF" w:rsidRDefault="009333F2">
      <w:pPr>
        <w:pStyle w:val="afff1"/>
        <w:numPr>
          <w:ilvl w:val="0"/>
          <w:numId w:val="18"/>
        </w:numPr>
        <w:tabs>
          <w:tab w:val="clear" w:pos="420"/>
          <w:tab w:val="clear" w:pos="4201"/>
          <w:tab w:val="clear" w:pos="9298"/>
          <w:tab w:val="left" w:pos="740"/>
          <w:tab w:val="left" w:pos="840"/>
          <w:tab w:val="left" w:pos="1315"/>
          <w:tab w:val="left" w:pos="1753"/>
        </w:tabs>
        <w:ind w:left="420" w:firstLineChars="100" w:firstLine="180"/>
        <w:rPr>
          <w:sz w:val="18"/>
          <w:szCs w:val="18"/>
        </w:rPr>
      </w:pPr>
      <w:r>
        <w:rPr>
          <w:rFonts w:hint="eastAsia"/>
          <w:sz w:val="18"/>
          <w:szCs w:val="18"/>
        </w:rPr>
        <w:t>不同系统或设备导致始发事件且影响该始发事件的缓解；</w:t>
      </w:r>
    </w:p>
    <w:p w:rsidR="008916DF" w:rsidRDefault="009333F2">
      <w:pPr>
        <w:pStyle w:val="afff1"/>
        <w:numPr>
          <w:ilvl w:val="0"/>
          <w:numId w:val="18"/>
        </w:numPr>
        <w:tabs>
          <w:tab w:val="clear" w:pos="420"/>
          <w:tab w:val="clear" w:pos="4201"/>
          <w:tab w:val="clear" w:pos="9298"/>
          <w:tab w:val="left" w:pos="740"/>
          <w:tab w:val="left" w:pos="840"/>
          <w:tab w:val="left" w:pos="1315"/>
          <w:tab w:val="left" w:pos="1753"/>
        </w:tabs>
        <w:ind w:left="420" w:firstLineChars="100" w:firstLine="180"/>
        <w:rPr>
          <w:sz w:val="18"/>
          <w:szCs w:val="18"/>
        </w:rPr>
      </w:pPr>
      <w:r>
        <w:rPr>
          <w:rFonts w:hint="eastAsia"/>
          <w:sz w:val="18"/>
          <w:szCs w:val="18"/>
        </w:rPr>
        <w:t>同一系统的冗余列；</w:t>
      </w:r>
    </w:p>
    <w:p w:rsidR="008916DF" w:rsidRDefault="009333F2">
      <w:pPr>
        <w:pStyle w:val="afff1"/>
        <w:numPr>
          <w:ilvl w:val="0"/>
          <w:numId w:val="18"/>
        </w:numPr>
        <w:tabs>
          <w:tab w:val="clear" w:pos="420"/>
          <w:tab w:val="clear" w:pos="4201"/>
          <w:tab w:val="clear" w:pos="9298"/>
          <w:tab w:val="left" w:pos="740"/>
          <w:tab w:val="left" w:pos="840"/>
          <w:tab w:val="left" w:pos="1315"/>
          <w:tab w:val="left" w:pos="1753"/>
        </w:tabs>
        <w:ind w:left="420" w:firstLineChars="100" w:firstLine="180"/>
        <w:rPr>
          <w:sz w:val="18"/>
          <w:szCs w:val="18"/>
        </w:rPr>
      </w:pPr>
      <w:r>
        <w:rPr>
          <w:rFonts w:hint="eastAsia"/>
          <w:sz w:val="18"/>
          <w:szCs w:val="18"/>
        </w:rPr>
        <w:t>同一系统的一列与另外一个冗余列的支持系统。</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16DF" w:rsidRDefault="009333F2">
    <w:pPr>
      <w:pStyle w:val="affff3"/>
    </w:pPr>
    <w:r>
      <w:rPr>
        <w:rFonts w:hint="eastAsia"/>
      </w:rPr>
      <w:t>T</w:t>
    </w:r>
    <w:r>
      <w:t>/</w:t>
    </w:r>
    <w:r>
      <w:rPr>
        <w:rFonts w:hint="eastAsia"/>
      </w:rPr>
      <w:t>CNS</w:t>
    </w:r>
    <w:r>
      <w:t xml:space="preserve"> XXXX</w:t>
    </w:r>
    <w:r>
      <w:t>—</w:t>
    </w:r>
    <w:r>
      <w:t>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16DF" w:rsidRDefault="009333F2">
    <w:pPr>
      <w:pStyle w:val="afffb"/>
    </w:pPr>
    <w:r>
      <w:rPr>
        <w:rFonts w:hint="eastAsia"/>
      </w:rPr>
      <w:t>T</w:t>
    </w:r>
    <w:r>
      <w:t>/</w:t>
    </w:r>
    <w:r>
      <w:rPr>
        <w:rFonts w:hint="eastAsia"/>
      </w:rPr>
      <w:t>CNS</w:t>
    </w:r>
    <w:r>
      <w:t xml:space="preserve"> XXXX</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92D166"/>
    <w:multiLevelType w:val="multilevel"/>
    <w:tmpl w:val="8492D166"/>
    <w:lvl w:ilvl="0">
      <w:start w:val="1"/>
      <w:numFmt w:val="lowerLetter"/>
      <w:lvlText w:val="%1)"/>
      <w:lvlJc w:val="left"/>
      <w:pPr>
        <w:tabs>
          <w:tab w:val="left" w:pos="420"/>
        </w:tabs>
        <w:ind w:left="1421" w:hanging="440"/>
      </w:pPr>
    </w:lvl>
    <w:lvl w:ilvl="1">
      <w:start w:val="1"/>
      <w:numFmt w:val="lowerLetter"/>
      <w:lvlText w:val="%2)"/>
      <w:lvlJc w:val="left"/>
      <w:pPr>
        <w:tabs>
          <w:tab w:val="left" w:pos="420"/>
        </w:tabs>
        <w:ind w:left="1861" w:hanging="440"/>
      </w:pPr>
    </w:lvl>
    <w:lvl w:ilvl="2">
      <w:start w:val="1"/>
      <w:numFmt w:val="lowerRoman"/>
      <w:lvlText w:val="%3."/>
      <w:lvlJc w:val="right"/>
      <w:pPr>
        <w:tabs>
          <w:tab w:val="left" w:pos="420"/>
        </w:tabs>
        <w:ind w:left="2301" w:hanging="440"/>
      </w:pPr>
    </w:lvl>
    <w:lvl w:ilvl="3">
      <w:start w:val="1"/>
      <w:numFmt w:val="decimal"/>
      <w:lvlText w:val="%4."/>
      <w:lvlJc w:val="left"/>
      <w:pPr>
        <w:tabs>
          <w:tab w:val="left" w:pos="420"/>
        </w:tabs>
        <w:ind w:left="2741" w:hanging="440"/>
      </w:pPr>
    </w:lvl>
    <w:lvl w:ilvl="4">
      <w:start w:val="1"/>
      <w:numFmt w:val="lowerLetter"/>
      <w:lvlText w:val="%5)"/>
      <w:lvlJc w:val="left"/>
      <w:pPr>
        <w:tabs>
          <w:tab w:val="left" w:pos="420"/>
        </w:tabs>
        <w:ind w:left="3181" w:hanging="440"/>
      </w:pPr>
    </w:lvl>
    <w:lvl w:ilvl="5">
      <w:start w:val="1"/>
      <w:numFmt w:val="lowerRoman"/>
      <w:lvlText w:val="%6."/>
      <w:lvlJc w:val="right"/>
      <w:pPr>
        <w:tabs>
          <w:tab w:val="left" w:pos="420"/>
        </w:tabs>
        <w:ind w:left="3621" w:hanging="440"/>
      </w:pPr>
    </w:lvl>
    <w:lvl w:ilvl="6">
      <w:start w:val="1"/>
      <w:numFmt w:val="decimal"/>
      <w:lvlText w:val="%7."/>
      <w:lvlJc w:val="left"/>
      <w:pPr>
        <w:tabs>
          <w:tab w:val="left" w:pos="420"/>
        </w:tabs>
        <w:ind w:left="4061" w:hanging="440"/>
      </w:pPr>
    </w:lvl>
    <w:lvl w:ilvl="7">
      <w:start w:val="1"/>
      <w:numFmt w:val="lowerLetter"/>
      <w:lvlText w:val="%8)"/>
      <w:lvlJc w:val="left"/>
      <w:pPr>
        <w:tabs>
          <w:tab w:val="left" w:pos="420"/>
        </w:tabs>
        <w:ind w:left="4501" w:hanging="440"/>
      </w:pPr>
    </w:lvl>
    <w:lvl w:ilvl="8">
      <w:start w:val="1"/>
      <w:numFmt w:val="lowerRoman"/>
      <w:lvlText w:val="%9."/>
      <w:lvlJc w:val="right"/>
      <w:pPr>
        <w:tabs>
          <w:tab w:val="left" w:pos="420"/>
        </w:tabs>
        <w:ind w:left="4941" w:hanging="440"/>
      </w:pPr>
    </w:lvl>
  </w:abstractNum>
  <w:abstractNum w:abstractNumId="1" w15:restartNumberingAfterBreak="0">
    <w:nsid w:val="8E5A1FB3"/>
    <w:multiLevelType w:val="multilevel"/>
    <w:tmpl w:val="8E5A1FB3"/>
    <w:lvl w:ilvl="0">
      <w:start w:val="1"/>
      <w:numFmt w:val="lowerLetter"/>
      <w:lvlText w:val="%1)"/>
      <w:lvlJc w:val="left"/>
      <w:pPr>
        <w:ind w:left="1001" w:hanging="440"/>
      </w:pPr>
    </w:lvl>
    <w:lvl w:ilvl="1">
      <w:start w:val="1"/>
      <w:numFmt w:val="lowerLetter"/>
      <w:lvlText w:val="%2)"/>
      <w:lvlJc w:val="left"/>
      <w:pPr>
        <w:ind w:left="1441" w:hanging="440"/>
      </w:pPr>
    </w:lvl>
    <w:lvl w:ilvl="2">
      <w:start w:val="1"/>
      <w:numFmt w:val="lowerRoman"/>
      <w:lvlText w:val="%3."/>
      <w:lvlJc w:val="right"/>
      <w:pPr>
        <w:ind w:left="1881" w:hanging="440"/>
      </w:pPr>
    </w:lvl>
    <w:lvl w:ilvl="3">
      <w:start w:val="1"/>
      <w:numFmt w:val="decimal"/>
      <w:lvlText w:val="%4."/>
      <w:lvlJc w:val="left"/>
      <w:pPr>
        <w:ind w:left="2321" w:hanging="440"/>
      </w:pPr>
    </w:lvl>
    <w:lvl w:ilvl="4">
      <w:start w:val="1"/>
      <w:numFmt w:val="lowerLetter"/>
      <w:lvlText w:val="%5)"/>
      <w:lvlJc w:val="left"/>
      <w:pPr>
        <w:ind w:left="2761" w:hanging="440"/>
      </w:pPr>
    </w:lvl>
    <w:lvl w:ilvl="5">
      <w:start w:val="1"/>
      <w:numFmt w:val="lowerRoman"/>
      <w:lvlText w:val="%6."/>
      <w:lvlJc w:val="right"/>
      <w:pPr>
        <w:ind w:left="3201" w:hanging="440"/>
      </w:pPr>
    </w:lvl>
    <w:lvl w:ilvl="6">
      <w:start w:val="1"/>
      <w:numFmt w:val="decimal"/>
      <w:lvlText w:val="%7."/>
      <w:lvlJc w:val="left"/>
      <w:pPr>
        <w:ind w:left="3641" w:hanging="440"/>
      </w:pPr>
    </w:lvl>
    <w:lvl w:ilvl="7">
      <w:start w:val="1"/>
      <w:numFmt w:val="lowerLetter"/>
      <w:lvlText w:val="%8)"/>
      <w:lvlJc w:val="left"/>
      <w:pPr>
        <w:ind w:left="4081" w:hanging="440"/>
      </w:pPr>
    </w:lvl>
    <w:lvl w:ilvl="8">
      <w:start w:val="1"/>
      <w:numFmt w:val="lowerRoman"/>
      <w:lvlText w:val="%9."/>
      <w:lvlJc w:val="right"/>
      <w:pPr>
        <w:ind w:left="4521" w:hanging="440"/>
      </w:pPr>
    </w:lvl>
  </w:abstractNum>
  <w:abstractNum w:abstractNumId="2" w15:restartNumberingAfterBreak="0">
    <w:nsid w:val="C4E7412A"/>
    <w:multiLevelType w:val="multilevel"/>
    <w:tmpl w:val="C4E7412A"/>
    <w:lvl w:ilvl="0">
      <w:start w:val="1"/>
      <w:numFmt w:val="decimal"/>
      <w:suff w:val="space"/>
      <w:lvlText w:val="[%1]"/>
      <w:lvlJc w:val="left"/>
      <w:rPr>
        <w:rFonts w:hint="default"/>
        <w:u w:val="none"/>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3"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5"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15:restartNumberingAfterBreak="0">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7" w15:restartNumberingAfterBreak="0">
    <w:nsid w:val="15202545"/>
    <w:multiLevelType w:val="multilevel"/>
    <w:tmpl w:val="15202545"/>
    <w:lvl w:ilvl="0">
      <w:start w:val="1"/>
      <w:numFmt w:val="lowerLetter"/>
      <w:lvlText w:val="%1)"/>
      <w:lvlJc w:val="left"/>
      <w:pPr>
        <w:ind w:left="1001" w:hanging="440"/>
      </w:pPr>
    </w:lvl>
    <w:lvl w:ilvl="1">
      <w:start w:val="1"/>
      <w:numFmt w:val="lowerLetter"/>
      <w:lvlText w:val="%2)"/>
      <w:lvlJc w:val="left"/>
      <w:pPr>
        <w:ind w:left="1441" w:hanging="440"/>
      </w:pPr>
    </w:lvl>
    <w:lvl w:ilvl="2">
      <w:start w:val="1"/>
      <w:numFmt w:val="lowerRoman"/>
      <w:lvlText w:val="%3."/>
      <w:lvlJc w:val="right"/>
      <w:pPr>
        <w:ind w:left="1881" w:hanging="440"/>
      </w:pPr>
    </w:lvl>
    <w:lvl w:ilvl="3">
      <w:start w:val="1"/>
      <w:numFmt w:val="decimal"/>
      <w:lvlText w:val="%4."/>
      <w:lvlJc w:val="left"/>
      <w:pPr>
        <w:ind w:left="2321" w:hanging="440"/>
      </w:pPr>
    </w:lvl>
    <w:lvl w:ilvl="4">
      <w:start w:val="1"/>
      <w:numFmt w:val="lowerLetter"/>
      <w:lvlText w:val="%5)"/>
      <w:lvlJc w:val="left"/>
      <w:pPr>
        <w:ind w:left="2761" w:hanging="440"/>
      </w:pPr>
    </w:lvl>
    <w:lvl w:ilvl="5">
      <w:start w:val="1"/>
      <w:numFmt w:val="lowerRoman"/>
      <w:lvlText w:val="%6."/>
      <w:lvlJc w:val="right"/>
      <w:pPr>
        <w:ind w:left="3201" w:hanging="440"/>
      </w:pPr>
    </w:lvl>
    <w:lvl w:ilvl="6">
      <w:start w:val="1"/>
      <w:numFmt w:val="decimal"/>
      <w:lvlText w:val="%7."/>
      <w:lvlJc w:val="left"/>
      <w:pPr>
        <w:ind w:left="3641" w:hanging="440"/>
      </w:pPr>
    </w:lvl>
    <w:lvl w:ilvl="7">
      <w:start w:val="1"/>
      <w:numFmt w:val="lowerLetter"/>
      <w:lvlText w:val="%8)"/>
      <w:lvlJc w:val="left"/>
      <w:pPr>
        <w:ind w:left="4081" w:hanging="440"/>
      </w:pPr>
    </w:lvl>
    <w:lvl w:ilvl="8">
      <w:start w:val="1"/>
      <w:numFmt w:val="lowerRoman"/>
      <w:lvlText w:val="%9."/>
      <w:lvlJc w:val="right"/>
      <w:pPr>
        <w:ind w:left="4521" w:hanging="440"/>
      </w:pPr>
    </w:lvl>
  </w:abstractNum>
  <w:abstractNum w:abstractNumId="8" w15:restartNumberingAfterBreak="0">
    <w:nsid w:val="1AF14704"/>
    <w:multiLevelType w:val="multilevel"/>
    <w:tmpl w:val="1AF14704"/>
    <w:lvl w:ilvl="0">
      <w:start w:val="1"/>
      <w:numFmt w:val="lowerLetter"/>
      <w:lvlText w:val="%1)"/>
      <w:lvlJc w:val="left"/>
      <w:pPr>
        <w:ind w:left="1001" w:hanging="440"/>
      </w:pPr>
    </w:lvl>
    <w:lvl w:ilvl="1">
      <w:start w:val="1"/>
      <w:numFmt w:val="lowerLetter"/>
      <w:lvlText w:val="%2)"/>
      <w:lvlJc w:val="left"/>
      <w:pPr>
        <w:ind w:left="1441" w:hanging="440"/>
      </w:pPr>
    </w:lvl>
    <w:lvl w:ilvl="2">
      <w:start w:val="1"/>
      <w:numFmt w:val="lowerRoman"/>
      <w:lvlText w:val="%3."/>
      <w:lvlJc w:val="right"/>
      <w:pPr>
        <w:ind w:left="1881" w:hanging="440"/>
      </w:pPr>
    </w:lvl>
    <w:lvl w:ilvl="3">
      <w:start w:val="1"/>
      <w:numFmt w:val="decimal"/>
      <w:lvlText w:val="%4."/>
      <w:lvlJc w:val="left"/>
      <w:pPr>
        <w:ind w:left="2321" w:hanging="440"/>
      </w:pPr>
    </w:lvl>
    <w:lvl w:ilvl="4">
      <w:start w:val="1"/>
      <w:numFmt w:val="lowerLetter"/>
      <w:lvlText w:val="%5)"/>
      <w:lvlJc w:val="left"/>
      <w:pPr>
        <w:ind w:left="2761" w:hanging="440"/>
      </w:pPr>
    </w:lvl>
    <w:lvl w:ilvl="5">
      <w:start w:val="1"/>
      <w:numFmt w:val="lowerRoman"/>
      <w:lvlText w:val="%6."/>
      <w:lvlJc w:val="right"/>
      <w:pPr>
        <w:ind w:left="3201" w:hanging="440"/>
      </w:pPr>
    </w:lvl>
    <w:lvl w:ilvl="6">
      <w:start w:val="1"/>
      <w:numFmt w:val="decimal"/>
      <w:lvlText w:val="%7."/>
      <w:lvlJc w:val="left"/>
      <w:pPr>
        <w:ind w:left="3641" w:hanging="440"/>
      </w:pPr>
    </w:lvl>
    <w:lvl w:ilvl="7">
      <w:start w:val="1"/>
      <w:numFmt w:val="lowerLetter"/>
      <w:lvlText w:val="%8)"/>
      <w:lvlJc w:val="left"/>
      <w:pPr>
        <w:ind w:left="4081" w:hanging="440"/>
      </w:pPr>
    </w:lvl>
    <w:lvl w:ilvl="8">
      <w:start w:val="1"/>
      <w:numFmt w:val="lowerRoman"/>
      <w:lvlText w:val="%9."/>
      <w:lvlJc w:val="right"/>
      <w:pPr>
        <w:ind w:left="4521" w:hanging="440"/>
      </w:pPr>
    </w:lvl>
  </w:abstractNum>
  <w:abstractNum w:abstractNumId="9" w15:restartNumberingAfterBreak="0">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10" w15:restartNumberingAfterBreak="0">
    <w:nsid w:val="1E9CE202"/>
    <w:multiLevelType w:val="multilevel"/>
    <w:tmpl w:val="1E9CE202"/>
    <w:lvl w:ilvl="0">
      <w:start w:val="1"/>
      <w:numFmt w:val="lowerLetter"/>
      <w:lvlText w:val="%1)"/>
      <w:lvlJc w:val="left"/>
      <w:pPr>
        <w:ind w:left="1001" w:hanging="440"/>
      </w:pPr>
    </w:lvl>
    <w:lvl w:ilvl="1">
      <w:start w:val="1"/>
      <w:numFmt w:val="lowerLetter"/>
      <w:lvlText w:val="%2)"/>
      <w:lvlJc w:val="left"/>
      <w:pPr>
        <w:ind w:left="1441" w:hanging="440"/>
      </w:pPr>
    </w:lvl>
    <w:lvl w:ilvl="2">
      <w:start w:val="1"/>
      <w:numFmt w:val="lowerRoman"/>
      <w:lvlText w:val="%3."/>
      <w:lvlJc w:val="right"/>
      <w:pPr>
        <w:ind w:left="1881" w:hanging="440"/>
      </w:pPr>
    </w:lvl>
    <w:lvl w:ilvl="3">
      <w:start w:val="1"/>
      <w:numFmt w:val="decimal"/>
      <w:lvlText w:val="%4."/>
      <w:lvlJc w:val="left"/>
      <w:pPr>
        <w:ind w:left="2321" w:hanging="440"/>
      </w:pPr>
    </w:lvl>
    <w:lvl w:ilvl="4">
      <w:start w:val="1"/>
      <w:numFmt w:val="lowerLetter"/>
      <w:lvlText w:val="%5)"/>
      <w:lvlJc w:val="left"/>
      <w:pPr>
        <w:ind w:left="2761" w:hanging="440"/>
      </w:pPr>
    </w:lvl>
    <w:lvl w:ilvl="5">
      <w:start w:val="1"/>
      <w:numFmt w:val="lowerRoman"/>
      <w:lvlText w:val="%6."/>
      <w:lvlJc w:val="right"/>
      <w:pPr>
        <w:ind w:left="3201" w:hanging="440"/>
      </w:pPr>
    </w:lvl>
    <w:lvl w:ilvl="6">
      <w:start w:val="1"/>
      <w:numFmt w:val="decimal"/>
      <w:lvlText w:val="%7."/>
      <w:lvlJc w:val="left"/>
      <w:pPr>
        <w:ind w:left="3641" w:hanging="440"/>
      </w:pPr>
    </w:lvl>
    <w:lvl w:ilvl="7">
      <w:start w:val="1"/>
      <w:numFmt w:val="lowerLetter"/>
      <w:lvlText w:val="%8)"/>
      <w:lvlJc w:val="left"/>
      <w:pPr>
        <w:ind w:left="4081" w:hanging="440"/>
      </w:pPr>
    </w:lvl>
    <w:lvl w:ilvl="8">
      <w:start w:val="1"/>
      <w:numFmt w:val="lowerRoman"/>
      <w:lvlText w:val="%9."/>
      <w:lvlJc w:val="right"/>
      <w:pPr>
        <w:ind w:left="4521" w:hanging="440"/>
      </w:pPr>
    </w:lvl>
  </w:abstractNum>
  <w:abstractNum w:abstractNumId="11" w15:restartNumberingAfterBreak="0">
    <w:nsid w:val="1FC91163"/>
    <w:multiLevelType w:val="multilevel"/>
    <w:tmpl w:val="1FC91163"/>
    <w:lvl w:ilvl="0">
      <w:start w:val="1"/>
      <w:numFmt w:val="decimal"/>
      <w:pStyle w:val="a4"/>
      <w:suff w:val="nothing"/>
      <w:lvlText w:val="%1　"/>
      <w:lvlJc w:val="left"/>
      <w:pPr>
        <w:ind w:left="993" w:firstLine="0"/>
      </w:pPr>
      <w:rPr>
        <w:rFonts w:ascii="黑体" w:eastAsia="黑体" w:hAnsi="Times New Roman" w:hint="eastAsia"/>
        <w:b w:val="0"/>
        <w:i w:val="0"/>
        <w:sz w:val="21"/>
        <w:szCs w:val="21"/>
      </w:rPr>
    </w:lvl>
    <w:lvl w:ilvl="1">
      <w:start w:val="1"/>
      <w:numFmt w:val="decimal"/>
      <w:pStyle w:val="a5"/>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6"/>
      <w:suff w:val="nothing"/>
      <w:lvlText w:val="%1.%2.%3　"/>
      <w:lvlJc w:val="left"/>
      <w:pPr>
        <w:ind w:left="-1417" w:firstLine="0"/>
      </w:pPr>
      <w:rPr>
        <w:rFonts w:ascii="黑体" w:eastAsia="黑体" w:hAnsi="Times New Roman" w:hint="eastAsia"/>
        <w:b w:val="0"/>
        <w:i w:val="0"/>
        <w:sz w:val="21"/>
      </w:rPr>
    </w:lvl>
    <w:lvl w:ilvl="3">
      <w:start w:val="1"/>
      <w:numFmt w:val="decimal"/>
      <w:pStyle w:val="a7"/>
      <w:suff w:val="nothing"/>
      <w:lvlText w:val="%1.%2.%3.%4　"/>
      <w:lvlJc w:val="left"/>
      <w:pPr>
        <w:ind w:left="-1417" w:firstLine="0"/>
      </w:pPr>
      <w:rPr>
        <w:rFonts w:ascii="黑体" w:eastAsia="黑体" w:hAnsi="Times New Roman" w:hint="eastAsia"/>
        <w:b w:val="0"/>
        <w:i w:val="0"/>
        <w:sz w:val="21"/>
      </w:rPr>
    </w:lvl>
    <w:lvl w:ilvl="4">
      <w:start w:val="1"/>
      <w:numFmt w:val="decimal"/>
      <w:pStyle w:val="a8"/>
      <w:suff w:val="nothing"/>
      <w:lvlText w:val="%1.%2.%3.%4.%5　"/>
      <w:lvlJc w:val="left"/>
      <w:pPr>
        <w:ind w:left="-1417" w:firstLine="0"/>
      </w:pPr>
      <w:rPr>
        <w:rFonts w:ascii="黑体" w:eastAsia="黑体" w:hAnsi="Times New Roman" w:hint="eastAsia"/>
        <w:b w:val="0"/>
        <w:i w:val="0"/>
        <w:sz w:val="21"/>
      </w:rPr>
    </w:lvl>
    <w:lvl w:ilvl="5">
      <w:start w:val="1"/>
      <w:numFmt w:val="decimal"/>
      <w:pStyle w:val="a9"/>
      <w:suff w:val="nothing"/>
      <w:lvlText w:val="%1.%2.%3.%4.%5.%6　"/>
      <w:lvlJc w:val="left"/>
      <w:pPr>
        <w:ind w:left="-1417" w:firstLine="0"/>
      </w:pPr>
      <w:rPr>
        <w:rFonts w:ascii="黑体" w:eastAsia="黑体" w:hAnsi="Times New Roman" w:hint="eastAsia"/>
        <w:b w:val="0"/>
        <w:i w:val="0"/>
        <w:sz w:val="21"/>
      </w:rPr>
    </w:lvl>
    <w:lvl w:ilvl="6">
      <w:start w:val="1"/>
      <w:numFmt w:val="decimal"/>
      <w:suff w:val="nothing"/>
      <w:lvlText w:val="%1%2.%3.%4.%5.%6.%7　"/>
      <w:lvlJc w:val="left"/>
      <w:pPr>
        <w:ind w:left="-1417" w:firstLine="0"/>
      </w:pPr>
      <w:rPr>
        <w:rFonts w:ascii="黑体" w:eastAsia="黑体" w:hAnsi="Times New Roman" w:hint="eastAsia"/>
        <w:b w:val="0"/>
        <w:i w:val="0"/>
        <w:sz w:val="21"/>
      </w:rPr>
    </w:lvl>
    <w:lvl w:ilvl="7">
      <w:start w:val="1"/>
      <w:numFmt w:val="decimal"/>
      <w:lvlText w:val="%1.%2.%3.%4.%5.%6.%7.%8"/>
      <w:lvlJc w:val="left"/>
      <w:pPr>
        <w:tabs>
          <w:tab w:val="left" w:pos="2934"/>
        </w:tabs>
        <w:ind w:left="2552" w:hanging="1418"/>
      </w:pPr>
      <w:rPr>
        <w:rFonts w:hint="eastAsia"/>
      </w:rPr>
    </w:lvl>
    <w:lvl w:ilvl="8">
      <w:start w:val="1"/>
      <w:numFmt w:val="decimal"/>
      <w:lvlText w:val="%1.%2.%3.%4.%5.%6.%7.%8.%9"/>
      <w:lvlJc w:val="left"/>
      <w:pPr>
        <w:tabs>
          <w:tab w:val="left" w:pos="3360"/>
        </w:tabs>
        <w:ind w:left="3260" w:hanging="1700"/>
      </w:pPr>
      <w:rPr>
        <w:rFonts w:hint="eastAsia"/>
      </w:rPr>
    </w:lvl>
  </w:abstractNum>
  <w:abstractNum w:abstractNumId="12" w15:restartNumberingAfterBreak="0">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3" w15:restartNumberingAfterBreak="0">
    <w:nsid w:val="2C5917C3"/>
    <w:multiLevelType w:val="multilevel"/>
    <w:tmpl w:val="2C5917C3"/>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4" w15:restartNumberingAfterBreak="0">
    <w:nsid w:val="3D73361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5" w15:restartNumberingAfterBreak="0">
    <w:nsid w:val="44C50F90"/>
    <w:multiLevelType w:val="multilevel"/>
    <w:tmpl w:val="44C50F90"/>
    <w:lvl w:ilvl="0">
      <w:start w:val="1"/>
      <w:numFmt w:val="lowerLetter"/>
      <w:pStyle w:val="af0"/>
      <w:lvlText w:val="%1)"/>
      <w:lvlJc w:val="left"/>
      <w:pPr>
        <w:tabs>
          <w:tab w:val="left" w:pos="840"/>
        </w:tabs>
        <w:ind w:left="839" w:hanging="419"/>
      </w:pPr>
      <w:rPr>
        <w:rFonts w:ascii="宋体" w:eastAsia="宋体" w:hint="eastAsia"/>
        <w:b w:val="0"/>
        <w:i w:val="0"/>
        <w:sz w:val="21"/>
        <w:szCs w:val="21"/>
      </w:rPr>
    </w:lvl>
    <w:lvl w:ilvl="1">
      <w:start w:val="1"/>
      <w:numFmt w:val="decimal"/>
      <w:pStyle w:val="af1"/>
      <w:lvlText w:val="%2)"/>
      <w:lvlJc w:val="left"/>
      <w:pPr>
        <w:tabs>
          <w:tab w:val="left" w:pos="1260"/>
        </w:tabs>
        <w:ind w:left="1259" w:hanging="419"/>
      </w:pPr>
      <w:rPr>
        <w:rFonts w:hint="eastAsia"/>
      </w:rPr>
    </w:lvl>
    <w:lvl w:ilvl="2">
      <w:start w:val="1"/>
      <w:numFmt w:val="decimal"/>
      <w:pStyle w:val="af2"/>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6" w15:restartNumberingAfterBreak="0">
    <w:nsid w:val="4B733A5F"/>
    <w:multiLevelType w:val="multilevel"/>
    <w:tmpl w:val="4B733A5F"/>
    <w:lvl w:ilvl="0">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7" w15:restartNumberingAfterBreak="0">
    <w:nsid w:val="51C12A7E"/>
    <w:multiLevelType w:val="multilevel"/>
    <w:tmpl w:val="51C12A7E"/>
    <w:lvl w:ilvl="0">
      <w:start w:val="1"/>
      <w:numFmt w:val="lowerLetter"/>
      <w:lvlText w:val="%1)"/>
      <w:lvlJc w:val="left"/>
      <w:pPr>
        <w:ind w:left="1001" w:hanging="440"/>
      </w:pPr>
    </w:lvl>
    <w:lvl w:ilvl="1">
      <w:start w:val="1"/>
      <w:numFmt w:val="lowerLetter"/>
      <w:lvlText w:val="%2)"/>
      <w:lvlJc w:val="left"/>
      <w:pPr>
        <w:ind w:left="1441" w:hanging="440"/>
      </w:pPr>
    </w:lvl>
    <w:lvl w:ilvl="2">
      <w:start w:val="1"/>
      <w:numFmt w:val="lowerRoman"/>
      <w:lvlText w:val="%3."/>
      <w:lvlJc w:val="right"/>
      <w:pPr>
        <w:ind w:left="1881" w:hanging="440"/>
      </w:pPr>
    </w:lvl>
    <w:lvl w:ilvl="3">
      <w:start w:val="1"/>
      <w:numFmt w:val="decimal"/>
      <w:lvlText w:val="%4."/>
      <w:lvlJc w:val="left"/>
      <w:pPr>
        <w:ind w:left="2321" w:hanging="440"/>
      </w:pPr>
    </w:lvl>
    <w:lvl w:ilvl="4">
      <w:start w:val="1"/>
      <w:numFmt w:val="lowerLetter"/>
      <w:lvlText w:val="%5)"/>
      <w:lvlJc w:val="left"/>
      <w:pPr>
        <w:ind w:left="2761" w:hanging="440"/>
      </w:pPr>
    </w:lvl>
    <w:lvl w:ilvl="5">
      <w:start w:val="1"/>
      <w:numFmt w:val="lowerRoman"/>
      <w:lvlText w:val="%6."/>
      <w:lvlJc w:val="right"/>
      <w:pPr>
        <w:ind w:left="3201" w:hanging="440"/>
      </w:pPr>
    </w:lvl>
    <w:lvl w:ilvl="6">
      <w:start w:val="1"/>
      <w:numFmt w:val="decimal"/>
      <w:lvlText w:val="%7."/>
      <w:lvlJc w:val="left"/>
      <w:pPr>
        <w:ind w:left="3641" w:hanging="440"/>
      </w:pPr>
    </w:lvl>
    <w:lvl w:ilvl="7">
      <w:start w:val="1"/>
      <w:numFmt w:val="lowerLetter"/>
      <w:lvlText w:val="%8)"/>
      <w:lvlJc w:val="left"/>
      <w:pPr>
        <w:ind w:left="4081" w:hanging="440"/>
      </w:pPr>
    </w:lvl>
    <w:lvl w:ilvl="8">
      <w:start w:val="1"/>
      <w:numFmt w:val="lowerRoman"/>
      <w:lvlText w:val="%9."/>
      <w:lvlJc w:val="right"/>
      <w:pPr>
        <w:ind w:left="4521" w:hanging="440"/>
      </w:pPr>
    </w:lvl>
  </w:abstractNum>
  <w:abstractNum w:abstractNumId="18" w15:restartNumberingAfterBreak="0">
    <w:nsid w:val="557C2AF5"/>
    <w:multiLevelType w:val="multilevel"/>
    <w:tmpl w:val="557C2AF5"/>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9" w15:restartNumberingAfterBreak="0">
    <w:nsid w:val="60B55DC2"/>
    <w:multiLevelType w:val="multilevel"/>
    <w:tmpl w:val="60B55DC2"/>
    <w:lvl w:ilvl="0">
      <w:start w:val="1"/>
      <w:numFmt w:val="upperLetter"/>
      <w:pStyle w:val="af5"/>
      <w:lvlText w:val="%1"/>
      <w:lvlJc w:val="left"/>
      <w:pPr>
        <w:tabs>
          <w:tab w:val="left"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0" w15:restartNumberingAfterBreak="0">
    <w:nsid w:val="646260FA"/>
    <w:multiLevelType w:val="multilevel"/>
    <w:tmpl w:val="646260FA"/>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1" w15:restartNumberingAfterBreak="0">
    <w:nsid w:val="657D3FBC"/>
    <w:multiLevelType w:val="multilevel"/>
    <w:tmpl w:val="657D3FBC"/>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2" w15:restartNumberingAfterBreak="0">
    <w:nsid w:val="6D6C07CD"/>
    <w:multiLevelType w:val="multilevel"/>
    <w:tmpl w:val="6D6C07CD"/>
    <w:lvl w:ilvl="0">
      <w:start w:val="1"/>
      <w:numFmt w:val="lowerLetter"/>
      <w:pStyle w:val="aff"/>
      <w:lvlText w:val="%1)"/>
      <w:lvlJc w:val="left"/>
      <w:pPr>
        <w:tabs>
          <w:tab w:val="left" w:pos="839"/>
        </w:tabs>
        <w:ind w:left="839" w:hanging="419"/>
      </w:pPr>
      <w:rPr>
        <w:rFonts w:ascii="宋体" w:eastAsia="宋体" w:hint="eastAsia"/>
        <w:b w:val="0"/>
        <w:i w:val="0"/>
        <w:sz w:val="21"/>
      </w:rPr>
    </w:lvl>
    <w:lvl w:ilvl="1">
      <w:start w:val="1"/>
      <w:numFmt w:val="decimal"/>
      <w:pStyle w:val="aff0"/>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23" w15:restartNumberingAfterBreak="0">
    <w:nsid w:val="6DBF04F4"/>
    <w:multiLevelType w:val="multilevel"/>
    <w:tmpl w:val="6DBF04F4"/>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14"/>
  </w:num>
  <w:num w:numId="2">
    <w:abstractNumId w:val="11"/>
  </w:num>
  <w:num w:numId="3">
    <w:abstractNumId w:val="13"/>
  </w:num>
  <w:num w:numId="4">
    <w:abstractNumId w:val="5"/>
  </w:num>
  <w:num w:numId="5">
    <w:abstractNumId w:val="15"/>
  </w:num>
  <w:num w:numId="6">
    <w:abstractNumId w:val="23"/>
  </w:num>
  <w:num w:numId="7">
    <w:abstractNumId w:val="3"/>
  </w:num>
  <w:num w:numId="8">
    <w:abstractNumId w:val="16"/>
  </w:num>
  <w:num w:numId="9">
    <w:abstractNumId w:val="9"/>
  </w:num>
  <w:num w:numId="10">
    <w:abstractNumId w:val="21"/>
  </w:num>
  <w:num w:numId="11">
    <w:abstractNumId w:val="19"/>
  </w:num>
  <w:num w:numId="12">
    <w:abstractNumId w:val="22"/>
  </w:num>
  <w:num w:numId="13">
    <w:abstractNumId w:val="12"/>
  </w:num>
  <w:num w:numId="14">
    <w:abstractNumId w:val="4"/>
  </w:num>
  <w:num w:numId="15">
    <w:abstractNumId w:val="6"/>
  </w:num>
  <w:num w:numId="16">
    <w:abstractNumId w:val="20"/>
  </w:num>
  <w:num w:numId="17">
    <w:abstractNumId w:val="18"/>
  </w:num>
  <w:num w:numId="18">
    <w:abstractNumId w:val="0"/>
  </w:num>
  <w:num w:numId="19">
    <w:abstractNumId w:val="17"/>
  </w:num>
  <w:num w:numId="20">
    <w:abstractNumId w:val="7"/>
  </w:num>
  <w:num w:numId="21">
    <w:abstractNumId w:val="10"/>
  </w:num>
  <w:num w:numId="22">
    <w:abstractNumId w:val="1"/>
  </w:num>
  <w:num w:numId="23">
    <w:abstractNumId w:val="8"/>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244"/>
    <w:rsid w:val="0000185F"/>
    <w:rsid w:val="000053F2"/>
    <w:rsid w:val="0000586F"/>
    <w:rsid w:val="00010755"/>
    <w:rsid w:val="0001212A"/>
    <w:rsid w:val="00013D86"/>
    <w:rsid w:val="00013E02"/>
    <w:rsid w:val="0002143C"/>
    <w:rsid w:val="000234F7"/>
    <w:rsid w:val="00025A65"/>
    <w:rsid w:val="00026C31"/>
    <w:rsid w:val="00027280"/>
    <w:rsid w:val="000320A7"/>
    <w:rsid w:val="00035925"/>
    <w:rsid w:val="00040D19"/>
    <w:rsid w:val="000433A5"/>
    <w:rsid w:val="00056328"/>
    <w:rsid w:val="00060954"/>
    <w:rsid w:val="00062BC8"/>
    <w:rsid w:val="000634E0"/>
    <w:rsid w:val="0006539D"/>
    <w:rsid w:val="00067CDF"/>
    <w:rsid w:val="000724C8"/>
    <w:rsid w:val="00074FBE"/>
    <w:rsid w:val="00083A09"/>
    <w:rsid w:val="0009005E"/>
    <w:rsid w:val="00092857"/>
    <w:rsid w:val="00095EBC"/>
    <w:rsid w:val="00096DBE"/>
    <w:rsid w:val="000A0F8A"/>
    <w:rsid w:val="000A20A9"/>
    <w:rsid w:val="000A40E4"/>
    <w:rsid w:val="000A47FE"/>
    <w:rsid w:val="000A48B1"/>
    <w:rsid w:val="000B3143"/>
    <w:rsid w:val="000B5F51"/>
    <w:rsid w:val="000B6513"/>
    <w:rsid w:val="000C3E60"/>
    <w:rsid w:val="000C6B05"/>
    <w:rsid w:val="000C6DD6"/>
    <w:rsid w:val="000C73D4"/>
    <w:rsid w:val="000C7763"/>
    <w:rsid w:val="000D231D"/>
    <w:rsid w:val="000D2D8B"/>
    <w:rsid w:val="000D3384"/>
    <w:rsid w:val="000D3D4C"/>
    <w:rsid w:val="000D4F51"/>
    <w:rsid w:val="000D718B"/>
    <w:rsid w:val="000E0C46"/>
    <w:rsid w:val="000E15A4"/>
    <w:rsid w:val="000E206A"/>
    <w:rsid w:val="000E4AC0"/>
    <w:rsid w:val="000F030C"/>
    <w:rsid w:val="000F129C"/>
    <w:rsid w:val="000F5877"/>
    <w:rsid w:val="000F6DC3"/>
    <w:rsid w:val="00100701"/>
    <w:rsid w:val="00100E1A"/>
    <w:rsid w:val="001056DE"/>
    <w:rsid w:val="00105FC5"/>
    <w:rsid w:val="00107352"/>
    <w:rsid w:val="001112E2"/>
    <w:rsid w:val="001121E6"/>
    <w:rsid w:val="001124C0"/>
    <w:rsid w:val="00124246"/>
    <w:rsid w:val="00124FD9"/>
    <w:rsid w:val="00125566"/>
    <w:rsid w:val="00127D6A"/>
    <w:rsid w:val="0013175F"/>
    <w:rsid w:val="001337E4"/>
    <w:rsid w:val="001406E0"/>
    <w:rsid w:val="001457F3"/>
    <w:rsid w:val="001512B4"/>
    <w:rsid w:val="001533FF"/>
    <w:rsid w:val="00155AF8"/>
    <w:rsid w:val="00157FA8"/>
    <w:rsid w:val="00160473"/>
    <w:rsid w:val="001620A5"/>
    <w:rsid w:val="00163EB8"/>
    <w:rsid w:val="00164E53"/>
    <w:rsid w:val="0016699D"/>
    <w:rsid w:val="0017178D"/>
    <w:rsid w:val="00172A27"/>
    <w:rsid w:val="00175159"/>
    <w:rsid w:val="00175804"/>
    <w:rsid w:val="00176208"/>
    <w:rsid w:val="00176EFC"/>
    <w:rsid w:val="00177CA3"/>
    <w:rsid w:val="0018211B"/>
    <w:rsid w:val="00182CB9"/>
    <w:rsid w:val="001835E4"/>
    <w:rsid w:val="001840D3"/>
    <w:rsid w:val="00185CB1"/>
    <w:rsid w:val="001900F8"/>
    <w:rsid w:val="00191258"/>
    <w:rsid w:val="00192680"/>
    <w:rsid w:val="00192A65"/>
    <w:rsid w:val="00193037"/>
    <w:rsid w:val="00193195"/>
    <w:rsid w:val="00193A2C"/>
    <w:rsid w:val="001A288E"/>
    <w:rsid w:val="001A6D07"/>
    <w:rsid w:val="001B1489"/>
    <w:rsid w:val="001B3DA1"/>
    <w:rsid w:val="001B59DE"/>
    <w:rsid w:val="001B6DC2"/>
    <w:rsid w:val="001C149C"/>
    <w:rsid w:val="001C21AC"/>
    <w:rsid w:val="001C40DC"/>
    <w:rsid w:val="001C47BA"/>
    <w:rsid w:val="001C59EA"/>
    <w:rsid w:val="001C6A8E"/>
    <w:rsid w:val="001D2D13"/>
    <w:rsid w:val="001D406C"/>
    <w:rsid w:val="001D41EE"/>
    <w:rsid w:val="001D5849"/>
    <w:rsid w:val="001D5FD6"/>
    <w:rsid w:val="001D6ED0"/>
    <w:rsid w:val="001E0380"/>
    <w:rsid w:val="001E0566"/>
    <w:rsid w:val="001E13B1"/>
    <w:rsid w:val="001E618C"/>
    <w:rsid w:val="001F0560"/>
    <w:rsid w:val="001F21F8"/>
    <w:rsid w:val="001F341F"/>
    <w:rsid w:val="001F38AF"/>
    <w:rsid w:val="001F3A19"/>
    <w:rsid w:val="001F44A5"/>
    <w:rsid w:val="001F5889"/>
    <w:rsid w:val="00203EAA"/>
    <w:rsid w:val="00205C8A"/>
    <w:rsid w:val="0020745D"/>
    <w:rsid w:val="00207EEC"/>
    <w:rsid w:val="00215DEA"/>
    <w:rsid w:val="00217BA7"/>
    <w:rsid w:val="0022090A"/>
    <w:rsid w:val="002277DD"/>
    <w:rsid w:val="00227958"/>
    <w:rsid w:val="00232BF5"/>
    <w:rsid w:val="00234467"/>
    <w:rsid w:val="00237D8D"/>
    <w:rsid w:val="00241DA2"/>
    <w:rsid w:val="0024301D"/>
    <w:rsid w:val="00247FEE"/>
    <w:rsid w:val="00250E7D"/>
    <w:rsid w:val="00252124"/>
    <w:rsid w:val="00255FBF"/>
    <w:rsid w:val="002565D5"/>
    <w:rsid w:val="0025661C"/>
    <w:rsid w:val="002622C0"/>
    <w:rsid w:val="00263C64"/>
    <w:rsid w:val="00265C20"/>
    <w:rsid w:val="002778AE"/>
    <w:rsid w:val="0028269A"/>
    <w:rsid w:val="00283590"/>
    <w:rsid w:val="00286973"/>
    <w:rsid w:val="00290A7C"/>
    <w:rsid w:val="00292203"/>
    <w:rsid w:val="00293CDD"/>
    <w:rsid w:val="00294E70"/>
    <w:rsid w:val="00295D13"/>
    <w:rsid w:val="002A10C1"/>
    <w:rsid w:val="002A1924"/>
    <w:rsid w:val="002A38F4"/>
    <w:rsid w:val="002A416B"/>
    <w:rsid w:val="002A7420"/>
    <w:rsid w:val="002B0F12"/>
    <w:rsid w:val="002B1308"/>
    <w:rsid w:val="002B1903"/>
    <w:rsid w:val="002B4554"/>
    <w:rsid w:val="002C3773"/>
    <w:rsid w:val="002C3FE1"/>
    <w:rsid w:val="002C4EE1"/>
    <w:rsid w:val="002C72D8"/>
    <w:rsid w:val="002D11FA"/>
    <w:rsid w:val="002D25CB"/>
    <w:rsid w:val="002D26FA"/>
    <w:rsid w:val="002E0DDF"/>
    <w:rsid w:val="002E1DF3"/>
    <w:rsid w:val="002E2906"/>
    <w:rsid w:val="002E5635"/>
    <w:rsid w:val="002E64C3"/>
    <w:rsid w:val="002E6A2C"/>
    <w:rsid w:val="002F1D8C"/>
    <w:rsid w:val="002F21DA"/>
    <w:rsid w:val="002F5DA0"/>
    <w:rsid w:val="00301F39"/>
    <w:rsid w:val="003078BB"/>
    <w:rsid w:val="003129C4"/>
    <w:rsid w:val="00313C85"/>
    <w:rsid w:val="003159F8"/>
    <w:rsid w:val="00320A15"/>
    <w:rsid w:val="00324487"/>
    <w:rsid w:val="00325926"/>
    <w:rsid w:val="00326619"/>
    <w:rsid w:val="0032699A"/>
    <w:rsid w:val="00327A8A"/>
    <w:rsid w:val="003331B1"/>
    <w:rsid w:val="00336610"/>
    <w:rsid w:val="00336E5A"/>
    <w:rsid w:val="0034042D"/>
    <w:rsid w:val="00343F73"/>
    <w:rsid w:val="00344444"/>
    <w:rsid w:val="00345060"/>
    <w:rsid w:val="00345C75"/>
    <w:rsid w:val="0034606E"/>
    <w:rsid w:val="0035268D"/>
    <w:rsid w:val="0035323B"/>
    <w:rsid w:val="003609D2"/>
    <w:rsid w:val="00363F22"/>
    <w:rsid w:val="00366046"/>
    <w:rsid w:val="00366C12"/>
    <w:rsid w:val="00367F2A"/>
    <w:rsid w:val="00371DB1"/>
    <w:rsid w:val="0037409B"/>
    <w:rsid w:val="00374580"/>
    <w:rsid w:val="00375564"/>
    <w:rsid w:val="00377F97"/>
    <w:rsid w:val="0038264E"/>
    <w:rsid w:val="00383191"/>
    <w:rsid w:val="00386DED"/>
    <w:rsid w:val="003912E7"/>
    <w:rsid w:val="00391A30"/>
    <w:rsid w:val="00392F72"/>
    <w:rsid w:val="00393947"/>
    <w:rsid w:val="00395149"/>
    <w:rsid w:val="003A2275"/>
    <w:rsid w:val="003A5BB6"/>
    <w:rsid w:val="003A6A4F"/>
    <w:rsid w:val="003A6E20"/>
    <w:rsid w:val="003A6E63"/>
    <w:rsid w:val="003A7088"/>
    <w:rsid w:val="003B00DF"/>
    <w:rsid w:val="003B1275"/>
    <w:rsid w:val="003B1778"/>
    <w:rsid w:val="003B5ECB"/>
    <w:rsid w:val="003C11CB"/>
    <w:rsid w:val="003C1584"/>
    <w:rsid w:val="003C1A74"/>
    <w:rsid w:val="003C2142"/>
    <w:rsid w:val="003C75F3"/>
    <w:rsid w:val="003C78A3"/>
    <w:rsid w:val="003D3024"/>
    <w:rsid w:val="003D67E5"/>
    <w:rsid w:val="003E1867"/>
    <w:rsid w:val="003E5729"/>
    <w:rsid w:val="003F14A8"/>
    <w:rsid w:val="003F4EE0"/>
    <w:rsid w:val="003F6307"/>
    <w:rsid w:val="00402153"/>
    <w:rsid w:val="00402FC1"/>
    <w:rsid w:val="00403C93"/>
    <w:rsid w:val="00415BBA"/>
    <w:rsid w:val="00415E21"/>
    <w:rsid w:val="00421D17"/>
    <w:rsid w:val="00422A36"/>
    <w:rsid w:val="00423F43"/>
    <w:rsid w:val="00425082"/>
    <w:rsid w:val="00427A2E"/>
    <w:rsid w:val="00430240"/>
    <w:rsid w:val="00431DEB"/>
    <w:rsid w:val="00433856"/>
    <w:rsid w:val="00442748"/>
    <w:rsid w:val="004442F1"/>
    <w:rsid w:val="004464FB"/>
    <w:rsid w:val="00446B29"/>
    <w:rsid w:val="00453F9A"/>
    <w:rsid w:val="004542D2"/>
    <w:rsid w:val="00455698"/>
    <w:rsid w:val="004633EA"/>
    <w:rsid w:val="00465870"/>
    <w:rsid w:val="00470519"/>
    <w:rsid w:val="00471E91"/>
    <w:rsid w:val="00474675"/>
    <w:rsid w:val="0047470C"/>
    <w:rsid w:val="004754E1"/>
    <w:rsid w:val="00475903"/>
    <w:rsid w:val="00476113"/>
    <w:rsid w:val="004777F8"/>
    <w:rsid w:val="00485B2A"/>
    <w:rsid w:val="00492952"/>
    <w:rsid w:val="004930F0"/>
    <w:rsid w:val="004933F5"/>
    <w:rsid w:val="00494391"/>
    <w:rsid w:val="004A03F8"/>
    <w:rsid w:val="004A35F9"/>
    <w:rsid w:val="004B24C1"/>
    <w:rsid w:val="004B2AE2"/>
    <w:rsid w:val="004B488E"/>
    <w:rsid w:val="004B5ABA"/>
    <w:rsid w:val="004C292F"/>
    <w:rsid w:val="004C5151"/>
    <w:rsid w:val="004C6BA4"/>
    <w:rsid w:val="004D1BFC"/>
    <w:rsid w:val="004D253C"/>
    <w:rsid w:val="004D468D"/>
    <w:rsid w:val="004D6309"/>
    <w:rsid w:val="004E375E"/>
    <w:rsid w:val="004E5E50"/>
    <w:rsid w:val="004E6AE5"/>
    <w:rsid w:val="00510280"/>
    <w:rsid w:val="00510638"/>
    <w:rsid w:val="0051196F"/>
    <w:rsid w:val="00513D73"/>
    <w:rsid w:val="00514A43"/>
    <w:rsid w:val="005174E5"/>
    <w:rsid w:val="00522393"/>
    <w:rsid w:val="00522620"/>
    <w:rsid w:val="00525656"/>
    <w:rsid w:val="00534A30"/>
    <w:rsid w:val="00534C02"/>
    <w:rsid w:val="005364CD"/>
    <w:rsid w:val="0054264B"/>
    <w:rsid w:val="00542E2A"/>
    <w:rsid w:val="00543786"/>
    <w:rsid w:val="00552FDA"/>
    <w:rsid w:val="005533D7"/>
    <w:rsid w:val="00554CD0"/>
    <w:rsid w:val="00555DAC"/>
    <w:rsid w:val="005703DE"/>
    <w:rsid w:val="0058464E"/>
    <w:rsid w:val="0058570A"/>
    <w:rsid w:val="00585824"/>
    <w:rsid w:val="00587FE6"/>
    <w:rsid w:val="00593A1A"/>
    <w:rsid w:val="00594059"/>
    <w:rsid w:val="00595D06"/>
    <w:rsid w:val="005A01CB"/>
    <w:rsid w:val="005A0385"/>
    <w:rsid w:val="005A28C7"/>
    <w:rsid w:val="005A58FF"/>
    <w:rsid w:val="005A5EAF"/>
    <w:rsid w:val="005A64C0"/>
    <w:rsid w:val="005B3C11"/>
    <w:rsid w:val="005B6487"/>
    <w:rsid w:val="005C1C28"/>
    <w:rsid w:val="005C4050"/>
    <w:rsid w:val="005C6DB5"/>
    <w:rsid w:val="005D0051"/>
    <w:rsid w:val="005D0325"/>
    <w:rsid w:val="005D0ADA"/>
    <w:rsid w:val="005D7CEF"/>
    <w:rsid w:val="005E19E7"/>
    <w:rsid w:val="005E49E9"/>
    <w:rsid w:val="005F057C"/>
    <w:rsid w:val="005F6CF1"/>
    <w:rsid w:val="006022B1"/>
    <w:rsid w:val="00603844"/>
    <w:rsid w:val="0061092C"/>
    <w:rsid w:val="0061716C"/>
    <w:rsid w:val="0062409A"/>
    <w:rsid w:val="006243A1"/>
    <w:rsid w:val="0062693C"/>
    <w:rsid w:val="00626D36"/>
    <w:rsid w:val="00627B96"/>
    <w:rsid w:val="00627E7A"/>
    <w:rsid w:val="0063101D"/>
    <w:rsid w:val="00632E56"/>
    <w:rsid w:val="00633F6D"/>
    <w:rsid w:val="00635482"/>
    <w:rsid w:val="00635CBA"/>
    <w:rsid w:val="006361E7"/>
    <w:rsid w:val="00641787"/>
    <w:rsid w:val="0064338B"/>
    <w:rsid w:val="00643A30"/>
    <w:rsid w:val="00643B01"/>
    <w:rsid w:val="006460DF"/>
    <w:rsid w:val="00646542"/>
    <w:rsid w:val="006504F4"/>
    <w:rsid w:val="00653423"/>
    <w:rsid w:val="00654302"/>
    <w:rsid w:val="00654BC9"/>
    <w:rsid w:val="006552FD"/>
    <w:rsid w:val="006600F5"/>
    <w:rsid w:val="00663AF3"/>
    <w:rsid w:val="006651DB"/>
    <w:rsid w:val="00665D5B"/>
    <w:rsid w:val="00666B6C"/>
    <w:rsid w:val="006766E8"/>
    <w:rsid w:val="00682682"/>
    <w:rsid w:val="00682702"/>
    <w:rsid w:val="00690F6B"/>
    <w:rsid w:val="00692368"/>
    <w:rsid w:val="00695872"/>
    <w:rsid w:val="006A2EBC"/>
    <w:rsid w:val="006A5EA0"/>
    <w:rsid w:val="006A783B"/>
    <w:rsid w:val="006A7B33"/>
    <w:rsid w:val="006B3945"/>
    <w:rsid w:val="006B4E13"/>
    <w:rsid w:val="006B75DD"/>
    <w:rsid w:val="006C3D8D"/>
    <w:rsid w:val="006C3E69"/>
    <w:rsid w:val="006C67E0"/>
    <w:rsid w:val="006C7ABA"/>
    <w:rsid w:val="006D0D60"/>
    <w:rsid w:val="006D1122"/>
    <w:rsid w:val="006D1681"/>
    <w:rsid w:val="006D3C00"/>
    <w:rsid w:val="006E1DB8"/>
    <w:rsid w:val="006E3675"/>
    <w:rsid w:val="006E4A7F"/>
    <w:rsid w:val="006F0E76"/>
    <w:rsid w:val="006F79D1"/>
    <w:rsid w:val="00704DF6"/>
    <w:rsid w:val="0070651C"/>
    <w:rsid w:val="0070669E"/>
    <w:rsid w:val="007132A3"/>
    <w:rsid w:val="00716421"/>
    <w:rsid w:val="0072267A"/>
    <w:rsid w:val="00722A6D"/>
    <w:rsid w:val="00723A69"/>
    <w:rsid w:val="00724EFB"/>
    <w:rsid w:val="007318AF"/>
    <w:rsid w:val="007336A4"/>
    <w:rsid w:val="00735E3C"/>
    <w:rsid w:val="0073711A"/>
    <w:rsid w:val="00737209"/>
    <w:rsid w:val="007419C3"/>
    <w:rsid w:val="0074642E"/>
    <w:rsid w:val="007467A7"/>
    <w:rsid w:val="007469DD"/>
    <w:rsid w:val="0074741B"/>
    <w:rsid w:val="0074759E"/>
    <w:rsid w:val="007478EA"/>
    <w:rsid w:val="00751176"/>
    <w:rsid w:val="0075415C"/>
    <w:rsid w:val="007557F9"/>
    <w:rsid w:val="007574CB"/>
    <w:rsid w:val="00763502"/>
    <w:rsid w:val="007657A7"/>
    <w:rsid w:val="00777B87"/>
    <w:rsid w:val="007831A7"/>
    <w:rsid w:val="007913AB"/>
    <w:rsid w:val="007914F7"/>
    <w:rsid w:val="00792F5C"/>
    <w:rsid w:val="0079428E"/>
    <w:rsid w:val="007946B2"/>
    <w:rsid w:val="007950A6"/>
    <w:rsid w:val="007B0B61"/>
    <w:rsid w:val="007B0B89"/>
    <w:rsid w:val="007B1625"/>
    <w:rsid w:val="007B236F"/>
    <w:rsid w:val="007B5C6A"/>
    <w:rsid w:val="007B706E"/>
    <w:rsid w:val="007B71EB"/>
    <w:rsid w:val="007C14C6"/>
    <w:rsid w:val="007C5186"/>
    <w:rsid w:val="007C5304"/>
    <w:rsid w:val="007C53D4"/>
    <w:rsid w:val="007C6205"/>
    <w:rsid w:val="007C686A"/>
    <w:rsid w:val="007C728E"/>
    <w:rsid w:val="007D19AB"/>
    <w:rsid w:val="007D2C53"/>
    <w:rsid w:val="007D3D60"/>
    <w:rsid w:val="007E1980"/>
    <w:rsid w:val="007E3E4B"/>
    <w:rsid w:val="007E4B76"/>
    <w:rsid w:val="007E5998"/>
    <w:rsid w:val="007E5EA8"/>
    <w:rsid w:val="007F0CF1"/>
    <w:rsid w:val="007F12A5"/>
    <w:rsid w:val="007F2DA5"/>
    <w:rsid w:val="007F4C4F"/>
    <w:rsid w:val="007F4CF1"/>
    <w:rsid w:val="007F758D"/>
    <w:rsid w:val="007F7D52"/>
    <w:rsid w:val="0080654C"/>
    <w:rsid w:val="008071C6"/>
    <w:rsid w:val="00811506"/>
    <w:rsid w:val="008168E3"/>
    <w:rsid w:val="00817A00"/>
    <w:rsid w:val="008204E8"/>
    <w:rsid w:val="00821545"/>
    <w:rsid w:val="0082512C"/>
    <w:rsid w:val="008259F9"/>
    <w:rsid w:val="00835DB3"/>
    <w:rsid w:val="0083617B"/>
    <w:rsid w:val="008371BD"/>
    <w:rsid w:val="0083767E"/>
    <w:rsid w:val="00840257"/>
    <w:rsid w:val="008405AD"/>
    <w:rsid w:val="00840B61"/>
    <w:rsid w:val="008427A3"/>
    <w:rsid w:val="00847566"/>
    <w:rsid w:val="008504A8"/>
    <w:rsid w:val="00850F51"/>
    <w:rsid w:val="0085282E"/>
    <w:rsid w:val="00854830"/>
    <w:rsid w:val="00857896"/>
    <w:rsid w:val="00861580"/>
    <w:rsid w:val="0087198C"/>
    <w:rsid w:val="00872C1F"/>
    <w:rsid w:val="0087373A"/>
    <w:rsid w:val="00873B42"/>
    <w:rsid w:val="008750A4"/>
    <w:rsid w:val="00882F7D"/>
    <w:rsid w:val="00884F76"/>
    <w:rsid w:val="008856D8"/>
    <w:rsid w:val="00887FE6"/>
    <w:rsid w:val="008916DF"/>
    <w:rsid w:val="00892E82"/>
    <w:rsid w:val="0089545A"/>
    <w:rsid w:val="00896E6C"/>
    <w:rsid w:val="008A218B"/>
    <w:rsid w:val="008A2641"/>
    <w:rsid w:val="008A559E"/>
    <w:rsid w:val="008A5A33"/>
    <w:rsid w:val="008A6EB6"/>
    <w:rsid w:val="008C1B58"/>
    <w:rsid w:val="008C39AE"/>
    <w:rsid w:val="008C590D"/>
    <w:rsid w:val="008D4BC4"/>
    <w:rsid w:val="008D4F36"/>
    <w:rsid w:val="008D715F"/>
    <w:rsid w:val="008E031B"/>
    <w:rsid w:val="008E7029"/>
    <w:rsid w:val="008E74F2"/>
    <w:rsid w:val="008E7EF6"/>
    <w:rsid w:val="008F1F98"/>
    <w:rsid w:val="008F6758"/>
    <w:rsid w:val="009040DD"/>
    <w:rsid w:val="00905B47"/>
    <w:rsid w:val="00906819"/>
    <w:rsid w:val="009105F1"/>
    <w:rsid w:val="00911FBF"/>
    <w:rsid w:val="0091331C"/>
    <w:rsid w:val="009279DE"/>
    <w:rsid w:val="00930116"/>
    <w:rsid w:val="0093034D"/>
    <w:rsid w:val="009333F2"/>
    <w:rsid w:val="009345A4"/>
    <w:rsid w:val="009347EC"/>
    <w:rsid w:val="00936C7D"/>
    <w:rsid w:val="00940825"/>
    <w:rsid w:val="0094212C"/>
    <w:rsid w:val="0094370B"/>
    <w:rsid w:val="00945FCF"/>
    <w:rsid w:val="00947577"/>
    <w:rsid w:val="00953A42"/>
    <w:rsid w:val="00953F02"/>
    <w:rsid w:val="00954689"/>
    <w:rsid w:val="009617C9"/>
    <w:rsid w:val="00961C93"/>
    <w:rsid w:val="009631A1"/>
    <w:rsid w:val="00965324"/>
    <w:rsid w:val="0096609F"/>
    <w:rsid w:val="0097091E"/>
    <w:rsid w:val="00974CAC"/>
    <w:rsid w:val="00974CF5"/>
    <w:rsid w:val="009760D3"/>
    <w:rsid w:val="00977132"/>
    <w:rsid w:val="00980151"/>
    <w:rsid w:val="00981A4B"/>
    <w:rsid w:val="00982501"/>
    <w:rsid w:val="00985CCA"/>
    <w:rsid w:val="009875DB"/>
    <w:rsid w:val="009877D3"/>
    <w:rsid w:val="00994E8F"/>
    <w:rsid w:val="009951DC"/>
    <w:rsid w:val="009959BB"/>
    <w:rsid w:val="00997158"/>
    <w:rsid w:val="009A1366"/>
    <w:rsid w:val="009A3A7C"/>
    <w:rsid w:val="009A61C4"/>
    <w:rsid w:val="009B22CD"/>
    <w:rsid w:val="009B2ADB"/>
    <w:rsid w:val="009B603A"/>
    <w:rsid w:val="009B77F1"/>
    <w:rsid w:val="009C02E0"/>
    <w:rsid w:val="009C0591"/>
    <w:rsid w:val="009C20EE"/>
    <w:rsid w:val="009C2B9B"/>
    <w:rsid w:val="009C2D0E"/>
    <w:rsid w:val="009C3DAC"/>
    <w:rsid w:val="009C42E0"/>
    <w:rsid w:val="009C60C0"/>
    <w:rsid w:val="009D5362"/>
    <w:rsid w:val="009D60E7"/>
    <w:rsid w:val="009E1415"/>
    <w:rsid w:val="009E1BA8"/>
    <w:rsid w:val="009E6116"/>
    <w:rsid w:val="009E7A64"/>
    <w:rsid w:val="009F12F3"/>
    <w:rsid w:val="009F5759"/>
    <w:rsid w:val="00A0082A"/>
    <w:rsid w:val="00A02E43"/>
    <w:rsid w:val="00A065F9"/>
    <w:rsid w:val="00A07F34"/>
    <w:rsid w:val="00A1233E"/>
    <w:rsid w:val="00A16BB5"/>
    <w:rsid w:val="00A16F87"/>
    <w:rsid w:val="00A22154"/>
    <w:rsid w:val="00A2217C"/>
    <w:rsid w:val="00A25C38"/>
    <w:rsid w:val="00A340B0"/>
    <w:rsid w:val="00A36BBE"/>
    <w:rsid w:val="00A4035E"/>
    <w:rsid w:val="00A4307A"/>
    <w:rsid w:val="00A47EBB"/>
    <w:rsid w:val="00A50FA4"/>
    <w:rsid w:val="00A51CDD"/>
    <w:rsid w:val="00A617C7"/>
    <w:rsid w:val="00A63B21"/>
    <w:rsid w:val="00A6730D"/>
    <w:rsid w:val="00A708B1"/>
    <w:rsid w:val="00A71625"/>
    <w:rsid w:val="00A71B9B"/>
    <w:rsid w:val="00A71F67"/>
    <w:rsid w:val="00A74FE1"/>
    <w:rsid w:val="00A750BB"/>
    <w:rsid w:val="00A751C7"/>
    <w:rsid w:val="00A842AF"/>
    <w:rsid w:val="00A87844"/>
    <w:rsid w:val="00AA038C"/>
    <w:rsid w:val="00AA671C"/>
    <w:rsid w:val="00AA7A09"/>
    <w:rsid w:val="00AB0BE7"/>
    <w:rsid w:val="00AB18D2"/>
    <w:rsid w:val="00AB3B50"/>
    <w:rsid w:val="00AB3F91"/>
    <w:rsid w:val="00AC05B1"/>
    <w:rsid w:val="00AC3745"/>
    <w:rsid w:val="00AC3FCD"/>
    <w:rsid w:val="00AC698E"/>
    <w:rsid w:val="00AD356C"/>
    <w:rsid w:val="00AE2914"/>
    <w:rsid w:val="00AE6D15"/>
    <w:rsid w:val="00AF2E66"/>
    <w:rsid w:val="00AF6063"/>
    <w:rsid w:val="00AF74D4"/>
    <w:rsid w:val="00B0012A"/>
    <w:rsid w:val="00B04182"/>
    <w:rsid w:val="00B0757C"/>
    <w:rsid w:val="00B07AE3"/>
    <w:rsid w:val="00B11430"/>
    <w:rsid w:val="00B1311C"/>
    <w:rsid w:val="00B15BB3"/>
    <w:rsid w:val="00B1655E"/>
    <w:rsid w:val="00B20245"/>
    <w:rsid w:val="00B20598"/>
    <w:rsid w:val="00B215A3"/>
    <w:rsid w:val="00B22822"/>
    <w:rsid w:val="00B23682"/>
    <w:rsid w:val="00B257F2"/>
    <w:rsid w:val="00B25E90"/>
    <w:rsid w:val="00B302F4"/>
    <w:rsid w:val="00B353EB"/>
    <w:rsid w:val="00B439C4"/>
    <w:rsid w:val="00B43B7A"/>
    <w:rsid w:val="00B4535E"/>
    <w:rsid w:val="00B51AB7"/>
    <w:rsid w:val="00B524BD"/>
    <w:rsid w:val="00B52A8C"/>
    <w:rsid w:val="00B57BD0"/>
    <w:rsid w:val="00B636A8"/>
    <w:rsid w:val="00B6504B"/>
    <w:rsid w:val="00B665C6"/>
    <w:rsid w:val="00B66654"/>
    <w:rsid w:val="00B73CF7"/>
    <w:rsid w:val="00B76E3E"/>
    <w:rsid w:val="00B805AF"/>
    <w:rsid w:val="00B810BB"/>
    <w:rsid w:val="00B81BD1"/>
    <w:rsid w:val="00B83A31"/>
    <w:rsid w:val="00B83F78"/>
    <w:rsid w:val="00B86539"/>
    <w:rsid w:val="00B869EC"/>
    <w:rsid w:val="00B87E43"/>
    <w:rsid w:val="00B9397A"/>
    <w:rsid w:val="00B9633D"/>
    <w:rsid w:val="00B97082"/>
    <w:rsid w:val="00BA1AE4"/>
    <w:rsid w:val="00BA2BD7"/>
    <w:rsid w:val="00BA2EBE"/>
    <w:rsid w:val="00BA6367"/>
    <w:rsid w:val="00BB0F28"/>
    <w:rsid w:val="00BB458A"/>
    <w:rsid w:val="00BB4AE8"/>
    <w:rsid w:val="00BB7C08"/>
    <w:rsid w:val="00BC256F"/>
    <w:rsid w:val="00BD00D3"/>
    <w:rsid w:val="00BD094C"/>
    <w:rsid w:val="00BD144B"/>
    <w:rsid w:val="00BD1659"/>
    <w:rsid w:val="00BD3AA9"/>
    <w:rsid w:val="00BD4A18"/>
    <w:rsid w:val="00BD6DB2"/>
    <w:rsid w:val="00BD797C"/>
    <w:rsid w:val="00BE11CF"/>
    <w:rsid w:val="00BE21AB"/>
    <w:rsid w:val="00BE55CB"/>
    <w:rsid w:val="00BF0807"/>
    <w:rsid w:val="00BF1780"/>
    <w:rsid w:val="00BF203B"/>
    <w:rsid w:val="00BF4025"/>
    <w:rsid w:val="00BF617A"/>
    <w:rsid w:val="00C0379D"/>
    <w:rsid w:val="00C03821"/>
    <w:rsid w:val="00C03931"/>
    <w:rsid w:val="00C05FE3"/>
    <w:rsid w:val="00C07008"/>
    <w:rsid w:val="00C148AA"/>
    <w:rsid w:val="00C16158"/>
    <w:rsid w:val="00C16311"/>
    <w:rsid w:val="00C2136D"/>
    <w:rsid w:val="00C214EE"/>
    <w:rsid w:val="00C2314B"/>
    <w:rsid w:val="00C24971"/>
    <w:rsid w:val="00C26BE5"/>
    <w:rsid w:val="00C26E4D"/>
    <w:rsid w:val="00C27909"/>
    <w:rsid w:val="00C27B03"/>
    <w:rsid w:val="00C3054C"/>
    <w:rsid w:val="00C314E1"/>
    <w:rsid w:val="00C32A18"/>
    <w:rsid w:val="00C34397"/>
    <w:rsid w:val="00C37865"/>
    <w:rsid w:val="00C4095D"/>
    <w:rsid w:val="00C42064"/>
    <w:rsid w:val="00C42630"/>
    <w:rsid w:val="00C601D2"/>
    <w:rsid w:val="00C618AA"/>
    <w:rsid w:val="00C641CF"/>
    <w:rsid w:val="00C64E85"/>
    <w:rsid w:val="00C65BCC"/>
    <w:rsid w:val="00C66970"/>
    <w:rsid w:val="00C6744A"/>
    <w:rsid w:val="00C809B0"/>
    <w:rsid w:val="00C83FF2"/>
    <w:rsid w:val="00C8691C"/>
    <w:rsid w:val="00C86C0E"/>
    <w:rsid w:val="00C87858"/>
    <w:rsid w:val="00C879D8"/>
    <w:rsid w:val="00C933D9"/>
    <w:rsid w:val="00CA168A"/>
    <w:rsid w:val="00CA357E"/>
    <w:rsid w:val="00CA44F9"/>
    <w:rsid w:val="00CA4A69"/>
    <w:rsid w:val="00CB2815"/>
    <w:rsid w:val="00CC2180"/>
    <w:rsid w:val="00CC2F37"/>
    <w:rsid w:val="00CC3E0C"/>
    <w:rsid w:val="00CC4372"/>
    <w:rsid w:val="00CC51DC"/>
    <w:rsid w:val="00CC58D3"/>
    <w:rsid w:val="00CC784D"/>
    <w:rsid w:val="00CD09CC"/>
    <w:rsid w:val="00CD1AF8"/>
    <w:rsid w:val="00CD33D7"/>
    <w:rsid w:val="00CE2985"/>
    <w:rsid w:val="00CE7B33"/>
    <w:rsid w:val="00CF3443"/>
    <w:rsid w:val="00CF669C"/>
    <w:rsid w:val="00D0337B"/>
    <w:rsid w:val="00D0340C"/>
    <w:rsid w:val="00D039BA"/>
    <w:rsid w:val="00D0441D"/>
    <w:rsid w:val="00D079B2"/>
    <w:rsid w:val="00D114E9"/>
    <w:rsid w:val="00D123E7"/>
    <w:rsid w:val="00D1682E"/>
    <w:rsid w:val="00D20919"/>
    <w:rsid w:val="00D20CA3"/>
    <w:rsid w:val="00D25B84"/>
    <w:rsid w:val="00D26938"/>
    <w:rsid w:val="00D274FD"/>
    <w:rsid w:val="00D334B3"/>
    <w:rsid w:val="00D429C6"/>
    <w:rsid w:val="00D45551"/>
    <w:rsid w:val="00D47748"/>
    <w:rsid w:val="00D546FE"/>
    <w:rsid w:val="00D54CC3"/>
    <w:rsid w:val="00D56C52"/>
    <w:rsid w:val="00D60113"/>
    <w:rsid w:val="00D6041A"/>
    <w:rsid w:val="00D623F8"/>
    <w:rsid w:val="00D633EB"/>
    <w:rsid w:val="00D63581"/>
    <w:rsid w:val="00D64F1F"/>
    <w:rsid w:val="00D65076"/>
    <w:rsid w:val="00D73A9F"/>
    <w:rsid w:val="00D75D67"/>
    <w:rsid w:val="00D760DF"/>
    <w:rsid w:val="00D81361"/>
    <w:rsid w:val="00D82470"/>
    <w:rsid w:val="00D826B3"/>
    <w:rsid w:val="00D82FF7"/>
    <w:rsid w:val="00D83570"/>
    <w:rsid w:val="00D8382E"/>
    <w:rsid w:val="00D847FE"/>
    <w:rsid w:val="00D92046"/>
    <w:rsid w:val="00D95C4D"/>
    <w:rsid w:val="00D964EA"/>
    <w:rsid w:val="00D966D0"/>
    <w:rsid w:val="00DA0C59"/>
    <w:rsid w:val="00DA1F56"/>
    <w:rsid w:val="00DA3991"/>
    <w:rsid w:val="00DA6FB8"/>
    <w:rsid w:val="00DB0514"/>
    <w:rsid w:val="00DB11E3"/>
    <w:rsid w:val="00DB6AF5"/>
    <w:rsid w:val="00DB71B2"/>
    <w:rsid w:val="00DB7611"/>
    <w:rsid w:val="00DB7E6C"/>
    <w:rsid w:val="00DC1795"/>
    <w:rsid w:val="00DC6AD5"/>
    <w:rsid w:val="00DD5A29"/>
    <w:rsid w:val="00DD5D9D"/>
    <w:rsid w:val="00DE35CB"/>
    <w:rsid w:val="00DE66D8"/>
    <w:rsid w:val="00DF0620"/>
    <w:rsid w:val="00DF21E9"/>
    <w:rsid w:val="00DF319A"/>
    <w:rsid w:val="00DF3C11"/>
    <w:rsid w:val="00E00F14"/>
    <w:rsid w:val="00E06386"/>
    <w:rsid w:val="00E070DB"/>
    <w:rsid w:val="00E16E71"/>
    <w:rsid w:val="00E17DA2"/>
    <w:rsid w:val="00E24EB4"/>
    <w:rsid w:val="00E25043"/>
    <w:rsid w:val="00E2778C"/>
    <w:rsid w:val="00E320ED"/>
    <w:rsid w:val="00E3298A"/>
    <w:rsid w:val="00E33AFB"/>
    <w:rsid w:val="00E34218"/>
    <w:rsid w:val="00E34E5D"/>
    <w:rsid w:val="00E37BF8"/>
    <w:rsid w:val="00E448F6"/>
    <w:rsid w:val="00E45170"/>
    <w:rsid w:val="00E45E31"/>
    <w:rsid w:val="00E46282"/>
    <w:rsid w:val="00E5216E"/>
    <w:rsid w:val="00E55CBD"/>
    <w:rsid w:val="00E57099"/>
    <w:rsid w:val="00E752E0"/>
    <w:rsid w:val="00E77BF6"/>
    <w:rsid w:val="00E81841"/>
    <w:rsid w:val="00E81953"/>
    <w:rsid w:val="00E82344"/>
    <w:rsid w:val="00E84C82"/>
    <w:rsid w:val="00E84D64"/>
    <w:rsid w:val="00E87408"/>
    <w:rsid w:val="00E9052F"/>
    <w:rsid w:val="00E914C4"/>
    <w:rsid w:val="00E934F5"/>
    <w:rsid w:val="00E96961"/>
    <w:rsid w:val="00E96E7B"/>
    <w:rsid w:val="00EA1B3D"/>
    <w:rsid w:val="00EA72EC"/>
    <w:rsid w:val="00EB11CB"/>
    <w:rsid w:val="00EB1E8F"/>
    <w:rsid w:val="00EB275A"/>
    <w:rsid w:val="00EB4C12"/>
    <w:rsid w:val="00EB5704"/>
    <w:rsid w:val="00EB786A"/>
    <w:rsid w:val="00EC1342"/>
    <w:rsid w:val="00EC1578"/>
    <w:rsid w:val="00EC1C72"/>
    <w:rsid w:val="00EC3CC9"/>
    <w:rsid w:val="00EC5B04"/>
    <w:rsid w:val="00EC5BF3"/>
    <w:rsid w:val="00EC680A"/>
    <w:rsid w:val="00ED16DB"/>
    <w:rsid w:val="00ED2417"/>
    <w:rsid w:val="00ED743C"/>
    <w:rsid w:val="00EE2BED"/>
    <w:rsid w:val="00EE374B"/>
    <w:rsid w:val="00EE5DC3"/>
    <w:rsid w:val="00F003B6"/>
    <w:rsid w:val="00F0096C"/>
    <w:rsid w:val="00F06691"/>
    <w:rsid w:val="00F11BB5"/>
    <w:rsid w:val="00F1417B"/>
    <w:rsid w:val="00F16596"/>
    <w:rsid w:val="00F176FC"/>
    <w:rsid w:val="00F20C8A"/>
    <w:rsid w:val="00F22D20"/>
    <w:rsid w:val="00F23696"/>
    <w:rsid w:val="00F23698"/>
    <w:rsid w:val="00F24841"/>
    <w:rsid w:val="00F25F6A"/>
    <w:rsid w:val="00F260F5"/>
    <w:rsid w:val="00F27936"/>
    <w:rsid w:val="00F333C0"/>
    <w:rsid w:val="00F34B99"/>
    <w:rsid w:val="00F35113"/>
    <w:rsid w:val="00F52DAB"/>
    <w:rsid w:val="00F543F0"/>
    <w:rsid w:val="00F64FE8"/>
    <w:rsid w:val="00F67147"/>
    <w:rsid w:val="00F71110"/>
    <w:rsid w:val="00F731A8"/>
    <w:rsid w:val="00F80D88"/>
    <w:rsid w:val="00F81D29"/>
    <w:rsid w:val="00F83FC6"/>
    <w:rsid w:val="00F86102"/>
    <w:rsid w:val="00F876CD"/>
    <w:rsid w:val="00F87986"/>
    <w:rsid w:val="00F91C4D"/>
    <w:rsid w:val="00F92FD9"/>
    <w:rsid w:val="00F943B1"/>
    <w:rsid w:val="00F94929"/>
    <w:rsid w:val="00FA00BB"/>
    <w:rsid w:val="00FA3835"/>
    <w:rsid w:val="00FA4F98"/>
    <w:rsid w:val="00FA6684"/>
    <w:rsid w:val="00FA731E"/>
    <w:rsid w:val="00FB2B38"/>
    <w:rsid w:val="00FC6358"/>
    <w:rsid w:val="00FD320D"/>
    <w:rsid w:val="00FE02A8"/>
    <w:rsid w:val="00FE23DE"/>
    <w:rsid w:val="00FE4157"/>
    <w:rsid w:val="096E4702"/>
    <w:rsid w:val="19B958FA"/>
    <w:rsid w:val="1FF22B62"/>
    <w:rsid w:val="2668038A"/>
    <w:rsid w:val="388C44CD"/>
    <w:rsid w:val="39085FF6"/>
    <w:rsid w:val="3A233D1A"/>
    <w:rsid w:val="3FA37639"/>
    <w:rsid w:val="4ED571E4"/>
    <w:rsid w:val="5A706D97"/>
    <w:rsid w:val="64441A1B"/>
    <w:rsid w:val="64B13E6A"/>
    <w:rsid w:val="69461D42"/>
    <w:rsid w:val="6F607D06"/>
    <w:rsid w:val="75AC3742"/>
    <w:rsid w:val="7879683E"/>
    <w:rsid w:val="7C1601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33422A64-199C-4B19-B040-B49FBFCA9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qFormat="1"/>
    <w:lsdException w:name="annotation text" w:qFormat="1"/>
    <w:lsdException w:name="header" w:qFormat="1"/>
    <w:lsdException w:name="footer" w:qFormat="1"/>
    <w:lsdException w:name="index heading" w:qFormat="1"/>
    <w:lsdException w:name="caption" w:qFormat="1"/>
    <w:lsdException w:name="footnote reference" w:semiHidden="1" w:qFormat="1"/>
    <w:lsdException w:name="annotation reference" w:qFormat="1"/>
    <w:lsdException w:name="page number" w:qFormat="1"/>
    <w:lsdException w:name="endnote reference" w:semiHidden="1" w:qFormat="1"/>
    <w:lsdException w:name="endnote text" w:semiHidden="1" w:qFormat="1"/>
    <w:lsdException w:name="Title" w:qFormat="1"/>
    <w:lsdException w:name="Default Paragraph Font" w:semiHidden="1" w:uiPriority="1" w:unhideWhenUsed="1"/>
    <w:lsdException w:name="Subtitle" w:qFormat="1"/>
    <w:lsdException w:name="Hyperlink" w:uiPriority="99"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ff2">
    <w:name w:val="Normal"/>
    <w:qFormat/>
    <w:pPr>
      <w:widowControl w:val="0"/>
      <w:jc w:val="both"/>
    </w:pPr>
    <w:rPr>
      <w:kern w:val="2"/>
      <w:sz w:val="21"/>
      <w:szCs w:val="24"/>
    </w:rPr>
  </w:style>
  <w:style w:type="paragraph" w:styleId="1">
    <w:name w:val="heading 1"/>
    <w:basedOn w:val="aff2"/>
    <w:next w:val="aff2"/>
    <w:link w:val="10"/>
    <w:qFormat/>
    <w:pPr>
      <w:keepNext/>
      <w:keepLines/>
      <w:autoSpaceDN w:val="0"/>
      <w:adjustRightInd w:val="0"/>
      <w:snapToGrid w:val="0"/>
      <w:jc w:val="center"/>
      <w:outlineLvl w:val="0"/>
    </w:pPr>
    <w:rPr>
      <w:rFonts w:eastAsia="楷体_GB2312"/>
      <w:b/>
      <w:bCs/>
      <w:kern w:val="44"/>
      <w:sz w:val="36"/>
      <w:szCs w:val="36"/>
    </w:rPr>
  </w:style>
  <w:style w:type="paragraph" w:styleId="2">
    <w:name w:val="heading 2"/>
    <w:basedOn w:val="aff2"/>
    <w:next w:val="aff2"/>
    <w:link w:val="20"/>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ff2"/>
    <w:next w:val="aff2"/>
    <w:link w:val="30"/>
    <w:semiHidden/>
    <w:unhideWhenUsed/>
    <w:qFormat/>
    <w:pPr>
      <w:keepNext/>
      <w:keepLines/>
      <w:spacing w:before="260" w:after="260" w:line="416" w:lineRule="auto"/>
      <w:outlineLvl w:val="2"/>
    </w:pPr>
    <w:rPr>
      <w:b/>
      <w:bCs/>
      <w:sz w:val="32"/>
      <w:szCs w:val="32"/>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TOC7">
    <w:name w:val="toc 7"/>
    <w:basedOn w:val="aff2"/>
    <w:next w:val="aff2"/>
    <w:semiHidden/>
    <w:qFormat/>
    <w:pPr>
      <w:tabs>
        <w:tab w:val="right" w:leader="dot" w:pos="9241"/>
      </w:tabs>
      <w:ind w:firstLineChars="500" w:firstLine="505"/>
      <w:jc w:val="left"/>
    </w:pPr>
    <w:rPr>
      <w:rFonts w:ascii="宋体"/>
      <w:szCs w:val="21"/>
    </w:rPr>
  </w:style>
  <w:style w:type="paragraph" w:styleId="8">
    <w:name w:val="index 8"/>
    <w:basedOn w:val="aff2"/>
    <w:next w:val="aff2"/>
    <w:qFormat/>
    <w:pPr>
      <w:ind w:left="1680" w:hanging="210"/>
      <w:jc w:val="left"/>
    </w:pPr>
    <w:rPr>
      <w:rFonts w:ascii="Calibri" w:hAnsi="Calibri"/>
      <w:sz w:val="20"/>
      <w:szCs w:val="20"/>
    </w:rPr>
  </w:style>
  <w:style w:type="paragraph" w:styleId="aff6">
    <w:name w:val="Normal Indent"/>
    <w:basedOn w:val="aff2"/>
    <w:qFormat/>
    <w:pPr>
      <w:adjustRightInd w:val="0"/>
      <w:spacing w:line="420" w:lineRule="atLeast"/>
      <w:ind w:firstLine="420"/>
      <w:textAlignment w:val="baseline"/>
    </w:pPr>
    <w:rPr>
      <w:rFonts w:ascii="仿宋体" w:eastAsia="仿宋体"/>
      <w:kern w:val="0"/>
      <w:sz w:val="28"/>
      <w:szCs w:val="20"/>
    </w:rPr>
  </w:style>
  <w:style w:type="paragraph" w:styleId="aff7">
    <w:name w:val="caption"/>
    <w:basedOn w:val="aff2"/>
    <w:next w:val="aff2"/>
    <w:qFormat/>
    <w:pPr>
      <w:spacing w:before="152" w:after="160"/>
    </w:pPr>
    <w:rPr>
      <w:rFonts w:ascii="Arial" w:eastAsia="黑体" w:hAnsi="Arial" w:cs="Arial"/>
      <w:sz w:val="20"/>
      <w:szCs w:val="20"/>
    </w:rPr>
  </w:style>
  <w:style w:type="paragraph" w:styleId="5">
    <w:name w:val="index 5"/>
    <w:basedOn w:val="aff2"/>
    <w:next w:val="aff2"/>
    <w:qFormat/>
    <w:pPr>
      <w:ind w:left="1050" w:hanging="210"/>
      <w:jc w:val="left"/>
    </w:pPr>
    <w:rPr>
      <w:rFonts w:ascii="Calibri" w:hAnsi="Calibri"/>
      <w:sz w:val="20"/>
      <w:szCs w:val="20"/>
    </w:rPr>
  </w:style>
  <w:style w:type="paragraph" w:styleId="aff8">
    <w:name w:val="Document Map"/>
    <w:basedOn w:val="aff2"/>
    <w:semiHidden/>
    <w:qFormat/>
    <w:pPr>
      <w:shd w:val="clear" w:color="auto" w:fill="000080"/>
    </w:pPr>
  </w:style>
  <w:style w:type="paragraph" w:styleId="aff9">
    <w:name w:val="annotation text"/>
    <w:basedOn w:val="aff2"/>
    <w:link w:val="affa"/>
    <w:qFormat/>
    <w:pPr>
      <w:jc w:val="left"/>
    </w:pPr>
  </w:style>
  <w:style w:type="paragraph" w:styleId="6">
    <w:name w:val="index 6"/>
    <w:basedOn w:val="aff2"/>
    <w:next w:val="aff2"/>
    <w:qFormat/>
    <w:pPr>
      <w:ind w:left="1260" w:hanging="210"/>
      <w:jc w:val="left"/>
    </w:pPr>
    <w:rPr>
      <w:rFonts w:ascii="Calibri" w:hAnsi="Calibri"/>
      <w:sz w:val="20"/>
      <w:szCs w:val="20"/>
    </w:rPr>
  </w:style>
  <w:style w:type="paragraph" w:styleId="4">
    <w:name w:val="index 4"/>
    <w:basedOn w:val="aff2"/>
    <w:next w:val="aff2"/>
    <w:qFormat/>
    <w:pPr>
      <w:ind w:left="840" w:hanging="210"/>
      <w:jc w:val="left"/>
    </w:pPr>
    <w:rPr>
      <w:rFonts w:ascii="Calibri" w:hAnsi="Calibri"/>
      <w:sz w:val="20"/>
      <w:szCs w:val="20"/>
    </w:rPr>
  </w:style>
  <w:style w:type="paragraph" w:styleId="TOC5">
    <w:name w:val="toc 5"/>
    <w:basedOn w:val="aff2"/>
    <w:next w:val="aff2"/>
    <w:semiHidden/>
    <w:qFormat/>
    <w:pPr>
      <w:tabs>
        <w:tab w:val="right" w:leader="dot" w:pos="9241"/>
      </w:tabs>
      <w:ind w:firstLineChars="300" w:firstLine="300"/>
      <w:jc w:val="left"/>
    </w:pPr>
    <w:rPr>
      <w:rFonts w:ascii="宋体"/>
      <w:szCs w:val="21"/>
    </w:rPr>
  </w:style>
  <w:style w:type="paragraph" w:styleId="TOC3">
    <w:name w:val="toc 3"/>
    <w:basedOn w:val="aff2"/>
    <w:next w:val="aff2"/>
    <w:uiPriority w:val="39"/>
    <w:qFormat/>
    <w:pPr>
      <w:tabs>
        <w:tab w:val="right" w:leader="dot" w:pos="9241"/>
      </w:tabs>
      <w:ind w:firstLineChars="100" w:firstLine="102"/>
      <w:jc w:val="left"/>
    </w:pPr>
    <w:rPr>
      <w:rFonts w:ascii="宋体"/>
      <w:szCs w:val="21"/>
    </w:rPr>
  </w:style>
  <w:style w:type="paragraph" w:styleId="TOC8">
    <w:name w:val="toc 8"/>
    <w:basedOn w:val="aff2"/>
    <w:next w:val="aff2"/>
    <w:semiHidden/>
    <w:qFormat/>
    <w:pPr>
      <w:tabs>
        <w:tab w:val="right" w:leader="dot" w:pos="9241"/>
      </w:tabs>
      <w:ind w:firstLineChars="600" w:firstLine="607"/>
      <w:jc w:val="left"/>
    </w:pPr>
    <w:rPr>
      <w:rFonts w:ascii="宋体"/>
      <w:szCs w:val="21"/>
    </w:rPr>
  </w:style>
  <w:style w:type="paragraph" w:styleId="31">
    <w:name w:val="index 3"/>
    <w:basedOn w:val="aff2"/>
    <w:next w:val="aff2"/>
    <w:qFormat/>
    <w:pPr>
      <w:ind w:left="630" w:hanging="210"/>
      <w:jc w:val="left"/>
    </w:pPr>
    <w:rPr>
      <w:rFonts w:ascii="Calibri" w:hAnsi="Calibri"/>
      <w:sz w:val="20"/>
      <w:szCs w:val="20"/>
    </w:rPr>
  </w:style>
  <w:style w:type="paragraph" w:styleId="affb">
    <w:name w:val="endnote text"/>
    <w:basedOn w:val="aff2"/>
    <w:semiHidden/>
    <w:qFormat/>
    <w:pPr>
      <w:snapToGrid w:val="0"/>
      <w:jc w:val="left"/>
    </w:pPr>
  </w:style>
  <w:style w:type="paragraph" w:styleId="affc">
    <w:name w:val="Balloon Text"/>
    <w:basedOn w:val="aff2"/>
    <w:link w:val="affd"/>
    <w:semiHidden/>
    <w:unhideWhenUsed/>
    <w:qFormat/>
    <w:rPr>
      <w:rFonts w:ascii="宋体"/>
      <w:sz w:val="18"/>
      <w:szCs w:val="18"/>
    </w:rPr>
  </w:style>
  <w:style w:type="paragraph" w:styleId="affe">
    <w:name w:val="footer"/>
    <w:basedOn w:val="aff2"/>
    <w:qFormat/>
    <w:pPr>
      <w:snapToGrid w:val="0"/>
      <w:ind w:rightChars="100" w:right="210"/>
      <w:jc w:val="right"/>
    </w:pPr>
    <w:rPr>
      <w:sz w:val="18"/>
      <w:szCs w:val="18"/>
    </w:rPr>
  </w:style>
  <w:style w:type="paragraph" w:styleId="afff">
    <w:name w:val="header"/>
    <w:basedOn w:val="aff2"/>
    <w:qFormat/>
    <w:pPr>
      <w:snapToGrid w:val="0"/>
      <w:jc w:val="left"/>
    </w:pPr>
    <w:rPr>
      <w:sz w:val="18"/>
      <w:szCs w:val="18"/>
    </w:rPr>
  </w:style>
  <w:style w:type="paragraph" w:styleId="TOC1">
    <w:name w:val="toc 1"/>
    <w:basedOn w:val="aff2"/>
    <w:next w:val="aff2"/>
    <w:uiPriority w:val="39"/>
    <w:qFormat/>
    <w:pPr>
      <w:tabs>
        <w:tab w:val="right" w:leader="dot" w:pos="9241"/>
      </w:tabs>
      <w:spacing w:beforeLines="25" w:before="25" w:afterLines="25" w:after="25"/>
      <w:jc w:val="left"/>
    </w:pPr>
    <w:rPr>
      <w:rFonts w:ascii="宋体"/>
      <w:szCs w:val="21"/>
    </w:rPr>
  </w:style>
  <w:style w:type="paragraph" w:styleId="TOC4">
    <w:name w:val="toc 4"/>
    <w:basedOn w:val="aff2"/>
    <w:next w:val="aff2"/>
    <w:semiHidden/>
    <w:qFormat/>
    <w:pPr>
      <w:tabs>
        <w:tab w:val="right" w:leader="dot" w:pos="9241"/>
      </w:tabs>
      <w:ind w:firstLineChars="200" w:firstLine="198"/>
      <w:jc w:val="left"/>
    </w:pPr>
    <w:rPr>
      <w:rFonts w:ascii="宋体"/>
      <w:szCs w:val="21"/>
    </w:rPr>
  </w:style>
  <w:style w:type="paragraph" w:styleId="afff0">
    <w:name w:val="index heading"/>
    <w:basedOn w:val="aff2"/>
    <w:next w:val="11"/>
    <w:qFormat/>
    <w:pPr>
      <w:spacing w:before="120" w:after="120"/>
      <w:jc w:val="center"/>
    </w:pPr>
    <w:rPr>
      <w:rFonts w:ascii="Calibri" w:hAnsi="Calibri"/>
      <w:b/>
      <w:bCs/>
      <w:iCs/>
      <w:szCs w:val="20"/>
    </w:rPr>
  </w:style>
  <w:style w:type="paragraph" w:styleId="11">
    <w:name w:val="index 1"/>
    <w:basedOn w:val="aff2"/>
    <w:next w:val="afff1"/>
    <w:qFormat/>
    <w:pPr>
      <w:tabs>
        <w:tab w:val="right" w:leader="dot" w:pos="9299"/>
      </w:tabs>
      <w:jc w:val="left"/>
    </w:pPr>
    <w:rPr>
      <w:rFonts w:ascii="宋体"/>
      <w:szCs w:val="21"/>
    </w:rPr>
  </w:style>
  <w:style w:type="paragraph" w:customStyle="1" w:styleId="afff1">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2"/>
    <w:qFormat/>
    <w:pPr>
      <w:numPr>
        <w:numId w:val="1"/>
      </w:numPr>
      <w:snapToGrid w:val="0"/>
      <w:jc w:val="left"/>
    </w:pPr>
    <w:rPr>
      <w:rFonts w:ascii="宋体"/>
      <w:sz w:val="18"/>
      <w:szCs w:val="18"/>
    </w:rPr>
  </w:style>
  <w:style w:type="paragraph" w:styleId="TOC6">
    <w:name w:val="toc 6"/>
    <w:basedOn w:val="aff2"/>
    <w:next w:val="aff2"/>
    <w:semiHidden/>
    <w:qFormat/>
    <w:pPr>
      <w:tabs>
        <w:tab w:val="right" w:leader="dot" w:pos="9241"/>
      </w:tabs>
      <w:ind w:firstLineChars="400" w:firstLine="403"/>
      <w:jc w:val="left"/>
    </w:pPr>
    <w:rPr>
      <w:rFonts w:ascii="宋体"/>
      <w:szCs w:val="21"/>
    </w:rPr>
  </w:style>
  <w:style w:type="paragraph" w:styleId="7">
    <w:name w:val="index 7"/>
    <w:basedOn w:val="aff2"/>
    <w:next w:val="aff2"/>
    <w:qFormat/>
    <w:pPr>
      <w:ind w:left="1470" w:hanging="210"/>
      <w:jc w:val="left"/>
    </w:pPr>
    <w:rPr>
      <w:rFonts w:ascii="Calibri" w:hAnsi="Calibri"/>
      <w:sz w:val="20"/>
      <w:szCs w:val="20"/>
    </w:rPr>
  </w:style>
  <w:style w:type="paragraph" w:styleId="9">
    <w:name w:val="index 9"/>
    <w:basedOn w:val="aff2"/>
    <w:next w:val="aff2"/>
    <w:qFormat/>
    <w:pPr>
      <w:ind w:left="1890" w:hanging="210"/>
      <w:jc w:val="left"/>
    </w:pPr>
    <w:rPr>
      <w:rFonts w:ascii="Calibri" w:hAnsi="Calibri"/>
      <w:sz w:val="20"/>
      <w:szCs w:val="20"/>
    </w:rPr>
  </w:style>
  <w:style w:type="paragraph" w:styleId="TOC2">
    <w:name w:val="toc 2"/>
    <w:basedOn w:val="aff2"/>
    <w:next w:val="aff2"/>
    <w:uiPriority w:val="39"/>
    <w:qFormat/>
    <w:pPr>
      <w:tabs>
        <w:tab w:val="right" w:leader="dot" w:pos="9241"/>
      </w:tabs>
    </w:pPr>
    <w:rPr>
      <w:rFonts w:ascii="宋体"/>
      <w:szCs w:val="21"/>
    </w:rPr>
  </w:style>
  <w:style w:type="paragraph" w:styleId="TOC9">
    <w:name w:val="toc 9"/>
    <w:basedOn w:val="aff2"/>
    <w:next w:val="aff2"/>
    <w:semiHidden/>
    <w:qFormat/>
    <w:pPr>
      <w:ind w:left="1470"/>
      <w:jc w:val="left"/>
    </w:pPr>
    <w:rPr>
      <w:sz w:val="20"/>
      <w:szCs w:val="20"/>
    </w:rPr>
  </w:style>
  <w:style w:type="paragraph" w:styleId="21">
    <w:name w:val="index 2"/>
    <w:basedOn w:val="aff2"/>
    <w:next w:val="aff2"/>
    <w:qFormat/>
    <w:pPr>
      <w:ind w:left="420" w:hanging="210"/>
      <w:jc w:val="left"/>
    </w:pPr>
    <w:rPr>
      <w:rFonts w:ascii="Calibri" w:hAnsi="Calibri"/>
      <w:sz w:val="20"/>
      <w:szCs w:val="20"/>
    </w:rPr>
  </w:style>
  <w:style w:type="paragraph" w:styleId="afff2">
    <w:name w:val="annotation subject"/>
    <w:basedOn w:val="aff9"/>
    <w:next w:val="aff9"/>
    <w:link w:val="afff3"/>
    <w:semiHidden/>
    <w:unhideWhenUsed/>
    <w:qFormat/>
    <w:pPr>
      <w:jc w:val="both"/>
    </w:pPr>
    <w:rPr>
      <w:b/>
      <w:bCs/>
      <w:sz w:val="20"/>
      <w:szCs w:val="20"/>
    </w:rPr>
  </w:style>
  <w:style w:type="table" w:styleId="afff4">
    <w:name w:val="Table Grid"/>
    <w:basedOn w:val="aff4"/>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5">
    <w:name w:val="endnote reference"/>
    <w:basedOn w:val="aff3"/>
    <w:semiHidden/>
    <w:qFormat/>
    <w:rPr>
      <w:vertAlign w:val="superscript"/>
    </w:rPr>
  </w:style>
  <w:style w:type="character" w:styleId="afff6">
    <w:name w:val="page number"/>
    <w:basedOn w:val="aff3"/>
    <w:qFormat/>
    <w:rPr>
      <w:rFonts w:ascii="Times New Roman" w:eastAsia="宋体" w:hAnsi="Times New Roman"/>
      <w:sz w:val="18"/>
    </w:rPr>
  </w:style>
  <w:style w:type="character" w:styleId="afff7">
    <w:name w:val="Hyperlink"/>
    <w:basedOn w:val="aff3"/>
    <w:uiPriority w:val="99"/>
    <w:qFormat/>
    <w:rPr>
      <w:color w:val="0000FF"/>
      <w:spacing w:val="0"/>
      <w:w w:val="100"/>
      <w:szCs w:val="21"/>
      <w:u w:val="single"/>
    </w:rPr>
  </w:style>
  <w:style w:type="character" w:styleId="afff8">
    <w:name w:val="annotation reference"/>
    <w:basedOn w:val="aff3"/>
    <w:qFormat/>
    <w:rPr>
      <w:sz w:val="21"/>
      <w:szCs w:val="21"/>
    </w:rPr>
  </w:style>
  <w:style w:type="character" w:styleId="afff9">
    <w:name w:val="footnote reference"/>
    <w:basedOn w:val="aff3"/>
    <w:semiHidden/>
    <w:qFormat/>
    <w:rPr>
      <w:vertAlign w:val="superscript"/>
    </w:rPr>
  </w:style>
  <w:style w:type="character" w:customStyle="1" w:styleId="Char">
    <w:name w:val="段 Char"/>
    <w:basedOn w:val="aff3"/>
    <w:link w:val="afff1"/>
    <w:qFormat/>
    <w:rPr>
      <w:rFonts w:ascii="宋体"/>
      <w:sz w:val="21"/>
      <w:lang w:val="en-US" w:eastAsia="zh-CN" w:bidi="ar-SA"/>
    </w:rPr>
  </w:style>
  <w:style w:type="paragraph" w:customStyle="1" w:styleId="a5">
    <w:name w:val="一级条标题"/>
    <w:next w:val="afff1"/>
    <w:qFormat/>
    <w:pPr>
      <w:numPr>
        <w:ilvl w:val="1"/>
        <w:numId w:val="2"/>
      </w:numPr>
      <w:spacing w:beforeLines="50" w:before="156" w:afterLines="50" w:after="156"/>
      <w:outlineLvl w:val="2"/>
    </w:pPr>
    <w:rPr>
      <w:rFonts w:ascii="黑体" w:eastAsia="黑体"/>
      <w:sz w:val="21"/>
      <w:szCs w:val="21"/>
    </w:rPr>
  </w:style>
  <w:style w:type="paragraph" w:customStyle="1" w:styleId="afffa">
    <w:name w:val="标准书脚_奇数页"/>
    <w:qFormat/>
    <w:pPr>
      <w:spacing w:before="120"/>
      <w:ind w:right="198"/>
      <w:jc w:val="right"/>
    </w:pPr>
    <w:rPr>
      <w:rFonts w:ascii="宋体"/>
      <w:sz w:val="18"/>
      <w:szCs w:val="18"/>
    </w:rPr>
  </w:style>
  <w:style w:type="paragraph" w:customStyle="1" w:styleId="afffb">
    <w:name w:val="标准书眉_奇数页"/>
    <w:next w:val="aff2"/>
    <w:qFormat/>
    <w:pPr>
      <w:tabs>
        <w:tab w:val="center" w:pos="4154"/>
        <w:tab w:val="right" w:pos="8306"/>
      </w:tabs>
      <w:spacing w:after="220"/>
      <w:jc w:val="right"/>
    </w:pPr>
    <w:rPr>
      <w:rFonts w:ascii="黑体" w:eastAsia="黑体"/>
      <w:sz w:val="21"/>
      <w:szCs w:val="21"/>
    </w:rPr>
  </w:style>
  <w:style w:type="paragraph" w:customStyle="1" w:styleId="a4">
    <w:name w:val="章标题"/>
    <w:next w:val="afff1"/>
    <w:qFormat/>
    <w:pPr>
      <w:numPr>
        <w:numId w:val="2"/>
      </w:numPr>
      <w:spacing w:beforeLines="100" w:before="312" w:afterLines="100" w:after="312"/>
      <w:jc w:val="both"/>
      <w:outlineLvl w:val="1"/>
    </w:pPr>
    <w:rPr>
      <w:rFonts w:ascii="黑体" w:eastAsia="黑体"/>
      <w:sz w:val="21"/>
    </w:rPr>
  </w:style>
  <w:style w:type="paragraph" w:customStyle="1" w:styleId="a6">
    <w:name w:val="二级条标题"/>
    <w:basedOn w:val="a5"/>
    <w:next w:val="afff1"/>
    <w:qFormat/>
    <w:pPr>
      <w:numPr>
        <w:ilvl w:val="2"/>
      </w:numPr>
      <w:spacing w:before="50" w:after="50"/>
      <w:outlineLvl w:val="3"/>
    </w:pPr>
  </w:style>
  <w:style w:type="paragraph" w:customStyle="1" w:styleId="22">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qFormat/>
    <w:pPr>
      <w:widowControl w:val="0"/>
      <w:numPr>
        <w:numId w:val="3"/>
      </w:numPr>
      <w:jc w:val="both"/>
    </w:pPr>
    <w:rPr>
      <w:rFonts w:ascii="宋体"/>
      <w:sz w:val="21"/>
    </w:rPr>
  </w:style>
  <w:style w:type="paragraph" w:customStyle="1" w:styleId="ad">
    <w:name w:val="列项●（二级）"/>
    <w:qFormat/>
    <w:pPr>
      <w:numPr>
        <w:ilvl w:val="1"/>
        <w:numId w:val="3"/>
      </w:numPr>
      <w:tabs>
        <w:tab w:val="left" w:pos="840"/>
      </w:tabs>
      <w:jc w:val="both"/>
    </w:pPr>
    <w:rPr>
      <w:rFonts w:ascii="宋体"/>
      <w:sz w:val="21"/>
    </w:rPr>
  </w:style>
  <w:style w:type="paragraph" w:customStyle="1" w:styleId="afffc">
    <w:name w:val="目次、标准名称标题"/>
    <w:basedOn w:val="aff2"/>
    <w:next w:val="afff1"/>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f1"/>
    <w:qFormat/>
    <w:pPr>
      <w:numPr>
        <w:ilvl w:val="3"/>
      </w:numPr>
      <w:outlineLvl w:val="4"/>
    </w:pPr>
  </w:style>
  <w:style w:type="paragraph" w:customStyle="1" w:styleId="a1">
    <w:name w:val="示例"/>
    <w:next w:val="afffd"/>
    <w:qFormat/>
    <w:pPr>
      <w:widowControl w:val="0"/>
      <w:numPr>
        <w:numId w:val="4"/>
      </w:numPr>
      <w:jc w:val="both"/>
    </w:pPr>
    <w:rPr>
      <w:rFonts w:ascii="宋体"/>
      <w:sz w:val="18"/>
      <w:szCs w:val="18"/>
    </w:rPr>
  </w:style>
  <w:style w:type="paragraph" w:customStyle="1" w:styleId="afffd">
    <w:name w:val="示例内容"/>
    <w:qFormat/>
    <w:pPr>
      <w:ind w:firstLineChars="200" w:firstLine="200"/>
    </w:pPr>
    <w:rPr>
      <w:rFonts w:ascii="宋体"/>
      <w:sz w:val="18"/>
      <w:szCs w:val="18"/>
    </w:rPr>
  </w:style>
  <w:style w:type="paragraph" w:customStyle="1" w:styleId="af1">
    <w:name w:val="数字编号列项（二级）"/>
    <w:qFormat/>
    <w:pPr>
      <w:numPr>
        <w:ilvl w:val="1"/>
        <w:numId w:val="5"/>
      </w:numPr>
      <w:jc w:val="both"/>
    </w:pPr>
    <w:rPr>
      <w:rFonts w:ascii="宋体"/>
      <w:sz w:val="21"/>
    </w:rPr>
  </w:style>
  <w:style w:type="paragraph" w:customStyle="1" w:styleId="a8">
    <w:name w:val="四级条标题"/>
    <w:basedOn w:val="a7"/>
    <w:next w:val="afff1"/>
    <w:qFormat/>
    <w:pPr>
      <w:numPr>
        <w:ilvl w:val="4"/>
      </w:numPr>
      <w:outlineLvl w:val="5"/>
    </w:pPr>
  </w:style>
  <w:style w:type="paragraph" w:customStyle="1" w:styleId="a9">
    <w:name w:val="五级条标题"/>
    <w:basedOn w:val="a8"/>
    <w:next w:val="afff1"/>
    <w:qFormat/>
    <w:pPr>
      <w:numPr>
        <w:ilvl w:val="5"/>
      </w:numPr>
      <w:outlineLvl w:val="6"/>
    </w:pPr>
  </w:style>
  <w:style w:type="paragraph" w:customStyle="1" w:styleId="aff1">
    <w:name w:val="注："/>
    <w:next w:val="afff1"/>
    <w:qFormat/>
    <w:pPr>
      <w:widowControl w:val="0"/>
      <w:numPr>
        <w:numId w:val="6"/>
      </w:numPr>
      <w:autoSpaceDE w:val="0"/>
      <w:autoSpaceDN w:val="0"/>
      <w:jc w:val="both"/>
    </w:pPr>
    <w:rPr>
      <w:rFonts w:ascii="宋体"/>
      <w:sz w:val="18"/>
      <w:szCs w:val="18"/>
    </w:rPr>
  </w:style>
  <w:style w:type="paragraph" w:customStyle="1" w:styleId="a">
    <w:name w:val="注×："/>
    <w:qFormat/>
    <w:pPr>
      <w:widowControl w:val="0"/>
      <w:numPr>
        <w:numId w:val="7"/>
      </w:numPr>
      <w:autoSpaceDE w:val="0"/>
      <w:autoSpaceDN w:val="0"/>
      <w:jc w:val="both"/>
    </w:pPr>
    <w:rPr>
      <w:rFonts w:ascii="宋体"/>
      <w:sz w:val="18"/>
      <w:szCs w:val="18"/>
    </w:rPr>
  </w:style>
  <w:style w:type="paragraph" w:customStyle="1" w:styleId="af0">
    <w:name w:val="字母编号列项（一级）"/>
    <w:qFormat/>
    <w:pPr>
      <w:numPr>
        <w:numId w:val="5"/>
      </w:numPr>
      <w:jc w:val="both"/>
    </w:pPr>
    <w:rPr>
      <w:rFonts w:ascii="宋体"/>
      <w:sz w:val="21"/>
    </w:rPr>
  </w:style>
  <w:style w:type="paragraph" w:customStyle="1" w:styleId="ae">
    <w:name w:val="列项◆（三级）"/>
    <w:basedOn w:val="aff2"/>
    <w:qFormat/>
    <w:pPr>
      <w:numPr>
        <w:ilvl w:val="2"/>
        <w:numId w:val="3"/>
      </w:numPr>
    </w:pPr>
    <w:rPr>
      <w:rFonts w:ascii="宋体"/>
      <w:szCs w:val="21"/>
    </w:rPr>
  </w:style>
  <w:style w:type="paragraph" w:customStyle="1" w:styleId="af2">
    <w:name w:val="编号列项（三级）"/>
    <w:qFormat/>
    <w:pPr>
      <w:numPr>
        <w:ilvl w:val="2"/>
        <w:numId w:val="5"/>
      </w:numPr>
    </w:pPr>
    <w:rPr>
      <w:rFonts w:ascii="宋体"/>
      <w:sz w:val="21"/>
    </w:rPr>
  </w:style>
  <w:style w:type="paragraph" w:customStyle="1" w:styleId="af3">
    <w:name w:val="示例×："/>
    <w:basedOn w:val="a4"/>
    <w:qFormat/>
    <w:pPr>
      <w:numPr>
        <w:numId w:val="8"/>
      </w:numPr>
      <w:spacing w:beforeLines="0" w:before="0" w:afterLines="0" w:after="0"/>
      <w:outlineLvl w:val="9"/>
    </w:pPr>
    <w:rPr>
      <w:rFonts w:ascii="宋体" w:eastAsia="宋体"/>
      <w:sz w:val="18"/>
      <w:szCs w:val="18"/>
    </w:rPr>
  </w:style>
  <w:style w:type="paragraph" w:customStyle="1" w:styleId="afffe">
    <w:name w:val="二级无"/>
    <w:basedOn w:val="a6"/>
    <w:qFormat/>
    <w:pPr>
      <w:spacing w:beforeLines="0" w:before="0" w:afterLines="0" w:after="0"/>
    </w:pPr>
    <w:rPr>
      <w:rFonts w:ascii="宋体" w:eastAsia="宋体"/>
    </w:rPr>
  </w:style>
  <w:style w:type="paragraph" w:customStyle="1" w:styleId="affff">
    <w:name w:val="注：（正文）"/>
    <w:basedOn w:val="aff1"/>
    <w:next w:val="afff1"/>
    <w:qFormat/>
  </w:style>
  <w:style w:type="paragraph" w:customStyle="1" w:styleId="a3">
    <w:name w:val="注×：（正文）"/>
    <w:qFormat/>
    <w:pPr>
      <w:numPr>
        <w:numId w:val="9"/>
      </w:numPr>
      <w:jc w:val="both"/>
    </w:pPr>
    <w:rPr>
      <w:rFonts w:ascii="宋体"/>
      <w:sz w:val="18"/>
      <w:szCs w:val="18"/>
    </w:rPr>
  </w:style>
  <w:style w:type="paragraph" w:customStyle="1" w:styleId="affff0">
    <w:name w:val="标准标志"/>
    <w:next w:val="aff2"/>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1">
    <w:name w:val="标准称谓"/>
    <w:next w:val="aff2"/>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2">
    <w:name w:val="标准书脚_偶数页"/>
    <w:qFormat/>
    <w:pPr>
      <w:spacing w:before="120"/>
      <w:ind w:left="221"/>
    </w:pPr>
    <w:rPr>
      <w:rFonts w:ascii="宋体"/>
      <w:sz w:val="18"/>
      <w:szCs w:val="18"/>
    </w:rPr>
  </w:style>
  <w:style w:type="paragraph" w:customStyle="1" w:styleId="affff3">
    <w:name w:val="标准书眉_偶数页"/>
    <w:basedOn w:val="afffb"/>
    <w:next w:val="aff2"/>
    <w:qFormat/>
    <w:pPr>
      <w:jc w:val="left"/>
    </w:pPr>
  </w:style>
  <w:style w:type="paragraph" w:customStyle="1" w:styleId="affff4">
    <w:name w:val="标准书眉一"/>
    <w:qFormat/>
    <w:pPr>
      <w:jc w:val="both"/>
    </w:pPr>
  </w:style>
  <w:style w:type="paragraph" w:customStyle="1" w:styleId="affff5">
    <w:name w:val="参考文献"/>
    <w:basedOn w:val="aff2"/>
    <w:next w:val="afff1"/>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6">
    <w:name w:val="参考文献、索引标题"/>
    <w:basedOn w:val="aff2"/>
    <w:next w:val="afff1"/>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7">
    <w:name w:val="发布"/>
    <w:basedOn w:val="aff3"/>
    <w:qFormat/>
    <w:rPr>
      <w:rFonts w:ascii="黑体" w:eastAsia="黑体"/>
      <w:spacing w:val="85"/>
      <w:w w:val="100"/>
      <w:position w:val="3"/>
      <w:sz w:val="28"/>
      <w:szCs w:val="28"/>
    </w:rPr>
  </w:style>
  <w:style w:type="paragraph" w:customStyle="1" w:styleId="affff8">
    <w:name w:val="发布部门"/>
    <w:next w:val="afff1"/>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9">
    <w:name w:val="发布日期"/>
    <w:qFormat/>
    <w:pPr>
      <w:framePr w:w="3997" w:h="471" w:hRule="exact" w:vSpace="181" w:wrap="around" w:hAnchor="page" w:x="7089" w:y="14097" w:anchorLock="1"/>
    </w:pPr>
    <w:rPr>
      <w:rFonts w:eastAsia="黑体"/>
      <w:sz w:val="28"/>
    </w:rPr>
  </w:style>
  <w:style w:type="paragraph" w:customStyle="1" w:styleId="affffa">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qFormat/>
    <w:pPr>
      <w:widowControl w:val="0"/>
      <w:kinsoku w:val="0"/>
      <w:overflowPunct w:val="0"/>
      <w:autoSpaceDE w:val="0"/>
      <w:autoSpaceDN w:val="0"/>
      <w:spacing w:before="308"/>
      <w:jc w:val="right"/>
      <w:textAlignment w:val="center"/>
    </w:pPr>
    <w:rPr>
      <w:sz w:val="28"/>
    </w:rPr>
  </w:style>
  <w:style w:type="paragraph" w:customStyle="1" w:styleId="affffb">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c">
    <w:name w:val="封面标准英文名称"/>
    <w:basedOn w:val="affffb"/>
    <w:qFormat/>
    <w:pPr>
      <w:framePr w:wrap="around"/>
      <w:spacing w:before="370" w:line="400" w:lineRule="exact"/>
    </w:pPr>
    <w:rPr>
      <w:rFonts w:ascii="Times New Roman"/>
      <w:sz w:val="28"/>
      <w:szCs w:val="28"/>
    </w:rPr>
  </w:style>
  <w:style w:type="paragraph" w:customStyle="1" w:styleId="affffd">
    <w:name w:val="封面一致性程度标识"/>
    <w:basedOn w:val="affffc"/>
    <w:qFormat/>
    <w:pPr>
      <w:framePr w:wrap="around"/>
      <w:spacing w:before="440"/>
    </w:pPr>
    <w:rPr>
      <w:rFonts w:ascii="宋体" w:eastAsia="宋体"/>
    </w:rPr>
  </w:style>
  <w:style w:type="paragraph" w:customStyle="1" w:styleId="affffe">
    <w:name w:val="封面标准文稿类别"/>
    <w:basedOn w:val="affffd"/>
    <w:qFormat/>
    <w:pPr>
      <w:framePr w:wrap="around"/>
      <w:spacing w:after="160" w:line="240" w:lineRule="auto"/>
    </w:pPr>
    <w:rPr>
      <w:sz w:val="24"/>
    </w:rPr>
  </w:style>
  <w:style w:type="paragraph" w:customStyle="1" w:styleId="afffff">
    <w:name w:val="封面标准文稿编辑信息"/>
    <w:basedOn w:val="affffe"/>
    <w:qFormat/>
    <w:pPr>
      <w:framePr w:wrap="around"/>
      <w:spacing w:before="180" w:line="180" w:lineRule="exact"/>
    </w:pPr>
    <w:rPr>
      <w:sz w:val="21"/>
    </w:rPr>
  </w:style>
  <w:style w:type="paragraph" w:customStyle="1" w:styleId="afffff0">
    <w:name w:val="封面正文"/>
    <w:qFormat/>
    <w:pPr>
      <w:jc w:val="both"/>
    </w:pPr>
  </w:style>
  <w:style w:type="paragraph" w:customStyle="1" w:styleId="af8">
    <w:name w:val="附录标识"/>
    <w:basedOn w:val="aff2"/>
    <w:next w:val="afff1"/>
    <w:qFormat/>
    <w:pPr>
      <w:keepNext/>
      <w:widowControl/>
      <w:numPr>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1">
    <w:name w:val="附录标题"/>
    <w:basedOn w:val="afff1"/>
    <w:next w:val="afff1"/>
    <w:qFormat/>
    <w:pPr>
      <w:ind w:firstLineChars="0" w:firstLine="0"/>
      <w:jc w:val="center"/>
    </w:pPr>
    <w:rPr>
      <w:rFonts w:ascii="黑体" w:eastAsia="黑体"/>
    </w:rPr>
  </w:style>
  <w:style w:type="paragraph" w:customStyle="1" w:styleId="af5">
    <w:name w:val="附录表标号"/>
    <w:basedOn w:val="aff2"/>
    <w:next w:val="afff1"/>
    <w:qFormat/>
    <w:pPr>
      <w:numPr>
        <w:numId w:val="11"/>
      </w:numPr>
      <w:tabs>
        <w:tab w:val="clear" w:pos="0"/>
      </w:tabs>
      <w:spacing w:line="14" w:lineRule="exact"/>
      <w:ind w:left="811" w:hanging="448"/>
      <w:jc w:val="center"/>
      <w:outlineLvl w:val="0"/>
    </w:pPr>
    <w:rPr>
      <w:color w:val="FFFFFF"/>
    </w:rPr>
  </w:style>
  <w:style w:type="paragraph" w:customStyle="1" w:styleId="af6">
    <w:name w:val="附录表标题"/>
    <w:basedOn w:val="aff2"/>
    <w:next w:val="afff1"/>
    <w:qFormat/>
    <w:pPr>
      <w:numPr>
        <w:ilvl w:val="1"/>
        <w:numId w:val="11"/>
      </w:numPr>
      <w:tabs>
        <w:tab w:val="left" w:pos="180"/>
      </w:tabs>
      <w:spacing w:beforeLines="50" w:before="50" w:afterLines="50" w:after="50"/>
      <w:ind w:left="0" w:firstLine="0"/>
      <w:jc w:val="center"/>
    </w:pPr>
    <w:rPr>
      <w:rFonts w:ascii="黑体" w:eastAsia="黑体"/>
      <w:szCs w:val="21"/>
    </w:rPr>
  </w:style>
  <w:style w:type="paragraph" w:customStyle="1" w:styleId="afb">
    <w:name w:val="附录二级条标题"/>
    <w:basedOn w:val="aff2"/>
    <w:next w:val="afff1"/>
    <w:qFormat/>
    <w:pPr>
      <w:widowControl/>
      <w:numPr>
        <w:ilvl w:val="3"/>
        <w:numId w:val="10"/>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f2">
    <w:name w:val="附录二级无"/>
    <w:basedOn w:val="afb"/>
    <w:qFormat/>
    <w:pPr>
      <w:tabs>
        <w:tab w:val="clear" w:pos="360"/>
      </w:tabs>
      <w:spacing w:beforeLines="0" w:before="0" w:afterLines="0" w:after="0"/>
    </w:pPr>
    <w:rPr>
      <w:rFonts w:ascii="宋体" w:eastAsia="宋体"/>
      <w:szCs w:val="21"/>
    </w:rPr>
  </w:style>
  <w:style w:type="paragraph" w:customStyle="1" w:styleId="afffff3">
    <w:name w:val="附录公式"/>
    <w:basedOn w:val="afff1"/>
    <w:next w:val="afff1"/>
    <w:link w:val="Char0"/>
    <w:qFormat/>
  </w:style>
  <w:style w:type="character" w:customStyle="1" w:styleId="Char0">
    <w:name w:val="附录公式 Char"/>
    <w:basedOn w:val="Char"/>
    <w:link w:val="afffff3"/>
    <w:qFormat/>
    <w:rPr>
      <w:rFonts w:ascii="宋体"/>
      <w:sz w:val="21"/>
      <w:lang w:val="en-US" w:eastAsia="zh-CN" w:bidi="ar-SA"/>
    </w:rPr>
  </w:style>
  <w:style w:type="paragraph" w:customStyle="1" w:styleId="afffff4">
    <w:name w:val="附录公式编号制表符"/>
    <w:basedOn w:val="aff2"/>
    <w:next w:val="afff1"/>
    <w:qFormat/>
    <w:pPr>
      <w:widowControl/>
      <w:tabs>
        <w:tab w:val="center" w:pos="4201"/>
        <w:tab w:val="right" w:leader="dot" w:pos="9298"/>
      </w:tabs>
      <w:autoSpaceDE w:val="0"/>
      <w:autoSpaceDN w:val="0"/>
    </w:pPr>
    <w:rPr>
      <w:rFonts w:ascii="宋体"/>
      <w:kern w:val="0"/>
      <w:szCs w:val="20"/>
    </w:rPr>
  </w:style>
  <w:style w:type="paragraph" w:customStyle="1" w:styleId="afc">
    <w:name w:val="附录三级条标题"/>
    <w:basedOn w:val="afb"/>
    <w:next w:val="afff1"/>
    <w:qFormat/>
    <w:pPr>
      <w:numPr>
        <w:ilvl w:val="4"/>
      </w:numPr>
      <w:outlineLvl w:val="4"/>
    </w:pPr>
  </w:style>
  <w:style w:type="paragraph" w:customStyle="1" w:styleId="afffff5">
    <w:name w:val="附录三级无"/>
    <w:basedOn w:val="afc"/>
    <w:qFormat/>
    <w:pPr>
      <w:tabs>
        <w:tab w:val="clear" w:pos="360"/>
      </w:tabs>
      <w:spacing w:beforeLines="0" w:before="0" w:afterLines="0" w:after="0"/>
    </w:pPr>
    <w:rPr>
      <w:rFonts w:ascii="宋体" w:eastAsia="宋体"/>
      <w:szCs w:val="21"/>
    </w:rPr>
  </w:style>
  <w:style w:type="paragraph" w:customStyle="1" w:styleId="aff0">
    <w:name w:val="附录数字编号列项（二级）"/>
    <w:qFormat/>
    <w:pPr>
      <w:numPr>
        <w:ilvl w:val="1"/>
        <w:numId w:val="12"/>
      </w:numPr>
    </w:pPr>
    <w:rPr>
      <w:rFonts w:ascii="宋体"/>
      <w:sz w:val="21"/>
    </w:rPr>
  </w:style>
  <w:style w:type="paragraph" w:customStyle="1" w:styleId="afd">
    <w:name w:val="附录四级条标题"/>
    <w:basedOn w:val="afc"/>
    <w:next w:val="afff1"/>
    <w:qFormat/>
    <w:pPr>
      <w:numPr>
        <w:ilvl w:val="5"/>
      </w:numPr>
      <w:outlineLvl w:val="5"/>
    </w:pPr>
  </w:style>
  <w:style w:type="paragraph" w:customStyle="1" w:styleId="afffff6">
    <w:name w:val="附录四级无"/>
    <w:basedOn w:val="afd"/>
    <w:qFormat/>
    <w:pPr>
      <w:tabs>
        <w:tab w:val="clear" w:pos="360"/>
      </w:tabs>
      <w:spacing w:beforeLines="0" w:before="0" w:afterLines="0" w:after="0"/>
    </w:pPr>
    <w:rPr>
      <w:rFonts w:ascii="宋体" w:eastAsia="宋体"/>
      <w:szCs w:val="21"/>
    </w:rPr>
  </w:style>
  <w:style w:type="paragraph" w:customStyle="1" w:styleId="aa">
    <w:name w:val="附录图标号"/>
    <w:basedOn w:val="aff2"/>
    <w:qFormat/>
    <w:pPr>
      <w:keepNext/>
      <w:pageBreakBefore/>
      <w:widowControl/>
      <w:numPr>
        <w:numId w:val="13"/>
      </w:numPr>
      <w:spacing w:line="14" w:lineRule="exact"/>
      <w:ind w:left="0" w:firstLine="363"/>
      <w:jc w:val="center"/>
      <w:outlineLvl w:val="0"/>
    </w:pPr>
    <w:rPr>
      <w:color w:val="FFFFFF"/>
    </w:rPr>
  </w:style>
  <w:style w:type="paragraph" w:customStyle="1" w:styleId="ab">
    <w:name w:val="附录图标题"/>
    <w:basedOn w:val="aff2"/>
    <w:next w:val="afff1"/>
    <w:qFormat/>
    <w:pPr>
      <w:numPr>
        <w:ilvl w:val="1"/>
        <w:numId w:val="13"/>
      </w:numPr>
      <w:tabs>
        <w:tab w:val="left" w:pos="363"/>
      </w:tabs>
      <w:spacing w:beforeLines="50" w:before="50" w:afterLines="50" w:after="50"/>
      <w:ind w:left="0" w:firstLine="0"/>
      <w:jc w:val="center"/>
    </w:pPr>
    <w:rPr>
      <w:rFonts w:ascii="黑体" w:eastAsia="黑体"/>
      <w:szCs w:val="21"/>
    </w:rPr>
  </w:style>
  <w:style w:type="paragraph" w:customStyle="1" w:styleId="afe">
    <w:name w:val="附录五级条标题"/>
    <w:basedOn w:val="afd"/>
    <w:next w:val="afff1"/>
    <w:qFormat/>
    <w:pPr>
      <w:numPr>
        <w:ilvl w:val="6"/>
      </w:numPr>
      <w:outlineLvl w:val="6"/>
    </w:pPr>
  </w:style>
  <w:style w:type="paragraph" w:customStyle="1" w:styleId="afffff7">
    <w:name w:val="附录五级无"/>
    <w:basedOn w:val="afe"/>
    <w:qFormat/>
    <w:pPr>
      <w:tabs>
        <w:tab w:val="clear" w:pos="360"/>
      </w:tabs>
      <w:spacing w:beforeLines="0" w:before="0" w:afterLines="0" w:after="0"/>
    </w:pPr>
    <w:rPr>
      <w:rFonts w:ascii="宋体" w:eastAsia="宋体"/>
      <w:szCs w:val="21"/>
    </w:rPr>
  </w:style>
  <w:style w:type="paragraph" w:customStyle="1" w:styleId="af9">
    <w:name w:val="附录章标题"/>
    <w:next w:val="afff1"/>
    <w:qFormat/>
    <w:pPr>
      <w:numPr>
        <w:ilvl w:val="1"/>
        <w:numId w:val="10"/>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a">
    <w:name w:val="附录一级条标题"/>
    <w:basedOn w:val="af9"/>
    <w:next w:val="afff1"/>
    <w:qFormat/>
    <w:pPr>
      <w:numPr>
        <w:ilvl w:val="2"/>
      </w:numPr>
      <w:autoSpaceDN w:val="0"/>
      <w:spacing w:beforeLines="50" w:before="50" w:afterLines="50" w:after="50"/>
      <w:outlineLvl w:val="2"/>
    </w:pPr>
  </w:style>
  <w:style w:type="paragraph" w:customStyle="1" w:styleId="afffff8">
    <w:name w:val="附录一级无"/>
    <w:basedOn w:val="afa"/>
    <w:qFormat/>
    <w:pPr>
      <w:tabs>
        <w:tab w:val="clear" w:pos="360"/>
      </w:tabs>
      <w:spacing w:beforeLines="0" w:before="0" w:afterLines="0" w:after="0"/>
    </w:pPr>
    <w:rPr>
      <w:rFonts w:ascii="宋体" w:eastAsia="宋体"/>
      <w:szCs w:val="21"/>
    </w:rPr>
  </w:style>
  <w:style w:type="paragraph" w:customStyle="1" w:styleId="aff">
    <w:name w:val="附录字母编号列项（一级）"/>
    <w:qFormat/>
    <w:pPr>
      <w:numPr>
        <w:numId w:val="12"/>
      </w:numPr>
    </w:pPr>
    <w:rPr>
      <w:rFonts w:ascii="宋体"/>
      <w:sz w:val="21"/>
    </w:rPr>
  </w:style>
  <w:style w:type="paragraph" w:customStyle="1" w:styleId="afffff9">
    <w:name w:val="列项说明"/>
    <w:basedOn w:val="aff2"/>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a">
    <w:name w:val="列项说明数字编号"/>
    <w:qFormat/>
    <w:pPr>
      <w:ind w:leftChars="400" w:left="600" w:hangingChars="200" w:hanging="200"/>
    </w:pPr>
    <w:rPr>
      <w:rFonts w:ascii="宋体"/>
      <w:sz w:val="21"/>
    </w:rPr>
  </w:style>
  <w:style w:type="paragraph" w:customStyle="1" w:styleId="afffffb">
    <w:name w:val="目次、索引正文"/>
    <w:qFormat/>
    <w:pPr>
      <w:spacing w:line="320" w:lineRule="exact"/>
      <w:jc w:val="both"/>
    </w:pPr>
    <w:rPr>
      <w:rFonts w:ascii="宋体"/>
      <w:sz w:val="21"/>
    </w:rPr>
  </w:style>
  <w:style w:type="paragraph" w:customStyle="1" w:styleId="afffffc">
    <w:name w:val="其他标准标志"/>
    <w:basedOn w:val="affff0"/>
    <w:qFormat/>
    <w:pPr>
      <w:framePr w:w="6101" w:wrap="around" w:vAnchor="page" w:hAnchor="page" w:x="4673" w:y="942"/>
    </w:pPr>
    <w:rPr>
      <w:w w:val="130"/>
    </w:rPr>
  </w:style>
  <w:style w:type="paragraph" w:customStyle="1" w:styleId="afffffd">
    <w:name w:val="其他标准称谓"/>
    <w:next w:val="aff2"/>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e">
    <w:name w:val="其他发布部门"/>
    <w:basedOn w:val="affff8"/>
    <w:qFormat/>
    <w:pPr>
      <w:framePr w:wrap="around" w:y="15310"/>
      <w:spacing w:line="0" w:lineRule="atLeast"/>
    </w:pPr>
    <w:rPr>
      <w:rFonts w:ascii="黑体" w:eastAsia="黑体"/>
      <w:b w:val="0"/>
    </w:rPr>
  </w:style>
  <w:style w:type="paragraph" w:customStyle="1" w:styleId="affffff">
    <w:name w:val="前言、引言标题"/>
    <w:next w:val="afff1"/>
    <w:qFormat/>
    <w:pPr>
      <w:keepNext/>
      <w:pageBreakBefore/>
      <w:shd w:val="clear" w:color="FFFFFF" w:fill="FFFFFF"/>
      <w:spacing w:before="640" w:after="560"/>
      <w:jc w:val="center"/>
      <w:outlineLvl w:val="0"/>
    </w:pPr>
    <w:rPr>
      <w:rFonts w:ascii="黑体" w:eastAsia="黑体"/>
      <w:sz w:val="32"/>
    </w:rPr>
  </w:style>
  <w:style w:type="paragraph" w:customStyle="1" w:styleId="affffff0">
    <w:name w:val="三级无"/>
    <w:basedOn w:val="a7"/>
    <w:qFormat/>
    <w:pPr>
      <w:spacing w:beforeLines="0" w:before="0" w:afterLines="0" w:after="0"/>
    </w:pPr>
    <w:rPr>
      <w:rFonts w:ascii="宋体" w:eastAsia="宋体"/>
    </w:rPr>
  </w:style>
  <w:style w:type="paragraph" w:customStyle="1" w:styleId="affffff1">
    <w:name w:val="实施日期"/>
    <w:basedOn w:val="affff9"/>
    <w:qFormat/>
    <w:pPr>
      <w:framePr w:wrap="around" w:vAnchor="page" w:hAnchor="text"/>
      <w:jc w:val="right"/>
    </w:pPr>
  </w:style>
  <w:style w:type="paragraph" w:customStyle="1" w:styleId="affffff2">
    <w:name w:val="示例后文字"/>
    <w:basedOn w:val="afff1"/>
    <w:next w:val="afff1"/>
    <w:qFormat/>
    <w:pPr>
      <w:ind w:firstLine="360"/>
    </w:pPr>
    <w:rPr>
      <w:sz w:val="18"/>
    </w:rPr>
  </w:style>
  <w:style w:type="paragraph" w:customStyle="1" w:styleId="a0">
    <w:name w:val="首示例"/>
    <w:next w:val="afff1"/>
    <w:link w:val="Char1"/>
    <w:qFormat/>
    <w:pPr>
      <w:numPr>
        <w:numId w:val="14"/>
      </w:numPr>
      <w:tabs>
        <w:tab w:val="left" w:pos="360"/>
      </w:tabs>
      <w:ind w:firstLine="0"/>
    </w:pPr>
    <w:rPr>
      <w:rFonts w:ascii="宋体" w:hAnsi="宋体"/>
      <w:kern w:val="2"/>
      <w:sz w:val="18"/>
      <w:szCs w:val="18"/>
    </w:rPr>
  </w:style>
  <w:style w:type="character" w:customStyle="1" w:styleId="Char1">
    <w:name w:val="首示例 Char"/>
    <w:basedOn w:val="aff3"/>
    <w:link w:val="a0"/>
    <w:qFormat/>
    <w:rPr>
      <w:rFonts w:ascii="宋体" w:hAnsi="宋体"/>
      <w:kern w:val="2"/>
      <w:sz w:val="18"/>
      <w:szCs w:val="18"/>
    </w:rPr>
  </w:style>
  <w:style w:type="paragraph" w:customStyle="1" w:styleId="affffff3">
    <w:name w:val="四级无"/>
    <w:basedOn w:val="a8"/>
    <w:qFormat/>
    <w:pPr>
      <w:spacing w:beforeLines="0" w:before="0" w:afterLines="0" w:after="0"/>
    </w:pPr>
    <w:rPr>
      <w:rFonts w:ascii="宋体" w:eastAsia="宋体"/>
    </w:rPr>
  </w:style>
  <w:style w:type="paragraph" w:customStyle="1" w:styleId="affffff4">
    <w:name w:val="条文脚注"/>
    <w:basedOn w:val="af"/>
    <w:qFormat/>
    <w:pPr>
      <w:numPr>
        <w:numId w:val="0"/>
      </w:numPr>
      <w:jc w:val="both"/>
    </w:pPr>
  </w:style>
  <w:style w:type="paragraph" w:customStyle="1" w:styleId="affffff5">
    <w:name w:val="图标脚注说明"/>
    <w:basedOn w:val="afff1"/>
    <w:qFormat/>
    <w:pPr>
      <w:ind w:left="840" w:firstLineChars="0" w:hanging="420"/>
    </w:pPr>
    <w:rPr>
      <w:sz w:val="18"/>
      <w:szCs w:val="18"/>
    </w:rPr>
  </w:style>
  <w:style w:type="paragraph" w:customStyle="1" w:styleId="a2">
    <w:name w:val="图表脚注说明"/>
    <w:basedOn w:val="aff2"/>
    <w:qFormat/>
    <w:pPr>
      <w:numPr>
        <w:numId w:val="15"/>
      </w:numPr>
    </w:pPr>
    <w:rPr>
      <w:rFonts w:ascii="宋体"/>
      <w:sz w:val="18"/>
      <w:szCs w:val="18"/>
    </w:rPr>
  </w:style>
  <w:style w:type="paragraph" w:customStyle="1" w:styleId="affffff6">
    <w:name w:val="图的脚注"/>
    <w:next w:val="afff1"/>
    <w:qFormat/>
    <w:pPr>
      <w:widowControl w:val="0"/>
      <w:ind w:leftChars="200" w:left="840" w:hangingChars="200" w:hanging="420"/>
      <w:jc w:val="both"/>
    </w:pPr>
    <w:rPr>
      <w:rFonts w:ascii="宋体"/>
      <w:sz w:val="18"/>
    </w:rPr>
  </w:style>
  <w:style w:type="paragraph" w:customStyle="1" w:styleId="affffff7">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8">
    <w:name w:val="五级无"/>
    <w:basedOn w:val="a9"/>
    <w:qFormat/>
    <w:pPr>
      <w:spacing w:beforeLines="0" w:before="0" w:afterLines="0" w:after="0"/>
    </w:pPr>
    <w:rPr>
      <w:rFonts w:ascii="宋体" w:eastAsia="宋体"/>
    </w:rPr>
  </w:style>
  <w:style w:type="paragraph" w:customStyle="1" w:styleId="affffff9">
    <w:name w:val="一级无"/>
    <w:basedOn w:val="a5"/>
    <w:qFormat/>
    <w:pPr>
      <w:spacing w:beforeLines="0" w:before="0" w:afterLines="0" w:after="0"/>
    </w:pPr>
    <w:rPr>
      <w:rFonts w:ascii="宋体" w:eastAsia="宋体"/>
    </w:rPr>
  </w:style>
  <w:style w:type="character" w:customStyle="1" w:styleId="13">
    <w:name w:val="已访问的超链接1"/>
    <w:basedOn w:val="aff3"/>
    <w:qFormat/>
    <w:rPr>
      <w:color w:val="800080"/>
      <w:u w:val="single"/>
    </w:rPr>
  </w:style>
  <w:style w:type="paragraph" w:customStyle="1" w:styleId="af7">
    <w:name w:val="正文表标题"/>
    <w:next w:val="afff1"/>
    <w:qFormat/>
    <w:pPr>
      <w:numPr>
        <w:numId w:val="16"/>
      </w:numPr>
      <w:tabs>
        <w:tab w:val="left" w:pos="360"/>
      </w:tabs>
      <w:spacing w:beforeLines="50" w:before="156" w:afterLines="50" w:after="156"/>
      <w:jc w:val="center"/>
    </w:pPr>
    <w:rPr>
      <w:rFonts w:ascii="黑体" w:eastAsia="黑体"/>
      <w:sz w:val="21"/>
    </w:rPr>
  </w:style>
  <w:style w:type="paragraph" w:customStyle="1" w:styleId="affffffa">
    <w:name w:val="正文公式编号制表符"/>
    <w:basedOn w:val="afff1"/>
    <w:next w:val="afff1"/>
    <w:qFormat/>
    <w:pPr>
      <w:ind w:firstLineChars="0" w:firstLine="0"/>
    </w:pPr>
  </w:style>
  <w:style w:type="paragraph" w:customStyle="1" w:styleId="af4">
    <w:name w:val="正文图标题"/>
    <w:next w:val="afff1"/>
    <w:qFormat/>
    <w:pPr>
      <w:numPr>
        <w:numId w:val="17"/>
      </w:numPr>
      <w:tabs>
        <w:tab w:val="left" w:pos="360"/>
      </w:tabs>
      <w:spacing w:beforeLines="50" w:before="156" w:afterLines="50" w:after="156"/>
      <w:jc w:val="center"/>
    </w:pPr>
    <w:rPr>
      <w:rFonts w:ascii="黑体" w:eastAsia="黑体"/>
      <w:sz w:val="21"/>
    </w:rPr>
  </w:style>
  <w:style w:type="paragraph" w:customStyle="1" w:styleId="affffffb">
    <w:name w:val="终结线"/>
    <w:basedOn w:val="aff2"/>
    <w:qFormat/>
    <w:pPr>
      <w:framePr w:hSpace="181" w:vSpace="181" w:wrap="around" w:vAnchor="text" w:hAnchor="margin" w:xAlign="center" w:y="285"/>
    </w:pPr>
  </w:style>
  <w:style w:type="paragraph" w:customStyle="1" w:styleId="affffffc">
    <w:name w:val="其他发布日期"/>
    <w:basedOn w:val="affff9"/>
    <w:qFormat/>
    <w:pPr>
      <w:framePr w:wrap="around" w:vAnchor="page" w:hAnchor="text" w:x="1419"/>
    </w:pPr>
  </w:style>
  <w:style w:type="paragraph" w:customStyle="1" w:styleId="affffffd">
    <w:name w:val="其他实施日期"/>
    <w:basedOn w:val="affffff1"/>
    <w:qFormat/>
    <w:pPr>
      <w:framePr w:wrap="around"/>
    </w:pPr>
  </w:style>
  <w:style w:type="paragraph" w:customStyle="1" w:styleId="23">
    <w:name w:val="封面标准名称2"/>
    <w:basedOn w:val="affffb"/>
    <w:qFormat/>
    <w:pPr>
      <w:framePr w:wrap="around" w:y="4469"/>
      <w:spacing w:beforeLines="630" w:before="630"/>
    </w:pPr>
  </w:style>
  <w:style w:type="paragraph" w:customStyle="1" w:styleId="24">
    <w:name w:val="封面标准英文名称2"/>
    <w:basedOn w:val="affffc"/>
    <w:qFormat/>
    <w:pPr>
      <w:framePr w:wrap="around" w:y="4469"/>
    </w:pPr>
  </w:style>
  <w:style w:type="paragraph" w:customStyle="1" w:styleId="25">
    <w:name w:val="封面一致性程度标识2"/>
    <w:basedOn w:val="affffd"/>
    <w:qFormat/>
    <w:pPr>
      <w:framePr w:wrap="around" w:y="4469"/>
    </w:pPr>
  </w:style>
  <w:style w:type="paragraph" w:customStyle="1" w:styleId="26">
    <w:name w:val="封面标准文稿类别2"/>
    <w:basedOn w:val="affffe"/>
    <w:qFormat/>
    <w:pPr>
      <w:framePr w:wrap="around" w:y="4469"/>
    </w:pPr>
  </w:style>
  <w:style w:type="paragraph" w:customStyle="1" w:styleId="27">
    <w:name w:val="封面标准文稿编辑信息2"/>
    <w:basedOn w:val="afffff"/>
    <w:qFormat/>
    <w:pPr>
      <w:framePr w:wrap="around" w:y="4469"/>
    </w:pPr>
  </w:style>
  <w:style w:type="paragraph" w:customStyle="1" w:styleId="affffffe">
    <w:name w:val="标准文件_段"/>
    <w:qFormat/>
    <w:pPr>
      <w:autoSpaceDE w:val="0"/>
      <w:autoSpaceDN w:val="0"/>
      <w:adjustRightInd w:val="0"/>
      <w:snapToGrid w:val="0"/>
      <w:spacing w:line="276" w:lineRule="auto"/>
      <w:ind w:rightChars="-50" w:right="-105"/>
      <w:jc w:val="both"/>
    </w:pPr>
    <w:rPr>
      <w:rFonts w:ascii="宋体"/>
      <w:spacing w:val="2"/>
      <w:sz w:val="21"/>
    </w:rPr>
  </w:style>
  <w:style w:type="character" w:customStyle="1" w:styleId="10">
    <w:name w:val="标题 1 字符"/>
    <w:basedOn w:val="aff3"/>
    <w:link w:val="1"/>
    <w:qFormat/>
    <w:rPr>
      <w:rFonts w:eastAsia="楷体_GB2312"/>
      <w:b/>
      <w:bCs/>
      <w:kern w:val="44"/>
      <w:sz w:val="36"/>
      <w:szCs w:val="36"/>
    </w:rPr>
  </w:style>
  <w:style w:type="paragraph" w:customStyle="1" w:styleId="TOC10">
    <w:name w:val="TOC 标题1"/>
    <w:basedOn w:val="1"/>
    <w:next w:val="aff2"/>
    <w:uiPriority w:val="39"/>
    <w:unhideWhenUsed/>
    <w:qFormat/>
    <w:pPr>
      <w:widowControl/>
      <w:autoSpaceDN/>
      <w:adjustRightInd/>
      <w:snapToGrid/>
      <w:spacing w:before="24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affd">
    <w:name w:val="批注框文本 字符"/>
    <w:basedOn w:val="aff3"/>
    <w:link w:val="affc"/>
    <w:semiHidden/>
    <w:qFormat/>
    <w:rPr>
      <w:rFonts w:ascii="宋体"/>
      <w:kern w:val="2"/>
      <w:sz w:val="18"/>
      <w:szCs w:val="18"/>
    </w:rPr>
  </w:style>
  <w:style w:type="character" w:customStyle="1" w:styleId="affa">
    <w:name w:val="批注文字 字符"/>
    <w:basedOn w:val="aff3"/>
    <w:link w:val="aff9"/>
    <w:qFormat/>
    <w:rPr>
      <w:kern w:val="2"/>
      <w:sz w:val="21"/>
      <w:szCs w:val="24"/>
    </w:rPr>
  </w:style>
  <w:style w:type="paragraph" w:customStyle="1" w:styleId="afffffff">
    <w:name w:val="文件正文"/>
    <w:basedOn w:val="aff2"/>
    <w:qFormat/>
    <w:pPr>
      <w:spacing w:line="480" w:lineRule="exact"/>
      <w:ind w:firstLine="560"/>
    </w:pPr>
    <w:rPr>
      <w:rFonts w:eastAsia="仿宋_GB2312" w:cs="宋体"/>
      <w:sz w:val="28"/>
      <w:szCs w:val="20"/>
    </w:rPr>
  </w:style>
  <w:style w:type="character" w:customStyle="1" w:styleId="20">
    <w:name w:val="标题 2 字符"/>
    <w:basedOn w:val="aff3"/>
    <w:link w:val="2"/>
    <w:semiHidden/>
    <w:qFormat/>
    <w:rPr>
      <w:rFonts w:asciiTheme="majorHAnsi" w:eastAsiaTheme="majorEastAsia" w:hAnsiTheme="majorHAnsi" w:cstheme="majorBidi"/>
      <w:b/>
      <w:bCs/>
      <w:kern w:val="2"/>
      <w:sz w:val="32"/>
      <w:szCs w:val="32"/>
    </w:rPr>
  </w:style>
  <w:style w:type="character" w:customStyle="1" w:styleId="30">
    <w:name w:val="标题 3 字符"/>
    <w:basedOn w:val="aff3"/>
    <w:link w:val="3"/>
    <w:semiHidden/>
    <w:qFormat/>
    <w:rPr>
      <w:b/>
      <w:bCs/>
      <w:kern w:val="2"/>
      <w:sz w:val="32"/>
      <w:szCs w:val="32"/>
    </w:rPr>
  </w:style>
  <w:style w:type="paragraph" w:customStyle="1" w:styleId="afffffff0">
    <w:name w:val="文件大标题"/>
    <w:next w:val="aff2"/>
    <w:qFormat/>
    <w:pPr>
      <w:spacing w:before="240" w:after="120" w:line="480" w:lineRule="exact"/>
      <w:jc w:val="center"/>
    </w:pPr>
    <w:rPr>
      <w:rFonts w:eastAsia="黑体"/>
      <w:kern w:val="2"/>
      <w:sz w:val="36"/>
      <w:szCs w:val="44"/>
    </w:rPr>
  </w:style>
  <w:style w:type="character" w:customStyle="1" w:styleId="afff3">
    <w:name w:val="批注主题 字符"/>
    <w:basedOn w:val="affa"/>
    <w:link w:val="afff2"/>
    <w:semiHidden/>
    <w:qFormat/>
    <w:rPr>
      <w:b/>
      <w:bCs/>
      <w:kern w:val="2"/>
      <w:sz w:val="21"/>
      <w:szCs w:val="24"/>
    </w:rPr>
  </w:style>
  <w:style w:type="paragraph" w:customStyle="1" w:styleId="14">
    <w:name w:val="修订1"/>
    <w:hidden/>
    <w:uiPriority w:val="99"/>
    <w:unhideWhenUsed/>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A1F6D2-EE5C-49F7-BEF6-EBBC791D6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527</Words>
  <Characters>3008</Characters>
  <Application>Microsoft Office Word</Application>
  <DocSecurity>0</DocSecurity>
  <Lines>25</Lines>
  <Paragraphs>7</Paragraphs>
  <ScaleCrop>false</ScaleCrop>
  <Company>zle</Company>
  <LinksUpToDate>false</LinksUpToDate>
  <CharactersWithSpaces>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李美丛</cp:lastModifiedBy>
  <cp:revision>17</cp:revision>
  <cp:lastPrinted>2023-10-13T11:01:00Z</cp:lastPrinted>
  <dcterms:created xsi:type="dcterms:W3CDTF">2025-04-14T07:33:00Z</dcterms:created>
  <dcterms:modified xsi:type="dcterms:W3CDTF">2025-07-22T10:05:00Z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189FE0644EF74626A956CE5D713A79FC</vt:lpwstr>
  </property>
</Properties>
</file>