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64F93" w14:textId="77777777" w:rsidR="007D68B8" w:rsidRDefault="00A26708">
      <w:pPr>
        <w:pStyle w:val="affffff7"/>
        <w:framePr w:h="1801" w:hRule="exact" w:wrap="around"/>
      </w:pPr>
      <w:bookmarkStart w:id="0" w:name="_Hlk122552383"/>
      <w:bookmarkStart w:id="1" w:name="c1"/>
      <w:bookmarkEnd w:id="0"/>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2" w:name="ICS"/>
      <w:r>
        <w:instrText xml:space="preserve"> FORMTEXT </w:instrText>
      </w:r>
      <w:r>
        <w:fldChar w:fldCharType="separate"/>
      </w:r>
      <w:r>
        <w:rPr>
          <w:rFonts w:hint="eastAsia"/>
        </w:rPr>
        <w:t>点击此处添加ICS号</w:t>
      </w:r>
      <w:r>
        <w:fldChar w:fldCharType="end"/>
      </w:r>
      <w:bookmarkEnd w:id="2"/>
    </w:p>
    <w:p w14:paraId="1397966B" w14:textId="77777777" w:rsidR="007D68B8" w:rsidRDefault="00A26708">
      <w:pPr>
        <w:pStyle w:val="affffff7"/>
        <w:framePr w:h="1801" w:hRule="exact" w:wrap="around"/>
      </w:pPr>
      <w:r>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3" w:name="WXFLH"/>
      <w:r>
        <w:instrText xml:space="preserve"> FORMTEXT </w:instrText>
      </w:r>
      <w:r>
        <w:fldChar w:fldCharType="separate"/>
      </w:r>
      <w:r>
        <w:rPr>
          <w:rFonts w:hint="eastAsia"/>
        </w:rPr>
        <w:t>点击此处添加中国标准文献分类号</w:t>
      </w:r>
      <w:r>
        <w:fldChar w:fldCharType="end"/>
      </w:r>
      <w:bookmarkEnd w:id="3"/>
    </w:p>
    <w:p w14:paraId="39723C72" w14:textId="77777777" w:rsidR="007D68B8" w:rsidRDefault="00A26708">
      <w:pPr>
        <w:pStyle w:val="affffff7"/>
        <w:framePr w:h="1801" w:hRule="exact" w:wrap="around"/>
        <w:jc w:val="right"/>
        <w:rPr>
          <w:rFonts w:ascii="Times New Roman"/>
          <w:b/>
          <w:bCs/>
          <w:w w:val="130"/>
          <w:sz w:val="96"/>
          <w:szCs w:val="96"/>
        </w:rPr>
      </w:pPr>
      <w:r>
        <w:rPr>
          <w:rFonts w:ascii="Times New Roman"/>
          <w:b/>
          <w:bCs/>
          <w:w w:val="130"/>
          <w:sz w:val="96"/>
          <w:szCs w:val="96"/>
        </w:rPr>
        <w:t>T/CNS</w:t>
      </w:r>
    </w:p>
    <w:p w14:paraId="6E85B661" w14:textId="77777777" w:rsidR="007D68B8" w:rsidRDefault="007D68B8">
      <w:pPr>
        <w:pStyle w:val="affffff7"/>
        <w:framePr w:h="1801" w:hRule="exact" w:wrap="around"/>
      </w:pPr>
    </w:p>
    <w:bookmarkEnd w:id="1"/>
    <w:p w14:paraId="1AB2A6B2" w14:textId="77777777" w:rsidR="007D68B8" w:rsidRDefault="00A26708">
      <w:pPr>
        <w:pStyle w:val="afffffd"/>
        <w:framePr w:wrap="around"/>
        <w:rPr>
          <w:sz w:val="52"/>
        </w:rPr>
      </w:pPr>
      <w:r>
        <w:rPr>
          <w:rFonts w:hint="eastAsia"/>
          <w:sz w:val="52"/>
        </w:rPr>
        <w:t>中国核学会团体标准</w:t>
      </w:r>
    </w:p>
    <w:p w14:paraId="52B1AD17" w14:textId="77777777" w:rsidR="007D68B8" w:rsidRDefault="00A26708">
      <w:pPr>
        <w:pStyle w:val="22"/>
        <w:framePr w:h="1126" w:hRule="exact" w:wrap="around" w:y="3016"/>
        <w:rPr>
          <w:rFonts w:hAnsi="黑体"/>
        </w:rPr>
      </w:pPr>
      <w:r>
        <w:rPr>
          <w:rFonts w:ascii="Times New Roman" w:hint="eastAsia"/>
        </w:rPr>
        <w:t>T</w:t>
      </w:r>
      <w:r>
        <w:rPr>
          <w:rFonts w:ascii="Times New Roman"/>
        </w:rPr>
        <w:t>/</w:t>
      </w:r>
      <w:r>
        <w:rPr>
          <w:rFonts w:ascii="Times New Roman" w:hint="eastAsia"/>
        </w:rPr>
        <w:t>CNSXXXX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7D68B8" w14:paraId="09E910AC" w14:textId="77777777">
        <w:tc>
          <w:tcPr>
            <w:tcW w:w="9356" w:type="dxa"/>
            <w:tcBorders>
              <w:top w:val="nil"/>
              <w:left w:val="nil"/>
              <w:bottom w:val="nil"/>
              <w:right w:val="nil"/>
            </w:tcBorders>
            <w:shd w:val="clear" w:color="auto" w:fill="auto"/>
          </w:tcPr>
          <w:bookmarkStart w:id="4" w:name="DT"/>
          <w:p w14:paraId="054A2E90" w14:textId="77777777" w:rsidR="007D68B8" w:rsidRDefault="00A26708">
            <w:pPr>
              <w:pStyle w:val="affffa"/>
              <w:framePr w:h="1126" w:hRule="exact" w:wrap="around" w:y="3016"/>
            </w:pPr>
            <w:r>
              <w:rPr>
                <w:noProof/>
              </w:rPr>
              <mc:AlternateContent>
                <mc:Choice Requires="wps">
                  <w:drawing>
                    <wp:anchor distT="0" distB="0" distL="114300" distR="114300" simplePos="0" relativeHeight="251661312" behindDoc="1" locked="0" layoutInCell="1" allowOverlap="1" wp14:anchorId="2026431C" wp14:editId="76E940FE">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14:paraId="4D315F77" w14:textId="77777777" w:rsidR="007D68B8" w:rsidRDefault="007D68B8">
      <w:pPr>
        <w:pStyle w:val="22"/>
        <w:framePr w:h="1126" w:hRule="exact" w:wrap="around" w:y="3016"/>
        <w:rPr>
          <w:rFonts w:hAnsi="黑体"/>
        </w:rPr>
      </w:pPr>
    </w:p>
    <w:p w14:paraId="7A282EEB" w14:textId="77777777" w:rsidR="007D68B8" w:rsidRDefault="007D68B8">
      <w:pPr>
        <w:pStyle w:val="22"/>
        <w:framePr w:h="1126" w:hRule="exact" w:wrap="around" w:y="3016"/>
        <w:rPr>
          <w:rFonts w:hAnsi="黑体"/>
        </w:rPr>
      </w:pPr>
    </w:p>
    <w:p w14:paraId="729CF3A4" w14:textId="77777777" w:rsidR="007D68B8" w:rsidRDefault="00A26708">
      <w:pPr>
        <w:pStyle w:val="affffb"/>
        <w:framePr w:w="10417" w:wrap="around" w:x="787" w:y="6082"/>
      </w:pPr>
      <w:r>
        <w:rPr>
          <w:rFonts w:hint="eastAsia"/>
        </w:rPr>
        <w:t>高温气冷堆核动力厂</w:t>
      </w:r>
    </w:p>
    <w:p w14:paraId="0A3BC79A" w14:textId="77777777" w:rsidR="007D68B8" w:rsidRDefault="00A26708">
      <w:pPr>
        <w:pStyle w:val="affffb"/>
        <w:framePr w:w="10417" w:wrap="around" w:x="787" w:y="6082"/>
      </w:pPr>
      <w:r>
        <w:rPr>
          <w:rFonts w:hint="eastAsia"/>
        </w:rPr>
        <w:t>控制棒驱动机构电气绝缘系统热评定规程</w:t>
      </w:r>
    </w:p>
    <w:p w14:paraId="32651D83" w14:textId="77777777" w:rsidR="007D68B8" w:rsidRDefault="00A26708">
      <w:pPr>
        <w:pStyle w:val="affffc"/>
        <w:framePr w:w="10417" w:wrap="around" w:x="787" w:y="6082"/>
        <w:rPr>
          <w:b/>
        </w:rPr>
      </w:pPr>
      <w:r>
        <w:rPr>
          <w:rFonts w:hint="eastAsia"/>
        </w:rPr>
        <w:t xml:space="preserve">Thermal evaluation and classification procedures for insulation system of control rod drive mechanism </w:t>
      </w:r>
      <w:r>
        <w:t xml:space="preserve">of high temperature </w:t>
      </w:r>
      <w:proofErr w:type="spellStart"/>
      <w:r>
        <w:t>gascooled</w:t>
      </w:r>
      <w:proofErr w:type="spellEnd"/>
      <w:r>
        <w:t xml:space="preserve"> reactor nuclear power plant</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7D68B8" w14:paraId="2112F77E" w14:textId="77777777">
        <w:tc>
          <w:tcPr>
            <w:tcW w:w="9855" w:type="dxa"/>
            <w:tcBorders>
              <w:top w:val="nil"/>
              <w:left w:val="nil"/>
              <w:bottom w:val="nil"/>
              <w:right w:val="nil"/>
            </w:tcBorders>
            <w:shd w:val="clear" w:color="auto" w:fill="auto"/>
          </w:tcPr>
          <w:p w14:paraId="6C29F7C3" w14:textId="471230C7" w:rsidR="007D68B8" w:rsidRDefault="009904F5">
            <w:pPr>
              <w:pStyle w:val="affffe"/>
              <w:framePr w:w="10417" w:wrap="around" w:x="787" w:y="6082"/>
            </w:pPr>
            <w:r>
              <w:rPr>
                <w:rFonts w:hint="eastAsia"/>
              </w:rPr>
              <w:t>（</w:t>
            </w:r>
            <w:bookmarkStart w:id="5" w:name="_GoBack"/>
            <w:bookmarkEnd w:id="5"/>
            <w:r>
              <w:rPr>
                <w:rFonts w:hint="eastAsia"/>
              </w:rPr>
              <w:t>征求意见</w:t>
            </w:r>
            <w:r w:rsidR="00A26708">
              <w:rPr>
                <w:rFonts w:hint="eastAsia"/>
              </w:rPr>
              <w:t>稿</w:t>
            </w:r>
            <w:r>
              <w:rPr>
                <w:rFonts w:hint="eastAsia"/>
              </w:rPr>
              <w:t>）</w:t>
            </w:r>
            <w:r w:rsidR="00A26708">
              <w:rPr>
                <w:noProof/>
              </w:rPr>
              <mc:AlternateContent>
                <mc:Choice Requires="wps">
                  <w:drawing>
                    <wp:anchor distT="0" distB="0" distL="114300" distR="114300" simplePos="0" relativeHeight="251663360" behindDoc="1" locked="1" layoutInCell="1" allowOverlap="1" wp14:anchorId="6D6F3679" wp14:editId="5E89B6DE">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sidR="00A26708">
              <w:rPr>
                <w:noProof/>
              </w:rPr>
              <mc:AlternateContent>
                <mc:Choice Requires="wps">
                  <w:drawing>
                    <wp:anchor distT="0" distB="0" distL="114300" distR="114300" simplePos="0" relativeHeight="251662336" behindDoc="1" locked="0" layoutInCell="1" allowOverlap="1" wp14:anchorId="643946AD" wp14:editId="0459477F">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7D68B8" w14:paraId="67C12F5A" w14:textId="77777777">
        <w:tc>
          <w:tcPr>
            <w:tcW w:w="9855" w:type="dxa"/>
            <w:tcBorders>
              <w:top w:val="nil"/>
              <w:left w:val="nil"/>
              <w:bottom w:val="nil"/>
              <w:right w:val="nil"/>
            </w:tcBorders>
            <w:shd w:val="clear" w:color="auto" w:fill="auto"/>
          </w:tcPr>
          <w:p w14:paraId="6FAD55CB" w14:textId="1614DE46" w:rsidR="007D68B8" w:rsidRDefault="009904F5">
            <w:pPr>
              <w:pStyle w:val="afffff"/>
              <w:framePr w:w="10417" w:wrap="around" w:x="787" w:y="6082"/>
              <w:ind w:firstLine="630"/>
            </w:pPr>
            <w:r>
              <w:fldChar w:fldCharType="begin">
                <w:ffData>
                  <w:name w:val="WCRQ"/>
                  <w:enabled/>
                  <w:calcOnExit w:val="0"/>
                  <w:textInput>
                    <w:default w:val="本稿完成日期：2025年7月"/>
                  </w:textInput>
                </w:ffData>
              </w:fldChar>
            </w:r>
            <w:bookmarkStart w:id="6"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6"/>
            <w:r>
              <w:fldChar w:fldCharType="end"/>
            </w:r>
          </w:p>
        </w:tc>
      </w:tr>
    </w:tbl>
    <w:p w14:paraId="79426B08" w14:textId="77777777" w:rsidR="007D68B8" w:rsidRDefault="00A26708">
      <w:pPr>
        <w:pStyle w:val="affffffc"/>
        <w:framePr w:wrap="around" w:hAnchor="page" w:x="1585" w:y="14137"/>
      </w:pPr>
      <w:r>
        <w:rPr>
          <w:rFonts w:ascii="黑体"/>
        </w:rPr>
        <w:t>XXXX-XX-XX</w:t>
      </w:r>
      <w:r>
        <w:rPr>
          <w:rFonts w:hint="eastAsia"/>
        </w:rPr>
        <w:t>发布</w:t>
      </w:r>
      <w:r>
        <w:rPr>
          <w:noProof/>
        </w:rPr>
        <mc:AlternateContent>
          <mc:Choice Requires="wps">
            <w:drawing>
              <wp:anchor distT="0" distB="0" distL="114300" distR="114300" simplePos="0" relativeHeight="251659264" behindDoc="0" locked="1" layoutInCell="1" allowOverlap="1" wp14:anchorId="70189525" wp14:editId="7A1EAD9D">
                <wp:simplePos x="0" y="0"/>
                <wp:positionH relativeFrom="column">
                  <wp:posOffset>-635</wp:posOffset>
                </wp:positionH>
                <wp:positionV relativeFrom="page">
                  <wp:posOffset>9251315</wp:posOffset>
                </wp:positionV>
                <wp:extent cx="6120130" cy="0"/>
                <wp:effectExtent l="0" t="0" r="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Line 10" o:spid="_x0000_s1026" o:spt="20" style="position:absolute;left:0pt;margin-left:-0.05pt;margin-top:728.45pt;height:0pt;width:481.9pt;mso-position-vertical-relative:page;z-index:251659264;mso-width-relative:page;mso-height-relative:page;" filled="f" stroked="t"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jLS/z1wAA&#10;AAsBAAAPAAAAAAAAAAEAIAAAACIAAABkcnMvZG93bnJldi54bWxQSwECFAAUAAAACACHTuJA3HxV&#10;O60BAABuAwAADgAAAAAAAAABACAAAAAmAQAAZHJzL2Uyb0RvYy54bWxQSwUGAAAAAAYABgBZAQAA&#10;RQUAAAAA&#10;">
                <v:fill on="f" focussize="0,0"/>
                <v:stroke color="#000000" joinstyle="round"/>
                <v:imagedata o:title=""/>
                <o:lock v:ext="edit" aspectratio="f"/>
                <w10:anchorlock/>
              </v:line>
            </w:pict>
          </mc:Fallback>
        </mc:AlternateContent>
      </w:r>
    </w:p>
    <w:p w14:paraId="0410FBDC" w14:textId="77777777" w:rsidR="007D68B8" w:rsidRDefault="00A26708">
      <w:pPr>
        <w:pStyle w:val="affffffd"/>
        <w:framePr w:wrap="around" w:hAnchor="page" w:x="6613"/>
      </w:pPr>
      <w:r>
        <w:rPr>
          <w:rFonts w:ascii="黑体"/>
        </w:rPr>
        <w:t>XXXX-XX</w:t>
      </w:r>
      <w:r>
        <w:rPr>
          <w:rFonts w:ascii="黑体"/>
        </w:rPr>
        <w:t>–</w:t>
      </w:r>
      <w:r>
        <w:rPr>
          <w:rFonts w:ascii="黑体"/>
        </w:rPr>
        <w:t xml:space="preserve">XX </w:t>
      </w:r>
      <w:r>
        <w:rPr>
          <w:rFonts w:hint="eastAsia"/>
        </w:rPr>
        <w:t>实施</w:t>
      </w:r>
    </w:p>
    <w:p w14:paraId="1A9AD468" w14:textId="77777777" w:rsidR="007D68B8" w:rsidRDefault="00A26708">
      <w:pPr>
        <w:pStyle w:val="afffffe"/>
        <w:framePr w:wrap="around"/>
      </w:pPr>
      <w:r>
        <w:rPr>
          <w:rFonts w:hint="eastAsia"/>
        </w:rPr>
        <w:t>中国核学会</w:t>
      </w:r>
      <w:r>
        <w:rPr>
          <w:rFonts w:ascii="MS Mincho" w:eastAsia="MS Mincho" w:hAnsi="MS Mincho" w:cs="MS Mincho" w:hint="eastAsia"/>
        </w:rPr>
        <w:t>   </w:t>
      </w:r>
      <w:r>
        <w:rPr>
          <w:rStyle w:val="affff7"/>
          <w:rFonts w:hint="eastAsia"/>
        </w:rPr>
        <w:t>发布</w:t>
      </w:r>
    </w:p>
    <w:p w14:paraId="40D35713" w14:textId="77777777" w:rsidR="007D68B8" w:rsidRDefault="00A26708">
      <w:pPr>
        <w:pStyle w:val="afff1"/>
        <w:sectPr w:rsidR="007D68B8">
          <w:headerReference w:type="even" r:id="rId9"/>
          <w:footerReference w:type="even" r:id="rId10"/>
          <w:pgSz w:w="11906" w:h="16838"/>
          <w:pgMar w:top="567" w:right="1134" w:bottom="1134" w:left="1417"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14:anchorId="05F765F0" wp14:editId="7F0E4C13">
                <wp:simplePos x="0" y="0"/>
                <wp:positionH relativeFrom="column">
                  <wp:posOffset>-635</wp:posOffset>
                </wp:positionH>
                <wp:positionV relativeFrom="paragraph">
                  <wp:posOffset>2339340</wp:posOffset>
                </wp:positionV>
                <wp:extent cx="6120130" cy="0"/>
                <wp:effectExtent l="0" t="0" r="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Line 11" o:spid="_x0000_s1026" o:spt="20" style="position:absolute;left:0pt;margin-left:-0.05pt;margin-top:184.2pt;height:0pt;width:481.9pt;z-index:251660288;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F1vAI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14:paraId="06C03DB6" w14:textId="77777777" w:rsidR="007D68B8" w:rsidRDefault="00A26708">
      <w:pPr>
        <w:pStyle w:val="afffc"/>
        <w:rPr>
          <w:rFonts w:hAnsi="黑体"/>
        </w:rPr>
      </w:pPr>
      <w:bookmarkStart w:id="7" w:name="_Toc48658960"/>
      <w:bookmarkStart w:id="8" w:name="_Toc2333"/>
      <w:r>
        <w:rPr>
          <w:rFonts w:hAnsi="黑体" w:hint="eastAsia"/>
        </w:rPr>
        <w:lastRenderedPageBreak/>
        <w:t>目</w:t>
      </w:r>
      <w:bookmarkStart w:id="9" w:name="BKML"/>
      <w:r>
        <w:rPr>
          <w:rFonts w:hAnsi="黑体" w:cs="MS Mincho"/>
        </w:rPr>
        <w:t>  </w:t>
      </w:r>
      <w:r>
        <w:rPr>
          <w:rFonts w:hAnsi="黑体" w:hint="eastAsia"/>
        </w:rPr>
        <w:t>次</w:t>
      </w:r>
      <w:bookmarkEnd w:id="7"/>
      <w:bookmarkEnd w:id="8"/>
      <w:bookmarkEnd w:id="9"/>
    </w:p>
    <w:sdt>
      <w:sdtPr>
        <w:rPr>
          <w:rFonts w:ascii="Times New Roman"/>
          <w:szCs w:val="24"/>
          <w:lang w:val="zh-CN"/>
        </w:rPr>
        <w:id w:val="-283963139"/>
        <w:docPartObj>
          <w:docPartGallery w:val="Table of Contents"/>
          <w:docPartUnique/>
        </w:docPartObj>
      </w:sdtPr>
      <w:sdtEndPr>
        <w:rPr>
          <w:b/>
          <w:bCs/>
        </w:rPr>
      </w:sdtEndPr>
      <w:sdtContent>
        <w:p w14:paraId="180C1F60" w14:textId="77777777" w:rsidR="007D68B8" w:rsidRDefault="00A26708">
          <w:pPr>
            <w:pStyle w:val="TOC1"/>
            <w:spacing w:before="78" w:after="78"/>
            <w:rPr>
              <w:b/>
              <w:bCs/>
              <w:lang w:val="zh-CN"/>
            </w:rPr>
          </w:pPr>
          <w:r>
            <w:rPr>
              <w:rFonts w:asciiTheme="majorHAnsi" w:eastAsiaTheme="majorEastAsia" w:hAnsiTheme="majorHAnsi" w:cstheme="majorBidi"/>
              <w:kern w:val="0"/>
              <w:sz w:val="32"/>
              <w:szCs w:val="32"/>
            </w:rPr>
            <w:fldChar w:fldCharType="begin"/>
          </w:r>
          <w:r>
            <w:instrText xml:space="preserve"> TOC \o "1-3" \h \z \u </w:instrText>
          </w:r>
          <w:r>
            <w:rPr>
              <w:rFonts w:asciiTheme="majorHAnsi" w:eastAsiaTheme="majorEastAsia" w:hAnsiTheme="majorHAnsi" w:cstheme="majorBidi"/>
              <w:kern w:val="0"/>
              <w:sz w:val="32"/>
              <w:szCs w:val="32"/>
            </w:rPr>
            <w:fldChar w:fldCharType="separate"/>
          </w:r>
        </w:p>
        <w:p w14:paraId="241C5874" w14:textId="77777777" w:rsidR="007D68B8" w:rsidRDefault="009E4405">
          <w:pPr>
            <w:pStyle w:val="TOC1"/>
            <w:tabs>
              <w:tab w:val="clear" w:pos="9241"/>
              <w:tab w:val="right" w:leader="dot" w:pos="9355"/>
            </w:tabs>
            <w:spacing w:before="78" w:after="78"/>
          </w:pPr>
          <w:hyperlink w:anchor="_Toc20221" w:history="1">
            <w:r w:rsidR="00A26708">
              <w:rPr>
                <w:rFonts w:hint="eastAsia"/>
              </w:rPr>
              <w:t>前言</w:t>
            </w:r>
            <w:r w:rsidR="00A26708">
              <w:tab/>
            </w:r>
            <w:r w:rsidR="00A26708">
              <w:fldChar w:fldCharType="begin"/>
            </w:r>
            <w:r w:rsidR="00A26708">
              <w:instrText xml:space="preserve"> PAGEREF _Toc20221 \h </w:instrText>
            </w:r>
            <w:r w:rsidR="00A26708">
              <w:fldChar w:fldCharType="separate"/>
            </w:r>
            <w:r w:rsidR="00A26708">
              <w:t>II</w:t>
            </w:r>
            <w:r w:rsidR="00A26708">
              <w:fldChar w:fldCharType="end"/>
            </w:r>
          </w:hyperlink>
        </w:p>
        <w:p w14:paraId="6E7A24EB" w14:textId="77777777" w:rsidR="007D68B8" w:rsidRDefault="009E4405">
          <w:pPr>
            <w:pStyle w:val="TOC2"/>
            <w:tabs>
              <w:tab w:val="clear" w:pos="9241"/>
              <w:tab w:val="right" w:leader="dot" w:pos="9355"/>
            </w:tabs>
          </w:pPr>
          <w:hyperlink w:anchor="_Toc23107" w:history="1">
            <w:r w:rsidR="00A26708">
              <w:rPr>
                <w:rFonts w:ascii="黑体" w:eastAsia="黑体" w:hint="eastAsia"/>
              </w:rPr>
              <w:t xml:space="preserve">1 </w:t>
            </w:r>
            <w:r w:rsidR="00A26708">
              <w:rPr>
                <w:rFonts w:hint="eastAsia"/>
              </w:rPr>
              <w:t>范围</w:t>
            </w:r>
            <w:r w:rsidR="00A26708">
              <w:tab/>
            </w:r>
            <w:r w:rsidR="00A26708">
              <w:fldChar w:fldCharType="begin"/>
            </w:r>
            <w:r w:rsidR="00A26708">
              <w:instrText xml:space="preserve"> PAGEREF _Toc23107 \h </w:instrText>
            </w:r>
            <w:r w:rsidR="00A26708">
              <w:fldChar w:fldCharType="separate"/>
            </w:r>
            <w:r w:rsidR="00A26708">
              <w:t>1</w:t>
            </w:r>
            <w:r w:rsidR="00A26708">
              <w:fldChar w:fldCharType="end"/>
            </w:r>
          </w:hyperlink>
        </w:p>
        <w:p w14:paraId="5EE72FD9" w14:textId="77777777" w:rsidR="007D68B8" w:rsidRDefault="009E4405">
          <w:pPr>
            <w:pStyle w:val="TOC2"/>
            <w:tabs>
              <w:tab w:val="clear" w:pos="9241"/>
              <w:tab w:val="right" w:leader="dot" w:pos="9355"/>
            </w:tabs>
          </w:pPr>
          <w:hyperlink w:anchor="_Toc12082" w:history="1">
            <w:r w:rsidR="00A26708">
              <w:rPr>
                <w:rFonts w:ascii="黑体" w:eastAsia="黑体" w:hint="eastAsia"/>
              </w:rPr>
              <w:t xml:space="preserve">2 </w:t>
            </w:r>
            <w:r w:rsidR="00A26708">
              <w:rPr>
                <w:rFonts w:hint="eastAsia"/>
              </w:rPr>
              <w:t>规范性引用文件</w:t>
            </w:r>
            <w:r w:rsidR="00A26708">
              <w:tab/>
            </w:r>
            <w:r w:rsidR="00A26708">
              <w:fldChar w:fldCharType="begin"/>
            </w:r>
            <w:r w:rsidR="00A26708">
              <w:instrText xml:space="preserve"> PAGEREF _Toc12082 \h </w:instrText>
            </w:r>
            <w:r w:rsidR="00A26708">
              <w:fldChar w:fldCharType="separate"/>
            </w:r>
            <w:r w:rsidR="00A26708">
              <w:t>1</w:t>
            </w:r>
            <w:r w:rsidR="00A26708">
              <w:fldChar w:fldCharType="end"/>
            </w:r>
          </w:hyperlink>
        </w:p>
        <w:p w14:paraId="662387FF" w14:textId="77777777" w:rsidR="007D68B8" w:rsidRDefault="009E4405">
          <w:pPr>
            <w:pStyle w:val="TOC2"/>
            <w:tabs>
              <w:tab w:val="clear" w:pos="9241"/>
              <w:tab w:val="right" w:leader="dot" w:pos="9355"/>
            </w:tabs>
          </w:pPr>
          <w:hyperlink w:anchor="_Toc25552" w:history="1">
            <w:r w:rsidR="00A26708">
              <w:rPr>
                <w:rFonts w:ascii="黑体" w:eastAsia="黑体" w:hint="eastAsia"/>
              </w:rPr>
              <w:t xml:space="preserve">3 </w:t>
            </w:r>
            <w:r w:rsidR="00A26708">
              <w:rPr>
                <w:rFonts w:hint="eastAsia"/>
              </w:rPr>
              <w:t>术语和定义</w:t>
            </w:r>
            <w:r w:rsidR="00A26708">
              <w:tab/>
            </w:r>
            <w:r w:rsidR="00A26708">
              <w:fldChar w:fldCharType="begin"/>
            </w:r>
            <w:r w:rsidR="00A26708">
              <w:instrText xml:space="preserve"> PAGEREF _Toc25552 \h </w:instrText>
            </w:r>
            <w:r w:rsidR="00A26708">
              <w:fldChar w:fldCharType="separate"/>
            </w:r>
            <w:r w:rsidR="00A26708">
              <w:t>1</w:t>
            </w:r>
            <w:r w:rsidR="00A26708">
              <w:fldChar w:fldCharType="end"/>
            </w:r>
          </w:hyperlink>
        </w:p>
        <w:p w14:paraId="7C253E9D" w14:textId="77777777" w:rsidR="007D68B8" w:rsidRDefault="009E4405">
          <w:pPr>
            <w:pStyle w:val="TOC2"/>
            <w:tabs>
              <w:tab w:val="clear" w:pos="9241"/>
              <w:tab w:val="right" w:leader="dot" w:pos="9355"/>
            </w:tabs>
          </w:pPr>
          <w:hyperlink w:anchor="_Toc18695" w:history="1">
            <w:r w:rsidR="00A26708">
              <w:rPr>
                <w:rFonts w:ascii="黑体" w:eastAsia="黑体" w:hint="eastAsia"/>
              </w:rPr>
              <w:t xml:space="preserve">4 </w:t>
            </w:r>
            <w:r w:rsidR="00A26708">
              <w:rPr>
                <w:rFonts w:hint="eastAsia"/>
              </w:rPr>
              <w:t>样品描述</w:t>
            </w:r>
            <w:r w:rsidR="00A26708">
              <w:tab/>
            </w:r>
            <w:r w:rsidR="00A26708">
              <w:fldChar w:fldCharType="begin"/>
            </w:r>
            <w:r w:rsidR="00A26708">
              <w:instrText xml:space="preserve"> PAGEREF _Toc18695 \h </w:instrText>
            </w:r>
            <w:r w:rsidR="00A26708">
              <w:fldChar w:fldCharType="separate"/>
            </w:r>
            <w:r w:rsidR="00A26708">
              <w:t>2</w:t>
            </w:r>
            <w:r w:rsidR="00A26708">
              <w:fldChar w:fldCharType="end"/>
            </w:r>
          </w:hyperlink>
        </w:p>
        <w:p w14:paraId="3BE00C57" w14:textId="77777777" w:rsidR="007D68B8" w:rsidRDefault="009E4405">
          <w:pPr>
            <w:pStyle w:val="TOC3"/>
            <w:tabs>
              <w:tab w:val="clear" w:pos="9241"/>
              <w:tab w:val="right" w:leader="dot" w:pos="9355"/>
            </w:tabs>
            <w:ind w:firstLine="210"/>
          </w:pPr>
          <w:hyperlink w:anchor="_Toc11108" w:history="1">
            <w:r w:rsidR="00A26708">
              <w:rPr>
                <w:rFonts w:ascii="黑体" w:eastAsia="黑体" w:hint="eastAsia"/>
                <w:kern w:val="0"/>
              </w:rPr>
              <w:t xml:space="preserve">4.1 </w:t>
            </w:r>
            <w:r w:rsidR="00A26708">
              <w:rPr>
                <w:rFonts w:hint="eastAsia"/>
              </w:rPr>
              <w:t>试品制作要求</w:t>
            </w:r>
            <w:r w:rsidR="00A26708">
              <w:tab/>
            </w:r>
            <w:r w:rsidR="00A26708">
              <w:fldChar w:fldCharType="begin"/>
            </w:r>
            <w:r w:rsidR="00A26708">
              <w:instrText xml:space="preserve"> PAGEREF _Toc11108 \h </w:instrText>
            </w:r>
            <w:r w:rsidR="00A26708">
              <w:fldChar w:fldCharType="separate"/>
            </w:r>
            <w:r w:rsidR="00A26708">
              <w:t>2</w:t>
            </w:r>
            <w:r w:rsidR="00A26708">
              <w:fldChar w:fldCharType="end"/>
            </w:r>
          </w:hyperlink>
        </w:p>
        <w:p w14:paraId="1D463076" w14:textId="77777777" w:rsidR="007D68B8" w:rsidRDefault="009E4405">
          <w:pPr>
            <w:pStyle w:val="TOC3"/>
            <w:tabs>
              <w:tab w:val="clear" w:pos="9241"/>
              <w:tab w:val="right" w:leader="dot" w:pos="9355"/>
            </w:tabs>
            <w:ind w:firstLine="210"/>
          </w:pPr>
          <w:hyperlink w:anchor="_Toc21568" w:history="1">
            <w:r w:rsidR="00A26708">
              <w:rPr>
                <w:rFonts w:ascii="黑体" w:eastAsia="黑体" w:hint="eastAsia"/>
                <w:kern w:val="0"/>
              </w:rPr>
              <w:t xml:space="preserve">4.2 </w:t>
            </w:r>
            <w:r w:rsidR="00A26708">
              <w:rPr>
                <w:rFonts w:hint="eastAsia"/>
              </w:rPr>
              <w:t>实际运行条件及要求</w:t>
            </w:r>
            <w:r w:rsidR="00A26708">
              <w:tab/>
            </w:r>
            <w:r w:rsidR="00A26708">
              <w:fldChar w:fldCharType="begin"/>
            </w:r>
            <w:r w:rsidR="00A26708">
              <w:instrText xml:space="preserve"> PAGEREF _Toc21568 \h </w:instrText>
            </w:r>
            <w:r w:rsidR="00A26708">
              <w:fldChar w:fldCharType="separate"/>
            </w:r>
            <w:r w:rsidR="00A26708">
              <w:t>3</w:t>
            </w:r>
            <w:r w:rsidR="00A26708">
              <w:fldChar w:fldCharType="end"/>
            </w:r>
          </w:hyperlink>
        </w:p>
        <w:p w14:paraId="28BDE3F4" w14:textId="77777777" w:rsidR="007D68B8" w:rsidRDefault="009E4405">
          <w:pPr>
            <w:pStyle w:val="TOC2"/>
            <w:tabs>
              <w:tab w:val="clear" w:pos="9241"/>
              <w:tab w:val="right" w:leader="dot" w:pos="9355"/>
            </w:tabs>
          </w:pPr>
          <w:hyperlink w:anchor="_Toc26819" w:history="1">
            <w:r w:rsidR="00A26708">
              <w:rPr>
                <w:rFonts w:ascii="黑体" w:eastAsia="黑体" w:hint="eastAsia"/>
              </w:rPr>
              <w:t xml:space="preserve">5 </w:t>
            </w:r>
            <w:r w:rsidR="00A26708">
              <w:rPr>
                <w:rFonts w:hint="eastAsia"/>
              </w:rPr>
              <w:t>试验要求</w:t>
            </w:r>
            <w:r w:rsidR="00A26708">
              <w:tab/>
            </w:r>
            <w:r w:rsidR="00A26708">
              <w:fldChar w:fldCharType="begin"/>
            </w:r>
            <w:r w:rsidR="00A26708">
              <w:instrText xml:space="preserve"> PAGEREF _Toc26819 \h </w:instrText>
            </w:r>
            <w:r w:rsidR="00A26708">
              <w:fldChar w:fldCharType="separate"/>
            </w:r>
            <w:r w:rsidR="00A26708">
              <w:t>3</w:t>
            </w:r>
            <w:r w:rsidR="00A26708">
              <w:fldChar w:fldCharType="end"/>
            </w:r>
          </w:hyperlink>
        </w:p>
        <w:p w14:paraId="17DECD40" w14:textId="77777777" w:rsidR="007D68B8" w:rsidRDefault="009E4405">
          <w:pPr>
            <w:pStyle w:val="TOC3"/>
            <w:tabs>
              <w:tab w:val="clear" w:pos="9241"/>
              <w:tab w:val="right" w:leader="dot" w:pos="9355"/>
            </w:tabs>
            <w:ind w:firstLine="210"/>
          </w:pPr>
          <w:hyperlink w:anchor="_Toc16676" w:history="1">
            <w:r w:rsidR="00A26708">
              <w:rPr>
                <w:rFonts w:ascii="黑体" w:eastAsia="黑体" w:hint="eastAsia"/>
                <w:kern w:val="0"/>
              </w:rPr>
              <w:t xml:space="preserve">5.1 </w:t>
            </w:r>
            <w:r w:rsidR="00A26708">
              <w:rPr>
                <w:rFonts w:hint="eastAsia"/>
              </w:rPr>
              <w:t>概述</w:t>
            </w:r>
            <w:r w:rsidR="00A26708">
              <w:tab/>
            </w:r>
            <w:r w:rsidR="00A26708">
              <w:fldChar w:fldCharType="begin"/>
            </w:r>
            <w:r w:rsidR="00A26708">
              <w:instrText xml:space="preserve"> PAGEREF _Toc16676 \h </w:instrText>
            </w:r>
            <w:r w:rsidR="00A26708">
              <w:fldChar w:fldCharType="separate"/>
            </w:r>
            <w:r w:rsidR="00A26708">
              <w:t>3</w:t>
            </w:r>
            <w:r w:rsidR="00A26708">
              <w:fldChar w:fldCharType="end"/>
            </w:r>
          </w:hyperlink>
        </w:p>
        <w:p w14:paraId="5974E046" w14:textId="77777777" w:rsidR="007D68B8" w:rsidRDefault="009E4405">
          <w:pPr>
            <w:pStyle w:val="TOC3"/>
            <w:tabs>
              <w:tab w:val="clear" w:pos="9241"/>
              <w:tab w:val="right" w:leader="dot" w:pos="9355"/>
            </w:tabs>
            <w:ind w:firstLine="210"/>
          </w:pPr>
          <w:hyperlink w:anchor="_Toc27825" w:history="1">
            <w:r w:rsidR="00A26708">
              <w:rPr>
                <w:rFonts w:ascii="黑体" w:eastAsia="黑体" w:hint="eastAsia"/>
                <w:kern w:val="0"/>
              </w:rPr>
              <w:t xml:space="preserve">5.2 </w:t>
            </w:r>
            <w:r w:rsidR="00A26708">
              <w:rPr>
                <w:rFonts w:hint="eastAsia"/>
              </w:rPr>
              <w:t>加速模型的选择</w:t>
            </w:r>
            <w:r w:rsidR="00A26708">
              <w:tab/>
            </w:r>
            <w:r w:rsidR="00A26708">
              <w:fldChar w:fldCharType="begin"/>
            </w:r>
            <w:r w:rsidR="00A26708">
              <w:instrText xml:space="preserve"> PAGEREF _Toc27825 \h </w:instrText>
            </w:r>
            <w:r w:rsidR="00A26708">
              <w:fldChar w:fldCharType="separate"/>
            </w:r>
            <w:r w:rsidR="00A26708">
              <w:t>3</w:t>
            </w:r>
            <w:r w:rsidR="00A26708">
              <w:fldChar w:fldCharType="end"/>
            </w:r>
          </w:hyperlink>
        </w:p>
        <w:p w14:paraId="73CCB6F7" w14:textId="77777777" w:rsidR="007D68B8" w:rsidRDefault="009E4405">
          <w:pPr>
            <w:pStyle w:val="TOC3"/>
            <w:tabs>
              <w:tab w:val="clear" w:pos="9241"/>
              <w:tab w:val="right" w:leader="dot" w:pos="9355"/>
            </w:tabs>
            <w:ind w:firstLine="210"/>
          </w:pPr>
          <w:hyperlink w:anchor="_Toc10411" w:history="1">
            <w:r w:rsidR="00A26708">
              <w:rPr>
                <w:rFonts w:ascii="黑体" w:eastAsia="黑体" w:hint="eastAsia"/>
                <w:kern w:val="0"/>
              </w:rPr>
              <w:t xml:space="preserve">5.3 </w:t>
            </w:r>
            <w:r w:rsidR="00A26708">
              <w:rPr>
                <w:rFonts w:hint="eastAsia"/>
              </w:rPr>
              <w:t>试验温度水平和分周期时间</w:t>
            </w:r>
            <w:r w:rsidR="00A26708">
              <w:tab/>
            </w:r>
            <w:r w:rsidR="00A26708">
              <w:fldChar w:fldCharType="begin"/>
            </w:r>
            <w:r w:rsidR="00A26708">
              <w:instrText xml:space="preserve"> PAGEREF _Toc10411 \h </w:instrText>
            </w:r>
            <w:r w:rsidR="00A26708">
              <w:fldChar w:fldCharType="separate"/>
            </w:r>
            <w:r w:rsidR="00A26708">
              <w:t>3</w:t>
            </w:r>
            <w:r w:rsidR="00A26708">
              <w:fldChar w:fldCharType="end"/>
            </w:r>
          </w:hyperlink>
        </w:p>
        <w:p w14:paraId="0F942442" w14:textId="77777777" w:rsidR="007D68B8" w:rsidRDefault="009E4405">
          <w:pPr>
            <w:pStyle w:val="TOC3"/>
            <w:tabs>
              <w:tab w:val="clear" w:pos="9241"/>
              <w:tab w:val="right" w:leader="dot" w:pos="9355"/>
            </w:tabs>
            <w:ind w:firstLine="210"/>
          </w:pPr>
          <w:hyperlink w:anchor="_Toc25289" w:history="1">
            <w:r w:rsidR="00A26708">
              <w:rPr>
                <w:rFonts w:ascii="黑体" w:eastAsia="黑体" w:hint="eastAsia"/>
                <w:kern w:val="0"/>
              </w:rPr>
              <w:t xml:space="preserve">5.4 </w:t>
            </w:r>
            <w:r w:rsidR="00A26708">
              <w:rPr>
                <w:rFonts w:hint="eastAsia"/>
              </w:rPr>
              <w:t>试验样本的选取和分组</w:t>
            </w:r>
            <w:r w:rsidR="00A26708">
              <w:tab/>
            </w:r>
            <w:r w:rsidR="00A26708">
              <w:fldChar w:fldCharType="begin"/>
            </w:r>
            <w:r w:rsidR="00A26708">
              <w:instrText xml:space="preserve"> PAGEREF _Toc25289 \h </w:instrText>
            </w:r>
            <w:r w:rsidR="00A26708">
              <w:fldChar w:fldCharType="separate"/>
            </w:r>
            <w:r w:rsidR="00A26708">
              <w:t>4</w:t>
            </w:r>
            <w:r w:rsidR="00A26708">
              <w:fldChar w:fldCharType="end"/>
            </w:r>
          </w:hyperlink>
        </w:p>
        <w:p w14:paraId="413FBBA3" w14:textId="77777777" w:rsidR="007D68B8" w:rsidRDefault="009E4405">
          <w:pPr>
            <w:pStyle w:val="TOC3"/>
            <w:tabs>
              <w:tab w:val="clear" w:pos="9241"/>
              <w:tab w:val="right" w:leader="dot" w:pos="9355"/>
            </w:tabs>
            <w:ind w:firstLine="210"/>
          </w:pPr>
          <w:hyperlink w:anchor="_Toc11390" w:history="1">
            <w:r w:rsidR="00A26708">
              <w:rPr>
                <w:rFonts w:ascii="黑体" w:eastAsia="黑体" w:hint="eastAsia"/>
                <w:kern w:val="0"/>
              </w:rPr>
              <w:t xml:space="preserve">5.5 </w:t>
            </w:r>
            <w:r w:rsidR="00A26708">
              <w:rPr>
                <w:rFonts w:hint="eastAsia"/>
              </w:rPr>
              <w:t>诊断试验</w:t>
            </w:r>
            <w:r w:rsidR="00A26708">
              <w:tab/>
            </w:r>
            <w:r w:rsidR="00A26708">
              <w:fldChar w:fldCharType="begin"/>
            </w:r>
            <w:r w:rsidR="00A26708">
              <w:instrText xml:space="preserve"> PAGEREF _Toc11390 \h </w:instrText>
            </w:r>
            <w:r w:rsidR="00A26708">
              <w:fldChar w:fldCharType="separate"/>
            </w:r>
            <w:r w:rsidR="00A26708">
              <w:t>4</w:t>
            </w:r>
            <w:r w:rsidR="00A26708">
              <w:fldChar w:fldCharType="end"/>
            </w:r>
          </w:hyperlink>
        </w:p>
        <w:p w14:paraId="450E36E1" w14:textId="77777777" w:rsidR="007D68B8" w:rsidRDefault="009E4405">
          <w:pPr>
            <w:pStyle w:val="TOC3"/>
            <w:tabs>
              <w:tab w:val="clear" w:pos="9241"/>
              <w:tab w:val="right" w:leader="dot" w:pos="9355"/>
            </w:tabs>
            <w:ind w:firstLine="210"/>
          </w:pPr>
          <w:hyperlink w:anchor="_Toc24736" w:history="1">
            <w:r w:rsidR="00A26708">
              <w:rPr>
                <w:rFonts w:ascii="黑体" w:eastAsia="黑体" w:hint="eastAsia"/>
                <w:kern w:val="0"/>
              </w:rPr>
              <w:t xml:space="preserve">5.6 </w:t>
            </w:r>
            <w:r w:rsidR="00A26708">
              <w:rPr>
                <w:rFonts w:hint="eastAsia"/>
              </w:rPr>
              <w:t>故障判据和试验停止时间</w:t>
            </w:r>
            <w:r w:rsidR="00A26708">
              <w:tab/>
            </w:r>
            <w:r w:rsidR="00A26708">
              <w:fldChar w:fldCharType="begin"/>
            </w:r>
            <w:r w:rsidR="00A26708">
              <w:instrText xml:space="preserve"> PAGEREF _Toc24736 \h </w:instrText>
            </w:r>
            <w:r w:rsidR="00A26708">
              <w:fldChar w:fldCharType="separate"/>
            </w:r>
            <w:r w:rsidR="00A26708">
              <w:t>4</w:t>
            </w:r>
            <w:r w:rsidR="00A26708">
              <w:fldChar w:fldCharType="end"/>
            </w:r>
          </w:hyperlink>
        </w:p>
        <w:p w14:paraId="4D5C2756" w14:textId="77777777" w:rsidR="007D68B8" w:rsidRDefault="009E4405">
          <w:pPr>
            <w:pStyle w:val="TOC2"/>
            <w:tabs>
              <w:tab w:val="clear" w:pos="9241"/>
              <w:tab w:val="right" w:leader="dot" w:pos="9355"/>
            </w:tabs>
          </w:pPr>
          <w:hyperlink w:anchor="_Toc25639" w:history="1">
            <w:r w:rsidR="00A26708">
              <w:rPr>
                <w:rFonts w:ascii="黑体" w:eastAsia="黑体" w:hint="eastAsia"/>
              </w:rPr>
              <w:t xml:space="preserve">6 </w:t>
            </w:r>
            <w:r w:rsidR="00A26708">
              <w:rPr>
                <w:rFonts w:hint="eastAsia"/>
              </w:rPr>
              <w:t>试验程序</w:t>
            </w:r>
            <w:r w:rsidR="00A26708">
              <w:tab/>
            </w:r>
            <w:r w:rsidR="00A26708">
              <w:fldChar w:fldCharType="begin"/>
            </w:r>
            <w:r w:rsidR="00A26708">
              <w:instrText xml:space="preserve"> PAGEREF _Toc25639 \h </w:instrText>
            </w:r>
            <w:r w:rsidR="00A26708">
              <w:fldChar w:fldCharType="separate"/>
            </w:r>
            <w:r w:rsidR="00A26708">
              <w:t>4</w:t>
            </w:r>
            <w:r w:rsidR="00A26708">
              <w:fldChar w:fldCharType="end"/>
            </w:r>
          </w:hyperlink>
        </w:p>
        <w:p w14:paraId="635DE0A9" w14:textId="77777777" w:rsidR="007D68B8" w:rsidRDefault="009E4405">
          <w:pPr>
            <w:pStyle w:val="TOC3"/>
            <w:tabs>
              <w:tab w:val="clear" w:pos="9241"/>
              <w:tab w:val="right" w:leader="dot" w:pos="9355"/>
            </w:tabs>
            <w:ind w:firstLine="210"/>
          </w:pPr>
          <w:hyperlink w:anchor="_Toc16060" w:history="1">
            <w:r w:rsidR="00A26708">
              <w:rPr>
                <w:rFonts w:ascii="黑体" w:eastAsia="黑体" w:hint="eastAsia"/>
                <w:kern w:val="0"/>
              </w:rPr>
              <w:t xml:space="preserve">6.1 </w:t>
            </w:r>
            <w:r w:rsidR="00A26708">
              <w:rPr>
                <w:rFonts w:hint="eastAsia"/>
              </w:rPr>
              <w:t>氦气氛围相容性测试</w:t>
            </w:r>
            <w:r w:rsidR="00A26708">
              <w:tab/>
            </w:r>
            <w:r w:rsidR="00A26708">
              <w:fldChar w:fldCharType="begin"/>
            </w:r>
            <w:r w:rsidR="00A26708">
              <w:instrText xml:space="preserve"> PAGEREF _Toc16060 \h </w:instrText>
            </w:r>
            <w:r w:rsidR="00A26708">
              <w:fldChar w:fldCharType="separate"/>
            </w:r>
            <w:r w:rsidR="00A26708">
              <w:t>4</w:t>
            </w:r>
            <w:r w:rsidR="00A26708">
              <w:fldChar w:fldCharType="end"/>
            </w:r>
          </w:hyperlink>
        </w:p>
        <w:p w14:paraId="2380AC1B" w14:textId="77777777" w:rsidR="007D68B8" w:rsidRDefault="009E4405">
          <w:pPr>
            <w:pStyle w:val="TOC3"/>
            <w:tabs>
              <w:tab w:val="clear" w:pos="9241"/>
              <w:tab w:val="right" w:leader="dot" w:pos="9355"/>
            </w:tabs>
            <w:ind w:firstLine="210"/>
          </w:pPr>
          <w:hyperlink w:anchor="_Toc28846" w:history="1">
            <w:r w:rsidR="00A26708">
              <w:rPr>
                <w:rFonts w:ascii="黑体" w:eastAsia="黑体" w:hint="eastAsia"/>
                <w:kern w:val="0"/>
              </w:rPr>
              <w:t xml:space="preserve">6.2 </w:t>
            </w:r>
            <w:r w:rsidR="00A26708">
              <w:rPr>
                <w:rFonts w:hint="eastAsia"/>
              </w:rPr>
              <w:t>质量保证试验</w:t>
            </w:r>
            <w:r w:rsidR="00A26708">
              <w:tab/>
            </w:r>
            <w:r w:rsidR="00A26708">
              <w:fldChar w:fldCharType="begin"/>
            </w:r>
            <w:r w:rsidR="00A26708">
              <w:instrText xml:space="preserve"> PAGEREF _Toc28846 \h </w:instrText>
            </w:r>
            <w:r w:rsidR="00A26708">
              <w:fldChar w:fldCharType="separate"/>
            </w:r>
            <w:r w:rsidR="00A26708">
              <w:t>5</w:t>
            </w:r>
            <w:r w:rsidR="00A26708">
              <w:fldChar w:fldCharType="end"/>
            </w:r>
          </w:hyperlink>
        </w:p>
        <w:p w14:paraId="1A575330" w14:textId="77777777" w:rsidR="007D68B8" w:rsidRDefault="009E4405">
          <w:pPr>
            <w:pStyle w:val="TOC3"/>
            <w:tabs>
              <w:tab w:val="clear" w:pos="9241"/>
              <w:tab w:val="right" w:leader="dot" w:pos="9355"/>
            </w:tabs>
            <w:ind w:firstLine="210"/>
          </w:pPr>
          <w:hyperlink w:anchor="_Toc566" w:history="1">
            <w:r w:rsidR="00A26708">
              <w:rPr>
                <w:rFonts w:ascii="黑体" w:eastAsia="黑体" w:hint="eastAsia"/>
                <w:kern w:val="0"/>
              </w:rPr>
              <w:t xml:space="preserve">6.3 </w:t>
            </w:r>
            <w:r w:rsidR="00A26708">
              <w:rPr>
                <w:rFonts w:hint="eastAsia"/>
              </w:rPr>
              <w:t>热失重分析试验</w:t>
            </w:r>
            <w:r w:rsidR="00A26708">
              <w:tab/>
            </w:r>
            <w:r w:rsidR="00A26708">
              <w:fldChar w:fldCharType="begin"/>
            </w:r>
            <w:r w:rsidR="00A26708">
              <w:instrText xml:space="preserve"> PAGEREF _Toc566 \h </w:instrText>
            </w:r>
            <w:r w:rsidR="00A26708">
              <w:fldChar w:fldCharType="separate"/>
            </w:r>
            <w:r w:rsidR="00A26708">
              <w:t>5</w:t>
            </w:r>
            <w:r w:rsidR="00A26708">
              <w:fldChar w:fldCharType="end"/>
            </w:r>
          </w:hyperlink>
        </w:p>
        <w:p w14:paraId="231F27F0" w14:textId="77777777" w:rsidR="007D68B8" w:rsidRDefault="009E4405">
          <w:pPr>
            <w:pStyle w:val="TOC3"/>
            <w:tabs>
              <w:tab w:val="clear" w:pos="9241"/>
              <w:tab w:val="right" w:leader="dot" w:pos="9355"/>
            </w:tabs>
            <w:ind w:firstLine="210"/>
          </w:pPr>
          <w:hyperlink w:anchor="_Toc21043" w:history="1">
            <w:r w:rsidR="00A26708">
              <w:rPr>
                <w:rFonts w:ascii="黑体" w:eastAsia="黑体" w:hint="eastAsia"/>
                <w:kern w:val="0"/>
              </w:rPr>
              <w:t xml:space="preserve">6.4 </w:t>
            </w:r>
            <w:r w:rsidR="00A26708">
              <w:rPr>
                <w:rFonts w:hint="eastAsia"/>
              </w:rPr>
              <w:t>初始诊断试验</w:t>
            </w:r>
            <w:r w:rsidR="00A26708">
              <w:tab/>
            </w:r>
            <w:r w:rsidR="00A26708">
              <w:fldChar w:fldCharType="begin"/>
            </w:r>
            <w:r w:rsidR="00A26708">
              <w:instrText xml:space="preserve"> PAGEREF _Toc21043 \h </w:instrText>
            </w:r>
            <w:r w:rsidR="00A26708">
              <w:fldChar w:fldCharType="separate"/>
            </w:r>
            <w:r w:rsidR="00A26708">
              <w:t>5</w:t>
            </w:r>
            <w:r w:rsidR="00A26708">
              <w:fldChar w:fldCharType="end"/>
            </w:r>
          </w:hyperlink>
        </w:p>
        <w:p w14:paraId="7D4BF14F" w14:textId="77777777" w:rsidR="007D68B8" w:rsidRDefault="009E4405">
          <w:pPr>
            <w:pStyle w:val="TOC3"/>
            <w:tabs>
              <w:tab w:val="clear" w:pos="9241"/>
              <w:tab w:val="right" w:leader="dot" w:pos="9355"/>
            </w:tabs>
            <w:ind w:firstLine="210"/>
          </w:pPr>
          <w:hyperlink w:anchor="_Toc9329" w:history="1">
            <w:r w:rsidR="00A26708">
              <w:rPr>
                <w:rFonts w:ascii="黑体" w:eastAsia="黑体" w:hint="eastAsia"/>
                <w:kern w:val="0"/>
              </w:rPr>
              <w:t xml:space="preserve">6.5 </w:t>
            </w:r>
            <w:r w:rsidR="00A26708">
              <w:rPr>
                <w:rFonts w:hint="eastAsia"/>
              </w:rPr>
              <w:t>辐照试验</w:t>
            </w:r>
            <w:r w:rsidR="00A26708">
              <w:tab/>
            </w:r>
            <w:r w:rsidR="00A26708">
              <w:fldChar w:fldCharType="begin"/>
            </w:r>
            <w:r w:rsidR="00A26708">
              <w:instrText xml:space="preserve"> PAGEREF _Toc9329 \h </w:instrText>
            </w:r>
            <w:r w:rsidR="00A26708">
              <w:fldChar w:fldCharType="separate"/>
            </w:r>
            <w:r w:rsidR="00A26708">
              <w:t>5</w:t>
            </w:r>
            <w:r w:rsidR="00A26708">
              <w:fldChar w:fldCharType="end"/>
            </w:r>
          </w:hyperlink>
        </w:p>
        <w:p w14:paraId="65755CB5" w14:textId="77777777" w:rsidR="007D68B8" w:rsidRDefault="009E4405">
          <w:pPr>
            <w:pStyle w:val="TOC3"/>
            <w:tabs>
              <w:tab w:val="clear" w:pos="9241"/>
              <w:tab w:val="right" w:leader="dot" w:pos="9355"/>
            </w:tabs>
            <w:ind w:firstLine="210"/>
          </w:pPr>
          <w:hyperlink w:anchor="_Toc14150" w:history="1">
            <w:r w:rsidR="00A26708">
              <w:rPr>
                <w:rFonts w:ascii="黑体" w:eastAsia="黑体" w:hint="eastAsia"/>
                <w:kern w:val="0"/>
              </w:rPr>
              <w:t xml:space="preserve">6.6 </w:t>
            </w:r>
            <w:r w:rsidR="00A26708">
              <w:rPr>
                <w:rFonts w:hint="eastAsia"/>
              </w:rPr>
              <w:t>摸底试验</w:t>
            </w:r>
            <w:r w:rsidR="00A26708">
              <w:tab/>
            </w:r>
            <w:r w:rsidR="00A26708">
              <w:fldChar w:fldCharType="begin"/>
            </w:r>
            <w:r w:rsidR="00A26708">
              <w:instrText xml:space="preserve"> PAGEREF _Toc14150 \h </w:instrText>
            </w:r>
            <w:r w:rsidR="00A26708">
              <w:fldChar w:fldCharType="separate"/>
            </w:r>
            <w:r w:rsidR="00A26708">
              <w:t>5</w:t>
            </w:r>
            <w:r w:rsidR="00A26708">
              <w:fldChar w:fldCharType="end"/>
            </w:r>
          </w:hyperlink>
        </w:p>
        <w:p w14:paraId="62727314" w14:textId="77777777" w:rsidR="007D68B8" w:rsidRDefault="009E4405">
          <w:pPr>
            <w:pStyle w:val="TOC3"/>
            <w:tabs>
              <w:tab w:val="clear" w:pos="9241"/>
              <w:tab w:val="right" w:leader="dot" w:pos="9355"/>
            </w:tabs>
            <w:ind w:firstLine="210"/>
          </w:pPr>
          <w:hyperlink w:anchor="_Toc12688" w:history="1">
            <w:r w:rsidR="00A26708">
              <w:rPr>
                <w:rFonts w:ascii="黑体" w:eastAsia="黑体" w:hint="eastAsia"/>
                <w:kern w:val="0"/>
              </w:rPr>
              <w:t xml:space="preserve">6.7 </w:t>
            </w:r>
            <w:r w:rsidR="00A26708">
              <w:rPr>
                <w:rFonts w:hint="eastAsia"/>
              </w:rPr>
              <w:t>热老化分周期试验</w:t>
            </w:r>
            <w:r w:rsidR="00A26708">
              <w:tab/>
            </w:r>
            <w:r w:rsidR="00A26708">
              <w:fldChar w:fldCharType="begin"/>
            </w:r>
            <w:r w:rsidR="00A26708">
              <w:instrText xml:space="preserve"> PAGEREF _Toc12688 \h </w:instrText>
            </w:r>
            <w:r w:rsidR="00A26708">
              <w:fldChar w:fldCharType="separate"/>
            </w:r>
            <w:r w:rsidR="00A26708">
              <w:t>5</w:t>
            </w:r>
            <w:r w:rsidR="00A26708">
              <w:fldChar w:fldCharType="end"/>
            </w:r>
          </w:hyperlink>
        </w:p>
        <w:p w14:paraId="5BB5B29C" w14:textId="77777777" w:rsidR="007D68B8" w:rsidRDefault="009E4405">
          <w:pPr>
            <w:pStyle w:val="TOC3"/>
            <w:tabs>
              <w:tab w:val="clear" w:pos="9241"/>
              <w:tab w:val="right" w:leader="dot" w:pos="9355"/>
            </w:tabs>
            <w:ind w:firstLine="210"/>
          </w:pPr>
          <w:hyperlink w:anchor="_Toc31752" w:history="1">
            <w:r w:rsidR="00A26708">
              <w:rPr>
                <w:rFonts w:ascii="黑体" w:eastAsia="黑体" w:hint="eastAsia"/>
                <w:kern w:val="0"/>
              </w:rPr>
              <w:t xml:space="preserve">6.8 </w:t>
            </w:r>
            <w:r w:rsidR="00A26708">
              <w:rPr>
                <w:rFonts w:hint="eastAsia"/>
              </w:rPr>
              <w:t>诊断分周期</w:t>
            </w:r>
            <w:r w:rsidR="00A26708">
              <w:tab/>
            </w:r>
            <w:r w:rsidR="00A26708">
              <w:fldChar w:fldCharType="begin"/>
            </w:r>
            <w:r w:rsidR="00A26708">
              <w:instrText xml:space="preserve"> PAGEREF _Toc31752 \h </w:instrText>
            </w:r>
            <w:r w:rsidR="00A26708">
              <w:fldChar w:fldCharType="separate"/>
            </w:r>
            <w:r w:rsidR="00A26708">
              <w:t>6</w:t>
            </w:r>
            <w:r w:rsidR="00A26708">
              <w:fldChar w:fldCharType="end"/>
            </w:r>
          </w:hyperlink>
        </w:p>
        <w:p w14:paraId="6491FD89" w14:textId="77777777" w:rsidR="007D68B8" w:rsidRDefault="009E4405">
          <w:pPr>
            <w:pStyle w:val="TOC3"/>
            <w:tabs>
              <w:tab w:val="clear" w:pos="9241"/>
              <w:tab w:val="right" w:leader="dot" w:pos="9355"/>
            </w:tabs>
            <w:ind w:firstLine="210"/>
          </w:pPr>
          <w:hyperlink w:anchor="_Toc15246" w:history="1">
            <w:r w:rsidR="00A26708">
              <w:rPr>
                <w:rFonts w:ascii="黑体" w:eastAsia="黑体" w:hint="eastAsia"/>
                <w:kern w:val="0"/>
              </w:rPr>
              <w:t xml:space="preserve">6.9 </w:t>
            </w:r>
            <w:r w:rsidR="00A26708">
              <w:rPr>
                <w:rFonts w:hint="eastAsia"/>
              </w:rPr>
              <w:t>数据处理</w:t>
            </w:r>
            <w:r w:rsidR="00A26708">
              <w:tab/>
            </w:r>
            <w:r w:rsidR="00A26708">
              <w:fldChar w:fldCharType="begin"/>
            </w:r>
            <w:r w:rsidR="00A26708">
              <w:instrText xml:space="preserve"> PAGEREF _Toc15246 \h </w:instrText>
            </w:r>
            <w:r w:rsidR="00A26708">
              <w:fldChar w:fldCharType="separate"/>
            </w:r>
            <w:r w:rsidR="00A26708">
              <w:t>6</w:t>
            </w:r>
            <w:r w:rsidR="00A26708">
              <w:fldChar w:fldCharType="end"/>
            </w:r>
          </w:hyperlink>
        </w:p>
        <w:p w14:paraId="4FB85C11" w14:textId="77777777" w:rsidR="007D68B8" w:rsidRDefault="009E4405">
          <w:pPr>
            <w:pStyle w:val="TOC2"/>
            <w:tabs>
              <w:tab w:val="clear" w:pos="9241"/>
              <w:tab w:val="right" w:leader="dot" w:pos="9355"/>
            </w:tabs>
          </w:pPr>
          <w:hyperlink w:anchor="_Toc32609" w:history="1">
            <w:r w:rsidR="00A26708">
              <w:rPr>
                <w:rFonts w:ascii="黑体" w:eastAsia="黑体" w:hint="eastAsia"/>
              </w:rPr>
              <w:t xml:space="preserve">7 </w:t>
            </w:r>
            <w:r w:rsidR="00A26708">
              <w:rPr>
                <w:rFonts w:hint="eastAsia"/>
              </w:rPr>
              <w:t>试验报告</w:t>
            </w:r>
            <w:r w:rsidR="00A26708">
              <w:tab/>
            </w:r>
            <w:r w:rsidR="00A26708">
              <w:fldChar w:fldCharType="begin"/>
            </w:r>
            <w:r w:rsidR="00A26708">
              <w:instrText xml:space="preserve"> PAGEREF _Toc32609 \h </w:instrText>
            </w:r>
            <w:r w:rsidR="00A26708">
              <w:fldChar w:fldCharType="separate"/>
            </w:r>
            <w:r w:rsidR="00A26708">
              <w:t>6</w:t>
            </w:r>
            <w:r w:rsidR="00A26708">
              <w:fldChar w:fldCharType="end"/>
            </w:r>
          </w:hyperlink>
        </w:p>
        <w:p w14:paraId="6EB0D635" w14:textId="77777777" w:rsidR="007D68B8" w:rsidRDefault="009E4405">
          <w:pPr>
            <w:pStyle w:val="TOC2"/>
            <w:tabs>
              <w:tab w:val="clear" w:pos="9241"/>
              <w:tab w:val="right" w:leader="dot" w:pos="9355"/>
            </w:tabs>
          </w:pPr>
          <w:hyperlink w:anchor="_Toc20262" w:history="1">
            <w:r w:rsidR="00A26708">
              <w:rPr>
                <w:rFonts w:hint="eastAsia"/>
              </w:rPr>
              <w:t>参考文献</w:t>
            </w:r>
            <w:r w:rsidR="00A26708">
              <w:tab/>
            </w:r>
            <w:r w:rsidR="00A26708">
              <w:fldChar w:fldCharType="begin"/>
            </w:r>
            <w:r w:rsidR="00A26708">
              <w:instrText xml:space="preserve"> PAGEREF _Toc20262 \h </w:instrText>
            </w:r>
            <w:r w:rsidR="00A26708">
              <w:fldChar w:fldCharType="separate"/>
            </w:r>
            <w:r w:rsidR="00A26708">
              <w:t>7</w:t>
            </w:r>
            <w:r w:rsidR="00A26708">
              <w:fldChar w:fldCharType="end"/>
            </w:r>
          </w:hyperlink>
        </w:p>
        <w:p w14:paraId="1116ADE3" w14:textId="77777777" w:rsidR="007D68B8" w:rsidRDefault="00A26708">
          <w:pPr>
            <w:tabs>
              <w:tab w:val="right" w:leader="dot" w:pos="9241"/>
            </w:tabs>
            <w:spacing w:before="78" w:after="78"/>
          </w:pPr>
          <w:r>
            <w:rPr>
              <w:b/>
              <w:bCs/>
              <w:lang w:val="zh-CN"/>
            </w:rPr>
            <w:fldChar w:fldCharType="end"/>
          </w:r>
        </w:p>
      </w:sdtContent>
    </w:sdt>
    <w:p w14:paraId="2E19900B" w14:textId="77777777" w:rsidR="007D68B8" w:rsidRDefault="007D68B8">
      <w:pPr>
        <w:pStyle w:val="afff1"/>
      </w:pPr>
    </w:p>
    <w:p w14:paraId="25B7C0C7" w14:textId="77777777" w:rsidR="007D68B8" w:rsidRDefault="007D68B8">
      <w:pPr>
        <w:pStyle w:val="afff1"/>
      </w:pPr>
    </w:p>
    <w:p w14:paraId="156B5069" w14:textId="77777777" w:rsidR="007D68B8" w:rsidRDefault="00A26708">
      <w:pPr>
        <w:pStyle w:val="affffff"/>
      </w:pPr>
      <w:bookmarkStart w:id="10" w:name="_Toc20302068"/>
      <w:bookmarkStart w:id="11" w:name="_Toc20221"/>
      <w:r>
        <w:rPr>
          <w:rFonts w:hint="eastAsia"/>
        </w:rPr>
        <w:lastRenderedPageBreak/>
        <w:t>前</w:t>
      </w:r>
      <w:bookmarkStart w:id="12" w:name="BKQY"/>
      <w:r>
        <w:rPr>
          <w:rFonts w:ascii="MS Mincho" w:eastAsia="MS Mincho" w:hAnsi="MS Mincho" w:cs="MS Mincho" w:hint="eastAsia"/>
        </w:rPr>
        <w:t>  </w:t>
      </w:r>
      <w:r>
        <w:rPr>
          <w:rFonts w:hint="eastAsia"/>
        </w:rPr>
        <w:t>言</w:t>
      </w:r>
      <w:bookmarkEnd w:id="10"/>
      <w:bookmarkEnd w:id="11"/>
      <w:bookmarkEnd w:id="12"/>
    </w:p>
    <w:p w14:paraId="50F895E0" w14:textId="77777777" w:rsidR="007D68B8" w:rsidRDefault="00A26708">
      <w:pPr>
        <w:pStyle w:val="afff1"/>
        <w:rPr>
          <w:rFonts w:ascii="Times New Roman"/>
        </w:rPr>
      </w:pPr>
      <w:r>
        <w:rPr>
          <w:rFonts w:ascii="Times New Roman"/>
        </w:rPr>
        <w:t>本</w:t>
      </w:r>
      <w:r>
        <w:rPr>
          <w:rFonts w:ascii="Times New Roman" w:hint="eastAsia"/>
        </w:rPr>
        <w:t>文件</w:t>
      </w:r>
      <w:r>
        <w:rPr>
          <w:rFonts w:ascii="Times New Roman"/>
        </w:rPr>
        <w:t>按照</w:t>
      </w:r>
      <w:r>
        <w:rPr>
          <w:rFonts w:ascii="Times New Roman"/>
        </w:rPr>
        <w:t>GB/T 1.1</w:t>
      </w:r>
      <w:r>
        <w:rPr>
          <w:rFonts w:ascii="Times New Roman" w:hint="eastAsia"/>
        </w:rPr>
        <w:t>—</w:t>
      </w:r>
      <w:r>
        <w:rPr>
          <w:rFonts w:hint="eastAsia"/>
        </w:rPr>
        <w:t>2020《标准化工作导则 第1部分：标准化文件的结构和起草规则》的规定起草</w:t>
      </w:r>
      <w:r>
        <w:rPr>
          <w:rFonts w:ascii="Times New Roman"/>
        </w:rPr>
        <w:t>。</w:t>
      </w:r>
    </w:p>
    <w:p w14:paraId="6B9A8205" w14:textId="77777777" w:rsidR="007D68B8" w:rsidRDefault="00A26708">
      <w:pPr>
        <w:pStyle w:val="afff1"/>
        <w:rPr>
          <w:rFonts w:ascii="Times New Roman"/>
        </w:rPr>
      </w:pPr>
      <w:r>
        <w:rPr>
          <w:rFonts w:ascii="Times New Roman" w:hint="eastAsia"/>
        </w:rPr>
        <w:t>请注意本文件的某些内容可能涉及专利。本文件的发布机构不承担识别专利的责任。</w:t>
      </w:r>
    </w:p>
    <w:p w14:paraId="217AFD3E" w14:textId="77777777" w:rsidR="007D68B8" w:rsidRDefault="00A26708">
      <w:pPr>
        <w:pStyle w:val="afff1"/>
        <w:rPr>
          <w:rFonts w:ascii="Times New Roman"/>
        </w:rPr>
      </w:pPr>
      <w:r>
        <w:rPr>
          <w:rFonts w:ascii="Times New Roman" w:hint="eastAsia"/>
        </w:rPr>
        <w:t>本文件由中国核学会提出。</w:t>
      </w:r>
    </w:p>
    <w:p w14:paraId="0651FE15" w14:textId="77777777" w:rsidR="007D68B8" w:rsidRDefault="00A26708">
      <w:pPr>
        <w:pStyle w:val="afff1"/>
        <w:rPr>
          <w:rFonts w:ascii="Times New Roman"/>
        </w:rPr>
      </w:pPr>
      <w:r>
        <w:rPr>
          <w:rFonts w:ascii="Times New Roman" w:hint="eastAsia"/>
        </w:rPr>
        <w:t>本文件由核工业标准化研究所归口。</w:t>
      </w:r>
    </w:p>
    <w:p w14:paraId="128D14D8" w14:textId="77777777" w:rsidR="007D68B8" w:rsidRDefault="00A26708">
      <w:pPr>
        <w:pStyle w:val="afff1"/>
        <w:rPr>
          <w:rFonts w:ascii="Times New Roman"/>
        </w:rPr>
      </w:pPr>
      <w:r>
        <w:rPr>
          <w:rFonts w:ascii="Times New Roman" w:hint="eastAsia"/>
        </w:rPr>
        <w:t>本文件起草单位：清华大学核能与新能源技术研究院，中核能源科技有限公司，上海电器设备检测所有限公司。</w:t>
      </w:r>
    </w:p>
    <w:p w14:paraId="49655233" w14:textId="77777777" w:rsidR="007D68B8" w:rsidRDefault="00A26708">
      <w:pPr>
        <w:pStyle w:val="afff1"/>
        <w:rPr>
          <w:rFonts w:ascii="Times New Roman"/>
        </w:rPr>
      </w:pPr>
      <w:r>
        <w:rPr>
          <w:rFonts w:ascii="Times New Roman" w:hint="eastAsia"/>
        </w:rPr>
        <w:t>本文件主要起草人：</w:t>
      </w:r>
    </w:p>
    <w:p w14:paraId="4F0F3D0D" w14:textId="77777777" w:rsidR="007D68B8" w:rsidRDefault="007D68B8">
      <w:pPr>
        <w:pStyle w:val="afff1"/>
      </w:pPr>
    </w:p>
    <w:p w14:paraId="16A6035A" w14:textId="77777777" w:rsidR="007D68B8" w:rsidRDefault="007D68B8">
      <w:pPr>
        <w:pStyle w:val="afff1"/>
        <w:ind w:firstLineChars="0" w:firstLine="0"/>
        <w:sectPr w:rsidR="007D68B8">
          <w:headerReference w:type="default" r:id="rId11"/>
          <w:footerReference w:type="default" r:id="rId12"/>
          <w:pgSz w:w="11906" w:h="16838"/>
          <w:pgMar w:top="567" w:right="1134" w:bottom="1134" w:left="1417" w:header="1418" w:footer="1134" w:gutter="0"/>
          <w:pgNumType w:fmt="upperRoman" w:start="1"/>
          <w:cols w:space="425"/>
          <w:formProt w:val="0"/>
          <w:docGrid w:type="lines" w:linePitch="312"/>
        </w:sectPr>
      </w:pPr>
    </w:p>
    <w:p w14:paraId="79DB4F2F" w14:textId="77777777" w:rsidR="007D68B8" w:rsidRDefault="00A26708">
      <w:pPr>
        <w:pStyle w:val="afff1"/>
        <w:ind w:firstLine="640"/>
        <w:jc w:val="center"/>
        <w:rPr>
          <w:rFonts w:ascii="黑体" w:eastAsia="黑体" w:hAnsi="黑体"/>
          <w:sz w:val="32"/>
          <w:szCs w:val="32"/>
        </w:rPr>
      </w:pPr>
      <w:bookmarkStart w:id="13" w:name="_Toc48658962"/>
      <w:r>
        <w:rPr>
          <w:rFonts w:ascii="黑体" w:eastAsia="黑体" w:hAnsi="黑体" w:hint="eastAsia"/>
          <w:sz w:val="32"/>
          <w:szCs w:val="32"/>
        </w:rPr>
        <w:lastRenderedPageBreak/>
        <w:t>高温气冷堆核动力厂</w:t>
      </w:r>
      <w:bookmarkEnd w:id="13"/>
      <w:r>
        <w:rPr>
          <w:rFonts w:ascii="黑体" w:eastAsia="黑体" w:hAnsi="黑体" w:hint="eastAsia"/>
          <w:sz w:val="32"/>
          <w:szCs w:val="32"/>
        </w:rPr>
        <w:t>控制棒驱动机构电气绝缘系统热评定规程</w:t>
      </w:r>
    </w:p>
    <w:p w14:paraId="6D79C6D1" w14:textId="77777777" w:rsidR="007D68B8" w:rsidRDefault="00A26708">
      <w:pPr>
        <w:pStyle w:val="a4"/>
        <w:spacing w:before="312" w:after="312"/>
        <w:ind w:left="0"/>
        <w:rPr>
          <w:szCs w:val="21"/>
        </w:rPr>
      </w:pPr>
      <w:bookmarkStart w:id="14" w:name="_Toc23107"/>
      <w:bookmarkStart w:id="15" w:name="_Toc20302069"/>
      <w:bookmarkStart w:id="16" w:name="_Toc20301579"/>
      <w:r>
        <w:rPr>
          <w:rFonts w:hint="eastAsia"/>
          <w:szCs w:val="21"/>
        </w:rPr>
        <w:t>范围</w:t>
      </w:r>
      <w:bookmarkEnd w:id="14"/>
      <w:bookmarkEnd w:id="15"/>
      <w:bookmarkEnd w:id="16"/>
    </w:p>
    <w:p w14:paraId="73CD2CCB" w14:textId="77777777" w:rsidR="007D68B8" w:rsidRDefault="00A26708">
      <w:pPr>
        <w:pStyle w:val="afff1"/>
        <w:rPr>
          <w:rFonts w:ascii="Times New Roman"/>
        </w:rPr>
      </w:pPr>
      <w:r>
        <w:rPr>
          <w:rFonts w:ascii="Times New Roman" w:hint="eastAsia"/>
        </w:rPr>
        <w:t>本文件</w:t>
      </w:r>
      <w:r>
        <w:rPr>
          <w:rFonts w:ascii="Times New Roman"/>
        </w:rPr>
        <w:t>规定了</w:t>
      </w:r>
      <w:r>
        <w:rPr>
          <w:rFonts w:ascii="Times New Roman" w:hint="eastAsia"/>
        </w:rPr>
        <w:t>球床式高温气冷堆（以下简称：高温气冷堆）核动力厂控制棒驱动机构电气绝缘系统（</w:t>
      </w:r>
      <w:r>
        <w:rPr>
          <w:rFonts w:ascii="Times New Roman" w:hint="eastAsia"/>
        </w:rPr>
        <w:t>EIS</w:t>
      </w:r>
      <w:r>
        <w:rPr>
          <w:rFonts w:ascii="Times New Roman" w:hint="eastAsia"/>
        </w:rPr>
        <w:t>）热评定的技术要求</w:t>
      </w:r>
      <w:r>
        <w:rPr>
          <w:rFonts w:ascii="Times New Roman"/>
        </w:rPr>
        <w:t>。</w:t>
      </w:r>
    </w:p>
    <w:p w14:paraId="213C651A" w14:textId="77777777" w:rsidR="007D68B8" w:rsidRDefault="00A26708">
      <w:pPr>
        <w:pStyle w:val="afff1"/>
      </w:pPr>
      <w:r>
        <w:rPr>
          <w:rFonts w:ascii="Times New Roman"/>
        </w:rPr>
        <w:t>本</w:t>
      </w:r>
      <w:r>
        <w:rPr>
          <w:rFonts w:ascii="Times New Roman" w:hint="eastAsia"/>
        </w:rPr>
        <w:t>文件</w:t>
      </w:r>
      <w:r>
        <w:rPr>
          <w:rFonts w:ascii="Times New Roman"/>
        </w:rPr>
        <w:t>适用于高温气冷堆核</w:t>
      </w:r>
      <w:r>
        <w:rPr>
          <w:rFonts w:ascii="Times New Roman" w:hint="eastAsia"/>
        </w:rPr>
        <w:t>动力</w:t>
      </w:r>
      <w:r>
        <w:rPr>
          <w:rFonts w:ascii="Times New Roman"/>
        </w:rPr>
        <w:t>厂</w:t>
      </w:r>
      <w:r>
        <w:rPr>
          <w:rFonts w:ascii="Times New Roman" w:hint="eastAsia"/>
        </w:rPr>
        <w:t>控制棒驱动机构电气绝缘系统（</w:t>
      </w:r>
      <w:r>
        <w:rPr>
          <w:rFonts w:ascii="Times New Roman" w:hint="eastAsia"/>
        </w:rPr>
        <w:t>EIS</w:t>
      </w:r>
      <w:r>
        <w:rPr>
          <w:rFonts w:ascii="Times New Roman" w:hint="eastAsia"/>
        </w:rPr>
        <w:t>）热评定</w:t>
      </w:r>
      <w:r>
        <w:rPr>
          <w:rFonts w:ascii="Times New Roman"/>
        </w:rPr>
        <w:t>。</w:t>
      </w:r>
    </w:p>
    <w:p w14:paraId="24FF6BF1" w14:textId="77777777" w:rsidR="007D68B8" w:rsidRDefault="00A26708">
      <w:pPr>
        <w:pStyle w:val="a4"/>
        <w:spacing w:before="312" w:after="312"/>
        <w:ind w:left="0"/>
        <w:rPr>
          <w:szCs w:val="21"/>
        </w:rPr>
      </w:pPr>
      <w:bookmarkStart w:id="17" w:name="_Toc20301580"/>
      <w:bookmarkStart w:id="18" w:name="_Toc12082"/>
      <w:bookmarkStart w:id="19" w:name="_Toc20302070"/>
      <w:r>
        <w:rPr>
          <w:rFonts w:hint="eastAsia"/>
          <w:szCs w:val="21"/>
        </w:rPr>
        <w:t>规范性引用文件</w:t>
      </w:r>
      <w:bookmarkEnd w:id="17"/>
      <w:bookmarkEnd w:id="18"/>
      <w:bookmarkEnd w:id="19"/>
    </w:p>
    <w:p w14:paraId="75DCB9B0" w14:textId="77777777" w:rsidR="007D68B8" w:rsidRDefault="009E4405">
      <w:pPr>
        <w:pStyle w:val="afff1"/>
      </w:pPr>
      <w:sdt>
        <w:sdtPr>
          <w:rPr>
            <w:rFonts w:hint="eastAsia"/>
          </w:rPr>
          <w:id w:val="147481505"/>
          <w:placeholder>
            <w:docPart w:val="{882dc5c3-2240-4253-8afe-895ccd86bb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r w:rsidR="00A2670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p>
    <w:p w14:paraId="2FCC9D88" w14:textId="77777777" w:rsidR="007D68B8" w:rsidRDefault="00A26708">
      <w:pPr>
        <w:pStyle w:val="afff1"/>
        <w:rPr>
          <w:szCs w:val="21"/>
        </w:rPr>
      </w:pPr>
      <w:bookmarkStart w:id="20" w:name="_Toc20302071"/>
      <w:bookmarkStart w:id="21" w:name="_Toc381002925"/>
      <w:bookmarkStart w:id="22" w:name="_Toc502135604"/>
      <w:bookmarkStart w:id="23" w:name="_Toc490662725"/>
      <w:bookmarkStart w:id="24" w:name="_Toc25552"/>
      <w:bookmarkStart w:id="25" w:name="_Toc381003436"/>
      <w:bookmarkStart w:id="26" w:name="_Toc504579609"/>
      <w:bookmarkStart w:id="27" w:name="_Toc380005105"/>
      <w:bookmarkStart w:id="28" w:name="_Toc504579062"/>
      <w:r>
        <w:rPr>
          <w:rFonts w:hint="eastAsia"/>
          <w:szCs w:val="21"/>
        </w:rPr>
        <w:t>GB/T 11021-2014  电气绝缘 耐热性分级</w:t>
      </w:r>
    </w:p>
    <w:p w14:paraId="57C44957" w14:textId="77777777" w:rsidR="007D68B8" w:rsidRDefault="00A26708">
      <w:pPr>
        <w:pStyle w:val="afff1"/>
        <w:rPr>
          <w:szCs w:val="21"/>
        </w:rPr>
      </w:pPr>
      <w:r>
        <w:rPr>
          <w:rFonts w:hint="eastAsia"/>
          <w:szCs w:val="21"/>
        </w:rPr>
        <w:t>GBT 20111.1-2015  电气绝缘系统 热评定规程 第1部分：通用要求 低压</w:t>
      </w:r>
    </w:p>
    <w:p w14:paraId="203E6DC4" w14:textId="77777777" w:rsidR="007D68B8" w:rsidRDefault="00A26708">
      <w:pPr>
        <w:pStyle w:val="afff1"/>
        <w:rPr>
          <w:szCs w:val="21"/>
        </w:rPr>
      </w:pPr>
      <w:r>
        <w:rPr>
          <w:rFonts w:hint="eastAsia"/>
          <w:szCs w:val="21"/>
        </w:rPr>
        <w:t xml:space="preserve">GB/T 17948.1-2018  旋转电机 绝缘结构功能性评定 </w:t>
      </w:r>
      <w:proofErr w:type="gramStart"/>
      <w:r>
        <w:rPr>
          <w:rFonts w:hint="eastAsia"/>
          <w:szCs w:val="21"/>
        </w:rPr>
        <w:t>散绕绕组</w:t>
      </w:r>
      <w:proofErr w:type="gramEnd"/>
      <w:r>
        <w:rPr>
          <w:rFonts w:hint="eastAsia"/>
          <w:szCs w:val="21"/>
        </w:rPr>
        <w:t>试验规程 热评定与分级</w:t>
      </w:r>
    </w:p>
    <w:p w14:paraId="1605C5E8" w14:textId="77777777" w:rsidR="007D68B8" w:rsidRDefault="00A26708">
      <w:pPr>
        <w:pStyle w:val="afff1"/>
        <w:rPr>
          <w:szCs w:val="21"/>
        </w:rPr>
      </w:pPr>
      <w:r>
        <w:rPr>
          <w:rFonts w:hint="eastAsia"/>
          <w:szCs w:val="21"/>
        </w:rPr>
        <w:t>GB/T 20112-2015  电气绝缘系统的评定与鉴别</w:t>
      </w:r>
    </w:p>
    <w:p w14:paraId="7686169E" w14:textId="77777777" w:rsidR="007D68B8" w:rsidRDefault="00A26708">
      <w:pPr>
        <w:pStyle w:val="afff1"/>
        <w:rPr>
          <w:szCs w:val="21"/>
        </w:rPr>
      </w:pPr>
      <w:r>
        <w:rPr>
          <w:rFonts w:hint="eastAsia"/>
          <w:szCs w:val="21"/>
        </w:rPr>
        <w:t>GB/T 11026.3-2017  电气绝缘材料 耐热性第3部分:计算耐热特征参数的规程</w:t>
      </w:r>
    </w:p>
    <w:p w14:paraId="111E943A" w14:textId="77777777" w:rsidR="007D68B8" w:rsidRDefault="00A26708">
      <w:pPr>
        <w:pStyle w:val="afff1"/>
        <w:rPr>
          <w:szCs w:val="21"/>
        </w:rPr>
      </w:pPr>
      <w:r>
        <w:rPr>
          <w:rFonts w:hint="eastAsia"/>
          <w:szCs w:val="21"/>
        </w:rPr>
        <w:t>GB/T 755-2019  旋转电机 定额和性能</w:t>
      </w:r>
    </w:p>
    <w:p w14:paraId="5D292D0A" w14:textId="77777777" w:rsidR="007D68B8" w:rsidRDefault="00A26708">
      <w:pPr>
        <w:pStyle w:val="afff1"/>
        <w:rPr>
          <w:szCs w:val="21"/>
        </w:rPr>
      </w:pPr>
      <w:r>
        <w:rPr>
          <w:rFonts w:hint="eastAsia"/>
          <w:szCs w:val="21"/>
        </w:rPr>
        <w:t>GB/T 36044-2018  核电厂安全重要电气设备鉴定规程</w:t>
      </w:r>
    </w:p>
    <w:p w14:paraId="0FB1CCC6" w14:textId="77777777" w:rsidR="007D68B8" w:rsidRDefault="00A26708">
      <w:pPr>
        <w:pStyle w:val="afff1"/>
        <w:rPr>
          <w:szCs w:val="21"/>
        </w:rPr>
      </w:pPr>
      <w:r>
        <w:rPr>
          <w:rFonts w:hint="eastAsia"/>
          <w:szCs w:val="21"/>
        </w:rPr>
        <w:t>JB/T 1544-2015  电气绝缘浸渍漆和漆布快速热老化试验方法一热重点斜法</w:t>
      </w:r>
    </w:p>
    <w:p w14:paraId="3309903D" w14:textId="77777777" w:rsidR="007D68B8" w:rsidRDefault="00A26708">
      <w:pPr>
        <w:pStyle w:val="a4"/>
        <w:spacing w:before="312" w:after="312"/>
        <w:ind w:left="0"/>
        <w:rPr>
          <w:szCs w:val="21"/>
        </w:rPr>
      </w:pPr>
      <w:r>
        <w:rPr>
          <w:rFonts w:hint="eastAsia"/>
          <w:szCs w:val="21"/>
        </w:rPr>
        <w:t>术语和定义</w:t>
      </w:r>
      <w:bookmarkEnd w:id="20"/>
      <w:bookmarkEnd w:id="21"/>
      <w:bookmarkEnd w:id="22"/>
      <w:bookmarkEnd w:id="23"/>
      <w:bookmarkEnd w:id="24"/>
      <w:bookmarkEnd w:id="25"/>
      <w:bookmarkEnd w:id="26"/>
      <w:bookmarkEnd w:id="27"/>
      <w:bookmarkEnd w:id="28"/>
    </w:p>
    <w:p w14:paraId="10EF3281" w14:textId="77777777" w:rsidR="007D68B8" w:rsidRDefault="00A26708">
      <w:pPr>
        <w:pStyle w:val="afff1"/>
      </w:pPr>
      <w:r>
        <w:rPr>
          <w:rFonts w:ascii="Times New Roman" w:hint="eastAsia"/>
          <w:szCs w:val="21"/>
        </w:rPr>
        <w:t>下列</w:t>
      </w:r>
      <w:r>
        <w:rPr>
          <w:rFonts w:ascii="Times New Roman"/>
          <w:szCs w:val="21"/>
        </w:rPr>
        <w:t>术语和定义适用于本文件</w:t>
      </w:r>
      <w:r>
        <w:rPr>
          <w:rFonts w:ascii="Times New Roman" w:hint="eastAsia"/>
          <w:szCs w:val="21"/>
        </w:rPr>
        <w:t>。</w:t>
      </w:r>
    </w:p>
    <w:p w14:paraId="43713722" w14:textId="77777777" w:rsidR="007D68B8" w:rsidRDefault="007D68B8">
      <w:pPr>
        <w:pStyle w:val="a5"/>
        <w:spacing w:before="156" w:after="156"/>
        <w:ind w:left="0"/>
      </w:pPr>
      <w:bookmarkStart w:id="29" w:name="_Toc48658966"/>
      <w:bookmarkStart w:id="30" w:name="_Toc9385"/>
      <w:bookmarkStart w:id="31" w:name="_Toc58490509"/>
      <w:bookmarkStart w:id="32" w:name="_Toc53480332"/>
      <w:bookmarkStart w:id="33" w:name="_Toc58499823"/>
      <w:bookmarkEnd w:id="29"/>
    </w:p>
    <w:p w14:paraId="695CFD00" w14:textId="77777777" w:rsidR="007D68B8" w:rsidRDefault="00A26708">
      <w:pPr>
        <w:pStyle w:val="a5"/>
        <w:numPr>
          <w:ilvl w:val="1"/>
          <w:numId w:val="0"/>
        </w:numPr>
        <w:spacing w:before="156" w:after="156"/>
        <w:ind w:firstLineChars="200" w:firstLine="420"/>
      </w:pPr>
      <w:r>
        <w:rPr>
          <w:rFonts w:hint="eastAsia"/>
        </w:rPr>
        <w:t xml:space="preserve">控制棒驱动机构  </w:t>
      </w:r>
      <w:r>
        <w:rPr>
          <w:rFonts w:ascii="Times New Roman"/>
        </w:rPr>
        <w:t>control rod drive mechanism</w:t>
      </w:r>
      <w:bookmarkEnd w:id="30"/>
      <w:bookmarkEnd w:id="31"/>
      <w:bookmarkEnd w:id="32"/>
      <w:bookmarkEnd w:id="33"/>
    </w:p>
    <w:p w14:paraId="2F62C730" w14:textId="77777777" w:rsidR="007D68B8" w:rsidRDefault="00A26708">
      <w:pPr>
        <w:pStyle w:val="afff1"/>
      </w:pPr>
      <w:r>
        <w:rPr>
          <w:rFonts w:hint="eastAsia"/>
        </w:rPr>
        <w:t>在控制系统指令下，通过电机驱动控制棒实现对反应堆反应性控制的机电装置，实现反应堆的启动、功率调节、功率保持、正常停堆和事故停堆。</w:t>
      </w:r>
    </w:p>
    <w:p w14:paraId="7B803C46" w14:textId="77777777" w:rsidR="007D68B8" w:rsidRDefault="00A26708">
      <w:pPr>
        <w:pStyle w:val="afff1"/>
      </w:pPr>
      <w:r>
        <w:rPr>
          <w:rFonts w:hint="eastAsia"/>
        </w:rPr>
        <w:t>注：包括机械部件（含承压壳、主减速器、环链机构、磁阻尼器、</w:t>
      </w:r>
      <w:proofErr w:type="gramStart"/>
      <w:r>
        <w:rPr>
          <w:rFonts w:hint="eastAsia"/>
        </w:rPr>
        <w:t>碟簧减震器</w:t>
      </w:r>
      <w:proofErr w:type="gramEnd"/>
      <w:r>
        <w:rPr>
          <w:rFonts w:hint="eastAsia"/>
        </w:rPr>
        <w:t>等）和电气部件（含电气贯穿件、电机、限位装置、</w:t>
      </w:r>
      <w:proofErr w:type="gramStart"/>
      <w:r>
        <w:rPr>
          <w:rFonts w:hint="eastAsia"/>
        </w:rPr>
        <w:t>棒位指示</w:t>
      </w:r>
      <w:proofErr w:type="gramEnd"/>
      <w:r>
        <w:rPr>
          <w:rFonts w:hint="eastAsia"/>
        </w:rPr>
        <w:t>器等）。</w:t>
      </w:r>
    </w:p>
    <w:p w14:paraId="01954058" w14:textId="77777777" w:rsidR="007D68B8" w:rsidRDefault="007D68B8">
      <w:pPr>
        <w:pStyle w:val="a5"/>
        <w:spacing w:before="156" w:after="156"/>
        <w:ind w:left="0"/>
      </w:pPr>
      <w:bookmarkStart w:id="34" w:name="_Toc6963"/>
    </w:p>
    <w:p w14:paraId="55D22DA2" w14:textId="77777777" w:rsidR="007D68B8" w:rsidRDefault="00A26708">
      <w:pPr>
        <w:pStyle w:val="a5"/>
        <w:numPr>
          <w:ilvl w:val="1"/>
          <w:numId w:val="0"/>
        </w:numPr>
        <w:spacing w:before="156" w:after="156"/>
        <w:ind w:firstLine="420"/>
      </w:pPr>
      <w:r>
        <w:rPr>
          <w:rFonts w:hint="eastAsia"/>
        </w:rPr>
        <w:t>电气绝缘系统</w:t>
      </w:r>
      <w:bookmarkStart w:id="35" w:name="_Toc48658967"/>
      <w:bookmarkEnd w:id="35"/>
      <w:r>
        <w:rPr>
          <w:rFonts w:hint="eastAsia"/>
        </w:rPr>
        <w:t xml:space="preserve"> electrical insulation </w:t>
      </w:r>
      <w:proofErr w:type="spellStart"/>
      <w:r>
        <w:rPr>
          <w:rFonts w:hint="eastAsia"/>
        </w:rPr>
        <w:t>system;EIS</w:t>
      </w:r>
      <w:bookmarkEnd w:id="34"/>
      <w:proofErr w:type="spellEnd"/>
    </w:p>
    <w:p w14:paraId="7B2D8C7F" w14:textId="77777777" w:rsidR="007D68B8" w:rsidRDefault="00A26708">
      <w:pPr>
        <w:pStyle w:val="afff1"/>
        <w:rPr>
          <w:szCs w:val="21"/>
        </w:rPr>
      </w:pPr>
      <w:r>
        <w:rPr>
          <w:rFonts w:hint="eastAsia"/>
          <w:szCs w:val="21"/>
        </w:rPr>
        <w:t>用于电气设备的与导电部分结合在一起的含有一种或多种电气绝缘材料(EIM)的绝缘组合。</w:t>
      </w:r>
    </w:p>
    <w:p w14:paraId="1D73D7FA" w14:textId="77777777" w:rsidR="007D68B8" w:rsidRDefault="00A26708">
      <w:pPr>
        <w:pStyle w:val="afff1"/>
        <w:rPr>
          <w:szCs w:val="21"/>
        </w:rPr>
      </w:pPr>
      <w:r>
        <w:rPr>
          <w:rFonts w:hint="eastAsia"/>
          <w:szCs w:val="21"/>
        </w:rPr>
        <w:t>[来源：GB/T 20112-2015]</w:t>
      </w:r>
    </w:p>
    <w:p w14:paraId="003164C5" w14:textId="77777777" w:rsidR="007D68B8" w:rsidRDefault="00A26708">
      <w:pPr>
        <w:pStyle w:val="afff1"/>
        <w:rPr>
          <w:szCs w:val="21"/>
        </w:rPr>
      </w:pPr>
      <w:r>
        <w:rPr>
          <w:rFonts w:hint="eastAsia"/>
          <w:szCs w:val="21"/>
        </w:rPr>
        <w:t>注：控制棒驱动结构电气绝缘系统主要包括电机绕组、</w:t>
      </w:r>
      <w:proofErr w:type="gramStart"/>
      <w:r>
        <w:rPr>
          <w:rFonts w:hint="eastAsia"/>
          <w:szCs w:val="21"/>
        </w:rPr>
        <w:t>棒位指示器</w:t>
      </w:r>
      <w:proofErr w:type="gramEnd"/>
      <w:r>
        <w:rPr>
          <w:rFonts w:hint="eastAsia"/>
          <w:szCs w:val="21"/>
        </w:rPr>
        <w:t>线圈。</w:t>
      </w:r>
    </w:p>
    <w:p w14:paraId="01F38FF8" w14:textId="77777777" w:rsidR="007D68B8" w:rsidRDefault="007D68B8">
      <w:pPr>
        <w:pStyle w:val="a5"/>
        <w:spacing w:before="156" w:after="156"/>
        <w:ind w:left="0"/>
      </w:pPr>
    </w:p>
    <w:p w14:paraId="77E6CB9F" w14:textId="77777777" w:rsidR="007D68B8" w:rsidRDefault="00A26708">
      <w:pPr>
        <w:pStyle w:val="a6"/>
        <w:numPr>
          <w:ilvl w:val="2"/>
          <w:numId w:val="0"/>
        </w:numPr>
        <w:spacing w:before="156" w:after="156"/>
        <w:ind w:left="420"/>
      </w:pPr>
      <w:r>
        <w:rPr>
          <w:rFonts w:hint="eastAsia"/>
        </w:rPr>
        <w:t>电机绕组</w:t>
      </w:r>
    </w:p>
    <w:p w14:paraId="6C1E999E" w14:textId="77777777" w:rsidR="007D68B8" w:rsidRDefault="00A26708">
      <w:pPr>
        <w:pStyle w:val="afff1"/>
        <w:rPr>
          <w:szCs w:val="21"/>
        </w:rPr>
      </w:pPr>
      <w:r>
        <w:rPr>
          <w:rFonts w:hint="eastAsia"/>
        </w:rPr>
        <w:lastRenderedPageBreak/>
        <w:t>控制棒驱动机构电机是控制棒驱动机构的动力源，电机绕组采用I</w:t>
      </w:r>
      <w:proofErr w:type="gramStart"/>
      <w:r>
        <w:rPr>
          <w:rFonts w:hint="eastAsia"/>
        </w:rPr>
        <w:t>型散绕</w:t>
      </w:r>
      <w:proofErr w:type="gramEnd"/>
      <w:r>
        <w:rPr>
          <w:rFonts w:hint="eastAsia"/>
        </w:rPr>
        <w:t>绕组结构</w:t>
      </w:r>
      <w:r>
        <w:rPr>
          <w:rFonts w:hint="eastAsia"/>
          <w:szCs w:val="21"/>
        </w:rPr>
        <w:t>。</w:t>
      </w:r>
    </w:p>
    <w:p w14:paraId="6CF840F3" w14:textId="77777777" w:rsidR="007D68B8" w:rsidRDefault="00A26708">
      <w:pPr>
        <w:pStyle w:val="afff1"/>
        <w:rPr>
          <w:szCs w:val="21"/>
        </w:rPr>
      </w:pPr>
      <w:r>
        <w:rPr>
          <w:rFonts w:hint="eastAsia"/>
          <w:szCs w:val="21"/>
        </w:rPr>
        <w:t>注：电机绕组绝缘系统包括：电磁线圈、槽绝缘、浸漆。</w:t>
      </w:r>
    </w:p>
    <w:p w14:paraId="0AE0A28A" w14:textId="77777777" w:rsidR="007D68B8" w:rsidRDefault="007D68B8">
      <w:pPr>
        <w:pStyle w:val="a5"/>
        <w:spacing w:before="156" w:after="156"/>
        <w:ind w:left="0"/>
      </w:pPr>
    </w:p>
    <w:p w14:paraId="66C85023" w14:textId="77777777" w:rsidR="007D68B8" w:rsidRDefault="00A26708">
      <w:pPr>
        <w:pStyle w:val="a5"/>
        <w:numPr>
          <w:ilvl w:val="1"/>
          <w:numId w:val="0"/>
        </w:numPr>
        <w:spacing w:before="156" w:after="156"/>
        <w:ind w:firstLine="420"/>
      </w:pPr>
      <w:proofErr w:type="gramStart"/>
      <w:r>
        <w:rPr>
          <w:rFonts w:hint="eastAsia"/>
        </w:rPr>
        <w:t>棒位指示器</w:t>
      </w:r>
      <w:proofErr w:type="gramEnd"/>
      <w:r>
        <w:rPr>
          <w:rFonts w:hint="eastAsia"/>
        </w:rPr>
        <w:t>线圈</w:t>
      </w:r>
    </w:p>
    <w:p w14:paraId="2DB73DE9" w14:textId="77777777" w:rsidR="007D68B8" w:rsidRDefault="00A26708">
      <w:pPr>
        <w:pStyle w:val="afff1"/>
      </w:pPr>
      <w:proofErr w:type="gramStart"/>
      <w:r>
        <w:rPr>
          <w:rFonts w:hint="eastAsia"/>
        </w:rPr>
        <w:t>控制棒驱动机构棒位指示器</w:t>
      </w:r>
      <w:proofErr w:type="gramEnd"/>
      <w:r>
        <w:rPr>
          <w:rFonts w:hint="eastAsia"/>
        </w:rPr>
        <w:t>采用旋转变压器将控制棒的直线运动转换为旋转角度</w:t>
      </w:r>
      <w:proofErr w:type="gramStart"/>
      <w:r>
        <w:rPr>
          <w:rFonts w:hint="eastAsia"/>
        </w:rPr>
        <w:t>实现棒位测</w:t>
      </w:r>
      <w:proofErr w:type="gramEnd"/>
      <w:r>
        <w:rPr>
          <w:rFonts w:hint="eastAsia"/>
        </w:rPr>
        <w:t>量。</w:t>
      </w:r>
    </w:p>
    <w:p w14:paraId="69CEDC66" w14:textId="77777777" w:rsidR="007D68B8" w:rsidRDefault="00A26708">
      <w:pPr>
        <w:pStyle w:val="afff1"/>
        <w:rPr>
          <w:szCs w:val="21"/>
        </w:rPr>
      </w:pPr>
      <w:r>
        <w:rPr>
          <w:rFonts w:hint="eastAsia"/>
        </w:rPr>
        <w:t>注：</w:t>
      </w:r>
      <w:proofErr w:type="gramStart"/>
      <w:r>
        <w:rPr>
          <w:rFonts w:hint="eastAsia"/>
        </w:rPr>
        <w:t>棒位指示器</w:t>
      </w:r>
      <w:proofErr w:type="gramEnd"/>
      <w:r>
        <w:rPr>
          <w:rFonts w:hint="eastAsia"/>
        </w:rPr>
        <w:t>采用无刷绕线式旋转变压器将控制棒的直线运动转换</w:t>
      </w:r>
      <w:proofErr w:type="gramStart"/>
      <w:r>
        <w:rPr>
          <w:rFonts w:hint="eastAsia"/>
        </w:rPr>
        <w:t>为角</w:t>
      </w:r>
      <w:proofErr w:type="gramEnd"/>
      <w:r>
        <w:rPr>
          <w:rFonts w:hint="eastAsia"/>
        </w:rPr>
        <w:t>度进行测量，旋转变压器线圈绝缘系统包括</w:t>
      </w:r>
      <w:r>
        <w:rPr>
          <w:rFonts w:hint="eastAsia"/>
          <w:szCs w:val="21"/>
        </w:rPr>
        <w:t>：电磁线、槽绝缘、浸漆、定转子骨架等。</w:t>
      </w:r>
    </w:p>
    <w:p w14:paraId="3FEA1D35" w14:textId="77777777" w:rsidR="007D68B8" w:rsidRDefault="007D68B8">
      <w:pPr>
        <w:pStyle w:val="afff1"/>
        <w:rPr>
          <w:szCs w:val="21"/>
        </w:rPr>
      </w:pPr>
    </w:p>
    <w:p w14:paraId="136F402A" w14:textId="77777777" w:rsidR="007D68B8" w:rsidRDefault="007D68B8">
      <w:pPr>
        <w:pStyle w:val="a5"/>
        <w:spacing w:before="156" w:after="156"/>
        <w:ind w:left="0"/>
      </w:pPr>
      <w:bookmarkStart w:id="36" w:name="_Toc48658968"/>
      <w:bookmarkStart w:id="37" w:name="_Toc393"/>
      <w:bookmarkStart w:id="38" w:name="_Toc19653"/>
      <w:bookmarkEnd w:id="36"/>
      <w:bookmarkEnd w:id="37"/>
    </w:p>
    <w:p w14:paraId="2DFD50CB" w14:textId="77777777" w:rsidR="007D68B8" w:rsidRDefault="00A26708">
      <w:pPr>
        <w:pStyle w:val="a5"/>
        <w:numPr>
          <w:ilvl w:val="1"/>
          <w:numId w:val="0"/>
        </w:numPr>
        <w:spacing w:before="156" w:after="156"/>
        <w:ind w:firstLine="420"/>
      </w:pPr>
      <w:r>
        <w:rPr>
          <w:rFonts w:hint="eastAsia"/>
        </w:rPr>
        <w:t>耐热等级 thermal class</w:t>
      </w:r>
      <w:bookmarkEnd w:id="38"/>
    </w:p>
    <w:p w14:paraId="6A1144CD" w14:textId="77777777" w:rsidR="007D68B8" w:rsidRDefault="00A26708">
      <w:pPr>
        <w:pStyle w:val="afff1"/>
      </w:pPr>
      <w:r>
        <w:rPr>
          <w:rFonts w:hint="eastAsia"/>
        </w:rPr>
        <w:t>EIS相对应的最高连续使用温度(摄氏温度)的数值。</w:t>
      </w:r>
    </w:p>
    <w:p w14:paraId="33894A22" w14:textId="77777777" w:rsidR="007D68B8" w:rsidRDefault="00A26708">
      <w:pPr>
        <w:pStyle w:val="afff1"/>
        <w:rPr>
          <w:szCs w:val="21"/>
        </w:rPr>
      </w:pPr>
      <w:r>
        <w:rPr>
          <w:rFonts w:hint="eastAsia"/>
          <w:szCs w:val="21"/>
        </w:rPr>
        <w:t>[来源：GB/T 11021-2014]</w:t>
      </w:r>
    </w:p>
    <w:p w14:paraId="34EDD624" w14:textId="77777777" w:rsidR="007D68B8" w:rsidRDefault="007D68B8">
      <w:pPr>
        <w:pStyle w:val="a5"/>
        <w:spacing w:before="156" w:after="156"/>
        <w:ind w:left="0"/>
      </w:pPr>
      <w:bookmarkStart w:id="39" w:name="_Toc30510"/>
    </w:p>
    <w:p w14:paraId="233CEA1D" w14:textId="77777777" w:rsidR="007D68B8" w:rsidRDefault="00A26708">
      <w:pPr>
        <w:pStyle w:val="a5"/>
        <w:numPr>
          <w:ilvl w:val="1"/>
          <w:numId w:val="0"/>
        </w:numPr>
        <w:spacing w:before="156" w:after="156"/>
        <w:ind w:firstLine="420"/>
      </w:pPr>
      <w:r>
        <w:rPr>
          <w:rFonts w:hint="eastAsia"/>
        </w:rPr>
        <w:t>基准 EIS reference EIS</w:t>
      </w:r>
      <w:bookmarkEnd w:id="39"/>
    </w:p>
    <w:p w14:paraId="72EE1580" w14:textId="77777777" w:rsidR="007D68B8" w:rsidRDefault="00A26708">
      <w:pPr>
        <w:pStyle w:val="afff1"/>
      </w:pPr>
      <w:r>
        <w:rPr>
          <w:rFonts w:hint="eastAsia"/>
        </w:rPr>
        <w:t>以已知运行经验的记录或已公认对比功能性评定为基础进行评定并确定了的EIS。</w:t>
      </w:r>
    </w:p>
    <w:p w14:paraId="32BBCDD5" w14:textId="77777777" w:rsidR="007D68B8" w:rsidRDefault="00A26708">
      <w:pPr>
        <w:pStyle w:val="afff1"/>
        <w:rPr>
          <w:szCs w:val="21"/>
        </w:rPr>
      </w:pPr>
      <w:r>
        <w:rPr>
          <w:rFonts w:hint="eastAsia"/>
          <w:szCs w:val="21"/>
        </w:rPr>
        <w:t>[来源：GB/T 11021-2014]</w:t>
      </w:r>
    </w:p>
    <w:p w14:paraId="69D42171" w14:textId="77777777" w:rsidR="007D68B8" w:rsidRDefault="007D68B8">
      <w:pPr>
        <w:pStyle w:val="a5"/>
        <w:spacing w:before="156" w:after="156"/>
        <w:ind w:left="0"/>
      </w:pPr>
      <w:bookmarkStart w:id="40" w:name="_Toc32387"/>
    </w:p>
    <w:p w14:paraId="0A13EDAE" w14:textId="77777777" w:rsidR="007D68B8" w:rsidRDefault="00A26708">
      <w:pPr>
        <w:pStyle w:val="a5"/>
        <w:numPr>
          <w:ilvl w:val="1"/>
          <w:numId w:val="0"/>
        </w:numPr>
        <w:spacing w:before="156" w:after="156"/>
        <w:ind w:firstLine="420"/>
      </w:pPr>
      <w:proofErr w:type="gramStart"/>
      <w:r>
        <w:rPr>
          <w:rFonts w:hint="eastAsia"/>
        </w:rPr>
        <w:t>待评</w:t>
      </w:r>
      <w:proofErr w:type="gramEnd"/>
      <w:r>
        <w:rPr>
          <w:rFonts w:hint="eastAsia"/>
        </w:rPr>
        <w:t xml:space="preserve"> </w:t>
      </w:r>
      <w:r>
        <w:rPr>
          <w:rFonts w:ascii="Times New Roman"/>
        </w:rPr>
        <w:t>EIS candidate EIS</w:t>
      </w:r>
      <w:bookmarkEnd w:id="40"/>
    </w:p>
    <w:p w14:paraId="3991E8D4" w14:textId="77777777" w:rsidR="007D68B8" w:rsidRDefault="00A26708">
      <w:pPr>
        <w:pStyle w:val="afff1"/>
      </w:pPr>
      <w:r>
        <w:rPr>
          <w:rFonts w:hint="eastAsia"/>
        </w:rPr>
        <w:t>正在评定中的为确定其耐热能力的EIS。</w:t>
      </w:r>
    </w:p>
    <w:p w14:paraId="2D9DE4D5" w14:textId="77777777" w:rsidR="007D68B8" w:rsidRDefault="00A26708">
      <w:pPr>
        <w:pStyle w:val="afff1"/>
        <w:rPr>
          <w:szCs w:val="21"/>
        </w:rPr>
      </w:pPr>
      <w:r>
        <w:rPr>
          <w:rFonts w:hint="eastAsia"/>
          <w:szCs w:val="21"/>
        </w:rPr>
        <w:t>[来源：GB/T 11021-2014]</w:t>
      </w:r>
    </w:p>
    <w:p w14:paraId="1D6094BA" w14:textId="77777777" w:rsidR="007D68B8" w:rsidRDefault="00A26708">
      <w:pPr>
        <w:pStyle w:val="a4"/>
        <w:spacing w:before="312" w:after="312"/>
        <w:ind w:left="0"/>
        <w:rPr>
          <w:szCs w:val="21"/>
        </w:rPr>
      </w:pPr>
      <w:bookmarkStart w:id="41" w:name="_Toc119926290"/>
      <w:bookmarkStart w:id="42" w:name="_Toc490662726"/>
      <w:bookmarkStart w:id="43" w:name="_Toc119926390"/>
      <w:bookmarkStart w:id="44" w:name="_Toc119926289"/>
      <w:bookmarkStart w:id="45" w:name="_Toc119926393"/>
      <w:bookmarkStart w:id="46" w:name="_Toc119926286"/>
      <w:bookmarkStart w:id="47" w:name="_Toc381002926"/>
      <w:bookmarkStart w:id="48" w:name="_Toc119926396"/>
      <w:bookmarkStart w:id="49" w:name="_Toc119071413"/>
      <w:bookmarkStart w:id="50" w:name="_Toc119926392"/>
      <w:bookmarkStart w:id="51" w:name="_Toc119926288"/>
      <w:bookmarkStart w:id="52" w:name="_Toc119926291"/>
      <w:bookmarkStart w:id="53" w:name="_Toc119926388"/>
      <w:bookmarkStart w:id="54" w:name="_Toc48658974"/>
      <w:bookmarkStart w:id="55" w:name="_Toc119926292"/>
      <w:bookmarkStart w:id="56" w:name="_Toc380005106"/>
      <w:bookmarkStart w:id="57" w:name="_Toc119926394"/>
      <w:bookmarkStart w:id="58" w:name="_Toc119926293"/>
      <w:bookmarkStart w:id="59" w:name="_Toc490662728"/>
      <w:bookmarkStart w:id="60" w:name="_Toc119926395"/>
      <w:bookmarkStart w:id="61" w:name="_Toc48658976"/>
      <w:bookmarkStart w:id="62" w:name="_Toc381003437"/>
      <w:bookmarkStart w:id="63" w:name="_Toc48658972"/>
      <w:bookmarkStart w:id="64" w:name="_Toc119926389"/>
      <w:bookmarkStart w:id="65" w:name="_Toc119926391"/>
      <w:bookmarkStart w:id="66" w:name="_Toc119926287"/>
      <w:bookmarkStart w:id="67" w:name="_Toc119926285"/>
      <w:bookmarkStart w:id="68" w:name="_Toc18695"/>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Pr>
          <w:rFonts w:hint="eastAsia"/>
          <w:szCs w:val="21"/>
        </w:rPr>
        <w:t>样品描述</w:t>
      </w:r>
      <w:bookmarkEnd w:id="68"/>
    </w:p>
    <w:p w14:paraId="1D3652C7" w14:textId="77777777" w:rsidR="007D68B8" w:rsidRDefault="00A26708">
      <w:pPr>
        <w:pStyle w:val="a5"/>
        <w:spacing w:before="156" w:after="156"/>
        <w:ind w:left="0"/>
      </w:pPr>
      <w:bookmarkStart w:id="69" w:name="_Toc11108"/>
      <w:proofErr w:type="gramStart"/>
      <w:r>
        <w:rPr>
          <w:rFonts w:hint="eastAsia"/>
        </w:rPr>
        <w:t>试品制作</w:t>
      </w:r>
      <w:proofErr w:type="gramEnd"/>
      <w:r>
        <w:rPr>
          <w:rFonts w:hint="eastAsia"/>
        </w:rPr>
        <w:t>要求</w:t>
      </w:r>
      <w:bookmarkEnd w:id="69"/>
    </w:p>
    <w:p w14:paraId="48126067" w14:textId="77777777" w:rsidR="007D68B8" w:rsidRDefault="00A26708">
      <w:pPr>
        <w:pStyle w:val="a6"/>
        <w:spacing w:before="156" w:after="156"/>
        <w:ind w:left="0"/>
        <w:rPr>
          <w:rFonts w:ascii="宋体" w:eastAsia="宋体"/>
          <w:szCs w:val="20"/>
        </w:rPr>
      </w:pPr>
      <w:proofErr w:type="gramStart"/>
      <w:r>
        <w:rPr>
          <w:rFonts w:ascii="宋体" w:eastAsia="宋体" w:hint="eastAsia"/>
          <w:szCs w:val="20"/>
        </w:rPr>
        <w:t>试品可以</w:t>
      </w:r>
      <w:proofErr w:type="gramEnd"/>
      <w:r>
        <w:rPr>
          <w:rFonts w:ascii="宋体" w:eastAsia="宋体" w:hint="eastAsia"/>
          <w:szCs w:val="20"/>
        </w:rPr>
        <w:t>是实际产品、产品组件或模型。</w:t>
      </w:r>
    </w:p>
    <w:p w14:paraId="04092D88" w14:textId="77777777" w:rsidR="007D68B8" w:rsidRDefault="00A26708">
      <w:pPr>
        <w:pStyle w:val="a6"/>
        <w:spacing w:before="156" w:after="156"/>
        <w:ind w:left="0"/>
        <w:rPr>
          <w:rFonts w:ascii="宋体" w:eastAsia="宋体"/>
          <w:szCs w:val="20"/>
        </w:rPr>
      </w:pPr>
      <w:r>
        <w:rPr>
          <w:rFonts w:ascii="宋体" w:eastAsia="宋体" w:hint="eastAsia"/>
          <w:szCs w:val="20"/>
        </w:rPr>
        <w:t>使用实际产品或产品组件</w:t>
      </w:r>
      <w:proofErr w:type="gramStart"/>
      <w:r>
        <w:rPr>
          <w:rFonts w:ascii="宋体" w:eastAsia="宋体" w:hint="eastAsia"/>
          <w:szCs w:val="20"/>
        </w:rPr>
        <w:t>作为试品应</w:t>
      </w:r>
      <w:proofErr w:type="gramEnd"/>
      <w:r>
        <w:rPr>
          <w:rFonts w:ascii="宋体" w:eastAsia="宋体" w:hint="eastAsia"/>
          <w:szCs w:val="20"/>
        </w:rPr>
        <w:t>考虑电机的经济性或/和尺寸大小，可适当减小</w:t>
      </w:r>
      <w:proofErr w:type="gramStart"/>
      <w:r>
        <w:rPr>
          <w:rFonts w:ascii="宋体" w:eastAsia="宋体" w:hint="eastAsia"/>
          <w:szCs w:val="20"/>
        </w:rPr>
        <w:t>槽部</w:t>
      </w:r>
      <w:proofErr w:type="gramEnd"/>
      <w:r>
        <w:rPr>
          <w:rFonts w:ascii="宋体" w:eastAsia="宋体" w:hint="eastAsia"/>
          <w:szCs w:val="20"/>
        </w:rPr>
        <w:t>长度，但需要考虑线圈的实际间隙和爬电距离。</w:t>
      </w:r>
    </w:p>
    <w:p w14:paraId="6F247346" w14:textId="77777777" w:rsidR="007D68B8" w:rsidRDefault="00A26708">
      <w:pPr>
        <w:pStyle w:val="a6"/>
        <w:spacing w:before="156" w:after="156"/>
        <w:ind w:left="0"/>
        <w:rPr>
          <w:rFonts w:ascii="宋体" w:eastAsia="宋体"/>
          <w:szCs w:val="20"/>
        </w:rPr>
      </w:pPr>
      <w:r>
        <w:rPr>
          <w:rFonts w:ascii="宋体" w:eastAsia="宋体" w:hint="eastAsia"/>
          <w:szCs w:val="20"/>
        </w:rPr>
        <w:t>试验模型应包含</w:t>
      </w:r>
      <w:proofErr w:type="gramStart"/>
      <w:r>
        <w:rPr>
          <w:rFonts w:ascii="宋体" w:eastAsia="宋体" w:hint="eastAsia"/>
          <w:szCs w:val="20"/>
        </w:rPr>
        <w:t>所有用于</w:t>
      </w:r>
      <w:proofErr w:type="gramEnd"/>
      <w:r>
        <w:rPr>
          <w:rFonts w:ascii="宋体" w:eastAsia="宋体" w:hint="eastAsia"/>
          <w:szCs w:val="20"/>
        </w:rPr>
        <w:t>被模拟绕组的基本组件且应极其相似，应使用与预期最大额定电压、设备标准或实际情况相适应的绝缘厚度、爬电距离和放电保护（必要时），按照产品设计图纸的要求1：1比例或等比例缩小制作模型线圈，保证物料、工艺等与实际生产一致。</w:t>
      </w:r>
    </w:p>
    <w:p w14:paraId="64673F76" w14:textId="77777777" w:rsidR="007D68B8" w:rsidRDefault="00A26708">
      <w:pPr>
        <w:pStyle w:val="a6"/>
        <w:spacing w:before="156" w:after="156"/>
        <w:ind w:left="0"/>
        <w:rPr>
          <w:rFonts w:ascii="宋体" w:eastAsia="宋体"/>
          <w:szCs w:val="20"/>
        </w:rPr>
      </w:pPr>
      <w:r>
        <w:rPr>
          <w:rFonts w:ascii="宋体" w:eastAsia="宋体" w:hint="eastAsia"/>
          <w:szCs w:val="20"/>
        </w:rPr>
        <w:t>试样数量应符合5.5要求，应采用相同的工艺进行制备以保证良好的一致性和均匀性。</w:t>
      </w:r>
    </w:p>
    <w:p w14:paraId="67FA7598" w14:textId="77777777" w:rsidR="007D68B8" w:rsidRDefault="00A26708">
      <w:pPr>
        <w:pStyle w:val="a6"/>
        <w:spacing w:before="156" w:after="156"/>
        <w:ind w:left="0"/>
        <w:rPr>
          <w:rFonts w:ascii="宋体" w:eastAsia="宋体"/>
          <w:szCs w:val="20"/>
        </w:rPr>
      </w:pPr>
      <w:r>
        <w:rPr>
          <w:rFonts w:ascii="宋体" w:eastAsia="宋体" w:hint="eastAsia"/>
          <w:szCs w:val="20"/>
        </w:rPr>
        <w:t xml:space="preserve">基准 EIS </w:t>
      </w:r>
      <w:proofErr w:type="gramStart"/>
      <w:r>
        <w:rPr>
          <w:rFonts w:ascii="宋体" w:eastAsia="宋体" w:hint="eastAsia"/>
          <w:szCs w:val="20"/>
        </w:rPr>
        <w:t>和待评</w:t>
      </w:r>
      <w:proofErr w:type="gramEnd"/>
      <w:r>
        <w:rPr>
          <w:rFonts w:ascii="宋体" w:eastAsia="宋体" w:hint="eastAsia"/>
          <w:szCs w:val="20"/>
        </w:rPr>
        <w:t xml:space="preserve"> EIS应采用相同的试品。</w:t>
      </w:r>
    </w:p>
    <w:p w14:paraId="0E7E3F5C" w14:textId="77777777" w:rsidR="007D68B8" w:rsidRDefault="00A26708">
      <w:pPr>
        <w:pStyle w:val="afff1"/>
        <w:ind w:firstLineChars="0" w:firstLine="0"/>
        <w:rPr>
          <w:rFonts w:ascii="黑体" w:eastAsia="黑体" w:hAnsi="黑体"/>
          <w:szCs w:val="21"/>
        </w:rPr>
      </w:pPr>
      <w:r>
        <w:rPr>
          <w:rFonts w:ascii="黑体" w:eastAsia="黑体" w:hAnsi="黑体" w:hint="eastAsia"/>
          <w:szCs w:val="21"/>
        </w:rPr>
        <w:t>注：</w:t>
      </w:r>
      <w:proofErr w:type="gramStart"/>
      <w:r>
        <w:rPr>
          <w:rFonts w:ascii="黑体" w:eastAsia="黑体" w:hAnsi="黑体" w:hint="eastAsia"/>
          <w:szCs w:val="21"/>
        </w:rPr>
        <w:t>试品制作</w:t>
      </w:r>
      <w:proofErr w:type="gramEnd"/>
      <w:r>
        <w:rPr>
          <w:rFonts w:ascii="黑体" w:eastAsia="黑体" w:hAnsi="黑体" w:hint="eastAsia"/>
          <w:szCs w:val="21"/>
        </w:rPr>
        <w:t>时应考虑在机械振动试验时的安装便捷性，例如方便用压板固定。</w:t>
      </w:r>
    </w:p>
    <w:p w14:paraId="1C51588F" w14:textId="77777777" w:rsidR="007D68B8" w:rsidRDefault="00A26708">
      <w:pPr>
        <w:pStyle w:val="a5"/>
        <w:spacing w:before="156" w:after="156"/>
        <w:ind w:left="0"/>
      </w:pPr>
      <w:bookmarkStart w:id="70" w:name="_Toc119926298"/>
      <w:bookmarkStart w:id="71" w:name="_Toc119926297"/>
      <w:bookmarkStart w:id="72" w:name="_Toc119926401"/>
      <w:bookmarkStart w:id="73" w:name="_Toc119926399"/>
      <w:bookmarkStart w:id="74" w:name="_Toc119926296"/>
      <w:bookmarkStart w:id="75" w:name="_Toc119926400"/>
      <w:bookmarkStart w:id="76" w:name="_Toc21568"/>
      <w:bookmarkEnd w:id="70"/>
      <w:bookmarkEnd w:id="71"/>
      <w:bookmarkEnd w:id="72"/>
      <w:bookmarkEnd w:id="73"/>
      <w:bookmarkEnd w:id="74"/>
      <w:bookmarkEnd w:id="75"/>
      <w:r>
        <w:rPr>
          <w:rFonts w:hint="eastAsia"/>
        </w:rPr>
        <w:lastRenderedPageBreak/>
        <w:t>实际运行条件及要求</w:t>
      </w:r>
      <w:bookmarkEnd w:id="76"/>
    </w:p>
    <w:p w14:paraId="77BF18E6" w14:textId="77777777" w:rsidR="007D68B8" w:rsidRDefault="00A26708">
      <w:pPr>
        <w:pStyle w:val="afff1"/>
      </w:pPr>
      <w:r>
        <w:rPr>
          <w:rFonts w:hint="eastAsia"/>
        </w:rPr>
        <w:t>高温气冷堆核动力厂控制棒驱动机构实际运行条件及要求如下：</w:t>
      </w:r>
    </w:p>
    <w:p w14:paraId="792B1D2C" w14:textId="77777777" w:rsidR="007D68B8" w:rsidRDefault="00A26708">
      <w:pPr>
        <w:pStyle w:val="afff1"/>
        <w:numPr>
          <w:ilvl w:val="0"/>
          <w:numId w:val="18"/>
        </w:numPr>
        <w:tabs>
          <w:tab w:val="clear" w:pos="420"/>
        </w:tabs>
        <w:ind w:firstLineChars="0"/>
      </w:pPr>
      <w:r>
        <w:rPr>
          <w:rFonts w:hint="eastAsia"/>
        </w:rPr>
        <w:t>工作环境为氦气环境。</w:t>
      </w:r>
    </w:p>
    <w:p w14:paraId="060B174D" w14:textId="77777777" w:rsidR="007D68B8" w:rsidRDefault="00A26708">
      <w:pPr>
        <w:pStyle w:val="afff1"/>
        <w:numPr>
          <w:ilvl w:val="0"/>
          <w:numId w:val="18"/>
        </w:numPr>
        <w:tabs>
          <w:tab w:val="clear" w:pos="420"/>
        </w:tabs>
        <w:ind w:firstLineChars="0"/>
      </w:pPr>
      <w:r>
        <w:rPr>
          <w:rFonts w:hint="eastAsia"/>
        </w:rPr>
        <w:t xml:space="preserve">辐照剂量要求：8.4×10^5 </w:t>
      </w:r>
      <w:proofErr w:type="spellStart"/>
      <w:r>
        <w:rPr>
          <w:rFonts w:hint="eastAsia"/>
        </w:rPr>
        <w:t>Gy</w:t>
      </w:r>
      <w:proofErr w:type="spellEnd"/>
      <w:r>
        <w:rPr>
          <w:rFonts w:hint="eastAsia"/>
        </w:rPr>
        <w:t>。</w:t>
      </w:r>
    </w:p>
    <w:p w14:paraId="72899141" w14:textId="77777777" w:rsidR="007D68B8" w:rsidRDefault="00A26708">
      <w:pPr>
        <w:pStyle w:val="afff1"/>
        <w:numPr>
          <w:ilvl w:val="0"/>
          <w:numId w:val="18"/>
        </w:numPr>
        <w:tabs>
          <w:tab w:val="clear" w:pos="420"/>
        </w:tabs>
        <w:ind w:firstLineChars="0"/>
      </w:pPr>
      <w:r>
        <w:rPr>
          <w:rFonts w:hint="eastAsia"/>
        </w:rPr>
        <w:t>对于工作中存在温升的绝缘系统，如电机绕组，耐热等级不低于200℃。</w:t>
      </w:r>
    </w:p>
    <w:p w14:paraId="229651DE" w14:textId="77777777" w:rsidR="007D68B8" w:rsidRDefault="00A26708">
      <w:pPr>
        <w:pStyle w:val="afff1"/>
        <w:numPr>
          <w:ilvl w:val="0"/>
          <w:numId w:val="18"/>
        </w:numPr>
        <w:tabs>
          <w:tab w:val="clear" w:pos="420"/>
        </w:tabs>
        <w:ind w:firstLineChars="0"/>
      </w:pPr>
      <w:r>
        <w:rPr>
          <w:rFonts w:hint="eastAsia"/>
        </w:rPr>
        <w:t>对于工作中无明显发热温升的绝缘系统，</w:t>
      </w:r>
      <w:proofErr w:type="gramStart"/>
      <w:r>
        <w:rPr>
          <w:rFonts w:hint="eastAsia"/>
        </w:rPr>
        <w:t>如棒位</w:t>
      </w:r>
      <w:proofErr w:type="gramEnd"/>
      <w:r>
        <w:rPr>
          <w:rFonts w:hint="eastAsia"/>
        </w:rPr>
        <w:t>指示器线圈，耐热等级不低于180℃。</w:t>
      </w:r>
    </w:p>
    <w:p w14:paraId="7BCF70CF" w14:textId="77777777" w:rsidR="007D68B8" w:rsidRDefault="00A26708">
      <w:pPr>
        <w:pStyle w:val="a4"/>
        <w:spacing w:before="312" w:after="312"/>
        <w:ind w:left="0"/>
        <w:rPr>
          <w:szCs w:val="21"/>
        </w:rPr>
      </w:pPr>
      <w:bookmarkStart w:id="77" w:name="_Toc119926329"/>
      <w:bookmarkStart w:id="78" w:name="_Toc119926311"/>
      <w:bookmarkStart w:id="79" w:name="_Toc119926429"/>
      <w:bookmarkStart w:id="80" w:name="_Toc119926341"/>
      <w:bookmarkStart w:id="81" w:name="_Toc119926322"/>
      <w:bookmarkStart w:id="82" w:name="_Toc119926460"/>
      <w:bookmarkStart w:id="83" w:name="_Toc119926443"/>
      <w:bookmarkStart w:id="84" w:name="_Toc119926355"/>
      <w:bookmarkStart w:id="85" w:name="_Toc119926327"/>
      <w:bookmarkStart w:id="86" w:name="_Toc119926442"/>
      <w:bookmarkStart w:id="87" w:name="_Toc119926421"/>
      <w:bookmarkStart w:id="88" w:name="_Toc119926310"/>
      <w:bookmarkStart w:id="89" w:name="_Toc119926458"/>
      <w:bookmarkStart w:id="90" w:name="_Toc119926424"/>
      <w:bookmarkStart w:id="91" w:name="_Toc119926417"/>
      <w:bookmarkStart w:id="92" w:name="_Toc119926316"/>
      <w:bookmarkStart w:id="93" w:name="_Toc119926346"/>
      <w:bookmarkStart w:id="94" w:name="_Toc119926307"/>
      <w:bookmarkStart w:id="95" w:name="_Toc119926455"/>
      <w:bookmarkStart w:id="96" w:name="_Toc119926339"/>
      <w:bookmarkStart w:id="97" w:name="_Toc119926318"/>
      <w:bookmarkStart w:id="98" w:name="_Toc119926359"/>
      <w:bookmarkStart w:id="99" w:name="_Toc119926357"/>
      <w:bookmarkStart w:id="100" w:name="_Toc119926441"/>
      <w:bookmarkStart w:id="101" w:name="_Toc119926304"/>
      <w:bookmarkStart w:id="102" w:name="_Toc119926457"/>
      <w:bookmarkStart w:id="103" w:name="_Toc119926351"/>
      <w:bookmarkStart w:id="104" w:name="_Toc119926321"/>
      <w:bookmarkStart w:id="105" w:name="_Toc119926419"/>
      <w:bookmarkStart w:id="106" w:name="_Toc119926309"/>
      <w:bookmarkStart w:id="107" w:name="_Toc119926415"/>
      <w:bookmarkStart w:id="108" w:name="_Toc119926459"/>
      <w:bookmarkStart w:id="109" w:name="_Toc119926422"/>
      <w:bookmarkStart w:id="110" w:name="_Toc119926462"/>
      <w:bookmarkStart w:id="111" w:name="_Toc119926317"/>
      <w:bookmarkStart w:id="112" w:name="_Toc119926330"/>
      <w:bookmarkStart w:id="113" w:name="_Toc119926432"/>
      <w:bookmarkStart w:id="114" w:name="_Toc119926342"/>
      <w:bookmarkStart w:id="115" w:name="_Toc119926332"/>
      <w:bookmarkStart w:id="116" w:name="_Toc119926445"/>
      <w:bookmarkStart w:id="117" w:name="_Toc119926336"/>
      <w:bookmarkStart w:id="118" w:name="_Toc119926334"/>
      <w:bookmarkStart w:id="119" w:name="_Toc119926448"/>
      <w:bookmarkStart w:id="120" w:name="_Toc119926326"/>
      <w:bookmarkStart w:id="121" w:name="_Toc119926439"/>
      <w:bookmarkStart w:id="122" w:name="_Toc119926331"/>
      <w:bookmarkStart w:id="123" w:name="_Toc119926340"/>
      <w:bookmarkStart w:id="124" w:name="_Toc119926347"/>
      <w:bookmarkStart w:id="125" w:name="_Toc119926446"/>
      <w:bookmarkStart w:id="126" w:name="_Toc119926335"/>
      <w:bookmarkStart w:id="127" w:name="_Toc119926328"/>
      <w:bookmarkStart w:id="128" w:name="_Toc119926434"/>
      <w:bookmarkStart w:id="129" w:name="_Toc119926350"/>
      <w:bookmarkStart w:id="130" w:name="_Toc119926324"/>
      <w:bookmarkStart w:id="131" w:name="_Toc119926353"/>
      <w:bookmarkStart w:id="132" w:name="_Toc119926349"/>
      <w:bookmarkStart w:id="133" w:name="_Toc119926438"/>
      <w:bookmarkStart w:id="134" w:name="_Toc119926416"/>
      <w:bookmarkStart w:id="135" w:name="_Toc119926453"/>
      <w:bookmarkStart w:id="136" w:name="_Toc119926431"/>
      <w:bookmarkStart w:id="137" w:name="_Toc119926430"/>
      <w:bookmarkStart w:id="138" w:name="_Toc119926423"/>
      <w:bookmarkStart w:id="139" w:name="_Toc119926352"/>
      <w:bookmarkStart w:id="140" w:name="_Toc119926345"/>
      <w:bookmarkStart w:id="141" w:name="_Toc119926456"/>
      <w:bookmarkStart w:id="142" w:name="_Toc119926338"/>
      <w:bookmarkStart w:id="143" w:name="_Toc119926337"/>
      <w:bookmarkStart w:id="144" w:name="_Toc119926343"/>
      <w:bookmarkStart w:id="145" w:name="_Toc119926306"/>
      <w:bookmarkStart w:id="146" w:name="_Toc119926406"/>
      <w:bookmarkStart w:id="147" w:name="_Toc119926427"/>
      <w:bookmarkStart w:id="148" w:name="_Toc119926433"/>
      <w:bookmarkStart w:id="149" w:name="_Toc119926440"/>
      <w:bookmarkStart w:id="150" w:name="_Toc119926435"/>
      <w:bookmarkStart w:id="151" w:name="_Toc119926425"/>
      <w:bookmarkStart w:id="152" w:name="_Toc119926444"/>
      <w:bookmarkStart w:id="153" w:name="_Toc119926414"/>
      <w:bookmarkStart w:id="154" w:name="_Toc119926325"/>
      <w:bookmarkStart w:id="155" w:name="_Toc119926323"/>
      <w:bookmarkStart w:id="156" w:name="_Toc119926428"/>
      <w:bookmarkStart w:id="157" w:name="_Toc119926436"/>
      <w:bookmarkStart w:id="158" w:name="_Toc119926437"/>
      <w:bookmarkStart w:id="159" w:name="_Toc119926451"/>
      <w:bookmarkStart w:id="160" w:name="_Toc119926348"/>
      <w:bookmarkStart w:id="161" w:name="_Toc119926313"/>
      <w:bookmarkStart w:id="162" w:name="_Toc119926407"/>
      <w:bookmarkStart w:id="163" w:name="_Toc119926410"/>
      <w:bookmarkStart w:id="164" w:name="_Toc119926333"/>
      <w:bookmarkStart w:id="165" w:name="_Toc119926358"/>
      <w:bookmarkStart w:id="166" w:name="_Toc119926454"/>
      <w:bookmarkStart w:id="167" w:name="_Toc119926449"/>
      <w:bookmarkStart w:id="168" w:name="_Toc119926413"/>
      <w:bookmarkStart w:id="169" w:name="_Toc119926452"/>
      <w:bookmarkStart w:id="170" w:name="_Toc119926420"/>
      <w:bookmarkStart w:id="171" w:name="_Toc119926408"/>
      <w:bookmarkStart w:id="172" w:name="_Toc119926450"/>
      <w:bookmarkStart w:id="173" w:name="_Toc119926303"/>
      <w:bookmarkStart w:id="174" w:name="_Toc119926461"/>
      <w:bookmarkStart w:id="175" w:name="_Toc119926426"/>
      <w:bookmarkStart w:id="176" w:name="_Toc119926356"/>
      <w:bookmarkStart w:id="177" w:name="_Toc119926308"/>
      <w:bookmarkStart w:id="178" w:name="_Toc119926315"/>
      <w:bookmarkStart w:id="179" w:name="_Toc119926305"/>
      <w:bookmarkStart w:id="180" w:name="_Toc119926412"/>
      <w:bookmarkStart w:id="181" w:name="_Toc119926314"/>
      <w:bookmarkStart w:id="182" w:name="_Toc119926344"/>
      <w:bookmarkStart w:id="183" w:name="_Toc119926354"/>
      <w:bookmarkStart w:id="184" w:name="_Toc119926312"/>
      <w:bookmarkStart w:id="185" w:name="_Toc119926320"/>
      <w:bookmarkStart w:id="186" w:name="_Toc119926418"/>
      <w:bookmarkStart w:id="187" w:name="_Toc119926409"/>
      <w:bookmarkStart w:id="188" w:name="_Toc119926319"/>
      <w:bookmarkStart w:id="189" w:name="_Toc119926411"/>
      <w:bookmarkStart w:id="190" w:name="_Toc119926447"/>
      <w:bookmarkStart w:id="191" w:name="_Toc26819"/>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Pr>
          <w:rFonts w:hint="eastAsia"/>
          <w:szCs w:val="21"/>
        </w:rPr>
        <w:t>试验要求</w:t>
      </w:r>
      <w:bookmarkEnd w:id="191"/>
    </w:p>
    <w:p w14:paraId="6027BA1F" w14:textId="77777777" w:rsidR="007D68B8" w:rsidRDefault="00A26708">
      <w:pPr>
        <w:pStyle w:val="a5"/>
        <w:spacing w:before="156" w:after="156"/>
        <w:ind w:left="0"/>
      </w:pPr>
      <w:bookmarkStart w:id="192" w:name="_Toc16676"/>
      <w:r>
        <w:rPr>
          <w:rFonts w:hint="eastAsia"/>
        </w:rPr>
        <w:t>概述</w:t>
      </w:r>
      <w:bookmarkEnd w:id="192"/>
    </w:p>
    <w:p w14:paraId="6F1C1A17" w14:textId="77777777" w:rsidR="007D68B8" w:rsidRDefault="00A26708">
      <w:pPr>
        <w:pStyle w:val="afff1"/>
      </w:pPr>
      <w:r>
        <w:rPr>
          <w:rFonts w:hint="eastAsia"/>
        </w:rPr>
        <w:t>应采用</w:t>
      </w:r>
      <w:proofErr w:type="gramStart"/>
      <w:r>
        <w:rPr>
          <w:rFonts w:hint="eastAsia"/>
        </w:rPr>
        <w:t>与待评绝缘结构</w:t>
      </w:r>
      <w:proofErr w:type="gramEnd"/>
      <w:r>
        <w:rPr>
          <w:rFonts w:hint="eastAsia"/>
        </w:rPr>
        <w:t>相同的规程对GB/T 17948.7-2016中4.3所述的基准绝缘结构进行测试。</w:t>
      </w:r>
    </w:p>
    <w:p w14:paraId="2421D49A" w14:textId="77777777" w:rsidR="007D68B8" w:rsidRDefault="00A26708">
      <w:pPr>
        <w:pStyle w:val="afff1"/>
      </w:pPr>
      <w:r>
        <w:rPr>
          <w:rFonts w:hint="eastAsia"/>
        </w:rPr>
        <w:t>每个热老化试验通常由一系列的周期组成,每个周期包含热老化分周期及随后的诊断分周期。</w:t>
      </w:r>
    </w:p>
    <w:p w14:paraId="40E5CF51" w14:textId="77777777" w:rsidR="007D68B8" w:rsidRDefault="00A26708">
      <w:pPr>
        <w:pStyle w:val="a5"/>
        <w:spacing w:before="156" w:after="156"/>
        <w:ind w:left="0"/>
      </w:pPr>
      <w:bookmarkStart w:id="193" w:name="_Toc27825"/>
      <w:r>
        <w:rPr>
          <w:rFonts w:hint="eastAsia"/>
        </w:rPr>
        <w:t>加速模型的选择</w:t>
      </w:r>
      <w:bookmarkEnd w:id="193"/>
    </w:p>
    <w:p w14:paraId="4B4F392E" w14:textId="77777777" w:rsidR="007D68B8" w:rsidRDefault="00A26708">
      <w:pPr>
        <w:pStyle w:val="afff1"/>
        <w:ind w:leftChars="67" w:left="141"/>
      </w:pPr>
      <w:r>
        <w:rPr>
          <w:rFonts w:hint="eastAsia"/>
        </w:rPr>
        <w:t>加速老化试验对一定数量的样品在明显高于正常工作温度的几个温度水平下进行试验。在高温应力下，样品通常可以在</w:t>
      </w:r>
      <w:proofErr w:type="gramStart"/>
      <w:r>
        <w:rPr>
          <w:rFonts w:hint="eastAsia"/>
        </w:rPr>
        <w:t>一</w:t>
      </w:r>
      <w:proofErr w:type="gramEnd"/>
      <w:r>
        <w:rPr>
          <w:rFonts w:hint="eastAsia"/>
        </w:rPr>
        <w:t>周到一年的时间内失效。试验目标是根据寿命数据得到寿命中值和温度关系式，并通过外推估计在工作温度下的寿命中值。</w:t>
      </w:r>
    </w:p>
    <w:p w14:paraId="395182FC" w14:textId="77777777" w:rsidR="007D68B8" w:rsidRDefault="00A26708">
      <w:pPr>
        <w:pStyle w:val="afff1"/>
        <w:ind w:leftChars="67" w:left="141"/>
      </w:pPr>
      <w:r>
        <w:rPr>
          <w:rFonts w:hint="eastAsia"/>
        </w:rPr>
        <w:t>高温老化试验通常使用阿伦纽斯（Arrhenius）模型，绝缘寿命温度与温度的关系式如下:</w:t>
      </w:r>
    </w:p>
    <w:p w14:paraId="071ADF42" w14:textId="77777777" w:rsidR="007D68B8" w:rsidRDefault="00A26708">
      <w:pPr>
        <w:pStyle w:val="afff1"/>
        <w:ind w:leftChars="67" w:left="141"/>
      </w:pPr>
      <m:oMath>
        <m:r>
          <w:rPr>
            <w:rFonts w:ascii="Cambria Math"/>
          </w:rPr>
          <m:t>L=A</m:t>
        </m:r>
        <m:sSup>
          <m:sSupPr>
            <m:ctrlPr>
              <w:rPr>
                <w:rFonts w:ascii="Cambria Math" w:hAnsi="Cambria Math"/>
                <w:i/>
              </w:rPr>
            </m:ctrlPr>
          </m:sSupPr>
          <m:e>
            <m:r>
              <w:rPr>
                <w:rFonts w:ascii="Cambria Math"/>
              </w:rPr>
              <m:t>e</m:t>
            </m:r>
          </m:e>
          <m:sup>
            <m:r>
              <w:rPr>
                <w:rFonts w:ascii="Cambria Math"/>
              </w:rPr>
              <m:t>E/</m:t>
            </m:r>
            <m:r>
              <w:rPr>
                <w:rFonts w:ascii="Cambria Math" w:hint="eastAsia"/>
              </w:rPr>
              <m:t>k</m:t>
            </m:r>
            <m:r>
              <w:rPr>
                <w:rFonts w:ascii="Cambria Math"/>
              </w:rPr>
              <m:t>T</m:t>
            </m:r>
          </m:sup>
        </m:sSup>
      </m:oMath>
      <w:r>
        <w:rPr>
          <w:rFonts w:hint="eastAsia"/>
        </w:rPr>
        <w:t xml:space="preserve">                             （1） </w:t>
      </w:r>
    </w:p>
    <w:p w14:paraId="2CF3950F" w14:textId="77777777" w:rsidR="007D68B8" w:rsidRDefault="00A26708">
      <w:pPr>
        <w:pStyle w:val="afff1"/>
        <w:ind w:leftChars="67" w:left="141"/>
      </w:pPr>
      <w:r>
        <w:rPr>
          <w:rFonts w:hint="eastAsia"/>
        </w:rPr>
        <w:t>式中：</w:t>
      </w:r>
    </w:p>
    <w:p w14:paraId="17AA2F20" w14:textId="77777777" w:rsidR="007D68B8" w:rsidRDefault="00A26708">
      <w:pPr>
        <w:pStyle w:val="afff1"/>
        <w:ind w:leftChars="67" w:left="141"/>
      </w:pPr>
      <w:r>
        <w:rPr>
          <w:i/>
          <w:iCs/>
        </w:rPr>
        <w:t>L</w:t>
      </w:r>
      <w:r>
        <w:rPr>
          <w:rFonts w:hint="eastAsia"/>
        </w:rPr>
        <w:t>—寿命特征；</w:t>
      </w:r>
    </w:p>
    <w:p w14:paraId="76DEADD2" w14:textId="77777777" w:rsidR="007D68B8" w:rsidRDefault="00A26708">
      <w:pPr>
        <w:pStyle w:val="afff1"/>
        <w:ind w:leftChars="67" w:left="141"/>
      </w:pPr>
      <w:r>
        <w:rPr>
          <w:i/>
          <w:iCs/>
        </w:rPr>
        <w:t>A</w:t>
      </w:r>
      <w:r>
        <w:rPr>
          <w:rFonts w:hint="eastAsia"/>
        </w:rPr>
        <w:t>—常数；</w:t>
      </w:r>
    </w:p>
    <w:p w14:paraId="57BF5144" w14:textId="77777777" w:rsidR="007D68B8" w:rsidRDefault="00A26708">
      <w:pPr>
        <w:pStyle w:val="afff1"/>
        <w:ind w:leftChars="67" w:left="141"/>
      </w:pPr>
      <w:r>
        <w:rPr>
          <w:i/>
          <w:iCs/>
        </w:rPr>
        <w:t>E</w:t>
      </w:r>
      <w:r>
        <w:rPr>
          <w:rFonts w:hint="eastAsia"/>
        </w:rPr>
        <w:t>—激活能，与材料有关，单位为eV；</w:t>
      </w:r>
    </w:p>
    <w:p w14:paraId="619D80D5" w14:textId="77777777" w:rsidR="007D68B8" w:rsidRDefault="00A26708">
      <w:pPr>
        <w:pStyle w:val="afff1"/>
        <w:ind w:leftChars="67" w:left="141"/>
      </w:pPr>
      <w:r>
        <w:rPr>
          <w:i/>
          <w:iCs/>
        </w:rPr>
        <w:t>K</w:t>
      </w:r>
      <w:r>
        <w:rPr>
          <w:rFonts w:hint="eastAsia"/>
        </w:rPr>
        <w:t>—玻尔兹曼常数，为8.617×10^(-5)eV/k。</w:t>
      </w:r>
    </w:p>
    <w:p w14:paraId="72645121" w14:textId="77777777" w:rsidR="007D68B8" w:rsidRDefault="00A26708">
      <w:pPr>
        <w:pStyle w:val="afff1"/>
        <w:ind w:leftChars="67" w:left="141"/>
      </w:pPr>
      <w:r>
        <w:rPr>
          <w:i/>
          <w:iCs/>
        </w:rPr>
        <w:t>T</w:t>
      </w:r>
      <w:r>
        <w:rPr>
          <w:rFonts w:hint="eastAsia"/>
        </w:rPr>
        <w:t>—绝对温度，单位为K。</w:t>
      </w:r>
    </w:p>
    <w:p w14:paraId="0D895275" w14:textId="77777777" w:rsidR="007D68B8" w:rsidRDefault="007D68B8">
      <w:pPr>
        <w:pStyle w:val="afff1"/>
        <w:ind w:leftChars="67" w:left="141"/>
      </w:pPr>
    </w:p>
    <w:p w14:paraId="682D0288" w14:textId="77777777" w:rsidR="007D68B8" w:rsidRDefault="00A26708">
      <w:pPr>
        <w:pStyle w:val="a5"/>
        <w:spacing w:before="156" w:after="156"/>
        <w:ind w:left="0"/>
      </w:pPr>
      <w:bookmarkStart w:id="194" w:name="_Toc10411"/>
      <w:r>
        <w:rPr>
          <w:rFonts w:hint="eastAsia"/>
        </w:rPr>
        <w:t>试验温度水平和分周期时间</w:t>
      </w:r>
      <w:bookmarkEnd w:id="194"/>
    </w:p>
    <w:p w14:paraId="21C705CE" w14:textId="77777777" w:rsidR="007D68B8" w:rsidRDefault="00A26708">
      <w:pPr>
        <w:pStyle w:val="a6"/>
        <w:spacing w:before="156" w:after="156"/>
        <w:ind w:left="0"/>
        <w:rPr>
          <w:rFonts w:ascii="宋体" w:eastAsia="宋体"/>
          <w:szCs w:val="20"/>
        </w:rPr>
      </w:pPr>
      <w:r>
        <w:rPr>
          <w:rFonts w:ascii="宋体" w:eastAsia="宋体" w:hint="eastAsia"/>
          <w:szCs w:val="20"/>
        </w:rPr>
        <w:t>热老化试验建议至少在3个温度水平进行。</w:t>
      </w:r>
    </w:p>
    <w:p w14:paraId="6B3686FA" w14:textId="77777777" w:rsidR="007D68B8" w:rsidRDefault="00A26708">
      <w:pPr>
        <w:pStyle w:val="a6"/>
        <w:spacing w:before="156" w:after="156"/>
        <w:ind w:left="0"/>
        <w:rPr>
          <w:rFonts w:ascii="宋体" w:eastAsia="宋体"/>
          <w:szCs w:val="20"/>
        </w:rPr>
      </w:pPr>
      <w:r>
        <w:rPr>
          <w:rFonts w:ascii="宋体" w:eastAsia="宋体" w:hint="eastAsia"/>
          <w:szCs w:val="20"/>
        </w:rPr>
        <w:t>加速寿命试验中最低温度应力的外推值一般不得高于预计的耐热等级的25K，最高试验应力温度设置需保证失效原理不变，相邻2个老化温度的间隔为20K或以上，当用多于四个老化温度点进行试验时，可采用少于20K的温差间隔。</w:t>
      </w:r>
    </w:p>
    <w:p w14:paraId="25E5082D" w14:textId="77777777" w:rsidR="007D68B8" w:rsidRDefault="00A26708">
      <w:pPr>
        <w:pStyle w:val="a6"/>
        <w:spacing w:before="156" w:after="156"/>
        <w:ind w:left="0"/>
        <w:rPr>
          <w:rFonts w:ascii="宋体" w:eastAsia="宋体"/>
          <w:szCs w:val="20"/>
        </w:rPr>
      </w:pPr>
      <w:r>
        <w:rPr>
          <w:rFonts w:ascii="宋体" w:eastAsia="宋体" w:hint="eastAsia"/>
          <w:szCs w:val="20"/>
        </w:rPr>
        <w:t>选择的最低老化温度应至少得到5000h的平均寿命,最高温度应至少得到100h的平均寿命。</w:t>
      </w:r>
    </w:p>
    <w:p w14:paraId="5E777ACA" w14:textId="77777777" w:rsidR="007D68B8" w:rsidRDefault="00A26708">
      <w:pPr>
        <w:pStyle w:val="a6"/>
        <w:spacing w:before="156" w:after="156"/>
        <w:ind w:left="0"/>
        <w:rPr>
          <w:rFonts w:ascii="宋体" w:eastAsia="宋体"/>
          <w:szCs w:val="20"/>
        </w:rPr>
      </w:pPr>
      <w:r>
        <w:rPr>
          <w:rFonts w:ascii="宋体" w:eastAsia="宋体" w:hint="eastAsia"/>
          <w:szCs w:val="20"/>
        </w:rPr>
        <w:t>也可通过JB/T 1544-2015的热失重曲线计算活化能和摸底试验相结合的方式提高试验温度点的估算精度。</w:t>
      </w:r>
    </w:p>
    <w:p w14:paraId="28AE8C6C" w14:textId="77777777" w:rsidR="007D68B8" w:rsidRDefault="00A26708">
      <w:pPr>
        <w:pStyle w:val="a6"/>
        <w:spacing w:before="156" w:after="156"/>
        <w:ind w:left="0"/>
        <w:rPr>
          <w:rFonts w:ascii="宋体" w:eastAsia="宋体"/>
          <w:szCs w:val="20"/>
        </w:rPr>
      </w:pPr>
      <w:r>
        <w:rPr>
          <w:rFonts w:ascii="宋体" w:eastAsia="宋体" w:hint="eastAsia"/>
          <w:szCs w:val="20"/>
        </w:rPr>
        <w:t>应参考GB/T 17948.1-2018的表2确定不同温度应力水平及的分周期时间，建议正确选择每个老化温度的分周期长度以产生约10个周期的平均寿命。根据试样破坏速度适当修改曝露周期，如至第5个周期还有一半以上试样未破坏则可把曝露周期时间加倍，如在第3周期内已有1/3试样破坏，则应把曝露周期时间减半。</w:t>
      </w:r>
    </w:p>
    <w:p w14:paraId="4B4DDA6F" w14:textId="77777777" w:rsidR="007D68B8" w:rsidRDefault="00A26708">
      <w:pPr>
        <w:pStyle w:val="a6"/>
        <w:spacing w:before="156" w:after="156"/>
        <w:ind w:left="0"/>
        <w:rPr>
          <w:rFonts w:ascii="宋体" w:eastAsia="宋体"/>
          <w:szCs w:val="20"/>
        </w:rPr>
      </w:pPr>
      <w:proofErr w:type="gramStart"/>
      <w:r>
        <w:rPr>
          <w:rFonts w:ascii="宋体" w:eastAsia="宋体" w:hint="eastAsia"/>
          <w:szCs w:val="20"/>
        </w:rPr>
        <w:lastRenderedPageBreak/>
        <w:t>若待评绝缘结构</w:t>
      </w:r>
      <w:proofErr w:type="gramEnd"/>
      <w:r>
        <w:rPr>
          <w:rFonts w:ascii="宋体" w:eastAsia="宋体" w:hint="eastAsia"/>
          <w:szCs w:val="20"/>
        </w:rPr>
        <w:t>预期的耐热等级与基准绝缘结构的已知耐热等级不同,则应以适当方式选择不同的老化温度与老化分周期时间。</w:t>
      </w:r>
    </w:p>
    <w:p w14:paraId="04C1ADF1" w14:textId="77777777" w:rsidR="007D68B8" w:rsidRDefault="00A26708">
      <w:pPr>
        <w:pStyle w:val="a5"/>
        <w:spacing w:before="156" w:after="156"/>
        <w:ind w:left="0"/>
      </w:pPr>
      <w:bookmarkStart w:id="195" w:name="_Toc25289"/>
      <w:r>
        <w:rPr>
          <w:rFonts w:hint="eastAsia"/>
        </w:rPr>
        <w:t>试验样本的选取和分组</w:t>
      </w:r>
      <w:bookmarkEnd w:id="195"/>
    </w:p>
    <w:p w14:paraId="153AB352" w14:textId="77777777" w:rsidR="007D68B8" w:rsidRDefault="00A26708">
      <w:pPr>
        <w:pStyle w:val="afff1"/>
        <w:ind w:leftChars="67" w:left="141"/>
      </w:pPr>
      <w:proofErr w:type="gramStart"/>
      <w:r>
        <w:rPr>
          <w:rFonts w:hint="eastAsia"/>
        </w:rPr>
        <w:t>当试品</w:t>
      </w:r>
      <w:proofErr w:type="gramEnd"/>
      <w:r>
        <w:rPr>
          <w:rFonts w:hint="eastAsia"/>
        </w:rPr>
        <w:t>为产品整机时，在每一老化温度的</w:t>
      </w:r>
      <w:proofErr w:type="gramStart"/>
      <w:r>
        <w:rPr>
          <w:rFonts w:hint="eastAsia"/>
        </w:rPr>
        <w:t>一组试品数</w:t>
      </w:r>
      <w:proofErr w:type="gramEnd"/>
      <w:r>
        <w:rPr>
          <w:rFonts w:hint="eastAsia"/>
        </w:rPr>
        <w:t>量应至少有5个；</w:t>
      </w:r>
      <w:proofErr w:type="gramStart"/>
      <w:r>
        <w:rPr>
          <w:rFonts w:hint="eastAsia"/>
        </w:rPr>
        <w:t>当试品</w:t>
      </w:r>
      <w:proofErr w:type="gramEnd"/>
      <w:r>
        <w:rPr>
          <w:rFonts w:hint="eastAsia"/>
        </w:rPr>
        <w:t>为产品组件或模型时，在每一老化温度的</w:t>
      </w:r>
      <w:proofErr w:type="gramStart"/>
      <w:r>
        <w:rPr>
          <w:rFonts w:hint="eastAsia"/>
        </w:rPr>
        <w:t>一组试品数</w:t>
      </w:r>
      <w:proofErr w:type="gramEnd"/>
      <w:r>
        <w:rPr>
          <w:rFonts w:hint="eastAsia"/>
        </w:rPr>
        <w:t>量应至少有10个，另外还应准备1组试品，经辐照后与所选择的最高老化温度点的一组</w:t>
      </w:r>
      <w:proofErr w:type="gramStart"/>
      <w:r>
        <w:rPr>
          <w:rFonts w:hint="eastAsia"/>
        </w:rPr>
        <w:t>试品同</w:t>
      </w:r>
      <w:proofErr w:type="gramEnd"/>
      <w:r>
        <w:rPr>
          <w:rFonts w:hint="eastAsia"/>
        </w:rPr>
        <w:t>时进行老化试验。</w:t>
      </w:r>
    </w:p>
    <w:p w14:paraId="07FE102F" w14:textId="77777777" w:rsidR="007D68B8" w:rsidRDefault="00A26708">
      <w:pPr>
        <w:pStyle w:val="a5"/>
        <w:spacing w:before="156" w:after="156"/>
        <w:ind w:left="0"/>
      </w:pPr>
      <w:bookmarkStart w:id="196" w:name="_Toc11390"/>
      <w:r>
        <w:rPr>
          <w:rFonts w:hint="eastAsia"/>
        </w:rPr>
        <w:t>诊断试验</w:t>
      </w:r>
      <w:bookmarkEnd w:id="196"/>
    </w:p>
    <w:p w14:paraId="38BF81D0" w14:textId="77777777" w:rsidR="007D68B8" w:rsidRDefault="00A26708">
      <w:pPr>
        <w:ind w:firstLine="480"/>
      </w:pPr>
      <w:r>
        <w:rPr>
          <w:rFonts w:hint="eastAsia"/>
        </w:rPr>
        <w:t>诊断试验分为振动试验和耐电压试验，试验要求如下：</w:t>
      </w:r>
    </w:p>
    <w:p w14:paraId="25E3DEE2" w14:textId="77777777" w:rsidR="007D68B8" w:rsidRDefault="00A26708">
      <w:pPr>
        <w:pStyle w:val="afff1"/>
        <w:numPr>
          <w:ilvl w:val="0"/>
          <w:numId w:val="19"/>
        </w:numPr>
      </w:pPr>
      <w:r>
        <w:rPr>
          <w:rFonts w:hint="eastAsia"/>
        </w:rPr>
        <w:t>机械应力试验要求：试验在振动台上进行，振幅为峰—峰0.3 mm，频率50 Hz。该量值对应大约1.5 g的加速度（15 m/s2），持续1 h；</w:t>
      </w:r>
    </w:p>
    <w:p w14:paraId="31EA412B" w14:textId="77777777" w:rsidR="007D68B8" w:rsidRDefault="00A26708">
      <w:pPr>
        <w:ind w:firstLine="480"/>
      </w:pPr>
      <w:r>
        <w:rPr>
          <w:rFonts w:hint="eastAsia"/>
        </w:rPr>
        <w:t xml:space="preserve">b. </w:t>
      </w:r>
      <w:r>
        <w:rPr>
          <w:rFonts w:hint="eastAsia"/>
        </w:rPr>
        <w:t>耐电压试验应按照表</w:t>
      </w:r>
      <w:r>
        <w:rPr>
          <w:rFonts w:hint="eastAsia"/>
        </w:rPr>
        <w:t>2</w:t>
      </w:r>
      <w:r>
        <w:rPr>
          <w:rFonts w:hint="eastAsia"/>
        </w:rPr>
        <w:t>的参数进行。</w:t>
      </w:r>
    </w:p>
    <w:p w14:paraId="02D2E9E3" w14:textId="77777777" w:rsidR="007D68B8" w:rsidRDefault="00A26708">
      <w:pPr>
        <w:pStyle w:val="af7"/>
        <w:numPr>
          <w:ilvl w:val="0"/>
          <w:numId w:val="0"/>
        </w:numPr>
        <w:tabs>
          <w:tab w:val="clear" w:pos="360"/>
        </w:tabs>
        <w:spacing w:before="156" w:after="156"/>
      </w:pPr>
      <w:bookmarkStart w:id="197" w:name="_Toc491780112"/>
      <w:bookmarkStart w:id="198" w:name="_Toc497834872"/>
      <w:bookmarkStart w:id="199" w:name="_Toc487200081"/>
      <w:bookmarkStart w:id="200" w:name="_Toc501469112"/>
      <w:bookmarkStart w:id="201" w:name="_Toc491779786"/>
      <w:r>
        <w:rPr>
          <w:rFonts w:hint="eastAsia"/>
        </w:rPr>
        <w:t>表1 试验电压</w:t>
      </w:r>
      <w:bookmarkEnd w:id="197"/>
      <w:bookmarkEnd w:id="198"/>
      <w:bookmarkEnd w:id="199"/>
      <w:bookmarkEnd w:id="200"/>
      <w:bookmarkEnd w:id="20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5"/>
        <w:gridCol w:w="2333"/>
        <w:gridCol w:w="2334"/>
        <w:gridCol w:w="2333"/>
      </w:tblGrid>
      <w:tr w:rsidR="007D68B8" w14:paraId="5FD62FCB" w14:textId="77777777">
        <w:tc>
          <w:tcPr>
            <w:tcW w:w="2392" w:type="dxa"/>
            <w:vMerge w:val="restart"/>
            <w:shd w:val="clear" w:color="auto" w:fill="auto"/>
            <w:vAlign w:val="center"/>
          </w:tcPr>
          <w:p w14:paraId="70636614" w14:textId="77777777" w:rsidR="007D68B8" w:rsidRDefault="00A26708">
            <w:pPr>
              <w:pStyle w:val="afff1"/>
              <w:ind w:firstLineChars="0" w:firstLine="0"/>
              <w:jc w:val="center"/>
              <w:rPr>
                <w:rFonts w:ascii="Times New Roman"/>
                <w:sz w:val="18"/>
                <w:szCs w:val="18"/>
              </w:rPr>
            </w:pPr>
            <w:r>
              <w:rPr>
                <w:rFonts w:ascii="Times New Roman"/>
                <w:sz w:val="18"/>
                <w:szCs w:val="18"/>
              </w:rPr>
              <w:t>运行额定电压</w:t>
            </w:r>
          </w:p>
          <w:p w14:paraId="30500B73" w14:textId="77777777" w:rsidR="007D68B8" w:rsidRDefault="00A26708">
            <w:pPr>
              <w:pStyle w:val="afff1"/>
              <w:ind w:firstLineChars="0" w:firstLine="0"/>
              <w:jc w:val="center"/>
              <w:rPr>
                <w:rFonts w:ascii="Times New Roman"/>
                <w:sz w:val="18"/>
                <w:szCs w:val="18"/>
              </w:rPr>
            </w:pPr>
            <w:r>
              <w:rPr>
                <w:rFonts w:ascii="Times New Roman"/>
                <w:sz w:val="18"/>
                <w:szCs w:val="18"/>
              </w:rPr>
              <w:t>V</w:t>
            </w:r>
          </w:p>
        </w:tc>
        <w:tc>
          <w:tcPr>
            <w:tcW w:w="7178" w:type="dxa"/>
            <w:gridSpan w:val="3"/>
            <w:shd w:val="clear" w:color="auto" w:fill="auto"/>
            <w:vAlign w:val="center"/>
          </w:tcPr>
          <w:p w14:paraId="09D400D7" w14:textId="77777777" w:rsidR="007D68B8" w:rsidRDefault="00A26708">
            <w:pPr>
              <w:pStyle w:val="afff1"/>
              <w:ind w:firstLineChars="0" w:firstLine="0"/>
              <w:jc w:val="center"/>
              <w:rPr>
                <w:rFonts w:ascii="Times New Roman"/>
                <w:sz w:val="18"/>
                <w:szCs w:val="18"/>
              </w:rPr>
            </w:pPr>
            <w:r>
              <w:rPr>
                <w:rFonts w:ascii="Times New Roman"/>
                <w:sz w:val="18"/>
                <w:szCs w:val="18"/>
              </w:rPr>
              <w:t>建议的工频试验电压（</w:t>
            </w:r>
            <w:proofErr w:type="spellStart"/>
            <w:r>
              <w:rPr>
                <w:rFonts w:ascii="Times New Roman"/>
                <w:sz w:val="18"/>
                <w:szCs w:val="18"/>
              </w:rPr>
              <w:t>r.m.s</w:t>
            </w:r>
            <w:proofErr w:type="spellEnd"/>
            <w:r>
              <w:rPr>
                <w:rFonts w:ascii="Times New Roman"/>
                <w:sz w:val="18"/>
                <w:szCs w:val="18"/>
              </w:rPr>
              <w:t>）</w:t>
            </w:r>
          </w:p>
          <w:p w14:paraId="2530E537" w14:textId="77777777" w:rsidR="007D68B8" w:rsidRDefault="00A26708">
            <w:pPr>
              <w:pStyle w:val="afff1"/>
              <w:ind w:firstLineChars="0" w:firstLine="0"/>
              <w:jc w:val="center"/>
              <w:rPr>
                <w:rFonts w:ascii="Times New Roman"/>
                <w:sz w:val="18"/>
                <w:szCs w:val="18"/>
              </w:rPr>
            </w:pPr>
            <w:r>
              <w:rPr>
                <w:rFonts w:ascii="Times New Roman"/>
                <w:sz w:val="18"/>
                <w:szCs w:val="18"/>
              </w:rPr>
              <w:t>V</w:t>
            </w:r>
          </w:p>
        </w:tc>
      </w:tr>
      <w:tr w:rsidR="007D68B8" w14:paraId="4F884CAB" w14:textId="77777777">
        <w:tc>
          <w:tcPr>
            <w:tcW w:w="2392" w:type="dxa"/>
            <w:vMerge/>
            <w:shd w:val="clear" w:color="auto" w:fill="auto"/>
            <w:vAlign w:val="center"/>
          </w:tcPr>
          <w:p w14:paraId="36F45D28" w14:textId="77777777" w:rsidR="007D68B8" w:rsidRDefault="007D68B8">
            <w:pPr>
              <w:pStyle w:val="afff1"/>
              <w:ind w:firstLineChars="0" w:firstLine="0"/>
              <w:jc w:val="center"/>
              <w:rPr>
                <w:rFonts w:ascii="Times New Roman"/>
                <w:sz w:val="18"/>
                <w:szCs w:val="18"/>
              </w:rPr>
            </w:pPr>
          </w:p>
        </w:tc>
        <w:tc>
          <w:tcPr>
            <w:tcW w:w="2392" w:type="dxa"/>
            <w:shd w:val="clear" w:color="auto" w:fill="auto"/>
            <w:vAlign w:val="center"/>
          </w:tcPr>
          <w:p w14:paraId="57A69C46" w14:textId="77777777" w:rsidR="007D68B8" w:rsidRDefault="00A26708">
            <w:pPr>
              <w:pStyle w:val="afff1"/>
              <w:ind w:firstLineChars="0" w:firstLine="0"/>
              <w:jc w:val="center"/>
              <w:rPr>
                <w:rFonts w:ascii="Times New Roman"/>
                <w:sz w:val="18"/>
                <w:szCs w:val="18"/>
              </w:rPr>
            </w:pPr>
            <w:r>
              <w:rPr>
                <w:rFonts w:ascii="Times New Roman"/>
                <w:sz w:val="18"/>
                <w:szCs w:val="18"/>
              </w:rPr>
              <w:t>对地</w:t>
            </w:r>
          </w:p>
        </w:tc>
        <w:tc>
          <w:tcPr>
            <w:tcW w:w="2393" w:type="dxa"/>
            <w:shd w:val="clear" w:color="auto" w:fill="auto"/>
            <w:vAlign w:val="center"/>
          </w:tcPr>
          <w:p w14:paraId="2DC613FB" w14:textId="77777777" w:rsidR="007D68B8" w:rsidRDefault="00A26708">
            <w:pPr>
              <w:pStyle w:val="afff1"/>
              <w:ind w:firstLineChars="0" w:firstLine="0"/>
              <w:jc w:val="center"/>
              <w:rPr>
                <w:rFonts w:ascii="Times New Roman"/>
                <w:sz w:val="18"/>
                <w:szCs w:val="18"/>
              </w:rPr>
            </w:pPr>
            <w:r>
              <w:rPr>
                <w:rFonts w:ascii="Times New Roman"/>
                <w:sz w:val="18"/>
                <w:szCs w:val="18"/>
              </w:rPr>
              <w:t>线圈间</w:t>
            </w:r>
          </w:p>
        </w:tc>
        <w:tc>
          <w:tcPr>
            <w:tcW w:w="2393" w:type="dxa"/>
            <w:shd w:val="clear" w:color="auto" w:fill="auto"/>
            <w:vAlign w:val="center"/>
          </w:tcPr>
          <w:p w14:paraId="22F942E7" w14:textId="77777777" w:rsidR="007D68B8" w:rsidRDefault="00A26708">
            <w:pPr>
              <w:pStyle w:val="afff1"/>
              <w:ind w:firstLineChars="0" w:firstLine="0"/>
              <w:jc w:val="center"/>
              <w:rPr>
                <w:rFonts w:ascii="Times New Roman"/>
                <w:sz w:val="18"/>
                <w:szCs w:val="18"/>
              </w:rPr>
            </w:pPr>
            <w:r>
              <w:rPr>
                <w:rFonts w:ascii="Times New Roman"/>
                <w:sz w:val="18"/>
                <w:szCs w:val="18"/>
              </w:rPr>
              <w:t>导体间</w:t>
            </w:r>
            <w:r>
              <w:rPr>
                <w:rFonts w:ascii="Times New Roman"/>
                <w:sz w:val="18"/>
                <w:szCs w:val="18"/>
                <w:vertAlign w:val="superscript"/>
              </w:rPr>
              <w:t>a</w:t>
            </w:r>
          </w:p>
        </w:tc>
      </w:tr>
      <w:tr w:rsidR="007D68B8" w14:paraId="485B3EDD" w14:textId="77777777">
        <w:tc>
          <w:tcPr>
            <w:tcW w:w="2392" w:type="dxa"/>
            <w:shd w:val="clear" w:color="auto" w:fill="auto"/>
            <w:vAlign w:val="center"/>
          </w:tcPr>
          <w:p w14:paraId="3AF2112A" w14:textId="77777777" w:rsidR="007D68B8" w:rsidRDefault="00A26708">
            <w:pPr>
              <w:pStyle w:val="afff1"/>
              <w:ind w:firstLineChars="0" w:firstLine="0"/>
              <w:jc w:val="center"/>
              <w:rPr>
                <w:rFonts w:ascii="Times New Roman"/>
                <w:sz w:val="18"/>
                <w:szCs w:val="18"/>
              </w:rPr>
            </w:pPr>
            <w:r>
              <w:rPr>
                <w:rFonts w:ascii="Times New Roman" w:hint="eastAsia"/>
                <w:sz w:val="18"/>
                <w:szCs w:val="18"/>
              </w:rPr>
              <w:t>≤</w:t>
            </w:r>
            <w:r>
              <w:rPr>
                <w:rFonts w:ascii="Times New Roman"/>
                <w:sz w:val="18"/>
                <w:szCs w:val="18"/>
              </w:rPr>
              <w:t>400</w:t>
            </w:r>
          </w:p>
        </w:tc>
        <w:tc>
          <w:tcPr>
            <w:tcW w:w="2392" w:type="dxa"/>
            <w:shd w:val="clear" w:color="auto" w:fill="auto"/>
            <w:vAlign w:val="center"/>
          </w:tcPr>
          <w:p w14:paraId="73895850" w14:textId="77777777" w:rsidR="007D68B8" w:rsidRDefault="00A26708">
            <w:pPr>
              <w:pStyle w:val="afff1"/>
              <w:ind w:firstLineChars="0" w:firstLine="0"/>
              <w:jc w:val="center"/>
              <w:rPr>
                <w:rFonts w:ascii="Times New Roman"/>
                <w:sz w:val="18"/>
                <w:szCs w:val="18"/>
              </w:rPr>
            </w:pPr>
            <w:r>
              <w:rPr>
                <w:rFonts w:ascii="Times New Roman"/>
                <w:sz w:val="18"/>
                <w:szCs w:val="18"/>
              </w:rPr>
              <w:t>400</w:t>
            </w:r>
          </w:p>
        </w:tc>
        <w:tc>
          <w:tcPr>
            <w:tcW w:w="2393" w:type="dxa"/>
            <w:shd w:val="clear" w:color="auto" w:fill="auto"/>
            <w:vAlign w:val="center"/>
          </w:tcPr>
          <w:p w14:paraId="770DF004" w14:textId="77777777" w:rsidR="007D68B8" w:rsidRDefault="00A26708">
            <w:pPr>
              <w:pStyle w:val="afff1"/>
              <w:ind w:firstLineChars="0" w:firstLine="0"/>
              <w:jc w:val="center"/>
              <w:rPr>
                <w:rFonts w:ascii="Times New Roman"/>
                <w:sz w:val="18"/>
                <w:szCs w:val="18"/>
              </w:rPr>
            </w:pPr>
            <w:r>
              <w:rPr>
                <w:rFonts w:ascii="Times New Roman"/>
                <w:sz w:val="18"/>
                <w:szCs w:val="18"/>
              </w:rPr>
              <w:t>400</w:t>
            </w:r>
          </w:p>
        </w:tc>
        <w:tc>
          <w:tcPr>
            <w:tcW w:w="2393" w:type="dxa"/>
            <w:shd w:val="clear" w:color="auto" w:fill="auto"/>
            <w:vAlign w:val="center"/>
          </w:tcPr>
          <w:p w14:paraId="6CBDCC80" w14:textId="77777777" w:rsidR="007D68B8" w:rsidRDefault="00A26708">
            <w:pPr>
              <w:pStyle w:val="afff1"/>
              <w:ind w:firstLineChars="0" w:firstLine="0"/>
              <w:jc w:val="center"/>
              <w:rPr>
                <w:rFonts w:ascii="Times New Roman"/>
                <w:sz w:val="18"/>
                <w:szCs w:val="18"/>
              </w:rPr>
            </w:pPr>
            <w:r>
              <w:rPr>
                <w:rFonts w:ascii="Times New Roman"/>
                <w:sz w:val="18"/>
                <w:szCs w:val="18"/>
              </w:rPr>
              <w:t>110</w:t>
            </w:r>
          </w:p>
        </w:tc>
      </w:tr>
      <w:tr w:rsidR="007D68B8" w14:paraId="3697D9F3" w14:textId="77777777">
        <w:tc>
          <w:tcPr>
            <w:tcW w:w="2392" w:type="dxa"/>
            <w:shd w:val="clear" w:color="auto" w:fill="auto"/>
            <w:vAlign w:val="center"/>
          </w:tcPr>
          <w:p w14:paraId="6F878191" w14:textId="77777777" w:rsidR="007D68B8" w:rsidRDefault="00A26708">
            <w:pPr>
              <w:pStyle w:val="afff1"/>
              <w:ind w:firstLineChars="0" w:firstLine="0"/>
              <w:jc w:val="center"/>
              <w:rPr>
                <w:rFonts w:ascii="Times New Roman"/>
                <w:sz w:val="18"/>
                <w:szCs w:val="18"/>
              </w:rPr>
            </w:pPr>
            <w:r>
              <w:rPr>
                <w:rFonts w:ascii="Times New Roman"/>
                <w:sz w:val="18"/>
                <w:szCs w:val="18"/>
              </w:rPr>
              <w:t>401~690</w:t>
            </w:r>
          </w:p>
        </w:tc>
        <w:tc>
          <w:tcPr>
            <w:tcW w:w="2392" w:type="dxa"/>
            <w:shd w:val="clear" w:color="auto" w:fill="auto"/>
            <w:vAlign w:val="center"/>
          </w:tcPr>
          <w:p w14:paraId="3C829D59" w14:textId="77777777" w:rsidR="007D68B8" w:rsidRDefault="00A26708">
            <w:pPr>
              <w:pStyle w:val="afff1"/>
              <w:ind w:firstLineChars="0" w:firstLine="0"/>
              <w:jc w:val="center"/>
              <w:rPr>
                <w:rFonts w:ascii="Times New Roman"/>
                <w:sz w:val="18"/>
                <w:szCs w:val="18"/>
              </w:rPr>
            </w:pPr>
            <w:r>
              <w:rPr>
                <w:rFonts w:ascii="Times New Roman"/>
                <w:sz w:val="18"/>
                <w:szCs w:val="18"/>
              </w:rPr>
              <w:t>690</w:t>
            </w:r>
          </w:p>
        </w:tc>
        <w:tc>
          <w:tcPr>
            <w:tcW w:w="2393" w:type="dxa"/>
            <w:shd w:val="clear" w:color="auto" w:fill="auto"/>
            <w:vAlign w:val="center"/>
          </w:tcPr>
          <w:p w14:paraId="79DB3AF7" w14:textId="77777777" w:rsidR="007D68B8" w:rsidRDefault="00A26708">
            <w:pPr>
              <w:pStyle w:val="afff1"/>
              <w:ind w:firstLineChars="0" w:firstLine="0"/>
              <w:jc w:val="center"/>
              <w:rPr>
                <w:rFonts w:ascii="Times New Roman"/>
                <w:sz w:val="18"/>
                <w:szCs w:val="18"/>
              </w:rPr>
            </w:pPr>
            <w:r>
              <w:rPr>
                <w:rFonts w:ascii="Times New Roman"/>
                <w:sz w:val="18"/>
                <w:szCs w:val="18"/>
              </w:rPr>
              <w:t>690</w:t>
            </w:r>
          </w:p>
        </w:tc>
        <w:tc>
          <w:tcPr>
            <w:tcW w:w="2393" w:type="dxa"/>
            <w:shd w:val="clear" w:color="auto" w:fill="auto"/>
            <w:vAlign w:val="center"/>
          </w:tcPr>
          <w:p w14:paraId="6A721B8D" w14:textId="77777777" w:rsidR="007D68B8" w:rsidRDefault="00A26708">
            <w:pPr>
              <w:pStyle w:val="afff1"/>
              <w:ind w:firstLineChars="0" w:firstLine="0"/>
              <w:jc w:val="center"/>
              <w:rPr>
                <w:rFonts w:ascii="Times New Roman"/>
                <w:sz w:val="18"/>
                <w:szCs w:val="18"/>
              </w:rPr>
            </w:pPr>
            <w:r>
              <w:rPr>
                <w:rFonts w:ascii="Times New Roman"/>
                <w:sz w:val="18"/>
                <w:szCs w:val="18"/>
              </w:rPr>
              <w:t>110</w:t>
            </w:r>
          </w:p>
        </w:tc>
      </w:tr>
      <w:tr w:rsidR="007D68B8" w14:paraId="2A1B97E0" w14:textId="77777777">
        <w:tc>
          <w:tcPr>
            <w:tcW w:w="2392" w:type="dxa"/>
            <w:shd w:val="clear" w:color="auto" w:fill="auto"/>
            <w:vAlign w:val="center"/>
          </w:tcPr>
          <w:p w14:paraId="7A90FE10" w14:textId="77777777" w:rsidR="007D68B8" w:rsidRDefault="00A26708">
            <w:pPr>
              <w:pStyle w:val="afff1"/>
              <w:ind w:firstLineChars="0" w:firstLine="0"/>
              <w:jc w:val="center"/>
              <w:rPr>
                <w:rFonts w:ascii="Times New Roman"/>
                <w:sz w:val="18"/>
                <w:szCs w:val="18"/>
              </w:rPr>
            </w:pPr>
            <w:r>
              <w:rPr>
                <w:rFonts w:ascii="Times New Roman"/>
                <w:sz w:val="18"/>
                <w:szCs w:val="18"/>
              </w:rPr>
              <w:t>＞</w:t>
            </w:r>
            <w:r>
              <w:rPr>
                <w:rFonts w:ascii="Times New Roman"/>
                <w:sz w:val="18"/>
                <w:szCs w:val="18"/>
              </w:rPr>
              <w:t>690</w:t>
            </w:r>
          </w:p>
        </w:tc>
        <w:tc>
          <w:tcPr>
            <w:tcW w:w="2392" w:type="dxa"/>
            <w:shd w:val="clear" w:color="auto" w:fill="auto"/>
            <w:vAlign w:val="center"/>
          </w:tcPr>
          <w:p w14:paraId="276FB442" w14:textId="77777777" w:rsidR="007D68B8" w:rsidRDefault="00A26708">
            <w:pPr>
              <w:pStyle w:val="afff1"/>
              <w:ind w:firstLineChars="0" w:firstLine="0"/>
              <w:jc w:val="center"/>
              <w:rPr>
                <w:rFonts w:ascii="Times New Roman"/>
                <w:sz w:val="18"/>
                <w:szCs w:val="18"/>
              </w:rPr>
            </w:pPr>
            <w:r>
              <w:rPr>
                <w:rFonts w:ascii="Times New Roman"/>
                <w:sz w:val="18"/>
                <w:szCs w:val="18"/>
              </w:rPr>
              <w:t>2</w:t>
            </w:r>
            <w:r>
              <w:rPr>
                <w:rFonts w:ascii="Times New Roman"/>
                <w:i/>
                <w:sz w:val="18"/>
                <w:szCs w:val="18"/>
              </w:rPr>
              <w:t>U</w:t>
            </w:r>
            <w:r>
              <w:rPr>
                <w:rFonts w:ascii="Times New Roman"/>
                <w:sz w:val="18"/>
                <w:szCs w:val="18"/>
                <w:vertAlign w:val="subscript"/>
              </w:rPr>
              <w:t>N</w:t>
            </w:r>
          </w:p>
        </w:tc>
        <w:tc>
          <w:tcPr>
            <w:tcW w:w="2393" w:type="dxa"/>
            <w:shd w:val="clear" w:color="auto" w:fill="auto"/>
            <w:vAlign w:val="center"/>
          </w:tcPr>
          <w:p w14:paraId="036318FA" w14:textId="77777777" w:rsidR="007D68B8" w:rsidRDefault="00A26708">
            <w:pPr>
              <w:pStyle w:val="afff1"/>
              <w:ind w:firstLineChars="0" w:firstLine="0"/>
              <w:jc w:val="center"/>
              <w:rPr>
                <w:rFonts w:ascii="Times New Roman"/>
                <w:sz w:val="18"/>
                <w:szCs w:val="18"/>
              </w:rPr>
            </w:pPr>
            <w:r>
              <w:rPr>
                <w:rFonts w:ascii="Times New Roman"/>
                <w:sz w:val="18"/>
                <w:szCs w:val="18"/>
              </w:rPr>
              <w:t>2</w:t>
            </w:r>
            <w:r>
              <w:rPr>
                <w:rFonts w:ascii="Times New Roman"/>
                <w:i/>
                <w:sz w:val="18"/>
                <w:szCs w:val="18"/>
              </w:rPr>
              <w:t>U</w:t>
            </w:r>
            <w:r>
              <w:rPr>
                <w:rFonts w:ascii="Times New Roman"/>
                <w:sz w:val="18"/>
                <w:szCs w:val="18"/>
                <w:vertAlign w:val="subscript"/>
              </w:rPr>
              <w:t>N</w:t>
            </w:r>
          </w:p>
        </w:tc>
        <w:tc>
          <w:tcPr>
            <w:tcW w:w="2393" w:type="dxa"/>
            <w:shd w:val="clear" w:color="auto" w:fill="auto"/>
            <w:vAlign w:val="center"/>
          </w:tcPr>
          <w:p w14:paraId="0BC1EFDD" w14:textId="77777777" w:rsidR="007D68B8" w:rsidRDefault="00A26708">
            <w:pPr>
              <w:pStyle w:val="afff1"/>
              <w:ind w:firstLineChars="0" w:firstLine="0"/>
              <w:jc w:val="center"/>
              <w:rPr>
                <w:rFonts w:ascii="Times New Roman"/>
                <w:sz w:val="18"/>
                <w:szCs w:val="18"/>
              </w:rPr>
            </w:pPr>
            <w:r>
              <w:rPr>
                <w:rFonts w:ascii="Times New Roman"/>
                <w:sz w:val="18"/>
                <w:szCs w:val="18"/>
              </w:rPr>
              <w:t>110</w:t>
            </w:r>
          </w:p>
        </w:tc>
      </w:tr>
      <w:tr w:rsidR="007D68B8" w14:paraId="735ABBC8" w14:textId="77777777">
        <w:tc>
          <w:tcPr>
            <w:tcW w:w="9570" w:type="dxa"/>
            <w:gridSpan w:val="4"/>
            <w:shd w:val="clear" w:color="auto" w:fill="auto"/>
            <w:vAlign w:val="center"/>
          </w:tcPr>
          <w:p w14:paraId="7F9E34C1" w14:textId="77777777" w:rsidR="007D68B8" w:rsidRDefault="00A26708">
            <w:pPr>
              <w:pStyle w:val="a2"/>
              <w:rPr>
                <w:rFonts w:ascii="Times New Roman"/>
              </w:rPr>
            </w:pPr>
            <w:r>
              <w:rPr>
                <w:rFonts w:ascii="Times New Roman"/>
              </w:rPr>
              <w:t>允许电压范围；然而，使用的电压值应保持一致</w:t>
            </w:r>
            <w:r>
              <w:rPr>
                <w:rFonts w:ascii="Times New Roman" w:hint="eastAsia"/>
              </w:rPr>
              <w:t>。</w:t>
            </w:r>
          </w:p>
        </w:tc>
      </w:tr>
    </w:tbl>
    <w:p w14:paraId="7AE2E89B" w14:textId="77777777" w:rsidR="007D68B8" w:rsidRDefault="007D68B8">
      <w:pPr>
        <w:pStyle w:val="afff1"/>
        <w:ind w:firstLineChars="0" w:firstLine="0"/>
      </w:pPr>
    </w:p>
    <w:p w14:paraId="6E02735F" w14:textId="77777777" w:rsidR="007D68B8" w:rsidRDefault="00A26708">
      <w:pPr>
        <w:pStyle w:val="a5"/>
        <w:spacing w:before="156" w:after="156"/>
        <w:ind w:left="0"/>
      </w:pPr>
      <w:bookmarkStart w:id="202" w:name="_Toc24736"/>
      <w:r>
        <w:rPr>
          <w:rFonts w:hint="eastAsia"/>
        </w:rPr>
        <w:t>故障判据和试验停止时间</w:t>
      </w:r>
      <w:bookmarkEnd w:id="202"/>
    </w:p>
    <w:p w14:paraId="6F110775" w14:textId="77777777" w:rsidR="007D68B8" w:rsidRDefault="00A26708">
      <w:pPr>
        <w:pStyle w:val="a6"/>
        <w:spacing w:before="156" w:after="156"/>
        <w:ind w:left="0"/>
        <w:rPr>
          <w:rFonts w:ascii="宋体" w:eastAsia="宋体"/>
          <w:szCs w:val="20"/>
        </w:rPr>
      </w:pPr>
      <w:r>
        <w:rPr>
          <w:rFonts w:ascii="宋体" w:eastAsia="宋体" w:hint="eastAsia"/>
          <w:szCs w:val="20"/>
        </w:rPr>
        <w:t>故障判据是：匝间、对地、相间工频耐电压试验，以样品在耐电压试验时是否击穿作为判定样品失效的依据。</w:t>
      </w:r>
    </w:p>
    <w:p w14:paraId="7B580EC2" w14:textId="77777777" w:rsidR="007D68B8" w:rsidRDefault="00A26708">
      <w:pPr>
        <w:pStyle w:val="a6"/>
        <w:spacing w:before="156" w:after="156"/>
        <w:ind w:left="0"/>
        <w:rPr>
          <w:rFonts w:ascii="宋体" w:eastAsia="宋体"/>
          <w:szCs w:val="20"/>
        </w:rPr>
      </w:pPr>
      <w:r>
        <w:rPr>
          <w:rFonts w:ascii="宋体" w:eastAsia="宋体" w:hint="eastAsia"/>
          <w:szCs w:val="20"/>
        </w:rPr>
        <w:t>试验过程中，试验样品由于非老化因子引起的失效均不计入失效数内。</w:t>
      </w:r>
    </w:p>
    <w:p w14:paraId="7C3B2108" w14:textId="77777777" w:rsidR="007D68B8" w:rsidRDefault="00A26708">
      <w:pPr>
        <w:pStyle w:val="a6"/>
        <w:spacing w:before="156" w:after="156"/>
        <w:ind w:left="0"/>
        <w:rPr>
          <w:rFonts w:ascii="宋体" w:eastAsia="宋体"/>
          <w:szCs w:val="20"/>
        </w:rPr>
      </w:pPr>
      <w:r>
        <w:rPr>
          <w:rFonts w:ascii="宋体" w:eastAsia="宋体" w:hint="eastAsia"/>
          <w:szCs w:val="20"/>
        </w:rPr>
        <w:t>实际试验过程中可能会</w:t>
      </w:r>
      <w:proofErr w:type="gramStart"/>
      <w:r>
        <w:rPr>
          <w:rFonts w:ascii="宋体" w:eastAsia="宋体" w:hint="eastAsia"/>
          <w:szCs w:val="20"/>
        </w:rPr>
        <w:t>遇到低</w:t>
      </w:r>
      <w:proofErr w:type="gramEnd"/>
      <w:r>
        <w:rPr>
          <w:rFonts w:ascii="宋体" w:eastAsia="宋体" w:hint="eastAsia"/>
          <w:szCs w:val="20"/>
        </w:rPr>
        <w:t>应力水平下试验时间过长的情况，所以最高应力水平的寿命试验做到全部失效，对其他应力水平下的样本</w:t>
      </w:r>
      <w:proofErr w:type="gramStart"/>
      <w:r>
        <w:rPr>
          <w:rFonts w:ascii="宋体" w:eastAsia="宋体" w:hint="eastAsia"/>
          <w:szCs w:val="20"/>
        </w:rPr>
        <w:t>可做截尾寿命试</w:t>
      </w:r>
      <w:proofErr w:type="gramEnd"/>
      <w:r>
        <w:rPr>
          <w:rFonts w:ascii="宋体" w:eastAsia="宋体" w:hint="eastAsia"/>
          <w:szCs w:val="20"/>
        </w:rPr>
        <w:t>验。一般要求每组试验的截尾数占该组投试样本数的50%以上，即10个样品中至少失效6个。</w:t>
      </w:r>
    </w:p>
    <w:p w14:paraId="036F3A27" w14:textId="77777777" w:rsidR="007D68B8" w:rsidRDefault="00A26708">
      <w:pPr>
        <w:pStyle w:val="a4"/>
        <w:spacing w:before="312" w:after="312"/>
        <w:ind w:left="0"/>
        <w:rPr>
          <w:szCs w:val="21"/>
        </w:rPr>
      </w:pPr>
      <w:bookmarkStart w:id="203" w:name="_Toc25639"/>
      <w:r>
        <w:rPr>
          <w:rFonts w:hint="eastAsia"/>
          <w:szCs w:val="21"/>
        </w:rPr>
        <w:t>试验程序</w:t>
      </w:r>
      <w:bookmarkEnd w:id="203"/>
    </w:p>
    <w:p w14:paraId="5D16A296" w14:textId="77777777" w:rsidR="007D68B8" w:rsidRDefault="00A26708">
      <w:pPr>
        <w:pStyle w:val="a5"/>
        <w:spacing w:before="156" w:after="156"/>
        <w:ind w:left="0"/>
      </w:pPr>
      <w:bookmarkStart w:id="204" w:name="_Toc16060"/>
      <w:r>
        <w:rPr>
          <w:rFonts w:hint="eastAsia"/>
        </w:rPr>
        <w:t>氦气氛围相容性测试</w:t>
      </w:r>
      <w:bookmarkEnd w:id="204"/>
    </w:p>
    <w:p w14:paraId="48684C14" w14:textId="77777777" w:rsidR="007D68B8" w:rsidRDefault="00A26708">
      <w:pPr>
        <w:pStyle w:val="a6"/>
        <w:spacing w:before="156" w:after="156"/>
        <w:ind w:left="0"/>
        <w:rPr>
          <w:rFonts w:ascii="宋体" w:eastAsia="宋体"/>
          <w:szCs w:val="20"/>
        </w:rPr>
      </w:pPr>
      <w:r>
        <w:rPr>
          <w:rFonts w:ascii="宋体" w:eastAsia="宋体" w:hint="eastAsia"/>
          <w:szCs w:val="20"/>
        </w:rPr>
        <w:t>鉴于氦气高渗透性，要求绝缘系统中不存在密闭空腔，在真空及9.0MPa氦气氛围下不损坏。</w:t>
      </w:r>
    </w:p>
    <w:p w14:paraId="643B7135" w14:textId="77777777" w:rsidR="007D68B8" w:rsidRDefault="00A26708">
      <w:pPr>
        <w:pStyle w:val="a6"/>
        <w:spacing w:before="156" w:after="156"/>
        <w:ind w:left="0"/>
        <w:rPr>
          <w:rFonts w:ascii="宋体" w:eastAsia="宋体"/>
          <w:szCs w:val="20"/>
        </w:rPr>
      </w:pPr>
      <w:r>
        <w:rPr>
          <w:rFonts w:ascii="宋体" w:eastAsia="宋体" w:hint="eastAsia"/>
          <w:szCs w:val="20"/>
        </w:rPr>
        <w:t>鉴于低压氦气的击穿电压显著降低，要求绕组线圈需针对真空及低压氦气下做防止局部放电的设计。</w:t>
      </w:r>
    </w:p>
    <w:p w14:paraId="5772E534" w14:textId="77777777" w:rsidR="007D68B8" w:rsidRDefault="00A26708">
      <w:pPr>
        <w:pStyle w:val="a6"/>
        <w:spacing w:before="156" w:after="156"/>
        <w:ind w:left="0"/>
        <w:rPr>
          <w:rFonts w:ascii="宋体" w:eastAsia="宋体"/>
          <w:szCs w:val="20"/>
        </w:rPr>
      </w:pPr>
      <w:r>
        <w:rPr>
          <w:rFonts w:ascii="宋体" w:eastAsia="宋体" w:hint="eastAsia"/>
          <w:szCs w:val="20"/>
        </w:rPr>
        <w:t>鉴于评定试验主要在空气氛围中开展，要求按6.3节所述开展氦气和真空环境下的热失重对比实验，验证空气环境试验的保守性。</w:t>
      </w:r>
    </w:p>
    <w:p w14:paraId="6DCFEBC2" w14:textId="77777777" w:rsidR="007D68B8" w:rsidRDefault="007D68B8">
      <w:pPr>
        <w:pStyle w:val="afff1"/>
      </w:pPr>
    </w:p>
    <w:p w14:paraId="5C945295" w14:textId="77777777" w:rsidR="007D68B8" w:rsidRDefault="00A26708">
      <w:pPr>
        <w:pStyle w:val="a5"/>
        <w:spacing w:before="156" w:after="156"/>
        <w:ind w:left="0"/>
      </w:pPr>
      <w:bookmarkStart w:id="205" w:name="_Toc28846"/>
      <w:r>
        <w:rPr>
          <w:rFonts w:hint="eastAsia"/>
        </w:rPr>
        <w:t>质量保证试验</w:t>
      </w:r>
      <w:bookmarkEnd w:id="205"/>
    </w:p>
    <w:p w14:paraId="4131078E" w14:textId="77777777" w:rsidR="007D68B8" w:rsidRDefault="00A26708">
      <w:pPr>
        <w:pStyle w:val="afff1"/>
      </w:pPr>
      <w:r>
        <w:t>在制备</w:t>
      </w:r>
      <w:r>
        <w:rPr>
          <w:rFonts w:hint="eastAsia"/>
        </w:rPr>
        <w:t>试样</w:t>
      </w:r>
      <w:r>
        <w:t>前，应对</w:t>
      </w:r>
      <w:r>
        <w:rPr>
          <w:rFonts w:hint="eastAsia"/>
        </w:rPr>
        <w:t>拟用于制备试样的</w:t>
      </w:r>
      <w:r>
        <w:t>每</w:t>
      </w:r>
      <w:r>
        <w:rPr>
          <w:rFonts w:hint="eastAsia"/>
        </w:rPr>
        <w:t>种</w:t>
      </w:r>
      <w:r>
        <w:t>绝缘材料单独进行测试以确定</w:t>
      </w:r>
      <w:r>
        <w:rPr>
          <w:rFonts w:hint="eastAsia"/>
        </w:rPr>
        <w:t>其一致性</w:t>
      </w:r>
      <w:r>
        <w:t>。</w:t>
      </w:r>
    </w:p>
    <w:p w14:paraId="10FB9BDE" w14:textId="77777777" w:rsidR="007D68B8" w:rsidRDefault="00A26708">
      <w:pPr>
        <w:pStyle w:val="afff1"/>
      </w:pPr>
      <w:r>
        <w:rPr>
          <w:rFonts w:hint="eastAsia"/>
        </w:rPr>
        <w:t>观察外观无影响性能的损伤后可参考GB/T 755-2019中9.2的耐电压试验要求对样品进行筛选，并剔除有缺陷样品。</w:t>
      </w:r>
    </w:p>
    <w:p w14:paraId="1F975FDA" w14:textId="77777777" w:rsidR="007D68B8" w:rsidRDefault="00A26708">
      <w:pPr>
        <w:pStyle w:val="a5"/>
        <w:spacing w:before="156" w:after="156"/>
        <w:ind w:left="0"/>
      </w:pPr>
      <w:bookmarkStart w:id="206" w:name="_Toc566"/>
      <w:r>
        <w:rPr>
          <w:rFonts w:hint="eastAsia"/>
        </w:rPr>
        <w:t>热失重分析试验</w:t>
      </w:r>
      <w:bookmarkEnd w:id="206"/>
    </w:p>
    <w:p w14:paraId="0D44FD9F" w14:textId="77777777" w:rsidR="007D68B8" w:rsidRDefault="00A26708">
      <w:pPr>
        <w:pStyle w:val="afff1"/>
      </w:pPr>
      <w:r>
        <w:rPr>
          <w:rFonts w:hint="eastAsia"/>
        </w:rPr>
        <w:t>在氦气无氧条件下，温度是导致电气绝缘系统中有机材料的主要老化因素。按照标准</w:t>
      </w:r>
      <w:bookmarkStart w:id="207" w:name="OLE_LINK2"/>
      <w:r>
        <w:rPr>
          <w:rFonts w:hint="eastAsia"/>
        </w:rPr>
        <w:t>JB/T 1544-2015</w:t>
      </w:r>
      <w:bookmarkEnd w:id="207"/>
      <w:r>
        <w:rPr>
          <w:rFonts w:hint="eastAsia"/>
        </w:rPr>
        <w:t>的要求在取样线圈上取粉末样品以3℃/min的升温速率分别在空气下和氦气下进行试验，分析绝缘的活化能，以及验证空气环境试验的保守性。</w:t>
      </w:r>
    </w:p>
    <w:p w14:paraId="2AC284EB" w14:textId="77777777" w:rsidR="007D68B8" w:rsidRDefault="00A26708">
      <w:pPr>
        <w:pStyle w:val="a5"/>
        <w:spacing w:before="156" w:after="156"/>
        <w:ind w:left="0"/>
      </w:pPr>
      <w:bookmarkStart w:id="208" w:name="_Toc21043"/>
      <w:r>
        <w:rPr>
          <w:rFonts w:hint="eastAsia"/>
        </w:rPr>
        <w:t>初始诊断试验</w:t>
      </w:r>
      <w:bookmarkEnd w:id="208"/>
    </w:p>
    <w:p w14:paraId="03720224" w14:textId="77777777" w:rsidR="007D68B8" w:rsidRDefault="00A26708">
      <w:pPr>
        <w:pStyle w:val="afff1"/>
      </w:pPr>
      <w:r>
        <w:rPr>
          <w:rFonts w:hint="eastAsia"/>
        </w:rPr>
        <w:t>初始诊断</w:t>
      </w:r>
      <w:proofErr w:type="gramStart"/>
      <w:r>
        <w:rPr>
          <w:rFonts w:hint="eastAsia"/>
        </w:rPr>
        <w:t>试验按</w:t>
      </w:r>
      <w:proofErr w:type="gramEnd"/>
      <w:r>
        <w:rPr>
          <w:rFonts w:hint="eastAsia"/>
        </w:rPr>
        <w:t xml:space="preserve">下列顺序进行：机械应力试验——电气性能诊断试验。 </w:t>
      </w:r>
    </w:p>
    <w:p w14:paraId="47C8DF97" w14:textId="77777777" w:rsidR="007D68B8" w:rsidRDefault="00A26708">
      <w:pPr>
        <w:pStyle w:val="afff1"/>
        <w:numPr>
          <w:ilvl w:val="0"/>
          <w:numId w:val="20"/>
        </w:numPr>
      </w:pPr>
      <w:r>
        <w:rPr>
          <w:rFonts w:hint="eastAsia"/>
        </w:rPr>
        <w:t>机械应力试验根据5.4要求进行。</w:t>
      </w:r>
    </w:p>
    <w:p w14:paraId="00368CC2" w14:textId="77777777" w:rsidR="007D68B8" w:rsidRDefault="00A26708">
      <w:pPr>
        <w:pStyle w:val="afff1"/>
      </w:pPr>
      <w:r>
        <w:rPr>
          <w:rFonts w:hint="eastAsia"/>
        </w:rPr>
        <w:t>b. 电气性能诊断试验：按照表1的参数进行试验，试样不发生击穿或闪络即合格。若试样任一部位连续两个周期击穿则为失效。</w:t>
      </w:r>
    </w:p>
    <w:p w14:paraId="47C2AD57" w14:textId="77777777" w:rsidR="007D68B8" w:rsidRDefault="00A26708">
      <w:pPr>
        <w:pStyle w:val="a5"/>
        <w:spacing w:before="156" w:after="156"/>
        <w:ind w:left="0"/>
      </w:pPr>
      <w:bookmarkStart w:id="209" w:name="_Toc9329"/>
      <w:r>
        <w:rPr>
          <w:rFonts w:hint="eastAsia"/>
        </w:rPr>
        <w:t>辐照试验</w:t>
      </w:r>
      <w:bookmarkEnd w:id="209"/>
    </w:p>
    <w:p w14:paraId="1280CBA9" w14:textId="77777777" w:rsidR="007D68B8" w:rsidRDefault="00A26708">
      <w:pPr>
        <w:pStyle w:val="afff1"/>
      </w:pPr>
      <w:r>
        <w:rPr>
          <w:rFonts w:hint="eastAsia"/>
        </w:rPr>
        <w:t>样品利用辐照装置进行核辐照老化，要求按寿命期内累积辐照剂量8.4×10^5Gy进行耐辐照评定。辐照完成后按照表1进行电气性能检测，通过后与最高老化温度点的一组</w:t>
      </w:r>
      <w:proofErr w:type="gramStart"/>
      <w:r>
        <w:rPr>
          <w:rFonts w:hint="eastAsia"/>
        </w:rPr>
        <w:t>试品同时</w:t>
      </w:r>
      <w:proofErr w:type="gramEnd"/>
      <w:r>
        <w:rPr>
          <w:rFonts w:hint="eastAsia"/>
        </w:rPr>
        <w:t>进行热老化试验，用以比较未经辐照和辐照后的</w:t>
      </w:r>
      <w:proofErr w:type="gramStart"/>
      <w:r>
        <w:rPr>
          <w:rFonts w:hint="eastAsia"/>
        </w:rPr>
        <w:t>试品</w:t>
      </w:r>
      <w:proofErr w:type="gramEnd"/>
      <w:r>
        <w:rPr>
          <w:rFonts w:hint="eastAsia"/>
        </w:rPr>
        <w:t>热老化寿命的差异。</w:t>
      </w:r>
    </w:p>
    <w:p w14:paraId="7211C737" w14:textId="77777777" w:rsidR="007D68B8" w:rsidRDefault="00A26708">
      <w:pPr>
        <w:pStyle w:val="a5"/>
        <w:spacing w:before="156" w:after="156"/>
        <w:ind w:left="0"/>
      </w:pPr>
      <w:bookmarkStart w:id="210" w:name="_Toc14150"/>
      <w:r>
        <w:rPr>
          <w:rFonts w:hint="eastAsia"/>
        </w:rPr>
        <w:t>摸底试验</w:t>
      </w:r>
      <w:bookmarkEnd w:id="210"/>
    </w:p>
    <w:p w14:paraId="2F148B5B" w14:textId="77777777" w:rsidR="007D68B8" w:rsidRDefault="00A26708">
      <w:pPr>
        <w:pStyle w:val="afff1"/>
      </w:pPr>
      <w:r>
        <w:rPr>
          <w:rFonts w:hint="eastAsia"/>
        </w:rPr>
        <w:t>试样在选定的老化温度下进行热老化试验之前</w:t>
      </w:r>
      <w:r>
        <w:rPr>
          <w:rStyle w:val="afff8"/>
          <w:rFonts w:ascii="Times New Roman" w:hint="eastAsia"/>
          <w:kern w:val="2"/>
        </w:rPr>
        <w:t>，</w:t>
      </w:r>
      <w:r>
        <w:rPr>
          <w:rFonts w:hint="eastAsia"/>
        </w:rPr>
        <w:t>宜先对少量试样(1~2件)进行极端老化以明确诊断试验确定试验寿命的终点是有效的。老化温度应选择在48h内能终止寿命。一般老化温度至少比预期等级温度高100K。老化后的试样应执行预定的诊断规程,以确信在特定实验室以特定</w:t>
      </w:r>
      <w:proofErr w:type="gramStart"/>
      <w:r>
        <w:rPr>
          <w:rFonts w:hint="eastAsia"/>
        </w:rPr>
        <w:t>试品执行</w:t>
      </w:r>
      <w:proofErr w:type="gramEnd"/>
      <w:r>
        <w:rPr>
          <w:rFonts w:hint="eastAsia"/>
        </w:rPr>
        <w:t>该规程时能够发现热降解。对于已知热分解温度的材料，极端老化温度建议比绝缘的热分解温度低15℃以上。</w:t>
      </w:r>
    </w:p>
    <w:p w14:paraId="4232FDFF" w14:textId="77777777" w:rsidR="007D68B8" w:rsidRDefault="00A26708">
      <w:pPr>
        <w:pStyle w:val="afff1"/>
      </w:pPr>
      <w:r>
        <w:rPr>
          <w:rFonts w:hint="eastAsia"/>
        </w:rPr>
        <w:t>极端老化的结果应不作为热老化的数据。</w:t>
      </w:r>
    </w:p>
    <w:p w14:paraId="3946F49B" w14:textId="77777777" w:rsidR="007D68B8" w:rsidRDefault="00A26708">
      <w:pPr>
        <w:pStyle w:val="a5"/>
        <w:spacing w:before="156" w:after="156"/>
        <w:ind w:left="0"/>
      </w:pPr>
      <w:bookmarkStart w:id="211" w:name="_Toc12688"/>
      <w:r>
        <w:rPr>
          <w:rFonts w:hint="eastAsia"/>
        </w:rPr>
        <w:t>热老化分周期试验</w:t>
      </w:r>
      <w:bookmarkEnd w:id="211"/>
    </w:p>
    <w:p w14:paraId="7222B765" w14:textId="77777777" w:rsidR="007D68B8" w:rsidRDefault="00A26708">
      <w:pPr>
        <w:pStyle w:val="a6"/>
        <w:spacing w:before="156" w:after="156"/>
        <w:ind w:left="0"/>
      </w:pPr>
      <w:r>
        <w:rPr>
          <w:rFonts w:hint="eastAsia"/>
        </w:rPr>
        <w:t>热老化温度和分周期长度</w:t>
      </w:r>
    </w:p>
    <w:p w14:paraId="38E29CC5" w14:textId="77777777" w:rsidR="007D68B8" w:rsidRDefault="00A26708">
      <w:pPr>
        <w:pStyle w:val="afff1"/>
      </w:pPr>
      <w:r>
        <w:rPr>
          <w:rFonts w:hint="eastAsia"/>
        </w:rPr>
        <w:t>应遵循</w:t>
      </w:r>
      <w:r>
        <w:t>5.2</w:t>
      </w:r>
      <w:r>
        <w:rPr>
          <w:rFonts w:hint="eastAsia"/>
        </w:rPr>
        <w:t>要求选择热老化温度和分周期长度。</w:t>
      </w:r>
    </w:p>
    <w:p w14:paraId="68A50DCD" w14:textId="77777777" w:rsidR="007D68B8" w:rsidRDefault="00A26708">
      <w:pPr>
        <w:pStyle w:val="a6"/>
        <w:spacing w:before="156" w:after="156"/>
        <w:ind w:left="0"/>
      </w:pPr>
      <w:r>
        <w:rPr>
          <w:rFonts w:hint="eastAsia"/>
        </w:rPr>
        <w:t>加热方式</w:t>
      </w:r>
    </w:p>
    <w:p w14:paraId="1F0F6251" w14:textId="77777777" w:rsidR="007D68B8" w:rsidRDefault="00A26708">
      <w:pPr>
        <w:pStyle w:val="afff1"/>
      </w:pPr>
      <w:r>
        <w:rPr>
          <w:rFonts w:hint="eastAsia"/>
        </w:rPr>
        <w:t>根据</w:t>
      </w:r>
      <w:r>
        <w:t>GB/T 17948.1-2016</w:t>
      </w:r>
      <w:r>
        <w:rPr>
          <w:rFonts w:hint="eastAsia"/>
        </w:rPr>
        <w:t>中</w:t>
      </w:r>
      <w:r>
        <w:t>5.3</w:t>
      </w:r>
      <w:r>
        <w:rPr>
          <w:rFonts w:hint="eastAsia"/>
        </w:rPr>
        <w:t>和GB/T 20111.1-2015的6.3.4要求使用老化烘箱，</w:t>
      </w:r>
      <w:proofErr w:type="gramStart"/>
      <w:r>
        <w:rPr>
          <w:rFonts w:hint="eastAsia"/>
        </w:rPr>
        <w:t>将试品置于</w:t>
      </w:r>
      <w:proofErr w:type="gramEnd"/>
      <w:r>
        <w:rPr>
          <w:rFonts w:hint="eastAsia"/>
        </w:rPr>
        <w:t>一个精确控制和监测的且具有强制通风循环烘箱中进行热老化。整个烘箱的温度应满足:老化温度在180 ℃及以下时,温度偏差在士2 K以内;老化温度在180 ℃~300 ℃之间时,温度偏差在士3 K以内。若老化温度超过300 ℃,应另外商定要求的温度精度。</w:t>
      </w:r>
    </w:p>
    <w:p w14:paraId="2C3B8608" w14:textId="77777777" w:rsidR="007D68B8" w:rsidRDefault="00A26708">
      <w:pPr>
        <w:pStyle w:val="a6"/>
        <w:spacing w:before="156" w:after="156"/>
        <w:ind w:left="0"/>
      </w:pPr>
      <w:r>
        <w:rPr>
          <w:rFonts w:hint="eastAsia"/>
        </w:rPr>
        <w:t>老化规程</w:t>
      </w:r>
    </w:p>
    <w:p w14:paraId="0291BB20" w14:textId="77777777" w:rsidR="007D68B8" w:rsidRDefault="00A26708">
      <w:pPr>
        <w:pStyle w:val="afff1"/>
      </w:pPr>
      <w:r>
        <w:rPr>
          <w:rFonts w:hint="eastAsia"/>
        </w:rPr>
        <w:lastRenderedPageBreak/>
        <w:t>在热老化周期开始</w:t>
      </w:r>
      <w:proofErr w:type="gramStart"/>
      <w:r>
        <w:rPr>
          <w:rFonts w:hint="eastAsia"/>
        </w:rPr>
        <w:t>时试品应</w:t>
      </w:r>
      <w:proofErr w:type="gramEnd"/>
      <w:r>
        <w:rPr>
          <w:rFonts w:hint="eastAsia"/>
        </w:rPr>
        <w:t>直接放入预加热的老化烘箱,在老化周期结束</w:t>
      </w:r>
      <w:proofErr w:type="gramStart"/>
      <w:r>
        <w:rPr>
          <w:rFonts w:hint="eastAsia"/>
        </w:rPr>
        <w:t>时试品应</w:t>
      </w:r>
      <w:proofErr w:type="gramEnd"/>
      <w:r>
        <w:rPr>
          <w:rFonts w:hint="eastAsia"/>
        </w:rPr>
        <w:t>从烘箱中取出直接置于室温。为了降低</w:t>
      </w:r>
      <w:proofErr w:type="gramStart"/>
      <w:r>
        <w:rPr>
          <w:rFonts w:hint="eastAsia"/>
        </w:rPr>
        <w:t>各试品之间</w:t>
      </w:r>
      <w:proofErr w:type="gramEnd"/>
      <w:r>
        <w:rPr>
          <w:rFonts w:hint="eastAsia"/>
        </w:rPr>
        <w:t>在实际老化温度时有差异所造成的影响,在连续的热老化周期</w:t>
      </w:r>
      <w:proofErr w:type="gramStart"/>
      <w:r>
        <w:rPr>
          <w:rFonts w:hint="eastAsia"/>
        </w:rPr>
        <w:t>时试品</w:t>
      </w:r>
      <w:proofErr w:type="gramEnd"/>
      <w:r>
        <w:rPr>
          <w:rFonts w:hint="eastAsia"/>
        </w:rPr>
        <w:t>应随机置放在老化烘箱中。</w:t>
      </w:r>
    </w:p>
    <w:p w14:paraId="2BC4626A" w14:textId="77777777" w:rsidR="007D68B8" w:rsidRDefault="00A26708">
      <w:pPr>
        <w:pStyle w:val="a5"/>
        <w:spacing w:before="156" w:after="156"/>
        <w:ind w:left="0"/>
      </w:pPr>
      <w:bookmarkStart w:id="212" w:name="_Toc31752"/>
      <w:r>
        <w:rPr>
          <w:rFonts w:hint="eastAsia"/>
        </w:rPr>
        <w:t>诊断分周期</w:t>
      </w:r>
      <w:bookmarkEnd w:id="212"/>
    </w:p>
    <w:p w14:paraId="2800414C" w14:textId="77777777" w:rsidR="007D68B8" w:rsidRDefault="00A26708">
      <w:pPr>
        <w:pStyle w:val="afff1"/>
      </w:pPr>
      <w:r>
        <w:rPr>
          <w:rFonts w:hint="eastAsia"/>
        </w:rPr>
        <w:t>按照6.4规定的方法进行。</w:t>
      </w:r>
    </w:p>
    <w:p w14:paraId="2CD5C159" w14:textId="77777777" w:rsidR="007D68B8" w:rsidRDefault="00A26708">
      <w:pPr>
        <w:pStyle w:val="a5"/>
        <w:spacing w:before="156" w:after="156"/>
        <w:ind w:left="0"/>
      </w:pPr>
      <w:bookmarkStart w:id="213" w:name="_Toc15246"/>
      <w:r>
        <w:rPr>
          <w:rFonts w:hint="eastAsia"/>
        </w:rPr>
        <w:t>数据处理</w:t>
      </w:r>
      <w:bookmarkEnd w:id="213"/>
    </w:p>
    <w:p w14:paraId="1F674AC7" w14:textId="77777777" w:rsidR="007D68B8" w:rsidRDefault="00A26708">
      <w:pPr>
        <w:pStyle w:val="afff1"/>
      </w:pPr>
      <w:r>
        <w:rPr>
          <w:rFonts w:hint="eastAsia"/>
        </w:rPr>
        <w:t>参考</w:t>
      </w:r>
      <w:bookmarkStart w:id="214" w:name="OLE_LINK1"/>
      <w:r>
        <w:rPr>
          <w:rFonts w:hint="eastAsia"/>
        </w:rPr>
        <w:t>GB/T 11026.3-2017</w:t>
      </w:r>
      <w:bookmarkEnd w:id="214"/>
      <w:r>
        <w:rPr>
          <w:rFonts w:hint="eastAsia"/>
        </w:rPr>
        <w:t>和GB/T 20111.1-2015的第7章中规定的方法进行热评定。</w:t>
      </w:r>
    </w:p>
    <w:p w14:paraId="58AC66CB" w14:textId="77777777" w:rsidR="007D68B8" w:rsidRDefault="00A26708">
      <w:pPr>
        <w:pStyle w:val="a4"/>
        <w:spacing w:before="312" w:after="312"/>
        <w:ind w:left="0"/>
        <w:rPr>
          <w:szCs w:val="21"/>
        </w:rPr>
      </w:pPr>
      <w:bookmarkStart w:id="215" w:name="_Toc147783287"/>
      <w:bookmarkStart w:id="216" w:name="_Toc147783285"/>
      <w:bookmarkStart w:id="217" w:name="_Toc147783484"/>
      <w:bookmarkStart w:id="218" w:name="_Toc147783485"/>
      <w:bookmarkStart w:id="219" w:name="_Toc147783494"/>
      <w:bookmarkStart w:id="220" w:name="_Toc147783286"/>
      <w:bookmarkStart w:id="221" w:name="_Toc147783245"/>
      <w:bookmarkStart w:id="222" w:name="_Toc147783248"/>
      <w:bookmarkStart w:id="223" w:name="_Toc147783249"/>
      <w:bookmarkStart w:id="224" w:name="_Toc147783488"/>
      <w:bookmarkStart w:id="225" w:name="_Toc147783489"/>
      <w:bookmarkStart w:id="226" w:name="_Toc147783244"/>
      <w:bookmarkStart w:id="227" w:name="_Toc147783242"/>
      <w:bookmarkStart w:id="228" w:name="_Toc147783243"/>
      <w:bookmarkStart w:id="229" w:name="_Toc147783281"/>
      <w:bookmarkStart w:id="230" w:name="_Toc147783246"/>
      <w:bookmarkStart w:id="231" w:name="_Toc147783282"/>
      <w:bookmarkStart w:id="232" w:name="_Toc147783492"/>
      <w:bookmarkStart w:id="233" w:name="_Toc147783288"/>
      <w:bookmarkStart w:id="234" w:name="_Toc147783247"/>
      <w:bookmarkStart w:id="235" w:name="_Toc147783239"/>
      <w:bookmarkStart w:id="236" w:name="_Toc147783486"/>
      <w:bookmarkStart w:id="237" w:name="_Toc147783290"/>
      <w:bookmarkStart w:id="238" w:name="_Toc147783490"/>
      <w:bookmarkStart w:id="239" w:name="_Toc147783292"/>
      <w:bookmarkStart w:id="240" w:name="_Toc147783487"/>
      <w:bookmarkStart w:id="241" w:name="_Toc147783240"/>
      <w:bookmarkStart w:id="242" w:name="_Toc147783289"/>
      <w:bookmarkStart w:id="243" w:name="_Toc147783291"/>
      <w:bookmarkStart w:id="244" w:name="_Toc147783284"/>
      <w:bookmarkStart w:id="245" w:name="_Toc147783491"/>
      <w:bookmarkStart w:id="246" w:name="_Toc147783493"/>
      <w:bookmarkStart w:id="247" w:name="_Toc147783238"/>
      <w:bookmarkStart w:id="248" w:name="_Toc147783241"/>
      <w:bookmarkStart w:id="249" w:name="_Toc147783283"/>
      <w:bookmarkStart w:id="250" w:name="_Toc147783483"/>
      <w:bookmarkStart w:id="251" w:name="_Toc32609"/>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Pr>
          <w:rFonts w:hint="eastAsia"/>
          <w:szCs w:val="21"/>
        </w:rPr>
        <w:t>试验报告</w:t>
      </w:r>
      <w:bookmarkEnd w:id="251"/>
    </w:p>
    <w:p w14:paraId="68F063EB" w14:textId="77777777" w:rsidR="007D68B8" w:rsidRDefault="00A26708">
      <w:pPr>
        <w:widowControl/>
        <w:ind w:firstLine="480"/>
        <w:jc w:val="left"/>
        <w:rPr>
          <w:rFonts w:cs="宋体"/>
          <w:kern w:val="0"/>
        </w:rPr>
      </w:pPr>
      <w:r>
        <w:rPr>
          <w:rFonts w:hAnsi="宋体" w:cs="宋体" w:hint="eastAsia"/>
          <w:kern w:val="0"/>
        </w:rPr>
        <w:t>试验报告宜包括：</w:t>
      </w:r>
    </w:p>
    <w:p w14:paraId="693616F8" w14:textId="77777777" w:rsidR="007D68B8" w:rsidRDefault="00A26708">
      <w:pPr>
        <w:widowControl/>
        <w:ind w:firstLine="480"/>
        <w:jc w:val="left"/>
        <w:rPr>
          <w:kern w:val="0"/>
        </w:rPr>
      </w:pPr>
      <w:r>
        <w:rPr>
          <w:kern w:val="0"/>
        </w:rPr>
        <w:t>——</w:t>
      </w:r>
      <w:r>
        <w:rPr>
          <w:kern w:val="0"/>
        </w:rPr>
        <w:t>引用的标准；</w:t>
      </w:r>
    </w:p>
    <w:p w14:paraId="5B1C17CF" w14:textId="77777777" w:rsidR="007D68B8" w:rsidRDefault="00A26708">
      <w:pPr>
        <w:widowControl/>
        <w:ind w:firstLine="480"/>
        <w:jc w:val="left"/>
        <w:rPr>
          <w:kern w:val="0"/>
        </w:rPr>
      </w:pPr>
      <w:r>
        <w:rPr>
          <w:kern w:val="0"/>
        </w:rPr>
        <w:t>——</w:t>
      </w:r>
      <w:r>
        <w:rPr>
          <w:kern w:val="0"/>
        </w:rPr>
        <w:t>被试</w:t>
      </w:r>
      <w:r>
        <w:rPr>
          <w:kern w:val="0"/>
        </w:rPr>
        <w:t>EIS</w:t>
      </w:r>
      <w:r>
        <w:rPr>
          <w:kern w:val="0"/>
        </w:rPr>
        <w:t>（基准</w:t>
      </w:r>
      <w:r>
        <w:rPr>
          <w:kern w:val="0"/>
        </w:rPr>
        <w:t>EIS</w:t>
      </w:r>
      <w:proofErr w:type="gramStart"/>
      <w:r>
        <w:rPr>
          <w:kern w:val="0"/>
        </w:rPr>
        <w:t>和待评</w:t>
      </w:r>
      <w:proofErr w:type="gramEnd"/>
      <w:r>
        <w:rPr>
          <w:kern w:val="0"/>
        </w:rPr>
        <w:t>EIS</w:t>
      </w:r>
      <w:r>
        <w:rPr>
          <w:kern w:val="0"/>
        </w:rPr>
        <w:t>）的描述；</w:t>
      </w:r>
    </w:p>
    <w:p w14:paraId="5FCA59BB" w14:textId="77777777" w:rsidR="007D68B8" w:rsidRDefault="00A26708">
      <w:pPr>
        <w:widowControl/>
        <w:ind w:firstLine="480"/>
        <w:jc w:val="left"/>
        <w:rPr>
          <w:kern w:val="0"/>
        </w:rPr>
      </w:pPr>
      <w:r>
        <w:rPr>
          <w:kern w:val="0"/>
        </w:rPr>
        <w:t>——</w:t>
      </w:r>
      <w:r>
        <w:rPr>
          <w:kern w:val="0"/>
        </w:rPr>
        <w:t>每种</w:t>
      </w:r>
      <w:r>
        <w:rPr>
          <w:kern w:val="0"/>
        </w:rPr>
        <w:t>EIS</w:t>
      </w:r>
      <w:r>
        <w:rPr>
          <w:kern w:val="0"/>
        </w:rPr>
        <w:t>的老化温度和老化分周期时间；</w:t>
      </w:r>
    </w:p>
    <w:p w14:paraId="70E14C99" w14:textId="77777777" w:rsidR="007D68B8" w:rsidRDefault="00A26708">
      <w:pPr>
        <w:widowControl/>
        <w:ind w:firstLine="480"/>
        <w:jc w:val="left"/>
        <w:rPr>
          <w:kern w:val="0"/>
        </w:rPr>
      </w:pPr>
      <w:r>
        <w:rPr>
          <w:kern w:val="0"/>
        </w:rPr>
        <w:t>——</w:t>
      </w:r>
      <w:r>
        <w:rPr>
          <w:kern w:val="0"/>
        </w:rPr>
        <w:t>每种</w:t>
      </w:r>
      <w:r>
        <w:rPr>
          <w:kern w:val="0"/>
        </w:rPr>
        <w:t>EIS</w:t>
      </w:r>
      <w:r>
        <w:rPr>
          <w:kern w:val="0"/>
        </w:rPr>
        <w:t>采用的诊断试验，包括施加的测试或应力水平；</w:t>
      </w:r>
    </w:p>
    <w:p w14:paraId="0E44787B" w14:textId="77777777" w:rsidR="007D68B8" w:rsidRDefault="00A26708">
      <w:pPr>
        <w:widowControl/>
        <w:ind w:firstLine="480"/>
        <w:jc w:val="left"/>
        <w:rPr>
          <w:kern w:val="0"/>
        </w:rPr>
      </w:pPr>
      <w:r>
        <w:rPr>
          <w:kern w:val="0"/>
        </w:rPr>
        <w:t>——</w:t>
      </w:r>
      <w:proofErr w:type="gramStart"/>
      <w:r>
        <w:rPr>
          <w:kern w:val="0"/>
        </w:rPr>
        <w:t>试品的</w:t>
      </w:r>
      <w:proofErr w:type="gramEnd"/>
      <w:r>
        <w:rPr>
          <w:kern w:val="0"/>
        </w:rPr>
        <w:t>描述；</w:t>
      </w:r>
    </w:p>
    <w:p w14:paraId="73CEB390" w14:textId="77777777" w:rsidR="007D68B8" w:rsidRDefault="00A26708">
      <w:pPr>
        <w:widowControl/>
        <w:ind w:firstLine="480"/>
        <w:jc w:val="left"/>
        <w:rPr>
          <w:kern w:val="0"/>
        </w:rPr>
      </w:pPr>
      <w:r>
        <w:rPr>
          <w:kern w:val="0"/>
        </w:rPr>
        <w:t>——</w:t>
      </w:r>
      <w:r>
        <w:rPr>
          <w:kern w:val="0"/>
        </w:rPr>
        <w:t>每种</w:t>
      </w:r>
      <w:r>
        <w:rPr>
          <w:kern w:val="0"/>
        </w:rPr>
        <w:t>EIS</w:t>
      </w:r>
      <w:r>
        <w:rPr>
          <w:kern w:val="0"/>
        </w:rPr>
        <w:t>在每一老化温度下的试样数量；</w:t>
      </w:r>
    </w:p>
    <w:p w14:paraId="5BCB93F2" w14:textId="77777777" w:rsidR="007D68B8" w:rsidRDefault="00A26708">
      <w:pPr>
        <w:widowControl/>
        <w:ind w:firstLine="480"/>
        <w:jc w:val="left"/>
        <w:rPr>
          <w:kern w:val="0"/>
        </w:rPr>
      </w:pPr>
      <w:r>
        <w:rPr>
          <w:kern w:val="0"/>
        </w:rPr>
        <w:t>——</w:t>
      </w:r>
      <w:r>
        <w:rPr>
          <w:kern w:val="0"/>
        </w:rPr>
        <w:t>每个试样的失效时间和失效模式（对地、相间、匝间）；</w:t>
      </w:r>
    </w:p>
    <w:p w14:paraId="2BF795D7" w14:textId="77777777" w:rsidR="007D68B8" w:rsidRDefault="00A26708">
      <w:pPr>
        <w:widowControl/>
        <w:ind w:firstLine="480"/>
        <w:jc w:val="left"/>
        <w:rPr>
          <w:kern w:val="0"/>
        </w:rPr>
      </w:pPr>
      <w:r>
        <w:rPr>
          <w:kern w:val="0"/>
        </w:rPr>
        <w:t>——</w:t>
      </w:r>
      <w:r>
        <w:rPr>
          <w:kern w:val="0"/>
        </w:rPr>
        <w:t>热老化曲线图；</w:t>
      </w:r>
    </w:p>
    <w:p w14:paraId="543C144C" w14:textId="77777777" w:rsidR="007D68B8" w:rsidRDefault="00A26708">
      <w:pPr>
        <w:widowControl/>
        <w:ind w:firstLine="480"/>
        <w:jc w:val="left"/>
        <w:rPr>
          <w:kern w:val="0"/>
        </w:rPr>
      </w:pPr>
      <w:r>
        <w:rPr>
          <w:kern w:val="0"/>
        </w:rPr>
        <w:t>——</w:t>
      </w:r>
      <w:r>
        <w:rPr>
          <w:kern w:val="0"/>
        </w:rPr>
        <w:t>辐照样品与未辐照样品高温点失效时间数据；</w:t>
      </w:r>
    </w:p>
    <w:p w14:paraId="1FE3947C" w14:textId="77777777" w:rsidR="007D68B8" w:rsidRDefault="00A26708">
      <w:pPr>
        <w:widowControl/>
        <w:ind w:firstLine="480"/>
        <w:jc w:val="left"/>
        <w:rPr>
          <w:kern w:val="0"/>
        </w:rPr>
      </w:pPr>
      <w:r>
        <w:rPr>
          <w:kern w:val="0"/>
        </w:rPr>
        <w:t>——</w:t>
      </w:r>
      <w:r>
        <w:rPr>
          <w:kern w:val="0"/>
        </w:rPr>
        <w:t>基准</w:t>
      </w:r>
      <w:r>
        <w:rPr>
          <w:kern w:val="0"/>
        </w:rPr>
        <w:t>EIS</w:t>
      </w:r>
      <w:r>
        <w:rPr>
          <w:kern w:val="0"/>
        </w:rPr>
        <w:t>的耐热等级（若有）；</w:t>
      </w:r>
    </w:p>
    <w:p w14:paraId="78C40999" w14:textId="77777777" w:rsidR="007D68B8" w:rsidRDefault="00A26708">
      <w:pPr>
        <w:widowControl/>
        <w:ind w:firstLine="480"/>
        <w:jc w:val="left"/>
      </w:pPr>
      <w:r>
        <w:rPr>
          <w:kern w:val="0"/>
        </w:rPr>
        <w:t>——</w:t>
      </w:r>
      <w:proofErr w:type="gramStart"/>
      <w:r>
        <w:rPr>
          <w:kern w:val="0"/>
        </w:rPr>
        <w:t>待评</w:t>
      </w:r>
      <w:proofErr w:type="gramEnd"/>
      <w:r>
        <w:rPr>
          <w:kern w:val="0"/>
        </w:rPr>
        <w:t>EIS</w:t>
      </w:r>
      <w:r>
        <w:rPr>
          <w:kern w:val="0"/>
        </w:rPr>
        <w:t>的耐热等级。</w:t>
      </w:r>
    </w:p>
    <w:p w14:paraId="13B12766" w14:textId="77777777" w:rsidR="007D68B8" w:rsidRDefault="007D68B8">
      <w:pPr>
        <w:pStyle w:val="afff1"/>
      </w:pPr>
    </w:p>
    <w:p w14:paraId="0E412E6D" w14:textId="77777777" w:rsidR="007D68B8" w:rsidRDefault="007D68B8">
      <w:pPr>
        <w:pStyle w:val="afff1"/>
        <w:sectPr w:rsidR="007D68B8">
          <w:footerReference w:type="default" r:id="rId13"/>
          <w:pgSz w:w="11906" w:h="16838"/>
          <w:pgMar w:top="1134" w:right="1417" w:bottom="567" w:left="1134" w:header="1418" w:footer="1134" w:gutter="0"/>
          <w:pgNumType w:start="1"/>
          <w:cols w:space="425"/>
          <w:formProt w:val="0"/>
          <w:docGrid w:type="lines" w:linePitch="312"/>
        </w:sectPr>
      </w:pPr>
    </w:p>
    <w:p w14:paraId="759ED22D" w14:textId="77777777" w:rsidR="007D68B8" w:rsidRDefault="00A26708">
      <w:pPr>
        <w:pStyle w:val="a4"/>
        <w:numPr>
          <w:ilvl w:val="0"/>
          <w:numId w:val="0"/>
        </w:numPr>
        <w:spacing w:before="312" w:after="312"/>
        <w:jc w:val="center"/>
      </w:pPr>
      <w:bookmarkStart w:id="252" w:name="_Toc20262"/>
      <w:r>
        <w:rPr>
          <w:rFonts w:hint="eastAsia"/>
        </w:rPr>
        <w:lastRenderedPageBreak/>
        <w:t>参 考 文 献</w:t>
      </w:r>
      <w:bookmarkEnd w:id="252"/>
    </w:p>
    <w:p w14:paraId="68F20C98" w14:textId="77777777" w:rsidR="007D68B8" w:rsidRDefault="00A26708">
      <w:pPr>
        <w:pStyle w:val="afff1"/>
        <w:ind w:firstLineChars="0"/>
        <w:jc w:val="left"/>
      </w:pPr>
      <w:r>
        <w:rPr>
          <w:rFonts w:hint="eastAsia"/>
        </w:rPr>
        <w:t>[1] HAF 003  核电厂质量保证安全规定</w:t>
      </w:r>
    </w:p>
    <w:p w14:paraId="28DA13FD" w14:textId="77777777" w:rsidR="007D68B8" w:rsidRDefault="00A26708">
      <w:pPr>
        <w:pStyle w:val="afff1"/>
        <w:ind w:firstLineChars="0"/>
        <w:jc w:val="left"/>
      </w:pPr>
      <w:r>
        <w:rPr>
          <w:rFonts w:hint="eastAsia"/>
        </w:rPr>
        <w:t>[2] HAD 003/03  核电厂物项和服务采购中的质量保证</w:t>
      </w:r>
    </w:p>
    <w:p w14:paraId="513D928C" w14:textId="77777777" w:rsidR="007D68B8" w:rsidRDefault="00A26708">
      <w:pPr>
        <w:pStyle w:val="afff1"/>
        <w:ind w:firstLineChars="0"/>
        <w:jc w:val="left"/>
      </w:pPr>
      <w:r>
        <w:rPr>
          <w:rFonts w:hint="eastAsia"/>
        </w:rPr>
        <w:t>[3] HAD 003/08  核电厂物项制造中的质量保证</w:t>
      </w:r>
    </w:p>
    <w:p w14:paraId="422BE332" w14:textId="77777777" w:rsidR="007D68B8" w:rsidRDefault="00A26708">
      <w:pPr>
        <w:pStyle w:val="afff1"/>
        <w:ind w:firstLineChars="0"/>
        <w:jc w:val="left"/>
      </w:pPr>
      <w:r>
        <w:rPr>
          <w:rFonts w:hint="eastAsia"/>
        </w:rPr>
        <w:t>[4] GB/T 36044-2018  核电厂安全重要电气设备鉴定规程</w:t>
      </w:r>
    </w:p>
    <w:p w14:paraId="28B7C2F1" w14:textId="77777777" w:rsidR="007D68B8" w:rsidRDefault="00A26708">
      <w:pPr>
        <w:pStyle w:val="afff1"/>
        <w:ind w:firstLineChars="0"/>
        <w:jc w:val="left"/>
      </w:pPr>
      <w:r>
        <w:rPr>
          <w:rFonts w:hint="eastAsia"/>
        </w:rPr>
        <w:t>[5] GB/T 12727  核电厂安全级电气设备鉴定</w:t>
      </w:r>
    </w:p>
    <w:p w14:paraId="2CBE5FDC" w14:textId="77777777" w:rsidR="007D68B8" w:rsidRDefault="00A26708">
      <w:pPr>
        <w:pStyle w:val="afff1"/>
        <w:ind w:firstLineChars="0"/>
        <w:jc w:val="left"/>
      </w:pPr>
      <w:r>
        <w:rPr>
          <w:rFonts w:hint="eastAsia"/>
        </w:rPr>
        <w:t>[6] T/CNS 25-2020  高温气冷堆核动力厂控制棒驱动机构设计准则</w:t>
      </w:r>
    </w:p>
    <w:p w14:paraId="1E703944" w14:textId="77777777" w:rsidR="007D68B8" w:rsidRDefault="007D68B8">
      <w:pPr>
        <w:pStyle w:val="afff1"/>
      </w:pPr>
    </w:p>
    <w:p w14:paraId="52519DF9" w14:textId="77777777" w:rsidR="007D68B8" w:rsidRDefault="00A26708">
      <w:pPr>
        <w:pStyle w:val="afff1"/>
      </w:pPr>
      <w:r>
        <w:rPr>
          <w:noProof/>
        </w:rPr>
        <mc:AlternateContent>
          <mc:Choice Requires="wps">
            <w:drawing>
              <wp:anchor distT="0" distB="0" distL="114300" distR="114300" simplePos="0" relativeHeight="251664384" behindDoc="0" locked="0" layoutInCell="1" allowOverlap="1" wp14:anchorId="62897554" wp14:editId="4E66FE3E">
                <wp:simplePos x="0" y="0"/>
                <wp:positionH relativeFrom="column">
                  <wp:posOffset>1668780</wp:posOffset>
                </wp:positionH>
                <wp:positionV relativeFrom="paragraph">
                  <wp:posOffset>244475</wp:posOffset>
                </wp:positionV>
                <wp:extent cx="2388235" cy="6350"/>
                <wp:effectExtent l="7620" t="11430" r="13970" b="10795"/>
                <wp:wrapTopAndBottom/>
                <wp:docPr id="899612969" name="Line 10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8235" cy="6350"/>
                        </a:xfrm>
                        <a:prstGeom prst="line">
                          <a:avLst/>
                        </a:prstGeom>
                        <a:noFill/>
                        <a:ln w="12700">
                          <a:solidFill>
                            <a:schemeClr val="tx1">
                              <a:lumMod val="100000"/>
                              <a:lumOff val="0"/>
                            </a:schemeClr>
                          </a:solidFill>
                          <a:miter lim="800000"/>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Line 1026" o:spid="_x0000_s1026" o:spt="20" style="position:absolute;left:0pt;margin-left:131.4pt;margin-top:19.25pt;height:0.5pt;width:188.05pt;mso-wrap-distance-bottom:0pt;mso-wrap-distance-top:0pt;z-index:251664384;mso-width-relative:page;mso-height-relative:page;" filled="f" stroked="t" coordsize="21600,21600" o:gfxdata="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dkUDaAAAACQEAAA8AAAAAAAAAAQAgAAAAIgAAAGRycy9kb3ducmV2LnhtbFBLAQIU&#10;ABQAAAAIAIdO4kDPUmZ38QEAAPEDAAAOAAAAAAAAAAEAIAAAACkBAABkcnMvZTJvRG9jLnhtbFBL&#10;BQYAAAAABgAGAFkBAACMBQAAAAA=&#10;">
                <v:fill on="f" focussize="0,0"/>
                <v:stroke weight="1pt" color="#000000 [3229]" miterlimit="8" joinstyle="miter"/>
                <v:imagedata o:title=""/>
                <o:lock v:ext="edit" aspectratio="f"/>
                <w10:wrap type="topAndBottom"/>
              </v:line>
            </w:pict>
          </mc:Fallback>
        </mc:AlternateContent>
      </w:r>
    </w:p>
    <w:sectPr w:rsidR="007D68B8">
      <w:pgSz w:w="11906" w:h="16838"/>
      <w:pgMar w:top="1134" w:right="1417" w:bottom="567" w:left="1134"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52E56" w14:textId="77777777" w:rsidR="009E4405" w:rsidRDefault="009E4405">
      <w:r>
        <w:separator/>
      </w:r>
    </w:p>
  </w:endnote>
  <w:endnote w:type="continuationSeparator" w:id="0">
    <w:p w14:paraId="69C55797" w14:textId="77777777" w:rsidR="009E4405" w:rsidRDefault="009E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36914" w14:textId="77777777" w:rsidR="007D68B8" w:rsidRDefault="00A26708">
    <w:pPr>
      <w:pStyle w:val="affff2"/>
    </w:pPr>
    <w:r>
      <w:fldChar w:fldCharType="begin"/>
    </w:r>
    <w:r>
      <w:instrText xml:space="preserve"> PAGE  \* MERGEFORMAT </w:instrText>
    </w:r>
    <w:r>
      <w:fldChar w:fldCharType="separate"/>
    </w:r>
    <w: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1F2D1" w14:textId="77777777" w:rsidR="007D68B8" w:rsidRDefault="00A26708">
    <w:pPr>
      <w:pStyle w:val="afffa"/>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5EBDB" w14:textId="77777777" w:rsidR="007D68B8" w:rsidRDefault="00A26708">
    <w:pPr>
      <w:pStyle w:val="affe"/>
    </w:pPr>
    <w:r>
      <w:rPr>
        <w:rStyle w:val="afff6"/>
      </w:rPr>
      <w:fldChar w:fldCharType="begin"/>
    </w:r>
    <w:r>
      <w:rPr>
        <w:rStyle w:val="afff6"/>
      </w:rPr>
      <w:instrText xml:space="preserve"> PAGE </w:instrText>
    </w:r>
    <w:r>
      <w:rPr>
        <w:rStyle w:val="afff6"/>
      </w:rPr>
      <w:fldChar w:fldCharType="separate"/>
    </w:r>
    <w:r>
      <w:rPr>
        <w:rStyle w:val="afff6"/>
      </w:rPr>
      <w:t>7</w:t>
    </w:r>
    <w:r>
      <w:rPr>
        <w:rStyle w:val="afff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3B549" w14:textId="77777777" w:rsidR="009E4405" w:rsidRDefault="009E4405">
      <w:r>
        <w:separator/>
      </w:r>
    </w:p>
  </w:footnote>
  <w:footnote w:type="continuationSeparator" w:id="0">
    <w:p w14:paraId="4211F3C2" w14:textId="77777777" w:rsidR="009E4405" w:rsidRDefault="009E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697E1" w14:textId="77777777" w:rsidR="007D68B8" w:rsidRDefault="00A26708">
    <w:pPr>
      <w:pStyle w:val="affff3"/>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7749" w14:textId="77777777" w:rsidR="007D68B8" w:rsidRDefault="00A26708">
    <w:pPr>
      <w:pStyle w:val="aff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78BBFF5"/>
    <w:multiLevelType w:val="singleLevel"/>
    <w:tmpl w:val="A78BBFF5"/>
    <w:lvl w:ilvl="0">
      <w:start w:val="1"/>
      <w:numFmt w:val="lowerLetter"/>
      <w:suff w:val="space"/>
      <w:lvlText w:val="%1."/>
      <w:lvlJc w:val="left"/>
    </w:lvl>
  </w:abstractNum>
  <w:abstractNum w:abstractNumId="1" w15:restartNumberingAfterBreak="0">
    <w:nsid w:val="B915C55B"/>
    <w:multiLevelType w:val="singleLevel"/>
    <w:tmpl w:val="B915C55B"/>
    <w:lvl w:ilvl="0">
      <w:start w:val="1"/>
      <w:numFmt w:val="lowerLetter"/>
      <w:suff w:val="space"/>
      <w:lvlText w:val="%1."/>
      <w:lvlJc w:val="left"/>
    </w:lvl>
  </w:abstractNum>
  <w:abstractNum w:abstractNumId="2" w15:restartNumberingAfterBreak="0">
    <w:nsid w:val="D7D2B51F"/>
    <w:multiLevelType w:val="singleLevel"/>
    <w:tmpl w:val="D7D2B51F"/>
    <w:lvl w:ilvl="0">
      <w:start w:val="1"/>
      <w:numFmt w:val="lowerLetter"/>
      <w:lvlText w:val="%1."/>
      <w:lvlJc w:val="left"/>
      <w:pPr>
        <w:tabs>
          <w:tab w:val="left" w:pos="420"/>
        </w:tabs>
        <w:ind w:left="845" w:hanging="425"/>
      </w:pPr>
      <w:rPr>
        <w:rFonts w:hint="default"/>
      </w:rPr>
    </w:lvl>
  </w:abstractNum>
  <w:abstractNum w:abstractNumId="3"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7"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9"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4"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6"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9"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1"/>
  </w:num>
  <w:num w:numId="2">
    <w:abstractNumId w:val="8"/>
  </w:num>
  <w:num w:numId="3">
    <w:abstractNumId w:val="10"/>
  </w:num>
  <w:num w:numId="4">
    <w:abstractNumId w:val="5"/>
  </w:num>
  <w:num w:numId="5">
    <w:abstractNumId w:val="12"/>
  </w:num>
  <w:num w:numId="6">
    <w:abstractNumId w:val="19"/>
  </w:num>
  <w:num w:numId="7">
    <w:abstractNumId w:val="3"/>
  </w:num>
  <w:num w:numId="8">
    <w:abstractNumId w:val="13"/>
  </w:num>
  <w:num w:numId="9">
    <w:abstractNumId w:val="7"/>
  </w:num>
  <w:num w:numId="10">
    <w:abstractNumId w:val="17"/>
  </w:num>
  <w:num w:numId="11">
    <w:abstractNumId w:val="15"/>
  </w:num>
  <w:num w:numId="12">
    <w:abstractNumId w:val="18"/>
  </w:num>
  <w:num w:numId="13">
    <w:abstractNumId w:val="9"/>
  </w:num>
  <w:num w:numId="14">
    <w:abstractNumId w:val="4"/>
  </w:num>
  <w:num w:numId="15">
    <w:abstractNumId w:val="6"/>
  </w:num>
  <w:num w:numId="16">
    <w:abstractNumId w:val="16"/>
  </w:num>
  <w:num w:numId="17">
    <w:abstractNumId w:val="14"/>
  </w:num>
  <w:num w:numId="18">
    <w:abstractNumId w:val="2"/>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3369"/>
    <w:rsid w:val="00035925"/>
    <w:rsid w:val="00040D19"/>
    <w:rsid w:val="000433A5"/>
    <w:rsid w:val="00056328"/>
    <w:rsid w:val="00060954"/>
    <w:rsid w:val="00062BC8"/>
    <w:rsid w:val="000634E0"/>
    <w:rsid w:val="0006539D"/>
    <w:rsid w:val="00067CDF"/>
    <w:rsid w:val="000724C8"/>
    <w:rsid w:val="00074FBE"/>
    <w:rsid w:val="00083A09"/>
    <w:rsid w:val="000854F3"/>
    <w:rsid w:val="0009005E"/>
    <w:rsid w:val="00092857"/>
    <w:rsid w:val="00095EBC"/>
    <w:rsid w:val="00096DBE"/>
    <w:rsid w:val="000A0F8A"/>
    <w:rsid w:val="000A20A9"/>
    <w:rsid w:val="000A40E4"/>
    <w:rsid w:val="000A47FE"/>
    <w:rsid w:val="000A48B1"/>
    <w:rsid w:val="000B3143"/>
    <w:rsid w:val="000B5F51"/>
    <w:rsid w:val="000B651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E5722"/>
    <w:rsid w:val="000F030C"/>
    <w:rsid w:val="000F129C"/>
    <w:rsid w:val="000F5877"/>
    <w:rsid w:val="000F6DC3"/>
    <w:rsid w:val="000F77AE"/>
    <w:rsid w:val="00100E1A"/>
    <w:rsid w:val="001056DE"/>
    <w:rsid w:val="00105FC5"/>
    <w:rsid w:val="00107352"/>
    <w:rsid w:val="001112E2"/>
    <w:rsid w:val="001121E6"/>
    <w:rsid w:val="001124C0"/>
    <w:rsid w:val="00124246"/>
    <w:rsid w:val="00124FD9"/>
    <w:rsid w:val="00125566"/>
    <w:rsid w:val="00127D6A"/>
    <w:rsid w:val="0013175F"/>
    <w:rsid w:val="001337E4"/>
    <w:rsid w:val="001368FD"/>
    <w:rsid w:val="00140C1C"/>
    <w:rsid w:val="001457F3"/>
    <w:rsid w:val="001512B4"/>
    <w:rsid w:val="001533FF"/>
    <w:rsid w:val="00155AF8"/>
    <w:rsid w:val="00160473"/>
    <w:rsid w:val="001620A5"/>
    <w:rsid w:val="00163EB8"/>
    <w:rsid w:val="00164E53"/>
    <w:rsid w:val="0016699D"/>
    <w:rsid w:val="0017178D"/>
    <w:rsid w:val="00175159"/>
    <w:rsid w:val="00175804"/>
    <w:rsid w:val="00176208"/>
    <w:rsid w:val="00177CA3"/>
    <w:rsid w:val="0018211B"/>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5A20"/>
    <w:rsid w:val="001E618C"/>
    <w:rsid w:val="001F21F8"/>
    <w:rsid w:val="001F38AF"/>
    <w:rsid w:val="001F3A19"/>
    <w:rsid w:val="001F44A5"/>
    <w:rsid w:val="001F5889"/>
    <w:rsid w:val="00203EAA"/>
    <w:rsid w:val="00205C8A"/>
    <w:rsid w:val="0020745D"/>
    <w:rsid w:val="00207EEC"/>
    <w:rsid w:val="00211928"/>
    <w:rsid w:val="00215DEA"/>
    <w:rsid w:val="00217BA7"/>
    <w:rsid w:val="0022090A"/>
    <w:rsid w:val="002277DD"/>
    <w:rsid w:val="00227958"/>
    <w:rsid w:val="00232BF5"/>
    <w:rsid w:val="00234467"/>
    <w:rsid w:val="00237D8D"/>
    <w:rsid w:val="00240613"/>
    <w:rsid w:val="00241DA2"/>
    <w:rsid w:val="0024301D"/>
    <w:rsid w:val="00247FEE"/>
    <w:rsid w:val="00250E7D"/>
    <w:rsid w:val="00252124"/>
    <w:rsid w:val="0025587C"/>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A78DB"/>
    <w:rsid w:val="002B0F12"/>
    <w:rsid w:val="002B1308"/>
    <w:rsid w:val="002B1903"/>
    <w:rsid w:val="002B4554"/>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2FF6"/>
    <w:rsid w:val="002F5DA0"/>
    <w:rsid w:val="00301F39"/>
    <w:rsid w:val="003078BB"/>
    <w:rsid w:val="003129C4"/>
    <w:rsid w:val="00313C85"/>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268D"/>
    <w:rsid w:val="0035323B"/>
    <w:rsid w:val="003609D2"/>
    <w:rsid w:val="00363F22"/>
    <w:rsid w:val="00366046"/>
    <w:rsid w:val="00366C12"/>
    <w:rsid w:val="00367F2A"/>
    <w:rsid w:val="00371DB1"/>
    <w:rsid w:val="0037409B"/>
    <w:rsid w:val="00374580"/>
    <w:rsid w:val="00374AAD"/>
    <w:rsid w:val="00375564"/>
    <w:rsid w:val="00377F97"/>
    <w:rsid w:val="00381DB2"/>
    <w:rsid w:val="0038264E"/>
    <w:rsid w:val="00383191"/>
    <w:rsid w:val="00386DED"/>
    <w:rsid w:val="003912E7"/>
    <w:rsid w:val="00391A30"/>
    <w:rsid w:val="00392F72"/>
    <w:rsid w:val="00393947"/>
    <w:rsid w:val="003A2275"/>
    <w:rsid w:val="003A3281"/>
    <w:rsid w:val="003A5BB6"/>
    <w:rsid w:val="003A6A4F"/>
    <w:rsid w:val="003A6E20"/>
    <w:rsid w:val="003A6E63"/>
    <w:rsid w:val="003A7088"/>
    <w:rsid w:val="003B00DF"/>
    <w:rsid w:val="003B1275"/>
    <w:rsid w:val="003B1778"/>
    <w:rsid w:val="003B5ECB"/>
    <w:rsid w:val="003C11CB"/>
    <w:rsid w:val="003C1584"/>
    <w:rsid w:val="003C1A74"/>
    <w:rsid w:val="003C2142"/>
    <w:rsid w:val="003C46B8"/>
    <w:rsid w:val="003C4BA8"/>
    <w:rsid w:val="003C75F3"/>
    <w:rsid w:val="003C78A3"/>
    <w:rsid w:val="003D3024"/>
    <w:rsid w:val="003D67E5"/>
    <w:rsid w:val="003E1867"/>
    <w:rsid w:val="003E5729"/>
    <w:rsid w:val="003F14A8"/>
    <w:rsid w:val="003F4EE0"/>
    <w:rsid w:val="003F5F91"/>
    <w:rsid w:val="003F6307"/>
    <w:rsid w:val="00402153"/>
    <w:rsid w:val="00402FC1"/>
    <w:rsid w:val="00403C93"/>
    <w:rsid w:val="00415BBA"/>
    <w:rsid w:val="00415E21"/>
    <w:rsid w:val="00421D17"/>
    <w:rsid w:val="00422A36"/>
    <w:rsid w:val="00423F43"/>
    <w:rsid w:val="00425082"/>
    <w:rsid w:val="00427A2E"/>
    <w:rsid w:val="00430240"/>
    <w:rsid w:val="00431DEB"/>
    <w:rsid w:val="00433856"/>
    <w:rsid w:val="00442748"/>
    <w:rsid w:val="004442F1"/>
    <w:rsid w:val="004464FB"/>
    <w:rsid w:val="00446B29"/>
    <w:rsid w:val="00451F8C"/>
    <w:rsid w:val="00453F9A"/>
    <w:rsid w:val="00455698"/>
    <w:rsid w:val="004633EA"/>
    <w:rsid w:val="00465870"/>
    <w:rsid w:val="00470519"/>
    <w:rsid w:val="00470AD1"/>
    <w:rsid w:val="00471E91"/>
    <w:rsid w:val="00474675"/>
    <w:rsid w:val="0047470C"/>
    <w:rsid w:val="004754E1"/>
    <w:rsid w:val="00475903"/>
    <w:rsid w:val="00476113"/>
    <w:rsid w:val="004777F8"/>
    <w:rsid w:val="00485B2A"/>
    <w:rsid w:val="00487EF4"/>
    <w:rsid w:val="00492952"/>
    <w:rsid w:val="004930F0"/>
    <w:rsid w:val="004933F5"/>
    <w:rsid w:val="00494391"/>
    <w:rsid w:val="004A03F8"/>
    <w:rsid w:val="004A28CD"/>
    <w:rsid w:val="004A35F9"/>
    <w:rsid w:val="004B24C1"/>
    <w:rsid w:val="004B2AE2"/>
    <w:rsid w:val="004B488E"/>
    <w:rsid w:val="004B5ABA"/>
    <w:rsid w:val="004C292F"/>
    <w:rsid w:val="004C5151"/>
    <w:rsid w:val="004C6BA4"/>
    <w:rsid w:val="004C7A4E"/>
    <w:rsid w:val="004D1BFC"/>
    <w:rsid w:val="004D253C"/>
    <w:rsid w:val="004D468D"/>
    <w:rsid w:val="004D6309"/>
    <w:rsid w:val="004E375E"/>
    <w:rsid w:val="004E5E50"/>
    <w:rsid w:val="004E6AE5"/>
    <w:rsid w:val="005036EE"/>
    <w:rsid w:val="00510280"/>
    <w:rsid w:val="00510638"/>
    <w:rsid w:val="0051196F"/>
    <w:rsid w:val="0051243F"/>
    <w:rsid w:val="00513D73"/>
    <w:rsid w:val="00514A43"/>
    <w:rsid w:val="005174E5"/>
    <w:rsid w:val="00522393"/>
    <w:rsid w:val="00522620"/>
    <w:rsid w:val="00525656"/>
    <w:rsid w:val="00527A86"/>
    <w:rsid w:val="00534A30"/>
    <w:rsid w:val="00534C02"/>
    <w:rsid w:val="005364CD"/>
    <w:rsid w:val="005417BB"/>
    <w:rsid w:val="0054264B"/>
    <w:rsid w:val="00542E2A"/>
    <w:rsid w:val="00543786"/>
    <w:rsid w:val="00546534"/>
    <w:rsid w:val="00551660"/>
    <w:rsid w:val="00552FDA"/>
    <w:rsid w:val="005533D7"/>
    <w:rsid w:val="00554CD0"/>
    <w:rsid w:val="00555DAC"/>
    <w:rsid w:val="005703DE"/>
    <w:rsid w:val="00582D4F"/>
    <w:rsid w:val="0058464E"/>
    <w:rsid w:val="0058570A"/>
    <w:rsid w:val="00585824"/>
    <w:rsid w:val="00587FE6"/>
    <w:rsid w:val="00593A1A"/>
    <w:rsid w:val="00594059"/>
    <w:rsid w:val="00595D06"/>
    <w:rsid w:val="005A01CB"/>
    <w:rsid w:val="005A0385"/>
    <w:rsid w:val="005A28C7"/>
    <w:rsid w:val="005A4E0F"/>
    <w:rsid w:val="005A58FF"/>
    <w:rsid w:val="005A5EAF"/>
    <w:rsid w:val="005A64C0"/>
    <w:rsid w:val="005B3C11"/>
    <w:rsid w:val="005B6487"/>
    <w:rsid w:val="005C1C28"/>
    <w:rsid w:val="005C4050"/>
    <w:rsid w:val="005C6DB5"/>
    <w:rsid w:val="005D0030"/>
    <w:rsid w:val="005D0051"/>
    <w:rsid w:val="005D0325"/>
    <w:rsid w:val="005D0ADA"/>
    <w:rsid w:val="005D4B68"/>
    <w:rsid w:val="005D7CEF"/>
    <w:rsid w:val="005E19E7"/>
    <w:rsid w:val="005E456E"/>
    <w:rsid w:val="005E49E9"/>
    <w:rsid w:val="005F057C"/>
    <w:rsid w:val="005F6CF1"/>
    <w:rsid w:val="005F74F5"/>
    <w:rsid w:val="006022B1"/>
    <w:rsid w:val="00603844"/>
    <w:rsid w:val="0061092C"/>
    <w:rsid w:val="00615348"/>
    <w:rsid w:val="00616AEB"/>
    <w:rsid w:val="0061716C"/>
    <w:rsid w:val="0062409A"/>
    <w:rsid w:val="006243A1"/>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3423"/>
    <w:rsid w:val="00654302"/>
    <w:rsid w:val="00654BC9"/>
    <w:rsid w:val="006552FD"/>
    <w:rsid w:val="006600F5"/>
    <w:rsid w:val="00663AF3"/>
    <w:rsid w:val="006651DB"/>
    <w:rsid w:val="00665D5B"/>
    <w:rsid w:val="00666B6C"/>
    <w:rsid w:val="006766E8"/>
    <w:rsid w:val="00681282"/>
    <w:rsid w:val="00682682"/>
    <w:rsid w:val="00682702"/>
    <w:rsid w:val="00690F6B"/>
    <w:rsid w:val="00692368"/>
    <w:rsid w:val="00695872"/>
    <w:rsid w:val="006A2EBC"/>
    <w:rsid w:val="006A3B22"/>
    <w:rsid w:val="006A5EA0"/>
    <w:rsid w:val="006A783B"/>
    <w:rsid w:val="006A7B33"/>
    <w:rsid w:val="006B3945"/>
    <w:rsid w:val="006B4E13"/>
    <w:rsid w:val="006B75DD"/>
    <w:rsid w:val="006C3D8D"/>
    <w:rsid w:val="006C3E69"/>
    <w:rsid w:val="006C67E0"/>
    <w:rsid w:val="006C7ABA"/>
    <w:rsid w:val="006D0D60"/>
    <w:rsid w:val="006D1122"/>
    <w:rsid w:val="006D1681"/>
    <w:rsid w:val="006D3C00"/>
    <w:rsid w:val="006E1DB8"/>
    <w:rsid w:val="006E3675"/>
    <w:rsid w:val="006E4A7F"/>
    <w:rsid w:val="006F0E76"/>
    <w:rsid w:val="006F79D1"/>
    <w:rsid w:val="00704DF6"/>
    <w:rsid w:val="0070651C"/>
    <w:rsid w:val="0070669E"/>
    <w:rsid w:val="007132A3"/>
    <w:rsid w:val="00715AAB"/>
    <w:rsid w:val="00716421"/>
    <w:rsid w:val="0072267A"/>
    <w:rsid w:val="00722A6D"/>
    <w:rsid w:val="00723A69"/>
    <w:rsid w:val="00724EFB"/>
    <w:rsid w:val="007318AF"/>
    <w:rsid w:val="007336A4"/>
    <w:rsid w:val="00735E3C"/>
    <w:rsid w:val="00737209"/>
    <w:rsid w:val="007419C3"/>
    <w:rsid w:val="007467A7"/>
    <w:rsid w:val="007469DD"/>
    <w:rsid w:val="0074741B"/>
    <w:rsid w:val="0074759E"/>
    <w:rsid w:val="007478EA"/>
    <w:rsid w:val="00751176"/>
    <w:rsid w:val="0075415C"/>
    <w:rsid w:val="007557F9"/>
    <w:rsid w:val="007574CB"/>
    <w:rsid w:val="00763502"/>
    <w:rsid w:val="007657A7"/>
    <w:rsid w:val="00771EA9"/>
    <w:rsid w:val="00777B87"/>
    <w:rsid w:val="007831A7"/>
    <w:rsid w:val="007913AB"/>
    <w:rsid w:val="007914F7"/>
    <w:rsid w:val="00792F5C"/>
    <w:rsid w:val="0079319F"/>
    <w:rsid w:val="0079428E"/>
    <w:rsid w:val="007946B2"/>
    <w:rsid w:val="007950A6"/>
    <w:rsid w:val="007B0B61"/>
    <w:rsid w:val="007B0B89"/>
    <w:rsid w:val="007B1625"/>
    <w:rsid w:val="007B236F"/>
    <w:rsid w:val="007B5C6A"/>
    <w:rsid w:val="007B706E"/>
    <w:rsid w:val="007B71EB"/>
    <w:rsid w:val="007C14C6"/>
    <w:rsid w:val="007C5186"/>
    <w:rsid w:val="007C5304"/>
    <w:rsid w:val="007C53D4"/>
    <w:rsid w:val="007C6205"/>
    <w:rsid w:val="007C686A"/>
    <w:rsid w:val="007C728E"/>
    <w:rsid w:val="007D2C53"/>
    <w:rsid w:val="007D3D60"/>
    <w:rsid w:val="007D68B8"/>
    <w:rsid w:val="007E1980"/>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68E3"/>
    <w:rsid w:val="00817A00"/>
    <w:rsid w:val="008204E8"/>
    <w:rsid w:val="00821545"/>
    <w:rsid w:val="0082512C"/>
    <w:rsid w:val="008259F9"/>
    <w:rsid w:val="00835DB3"/>
    <w:rsid w:val="0083617B"/>
    <w:rsid w:val="008371BD"/>
    <w:rsid w:val="0083767E"/>
    <w:rsid w:val="00840257"/>
    <w:rsid w:val="008405AD"/>
    <w:rsid w:val="00840B61"/>
    <w:rsid w:val="008427A3"/>
    <w:rsid w:val="00847566"/>
    <w:rsid w:val="008504A8"/>
    <w:rsid w:val="00850F51"/>
    <w:rsid w:val="0085282E"/>
    <w:rsid w:val="00857896"/>
    <w:rsid w:val="00861580"/>
    <w:rsid w:val="0087198C"/>
    <w:rsid w:val="00872C1F"/>
    <w:rsid w:val="0087373A"/>
    <w:rsid w:val="00873B42"/>
    <w:rsid w:val="008750A4"/>
    <w:rsid w:val="00881642"/>
    <w:rsid w:val="00882F7D"/>
    <w:rsid w:val="00884F76"/>
    <w:rsid w:val="008856D8"/>
    <w:rsid w:val="00887FE6"/>
    <w:rsid w:val="00892E82"/>
    <w:rsid w:val="0089545A"/>
    <w:rsid w:val="00896E6C"/>
    <w:rsid w:val="008A218B"/>
    <w:rsid w:val="008A2641"/>
    <w:rsid w:val="008A559E"/>
    <w:rsid w:val="008A5A33"/>
    <w:rsid w:val="008A6EB6"/>
    <w:rsid w:val="008C1B58"/>
    <w:rsid w:val="008C39AE"/>
    <w:rsid w:val="008C590D"/>
    <w:rsid w:val="008D4BC4"/>
    <w:rsid w:val="008D715F"/>
    <w:rsid w:val="008E031B"/>
    <w:rsid w:val="008E64BB"/>
    <w:rsid w:val="008E7029"/>
    <w:rsid w:val="008E74F2"/>
    <w:rsid w:val="008E7EF6"/>
    <w:rsid w:val="008F1F98"/>
    <w:rsid w:val="008F6758"/>
    <w:rsid w:val="009040DD"/>
    <w:rsid w:val="00904CC8"/>
    <w:rsid w:val="00905B47"/>
    <w:rsid w:val="00906819"/>
    <w:rsid w:val="00907418"/>
    <w:rsid w:val="00911FBF"/>
    <w:rsid w:val="0091331C"/>
    <w:rsid w:val="009279DE"/>
    <w:rsid w:val="00930116"/>
    <w:rsid w:val="0093034D"/>
    <w:rsid w:val="009345A4"/>
    <w:rsid w:val="009347EC"/>
    <w:rsid w:val="009359F9"/>
    <w:rsid w:val="00936C7D"/>
    <w:rsid w:val="00940825"/>
    <w:rsid w:val="0094212C"/>
    <w:rsid w:val="0094370B"/>
    <w:rsid w:val="00945FCF"/>
    <w:rsid w:val="00947577"/>
    <w:rsid w:val="00953A42"/>
    <w:rsid w:val="00953F02"/>
    <w:rsid w:val="00954689"/>
    <w:rsid w:val="009617C9"/>
    <w:rsid w:val="00961ADB"/>
    <w:rsid w:val="00961C93"/>
    <w:rsid w:val="00965324"/>
    <w:rsid w:val="0096609F"/>
    <w:rsid w:val="0097091E"/>
    <w:rsid w:val="00974CAC"/>
    <w:rsid w:val="00974CF5"/>
    <w:rsid w:val="009760D3"/>
    <w:rsid w:val="00977132"/>
    <w:rsid w:val="00981A4B"/>
    <w:rsid w:val="00982501"/>
    <w:rsid w:val="00985CCA"/>
    <w:rsid w:val="009875DB"/>
    <w:rsid w:val="009877D3"/>
    <w:rsid w:val="009904F5"/>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4405"/>
    <w:rsid w:val="009E6116"/>
    <w:rsid w:val="009E7A64"/>
    <w:rsid w:val="009F0726"/>
    <w:rsid w:val="009F12F3"/>
    <w:rsid w:val="009F5759"/>
    <w:rsid w:val="00A02E43"/>
    <w:rsid w:val="00A065F9"/>
    <w:rsid w:val="00A07F34"/>
    <w:rsid w:val="00A1233E"/>
    <w:rsid w:val="00A16BB5"/>
    <w:rsid w:val="00A16F87"/>
    <w:rsid w:val="00A22154"/>
    <w:rsid w:val="00A2217C"/>
    <w:rsid w:val="00A25C38"/>
    <w:rsid w:val="00A26708"/>
    <w:rsid w:val="00A340B0"/>
    <w:rsid w:val="00A36BBE"/>
    <w:rsid w:val="00A4035E"/>
    <w:rsid w:val="00A4307A"/>
    <w:rsid w:val="00A47EBB"/>
    <w:rsid w:val="00A50FA4"/>
    <w:rsid w:val="00A51CDD"/>
    <w:rsid w:val="00A617C7"/>
    <w:rsid w:val="00A63B21"/>
    <w:rsid w:val="00A6730D"/>
    <w:rsid w:val="00A708B1"/>
    <w:rsid w:val="00A71625"/>
    <w:rsid w:val="00A71B9B"/>
    <w:rsid w:val="00A71F67"/>
    <w:rsid w:val="00A74FE1"/>
    <w:rsid w:val="00A750BB"/>
    <w:rsid w:val="00A751C7"/>
    <w:rsid w:val="00A842AF"/>
    <w:rsid w:val="00A87844"/>
    <w:rsid w:val="00AA038C"/>
    <w:rsid w:val="00AA671C"/>
    <w:rsid w:val="00AA7A09"/>
    <w:rsid w:val="00AB0BE7"/>
    <w:rsid w:val="00AB18D2"/>
    <w:rsid w:val="00AB3B50"/>
    <w:rsid w:val="00AB3F91"/>
    <w:rsid w:val="00AC05B1"/>
    <w:rsid w:val="00AC3745"/>
    <w:rsid w:val="00AC3FCD"/>
    <w:rsid w:val="00AC698E"/>
    <w:rsid w:val="00AD356C"/>
    <w:rsid w:val="00AE2914"/>
    <w:rsid w:val="00AE6D15"/>
    <w:rsid w:val="00AF1AF2"/>
    <w:rsid w:val="00AF2E66"/>
    <w:rsid w:val="00AF3AE6"/>
    <w:rsid w:val="00AF6063"/>
    <w:rsid w:val="00B0012A"/>
    <w:rsid w:val="00B04182"/>
    <w:rsid w:val="00B0757C"/>
    <w:rsid w:val="00B07AE3"/>
    <w:rsid w:val="00B11430"/>
    <w:rsid w:val="00B15BB3"/>
    <w:rsid w:val="00B1655E"/>
    <w:rsid w:val="00B20245"/>
    <w:rsid w:val="00B20598"/>
    <w:rsid w:val="00B215A3"/>
    <w:rsid w:val="00B21BCE"/>
    <w:rsid w:val="00B22822"/>
    <w:rsid w:val="00B23682"/>
    <w:rsid w:val="00B23FA8"/>
    <w:rsid w:val="00B257F2"/>
    <w:rsid w:val="00B25E90"/>
    <w:rsid w:val="00B302F4"/>
    <w:rsid w:val="00B32C03"/>
    <w:rsid w:val="00B353EB"/>
    <w:rsid w:val="00B439C4"/>
    <w:rsid w:val="00B43B7A"/>
    <w:rsid w:val="00B4535E"/>
    <w:rsid w:val="00B51AB7"/>
    <w:rsid w:val="00B524BD"/>
    <w:rsid w:val="00B52A8C"/>
    <w:rsid w:val="00B56C4D"/>
    <w:rsid w:val="00B57BD0"/>
    <w:rsid w:val="00B636A8"/>
    <w:rsid w:val="00B63CD9"/>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E11CF"/>
    <w:rsid w:val="00BE21AB"/>
    <w:rsid w:val="00BE55CB"/>
    <w:rsid w:val="00BF0807"/>
    <w:rsid w:val="00BF1780"/>
    <w:rsid w:val="00BF203B"/>
    <w:rsid w:val="00BF4025"/>
    <w:rsid w:val="00BF617A"/>
    <w:rsid w:val="00C0379D"/>
    <w:rsid w:val="00C03821"/>
    <w:rsid w:val="00C03931"/>
    <w:rsid w:val="00C05FE3"/>
    <w:rsid w:val="00C07008"/>
    <w:rsid w:val="00C148AA"/>
    <w:rsid w:val="00C16158"/>
    <w:rsid w:val="00C16311"/>
    <w:rsid w:val="00C2136D"/>
    <w:rsid w:val="00C214EE"/>
    <w:rsid w:val="00C2314B"/>
    <w:rsid w:val="00C241CA"/>
    <w:rsid w:val="00C2469A"/>
    <w:rsid w:val="00C24971"/>
    <w:rsid w:val="00C26BE5"/>
    <w:rsid w:val="00C26E4D"/>
    <w:rsid w:val="00C27909"/>
    <w:rsid w:val="00C27B03"/>
    <w:rsid w:val="00C3054C"/>
    <w:rsid w:val="00C314E1"/>
    <w:rsid w:val="00C32A18"/>
    <w:rsid w:val="00C34397"/>
    <w:rsid w:val="00C37865"/>
    <w:rsid w:val="00C4095D"/>
    <w:rsid w:val="00C42064"/>
    <w:rsid w:val="00C42630"/>
    <w:rsid w:val="00C51C7B"/>
    <w:rsid w:val="00C557D3"/>
    <w:rsid w:val="00C601D2"/>
    <w:rsid w:val="00C60E7E"/>
    <w:rsid w:val="00C618AA"/>
    <w:rsid w:val="00C641CF"/>
    <w:rsid w:val="00C64E85"/>
    <w:rsid w:val="00C65BCC"/>
    <w:rsid w:val="00C66970"/>
    <w:rsid w:val="00C6744A"/>
    <w:rsid w:val="00C809B0"/>
    <w:rsid w:val="00C83FF2"/>
    <w:rsid w:val="00C8691C"/>
    <w:rsid w:val="00C86C0E"/>
    <w:rsid w:val="00C87858"/>
    <w:rsid w:val="00C933D9"/>
    <w:rsid w:val="00CA168A"/>
    <w:rsid w:val="00CA3085"/>
    <w:rsid w:val="00CA357E"/>
    <w:rsid w:val="00CA44F9"/>
    <w:rsid w:val="00CA4A69"/>
    <w:rsid w:val="00CB2815"/>
    <w:rsid w:val="00CC2180"/>
    <w:rsid w:val="00CC2F37"/>
    <w:rsid w:val="00CC3E0C"/>
    <w:rsid w:val="00CC4372"/>
    <w:rsid w:val="00CC58D3"/>
    <w:rsid w:val="00CC784D"/>
    <w:rsid w:val="00CD09CC"/>
    <w:rsid w:val="00CD1AF8"/>
    <w:rsid w:val="00CD33D7"/>
    <w:rsid w:val="00CE2985"/>
    <w:rsid w:val="00CE3209"/>
    <w:rsid w:val="00CE7B33"/>
    <w:rsid w:val="00CF3443"/>
    <w:rsid w:val="00CF669C"/>
    <w:rsid w:val="00D00089"/>
    <w:rsid w:val="00D0337B"/>
    <w:rsid w:val="00D0340C"/>
    <w:rsid w:val="00D039BA"/>
    <w:rsid w:val="00D0441D"/>
    <w:rsid w:val="00D079B2"/>
    <w:rsid w:val="00D114E9"/>
    <w:rsid w:val="00D123E7"/>
    <w:rsid w:val="00D1682E"/>
    <w:rsid w:val="00D20919"/>
    <w:rsid w:val="00D20CA3"/>
    <w:rsid w:val="00D25B84"/>
    <w:rsid w:val="00D26448"/>
    <w:rsid w:val="00D26938"/>
    <w:rsid w:val="00D274FD"/>
    <w:rsid w:val="00D334B3"/>
    <w:rsid w:val="00D429C6"/>
    <w:rsid w:val="00D45551"/>
    <w:rsid w:val="00D47748"/>
    <w:rsid w:val="00D546FE"/>
    <w:rsid w:val="00D54CC3"/>
    <w:rsid w:val="00D55C94"/>
    <w:rsid w:val="00D56C52"/>
    <w:rsid w:val="00D6041A"/>
    <w:rsid w:val="00D60DAA"/>
    <w:rsid w:val="00D623F8"/>
    <w:rsid w:val="00D633EB"/>
    <w:rsid w:val="00D63581"/>
    <w:rsid w:val="00D64F1F"/>
    <w:rsid w:val="00D65076"/>
    <w:rsid w:val="00D71956"/>
    <w:rsid w:val="00D71FAA"/>
    <w:rsid w:val="00D73A9F"/>
    <w:rsid w:val="00D75D67"/>
    <w:rsid w:val="00D760DF"/>
    <w:rsid w:val="00D81361"/>
    <w:rsid w:val="00D82470"/>
    <w:rsid w:val="00D826B3"/>
    <w:rsid w:val="00D82FF7"/>
    <w:rsid w:val="00D83570"/>
    <w:rsid w:val="00D8382E"/>
    <w:rsid w:val="00D847FE"/>
    <w:rsid w:val="00D92046"/>
    <w:rsid w:val="00D95C4D"/>
    <w:rsid w:val="00D964EA"/>
    <w:rsid w:val="00D966D0"/>
    <w:rsid w:val="00DA0C59"/>
    <w:rsid w:val="00DA1F56"/>
    <w:rsid w:val="00DA3991"/>
    <w:rsid w:val="00DA6FB8"/>
    <w:rsid w:val="00DB0514"/>
    <w:rsid w:val="00DB11E3"/>
    <w:rsid w:val="00DB30E1"/>
    <w:rsid w:val="00DB6AF5"/>
    <w:rsid w:val="00DB71B2"/>
    <w:rsid w:val="00DB7611"/>
    <w:rsid w:val="00DB7E6C"/>
    <w:rsid w:val="00DC1795"/>
    <w:rsid w:val="00DC6AD5"/>
    <w:rsid w:val="00DD5A29"/>
    <w:rsid w:val="00DD5D9D"/>
    <w:rsid w:val="00DE35CB"/>
    <w:rsid w:val="00DE66D8"/>
    <w:rsid w:val="00DF21E9"/>
    <w:rsid w:val="00DF319A"/>
    <w:rsid w:val="00DF3C11"/>
    <w:rsid w:val="00E00F14"/>
    <w:rsid w:val="00E05449"/>
    <w:rsid w:val="00E06386"/>
    <w:rsid w:val="00E070DB"/>
    <w:rsid w:val="00E16E71"/>
    <w:rsid w:val="00E17DA2"/>
    <w:rsid w:val="00E21593"/>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52E0"/>
    <w:rsid w:val="00E77BF6"/>
    <w:rsid w:val="00E81841"/>
    <w:rsid w:val="00E81953"/>
    <w:rsid w:val="00E82344"/>
    <w:rsid w:val="00E84C82"/>
    <w:rsid w:val="00E84D64"/>
    <w:rsid w:val="00E87408"/>
    <w:rsid w:val="00E9052F"/>
    <w:rsid w:val="00E914C4"/>
    <w:rsid w:val="00E934F5"/>
    <w:rsid w:val="00E96961"/>
    <w:rsid w:val="00E96E7B"/>
    <w:rsid w:val="00EA1B3D"/>
    <w:rsid w:val="00EA72EC"/>
    <w:rsid w:val="00EB11CB"/>
    <w:rsid w:val="00EB14B5"/>
    <w:rsid w:val="00EB1C5B"/>
    <w:rsid w:val="00EB1E8F"/>
    <w:rsid w:val="00EB275A"/>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4609"/>
    <w:rsid w:val="00EE5DC3"/>
    <w:rsid w:val="00F003B6"/>
    <w:rsid w:val="00F0096C"/>
    <w:rsid w:val="00F06691"/>
    <w:rsid w:val="00F11BB5"/>
    <w:rsid w:val="00F1417B"/>
    <w:rsid w:val="00F16596"/>
    <w:rsid w:val="00F176FC"/>
    <w:rsid w:val="00F22D20"/>
    <w:rsid w:val="00F23696"/>
    <w:rsid w:val="00F23698"/>
    <w:rsid w:val="00F27936"/>
    <w:rsid w:val="00F333C0"/>
    <w:rsid w:val="00F34B99"/>
    <w:rsid w:val="00F35113"/>
    <w:rsid w:val="00F52DAB"/>
    <w:rsid w:val="00F543F0"/>
    <w:rsid w:val="00F605B6"/>
    <w:rsid w:val="00F64FE8"/>
    <w:rsid w:val="00F67147"/>
    <w:rsid w:val="00F67D9D"/>
    <w:rsid w:val="00F71110"/>
    <w:rsid w:val="00F731A8"/>
    <w:rsid w:val="00F80D88"/>
    <w:rsid w:val="00F81D29"/>
    <w:rsid w:val="00F83FC6"/>
    <w:rsid w:val="00F86102"/>
    <w:rsid w:val="00F876CD"/>
    <w:rsid w:val="00F91C4D"/>
    <w:rsid w:val="00F92FD9"/>
    <w:rsid w:val="00F94929"/>
    <w:rsid w:val="00F96D1B"/>
    <w:rsid w:val="00FA00BB"/>
    <w:rsid w:val="00FA1969"/>
    <w:rsid w:val="00FA3835"/>
    <w:rsid w:val="00FA4F98"/>
    <w:rsid w:val="00FA6684"/>
    <w:rsid w:val="00FA731E"/>
    <w:rsid w:val="00FB2B38"/>
    <w:rsid w:val="00FC3A33"/>
    <w:rsid w:val="00FC6358"/>
    <w:rsid w:val="00FC688D"/>
    <w:rsid w:val="00FD320D"/>
    <w:rsid w:val="00FE02A8"/>
    <w:rsid w:val="00FE23DE"/>
    <w:rsid w:val="00FE4157"/>
    <w:rsid w:val="012810B4"/>
    <w:rsid w:val="024C5D84"/>
    <w:rsid w:val="13236834"/>
    <w:rsid w:val="1B482D2A"/>
    <w:rsid w:val="2C537785"/>
    <w:rsid w:val="33D40315"/>
    <w:rsid w:val="34A65E42"/>
    <w:rsid w:val="376B2DE4"/>
    <w:rsid w:val="3ECE532F"/>
    <w:rsid w:val="477E60C9"/>
    <w:rsid w:val="48E80E2F"/>
    <w:rsid w:val="497C7685"/>
    <w:rsid w:val="5A105AE3"/>
    <w:rsid w:val="5D941F22"/>
    <w:rsid w:val="719B1D9D"/>
    <w:rsid w:val="74A63B94"/>
    <w:rsid w:val="773365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C1DE1F3"/>
  <w15:docId w15:val="{A28A3045-562B-4051-912F-DEC17C4A4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uiPriority="1" w:unhideWhenUsed="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autoRedefine/>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autoRedefine/>
    <w:semiHidden/>
    <w:qFormat/>
    <w:pPr>
      <w:tabs>
        <w:tab w:val="right" w:leader="dot" w:pos="9241"/>
      </w:tabs>
      <w:ind w:firstLineChars="500" w:firstLine="505"/>
      <w:jc w:val="left"/>
    </w:pPr>
    <w:rPr>
      <w:rFonts w:ascii="宋体"/>
      <w:szCs w:val="21"/>
    </w:rPr>
  </w:style>
  <w:style w:type="paragraph" w:styleId="8">
    <w:name w:val="index 8"/>
    <w:basedOn w:val="aff2"/>
    <w:next w:val="aff2"/>
    <w:autoRedefine/>
    <w:qFormat/>
    <w:pPr>
      <w:ind w:left="1680" w:hanging="210"/>
      <w:jc w:val="left"/>
    </w:pPr>
    <w:rPr>
      <w:rFonts w:ascii="Calibri" w:hAnsi="Calibri"/>
      <w:sz w:val="20"/>
      <w:szCs w:val="20"/>
    </w:rPr>
  </w:style>
  <w:style w:type="paragraph" w:styleId="aff6">
    <w:name w:val="Normal Indent"/>
    <w:basedOn w:val="aff2"/>
    <w:qFormat/>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qFormat/>
    <w:pPr>
      <w:ind w:left="1050" w:hanging="210"/>
      <w:jc w:val="left"/>
    </w:pPr>
    <w:rPr>
      <w:rFonts w:ascii="Calibri" w:hAnsi="Calibri"/>
      <w:sz w:val="20"/>
      <w:szCs w:val="20"/>
    </w:rPr>
  </w:style>
  <w:style w:type="paragraph" w:styleId="aff8">
    <w:name w:val="Document Map"/>
    <w:basedOn w:val="aff2"/>
    <w:semiHidden/>
    <w:qFormat/>
    <w:pPr>
      <w:shd w:val="clear" w:color="auto" w:fill="000080"/>
    </w:pPr>
  </w:style>
  <w:style w:type="paragraph" w:styleId="aff9">
    <w:name w:val="annotation text"/>
    <w:basedOn w:val="aff2"/>
    <w:link w:val="affa"/>
    <w:qFormat/>
    <w:pPr>
      <w:jc w:val="left"/>
    </w:pPr>
  </w:style>
  <w:style w:type="paragraph" w:styleId="6">
    <w:name w:val="index 6"/>
    <w:basedOn w:val="aff2"/>
    <w:next w:val="aff2"/>
    <w:autoRedefine/>
    <w:qFormat/>
    <w:pPr>
      <w:ind w:left="1260" w:hanging="210"/>
      <w:jc w:val="left"/>
    </w:pPr>
    <w:rPr>
      <w:rFonts w:ascii="Calibri" w:hAnsi="Calibri"/>
      <w:sz w:val="20"/>
      <w:szCs w:val="20"/>
    </w:rPr>
  </w:style>
  <w:style w:type="paragraph" w:styleId="4">
    <w:name w:val="index 4"/>
    <w:basedOn w:val="aff2"/>
    <w:next w:val="aff2"/>
    <w:autoRedefine/>
    <w:qFormat/>
    <w:pPr>
      <w:ind w:left="840" w:hanging="210"/>
      <w:jc w:val="left"/>
    </w:pPr>
    <w:rPr>
      <w:rFonts w:ascii="Calibri" w:hAnsi="Calibri"/>
      <w:sz w:val="20"/>
      <w:szCs w:val="20"/>
    </w:rPr>
  </w:style>
  <w:style w:type="paragraph" w:styleId="TOC5">
    <w:name w:val="toc 5"/>
    <w:basedOn w:val="aff2"/>
    <w:next w:val="aff2"/>
    <w:autoRedefine/>
    <w:semiHidden/>
    <w:qFormat/>
    <w:pPr>
      <w:tabs>
        <w:tab w:val="right" w:leader="dot" w:pos="9241"/>
      </w:tabs>
      <w:ind w:firstLineChars="300" w:firstLine="300"/>
      <w:jc w:val="left"/>
    </w:pPr>
    <w:rPr>
      <w:rFonts w:ascii="宋体"/>
      <w:szCs w:val="21"/>
    </w:rPr>
  </w:style>
  <w:style w:type="paragraph" w:styleId="TOC3">
    <w:name w:val="toc 3"/>
    <w:basedOn w:val="aff2"/>
    <w:next w:val="aff2"/>
    <w:autoRedefine/>
    <w:uiPriority w:val="39"/>
    <w:qFormat/>
    <w:pPr>
      <w:tabs>
        <w:tab w:val="right" w:leader="dot" w:pos="9241"/>
      </w:tabs>
      <w:ind w:firstLineChars="100" w:firstLine="102"/>
      <w:jc w:val="left"/>
    </w:pPr>
    <w:rPr>
      <w:rFonts w:ascii="宋体"/>
      <w:szCs w:val="21"/>
    </w:rPr>
  </w:style>
  <w:style w:type="paragraph" w:styleId="TOC8">
    <w:name w:val="toc 8"/>
    <w:basedOn w:val="aff2"/>
    <w:next w:val="aff2"/>
    <w:autoRedefine/>
    <w:semiHidden/>
    <w:qFormat/>
    <w:pPr>
      <w:tabs>
        <w:tab w:val="right" w:leader="dot" w:pos="9241"/>
      </w:tabs>
      <w:ind w:firstLineChars="600" w:firstLine="607"/>
      <w:jc w:val="left"/>
    </w:pPr>
    <w:rPr>
      <w:rFonts w:ascii="宋体"/>
      <w:szCs w:val="21"/>
    </w:rPr>
  </w:style>
  <w:style w:type="paragraph" w:styleId="31">
    <w:name w:val="index 3"/>
    <w:basedOn w:val="aff2"/>
    <w:next w:val="aff2"/>
    <w:autoRedefine/>
    <w:qFormat/>
    <w:pPr>
      <w:ind w:left="630" w:hanging="210"/>
      <w:jc w:val="left"/>
    </w:pPr>
    <w:rPr>
      <w:rFonts w:ascii="Calibri" w:hAnsi="Calibri"/>
      <w:sz w:val="20"/>
      <w:szCs w:val="20"/>
    </w:rPr>
  </w:style>
  <w:style w:type="paragraph" w:styleId="affb">
    <w:name w:val="endnote text"/>
    <w:basedOn w:val="aff2"/>
    <w:semiHidden/>
    <w:qFormat/>
    <w:pPr>
      <w:snapToGrid w:val="0"/>
      <w:jc w:val="left"/>
    </w:pPr>
  </w:style>
  <w:style w:type="paragraph" w:styleId="affc">
    <w:name w:val="Balloon Text"/>
    <w:basedOn w:val="aff2"/>
    <w:link w:val="affd"/>
    <w:semiHidden/>
    <w:unhideWhenUsed/>
    <w:qFormat/>
    <w:rPr>
      <w:rFonts w:ascii="宋体"/>
      <w:sz w:val="18"/>
      <w:szCs w:val="18"/>
    </w:rPr>
  </w:style>
  <w:style w:type="paragraph" w:styleId="affe">
    <w:name w:val="footer"/>
    <w:basedOn w:val="aff2"/>
    <w:qFormat/>
    <w:pPr>
      <w:snapToGrid w:val="0"/>
      <w:ind w:rightChars="100" w:right="210"/>
      <w:jc w:val="right"/>
    </w:pPr>
    <w:rPr>
      <w:sz w:val="18"/>
      <w:szCs w:val="18"/>
    </w:rPr>
  </w:style>
  <w:style w:type="paragraph" w:styleId="afff">
    <w:name w:val="header"/>
    <w:basedOn w:val="aff2"/>
    <w:qFormat/>
    <w:pPr>
      <w:snapToGrid w:val="0"/>
      <w:jc w:val="left"/>
    </w:pPr>
    <w:rPr>
      <w:sz w:val="18"/>
      <w:szCs w:val="18"/>
    </w:rPr>
  </w:style>
  <w:style w:type="paragraph" w:styleId="TOC1">
    <w:name w:val="toc 1"/>
    <w:basedOn w:val="aff2"/>
    <w:next w:val="aff2"/>
    <w:autoRedefine/>
    <w:uiPriority w:val="39"/>
    <w:qFormat/>
    <w:pPr>
      <w:tabs>
        <w:tab w:val="right" w:leader="dot" w:pos="9241"/>
      </w:tabs>
      <w:spacing w:beforeLines="25" w:afterLines="25"/>
      <w:jc w:val="left"/>
    </w:pPr>
    <w:rPr>
      <w:rFonts w:ascii="宋体"/>
      <w:szCs w:val="21"/>
    </w:rPr>
  </w:style>
  <w:style w:type="paragraph" w:styleId="TOC4">
    <w:name w:val="toc 4"/>
    <w:basedOn w:val="aff2"/>
    <w:next w:val="aff2"/>
    <w:autoRedefine/>
    <w:semiHidden/>
    <w:qFormat/>
    <w:pPr>
      <w:tabs>
        <w:tab w:val="right" w:leader="dot" w:pos="9241"/>
      </w:tabs>
      <w:ind w:firstLineChars="200" w:firstLine="198"/>
      <w:jc w:val="left"/>
    </w:pPr>
    <w:rPr>
      <w:rFonts w:ascii="宋体"/>
      <w:szCs w:val="21"/>
    </w:rPr>
  </w:style>
  <w:style w:type="paragraph" w:styleId="afff0">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f1"/>
    <w:qFormat/>
    <w:pPr>
      <w:tabs>
        <w:tab w:val="right" w:leader="dot" w:pos="9299"/>
      </w:tabs>
      <w:jc w:val="left"/>
    </w:pPr>
    <w:rPr>
      <w:rFonts w:ascii="宋体"/>
      <w:szCs w:val="21"/>
    </w:rPr>
  </w:style>
  <w:style w:type="paragraph" w:customStyle="1" w:styleId="aff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autoRedefine/>
    <w:semiHidden/>
    <w:qFormat/>
    <w:pPr>
      <w:tabs>
        <w:tab w:val="right" w:leader="dot" w:pos="9241"/>
      </w:tabs>
      <w:ind w:firstLineChars="400" w:firstLine="403"/>
      <w:jc w:val="left"/>
    </w:pPr>
    <w:rPr>
      <w:rFonts w:ascii="宋体"/>
      <w:szCs w:val="21"/>
    </w:rPr>
  </w:style>
  <w:style w:type="paragraph" w:styleId="7">
    <w:name w:val="index 7"/>
    <w:basedOn w:val="aff2"/>
    <w:next w:val="aff2"/>
    <w:autoRedefine/>
    <w:qFormat/>
    <w:pPr>
      <w:ind w:left="1470" w:hanging="210"/>
      <w:jc w:val="left"/>
    </w:pPr>
    <w:rPr>
      <w:rFonts w:ascii="Calibri" w:hAnsi="Calibri"/>
      <w:sz w:val="20"/>
      <w:szCs w:val="20"/>
    </w:rPr>
  </w:style>
  <w:style w:type="paragraph" w:styleId="9">
    <w:name w:val="index 9"/>
    <w:basedOn w:val="aff2"/>
    <w:next w:val="aff2"/>
    <w:autoRedefine/>
    <w:qFormat/>
    <w:pPr>
      <w:ind w:left="1890" w:hanging="210"/>
      <w:jc w:val="left"/>
    </w:pPr>
    <w:rPr>
      <w:rFonts w:ascii="Calibri" w:hAnsi="Calibri"/>
      <w:sz w:val="20"/>
      <w:szCs w:val="20"/>
    </w:rPr>
  </w:style>
  <w:style w:type="paragraph" w:styleId="TOC2">
    <w:name w:val="toc 2"/>
    <w:basedOn w:val="aff2"/>
    <w:next w:val="aff2"/>
    <w:autoRedefine/>
    <w:uiPriority w:val="39"/>
    <w:qFormat/>
    <w:pPr>
      <w:tabs>
        <w:tab w:val="right" w:leader="dot" w:pos="9241"/>
      </w:tabs>
    </w:pPr>
    <w:rPr>
      <w:rFonts w:ascii="宋体"/>
      <w:szCs w:val="21"/>
    </w:rPr>
  </w:style>
  <w:style w:type="paragraph" w:styleId="TOC9">
    <w:name w:val="toc 9"/>
    <w:basedOn w:val="aff2"/>
    <w:next w:val="aff2"/>
    <w:autoRedefine/>
    <w:semiHidden/>
    <w:qFormat/>
    <w:pPr>
      <w:ind w:left="1470"/>
      <w:jc w:val="left"/>
    </w:pPr>
    <w:rPr>
      <w:sz w:val="20"/>
      <w:szCs w:val="20"/>
    </w:rPr>
  </w:style>
  <w:style w:type="paragraph" w:styleId="21">
    <w:name w:val="index 2"/>
    <w:basedOn w:val="aff2"/>
    <w:next w:val="aff2"/>
    <w:autoRedefine/>
    <w:qFormat/>
    <w:pPr>
      <w:ind w:left="420" w:hanging="210"/>
      <w:jc w:val="left"/>
    </w:pPr>
    <w:rPr>
      <w:rFonts w:ascii="Calibri" w:hAnsi="Calibri"/>
      <w:sz w:val="20"/>
      <w:szCs w:val="20"/>
    </w:rPr>
  </w:style>
  <w:style w:type="paragraph" w:styleId="afff2">
    <w:name w:val="annotation subject"/>
    <w:basedOn w:val="aff9"/>
    <w:next w:val="aff9"/>
    <w:link w:val="afff3"/>
    <w:semiHidden/>
    <w:unhideWhenUsed/>
    <w:qFormat/>
    <w:pPr>
      <w:jc w:val="both"/>
    </w:pPr>
    <w:rPr>
      <w:b/>
      <w:bCs/>
      <w:sz w:val="20"/>
      <w:szCs w:val="20"/>
    </w:rPr>
  </w:style>
  <w:style w:type="table" w:styleId="afff4">
    <w:name w:val="Table Grid"/>
    <w:basedOn w:val="aff4"/>
    <w:uiPriority w:val="5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basedOn w:val="aff3"/>
    <w:semiHidden/>
    <w:qFormat/>
    <w:rPr>
      <w:vertAlign w:val="superscript"/>
    </w:rPr>
  </w:style>
  <w:style w:type="character" w:styleId="afff6">
    <w:name w:val="page number"/>
    <w:basedOn w:val="aff3"/>
    <w:qFormat/>
    <w:rPr>
      <w:rFonts w:ascii="Times New Roman" w:eastAsia="宋体" w:hAnsi="Times New Roman"/>
      <w:sz w:val="18"/>
    </w:rPr>
  </w:style>
  <w:style w:type="character" w:styleId="afff7">
    <w:name w:val="Hyperlink"/>
    <w:basedOn w:val="aff3"/>
    <w:uiPriority w:val="99"/>
    <w:qFormat/>
    <w:rPr>
      <w:color w:val="0000FF"/>
      <w:spacing w:val="0"/>
      <w:w w:val="100"/>
      <w:szCs w:val="21"/>
      <w:u w:val="single"/>
    </w:rPr>
  </w:style>
  <w:style w:type="character" w:styleId="afff8">
    <w:name w:val="annotation reference"/>
    <w:basedOn w:val="aff3"/>
    <w:qFormat/>
    <w:rPr>
      <w:sz w:val="21"/>
      <w:szCs w:val="21"/>
    </w:rPr>
  </w:style>
  <w:style w:type="character" w:styleId="afff9">
    <w:name w:val="footnote reference"/>
    <w:basedOn w:val="aff3"/>
    <w:semiHidden/>
    <w:qFormat/>
    <w:rPr>
      <w:vertAlign w:val="superscript"/>
    </w:rPr>
  </w:style>
  <w:style w:type="character" w:customStyle="1" w:styleId="10">
    <w:name w:val="标题 1 字符"/>
    <w:basedOn w:val="aff3"/>
    <w:link w:val="1"/>
    <w:qFormat/>
    <w:rPr>
      <w:rFonts w:eastAsia="楷体_GB2312"/>
      <w:b/>
      <w:bCs/>
      <w:kern w:val="44"/>
      <w:sz w:val="36"/>
      <w:szCs w:val="36"/>
    </w:rPr>
  </w:style>
  <w:style w:type="character" w:customStyle="1" w:styleId="20">
    <w:name w:val="标题 2 字符"/>
    <w:basedOn w:val="aff3"/>
    <w:link w:val="2"/>
    <w:semiHidden/>
    <w:qFormat/>
    <w:rPr>
      <w:rFonts w:asciiTheme="majorHAnsi" w:eastAsiaTheme="majorEastAsia" w:hAnsiTheme="majorHAnsi" w:cstheme="majorBidi"/>
      <w:b/>
      <w:bCs/>
      <w:kern w:val="2"/>
      <w:sz w:val="32"/>
      <w:szCs w:val="32"/>
    </w:rPr>
  </w:style>
  <w:style w:type="character" w:customStyle="1" w:styleId="Char">
    <w:name w:val="段 Char"/>
    <w:basedOn w:val="aff3"/>
    <w:link w:val="afff1"/>
    <w:qFormat/>
    <w:rPr>
      <w:rFonts w:ascii="宋体"/>
      <w:sz w:val="21"/>
      <w:lang w:val="en-US" w:eastAsia="zh-CN" w:bidi="ar-SA"/>
    </w:rPr>
  </w:style>
  <w:style w:type="paragraph" w:customStyle="1" w:styleId="a5">
    <w:name w:val="一级条标题"/>
    <w:next w:val="afff1"/>
    <w:qFormat/>
    <w:pPr>
      <w:numPr>
        <w:ilvl w:val="1"/>
        <w:numId w:val="2"/>
      </w:numPr>
      <w:spacing w:beforeLines="50" w:afterLines="50"/>
      <w:outlineLvl w:val="2"/>
    </w:pPr>
    <w:rPr>
      <w:rFonts w:ascii="黑体" w:eastAsia="黑体"/>
      <w:sz w:val="21"/>
      <w:szCs w:val="21"/>
    </w:rPr>
  </w:style>
  <w:style w:type="paragraph" w:customStyle="1" w:styleId="afffa">
    <w:name w:val="标准书脚_奇数页"/>
    <w:qFormat/>
    <w:pPr>
      <w:spacing w:before="120"/>
      <w:ind w:right="198"/>
      <w:jc w:val="right"/>
    </w:pPr>
    <w:rPr>
      <w:rFonts w:ascii="宋体"/>
      <w:sz w:val="18"/>
      <w:szCs w:val="18"/>
    </w:rPr>
  </w:style>
  <w:style w:type="paragraph" w:customStyle="1" w:styleId="afffb">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1"/>
    <w:qFormat/>
    <w:pPr>
      <w:numPr>
        <w:numId w:val="2"/>
      </w:numPr>
      <w:spacing w:beforeLines="100" w:afterLines="100"/>
      <w:jc w:val="both"/>
      <w:outlineLvl w:val="1"/>
    </w:pPr>
    <w:rPr>
      <w:rFonts w:ascii="黑体" w:eastAsia="黑体"/>
      <w:sz w:val="21"/>
    </w:rPr>
  </w:style>
  <w:style w:type="paragraph" w:customStyle="1" w:styleId="a6">
    <w:name w:val="二级条标题"/>
    <w:basedOn w:val="a5"/>
    <w:next w:val="afff1"/>
    <w:qFormat/>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c">
    <w:name w:val="目次、标准名称标题"/>
    <w:basedOn w:val="aff2"/>
    <w:next w:val="af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qFormat/>
    <w:pPr>
      <w:numPr>
        <w:ilvl w:val="3"/>
      </w:numPr>
      <w:outlineLvl w:val="4"/>
    </w:pPr>
  </w:style>
  <w:style w:type="paragraph" w:customStyle="1" w:styleId="a1">
    <w:name w:val="示例"/>
    <w:next w:val="afffd"/>
    <w:qFormat/>
    <w:pPr>
      <w:widowControl w:val="0"/>
      <w:numPr>
        <w:numId w:val="4"/>
      </w:numPr>
      <w:jc w:val="both"/>
    </w:pPr>
    <w:rPr>
      <w:rFonts w:ascii="宋体"/>
      <w:sz w:val="18"/>
      <w:szCs w:val="18"/>
    </w:rPr>
  </w:style>
  <w:style w:type="paragraph" w:customStyle="1" w:styleId="afffd">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1"/>
    <w:qFormat/>
    <w:pPr>
      <w:numPr>
        <w:ilvl w:val="4"/>
      </w:numPr>
      <w:outlineLvl w:val="5"/>
    </w:pPr>
  </w:style>
  <w:style w:type="paragraph" w:customStyle="1" w:styleId="a9">
    <w:name w:val="五级条标题"/>
    <w:basedOn w:val="a8"/>
    <w:next w:val="afff1"/>
    <w:qFormat/>
    <w:pPr>
      <w:numPr>
        <w:ilvl w:val="5"/>
      </w:numPr>
      <w:outlineLvl w:val="6"/>
    </w:pPr>
  </w:style>
  <w:style w:type="paragraph" w:customStyle="1" w:styleId="aff1">
    <w:name w:val="注："/>
    <w:next w:val="afff1"/>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afterLines="0"/>
      <w:outlineLvl w:val="9"/>
    </w:pPr>
    <w:rPr>
      <w:rFonts w:ascii="宋体" w:eastAsia="宋体"/>
      <w:sz w:val="18"/>
      <w:szCs w:val="18"/>
    </w:rPr>
  </w:style>
  <w:style w:type="paragraph" w:customStyle="1" w:styleId="afffe">
    <w:name w:val="二级无"/>
    <w:basedOn w:val="a6"/>
    <w:qFormat/>
    <w:pPr>
      <w:spacing w:beforeLines="0" w:afterLines="0"/>
    </w:pPr>
    <w:rPr>
      <w:rFonts w:ascii="宋体" w:eastAsia="宋体"/>
    </w:rPr>
  </w:style>
  <w:style w:type="paragraph" w:customStyle="1" w:styleId="affff">
    <w:name w:val="注：（正文）"/>
    <w:basedOn w:val="aff1"/>
    <w:next w:val="afff1"/>
    <w:qFormat/>
  </w:style>
  <w:style w:type="paragraph" w:customStyle="1" w:styleId="a3">
    <w:name w:val="注×：（正文）"/>
    <w:qFormat/>
    <w:pPr>
      <w:numPr>
        <w:numId w:val="9"/>
      </w:numPr>
      <w:jc w:val="both"/>
    </w:pPr>
    <w:rPr>
      <w:rFonts w:ascii="宋体"/>
      <w:sz w:val="18"/>
      <w:szCs w:val="18"/>
    </w:rPr>
  </w:style>
  <w:style w:type="paragraph" w:customStyle="1" w:styleId="affff0">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pPr>
      <w:spacing w:before="120"/>
      <w:ind w:left="221"/>
    </w:pPr>
    <w:rPr>
      <w:rFonts w:ascii="宋体"/>
      <w:sz w:val="18"/>
      <w:szCs w:val="18"/>
    </w:rPr>
  </w:style>
  <w:style w:type="paragraph" w:customStyle="1" w:styleId="affff3">
    <w:name w:val="标准书眉_偶数页"/>
    <w:basedOn w:val="afffb"/>
    <w:next w:val="aff2"/>
    <w:qFormat/>
    <w:pPr>
      <w:jc w:val="left"/>
    </w:pPr>
  </w:style>
  <w:style w:type="paragraph" w:customStyle="1" w:styleId="affff4">
    <w:name w:val="标准书眉一"/>
    <w:qFormat/>
    <w:pPr>
      <w:jc w:val="both"/>
    </w:pPr>
  </w:style>
  <w:style w:type="paragraph" w:customStyle="1" w:styleId="affff5">
    <w:name w:val="参考文献"/>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3"/>
    <w:qFormat/>
    <w:rPr>
      <w:rFonts w:ascii="黑体" w:eastAsia="黑体"/>
      <w:spacing w:val="85"/>
      <w:w w:val="100"/>
      <w:position w:val="3"/>
      <w:sz w:val="28"/>
      <w:szCs w:val="28"/>
    </w:rPr>
  </w:style>
  <w:style w:type="paragraph" w:customStyle="1" w:styleId="affff8">
    <w:name w:val="发布部门"/>
    <w:next w:val="afff1"/>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pPr>
      <w:framePr w:wrap="around"/>
      <w:spacing w:before="370" w:line="400" w:lineRule="exact"/>
    </w:pPr>
    <w:rPr>
      <w:rFonts w:ascii="Times New Roman"/>
      <w:sz w:val="28"/>
      <w:szCs w:val="28"/>
    </w:rPr>
  </w:style>
  <w:style w:type="paragraph" w:customStyle="1" w:styleId="affffd">
    <w:name w:val="封面一致性程度标识"/>
    <w:basedOn w:val="affffc"/>
    <w:qFormat/>
    <w:pPr>
      <w:framePr w:wrap="around"/>
      <w:spacing w:before="440"/>
    </w:pPr>
    <w:rPr>
      <w:rFonts w:ascii="宋体" w:eastAsia="宋体"/>
    </w:rPr>
  </w:style>
  <w:style w:type="paragraph" w:customStyle="1" w:styleId="affffe">
    <w:name w:val="封面标准文稿类别"/>
    <w:basedOn w:val="affffd"/>
    <w:qFormat/>
    <w:pPr>
      <w:framePr w:wrap="around"/>
      <w:spacing w:after="160" w:line="240" w:lineRule="auto"/>
    </w:pPr>
    <w:rPr>
      <w:sz w:val="24"/>
    </w:rPr>
  </w:style>
  <w:style w:type="paragraph" w:customStyle="1" w:styleId="afffff">
    <w:name w:val="封面标准文稿编辑信息"/>
    <w:basedOn w:val="affffe"/>
    <w:qFormat/>
    <w:pPr>
      <w:framePr w:wrap="around"/>
      <w:spacing w:before="180" w:line="180" w:lineRule="exact"/>
    </w:pPr>
    <w:rPr>
      <w:sz w:val="21"/>
    </w:rPr>
  </w:style>
  <w:style w:type="paragraph" w:customStyle="1" w:styleId="afffff0">
    <w:name w:val="封面正文"/>
    <w:qFormat/>
    <w:pPr>
      <w:jc w:val="both"/>
    </w:pPr>
  </w:style>
  <w:style w:type="paragraph" w:customStyle="1" w:styleId="af8">
    <w:name w:val="附录标识"/>
    <w:basedOn w:val="aff2"/>
    <w:next w:val="afff1"/>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1"/>
    <w:next w:val="afff1"/>
    <w:qFormat/>
    <w:pPr>
      <w:ind w:firstLineChars="0" w:firstLine="0"/>
      <w:jc w:val="center"/>
    </w:pPr>
    <w:rPr>
      <w:rFonts w:ascii="黑体" w:eastAsia="黑体"/>
    </w:rPr>
  </w:style>
  <w:style w:type="paragraph" w:customStyle="1" w:styleId="af5">
    <w:name w:val="附录表标号"/>
    <w:basedOn w:val="aff2"/>
    <w:next w:val="afff1"/>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qFormat/>
    <w:pPr>
      <w:numPr>
        <w:ilvl w:val="1"/>
        <w:numId w:val="11"/>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f1"/>
    <w:qFormat/>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2">
    <w:name w:val="附录二级无"/>
    <w:basedOn w:val="afb"/>
    <w:qFormat/>
    <w:pPr>
      <w:tabs>
        <w:tab w:val="clear" w:pos="360"/>
      </w:tabs>
      <w:spacing w:beforeLines="0" w:afterLines="0"/>
    </w:pPr>
    <w:rPr>
      <w:rFonts w:ascii="宋体" w:eastAsia="宋体"/>
      <w:szCs w:val="21"/>
    </w:rPr>
  </w:style>
  <w:style w:type="paragraph" w:customStyle="1" w:styleId="afffff3">
    <w:name w:val="附录公式"/>
    <w:basedOn w:val="afff1"/>
    <w:next w:val="afff1"/>
    <w:link w:val="Char0"/>
    <w:qFormat/>
  </w:style>
  <w:style w:type="character" w:customStyle="1" w:styleId="Char0">
    <w:name w:val="附录公式 Char"/>
    <w:basedOn w:val="Char"/>
    <w:link w:val="afffff3"/>
    <w:qFormat/>
    <w:rPr>
      <w:rFonts w:ascii="宋体"/>
      <w:sz w:val="21"/>
      <w:lang w:val="en-US" w:eastAsia="zh-CN" w:bidi="ar-SA"/>
    </w:rPr>
  </w:style>
  <w:style w:type="paragraph" w:customStyle="1" w:styleId="afffff4">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qFormat/>
    <w:pPr>
      <w:numPr>
        <w:ilvl w:val="4"/>
      </w:numPr>
      <w:outlineLvl w:val="4"/>
    </w:pPr>
  </w:style>
  <w:style w:type="paragraph" w:customStyle="1" w:styleId="afffff5">
    <w:name w:val="附录三级无"/>
    <w:basedOn w:val="afc"/>
    <w:qFormat/>
    <w:pPr>
      <w:tabs>
        <w:tab w:val="clear" w:pos="360"/>
      </w:tabs>
      <w:spacing w:beforeLines="0" w:afterLines="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qFormat/>
    <w:pPr>
      <w:numPr>
        <w:ilvl w:val="5"/>
      </w:numPr>
      <w:outlineLvl w:val="5"/>
    </w:pPr>
  </w:style>
  <w:style w:type="paragraph" w:customStyle="1" w:styleId="afffff6">
    <w:name w:val="附录四级无"/>
    <w:basedOn w:val="afd"/>
    <w:qFormat/>
    <w:pPr>
      <w:tabs>
        <w:tab w:val="clear" w:pos="360"/>
      </w:tabs>
      <w:spacing w:beforeLines="0" w:afterLines="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qFormat/>
    <w:pPr>
      <w:numPr>
        <w:ilvl w:val="1"/>
        <w:numId w:val="13"/>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f1"/>
    <w:qFormat/>
    <w:pPr>
      <w:numPr>
        <w:ilvl w:val="6"/>
      </w:numPr>
      <w:outlineLvl w:val="6"/>
    </w:pPr>
  </w:style>
  <w:style w:type="paragraph" w:customStyle="1" w:styleId="afffff7">
    <w:name w:val="附录五级无"/>
    <w:basedOn w:val="afe"/>
    <w:qFormat/>
    <w:pPr>
      <w:tabs>
        <w:tab w:val="clear" w:pos="360"/>
      </w:tabs>
      <w:spacing w:beforeLines="0" w:afterLines="0"/>
    </w:pPr>
    <w:rPr>
      <w:rFonts w:ascii="宋体" w:eastAsia="宋体"/>
      <w:szCs w:val="21"/>
    </w:rPr>
  </w:style>
  <w:style w:type="paragraph" w:customStyle="1" w:styleId="af9">
    <w:name w:val="附录章标题"/>
    <w:next w:val="afff1"/>
    <w:qFormat/>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f1"/>
    <w:qFormat/>
    <w:pPr>
      <w:numPr>
        <w:ilvl w:val="2"/>
      </w:numPr>
      <w:autoSpaceDN w:val="0"/>
      <w:spacing w:beforeLines="50" w:afterLines="50"/>
      <w:outlineLvl w:val="2"/>
    </w:pPr>
  </w:style>
  <w:style w:type="paragraph" w:customStyle="1" w:styleId="afffff8">
    <w:name w:val="附录一级无"/>
    <w:basedOn w:val="afa"/>
    <w:qFormat/>
    <w:pPr>
      <w:tabs>
        <w:tab w:val="clear" w:pos="360"/>
      </w:tabs>
      <w:spacing w:beforeLines="0" w:afterLines="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9">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pPr>
      <w:framePr w:wrap="around" w:y="15310"/>
      <w:spacing w:line="0" w:lineRule="atLeast"/>
    </w:pPr>
    <w:rPr>
      <w:rFonts w:ascii="黑体" w:eastAsia="黑体"/>
      <w:b w:val="0"/>
    </w:rPr>
  </w:style>
  <w:style w:type="paragraph" w:customStyle="1" w:styleId="affffff">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7"/>
    <w:qFormat/>
    <w:pPr>
      <w:spacing w:beforeLines="0" w:afterLines="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1"/>
    <w:next w:val="afff1"/>
    <w:qFormat/>
    <w:pPr>
      <w:ind w:firstLine="360"/>
    </w:pPr>
    <w:rPr>
      <w:sz w:val="18"/>
    </w:rPr>
  </w:style>
  <w:style w:type="paragraph" w:customStyle="1" w:styleId="a0">
    <w:name w:val="首示例"/>
    <w:next w:val="afff1"/>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qFormat/>
    <w:rPr>
      <w:rFonts w:ascii="宋体" w:hAnsi="宋体"/>
      <w:kern w:val="2"/>
      <w:sz w:val="18"/>
      <w:szCs w:val="18"/>
    </w:rPr>
  </w:style>
  <w:style w:type="paragraph" w:customStyle="1" w:styleId="affffff3">
    <w:name w:val="四级无"/>
    <w:basedOn w:val="a8"/>
    <w:qFormat/>
    <w:pPr>
      <w:spacing w:beforeLines="0" w:afterLines="0"/>
    </w:pPr>
    <w:rPr>
      <w:rFonts w:ascii="宋体" w:eastAsia="宋体"/>
    </w:rPr>
  </w:style>
  <w:style w:type="paragraph" w:customStyle="1" w:styleId="affffff4">
    <w:name w:val="条文脚注"/>
    <w:basedOn w:val="af"/>
    <w:qFormat/>
    <w:pPr>
      <w:numPr>
        <w:numId w:val="0"/>
      </w:numPr>
      <w:jc w:val="both"/>
    </w:pPr>
  </w:style>
  <w:style w:type="paragraph" w:customStyle="1" w:styleId="affffff5">
    <w:name w:val="图标脚注说明"/>
    <w:basedOn w:val="afff1"/>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6">
    <w:name w:val="图的脚注"/>
    <w:next w:val="afff1"/>
    <w:autoRedefine/>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qFormat/>
    <w:pPr>
      <w:spacing w:beforeLines="0" w:afterLines="0"/>
    </w:pPr>
    <w:rPr>
      <w:rFonts w:ascii="宋体" w:eastAsia="宋体"/>
    </w:rPr>
  </w:style>
  <w:style w:type="paragraph" w:customStyle="1" w:styleId="affffff9">
    <w:name w:val="一级无"/>
    <w:basedOn w:val="a5"/>
    <w:qFormat/>
    <w:pPr>
      <w:spacing w:beforeLines="0" w:afterLines="0"/>
    </w:pPr>
    <w:rPr>
      <w:rFonts w:ascii="宋体" w:eastAsia="宋体"/>
    </w:rPr>
  </w:style>
  <w:style w:type="character" w:customStyle="1" w:styleId="13">
    <w:name w:val="已访问的超链接1"/>
    <w:basedOn w:val="aff3"/>
    <w:qFormat/>
    <w:rPr>
      <w:color w:val="800080"/>
      <w:u w:val="single"/>
    </w:rPr>
  </w:style>
  <w:style w:type="paragraph" w:customStyle="1" w:styleId="af7">
    <w:name w:val="正文表标题"/>
    <w:next w:val="afff1"/>
    <w:qFormat/>
    <w:pPr>
      <w:numPr>
        <w:numId w:val="16"/>
      </w:numPr>
      <w:tabs>
        <w:tab w:val="left" w:pos="360"/>
      </w:tabs>
      <w:spacing w:beforeLines="50" w:afterLines="50"/>
      <w:jc w:val="center"/>
    </w:pPr>
    <w:rPr>
      <w:rFonts w:ascii="黑体" w:eastAsia="黑体"/>
      <w:sz w:val="21"/>
    </w:rPr>
  </w:style>
  <w:style w:type="paragraph" w:customStyle="1" w:styleId="affffffa">
    <w:name w:val="正文公式编号制表符"/>
    <w:basedOn w:val="afff1"/>
    <w:next w:val="afff1"/>
    <w:qFormat/>
    <w:pPr>
      <w:ind w:firstLineChars="0" w:firstLine="0"/>
    </w:pPr>
  </w:style>
  <w:style w:type="paragraph" w:customStyle="1" w:styleId="af4">
    <w:name w:val="正文图标题"/>
    <w:next w:val="afff1"/>
    <w:qFormat/>
    <w:pPr>
      <w:numPr>
        <w:numId w:val="17"/>
      </w:numPr>
      <w:tabs>
        <w:tab w:val="left" w:pos="360"/>
      </w:tabs>
      <w:spacing w:beforeLines="50" w:afterLines="50"/>
      <w:jc w:val="center"/>
    </w:pPr>
    <w:rPr>
      <w:rFonts w:ascii="黑体" w:eastAsia="黑体"/>
      <w:sz w:val="21"/>
    </w:rPr>
  </w:style>
  <w:style w:type="paragraph" w:customStyle="1" w:styleId="affffffb">
    <w:name w:val="终结线"/>
    <w:basedOn w:val="aff2"/>
    <w:qFormat/>
    <w:pPr>
      <w:framePr w:hSpace="181" w:vSpace="181" w:wrap="around" w:vAnchor="text" w:hAnchor="margin" w:xAlign="center" w:y="285"/>
    </w:pPr>
  </w:style>
  <w:style w:type="paragraph" w:customStyle="1" w:styleId="affffffc">
    <w:name w:val="其他发布日期"/>
    <w:basedOn w:val="affff9"/>
    <w:qFormat/>
    <w:pPr>
      <w:framePr w:wrap="around" w:vAnchor="page" w:hAnchor="text" w:x="1419"/>
    </w:pPr>
  </w:style>
  <w:style w:type="paragraph" w:customStyle="1" w:styleId="affffffd">
    <w:name w:val="其他实施日期"/>
    <w:basedOn w:val="affffff1"/>
    <w:qFormat/>
    <w:pPr>
      <w:framePr w:wrap="around"/>
    </w:pPr>
  </w:style>
  <w:style w:type="paragraph" w:customStyle="1" w:styleId="23">
    <w:name w:val="封面标准名称2"/>
    <w:basedOn w:val="affffb"/>
    <w:qFormat/>
    <w:pPr>
      <w:framePr w:wrap="around" w:y="4469"/>
      <w:spacing w:beforeLines="630"/>
    </w:pPr>
  </w:style>
  <w:style w:type="paragraph" w:customStyle="1" w:styleId="24">
    <w:name w:val="封面标准英文名称2"/>
    <w:basedOn w:val="affffc"/>
    <w:qFormat/>
    <w:pPr>
      <w:framePr w:wrap="around" w:y="4469"/>
    </w:pPr>
  </w:style>
  <w:style w:type="paragraph" w:customStyle="1" w:styleId="25">
    <w:name w:val="封面一致性程度标识2"/>
    <w:basedOn w:val="affffd"/>
    <w:qFormat/>
    <w:pPr>
      <w:framePr w:wrap="around" w:y="4469"/>
    </w:pPr>
  </w:style>
  <w:style w:type="paragraph" w:customStyle="1" w:styleId="26">
    <w:name w:val="封面标准文稿类别2"/>
    <w:basedOn w:val="affffe"/>
    <w:qFormat/>
    <w:pPr>
      <w:framePr w:wrap="around" w:y="4469"/>
    </w:pPr>
  </w:style>
  <w:style w:type="paragraph" w:customStyle="1" w:styleId="27">
    <w:name w:val="封面标准文稿编辑信息2"/>
    <w:basedOn w:val="afffff"/>
    <w:qFormat/>
    <w:pPr>
      <w:framePr w:wrap="around" w:y="4469"/>
    </w:pPr>
  </w:style>
  <w:style w:type="paragraph" w:customStyle="1" w:styleId="affffffe">
    <w:name w:val="标准文件_段"/>
    <w:link w:val="Char2"/>
    <w:autoRedefine/>
    <w:qFormat/>
    <w:pPr>
      <w:autoSpaceDE w:val="0"/>
      <w:autoSpaceDN w:val="0"/>
      <w:adjustRightInd w:val="0"/>
      <w:snapToGrid w:val="0"/>
      <w:spacing w:line="276" w:lineRule="auto"/>
      <w:ind w:rightChars="-50" w:right="-105"/>
      <w:jc w:val="both"/>
    </w:pPr>
    <w:rPr>
      <w:rFonts w:ascii="宋体"/>
      <w:spacing w:val="2"/>
      <w:sz w:val="21"/>
    </w:rPr>
  </w:style>
  <w:style w:type="paragraph" w:customStyle="1" w:styleId="TOC10">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d">
    <w:name w:val="批注框文本 字符"/>
    <w:basedOn w:val="aff3"/>
    <w:link w:val="affc"/>
    <w:semiHidden/>
    <w:qFormat/>
    <w:rPr>
      <w:rFonts w:ascii="宋体"/>
      <w:kern w:val="2"/>
      <w:sz w:val="18"/>
      <w:szCs w:val="18"/>
    </w:rPr>
  </w:style>
  <w:style w:type="character" w:customStyle="1" w:styleId="affa">
    <w:name w:val="批注文字 字符"/>
    <w:basedOn w:val="aff3"/>
    <w:link w:val="aff9"/>
    <w:qFormat/>
    <w:rPr>
      <w:kern w:val="2"/>
      <w:sz w:val="21"/>
      <w:szCs w:val="24"/>
    </w:rPr>
  </w:style>
  <w:style w:type="paragraph" w:customStyle="1" w:styleId="afffffff">
    <w:name w:val="文件正文"/>
    <w:basedOn w:val="aff2"/>
    <w:qFormat/>
    <w:pPr>
      <w:spacing w:line="480" w:lineRule="exact"/>
      <w:ind w:firstLine="560"/>
    </w:pPr>
    <w:rPr>
      <w:rFonts w:eastAsia="仿宋_GB2312" w:cs="宋体"/>
      <w:sz w:val="28"/>
      <w:szCs w:val="20"/>
    </w:rPr>
  </w:style>
  <w:style w:type="character" w:customStyle="1" w:styleId="30">
    <w:name w:val="标题 3 字符"/>
    <w:basedOn w:val="aff3"/>
    <w:link w:val="3"/>
    <w:semiHidden/>
    <w:qFormat/>
    <w:rPr>
      <w:b/>
      <w:bCs/>
      <w:kern w:val="2"/>
      <w:sz w:val="32"/>
      <w:szCs w:val="32"/>
    </w:rPr>
  </w:style>
  <w:style w:type="paragraph" w:customStyle="1" w:styleId="afffffff0">
    <w:name w:val="文件大标题"/>
    <w:next w:val="aff2"/>
    <w:qFormat/>
    <w:pPr>
      <w:spacing w:before="240" w:after="120" w:line="480" w:lineRule="exact"/>
      <w:jc w:val="center"/>
    </w:pPr>
    <w:rPr>
      <w:rFonts w:eastAsia="黑体"/>
      <w:kern w:val="2"/>
      <w:sz w:val="36"/>
      <w:szCs w:val="44"/>
    </w:rPr>
  </w:style>
  <w:style w:type="character" w:customStyle="1" w:styleId="afff3">
    <w:name w:val="批注主题 字符"/>
    <w:basedOn w:val="affa"/>
    <w:link w:val="afff2"/>
    <w:semiHidden/>
    <w:qFormat/>
    <w:rPr>
      <w:b/>
      <w:bCs/>
      <w:kern w:val="2"/>
      <w:sz w:val="21"/>
      <w:szCs w:val="24"/>
    </w:rPr>
  </w:style>
  <w:style w:type="paragraph" w:customStyle="1" w:styleId="14">
    <w:name w:val="修订1"/>
    <w:hidden/>
    <w:uiPriority w:val="99"/>
    <w:unhideWhenUsed/>
    <w:qFormat/>
    <w:rPr>
      <w:kern w:val="2"/>
      <w:sz w:val="21"/>
      <w:szCs w:val="24"/>
    </w:rPr>
  </w:style>
  <w:style w:type="character" w:customStyle="1" w:styleId="Char2">
    <w:name w:val="标准文件_段 Char"/>
    <w:link w:val="affffffe"/>
    <w:qFormat/>
    <w:rPr>
      <w:rFonts w:ascii="宋体"/>
      <w:spacing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2dc5c3-2240-4253-8afe-895ccd86bb9d}"/>
        <w:category>
          <w:name w:val="常规"/>
          <w:gallery w:val="placeholder"/>
        </w:category>
        <w:types>
          <w:type w:val="bbPlcHdr"/>
        </w:types>
        <w:behaviors>
          <w:behavior w:val="content"/>
        </w:behaviors>
        <w:guid w:val="{882DC5C3-2240-4253-8AFE-895CCD86BB9D}"/>
      </w:docPartPr>
      <w:docPartBody>
        <w:p w:rsidR="002A03A0" w:rsidRDefault="002A03A0">
          <w:pPr>
            <w:pStyle w:val="833279BD183C494EAECF376C23350107"/>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4A2" w:rsidRDefault="00BD64A2">
      <w:pPr>
        <w:spacing w:line="240" w:lineRule="auto"/>
      </w:pPr>
      <w:r>
        <w:separator/>
      </w:r>
    </w:p>
  </w:endnote>
  <w:endnote w:type="continuationSeparator" w:id="0">
    <w:p w:rsidR="00BD64A2" w:rsidRDefault="00BD64A2">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4A2" w:rsidRDefault="00BD64A2">
      <w:pPr>
        <w:spacing w:after="0"/>
      </w:pPr>
      <w:r>
        <w:separator/>
      </w:r>
    </w:p>
  </w:footnote>
  <w:footnote w:type="continuationSeparator" w:id="0">
    <w:p w:rsidR="00BD64A2" w:rsidRDefault="00BD64A2">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065"/>
    <w:rsid w:val="00050205"/>
    <w:rsid w:val="002A03A0"/>
    <w:rsid w:val="0051243F"/>
    <w:rsid w:val="00531E9D"/>
    <w:rsid w:val="0072739D"/>
    <w:rsid w:val="00785065"/>
    <w:rsid w:val="008E64BB"/>
    <w:rsid w:val="00BC79E1"/>
    <w:rsid w:val="00BD64A2"/>
    <w:rsid w:val="00BD71A7"/>
    <w:rsid w:val="00C41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33279BD183C494EAECF376C23350107">
    <w:name w:val="833279BD183C494EAECF376C23350107"/>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1070</Words>
  <Characters>6102</Characters>
  <Application>Microsoft Office Word</Application>
  <DocSecurity>0</DocSecurity>
  <Lines>50</Lines>
  <Paragraphs>14</Paragraphs>
  <ScaleCrop>false</ScaleCrop>
  <Company>zle</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3</cp:revision>
  <cp:lastPrinted>2023-10-13T11:01:00Z</cp:lastPrinted>
  <dcterms:created xsi:type="dcterms:W3CDTF">2025-07-21T10:10:00Z</dcterms:created>
  <dcterms:modified xsi:type="dcterms:W3CDTF">2025-07-23T01:58:00Z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eyJoZGlkIjoiZjVhNGJiMWVmZTg4ZjFhYWZhYWFiMzBkODkwYWRkZmUiLCJ1c2VySWQiOiIxNjM0MTA0MDUzIn0=</vt:lpwstr>
  </property>
  <property fmtid="{D5CDD505-2E9C-101B-9397-08002B2CF9AE}" pid="3" name="KSOProductBuildVer">
    <vt:lpwstr>2052-12.1.0.19302</vt:lpwstr>
  </property>
  <property fmtid="{D5CDD505-2E9C-101B-9397-08002B2CF9AE}" pid="4" name="ICV">
    <vt:lpwstr>6AA30B8F619940AB82783B645F1B143A_13</vt:lpwstr>
  </property>
</Properties>
</file>