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173414">
        <w:tc>
          <w:tcPr>
            <w:tcW w:w="509" w:type="dxa"/>
          </w:tcPr>
          <w:p w:rsidR="00173414" w:rsidRDefault="00186C62">
            <w:pPr>
              <w:pStyle w:val="affff5"/>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rsidR="00173414" w:rsidRDefault="00186C62">
            <w:pPr>
              <w:pStyle w:val="affff5"/>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hint="eastAsia"/>
                <w:sz w:val="21"/>
                <w:szCs w:val="21"/>
              </w:rPr>
              <w:t>27.120.99</w:t>
            </w:r>
            <w:r>
              <w:rPr>
                <w:rFonts w:ascii="黑体" w:eastAsia="黑体" w:hAnsi="黑体"/>
                <w:sz w:val="21"/>
                <w:szCs w:val="21"/>
              </w:rPr>
              <w:fldChar w:fldCharType="end"/>
            </w:r>
            <w:bookmarkEnd w:id="0"/>
          </w:p>
        </w:tc>
      </w:tr>
      <w:tr w:rsidR="00173414">
        <w:tc>
          <w:tcPr>
            <w:tcW w:w="509" w:type="dxa"/>
          </w:tcPr>
          <w:p w:rsidR="00173414" w:rsidRDefault="00186C62">
            <w:pPr>
              <w:pStyle w:val="affff5"/>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tbl>
            <w:tblPr>
              <w:tblStyle w:val="affffc"/>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173414">
              <w:trPr>
                <w:trHeight w:hRule="exact" w:val="1021"/>
              </w:trPr>
              <w:tc>
                <w:tcPr>
                  <w:tcW w:w="9242" w:type="dxa"/>
                  <w:vAlign w:val="center"/>
                </w:tcPr>
                <w:p w:rsidR="00173414" w:rsidRDefault="00186C62" w:rsidP="003B7373">
                  <w:pPr>
                    <w:pStyle w:val="afffff5"/>
                    <w:framePr w:w="0" w:hRule="auto" w:wrap="auto" w:hAnchor="text" w:xAlign="left" w:yAlign="inline" w:anchorLock="0"/>
                    <w:ind w:left="420" w:right="624"/>
                    <w:rPr>
                      <w:rFonts w:ascii="宋体" w:hAnsi="宋体"/>
                      <w:sz w:val="28"/>
                      <w:szCs w:val="28"/>
                    </w:rPr>
                  </w:pPr>
                  <w:r>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sz w:val="21"/>
                      <w:szCs w:val="21"/>
                    </w:rPr>
                    <w:t xml:space="preserve"> </w:t>
                  </w:r>
                  <w:r>
                    <w:fldChar w:fldCharType="begin">
                      <w:ffData>
                        <w:name w:val="c1"/>
                        <w:enabled/>
                        <w:calcOnExit w:val="0"/>
                        <w:textInput>
                          <w:maxLength w:val="7"/>
                        </w:textInput>
                      </w:ffData>
                    </w:fldChar>
                  </w:r>
                  <w:bookmarkStart w:id="1" w:name="c1"/>
                  <w:r>
                    <w:instrText xml:space="preserve"> FORMTEXT </w:instrText>
                  </w:r>
                  <w:r>
                    <w:fldChar w:fldCharType="separate"/>
                  </w:r>
                  <w:r>
                    <w:t>CNS</w:t>
                  </w:r>
                  <w:r>
                    <w:fldChar w:fldCharType="end"/>
                  </w:r>
                  <w:bookmarkEnd w:id="1"/>
                </w:p>
              </w:tc>
            </w:tr>
          </w:tbl>
          <w:p w:rsidR="00173414" w:rsidRDefault="00186C62">
            <w:pPr>
              <w:pStyle w:val="affff5"/>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hint="eastAsia"/>
                <w:sz w:val="21"/>
                <w:szCs w:val="21"/>
              </w:rPr>
              <w:t>F 64</w:t>
            </w:r>
            <w:r>
              <w:rPr>
                <w:rFonts w:ascii="黑体" w:eastAsia="黑体" w:hAnsi="黑体"/>
                <w:sz w:val="21"/>
                <w:szCs w:val="21"/>
              </w:rPr>
              <w:fldChar w:fldCharType="end"/>
            </w:r>
            <w:bookmarkEnd w:id="2"/>
          </w:p>
        </w:tc>
      </w:tr>
    </w:tbl>
    <w:bookmarkStart w:id="3" w:name="_Hlk26473981"/>
    <w:p w:rsidR="00173414" w:rsidRDefault="00186C62">
      <w:pPr>
        <w:pStyle w:val="afffff6"/>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Pr>
          <w:rFonts w:ascii="黑体" w:eastAsia="黑体" w:hint="eastAsia"/>
          <w:b w:val="0"/>
          <w:w w:val="100"/>
          <w:sz w:val="48"/>
        </w:rPr>
        <w:t>中国核学会</w:t>
      </w:r>
      <w:r>
        <w:rPr>
          <w:rFonts w:ascii="黑体" w:eastAsia="黑体"/>
          <w:b w:val="0"/>
          <w:w w:val="100"/>
          <w:sz w:val="48"/>
        </w:rPr>
        <w:fldChar w:fldCharType="end"/>
      </w:r>
      <w:bookmarkEnd w:id="4"/>
      <w:r>
        <w:rPr>
          <w:rFonts w:ascii="黑体" w:eastAsia="黑体" w:hint="eastAsia"/>
          <w:b w:val="0"/>
          <w:w w:val="100"/>
          <w:sz w:val="48"/>
        </w:rPr>
        <w:t>团体</w:t>
      </w:r>
      <w:r>
        <w:rPr>
          <w:rFonts w:ascii="黑体" w:eastAsia="黑体" w:hAnsi="黑体" w:hint="eastAsia"/>
          <w:b w:val="0"/>
          <w:bCs w:val="0"/>
          <w:w w:val="100"/>
          <w:sz w:val="48"/>
          <w:szCs w:val="48"/>
        </w:rPr>
        <w:t>标准</w:t>
      </w:r>
    </w:p>
    <w:bookmarkEnd w:id="3"/>
    <w:p w:rsidR="00173414" w:rsidRDefault="00186C62">
      <w:pPr>
        <w:pStyle w:val="affffffffff8"/>
        <w:framePr w:wrap="auto"/>
      </w:pPr>
      <w:r>
        <w:t>T/</w:t>
      </w:r>
      <w:r>
        <w:fldChar w:fldCharType="begin">
          <w:ffData>
            <w:name w:val="STANDAR_TYPE"/>
            <w:enabled/>
            <w:calcOnExit w:val="0"/>
            <w:textInput>
              <w:default w:val="XXX"/>
            </w:textInput>
          </w:ffData>
        </w:fldChar>
      </w:r>
      <w:bookmarkStart w:id="5" w:name="STANDAR_TYPE"/>
      <w:r>
        <w:instrText xml:space="preserve"> FORMTEXT </w:instrText>
      </w:r>
      <w:r>
        <w:fldChar w:fldCharType="separate"/>
      </w:r>
      <w:r>
        <w:t>CNS</w:t>
      </w:r>
      <w:r>
        <w:fldChar w:fldCharType="end"/>
      </w:r>
      <w:bookmarkEnd w:id="5"/>
      <w:r>
        <w:t xml:space="preserve"> </w:t>
      </w:r>
      <w:r>
        <w:fldChar w:fldCharType="begin">
          <w:ffData>
            <w:name w:val="NSTD_CODE_F"/>
            <w:enabled/>
            <w:calcOnExit w:val="0"/>
            <w:textInput>
              <w:default w:val="XXXX"/>
            </w:textInput>
          </w:ffData>
        </w:fldChar>
      </w:r>
      <w:bookmarkStart w:id="6" w:name="NSTD_CODE_F"/>
      <w:r>
        <w:instrText xml:space="preserve"> FORMTEXT </w:instrText>
      </w:r>
      <w:r>
        <w:fldChar w:fldCharType="separate"/>
      </w:r>
      <w:r>
        <w:t>XXXX</w:t>
      </w:r>
      <w:r>
        <w:fldChar w:fldCharType="end"/>
      </w:r>
      <w:bookmarkEnd w:id="6"/>
      <w:r>
        <w:rPr>
          <w:rFonts w:hAnsi="黑体"/>
        </w:rPr>
        <w:t>—</w:t>
      </w:r>
      <w:r>
        <w:fldChar w:fldCharType="begin">
          <w:ffData>
            <w:name w:val="NSTD_CODE_B"/>
            <w:enabled/>
            <w:calcOnExit w:val="0"/>
            <w:textInput>
              <w:default w:val="XXXX"/>
            </w:textInput>
          </w:ffData>
        </w:fldChar>
      </w:r>
      <w:bookmarkStart w:id="7" w:name="NSTD_CODE_B"/>
      <w:r>
        <w:instrText xml:space="preserve"> FORMTEXT </w:instrText>
      </w:r>
      <w:r>
        <w:fldChar w:fldCharType="separate"/>
      </w:r>
      <w:r>
        <w:t>XXXX</w:t>
      </w:r>
      <w:r>
        <w:fldChar w:fldCharType="end"/>
      </w:r>
      <w:bookmarkEnd w:id="7"/>
    </w:p>
    <w:p w:rsidR="00173414" w:rsidRDefault="00186C62">
      <w:pPr>
        <w:pStyle w:val="affffffffff9"/>
        <w:framePr w:wrap="auto"/>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8"/>
    </w:p>
    <w:p w:rsidR="00173414" w:rsidRDefault="00186C62">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rsidR="00173414" w:rsidRDefault="00173414">
      <w:pPr>
        <w:pStyle w:val="afffff6"/>
        <w:framePr w:w="9639" w:h="6976" w:hRule="exact" w:hSpace="0" w:vSpace="0" w:wrap="around" w:hAnchor="page" w:y="6408"/>
        <w:jc w:val="center"/>
        <w:rPr>
          <w:rFonts w:ascii="黑体" w:eastAsia="黑体" w:hAnsi="黑体"/>
          <w:b w:val="0"/>
          <w:bCs w:val="0"/>
          <w:w w:val="100"/>
        </w:rPr>
      </w:pPr>
    </w:p>
    <w:p w:rsidR="00173414" w:rsidRDefault="00186C62">
      <w:pPr>
        <w:pStyle w:val="affffffffffa"/>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高温气冷堆核能供热厂选址基本准则</w:t>
      </w:r>
      <w:r>
        <w:fldChar w:fldCharType="end"/>
      </w:r>
      <w:bookmarkEnd w:id="9"/>
    </w:p>
    <w:p w:rsidR="00173414" w:rsidRDefault="00173414">
      <w:pPr>
        <w:framePr w:w="9639" w:h="6974" w:hRule="exact" w:wrap="around" w:vAnchor="page" w:hAnchor="page" w:x="1419" w:y="6408" w:anchorLock="1"/>
        <w:ind w:left="-1418"/>
      </w:pPr>
    </w:p>
    <w:p w:rsidR="00173414" w:rsidRDefault="00186C62">
      <w:pPr>
        <w:pStyle w:val="afffffffe"/>
        <w:framePr w:w="9639" w:h="6974" w:hRule="exact" w:wrap="around" w:vAnchor="page" w:hAnchor="page" w:x="1419" w:y="6408" w:anchorLock="1"/>
        <w:textAlignment w:val="bottom"/>
        <w:rPr>
          <w:rFonts w:eastAsia="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10" w:name="ESTD_NAME"/>
      <w:r>
        <w:rPr>
          <w:rFonts w:eastAsia="黑体"/>
          <w:szCs w:val="28"/>
        </w:rPr>
        <w:instrText xml:space="preserve"> FORMTEXT </w:instrText>
      </w:r>
      <w:r>
        <w:rPr>
          <w:rFonts w:eastAsia="黑体"/>
          <w:szCs w:val="28"/>
        </w:rPr>
      </w:r>
      <w:r>
        <w:rPr>
          <w:rFonts w:eastAsia="黑体"/>
          <w:szCs w:val="28"/>
        </w:rPr>
        <w:fldChar w:fldCharType="separate"/>
      </w:r>
      <w:r>
        <w:rPr>
          <w:rFonts w:eastAsia="黑体"/>
          <w:szCs w:val="28"/>
        </w:rPr>
        <w:t xml:space="preserve">Basic </w:t>
      </w:r>
      <w:r>
        <w:rPr>
          <w:rFonts w:eastAsia="黑体" w:hint="eastAsia"/>
          <w:szCs w:val="28"/>
        </w:rPr>
        <w:t>criteria</w:t>
      </w:r>
      <w:r>
        <w:rPr>
          <w:rFonts w:eastAsia="黑体"/>
          <w:szCs w:val="28"/>
        </w:rPr>
        <w:t xml:space="preserve"> for </w:t>
      </w:r>
      <w:r>
        <w:rPr>
          <w:rFonts w:eastAsia="黑体" w:hint="eastAsia"/>
          <w:szCs w:val="28"/>
        </w:rPr>
        <w:t>s</w:t>
      </w:r>
      <w:r>
        <w:rPr>
          <w:rFonts w:eastAsia="黑体"/>
          <w:szCs w:val="28"/>
        </w:rPr>
        <w:t xml:space="preserve">ite </w:t>
      </w:r>
      <w:r>
        <w:rPr>
          <w:rFonts w:eastAsia="黑体" w:hint="eastAsia"/>
          <w:szCs w:val="28"/>
        </w:rPr>
        <w:t>s</w:t>
      </w:r>
      <w:r>
        <w:rPr>
          <w:rFonts w:eastAsia="黑体"/>
          <w:szCs w:val="28"/>
        </w:rPr>
        <w:t xml:space="preserve">election of </w:t>
      </w:r>
      <w:r>
        <w:rPr>
          <w:rFonts w:eastAsia="黑体" w:hint="eastAsia"/>
          <w:szCs w:val="28"/>
        </w:rPr>
        <w:t>h</w:t>
      </w:r>
      <w:r>
        <w:rPr>
          <w:rFonts w:eastAsia="黑体"/>
          <w:szCs w:val="28"/>
        </w:rPr>
        <w:t>igh</w:t>
      </w:r>
      <w:r>
        <w:rPr>
          <w:rFonts w:eastAsia="黑体" w:hint="eastAsia"/>
          <w:szCs w:val="28"/>
        </w:rPr>
        <w:t>-t</w:t>
      </w:r>
      <w:r>
        <w:rPr>
          <w:rFonts w:eastAsia="黑体"/>
          <w:szCs w:val="28"/>
        </w:rPr>
        <w:t xml:space="preserve">emperature </w:t>
      </w:r>
      <w:r>
        <w:rPr>
          <w:rFonts w:eastAsia="黑体" w:hint="eastAsia"/>
          <w:szCs w:val="28"/>
        </w:rPr>
        <w:t>g</w:t>
      </w:r>
      <w:r>
        <w:rPr>
          <w:rFonts w:eastAsia="黑体"/>
          <w:szCs w:val="28"/>
        </w:rPr>
        <w:t xml:space="preserve">as-cooled </w:t>
      </w:r>
      <w:r>
        <w:rPr>
          <w:rFonts w:eastAsia="黑体" w:hint="eastAsia"/>
          <w:szCs w:val="28"/>
        </w:rPr>
        <w:t>r</w:t>
      </w:r>
      <w:r>
        <w:rPr>
          <w:rFonts w:eastAsia="黑体"/>
          <w:szCs w:val="28"/>
        </w:rPr>
        <w:t xml:space="preserve">eactor </w:t>
      </w:r>
      <w:r>
        <w:rPr>
          <w:rFonts w:eastAsia="黑体" w:hint="eastAsia"/>
          <w:szCs w:val="28"/>
        </w:rPr>
        <w:t>n</w:t>
      </w:r>
      <w:r>
        <w:rPr>
          <w:rFonts w:eastAsia="黑体"/>
          <w:szCs w:val="28"/>
        </w:rPr>
        <w:t xml:space="preserve">uclear </w:t>
      </w:r>
      <w:r>
        <w:rPr>
          <w:rFonts w:eastAsia="黑体" w:hint="eastAsia"/>
          <w:szCs w:val="28"/>
        </w:rPr>
        <w:t>h</w:t>
      </w:r>
      <w:r>
        <w:rPr>
          <w:rFonts w:eastAsia="黑体"/>
          <w:szCs w:val="28"/>
        </w:rPr>
        <w:t xml:space="preserve">eating </w:t>
      </w:r>
      <w:r>
        <w:rPr>
          <w:rFonts w:eastAsia="黑体" w:hint="eastAsia"/>
          <w:szCs w:val="28"/>
        </w:rPr>
        <w:t>p</w:t>
      </w:r>
      <w:r>
        <w:rPr>
          <w:rFonts w:eastAsia="黑体"/>
          <w:szCs w:val="28"/>
        </w:rPr>
        <w:t>lant</w:t>
      </w:r>
      <w:r>
        <w:rPr>
          <w:rFonts w:eastAsia="黑体"/>
          <w:szCs w:val="28"/>
        </w:rPr>
        <w:fldChar w:fldCharType="end"/>
      </w:r>
      <w:bookmarkEnd w:id="10"/>
    </w:p>
    <w:p w:rsidR="00173414" w:rsidRDefault="00173414">
      <w:pPr>
        <w:framePr w:w="9639" w:h="6974" w:hRule="exact" w:wrap="around" w:vAnchor="page" w:hAnchor="page" w:x="1419" w:y="6408" w:anchorLock="1"/>
        <w:spacing w:line="760" w:lineRule="exact"/>
        <w:ind w:left="-1418"/>
      </w:pPr>
    </w:p>
    <w:p w:rsidR="00173414" w:rsidRDefault="00173414">
      <w:pPr>
        <w:pStyle w:val="afffffffe"/>
        <w:framePr w:w="9639" w:h="6974" w:hRule="exact" w:wrap="around" w:vAnchor="page" w:hAnchor="page" w:x="1419" w:y="6408" w:anchorLock="1"/>
        <w:textAlignment w:val="bottom"/>
        <w:rPr>
          <w:rFonts w:eastAsia="黑体"/>
          <w:szCs w:val="28"/>
        </w:rPr>
      </w:pPr>
    </w:p>
    <w:p w:rsidR="00173414" w:rsidRDefault="00186C62">
      <w:pPr>
        <w:pStyle w:val="afffffffe"/>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sidR="00A04C07">
        <w:rPr>
          <w:sz w:val="24"/>
          <w:szCs w:val="28"/>
        </w:rPr>
      </w:r>
      <w:r w:rsidR="00A04C07">
        <w:rPr>
          <w:sz w:val="24"/>
          <w:szCs w:val="28"/>
        </w:rPr>
        <w:fldChar w:fldCharType="separate"/>
      </w:r>
      <w:r>
        <w:rPr>
          <w:sz w:val="24"/>
          <w:szCs w:val="28"/>
        </w:rPr>
        <w:fldChar w:fldCharType="end"/>
      </w:r>
      <w:bookmarkEnd w:id="11"/>
    </w:p>
    <w:p w:rsidR="00173414" w:rsidRDefault="00186C62">
      <w:pPr>
        <w:pStyle w:val="afffffffe"/>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r>
      <w:r>
        <w:rPr>
          <w:sz w:val="21"/>
          <w:szCs w:val="28"/>
        </w:rPr>
        <w:fldChar w:fldCharType="separate"/>
      </w:r>
      <w:r w:rsidR="003B7373" w:rsidRPr="003B7373">
        <w:rPr>
          <w:rFonts w:hint="eastAsia"/>
          <w:sz w:val="21"/>
          <w:szCs w:val="28"/>
        </w:rPr>
        <w:t>本稿完成日期：</w:t>
      </w:r>
      <w:r w:rsidR="003B7373" w:rsidRPr="003B7373">
        <w:rPr>
          <w:sz w:val="21"/>
          <w:szCs w:val="28"/>
        </w:rPr>
        <w:t>2025</w:t>
      </w:r>
      <w:r w:rsidR="003B7373" w:rsidRPr="003B7373">
        <w:rPr>
          <w:sz w:val="21"/>
          <w:szCs w:val="28"/>
        </w:rPr>
        <w:t>年</w:t>
      </w:r>
      <w:r w:rsidR="003B7373" w:rsidRPr="003B7373">
        <w:rPr>
          <w:sz w:val="21"/>
          <w:szCs w:val="28"/>
        </w:rPr>
        <w:t>7</w:t>
      </w:r>
      <w:r w:rsidR="003B7373" w:rsidRPr="003B7373">
        <w:rPr>
          <w:sz w:val="21"/>
          <w:szCs w:val="28"/>
        </w:rPr>
        <w:t>月</w:t>
      </w:r>
      <w:r>
        <w:rPr>
          <w:sz w:val="21"/>
          <w:szCs w:val="28"/>
        </w:rPr>
        <w:fldChar w:fldCharType="end"/>
      </w:r>
      <w:bookmarkEnd w:id="12"/>
    </w:p>
    <w:p w:rsidR="00173414" w:rsidRDefault="00186C62">
      <w:pPr>
        <w:pStyle w:val="afffffffe"/>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sidR="00A04C07">
        <w:rPr>
          <w:b/>
          <w:sz w:val="21"/>
          <w:szCs w:val="28"/>
        </w:rPr>
      </w:r>
      <w:r w:rsidR="00A04C07">
        <w:rPr>
          <w:b/>
          <w:sz w:val="21"/>
          <w:szCs w:val="28"/>
        </w:rPr>
        <w:fldChar w:fldCharType="separate"/>
      </w:r>
      <w:r>
        <w:rPr>
          <w:b/>
          <w:sz w:val="21"/>
          <w:szCs w:val="28"/>
        </w:rPr>
        <w:fldChar w:fldCharType="end"/>
      </w:r>
      <w:bookmarkEnd w:id="13"/>
    </w:p>
    <w:p w:rsidR="00173414" w:rsidRDefault="00186C62">
      <w:pPr>
        <w:pStyle w:val="affffffffff6"/>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bookmarkStart w:id="15" w:name="_GoBack"/>
      <w:bookmarkEnd w:id="15"/>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6"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7"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rPr>
          <w:rFonts w:hint="eastAsia"/>
        </w:rPr>
        <w:t>发布</w:t>
      </w:r>
    </w:p>
    <w:p w:rsidR="00173414" w:rsidRDefault="00186C62">
      <w:pPr>
        <w:pStyle w:val="affffffffff7"/>
        <w:framePr w:wrap="around" w:y="14176"/>
      </w:pPr>
      <w:r>
        <w:rPr>
          <w:rFonts w:ascii="黑体"/>
        </w:rPr>
        <w:fldChar w:fldCharType="begin">
          <w:ffData>
            <w:name w:val="CROT_DATE_Y"/>
            <w:enabled/>
            <w:calcOnExit w:val="0"/>
            <w:textInput>
              <w:default w:val="XXXX"/>
              <w:maxLength w:val="4"/>
            </w:textInput>
          </w:ffData>
        </w:fldChar>
      </w:r>
      <w:bookmarkStart w:id="18"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8"/>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9"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9"/>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20"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20"/>
      <w:r>
        <w:rPr>
          <w:rFonts w:hint="eastAsia"/>
        </w:rPr>
        <w:t>实施</w:t>
      </w:r>
    </w:p>
    <w:p w:rsidR="00173414" w:rsidRDefault="00186C62">
      <w:pPr>
        <w:pStyle w:val="affffffffe"/>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21"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w w:val="100"/>
          <w:sz w:val="28"/>
        </w:rPr>
        <w:t>中国核学会</w:t>
      </w:r>
      <w:r>
        <w:rPr>
          <w:rFonts w:hAnsi="黑体"/>
          <w:w w:val="100"/>
          <w:sz w:val="28"/>
        </w:rPr>
        <w:fldChar w:fldCharType="end"/>
      </w:r>
      <w:bookmarkEnd w:id="21"/>
      <w:r>
        <w:rPr>
          <w:rFonts w:ascii="Times New Roman"/>
          <w:w w:val="100"/>
          <w:sz w:val="28"/>
        </w:rPr>
        <w:t>  </w:t>
      </w:r>
      <w:r>
        <w:rPr>
          <w:rStyle w:val="affffffffffff"/>
          <w:rFonts w:hAnsi="黑体" w:hint="eastAsia"/>
          <w:position w:val="0"/>
        </w:rPr>
        <w:t>发</w:t>
      </w:r>
      <w:r>
        <w:rPr>
          <w:rStyle w:val="affffffffffff"/>
          <w:rFonts w:hAnsi="黑体" w:hint="eastAsia"/>
          <w:spacing w:val="0"/>
          <w:position w:val="0"/>
        </w:rPr>
        <w:t>布</w:t>
      </w:r>
    </w:p>
    <w:p w:rsidR="00173414" w:rsidRDefault="00186C62">
      <w:pPr>
        <w:rPr>
          <w:rFonts w:ascii="宋体" w:hAnsi="宋体"/>
          <w:sz w:val="28"/>
          <w:szCs w:val="28"/>
        </w:rPr>
        <w:sectPr w:rsidR="00173414">
          <w:headerReference w:type="even" r:id="rId11"/>
          <w:headerReference w:type="default" r:id="rId12"/>
          <w:footerReference w:type="even" r:id="rId13"/>
          <w:headerReference w:type="first" r:id="rId14"/>
          <w:footerReference w:type="first" r:id="rId15"/>
          <w:type w:val="continuous"/>
          <w:pgSz w:w="11906" w:h="16838"/>
          <w:pgMar w:top="567" w:right="1134" w:bottom="1134"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rsidR="00173414" w:rsidRDefault="00186C62">
      <w:pPr>
        <w:pStyle w:val="afffffff0"/>
        <w:spacing w:after="360"/>
      </w:pPr>
      <w:bookmarkStart w:id="22" w:name="BookMark1"/>
      <w:bookmarkStart w:id="23" w:name="_Toc178060286"/>
      <w:r>
        <w:rPr>
          <w:rFonts w:hint="eastAsia"/>
          <w:spacing w:val="320"/>
        </w:rPr>
        <w:lastRenderedPageBreak/>
        <w:t>目</w:t>
      </w:r>
      <w:r>
        <w:rPr>
          <w:rFonts w:hint="eastAsia"/>
        </w:rPr>
        <w:t>次</w:t>
      </w:r>
    </w:p>
    <w:p w:rsidR="00173414" w:rsidRDefault="00186C62">
      <w:pPr>
        <w:pStyle w:val="TOC1"/>
        <w:tabs>
          <w:tab w:val="right" w:leader="dot" w:pos="9354"/>
        </w:tabs>
      </w:pPr>
      <w:r>
        <w:rPr>
          <w:rFonts w:hint="eastAsia"/>
        </w:rPr>
        <w:fldChar w:fldCharType="begin"/>
      </w:r>
      <w:r>
        <w:rPr>
          <w:rFonts w:hint="eastAsia"/>
        </w:rPr>
        <w:instrText>TOC \o "1-1" \t "标准文件_一级条标题,2,标准文件_附录一级条标题,2," \h</w:instrText>
      </w:r>
      <w:r>
        <w:rPr>
          <w:rFonts w:hint="eastAsia"/>
        </w:rPr>
        <w:fldChar w:fldCharType="separate"/>
      </w:r>
      <w:hyperlink w:anchor="_Toc11933" w:history="1">
        <w:r>
          <w:rPr>
            <w:rFonts w:hint="eastAsia"/>
          </w:rPr>
          <w:t>前言</w:t>
        </w:r>
        <w:r>
          <w:tab/>
        </w:r>
        <w:r>
          <w:fldChar w:fldCharType="begin"/>
        </w:r>
        <w:r>
          <w:instrText xml:space="preserve"> PAGEREF _Toc11933 \h </w:instrText>
        </w:r>
        <w:r>
          <w:fldChar w:fldCharType="separate"/>
        </w:r>
        <w:r>
          <w:t>II</w:t>
        </w:r>
        <w:r>
          <w:fldChar w:fldCharType="end"/>
        </w:r>
      </w:hyperlink>
    </w:p>
    <w:p w:rsidR="00173414" w:rsidRDefault="00A04C07">
      <w:pPr>
        <w:pStyle w:val="TOC1"/>
        <w:tabs>
          <w:tab w:val="right" w:leader="dot" w:pos="9354"/>
        </w:tabs>
      </w:pPr>
      <w:hyperlink w:anchor="_Toc10371" w:history="1">
        <w:r w:rsidR="00186C62">
          <w:rPr>
            <w:rFonts w:ascii="黑体" w:eastAsia="黑体" w:hint="eastAsia"/>
          </w:rPr>
          <w:t xml:space="preserve">1  </w:t>
        </w:r>
        <w:r w:rsidR="00186C62">
          <w:rPr>
            <w:rFonts w:hint="eastAsia"/>
          </w:rPr>
          <w:t>范围</w:t>
        </w:r>
        <w:r w:rsidR="00186C62">
          <w:tab/>
        </w:r>
        <w:r w:rsidR="00186C62">
          <w:fldChar w:fldCharType="begin"/>
        </w:r>
        <w:r w:rsidR="00186C62">
          <w:instrText xml:space="preserve"> PAGEREF _Toc10371 \h </w:instrText>
        </w:r>
        <w:r w:rsidR="00186C62">
          <w:fldChar w:fldCharType="separate"/>
        </w:r>
        <w:r w:rsidR="00186C62">
          <w:t>1</w:t>
        </w:r>
        <w:r w:rsidR="00186C62">
          <w:fldChar w:fldCharType="end"/>
        </w:r>
      </w:hyperlink>
    </w:p>
    <w:p w:rsidR="00173414" w:rsidRDefault="00A04C07">
      <w:pPr>
        <w:pStyle w:val="TOC1"/>
        <w:tabs>
          <w:tab w:val="right" w:leader="dot" w:pos="9354"/>
        </w:tabs>
      </w:pPr>
      <w:hyperlink w:anchor="_Toc26702" w:history="1">
        <w:r w:rsidR="00186C62">
          <w:rPr>
            <w:rFonts w:ascii="黑体" w:eastAsia="黑体" w:hint="eastAsia"/>
            <w:szCs w:val="44"/>
          </w:rPr>
          <w:t xml:space="preserve">2  </w:t>
        </w:r>
        <w:r w:rsidR="00186C62">
          <w:rPr>
            <w:rFonts w:hint="eastAsia"/>
          </w:rPr>
          <w:t>规范性引用文件</w:t>
        </w:r>
        <w:r w:rsidR="00186C62">
          <w:tab/>
        </w:r>
        <w:r w:rsidR="00186C62">
          <w:fldChar w:fldCharType="begin"/>
        </w:r>
        <w:r w:rsidR="00186C62">
          <w:instrText xml:space="preserve"> PAGEREF _Toc26702 \h </w:instrText>
        </w:r>
        <w:r w:rsidR="00186C62">
          <w:fldChar w:fldCharType="separate"/>
        </w:r>
        <w:r w:rsidR="00186C62">
          <w:t>1</w:t>
        </w:r>
        <w:r w:rsidR="00186C62">
          <w:fldChar w:fldCharType="end"/>
        </w:r>
      </w:hyperlink>
    </w:p>
    <w:p w:rsidR="00173414" w:rsidRDefault="00A04C07">
      <w:pPr>
        <w:pStyle w:val="TOC1"/>
        <w:tabs>
          <w:tab w:val="right" w:leader="dot" w:pos="9354"/>
        </w:tabs>
      </w:pPr>
      <w:hyperlink w:anchor="_Toc2861" w:history="1">
        <w:r w:rsidR="00186C62">
          <w:rPr>
            <w:rFonts w:ascii="黑体" w:eastAsia="黑体" w:hint="eastAsia"/>
          </w:rPr>
          <w:t xml:space="preserve">3  </w:t>
        </w:r>
        <w:r w:rsidR="00186C62">
          <w:rPr>
            <w:rFonts w:hint="eastAsia"/>
          </w:rPr>
          <w:t>术语和定义</w:t>
        </w:r>
        <w:r w:rsidR="00186C62">
          <w:tab/>
        </w:r>
        <w:r w:rsidR="00186C62">
          <w:fldChar w:fldCharType="begin"/>
        </w:r>
        <w:r w:rsidR="00186C62">
          <w:instrText xml:space="preserve"> PAGEREF _Toc2861 \h </w:instrText>
        </w:r>
        <w:r w:rsidR="00186C62">
          <w:fldChar w:fldCharType="separate"/>
        </w:r>
        <w:r w:rsidR="00186C62">
          <w:t>1</w:t>
        </w:r>
        <w:r w:rsidR="00186C62">
          <w:fldChar w:fldCharType="end"/>
        </w:r>
      </w:hyperlink>
    </w:p>
    <w:p w:rsidR="00173414" w:rsidRDefault="00A04C07">
      <w:pPr>
        <w:pStyle w:val="TOC1"/>
        <w:tabs>
          <w:tab w:val="right" w:leader="dot" w:pos="9354"/>
        </w:tabs>
      </w:pPr>
      <w:hyperlink w:anchor="_Toc31681" w:history="1">
        <w:r w:rsidR="00186C62">
          <w:rPr>
            <w:rFonts w:ascii="黑体" w:eastAsia="黑体" w:hint="eastAsia"/>
          </w:rPr>
          <w:t xml:space="preserve">4  </w:t>
        </w:r>
        <w:r w:rsidR="00186C62">
          <w:t>基本规定</w:t>
        </w:r>
        <w:r w:rsidR="00186C62">
          <w:tab/>
        </w:r>
        <w:r w:rsidR="00186C62">
          <w:fldChar w:fldCharType="begin"/>
        </w:r>
        <w:r w:rsidR="00186C62">
          <w:instrText xml:space="preserve"> PAGEREF _Toc31681 \h </w:instrText>
        </w:r>
        <w:r w:rsidR="00186C62">
          <w:fldChar w:fldCharType="separate"/>
        </w:r>
        <w:r w:rsidR="00186C62">
          <w:t>2</w:t>
        </w:r>
        <w:r w:rsidR="00186C62">
          <w:fldChar w:fldCharType="end"/>
        </w:r>
      </w:hyperlink>
    </w:p>
    <w:p w:rsidR="00173414" w:rsidRDefault="00A04C07">
      <w:pPr>
        <w:pStyle w:val="TOC1"/>
        <w:tabs>
          <w:tab w:val="right" w:leader="dot" w:pos="9354"/>
        </w:tabs>
      </w:pPr>
      <w:hyperlink w:anchor="_Toc24220" w:history="1">
        <w:r w:rsidR="00186C62">
          <w:rPr>
            <w:rFonts w:ascii="黑体" w:eastAsia="黑体" w:hint="eastAsia"/>
            <w:szCs w:val="32"/>
          </w:rPr>
          <w:t xml:space="preserve">5  </w:t>
        </w:r>
        <w:r w:rsidR="00186C62">
          <w:t>选址基本要素</w:t>
        </w:r>
        <w:r w:rsidR="00186C62">
          <w:tab/>
        </w:r>
        <w:r w:rsidR="00186C62">
          <w:fldChar w:fldCharType="begin"/>
        </w:r>
        <w:r w:rsidR="00186C62">
          <w:instrText xml:space="preserve"> PAGEREF _Toc24220 \h </w:instrText>
        </w:r>
        <w:r w:rsidR="00186C62">
          <w:fldChar w:fldCharType="separate"/>
        </w:r>
        <w:r w:rsidR="00186C62">
          <w:t>2</w:t>
        </w:r>
        <w:r w:rsidR="00186C62">
          <w:fldChar w:fldCharType="end"/>
        </w:r>
      </w:hyperlink>
    </w:p>
    <w:p w:rsidR="00173414" w:rsidRDefault="00A04C07">
      <w:pPr>
        <w:pStyle w:val="TOC1"/>
        <w:tabs>
          <w:tab w:val="right" w:leader="dot" w:pos="9354"/>
        </w:tabs>
      </w:pPr>
      <w:hyperlink w:anchor="_Toc6064" w:history="1">
        <w:r w:rsidR="00186C62">
          <w:rPr>
            <w:rFonts w:ascii="黑体" w:eastAsia="黑体" w:hint="eastAsia"/>
            <w:szCs w:val="32"/>
          </w:rPr>
          <w:t xml:space="preserve">6  </w:t>
        </w:r>
        <w:r w:rsidR="00186C62">
          <w:t>选址</w:t>
        </w:r>
        <w:r w:rsidR="00186C62">
          <w:rPr>
            <w:rFonts w:hint="eastAsia"/>
          </w:rPr>
          <w:t>评价原则</w:t>
        </w:r>
        <w:r w:rsidR="00186C62">
          <w:tab/>
        </w:r>
        <w:r w:rsidR="00186C62">
          <w:fldChar w:fldCharType="begin"/>
        </w:r>
        <w:r w:rsidR="00186C62">
          <w:instrText xml:space="preserve"> PAGEREF _Toc6064 \h </w:instrText>
        </w:r>
        <w:r w:rsidR="00186C62">
          <w:fldChar w:fldCharType="separate"/>
        </w:r>
        <w:r w:rsidR="00186C62">
          <w:t>3</w:t>
        </w:r>
        <w:r w:rsidR="00186C62">
          <w:fldChar w:fldCharType="end"/>
        </w:r>
      </w:hyperlink>
    </w:p>
    <w:p w:rsidR="00173414" w:rsidRDefault="00A04C07">
      <w:pPr>
        <w:pStyle w:val="TOC2"/>
        <w:tabs>
          <w:tab w:val="clear" w:pos="9344"/>
          <w:tab w:val="right" w:leader="dot" w:pos="9354"/>
        </w:tabs>
      </w:pPr>
      <w:hyperlink w:anchor="_Toc2358" w:history="1">
        <w:r w:rsidR="00186C62">
          <w:rPr>
            <w:rFonts w:ascii="黑体" w:eastAsia="黑体" w:hAnsi="Times New Roman" w:hint="eastAsia"/>
            <w:kern w:val="0"/>
            <w14:scene3d>
              <w14:camera w14:prst="orthographicFront"/>
              <w14:lightRig w14:rig="threePt" w14:dir="t">
                <w14:rot w14:lat="0" w14:lon="0" w14:rev="0"/>
              </w14:lightRig>
            </w14:scene3d>
          </w:rPr>
          <w:t xml:space="preserve">6.1  </w:t>
        </w:r>
        <w:r w:rsidR="00186C62">
          <w:t>供</w:t>
        </w:r>
        <w:r w:rsidR="00186C62">
          <w:rPr>
            <w:rFonts w:hint="eastAsia"/>
          </w:rPr>
          <w:t>热保障</w:t>
        </w:r>
        <w:r w:rsidR="00186C62">
          <w:t>评价</w:t>
        </w:r>
        <w:r w:rsidR="00186C62">
          <w:tab/>
        </w:r>
        <w:r w:rsidR="00186C62">
          <w:fldChar w:fldCharType="begin"/>
        </w:r>
        <w:r w:rsidR="00186C62">
          <w:instrText xml:space="preserve"> PAGEREF _Toc2358 \h </w:instrText>
        </w:r>
        <w:r w:rsidR="00186C62">
          <w:fldChar w:fldCharType="separate"/>
        </w:r>
        <w:r w:rsidR="00186C62">
          <w:t>3</w:t>
        </w:r>
        <w:r w:rsidR="00186C62">
          <w:fldChar w:fldCharType="end"/>
        </w:r>
      </w:hyperlink>
    </w:p>
    <w:p w:rsidR="00173414" w:rsidRDefault="00A04C07">
      <w:pPr>
        <w:pStyle w:val="TOC2"/>
        <w:tabs>
          <w:tab w:val="clear" w:pos="9344"/>
          <w:tab w:val="right" w:leader="dot" w:pos="9354"/>
        </w:tabs>
      </w:pPr>
      <w:hyperlink w:anchor="_Toc22862" w:history="1">
        <w:r w:rsidR="00186C62">
          <w:rPr>
            <w:rFonts w:ascii="黑体" w:eastAsia="黑体" w:hAnsi="Times New Roman" w:hint="eastAsia"/>
            <w:kern w:val="0"/>
            <w14:scene3d>
              <w14:camera w14:prst="orthographicFront"/>
              <w14:lightRig w14:rig="threePt" w14:dir="t">
                <w14:rot w14:lat="0" w14:lon="0" w14:rev="0"/>
              </w14:lightRig>
            </w14:scene3d>
          </w:rPr>
          <w:t xml:space="preserve">6.2  </w:t>
        </w:r>
        <w:r w:rsidR="00186C62">
          <w:t>厂址安全评价</w:t>
        </w:r>
        <w:r w:rsidR="00186C62">
          <w:tab/>
        </w:r>
        <w:r w:rsidR="00186C62">
          <w:fldChar w:fldCharType="begin"/>
        </w:r>
        <w:r w:rsidR="00186C62">
          <w:instrText xml:space="preserve"> PAGEREF _Toc22862 \h </w:instrText>
        </w:r>
        <w:r w:rsidR="00186C62">
          <w:fldChar w:fldCharType="separate"/>
        </w:r>
        <w:r w:rsidR="00186C62">
          <w:t>3</w:t>
        </w:r>
        <w:r w:rsidR="00186C62">
          <w:fldChar w:fldCharType="end"/>
        </w:r>
      </w:hyperlink>
    </w:p>
    <w:p w:rsidR="00173414" w:rsidRDefault="00A04C07">
      <w:pPr>
        <w:pStyle w:val="TOC2"/>
        <w:tabs>
          <w:tab w:val="clear" w:pos="9344"/>
          <w:tab w:val="right" w:leader="dot" w:pos="9354"/>
        </w:tabs>
      </w:pPr>
      <w:hyperlink w:anchor="_Toc19001" w:history="1">
        <w:r w:rsidR="00186C62">
          <w:rPr>
            <w:rFonts w:ascii="黑体" w:eastAsia="黑体" w:hAnsi="Times New Roman" w:hint="eastAsia"/>
            <w:kern w:val="0"/>
            <w14:scene3d>
              <w14:camera w14:prst="orthographicFront"/>
              <w14:lightRig w14:rig="threePt" w14:dir="t">
                <w14:rot w14:lat="0" w14:lon="0" w14:rev="0"/>
              </w14:lightRig>
            </w14:scene3d>
          </w:rPr>
          <w:t xml:space="preserve">6.3  </w:t>
        </w:r>
        <w:r w:rsidR="00186C62">
          <w:t>环境影响评价</w:t>
        </w:r>
        <w:r w:rsidR="00186C62">
          <w:tab/>
        </w:r>
        <w:r w:rsidR="00186C62">
          <w:fldChar w:fldCharType="begin"/>
        </w:r>
        <w:r w:rsidR="00186C62">
          <w:instrText xml:space="preserve"> PAGEREF _Toc19001 \h </w:instrText>
        </w:r>
        <w:r w:rsidR="00186C62">
          <w:fldChar w:fldCharType="separate"/>
        </w:r>
        <w:r w:rsidR="00186C62">
          <w:t>5</w:t>
        </w:r>
        <w:r w:rsidR="00186C62">
          <w:fldChar w:fldCharType="end"/>
        </w:r>
      </w:hyperlink>
    </w:p>
    <w:p w:rsidR="00173414" w:rsidRDefault="00A04C07">
      <w:pPr>
        <w:pStyle w:val="TOC2"/>
        <w:tabs>
          <w:tab w:val="clear" w:pos="9344"/>
          <w:tab w:val="right" w:leader="dot" w:pos="9354"/>
        </w:tabs>
      </w:pPr>
      <w:hyperlink w:anchor="_Toc9810" w:history="1">
        <w:r w:rsidR="00186C62">
          <w:rPr>
            <w:rFonts w:ascii="黑体" w:eastAsia="黑体" w:hAnsi="Times New Roman" w:hint="eastAsia"/>
            <w:kern w:val="0"/>
            <w14:scene3d>
              <w14:camera w14:prst="orthographicFront"/>
              <w14:lightRig w14:rig="threePt" w14:dir="t">
                <w14:rot w14:lat="0" w14:lon="0" w14:rev="0"/>
              </w14:lightRig>
            </w14:scene3d>
          </w:rPr>
          <w:t xml:space="preserve">6.4  </w:t>
        </w:r>
        <w:r w:rsidR="00186C62">
          <w:t>工程方案评价</w:t>
        </w:r>
        <w:r w:rsidR="00186C62">
          <w:tab/>
        </w:r>
        <w:r w:rsidR="00186C62">
          <w:fldChar w:fldCharType="begin"/>
        </w:r>
        <w:r w:rsidR="00186C62">
          <w:instrText xml:space="preserve"> PAGEREF _Toc9810 \h </w:instrText>
        </w:r>
        <w:r w:rsidR="00186C62">
          <w:fldChar w:fldCharType="separate"/>
        </w:r>
        <w:r w:rsidR="00186C62">
          <w:t>6</w:t>
        </w:r>
        <w:r w:rsidR="00186C62">
          <w:fldChar w:fldCharType="end"/>
        </w:r>
      </w:hyperlink>
    </w:p>
    <w:p w:rsidR="00173414" w:rsidRDefault="00A04C07">
      <w:pPr>
        <w:pStyle w:val="TOC2"/>
        <w:tabs>
          <w:tab w:val="clear" w:pos="9344"/>
          <w:tab w:val="right" w:leader="dot" w:pos="9354"/>
        </w:tabs>
      </w:pPr>
      <w:hyperlink w:anchor="_Toc20009" w:history="1">
        <w:r w:rsidR="00186C62">
          <w:rPr>
            <w:rFonts w:ascii="黑体" w:eastAsia="黑体" w:hAnsi="Times New Roman" w:hint="eastAsia"/>
            <w:kern w:val="0"/>
            <w14:scene3d>
              <w14:camera w14:prst="orthographicFront"/>
              <w14:lightRig w14:rig="threePt" w14:dir="t">
                <w14:rot w14:lat="0" w14:lon="0" w14:rev="0"/>
              </w14:lightRig>
            </w14:scene3d>
          </w:rPr>
          <w:t xml:space="preserve">6.5  </w:t>
        </w:r>
        <w:r w:rsidR="00186C62">
          <w:t>经济性评价</w:t>
        </w:r>
        <w:r w:rsidR="00186C62">
          <w:tab/>
        </w:r>
        <w:r w:rsidR="00186C62">
          <w:fldChar w:fldCharType="begin"/>
        </w:r>
        <w:r w:rsidR="00186C62">
          <w:instrText xml:space="preserve"> PAGEREF _Toc20009 \h </w:instrText>
        </w:r>
        <w:r w:rsidR="00186C62">
          <w:fldChar w:fldCharType="separate"/>
        </w:r>
        <w:r w:rsidR="00186C62">
          <w:t>6</w:t>
        </w:r>
        <w:r w:rsidR="00186C62">
          <w:fldChar w:fldCharType="end"/>
        </w:r>
      </w:hyperlink>
    </w:p>
    <w:p w:rsidR="00173414" w:rsidRDefault="00A04C07">
      <w:pPr>
        <w:pStyle w:val="TOC1"/>
        <w:tabs>
          <w:tab w:val="right" w:leader="dot" w:pos="9354"/>
        </w:tabs>
      </w:pPr>
      <w:hyperlink w:anchor="_Toc2099" w:history="1">
        <w:r w:rsidR="00186C62">
          <w:rPr>
            <w:rFonts w:hint="eastAsia"/>
          </w:rPr>
          <w:t>附录A</w:t>
        </w:r>
        <w:r w:rsidR="00186C62">
          <w:t xml:space="preserve"> </w:t>
        </w:r>
        <w:r w:rsidR="00186C62">
          <w:rPr>
            <w:rFonts w:hint="eastAsia"/>
          </w:rPr>
          <w:t>（资料性 ）</w:t>
        </w:r>
        <w:r w:rsidR="00186C62">
          <w:t xml:space="preserve"> </w:t>
        </w:r>
        <w:r w:rsidR="00186C62">
          <w:rPr>
            <w:rFonts w:hint="eastAsia"/>
          </w:rPr>
          <w:t>高温气冷堆核能供热厂初步可行性研究阶段工作程序</w:t>
        </w:r>
        <w:r w:rsidR="00186C62">
          <w:tab/>
        </w:r>
        <w:r w:rsidR="00186C62">
          <w:fldChar w:fldCharType="begin"/>
        </w:r>
        <w:r w:rsidR="00186C62">
          <w:instrText xml:space="preserve"> PAGEREF _Toc2099 \h </w:instrText>
        </w:r>
        <w:r w:rsidR="00186C62">
          <w:fldChar w:fldCharType="separate"/>
        </w:r>
        <w:r w:rsidR="00186C62">
          <w:t>7</w:t>
        </w:r>
        <w:r w:rsidR="00186C62">
          <w:fldChar w:fldCharType="end"/>
        </w:r>
      </w:hyperlink>
    </w:p>
    <w:p w:rsidR="00173414" w:rsidRDefault="00A04C07">
      <w:pPr>
        <w:pStyle w:val="TOC1"/>
        <w:tabs>
          <w:tab w:val="right" w:leader="dot" w:pos="9354"/>
        </w:tabs>
      </w:pPr>
      <w:hyperlink w:anchor="_Toc21403" w:history="1">
        <w:r w:rsidR="00186C62">
          <w:rPr>
            <w:rFonts w:hint="eastAsia"/>
          </w:rPr>
          <w:t>附录B</w:t>
        </w:r>
        <w:r w:rsidR="00186C62">
          <w:t xml:space="preserve"> </w:t>
        </w:r>
        <w:r w:rsidR="00186C62">
          <w:rPr>
            <w:rFonts w:hint="eastAsia"/>
          </w:rPr>
          <w:t>（资料性 ）</w:t>
        </w:r>
        <w:r w:rsidR="00186C62">
          <w:t xml:space="preserve"> </w:t>
        </w:r>
        <w:r w:rsidR="00186C62">
          <w:rPr>
            <w:rFonts w:hint="eastAsia"/>
          </w:rPr>
          <w:t>高温气冷堆核能供热厂可行性研究阶段工作程序</w:t>
        </w:r>
        <w:r w:rsidR="00186C62">
          <w:tab/>
        </w:r>
        <w:r w:rsidR="00186C62">
          <w:fldChar w:fldCharType="begin"/>
        </w:r>
        <w:r w:rsidR="00186C62">
          <w:instrText xml:space="preserve"> PAGEREF _Toc21403 \h </w:instrText>
        </w:r>
        <w:r w:rsidR="00186C62">
          <w:fldChar w:fldCharType="separate"/>
        </w:r>
        <w:r w:rsidR="00186C62">
          <w:t>8</w:t>
        </w:r>
        <w:r w:rsidR="00186C62">
          <w:fldChar w:fldCharType="end"/>
        </w:r>
      </w:hyperlink>
    </w:p>
    <w:p w:rsidR="00173414" w:rsidRDefault="00A04C07">
      <w:pPr>
        <w:pStyle w:val="TOC1"/>
        <w:tabs>
          <w:tab w:val="right" w:leader="dot" w:pos="9354"/>
        </w:tabs>
      </w:pPr>
      <w:hyperlink w:anchor="_Toc6718" w:history="1">
        <w:r w:rsidR="00186C62">
          <w:rPr>
            <w:rFonts w:hint="eastAsia"/>
          </w:rPr>
          <w:t>附录C</w:t>
        </w:r>
        <w:r w:rsidR="00186C62">
          <w:t xml:space="preserve"> </w:t>
        </w:r>
        <w:r w:rsidR="00186C62">
          <w:rPr>
            <w:rFonts w:hint="eastAsia"/>
          </w:rPr>
          <w:t>（资料性 ）</w:t>
        </w:r>
        <w:r w:rsidR="00186C62">
          <w:t xml:space="preserve"> </w:t>
        </w:r>
        <w:r w:rsidR="00186C62">
          <w:rPr>
            <w:rFonts w:hint="eastAsia"/>
          </w:rPr>
          <w:t>高温气冷堆核能供热厂选址假想事故源项确定推荐方法</w:t>
        </w:r>
        <w:r w:rsidR="00186C62">
          <w:tab/>
        </w:r>
        <w:r w:rsidR="00186C62">
          <w:fldChar w:fldCharType="begin"/>
        </w:r>
        <w:r w:rsidR="00186C62">
          <w:instrText xml:space="preserve"> PAGEREF _Toc6718 \h </w:instrText>
        </w:r>
        <w:r w:rsidR="00186C62">
          <w:fldChar w:fldCharType="separate"/>
        </w:r>
        <w:r w:rsidR="00186C62">
          <w:t>9</w:t>
        </w:r>
        <w:r w:rsidR="00186C62">
          <w:fldChar w:fldCharType="end"/>
        </w:r>
      </w:hyperlink>
    </w:p>
    <w:p w:rsidR="00173414" w:rsidRDefault="00A04C07">
      <w:pPr>
        <w:pStyle w:val="TOC1"/>
        <w:tabs>
          <w:tab w:val="right" w:leader="dot" w:pos="9354"/>
        </w:tabs>
      </w:pPr>
      <w:hyperlink w:anchor="_Toc19312" w:history="1">
        <w:r w:rsidR="00186C62">
          <w:rPr>
            <w:rFonts w:hint="eastAsia"/>
          </w:rPr>
          <w:t>参考文献</w:t>
        </w:r>
        <w:r w:rsidR="00186C62">
          <w:tab/>
        </w:r>
        <w:r w:rsidR="00186C62">
          <w:fldChar w:fldCharType="begin"/>
        </w:r>
        <w:r w:rsidR="00186C62">
          <w:instrText xml:space="preserve"> PAGEREF _Toc19312 \h </w:instrText>
        </w:r>
        <w:r w:rsidR="00186C62">
          <w:fldChar w:fldCharType="separate"/>
        </w:r>
        <w:r w:rsidR="00186C62">
          <w:t>10</w:t>
        </w:r>
        <w:r w:rsidR="00186C62">
          <w:fldChar w:fldCharType="end"/>
        </w:r>
      </w:hyperlink>
    </w:p>
    <w:p w:rsidR="00173414" w:rsidRDefault="00186C62">
      <w:pPr>
        <w:pStyle w:val="afffffff0"/>
        <w:spacing w:after="360"/>
        <w:sectPr w:rsidR="00173414">
          <w:headerReference w:type="default" r:id="rId16"/>
          <w:footerReference w:type="default" r:id="rId17"/>
          <w:pgSz w:w="11906" w:h="16838"/>
          <w:pgMar w:top="1928" w:right="1134" w:bottom="1134" w:left="1134" w:header="1418" w:footer="1134" w:gutter="284"/>
          <w:pgNumType w:fmt="upperRoman" w:start="1"/>
          <w:cols w:space="425"/>
          <w:formProt w:val="0"/>
          <w:docGrid w:linePitch="312"/>
        </w:sectPr>
      </w:pPr>
      <w:r>
        <w:rPr>
          <w:rFonts w:hint="eastAsia"/>
        </w:rPr>
        <w:fldChar w:fldCharType="end"/>
      </w:r>
    </w:p>
    <w:p w:rsidR="00173414" w:rsidRDefault="00186C62">
      <w:pPr>
        <w:pStyle w:val="a6"/>
        <w:spacing w:before="900" w:after="360"/>
      </w:pPr>
      <w:bookmarkStart w:id="24" w:name="_Toc11933"/>
      <w:bookmarkStart w:id="25" w:name="BookMark2"/>
      <w:bookmarkEnd w:id="22"/>
      <w:r>
        <w:rPr>
          <w:rFonts w:hint="eastAsia"/>
          <w:spacing w:val="320"/>
        </w:rPr>
        <w:lastRenderedPageBreak/>
        <w:t>前</w:t>
      </w:r>
      <w:r>
        <w:rPr>
          <w:rFonts w:hint="eastAsia"/>
        </w:rPr>
        <w:t>言</w:t>
      </w:r>
      <w:bookmarkEnd w:id="23"/>
      <w:bookmarkEnd w:id="24"/>
    </w:p>
    <w:p w:rsidR="00173414" w:rsidRDefault="00186C62">
      <w:pPr>
        <w:pStyle w:val="afffffb"/>
        <w:ind w:firstLine="420"/>
      </w:pPr>
      <w:r>
        <w:rPr>
          <w:rFonts w:hint="eastAsia"/>
        </w:rPr>
        <w:t>本文件按照GB/T 1.1—2020《标准化工作导则  第1部分：标准化文件的结构和起草规则》的规定起草。</w:t>
      </w:r>
    </w:p>
    <w:p w:rsidR="00173414" w:rsidRDefault="00186C62">
      <w:pPr>
        <w:pStyle w:val="afffffb"/>
        <w:ind w:firstLine="420"/>
      </w:pPr>
      <w:r>
        <w:t>请注意本文件的某些内容可能涉及专利。本文件的发布机构不承担识别专利的责任。</w:t>
      </w:r>
    </w:p>
    <w:p w:rsidR="00173414" w:rsidRDefault="00186C62">
      <w:pPr>
        <w:pStyle w:val="afffffb"/>
        <w:ind w:firstLine="420"/>
      </w:pPr>
      <w:r>
        <w:rPr>
          <w:rFonts w:hint="eastAsia"/>
        </w:rPr>
        <w:t>本文件由中国核学会提出。</w:t>
      </w:r>
    </w:p>
    <w:p w:rsidR="00173414" w:rsidRDefault="00186C62">
      <w:pPr>
        <w:pStyle w:val="afffffb"/>
        <w:ind w:firstLine="420"/>
      </w:pPr>
      <w:r>
        <w:rPr>
          <w:rFonts w:hint="eastAsia"/>
        </w:rPr>
        <w:t>本文件由核工业标准化研究所归口。</w:t>
      </w:r>
    </w:p>
    <w:p w:rsidR="00173414" w:rsidRDefault="00186C62">
      <w:pPr>
        <w:pStyle w:val="afffffb"/>
        <w:ind w:firstLine="420"/>
      </w:pPr>
      <w:r>
        <w:rPr>
          <w:rFonts w:hint="eastAsia"/>
        </w:rPr>
        <w:t>本文件起草单位：中核能源科技有限公司、清华大学。</w:t>
      </w:r>
    </w:p>
    <w:p w:rsidR="00173414" w:rsidRDefault="00186C62">
      <w:pPr>
        <w:pStyle w:val="afffffb"/>
        <w:ind w:firstLine="420"/>
      </w:pPr>
      <w:r>
        <w:rPr>
          <w:rFonts w:hint="eastAsia"/>
        </w:rPr>
        <w:t>本文件主要起草人：</w:t>
      </w:r>
    </w:p>
    <w:p w:rsidR="00173414" w:rsidRDefault="00173414">
      <w:pPr>
        <w:pStyle w:val="afffffb"/>
        <w:ind w:firstLine="420"/>
      </w:pPr>
    </w:p>
    <w:p w:rsidR="00173414" w:rsidRDefault="00173414">
      <w:pPr>
        <w:pStyle w:val="afffffb"/>
        <w:ind w:firstLine="420"/>
        <w:sectPr w:rsidR="00173414">
          <w:pgSz w:w="11906" w:h="16838"/>
          <w:pgMar w:top="1928" w:right="1134" w:bottom="1134" w:left="1134" w:header="1418" w:footer="1134" w:gutter="284"/>
          <w:pgNumType w:fmt="upperRoman"/>
          <w:cols w:space="425"/>
          <w:formProt w:val="0"/>
          <w:docGrid w:linePitch="312"/>
        </w:sectPr>
      </w:pPr>
    </w:p>
    <w:p w:rsidR="00173414" w:rsidRDefault="00173414">
      <w:pPr>
        <w:spacing w:line="20" w:lineRule="exact"/>
        <w:jc w:val="center"/>
        <w:rPr>
          <w:rFonts w:ascii="黑体" w:eastAsia="黑体" w:hAnsi="黑体"/>
          <w:sz w:val="32"/>
          <w:szCs w:val="32"/>
        </w:rPr>
      </w:pPr>
      <w:bookmarkStart w:id="26" w:name="BookMark4"/>
      <w:bookmarkEnd w:id="25"/>
    </w:p>
    <w:p w:rsidR="00173414" w:rsidRDefault="00173414">
      <w:pPr>
        <w:spacing w:line="20" w:lineRule="exact"/>
        <w:jc w:val="center"/>
        <w:rPr>
          <w:rFonts w:ascii="黑体" w:eastAsia="黑体" w:hAnsi="黑体"/>
          <w:sz w:val="32"/>
          <w:szCs w:val="32"/>
        </w:rPr>
      </w:pPr>
    </w:p>
    <w:bookmarkStart w:id="27" w:name="NEW_STAND_NAME" w:displacedByCustomXml="next"/>
    <w:sdt>
      <w:sdtPr>
        <w:tag w:val="NEW_STAND_NAME"/>
        <w:id w:val="595910757"/>
        <w:lock w:val="sdtLocked"/>
        <w:placeholder>
          <w:docPart w:val="DDAB37D64039411C969487F0B591871A"/>
        </w:placeholder>
        <w15:appearance w15:val="hidden"/>
      </w:sdtPr>
      <w:sdtEndPr/>
      <w:sdtContent>
        <w:p w:rsidR="00173414" w:rsidRDefault="00186C62">
          <w:pPr>
            <w:pStyle w:val="afffffffffe"/>
            <w:spacing w:beforeLines="1" w:before="2" w:afterLines="220" w:after="528"/>
          </w:pPr>
          <w:r>
            <w:fldChar w:fldCharType="begin">
              <w:ffData>
                <w:name w:val="NEW_STAND_NAME"/>
                <w:enabled/>
                <w:calcOnExit w:val="0"/>
                <w:textInput>
                  <w:default w:val="点击此处添加标准名称"/>
                </w:textInput>
              </w:ffData>
            </w:fldChar>
          </w:r>
          <w:r>
            <w:instrText xml:space="preserve"> FORMTEXT </w:instrText>
          </w:r>
          <w:r>
            <w:fldChar w:fldCharType="separate"/>
          </w:r>
          <w:r>
            <w:t>高温气冷堆核能供热厂选址基本准则</w:t>
          </w:r>
          <w:r>
            <w:fldChar w:fldCharType="end"/>
          </w:r>
        </w:p>
      </w:sdtContent>
    </w:sdt>
    <w:p w:rsidR="00173414" w:rsidRDefault="00186C62">
      <w:pPr>
        <w:pStyle w:val="afff1"/>
        <w:spacing w:before="240" w:after="240"/>
      </w:pPr>
      <w:bookmarkStart w:id="28" w:name="_Toc24884218"/>
      <w:bookmarkStart w:id="29" w:name="_Toc24884211"/>
      <w:bookmarkStart w:id="30" w:name="_Toc178060288"/>
      <w:bookmarkStart w:id="31" w:name="_Toc10371"/>
      <w:bookmarkStart w:id="32" w:name="_Toc17233325"/>
      <w:bookmarkStart w:id="33" w:name="_Toc97192964"/>
      <w:bookmarkStart w:id="34" w:name="_Toc26718930"/>
      <w:bookmarkStart w:id="35" w:name="_Toc26986771"/>
      <w:bookmarkStart w:id="36" w:name="_Toc17233333"/>
      <w:bookmarkStart w:id="37" w:name="_Toc26986530"/>
      <w:bookmarkStart w:id="38" w:name="_Toc26648465"/>
      <w:bookmarkEnd w:id="27"/>
      <w:r>
        <w:rPr>
          <w:rFonts w:hint="eastAsia"/>
        </w:rPr>
        <w:t>范围</w:t>
      </w:r>
      <w:bookmarkEnd w:id="28"/>
      <w:bookmarkEnd w:id="29"/>
      <w:bookmarkEnd w:id="30"/>
      <w:bookmarkEnd w:id="31"/>
      <w:bookmarkEnd w:id="32"/>
      <w:bookmarkEnd w:id="33"/>
      <w:bookmarkEnd w:id="34"/>
      <w:bookmarkEnd w:id="35"/>
      <w:bookmarkEnd w:id="36"/>
      <w:bookmarkEnd w:id="37"/>
      <w:bookmarkEnd w:id="38"/>
    </w:p>
    <w:p w:rsidR="00173414" w:rsidRDefault="00186C62">
      <w:pPr>
        <w:pStyle w:val="afffffb"/>
        <w:ind w:firstLine="420"/>
      </w:pPr>
      <w:bookmarkStart w:id="39" w:name="_Toc24884219"/>
      <w:bookmarkStart w:id="40" w:name="_Toc26648466"/>
      <w:bookmarkStart w:id="41" w:name="_Toc17233326"/>
      <w:bookmarkStart w:id="42" w:name="_Toc24884212"/>
      <w:bookmarkStart w:id="43" w:name="_Toc17233334"/>
      <w:r>
        <w:rPr>
          <w:rFonts w:hint="eastAsia"/>
        </w:rPr>
        <w:t>本文件规定了</w:t>
      </w:r>
      <w:r>
        <w:rPr>
          <w:rFonts w:ascii="Times New Roman" w:hint="eastAsia"/>
        </w:rPr>
        <w:t>球床模块式</w:t>
      </w:r>
      <w:r>
        <w:rPr>
          <w:rFonts w:hint="eastAsia"/>
        </w:rPr>
        <w:t>高温气冷堆（以下简称“高温气冷堆”）核能供热厂厂址选择（也可简称为“选址”）工作的阶段划分、选址准则。</w:t>
      </w:r>
    </w:p>
    <w:p w:rsidR="00173414" w:rsidRDefault="00186C62">
      <w:pPr>
        <w:pStyle w:val="afffffb"/>
        <w:ind w:firstLine="420"/>
      </w:pPr>
      <w:r>
        <w:rPr>
          <w:rFonts w:hint="eastAsia"/>
        </w:rPr>
        <w:t>本文件适用于高温气冷堆核能供热厂选址和厂址分析论证工作，利用高温气冷堆发电、制氢等其他工程的选址工作可参照执行。</w:t>
      </w:r>
    </w:p>
    <w:p w:rsidR="00173414" w:rsidRDefault="00186C62">
      <w:pPr>
        <w:pStyle w:val="afff1"/>
        <w:spacing w:before="240" w:after="240"/>
        <w:rPr>
          <w:sz w:val="44"/>
          <w:szCs w:val="44"/>
        </w:rPr>
      </w:pPr>
      <w:bookmarkStart w:id="44" w:name="_Toc97192965"/>
      <w:bookmarkStart w:id="45" w:name="_Toc178060289"/>
      <w:bookmarkStart w:id="46" w:name="_Toc26986772"/>
      <w:bookmarkStart w:id="47" w:name="_Toc26702"/>
      <w:bookmarkStart w:id="48" w:name="_Toc26986531"/>
      <w:bookmarkStart w:id="49" w:name="_Toc26718931"/>
      <w:r>
        <w:rPr>
          <w:rFonts w:hint="eastAsia"/>
        </w:rPr>
        <w:t>规范性引用文件</w:t>
      </w:r>
      <w:bookmarkEnd w:id="39"/>
      <w:bookmarkEnd w:id="40"/>
      <w:bookmarkEnd w:id="41"/>
      <w:bookmarkEnd w:id="42"/>
      <w:bookmarkEnd w:id="43"/>
      <w:bookmarkEnd w:id="44"/>
      <w:bookmarkEnd w:id="45"/>
      <w:bookmarkEnd w:id="46"/>
      <w:bookmarkEnd w:id="47"/>
      <w:bookmarkEnd w:id="48"/>
      <w:bookmarkEnd w:id="49"/>
    </w:p>
    <w:sdt>
      <w:sdtPr>
        <w:rPr>
          <w:rFonts w:hint="eastAsia"/>
        </w:rPr>
        <w:id w:val="715848253"/>
        <w:placeholder>
          <w:docPart w:val="7365F715ED63451E8119576B2225B479"/>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173414" w:rsidRDefault="00186C62">
          <w:pPr>
            <w:pStyle w:val="afffffb"/>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173414" w:rsidRDefault="00186C62">
      <w:pPr>
        <w:pStyle w:val="afffffb"/>
        <w:ind w:firstLine="420"/>
      </w:pPr>
      <w:r>
        <w:rPr>
          <w:rFonts w:hint="eastAsia"/>
        </w:rPr>
        <w:t>GB 6249 核动力厂环境辐射防护规定</w:t>
      </w:r>
    </w:p>
    <w:p w:rsidR="00173414" w:rsidRDefault="00186C62">
      <w:pPr>
        <w:pStyle w:val="afffffb"/>
        <w:ind w:firstLine="420"/>
      </w:pPr>
      <w:r>
        <w:rPr>
          <w:rFonts w:hint="eastAsia"/>
        </w:rPr>
        <w:t>G</w:t>
      </w:r>
      <w:r>
        <w:t>B 50294 核电厂总平面及运输设计规范</w:t>
      </w:r>
    </w:p>
    <w:p w:rsidR="00173414" w:rsidRDefault="00186C62">
      <w:pPr>
        <w:pStyle w:val="afffffb"/>
        <w:ind w:firstLine="420"/>
      </w:pPr>
      <w:r>
        <w:rPr>
          <w:rFonts w:hint="eastAsia"/>
        </w:rPr>
        <w:t>GB/T</w:t>
      </w:r>
      <w:r>
        <w:t xml:space="preserve"> </w:t>
      </w:r>
      <w:r>
        <w:rPr>
          <w:rFonts w:hint="eastAsia"/>
        </w:rPr>
        <w:t>1576 工业锅炉水质</w:t>
      </w:r>
    </w:p>
    <w:p w:rsidR="00173414" w:rsidRDefault="00186C62">
      <w:pPr>
        <w:pStyle w:val="afff1"/>
        <w:spacing w:before="240" w:after="240"/>
      </w:pPr>
      <w:bookmarkStart w:id="50" w:name="_Toc178060290"/>
      <w:bookmarkStart w:id="51" w:name="_Toc2861"/>
      <w:bookmarkStart w:id="52" w:name="_Toc97192966"/>
      <w:r>
        <w:rPr>
          <w:rFonts w:hint="eastAsia"/>
          <w:szCs w:val="21"/>
        </w:rPr>
        <w:t>术语和定义</w:t>
      </w:r>
      <w:bookmarkEnd w:id="50"/>
      <w:bookmarkEnd w:id="51"/>
      <w:bookmarkEnd w:id="52"/>
    </w:p>
    <w:bookmarkStart w:id="53" w:name="_Toc26986532" w:displacedByCustomXml="next"/>
    <w:bookmarkEnd w:id="53" w:displacedByCustomXml="next"/>
    <w:sdt>
      <w:sdtPr>
        <w:id w:val="-1909835108"/>
        <w:placeholder>
          <w:docPart w:val="BA1C76E8C6B947CF9DBDCFCF51E47F96"/>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173414" w:rsidRDefault="00186C62">
          <w:pPr>
            <w:pStyle w:val="afffffb"/>
            <w:ind w:firstLine="420"/>
          </w:pPr>
          <w:r>
            <w:t>下列术语和定义适用于本文件。</w:t>
          </w:r>
        </w:p>
      </w:sdtContent>
    </w:sdt>
    <w:p w:rsidR="00173414" w:rsidRDefault="00173414">
      <w:pPr>
        <w:pStyle w:val="afffffffff4"/>
      </w:pPr>
      <w:bookmarkStart w:id="54" w:name="_Toc200437150"/>
      <w:bookmarkStart w:id="55" w:name="_Toc200464921"/>
      <w:bookmarkStart w:id="56" w:name="_Toc200464678"/>
      <w:bookmarkStart w:id="57" w:name="_Toc27724"/>
      <w:bookmarkStart w:id="58" w:name="_Toc23042"/>
      <w:bookmarkStart w:id="59" w:name="_Toc27671"/>
      <w:bookmarkStart w:id="60" w:name="_Toc32729"/>
      <w:bookmarkStart w:id="61" w:name="_Toc20801"/>
      <w:bookmarkStart w:id="62" w:name="_Toc10201"/>
      <w:bookmarkStart w:id="63" w:name="_Toc14555"/>
      <w:bookmarkStart w:id="64" w:name="OLE_LINK32"/>
    </w:p>
    <w:p w:rsidR="00173414" w:rsidRDefault="00186C62">
      <w:pPr>
        <w:pStyle w:val="afffffb"/>
        <w:ind w:firstLine="420"/>
        <w:rPr>
          <w:rFonts w:ascii="Times New Roman"/>
          <w:szCs w:val="21"/>
        </w:rPr>
      </w:pPr>
      <w:r>
        <w:rPr>
          <w:rFonts w:ascii="Times New Roman" w:hint="eastAsia"/>
          <w:szCs w:val="21"/>
        </w:rPr>
        <w:t>球床模块式高温气冷堆</w:t>
      </w:r>
      <w:r>
        <w:rPr>
          <w:rFonts w:ascii="Times New Roman" w:hint="eastAsia"/>
          <w:szCs w:val="21"/>
        </w:rPr>
        <w:t xml:space="preserve"> p</w:t>
      </w:r>
      <w:r>
        <w:rPr>
          <w:rFonts w:ascii="Times New Roman"/>
          <w:szCs w:val="21"/>
        </w:rPr>
        <w:t>ebble-</w:t>
      </w:r>
      <w:r>
        <w:rPr>
          <w:rFonts w:ascii="Times New Roman" w:hint="eastAsia"/>
          <w:szCs w:val="21"/>
        </w:rPr>
        <w:t>b</w:t>
      </w:r>
      <w:r>
        <w:rPr>
          <w:rFonts w:ascii="Times New Roman"/>
          <w:szCs w:val="21"/>
        </w:rPr>
        <w:t xml:space="preserve">ed </w:t>
      </w:r>
      <w:r>
        <w:rPr>
          <w:rFonts w:ascii="Times New Roman" w:hint="eastAsia"/>
          <w:szCs w:val="21"/>
        </w:rPr>
        <w:t>m</w:t>
      </w:r>
      <w:r>
        <w:rPr>
          <w:rFonts w:ascii="Times New Roman"/>
          <w:szCs w:val="21"/>
        </w:rPr>
        <w:t xml:space="preserve">odular </w:t>
      </w:r>
      <w:r>
        <w:rPr>
          <w:rFonts w:ascii="Times New Roman" w:hint="eastAsia"/>
          <w:szCs w:val="21"/>
        </w:rPr>
        <w:t>h</w:t>
      </w:r>
      <w:r>
        <w:rPr>
          <w:rFonts w:ascii="Times New Roman"/>
          <w:szCs w:val="21"/>
        </w:rPr>
        <w:t xml:space="preserve">igh </w:t>
      </w:r>
      <w:r>
        <w:rPr>
          <w:rFonts w:ascii="Times New Roman" w:hint="eastAsia"/>
          <w:szCs w:val="21"/>
        </w:rPr>
        <w:t>t</w:t>
      </w:r>
      <w:r>
        <w:rPr>
          <w:rFonts w:ascii="Times New Roman"/>
          <w:szCs w:val="21"/>
        </w:rPr>
        <w:t xml:space="preserve">emperature </w:t>
      </w:r>
      <w:r>
        <w:rPr>
          <w:rFonts w:ascii="Times New Roman" w:hint="eastAsia"/>
          <w:szCs w:val="21"/>
        </w:rPr>
        <w:t>r</w:t>
      </w:r>
      <w:r>
        <w:rPr>
          <w:rFonts w:ascii="Times New Roman"/>
          <w:szCs w:val="21"/>
        </w:rPr>
        <w:t>eactor</w:t>
      </w:r>
      <w:bookmarkEnd w:id="54"/>
      <w:bookmarkEnd w:id="55"/>
      <w:bookmarkEnd w:id="56"/>
    </w:p>
    <w:p w:rsidR="00173414" w:rsidRDefault="00186C62">
      <w:pPr>
        <w:pStyle w:val="affffffffffff0"/>
      </w:pPr>
      <w:r>
        <w:t>采用球形燃料元件堆积而成的活性区，并可采用多个反应堆模块组成大的核电机组的高温气冷堆</w:t>
      </w:r>
      <w:r>
        <w:rPr>
          <w:rFonts w:hint="eastAsia"/>
        </w:rPr>
        <w:t>。</w:t>
      </w:r>
    </w:p>
    <w:p w:rsidR="00173414" w:rsidRDefault="00173414">
      <w:pPr>
        <w:pStyle w:val="afffffffff4"/>
      </w:pPr>
    </w:p>
    <w:p w:rsidR="00173414" w:rsidRDefault="00186C62">
      <w:pPr>
        <w:pStyle w:val="afffffb"/>
        <w:ind w:firstLine="420"/>
        <w:rPr>
          <w:rFonts w:ascii="Times New Roman"/>
          <w:szCs w:val="21"/>
        </w:rPr>
      </w:pPr>
      <w:r>
        <w:rPr>
          <w:rFonts w:ascii="Times New Roman" w:hint="eastAsia"/>
          <w:szCs w:val="21"/>
        </w:rPr>
        <w:t>核能供热厂</w:t>
      </w:r>
      <w:r>
        <w:rPr>
          <w:rFonts w:ascii="Times New Roman" w:hint="eastAsia"/>
          <w:szCs w:val="21"/>
        </w:rPr>
        <w:t xml:space="preserve"> nucl</w:t>
      </w:r>
      <w:r>
        <w:rPr>
          <w:rFonts w:ascii="Times New Roman"/>
          <w:szCs w:val="21"/>
        </w:rPr>
        <w:t xml:space="preserve">ear </w:t>
      </w:r>
      <w:r>
        <w:rPr>
          <w:rFonts w:ascii="Times New Roman" w:hint="eastAsia"/>
          <w:szCs w:val="21"/>
        </w:rPr>
        <w:t>h</w:t>
      </w:r>
      <w:r>
        <w:rPr>
          <w:rFonts w:ascii="Times New Roman"/>
          <w:szCs w:val="21"/>
        </w:rPr>
        <w:t xml:space="preserve">eating </w:t>
      </w:r>
      <w:r>
        <w:rPr>
          <w:rFonts w:ascii="Times New Roman" w:hint="eastAsia"/>
          <w:szCs w:val="21"/>
        </w:rPr>
        <w:t>p</w:t>
      </w:r>
      <w:r>
        <w:rPr>
          <w:rFonts w:ascii="Times New Roman"/>
          <w:szCs w:val="21"/>
        </w:rPr>
        <w:t>lant</w:t>
      </w:r>
    </w:p>
    <w:p w:rsidR="00173414" w:rsidRDefault="00186C62">
      <w:pPr>
        <w:pStyle w:val="affffffffffff0"/>
      </w:pPr>
      <w:r>
        <w:rPr>
          <w:rFonts w:hint="eastAsia"/>
        </w:rPr>
        <w:t>利用原子核裂变能量制取工业蒸汽的核动力厂。</w:t>
      </w:r>
    </w:p>
    <w:p w:rsidR="00173414" w:rsidRDefault="00173414">
      <w:pPr>
        <w:pStyle w:val="afffffffff4"/>
      </w:pPr>
    </w:p>
    <w:p w:rsidR="00173414" w:rsidRDefault="00186C62">
      <w:pPr>
        <w:pStyle w:val="afffffb"/>
        <w:ind w:firstLine="420"/>
        <w:rPr>
          <w:rFonts w:ascii="Times New Roman"/>
          <w:szCs w:val="21"/>
        </w:rPr>
      </w:pPr>
      <w:r>
        <w:rPr>
          <w:rFonts w:ascii="Times New Roman"/>
          <w:szCs w:val="21"/>
        </w:rPr>
        <w:t>厂址</w:t>
      </w:r>
      <w:r>
        <w:rPr>
          <w:rFonts w:ascii="Times New Roman"/>
          <w:szCs w:val="21"/>
        </w:rPr>
        <w:t xml:space="preserve"> site area</w:t>
      </w:r>
    </w:p>
    <w:bookmarkEnd w:id="57"/>
    <w:bookmarkEnd w:id="58"/>
    <w:bookmarkEnd w:id="59"/>
    <w:bookmarkEnd w:id="60"/>
    <w:bookmarkEnd w:id="61"/>
    <w:bookmarkEnd w:id="62"/>
    <w:bookmarkEnd w:id="63"/>
    <w:p w:rsidR="00173414" w:rsidRDefault="00186C62">
      <w:pPr>
        <w:pStyle w:val="afffffb"/>
        <w:ind w:firstLine="420"/>
      </w:pPr>
      <w:r>
        <w:t>具有确定的边界，在高温气冷堆核能供热厂有效控制下的区域。</w:t>
      </w:r>
    </w:p>
    <w:p w:rsidR="00173414" w:rsidRDefault="00173414">
      <w:pPr>
        <w:pStyle w:val="afffffffff4"/>
      </w:pPr>
      <w:bookmarkStart w:id="65" w:name="OLE_LINK4"/>
      <w:bookmarkStart w:id="66" w:name="_Toc22098"/>
      <w:bookmarkStart w:id="67" w:name="_Toc25636"/>
      <w:bookmarkStart w:id="68" w:name="_Toc8084"/>
      <w:bookmarkStart w:id="69" w:name="_Toc30002"/>
      <w:bookmarkStart w:id="70" w:name="_Toc27993"/>
      <w:bookmarkStart w:id="71" w:name="_Toc30753"/>
      <w:bookmarkStart w:id="72" w:name="_Toc28002"/>
    </w:p>
    <w:p w:rsidR="00173414" w:rsidRDefault="00186C62">
      <w:pPr>
        <w:pStyle w:val="afffffb"/>
        <w:ind w:firstLine="420"/>
        <w:rPr>
          <w:rFonts w:ascii="Times New Roman"/>
          <w:szCs w:val="21"/>
        </w:rPr>
      </w:pPr>
      <w:r>
        <w:rPr>
          <w:rFonts w:ascii="Times New Roman"/>
          <w:szCs w:val="21"/>
        </w:rPr>
        <w:t>厂址选择</w:t>
      </w:r>
      <w:r>
        <w:rPr>
          <w:rFonts w:ascii="Times New Roman"/>
          <w:szCs w:val="21"/>
        </w:rPr>
        <w:t xml:space="preserve"> sitting</w:t>
      </w:r>
      <w:bookmarkEnd w:id="65"/>
      <w:bookmarkEnd w:id="66"/>
      <w:bookmarkEnd w:id="67"/>
      <w:bookmarkEnd w:id="68"/>
      <w:bookmarkEnd w:id="69"/>
      <w:bookmarkEnd w:id="70"/>
      <w:bookmarkEnd w:id="71"/>
      <w:bookmarkEnd w:id="72"/>
    </w:p>
    <w:p w:rsidR="00173414" w:rsidRDefault="00186C62">
      <w:pPr>
        <w:pStyle w:val="afffffb"/>
        <w:ind w:firstLine="420"/>
      </w:pPr>
      <w:bookmarkStart w:id="73" w:name="OLE_LINK5"/>
      <w:r>
        <w:t>在安全和其他考虑因素的基础上对候选厂址通过筛选、评估、比较和排序，以选择一个或若干个优先候选厂址。</w:t>
      </w:r>
      <w:bookmarkEnd w:id="73"/>
    </w:p>
    <w:p w:rsidR="00173414" w:rsidRDefault="00173414">
      <w:pPr>
        <w:pStyle w:val="afffffffff4"/>
      </w:pPr>
      <w:bookmarkStart w:id="74" w:name="_Toc200464679"/>
      <w:bookmarkStart w:id="75" w:name="_Toc200437151"/>
      <w:bookmarkStart w:id="76" w:name="_Toc200464922"/>
      <w:bookmarkStart w:id="77" w:name="_Toc6092"/>
      <w:bookmarkStart w:id="78" w:name="_Toc17873"/>
      <w:bookmarkStart w:id="79" w:name="_Toc30250"/>
      <w:bookmarkStart w:id="80" w:name="_Toc5336"/>
      <w:bookmarkStart w:id="81" w:name="_Toc22433"/>
      <w:bookmarkStart w:id="82" w:name="_Toc16043"/>
      <w:bookmarkStart w:id="83" w:name="_Toc31457"/>
    </w:p>
    <w:p w:rsidR="00173414" w:rsidRDefault="00186C62">
      <w:pPr>
        <w:pStyle w:val="afffffb"/>
        <w:ind w:firstLine="420"/>
        <w:rPr>
          <w:rFonts w:ascii="Times New Roman"/>
          <w:szCs w:val="21"/>
        </w:rPr>
      </w:pPr>
      <w:r>
        <w:rPr>
          <w:rFonts w:ascii="Times New Roman" w:hint="eastAsia"/>
          <w:szCs w:val="21"/>
        </w:rPr>
        <w:t>目标热用户</w:t>
      </w:r>
      <w:r>
        <w:rPr>
          <w:rFonts w:ascii="Times New Roman" w:hint="eastAsia"/>
          <w:szCs w:val="21"/>
        </w:rPr>
        <w:t xml:space="preserve"> t</w:t>
      </w:r>
      <w:r>
        <w:rPr>
          <w:rFonts w:ascii="Times New Roman"/>
          <w:szCs w:val="21"/>
        </w:rPr>
        <w:t xml:space="preserve">arget </w:t>
      </w:r>
      <w:r>
        <w:rPr>
          <w:rFonts w:ascii="Times New Roman" w:hint="eastAsia"/>
          <w:szCs w:val="21"/>
        </w:rPr>
        <w:t>i</w:t>
      </w:r>
      <w:r>
        <w:rPr>
          <w:rFonts w:ascii="Times New Roman"/>
          <w:szCs w:val="21"/>
        </w:rPr>
        <w:t xml:space="preserve">ndustrial </w:t>
      </w:r>
      <w:r>
        <w:rPr>
          <w:rFonts w:ascii="Times New Roman" w:hint="eastAsia"/>
          <w:szCs w:val="21"/>
        </w:rPr>
        <w:t>s</w:t>
      </w:r>
      <w:r>
        <w:rPr>
          <w:rFonts w:ascii="Times New Roman"/>
          <w:szCs w:val="21"/>
        </w:rPr>
        <w:t xml:space="preserve">team </w:t>
      </w:r>
      <w:r>
        <w:rPr>
          <w:rFonts w:ascii="Times New Roman" w:hint="eastAsia"/>
          <w:szCs w:val="21"/>
        </w:rPr>
        <w:t>u</w:t>
      </w:r>
      <w:r>
        <w:rPr>
          <w:rFonts w:ascii="Times New Roman"/>
          <w:szCs w:val="21"/>
        </w:rPr>
        <w:t>sers</w:t>
      </w:r>
      <w:bookmarkEnd w:id="74"/>
      <w:bookmarkEnd w:id="75"/>
      <w:bookmarkEnd w:id="76"/>
    </w:p>
    <w:p w:rsidR="00173414" w:rsidRDefault="00186C62">
      <w:pPr>
        <w:pStyle w:val="affffffffffff0"/>
      </w:pPr>
      <w:r>
        <w:rPr>
          <w:rFonts w:hint="eastAsia"/>
        </w:rPr>
        <w:t>现状或规划需一定规模各等级蒸汽的热用户，一般为化工园区、工业园区或工业基地，也可为大体量的单个或数个单体工业企业。</w:t>
      </w:r>
    </w:p>
    <w:p w:rsidR="00173414" w:rsidRDefault="00173414">
      <w:pPr>
        <w:pStyle w:val="afffffffff4"/>
      </w:pPr>
    </w:p>
    <w:p w:rsidR="00173414" w:rsidRDefault="00186C62">
      <w:pPr>
        <w:pStyle w:val="afffffb"/>
        <w:ind w:firstLine="420"/>
        <w:rPr>
          <w:rFonts w:ascii="Times New Roman"/>
          <w:szCs w:val="21"/>
        </w:rPr>
      </w:pPr>
      <w:r>
        <w:rPr>
          <w:rFonts w:ascii="Times New Roman"/>
          <w:szCs w:val="21"/>
        </w:rPr>
        <w:t>外部事件</w:t>
      </w:r>
      <w:bookmarkEnd w:id="77"/>
      <w:bookmarkEnd w:id="78"/>
      <w:bookmarkEnd w:id="79"/>
      <w:r>
        <w:rPr>
          <w:rFonts w:ascii="Times New Roman"/>
          <w:szCs w:val="21"/>
        </w:rPr>
        <w:t xml:space="preserve"> external hazards</w:t>
      </w:r>
      <w:bookmarkEnd w:id="80"/>
      <w:bookmarkEnd w:id="81"/>
      <w:bookmarkEnd w:id="82"/>
      <w:bookmarkEnd w:id="83"/>
    </w:p>
    <w:p w:rsidR="00173414" w:rsidRDefault="00186C62">
      <w:pPr>
        <w:pStyle w:val="afffffb"/>
        <w:ind w:firstLine="420"/>
      </w:pPr>
      <w:r>
        <w:t>在高温气冷堆核能供热厂所在区域内，可能对高温气冷堆核能供热厂安全或核活动产生影响的事件，包括外部自然事件和外部人为活动引发的事件。</w:t>
      </w:r>
    </w:p>
    <w:p w:rsidR="00173414" w:rsidRDefault="00173414">
      <w:pPr>
        <w:pStyle w:val="afffffffff4"/>
      </w:pPr>
      <w:bookmarkStart w:id="84" w:name="_Toc23187"/>
      <w:bookmarkStart w:id="85" w:name="OLE_LINK6"/>
      <w:bookmarkStart w:id="86" w:name="_Toc9849"/>
      <w:bookmarkStart w:id="87" w:name="_Toc18967"/>
      <w:bookmarkStart w:id="88" w:name="_Toc677"/>
      <w:bookmarkStart w:id="89" w:name="_Toc28629"/>
      <w:bookmarkStart w:id="90" w:name="_Toc8298"/>
      <w:bookmarkStart w:id="91" w:name="_Toc8248"/>
      <w:bookmarkStart w:id="92" w:name="_Toc23947"/>
      <w:bookmarkStart w:id="93" w:name="_Toc21866"/>
      <w:bookmarkStart w:id="94" w:name="_Toc24417"/>
      <w:bookmarkStart w:id="95" w:name="_Toc27994"/>
      <w:bookmarkStart w:id="96" w:name="_Toc7247"/>
      <w:bookmarkStart w:id="97" w:name="_Toc6696"/>
      <w:bookmarkStart w:id="98" w:name="_Toc17908"/>
    </w:p>
    <w:p w:rsidR="00173414" w:rsidRDefault="00186C62">
      <w:pPr>
        <w:pStyle w:val="afffffb"/>
        <w:ind w:firstLine="420"/>
        <w:rPr>
          <w:rFonts w:ascii="Times New Roman"/>
          <w:szCs w:val="21"/>
        </w:rPr>
      </w:pPr>
      <w:r>
        <w:rPr>
          <w:rFonts w:ascii="Times New Roman"/>
          <w:szCs w:val="21"/>
        </w:rPr>
        <w:t>非居住区</w:t>
      </w:r>
      <w:bookmarkEnd w:id="84"/>
      <w:bookmarkEnd w:id="85"/>
      <w:bookmarkEnd w:id="86"/>
      <w:bookmarkEnd w:id="87"/>
      <w:r>
        <w:rPr>
          <w:rFonts w:ascii="Times New Roman"/>
          <w:szCs w:val="21"/>
        </w:rPr>
        <w:t>exclusion area</w:t>
      </w:r>
      <w:bookmarkEnd w:id="88"/>
      <w:bookmarkEnd w:id="89"/>
      <w:bookmarkEnd w:id="90"/>
      <w:bookmarkEnd w:id="91"/>
    </w:p>
    <w:p w:rsidR="00173414" w:rsidRDefault="00186C62">
      <w:pPr>
        <w:pStyle w:val="afffffb"/>
        <w:ind w:firstLine="420"/>
      </w:pPr>
      <w:r>
        <w:rPr>
          <w:rFonts w:hint="eastAsia"/>
        </w:rPr>
        <w:t>反应堆周围一定范围内的区域，该区域内禁止有常住居民，由高温气冷堆核能供热厂的营运单位对这一区域行使有效的控制，包括任何个人从该区域撤离；公路、铁路、水路可以穿过该区域，但不得干扰高温气冷堆核能供热厂的正常运行；在事故情况下，可以做出适当和有效的安排，管制交通，以保证</w:t>
      </w:r>
      <w:r>
        <w:rPr>
          <w:rFonts w:hint="eastAsia"/>
        </w:rPr>
        <w:lastRenderedPageBreak/>
        <w:t>工作人员和公众的安全。在非居住区内，与高温气冷堆核能供热厂运行无关的活动，只要不影响高温气冷堆核能供热厂正常运行和危及公众健康与安全是允许的。</w:t>
      </w:r>
    </w:p>
    <w:p w:rsidR="00173414" w:rsidRDefault="00173414">
      <w:pPr>
        <w:pStyle w:val="afffffffff4"/>
      </w:pPr>
    </w:p>
    <w:p w:rsidR="00173414" w:rsidRDefault="00186C62">
      <w:pPr>
        <w:pStyle w:val="afffffb"/>
        <w:ind w:firstLine="420"/>
        <w:rPr>
          <w:rFonts w:ascii="Times New Roman"/>
          <w:szCs w:val="21"/>
        </w:rPr>
      </w:pPr>
      <w:r>
        <w:rPr>
          <w:rFonts w:ascii="Times New Roman"/>
          <w:szCs w:val="21"/>
        </w:rPr>
        <w:t>规划限制区</w:t>
      </w:r>
      <w:bookmarkEnd w:id="92"/>
      <w:bookmarkEnd w:id="93"/>
      <w:bookmarkEnd w:id="94"/>
      <w:r>
        <w:rPr>
          <w:rFonts w:ascii="Times New Roman"/>
          <w:szCs w:val="21"/>
        </w:rPr>
        <w:t xml:space="preserve"> planning restricted area</w:t>
      </w:r>
      <w:bookmarkEnd w:id="95"/>
      <w:bookmarkEnd w:id="96"/>
      <w:bookmarkEnd w:id="97"/>
      <w:bookmarkEnd w:id="98"/>
    </w:p>
    <w:p w:rsidR="00173414" w:rsidRDefault="00186C62">
      <w:pPr>
        <w:pStyle w:val="afffffb"/>
        <w:ind w:firstLine="420"/>
      </w:pPr>
      <w:r>
        <w:rPr>
          <w:rFonts w:hint="eastAsia"/>
        </w:rPr>
        <w:t>由省级人民政府划定的与非居住区直接相邻的区域。规划限制区内的工业设施和活动不会对高温气冷堆核动力厂安全产生不可接受的威胁；规划限制区内限制人口的机械增长，人口集中地区对场外应急不会产生不可接受的影响，确保核动力厂安全运行并保护公众健康和环境。</w:t>
      </w:r>
    </w:p>
    <w:p w:rsidR="00173414" w:rsidRDefault="00173414">
      <w:pPr>
        <w:pStyle w:val="afffffffff4"/>
      </w:pPr>
      <w:bookmarkStart w:id="99" w:name="_Toc27694"/>
      <w:bookmarkStart w:id="100" w:name="_Toc12350"/>
      <w:bookmarkStart w:id="101" w:name="_Toc15505"/>
      <w:bookmarkStart w:id="102" w:name="_Toc18960"/>
    </w:p>
    <w:p w:rsidR="00173414" w:rsidRDefault="00186C62">
      <w:pPr>
        <w:pStyle w:val="afffffb"/>
        <w:ind w:firstLine="420"/>
        <w:rPr>
          <w:rFonts w:ascii="Times New Roman"/>
          <w:szCs w:val="21"/>
        </w:rPr>
      </w:pPr>
      <w:r>
        <w:rPr>
          <w:rFonts w:ascii="Times New Roman"/>
          <w:szCs w:val="21"/>
        </w:rPr>
        <w:t>人口集中</w:t>
      </w:r>
      <w:r>
        <w:rPr>
          <w:rFonts w:ascii="Times New Roman" w:hint="eastAsia"/>
          <w:szCs w:val="21"/>
        </w:rPr>
        <w:t>地</w:t>
      </w:r>
      <w:r>
        <w:rPr>
          <w:rFonts w:ascii="Times New Roman"/>
          <w:szCs w:val="21"/>
        </w:rPr>
        <w:t>区</w:t>
      </w:r>
      <w:r>
        <w:rPr>
          <w:rFonts w:ascii="Times New Roman"/>
          <w:szCs w:val="21"/>
        </w:rPr>
        <w:t>densely inhabited district</w:t>
      </w:r>
      <w:bookmarkEnd w:id="99"/>
      <w:bookmarkEnd w:id="100"/>
      <w:bookmarkEnd w:id="101"/>
      <w:bookmarkEnd w:id="102"/>
    </w:p>
    <w:p w:rsidR="00173414" w:rsidRDefault="00186C62">
      <w:pPr>
        <w:pStyle w:val="afffffb"/>
        <w:ind w:firstLine="420"/>
      </w:pPr>
      <w:bookmarkStart w:id="103" w:name="_Toc3293"/>
      <w:bookmarkStart w:id="104" w:name="_Toc12608"/>
      <w:bookmarkStart w:id="105" w:name="_Toc27004"/>
      <w:bookmarkStart w:id="106" w:name="_Toc10866"/>
      <w:bookmarkEnd w:id="64"/>
      <w:r>
        <w:rPr>
          <w:rFonts w:hint="eastAsia"/>
        </w:rPr>
        <w:t>规划限制区内人口居住和通行密度较高、需要进行特殊控制的区域，如居民住宅区、学校、医院、办公密集地区、商业中心区、旅游点、养老院等，在划分时应考虑自然地形、人工设施等的有效阻隔。</w:t>
      </w:r>
      <w:bookmarkEnd w:id="103"/>
      <w:bookmarkEnd w:id="104"/>
      <w:bookmarkEnd w:id="105"/>
      <w:bookmarkEnd w:id="106"/>
    </w:p>
    <w:p w:rsidR="00173414" w:rsidRDefault="00173414">
      <w:pPr>
        <w:pStyle w:val="afffffffff4"/>
      </w:pPr>
    </w:p>
    <w:p w:rsidR="00173414" w:rsidRDefault="00186C62">
      <w:pPr>
        <w:pStyle w:val="afffffb"/>
        <w:ind w:firstLine="420"/>
        <w:rPr>
          <w:rFonts w:ascii="Times New Roman"/>
          <w:szCs w:val="21"/>
        </w:rPr>
      </w:pPr>
      <w:r>
        <w:rPr>
          <w:rFonts w:ascii="Times New Roman"/>
          <w:szCs w:val="21"/>
        </w:rPr>
        <w:t>选址假想事故</w:t>
      </w:r>
      <w:r>
        <w:rPr>
          <w:rFonts w:ascii="Times New Roman" w:hint="eastAsia"/>
          <w:szCs w:val="21"/>
        </w:rPr>
        <w:t xml:space="preserve"> postulated siting accident</w:t>
      </w:r>
    </w:p>
    <w:p w:rsidR="00173414" w:rsidRDefault="00186C62">
      <w:pPr>
        <w:pStyle w:val="afffffb"/>
        <w:ind w:firstLine="420"/>
      </w:pPr>
      <w:r>
        <w:rPr>
          <w:rFonts w:ascii="Times New Roman"/>
          <w:szCs w:val="21"/>
        </w:rPr>
        <w:t>仅适用于高温气冷堆</w:t>
      </w:r>
      <w:r>
        <w:rPr>
          <w:rFonts w:ascii="Times New Roman" w:hint="eastAsia"/>
          <w:szCs w:val="21"/>
        </w:rPr>
        <w:t>厂</w:t>
      </w:r>
      <w:r>
        <w:rPr>
          <w:rFonts w:ascii="Times New Roman"/>
          <w:szCs w:val="21"/>
        </w:rPr>
        <w:t>址选择阶段，用于评价</w:t>
      </w:r>
      <w:r>
        <w:rPr>
          <w:rFonts w:ascii="Times New Roman" w:hint="eastAsia"/>
          <w:szCs w:val="21"/>
        </w:rPr>
        <w:t>厂址</w:t>
      </w:r>
      <w:r>
        <w:rPr>
          <w:rFonts w:ascii="Times New Roman"/>
          <w:szCs w:val="21"/>
        </w:rPr>
        <w:t>选择的适当性，并作为确定场址非居住区、规划限制区边界主要技术依据的选定事故。</w:t>
      </w:r>
    </w:p>
    <w:p w:rsidR="00173414" w:rsidRDefault="00173414">
      <w:pPr>
        <w:pStyle w:val="afffffffff4"/>
        <w:spacing w:after="120"/>
      </w:pPr>
    </w:p>
    <w:p w:rsidR="00173414" w:rsidRDefault="00186C62">
      <w:pPr>
        <w:pStyle w:val="afffffb"/>
        <w:ind w:firstLine="420"/>
        <w:rPr>
          <w:rFonts w:ascii="Times New Roman"/>
          <w:szCs w:val="21"/>
        </w:rPr>
      </w:pPr>
      <w:r>
        <w:rPr>
          <w:rFonts w:ascii="Times New Roman" w:hint="eastAsia"/>
          <w:szCs w:val="21"/>
        </w:rPr>
        <w:t>供汽回水率</w:t>
      </w:r>
      <w:r>
        <w:rPr>
          <w:rFonts w:ascii="Times New Roman" w:hint="eastAsia"/>
          <w:szCs w:val="21"/>
        </w:rPr>
        <w:t xml:space="preserve"> steam supply recovery ratio</w:t>
      </w:r>
    </w:p>
    <w:p w:rsidR="00173414" w:rsidRDefault="00186C62">
      <w:pPr>
        <w:pStyle w:val="afffffb"/>
        <w:ind w:firstLine="420"/>
      </w:pPr>
      <w:r>
        <w:rPr>
          <w:rFonts w:hint="eastAsia"/>
          <w:szCs w:val="21"/>
        </w:rPr>
        <w:t>用汽后经处理回收满足高温气冷堆核能供热厂三回路用水水质的凝结水量占供汽量的百分比（%）。</w:t>
      </w:r>
    </w:p>
    <w:p w:rsidR="00173414" w:rsidRDefault="00186C62">
      <w:pPr>
        <w:pStyle w:val="afff1"/>
        <w:spacing w:before="240" w:after="240"/>
      </w:pPr>
      <w:bookmarkStart w:id="107" w:name="_Toc177119017"/>
      <w:bookmarkStart w:id="108" w:name="_Toc31681"/>
      <w:bookmarkStart w:id="109" w:name="_Toc178060291"/>
      <w:r>
        <w:t>基本规定</w:t>
      </w:r>
      <w:bookmarkEnd w:id="107"/>
      <w:bookmarkEnd w:id="108"/>
      <w:bookmarkEnd w:id="109"/>
    </w:p>
    <w:p w:rsidR="00173414" w:rsidRDefault="00186C62">
      <w:pPr>
        <w:pStyle w:val="afffffffff4"/>
      </w:pPr>
      <w:bookmarkStart w:id="110" w:name="_Toc21118"/>
      <w:bookmarkStart w:id="111" w:name="_Toc13085"/>
      <w:bookmarkStart w:id="112" w:name="OLE_LINK16"/>
      <w:bookmarkStart w:id="113" w:name="_Toc20281"/>
      <w:bookmarkStart w:id="114" w:name="_Toc14619"/>
      <w:bookmarkStart w:id="115" w:name="_Toc19319"/>
      <w:bookmarkStart w:id="116" w:name="_Toc24798"/>
      <w:r>
        <w:t>高温气冷堆核能供热厂</w:t>
      </w:r>
      <w:r>
        <w:rPr>
          <w:rFonts w:hint="eastAsia"/>
        </w:rPr>
        <w:t>选址</w:t>
      </w:r>
      <w:r>
        <w:t>的主要目的是在保护公众和环境免受放射性事故释放所引起的过量辐射影响，同时也应考虑核能供热厂正常的放射性物质释放影响前提下，选择出符合供热需求的高温气冷堆的厂址。</w:t>
      </w:r>
      <w:bookmarkStart w:id="117" w:name="_Toc23963"/>
      <w:bookmarkStart w:id="118" w:name="_Toc2347"/>
      <w:bookmarkStart w:id="119" w:name="_Toc21646"/>
      <w:bookmarkStart w:id="120" w:name="_Toc29893"/>
      <w:bookmarkStart w:id="121" w:name="_Toc15460"/>
      <w:bookmarkStart w:id="122" w:name="_Toc20003"/>
    </w:p>
    <w:p w:rsidR="00173414" w:rsidRDefault="00186C62">
      <w:pPr>
        <w:pStyle w:val="afffffffff4"/>
      </w:pPr>
      <w:r>
        <w:t>高温气冷堆核能供热厂选址工作应按照国家基本建设程序进行，并遵循安全可靠、环境相容、技术可行和经济合理的基本评价准则，以确保所选定的厂址满足国家相关法规和标准的要求。</w:t>
      </w:r>
    </w:p>
    <w:p w:rsidR="00173414" w:rsidRDefault="00186C62">
      <w:pPr>
        <w:pStyle w:val="afffffffff4"/>
      </w:pPr>
      <w:r>
        <w:t>高温气冷堆核能供热厂选址工作应围绕有用能需求的工业园区或企业开展；同时，选址要求必须与高温气冷堆核能供热厂对公众和环境的潜在放射性风险和可能产生的后果相称。</w:t>
      </w:r>
      <w:bookmarkEnd w:id="117"/>
      <w:bookmarkEnd w:id="118"/>
      <w:bookmarkEnd w:id="119"/>
      <w:bookmarkEnd w:id="120"/>
      <w:bookmarkEnd w:id="121"/>
      <w:bookmarkEnd w:id="122"/>
      <w:r>
        <w:t>高温气冷堆核能供热厂选址应关注非居住区和规划限制区的设置，其中非居住区边界与反应堆的距离不得小于100m，规划限制区外边界与反应堆的距离不得小于1km。</w:t>
      </w:r>
    </w:p>
    <w:p w:rsidR="00173414" w:rsidRDefault="00186C62">
      <w:pPr>
        <w:pStyle w:val="afffffffff4"/>
      </w:pPr>
      <w:r>
        <w:t>高温气冷堆核能供热厂选址工作应按照初步可行性研究和可行性研究两个阶段进行。初步可行性研究阶段包括前期厂址普选，以及针对在厂址普选基础上提出的</w:t>
      </w:r>
      <w:r>
        <w:rPr>
          <w:rFonts w:hint="eastAsia"/>
        </w:rPr>
        <w:t>候选</w:t>
      </w:r>
      <w:r>
        <w:t>厂址开展的初步可行性调查与评价；可行性研究阶段是对经初步可行性研究审定后的优先候选厂址（推荐厂址）进行更详细的调查与评价，以最终确认厂址。初步可行性研究阶段工作程序见附录A，可行性研究阶段工作程序见附录B。</w:t>
      </w:r>
    </w:p>
    <w:p w:rsidR="00173414" w:rsidRDefault="00186C62">
      <w:pPr>
        <w:pStyle w:val="afffffb"/>
        <w:ind w:firstLine="420"/>
      </w:pPr>
      <w:r>
        <w:rPr>
          <w:rFonts w:hint="eastAsia"/>
        </w:rPr>
        <w:t>厂址选择</w:t>
      </w:r>
      <w:r>
        <w:t>各阶段的主要工作内容和要求如下：</w:t>
      </w:r>
    </w:p>
    <w:p w:rsidR="00173414" w:rsidRDefault="00186C62">
      <w:pPr>
        <w:pStyle w:val="afffffb"/>
        <w:ind w:firstLine="420"/>
      </w:pPr>
      <w:r>
        <w:t>a）厂址普选应利用已有资料，通过室内分析和现场踏勘相结合的方法</w:t>
      </w:r>
      <w:r>
        <w:rPr>
          <w:rFonts w:hint="eastAsia"/>
        </w:rPr>
        <w:t>，围绕热用户</w:t>
      </w:r>
      <w:r>
        <w:t>确定可能厂址，并对可能厂址的优劣进行综合比较，筛选出建厂条件较好的可能厂址；对于成熟工业园区，当候选厂址具有唯一性时，可不开展厂址比选工作，直接进入初步的厂址适宜性评价工作；对于外部自然事件和外部人为事件条件复杂区域的厂址普选工作，可提前开展必要的专题研究工作，初步排除候选厂址颠覆性因素；</w:t>
      </w:r>
    </w:p>
    <w:p w:rsidR="00173414" w:rsidRDefault="00186C62">
      <w:pPr>
        <w:pStyle w:val="afffffb"/>
        <w:ind w:firstLine="420"/>
      </w:pPr>
      <w:r>
        <w:t>b）初步可行性研究阶段应针对候选厂址，在现有资料以及必要的专题调查基础上初步排除厂址颠覆性因素，对各候选厂址的安全、环境、技术及经济方面的可行性和优劣进行综合比选与评价</w:t>
      </w:r>
      <w:r>
        <w:rPr>
          <w:rFonts w:hint="eastAsia"/>
        </w:rPr>
        <w:t>，并结合供热需求重点论证供热方案的可行性、可靠性及经济性</w:t>
      </w:r>
      <w:r>
        <w:t>，筛选出优先候选厂址和备选厂址，并经过审定后提出推荐厂址；</w:t>
      </w:r>
    </w:p>
    <w:p w:rsidR="00173414" w:rsidRDefault="00186C62">
      <w:pPr>
        <w:pStyle w:val="afffffb"/>
        <w:ind w:firstLine="420"/>
      </w:pPr>
      <w:r>
        <w:t>c）可行性研究阶段应对推荐厂址按照核安全法规、导则以及其他相关</w:t>
      </w:r>
      <w:r>
        <w:rPr>
          <w:rFonts w:hint="eastAsia"/>
        </w:rPr>
        <w:t>标准</w:t>
      </w:r>
      <w:r>
        <w:t>要求，从安全、环境、技术和经济各方面排除厂址颠覆性因素，并进行综合论证，其中包括涉及厂址可接受性和工程设计基准的各项专题调查与评价，以确认厂址的适宜性和确定相关的设计基准</w:t>
      </w:r>
      <w:r>
        <w:rPr>
          <w:rFonts w:hint="eastAsia"/>
        </w:rPr>
        <w:t>，并形成总体技术方案</w:t>
      </w:r>
      <w:r>
        <w:t>。</w:t>
      </w:r>
    </w:p>
    <w:p w:rsidR="00173414" w:rsidRDefault="00186C62">
      <w:pPr>
        <w:pStyle w:val="afffffffff4"/>
      </w:pPr>
      <w:r>
        <w:t>超厂址规划容量的扩建工程应开展初步可行性研究工作，厂址规划容量内的扩建工程，可直接开展可行性研究工作。</w:t>
      </w:r>
    </w:p>
    <w:p w:rsidR="00173414" w:rsidRDefault="00186C62">
      <w:pPr>
        <w:pStyle w:val="afff1"/>
        <w:spacing w:before="240" w:after="240"/>
        <w:rPr>
          <w:sz w:val="32"/>
          <w:szCs w:val="32"/>
        </w:rPr>
      </w:pPr>
      <w:bookmarkStart w:id="123" w:name="_Toc24220"/>
      <w:bookmarkStart w:id="124" w:name="_Toc177119018"/>
      <w:bookmarkStart w:id="125" w:name="_Toc178060292"/>
      <w:bookmarkEnd w:id="110"/>
      <w:bookmarkEnd w:id="111"/>
      <w:bookmarkEnd w:id="112"/>
      <w:bookmarkEnd w:id="113"/>
      <w:bookmarkEnd w:id="114"/>
      <w:bookmarkEnd w:id="115"/>
      <w:bookmarkEnd w:id="116"/>
      <w:r>
        <w:lastRenderedPageBreak/>
        <w:t>选址基本要素</w:t>
      </w:r>
      <w:bookmarkEnd w:id="123"/>
      <w:bookmarkEnd w:id="124"/>
      <w:bookmarkEnd w:id="125"/>
    </w:p>
    <w:p w:rsidR="00173414" w:rsidRDefault="00186C62">
      <w:pPr>
        <w:pStyle w:val="afffffffff4"/>
      </w:pPr>
      <w:r>
        <w:t>高温气冷堆核能供热厂选址应从供</w:t>
      </w:r>
      <w:r>
        <w:rPr>
          <w:rFonts w:hint="eastAsia"/>
        </w:rPr>
        <w:t>热保障</w:t>
      </w:r>
      <w:r>
        <w:t>、厂址安全、环境影响、技术方案和经济性等方面对候选厂址开展全面的综合性评价，同时厂址适宜性评价应重点关注候选厂址的安全可靠性、环境相容性、技术可行性和经济合理性等。</w:t>
      </w:r>
      <w:bookmarkStart w:id="126" w:name="_Toc20251"/>
      <w:bookmarkStart w:id="127" w:name="_Toc4526"/>
      <w:bookmarkStart w:id="128" w:name="_Toc16352"/>
      <w:bookmarkStart w:id="129" w:name="_Toc9129"/>
      <w:bookmarkStart w:id="130" w:name="_Toc26762"/>
      <w:bookmarkStart w:id="131" w:name="_Toc14228"/>
      <w:r>
        <w:t>若评价结果表明厂址有一项或多项缺陷，且这些缺陷可通过一系列设计、工程、管理等措施得到解决，从而保证高温气冷堆核能供热厂在建造和运行期间对该地区公众和环境的风险降低到可接受的程度，则认为厂址可以接受。</w:t>
      </w:r>
      <w:bookmarkEnd w:id="126"/>
      <w:bookmarkEnd w:id="127"/>
      <w:bookmarkEnd w:id="128"/>
      <w:bookmarkEnd w:id="129"/>
      <w:bookmarkEnd w:id="130"/>
      <w:bookmarkEnd w:id="131"/>
    </w:p>
    <w:p w:rsidR="00173414" w:rsidRDefault="00186C62">
      <w:pPr>
        <w:pStyle w:val="afffffffff4"/>
      </w:pPr>
      <w:r>
        <w:t>高温气冷堆核能供热厂选址应考虑以下基本</w:t>
      </w:r>
      <w:r>
        <w:rPr>
          <w:rFonts w:hint="eastAsia"/>
        </w:rPr>
        <w:t>要</w:t>
      </w:r>
      <w:r>
        <w:t>素：</w:t>
      </w:r>
    </w:p>
    <w:p w:rsidR="00173414" w:rsidRDefault="00186C62">
      <w:pPr>
        <w:pStyle w:val="afffffb"/>
        <w:ind w:firstLine="420"/>
      </w:pPr>
      <w:r>
        <w:t>a）</w:t>
      </w:r>
      <w:r>
        <w:rPr>
          <w:rFonts w:hint="eastAsia"/>
        </w:rPr>
        <w:t>供热保障</w:t>
      </w:r>
      <w:r>
        <w:t>：明确厂址周边工业园区用能现状及规划、厂址周边电网接入与电力送出条件、厂址与用能负荷中心距离、供能用水条件等；</w:t>
      </w:r>
    </w:p>
    <w:p w:rsidR="00173414" w:rsidRDefault="00186C62">
      <w:pPr>
        <w:pStyle w:val="afffffb"/>
        <w:ind w:firstLine="420"/>
      </w:pPr>
      <w:r>
        <w:t>b）厂址安全：主要为厂址所在区域内可能发生影响厂址安全的特定危害和安全有关的厂址特征，包括地震、火山灾害、</w:t>
      </w:r>
      <w:r>
        <w:rPr>
          <w:rFonts w:hint="eastAsia"/>
        </w:rPr>
        <w:t>岩土工程和</w:t>
      </w:r>
      <w:r>
        <w:t>工程地质、气象、洪水、冷却水源等外部自然条件和爆炸、飞机坠毁等外部人为事件；</w:t>
      </w:r>
    </w:p>
    <w:p w:rsidR="00173414" w:rsidRDefault="00186C62">
      <w:pPr>
        <w:pStyle w:val="afffffb"/>
        <w:ind w:firstLine="420"/>
      </w:pPr>
      <w:r>
        <w:t>c）环境影响：包括厂址与所在区域的国土空间规划</w:t>
      </w:r>
      <w:r>
        <w:rPr>
          <w:rFonts w:hint="eastAsia"/>
        </w:rPr>
        <w:t>、“三线一单”</w:t>
      </w:r>
      <w:r>
        <w:t>等要求的相符性分析</w:t>
      </w:r>
      <w:r>
        <w:rPr>
          <w:rFonts w:hint="eastAsia"/>
        </w:rPr>
        <w:t>，</w:t>
      </w:r>
      <w:r>
        <w:t>周边土地与水体利用、环境敏感区</w:t>
      </w:r>
      <w:r>
        <w:rPr>
          <w:rFonts w:hint="eastAsia"/>
        </w:rPr>
        <w:t>、</w:t>
      </w:r>
      <w:r>
        <w:t>人口分布、大气弥散</w:t>
      </w:r>
      <w:r>
        <w:rPr>
          <w:rFonts w:hint="eastAsia"/>
        </w:rPr>
        <w:t>、</w:t>
      </w:r>
      <w:r>
        <w:t>水体弥散</w:t>
      </w:r>
      <w:r>
        <w:rPr>
          <w:rFonts w:hint="eastAsia"/>
        </w:rPr>
        <w:t>、</w:t>
      </w:r>
      <w:r>
        <w:t>辐射环境本底等环境特征的调查和评价，及运行状态和事故工况下核能供热厂释放的放射性物质在大气和</w:t>
      </w:r>
      <w:r>
        <w:rPr>
          <w:rFonts w:hint="eastAsia"/>
        </w:rPr>
        <w:t>受纳</w:t>
      </w:r>
      <w:r>
        <w:t>水</w:t>
      </w:r>
      <w:r>
        <w:rPr>
          <w:rFonts w:hint="eastAsia"/>
        </w:rPr>
        <w:t>体</w:t>
      </w:r>
      <w:r>
        <w:t>弥散特征及可能的辐射影响评价；</w:t>
      </w:r>
    </w:p>
    <w:p w:rsidR="00173414" w:rsidRDefault="00186C62">
      <w:pPr>
        <w:pStyle w:val="afffffb"/>
        <w:ind w:firstLine="420"/>
      </w:pPr>
      <w:r>
        <w:t>d）技术方案：包括与厂址安全防护和环境相容相关的技术措施，以及用地条件与总体规划、供</w:t>
      </w:r>
      <w:r>
        <w:rPr>
          <w:rFonts w:hint="eastAsia"/>
        </w:rPr>
        <w:t>热</w:t>
      </w:r>
      <w:r>
        <w:t>方案、取排水方案、交通运输方案等与选址相关因素的技术可行性；</w:t>
      </w:r>
    </w:p>
    <w:p w:rsidR="00173414" w:rsidRDefault="00186C62">
      <w:pPr>
        <w:pStyle w:val="afffffb"/>
        <w:ind w:firstLine="420"/>
      </w:pPr>
      <w:r>
        <w:t>e）经济性：</w:t>
      </w:r>
      <w:r>
        <w:rPr>
          <w:rFonts w:hint="eastAsia"/>
        </w:rPr>
        <w:t>包括与供能条件、厂址安全、环境影响及其所形成的技术方案有关的工程量和建设投资，并通过厂址比较说明所选厂址的经济合理性。</w:t>
      </w:r>
    </w:p>
    <w:p w:rsidR="00173414" w:rsidRDefault="00186C62">
      <w:pPr>
        <w:pStyle w:val="afff1"/>
        <w:spacing w:before="240" w:after="240"/>
        <w:rPr>
          <w:sz w:val="32"/>
          <w:szCs w:val="32"/>
        </w:rPr>
      </w:pPr>
      <w:bookmarkStart w:id="132" w:name="_Toc6064"/>
      <w:r>
        <w:t>选址</w:t>
      </w:r>
      <w:r>
        <w:rPr>
          <w:rFonts w:hint="eastAsia"/>
        </w:rPr>
        <w:t>评价原则</w:t>
      </w:r>
      <w:bookmarkEnd w:id="132"/>
    </w:p>
    <w:p w:rsidR="00173414" w:rsidRDefault="00186C62">
      <w:pPr>
        <w:pStyle w:val="afff2"/>
        <w:spacing w:before="120" w:after="120"/>
      </w:pPr>
      <w:bookmarkStart w:id="133" w:name="_Toc178060294"/>
      <w:bookmarkStart w:id="134" w:name="_Toc2358"/>
      <w:r>
        <w:t>供</w:t>
      </w:r>
      <w:r>
        <w:rPr>
          <w:rFonts w:hint="eastAsia"/>
        </w:rPr>
        <w:t>热保障</w:t>
      </w:r>
      <w:r>
        <w:t>评价</w:t>
      </w:r>
      <w:bookmarkEnd w:id="133"/>
      <w:bookmarkEnd w:id="134"/>
    </w:p>
    <w:p w:rsidR="00173414" w:rsidRDefault="00186C62">
      <w:pPr>
        <w:pStyle w:val="afffffffff7"/>
        <w:rPr>
          <w:rFonts w:ascii="Times New Roman"/>
        </w:rPr>
      </w:pPr>
      <w:r>
        <w:rPr>
          <w:rFonts w:ascii="Times New Roman"/>
        </w:rPr>
        <w:t>高温气冷堆核能供热厂选址应在保证厂址安全可靠、环境相容的前提下，厂址应尽可能靠近用</w:t>
      </w:r>
      <w:r>
        <w:rPr>
          <w:rFonts w:ascii="Times New Roman" w:hint="eastAsia"/>
        </w:rPr>
        <w:t>热</w:t>
      </w:r>
      <w:r>
        <w:rPr>
          <w:rFonts w:ascii="Times New Roman"/>
        </w:rPr>
        <w:t>负荷中心，以保证蒸汽输送不存在不可克服的困难</w:t>
      </w:r>
      <w:r>
        <w:rPr>
          <w:rFonts w:ascii="Times New Roman" w:hint="eastAsia"/>
        </w:rPr>
        <w:t>。选址时应结合核能供热厂出厂蒸汽参数、厂址与目标热用户之间的输汽距离、蒸汽管道沿程温降和压降等，估算到达目标热用户处的蒸汽参数，确保可与目标热用户的蒸汽需求相匹配。</w:t>
      </w:r>
    </w:p>
    <w:p w:rsidR="00173414" w:rsidRDefault="00186C62">
      <w:pPr>
        <w:pStyle w:val="afffffffff7"/>
      </w:pPr>
      <w:r>
        <w:t>高温气冷堆核能供热厂选址应调研候选厂址周边工业园区用能现状及规划，明确热负荷需求和参数，提供未来热负荷需求预测量；同时，需明确工业园区现状供能条件、供能方式、供热管网参数等。</w:t>
      </w:r>
    </w:p>
    <w:p w:rsidR="00173414" w:rsidRDefault="00186C62">
      <w:pPr>
        <w:pStyle w:val="afffffffff7"/>
      </w:pPr>
      <w:r>
        <w:t>高温气冷堆核能供热厂选址应关注厂址周边电网接入与电力送出条件，保证核能供热厂保安电源及电力送出不存在不可克服的困难。</w:t>
      </w:r>
    </w:p>
    <w:p w:rsidR="00173414" w:rsidRDefault="00186C62">
      <w:pPr>
        <w:pStyle w:val="afffffffff7"/>
      </w:pPr>
      <w:r>
        <w:rPr>
          <w:rFonts w:hint="eastAsia"/>
        </w:rPr>
        <w:t>结合蒸汽用户用汽工艺确定供汽回水率，供汽回水水质需满足《工业锅炉水质》GB/T1576的相应等级要求；结合</w:t>
      </w:r>
      <w:r>
        <w:t>高温气冷堆核能供热厂</w:t>
      </w:r>
      <w:r>
        <w:rPr>
          <w:rFonts w:hint="eastAsia"/>
        </w:rPr>
        <w:t>用水和排水方案确定淡水取水量；结合</w:t>
      </w:r>
      <w:r>
        <w:t>高温气冷堆核能供热厂</w:t>
      </w:r>
      <w:r>
        <w:rPr>
          <w:rFonts w:hint="eastAsia"/>
        </w:rPr>
        <w:t>供水保证率、周边潜在淡水水源可用性和区域水资源管理政策等评估供水可靠性</w:t>
      </w:r>
      <w:r>
        <w:t>，当厂址周边淡水资源无法保障时，应明确替代方案。</w:t>
      </w:r>
    </w:p>
    <w:p w:rsidR="00173414" w:rsidRDefault="00186C62">
      <w:pPr>
        <w:pStyle w:val="afff2"/>
        <w:spacing w:before="120" w:after="120"/>
      </w:pPr>
      <w:bookmarkStart w:id="135" w:name="_Toc22862"/>
      <w:bookmarkStart w:id="136" w:name="_Toc178060295"/>
      <w:r>
        <w:t>厂址安全评价</w:t>
      </w:r>
      <w:bookmarkEnd w:id="135"/>
      <w:bookmarkEnd w:id="136"/>
    </w:p>
    <w:p w:rsidR="00173414" w:rsidRDefault="00186C62">
      <w:pPr>
        <w:pStyle w:val="afffffffff7"/>
      </w:pPr>
      <w:r>
        <w:t>高温气冷堆核能供热厂选址应充分调查研究与厂址可接受性和设计基准有关的可能影响高温气冷堆核能供热厂安全的所有厂址特征，包括外部自然事件和外部人为事件。</w:t>
      </w:r>
    </w:p>
    <w:p w:rsidR="00173414" w:rsidRDefault="00186C62">
      <w:pPr>
        <w:pStyle w:val="afffffffff7"/>
      </w:pPr>
      <w:r>
        <w:t>对厂址所在区域内可能的自然现象和人为状况与活动，应依据其对核能供热厂安全运行影响的显著性进行鉴别和评价，以确定那些需要进行潜在危险性调查的重要自然现象或人为状况与活动。</w:t>
      </w:r>
    </w:p>
    <w:p w:rsidR="00173414" w:rsidRDefault="00186C62">
      <w:pPr>
        <w:pStyle w:val="afffffffff7"/>
      </w:pPr>
      <w:r>
        <w:t>应收集厂址所在区域内重要自然事件的发生及其严重性的史前、历史和仪器记录的信息，以及人为状况与活动，并分析其可靠性、准确性和完整性。</w:t>
      </w:r>
    </w:p>
    <w:p w:rsidR="00173414" w:rsidRDefault="00186C62">
      <w:pPr>
        <w:pStyle w:val="afffffffff7"/>
      </w:pPr>
      <w:r>
        <w:t>应采用适当的方法确定与主要外部自然和人为事件有关的危险性，并应论证该方法能够反映当前的技术水平，且与厂址区域特征一致。</w:t>
      </w:r>
    </w:p>
    <w:p w:rsidR="00173414" w:rsidRDefault="00186C62">
      <w:pPr>
        <w:pStyle w:val="afffffffff7"/>
      </w:pPr>
      <w:r>
        <w:t>确定主要外部自然和人为事件有关危险性的方法相对应的区域范围应足够大，以包络可能对评价结果有影响的所有特征和地区。</w:t>
      </w:r>
    </w:p>
    <w:p w:rsidR="00173414" w:rsidRDefault="00186C62">
      <w:pPr>
        <w:pStyle w:val="afffffffff7"/>
      </w:pPr>
      <w:r>
        <w:lastRenderedPageBreak/>
        <w:t>应将对核能供热厂有安全影响的重要的自然和人为事件表示为适当的参数，以能够用于推导和计算与核能供热厂有关的危险性。</w:t>
      </w:r>
    </w:p>
    <w:p w:rsidR="00173414" w:rsidRDefault="00186C62">
      <w:pPr>
        <w:pStyle w:val="afffffffff7"/>
      </w:pPr>
      <w:r>
        <w:t>在确定上述各种相关的危险性时，应使用厂址特定的资料。在无法获得此类资料时，可采用与厂址所在区域具有充分相关性的其它区域的资料。通常可根据适当的和可接受的模拟技术或类似区域得到的资料用于补充厂址特定资料。</w:t>
      </w:r>
    </w:p>
    <w:p w:rsidR="00173414" w:rsidRDefault="00186C62">
      <w:pPr>
        <w:pStyle w:val="afffffffff7"/>
      </w:pPr>
      <w:r>
        <w:rPr>
          <w:rFonts w:hint="eastAsia"/>
        </w:rPr>
        <w:t>对影响</w:t>
      </w:r>
      <w:r>
        <w:t>高温气冷堆核能供热厂</w:t>
      </w:r>
      <w:r>
        <w:rPr>
          <w:rFonts w:hint="eastAsia"/>
        </w:rPr>
        <w:t>厂址安全的</w:t>
      </w:r>
      <w:r>
        <w:t>外部自然事件和外部人为事件</w:t>
      </w:r>
      <w:r>
        <w:rPr>
          <w:rFonts w:hint="eastAsia"/>
        </w:rPr>
        <w:t>应按如下要求评价：</w:t>
      </w:r>
    </w:p>
    <w:p w:rsidR="00173414" w:rsidRDefault="00186C62">
      <w:pPr>
        <w:pStyle w:val="afff4"/>
        <w:spacing w:before="120" w:after="120"/>
      </w:pPr>
      <w:r>
        <w:rPr>
          <w:rFonts w:hint="eastAsia"/>
        </w:rPr>
        <w:t>地震</w:t>
      </w:r>
    </w:p>
    <w:p w:rsidR="00173414" w:rsidRDefault="00186C62">
      <w:pPr>
        <w:pStyle w:val="afffffb"/>
        <w:ind w:firstLine="420"/>
      </w:pPr>
      <w:r>
        <w:rPr>
          <w:rFonts w:hint="eastAsia"/>
        </w:rPr>
        <w:t>a）能动断层：对于厂址附近范围内的断层，应首先鉴定其活动性，然后分析其是否具有在地表或近地表产生明显错动的可能性，并分析其与近区域、区域范围内的发震断层是否具有构造上的联系。当厂址位于潜在地表破裂影响范围内时，应认为该厂址是不适宜的；</w:t>
      </w:r>
    </w:p>
    <w:p w:rsidR="00173414" w:rsidRDefault="00186C62">
      <w:pPr>
        <w:pStyle w:val="afffffb"/>
        <w:ind w:firstLine="420"/>
        <w:rPr>
          <w:strike/>
          <w:highlight w:val="green"/>
        </w:rPr>
      </w:pPr>
      <w:r>
        <w:t>b</w:t>
      </w:r>
      <w:r>
        <w:rPr>
          <w:rFonts w:hint="eastAsia"/>
        </w:rPr>
        <w:t>）地震动：应根据厂址所在区域地震活动、地球动力学和地震构造特征，建立区域地震构造模型，并确定适合厂址所在区域的地震动衰减关系，分别采用确定性方法和概率法对厂址地震危险性进行评价。厂址设计基准地震动参数（包括基岩峰值加速度值和加速度反应谱）应在厂址特定地震动参数基础上，考虑工程设计需要综合确定。</w:t>
      </w:r>
    </w:p>
    <w:p w:rsidR="00173414" w:rsidRDefault="00186C62">
      <w:pPr>
        <w:pStyle w:val="afff4"/>
        <w:spacing w:before="120" w:after="120"/>
      </w:pPr>
      <w:r>
        <w:t>火山灾害</w:t>
      </w:r>
    </w:p>
    <w:p w:rsidR="00173414" w:rsidRDefault="00186C62">
      <w:pPr>
        <w:pStyle w:val="afffffb"/>
        <w:ind w:firstLine="420"/>
      </w:pPr>
      <w:r>
        <w:rPr>
          <w:rFonts w:hint="eastAsia"/>
        </w:rPr>
        <w:t>必须识别并评价核能供热厂寿期内可能发生活动且对厂址安全有潜在影响的火山。评价中应按区域特征选取足够大的范围，以恰当考虑各种火山现象引起的灾害性后果。如果评价表明，存在对核能供热厂安全构成不可接受影响的火山，则应另选厂址。</w:t>
      </w:r>
    </w:p>
    <w:p w:rsidR="00173414" w:rsidRDefault="00186C62">
      <w:pPr>
        <w:pStyle w:val="afff4"/>
        <w:spacing w:before="120" w:after="120"/>
      </w:pPr>
      <w:r>
        <w:rPr>
          <w:rFonts w:hint="eastAsia"/>
        </w:rPr>
        <w:t>气象</w:t>
      </w:r>
    </w:p>
    <w:p w:rsidR="00173414" w:rsidRDefault="00186C62">
      <w:pPr>
        <w:pStyle w:val="afffffb"/>
        <w:ind w:firstLine="420"/>
      </w:pPr>
      <w:r>
        <w:rPr>
          <w:rFonts w:hint="eastAsia"/>
        </w:rPr>
        <w:t>a）龙卷风：应依据厂址区域详细的历史和仪器记录资料，评价有关区域范围内发生龙卷风的可能性；应确定与龙卷风有关的各种危险性，并用如旋转风速、平移风速、最大旋转风速半径、压差和压力变化率等参数来表示；在龙卷风危险性评价中，应考虑可能和龙卷风相关的飞射物；</w:t>
      </w:r>
    </w:p>
    <w:p w:rsidR="00173414" w:rsidRDefault="00186C62">
      <w:pPr>
        <w:pStyle w:val="afffffb"/>
        <w:ind w:firstLine="420"/>
      </w:pPr>
      <w:r>
        <w:t>b</w:t>
      </w:r>
      <w:r>
        <w:rPr>
          <w:rFonts w:hint="eastAsia"/>
        </w:rPr>
        <w:t>）热带气旋：应评价厂址所在区域内热带气旋的可能性。如果评价表明，厂址所在区域内存在热带气旋的证据或有热带气旋的可能性，则应收集相关资料；应根据可用资料和适当的物理模型确定与厂址有关的各种热带气旋危险性。热带气旋的这些危害包括诸如极端风速、气压和降雨量等。</w:t>
      </w:r>
    </w:p>
    <w:p w:rsidR="00173414" w:rsidRDefault="00186C62">
      <w:pPr>
        <w:pStyle w:val="afff4"/>
        <w:spacing w:before="120" w:after="120"/>
      </w:pPr>
      <w:r>
        <w:rPr>
          <w:rFonts w:hint="eastAsia"/>
        </w:rPr>
        <w:t>洪水</w:t>
      </w:r>
    </w:p>
    <w:p w:rsidR="00173414" w:rsidRDefault="00186C62">
      <w:pPr>
        <w:pStyle w:val="afffffb"/>
        <w:ind w:firstLine="420"/>
      </w:pPr>
      <w:r>
        <w:rPr>
          <w:rFonts w:hint="eastAsia"/>
        </w:rPr>
        <w:t>a）对位于或临近河流的无潮汐河段的厂址，厂址设计基准洪水应考虑以下几个方面的因素：降雨、融雪；由地震、水文因素或运行失误所引起的挡水构筑物的破坏；滑坡、冰凌、漂木、碎石和火山活动等导致的河道阻塞；</w:t>
      </w:r>
    </w:p>
    <w:p w:rsidR="00173414" w:rsidRDefault="00186C62">
      <w:pPr>
        <w:pStyle w:val="afffffb"/>
        <w:ind w:firstLine="420"/>
      </w:pPr>
      <w:r>
        <w:rPr>
          <w:rFonts w:hint="eastAsia"/>
        </w:rPr>
        <w:t>b）对滨海厂址，厂址设计基准洪水应考虑以下几个方面的因素：可能最大风暴潮引起的洪水；可能最大海啸引起的洪水（如果存在时）；可能最大假潮引起的洪水（如果存在时）；上述3项严重事件的组合所引起的洪水；同时要估计可能存在的潮汐、海平面异常现象以及湖泊水位和河流洪水位的变化。</w:t>
      </w:r>
    </w:p>
    <w:p w:rsidR="00173414" w:rsidRDefault="00186C62">
      <w:pPr>
        <w:pStyle w:val="afff4"/>
        <w:spacing w:before="120" w:after="120"/>
      </w:pPr>
      <w:r>
        <w:rPr>
          <w:rFonts w:hint="eastAsia"/>
        </w:rPr>
        <w:t>岩土工程和工程地质</w:t>
      </w:r>
    </w:p>
    <w:p w:rsidR="00173414" w:rsidRDefault="00186C62">
      <w:pPr>
        <w:pStyle w:val="afffffb"/>
        <w:ind w:firstLine="420"/>
      </w:pPr>
      <w:r>
        <w:rPr>
          <w:rFonts w:hint="eastAsia"/>
        </w:rPr>
        <w:t>a）地基岩土体特性：应调查地基的岩土工程特征，并提供反映厂址地基特征的工程地质剖面图和各主要岩土层的物理力学性质参数。应评价地基在静态和地震荷载下的承载力、变形和稳定性；</w:t>
      </w:r>
    </w:p>
    <w:p w:rsidR="00173414" w:rsidRDefault="00186C62">
      <w:pPr>
        <w:pStyle w:val="afffffb"/>
        <w:ind w:firstLine="420"/>
      </w:pPr>
      <w:r>
        <w:t>b</w:t>
      </w:r>
      <w:r>
        <w:rPr>
          <w:rFonts w:hint="eastAsia"/>
        </w:rPr>
        <w:t>）地面塌陷、沉降或隆起：应调查厂址地区是否存在洞穴、岩溶等自然特征和水井、矿井、油井或气井等人为特征，以评价地面塌陷、沉降或隆起的可能性。如果厂址区存在着影响核能供热厂安全的地面塌陷、沉降或隆起的可能性时，除非能采取切实可行的工程措施，否则应认为该厂址是不合适的；</w:t>
      </w:r>
    </w:p>
    <w:p w:rsidR="00173414" w:rsidRDefault="00186C62">
      <w:pPr>
        <w:pStyle w:val="afffffb"/>
        <w:ind w:firstLine="420"/>
      </w:pPr>
      <w:r>
        <w:t>c</w:t>
      </w:r>
      <w:r>
        <w:rPr>
          <w:rFonts w:hint="eastAsia"/>
        </w:rPr>
        <w:t>）地震液化：对存在饱和砂土或粉土的地基，应进行地震液化可能性判别。核安全相关物项的地基液化判别应采用厂址设计基准地震动；</w:t>
      </w:r>
    </w:p>
    <w:p w:rsidR="00173414" w:rsidRDefault="00186C62">
      <w:pPr>
        <w:pStyle w:val="afffffb"/>
        <w:ind w:firstLine="420"/>
      </w:pPr>
      <w:r>
        <w:t>d</w:t>
      </w:r>
      <w:r>
        <w:rPr>
          <w:rFonts w:hint="eastAsia"/>
        </w:rPr>
        <w:t>）边坡稳定性：应评价厂址及其邻近地区存在影响核能供热厂安全的不稳定边坡或滑坡的可能性。对于核安全相关边坡，在进行边坡稳定性计算分析时，应考虑设计基准地震事件的组合作用。</w:t>
      </w:r>
    </w:p>
    <w:p w:rsidR="00173414" w:rsidRDefault="00186C62">
      <w:pPr>
        <w:pStyle w:val="afff4"/>
        <w:spacing w:before="120" w:after="120"/>
      </w:pPr>
      <w:r>
        <w:rPr>
          <w:rFonts w:hint="eastAsia"/>
        </w:rPr>
        <w:t>其他重要自然现象</w:t>
      </w:r>
    </w:p>
    <w:p w:rsidR="00173414" w:rsidRDefault="00186C62">
      <w:pPr>
        <w:pStyle w:val="afffffb"/>
        <w:ind w:firstLine="420"/>
      </w:pPr>
      <w:r>
        <w:rPr>
          <w:rFonts w:hint="eastAsia"/>
        </w:rPr>
        <w:lastRenderedPageBreak/>
        <w:t>应收集和评价对核能供热厂安全可能产生有害影响的其他有关现象的历史资料，如沙暴、暴雨、泥石流、雪、冰、冰雹、过冷水表面冻结等。如果确认存在上述可能性，则应评价其危险性。</w:t>
      </w:r>
    </w:p>
    <w:p w:rsidR="00173414" w:rsidRDefault="00186C62">
      <w:pPr>
        <w:pStyle w:val="afff4"/>
        <w:spacing w:before="120" w:after="120"/>
      </w:pPr>
      <w:r>
        <w:t>外部人为事件</w:t>
      </w:r>
    </w:p>
    <w:p w:rsidR="00173414" w:rsidRDefault="00186C62">
      <w:pPr>
        <w:pStyle w:val="afffffb"/>
        <w:ind w:firstLine="420"/>
      </w:pPr>
      <w:r>
        <w:rPr>
          <w:rFonts w:hint="eastAsia"/>
        </w:rPr>
        <w:t>a）飞机坠毁：应结合厂址周围机场和空中飞行航线的调查情况，评价厂址区域飞机坠毁的可能性。如果无法筛除相关的潜在影响，则应结合航路（线）运输现状并尽可能地考虑未来规划进行风险评价，</w:t>
      </w:r>
      <w:r>
        <w:rPr>
          <w:rFonts w:ascii="Times New Roman"/>
        </w:rPr>
        <w:t>飞机坠毁的筛选</w:t>
      </w:r>
      <w:r>
        <w:rPr>
          <w:rFonts w:ascii="Times New Roman" w:hint="eastAsia"/>
        </w:rPr>
        <w:t>概率</w:t>
      </w:r>
      <w:r>
        <w:rPr>
          <w:rFonts w:ascii="Times New Roman"/>
        </w:rPr>
        <w:t>水平可取</w:t>
      </w:r>
      <w:r>
        <w:rPr>
          <w:rFonts w:hAnsi="宋体" w:cs="宋体" w:hint="eastAsia"/>
        </w:rPr>
        <w:t>10</w:t>
      </w:r>
      <w:r>
        <w:rPr>
          <w:rFonts w:hAnsi="宋体" w:cs="宋体" w:hint="eastAsia"/>
          <w:vertAlign w:val="superscript"/>
        </w:rPr>
        <w:t>-7</w:t>
      </w:r>
      <w:r>
        <w:rPr>
          <w:rFonts w:hAnsi="宋体" w:cs="宋体" w:hint="eastAsia"/>
        </w:rPr>
        <w:t>/a；</w:t>
      </w:r>
    </w:p>
    <w:p w:rsidR="00173414" w:rsidRDefault="00186C62">
      <w:pPr>
        <w:pStyle w:val="afffffb"/>
        <w:ind w:firstLine="420"/>
      </w:pPr>
      <w:r>
        <w:t>b</w:t>
      </w:r>
      <w:r>
        <w:rPr>
          <w:rFonts w:hint="eastAsia"/>
        </w:rPr>
        <w:t>）化学品爆炸：应查明厂址周边</w:t>
      </w:r>
      <w:r>
        <w:t>5</w:t>
      </w:r>
      <w:r>
        <w:rPr>
          <w:rFonts w:hint="eastAsia"/>
        </w:rPr>
        <w:t>km</w:t>
      </w:r>
      <w:r>
        <w:t>范围</w:t>
      </w:r>
      <w:r>
        <w:rPr>
          <w:rFonts w:hint="eastAsia"/>
        </w:rPr>
        <w:t>是否存在可能导致爆炸或爆燃的易燃易爆化学品</w:t>
      </w:r>
      <w:r>
        <w:t>装卸</w:t>
      </w:r>
      <w:r>
        <w:rPr>
          <w:rFonts w:hint="eastAsia"/>
        </w:rPr>
        <w:t>、加工、运输和贮存等活动，如存在，应进行安全影响评价。与化学品爆炸有关的危险性，应在考虑距离效应后，以超压表示。爆炸危险源</w:t>
      </w:r>
      <w:r>
        <w:t>冲击波</w:t>
      </w:r>
      <w:r>
        <w:rPr>
          <w:rFonts w:hint="eastAsia"/>
        </w:rPr>
        <w:t>的初步评价可以按</w:t>
      </w:r>
      <w:r>
        <w:t>14kPa进行安全距离的筛选评价；</w:t>
      </w:r>
      <w:r>
        <w:rPr>
          <w:rFonts w:ascii="Times New Roman"/>
        </w:rPr>
        <w:t>如果评价表明可能存在安全影响，应进一步详细评价是否需要采取防御措施或作为设计基准事件</w:t>
      </w:r>
      <w:r>
        <w:rPr>
          <w:rFonts w:ascii="Times New Roman" w:hint="eastAsia"/>
        </w:rPr>
        <w:t>，</w:t>
      </w:r>
      <w:r>
        <w:rPr>
          <w:rFonts w:hint="eastAsia"/>
        </w:rPr>
        <w:t>设计基准为考虑距离效应后的冲击波超压；</w:t>
      </w:r>
    </w:p>
    <w:p w:rsidR="00173414" w:rsidRDefault="00186C62">
      <w:pPr>
        <w:pStyle w:val="afffffb"/>
        <w:ind w:firstLine="420"/>
      </w:pPr>
      <w:r>
        <w:rPr>
          <w:rFonts w:hint="eastAsia"/>
        </w:rPr>
        <w:t>c）外部火灾：应查明厂址周边</w:t>
      </w:r>
      <w:r>
        <w:t>2</w:t>
      </w:r>
      <w:r>
        <w:rPr>
          <w:rFonts w:hint="eastAsia"/>
        </w:rPr>
        <w:t>km</w:t>
      </w:r>
      <w:r>
        <w:t>范围</w:t>
      </w:r>
      <w:r>
        <w:rPr>
          <w:rFonts w:hint="eastAsia"/>
        </w:rPr>
        <w:t>是否存在可能导致厂址外部火灾的危险源，如存在，应进行安全影响评价。与外部火灾有关的危险性，主要考虑热通量产生的辐射。</w:t>
      </w:r>
      <w:r>
        <w:rPr>
          <w:rFonts w:ascii="Times New Roman"/>
        </w:rPr>
        <w:t>如果评价表明可能存在安全影响，应进一步详细评价是否需要采取防御措施或作为设计基准事件</w:t>
      </w:r>
      <w:r>
        <w:rPr>
          <w:rFonts w:ascii="Times New Roman" w:hint="eastAsia"/>
        </w:rPr>
        <w:t>；</w:t>
      </w:r>
    </w:p>
    <w:p w:rsidR="00173414" w:rsidRDefault="00186C62">
      <w:pPr>
        <w:pStyle w:val="afffffb"/>
        <w:ind w:firstLine="420"/>
      </w:pPr>
      <w:r>
        <w:rPr>
          <w:rFonts w:hint="eastAsia"/>
        </w:rPr>
        <w:t>d）危险物质释放：应查明厂址周边</w:t>
      </w:r>
      <w:r>
        <w:t>10km范围</w:t>
      </w:r>
      <w:r>
        <w:rPr>
          <w:rFonts w:hint="eastAsia"/>
        </w:rPr>
        <w:t>是否存在可能导致有毒害化学品释放的</w:t>
      </w:r>
      <w:r>
        <w:t>装卸</w:t>
      </w:r>
      <w:r>
        <w:rPr>
          <w:rFonts w:hint="eastAsia"/>
        </w:rPr>
        <w:t>、加工、运输和贮存等活动，如存在，应进行安全影响评价。与有毒化学品有关的危险性，应考虑距离和不利气象条件的组合影响，以毒性浓度表示。</w:t>
      </w:r>
      <w:r>
        <w:t>如果评价表明可能存在安全影响，应进一步详细评价并考虑采取适宜的防御措施</w:t>
      </w:r>
      <w:r>
        <w:rPr>
          <w:rFonts w:hint="eastAsia"/>
        </w:rPr>
        <w:t>；</w:t>
      </w:r>
    </w:p>
    <w:p w:rsidR="00173414" w:rsidRDefault="00186C62">
      <w:pPr>
        <w:pStyle w:val="afffffb"/>
        <w:ind w:firstLine="420"/>
      </w:pPr>
      <w:r>
        <w:rPr>
          <w:rFonts w:hint="eastAsia"/>
        </w:rPr>
        <w:t>e）其他重要人为事件：应调查厂址所在区域的设施，包括可能产生任何类型飞射物而影响核能供热厂安全的设施。电磁干扰、入地涡电流以及碎屑堵塞取排水口等可能的影响也应进行评价。</w:t>
      </w:r>
    </w:p>
    <w:p w:rsidR="00173414" w:rsidRDefault="00186C62">
      <w:pPr>
        <w:pStyle w:val="afff2"/>
        <w:spacing w:before="120" w:after="120"/>
      </w:pPr>
      <w:bookmarkStart w:id="137" w:name="_Toc19001"/>
      <w:bookmarkStart w:id="138" w:name="_Toc178060296"/>
      <w:r>
        <w:t>环境影响评价</w:t>
      </w:r>
      <w:bookmarkEnd w:id="137"/>
      <w:bookmarkEnd w:id="138"/>
    </w:p>
    <w:p w:rsidR="00173414" w:rsidRDefault="00186C62">
      <w:pPr>
        <w:pStyle w:val="afffffffff7"/>
      </w:pPr>
      <w:r>
        <w:t>高温气冷堆核能供热厂选址应符合所在区域的国土空间规划和生态环境分区管控等要求</w:t>
      </w:r>
      <w:r>
        <w:rPr>
          <w:rFonts w:hint="eastAsia"/>
        </w:rPr>
        <w:t>。</w:t>
      </w:r>
      <w:r>
        <w:rPr>
          <w:rFonts w:ascii="Times New Roman"/>
          <w:szCs w:val="21"/>
        </w:rPr>
        <w:t>厂址</w:t>
      </w:r>
      <w:r>
        <w:rPr>
          <w:rFonts w:ascii="Times New Roman" w:hint="eastAsia"/>
          <w:szCs w:val="21"/>
        </w:rPr>
        <w:t>确定过程</w:t>
      </w:r>
      <w:r>
        <w:rPr>
          <w:rFonts w:ascii="Times New Roman"/>
          <w:szCs w:val="21"/>
        </w:rPr>
        <w:t>中，应考虑环境保护和辐射安全因素</w:t>
      </w:r>
      <w:r>
        <w:rPr>
          <w:rFonts w:ascii="Times New Roman" w:hint="eastAsia"/>
          <w:szCs w:val="21"/>
        </w:rPr>
        <w:t>，</w:t>
      </w:r>
      <w:r>
        <w:rPr>
          <w:rFonts w:hint="eastAsia"/>
        </w:rPr>
        <w:t>尽可能的</w:t>
      </w:r>
      <w:r>
        <w:t>避</w:t>
      </w:r>
      <w:r>
        <w:rPr>
          <w:rFonts w:hint="eastAsia"/>
        </w:rPr>
        <w:t>让和远离</w:t>
      </w:r>
      <w:r>
        <w:t>饮用水水源保护区、自然保护区、风景名胜区和生态保护红线等环境敏感区。涉及环境敏感区的，应重点从环境制约因素、环境影响程度等方面进行适宜性论证。</w:t>
      </w:r>
    </w:p>
    <w:p w:rsidR="00173414" w:rsidRDefault="00186C62">
      <w:pPr>
        <w:pStyle w:val="afffffffff7"/>
      </w:pPr>
      <w:r>
        <w:t>高温气冷堆核能供热厂选址应考虑候选厂址所在区域的环境特征，应充分论证核能供热厂正常运行流出物排放和事故</w:t>
      </w:r>
      <w:r>
        <w:rPr>
          <w:rFonts w:hint="eastAsia"/>
        </w:rPr>
        <w:t>工况</w:t>
      </w:r>
      <w:r>
        <w:t>下的放射性物质释放、热排放及化学排放对环境、当地生态系统和公众的影响，应考虑新燃料、乏燃料及放射性固体废物的贮存和转运。选址假想事故源项确定的推荐方法参见附录C。</w:t>
      </w:r>
    </w:p>
    <w:p w:rsidR="00173414" w:rsidRDefault="00186C62">
      <w:pPr>
        <w:pStyle w:val="afffffffff7"/>
      </w:pPr>
      <w:r>
        <w:t>高温气冷堆核能供热厂选址</w:t>
      </w:r>
      <w:r>
        <w:rPr>
          <w:rFonts w:hint="eastAsia"/>
        </w:rPr>
        <w:t>应结合高温气冷堆固有安全性、应急计划简化可行性、化工园区自身应急计划实施要求以及高温气冷堆与化工园区应急计划联动的综合影响，结合候选厂址周边的环境特征现状和预期方案，综合评估人口分布、地理条件、交通、通讯等可能影响应急计划实施的因素。</w:t>
      </w:r>
    </w:p>
    <w:p w:rsidR="00173414" w:rsidRDefault="00186C62">
      <w:pPr>
        <w:pStyle w:val="afffffffff7"/>
      </w:pPr>
      <w:r>
        <w:t>高温气冷堆核能供热厂选址应调查候选厂址周边的人口密度及分布，规划限制区范围内不应有1万人以上人口集中</w:t>
      </w:r>
      <w:r>
        <w:rPr>
          <w:rFonts w:hint="eastAsia"/>
        </w:rPr>
        <w:t>地</w:t>
      </w:r>
      <w:r>
        <w:t>区。</w:t>
      </w:r>
    </w:p>
    <w:p w:rsidR="00173414" w:rsidRDefault="00186C62">
      <w:pPr>
        <w:pStyle w:val="afffffffff7"/>
      </w:pPr>
      <w:r>
        <w:t>高温气冷堆核能供热厂选址应评价放射性物质释放对候选厂址周边公众的辐射影响，且应满足下列要求：</w:t>
      </w:r>
    </w:p>
    <w:p w:rsidR="00173414" w:rsidRDefault="00186C62">
      <w:pPr>
        <w:pStyle w:val="afffffb"/>
        <w:ind w:firstLine="420"/>
      </w:pPr>
      <w:r>
        <w:t>a）在运行状态下对居民的辐射照射保持可合理达到的尽量低水平，</w:t>
      </w:r>
      <w:r>
        <w:rPr>
          <w:rFonts w:ascii="Times New Roman" w:hint="eastAsia"/>
          <w:szCs w:val="21"/>
        </w:rPr>
        <w:t>厂址所有实践活动</w:t>
      </w:r>
      <w:r>
        <w:t>向环境释放的放射性物质对公众中任何个人造成的有效剂量，每年</w:t>
      </w:r>
      <w:r>
        <w:rPr>
          <w:rFonts w:hint="eastAsia"/>
        </w:rPr>
        <w:t>不得超过</w:t>
      </w:r>
      <w:r>
        <w:t>0.25mSv；</w:t>
      </w:r>
    </w:p>
    <w:p w:rsidR="00173414" w:rsidRDefault="00186C62">
      <w:pPr>
        <w:pStyle w:val="afffffb"/>
        <w:ind w:firstLine="420"/>
        <w:rPr>
          <w:rFonts w:hAnsi="宋体" w:cs="宋体"/>
        </w:rPr>
      </w:pPr>
      <w:r>
        <w:rPr>
          <w:rFonts w:hAnsi="宋体" w:cs="宋体" w:hint="eastAsia"/>
        </w:rPr>
        <w:t>b）在评价选址假想事故后果时，应考虑保守大气弥散条件。对厂址所在区域居民的辐射风险应符合GB 6249等国家规定。</w:t>
      </w:r>
      <w:r>
        <w:rPr>
          <w:rFonts w:hAnsi="宋体" w:cs="宋体" w:hint="eastAsia"/>
          <w:szCs w:val="21"/>
        </w:rPr>
        <w:t>在发生一次稀有事故时，非居住区边界外公众在事故的整个持续时间内可能受到的有效剂量应小于5mSv；在发生一次极限事故时，非居住区边界外公众在事故的整个持续时间内可能受到的有效剂量应小于10mSv。</w:t>
      </w:r>
    </w:p>
    <w:p w:rsidR="00173414" w:rsidRDefault="00186C62">
      <w:pPr>
        <w:pStyle w:val="afffffffff7"/>
      </w:pPr>
      <w:r>
        <w:t>高温气冷堆核能供热厂选址应调查厂址周边地表水和地下水弥散特征，评价放射性物质释放对厂址周边水体的辐射影响。对于具备饮用水功能的潜在影响水体，尚应评价事故工况下核能供热厂对水体的可能影响，且应满足如下要求：</w:t>
      </w:r>
    </w:p>
    <w:p w:rsidR="00173414" w:rsidRDefault="00186C62">
      <w:pPr>
        <w:pStyle w:val="afffffb"/>
        <w:ind w:firstLine="420"/>
      </w:pPr>
      <w:r>
        <w:t>a）当水体中总</w:t>
      </w:r>
      <w:r>
        <w:t>α</w:t>
      </w:r>
      <w:r>
        <w:t>放射性</w:t>
      </w:r>
      <w:r>
        <w:rPr>
          <w:rFonts w:hAnsi="宋体" w:cs="宋体" w:hint="eastAsia"/>
        </w:rPr>
        <w:t>≤</w:t>
      </w:r>
      <w:r>
        <w:t>0.5Bq/L，总</w:t>
      </w:r>
      <w:r>
        <w:t>β</w:t>
      </w:r>
      <w:r>
        <w:t>放射性</w:t>
      </w:r>
      <w:r>
        <w:rPr>
          <w:rFonts w:hAnsi="宋体" w:cs="宋体" w:hint="eastAsia"/>
        </w:rPr>
        <w:t>≤</w:t>
      </w:r>
      <w:r>
        <w:t>1Bq/L时，可认为放射性核素对水体的环境影响小；</w:t>
      </w:r>
    </w:p>
    <w:p w:rsidR="00173414" w:rsidRDefault="00186C62">
      <w:pPr>
        <w:pStyle w:val="afffffb"/>
        <w:ind w:firstLine="420"/>
      </w:pPr>
      <w:r>
        <w:lastRenderedPageBreak/>
        <w:t>b）当水体中放射性核素活度浓度超过a）时,应进一步分析水中放射性核素的指导水平（即每天摄入2L水，每年待积有效剂量值为0.1mSv时该水体中的核素活度浓度值），当饮用水指导水平值的比值之和小于1，可认为放射性核素对水体的环境影响小；</w:t>
      </w:r>
    </w:p>
    <w:p w:rsidR="00173414" w:rsidRDefault="00186C62">
      <w:pPr>
        <w:pStyle w:val="afffffb"/>
        <w:ind w:firstLine="420"/>
      </w:pPr>
      <w:r>
        <w:t>c）当水体中放射性核素活度浓度不满足b）条规定时，应评价水体的辐射影响，以确定是否需增设保护措施。</w:t>
      </w:r>
    </w:p>
    <w:p w:rsidR="00173414" w:rsidRDefault="00186C62">
      <w:pPr>
        <w:pStyle w:val="afffffffff7"/>
      </w:pPr>
      <w:r>
        <w:t>高温气冷堆核能供热厂选址应开展辐射环境本底或现状调查，辐射环境本底调查和现状调查的环境介质一般应包括：空气、地表水、地下水、受纳水体、陆生和水生生物、食物、土壤、水体底泥和沉降物等。辐射环境本底调查和现状调查内容一般包括：环境</w:t>
      </w:r>
      <w:r>
        <w:t>γ</w:t>
      </w:r>
      <w:r>
        <w:t>辐射水平、环境介质中与核能供热厂放射性排放有关的主要放射性核素浓度。其中，环境</w:t>
      </w:r>
      <w:r>
        <w:t>γ</w:t>
      </w:r>
      <w:r>
        <w:t>辐射水平调查范围的半径一般取20km，其余项目调查范围的半径一般取10km。</w:t>
      </w:r>
    </w:p>
    <w:p w:rsidR="00173414" w:rsidRDefault="00186C62">
      <w:pPr>
        <w:pStyle w:val="afff2"/>
        <w:spacing w:before="120" w:after="120"/>
      </w:pPr>
      <w:bookmarkStart w:id="139" w:name="_Toc178060297"/>
      <w:bookmarkStart w:id="140" w:name="_Toc9810"/>
      <w:r>
        <w:t>工程方案评价</w:t>
      </w:r>
      <w:bookmarkEnd w:id="139"/>
      <w:bookmarkEnd w:id="140"/>
    </w:p>
    <w:p w:rsidR="00173414" w:rsidRDefault="00186C62">
      <w:pPr>
        <w:pStyle w:val="afffffffff7"/>
      </w:pPr>
      <w:r>
        <w:t>高温气冷堆核能供热厂选址应综合</w:t>
      </w:r>
      <w:r>
        <w:rPr>
          <w:rFonts w:hint="eastAsia"/>
        </w:rPr>
        <w:t>供热</w:t>
      </w:r>
      <w:r>
        <w:t>需求、供能</w:t>
      </w:r>
      <w:r>
        <w:rPr>
          <w:rFonts w:hint="eastAsia"/>
        </w:rPr>
        <w:t>保障</w:t>
      </w:r>
      <w:r>
        <w:t>、厂址条件、环境影响、规划条件等因素，确定厂址规划容量</w:t>
      </w:r>
      <w:r>
        <w:rPr>
          <w:rFonts w:hint="eastAsia"/>
        </w:rPr>
        <w:t>与分期</w:t>
      </w:r>
      <w:r>
        <w:t>、建设进度计划、供热方案等。</w:t>
      </w:r>
    </w:p>
    <w:p w:rsidR="00173414" w:rsidRDefault="00186C62">
      <w:pPr>
        <w:pStyle w:val="afffffffff7"/>
      </w:pPr>
      <w:r>
        <w:t>对于可能影响厂址安全可靠性和环境相容性的厂址特征，在需要采取工程防护或缓解措施的情况下，应充分考虑采取工程措施的技术可行性。</w:t>
      </w:r>
    </w:p>
    <w:p w:rsidR="00173414" w:rsidRDefault="00186C62">
      <w:pPr>
        <w:pStyle w:val="afffffffff7"/>
      </w:pPr>
      <w:r>
        <w:t>应结合厂址特征论证厂址用地与厂区总体规划、供热系统与电力系统、冷却方式与冷源条件、供水条件、交通运输等各项技术方案的可行性。</w:t>
      </w:r>
    </w:p>
    <w:p w:rsidR="00173414" w:rsidRDefault="00186C62">
      <w:pPr>
        <w:pStyle w:val="afffffffff7"/>
      </w:pPr>
      <w:r>
        <w:t>高温气冷堆核能供热厂用地条件应满足拟建核能供热厂规划容量的建设用地（包括厂区、厂外设施和施工用地等）规模要求，厂区总体规划应在安全可靠、布置合理的基础上，尽可能做到节约、集约用地，并与周边城镇或工业园区总体规划相协调。高温气冷堆核能供热厂总体规划在满足</w:t>
      </w:r>
      <w:r>
        <w:rPr>
          <w:rFonts w:hint="eastAsia"/>
        </w:rPr>
        <w:t>G</w:t>
      </w:r>
      <w:r>
        <w:t>B 50294基础上，尚应重点关注蒸汽输送通道问题。厂址地区应具备足够的蒸汽输送及输电线路出线走廊空间。</w:t>
      </w:r>
    </w:p>
    <w:p w:rsidR="00173414" w:rsidRDefault="00186C62">
      <w:pPr>
        <w:pStyle w:val="afffffffff7"/>
      </w:pPr>
      <w:r>
        <w:t>高温气冷堆核能供热厂供热系统与电力系统设计应遵循</w:t>
      </w:r>
      <w:r>
        <w:t>“</w:t>
      </w:r>
      <w:r>
        <w:t>以热定电</w:t>
      </w:r>
      <w:r>
        <w:t>”</w:t>
      </w:r>
      <w:r>
        <w:t>原则，所选厂址应充分考虑拟建核能供热厂蒸汽供应系统、蒸汽输送及电力系统与送出的技术可行性，以及在各种工况下能够维持核能供热厂运行稳定性。电网能为核能供热厂提供正常运行和安全所需的厂外电源，如启动、检修、备用电源等，同时电网具备</w:t>
      </w:r>
      <w:r>
        <w:rPr>
          <w:rFonts w:hint="eastAsia"/>
        </w:rPr>
        <w:t>消纳外部蒸汽需求调整造成发电量变化的条件</w:t>
      </w:r>
      <w:r>
        <w:t>。</w:t>
      </w:r>
    </w:p>
    <w:p w:rsidR="00173414" w:rsidRDefault="00186C62">
      <w:pPr>
        <w:pStyle w:val="afffffffff7"/>
      </w:pPr>
      <w:r>
        <w:rPr>
          <w:rFonts w:hint="eastAsia"/>
        </w:rPr>
        <w:t>应结合厂址自然环境条件、冷却水水源条件、用海用地条件和环境保护要求等论证</w:t>
      </w:r>
      <w:r>
        <w:t>核能供热厂的冷却方式</w:t>
      </w:r>
      <w:r>
        <w:rPr>
          <w:rFonts w:hint="eastAsia"/>
        </w:rPr>
        <w:t>和冷却水水源，确定可行的冷却水取排水方案。</w:t>
      </w:r>
    </w:p>
    <w:p w:rsidR="00173414" w:rsidRDefault="00186C62">
      <w:pPr>
        <w:pStyle w:val="afffffffff7"/>
      </w:pPr>
      <w:r>
        <w:rPr>
          <w:rFonts w:hint="eastAsia"/>
        </w:rPr>
        <w:t>应结合高温气冷堆核能供热厂用水环节、用水工艺和用汽回水情况确定全厂淡水用水方案；结合高温气冷堆核能供热厂淡水需求和保障要求，评价潜在淡水水源可行性、可靠性和经济性，综合确定可行的淡水供水方案。当淡水原水（包括淡水取水原水和用汽回水）水质不满足用水需求时，需在用户端或高温气冷堆核能供热厂厂内增设相应的预处理工艺；结合冷却方式、冷却水排水方案、厂区排水（包括生活用水、工业用水和液态流出物）排放需求和区域工业废水排放管理要求等条件综合确定全厂排水方案，有条件的厂址可考虑与化工园区工业用水排放方案相结合的可能性。</w:t>
      </w:r>
    </w:p>
    <w:p w:rsidR="00173414" w:rsidRDefault="00186C62">
      <w:pPr>
        <w:pStyle w:val="afffffffff7"/>
      </w:pPr>
      <w:r>
        <w:t>结合厂址周边大件设备运输条件，研究利用周边城镇或工业园区已有或规划码头或设施运输超重、超限等大件设备的可能性。</w:t>
      </w:r>
    </w:p>
    <w:p w:rsidR="00173414" w:rsidRDefault="00186C62">
      <w:pPr>
        <w:pStyle w:val="afff2"/>
        <w:spacing w:before="120" w:after="120"/>
      </w:pPr>
      <w:bookmarkStart w:id="141" w:name="_Toc178060298"/>
      <w:bookmarkStart w:id="142" w:name="_Toc20009"/>
      <w:r>
        <w:t>经济性评价</w:t>
      </w:r>
      <w:bookmarkEnd w:id="141"/>
      <w:bookmarkEnd w:id="142"/>
    </w:p>
    <w:p w:rsidR="00173414" w:rsidRDefault="00186C62">
      <w:pPr>
        <w:pStyle w:val="afffffffff7"/>
      </w:pPr>
      <w:r>
        <w:t>高温气冷堆核能供热厂选址应进行利益代价的分析与平衡，并综合评价所选厂址的经济合理性。</w:t>
      </w:r>
    </w:p>
    <w:p w:rsidR="00173414" w:rsidRDefault="00186C62">
      <w:pPr>
        <w:pStyle w:val="afffffffff7"/>
      </w:pPr>
      <w:r>
        <w:t>在进行候选厂址优劣顺序排列、优选厂址适宜性初步评价及推荐厂址适宜性评价中，均应考虑与</w:t>
      </w:r>
      <w:r>
        <w:rPr>
          <w:rFonts w:hint="eastAsia"/>
        </w:rPr>
        <w:t>供能条件、厂址安全、环境影响、技术方案等</w:t>
      </w:r>
      <w:r>
        <w:t>相关厂址特征的经济合理性因素。</w:t>
      </w:r>
    </w:p>
    <w:p w:rsidR="00173414" w:rsidRDefault="00186C62">
      <w:pPr>
        <w:pStyle w:val="afffffffff7"/>
      </w:pPr>
      <w:r>
        <w:t>应根据</w:t>
      </w:r>
      <w:r>
        <w:rPr>
          <w:rFonts w:hint="eastAsia"/>
        </w:rPr>
        <w:t>候选</w:t>
      </w:r>
      <w:r>
        <w:t>厂址以及推荐厂址的建厂条件，结合厂址总体规划逐一估算每一有关厂址特征所影响的工程量和投资费用。</w:t>
      </w:r>
    </w:p>
    <w:p w:rsidR="00173414" w:rsidRDefault="00186C62">
      <w:pPr>
        <w:pStyle w:val="afffffffff7"/>
      </w:pPr>
      <w:r>
        <w:rPr>
          <w:rFonts w:hint="eastAsia"/>
        </w:rPr>
        <w:t>厂址安全、环境影响等方面</w:t>
      </w:r>
      <w:r>
        <w:t>均可采取工程措施以满足要求，但相应的经济投入过大而影响厂址的经济合理性，则该厂址通常是不可接受的。</w:t>
      </w:r>
    </w:p>
    <w:p w:rsidR="00173414" w:rsidRDefault="00186C62">
      <w:pPr>
        <w:pStyle w:val="afffffffff7"/>
      </w:pPr>
      <w:r>
        <w:t>经济评价以建设项目财务分析为主，评价范围以核能供热厂</w:t>
      </w:r>
      <w:r>
        <w:rPr>
          <w:rFonts w:hint="eastAsia"/>
        </w:rPr>
        <w:t>厂</w:t>
      </w:r>
      <w:r>
        <w:t>内为限（一般以厂外</w:t>
      </w:r>
      <w:r>
        <w:rPr>
          <w:rFonts w:hint="eastAsia"/>
        </w:rPr>
        <w:t>1m为界）。</w:t>
      </w:r>
    </w:p>
    <w:p w:rsidR="00173414" w:rsidRDefault="00186C62">
      <w:pPr>
        <w:pStyle w:val="afffffffff7"/>
      </w:pPr>
      <w:r>
        <w:rPr>
          <w:rFonts w:hint="eastAsia"/>
        </w:rPr>
        <w:t>条件具备时，应结合供能条件调研用户端蒸汽市场价格，作为评价厂址经济性的参考。</w:t>
      </w:r>
    </w:p>
    <w:p w:rsidR="00173414" w:rsidRDefault="00186C62">
      <w:pPr>
        <w:pStyle w:val="afffffffff7"/>
      </w:pPr>
      <w:r>
        <w:t>投资估算、财务分析等工作中，应重点关注供热用途的特殊性，投资中单独考虑供热设施、财务分析中针对性考虑电、水、汽的代价和效益。对于不同参数的蒸汽，考虑对蒸汽的成本和价格进行差</w:t>
      </w:r>
      <w:r>
        <w:lastRenderedPageBreak/>
        <w:t>异化</w:t>
      </w:r>
      <w:r>
        <w:rPr>
          <w:rFonts w:hint="eastAsia"/>
        </w:rPr>
        <w:t>分析</w:t>
      </w:r>
      <w:r>
        <w:t>。</w:t>
      </w:r>
    </w:p>
    <w:p w:rsidR="00173414" w:rsidRDefault="00173414">
      <w:pPr>
        <w:pStyle w:val="afffffffff7"/>
        <w:sectPr w:rsidR="00173414">
          <w:pgSz w:w="11906" w:h="16838"/>
          <w:pgMar w:top="1928" w:right="1134" w:bottom="1134" w:left="1134" w:header="1418" w:footer="1134" w:gutter="284"/>
          <w:pgNumType w:start="1"/>
          <w:cols w:space="425"/>
          <w:formProt w:val="0"/>
          <w:docGrid w:linePitch="312"/>
        </w:sectPr>
      </w:pPr>
    </w:p>
    <w:p w:rsidR="00173414" w:rsidRDefault="00186C62">
      <w:pPr>
        <w:pStyle w:val="aff8"/>
        <w:spacing w:after="120"/>
      </w:pPr>
      <w:bookmarkStart w:id="143" w:name="_Toc2099"/>
      <w:bookmarkStart w:id="144" w:name="BookMark5"/>
      <w:bookmarkEnd w:id="26"/>
      <w:r>
        <w:lastRenderedPageBreak/>
        <w:br/>
      </w:r>
      <w:bookmarkStart w:id="145" w:name="_Toc178060299"/>
      <w:r>
        <w:rPr>
          <w:rFonts w:hint="eastAsia"/>
        </w:rPr>
        <w:t>（资料性）</w:t>
      </w:r>
      <w:r>
        <w:br/>
      </w:r>
      <w:r>
        <w:rPr>
          <w:rFonts w:hint="eastAsia"/>
        </w:rPr>
        <w:t>高温气冷堆核能供热厂初步可行性研究阶段工作程序</w:t>
      </w:r>
      <w:bookmarkEnd w:id="143"/>
      <w:bookmarkEnd w:id="145"/>
    </w:p>
    <w:p w:rsidR="00173414" w:rsidRDefault="00173414">
      <w:pPr>
        <w:pStyle w:val="afd"/>
      </w:pPr>
    </w:p>
    <w:p w:rsidR="00173414" w:rsidRDefault="00173414">
      <w:pPr>
        <w:pStyle w:val="aff3"/>
      </w:pPr>
    </w:p>
    <w:p w:rsidR="00173414" w:rsidRDefault="00186C62">
      <w:pPr>
        <w:pStyle w:val="afffffb"/>
        <w:ind w:firstLineChars="0" w:firstLine="0"/>
        <w:jc w:val="center"/>
      </w:pPr>
      <w:r>
        <w:rPr>
          <w:noProof/>
        </w:rPr>
        <w:drawing>
          <wp:inline distT="0" distB="0" distL="0" distR="0">
            <wp:extent cx="5939790" cy="6762115"/>
            <wp:effectExtent l="0" t="0" r="3810" b="635"/>
            <wp:docPr id="3" name="图片 3" descr="D:\#01标准规范有关\高温堆厂址选择技术规定草案编制\工作程序图\高温气冷堆核能供热厂初步可行性研究阶段、可行性研究阶段工作程序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01标准规范有关\高温堆厂址选择技术规定草案编制\工作程序图\高温气冷堆核能供热厂初步可行性研究阶段、可行性研究阶段工作程序_页面_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939790" cy="6762215"/>
                    </a:xfrm>
                    <a:prstGeom prst="rect">
                      <a:avLst/>
                    </a:prstGeom>
                    <a:noFill/>
                    <a:ln>
                      <a:noFill/>
                    </a:ln>
                  </pic:spPr>
                </pic:pic>
              </a:graphicData>
            </a:graphic>
          </wp:inline>
        </w:drawing>
      </w:r>
    </w:p>
    <w:p w:rsidR="00173414" w:rsidRDefault="00173414">
      <w:pPr>
        <w:pStyle w:val="afffffffff7"/>
        <w:sectPr w:rsidR="00173414">
          <w:headerReference w:type="even" r:id="rId19"/>
          <w:headerReference w:type="default" r:id="rId20"/>
          <w:footerReference w:type="even" r:id="rId21"/>
          <w:footerReference w:type="default" r:id="rId22"/>
          <w:pgSz w:w="11906" w:h="16838"/>
          <w:pgMar w:top="1928" w:right="1134" w:bottom="1134" w:left="1134" w:header="1417" w:footer="1134" w:gutter="284"/>
          <w:cols w:space="425"/>
          <w:formProt w:val="0"/>
          <w:docGrid w:linePitch="312"/>
        </w:sectPr>
      </w:pPr>
    </w:p>
    <w:p w:rsidR="00173414" w:rsidRDefault="00186C62">
      <w:pPr>
        <w:pStyle w:val="aff8"/>
        <w:spacing w:after="120"/>
      </w:pPr>
      <w:bookmarkStart w:id="146" w:name="_Toc21403"/>
      <w:r>
        <w:lastRenderedPageBreak/>
        <w:br/>
      </w:r>
      <w:bookmarkStart w:id="147" w:name="_Toc178060300"/>
      <w:r>
        <w:rPr>
          <w:rFonts w:hint="eastAsia"/>
        </w:rPr>
        <w:t>（资料性）</w:t>
      </w:r>
      <w:r>
        <w:br/>
      </w:r>
      <w:r>
        <w:rPr>
          <w:rFonts w:hint="eastAsia"/>
        </w:rPr>
        <w:t>高温气冷堆核能供热厂可行性研究阶段工作程序</w:t>
      </w:r>
      <w:bookmarkEnd w:id="146"/>
      <w:bookmarkEnd w:id="147"/>
    </w:p>
    <w:p w:rsidR="00173414" w:rsidRDefault="00173414">
      <w:pPr>
        <w:pStyle w:val="afd"/>
      </w:pPr>
    </w:p>
    <w:p w:rsidR="00173414" w:rsidRDefault="00173414">
      <w:pPr>
        <w:pStyle w:val="aff3"/>
      </w:pPr>
    </w:p>
    <w:p w:rsidR="00173414" w:rsidRDefault="00186C62">
      <w:pPr>
        <w:pStyle w:val="afffffb"/>
        <w:ind w:firstLineChars="0" w:firstLine="0"/>
        <w:jc w:val="center"/>
      </w:pPr>
      <w:r>
        <w:rPr>
          <w:noProof/>
        </w:rPr>
        <w:drawing>
          <wp:inline distT="0" distB="0" distL="0" distR="0">
            <wp:extent cx="5939790" cy="6700520"/>
            <wp:effectExtent l="0" t="0" r="3810" b="5080"/>
            <wp:docPr id="4" name="图片 4" descr="D:\#01标准规范有关\高温堆厂址选择技术规定草案编制\工作程序图\高温气冷堆核能供热厂初步可行性研究阶段、可行性研究阶段工作程序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01标准规范有关\高温堆厂址选择技术规定草案编制\工作程序图\高温气冷堆核能供热厂初步可行性研究阶段、可行性研究阶段工作程序_页面_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939790" cy="6700944"/>
                    </a:xfrm>
                    <a:prstGeom prst="rect">
                      <a:avLst/>
                    </a:prstGeom>
                    <a:noFill/>
                    <a:ln>
                      <a:noFill/>
                    </a:ln>
                  </pic:spPr>
                </pic:pic>
              </a:graphicData>
            </a:graphic>
          </wp:inline>
        </w:drawing>
      </w:r>
    </w:p>
    <w:p w:rsidR="00173414" w:rsidRDefault="00173414">
      <w:pPr>
        <w:pStyle w:val="afffffb"/>
        <w:ind w:firstLine="420"/>
        <w:sectPr w:rsidR="00173414">
          <w:headerReference w:type="even" r:id="rId24"/>
          <w:headerReference w:type="default" r:id="rId25"/>
          <w:footerReference w:type="even" r:id="rId26"/>
          <w:footerReference w:type="default" r:id="rId27"/>
          <w:pgSz w:w="11906" w:h="16838"/>
          <w:pgMar w:top="1928" w:right="1134" w:bottom="1134" w:left="1134" w:header="1417" w:footer="1134" w:gutter="284"/>
          <w:cols w:space="425"/>
          <w:formProt w:val="0"/>
          <w:docGrid w:linePitch="312"/>
        </w:sectPr>
      </w:pPr>
    </w:p>
    <w:p w:rsidR="00173414" w:rsidRDefault="00186C62">
      <w:pPr>
        <w:pStyle w:val="aff8"/>
        <w:spacing w:after="120"/>
      </w:pPr>
      <w:bookmarkStart w:id="148" w:name="_Toc6718"/>
      <w:r>
        <w:lastRenderedPageBreak/>
        <w:br/>
      </w:r>
      <w:bookmarkStart w:id="149" w:name="_Toc178060301"/>
      <w:r>
        <w:rPr>
          <w:rFonts w:hint="eastAsia"/>
        </w:rPr>
        <w:t>（资料性）</w:t>
      </w:r>
      <w:r>
        <w:br/>
      </w:r>
      <w:r>
        <w:rPr>
          <w:rFonts w:hint="eastAsia"/>
        </w:rPr>
        <w:t>高温气冷堆核能供热厂选址假想事故源项确定推荐方法</w:t>
      </w:r>
      <w:bookmarkEnd w:id="148"/>
      <w:bookmarkEnd w:id="149"/>
    </w:p>
    <w:p w:rsidR="00173414" w:rsidRDefault="00173414">
      <w:pPr>
        <w:pStyle w:val="afd"/>
      </w:pPr>
    </w:p>
    <w:p w:rsidR="00173414" w:rsidRDefault="00173414">
      <w:pPr>
        <w:pStyle w:val="aff3"/>
      </w:pPr>
    </w:p>
    <w:p w:rsidR="00173414" w:rsidRDefault="00186C62">
      <w:pPr>
        <w:pStyle w:val="afffffb"/>
        <w:ind w:firstLine="420"/>
        <w:rPr>
          <w:rFonts w:ascii="Times New Roman"/>
          <w:szCs w:val="21"/>
        </w:rPr>
      </w:pPr>
      <w:r>
        <w:rPr>
          <w:rFonts w:ascii="Times New Roman" w:hint="eastAsia"/>
          <w:szCs w:val="21"/>
        </w:rPr>
        <w:t>高温气冷堆固有安全特性和高可靠的包覆颗粒燃料元件，不会发生堆芯熔化和大量放射性释放的严重后果。选址假想事故源项可采用由特定事故序列分析而导致的放射性物质的释放来确定，通过对设计基准事故和设计扩展工况进行分析，以确定放射性物质的释放，并从中选取具有保守性和包络性的事故源项作为选址假想事故源项。在分析过程中，应分析模型的合理性，当对放射性物质释放机制的了解还不够清晰，或者相应的实验数据还不够充分时，则应考虑适当的保守性。</w:t>
      </w:r>
    </w:p>
    <w:p w:rsidR="00173414" w:rsidRDefault="00186C62">
      <w:pPr>
        <w:pStyle w:val="afffffb"/>
        <w:ind w:firstLine="420"/>
        <w:rPr>
          <w:rFonts w:ascii="Times New Roman"/>
          <w:szCs w:val="21"/>
        </w:rPr>
      </w:pPr>
      <w:r>
        <w:rPr>
          <w:rFonts w:ascii="Times New Roman"/>
          <w:szCs w:val="21"/>
        </w:rPr>
        <w:t>选址阶段</w:t>
      </w:r>
      <w:r>
        <w:rPr>
          <w:rFonts w:ascii="Times New Roman" w:hint="eastAsia"/>
          <w:szCs w:val="21"/>
        </w:rPr>
        <w:t>可选取</w:t>
      </w:r>
      <w:r>
        <w:rPr>
          <w:rFonts w:hint="eastAsia"/>
          <w:szCs w:val="21"/>
        </w:rPr>
        <w:t>蒸汽发生器一根传热管双端断裂叠加第一安全阀回座失败事故作为选址假想事故。</w:t>
      </w:r>
      <w:r>
        <w:rPr>
          <w:rFonts w:ascii="Times New Roman" w:hint="eastAsia"/>
          <w:szCs w:val="21"/>
        </w:rPr>
        <w:t>事故主要进程为：反应堆在功率运行中，假设蒸汽发生器一根传热管发生双端</w:t>
      </w:r>
      <w:r>
        <w:rPr>
          <w:rFonts w:hAnsi="宋体" w:cs="宋体" w:hint="eastAsia"/>
          <w:szCs w:val="21"/>
        </w:rPr>
        <w:t>(2F)</w:t>
      </w:r>
      <w:r>
        <w:rPr>
          <w:rFonts w:ascii="Times New Roman" w:hint="eastAsia"/>
          <w:szCs w:val="21"/>
        </w:rPr>
        <w:t>断裂，二回路的水和水蒸气进入一回路系统，一回路压力提升导致安全阀开启，并假设安全阀无法回座，水汽夹带着冲刷下来的放射性由安全阀释放到反应堆舱室，进而释放到环境</w:t>
      </w:r>
      <w:r>
        <w:rPr>
          <w:rFonts w:ascii="Times New Roman"/>
          <w:szCs w:val="21"/>
        </w:rPr>
        <w:t>。事故向环境的放射性释放量</w:t>
      </w:r>
      <w:r>
        <w:rPr>
          <w:rFonts w:ascii="Times New Roman" w:hint="eastAsia"/>
          <w:szCs w:val="21"/>
        </w:rPr>
        <w:t>可参考</w:t>
      </w:r>
      <w:r>
        <w:rPr>
          <w:rFonts w:ascii="Times New Roman"/>
          <w:szCs w:val="21"/>
        </w:rPr>
        <w:t>下表。</w:t>
      </w:r>
    </w:p>
    <w:p w:rsidR="00173414" w:rsidRDefault="00186C62">
      <w:pPr>
        <w:pStyle w:val="aff4"/>
        <w:spacing w:before="120" w:after="120"/>
      </w:pPr>
      <w:r>
        <w:rPr>
          <w:rFonts w:hint="eastAsia"/>
        </w:rPr>
        <w:t>蒸汽发生器一根传热管双端断裂叠加第一安全阀回座失败事故源项</w:t>
      </w:r>
    </w:p>
    <w:p w:rsidR="00173414" w:rsidRDefault="00186C62">
      <w:pPr>
        <w:widowControl/>
        <w:spacing w:line="240" w:lineRule="auto"/>
        <w:jc w:val="right"/>
        <w:textAlignment w:val="center"/>
        <w:rPr>
          <w:rFonts w:ascii="宋体" w:hAnsi="宋体" w:cs="宋体"/>
          <w:kern w:val="0"/>
          <w:lang w:bidi="ar"/>
        </w:rPr>
      </w:pPr>
      <w:r>
        <w:rPr>
          <w:rFonts w:ascii="宋体" w:hAnsi="宋体" w:cs="宋体" w:hint="eastAsia"/>
          <w:kern w:val="0"/>
          <w:lang w:bidi="ar"/>
        </w:rPr>
        <w:t>单位：</w:t>
      </w:r>
      <w:proofErr w:type="spellStart"/>
      <w:r>
        <w:rPr>
          <w:rFonts w:ascii="宋体" w:hAnsi="宋体" w:cs="宋体" w:hint="eastAsia"/>
          <w:kern w:val="0"/>
          <w:lang w:bidi="ar"/>
        </w:rPr>
        <w:t>Bq</w:t>
      </w:r>
      <w:proofErr w:type="spellEnd"/>
    </w:p>
    <w:tbl>
      <w:tblPr>
        <w:tblW w:w="4997" w:type="pct"/>
        <w:jc w:val="center"/>
        <w:tblCellMar>
          <w:left w:w="0" w:type="dxa"/>
          <w:right w:w="0" w:type="dxa"/>
        </w:tblCellMar>
        <w:tblLook w:val="04A0" w:firstRow="1" w:lastRow="0" w:firstColumn="1" w:lastColumn="0" w:noHBand="0" w:noVBand="1"/>
      </w:tblPr>
      <w:tblGrid>
        <w:gridCol w:w="1263"/>
        <w:gridCol w:w="1731"/>
        <w:gridCol w:w="1657"/>
        <w:gridCol w:w="1545"/>
        <w:gridCol w:w="1713"/>
        <w:gridCol w:w="1429"/>
      </w:tblGrid>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kern w:val="0"/>
                <w:lang w:bidi="ar"/>
              </w:rPr>
              <w:t>核素</w:t>
            </w:r>
          </w:p>
        </w:tc>
        <w:tc>
          <w:tcPr>
            <w:tcW w:w="926"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kern w:val="0"/>
                <w:lang w:bidi="ar"/>
              </w:rPr>
              <w:t>0-8h释放</w:t>
            </w:r>
          </w:p>
        </w:tc>
        <w:tc>
          <w:tcPr>
            <w:tcW w:w="886"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Style w:val="font01"/>
                <w:rFonts w:ascii="宋体" w:hAnsi="宋体" w:cs="宋体" w:hint="eastAsia"/>
                <w:color w:val="auto"/>
                <w:sz w:val="21"/>
                <w:szCs w:val="21"/>
                <w:lang w:bidi="ar"/>
              </w:rPr>
              <w:t>8-24h</w:t>
            </w:r>
            <w:r>
              <w:rPr>
                <w:rStyle w:val="font21"/>
                <w:rFonts w:hint="default"/>
                <w:sz w:val="21"/>
                <w:szCs w:val="21"/>
                <w:lang w:bidi="ar"/>
              </w:rPr>
              <w:t>释放</w:t>
            </w:r>
          </w:p>
        </w:tc>
        <w:tc>
          <w:tcPr>
            <w:tcW w:w="82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Style w:val="font01"/>
                <w:rFonts w:ascii="宋体" w:hAnsi="宋体" w:cs="宋体"/>
                <w:color w:val="auto"/>
                <w:sz w:val="21"/>
                <w:szCs w:val="21"/>
                <w:lang w:bidi="ar"/>
              </w:rPr>
            </w:pPr>
            <w:r>
              <w:rPr>
                <w:rStyle w:val="font01"/>
                <w:rFonts w:ascii="宋体" w:hAnsi="宋体" w:cs="宋体" w:hint="eastAsia"/>
                <w:color w:val="auto"/>
                <w:sz w:val="21"/>
                <w:szCs w:val="21"/>
                <w:lang w:bidi="ar"/>
              </w:rPr>
              <w:t>1-4天释放</w:t>
            </w:r>
          </w:p>
        </w:tc>
        <w:tc>
          <w:tcPr>
            <w:tcW w:w="916"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Style w:val="font01"/>
                <w:rFonts w:ascii="宋体" w:hAnsi="宋体" w:cs="宋体"/>
                <w:color w:val="auto"/>
                <w:sz w:val="21"/>
                <w:szCs w:val="21"/>
                <w:lang w:bidi="ar"/>
              </w:rPr>
            </w:pPr>
            <w:r>
              <w:rPr>
                <w:rStyle w:val="font01"/>
                <w:rFonts w:ascii="宋体" w:hAnsi="宋体" w:cs="宋体" w:hint="eastAsia"/>
                <w:color w:val="auto"/>
                <w:sz w:val="21"/>
                <w:szCs w:val="21"/>
                <w:lang w:bidi="ar"/>
              </w:rPr>
              <w:t>4-30天释放</w:t>
            </w:r>
          </w:p>
        </w:tc>
        <w:tc>
          <w:tcPr>
            <w:tcW w:w="765"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Style w:val="font01"/>
                <w:rFonts w:ascii="宋体" w:hAnsi="宋体" w:cs="宋体"/>
                <w:color w:val="auto"/>
                <w:sz w:val="21"/>
                <w:szCs w:val="21"/>
                <w:lang w:bidi="ar"/>
              </w:rPr>
            </w:pPr>
            <w:r>
              <w:rPr>
                <w:rStyle w:val="font01"/>
                <w:rFonts w:ascii="宋体" w:hAnsi="宋体" w:cs="宋体" w:hint="eastAsia"/>
                <w:color w:val="auto"/>
                <w:sz w:val="21"/>
                <w:szCs w:val="21"/>
                <w:lang w:bidi="ar"/>
              </w:rPr>
              <w:t>合计</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rPr>
            </w:pPr>
            <w:r>
              <w:rPr>
                <w:rFonts w:ascii="宋体" w:hAnsi="宋体" w:cs="宋体" w:hint="eastAsia"/>
                <w:bCs/>
                <w:color w:val="000000"/>
                <w:kern w:val="0"/>
                <w:lang w:bidi="ar"/>
              </w:rPr>
              <w:t>Kr-83m</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color w:val="000000"/>
                <w:kern w:val="0"/>
                <w:lang w:bidi="ar"/>
              </w:rPr>
              <w:t>2.13E+06</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color w:val="000000"/>
                <w:kern w:val="0"/>
                <w:lang w:bidi="ar"/>
              </w:rPr>
              <w:t>1.47E+04</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1.48E+01</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5.38E-13</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2.15E+06</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rPr>
            </w:pPr>
            <w:r>
              <w:rPr>
                <w:rFonts w:ascii="宋体" w:hAnsi="宋体" w:cs="宋体" w:hint="eastAsia"/>
                <w:bCs/>
                <w:color w:val="000000"/>
                <w:kern w:val="0"/>
                <w:lang w:bidi="ar"/>
              </w:rPr>
              <w:t>Kr-85</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color w:val="000000"/>
                <w:kern w:val="0"/>
                <w:lang w:bidi="ar"/>
              </w:rPr>
              <w:t>5.53E+10</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color w:val="000000"/>
                <w:kern w:val="0"/>
                <w:lang w:bidi="ar"/>
              </w:rPr>
              <w:t>9.17E+09</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2.24E+09</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4.89E+08</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6.72E+10</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rPr>
            </w:pPr>
            <w:r>
              <w:rPr>
                <w:rFonts w:ascii="宋体" w:hAnsi="宋体" w:cs="宋体" w:hint="eastAsia"/>
                <w:bCs/>
                <w:color w:val="000000"/>
                <w:kern w:val="0"/>
                <w:lang w:bidi="ar"/>
              </w:rPr>
              <w:t>Kr-85m</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color w:val="000000"/>
                <w:kern w:val="0"/>
                <w:lang w:bidi="ar"/>
              </w:rPr>
              <w:t>3.76E+09</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rPr>
            </w:pPr>
            <w:r>
              <w:rPr>
                <w:rFonts w:ascii="宋体" w:hAnsi="宋体" w:cs="宋体" w:hint="eastAsia"/>
                <w:color w:val="000000"/>
                <w:kern w:val="0"/>
                <w:lang w:bidi="ar"/>
              </w:rPr>
              <w:t>2.13E+08</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7.37E+06</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2.31E+00</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3.98E+09</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Kr-87</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9.97E+04</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1.68E+02</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1.30E-02</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3.17E-21</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9.99E+04</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Kr-88</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8.23E+08</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1.93E+07</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1.59E+05</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8.60E-05</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8.43E+08</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Xe-131m</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7.75E+09</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1.57E+09</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6.50E+08</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2.38E+08</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1.02E+10</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Xe-133</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1.41E+12</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2.99E+11</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1.32E+11</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1.98E+10</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1.86E+12</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Xe-133m</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3.56E+10</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7.69E+09</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3.22E+09</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1.00E+08</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4.66E+10</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Xe-135</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5.62E+10</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7.18E+09</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9.68E+08</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9.34E+04</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6.43E+10</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I-131</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5.94E+11</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1.20E+11</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5.33E+10</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1.42E+10</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7.81E+11</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I-132</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1.70E+08</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2.40E+06</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9.59E+03</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9.29E-08</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1.72E+08</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I-133</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5.41E+11</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1.06E+11</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3.51E+10</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1.15E+08</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6.83E+11</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I-134</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2.23E+02</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4.75E-02</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1.01E-07</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5.48E-34</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2.23E+02</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I-135</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5.71E+10</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5.69E+09</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5.22E+08</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6.10E+03</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6.33E+10</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Sr-89</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4.12E+08</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5.23E+08</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3.82E+08</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1.70E+08</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1.49E+09</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Sr-90</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7.09E+07</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3.35E+07</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2.07E+07</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1.11E+07</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1.36E+08</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Cs-134</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2.73E+10</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1.10E+10</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1.76E+10</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2.58E+10</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8.17E+10</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Cs-137</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3.94E+11</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7.29E+10</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3.49E+10</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3.28E+10</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5.35E+11</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Ag-110m</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1.56E+10</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3.79E+09</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8.92E+09</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4.05E+10</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6.88E+10</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H-3</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9.10E+10</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1.49E+10</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3.41E+09</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3.44E+08</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1.10E+11</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C-14</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1.31E+08</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2.15E+07</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4.93E+06</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4.98E+05</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1.58E+08</w:t>
            </w:r>
          </w:p>
        </w:tc>
      </w:tr>
      <w:tr w:rsidR="00173414">
        <w:trPr>
          <w:trHeight w:val="20"/>
          <w:jc w:val="center"/>
        </w:trPr>
        <w:tc>
          <w:tcPr>
            <w:tcW w:w="677" w:type="pct"/>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bCs/>
                <w:kern w:val="0"/>
                <w:lang w:bidi="ar"/>
              </w:rPr>
            </w:pPr>
            <w:r>
              <w:rPr>
                <w:rFonts w:ascii="宋体" w:hAnsi="宋体" w:cs="宋体" w:hint="eastAsia"/>
                <w:bCs/>
                <w:color w:val="000000"/>
                <w:kern w:val="0"/>
                <w:lang w:bidi="ar"/>
              </w:rPr>
              <w:t>Co-60</w:t>
            </w:r>
          </w:p>
        </w:tc>
        <w:tc>
          <w:tcPr>
            <w:tcW w:w="1686"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7.05E+07</w:t>
            </w:r>
          </w:p>
        </w:tc>
        <w:tc>
          <w:tcPr>
            <w:tcW w:w="161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1.15E+07</w:t>
            </w:r>
          </w:p>
        </w:tc>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2.64E+06</w:t>
            </w:r>
          </w:p>
        </w:tc>
        <w:tc>
          <w:tcPr>
            <w:tcW w:w="1667"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kern w:val="0"/>
                <w:lang w:bidi="ar"/>
              </w:rPr>
            </w:pPr>
            <w:r>
              <w:rPr>
                <w:rFonts w:ascii="宋体" w:hAnsi="宋体" w:cs="宋体" w:hint="eastAsia"/>
                <w:color w:val="000000"/>
                <w:kern w:val="0"/>
                <w:lang w:bidi="ar"/>
              </w:rPr>
              <w:t>2.66E+05</w:t>
            </w:r>
          </w:p>
        </w:tc>
        <w:tc>
          <w:tcPr>
            <w:tcW w:w="1393"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rsidR="00173414" w:rsidRDefault="00186C62">
            <w:pPr>
              <w:widowControl/>
              <w:spacing w:line="240" w:lineRule="auto"/>
              <w:jc w:val="center"/>
              <w:textAlignment w:val="center"/>
              <w:rPr>
                <w:rFonts w:ascii="宋体" w:hAnsi="宋体" w:cs="宋体"/>
                <w:color w:val="000000"/>
                <w:kern w:val="0"/>
                <w:lang w:bidi="ar"/>
              </w:rPr>
            </w:pPr>
            <w:r>
              <w:rPr>
                <w:rFonts w:ascii="宋体" w:hAnsi="宋体" w:cs="宋体" w:hint="eastAsia"/>
                <w:color w:val="000000"/>
                <w:kern w:val="0"/>
                <w:lang w:bidi="ar"/>
              </w:rPr>
              <w:t>8.49E+07</w:t>
            </w:r>
          </w:p>
        </w:tc>
      </w:tr>
    </w:tbl>
    <w:p w:rsidR="00173414" w:rsidRDefault="00173414">
      <w:pPr>
        <w:pStyle w:val="afffffb"/>
        <w:ind w:firstLine="460"/>
        <w:rPr>
          <w:sz w:val="23"/>
          <w:szCs w:val="23"/>
        </w:rPr>
      </w:pPr>
    </w:p>
    <w:p w:rsidR="00173414" w:rsidRDefault="00173414">
      <w:pPr>
        <w:pStyle w:val="afffffb"/>
        <w:ind w:firstLine="420"/>
      </w:pPr>
    </w:p>
    <w:p w:rsidR="00173414" w:rsidRDefault="00173414">
      <w:pPr>
        <w:pStyle w:val="afffffb"/>
        <w:ind w:firstLine="420"/>
      </w:pPr>
    </w:p>
    <w:p w:rsidR="00173414" w:rsidRDefault="00173414">
      <w:pPr>
        <w:pStyle w:val="afffffb"/>
        <w:ind w:firstLine="420"/>
        <w:sectPr w:rsidR="00173414">
          <w:headerReference w:type="even" r:id="rId28"/>
          <w:headerReference w:type="default" r:id="rId29"/>
          <w:footerReference w:type="even" r:id="rId30"/>
          <w:footerReference w:type="default" r:id="rId31"/>
          <w:pgSz w:w="11906" w:h="16838"/>
          <w:pgMar w:top="1928" w:right="1134" w:bottom="1134" w:left="1134" w:header="1417" w:footer="1134" w:gutter="284"/>
          <w:cols w:space="425"/>
          <w:formProt w:val="0"/>
          <w:docGrid w:linePitch="312"/>
        </w:sectPr>
      </w:pPr>
      <w:bookmarkStart w:id="150" w:name="BookMark6"/>
      <w:bookmarkEnd w:id="144"/>
    </w:p>
    <w:p w:rsidR="00173414" w:rsidRDefault="00186C62">
      <w:pPr>
        <w:pStyle w:val="affffff2"/>
        <w:spacing w:after="120"/>
      </w:pPr>
      <w:bookmarkStart w:id="151" w:name="_Toc19312"/>
      <w:r>
        <w:rPr>
          <w:rFonts w:hint="eastAsia"/>
          <w:spacing w:val="105"/>
        </w:rPr>
        <w:lastRenderedPageBreak/>
        <w:t>参考文</w:t>
      </w:r>
      <w:r>
        <w:rPr>
          <w:rFonts w:hint="eastAsia"/>
        </w:rPr>
        <w:t>献</w:t>
      </w:r>
      <w:bookmarkEnd w:id="151"/>
    </w:p>
    <w:p w:rsidR="00173414" w:rsidRDefault="00186C62">
      <w:pPr>
        <w:pStyle w:val="afffffb"/>
        <w:ind w:firstLine="420"/>
      </w:pPr>
      <w:r>
        <w:rPr>
          <w:rFonts w:hint="eastAsia"/>
        </w:rPr>
        <w:t>[1] HAF 101 核动力厂厂址评价安全规定</w:t>
      </w:r>
    </w:p>
    <w:p w:rsidR="00173414" w:rsidRDefault="00186C62">
      <w:pPr>
        <w:pStyle w:val="afffffb"/>
        <w:ind w:firstLine="420"/>
      </w:pPr>
      <w:r>
        <w:rPr>
          <w:rFonts w:hint="eastAsia"/>
        </w:rPr>
        <w:t>[2] HAF·J0067 核电厂可行性研究阶段厂址安全分析报告的格式和内容</w:t>
      </w:r>
    </w:p>
    <w:p w:rsidR="00173414" w:rsidRDefault="00186C62">
      <w:pPr>
        <w:pStyle w:val="afffffb"/>
        <w:ind w:firstLine="420"/>
      </w:pPr>
      <w:r>
        <w:rPr>
          <w:rFonts w:hint="eastAsia"/>
        </w:rPr>
        <w:t>[3] HAD 101/01 核电厂厂址选择中的地震问题</w:t>
      </w:r>
    </w:p>
    <w:p w:rsidR="00173414" w:rsidRDefault="00186C62">
      <w:pPr>
        <w:pStyle w:val="afffffb"/>
        <w:ind w:firstLine="420"/>
      </w:pPr>
      <w:r>
        <w:rPr>
          <w:rFonts w:hint="eastAsia"/>
        </w:rPr>
        <w:t>[4] HAD 101/02 核电厂厂址选择的大气弥散问题</w:t>
      </w:r>
    </w:p>
    <w:p w:rsidR="00173414" w:rsidRDefault="00186C62">
      <w:pPr>
        <w:pStyle w:val="afffffb"/>
        <w:ind w:firstLine="420"/>
      </w:pPr>
      <w:r>
        <w:rPr>
          <w:rFonts w:hint="eastAsia"/>
        </w:rPr>
        <w:t>[5] HAD 101/03 核电厂厂址选择及评价的人口分布问题</w:t>
      </w:r>
    </w:p>
    <w:p w:rsidR="00173414" w:rsidRDefault="00186C62">
      <w:pPr>
        <w:pStyle w:val="afffffb"/>
        <w:ind w:firstLine="420"/>
      </w:pPr>
      <w:r>
        <w:rPr>
          <w:rFonts w:hint="eastAsia"/>
        </w:rPr>
        <w:t>[6] HAD 101/04 核电厂厂址选择的外部人为事件</w:t>
      </w:r>
    </w:p>
    <w:p w:rsidR="00173414" w:rsidRDefault="00186C62">
      <w:pPr>
        <w:pStyle w:val="afffffb"/>
        <w:ind w:firstLine="420"/>
      </w:pPr>
      <w:r>
        <w:rPr>
          <w:rFonts w:hint="eastAsia"/>
        </w:rPr>
        <w:t>[7] HAD 101/05 核电厂厂址选择中的放射性物质水力弥散问题</w:t>
      </w:r>
    </w:p>
    <w:p w:rsidR="00173414" w:rsidRDefault="00186C62">
      <w:pPr>
        <w:pStyle w:val="afffffb"/>
        <w:ind w:firstLine="420"/>
      </w:pPr>
      <w:r>
        <w:rPr>
          <w:rFonts w:hint="eastAsia"/>
        </w:rPr>
        <w:t>[8] HAD 101/06 核电厂厂址选择与水文地质的关系</w:t>
      </w:r>
    </w:p>
    <w:p w:rsidR="00173414" w:rsidRDefault="00186C62">
      <w:pPr>
        <w:pStyle w:val="afffffb"/>
        <w:ind w:firstLine="420"/>
      </w:pPr>
      <w:r>
        <w:rPr>
          <w:rFonts w:hint="eastAsia"/>
        </w:rPr>
        <w:t>[9] HAD 101/07 核电厂厂址查勘</w:t>
      </w:r>
    </w:p>
    <w:p w:rsidR="00173414" w:rsidRDefault="00186C62">
      <w:pPr>
        <w:pStyle w:val="afffffb"/>
        <w:ind w:firstLine="420"/>
      </w:pPr>
      <w:r>
        <w:rPr>
          <w:rFonts w:hint="eastAsia"/>
        </w:rPr>
        <w:t>[10] HAD 101/08 滨河核电厂厂址设计基准洪水的确定</w:t>
      </w:r>
    </w:p>
    <w:p w:rsidR="00173414" w:rsidRDefault="00186C62">
      <w:pPr>
        <w:pStyle w:val="afffffb"/>
        <w:ind w:firstLine="420"/>
      </w:pPr>
      <w:r>
        <w:rPr>
          <w:rFonts w:hint="eastAsia"/>
        </w:rPr>
        <w:t>[11] HAD 101/09 滨海核电厂厂址设计基准洪水的确定</w:t>
      </w:r>
    </w:p>
    <w:p w:rsidR="00173414" w:rsidRDefault="00186C62">
      <w:pPr>
        <w:pStyle w:val="afffffb"/>
        <w:ind w:firstLine="420"/>
      </w:pPr>
      <w:r>
        <w:rPr>
          <w:rFonts w:hint="eastAsia"/>
        </w:rPr>
        <w:t>[12] HAD 101/10 核电厂厂址选择的极端气象事件</w:t>
      </w:r>
    </w:p>
    <w:p w:rsidR="00173414" w:rsidRDefault="00186C62">
      <w:pPr>
        <w:pStyle w:val="afffffb"/>
        <w:ind w:firstLine="420"/>
      </w:pPr>
      <w:r>
        <w:rPr>
          <w:rFonts w:hint="eastAsia"/>
        </w:rPr>
        <w:t>[13] HAD 101/11 核电厂设计基准热带气旋</w:t>
      </w:r>
    </w:p>
    <w:p w:rsidR="00173414" w:rsidRDefault="00186C62">
      <w:pPr>
        <w:pStyle w:val="afffffb"/>
        <w:ind w:firstLine="420"/>
      </w:pPr>
      <w:r>
        <w:rPr>
          <w:rFonts w:hint="eastAsia"/>
        </w:rPr>
        <w:t>[14] HAD 101/12 核电厂的地基安全问题</w:t>
      </w:r>
    </w:p>
    <w:p w:rsidR="00173414" w:rsidRDefault="00186C62">
      <w:pPr>
        <w:pStyle w:val="afffffb"/>
        <w:ind w:firstLine="420"/>
      </w:pPr>
      <w:r>
        <w:rPr>
          <w:rFonts w:hint="eastAsia"/>
        </w:rPr>
        <w:t>[15] GB 18871 电离辐射防护与辐射源安全基本标准</w:t>
      </w:r>
    </w:p>
    <w:p w:rsidR="00173414" w:rsidRDefault="00186C62">
      <w:pPr>
        <w:pStyle w:val="afffffb"/>
        <w:ind w:firstLine="420"/>
      </w:pPr>
      <w:r>
        <w:rPr>
          <w:rFonts w:hint="eastAsia"/>
        </w:rPr>
        <w:t>[16] GB 5749 生活饮用水卫生标准</w:t>
      </w:r>
    </w:p>
    <w:p w:rsidR="00173414" w:rsidRDefault="00186C62">
      <w:pPr>
        <w:pStyle w:val="afffffb"/>
        <w:ind w:firstLine="420"/>
      </w:pPr>
      <w:r>
        <w:rPr>
          <w:rFonts w:hint="eastAsia"/>
        </w:rPr>
        <w:t>[17] GB/T 50572 核电厂工程地震调查与评价规范</w:t>
      </w:r>
    </w:p>
    <w:p w:rsidR="00173414" w:rsidRDefault="00186C62">
      <w:pPr>
        <w:pStyle w:val="afffffb"/>
        <w:ind w:firstLine="420"/>
      </w:pPr>
      <w:r>
        <w:rPr>
          <w:rFonts w:hint="eastAsia"/>
        </w:rPr>
        <w:t>[18] NB/T 20293 核电厂厂址选择基本程序</w:t>
      </w:r>
    </w:p>
    <w:p w:rsidR="00173414" w:rsidRDefault="00186C62">
      <w:pPr>
        <w:pStyle w:val="afffffb"/>
        <w:ind w:firstLine="420"/>
      </w:pPr>
      <w:r>
        <w:rPr>
          <w:rFonts w:hint="eastAsia"/>
        </w:rPr>
        <w:t>[19] NB/T 20033 核电厂初步可行性研究报告内容深度规定</w:t>
      </w:r>
    </w:p>
    <w:p w:rsidR="00173414" w:rsidRDefault="00186C62">
      <w:pPr>
        <w:pStyle w:val="afffffb"/>
        <w:ind w:firstLine="420"/>
      </w:pPr>
      <w:r>
        <w:rPr>
          <w:rFonts w:hint="eastAsia"/>
        </w:rPr>
        <w:t>[20] NB/T 20034 核电厂可行性研究报告内容深度规定</w:t>
      </w:r>
    </w:p>
    <w:p w:rsidR="00173414" w:rsidRDefault="00186C62">
      <w:pPr>
        <w:pStyle w:val="afffffb"/>
        <w:ind w:firstLine="420"/>
      </w:pPr>
      <w:r>
        <w:rPr>
          <w:rFonts w:hint="eastAsia"/>
        </w:rPr>
        <w:t>[21] NB/T 20200 核电厂外部人为事件调查与评价技术规范</w:t>
      </w:r>
    </w:p>
    <w:p w:rsidR="00173414" w:rsidRDefault="00186C62">
      <w:pPr>
        <w:pStyle w:val="afffffb"/>
        <w:ind w:firstLine="420"/>
      </w:pPr>
      <w:r>
        <w:rPr>
          <w:rFonts w:hint="eastAsia"/>
        </w:rPr>
        <w:t>[22] HJ808 环境影响评价技术导则 核电厂环境影响报告书的格式和内容</w:t>
      </w:r>
      <w:bookmarkEnd w:id="150"/>
    </w:p>
    <w:p w:rsidR="00173414" w:rsidRDefault="00186C62">
      <w:pPr>
        <w:pStyle w:val="afffffb"/>
        <w:ind w:firstLine="420"/>
      </w:pPr>
      <w:r>
        <w:rPr>
          <w:noProof/>
        </w:rPr>
        <mc:AlternateContent>
          <mc:Choice Requires="wps">
            <w:drawing>
              <wp:anchor distT="0" distB="0" distL="114300" distR="114300" simplePos="0" relativeHeight="251661312" behindDoc="0" locked="0" layoutInCell="1" allowOverlap="1">
                <wp:simplePos x="0" y="0"/>
                <wp:positionH relativeFrom="column">
                  <wp:posOffset>1668145</wp:posOffset>
                </wp:positionH>
                <wp:positionV relativeFrom="paragraph">
                  <wp:posOffset>1805305</wp:posOffset>
                </wp:positionV>
                <wp:extent cx="2388235" cy="6350"/>
                <wp:effectExtent l="0" t="0" r="0" b="0"/>
                <wp:wrapTopAndBottom/>
                <wp:docPr id="6" name="直接连接符 6"/>
                <wp:cNvGraphicFramePr/>
                <a:graphic xmlns:a="http://schemas.openxmlformats.org/drawingml/2006/main">
                  <a:graphicData uri="http://schemas.microsoft.com/office/word/2010/wordprocessingShape">
                    <wps:wsp>
                      <wps:cNvCnPr/>
                      <wps:spPr>
                        <a:xfrm>
                          <a:off x="0" y="0"/>
                          <a:ext cx="2388235" cy="635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_x0000_s1026" o:spid="_x0000_s1026" o:spt="20" style="position:absolute;left:0pt;margin-left:131.35pt;margin-top:142.15pt;height:0.5pt;width:188.05pt;mso-wrap-distance-bottom:0pt;mso-wrap-distance-top:0pt;z-index:251661312;mso-width-relative:page;mso-height-relative:page;" filled="f" stroked="t" coordsize="21600,21600" o:gfxdata="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e&#10;fNFC2wAAAAsBAAAPAAAAAAAAAAEAIAAAACIAAABkcnMvZG93bnJldi54bWxQSwECFAAUAAAACACH&#10;TuJA24l1zOgBAAC1AwAADgAAAAAAAAABACAAAAAqAQAAZHJzL2Uyb0RvYy54bWxQSwUGAAAAAAYA&#10;BgBZAQAAhAUAAAAA&#10;">
                <v:fill on="f" focussize="0,0"/>
                <v:stroke weight="1pt" color="#000000 [3213]" miterlimit="8" joinstyle="miter"/>
                <v:imagedata o:title=""/>
                <o:lock v:ext="edit" aspectratio="f"/>
                <w10:wrap type="topAndBottom"/>
              </v:line>
            </w:pict>
          </mc:Fallback>
        </mc:AlternateContent>
      </w:r>
    </w:p>
    <w:sectPr w:rsidR="00173414">
      <w:pgSz w:w="11906" w:h="16838"/>
      <w:pgMar w:top="1928" w:right="1134" w:bottom="1134" w:left="1134" w:header="1417"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04C07" w:rsidRDefault="00A04C07">
      <w:pPr>
        <w:spacing w:line="240" w:lineRule="auto"/>
      </w:pPr>
      <w:r>
        <w:separator/>
      </w:r>
    </w:p>
  </w:endnote>
  <w:endnote w:type="continuationSeparator" w:id="0">
    <w:p w:rsidR="00A04C07" w:rsidRDefault="00A04C0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7"/>
    </w:pPr>
    <w:r>
      <w:fldChar w:fldCharType="begin"/>
    </w:r>
    <w:r>
      <w:instrText xml:space="preserve"> page \* MERGEFORMAT </w:instrText>
    </w:r>
    <w:r>
      <w:fldChar w:fldCharType="separate"/>
    </w:r>
    <w: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73414">
    <w:pPr>
      <w:pStyle w:val="affff3"/>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8"/>
    </w:pPr>
    <w:r>
      <w:fldChar w:fldCharType="begin"/>
    </w:r>
    <w:r>
      <w:instrText xml:space="preserve"> page \* MERGEFORMAT </w:instrText>
    </w:r>
    <w:r>
      <w:fldChar w:fldCharType="separate"/>
    </w:r>
    <w:r w:rsidR="00E3322F">
      <w:rPr>
        <w:noProof/>
      </w:rPr>
      <w:t>7</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7"/>
    </w:pPr>
    <w:r>
      <w:fldChar w:fldCharType="begin"/>
    </w:r>
    <w:r>
      <w:instrText xml:space="preserve"> page \* MERGEFORMAT </w:instrText>
    </w:r>
    <w:r>
      <w:fldChar w:fldCharType="separate"/>
    </w:r>
    <w:r>
      <w:t>1</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8"/>
    </w:pPr>
    <w:r>
      <w:fldChar w:fldCharType="begin"/>
    </w:r>
    <w:r>
      <w:instrText xml:space="preserve"> page \* MERGEFORMAT </w:instrText>
    </w:r>
    <w:r>
      <w:fldChar w:fldCharType="separate"/>
    </w:r>
    <w:r w:rsidR="00E3322F">
      <w:rPr>
        <w:noProof/>
      </w:rPr>
      <w:t>8</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7"/>
    </w:pPr>
    <w:r>
      <w:fldChar w:fldCharType="begin"/>
    </w:r>
    <w:r>
      <w:instrText xml:space="preserve"> page \* MERGEFORMAT </w:instrText>
    </w:r>
    <w:r>
      <w:fldChar w:fldCharType="separate"/>
    </w:r>
    <w:r>
      <w:t>1</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8"/>
    </w:pPr>
    <w:r>
      <w:fldChar w:fldCharType="begin"/>
    </w:r>
    <w:r>
      <w:instrText xml:space="preserve"> page \* MERGEFORMAT </w:instrText>
    </w:r>
    <w:r>
      <w:fldChar w:fldCharType="separate"/>
    </w:r>
    <w:r w:rsidR="00E3322F">
      <w:rPr>
        <w:noProof/>
      </w:rPr>
      <w:t>9</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7"/>
    </w:pPr>
    <w:r>
      <w:fldChar w:fldCharType="begin"/>
    </w:r>
    <w:r>
      <w:instrText xml:space="preserve"> page \* MERGEFORMAT </w:instrText>
    </w:r>
    <w:r>
      <w:fldChar w:fldCharType="separate"/>
    </w:r>
    <w:r>
      <w:t>1</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8"/>
    </w:pPr>
    <w:r>
      <w:fldChar w:fldCharType="begin"/>
    </w:r>
    <w:r>
      <w:instrText xml:space="preserve"> page \* MERGEFORMAT </w:instrText>
    </w:r>
    <w:r>
      <w:fldChar w:fldCharType="separate"/>
    </w:r>
    <w:r w:rsidR="00E3322F">
      <w:rPr>
        <w:noProof/>
      </w:rPr>
      <w:t>11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04C07" w:rsidRDefault="00A04C07">
      <w:pPr>
        <w:spacing w:line="240" w:lineRule="auto"/>
      </w:pPr>
      <w:r>
        <w:separator/>
      </w:r>
    </w:p>
  </w:footnote>
  <w:footnote w:type="continuationSeparator" w:id="0">
    <w:p w:rsidR="00A04C07" w:rsidRDefault="00A04C0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1"/>
    </w:pPr>
    <w:r>
      <w:rPr>
        <w:rFonts w:hint="eastAsia"/>
      </w:rPr>
      <w:t>T/CNS XXXX—XXXX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5"/>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73414">
    <w:pPr>
      <w:pStyle w:val="affff5"/>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0"/>
    </w:pPr>
    <w:r>
      <w:rPr>
        <w:rFonts w:hint="eastAsia"/>
      </w:rPr>
      <w:t>T/CNS XXXX—XXXX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1"/>
    </w:pPr>
    <w:r>
      <w:rPr>
        <w:rFonts w:hint="eastAsia"/>
      </w:rPr>
      <w:t>T/CNS XXXX—XXXX</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0"/>
    </w:pPr>
    <w:r>
      <w:rPr>
        <w:rFonts w:hint="eastAsia"/>
      </w:rPr>
      <w:t>T/CNS XXXX—XXXX</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1"/>
    </w:pPr>
    <w:r>
      <w:rPr>
        <w:rFonts w:hint="eastAsia"/>
      </w:rPr>
      <w:t>T/CNS XXXX—XXXX</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0"/>
    </w:pPr>
    <w:r>
      <w:rPr>
        <w:rFonts w:hint="eastAsia"/>
      </w:rPr>
      <w:t>T/CNS XXXX—XXXX</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1"/>
    </w:pPr>
    <w:r>
      <w:rPr>
        <w:rFonts w:hint="eastAsia"/>
      </w:rPr>
      <w:t>T/CNS XXXX—XXXX</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73414" w:rsidRDefault="00186C62">
    <w:pPr>
      <w:pStyle w:val="affffff0"/>
    </w:pPr>
    <w:r>
      <w:rPr>
        <w:rFonts w:hint="eastAsia"/>
      </w:rPr>
      <w:t>T/CNS XXXX—XXXX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1FC91163"/>
    <w:multiLevelType w:val="multilevel"/>
    <w:tmpl w:val="1FC91163"/>
    <w:lvl w:ilvl="0">
      <w:start w:val="1"/>
      <w:numFmt w:val="decimal"/>
      <w:lvlText w:val="%1."/>
      <w:lvlJc w:val="left"/>
      <w:pPr>
        <w:ind w:left="0" w:firstLine="0"/>
      </w:pPr>
      <w:rPr>
        <w:rFonts w:hint="eastAsia"/>
        <w:b w:val="0"/>
        <w:i w:val="0"/>
        <w:sz w:val="21"/>
        <w:szCs w:val="21"/>
      </w:rPr>
    </w:lvl>
    <w:lvl w:ilvl="1">
      <w:start w:val="1"/>
      <w:numFmt w:val="decimal"/>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f2"/>
      <w:lvlText w:val="5.1.%3"/>
      <w:lvlJc w:val="left"/>
      <w:pPr>
        <w:ind w:left="0" w:firstLine="0"/>
      </w:pPr>
      <w:rPr>
        <w:rFonts w:hint="eastAsia"/>
        <w:b w:val="0"/>
        <w:i w:val="0"/>
        <w:sz w:val="21"/>
      </w:rPr>
    </w:lvl>
    <w:lvl w:ilvl="3">
      <w:start w:val="1"/>
      <w:numFmt w:val="decimal"/>
      <w:pStyle w:val="af3"/>
      <w:suff w:val="nothing"/>
      <w:lvlText w:val="%1.%2.%3.%4　"/>
      <w:lvlJc w:val="left"/>
      <w:pPr>
        <w:ind w:left="0" w:firstLine="0"/>
      </w:pPr>
      <w:rPr>
        <w:rFonts w:ascii="黑体" w:eastAsia="黑体" w:hAnsi="Times New Roman" w:hint="eastAsia"/>
        <w:b w:val="0"/>
        <w:i w:val="0"/>
        <w:sz w:val="21"/>
      </w:rPr>
    </w:lvl>
    <w:lvl w:ilvl="4">
      <w:start w:val="1"/>
      <w:numFmt w:val="decimal"/>
      <w:pStyle w:val="af4"/>
      <w:suff w:val="nothing"/>
      <w:lvlText w:val="%1.%2.%3.%4.%5　"/>
      <w:lvlJc w:val="left"/>
      <w:pPr>
        <w:ind w:left="0" w:firstLine="0"/>
      </w:pPr>
      <w:rPr>
        <w:rFonts w:ascii="黑体" w:eastAsia="黑体" w:hAnsi="Times New Roman" w:hint="eastAsia"/>
        <w:b w:val="0"/>
        <w:i w:val="0"/>
        <w:sz w:val="21"/>
      </w:rPr>
    </w:lvl>
    <w:lvl w:ilvl="5">
      <w:start w:val="1"/>
      <w:numFmt w:val="decimal"/>
      <w:pStyle w:val="af5"/>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15:restartNumberingAfterBreak="0">
    <w:nsid w:val="272D25D4"/>
    <w:multiLevelType w:val="multilevel"/>
    <w:tmpl w:val="272D25D4"/>
    <w:lvl w:ilvl="0">
      <w:start w:val="1"/>
      <w:numFmt w:val="decimal"/>
      <w:pStyle w:val="af6"/>
      <w:lvlText w:val="4.%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2C5917C3"/>
    <w:multiLevelType w:val="multilevel"/>
    <w:tmpl w:val="2C5917C3"/>
    <w:lvl w:ilvl="0">
      <w:start w:val="1"/>
      <w:numFmt w:val="none"/>
      <w:pStyle w:val="af7"/>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8"/>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3" w15:restartNumberingAfterBreak="0">
    <w:nsid w:val="32F04FB2"/>
    <w:multiLevelType w:val="multilevel"/>
    <w:tmpl w:val="32F04FB2"/>
    <w:lvl w:ilvl="0">
      <w:start w:val="1"/>
      <w:numFmt w:val="lowerLetter"/>
      <w:pStyle w:val="af9"/>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4" w15:restartNumberingAfterBreak="0">
    <w:nsid w:val="44C50F90"/>
    <w:multiLevelType w:val="multilevel"/>
    <w:tmpl w:val="44C50F90"/>
    <w:lvl w:ilvl="0">
      <w:start w:val="1"/>
      <w:numFmt w:val="lowerLetter"/>
      <w:pStyle w:val="afa"/>
      <w:lvlText w:val="%1)"/>
      <w:lvlJc w:val="left"/>
      <w:pPr>
        <w:tabs>
          <w:tab w:val="left" w:pos="851"/>
        </w:tabs>
        <w:ind w:left="851" w:hanging="426"/>
      </w:pPr>
      <w:rPr>
        <w:rFonts w:ascii="宋体" w:eastAsia="宋体" w:hAnsi="Times New Roman" w:hint="eastAsia"/>
        <w:sz w:val="21"/>
      </w:rPr>
    </w:lvl>
    <w:lvl w:ilvl="1">
      <w:start w:val="1"/>
      <w:numFmt w:val="decimal"/>
      <w:pStyle w:val="afb"/>
      <w:lvlText w:val="%2)"/>
      <w:lvlJc w:val="left"/>
      <w:pPr>
        <w:tabs>
          <w:tab w:val="left" w:pos="1276"/>
        </w:tabs>
        <w:ind w:left="1276" w:hanging="425"/>
      </w:pPr>
      <w:rPr>
        <w:rFonts w:ascii="宋体" w:eastAsia="宋体" w:hAnsi="Times New Roman" w:hint="eastAsia"/>
        <w:sz w:val="21"/>
      </w:rPr>
    </w:lvl>
    <w:lvl w:ilvl="2">
      <w:start w:val="1"/>
      <w:numFmt w:val="decimal"/>
      <w:pStyle w:val="afc"/>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5" w15:restartNumberingAfterBreak="0">
    <w:nsid w:val="48802D1C"/>
    <w:multiLevelType w:val="multilevel"/>
    <w:tmpl w:val="48802D1C"/>
    <w:lvl w:ilvl="0">
      <w:start w:val="1"/>
      <w:numFmt w:val="upperLetter"/>
      <w:pStyle w:val="afd"/>
      <w:lvlText w:val="%1"/>
      <w:lvlJc w:val="left"/>
      <w:pPr>
        <w:ind w:left="420" w:hanging="420"/>
      </w:pPr>
      <w:rPr>
        <w:rFonts w:hint="eastAsia"/>
        <w:vanish/>
      </w:rPr>
    </w:lvl>
    <w:lvl w:ilvl="1">
      <w:start w:val="1"/>
      <w:numFmt w:val="decimal"/>
      <w:pStyle w:val="afe"/>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6" w15:restartNumberingAfterBreak="0">
    <w:nsid w:val="4B733A5F"/>
    <w:multiLevelType w:val="multilevel"/>
    <w:tmpl w:val="4B733A5F"/>
    <w:lvl w:ilvl="0">
      <w:start w:val="1"/>
      <w:numFmt w:val="decimal"/>
      <w:pStyle w:val="aff"/>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7" w15:restartNumberingAfterBreak="0">
    <w:nsid w:val="4E5D0534"/>
    <w:multiLevelType w:val="multilevel"/>
    <w:tmpl w:val="4E5D0534"/>
    <w:lvl w:ilvl="0">
      <w:start w:val="1"/>
      <w:numFmt w:val="decimal"/>
      <w:pStyle w:val="aff0"/>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4632751"/>
    <w:multiLevelType w:val="multilevel"/>
    <w:tmpl w:val="54632751"/>
    <w:lvl w:ilvl="0">
      <w:start w:val="1"/>
      <w:numFmt w:val="none"/>
      <w:pStyle w:val="aff1"/>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9" w15:restartNumberingAfterBreak="0">
    <w:nsid w:val="557C2AF5"/>
    <w:multiLevelType w:val="multilevel"/>
    <w:tmpl w:val="557C2AF5"/>
    <w:lvl w:ilvl="0">
      <w:start w:val="1"/>
      <w:numFmt w:val="decimal"/>
      <w:pStyle w:val="aff2"/>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20" w15:restartNumberingAfterBreak="0">
    <w:nsid w:val="5603797C"/>
    <w:multiLevelType w:val="multilevel"/>
    <w:tmpl w:val="5603797C"/>
    <w:lvl w:ilvl="0">
      <w:start w:val="1"/>
      <w:numFmt w:val="upperLetter"/>
      <w:pStyle w:val="aff3"/>
      <w:suff w:val="space"/>
      <w:lvlText w:val="%1"/>
      <w:lvlJc w:val="left"/>
      <w:pPr>
        <w:ind w:left="425" w:hanging="425"/>
      </w:pPr>
      <w:rPr>
        <w:rFonts w:hint="eastAsia"/>
        <w:vanish/>
      </w:rPr>
    </w:lvl>
    <w:lvl w:ilvl="1">
      <w:start w:val="1"/>
      <w:numFmt w:val="decimal"/>
      <w:pStyle w:val="aff4"/>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1" w15:restartNumberingAfterBreak="0">
    <w:nsid w:val="564D2089"/>
    <w:multiLevelType w:val="multilevel"/>
    <w:tmpl w:val="564D2089"/>
    <w:lvl w:ilvl="0">
      <w:start w:val="1"/>
      <w:numFmt w:val="none"/>
      <w:pStyle w:val="aff5"/>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2" w15:restartNumberingAfterBreak="0">
    <w:nsid w:val="644622F9"/>
    <w:multiLevelType w:val="multilevel"/>
    <w:tmpl w:val="644622F9"/>
    <w:lvl w:ilvl="0">
      <w:start w:val="1"/>
      <w:numFmt w:val="upperRoman"/>
      <w:pStyle w:val="aff6"/>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3" w15:restartNumberingAfterBreak="0">
    <w:nsid w:val="646260FA"/>
    <w:multiLevelType w:val="multilevel"/>
    <w:tmpl w:val="646260FA"/>
    <w:lvl w:ilvl="0">
      <w:start w:val="1"/>
      <w:numFmt w:val="decimal"/>
      <w:pStyle w:val="aff7"/>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4"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5" w15:restartNumberingAfterBreak="0">
    <w:nsid w:val="657D3FBC"/>
    <w:multiLevelType w:val="multilevel"/>
    <w:tmpl w:val="657D3FBC"/>
    <w:lvl w:ilvl="0">
      <w:start w:val="1"/>
      <w:numFmt w:val="upperLetter"/>
      <w:pStyle w:val="aff8"/>
      <w:suff w:val="nothing"/>
      <w:lvlText w:val="附录%1"/>
      <w:lvlJc w:val="left"/>
      <w:pPr>
        <w:ind w:left="0" w:firstLine="0"/>
      </w:pPr>
      <w:rPr>
        <w:rFonts w:hint="eastAsia"/>
        <w:spacing w:val="100"/>
      </w:rPr>
    </w:lvl>
    <w:lvl w:ilvl="1">
      <w:start w:val="1"/>
      <w:numFmt w:val="decimal"/>
      <w:pStyle w:val="aff9"/>
      <w:suff w:val="nothing"/>
      <w:lvlText w:val="%1.%2　"/>
      <w:lvlJc w:val="left"/>
      <w:pPr>
        <w:ind w:left="0" w:firstLine="0"/>
      </w:pPr>
      <w:rPr>
        <w:rFonts w:ascii="黑体" w:eastAsia="黑体" w:hint="eastAsia"/>
        <w:b w:val="0"/>
        <w:i w:val="0"/>
        <w:sz w:val="21"/>
      </w:rPr>
    </w:lvl>
    <w:lvl w:ilvl="2">
      <w:start w:val="1"/>
      <w:numFmt w:val="decimal"/>
      <w:pStyle w:val="affa"/>
      <w:suff w:val="nothing"/>
      <w:lvlText w:val="%1.%2.%3　"/>
      <w:lvlJc w:val="left"/>
      <w:pPr>
        <w:ind w:left="0" w:firstLine="0"/>
      </w:pPr>
      <w:rPr>
        <w:rFonts w:ascii="黑体" w:eastAsia="黑体" w:hint="eastAsia"/>
        <w:b w:val="0"/>
        <w:i w:val="0"/>
        <w:sz w:val="21"/>
      </w:rPr>
    </w:lvl>
    <w:lvl w:ilvl="3">
      <w:start w:val="1"/>
      <w:numFmt w:val="decimal"/>
      <w:pStyle w:val="affb"/>
      <w:suff w:val="nothing"/>
      <w:lvlText w:val="%1.%2.%3.%4　"/>
      <w:lvlJc w:val="left"/>
      <w:pPr>
        <w:ind w:left="0" w:firstLine="0"/>
      </w:pPr>
      <w:rPr>
        <w:rFonts w:ascii="黑体" w:eastAsia="黑体" w:hint="eastAsia"/>
        <w:b w:val="0"/>
        <w:i w:val="0"/>
        <w:sz w:val="21"/>
      </w:rPr>
    </w:lvl>
    <w:lvl w:ilvl="4">
      <w:start w:val="1"/>
      <w:numFmt w:val="decimal"/>
      <w:pStyle w:val="affc"/>
      <w:suff w:val="nothing"/>
      <w:lvlText w:val="%1.%2.%3.%4.%5　"/>
      <w:lvlJc w:val="left"/>
      <w:pPr>
        <w:ind w:left="0" w:firstLine="0"/>
      </w:pPr>
      <w:rPr>
        <w:rFonts w:ascii="黑体" w:eastAsia="黑体" w:hint="eastAsia"/>
        <w:b w:val="0"/>
        <w:i w:val="0"/>
        <w:sz w:val="21"/>
      </w:rPr>
    </w:lvl>
    <w:lvl w:ilvl="5">
      <w:start w:val="1"/>
      <w:numFmt w:val="decimal"/>
      <w:pStyle w:val="affd"/>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6"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7" w15:restartNumberingAfterBreak="0">
    <w:nsid w:val="6CA41985"/>
    <w:multiLevelType w:val="multilevel"/>
    <w:tmpl w:val="6CA41985"/>
    <w:lvl w:ilvl="0">
      <w:start w:val="1"/>
      <w:numFmt w:val="decimal"/>
      <w:pStyle w:val="affe"/>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8" w15:restartNumberingAfterBreak="0">
    <w:nsid w:val="6CE42AC1"/>
    <w:multiLevelType w:val="multilevel"/>
    <w:tmpl w:val="6CE42AC1"/>
    <w:lvl w:ilvl="0">
      <w:start w:val="1"/>
      <w:numFmt w:val="lowerLetter"/>
      <w:pStyle w:val="afff"/>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9" w15:restartNumberingAfterBreak="0">
    <w:nsid w:val="6CEA2025"/>
    <w:multiLevelType w:val="multilevel"/>
    <w:tmpl w:val="6CEA2025"/>
    <w:lvl w:ilvl="0">
      <w:start w:val="1"/>
      <w:numFmt w:val="none"/>
      <w:pStyle w:val="afff0"/>
      <w:suff w:val="nothing"/>
      <w:lvlText w:val="%1"/>
      <w:lvlJc w:val="left"/>
      <w:pPr>
        <w:ind w:left="0" w:firstLine="0"/>
      </w:pPr>
      <w:rPr>
        <w:rFonts w:hint="eastAsia"/>
      </w:rPr>
    </w:lvl>
    <w:lvl w:ilvl="1">
      <w:start w:val="1"/>
      <w:numFmt w:val="decimal"/>
      <w:pStyle w:val="afff1"/>
      <w:suff w:val="nothing"/>
      <w:lvlText w:val="%1%2　"/>
      <w:lvlJc w:val="left"/>
      <w:pPr>
        <w:ind w:left="0" w:firstLine="0"/>
      </w:pPr>
      <w:rPr>
        <w:rFonts w:ascii="黑体" w:eastAsia="黑体" w:hint="eastAsia"/>
        <w:b w:val="0"/>
        <w:i w:val="0"/>
        <w:sz w:val="21"/>
      </w:rPr>
    </w:lvl>
    <w:lvl w:ilvl="2">
      <w:start w:val="1"/>
      <w:numFmt w:val="decimal"/>
      <w:pStyle w:val="afff2"/>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f3"/>
      <w:suff w:val="nothing"/>
      <w:lvlText w:val="%1%2.%3.%4　"/>
      <w:lvlJc w:val="left"/>
      <w:pPr>
        <w:ind w:left="0" w:firstLine="0"/>
      </w:pPr>
      <w:rPr>
        <w:rFonts w:ascii="黑体" w:eastAsia="黑体" w:hint="eastAsia"/>
        <w:b w:val="0"/>
        <w:i w:val="0"/>
        <w:sz w:val="21"/>
      </w:rPr>
    </w:lvl>
    <w:lvl w:ilvl="4">
      <w:start w:val="1"/>
      <w:numFmt w:val="decimal"/>
      <w:pStyle w:val="afff4"/>
      <w:suff w:val="nothing"/>
      <w:lvlText w:val="%1%2.%3.%4.%5　"/>
      <w:lvlJc w:val="left"/>
      <w:pPr>
        <w:ind w:left="0" w:firstLine="0"/>
      </w:pPr>
      <w:rPr>
        <w:rFonts w:ascii="黑体" w:eastAsia="黑体" w:hint="eastAsia"/>
        <w:b w:val="0"/>
        <w:i w:val="0"/>
        <w:sz w:val="21"/>
      </w:rPr>
    </w:lvl>
    <w:lvl w:ilvl="5">
      <w:start w:val="1"/>
      <w:numFmt w:val="decimal"/>
      <w:pStyle w:val="afff5"/>
      <w:suff w:val="nothing"/>
      <w:lvlText w:val="%1%2.%3.%4.%5.%6　"/>
      <w:lvlJc w:val="left"/>
      <w:pPr>
        <w:ind w:left="0" w:firstLine="0"/>
      </w:pPr>
      <w:rPr>
        <w:rFonts w:ascii="黑体" w:eastAsia="黑体" w:hint="eastAsia"/>
        <w:b w:val="0"/>
        <w:i w:val="0"/>
        <w:sz w:val="21"/>
      </w:rPr>
    </w:lvl>
    <w:lvl w:ilvl="6">
      <w:start w:val="1"/>
      <w:numFmt w:val="decimal"/>
      <w:pStyle w:val="afff6"/>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0" w15:restartNumberingAfterBreak="0">
    <w:nsid w:val="6DBF04F4"/>
    <w:multiLevelType w:val="multilevel"/>
    <w:tmpl w:val="6DBF04F4"/>
    <w:lvl w:ilvl="0">
      <w:start w:val="1"/>
      <w:numFmt w:val="none"/>
      <w:pStyle w:val="afff7"/>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31" w15:restartNumberingAfterBreak="0">
    <w:nsid w:val="6DF35F19"/>
    <w:multiLevelType w:val="multilevel"/>
    <w:tmpl w:val="6DF35F19"/>
    <w:lvl w:ilvl="0">
      <w:start w:val="1"/>
      <w:numFmt w:val="decimal"/>
      <w:pStyle w:val="afff8"/>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2" w15:restartNumberingAfterBreak="0">
    <w:nsid w:val="76933334"/>
    <w:multiLevelType w:val="multilevel"/>
    <w:tmpl w:val="76933334"/>
    <w:lvl w:ilvl="0">
      <w:start w:val="1"/>
      <w:numFmt w:val="none"/>
      <w:pStyle w:val="afff9"/>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9"/>
  </w:num>
  <w:num w:numId="3">
    <w:abstractNumId w:val="5"/>
  </w:num>
  <w:num w:numId="4">
    <w:abstractNumId w:val="25"/>
  </w:num>
  <w:num w:numId="5">
    <w:abstractNumId w:val="20"/>
  </w:num>
  <w:num w:numId="6">
    <w:abstractNumId w:val="15"/>
  </w:num>
  <w:num w:numId="7">
    <w:abstractNumId w:val="8"/>
  </w:num>
  <w:num w:numId="8">
    <w:abstractNumId w:val="3"/>
  </w:num>
  <w:num w:numId="9">
    <w:abstractNumId w:val="9"/>
  </w:num>
  <w:num w:numId="10">
    <w:abstractNumId w:val="18"/>
  </w:num>
  <w:num w:numId="11">
    <w:abstractNumId w:val="27"/>
  </w:num>
  <w:num w:numId="12">
    <w:abstractNumId w:val="13"/>
  </w:num>
  <w:num w:numId="13">
    <w:abstractNumId w:val="14"/>
  </w:num>
  <w:num w:numId="14">
    <w:abstractNumId w:val="7"/>
  </w:num>
  <w:num w:numId="15">
    <w:abstractNumId w:val="21"/>
  </w:num>
  <w:num w:numId="16">
    <w:abstractNumId w:val="23"/>
  </w:num>
  <w:num w:numId="17">
    <w:abstractNumId w:val="19"/>
  </w:num>
  <w:num w:numId="18">
    <w:abstractNumId w:val="31"/>
  </w:num>
  <w:num w:numId="19">
    <w:abstractNumId w:val="17"/>
  </w:num>
  <w:num w:numId="20">
    <w:abstractNumId w:val="1"/>
  </w:num>
  <w:num w:numId="21">
    <w:abstractNumId w:val="12"/>
  </w:num>
  <w:num w:numId="22">
    <w:abstractNumId w:val="32"/>
  </w:num>
  <w:num w:numId="23">
    <w:abstractNumId w:val="22"/>
  </w:num>
  <w:num w:numId="24">
    <w:abstractNumId w:val="6"/>
  </w:num>
  <w:num w:numId="25">
    <w:abstractNumId w:val="28"/>
  </w:num>
  <w:num w:numId="26">
    <w:abstractNumId w:val="30"/>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16"/>
  </w:num>
  <w:num w:numId="30">
    <w:abstractNumId w:val="26"/>
  </w:num>
  <w:num w:numId="31">
    <w:abstractNumId w:val="24"/>
  </w:num>
  <w:num w:numId="32">
    <w:abstractNumId w:val="11"/>
  </w:num>
  <w:num w:numId="3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ocumentProtection w:edit="forms" w:enforcement="1" w:cryptProviderType="rsaFull" w:cryptAlgorithmClass="hash" w:cryptAlgorithmType="typeAny" w:cryptAlgorithmSid="4" w:cryptSpinCount="0" w:hash="C/xY6AwABy7AyTTsuCtopqm5c2o=" w:salt="6l5Dq+KRqYSvr+Kg/+iY4w=="/>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TA2NmM0MzIzY2RkYmNjNTYzMGQzMzBjN2Y3Mzg3YzMifQ=="/>
  </w:docVars>
  <w:rsids>
    <w:rsidRoot w:val="00172A27"/>
    <w:rsid w:val="0000040A"/>
    <w:rsid w:val="00000A94"/>
    <w:rsid w:val="000014B5"/>
    <w:rsid w:val="00001972"/>
    <w:rsid w:val="00001D9A"/>
    <w:rsid w:val="000027C2"/>
    <w:rsid w:val="00007812"/>
    <w:rsid w:val="00007B3A"/>
    <w:rsid w:val="000107E0"/>
    <w:rsid w:val="00011FDE"/>
    <w:rsid w:val="00012FFD"/>
    <w:rsid w:val="00014162"/>
    <w:rsid w:val="00014340"/>
    <w:rsid w:val="00016A9C"/>
    <w:rsid w:val="00022184"/>
    <w:rsid w:val="00022762"/>
    <w:rsid w:val="000238E0"/>
    <w:rsid w:val="000249DB"/>
    <w:rsid w:val="00024AD3"/>
    <w:rsid w:val="0002595E"/>
    <w:rsid w:val="00025EA5"/>
    <w:rsid w:val="000303C3"/>
    <w:rsid w:val="000331D3"/>
    <w:rsid w:val="000346A5"/>
    <w:rsid w:val="000359C3"/>
    <w:rsid w:val="00035A7D"/>
    <w:rsid w:val="000365ED"/>
    <w:rsid w:val="0004249A"/>
    <w:rsid w:val="00043282"/>
    <w:rsid w:val="00044246"/>
    <w:rsid w:val="00044286"/>
    <w:rsid w:val="00047F28"/>
    <w:rsid w:val="000503AA"/>
    <w:rsid w:val="000506A1"/>
    <w:rsid w:val="000515DD"/>
    <w:rsid w:val="0005265A"/>
    <w:rsid w:val="00053572"/>
    <w:rsid w:val="000539DD"/>
    <w:rsid w:val="00053BD3"/>
    <w:rsid w:val="00054BC6"/>
    <w:rsid w:val="000556ED"/>
    <w:rsid w:val="00055FE2"/>
    <w:rsid w:val="0005616F"/>
    <w:rsid w:val="00060C2E"/>
    <w:rsid w:val="00061033"/>
    <w:rsid w:val="000619E9"/>
    <w:rsid w:val="000622D4"/>
    <w:rsid w:val="0006357D"/>
    <w:rsid w:val="000672CA"/>
    <w:rsid w:val="00067F1E"/>
    <w:rsid w:val="00071CC0"/>
    <w:rsid w:val="00071CFC"/>
    <w:rsid w:val="0007324E"/>
    <w:rsid w:val="00073C8C"/>
    <w:rsid w:val="00077B64"/>
    <w:rsid w:val="00080A1C"/>
    <w:rsid w:val="00082317"/>
    <w:rsid w:val="00083D2C"/>
    <w:rsid w:val="00086AA1"/>
    <w:rsid w:val="00087A77"/>
    <w:rsid w:val="00090CA6"/>
    <w:rsid w:val="00092B8A"/>
    <w:rsid w:val="00092FB0"/>
    <w:rsid w:val="000934C5"/>
    <w:rsid w:val="00093D25"/>
    <w:rsid w:val="00093DAB"/>
    <w:rsid w:val="00094C11"/>
    <w:rsid w:val="00094D73"/>
    <w:rsid w:val="00096D63"/>
    <w:rsid w:val="000A0B60"/>
    <w:rsid w:val="000A0EB8"/>
    <w:rsid w:val="000A11AC"/>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5C18"/>
    <w:rsid w:val="000D753B"/>
    <w:rsid w:val="000E4C9E"/>
    <w:rsid w:val="000E6FD7"/>
    <w:rsid w:val="000E7144"/>
    <w:rsid w:val="000F06E1"/>
    <w:rsid w:val="000F0E3C"/>
    <w:rsid w:val="000F1397"/>
    <w:rsid w:val="000F19D5"/>
    <w:rsid w:val="000F4050"/>
    <w:rsid w:val="000F4AEA"/>
    <w:rsid w:val="000F67E9"/>
    <w:rsid w:val="001024F2"/>
    <w:rsid w:val="00104292"/>
    <w:rsid w:val="00104926"/>
    <w:rsid w:val="00113B1E"/>
    <w:rsid w:val="0011711C"/>
    <w:rsid w:val="00124D55"/>
    <w:rsid w:val="00124E4F"/>
    <w:rsid w:val="001260B7"/>
    <w:rsid w:val="001265CB"/>
    <w:rsid w:val="00130F67"/>
    <w:rsid w:val="001321C6"/>
    <w:rsid w:val="001325C4"/>
    <w:rsid w:val="00133010"/>
    <w:rsid w:val="001338EE"/>
    <w:rsid w:val="00133AAE"/>
    <w:rsid w:val="00135323"/>
    <w:rsid w:val="001356C4"/>
    <w:rsid w:val="00137565"/>
    <w:rsid w:val="00141114"/>
    <w:rsid w:val="00142969"/>
    <w:rsid w:val="001446C2"/>
    <w:rsid w:val="001457E7"/>
    <w:rsid w:val="00145D9D"/>
    <w:rsid w:val="00146388"/>
    <w:rsid w:val="00151175"/>
    <w:rsid w:val="001529E5"/>
    <w:rsid w:val="00152FB3"/>
    <w:rsid w:val="00153C7E"/>
    <w:rsid w:val="0015657F"/>
    <w:rsid w:val="00156B25"/>
    <w:rsid w:val="00156E1A"/>
    <w:rsid w:val="00157894"/>
    <w:rsid w:val="00157B55"/>
    <w:rsid w:val="00161988"/>
    <w:rsid w:val="0016248A"/>
    <w:rsid w:val="001642FA"/>
    <w:rsid w:val="001649EB"/>
    <w:rsid w:val="00164BAF"/>
    <w:rsid w:val="00164FA8"/>
    <w:rsid w:val="00165065"/>
    <w:rsid w:val="00165434"/>
    <w:rsid w:val="0016580B"/>
    <w:rsid w:val="00165F49"/>
    <w:rsid w:val="00166B88"/>
    <w:rsid w:val="0016770A"/>
    <w:rsid w:val="00170804"/>
    <w:rsid w:val="001708E9"/>
    <w:rsid w:val="00172A27"/>
    <w:rsid w:val="0017340B"/>
    <w:rsid w:val="00173414"/>
    <w:rsid w:val="00173FB1"/>
    <w:rsid w:val="00176DFD"/>
    <w:rsid w:val="00177B8F"/>
    <w:rsid w:val="001852C9"/>
    <w:rsid w:val="001858EB"/>
    <w:rsid w:val="00186C62"/>
    <w:rsid w:val="00187A0B"/>
    <w:rsid w:val="00190087"/>
    <w:rsid w:val="001913C4"/>
    <w:rsid w:val="0019348F"/>
    <w:rsid w:val="00193A07"/>
    <w:rsid w:val="00193A51"/>
    <w:rsid w:val="00194C95"/>
    <w:rsid w:val="00195C34"/>
    <w:rsid w:val="00196EF5"/>
    <w:rsid w:val="001A1A53"/>
    <w:rsid w:val="001A1F69"/>
    <w:rsid w:val="001A234A"/>
    <w:rsid w:val="001A2FE7"/>
    <w:rsid w:val="001A4CF3"/>
    <w:rsid w:val="001A6696"/>
    <w:rsid w:val="001B06E8"/>
    <w:rsid w:val="001B2C1E"/>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D5B98"/>
    <w:rsid w:val="001E1B6A"/>
    <w:rsid w:val="001E2484"/>
    <w:rsid w:val="001E3CC4"/>
    <w:rsid w:val="001E4882"/>
    <w:rsid w:val="001E73AB"/>
    <w:rsid w:val="001F092D"/>
    <w:rsid w:val="001F143A"/>
    <w:rsid w:val="001F1605"/>
    <w:rsid w:val="001F2508"/>
    <w:rsid w:val="001F2D82"/>
    <w:rsid w:val="001F4816"/>
    <w:rsid w:val="001F6382"/>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B79"/>
    <w:rsid w:val="00221C6B"/>
    <w:rsid w:val="00224389"/>
    <w:rsid w:val="002253A1"/>
    <w:rsid w:val="00225CF8"/>
    <w:rsid w:val="0022794E"/>
    <w:rsid w:val="00233CCD"/>
    <w:rsid w:val="00233D64"/>
    <w:rsid w:val="0023455F"/>
    <w:rsid w:val="0023482A"/>
    <w:rsid w:val="00235312"/>
    <w:rsid w:val="002359CB"/>
    <w:rsid w:val="00243540"/>
    <w:rsid w:val="0024497B"/>
    <w:rsid w:val="0024515B"/>
    <w:rsid w:val="00246021"/>
    <w:rsid w:val="0024666E"/>
    <w:rsid w:val="00247F52"/>
    <w:rsid w:val="00250B25"/>
    <w:rsid w:val="00250BBE"/>
    <w:rsid w:val="002515C2"/>
    <w:rsid w:val="0025194F"/>
    <w:rsid w:val="00260293"/>
    <w:rsid w:val="0026148A"/>
    <w:rsid w:val="00262696"/>
    <w:rsid w:val="00263D25"/>
    <w:rsid w:val="002643C3"/>
    <w:rsid w:val="002645FA"/>
    <w:rsid w:val="00264A0C"/>
    <w:rsid w:val="00266C8A"/>
    <w:rsid w:val="00266EEB"/>
    <w:rsid w:val="00267EF4"/>
    <w:rsid w:val="00270CB8"/>
    <w:rsid w:val="00272B08"/>
    <w:rsid w:val="002730B6"/>
    <w:rsid w:val="00281BB8"/>
    <w:rsid w:val="00281E9E"/>
    <w:rsid w:val="00282405"/>
    <w:rsid w:val="00285170"/>
    <w:rsid w:val="00285361"/>
    <w:rsid w:val="002928BD"/>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47E7"/>
    <w:rsid w:val="002B5779"/>
    <w:rsid w:val="002B7332"/>
    <w:rsid w:val="002B7F51"/>
    <w:rsid w:val="002C09E7"/>
    <w:rsid w:val="002C1E06"/>
    <w:rsid w:val="002C3F07"/>
    <w:rsid w:val="002C5278"/>
    <w:rsid w:val="002C7EBB"/>
    <w:rsid w:val="002D06C1"/>
    <w:rsid w:val="002D42B5"/>
    <w:rsid w:val="002D4F1A"/>
    <w:rsid w:val="002D6EC6"/>
    <w:rsid w:val="002D79AC"/>
    <w:rsid w:val="002E039D"/>
    <w:rsid w:val="002E4D5A"/>
    <w:rsid w:val="002E6326"/>
    <w:rsid w:val="002E71F6"/>
    <w:rsid w:val="002F30E0"/>
    <w:rsid w:val="002F35E4"/>
    <w:rsid w:val="002F3730"/>
    <w:rsid w:val="002F38E1"/>
    <w:rsid w:val="002F5EDB"/>
    <w:rsid w:val="002F7AF6"/>
    <w:rsid w:val="00300E63"/>
    <w:rsid w:val="00302F5F"/>
    <w:rsid w:val="00303F3D"/>
    <w:rsid w:val="0030441D"/>
    <w:rsid w:val="00306063"/>
    <w:rsid w:val="003062C6"/>
    <w:rsid w:val="00313B85"/>
    <w:rsid w:val="00317988"/>
    <w:rsid w:val="003221B4"/>
    <w:rsid w:val="0032258D"/>
    <w:rsid w:val="00322E62"/>
    <w:rsid w:val="00324D13"/>
    <w:rsid w:val="00324EDD"/>
    <w:rsid w:val="00330C91"/>
    <w:rsid w:val="003331E4"/>
    <w:rsid w:val="003338DF"/>
    <w:rsid w:val="003350E0"/>
    <w:rsid w:val="00336C64"/>
    <w:rsid w:val="00337162"/>
    <w:rsid w:val="003404E5"/>
    <w:rsid w:val="0034194F"/>
    <w:rsid w:val="00341965"/>
    <w:rsid w:val="00344605"/>
    <w:rsid w:val="003474AA"/>
    <w:rsid w:val="00350D1D"/>
    <w:rsid w:val="00352C83"/>
    <w:rsid w:val="00352F1A"/>
    <w:rsid w:val="0036107C"/>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674"/>
    <w:rsid w:val="00397CC5"/>
    <w:rsid w:val="003A11D1"/>
    <w:rsid w:val="003A1582"/>
    <w:rsid w:val="003A3D9C"/>
    <w:rsid w:val="003A4077"/>
    <w:rsid w:val="003A4AA7"/>
    <w:rsid w:val="003B09AD"/>
    <w:rsid w:val="003B1F18"/>
    <w:rsid w:val="003B5BF0"/>
    <w:rsid w:val="003B60BF"/>
    <w:rsid w:val="003B6BE3"/>
    <w:rsid w:val="003B7373"/>
    <w:rsid w:val="003C010C"/>
    <w:rsid w:val="003C0A6C"/>
    <w:rsid w:val="003C14F8"/>
    <w:rsid w:val="003C2F3F"/>
    <w:rsid w:val="003C4437"/>
    <w:rsid w:val="003C5A43"/>
    <w:rsid w:val="003C7CF6"/>
    <w:rsid w:val="003D0519"/>
    <w:rsid w:val="003D0FF6"/>
    <w:rsid w:val="003D262C"/>
    <w:rsid w:val="003D6D61"/>
    <w:rsid w:val="003E019F"/>
    <w:rsid w:val="003E091D"/>
    <w:rsid w:val="003E1C53"/>
    <w:rsid w:val="003E2A69"/>
    <w:rsid w:val="003E2D49"/>
    <w:rsid w:val="003E2FD4"/>
    <w:rsid w:val="003E49F6"/>
    <w:rsid w:val="003E660F"/>
    <w:rsid w:val="003E6FF9"/>
    <w:rsid w:val="003F0841"/>
    <w:rsid w:val="003F23D3"/>
    <w:rsid w:val="003F3F08"/>
    <w:rsid w:val="003F49F1"/>
    <w:rsid w:val="003F5F4A"/>
    <w:rsid w:val="003F6272"/>
    <w:rsid w:val="00400E72"/>
    <w:rsid w:val="00401291"/>
    <w:rsid w:val="00401400"/>
    <w:rsid w:val="00402090"/>
    <w:rsid w:val="00403751"/>
    <w:rsid w:val="00404869"/>
    <w:rsid w:val="00405884"/>
    <w:rsid w:val="00407D39"/>
    <w:rsid w:val="00410672"/>
    <w:rsid w:val="00411705"/>
    <w:rsid w:val="0041477A"/>
    <w:rsid w:val="004167A3"/>
    <w:rsid w:val="00427597"/>
    <w:rsid w:val="00432DAA"/>
    <w:rsid w:val="00434305"/>
    <w:rsid w:val="00435DF7"/>
    <w:rsid w:val="0043741A"/>
    <w:rsid w:val="004376D2"/>
    <w:rsid w:val="0044083F"/>
    <w:rsid w:val="00441AE7"/>
    <w:rsid w:val="00445574"/>
    <w:rsid w:val="00446232"/>
    <w:rsid w:val="004467FB"/>
    <w:rsid w:val="00452D6B"/>
    <w:rsid w:val="00454484"/>
    <w:rsid w:val="0045517B"/>
    <w:rsid w:val="00463B77"/>
    <w:rsid w:val="00463C7B"/>
    <w:rsid w:val="004644A6"/>
    <w:rsid w:val="004659BD"/>
    <w:rsid w:val="004703E5"/>
    <w:rsid w:val="00470775"/>
    <w:rsid w:val="004746B1"/>
    <w:rsid w:val="004754B4"/>
    <w:rsid w:val="0047583F"/>
    <w:rsid w:val="00475DE8"/>
    <w:rsid w:val="0047639A"/>
    <w:rsid w:val="00476A2B"/>
    <w:rsid w:val="00481C44"/>
    <w:rsid w:val="00481E71"/>
    <w:rsid w:val="00484936"/>
    <w:rsid w:val="004859C4"/>
    <w:rsid w:val="00485C89"/>
    <w:rsid w:val="00486BE3"/>
    <w:rsid w:val="004905E4"/>
    <w:rsid w:val="00490A89"/>
    <w:rsid w:val="00490AB4"/>
    <w:rsid w:val="00492F02"/>
    <w:rsid w:val="004939AE"/>
    <w:rsid w:val="004943D5"/>
    <w:rsid w:val="004A12DF"/>
    <w:rsid w:val="004A1BA8"/>
    <w:rsid w:val="004A4B57"/>
    <w:rsid w:val="004A63FA"/>
    <w:rsid w:val="004A6A3D"/>
    <w:rsid w:val="004B01AC"/>
    <w:rsid w:val="004B0272"/>
    <w:rsid w:val="004B2701"/>
    <w:rsid w:val="004B2E1B"/>
    <w:rsid w:val="004B3AA8"/>
    <w:rsid w:val="004B3E93"/>
    <w:rsid w:val="004B42C0"/>
    <w:rsid w:val="004C1FBC"/>
    <w:rsid w:val="004C25A2"/>
    <w:rsid w:val="004C3F1D"/>
    <w:rsid w:val="004C458D"/>
    <w:rsid w:val="004C59D0"/>
    <w:rsid w:val="004C6208"/>
    <w:rsid w:val="004C7556"/>
    <w:rsid w:val="004C7E8B"/>
    <w:rsid w:val="004C7E9D"/>
    <w:rsid w:val="004C7F67"/>
    <w:rsid w:val="004D076D"/>
    <w:rsid w:val="004D0EF1"/>
    <w:rsid w:val="004D2253"/>
    <w:rsid w:val="004D4406"/>
    <w:rsid w:val="004D658E"/>
    <w:rsid w:val="004D7C42"/>
    <w:rsid w:val="004E0465"/>
    <w:rsid w:val="004E127B"/>
    <w:rsid w:val="004E1C0A"/>
    <w:rsid w:val="004E30C5"/>
    <w:rsid w:val="004E4AA5"/>
    <w:rsid w:val="004E4AEE"/>
    <w:rsid w:val="004E4E0F"/>
    <w:rsid w:val="004E59E3"/>
    <w:rsid w:val="004E67C0"/>
    <w:rsid w:val="004F391A"/>
    <w:rsid w:val="004F3CFB"/>
    <w:rsid w:val="004F6407"/>
    <w:rsid w:val="004F6456"/>
    <w:rsid w:val="004F696E"/>
    <w:rsid w:val="004F6C71"/>
    <w:rsid w:val="00501139"/>
    <w:rsid w:val="0050363E"/>
    <w:rsid w:val="005039BC"/>
    <w:rsid w:val="005043BB"/>
    <w:rsid w:val="00504A3D"/>
    <w:rsid w:val="00505767"/>
    <w:rsid w:val="005063EB"/>
    <w:rsid w:val="005073F0"/>
    <w:rsid w:val="005106F7"/>
    <w:rsid w:val="00510A7B"/>
    <w:rsid w:val="00512F6E"/>
    <w:rsid w:val="00513038"/>
    <w:rsid w:val="00514174"/>
    <w:rsid w:val="00514401"/>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0510"/>
    <w:rsid w:val="00561475"/>
    <w:rsid w:val="00562308"/>
    <w:rsid w:val="0056487B"/>
    <w:rsid w:val="00564FB9"/>
    <w:rsid w:val="005704CF"/>
    <w:rsid w:val="00573D9E"/>
    <w:rsid w:val="005801E3"/>
    <w:rsid w:val="00580C88"/>
    <w:rsid w:val="00581802"/>
    <w:rsid w:val="005836A8"/>
    <w:rsid w:val="0058409C"/>
    <w:rsid w:val="00584262"/>
    <w:rsid w:val="00586630"/>
    <w:rsid w:val="00587ADD"/>
    <w:rsid w:val="00593A49"/>
    <w:rsid w:val="00596160"/>
    <w:rsid w:val="005963ED"/>
    <w:rsid w:val="005966E2"/>
    <w:rsid w:val="00597007"/>
    <w:rsid w:val="00597E7B"/>
    <w:rsid w:val="005A0966"/>
    <w:rsid w:val="005A11B7"/>
    <w:rsid w:val="005A260B"/>
    <w:rsid w:val="005A4A1B"/>
    <w:rsid w:val="005A7830"/>
    <w:rsid w:val="005A7FCE"/>
    <w:rsid w:val="005B0F3F"/>
    <w:rsid w:val="005B191C"/>
    <w:rsid w:val="005B4903"/>
    <w:rsid w:val="005B51CE"/>
    <w:rsid w:val="005B5885"/>
    <w:rsid w:val="005B5CD7"/>
    <w:rsid w:val="005B6CF6"/>
    <w:rsid w:val="005B7422"/>
    <w:rsid w:val="005C1FDB"/>
    <w:rsid w:val="005C29B8"/>
    <w:rsid w:val="005C5F21"/>
    <w:rsid w:val="005C7156"/>
    <w:rsid w:val="005D0C75"/>
    <w:rsid w:val="005D4171"/>
    <w:rsid w:val="005D6563"/>
    <w:rsid w:val="005D6A95"/>
    <w:rsid w:val="005D6B2C"/>
    <w:rsid w:val="005D6D9C"/>
    <w:rsid w:val="005E2335"/>
    <w:rsid w:val="005E34CA"/>
    <w:rsid w:val="005E3C18"/>
    <w:rsid w:val="005E4250"/>
    <w:rsid w:val="005E6812"/>
    <w:rsid w:val="005E7881"/>
    <w:rsid w:val="005E78E0"/>
    <w:rsid w:val="005F0D9C"/>
    <w:rsid w:val="005F0E3D"/>
    <w:rsid w:val="005F284E"/>
    <w:rsid w:val="006015CE"/>
    <w:rsid w:val="00604784"/>
    <w:rsid w:val="00606419"/>
    <w:rsid w:val="00607D29"/>
    <w:rsid w:val="006121D9"/>
    <w:rsid w:val="00612952"/>
    <w:rsid w:val="00614CC1"/>
    <w:rsid w:val="00615A9D"/>
    <w:rsid w:val="006169B6"/>
    <w:rsid w:val="00617387"/>
    <w:rsid w:val="006205D6"/>
    <w:rsid w:val="006252D8"/>
    <w:rsid w:val="006259BC"/>
    <w:rsid w:val="0062636B"/>
    <w:rsid w:val="00626C9C"/>
    <w:rsid w:val="00632182"/>
    <w:rsid w:val="00632AE0"/>
    <w:rsid w:val="00633C17"/>
    <w:rsid w:val="00634D9E"/>
    <w:rsid w:val="00636E3E"/>
    <w:rsid w:val="006378B7"/>
    <w:rsid w:val="006379F7"/>
    <w:rsid w:val="00637E4D"/>
    <w:rsid w:val="00640620"/>
    <w:rsid w:val="00641A1F"/>
    <w:rsid w:val="00645904"/>
    <w:rsid w:val="006515EB"/>
    <w:rsid w:val="00651ACB"/>
    <w:rsid w:val="00651C47"/>
    <w:rsid w:val="00652AB2"/>
    <w:rsid w:val="00653FED"/>
    <w:rsid w:val="00654EC0"/>
    <w:rsid w:val="0065525B"/>
    <w:rsid w:val="00655D4F"/>
    <w:rsid w:val="006567F6"/>
    <w:rsid w:val="00656D29"/>
    <w:rsid w:val="006640E5"/>
    <w:rsid w:val="006646F1"/>
    <w:rsid w:val="00664929"/>
    <w:rsid w:val="00664F62"/>
    <w:rsid w:val="006655E1"/>
    <w:rsid w:val="00670CC4"/>
    <w:rsid w:val="00672060"/>
    <w:rsid w:val="00672BFD"/>
    <w:rsid w:val="00672FA1"/>
    <w:rsid w:val="006770F4"/>
    <w:rsid w:val="00677A84"/>
    <w:rsid w:val="0068026D"/>
    <w:rsid w:val="00680A27"/>
    <w:rsid w:val="006816A4"/>
    <w:rsid w:val="006819B8"/>
    <w:rsid w:val="00682319"/>
    <w:rsid w:val="006840A6"/>
    <w:rsid w:val="006850CD"/>
    <w:rsid w:val="00685AAB"/>
    <w:rsid w:val="00693962"/>
    <w:rsid w:val="006A07AA"/>
    <w:rsid w:val="006A25E5"/>
    <w:rsid w:val="006A2A72"/>
    <w:rsid w:val="006A2B46"/>
    <w:rsid w:val="006A336D"/>
    <w:rsid w:val="006A37B9"/>
    <w:rsid w:val="006A4127"/>
    <w:rsid w:val="006B2672"/>
    <w:rsid w:val="006B4BC9"/>
    <w:rsid w:val="006B54BF"/>
    <w:rsid w:val="006B5F44"/>
    <w:rsid w:val="006B5F90"/>
    <w:rsid w:val="006B62E4"/>
    <w:rsid w:val="006C1BBA"/>
    <w:rsid w:val="006C2079"/>
    <w:rsid w:val="006C367D"/>
    <w:rsid w:val="006C5A62"/>
    <w:rsid w:val="006C5D68"/>
    <w:rsid w:val="006C6976"/>
    <w:rsid w:val="006C6DD0"/>
    <w:rsid w:val="006D00A4"/>
    <w:rsid w:val="006D04EA"/>
    <w:rsid w:val="006D16C4"/>
    <w:rsid w:val="006D3E96"/>
    <w:rsid w:val="006D4515"/>
    <w:rsid w:val="006D4BB1"/>
    <w:rsid w:val="006D6593"/>
    <w:rsid w:val="006E0161"/>
    <w:rsid w:val="006F03A8"/>
    <w:rsid w:val="006F2ACA"/>
    <w:rsid w:val="006F2ADC"/>
    <w:rsid w:val="006F2BFE"/>
    <w:rsid w:val="006F31E9"/>
    <w:rsid w:val="006F6284"/>
    <w:rsid w:val="007002C5"/>
    <w:rsid w:val="00704387"/>
    <w:rsid w:val="00707669"/>
    <w:rsid w:val="007115E6"/>
    <w:rsid w:val="00711CBA"/>
    <w:rsid w:val="00711FB5"/>
    <w:rsid w:val="00712A01"/>
    <w:rsid w:val="00714F58"/>
    <w:rsid w:val="00721195"/>
    <w:rsid w:val="00722FBF"/>
    <w:rsid w:val="00722FC2"/>
    <w:rsid w:val="00724E1B"/>
    <w:rsid w:val="00725949"/>
    <w:rsid w:val="00727FA2"/>
    <w:rsid w:val="0073130A"/>
    <w:rsid w:val="007322D9"/>
    <w:rsid w:val="00732BC0"/>
    <w:rsid w:val="0073720F"/>
    <w:rsid w:val="00737796"/>
    <w:rsid w:val="0074165C"/>
    <w:rsid w:val="00742C35"/>
    <w:rsid w:val="007432CA"/>
    <w:rsid w:val="00743993"/>
    <w:rsid w:val="007439EB"/>
    <w:rsid w:val="00743CB4"/>
    <w:rsid w:val="00743F0A"/>
    <w:rsid w:val="007444E8"/>
    <w:rsid w:val="0074548E"/>
    <w:rsid w:val="00745773"/>
    <w:rsid w:val="00746800"/>
    <w:rsid w:val="007501A8"/>
    <w:rsid w:val="00750D61"/>
    <w:rsid w:val="00750EE1"/>
    <w:rsid w:val="00752B4D"/>
    <w:rsid w:val="00754BE7"/>
    <w:rsid w:val="00755402"/>
    <w:rsid w:val="00756B26"/>
    <w:rsid w:val="00756EDF"/>
    <w:rsid w:val="007600E3"/>
    <w:rsid w:val="0076348E"/>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97D3A"/>
    <w:rsid w:val="007A0521"/>
    <w:rsid w:val="007A2E12"/>
    <w:rsid w:val="007A300B"/>
    <w:rsid w:val="007A3475"/>
    <w:rsid w:val="007A41C8"/>
    <w:rsid w:val="007A510E"/>
    <w:rsid w:val="007A54CE"/>
    <w:rsid w:val="007A5D3A"/>
    <w:rsid w:val="007A6FD9"/>
    <w:rsid w:val="007A7FFA"/>
    <w:rsid w:val="007B04EB"/>
    <w:rsid w:val="007B057F"/>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D7AA4"/>
    <w:rsid w:val="007E0BF1"/>
    <w:rsid w:val="007F04E9"/>
    <w:rsid w:val="007F0ED8"/>
    <w:rsid w:val="007F0F63"/>
    <w:rsid w:val="007F75CE"/>
    <w:rsid w:val="008013A4"/>
    <w:rsid w:val="008027CE"/>
    <w:rsid w:val="00802F42"/>
    <w:rsid w:val="00804154"/>
    <w:rsid w:val="00804383"/>
    <w:rsid w:val="00804BB7"/>
    <w:rsid w:val="00804D41"/>
    <w:rsid w:val="00805109"/>
    <w:rsid w:val="00810257"/>
    <w:rsid w:val="008104F5"/>
    <w:rsid w:val="00811072"/>
    <w:rsid w:val="00811369"/>
    <w:rsid w:val="00815419"/>
    <w:rsid w:val="008163C8"/>
    <w:rsid w:val="008164A1"/>
    <w:rsid w:val="00817325"/>
    <w:rsid w:val="008209E6"/>
    <w:rsid w:val="00821D19"/>
    <w:rsid w:val="00823303"/>
    <w:rsid w:val="008233B2"/>
    <w:rsid w:val="00823A9F"/>
    <w:rsid w:val="00823C85"/>
    <w:rsid w:val="00825138"/>
    <w:rsid w:val="008269DD"/>
    <w:rsid w:val="00830621"/>
    <w:rsid w:val="0083348C"/>
    <w:rsid w:val="008373D3"/>
    <w:rsid w:val="00837DF8"/>
    <w:rsid w:val="00840617"/>
    <w:rsid w:val="00840F84"/>
    <w:rsid w:val="00842A47"/>
    <w:rsid w:val="00843C13"/>
    <w:rsid w:val="00843DEF"/>
    <w:rsid w:val="008454F8"/>
    <w:rsid w:val="00846B9C"/>
    <w:rsid w:val="0085087F"/>
    <w:rsid w:val="00850A5D"/>
    <w:rsid w:val="0085173A"/>
    <w:rsid w:val="00855532"/>
    <w:rsid w:val="008603CE"/>
    <w:rsid w:val="008620FC"/>
    <w:rsid w:val="008627A5"/>
    <w:rsid w:val="00863E05"/>
    <w:rsid w:val="00865ACA"/>
    <w:rsid w:val="00865D28"/>
    <w:rsid w:val="00865F85"/>
    <w:rsid w:val="00867C10"/>
    <w:rsid w:val="00870439"/>
    <w:rsid w:val="00870DA1"/>
    <w:rsid w:val="0087587A"/>
    <w:rsid w:val="00883F93"/>
    <w:rsid w:val="00884BEC"/>
    <w:rsid w:val="00884DB3"/>
    <w:rsid w:val="00885A9D"/>
    <w:rsid w:val="008864F6"/>
    <w:rsid w:val="0089049D"/>
    <w:rsid w:val="008928C9"/>
    <w:rsid w:val="008930CB"/>
    <w:rsid w:val="008938DC"/>
    <w:rsid w:val="00893FD1"/>
    <w:rsid w:val="00894836"/>
    <w:rsid w:val="00895172"/>
    <w:rsid w:val="00895680"/>
    <w:rsid w:val="00896DFF"/>
    <w:rsid w:val="0089762C"/>
    <w:rsid w:val="008A0EF4"/>
    <w:rsid w:val="008A173B"/>
    <w:rsid w:val="008A1893"/>
    <w:rsid w:val="008A57E6"/>
    <w:rsid w:val="008A6F81"/>
    <w:rsid w:val="008A769A"/>
    <w:rsid w:val="008B0C9C"/>
    <w:rsid w:val="008B166D"/>
    <w:rsid w:val="008B17F4"/>
    <w:rsid w:val="008B3154"/>
    <w:rsid w:val="008B3615"/>
    <w:rsid w:val="008B4AC4"/>
    <w:rsid w:val="008B50C8"/>
    <w:rsid w:val="008B5281"/>
    <w:rsid w:val="008B7E05"/>
    <w:rsid w:val="008C1797"/>
    <w:rsid w:val="008C219C"/>
    <w:rsid w:val="008C475E"/>
    <w:rsid w:val="008C619A"/>
    <w:rsid w:val="008C6C87"/>
    <w:rsid w:val="008D0CE8"/>
    <w:rsid w:val="008D0F49"/>
    <w:rsid w:val="008D2D1D"/>
    <w:rsid w:val="008D453D"/>
    <w:rsid w:val="008D53AD"/>
    <w:rsid w:val="008D562B"/>
    <w:rsid w:val="008D5733"/>
    <w:rsid w:val="008D622B"/>
    <w:rsid w:val="008D666C"/>
    <w:rsid w:val="008D7B54"/>
    <w:rsid w:val="008E047F"/>
    <w:rsid w:val="008E0C9D"/>
    <w:rsid w:val="008E1648"/>
    <w:rsid w:val="008E1B3E"/>
    <w:rsid w:val="008E2319"/>
    <w:rsid w:val="008E4BB6"/>
    <w:rsid w:val="008E5518"/>
    <w:rsid w:val="008E6A84"/>
    <w:rsid w:val="008F0CDC"/>
    <w:rsid w:val="008F17A3"/>
    <w:rsid w:val="008F1ED3"/>
    <w:rsid w:val="008F4C29"/>
    <w:rsid w:val="008F70BD"/>
    <w:rsid w:val="008F788F"/>
    <w:rsid w:val="008F7DD4"/>
    <w:rsid w:val="008F7EA2"/>
    <w:rsid w:val="00901412"/>
    <w:rsid w:val="00902722"/>
    <w:rsid w:val="009027BC"/>
    <w:rsid w:val="009062E6"/>
    <w:rsid w:val="00911BE5"/>
    <w:rsid w:val="00913CA9"/>
    <w:rsid w:val="009145AE"/>
    <w:rsid w:val="009146CE"/>
    <w:rsid w:val="00914CA7"/>
    <w:rsid w:val="00915C3E"/>
    <w:rsid w:val="009161A8"/>
    <w:rsid w:val="009245AE"/>
    <w:rsid w:val="009245F5"/>
    <w:rsid w:val="009249EC"/>
    <w:rsid w:val="009273B3"/>
    <w:rsid w:val="009305B5"/>
    <w:rsid w:val="0093426B"/>
    <w:rsid w:val="009378DD"/>
    <w:rsid w:val="00940150"/>
    <w:rsid w:val="00941139"/>
    <w:rsid w:val="009429D5"/>
    <w:rsid w:val="00942BF1"/>
    <w:rsid w:val="009436B5"/>
    <w:rsid w:val="00945180"/>
    <w:rsid w:val="00945428"/>
    <w:rsid w:val="0094607B"/>
    <w:rsid w:val="00952A01"/>
    <w:rsid w:val="00953604"/>
    <w:rsid w:val="0095496B"/>
    <w:rsid w:val="00960F1E"/>
    <w:rsid w:val="009610DC"/>
    <w:rsid w:val="00961490"/>
    <w:rsid w:val="0096381A"/>
    <w:rsid w:val="009655FB"/>
    <w:rsid w:val="00965E04"/>
    <w:rsid w:val="009674AD"/>
    <w:rsid w:val="00970CDC"/>
    <w:rsid w:val="00975727"/>
    <w:rsid w:val="00977010"/>
    <w:rsid w:val="00977D02"/>
    <w:rsid w:val="00977FF9"/>
    <w:rsid w:val="009809BB"/>
    <w:rsid w:val="0098364B"/>
    <w:rsid w:val="009908A3"/>
    <w:rsid w:val="009911AF"/>
    <w:rsid w:val="00991875"/>
    <w:rsid w:val="00991F92"/>
    <w:rsid w:val="00992985"/>
    <w:rsid w:val="00992FF5"/>
    <w:rsid w:val="00993889"/>
    <w:rsid w:val="00994F52"/>
    <w:rsid w:val="0099551B"/>
    <w:rsid w:val="00995EDA"/>
    <w:rsid w:val="00996BD2"/>
    <w:rsid w:val="009974EB"/>
    <w:rsid w:val="00997BF1"/>
    <w:rsid w:val="009A089C"/>
    <w:rsid w:val="009A118E"/>
    <w:rsid w:val="009A21CD"/>
    <w:rsid w:val="009A278C"/>
    <w:rsid w:val="009A2BC2"/>
    <w:rsid w:val="009A42C1"/>
    <w:rsid w:val="009A5429"/>
    <w:rsid w:val="009A72AD"/>
    <w:rsid w:val="009B09E0"/>
    <w:rsid w:val="009B0BC5"/>
    <w:rsid w:val="009B1247"/>
    <w:rsid w:val="009B5FFA"/>
    <w:rsid w:val="009B6029"/>
    <w:rsid w:val="009B6971"/>
    <w:rsid w:val="009C27F1"/>
    <w:rsid w:val="009C3152"/>
    <w:rsid w:val="009C3257"/>
    <w:rsid w:val="009C4CFA"/>
    <w:rsid w:val="009C5070"/>
    <w:rsid w:val="009D112C"/>
    <w:rsid w:val="009D1385"/>
    <w:rsid w:val="009D47FA"/>
    <w:rsid w:val="009D4C5B"/>
    <w:rsid w:val="009D50D2"/>
    <w:rsid w:val="009D6BCA"/>
    <w:rsid w:val="009E0F62"/>
    <w:rsid w:val="009E4A58"/>
    <w:rsid w:val="009E596F"/>
    <w:rsid w:val="009E5A2D"/>
    <w:rsid w:val="009E5AB2"/>
    <w:rsid w:val="009E6219"/>
    <w:rsid w:val="009F03B3"/>
    <w:rsid w:val="009F1C52"/>
    <w:rsid w:val="00A0096C"/>
    <w:rsid w:val="00A01757"/>
    <w:rsid w:val="00A028C0"/>
    <w:rsid w:val="00A02BAE"/>
    <w:rsid w:val="00A04C07"/>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97D"/>
    <w:rsid w:val="00A36DD1"/>
    <w:rsid w:val="00A4006C"/>
    <w:rsid w:val="00A40091"/>
    <w:rsid w:val="00A4030F"/>
    <w:rsid w:val="00A41C79"/>
    <w:rsid w:val="00A41CB5"/>
    <w:rsid w:val="00A42258"/>
    <w:rsid w:val="00A42CDF"/>
    <w:rsid w:val="00A4452E"/>
    <w:rsid w:val="00A4472C"/>
    <w:rsid w:val="00A44E69"/>
    <w:rsid w:val="00A45C51"/>
    <w:rsid w:val="00A4661E"/>
    <w:rsid w:val="00A55BD6"/>
    <w:rsid w:val="00A55D50"/>
    <w:rsid w:val="00A57142"/>
    <w:rsid w:val="00A648CD"/>
    <w:rsid w:val="00A6537A"/>
    <w:rsid w:val="00A67866"/>
    <w:rsid w:val="00A70B07"/>
    <w:rsid w:val="00A723F8"/>
    <w:rsid w:val="00A77CCB"/>
    <w:rsid w:val="00A83D8D"/>
    <w:rsid w:val="00A8446B"/>
    <w:rsid w:val="00A8473F"/>
    <w:rsid w:val="00A84ABB"/>
    <w:rsid w:val="00A862D6"/>
    <w:rsid w:val="00A86871"/>
    <w:rsid w:val="00A8715E"/>
    <w:rsid w:val="00A90730"/>
    <w:rsid w:val="00A9295B"/>
    <w:rsid w:val="00A93B09"/>
    <w:rsid w:val="00A952D7"/>
    <w:rsid w:val="00A963F7"/>
    <w:rsid w:val="00A96AD8"/>
    <w:rsid w:val="00AA052C"/>
    <w:rsid w:val="00AA1E45"/>
    <w:rsid w:val="00AA4286"/>
    <w:rsid w:val="00AA456B"/>
    <w:rsid w:val="00AA57F5"/>
    <w:rsid w:val="00AA672E"/>
    <w:rsid w:val="00AA6EC9"/>
    <w:rsid w:val="00AB25A8"/>
    <w:rsid w:val="00AB3D9C"/>
    <w:rsid w:val="00AB6309"/>
    <w:rsid w:val="00AB6C5F"/>
    <w:rsid w:val="00AB7129"/>
    <w:rsid w:val="00AC27A6"/>
    <w:rsid w:val="00AC30F7"/>
    <w:rsid w:val="00AC3A5A"/>
    <w:rsid w:val="00AC4D95"/>
    <w:rsid w:val="00AC5DF4"/>
    <w:rsid w:val="00AC759F"/>
    <w:rsid w:val="00AD0AEF"/>
    <w:rsid w:val="00AD11B7"/>
    <w:rsid w:val="00AD1A94"/>
    <w:rsid w:val="00AD1C05"/>
    <w:rsid w:val="00AD3695"/>
    <w:rsid w:val="00AD4126"/>
    <w:rsid w:val="00AD421C"/>
    <w:rsid w:val="00AD44FA"/>
    <w:rsid w:val="00AE070A"/>
    <w:rsid w:val="00AE101C"/>
    <w:rsid w:val="00AE2A69"/>
    <w:rsid w:val="00AE37E5"/>
    <w:rsid w:val="00AE5EB4"/>
    <w:rsid w:val="00AF0C18"/>
    <w:rsid w:val="00AF47C5"/>
    <w:rsid w:val="00AF4934"/>
    <w:rsid w:val="00AF5398"/>
    <w:rsid w:val="00B049AF"/>
    <w:rsid w:val="00B07242"/>
    <w:rsid w:val="00B10534"/>
    <w:rsid w:val="00B113DB"/>
    <w:rsid w:val="00B11D8A"/>
    <w:rsid w:val="00B12981"/>
    <w:rsid w:val="00B147DD"/>
    <w:rsid w:val="00B14FE2"/>
    <w:rsid w:val="00B156FD"/>
    <w:rsid w:val="00B17C7A"/>
    <w:rsid w:val="00B21F61"/>
    <w:rsid w:val="00B24885"/>
    <w:rsid w:val="00B261F1"/>
    <w:rsid w:val="00B265BC"/>
    <w:rsid w:val="00B2778B"/>
    <w:rsid w:val="00B31FB1"/>
    <w:rsid w:val="00B3268F"/>
    <w:rsid w:val="00B33952"/>
    <w:rsid w:val="00B33C5E"/>
    <w:rsid w:val="00B342F4"/>
    <w:rsid w:val="00B34369"/>
    <w:rsid w:val="00B34DC2"/>
    <w:rsid w:val="00B378E5"/>
    <w:rsid w:val="00B4346D"/>
    <w:rsid w:val="00B440F4"/>
    <w:rsid w:val="00B447A5"/>
    <w:rsid w:val="00B4654C"/>
    <w:rsid w:val="00B47293"/>
    <w:rsid w:val="00B50E50"/>
    <w:rsid w:val="00B52120"/>
    <w:rsid w:val="00B54511"/>
    <w:rsid w:val="00B54ABC"/>
    <w:rsid w:val="00B56FBE"/>
    <w:rsid w:val="00B60ACF"/>
    <w:rsid w:val="00B62B58"/>
    <w:rsid w:val="00B65149"/>
    <w:rsid w:val="00B66567"/>
    <w:rsid w:val="00B66F52"/>
    <w:rsid w:val="00B66FE5"/>
    <w:rsid w:val="00B72880"/>
    <w:rsid w:val="00B758BF"/>
    <w:rsid w:val="00B77EC8"/>
    <w:rsid w:val="00B827A6"/>
    <w:rsid w:val="00B831CE"/>
    <w:rsid w:val="00B86677"/>
    <w:rsid w:val="00B87131"/>
    <w:rsid w:val="00B939B1"/>
    <w:rsid w:val="00B96D40"/>
    <w:rsid w:val="00B97386"/>
    <w:rsid w:val="00BA263B"/>
    <w:rsid w:val="00BA2F0F"/>
    <w:rsid w:val="00BA42B2"/>
    <w:rsid w:val="00BA58D4"/>
    <w:rsid w:val="00BA5B9E"/>
    <w:rsid w:val="00BA7C9A"/>
    <w:rsid w:val="00BB13BF"/>
    <w:rsid w:val="00BB5F8F"/>
    <w:rsid w:val="00BB6462"/>
    <w:rsid w:val="00BB657A"/>
    <w:rsid w:val="00BC1611"/>
    <w:rsid w:val="00BC1A4E"/>
    <w:rsid w:val="00BC3545"/>
    <w:rsid w:val="00BC5DC7"/>
    <w:rsid w:val="00BC6B8B"/>
    <w:rsid w:val="00BC73D8"/>
    <w:rsid w:val="00BD52D7"/>
    <w:rsid w:val="00BD5AD2"/>
    <w:rsid w:val="00BD7E2E"/>
    <w:rsid w:val="00BE22F3"/>
    <w:rsid w:val="00BE5B52"/>
    <w:rsid w:val="00BE7B8D"/>
    <w:rsid w:val="00BF0993"/>
    <w:rsid w:val="00BF10A9"/>
    <w:rsid w:val="00BF1703"/>
    <w:rsid w:val="00BF184D"/>
    <w:rsid w:val="00BF231C"/>
    <w:rsid w:val="00BF269D"/>
    <w:rsid w:val="00BF51E5"/>
    <w:rsid w:val="00BF5682"/>
    <w:rsid w:val="00BF74A6"/>
    <w:rsid w:val="00C013AD"/>
    <w:rsid w:val="00C0376C"/>
    <w:rsid w:val="00C04904"/>
    <w:rsid w:val="00C056B3"/>
    <w:rsid w:val="00C078B5"/>
    <w:rsid w:val="00C103E5"/>
    <w:rsid w:val="00C13319"/>
    <w:rsid w:val="00C13EE9"/>
    <w:rsid w:val="00C21540"/>
    <w:rsid w:val="00C21906"/>
    <w:rsid w:val="00C21BFA"/>
    <w:rsid w:val="00C23DFC"/>
    <w:rsid w:val="00C24C8D"/>
    <w:rsid w:val="00C25FE2"/>
    <w:rsid w:val="00C26B53"/>
    <w:rsid w:val="00C279B2"/>
    <w:rsid w:val="00C33E50"/>
    <w:rsid w:val="00C34C20"/>
    <w:rsid w:val="00C35A3E"/>
    <w:rsid w:val="00C40FFF"/>
    <w:rsid w:val="00C42130"/>
    <w:rsid w:val="00C423A4"/>
    <w:rsid w:val="00C423E3"/>
    <w:rsid w:val="00C44BF5"/>
    <w:rsid w:val="00C521D6"/>
    <w:rsid w:val="00C55232"/>
    <w:rsid w:val="00C553A4"/>
    <w:rsid w:val="00C55A06"/>
    <w:rsid w:val="00C55D03"/>
    <w:rsid w:val="00C56F15"/>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972D8"/>
    <w:rsid w:val="00CA08B3"/>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10F"/>
    <w:rsid w:val="00CC4AC8"/>
    <w:rsid w:val="00CC5233"/>
    <w:rsid w:val="00CC5DE6"/>
    <w:rsid w:val="00CC6E4E"/>
    <w:rsid w:val="00CC6FE8"/>
    <w:rsid w:val="00CC70EE"/>
    <w:rsid w:val="00CC7202"/>
    <w:rsid w:val="00CD2808"/>
    <w:rsid w:val="00CD28BF"/>
    <w:rsid w:val="00CD4092"/>
    <w:rsid w:val="00CD4A20"/>
    <w:rsid w:val="00CD50A1"/>
    <w:rsid w:val="00CD519E"/>
    <w:rsid w:val="00CE0C4F"/>
    <w:rsid w:val="00CE30EA"/>
    <w:rsid w:val="00CE5EFE"/>
    <w:rsid w:val="00CF048A"/>
    <w:rsid w:val="00CF155A"/>
    <w:rsid w:val="00CF2947"/>
    <w:rsid w:val="00CF2DD5"/>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2D93"/>
    <w:rsid w:val="00D1489E"/>
    <w:rsid w:val="00D20737"/>
    <w:rsid w:val="00D21E81"/>
    <w:rsid w:val="00D223DE"/>
    <w:rsid w:val="00D22ACE"/>
    <w:rsid w:val="00D25E37"/>
    <w:rsid w:val="00D2661A"/>
    <w:rsid w:val="00D27582"/>
    <w:rsid w:val="00D27EC4"/>
    <w:rsid w:val="00D32719"/>
    <w:rsid w:val="00D33333"/>
    <w:rsid w:val="00D33B2C"/>
    <w:rsid w:val="00D352A2"/>
    <w:rsid w:val="00D4109E"/>
    <w:rsid w:val="00D4162B"/>
    <w:rsid w:val="00D4514F"/>
    <w:rsid w:val="00D451E2"/>
    <w:rsid w:val="00D45E89"/>
    <w:rsid w:val="00D45E8D"/>
    <w:rsid w:val="00D466AE"/>
    <w:rsid w:val="00D4734F"/>
    <w:rsid w:val="00D51BF3"/>
    <w:rsid w:val="00D536C8"/>
    <w:rsid w:val="00D66846"/>
    <w:rsid w:val="00D675FB"/>
    <w:rsid w:val="00D71F25"/>
    <w:rsid w:val="00D72A9C"/>
    <w:rsid w:val="00D764C6"/>
    <w:rsid w:val="00D76865"/>
    <w:rsid w:val="00D77031"/>
    <w:rsid w:val="00D840A9"/>
    <w:rsid w:val="00D84941"/>
    <w:rsid w:val="00D84FA1"/>
    <w:rsid w:val="00D851F0"/>
    <w:rsid w:val="00D86DB7"/>
    <w:rsid w:val="00D87BF5"/>
    <w:rsid w:val="00D90721"/>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4113"/>
    <w:rsid w:val="00DC5B90"/>
    <w:rsid w:val="00DC729F"/>
    <w:rsid w:val="00DD00FF"/>
    <w:rsid w:val="00DD0619"/>
    <w:rsid w:val="00DD07FB"/>
    <w:rsid w:val="00DD25C6"/>
    <w:rsid w:val="00DD4FE5"/>
    <w:rsid w:val="00DD54B0"/>
    <w:rsid w:val="00DD57EE"/>
    <w:rsid w:val="00DD5B95"/>
    <w:rsid w:val="00DD6BCC"/>
    <w:rsid w:val="00DD743E"/>
    <w:rsid w:val="00DE0A4B"/>
    <w:rsid w:val="00DE2410"/>
    <w:rsid w:val="00DE2939"/>
    <w:rsid w:val="00DE6E81"/>
    <w:rsid w:val="00DE703F"/>
    <w:rsid w:val="00DE7595"/>
    <w:rsid w:val="00DF1961"/>
    <w:rsid w:val="00DF44DE"/>
    <w:rsid w:val="00DF6509"/>
    <w:rsid w:val="00E01138"/>
    <w:rsid w:val="00E02DFB"/>
    <w:rsid w:val="00E030F9"/>
    <w:rsid w:val="00E0311A"/>
    <w:rsid w:val="00E03138"/>
    <w:rsid w:val="00E04E1C"/>
    <w:rsid w:val="00E06404"/>
    <w:rsid w:val="00E07972"/>
    <w:rsid w:val="00E11A85"/>
    <w:rsid w:val="00E12495"/>
    <w:rsid w:val="00E15CCD"/>
    <w:rsid w:val="00E202EF"/>
    <w:rsid w:val="00E210B5"/>
    <w:rsid w:val="00E23B79"/>
    <w:rsid w:val="00E2552F"/>
    <w:rsid w:val="00E3108F"/>
    <w:rsid w:val="00E3137A"/>
    <w:rsid w:val="00E32CCF"/>
    <w:rsid w:val="00E3322F"/>
    <w:rsid w:val="00E34A98"/>
    <w:rsid w:val="00E34E7E"/>
    <w:rsid w:val="00E35D1E"/>
    <w:rsid w:val="00E364F9"/>
    <w:rsid w:val="00E365FA"/>
    <w:rsid w:val="00E36789"/>
    <w:rsid w:val="00E44A83"/>
    <w:rsid w:val="00E477C4"/>
    <w:rsid w:val="00E502C1"/>
    <w:rsid w:val="00E502DD"/>
    <w:rsid w:val="00E50D3A"/>
    <w:rsid w:val="00E51387"/>
    <w:rsid w:val="00E51E68"/>
    <w:rsid w:val="00E52EFD"/>
    <w:rsid w:val="00E5408A"/>
    <w:rsid w:val="00E56800"/>
    <w:rsid w:val="00E60C63"/>
    <w:rsid w:val="00E62FF9"/>
    <w:rsid w:val="00E635D6"/>
    <w:rsid w:val="00E639BC"/>
    <w:rsid w:val="00E63F6E"/>
    <w:rsid w:val="00E664CC"/>
    <w:rsid w:val="00E70388"/>
    <w:rsid w:val="00E70F6F"/>
    <w:rsid w:val="00E70F92"/>
    <w:rsid w:val="00E74313"/>
    <w:rsid w:val="00E74C54"/>
    <w:rsid w:val="00E77A03"/>
    <w:rsid w:val="00E822E8"/>
    <w:rsid w:val="00E823BD"/>
    <w:rsid w:val="00E82554"/>
    <w:rsid w:val="00E82606"/>
    <w:rsid w:val="00E831C1"/>
    <w:rsid w:val="00E846C8"/>
    <w:rsid w:val="00E84957"/>
    <w:rsid w:val="00E84A55"/>
    <w:rsid w:val="00E85BFF"/>
    <w:rsid w:val="00E90391"/>
    <w:rsid w:val="00E906C2"/>
    <w:rsid w:val="00E9260C"/>
    <w:rsid w:val="00E9311F"/>
    <w:rsid w:val="00E934D1"/>
    <w:rsid w:val="00E93CFC"/>
    <w:rsid w:val="00E94AF0"/>
    <w:rsid w:val="00E95D13"/>
    <w:rsid w:val="00E95DD3"/>
    <w:rsid w:val="00E969D5"/>
    <w:rsid w:val="00EA58D1"/>
    <w:rsid w:val="00EA61BC"/>
    <w:rsid w:val="00EA681A"/>
    <w:rsid w:val="00EA735B"/>
    <w:rsid w:val="00EB1E69"/>
    <w:rsid w:val="00EB2086"/>
    <w:rsid w:val="00EB31ED"/>
    <w:rsid w:val="00EB5EDF"/>
    <w:rsid w:val="00EB60FE"/>
    <w:rsid w:val="00EB74DB"/>
    <w:rsid w:val="00EC5359"/>
    <w:rsid w:val="00EC562A"/>
    <w:rsid w:val="00EC6D15"/>
    <w:rsid w:val="00ED067A"/>
    <w:rsid w:val="00ED2B50"/>
    <w:rsid w:val="00EE0350"/>
    <w:rsid w:val="00EE0719"/>
    <w:rsid w:val="00EE0E80"/>
    <w:rsid w:val="00EE613F"/>
    <w:rsid w:val="00EE7295"/>
    <w:rsid w:val="00EE7869"/>
    <w:rsid w:val="00EF054A"/>
    <w:rsid w:val="00EF3235"/>
    <w:rsid w:val="00EF7E72"/>
    <w:rsid w:val="00F0357E"/>
    <w:rsid w:val="00F06D37"/>
    <w:rsid w:val="00F07B9D"/>
    <w:rsid w:val="00F11586"/>
    <w:rsid w:val="00F1183B"/>
    <w:rsid w:val="00F11C9F"/>
    <w:rsid w:val="00F12263"/>
    <w:rsid w:val="00F1409D"/>
    <w:rsid w:val="00F14214"/>
    <w:rsid w:val="00F157A9"/>
    <w:rsid w:val="00F16F00"/>
    <w:rsid w:val="00F25BB6"/>
    <w:rsid w:val="00F26B7E"/>
    <w:rsid w:val="00F27A3B"/>
    <w:rsid w:val="00F32780"/>
    <w:rsid w:val="00F33817"/>
    <w:rsid w:val="00F41743"/>
    <w:rsid w:val="00F420D5"/>
    <w:rsid w:val="00F451EA"/>
    <w:rsid w:val="00F45447"/>
    <w:rsid w:val="00F456C6"/>
    <w:rsid w:val="00F4577B"/>
    <w:rsid w:val="00F46496"/>
    <w:rsid w:val="00F474D0"/>
    <w:rsid w:val="00F50179"/>
    <w:rsid w:val="00F515EE"/>
    <w:rsid w:val="00F51C9A"/>
    <w:rsid w:val="00F56511"/>
    <w:rsid w:val="00F6194E"/>
    <w:rsid w:val="00F623AC"/>
    <w:rsid w:val="00F6412A"/>
    <w:rsid w:val="00F65893"/>
    <w:rsid w:val="00F66A4A"/>
    <w:rsid w:val="00F71E22"/>
    <w:rsid w:val="00F72142"/>
    <w:rsid w:val="00F72AE7"/>
    <w:rsid w:val="00F833BA"/>
    <w:rsid w:val="00F84FD0"/>
    <w:rsid w:val="00F859A8"/>
    <w:rsid w:val="00F86D87"/>
    <w:rsid w:val="00F9108B"/>
    <w:rsid w:val="00F91349"/>
    <w:rsid w:val="00F93A8A"/>
    <w:rsid w:val="00F94832"/>
    <w:rsid w:val="00F95248"/>
    <w:rsid w:val="00F956A9"/>
    <w:rsid w:val="00F963ED"/>
    <w:rsid w:val="00F966CF"/>
    <w:rsid w:val="00F96CAE"/>
    <w:rsid w:val="00F97C99"/>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1465165"/>
    <w:rsid w:val="015B75D7"/>
    <w:rsid w:val="024050BE"/>
    <w:rsid w:val="02E035E9"/>
    <w:rsid w:val="03184393"/>
    <w:rsid w:val="08E545E6"/>
    <w:rsid w:val="0A2E53D1"/>
    <w:rsid w:val="0BC52ED6"/>
    <w:rsid w:val="0C650BA6"/>
    <w:rsid w:val="0CAF61E6"/>
    <w:rsid w:val="0EC339B1"/>
    <w:rsid w:val="0EFC5BB1"/>
    <w:rsid w:val="0F3734C7"/>
    <w:rsid w:val="108A6629"/>
    <w:rsid w:val="11BB562D"/>
    <w:rsid w:val="134D4D3A"/>
    <w:rsid w:val="15BD1974"/>
    <w:rsid w:val="19C6688A"/>
    <w:rsid w:val="1B5C54DD"/>
    <w:rsid w:val="1D640957"/>
    <w:rsid w:val="20570508"/>
    <w:rsid w:val="23204472"/>
    <w:rsid w:val="232C0A75"/>
    <w:rsid w:val="239446F6"/>
    <w:rsid w:val="249F0737"/>
    <w:rsid w:val="26B66697"/>
    <w:rsid w:val="27C86433"/>
    <w:rsid w:val="2B794137"/>
    <w:rsid w:val="2D2A0B7C"/>
    <w:rsid w:val="2FBB5E85"/>
    <w:rsid w:val="31261C78"/>
    <w:rsid w:val="315E470D"/>
    <w:rsid w:val="32281613"/>
    <w:rsid w:val="3239174D"/>
    <w:rsid w:val="33F0518D"/>
    <w:rsid w:val="360A255B"/>
    <w:rsid w:val="39FF406D"/>
    <w:rsid w:val="3A9C0C43"/>
    <w:rsid w:val="3B167E73"/>
    <w:rsid w:val="3CA72109"/>
    <w:rsid w:val="3D793F1A"/>
    <w:rsid w:val="3E7954E8"/>
    <w:rsid w:val="3EC33C3E"/>
    <w:rsid w:val="3EC4428E"/>
    <w:rsid w:val="411B41E8"/>
    <w:rsid w:val="46271506"/>
    <w:rsid w:val="46BF30DB"/>
    <w:rsid w:val="476247E6"/>
    <w:rsid w:val="49523BA5"/>
    <w:rsid w:val="4B475260"/>
    <w:rsid w:val="4C9B1E38"/>
    <w:rsid w:val="4DA8648A"/>
    <w:rsid w:val="4EA76741"/>
    <w:rsid w:val="4F027E1C"/>
    <w:rsid w:val="543171DB"/>
    <w:rsid w:val="57BB34E2"/>
    <w:rsid w:val="58031738"/>
    <w:rsid w:val="5B223F16"/>
    <w:rsid w:val="5B2D4472"/>
    <w:rsid w:val="5B303484"/>
    <w:rsid w:val="5F5521EA"/>
    <w:rsid w:val="5F866223"/>
    <w:rsid w:val="5FB707AE"/>
    <w:rsid w:val="60766FD7"/>
    <w:rsid w:val="63DA6BC7"/>
    <w:rsid w:val="65A74E21"/>
    <w:rsid w:val="65BD4642"/>
    <w:rsid w:val="678E45EA"/>
    <w:rsid w:val="6B5B2936"/>
    <w:rsid w:val="6C223454"/>
    <w:rsid w:val="6E587601"/>
    <w:rsid w:val="6FE977E4"/>
    <w:rsid w:val="716548BE"/>
    <w:rsid w:val="740578E3"/>
    <w:rsid w:val="74621FD4"/>
    <w:rsid w:val="751714E0"/>
    <w:rsid w:val="769A32A6"/>
    <w:rsid w:val="77FB5EBC"/>
    <w:rsid w:val="78026677"/>
    <w:rsid w:val="780E01C2"/>
    <w:rsid w:val="7824550A"/>
    <w:rsid w:val="78F066C6"/>
    <w:rsid w:val="79304726"/>
    <w:rsid w:val="793C3F2F"/>
    <w:rsid w:val="7D050953"/>
    <w:rsid w:val="7D545437"/>
    <w:rsid w:val="7E7C4C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fillcolor="white">
      <v:fill color="white"/>
    </o:shapedefaults>
    <o:shapelayout v:ext="edit">
      <o:idmap v:ext="edit" data="1"/>
    </o:shapelayout>
  </w:shapeDefaults>
  <w:decimalSymbol w:val="."/>
  <w:listSeparator w:val=","/>
  <w15:docId w15:val="{E9694FB9-959A-4959-8D70-CBA5A9F53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fffa">
    <w:name w:val="Normal"/>
    <w:autoRedefine/>
    <w:qFormat/>
    <w:pPr>
      <w:widowControl w:val="0"/>
      <w:adjustRightInd w:val="0"/>
      <w:spacing w:line="400" w:lineRule="exact"/>
      <w:jc w:val="both"/>
    </w:pPr>
    <w:rPr>
      <w:kern w:val="2"/>
      <w:sz w:val="21"/>
      <w:szCs w:val="21"/>
    </w:rPr>
  </w:style>
  <w:style w:type="paragraph" w:styleId="1">
    <w:name w:val="heading 1"/>
    <w:basedOn w:val="afffa"/>
    <w:next w:val="afffa"/>
    <w:link w:val="10"/>
    <w:autoRedefine/>
    <w:qFormat/>
    <w:pPr>
      <w:keepNext/>
      <w:keepLines/>
      <w:spacing w:before="340" w:after="330" w:line="578" w:lineRule="auto"/>
      <w:outlineLvl w:val="0"/>
    </w:pPr>
    <w:rPr>
      <w:b/>
      <w:bCs/>
      <w:kern w:val="44"/>
      <w:sz w:val="44"/>
      <w:szCs w:val="44"/>
    </w:rPr>
  </w:style>
  <w:style w:type="paragraph" w:styleId="22">
    <w:name w:val="heading 2"/>
    <w:basedOn w:val="afffa"/>
    <w:next w:val="afffa"/>
    <w:link w:val="23"/>
    <w:autoRedefine/>
    <w:qFormat/>
    <w:pPr>
      <w:keepNext/>
      <w:keepLines/>
      <w:spacing w:before="260" w:after="260" w:line="416" w:lineRule="auto"/>
      <w:outlineLvl w:val="1"/>
    </w:pPr>
    <w:rPr>
      <w:rFonts w:ascii="Arial" w:eastAsia="黑体" w:hAnsi="Arial"/>
      <w:b/>
      <w:bCs/>
      <w:sz w:val="32"/>
      <w:szCs w:val="32"/>
    </w:rPr>
  </w:style>
  <w:style w:type="paragraph" w:styleId="3">
    <w:name w:val="heading 3"/>
    <w:basedOn w:val="afffa"/>
    <w:next w:val="afffa"/>
    <w:link w:val="30"/>
    <w:autoRedefine/>
    <w:qFormat/>
    <w:pPr>
      <w:keepNext/>
      <w:keepLines/>
      <w:spacing w:before="260" w:after="260" w:line="416" w:lineRule="auto"/>
      <w:outlineLvl w:val="2"/>
    </w:pPr>
    <w:rPr>
      <w:b/>
      <w:bCs/>
      <w:sz w:val="32"/>
      <w:szCs w:val="32"/>
    </w:rPr>
  </w:style>
  <w:style w:type="paragraph" w:styleId="4">
    <w:name w:val="heading 4"/>
    <w:basedOn w:val="afffa"/>
    <w:next w:val="afffa"/>
    <w:link w:val="40"/>
    <w:autoRedefine/>
    <w:qFormat/>
    <w:pPr>
      <w:keepNext/>
      <w:keepLines/>
      <w:spacing w:before="280" w:after="290" w:line="376" w:lineRule="auto"/>
      <w:outlineLvl w:val="3"/>
    </w:pPr>
    <w:rPr>
      <w:rFonts w:ascii="Arial" w:eastAsia="黑体" w:hAnsi="Arial"/>
      <w:b/>
      <w:bCs/>
      <w:sz w:val="28"/>
      <w:szCs w:val="28"/>
    </w:rPr>
  </w:style>
  <w:style w:type="paragraph" w:styleId="5">
    <w:name w:val="heading 5"/>
    <w:basedOn w:val="afffa"/>
    <w:next w:val="afffa"/>
    <w:link w:val="50"/>
    <w:autoRedefine/>
    <w:qFormat/>
    <w:pPr>
      <w:keepNext/>
      <w:keepLines/>
      <w:adjustRightInd/>
      <w:spacing w:before="280" w:after="290" w:line="376" w:lineRule="auto"/>
      <w:outlineLvl w:val="4"/>
    </w:pPr>
    <w:rPr>
      <w:b/>
      <w:bCs/>
      <w:sz w:val="28"/>
      <w:szCs w:val="28"/>
    </w:rPr>
  </w:style>
  <w:style w:type="paragraph" w:styleId="6">
    <w:name w:val="heading 6"/>
    <w:basedOn w:val="afffa"/>
    <w:next w:val="afffa"/>
    <w:link w:val="60"/>
    <w:autoRedefine/>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a"/>
    <w:next w:val="afffa"/>
    <w:link w:val="70"/>
    <w:autoRedefine/>
    <w:qFormat/>
    <w:pPr>
      <w:keepNext/>
      <w:keepLines/>
      <w:adjustRightInd/>
      <w:spacing w:before="240" w:after="64" w:line="320" w:lineRule="auto"/>
      <w:outlineLvl w:val="6"/>
    </w:pPr>
    <w:rPr>
      <w:b/>
      <w:bCs/>
      <w:sz w:val="24"/>
      <w:szCs w:val="24"/>
    </w:rPr>
  </w:style>
  <w:style w:type="paragraph" w:styleId="8">
    <w:name w:val="heading 8"/>
    <w:basedOn w:val="afffa"/>
    <w:next w:val="afffa"/>
    <w:link w:val="80"/>
    <w:autoRedefine/>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a"/>
    <w:next w:val="afffa"/>
    <w:link w:val="90"/>
    <w:autoRedefine/>
    <w:qFormat/>
    <w:pPr>
      <w:keepNext/>
      <w:keepLines/>
      <w:adjustRightInd/>
      <w:spacing w:before="240" w:after="64" w:line="320" w:lineRule="auto"/>
      <w:outlineLvl w:val="8"/>
    </w:pPr>
    <w:rPr>
      <w:rFonts w:ascii="Arial" w:eastAsia="黑体" w:hAnsi="Arial"/>
    </w:rPr>
  </w:style>
  <w:style w:type="character" w:default="1" w:styleId="afffb">
    <w:name w:val="Default Paragraph Font"/>
    <w:uiPriority w:val="1"/>
    <w:semiHidden/>
    <w:unhideWhenUsed/>
  </w:style>
  <w:style w:type="table" w:default="1" w:styleId="afffc">
    <w:name w:val="Normal Table"/>
    <w:uiPriority w:val="99"/>
    <w:semiHidden/>
    <w:unhideWhenUsed/>
    <w:tblPr>
      <w:tblInd w:w="0" w:type="dxa"/>
      <w:tblCellMar>
        <w:top w:w="0" w:type="dxa"/>
        <w:left w:w="108" w:type="dxa"/>
        <w:bottom w:w="0" w:type="dxa"/>
        <w:right w:w="108" w:type="dxa"/>
      </w:tblCellMar>
    </w:tblPr>
  </w:style>
  <w:style w:type="numbering" w:default="1" w:styleId="afffd">
    <w:name w:val="No List"/>
    <w:uiPriority w:val="99"/>
    <w:semiHidden/>
    <w:unhideWhenUsed/>
  </w:style>
  <w:style w:type="paragraph" w:styleId="TOC7">
    <w:name w:val="toc 7"/>
    <w:basedOn w:val="afffa"/>
    <w:next w:val="afffa"/>
    <w:autoRedefine/>
    <w:uiPriority w:val="39"/>
    <w:unhideWhenUsed/>
    <w:qFormat/>
    <w:pPr>
      <w:tabs>
        <w:tab w:val="right" w:leader="dot" w:pos="9344"/>
      </w:tabs>
      <w:spacing w:line="300" w:lineRule="exact"/>
      <w:ind w:left="1259"/>
    </w:pPr>
    <w:rPr>
      <w:rFonts w:ascii="宋体"/>
    </w:rPr>
  </w:style>
  <w:style w:type="paragraph" w:styleId="afffe">
    <w:name w:val="Normal Indent"/>
    <w:basedOn w:val="afffa"/>
    <w:autoRedefine/>
    <w:qFormat/>
    <w:pPr>
      <w:ind w:firstLine="420"/>
    </w:pPr>
  </w:style>
  <w:style w:type="paragraph" w:styleId="affff">
    <w:name w:val="Body Text"/>
    <w:basedOn w:val="afffa"/>
    <w:link w:val="affff0"/>
    <w:autoRedefine/>
    <w:qFormat/>
    <w:pPr>
      <w:spacing w:after="120"/>
    </w:pPr>
  </w:style>
  <w:style w:type="paragraph" w:styleId="TOC5">
    <w:name w:val="toc 5"/>
    <w:basedOn w:val="afffa"/>
    <w:next w:val="afffa"/>
    <w:autoRedefine/>
    <w:uiPriority w:val="39"/>
    <w:unhideWhenUsed/>
    <w:qFormat/>
    <w:pPr>
      <w:ind w:left="839"/>
    </w:pPr>
    <w:rPr>
      <w:rFonts w:ascii="宋体"/>
    </w:rPr>
  </w:style>
  <w:style w:type="paragraph" w:styleId="TOC3">
    <w:name w:val="toc 3"/>
    <w:basedOn w:val="afffa"/>
    <w:next w:val="afffa"/>
    <w:autoRedefine/>
    <w:uiPriority w:val="39"/>
    <w:unhideWhenUsed/>
    <w:qFormat/>
    <w:pPr>
      <w:spacing w:line="300" w:lineRule="exact"/>
      <w:ind w:left="420"/>
    </w:pPr>
    <w:rPr>
      <w:rFonts w:ascii="宋体"/>
    </w:rPr>
  </w:style>
  <w:style w:type="paragraph" w:styleId="affff1">
    <w:name w:val="Balloon Text"/>
    <w:basedOn w:val="afffa"/>
    <w:link w:val="affff2"/>
    <w:autoRedefine/>
    <w:uiPriority w:val="99"/>
    <w:semiHidden/>
    <w:unhideWhenUsed/>
    <w:qFormat/>
    <w:rPr>
      <w:sz w:val="18"/>
      <w:szCs w:val="18"/>
    </w:rPr>
  </w:style>
  <w:style w:type="paragraph" w:styleId="affff3">
    <w:name w:val="footer"/>
    <w:basedOn w:val="afffa"/>
    <w:link w:val="affff4"/>
    <w:autoRedefine/>
    <w:uiPriority w:val="99"/>
    <w:qFormat/>
    <w:pPr>
      <w:tabs>
        <w:tab w:val="center" w:pos="4153"/>
        <w:tab w:val="right" w:pos="8306"/>
      </w:tabs>
      <w:adjustRightInd/>
      <w:snapToGrid w:val="0"/>
      <w:spacing w:line="240" w:lineRule="auto"/>
      <w:jc w:val="right"/>
    </w:pPr>
    <w:rPr>
      <w:rFonts w:ascii="宋体"/>
      <w:sz w:val="18"/>
      <w:szCs w:val="18"/>
    </w:rPr>
  </w:style>
  <w:style w:type="paragraph" w:styleId="affff5">
    <w:name w:val="header"/>
    <w:basedOn w:val="afffa"/>
    <w:link w:val="affff6"/>
    <w:autoRedefine/>
    <w:uiPriority w:val="99"/>
    <w:qFormat/>
    <w:pPr>
      <w:tabs>
        <w:tab w:val="center" w:pos="4153"/>
        <w:tab w:val="right" w:pos="8306"/>
      </w:tabs>
      <w:adjustRightInd/>
      <w:snapToGrid w:val="0"/>
      <w:jc w:val="center"/>
    </w:pPr>
    <w:rPr>
      <w:sz w:val="18"/>
      <w:szCs w:val="18"/>
    </w:rPr>
  </w:style>
  <w:style w:type="paragraph" w:styleId="TOC1">
    <w:name w:val="toc 1"/>
    <w:basedOn w:val="afffa"/>
    <w:next w:val="afffa"/>
    <w:autoRedefine/>
    <w:uiPriority w:val="39"/>
    <w:unhideWhenUsed/>
    <w:qFormat/>
    <w:rPr>
      <w:rFonts w:ascii="宋体"/>
    </w:rPr>
  </w:style>
  <w:style w:type="paragraph" w:styleId="TOC4">
    <w:name w:val="toc 4"/>
    <w:basedOn w:val="afffa"/>
    <w:next w:val="afffa"/>
    <w:autoRedefine/>
    <w:uiPriority w:val="39"/>
    <w:unhideWhenUsed/>
    <w:qFormat/>
    <w:pPr>
      <w:tabs>
        <w:tab w:val="right" w:leader="dot" w:pos="9344"/>
      </w:tabs>
      <w:spacing w:line="300" w:lineRule="exact"/>
      <w:ind w:left="629"/>
    </w:pPr>
    <w:rPr>
      <w:rFonts w:ascii="宋体"/>
    </w:rPr>
  </w:style>
  <w:style w:type="paragraph" w:styleId="affff7">
    <w:name w:val="footnote text"/>
    <w:basedOn w:val="afffa"/>
    <w:next w:val="afffa"/>
    <w:link w:val="affff8"/>
    <w:autoRedefine/>
    <w:semiHidden/>
    <w:qFormat/>
    <w:pPr>
      <w:adjustRightInd/>
      <w:snapToGrid w:val="0"/>
      <w:spacing w:line="300" w:lineRule="exact"/>
      <w:ind w:leftChars="200" w:left="400" w:hangingChars="200" w:hanging="200"/>
      <w:jc w:val="left"/>
    </w:pPr>
    <w:rPr>
      <w:rFonts w:ascii="宋体"/>
      <w:sz w:val="18"/>
      <w:szCs w:val="18"/>
    </w:rPr>
  </w:style>
  <w:style w:type="paragraph" w:styleId="TOC6">
    <w:name w:val="toc 6"/>
    <w:basedOn w:val="afffa"/>
    <w:next w:val="afffa"/>
    <w:autoRedefine/>
    <w:uiPriority w:val="39"/>
    <w:unhideWhenUsed/>
    <w:qFormat/>
    <w:pPr>
      <w:spacing w:line="300" w:lineRule="exact"/>
      <w:ind w:left="1049"/>
    </w:pPr>
    <w:rPr>
      <w:rFonts w:ascii="宋体"/>
    </w:rPr>
  </w:style>
  <w:style w:type="paragraph" w:styleId="affff9">
    <w:name w:val="table of figures"/>
    <w:basedOn w:val="afffa"/>
    <w:next w:val="afffa"/>
    <w:autoRedefine/>
    <w:semiHidden/>
    <w:qFormat/>
    <w:pPr>
      <w:adjustRightInd/>
      <w:spacing w:line="240" w:lineRule="auto"/>
      <w:jc w:val="left"/>
    </w:pPr>
    <w:rPr>
      <w:szCs w:val="24"/>
    </w:rPr>
  </w:style>
  <w:style w:type="paragraph" w:styleId="TOC2">
    <w:name w:val="toc 2"/>
    <w:basedOn w:val="afffa"/>
    <w:next w:val="afffa"/>
    <w:autoRedefine/>
    <w:uiPriority w:val="39"/>
    <w:unhideWhenUsed/>
    <w:qFormat/>
    <w:pPr>
      <w:tabs>
        <w:tab w:val="right" w:leader="dot" w:pos="9344"/>
      </w:tabs>
      <w:spacing w:line="300" w:lineRule="exact"/>
      <w:ind w:left="210"/>
    </w:pPr>
    <w:rPr>
      <w:rFonts w:ascii="宋体"/>
    </w:rPr>
  </w:style>
  <w:style w:type="paragraph" w:styleId="affffa">
    <w:name w:val="Title"/>
    <w:basedOn w:val="afffa"/>
    <w:link w:val="affffb"/>
    <w:autoRedefine/>
    <w:qFormat/>
    <w:pPr>
      <w:spacing w:before="240" w:after="60"/>
      <w:jc w:val="center"/>
      <w:outlineLvl w:val="0"/>
    </w:pPr>
    <w:rPr>
      <w:rFonts w:ascii="Arial" w:hAnsi="Arial" w:cs="Arial"/>
      <w:b/>
      <w:bCs/>
      <w:sz w:val="32"/>
      <w:szCs w:val="32"/>
    </w:rPr>
  </w:style>
  <w:style w:type="table" w:styleId="affffc">
    <w:name w:val="Table Grid"/>
    <w:basedOn w:val="afffc"/>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Strong"/>
    <w:autoRedefine/>
    <w:uiPriority w:val="22"/>
    <w:qFormat/>
    <w:rPr>
      <w:b/>
      <w:bCs/>
    </w:rPr>
  </w:style>
  <w:style w:type="character" w:styleId="affffe">
    <w:name w:val="page number"/>
    <w:autoRedefine/>
    <w:qFormat/>
    <w:rPr>
      <w:rFonts w:ascii="宋体" w:eastAsia="宋体" w:hAnsi="Times New Roman"/>
      <w:sz w:val="18"/>
    </w:rPr>
  </w:style>
  <w:style w:type="character" w:styleId="afffff">
    <w:name w:val="FollowedHyperlink"/>
    <w:basedOn w:val="afffb"/>
    <w:autoRedefine/>
    <w:uiPriority w:val="99"/>
    <w:semiHidden/>
    <w:unhideWhenUsed/>
    <w:qFormat/>
    <w:rPr>
      <w:color w:val="954F72" w:themeColor="followedHyperlink"/>
      <w:u w:val="single"/>
    </w:rPr>
  </w:style>
  <w:style w:type="character" w:styleId="afffff0">
    <w:name w:val="Emphasis"/>
    <w:autoRedefine/>
    <w:uiPriority w:val="20"/>
    <w:qFormat/>
    <w:rPr>
      <w:i/>
      <w:iCs/>
    </w:rPr>
  </w:style>
  <w:style w:type="character" w:styleId="afffff1">
    <w:name w:val="Hyperlink"/>
    <w:autoRedefine/>
    <w:uiPriority w:val="99"/>
    <w:qFormat/>
    <w:rPr>
      <w:rFonts w:ascii="宋体" w:eastAsia="宋体" w:hAnsi="Times New Roman"/>
      <w:color w:val="auto"/>
      <w:spacing w:val="0"/>
      <w:w w:val="100"/>
      <w:position w:val="0"/>
      <w:sz w:val="21"/>
      <w:u w:val="none"/>
      <w:vertAlign w:val="baseline"/>
    </w:rPr>
  </w:style>
  <w:style w:type="character" w:styleId="afffff2">
    <w:name w:val="footnote reference"/>
    <w:autoRedefine/>
    <w:semiHidden/>
    <w:qFormat/>
    <w:rPr>
      <w:rFonts w:ascii="宋体" w:eastAsia="宋体" w:hAnsi="宋体" w:cs="Times New Roman"/>
      <w:spacing w:val="0"/>
      <w:sz w:val="18"/>
      <w:vertAlign w:val="superscript"/>
    </w:rPr>
  </w:style>
  <w:style w:type="character" w:customStyle="1" w:styleId="10">
    <w:name w:val="标题 1 字符"/>
    <w:link w:val="1"/>
    <w:autoRedefine/>
    <w:qFormat/>
    <w:rPr>
      <w:b/>
      <w:bCs/>
      <w:kern w:val="44"/>
      <w:sz w:val="44"/>
      <w:szCs w:val="44"/>
    </w:rPr>
  </w:style>
  <w:style w:type="character" w:customStyle="1" w:styleId="23">
    <w:name w:val="标题 2 字符"/>
    <w:link w:val="22"/>
    <w:autoRedefine/>
    <w:qFormat/>
    <w:rPr>
      <w:rFonts w:ascii="Arial" w:eastAsia="黑体" w:hAnsi="Arial"/>
      <w:b/>
      <w:bCs/>
      <w:kern w:val="2"/>
      <w:sz w:val="32"/>
      <w:szCs w:val="32"/>
    </w:rPr>
  </w:style>
  <w:style w:type="character" w:customStyle="1" w:styleId="30">
    <w:name w:val="标题 3 字符"/>
    <w:link w:val="3"/>
    <w:autoRedefine/>
    <w:qFormat/>
    <w:rPr>
      <w:b/>
      <w:bCs/>
      <w:kern w:val="2"/>
      <w:sz w:val="32"/>
      <w:szCs w:val="32"/>
    </w:rPr>
  </w:style>
  <w:style w:type="character" w:customStyle="1" w:styleId="40">
    <w:name w:val="标题 4 字符"/>
    <w:link w:val="4"/>
    <w:autoRedefine/>
    <w:qFormat/>
    <w:rPr>
      <w:rFonts w:ascii="Arial" w:eastAsia="黑体" w:hAnsi="Arial"/>
      <w:b/>
      <w:bCs/>
      <w:kern w:val="2"/>
      <w:sz w:val="28"/>
      <w:szCs w:val="28"/>
    </w:rPr>
  </w:style>
  <w:style w:type="character" w:customStyle="1" w:styleId="50">
    <w:name w:val="标题 5 字符"/>
    <w:link w:val="5"/>
    <w:autoRedefine/>
    <w:qFormat/>
    <w:rPr>
      <w:b/>
      <w:bCs/>
      <w:kern w:val="2"/>
      <w:sz w:val="28"/>
      <w:szCs w:val="28"/>
    </w:rPr>
  </w:style>
  <w:style w:type="character" w:customStyle="1" w:styleId="60">
    <w:name w:val="标题 6 字符"/>
    <w:link w:val="6"/>
    <w:autoRedefine/>
    <w:qFormat/>
    <w:rPr>
      <w:rFonts w:ascii="Arial" w:eastAsia="黑体" w:hAnsi="Arial"/>
      <w:b/>
      <w:bCs/>
      <w:kern w:val="2"/>
      <w:sz w:val="24"/>
      <w:szCs w:val="24"/>
    </w:rPr>
  </w:style>
  <w:style w:type="character" w:customStyle="1" w:styleId="70">
    <w:name w:val="标题 7 字符"/>
    <w:link w:val="7"/>
    <w:autoRedefine/>
    <w:qFormat/>
    <w:rPr>
      <w:b/>
      <w:bCs/>
      <w:kern w:val="2"/>
      <w:sz w:val="24"/>
      <w:szCs w:val="24"/>
    </w:rPr>
  </w:style>
  <w:style w:type="character" w:customStyle="1" w:styleId="80">
    <w:name w:val="标题 8 字符"/>
    <w:link w:val="8"/>
    <w:autoRedefine/>
    <w:qFormat/>
    <w:rPr>
      <w:rFonts w:ascii="Arial" w:eastAsia="黑体" w:hAnsi="Arial"/>
      <w:kern w:val="2"/>
      <w:sz w:val="24"/>
      <w:szCs w:val="24"/>
    </w:rPr>
  </w:style>
  <w:style w:type="character" w:customStyle="1" w:styleId="90">
    <w:name w:val="标题 9 字符"/>
    <w:link w:val="9"/>
    <w:autoRedefine/>
    <w:qFormat/>
    <w:rPr>
      <w:rFonts w:ascii="Arial" w:eastAsia="黑体" w:hAnsi="Arial"/>
      <w:kern w:val="2"/>
      <w:sz w:val="21"/>
      <w:szCs w:val="21"/>
    </w:rPr>
  </w:style>
  <w:style w:type="character" w:customStyle="1" w:styleId="affff6">
    <w:name w:val="页眉 字符"/>
    <w:link w:val="affff5"/>
    <w:autoRedefine/>
    <w:uiPriority w:val="99"/>
    <w:qFormat/>
    <w:rPr>
      <w:kern w:val="2"/>
      <w:sz w:val="18"/>
      <w:szCs w:val="18"/>
    </w:rPr>
  </w:style>
  <w:style w:type="character" w:customStyle="1" w:styleId="affff4">
    <w:name w:val="页脚 字符"/>
    <w:link w:val="affff3"/>
    <w:autoRedefine/>
    <w:uiPriority w:val="99"/>
    <w:qFormat/>
    <w:rPr>
      <w:rFonts w:ascii="宋体"/>
      <w:kern w:val="2"/>
      <w:sz w:val="18"/>
      <w:szCs w:val="18"/>
    </w:rPr>
  </w:style>
  <w:style w:type="character" w:customStyle="1" w:styleId="affff2">
    <w:name w:val="批注框文本 字符"/>
    <w:link w:val="affff1"/>
    <w:autoRedefine/>
    <w:uiPriority w:val="99"/>
    <w:semiHidden/>
    <w:qFormat/>
    <w:rPr>
      <w:kern w:val="2"/>
      <w:sz w:val="18"/>
      <w:szCs w:val="18"/>
    </w:rPr>
  </w:style>
  <w:style w:type="paragraph" w:styleId="afffff3">
    <w:name w:val="Quote"/>
    <w:basedOn w:val="afffa"/>
    <w:next w:val="afffa"/>
    <w:link w:val="afffff4"/>
    <w:autoRedefine/>
    <w:uiPriority w:val="29"/>
    <w:qFormat/>
    <w:rPr>
      <w:i/>
      <w:iCs/>
      <w:color w:val="000000"/>
    </w:rPr>
  </w:style>
  <w:style w:type="character" w:customStyle="1" w:styleId="afffff4">
    <w:name w:val="引用 字符"/>
    <w:link w:val="afffff3"/>
    <w:autoRedefine/>
    <w:uiPriority w:val="29"/>
    <w:qFormat/>
    <w:rPr>
      <w:i/>
      <w:iCs/>
      <w:color w:val="000000"/>
      <w:kern w:val="2"/>
      <w:sz w:val="21"/>
      <w:szCs w:val="21"/>
    </w:rPr>
  </w:style>
  <w:style w:type="character" w:customStyle="1" w:styleId="affffb">
    <w:name w:val="标题 字符"/>
    <w:link w:val="affffa"/>
    <w:autoRedefine/>
    <w:qFormat/>
    <w:rPr>
      <w:rFonts w:ascii="Arial" w:hAnsi="Arial" w:cs="Arial"/>
      <w:b/>
      <w:bCs/>
      <w:kern w:val="2"/>
      <w:sz w:val="32"/>
      <w:szCs w:val="32"/>
    </w:rPr>
  </w:style>
  <w:style w:type="paragraph" w:customStyle="1" w:styleId="afffff5">
    <w:name w:val="标准标志"/>
    <w:next w:val="afffa"/>
    <w:autoRedefine/>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6">
    <w:name w:val="标准称谓"/>
    <w:next w:val="afffa"/>
    <w:autoRedefine/>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7">
    <w:name w:val="标准文件_页脚偶数页"/>
    <w:autoRedefine/>
    <w:qFormat/>
    <w:pPr>
      <w:ind w:left="198"/>
    </w:pPr>
    <w:rPr>
      <w:rFonts w:ascii="宋体" w:hAnsi="Times New Roman"/>
      <w:sz w:val="18"/>
    </w:rPr>
  </w:style>
  <w:style w:type="paragraph" w:customStyle="1" w:styleId="afffff8">
    <w:name w:val="标准文件_页脚奇数页"/>
    <w:autoRedefine/>
    <w:qFormat/>
    <w:pPr>
      <w:ind w:right="227"/>
      <w:jc w:val="right"/>
    </w:pPr>
    <w:rPr>
      <w:rFonts w:ascii="宋体" w:hAnsi="Times New Roman"/>
      <w:sz w:val="18"/>
    </w:rPr>
  </w:style>
  <w:style w:type="paragraph" w:customStyle="1" w:styleId="afffff9">
    <w:name w:val="标准书眉一"/>
    <w:autoRedefine/>
    <w:qFormat/>
    <w:pPr>
      <w:jc w:val="both"/>
    </w:pPr>
    <w:rPr>
      <w:rFonts w:ascii="Times New Roman" w:hAnsi="Times New Roman"/>
    </w:rPr>
  </w:style>
  <w:style w:type="paragraph" w:customStyle="1" w:styleId="ICS">
    <w:name w:val="标准文件_ICS"/>
    <w:basedOn w:val="afffa"/>
    <w:autoRedefine/>
    <w:qFormat/>
    <w:pPr>
      <w:spacing w:line="0" w:lineRule="atLeast"/>
    </w:pPr>
    <w:rPr>
      <w:rFonts w:ascii="黑体" w:eastAsia="黑体" w:hAnsi="宋体"/>
    </w:rPr>
  </w:style>
  <w:style w:type="paragraph" w:customStyle="1" w:styleId="afffffa">
    <w:name w:val="标准文件_标准正文"/>
    <w:basedOn w:val="afffa"/>
    <w:next w:val="afffffb"/>
    <w:autoRedefine/>
    <w:qFormat/>
    <w:pPr>
      <w:snapToGrid w:val="0"/>
      <w:ind w:firstLineChars="200" w:firstLine="200"/>
    </w:pPr>
    <w:rPr>
      <w:kern w:val="0"/>
    </w:rPr>
  </w:style>
  <w:style w:type="paragraph" w:customStyle="1" w:styleId="afffffb">
    <w:name w:val="标准文件_段"/>
    <w:link w:val="Char"/>
    <w:autoRedefine/>
    <w:qFormat/>
    <w:pPr>
      <w:autoSpaceDE w:val="0"/>
      <w:autoSpaceDN w:val="0"/>
      <w:ind w:firstLineChars="200" w:firstLine="200"/>
      <w:jc w:val="both"/>
    </w:pPr>
    <w:rPr>
      <w:rFonts w:ascii="宋体" w:hAnsi="Times New Roman"/>
      <w:sz w:val="21"/>
    </w:rPr>
  </w:style>
  <w:style w:type="paragraph" w:customStyle="1" w:styleId="afffffc">
    <w:name w:val="标准文件_版本"/>
    <w:basedOn w:val="afffffa"/>
    <w:autoRedefine/>
    <w:qFormat/>
    <w:pPr>
      <w:adjustRightInd/>
      <w:snapToGrid/>
      <w:ind w:firstLineChars="0" w:firstLine="0"/>
    </w:pPr>
    <w:rPr>
      <w:rFonts w:ascii="宋体" w:hAnsi="宋体"/>
      <w:kern w:val="2"/>
    </w:rPr>
  </w:style>
  <w:style w:type="paragraph" w:customStyle="1" w:styleId="afffffd">
    <w:name w:val="标准文件_标准部门"/>
    <w:basedOn w:val="afffa"/>
    <w:autoRedefine/>
    <w:qFormat/>
    <w:pPr>
      <w:jc w:val="center"/>
    </w:pPr>
    <w:rPr>
      <w:rFonts w:ascii="黑体" w:eastAsia="黑体"/>
      <w:kern w:val="0"/>
      <w:sz w:val="44"/>
    </w:rPr>
  </w:style>
  <w:style w:type="paragraph" w:customStyle="1" w:styleId="afffffe">
    <w:name w:val="标准文件_标准代替"/>
    <w:basedOn w:val="afffa"/>
    <w:next w:val="afffa"/>
    <w:autoRedefine/>
    <w:qFormat/>
    <w:pPr>
      <w:spacing w:line="310" w:lineRule="exact"/>
      <w:jc w:val="right"/>
    </w:pPr>
    <w:rPr>
      <w:rFonts w:ascii="宋体" w:hAnsi="宋体"/>
      <w:kern w:val="0"/>
    </w:rPr>
  </w:style>
  <w:style w:type="paragraph" w:customStyle="1" w:styleId="affffff">
    <w:name w:val="标准文件_标准名称标题"/>
    <w:basedOn w:val="afffa"/>
    <w:next w:val="afffa"/>
    <w:autoRedefine/>
    <w:qFormat/>
    <w:pPr>
      <w:widowControl/>
      <w:shd w:val="clear" w:color="FFFFFF" w:fill="FFFFFF"/>
      <w:adjustRightInd/>
      <w:spacing w:before="640" w:after="100"/>
      <w:jc w:val="center"/>
    </w:pPr>
    <w:rPr>
      <w:rFonts w:ascii="黑体" w:eastAsia="黑体"/>
      <w:kern w:val="0"/>
      <w:sz w:val="32"/>
    </w:rPr>
  </w:style>
  <w:style w:type="paragraph" w:customStyle="1" w:styleId="affffff0">
    <w:name w:val="标准文件_页眉奇数页"/>
    <w:next w:val="afffa"/>
    <w:autoRedefine/>
    <w:qFormat/>
    <w:pPr>
      <w:tabs>
        <w:tab w:val="center" w:pos="4154"/>
        <w:tab w:val="right" w:pos="8306"/>
      </w:tabs>
      <w:spacing w:after="120"/>
      <w:jc w:val="right"/>
    </w:pPr>
    <w:rPr>
      <w:rFonts w:ascii="黑体" w:eastAsia="黑体" w:hAnsi="宋体"/>
      <w:sz w:val="21"/>
    </w:rPr>
  </w:style>
  <w:style w:type="paragraph" w:customStyle="1" w:styleId="affffff1">
    <w:name w:val="标准文件_页眉偶数页"/>
    <w:basedOn w:val="affffff0"/>
    <w:next w:val="afffa"/>
    <w:autoRedefine/>
    <w:qFormat/>
    <w:pPr>
      <w:jc w:val="left"/>
    </w:pPr>
  </w:style>
  <w:style w:type="paragraph" w:customStyle="1" w:styleId="affffff2">
    <w:name w:val="标准文件_参考文献标题"/>
    <w:basedOn w:val="afffa"/>
    <w:next w:val="afffa"/>
    <w:autoRedefine/>
    <w:qFormat/>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autoRedefine/>
    <w:qFormat/>
    <w:pPr>
      <w:numPr>
        <w:numId w:val="1"/>
      </w:numPr>
    </w:pPr>
    <w:rPr>
      <w:rFonts w:ascii="宋体" w:hAnsi="Times New Roman"/>
    </w:rPr>
  </w:style>
  <w:style w:type="paragraph" w:customStyle="1" w:styleId="afff3">
    <w:name w:val="标准文件_二级条标题"/>
    <w:next w:val="afffffb"/>
    <w:autoRedefine/>
    <w:qFormat/>
    <w:pPr>
      <w:widowControl w:val="0"/>
      <w:numPr>
        <w:ilvl w:val="3"/>
        <w:numId w:val="2"/>
      </w:numPr>
      <w:spacing w:beforeLines="50" w:before="50" w:afterLines="50" w:after="50"/>
      <w:jc w:val="both"/>
      <w:outlineLvl w:val="2"/>
    </w:pPr>
    <w:rPr>
      <w:rFonts w:ascii="黑体" w:eastAsia="黑体" w:hAnsi="Times New Roman"/>
      <w:sz w:val="21"/>
    </w:rPr>
  </w:style>
  <w:style w:type="character" w:customStyle="1" w:styleId="affffff3">
    <w:name w:val="标准文件_发布"/>
    <w:autoRedefine/>
    <w:qFormat/>
    <w:rPr>
      <w:rFonts w:ascii="黑体" w:eastAsia="黑体"/>
      <w:spacing w:val="0"/>
      <w:w w:val="100"/>
      <w:position w:val="3"/>
      <w:sz w:val="28"/>
    </w:rPr>
  </w:style>
  <w:style w:type="paragraph" w:customStyle="1" w:styleId="ad">
    <w:name w:val="标准文件_方框数字列项"/>
    <w:basedOn w:val="afffffb"/>
    <w:autoRedefine/>
    <w:qFormat/>
    <w:pPr>
      <w:numPr>
        <w:numId w:val="3"/>
      </w:numPr>
      <w:ind w:firstLineChars="0" w:firstLine="0"/>
    </w:pPr>
  </w:style>
  <w:style w:type="paragraph" w:customStyle="1" w:styleId="affffff4">
    <w:name w:val="标准文件_封面标准编号"/>
    <w:basedOn w:val="afffa"/>
    <w:next w:val="afffffe"/>
    <w:autoRedefine/>
    <w:qFormat/>
    <w:pPr>
      <w:spacing w:line="310" w:lineRule="exact"/>
      <w:jc w:val="right"/>
    </w:pPr>
    <w:rPr>
      <w:rFonts w:ascii="黑体" w:eastAsia="黑体"/>
      <w:kern w:val="0"/>
      <w:sz w:val="28"/>
    </w:rPr>
  </w:style>
  <w:style w:type="paragraph" w:customStyle="1" w:styleId="affffff5">
    <w:name w:val="标准文件_封面标准分类号"/>
    <w:basedOn w:val="afffa"/>
    <w:autoRedefine/>
    <w:qFormat/>
    <w:rPr>
      <w:rFonts w:ascii="黑体" w:eastAsia="黑体"/>
      <w:b/>
      <w:kern w:val="0"/>
      <w:sz w:val="28"/>
    </w:rPr>
  </w:style>
  <w:style w:type="paragraph" w:customStyle="1" w:styleId="affffff6">
    <w:name w:val="标准文件_封面标准名称"/>
    <w:basedOn w:val="afffa"/>
    <w:autoRedefine/>
    <w:qFormat/>
    <w:pPr>
      <w:spacing w:line="240" w:lineRule="auto"/>
      <w:jc w:val="center"/>
    </w:pPr>
    <w:rPr>
      <w:rFonts w:ascii="黑体" w:eastAsia="黑体"/>
      <w:kern w:val="0"/>
      <w:sz w:val="52"/>
    </w:rPr>
  </w:style>
  <w:style w:type="paragraph" w:customStyle="1" w:styleId="affffff7">
    <w:name w:val="标准文件_封面标准英文名称"/>
    <w:basedOn w:val="afffa"/>
    <w:autoRedefine/>
    <w:qFormat/>
    <w:pPr>
      <w:spacing w:line="240" w:lineRule="auto"/>
      <w:jc w:val="center"/>
    </w:pPr>
    <w:rPr>
      <w:rFonts w:ascii="黑体" w:eastAsia="黑体"/>
      <w:b/>
      <w:sz w:val="28"/>
    </w:rPr>
  </w:style>
  <w:style w:type="paragraph" w:customStyle="1" w:styleId="affffff8">
    <w:name w:val="标准文件_封面发布日期"/>
    <w:basedOn w:val="afffa"/>
    <w:autoRedefine/>
    <w:qFormat/>
    <w:pPr>
      <w:spacing w:line="310" w:lineRule="exact"/>
    </w:pPr>
    <w:rPr>
      <w:rFonts w:ascii="黑体" w:eastAsia="黑体"/>
      <w:kern w:val="0"/>
      <w:sz w:val="28"/>
    </w:rPr>
  </w:style>
  <w:style w:type="paragraph" w:customStyle="1" w:styleId="affffff9">
    <w:name w:val="标准文件_封面密级"/>
    <w:basedOn w:val="afffa"/>
    <w:autoRedefine/>
    <w:qFormat/>
    <w:rPr>
      <w:rFonts w:eastAsia="黑体"/>
      <w:sz w:val="32"/>
    </w:rPr>
  </w:style>
  <w:style w:type="paragraph" w:customStyle="1" w:styleId="affffffa">
    <w:name w:val="标准文件_封面实施日期"/>
    <w:basedOn w:val="afffa"/>
    <w:autoRedefine/>
    <w:qFormat/>
    <w:pPr>
      <w:spacing w:line="310" w:lineRule="exact"/>
      <w:jc w:val="right"/>
    </w:pPr>
    <w:rPr>
      <w:rFonts w:ascii="黑体" w:eastAsia="黑体"/>
      <w:sz w:val="28"/>
    </w:rPr>
  </w:style>
  <w:style w:type="paragraph" w:customStyle="1" w:styleId="affffffb">
    <w:name w:val="标准文件_封面抬头"/>
    <w:basedOn w:val="afffffb"/>
    <w:autoRedefine/>
    <w:qFormat/>
    <w:pPr>
      <w:adjustRightInd w:val="0"/>
      <w:spacing w:line="800" w:lineRule="exact"/>
      <w:ind w:firstLineChars="0" w:firstLine="0"/>
      <w:jc w:val="distribute"/>
    </w:pPr>
    <w:rPr>
      <w:rFonts w:ascii="黑体" w:eastAsia="黑体"/>
      <w:b/>
      <w:sz w:val="64"/>
    </w:rPr>
  </w:style>
  <w:style w:type="paragraph" w:customStyle="1" w:styleId="aff8">
    <w:name w:val="标准文件_附录标识"/>
    <w:next w:val="afffffb"/>
    <w:autoRedefine/>
    <w:qFormat/>
    <w:pPr>
      <w:numPr>
        <w:numId w:val="4"/>
      </w:numPr>
      <w:shd w:val="clear" w:color="FFFFFF" w:fill="FFFFFF"/>
      <w:tabs>
        <w:tab w:val="left" w:pos="6406"/>
      </w:tabs>
      <w:spacing w:before="560" w:afterLines="50" w:after="50"/>
      <w:jc w:val="center"/>
      <w:outlineLvl w:val="0"/>
    </w:pPr>
    <w:rPr>
      <w:rFonts w:ascii="黑体" w:eastAsia="黑体" w:hAnsi="Times New Roman"/>
      <w:sz w:val="21"/>
    </w:rPr>
  </w:style>
  <w:style w:type="paragraph" w:customStyle="1" w:styleId="aff4">
    <w:name w:val="标准文件_附录表标题"/>
    <w:next w:val="afffffb"/>
    <w:autoRedefine/>
    <w:qFormat/>
    <w:pPr>
      <w:numPr>
        <w:ilvl w:val="1"/>
        <w:numId w:val="5"/>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9">
    <w:name w:val="标准文件_附录一级条标题"/>
    <w:next w:val="afffffb"/>
    <w:autoRedefine/>
    <w:qFormat/>
    <w:pPr>
      <w:widowControl w:val="0"/>
      <w:numPr>
        <w:ilvl w:val="1"/>
        <w:numId w:val="4"/>
      </w:numPr>
      <w:spacing w:beforeLines="50" w:before="50" w:afterLines="50" w:after="50"/>
      <w:jc w:val="both"/>
      <w:outlineLvl w:val="2"/>
    </w:pPr>
    <w:rPr>
      <w:rFonts w:ascii="黑体" w:eastAsia="黑体" w:hAnsi="Times New Roman"/>
      <w:kern w:val="21"/>
      <w:sz w:val="21"/>
    </w:rPr>
  </w:style>
  <w:style w:type="paragraph" w:customStyle="1" w:styleId="affa">
    <w:name w:val="标准文件_附录二级条标题"/>
    <w:basedOn w:val="aff9"/>
    <w:next w:val="afffffb"/>
    <w:autoRedefine/>
    <w:qFormat/>
    <w:pPr>
      <w:widowControl/>
      <w:numPr>
        <w:ilvl w:val="2"/>
      </w:numPr>
      <w:wordWrap w:val="0"/>
      <w:overflowPunct w:val="0"/>
      <w:autoSpaceDE w:val="0"/>
      <w:autoSpaceDN w:val="0"/>
      <w:textAlignment w:val="baseline"/>
      <w:outlineLvl w:val="3"/>
    </w:pPr>
  </w:style>
  <w:style w:type="paragraph" w:customStyle="1" w:styleId="affffffc">
    <w:name w:val="标准文件_附录公式"/>
    <w:basedOn w:val="afffffa"/>
    <w:next w:val="afffffa"/>
    <w:autoRedefine/>
    <w:qFormat/>
    <w:pPr>
      <w:tabs>
        <w:tab w:val="center" w:pos="4678"/>
        <w:tab w:val="right" w:leader="middleDot" w:pos="9356"/>
      </w:tabs>
      <w:spacing w:line="240" w:lineRule="auto"/>
      <w:ind w:right="-51" w:firstLineChars="0" w:firstLine="0"/>
    </w:pPr>
    <w:rPr>
      <w:rFonts w:ascii="宋体" w:hAnsi="宋体"/>
    </w:rPr>
  </w:style>
  <w:style w:type="paragraph" w:customStyle="1" w:styleId="affb">
    <w:name w:val="标准文件_附录三级条标题"/>
    <w:next w:val="afffffb"/>
    <w:autoRedefine/>
    <w:qFormat/>
    <w:pPr>
      <w:widowControl w:val="0"/>
      <w:numPr>
        <w:ilvl w:val="3"/>
        <w:numId w:val="4"/>
      </w:numPr>
      <w:spacing w:beforeLines="50" w:before="50" w:afterLines="50" w:after="50"/>
      <w:jc w:val="both"/>
      <w:outlineLvl w:val="4"/>
    </w:pPr>
    <w:rPr>
      <w:rFonts w:ascii="黑体" w:eastAsia="黑体" w:hAnsi="Times New Roman"/>
      <w:kern w:val="21"/>
      <w:sz w:val="21"/>
    </w:rPr>
  </w:style>
  <w:style w:type="paragraph" w:customStyle="1" w:styleId="affc">
    <w:name w:val="标准文件_附录四级条标题"/>
    <w:next w:val="afffffb"/>
    <w:autoRedefine/>
    <w:qFormat/>
    <w:pPr>
      <w:widowControl w:val="0"/>
      <w:numPr>
        <w:ilvl w:val="4"/>
        <w:numId w:val="4"/>
      </w:numPr>
      <w:spacing w:beforeLines="50" w:before="50" w:afterLines="50" w:after="50"/>
      <w:jc w:val="both"/>
      <w:outlineLvl w:val="5"/>
    </w:pPr>
    <w:rPr>
      <w:rFonts w:ascii="黑体" w:eastAsia="黑体" w:hAnsi="Times New Roman"/>
      <w:kern w:val="21"/>
      <w:sz w:val="21"/>
    </w:rPr>
  </w:style>
  <w:style w:type="paragraph" w:customStyle="1" w:styleId="afe">
    <w:name w:val="标准文件_附录图标题"/>
    <w:next w:val="afffffb"/>
    <w:autoRedefine/>
    <w:qFormat/>
    <w:pPr>
      <w:numPr>
        <w:ilvl w:val="1"/>
        <w:numId w:val="6"/>
      </w:numPr>
      <w:adjustRightInd w:val="0"/>
      <w:snapToGrid w:val="0"/>
      <w:spacing w:beforeLines="50" w:before="50" w:afterLines="50" w:after="50"/>
      <w:jc w:val="center"/>
    </w:pPr>
    <w:rPr>
      <w:rFonts w:ascii="黑体" w:eastAsia="黑体" w:hAnsi="Times New Roman"/>
      <w:sz w:val="21"/>
    </w:rPr>
  </w:style>
  <w:style w:type="paragraph" w:customStyle="1" w:styleId="affd">
    <w:name w:val="标准文件_附录五级条标题"/>
    <w:next w:val="afffffb"/>
    <w:autoRedefine/>
    <w:qFormat/>
    <w:pPr>
      <w:widowControl w:val="0"/>
      <w:numPr>
        <w:ilvl w:val="5"/>
        <w:numId w:val="4"/>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
    <w:autoRedefine/>
    <w:qFormat/>
    <w:pPr>
      <w:numPr>
        <w:numId w:val="7"/>
      </w:numPr>
      <w:tabs>
        <w:tab w:val="left" w:pos="6406"/>
      </w:tabs>
      <w:spacing w:before="220" w:after="320"/>
      <w:jc w:val="center"/>
      <w:outlineLvl w:val="0"/>
    </w:pPr>
    <w:rPr>
      <w:rFonts w:ascii="黑体" w:eastAsia="黑体" w:hAnsi="Times New Roman"/>
      <w:sz w:val="21"/>
    </w:rPr>
  </w:style>
  <w:style w:type="character" w:customStyle="1" w:styleId="affff0">
    <w:name w:val="正文文本 字符"/>
    <w:link w:val="affff"/>
    <w:autoRedefine/>
    <w:qFormat/>
    <w:rPr>
      <w:kern w:val="2"/>
      <w:sz w:val="21"/>
      <w:szCs w:val="21"/>
    </w:rPr>
  </w:style>
  <w:style w:type="paragraph" w:customStyle="1" w:styleId="affffffd">
    <w:name w:val="标准文件_附录章标题"/>
    <w:next w:val="afffffb"/>
    <w:autoRedefine/>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e">
    <w:name w:val="标准文件_公式后的破折号"/>
    <w:basedOn w:val="afffffb"/>
    <w:next w:val="afffffb"/>
    <w:autoRedefine/>
    <w:qFormat/>
    <w:pPr>
      <w:ind w:leftChars="200" w:left="488" w:hangingChars="290" w:hanging="289"/>
    </w:pPr>
  </w:style>
  <w:style w:type="paragraph" w:customStyle="1" w:styleId="a6">
    <w:name w:val="标准文件_前言、引言标题"/>
    <w:next w:val="afffa"/>
    <w:autoRedefine/>
    <w:qFormat/>
    <w:pPr>
      <w:numPr>
        <w:numId w:val="8"/>
      </w:numPr>
      <w:shd w:val="clear" w:color="FFFFFF" w:fill="FFFFFF"/>
      <w:spacing w:before="480" w:afterLines="150" w:after="150"/>
      <w:ind w:left="0" w:firstLine="0"/>
      <w:jc w:val="center"/>
      <w:outlineLvl w:val="0"/>
    </w:pPr>
    <w:rPr>
      <w:rFonts w:ascii="黑体" w:eastAsia="黑体" w:hAnsi="Times New Roman"/>
      <w:sz w:val="32"/>
    </w:rPr>
  </w:style>
  <w:style w:type="paragraph" w:customStyle="1" w:styleId="afffffff">
    <w:name w:val="标准文件_目次、标准名称标题"/>
    <w:basedOn w:val="a6"/>
    <w:next w:val="afffffb"/>
    <w:autoRedefine/>
    <w:qFormat/>
    <w:pPr>
      <w:spacing w:line="460" w:lineRule="exact"/>
    </w:pPr>
  </w:style>
  <w:style w:type="paragraph" w:customStyle="1" w:styleId="afffffff0">
    <w:name w:val="标准文件_目录标题"/>
    <w:basedOn w:val="afffa"/>
    <w:autoRedefine/>
    <w:qFormat/>
    <w:pPr>
      <w:spacing w:before="480" w:afterLines="150" w:after="150" w:line="240" w:lineRule="auto"/>
      <w:jc w:val="center"/>
    </w:pPr>
    <w:rPr>
      <w:rFonts w:ascii="黑体" w:eastAsia="黑体"/>
      <w:sz w:val="32"/>
    </w:rPr>
  </w:style>
  <w:style w:type="paragraph" w:customStyle="1" w:styleId="af1">
    <w:name w:val="标准文件_破折号列项"/>
    <w:autoRedefine/>
    <w:qFormat/>
    <w:pPr>
      <w:numPr>
        <w:numId w:val="9"/>
      </w:numPr>
      <w:adjustRightInd w:val="0"/>
      <w:snapToGrid w:val="0"/>
      <w:ind w:left="0" w:firstLineChars="200" w:firstLine="200"/>
    </w:pPr>
    <w:rPr>
      <w:rFonts w:ascii="Times New Roman" w:hAnsi="Times New Roman"/>
      <w:sz w:val="21"/>
    </w:rPr>
  </w:style>
  <w:style w:type="paragraph" w:customStyle="1" w:styleId="aff1">
    <w:name w:val="标准文件_破折号列项（二级）"/>
    <w:basedOn w:val="af1"/>
    <w:autoRedefine/>
    <w:qFormat/>
    <w:pPr>
      <w:numPr>
        <w:numId w:val="10"/>
      </w:numPr>
      <w:ind w:left="0" w:firstLine="200"/>
    </w:pPr>
  </w:style>
  <w:style w:type="paragraph" w:customStyle="1" w:styleId="afff4">
    <w:name w:val="标准文件_三级条标题"/>
    <w:basedOn w:val="afff3"/>
    <w:next w:val="afffffb"/>
    <w:autoRedefine/>
    <w:qFormat/>
    <w:pPr>
      <w:widowControl/>
      <w:numPr>
        <w:ilvl w:val="4"/>
      </w:numPr>
      <w:outlineLvl w:val="3"/>
    </w:pPr>
  </w:style>
  <w:style w:type="character" w:customStyle="1" w:styleId="11">
    <w:name w:val="不明显参考1"/>
    <w:autoRedefine/>
    <w:uiPriority w:val="31"/>
    <w:qFormat/>
    <w:rPr>
      <w:smallCaps/>
      <w:color w:val="C0504D"/>
      <w:u w:val="single"/>
    </w:rPr>
  </w:style>
  <w:style w:type="paragraph" w:customStyle="1" w:styleId="afffffff1">
    <w:name w:val="标准文件_示例后续"/>
    <w:basedOn w:val="afffa"/>
    <w:autoRedefine/>
    <w:qFormat/>
    <w:pPr>
      <w:adjustRightInd/>
      <w:spacing w:line="240" w:lineRule="auto"/>
      <w:ind w:firstLineChars="200" w:firstLine="200"/>
    </w:pPr>
    <w:rPr>
      <w:sz w:val="18"/>
      <w:szCs w:val="24"/>
    </w:rPr>
  </w:style>
  <w:style w:type="paragraph" w:customStyle="1" w:styleId="affe">
    <w:name w:val="标准文件_数字编号列项"/>
    <w:autoRedefine/>
    <w:qFormat/>
    <w:pPr>
      <w:numPr>
        <w:numId w:val="11"/>
      </w:numPr>
      <w:jc w:val="both"/>
    </w:pPr>
    <w:rPr>
      <w:rFonts w:ascii="宋体" w:hAnsi="宋体"/>
      <w:sz w:val="21"/>
    </w:rPr>
  </w:style>
  <w:style w:type="paragraph" w:customStyle="1" w:styleId="afff5">
    <w:name w:val="标准文件_四级条标题"/>
    <w:next w:val="afffffb"/>
    <w:autoRedefine/>
    <w:qFormat/>
    <w:pPr>
      <w:widowControl w:val="0"/>
      <w:numPr>
        <w:ilvl w:val="5"/>
        <w:numId w:val="2"/>
      </w:numPr>
      <w:spacing w:beforeLines="50" w:before="50" w:afterLines="50" w:after="50"/>
      <w:jc w:val="both"/>
      <w:outlineLvl w:val="4"/>
    </w:pPr>
    <w:rPr>
      <w:rFonts w:ascii="黑体" w:eastAsia="黑体" w:hAnsi="Times New Roman"/>
      <w:sz w:val="21"/>
    </w:rPr>
  </w:style>
  <w:style w:type="character" w:customStyle="1" w:styleId="affff8">
    <w:name w:val="脚注文本 字符"/>
    <w:link w:val="affff7"/>
    <w:autoRedefine/>
    <w:semiHidden/>
    <w:qFormat/>
    <w:rPr>
      <w:rFonts w:ascii="宋体"/>
      <w:kern w:val="2"/>
      <w:sz w:val="18"/>
      <w:szCs w:val="18"/>
    </w:rPr>
  </w:style>
  <w:style w:type="paragraph" w:customStyle="1" w:styleId="afffffff2">
    <w:name w:val="标准文件_条文脚注"/>
    <w:basedOn w:val="affff7"/>
    <w:autoRedefine/>
    <w:qFormat/>
    <w:pPr>
      <w:adjustRightInd w:val="0"/>
      <w:spacing w:line="240" w:lineRule="auto"/>
      <w:ind w:leftChars="0" w:left="0" w:firstLineChars="200" w:firstLine="200"/>
      <w:jc w:val="both"/>
    </w:pPr>
    <w:rPr>
      <w:rFonts w:hAnsi="宋体"/>
    </w:rPr>
  </w:style>
  <w:style w:type="paragraph" w:customStyle="1" w:styleId="af9">
    <w:name w:val="标准文件_图表脚注"/>
    <w:basedOn w:val="afffa"/>
    <w:next w:val="afffffb"/>
    <w:autoRedefine/>
    <w:qFormat/>
    <w:pPr>
      <w:numPr>
        <w:numId w:val="12"/>
      </w:numPr>
      <w:spacing w:line="240" w:lineRule="auto"/>
      <w:jc w:val="left"/>
    </w:pPr>
    <w:rPr>
      <w:rFonts w:ascii="宋体" w:hAnsi="宋体"/>
      <w:sz w:val="18"/>
    </w:rPr>
  </w:style>
  <w:style w:type="character" w:customStyle="1" w:styleId="afffffff3">
    <w:name w:val="标准文件_图表脚注内容"/>
    <w:autoRedefine/>
    <w:qFormat/>
    <w:rPr>
      <w:rFonts w:ascii="宋体" w:eastAsia="宋体" w:hAnsi="宋体" w:cs="Times New Roman"/>
      <w:spacing w:val="0"/>
      <w:sz w:val="18"/>
      <w:vertAlign w:val="superscript"/>
    </w:rPr>
  </w:style>
  <w:style w:type="paragraph" w:customStyle="1" w:styleId="afff6">
    <w:name w:val="标准文件_五级条标题"/>
    <w:next w:val="afffffb"/>
    <w:autoRedefine/>
    <w:qFormat/>
    <w:pPr>
      <w:widowControl w:val="0"/>
      <w:numPr>
        <w:ilvl w:val="6"/>
        <w:numId w:val="2"/>
      </w:numPr>
      <w:spacing w:beforeLines="50" w:before="50" w:afterLines="50" w:after="50"/>
      <w:jc w:val="both"/>
      <w:outlineLvl w:val="5"/>
    </w:pPr>
    <w:rPr>
      <w:rFonts w:ascii="黑体" w:eastAsia="黑体" w:hAnsi="Times New Roman"/>
      <w:sz w:val="21"/>
    </w:rPr>
  </w:style>
  <w:style w:type="paragraph" w:customStyle="1" w:styleId="afff1">
    <w:name w:val="标准文件_章标题"/>
    <w:next w:val="afffffb"/>
    <w:autoRedefine/>
    <w:qFormat/>
    <w:pPr>
      <w:numPr>
        <w:ilvl w:val="1"/>
        <w:numId w:val="2"/>
      </w:numPr>
      <w:spacing w:beforeLines="100" w:before="100" w:afterLines="100" w:after="100"/>
      <w:jc w:val="both"/>
      <w:outlineLvl w:val="0"/>
    </w:pPr>
    <w:rPr>
      <w:rFonts w:ascii="黑体" w:eastAsia="黑体" w:hAnsi="Times New Roman"/>
      <w:sz w:val="21"/>
    </w:rPr>
  </w:style>
  <w:style w:type="paragraph" w:customStyle="1" w:styleId="afff2">
    <w:name w:val="标准文件_一级条标题"/>
    <w:basedOn w:val="afff1"/>
    <w:next w:val="afffffb"/>
    <w:autoRedefine/>
    <w:qFormat/>
    <w:pPr>
      <w:numPr>
        <w:ilvl w:val="2"/>
      </w:numPr>
      <w:spacing w:beforeLines="50" w:before="50" w:afterLines="50" w:after="50"/>
      <w:outlineLvl w:val="1"/>
    </w:pPr>
  </w:style>
  <w:style w:type="paragraph" w:customStyle="1" w:styleId="afffffff4">
    <w:name w:val="标准文件_一致程度"/>
    <w:basedOn w:val="afffa"/>
    <w:autoRedefine/>
    <w:qFormat/>
    <w:pPr>
      <w:spacing w:line="440" w:lineRule="exact"/>
      <w:jc w:val="center"/>
    </w:pPr>
    <w:rPr>
      <w:sz w:val="28"/>
    </w:rPr>
  </w:style>
  <w:style w:type="paragraph" w:customStyle="1" w:styleId="afffffff5">
    <w:name w:val="标准文件_引言标题"/>
    <w:next w:val="afffa"/>
    <w:autoRedefine/>
    <w:qFormat/>
    <w:pPr>
      <w:shd w:val="clear" w:color="FFFFFF" w:fill="FFFFFF"/>
      <w:spacing w:before="540" w:after="600"/>
      <w:jc w:val="center"/>
      <w:outlineLvl w:val="0"/>
    </w:pPr>
    <w:rPr>
      <w:rFonts w:ascii="黑体" w:eastAsia="黑体" w:hAnsi="Times New Roman"/>
      <w:sz w:val="32"/>
    </w:rPr>
  </w:style>
  <w:style w:type="paragraph" w:customStyle="1" w:styleId="afffffff6">
    <w:name w:val="标准文件_英文图表脚注"/>
    <w:basedOn w:val="afffffa"/>
    <w:autoRedefine/>
    <w:qFormat/>
    <w:pPr>
      <w:widowControl/>
      <w:adjustRightInd/>
      <w:snapToGrid/>
      <w:spacing w:line="240" w:lineRule="auto"/>
      <w:ind w:left="79" w:hangingChars="80" w:hanging="79"/>
    </w:pPr>
    <w:rPr>
      <w:rFonts w:ascii="宋体" w:hAnsi="宋体"/>
    </w:rPr>
  </w:style>
  <w:style w:type="paragraph" w:customStyle="1" w:styleId="afb">
    <w:name w:val="标准文件_数字编号列项（二级）"/>
    <w:autoRedefine/>
    <w:qFormat/>
    <w:pPr>
      <w:numPr>
        <w:ilvl w:val="1"/>
        <w:numId w:val="13"/>
      </w:numPr>
      <w:jc w:val="both"/>
    </w:pPr>
    <w:rPr>
      <w:rFonts w:ascii="宋体" w:hAnsi="Times New Roman"/>
      <w:sz w:val="21"/>
    </w:rPr>
  </w:style>
  <w:style w:type="paragraph" w:customStyle="1" w:styleId="af">
    <w:name w:val="标准文件_英文注："/>
    <w:basedOn w:val="afffa"/>
    <w:next w:val="afffffb"/>
    <w:autoRedefine/>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5">
    <w:name w:val="标准文件_英文注×："/>
    <w:basedOn w:val="afffa"/>
    <w:autoRedefine/>
    <w:qFormat/>
    <w:pPr>
      <w:numPr>
        <w:numId w:val="15"/>
      </w:numPr>
      <w:tabs>
        <w:tab w:val="left" w:pos="210"/>
      </w:tabs>
      <w:autoSpaceDE w:val="0"/>
      <w:autoSpaceDN w:val="0"/>
      <w:spacing w:line="240" w:lineRule="auto"/>
    </w:pPr>
    <w:rPr>
      <w:rFonts w:ascii="宋体" w:hAnsi="宋体"/>
      <w:kern w:val="0"/>
      <w:szCs w:val="20"/>
    </w:rPr>
  </w:style>
  <w:style w:type="paragraph" w:customStyle="1" w:styleId="aff7">
    <w:name w:val="标准文件_正文表标题"/>
    <w:next w:val="afffffb"/>
    <w:autoRedefine/>
    <w:qFormat/>
    <w:pPr>
      <w:numPr>
        <w:numId w:val="16"/>
      </w:numPr>
      <w:tabs>
        <w:tab w:val="left" w:pos="0"/>
      </w:tabs>
      <w:spacing w:beforeLines="50" w:before="50" w:afterLines="50" w:after="50"/>
      <w:jc w:val="center"/>
    </w:pPr>
    <w:rPr>
      <w:rFonts w:ascii="黑体" w:eastAsia="黑体" w:hAnsi="Times New Roman"/>
      <w:sz w:val="21"/>
    </w:rPr>
  </w:style>
  <w:style w:type="paragraph" w:customStyle="1" w:styleId="afffffff7">
    <w:name w:val="标准文件_正文公式"/>
    <w:basedOn w:val="afffa"/>
    <w:next w:val="afffffa"/>
    <w:autoRedefine/>
    <w:qFormat/>
    <w:pPr>
      <w:tabs>
        <w:tab w:val="center" w:pos="4678"/>
        <w:tab w:val="right" w:leader="middleDot" w:pos="9356"/>
      </w:tabs>
      <w:spacing w:line="240" w:lineRule="auto"/>
    </w:pPr>
    <w:rPr>
      <w:rFonts w:ascii="宋体" w:hAnsi="宋体"/>
    </w:rPr>
  </w:style>
  <w:style w:type="paragraph" w:customStyle="1" w:styleId="aff2">
    <w:name w:val="标准文件_正文图标题"/>
    <w:next w:val="afffffb"/>
    <w:autoRedefine/>
    <w:qFormat/>
    <w:pPr>
      <w:numPr>
        <w:numId w:val="17"/>
      </w:numPr>
      <w:spacing w:beforeLines="50" w:before="50" w:afterLines="50" w:after="50"/>
      <w:jc w:val="center"/>
    </w:pPr>
    <w:rPr>
      <w:rFonts w:ascii="黑体" w:eastAsia="黑体" w:hAnsi="Times New Roman"/>
      <w:sz w:val="21"/>
    </w:rPr>
  </w:style>
  <w:style w:type="paragraph" w:customStyle="1" w:styleId="afff8">
    <w:name w:val="标准文件_正文英文表标题"/>
    <w:next w:val="afffffb"/>
    <w:autoRedefine/>
    <w:qFormat/>
    <w:pPr>
      <w:numPr>
        <w:numId w:val="18"/>
      </w:numPr>
      <w:jc w:val="center"/>
    </w:pPr>
    <w:rPr>
      <w:rFonts w:ascii="黑体" w:eastAsia="黑体" w:hAnsi="Times New Roman"/>
      <w:sz w:val="21"/>
    </w:rPr>
  </w:style>
  <w:style w:type="paragraph" w:customStyle="1" w:styleId="aff0">
    <w:name w:val="标准文件_正文英文图标题"/>
    <w:next w:val="afffffb"/>
    <w:autoRedefine/>
    <w:qFormat/>
    <w:pPr>
      <w:numPr>
        <w:numId w:val="19"/>
      </w:numPr>
      <w:jc w:val="center"/>
    </w:pPr>
    <w:rPr>
      <w:rFonts w:ascii="黑体" w:eastAsia="黑体" w:hAnsi="Times New Roman"/>
      <w:sz w:val="21"/>
    </w:rPr>
  </w:style>
  <w:style w:type="paragraph" w:customStyle="1" w:styleId="afc">
    <w:name w:val="标准文件_编号列项（三级）"/>
    <w:autoRedefine/>
    <w:qFormat/>
    <w:pPr>
      <w:numPr>
        <w:ilvl w:val="2"/>
        <w:numId w:val="13"/>
      </w:numPr>
    </w:pPr>
    <w:rPr>
      <w:rFonts w:ascii="宋体" w:hAnsi="Times New Roman"/>
      <w:sz w:val="21"/>
    </w:rPr>
  </w:style>
  <w:style w:type="paragraph" w:customStyle="1" w:styleId="a1">
    <w:name w:val="二级无标题条"/>
    <w:basedOn w:val="afffa"/>
    <w:autoRedefine/>
    <w:qFormat/>
    <w:pPr>
      <w:numPr>
        <w:ilvl w:val="3"/>
        <w:numId w:val="20"/>
      </w:numPr>
      <w:adjustRightInd/>
      <w:spacing w:line="240" w:lineRule="auto"/>
    </w:pPr>
    <w:rPr>
      <w:rFonts w:ascii="宋体" w:hAnsi="宋体"/>
      <w:szCs w:val="24"/>
    </w:rPr>
  </w:style>
  <w:style w:type="paragraph" w:customStyle="1" w:styleId="afffffff8">
    <w:name w:val="发布部门"/>
    <w:next w:val="afffffb"/>
    <w:autoRedefine/>
    <w:qFormat/>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9">
    <w:name w:val="发布日期"/>
    <w:autoRedefine/>
    <w:qFormat/>
    <w:pPr>
      <w:framePr w:w="4000" w:h="473" w:hRule="exact" w:hSpace="180" w:vSpace="180" w:wrap="around" w:hAnchor="margin" w:y="13511" w:anchorLock="1"/>
    </w:pPr>
    <w:rPr>
      <w:rFonts w:ascii="Times New Roman" w:eastAsia="黑体" w:hAnsi="Times New Roman"/>
      <w:sz w:val="28"/>
    </w:rPr>
  </w:style>
  <w:style w:type="paragraph" w:customStyle="1" w:styleId="afffffffa">
    <w:name w:val="封面标准代替信息"/>
    <w:basedOn w:val="afffa"/>
    <w:autoRedefine/>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b">
    <w:name w:val="封面标准名称"/>
    <w:autoRedefine/>
    <w:qFormat/>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c">
    <w:name w:val="封面标准文稿编辑信息"/>
    <w:autoRedefine/>
    <w:qFormat/>
    <w:pPr>
      <w:spacing w:before="180" w:line="180" w:lineRule="exact"/>
      <w:jc w:val="center"/>
    </w:pPr>
    <w:rPr>
      <w:rFonts w:ascii="宋体" w:hAnsi="Times New Roman"/>
      <w:sz w:val="21"/>
    </w:rPr>
  </w:style>
  <w:style w:type="paragraph" w:customStyle="1" w:styleId="afffffffd">
    <w:name w:val="封面标准文稿类别"/>
    <w:autoRedefine/>
    <w:qFormat/>
    <w:pPr>
      <w:spacing w:before="440" w:line="400" w:lineRule="exact"/>
      <w:jc w:val="center"/>
    </w:pPr>
    <w:rPr>
      <w:rFonts w:ascii="宋体" w:hAnsi="Times New Roman"/>
      <w:sz w:val="24"/>
    </w:rPr>
  </w:style>
  <w:style w:type="paragraph" w:customStyle="1" w:styleId="afffffffe">
    <w:name w:val="封面标准英文名称"/>
    <w:autoRedefine/>
    <w:qFormat/>
    <w:pPr>
      <w:widowControl w:val="0"/>
      <w:spacing w:line="360" w:lineRule="exact"/>
      <w:jc w:val="center"/>
    </w:pPr>
    <w:rPr>
      <w:rFonts w:ascii="Times New Roman" w:hAnsi="Times New Roman"/>
      <w:sz w:val="28"/>
    </w:rPr>
  </w:style>
  <w:style w:type="paragraph" w:customStyle="1" w:styleId="affffffff">
    <w:name w:val="封面一致性程度标识"/>
    <w:autoRedefine/>
    <w:qFormat/>
    <w:pPr>
      <w:spacing w:before="440" w:line="440" w:lineRule="exact"/>
      <w:jc w:val="center"/>
    </w:pPr>
    <w:rPr>
      <w:rFonts w:ascii="Times New Roman" w:hAnsi="Times New Roman"/>
      <w:sz w:val="28"/>
    </w:rPr>
  </w:style>
  <w:style w:type="paragraph" w:customStyle="1" w:styleId="affffffff0">
    <w:name w:val="封面正文"/>
    <w:autoRedefine/>
    <w:qFormat/>
    <w:pPr>
      <w:jc w:val="both"/>
    </w:pPr>
    <w:rPr>
      <w:rFonts w:ascii="Times New Roman" w:hAnsi="Times New Roman"/>
    </w:rPr>
  </w:style>
  <w:style w:type="paragraph" w:customStyle="1" w:styleId="affffffff1">
    <w:name w:val="附录二级无标题条"/>
    <w:basedOn w:val="afffa"/>
    <w:next w:val="afffffb"/>
    <w:autoRedefine/>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f2">
    <w:name w:val="附录三级无标题条"/>
    <w:basedOn w:val="affffffff1"/>
    <w:next w:val="afffffb"/>
    <w:autoRedefine/>
    <w:qFormat/>
    <w:pPr>
      <w:outlineLvl w:val="4"/>
    </w:pPr>
  </w:style>
  <w:style w:type="paragraph" w:customStyle="1" w:styleId="affffffff3">
    <w:name w:val="附录四级无标题条"/>
    <w:basedOn w:val="affffffff2"/>
    <w:next w:val="afffffb"/>
    <w:autoRedefine/>
    <w:qFormat/>
    <w:pPr>
      <w:outlineLvl w:val="5"/>
    </w:pPr>
  </w:style>
  <w:style w:type="paragraph" w:customStyle="1" w:styleId="affffffff4">
    <w:name w:val="附录图"/>
    <w:next w:val="afffffb"/>
    <w:autoRedefine/>
    <w:qFormat/>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7">
    <w:name w:val="标准文件_一级项"/>
    <w:autoRedefine/>
    <w:qFormat/>
    <w:pPr>
      <w:numPr>
        <w:numId w:val="21"/>
      </w:numPr>
    </w:pPr>
    <w:rPr>
      <w:rFonts w:ascii="宋体" w:hAnsi="Times New Roman"/>
      <w:sz w:val="21"/>
    </w:rPr>
  </w:style>
  <w:style w:type="paragraph" w:customStyle="1" w:styleId="affffffff5">
    <w:name w:val="附录五级无标题条"/>
    <w:basedOn w:val="affffffff3"/>
    <w:next w:val="afffffb"/>
    <w:autoRedefine/>
    <w:qFormat/>
    <w:pPr>
      <w:outlineLvl w:val="6"/>
    </w:pPr>
  </w:style>
  <w:style w:type="paragraph" w:customStyle="1" w:styleId="affffffff6">
    <w:name w:val="附录性质"/>
    <w:basedOn w:val="afffa"/>
    <w:autoRedefine/>
    <w:qFormat/>
    <w:pPr>
      <w:widowControl/>
      <w:adjustRightInd/>
      <w:jc w:val="center"/>
    </w:pPr>
    <w:rPr>
      <w:rFonts w:ascii="黑体" w:eastAsia="黑体"/>
    </w:rPr>
  </w:style>
  <w:style w:type="paragraph" w:customStyle="1" w:styleId="affffffff7">
    <w:name w:val="附录一级无标题条"/>
    <w:basedOn w:val="affffffd"/>
    <w:next w:val="afffffb"/>
    <w:autoRedefine/>
    <w:qFormat/>
    <w:pPr>
      <w:autoSpaceDN w:val="0"/>
      <w:outlineLvl w:val="2"/>
    </w:pPr>
    <w:rPr>
      <w:rFonts w:ascii="宋体" w:eastAsia="宋体" w:hAnsi="宋体"/>
    </w:rPr>
  </w:style>
  <w:style w:type="character" w:customStyle="1" w:styleId="affffffff8">
    <w:name w:val="个人答复风格"/>
    <w:autoRedefine/>
    <w:qFormat/>
    <w:rPr>
      <w:rFonts w:ascii="Arial" w:eastAsia="宋体" w:hAnsi="Arial" w:cs="Arial"/>
      <w:color w:val="auto"/>
      <w:spacing w:val="0"/>
      <w:sz w:val="20"/>
    </w:rPr>
  </w:style>
  <w:style w:type="character" w:customStyle="1" w:styleId="affffffff9">
    <w:name w:val="个人撰写风格"/>
    <w:autoRedefine/>
    <w:qFormat/>
    <w:rPr>
      <w:rFonts w:ascii="Arial" w:eastAsia="宋体" w:hAnsi="Arial" w:cs="Arial"/>
      <w:color w:val="auto"/>
      <w:spacing w:val="0"/>
      <w:sz w:val="20"/>
    </w:rPr>
  </w:style>
  <w:style w:type="paragraph" w:customStyle="1" w:styleId="affffffffa">
    <w:name w:val="脚注后续"/>
    <w:autoRedefine/>
    <w:qFormat/>
    <w:pPr>
      <w:ind w:leftChars="350" w:left="350"/>
      <w:jc w:val="both"/>
    </w:pPr>
    <w:rPr>
      <w:rFonts w:ascii="宋体" w:hAnsi="Times New Roman"/>
      <w:sz w:val="18"/>
    </w:rPr>
  </w:style>
  <w:style w:type="paragraph" w:customStyle="1" w:styleId="afff9">
    <w:name w:val="列项——"/>
    <w:autoRedefine/>
    <w:qFormat/>
    <w:pPr>
      <w:widowControl w:val="0"/>
      <w:numPr>
        <w:numId w:val="22"/>
      </w:numPr>
      <w:jc w:val="both"/>
    </w:pPr>
    <w:rPr>
      <w:rFonts w:ascii="宋体" w:hAnsi="宋体"/>
      <w:sz w:val="21"/>
    </w:rPr>
  </w:style>
  <w:style w:type="paragraph" w:customStyle="1" w:styleId="affffffffb">
    <w:name w:val="列项·"/>
    <w:basedOn w:val="afffffb"/>
    <w:autoRedefine/>
    <w:qFormat/>
    <w:pPr>
      <w:tabs>
        <w:tab w:val="left" w:pos="840"/>
      </w:tabs>
    </w:pPr>
  </w:style>
  <w:style w:type="paragraph" w:customStyle="1" w:styleId="affffffffc">
    <w:name w:val="目次、索引正文"/>
    <w:autoRedefine/>
    <w:qFormat/>
    <w:pPr>
      <w:spacing w:line="320" w:lineRule="exact"/>
      <w:jc w:val="both"/>
    </w:pPr>
    <w:rPr>
      <w:rFonts w:ascii="宋体" w:hAnsi="Times New Roman"/>
      <w:sz w:val="21"/>
    </w:rPr>
  </w:style>
  <w:style w:type="paragraph" w:customStyle="1" w:styleId="210">
    <w:name w:val="目录 21"/>
    <w:basedOn w:val="afffa"/>
    <w:next w:val="afffa"/>
    <w:autoRedefine/>
    <w:semiHidden/>
    <w:qFormat/>
    <w:pPr>
      <w:adjustRightInd/>
      <w:spacing w:line="240" w:lineRule="auto"/>
      <w:jc w:val="left"/>
    </w:pPr>
    <w:rPr>
      <w:bCs/>
      <w:iCs/>
    </w:rPr>
  </w:style>
  <w:style w:type="paragraph" w:customStyle="1" w:styleId="31">
    <w:name w:val="目录 31"/>
    <w:basedOn w:val="afffa"/>
    <w:next w:val="afffa"/>
    <w:autoRedefine/>
    <w:semiHidden/>
    <w:qFormat/>
    <w:pPr>
      <w:spacing w:line="240" w:lineRule="auto"/>
    </w:pPr>
    <w:rPr>
      <w:rFonts w:ascii="宋体" w:hAnsi="宋体"/>
      <w:iCs/>
    </w:rPr>
  </w:style>
  <w:style w:type="paragraph" w:customStyle="1" w:styleId="41">
    <w:name w:val="目录 41"/>
    <w:basedOn w:val="afffa"/>
    <w:next w:val="afffa"/>
    <w:autoRedefine/>
    <w:semiHidden/>
    <w:qFormat/>
    <w:pPr>
      <w:adjustRightInd/>
      <w:spacing w:line="240" w:lineRule="auto"/>
      <w:jc w:val="left"/>
    </w:pPr>
  </w:style>
  <w:style w:type="paragraph" w:customStyle="1" w:styleId="51">
    <w:name w:val="目录 51"/>
    <w:basedOn w:val="afffa"/>
    <w:next w:val="afffa"/>
    <w:autoRedefine/>
    <w:semiHidden/>
    <w:qFormat/>
    <w:pPr>
      <w:spacing w:line="240" w:lineRule="auto"/>
    </w:pPr>
    <w:rPr>
      <w:rFonts w:ascii="宋体" w:hAnsi="宋体"/>
    </w:rPr>
  </w:style>
  <w:style w:type="paragraph" w:customStyle="1" w:styleId="61">
    <w:name w:val="目录 61"/>
    <w:basedOn w:val="afffa"/>
    <w:next w:val="afffa"/>
    <w:autoRedefine/>
    <w:semiHidden/>
    <w:qFormat/>
    <w:pPr>
      <w:adjustRightInd/>
      <w:spacing w:line="240" w:lineRule="auto"/>
      <w:jc w:val="left"/>
    </w:pPr>
  </w:style>
  <w:style w:type="paragraph" w:customStyle="1" w:styleId="71">
    <w:name w:val="目录 71"/>
    <w:basedOn w:val="61"/>
    <w:autoRedefine/>
    <w:semiHidden/>
    <w:qFormat/>
    <w:pPr>
      <w:ind w:left="1260"/>
    </w:pPr>
  </w:style>
  <w:style w:type="paragraph" w:customStyle="1" w:styleId="81">
    <w:name w:val="目录 81"/>
    <w:basedOn w:val="71"/>
    <w:autoRedefine/>
    <w:semiHidden/>
    <w:qFormat/>
    <w:pPr>
      <w:ind w:left="1470"/>
    </w:pPr>
  </w:style>
  <w:style w:type="paragraph" w:customStyle="1" w:styleId="91">
    <w:name w:val="目录 91"/>
    <w:basedOn w:val="81"/>
    <w:autoRedefine/>
    <w:semiHidden/>
    <w:qFormat/>
    <w:pPr>
      <w:ind w:left="1680"/>
    </w:pPr>
  </w:style>
  <w:style w:type="paragraph" w:customStyle="1" w:styleId="affffffffd">
    <w:name w:val="其他标准称谓"/>
    <w:autoRedefine/>
    <w:qFormat/>
    <w:pPr>
      <w:spacing w:line="0" w:lineRule="atLeast"/>
      <w:jc w:val="distribute"/>
    </w:pPr>
    <w:rPr>
      <w:rFonts w:ascii="黑体" w:eastAsia="黑体" w:hAnsi="宋体"/>
      <w:sz w:val="52"/>
    </w:rPr>
  </w:style>
  <w:style w:type="paragraph" w:customStyle="1" w:styleId="affffffffe">
    <w:name w:val="其他发布部门"/>
    <w:basedOn w:val="afffffff8"/>
    <w:autoRedefine/>
    <w:qFormat/>
    <w:pPr>
      <w:framePr w:wrap="around"/>
      <w:spacing w:line="0" w:lineRule="atLeast"/>
    </w:pPr>
    <w:rPr>
      <w:rFonts w:ascii="黑体" w:eastAsia="黑体"/>
      <w:b w:val="0"/>
    </w:rPr>
  </w:style>
  <w:style w:type="paragraph" w:customStyle="1" w:styleId="afff0">
    <w:name w:val="前言标题"/>
    <w:next w:val="afffa"/>
    <w:autoRedefine/>
    <w:qFormat/>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a"/>
    <w:autoRedefine/>
    <w:qFormat/>
    <w:pPr>
      <w:numPr>
        <w:ilvl w:val="4"/>
        <w:numId w:val="20"/>
      </w:numPr>
      <w:adjustRightInd/>
      <w:spacing w:line="240" w:lineRule="auto"/>
    </w:pPr>
    <w:rPr>
      <w:rFonts w:ascii="宋体" w:hAnsi="宋体"/>
      <w:szCs w:val="24"/>
    </w:rPr>
  </w:style>
  <w:style w:type="paragraph" w:customStyle="1" w:styleId="afffffffff">
    <w:name w:val="实施日期"/>
    <w:basedOn w:val="afffffff9"/>
    <w:autoRedefine/>
    <w:qFormat/>
    <w:pPr>
      <w:framePr w:hSpace="0" w:wrap="around" w:xAlign="right"/>
      <w:jc w:val="right"/>
    </w:pPr>
  </w:style>
  <w:style w:type="paragraph" w:customStyle="1" w:styleId="a3">
    <w:name w:val="四级无标题条"/>
    <w:basedOn w:val="afffa"/>
    <w:autoRedefine/>
    <w:qFormat/>
    <w:pPr>
      <w:numPr>
        <w:ilvl w:val="5"/>
        <w:numId w:val="20"/>
      </w:numPr>
      <w:adjustRightInd/>
      <w:spacing w:line="240" w:lineRule="auto"/>
    </w:pPr>
    <w:rPr>
      <w:rFonts w:ascii="宋体" w:hAnsi="宋体"/>
      <w:szCs w:val="24"/>
    </w:rPr>
  </w:style>
  <w:style w:type="paragraph" w:customStyle="1" w:styleId="afffffffff0">
    <w:name w:val="文献分类号"/>
    <w:autoRedefine/>
    <w:qFormat/>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f1">
    <w:name w:val="无标题条"/>
    <w:next w:val="afffffb"/>
    <w:autoRedefine/>
    <w:qFormat/>
    <w:pPr>
      <w:jc w:val="both"/>
    </w:pPr>
    <w:rPr>
      <w:rFonts w:ascii="宋体" w:hAnsi="宋体"/>
      <w:sz w:val="21"/>
    </w:rPr>
  </w:style>
  <w:style w:type="paragraph" w:customStyle="1" w:styleId="a4">
    <w:name w:val="五级无标题条"/>
    <w:basedOn w:val="afffa"/>
    <w:autoRedefine/>
    <w:qFormat/>
    <w:pPr>
      <w:numPr>
        <w:ilvl w:val="6"/>
        <w:numId w:val="20"/>
      </w:numPr>
      <w:adjustRightInd/>
    </w:pPr>
    <w:rPr>
      <w:szCs w:val="24"/>
    </w:rPr>
  </w:style>
  <w:style w:type="paragraph" w:customStyle="1" w:styleId="a0">
    <w:name w:val="一级无标题条"/>
    <w:basedOn w:val="afffa"/>
    <w:autoRedefine/>
    <w:qFormat/>
    <w:pPr>
      <w:numPr>
        <w:ilvl w:val="2"/>
        <w:numId w:val="20"/>
      </w:numPr>
      <w:adjustRightInd/>
      <w:spacing w:before="10" w:after="10" w:line="240" w:lineRule="auto"/>
    </w:pPr>
    <w:rPr>
      <w:rFonts w:ascii="宋体" w:hAnsi="宋体"/>
      <w:szCs w:val="24"/>
    </w:rPr>
  </w:style>
  <w:style w:type="paragraph" w:customStyle="1" w:styleId="afffffffff2">
    <w:name w:val="注:后续"/>
    <w:autoRedefine/>
    <w:qFormat/>
    <w:pPr>
      <w:spacing w:line="300" w:lineRule="exact"/>
      <w:ind w:leftChars="400" w:left="600" w:hangingChars="200" w:hanging="200"/>
      <w:jc w:val="both"/>
    </w:pPr>
    <w:rPr>
      <w:rFonts w:ascii="宋体" w:hAnsi="Times New Roman"/>
      <w:sz w:val="18"/>
    </w:rPr>
  </w:style>
  <w:style w:type="paragraph" w:customStyle="1" w:styleId="afffffffff3">
    <w:name w:val="注×:后续"/>
    <w:basedOn w:val="afffffffff2"/>
    <w:autoRedefine/>
    <w:qFormat/>
    <w:pPr>
      <w:ind w:leftChars="0" w:left="1406" w:firstLineChars="0" w:hanging="499"/>
    </w:pPr>
  </w:style>
  <w:style w:type="paragraph" w:customStyle="1" w:styleId="afffffffff4">
    <w:name w:val="标准文件_一级无标题"/>
    <w:basedOn w:val="afff2"/>
    <w:autoRedefine/>
    <w:qFormat/>
    <w:pPr>
      <w:spacing w:beforeLines="0" w:before="0" w:afterLines="0" w:after="0"/>
      <w:outlineLvl w:val="9"/>
    </w:pPr>
    <w:rPr>
      <w:rFonts w:ascii="宋体" w:eastAsia="宋体"/>
    </w:rPr>
  </w:style>
  <w:style w:type="paragraph" w:customStyle="1" w:styleId="afffffffff5">
    <w:name w:val="标准文件_五级无标题"/>
    <w:basedOn w:val="afff6"/>
    <w:autoRedefine/>
    <w:qFormat/>
    <w:pPr>
      <w:spacing w:beforeLines="0" w:before="0" w:afterLines="0" w:after="0"/>
      <w:outlineLvl w:val="9"/>
    </w:pPr>
    <w:rPr>
      <w:rFonts w:ascii="宋体" w:eastAsia="宋体"/>
    </w:rPr>
  </w:style>
  <w:style w:type="paragraph" w:customStyle="1" w:styleId="afffffffff6">
    <w:name w:val="标准文件_三级无标题"/>
    <w:basedOn w:val="afff4"/>
    <w:autoRedefine/>
    <w:qFormat/>
    <w:pPr>
      <w:spacing w:beforeLines="0" w:before="0" w:afterLines="0" w:after="0"/>
      <w:outlineLvl w:val="9"/>
    </w:pPr>
    <w:rPr>
      <w:rFonts w:ascii="宋体" w:eastAsia="宋体"/>
    </w:rPr>
  </w:style>
  <w:style w:type="paragraph" w:customStyle="1" w:styleId="afffffffff7">
    <w:name w:val="标准文件_二级无标题"/>
    <w:basedOn w:val="afff3"/>
    <w:autoRedefine/>
    <w:qFormat/>
    <w:pPr>
      <w:spacing w:beforeLines="0" w:before="0" w:afterLines="0" w:after="0"/>
      <w:outlineLvl w:val="9"/>
    </w:pPr>
    <w:rPr>
      <w:rFonts w:ascii="宋体" w:eastAsia="宋体"/>
    </w:rPr>
  </w:style>
  <w:style w:type="paragraph" w:customStyle="1" w:styleId="afffffffff8">
    <w:name w:val="标准_四级无标题"/>
    <w:basedOn w:val="afff5"/>
    <w:next w:val="afffffb"/>
    <w:autoRedefine/>
    <w:qFormat/>
    <w:rPr>
      <w:rFonts w:eastAsia="宋体"/>
    </w:rPr>
  </w:style>
  <w:style w:type="paragraph" w:customStyle="1" w:styleId="afffffffff9">
    <w:name w:val="标准文件_四级无标题"/>
    <w:basedOn w:val="afff5"/>
    <w:autoRedefine/>
    <w:qFormat/>
    <w:pPr>
      <w:spacing w:beforeLines="0" w:before="0" w:afterLines="0" w:after="0"/>
      <w:outlineLvl w:val="9"/>
    </w:pPr>
    <w:rPr>
      <w:rFonts w:ascii="宋体" w:eastAsia="宋体" w:hAnsi="黑体"/>
      <w:szCs w:val="52"/>
    </w:rPr>
  </w:style>
  <w:style w:type="paragraph" w:customStyle="1" w:styleId="aff6">
    <w:name w:val="标准文件_大写罗马数字编号列项"/>
    <w:basedOn w:val="afffffb"/>
    <w:autoRedefine/>
    <w:qFormat/>
    <w:pPr>
      <w:numPr>
        <w:numId w:val="23"/>
      </w:numPr>
      <w:ind w:firstLineChars="0" w:firstLine="0"/>
    </w:pPr>
    <w:rPr>
      <w:rFonts w:ascii="Times New Roman" w:cs="Arial"/>
      <w:szCs w:val="28"/>
    </w:rPr>
  </w:style>
  <w:style w:type="paragraph" w:customStyle="1" w:styleId="ae">
    <w:name w:val="标准文件_小写罗马数字编号列项"/>
    <w:basedOn w:val="afffffb"/>
    <w:autoRedefine/>
    <w:qFormat/>
    <w:pPr>
      <w:numPr>
        <w:numId w:val="24"/>
      </w:numPr>
      <w:ind w:firstLineChars="0" w:firstLine="0"/>
    </w:pPr>
    <w:rPr>
      <w:rFonts w:cs="Arial"/>
      <w:szCs w:val="28"/>
    </w:rPr>
  </w:style>
  <w:style w:type="paragraph" w:customStyle="1" w:styleId="afffffffffa">
    <w:name w:val="标准文件_附录标题"/>
    <w:basedOn w:val="aff8"/>
    <w:autoRedefine/>
    <w:qFormat/>
    <w:pPr>
      <w:numPr>
        <w:numId w:val="0"/>
      </w:numPr>
      <w:spacing w:after="280"/>
      <w:outlineLvl w:val="9"/>
    </w:pPr>
  </w:style>
  <w:style w:type="paragraph" w:customStyle="1" w:styleId="afffffffffb">
    <w:name w:val="标准文件_二级项"/>
    <w:autoRedefine/>
    <w:qFormat/>
    <w:rPr>
      <w:rFonts w:ascii="宋体" w:hAnsi="Times New Roman"/>
      <w:sz w:val="21"/>
    </w:rPr>
  </w:style>
  <w:style w:type="paragraph" w:customStyle="1" w:styleId="af8">
    <w:name w:val="标准文件_三级项"/>
    <w:basedOn w:val="afffa"/>
    <w:autoRedefine/>
    <w:qFormat/>
    <w:pPr>
      <w:numPr>
        <w:ilvl w:val="2"/>
        <w:numId w:val="21"/>
      </w:numPr>
      <w:spacing w:line="-300" w:lineRule="auto"/>
    </w:pPr>
    <w:rPr>
      <w:rFonts w:ascii="Times New Roman" w:hAnsi="Times New Roman"/>
    </w:rPr>
  </w:style>
  <w:style w:type="paragraph" w:customStyle="1" w:styleId="afff">
    <w:name w:val="图表脚注说明"/>
    <w:basedOn w:val="afffa"/>
    <w:next w:val="afffffb"/>
    <w:autoRedefine/>
    <w:qFormat/>
    <w:pPr>
      <w:numPr>
        <w:numId w:val="25"/>
      </w:numPr>
      <w:adjustRightInd/>
      <w:spacing w:line="240" w:lineRule="auto"/>
      <w:ind w:left="783"/>
    </w:pPr>
    <w:rPr>
      <w:rFonts w:ascii="宋体" w:hAnsi="Times New Roman"/>
      <w:sz w:val="18"/>
      <w:szCs w:val="18"/>
    </w:rPr>
  </w:style>
  <w:style w:type="paragraph" w:customStyle="1" w:styleId="afa">
    <w:name w:val="标准文件_字母编号列项（一级）"/>
    <w:autoRedefine/>
    <w:qFormat/>
    <w:pPr>
      <w:numPr>
        <w:numId w:val="13"/>
      </w:numPr>
      <w:jc w:val="both"/>
    </w:pPr>
    <w:rPr>
      <w:rFonts w:ascii="宋体" w:hAnsi="Times New Roman"/>
      <w:sz w:val="21"/>
    </w:rPr>
  </w:style>
  <w:style w:type="paragraph" w:customStyle="1" w:styleId="afffffffffc">
    <w:name w:val="标准文件_索引字母"/>
    <w:next w:val="afffffb"/>
    <w:autoRedefine/>
    <w:qFormat/>
    <w:pPr>
      <w:jc w:val="center"/>
    </w:pPr>
    <w:rPr>
      <w:rFonts w:ascii="宋体" w:eastAsia="Times New Roman" w:hAnsi="宋体"/>
      <w:b/>
      <w:kern w:val="2"/>
      <w:sz w:val="21"/>
    </w:rPr>
  </w:style>
  <w:style w:type="paragraph" w:customStyle="1" w:styleId="afffffffffd">
    <w:name w:val="标准文件_附录前"/>
    <w:next w:val="afffffb"/>
    <w:autoRedefine/>
    <w:qFormat/>
    <w:pPr>
      <w:spacing w:line="20" w:lineRule="atLeast"/>
      <w:ind w:firstLine="200"/>
    </w:pPr>
    <w:rPr>
      <w:rFonts w:ascii="宋体" w:hAnsi="宋体"/>
      <w:kern w:val="2"/>
      <w:sz w:val="10"/>
    </w:rPr>
  </w:style>
  <w:style w:type="paragraph" w:customStyle="1" w:styleId="afffffffffe">
    <w:name w:val="标准文件_正文标准名称"/>
    <w:autoRedefine/>
    <w:qFormat/>
    <w:pPr>
      <w:spacing w:before="560" w:after="640" w:line="400" w:lineRule="exact"/>
      <w:jc w:val="center"/>
    </w:pPr>
    <w:rPr>
      <w:rFonts w:ascii="黑体" w:eastAsia="黑体" w:hAnsi="黑体"/>
      <w:kern w:val="2"/>
      <w:sz w:val="32"/>
      <w:szCs w:val="32"/>
    </w:rPr>
  </w:style>
  <w:style w:type="paragraph" w:customStyle="1" w:styleId="affffffffff">
    <w:name w:val="标准文件_表格"/>
    <w:basedOn w:val="afffffb"/>
    <w:autoRedefine/>
    <w:qFormat/>
    <w:pPr>
      <w:ind w:firstLineChars="0" w:firstLine="0"/>
      <w:jc w:val="center"/>
    </w:pPr>
    <w:rPr>
      <w:sz w:val="18"/>
    </w:rPr>
  </w:style>
  <w:style w:type="paragraph" w:customStyle="1" w:styleId="afff7">
    <w:name w:val="标准文件_注："/>
    <w:next w:val="afffffb"/>
    <w:autoRedefine/>
    <w:qFormat/>
    <w:pPr>
      <w:widowControl w:val="0"/>
      <w:numPr>
        <w:numId w:val="26"/>
      </w:numPr>
      <w:autoSpaceDE w:val="0"/>
      <w:autoSpaceDN w:val="0"/>
      <w:jc w:val="both"/>
    </w:pPr>
    <w:rPr>
      <w:rFonts w:ascii="宋体" w:hAnsi="Times New Roman"/>
      <w:sz w:val="18"/>
      <w:szCs w:val="18"/>
    </w:rPr>
  </w:style>
  <w:style w:type="paragraph" w:customStyle="1" w:styleId="a5">
    <w:name w:val="标准文件_注×："/>
    <w:autoRedefine/>
    <w:qFormat/>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f0"/>
    <w:autoRedefine/>
    <w:qFormat/>
    <w:pPr>
      <w:widowControl w:val="0"/>
      <w:numPr>
        <w:numId w:val="28"/>
      </w:numPr>
      <w:jc w:val="both"/>
    </w:pPr>
    <w:rPr>
      <w:rFonts w:ascii="宋体" w:hAnsi="Times New Roman"/>
      <w:sz w:val="18"/>
      <w:szCs w:val="18"/>
    </w:rPr>
  </w:style>
  <w:style w:type="paragraph" w:customStyle="1" w:styleId="affffffffff0">
    <w:name w:val="标准文件_示例内容"/>
    <w:basedOn w:val="afffffb"/>
    <w:autoRedefine/>
    <w:qFormat/>
    <w:pPr>
      <w:ind w:firstLine="420"/>
    </w:pPr>
    <w:rPr>
      <w:sz w:val="18"/>
    </w:rPr>
  </w:style>
  <w:style w:type="paragraph" w:customStyle="1" w:styleId="aff">
    <w:name w:val="标准文件_示例×："/>
    <w:basedOn w:val="afffa"/>
    <w:next w:val="affffffffff0"/>
    <w:autoRedefine/>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b"/>
    <w:autoRedefine/>
    <w:qFormat/>
    <w:rPr>
      <w:rFonts w:ascii="宋体" w:hAnsi="Times New Roman"/>
      <w:sz w:val="21"/>
    </w:rPr>
  </w:style>
  <w:style w:type="paragraph" w:customStyle="1" w:styleId="affffffffff1">
    <w:name w:val="标准文件_表格续"/>
    <w:basedOn w:val="afffffb"/>
    <w:next w:val="afffffb"/>
    <w:autoRedefine/>
    <w:qFormat/>
    <w:pPr>
      <w:jc w:val="center"/>
    </w:pPr>
    <w:rPr>
      <w:rFonts w:ascii="黑体" w:eastAsia="黑体" w:hAnsi="黑体"/>
    </w:rPr>
  </w:style>
  <w:style w:type="character" w:styleId="affffffffff2">
    <w:name w:val="Placeholder Text"/>
    <w:basedOn w:val="afffb"/>
    <w:autoRedefine/>
    <w:uiPriority w:val="99"/>
    <w:semiHidden/>
    <w:qFormat/>
    <w:rPr>
      <w:color w:val="808080"/>
    </w:rPr>
  </w:style>
  <w:style w:type="paragraph" w:customStyle="1" w:styleId="2">
    <w:name w:val="标准文件_二级项2"/>
    <w:basedOn w:val="afffffb"/>
    <w:autoRedefine/>
    <w:qFormat/>
    <w:pPr>
      <w:numPr>
        <w:ilvl w:val="1"/>
        <w:numId w:val="21"/>
      </w:numPr>
      <w:ind w:left="1271" w:firstLineChars="0" w:hanging="420"/>
    </w:pPr>
  </w:style>
  <w:style w:type="paragraph" w:customStyle="1" w:styleId="21">
    <w:name w:val="标准文件_三级项2"/>
    <w:basedOn w:val="afffffb"/>
    <w:autoRedefine/>
    <w:qFormat/>
    <w:pPr>
      <w:numPr>
        <w:numId w:val="30"/>
      </w:numPr>
      <w:spacing w:line="300" w:lineRule="exact"/>
      <w:ind w:left="1276" w:firstLineChars="0" w:hanging="425"/>
    </w:pPr>
    <w:rPr>
      <w:rFonts w:ascii="Times New Roman"/>
    </w:rPr>
  </w:style>
  <w:style w:type="paragraph" w:customStyle="1" w:styleId="20">
    <w:name w:val="标准文件_一级项2"/>
    <w:basedOn w:val="afffffb"/>
    <w:autoRedefine/>
    <w:qFormat/>
    <w:pPr>
      <w:numPr>
        <w:numId w:val="31"/>
      </w:numPr>
      <w:spacing w:line="300" w:lineRule="exact"/>
      <w:ind w:left="1271" w:firstLineChars="0" w:hanging="420"/>
    </w:pPr>
    <w:rPr>
      <w:rFonts w:ascii="Times New Roman"/>
    </w:rPr>
  </w:style>
  <w:style w:type="paragraph" w:customStyle="1" w:styleId="affffffffff3">
    <w:name w:val="标准文件_提示"/>
    <w:basedOn w:val="afffffb"/>
    <w:next w:val="afffffb"/>
    <w:autoRedefine/>
    <w:qFormat/>
    <w:pPr>
      <w:ind w:firstLine="420"/>
    </w:pPr>
    <w:rPr>
      <w:rFonts w:ascii="黑体" w:eastAsia="黑体"/>
    </w:rPr>
  </w:style>
  <w:style w:type="character" w:customStyle="1" w:styleId="affffffffff4">
    <w:name w:val="标准文件_来源"/>
    <w:basedOn w:val="afffb"/>
    <w:autoRedefine/>
    <w:uiPriority w:val="1"/>
    <w:qFormat/>
    <w:rPr>
      <w:rFonts w:eastAsia="宋体"/>
      <w:sz w:val="21"/>
    </w:rPr>
  </w:style>
  <w:style w:type="paragraph" w:customStyle="1" w:styleId="affffffffff5">
    <w:name w:val="标准文件_图表说明"/>
    <w:autoRedefine/>
    <w:qFormat/>
    <w:pPr>
      <w:spacing w:line="276" w:lineRule="auto"/>
      <w:ind w:firstLine="420"/>
    </w:pPr>
    <w:rPr>
      <w:rFonts w:ascii="宋体" w:hAnsi="宋体"/>
      <w:kern w:val="2"/>
      <w:sz w:val="18"/>
    </w:rPr>
  </w:style>
  <w:style w:type="paragraph" w:customStyle="1" w:styleId="affffffffff6">
    <w:name w:val="其他发布日期"/>
    <w:basedOn w:val="afffffff9"/>
    <w:autoRedefine/>
    <w:qFormat/>
    <w:pPr>
      <w:framePr w:w="3997" w:h="471" w:hRule="exact" w:hSpace="0" w:vSpace="181" w:wrap="around" w:vAnchor="page" w:hAnchor="page" w:x="1419" w:y="14097"/>
    </w:pPr>
  </w:style>
  <w:style w:type="paragraph" w:customStyle="1" w:styleId="affffffffff7">
    <w:name w:val="其他实施日期"/>
    <w:basedOn w:val="afffffffff"/>
    <w:autoRedefine/>
    <w:qFormat/>
    <w:pPr>
      <w:framePr w:w="3997" w:h="471" w:hRule="exact" w:vSpace="181" w:wrap="around" w:vAnchor="page" w:hAnchor="page" w:x="7089" w:y="14097"/>
    </w:pPr>
  </w:style>
  <w:style w:type="paragraph" w:customStyle="1" w:styleId="affffffffff8">
    <w:name w:val="标准文件_文件编号"/>
    <w:basedOn w:val="afffffb"/>
    <w:autoRedefine/>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9">
    <w:name w:val="标准文件_替换文件编号"/>
    <w:basedOn w:val="affffffffff8"/>
    <w:autoRedefine/>
    <w:qFormat/>
    <w:pPr>
      <w:framePr w:wrap="auto"/>
      <w:spacing w:before="57"/>
    </w:pPr>
    <w:rPr>
      <w:sz w:val="21"/>
    </w:rPr>
  </w:style>
  <w:style w:type="paragraph" w:customStyle="1" w:styleId="affffffffffa">
    <w:name w:val="标准文件_文件名称"/>
    <w:basedOn w:val="afffffb"/>
    <w:next w:val="afffffb"/>
    <w:autoRedefine/>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d">
    <w:name w:val="标准文件_附录图标号"/>
    <w:basedOn w:val="afffffb"/>
    <w:next w:val="afffffb"/>
    <w:autoRedefine/>
    <w:qFormat/>
    <w:pPr>
      <w:numPr>
        <w:numId w:val="6"/>
      </w:numPr>
      <w:spacing w:line="14" w:lineRule="exact"/>
      <w:ind w:firstLineChars="0" w:firstLine="0"/>
      <w:jc w:val="center"/>
    </w:pPr>
    <w:rPr>
      <w:rFonts w:ascii="黑体" w:eastAsia="黑体" w:hAnsi="黑体"/>
      <w:vanish/>
      <w:sz w:val="2"/>
      <w:szCs w:val="21"/>
    </w:rPr>
  </w:style>
  <w:style w:type="paragraph" w:customStyle="1" w:styleId="aff3">
    <w:name w:val="标准文件_附录表标号"/>
    <w:basedOn w:val="afffffb"/>
    <w:next w:val="afffffb"/>
    <w:autoRedefine/>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b"/>
    <w:next w:val="afffffb"/>
    <w:autoRedefine/>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b"/>
    <w:next w:val="afffffb"/>
    <w:autoRedefine/>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b"/>
    <w:next w:val="afffffb"/>
    <w:autoRedefine/>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b"/>
    <w:next w:val="afffffb"/>
    <w:autoRedefine/>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b"/>
    <w:next w:val="afffffb"/>
    <w:autoRedefine/>
    <w:qFormat/>
    <w:pPr>
      <w:numPr>
        <w:ilvl w:val="5"/>
        <w:numId w:val="8"/>
      </w:numPr>
      <w:spacing w:beforeLines="50" w:before="50" w:afterLines="50" w:after="50"/>
      <w:ind w:firstLineChars="0"/>
    </w:pPr>
    <w:rPr>
      <w:rFonts w:ascii="黑体" w:eastAsia="黑体"/>
    </w:rPr>
  </w:style>
  <w:style w:type="paragraph" w:customStyle="1" w:styleId="affffffffffb">
    <w:name w:val="标准文件_注后"/>
    <w:basedOn w:val="afffffb"/>
    <w:autoRedefine/>
    <w:qFormat/>
    <w:pPr>
      <w:ind w:left="811" w:firstLineChars="0" w:firstLine="0"/>
    </w:pPr>
    <w:rPr>
      <w:sz w:val="18"/>
    </w:rPr>
  </w:style>
  <w:style w:type="paragraph" w:customStyle="1" w:styleId="X">
    <w:name w:val="标准文件_注X后"/>
    <w:basedOn w:val="afffffb"/>
    <w:autoRedefine/>
    <w:qFormat/>
    <w:pPr>
      <w:ind w:left="811" w:firstLineChars="0" w:firstLine="0"/>
    </w:pPr>
    <w:rPr>
      <w:sz w:val="18"/>
    </w:rPr>
  </w:style>
  <w:style w:type="paragraph" w:customStyle="1" w:styleId="affffffffffc">
    <w:name w:val="标准文件_示例后"/>
    <w:basedOn w:val="afffffb"/>
    <w:autoRedefine/>
    <w:qFormat/>
    <w:pPr>
      <w:ind w:left="964" w:firstLineChars="0" w:firstLine="0"/>
    </w:pPr>
    <w:rPr>
      <w:sz w:val="18"/>
    </w:rPr>
  </w:style>
  <w:style w:type="paragraph" w:customStyle="1" w:styleId="X0">
    <w:name w:val="标准文件_示例X后"/>
    <w:basedOn w:val="afffffb"/>
    <w:link w:val="X1"/>
    <w:autoRedefine/>
    <w:qFormat/>
    <w:pPr>
      <w:ind w:left="1049" w:firstLineChars="0" w:firstLine="0"/>
    </w:pPr>
    <w:rPr>
      <w:sz w:val="18"/>
    </w:rPr>
  </w:style>
  <w:style w:type="character" w:customStyle="1" w:styleId="X1">
    <w:name w:val="标准文件_示例X后 字符"/>
    <w:basedOn w:val="Char"/>
    <w:link w:val="X0"/>
    <w:autoRedefine/>
    <w:qFormat/>
    <w:rPr>
      <w:rFonts w:ascii="宋体" w:hAnsi="Times New Roman"/>
      <w:sz w:val="18"/>
    </w:rPr>
  </w:style>
  <w:style w:type="paragraph" w:customStyle="1" w:styleId="affffffffffd">
    <w:name w:val="标准文件_索引项"/>
    <w:basedOn w:val="afffffb"/>
    <w:next w:val="afffffb"/>
    <w:autoRedefine/>
    <w:qFormat/>
    <w:pPr>
      <w:tabs>
        <w:tab w:val="right" w:leader="dot" w:pos="9356"/>
      </w:tabs>
      <w:ind w:left="210" w:firstLineChars="0" w:hanging="210"/>
      <w:jc w:val="left"/>
    </w:pPr>
  </w:style>
  <w:style w:type="paragraph" w:customStyle="1" w:styleId="affffffffffe">
    <w:name w:val="标准文件_附录一级无标题"/>
    <w:basedOn w:val="aff9"/>
    <w:autoRedefine/>
    <w:qFormat/>
    <w:pPr>
      <w:spacing w:beforeLines="0" w:before="0" w:afterLines="0" w:after="0" w:line="276" w:lineRule="auto"/>
      <w:outlineLvl w:val="9"/>
    </w:pPr>
    <w:rPr>
      <w:rFonts w:ascii="宋体" w:eastAsia="宋体"/>
    </w:rPr>
  </w:style>
  <w:style w:type="paragraph" w:customStyle="1" w:styleId="afffffffffff">
    <w:name w:val="标准文件_附录二级无标题"/>
    <w:basedOn w:val="affa"/>
    <w:autoRedefine/>
    <w:qFormat/>
    <w:pPr>
      <w:spacing w:beforeLines="0" w:before="0" w:afterLines="0" w:after="0" w:line="276" w:lineRule="auto"/>
      <w:outlineLvl w:val="9"/>
    </w:pPr>
    <w:rPr>
      <w:rFonts w:ascii="宋体" w:eastAsia="宋体"/>
    </w:rPr>
  </w:style>
  <w:style w:type="paragraph" w:customStyle="1" w:styleId="afffffffffff0">
    <w:name w:val="标准文件_附录三级无标题"/>
    <w:basedOn w:val="affb"/>
    <w:autoRedefine/>
    <w:qFormat/>
    <w:pPr>
      <w:spacing w:beforeLines="0" w:before="0" w:afterLines="0" w:after="0" w:line="276" w:lineRule="auto"/>
      <w:outlineLvl w:val="9"/>
    </w:pPr>
    <w:rPr>
      <w:rFonts w:ascii="宋体" w:eastAsia="宋体"/>
    </w:rPr>
  </w:style>
  <w:style w:type="paragraph" w:customStyle="1" w:styleId="afffffffffff1">
    <w:name w:val="标准文件_附录四级无标题"/>
    <w:basedOn w:val="affc"/>
    <w:autoRedefine/>
    <w:qFormat/>
    <w:pPr>
      <w:spacing w:beforeLines="0" w:before="0" w:afterLines="0" w:after="0" w:line="276" w:lineRule="auto"/>
      <w:outlineLvl w:val="9"/>
    </w:pPr>
    <w:rPr>
      <w:rFonts w:ascii="宋体" w:eastAsia="宋体"/>
    </w:rPr>
  </w:style>
  <w:style w:type="paragraph" w:customStyle="1" w:styleId="afffffffffff2">
    <w:name w:val="标准文件_附录五级无标题"/>
    <w:basedOn w:val="affd"/>
    <w:autoRedefine/>
    <w:qFormat/>
    <w:pPr>
      <w:spacing w:beforeLines="0" w:before="0" w:afterLines="0" w:after="0" w:line="276" w:lineRule="auto"/>
      <w:outlineLvl w:val="9"/>
    </w:pPr>
    <w:rPr>
      <w:rFonts w:ascii="宋体" w:eastAsia="宋体"/>
    </w:rPr>
  </w:style>
  <w:style w:type="paragraph" w:customStyle="1" w:styleId="afffffffffff3">
    <w:name w:val="标准文件_引言一级无标题"/>
    <w:basedOn w:val="a7"/>
    <w:next w:val="afffffb"/>
    <w:autoRedefine/>
    <w:qFormat/>
    <w:pPr>
      <w:spacing w:beforeLines="0" w:before="0" w:afterLines="0" w:after="0" w:line="276" w:lineRule="auto"/>
    </w:pPr>
    <w:rPr>
      <w:rFonts w:ascii="宋体" w:eastAsia="宋体"/>
    </w:rPr>
  </w:style>
  <w:style w:type="paragraph" w:customStyle="1" w:styleId="afffffffffff4">
    <w:name w:val="标准文件_引言二级无标题"/>
    <w:basedOn w:val="a8"/>
    <w:next w:val="afffffb"/>
    <w:autoRedefine/>
    <w:qFormat/>
    <w:pPr>
      <w:spacing w:beforeLines="0" w:before="0" w:afterLines="0" w:after="0" w:line="276" w:lineRule="auto"/>
    </w:pPr>
    <w:rPr>
      <w:rFonts w:ascii="宋体" w:eastAsia="宋体"/>
    </w:rPr>
  </w:style>
  <w:style w:type="paragraph" w:customStyle="1" w:styleId="afffffffffff5">
    <w:name w:val="标准文件_引言三级无标题"/>
    <w:basedOn w:val="a9"/>
    <w:autoRedefine/>
    <w:qFormat/>
    <w:pPr>
      <w:spacing w:beforeLines="0" w:before="0" w:afterLines="0" w:after="0" w:line="276" w:lineRule="auto"/>
    </w:pPr>
    <w:rPr>
      <w:rFonts w:ascii="宋体" w:eastAsia="宋体"/>
    </w:rPr>
  </w:style>
  <w:style w:type="paragraph" w:customStyle="1" w:styleId="afffffffffff6">
    <w:name w:val="标准文件_引言四级无标题"/>
    <w:basedOn w:val="aa"/>
    <w:next w:val="afffffb"/>
    <w:autoRedefine/>
    <w:qFormat/>
    <w:pPr>
      <w:spacing w:beforeLines="0" w:before="0" w:afterLines="0" w:after="0" w:line="276" w:lineRule="auto"/>
    </w:pPr>
    <w:rPr>
      <w:rFonts w:ascii="宋体" w:eastAsia="宋体"/>
    </w:rPr>
  </w:style>
  <w:style w:type="paragraph" w:customStyle="1" w:styleId="afffffffffff7">
    <w:name w:val="标准文件_引言五级无标题"/>
    <w:basedOn w:val="ab"/>
    <w:next w:val="afffffb"/>
    <w:autoRedefine/>
    <w:qFormat/>
    <w:pPr>
      <w:spacing w:beforeLines="0" w:before="0" w:afterLines="0" w:after="0" w:line="276" w:lineRule="auto"/>
    </w:pPr>
    <w:rPr>
      <w:rFonts w:ascii="宋体" w:eastAsia="宋体"/>
    </w:rPr>
  </w:style>
  <w:style w:type="paragraph" w:customStyle="1" w:styleId="afffffffffff8">
    <w:name w:val="标准文件_索引标题"/>
    <w:basedOn w:val="affffff2"/>
    <w:next w:val="afffffb"/>
    <w:autoRedefine/>
    <w:qFormat/>
    <w:rPr>
      <w:rFonts w:hAnsi="黑体"/>
    </w:rPr>
  </w:style>
  <w:style w:type="paragraph" w:customStyle="1" w:styleId="afffffffffff9">
    <w:name w:val="标准文件_脚注内容"/>
    <w:basedOn w:val="afffffb"/>
    <w:autoRedefine/>
    <w:qFormat/>
    <w:pPr>
      <w:ind w:leftChars="200" w:left="400" w:hangingChars="200" w:hanging="200"/>
    </w:pPr>
    <w:rPr>
      <w:sz w:val="15"/>
    </w:rPr>
  </w:style>
  <w:style w:type="paragraph" w:customStyle="1" w:styleId="afffffffffffa">
    <w:name w:val="标准文件_术语条一"/>
    <w:basedOn w:val="afffffffff4"/>
    <w:next w:val="afffffb"/>
    <w:autoRedefine/>
    <w:qFormat/>
  </w:style>
  <w:style w:type="paragraph" w:customStyle="1" w:styleId="afffffffffffb">
    <w:name w:val="标准文件_术语条二"/>
    <w:basedOn w:val="afffffffff7"/>
    <w:next w:val="afffffb"/>
    <w:autoRedefine/>
    <w:qFormat/>
  </w:style>
  <w:style w:type="paragraph" w:customStyle="1" w:styleId="afffffffffffc">
    <w:name w:val="标准文件_术语条三"/>
    <w:basedOn w:val="afffffffff6"/>
    <w:next w:val="afffffb"/>
    <w:autoRedefine/>
    <w:qFormat/>
  </w:style>
  <w:style w:type="paragraph" w:customStyle="1" w:styleId="afffffffffffd">
    <w:name w:val="标准文件_术语条四"/>
    <w:basedOn w:val="afffffffff9"/>
    <w:next w:val="afffffb"/>
    <w:autoRedefine/>
    <w:qFormat/>
  </w:style>
  <w:style w:type="paragraph" w:customStyle="1" w:styleId="afffffffffffe">
    <w:name w:val="标准文件_术语条五"/>
    <w:basedOn w:val="afffffffff5"/>
    <w:next w:val="afffffb"/>
    <w:autoRedefine/>
    <w:qFormat/>
  </w:style>
  <w:style w:type="paragraph" w:customStyle="1" w:styleId="Default">
    <w:name w:val="Default"/>
    <w:autoRedefine/>
    <w:qFormat/>
    <w:pPr>
      <w:widowControl w:val="0"/>
      <w:autoSpaceDE w:val="0"/>
      <w:autoSpaceDN w:val="0"/>
      <w:adjustRightInd w:val="0"/>
    </w:pPr>
    <w:rPr>
      <w:rFonts w:ascii="宋体" w:cs="宋体"/>
      <w:color w:val="000000"/>
      <w:sz w:val="24"/>
      <w:szCs w:val="24"/>
    </w:rPr>
  </w:style>
  <w:style w:type="character" w:customStyle="1" w:styleId="affffffffffff">
    <w:name w:val="发布"/>
    <w:basedOn w:val="afffb"/>
    <w:autoRedefine/>
    <w:qFormat/>
    <w:rPr>
      <w:rFonts w:ascii="黑体" w:eastAsia="黑体"/>
      <w:spacing w:val="85"/>
      <w:w w:val="100"/>
      <w:position w:val="3"/>
      <w:sz w:val="28"/>
      <w:szCs w:val="28"/>
    </w:rPr>
  </w:style>
  <w:style w:type="paragraph" w:customStyle="1" w:styleId="affffffffffff0">
    <w:name w:val="段"/>
    <w:link w:val="Char0"/>
    <w:autoRedefine/>
    <w:uiPriority w:val="99"/>
    <w:qFormat/>
    <w:pPr>
      <w:tabs>
        <w:tab w:val="center" w:pos="4201"/>
        <w:tab w:val="right" w:leader="dot" w:pos="9298"/>
      </w:tabs>
      <w:autoSpaceDE w:val="0"/>
      <w:autoSpaceDN w:val="0"/>
      <w:ind w:firstLineChars="200" w:firstLine="420"/>
      <w:jc w:val="both"/>
    </w:pPr>
    <w:rPr>
      <w:rFonts w:ascii="宋体" w:hAnsi="Times New Roman"/>
      <w:sz w:val="21"/>
    </w:rPr>
  </w:style>
  <w:style w:type="character" w:customStyle="1" w:styleId="Char0">
    <w:name w:val="段 Char"/>
    <w:link w:val="affffffffffff0"/>
    <w:autoRedefine/>
    <w:uiPriority w:val="99"/>
    <w:qFormat/>
    <w:rPr>
      <w:rFonts w:ascii="宋体" w:hAnsi="Times New Roman"/>
      <w:sz w:val="21"/>
    </w:rPr>
  </w:style>
  <w:style w:type="paragraph" w:customStyle="1" w:styleId="af6">
    <w:name w:val="一级条标题"/>
    <w:next w:val="affffffffffff0"/>
    <w:autoRedefine/>
    <w:qFormat/>
    <w:pPr>
      <w:numPr>
        <w:numId w:val="32"/>
      </w:numPr>
      <w:spacing w:line="360" w:lineRule="auto"/>
      <w:outlineLvl w:val="2"/>
    </w:pPr>
    <w:rPr>
      <w:rFonts w:ascii="Times New Roman" w:eastAsiaTheme="minorEastAsia" w:hAnsi="Times New Roman"/>
      <w:sz w:val="24"/>
      <w:szCs w:val="24"/>
    </w:rPr>
  </w:style>
  <w:style w:type="paragraph" w:customStyle="1" w:styleId="affffffffffff1">
    <w:name w:val="列项——（一级）"/>
    <w:autoRedefine/>
    <w:qFormat/>
    <w:pPr>
      <w:widowControl w:val="0"/>
      <w:spacing w:line="360" w:lineRule="auto"/>
      <w:ind w:firstLineChars="200" w:firstLine="480"/>
    </w:pPr>
    <w:rPr>
      <w:rFonts w:ascii="宋体" w:hAnsi="Times New Roman"/>
      <w:sz w:val="21"/>
    </w:rPr>
  </w:style>
  <w:style w:type="paragraph" w:customStyle="1" w:styleId="af2">
    <w:name w:val="二级条标题"/>
    <w:basedOn w:val="af6"/>
    <w:next w:val="affffffffffff0"/>
    <w:autoRedefine/>
    <w:qFormat/>
    <w:pPr>
      <w:numPr>
        <w:ilvl w:val="2"/>
        <w:numId w:val="33"/>
      </w:numPr>
      <w:outlineLvl w:val="3"/>
    </w:pPr>
  </w:style>
  <w:style w:type="paragraph" w:customStyle="1" w:styleId="af3">
    <w:name w:val="三级条标题"/>
    <w:basedOn w:val="af2"/>
    <w:next w:val="affffffffffff0"/>
    <w:autoRedefine/>
    <w:qFormat/>
    <w:pPr>
      <w:numPr>
        <w:ilvl w:val="3"/>
      </w:numPr>
      <w:outlineLvl w:val="4"/>
    </w:pPr>
  </w:style>
  <w:style w:type="paragraph" w:customStyle="1" w:styleId="af4">
    <w:name w:val="四级条标题"/>
    <w:basedOn w:val="af3"/>
    <w:next w:val="affffffffffff0"/>
    <w:autoRedefine/>
    <w:qFormat/>
    <w:pPr>
      <w:numPr>
        <w:ilvl w:val="4"/>
      </w:numPr>
      <w:outlineLvl w:val="5"/>
    </w:pPr>
  </w:style>
  <w:style w:type="paragraph" w:customStyle="1" w:styleId="af5">
    <w:name w:val="五级条标题"/>
    <w:basedOn w:val="af4"/>
    <w:next w:val="affffffffffff0"/>
    <w:autoRedefine/>
    <w:qFormat/>
    <w:pPr>
      <w:numPr>
        <w:ilvl w:val="5"/>
      </w:numPr>
      <w:outlineLvl w:val="6"/>
    </w:pPr>
  </w:style>
  <w:style w:type="character" w:customStyle="1" w:styleId="font01">
    <w:name w:val="font01"/>
    <w:basedOn w:val="afffb"/>
    <w:autoRedefine/>
    <w:qFormat/>
    <w:rPr>
      <w:rFonts w:ascii="Times New Roman" w:hAnsi="Times New Roman" w:cs="Times New Roman" w:hint="default"/>
      <w:color w:val="000000"/>
      <w:sz w:val="22"/>
      <w:szCs w:val="22"/>
      <w:u w:val="none"/>
    </w:rPr>
  </w:style>
  <w:style w:type="character" w:customStyle="1" w:styleId="font21">
    <w:name w:val="font21"/>
    <w:basedOn w:val="afffb"/>
    <w:autoRedefine/>
    <w:qFormat/>
    <w:rPr>
      <w:rFonts w:ascii="宋体" w:eastAsia="宋体" w:hAnsi="宋体" w:cs="宋体" w:hint="eastAsia"/>
      <w:color w:val="000000"/>
      <w:sz w:val="22"/>
      <w:szCs w:val="22"/>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jpeg"/><Relationship Id="rId26" Type="http://schemas.openxmlformats.org/officeDocument/2006/relationships/footer" Target="footer6.xml"/><Relationship Id="rId3" Type="http://schemas.openxmlformats.org/officeDocument/2006/relationships/numbering" Target="numbering.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8.xml"/><Relationship Id="rId33"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4.jpeg"/><Relationship Id="rId28" Type="http://schemas.openxmlformats.org/officeDocument/2006/relationships/header" Target="header9.xml"/><Relationship Id="rId10" Type="http://schemas.openxmlformats.org/officeDocument/2006/relationships/image" Target="media/image2.png"/><Relationship Id="rId19" Type="http://schemas.openxmlformats.org/officeDocument/2006/relationships/header" Target="header5.xml"/><Relationship Id="rId31" Type="http://schemas.openxmlformats.org/officeDocument/2006/relationships/footer" Target="footer9.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footer" Target="footer5.xml"/><Relationship Id="rId27" Type="http://schemas.openxmlformats.org/officeDocument/2006/relationships/footer" Target="footer7.xml"/><Relationship Id="rId30" Type="http://schemas.openxmlformats.org/officeDocument/2006/relationships/footer" Target="footer8.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DAB37D64039411C969487F0B591871A"/>
        <w:category>
          <w:name w:val="常规"/>
          <w:gallery w:val="placeholder"/>
        </w:category>
        <w:types>
          <w:type w:val="bbPlcHdr"/>
        </w:types>
        <w:behaviors>
          <w:behavior w:val="content"/>
        </w:behaviors>
        <w:guid w:val="{45E871EC-4B3E-40F0-8DB8-70C11F064FF4}"/>
      </w:docPartPr>
      <w:docPartBody>
        <w:p w:rsidR="00237612" w:rsidRDefault="00D27FC8">
          <w:pPr>
            <w:pStyle w:val="DDAB37D64039411C969487F0B591871A"/>
          </w:pPr>
          <w:r>
            <w:rPr>
              <w:rStyle w:val="a3"/>
              <w:rFonts w:hint="eastAsia"/>
            </w:rPr>
            <w:t>单击或点击此处输入文字。</w:t>
          </w:r>
        </w:p>
      </w:docPartBody>
    </w:docPart>
    <w:docPart>
      <w:docPartPr>
        <w:name w:val="7365F715ED63451E8119576B2225B479"/>
        <w:category>
          <w:name w:val="常规"/>
          <w:gallery w:val="placeholder"/>
        </w:category>
        <w:types>
          <w:type w:val="bbPlcHdr"/>
        </w:types>
        <w:behaviors>
          <w:behavior w:val="content"/>
        </w:behaviors>
        <w:guid w:val="{0518E708-5098-40EE-B5D0-A20594E20196}"/>
      </w:docPartPr>
      <w:docPartBody>
        <w:p w:rsidR="00237612" w:rsidRDefault="00D27FC8">
          <w:pPr>
            <w:pStyle w:val="7365F715ED63451E8119576B2225B479"/>
          </w:pPr>
          <w:r>
            <w:rPr>
              <w:rStyle w:val="a3"/>
              <w:rFonts w:hint="eastAsia"/>
            </w:rPr>
            <w:t>选择一项。</w:t>
          </w:r>
        </w:p>
      </w:docPartBody>
    </w:docPart>
    <w:docPart>
      <w:docPartPr>
        <w:name w:val="BA1C76E8C6B947CF9DBDCFCF51E47F96"/>
        <w:category>
          <w:name w:val="常规"/>
          <w:gallery w:val="placeholder"/>
        </w:category>
        <w:types>
          <w:type w:val="bbPlcHdr"/>
        </w:types>
        <w:behaviors>
          <w:behavior w:val="content"/>
        </w:behaviors>
        <w:guid w:val="{C2A28481-7FE3-4485-9A67-CCF326BFCCAF}"/>
      </w:docPartPr>
      <w:docPartBody>
        <w:p w:rsidR="00237612" w:rsidRDefault="00D27FC8">
          <w:pPr>
            <w:pStyle w:val="BA1C76E8C6B947CF9DBDCFCF51E47F96"/>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594B"/>
    <w:rsid w:val="0011546E"/>
    <w:rsid w:val="001D1E75"/>
    <w:rsid w:val="00237612"/>
    <w:rsid w:val="00294BC7"/>
    <w:rsid w:val="0030334E"/>
    <w:rsid w:val="00303E34"/>
    <w:rsid w:val="00331CB0"/>
    <w:rsid w:val="0037366B"/>
    <w:rsid w:val="00393D1D"/>
    <w:rsid w:val="003D714C"/>
    <w:rsid w:val="00442F5D"/>
    <w:rsid w:val="004730E6"/>
    <w:rsid w:val="005343C7"/>
    <w:rsid w:val="00572B56"/>
    <w:rsid w:val="005A01C5"/>
    <w:rsid w:val="00650BBE"/>
    <w:rsid w:val="007019FF"/>
    <w:rsid w:val="00717815"/>
    <w:rsid w:val="00840BF7"/>
    <w:rsid w:val="008B3371"/>
    <w:rsid w:val="00940187"/>
    <w:rsid w:val="00B00D80"/>
    <w:rsid w:val="00B676EE"/>
    <w:rsid w:val="00D27FC8"/>
    <w:rsid w:val="00D51D9C"/>
    <w:rsid w:val="00D644CE"/>
    <w:rsid w:val="00D72FBA"/>
    <w:rsid w:val="00D97F12"/>
    <w:rsid w:val="00DA59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autoRedefine/>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autoRedefine/>
    <w:uiPriority w:val="99"/>
    <w:semiHidden/>
    <w:qFormat/>
    <w:rPr>
      <w:color w:val="808080"/>
    </w:rPr>
  </w:style>
  <w:style w:type="paragraph" w:customStyle="1" w:styleId="DDAB37D64039411C969487F0B591871A">
    <w:name w:val="DDAB37D64039411C969487F0B591871A"/>
    <w:autoRedefine/>
    <w:qFormat/>
    <w:pPr>
      <w:widowControl w:val="0"/>
      <w:jc w:val="both"/>
    </w:pPr>
    <w:rPr>
      <w:kern w:val="2"/>
      <w:sz w:val="21"/>
      <w:szCs w:val="22"/>
    </w:rPr>
  </w:style>
  <w:style w:type="paragraph" w:customStyle="1" w:styleId="7365F715ED63451E8119576B2225B479">
    <w:name w:val="7365F715ED63451E8119576B2225B479"/>
    <w:autoRedefine/>
    <w:qFormat/>
    <w:pPr>
      <w:widowControl w:val="0"/>
      <w:jc w:val="both"/>
    </w:pPr>
    <w:rPr>
      <w:kern w:val="2"/>
      <w:sz w:val="21"/>
      <w:szCs w:val="22"/>
    </w:rPr>
  </w:style>
  <w:style w:type="paragraph" w:customStyle="1" w:styleId="BA1C76E8C6B947CF9DBDCFCF51E47F96">
    <w:name w:val="BA1C76E8C6B947CF9DBDCFCF51E47F96"/>
    <w:autoRedefine/>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C16D677-98E3-4C0F-9C31-A1F34D092F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1955</Words>
  <Characters>11146</Characters>
  <Application>Microsoft Office Word</Application>
  <DocSecurity>0</DocSecurity>
  <Lines>92</Lines>
  <Paragraphs>26</Paragraphs>
  <ScaleCrop>false</ScaleCrop>
  <Company>PCMI</Company>
  <LinksUpToDate>false</LinksUpToDate>
  <CharactersWithSpaces>13075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1</dc:creator>
  <cp:lastModifiedBy>李美丛</cp:lastModifiedBy>
  <cp:revision>16</cp:revision>
  <cp:lastPrinted>2025-06-11T07:08:00Z</cp:lastPrinted>
  <dcterms:created xsi:type="dcterms:W3CDTF">2024-09-23T02:06:00Z</dcterms:created>
  <dcterms:modified xsi:type="dcterms:W3CDTF">2025-07-22T10:04:00Z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version">
    <vt:lpwstr>1.0.0</vt:lpwstr>
  </property>
  <property fmtid="{D5CDD505-2E9C-101B-9397-08002B2CF9AE}" pid="5" name="xmlname">
    <vt:lpwstr>A05) 团体标准</vt:lpwstr>
  </property>
  <property fmtid="{D5CDD505-2E9C-101B-9397-08002B2CF9AE}" pid="6" name="NSTD_CODE">
    <vt:lpwstr>GB/T-</vt:lpwstr>
  </property>
  <property fmtid="{D5CDD505-2E9C-101B-9397-08002B2CF9AE}" pid="7" name="OSTD_CODE">
    <vt:lpwstr>代替 GB/T-</vt:lpwstr>
  </property>
  <property fmtid="{D5CDD505-2E9C-101B-9397-08002B2CF9AE}" pid="8" name="flag_zhengwen">
    <vt:lpwstr>0</vt:lpwstr>
  </property>
  <property fmtid="{D5CDD505-2E9C-101B-9397-08002B2CF9AE}" pid="9" name="flag_fulu">
    <vt:lpwstr>0</vt:lpwstr>
  </property>
  <property fmtid="{D5CDD505-2E9C-101B-9397-08002B2CF9AE}" pid="10" name="flag_pic">
    <vt:lpwstr>False</vt:lpwstr>
  </property>
  <property fmtid="{D5CDD505-2E9C-101B-9397-08002B2CF9AE}" pid="11" name="flag_tab">
    <vt:lpwstr>false</vt:lpwstr>
  </property>
  <property fmtid="{D5CDD505-2E9C-101B-9397-08002B2CF9AE}" pid="12" name="NumList">
    <vt:lpwstr>false</vt:lpwstr>
  </property>
  <property fmtid="{D5CDD505-2E9C-101B-9397-08002B2CF9AE}" pid="13" name="StandardSmartEditorShow_Menu">
    <vt:lpwstr>true</vt:lpwstr>
  </property>
  <property fmtid="{D5CDD505-2E9C-101B-9397-08002B2CF9AE}" pid="14" name="KSOProductBuildVer">
    <vt:lpwstr>2052-12.1.0.16412</vt:lpwstr>
  </property>
  <property fmtid="{D5CDD505-2E9C-101B-9397-08002B2CF9AE}" pid="15" name="ICV">
    <vt:lpwstr>362059F6B0B940D5B9EAD12817EF34E7_13</vt:lpwstr>
  </property>
  <property fmtid="{D5CDD505-2E9C-101B-9397-08002B2CF9AE}" pid="16" name="KSOTemplateDocerSaveRecord">
    <vt:lpwstr>eyJoZGlkIjoiYTVjZTg3NzRlYzM4MmNjMmIyMTgzMDVlZDZlODdkMGUiLCJ1c2VySWQiOiIxMDA5NzQ5NTYyIn0=</vt:lpwstr>
  </property>
</Properties>
</file>