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07E" w:rsidRDefault="00182B07">
      <w:pPr>
        <w:pStyle w:val="affffff7"/>
        <w:framePr w:h="1801" w:hRule="exact" w:wrap="around"/>
      </w:pPr>
      <w:bookmarkStart w:id="0" w:name="_Hlk122552383"/>
      <w:bookmarkStart w:id="1" w:name="c1"/>
      <w:bookmarkEnd w:id="0"/>
      <w:r>
        <w:rPr>
          <w:rFonts w:ascii="Times New Roman"/>
        </w:rPr>
        <w:t>ICS</w:t>
      </w:r>
      <w:r>
        <w:rPr>
          <w:rFonts w:hAnsi="黑体"/>
        </w:rPr>
        <w:t> </w:t>
      </w:r>
      <w:bookmarkStart w:id="2" w:name="ICS"/>
      <w:r>
        <w:rPr>
          <w:rFonts w:hint="eastAsia"/>
        </w:rPr>
        <w:fldChar w:fldCharType="begin">
          <w:ffData>
            <w:name w:val="ICS"/>
            <w:enabled/>
            <w:calcOnExit w:val="0"/>
            <w:helpText w:type="text" w:val="请输入正确的ICS号："/>
            <w:textInput>
              <w:default w:val="27.120.20"/>
            </w:textInput>
          </w:ffData>
        </w:fldChar>
      </w:r>
      <w:r>
        <w:rPr>
          <w:rFonts w:hint="eastAsia"/>
        </w:rPr>
        <w:instrText>FORMTEXT</w:instrText>
      </w:r>
      <w:r>
        <w:rPr>
          <w:rFonts w:hint="eastAsia"/>
        </w:rPr>
      </w:r>
      <w:r>
        <w:rPr>
          <w:rFonts w:hint="eastAsia"/>
        </w:rPr>
        <w:fldChar w:fldCharType="separate"/>
      </w:r>
      <w:r>
        <w:rPr>
          <w:rFonts w:hint="eastAsia"/>
        </w:rPr>
        <w:t>27.120.20</w:t>
      </w:r>
      <w:r>
        <w:rPr>
          <w:rFonts w:hint="eastAsia"/>
        </w:rPr>
        <w:fldChar w:fldCharType="end"/>
      </w:r>
      <w:bookmarkEnd w:id="2"/>
    </w:p>
    <w:p w:rsidR="00FD607E" w:rsidRDefault="00182B07">
      <w:pPr>
        <w:pStyle w:val="affffff7"/>
        <w:framePr w:h="1801" w:hRule="exact" w:wrap="around"/>
      </w:pPr>
      <w:r>
        <w:rPr>
          <w:rFonts w:ascii="Times New Roman"/>
        </w:rPr>
        <w:t>CCS</w:t>
      </w:r>
      <w:r>
        <w:rPr>
          <w:rFonts w:ascii="Times New Roman" w:hint="eastAsia"/>
        </w:rPr>
        <w:t xml:space="preserve"> </w:t>
      </w:r>
      <w:bookmarkStart w:id="3" w:name="WXFLH"/>
      <w:r>
        <w:rPr>
          <w:rFonts w:hint="eastAsia"/>
        </w:rPr>
        <w:fldChar w:fldCharType="begin">
          <w:ffData>
            <w:name w:val="WXFLH"/>
            <w:enabled/>
            <w:calcOnExit w:val="0"/>
            <w:helpText w:type="text" w:val="请输入中国标准文献分类号："/>
            <w:textInput>
              <w:default w:val="P59"/>
            </w:textInput>
          </w:ffData>
        </w:fldChar>
      </w:r>
      <w:r>
        <w:rPr>
          <w:rFonts w:hint="eastAsia"/>
        </w:rPr>
        <w:instrText>FORMTEXT</w:instrText>
      </w:r>
      <w:r>
        <w:rPr>
          <w:rFonts w:hint="eastAsia"/>
        </w:rPr>
      </w:r>
      <w:r>
        <w:rPr>
          <w:rFonts w:hint="eastAsia"/>
        </w:rPr>
        <w:fldChar w:fldCharType="separate"/>
      </w:r>
      <w:r>
        <w:rPr>
          <w:rFonts w:hint="eastAsia"/>
        </w:rPr>
        <w:t>P59</w:t>
      </w:r>
      <w:r>
        <w:rPr>
          <w:rFonts w:hint="eastAsia"/>
        </w:rPr>
        <w:fldChar w:fldCharType="end"/>
      </w:r>
      <w:bookmarkEnd w:id="3"/>
    </w:p>
    <w:p w:rsidR="00FD607E" w:rsidRDefault="00182B07">
      <w:pPr>
        <w:pStyle w:val="affffff7"/>
        <w:framePr w:h="1801" w:hRule="exact" w:wrap="around"/>
        <w:jc w:val="right"/>
        <w:rPr>
          <w:rFonts w:ascii="Times New Roman"/>
          <w:b/>
          <w:bCs/>
          <w:w w:val="130"/>
          <w:sz w:val="96"/>
          <w:szCs w:val="96"/>
        </w:rPr>
      </w:pPr>
      <w:r>
        <w:rPr>
          <w:rFonts w:ascii="Times New Roman"/>
          <w:b/>
          <w:bCs/>
          <w:w w:val="130"/>
          <w:sz w:val="96"/>
          <w:szCs w:val="96"/>
        </w:rPr>
        <w:t>T/CNS</w:t>
      </w:r>
    </w:p>
    <w:p w:rsidR="00FD607E" w:rsidRDefault="00FD607E">
      <w:pPr>
        <w:pStyle w:val="affffff7"/>
        <w:framePr w:h="1801" w:hRule="exact" w:wrap="around"/>
      </w:pPr>
    </w:p>
    <w:bookmarkEnd w:id="1"/>
    <w:p w:rsidR="00FD607E" w:rsidRDefault="00182B07">
      <w:pPr>
        <w:pStyle w:val="afffffd"/>
        <w:framePr w:wrap="around"/>
        <w:rPr>
          <w:sz w:val="52"/>
        </w:rPr>
      </w:pPr>
      <w:r>
        <w:rPr>
          <w:rFonts w:hint="eastAsia"/>
          <w:sz w:val="52"/>
        </w:rPr>
        <w:t>中国核学会团体标准</w:t>
      </w:r>
    </w:p>
    <w:p w:rsidR="00FD607E" w:rsidRDefault="00182B07">
      <w:pPr>
        <w:pStyle w:val="22"/>
        <w:framePr w:h="1126" w:hRule="exact" w:wrap="around" w:y="3016"/>
        <w:rPr>
          <w:rFonts w:hAnsi="黑体"/>
        </w:rPr>
      </w:pPr>
      <w:r>
        <w:rPr>
          <w:rFonts w:ascii="Times New Roman" w:hint="eastAsia"/>
        </w:rPr>
        <w:t>T</w:t>
      </w:r>
      <w:r>
        <w:rPr>
          <w:rFonts w:ascii="Times New Roman"/>
        </w:rPr>
        <w:t>/</w:t>
      </w:r>
      <w:r>
        <w:rPr>
          <w:rFonts w:ascii="Times New Roman" w:hint="eastAsia"/>
        </w:rPr>
        <w:t>CNS</w:t>
      </w:r>
      <w:r>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FD607E">
        <w:tc>
          <w:tcPr>
            <w:tcW w:w="9356" w:type="dxa"/>
            <w:tcBorders>
              <w:top w:val="nil"/>
              <w:left w:val="nil"/>
              <w:bottom w:val="nil"/>
              <w:right w:val="nil"/>
            </w:tcBorders>
            <w:shd w:val="clear" w:color="auto" w:fill="auto"/>
          </w:tcPr>
          <w:bookmarkStart w:id="4" w:name="DT"/>
          <w:p w:rsidR="00FD607E" w:rsidRDefault="00182B07">
            <w:pPr>
              <w:pStyle w:val="affffa"/>
              <w:framePr w:h="1126" w:hRule="exact" w:wrap="around" w:y="3016"/>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rsidR="00FD607E" w:rsidRDefault="00FD607E">
      <w:pPr>
        <w:pStyle w:val="22"/>
        <w:framePr w:h="1126" w:hRule="exact" w:wrap="around" w:y="3016"/>
        <w:rPr>
          <w:rFonts w:hAnsi="黑体"/>
        </w:rPr>
      </w:pPr>
    </w:p>
    <w:p w:rsidR="00FD607E" w:rsidRDefault="00FD607E">
      <w:pPr>
        <w:pStyle w:val="22"/>
        <w:framePr w:h="1126" w:hRule="exact" w:wrap="around" w:y="3016"/>
        <w:rPr>
          <w:rFonts w:hAnsi="黑体"/>
        </w:rPr>
      </w:pPr>
    </w:p>
    <w:p w:rsidR="00FD607E" w:rsidRDefault="00182B07">
      <w:pPr>
        <w:pStyle w:val="affffb"/>
        <w:framePr w:w="10417" w:wrap="around" w:x="787" w:y="6082"/>
      </w:pPr>
      <w:r>
        <w:rPr>
          <w:rFonts w:hint="eastAsia"/>
        </w:rPr>
        <w:t>高温气冷堆核动力厂</w:t>
      </w:r>
      <w:r>
        <w:rPr>
          <w:rFonts w:hint="eastAsia"/>
        </w:rPr>
        <w:t>内部水淹</w:t>
      </w:r>
    </w:p>
    <w:p w:rsidR="00FD607E" w:rsidRDefault="00182B07">
      <w:pPr>
        <w:pStyle w:val="affffb"/>
        <w:framePr w:w="10417" w:wrap="around" w:x="787" w:y="6082"/>
      </w:pPr>
      <w:r>
        <w:rPr>
          <w:rFonts w:hint="eastAsia"/>
        </w:rPr>
        <w:t>防护</w:t>
      </w:r>
      <w:r>
        <w:rPr>
          <w:rFonts w:hint="eastAsia"/>
        </w:rPr>
        <w:t>设计准则</w:t>
      </w:r>
    </w:p>
    <w:p w:rsidR="00FD607E" w:rsidRDefault="00182B07">
      <w:pPr>
        <w:pStyle w:val="affffc"/>
        <w:framePr w:w="10417" w:wrap="around" w:x="787" w:y="6082"/>
        <w:rPr>
          <w:bCs/>
          <w:color w:val="000000"/>
        </w:rPr>
      </w:pPr>
      <w:r>
        <w:rPr>
          <w:rFonts w:hint="eastAsia"/>
          <w:bCs/>
          <w:color w:val="000000"/>
        </w:rPr>
        <w:t xml:space="preserve">The </w:t>
      </w:r>
      <w:r>
        <w:rPr>
          <w:rFonts w:hint="eastAsia"/>
          <w:bCs/>
          <w:color w:val="000000"/>
        </w:rPr>
        <w:t>d</w:t>
      </w:r>
      <w:r>
        <w:rPr>
          <w:rFonts w:hint="eastAsia"/>
          <w:bCs/>
          <w:color w:val="000000"/>
        </w:rPr>
        <w:t xml:space="preserve">esign </w:t>
      </w:r>
      <w:r>
        <w:rPr>
          <w:rFonts w:hint="eastAsia"/>
          <w:bCs/>
          <w:color w:val="000000"/>
        </w:rPr>
        <w:t>g</w:t>
      </w:r>
      <w:r>
        <w:rPr>
          <w:rFonts w:hint="eastAsia"/>
          <w:bCs/>
          <w:color w:val="000000"/>
        </w:rPr>
        <w:t xml:space="preserve">uidelines for </w:t>
      </w:r>
      <w:r>
        <w:rPr>
          <w:rFonts w:hint="eastAsia"/>
          <w:bCs/>
          <w:color w:val="000000"/>
        </w:rPr>
        <w:t>i</w:t>
      </w:r>
      <w:r>
        <w:rPr>
          <w:rFonts w:hint="eastAsia"/>
          <w:bCs/>
          <w:color w:val="000000"/>
        </w:rPr>
        <w:t xml:space="preserve">nternal </w:t>
      </w:r>
      <w:r>
        <w:rPr>
          <w:rFonts w:hint="eastAsia"/>
          <w:bCs/>
          <w:color w:val="000000"/>
        </w:rPr>
        <w:t>w</w:t>
      </w:r>
      <w:r>
        <w:rPr>
          <w:rFonts w:hint="eastAsia"/>
          <w:bCs/>
          <w:color w:val="000000"/>
        </w:rPr>
        <w:t xml:space="preserve">ater </w:t>
      </w:r>
      <w:r>
        <w:rPr>
          <w:rFonts w:hint="eastAsia"/>
          <w:bCs/>
          <w:color w:val="000000"/>
        </w:rPr>
        <w:t>f</w:t>
      </w:r>
      <w:r>
        <w:rPr>
          <w:rFonts w:hint="eastAsia"/>
          <w:bCs/>
          <w:color w:val="000000"/>
        </w:rPr>
        <w:t xml:space="preserve">looding </w:t>
      </w:r>
      <w:r>
        <w:rPr>
          <w:rFonts w:hint="eastAsia"/>
          <w:bCs/>
          <w:color w:val="000000"/>
        </w:rPr>
        <w:t>p</w:t>
      </w:r>
      <w:r>
        <w:rPr>
          <w:rFonts w:hint="eastAsia"/>
          <w:bCs/>
          <w:color w:val="000000"/>
        </w:rPr>
        <w:t xml:space="preserve">rotection </w:t>
      </w:r>
    </w:p>
    <w:p w:rsidR="00FD607E" w:rsidRDefault="00182B07">
      <w:pPr>
        <w:pStyle w:val="affffc"/>
        <w:framePr w:w="10417" w:wrap="around" w:x="787" w:y="6082"/>
        <w:rPr>
          <w:b/>
        </w:rPr>
      </w:pPr>
      <w:r>
        <w:rPr>
          <w:rFonts w:hint="eastAsia"/>
          <w:bCs/>
          <w:color w:val="000000"/>
        </w:rPr>
        <w:t xml:space="preserve">in HTGR </w:t>
      </w:r>
      <w:r>
        <w:rPr>
          <w:rFonts w:hint="eastAsia"/>
          <w:bCs/>
          <w:color w:val="000000"/>
        </w:rPr>
        <w:t>n</w:t>
      </w:r>
      <w:r>
        <w:rPr>
          <w:rFonts w:hint="eastAsia"/>
          <w:bCs/>
          <w:color w:val="000000"/>
        </w:rPr>
        <w:t xml:space="preserve">uclear </w:t>
      </w:r>
      <w:r>
        <w:rPr>
          <w:rFonts w:hint="eastAsia"/>
          <w:bCs/>
          <w:color w:val="000000"/>
        </w:rPr>
        <w:t>p</w:t>
      </w:r>
      <w:r>
        <w:rPr>
          <w:rFonts w:hint="eastAsia"/>
          <w:bCs/>
          <w:color w:val="000000"/>
        </w:rPr>
        <w:t xml:space="preserve">ower </w:t>
      </w:r>
      <w:r>
        <w:rPr>
          <w:rFonts w:hint="eastAsia"/>
          <w:bCs/>
          <w:color w:val="000000"/>
        </w:rPr>
        <w:t>p</w:t>
      </w:r>
      <w:r>
        <w:rPr>
          <w:rFonts w:hint="eastAsia"/>
          <w:bCs/>
          <w:color w:val="000000"/>
        </w:rPr>
        <w:t>lants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FD607E">
        <w:tc>
          <w:tcPr>
            <w:tcW w:w="9855" w:type="dxa"/>
            <w:tcBorders>
              <w:top w:val="nil"/>
              <w:left w:val="nil"/>
              <w:bottom w:val="nil"/>
              <w:right w:val="nil"/>
            </w:tcBorders>
            <w:shd w:val="clear" w:color="auto" w:fill="auto"/>
          </w:tcPr>
          <w:p w:rsidR="00FD607E" w:rsidRDefault="004C1AF1">
            <w:pPr>
              <w:pStyle w:val="affffe"/>
              <w:framePr w:w="10417" w:wrap="around" w:x="787" w:y="6082"/>
            </w:pPr>
            <w:r>
              <w:rPr>
                <w:rFonts w:hint="eastAsia"/>
              </w:rPr>
              <w:t>（</w:t>
            </w:r>
            <w:bookmarkStart w:id="5" w:name="_GoBack"/>
            <w:bookmarkEnd w:id="5"/>
            <w:r w:rsidR="00182B07">
              <w:rPr>
                <w:rFonts w:hint="eastAsia"/>
              </w:rPr>
              <w:t>征求意见稿</w:t>
            </w:r>
            <w:r>
              <w:rPr>
                <w:rFonts w:hint="eastAsia"/>
              </w:rPr>
              <w:t>）</w:t>
            </w:r>
            <w:r w:rsidR="00182B07">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sidR="00182B07">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FD607E">
        <w:tc>
          <w:tcPr>
            <w:tcW w:w="9855" w:type="dxa"/>
            <w:tcBorders>
              <w:top w:val="nil"/>
              <w:left w:val="nil"/>
              <w:bottom w:val="nil"/>
              <w:right w:val="nil"/>
            </w:tcBorders>
            <w:shd w:val="clear" w:color="auto" w:fill="auto"/>
          </w:tcPr>
          <w:p w:rsidR="00FD607E" w:rsidRDefault="004C1AF1">
            <w:pPr>
              <w:pStyle w:val="afffff"/>
              <w:framePr w:w="10417" w:wrap="around" w:x="787" w:y="6082"/>
            </w:pPr>
            <w:r>
              <w:fldChar w:fldCharType="begin">
                <w:ffData>
                  <w:name w:val="WCRQ"/>
                  <w:enabled/>
                  <w:calcOnExit w:val="0"/>
                  <w:textInput>
                    <w:default w:val="本稿完成日期：2025年7月"/>
                  </w:textInput>
                </w:ffData>
              </w:fldChar>
            </w:r>
            <w:bookmarkStart w:id="6" w:name="WCRQ"/>
            <w:r>
              <w:instrText xml:space="preserve"> FORMTEXT </w:instrText>
            </w:r>
            <w:r>
              <w:fldChar w:fldCharType="separate"/>
            </w:r>
            <w:r>
              <w:rPr>
                <w:rFonts w:hint="eastAsia"/>
                <w:noProof/>
              </w:rPr>
              <w:t>本稿完成日期：2025年7月</w:t>
            </w:r>
            <w:r>
              <w:fldChar w:fldCharType="end"/>
            </w:r>
            <w:bookmarkEnd w:id="6"/>
          </w:p>
        </w:tc>
      </w:tr>
    </w:tbl>
    <w:p w:rsidR="00FD607E" w:rsidRDefault="00182B07">
      <w:pPr>
        <w:pStyle w:val="affffffc"/>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rsidR="00FD607E" w:rsidRDefault="00182B07">
      <w:pPr>
        <w:pStyle w:val="affffffd"/>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rsidR="00FD607E" w:rsidRDefault="00182B07">
      <w:pPr>
        <w:pStyle w:val="afffffe"/>
        <w:framePr w:wrap="around"/>
      </w:pPr>
      <w:r>
        <w:rPr>
          <w:rFonts w:hint="eastAsia"/>
        </w:rPr>
        <w:t>中国核学会</w:t>
      </w:r>
      <w:r>
        <w:rPr>
          <w:rFonts w:ascii="MS Mincho" w:eastAsia="MS Mincho" w:hAnsi="MS Mincho" w:cs="MS Mincho" w:hint="eastAsia"/>
        </w:rPr>
        <w:t>   </w:t>
      </w:r>
      <w:r>
        <w:rPr>
          <w:rStyle w:val="affff7"/>
          <w:rFonts w:hint="eastAsia"/>
        </w:rPr>
        <w:t>发布</w:t>
      </w:r>
    </w:p>
    <w:p w:rsidR="00FD607E" w:rsidRDefault="00182B07">
      <w:pPr>
        <w:pStyle w:val="afff1"/>
        <w:sectPr w:rsidR="00FD607E">
          <w:headerReference w:type="even" r:id="rId10"/>
          <w:footerReference w:type="even" r:id="rId11"/>
          <w:pgSz w:w="11906" w:h="16838"/>
          <w:pgMar w:top="567" w:right="1134" w:bottom="1134" w:left="1417"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rsidR="00FD607E" w:rsidRDefault="00182B07">
      <w:pPr>
        <w:pStyle w:val="afffc"/>
        <w:rPr>
          <w:rFonts w:hAnsi="黑体"/>
        </w:rPr>
      </w:pPr>
      <w:bookmarkStart w:id="7" w:name="_Toc1782"/>
      <w:bookmarkStart w:id="8" w:name="_Toc48658960"/>
      <w:r>
        <w:rPr>
          <w:rFonts w:hAnsi="黑体" w:hint="eastAsia"/>
        </w:rPr>
        <w:lastRenderedPageBreak/>
        <w:t>目</w:t>
      </w:r>
      <w:bookmarkStart w:id="9" w:name="BKML"/>
      <w:r>
        <w:rPr>
          <w:rFonts w:hAnsi="黑体" w:cs="MS Mincho"/>
        </w:rPr>
        <w:t>  </w:t>
      </w:r>
      <w:r>
        <w:rPr>
          <w:rFonts w:hAnsi="黑体" w:hint="eastAsia"/>
        </w:rPr>
        <w:t>次</w:t>
      </w:r>
      <w:bookmarkEnd w:id="7"/>
      <w:bookmarkEnd w:id="8"/>
      <w:bookmarkEnd w:id="9"/>
    </w:p>
    <w:sdt>
      <w:sdtPr>
        <w:rPr>
          <w:lang w:val="zh-CN"/>
        </w:rPr>
        <w:id w:val="-283963139"/>
        <w:docPartObj>
          <w:docPartGallery w:val="Table of Contents"/>
          <w:docPartUnique/>
        </w:docPartObj>
      </w:sdtPr>
      <w:sdtEndPr>
        <w:rPr>
          <w:b/>
          <w:bCs/>
        </w:rPr>
      </w:sdtEndPr>
      <w:sdtContent>
        <w:p w:rsidR="00FD607E" w:rsidRDefault="00182B07">
          <w:pPr>
            <w:tabs>
              <w:tab w:val="right" w:leader="dot" w:pos="9241"/>
            </w:tabs>
            <w:spacing w:before="78" w:after="78"/>
            <w:rPr>
              <w:b/>
              <w:bCs/>
              <w:lang w:val="zh-CN"/>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p>
        <w:p w:rsidR="00FD607E" w:rsidRDefault="00182B07">
          <w:pPr>
            <w:pStyle w:val="TOC1"/>
            <w:tabs>
              <w:tab w:val="clear" w:pos="9241"/>
              <w:tab w:val="right" w:leader="dot" w:pos="9355"/>
            </w:tabs>
            <w:spacing w:before="78" w:after="78"/>
            <w:rPr>
              <w:rFonts w:hAnsi="宋体" w:cs="宋体"/>
            </w:rPr>
          </w:pPr>
          <w:hyperlink w:anchor="_Toc1782" w:history="1">
            <w:r>
              <w:rPr>
                <w:rFonts w:hAnsi="宋体" w:cs="宋体" w:hint="eastAsia"/>
              </w:rPr>
              <w:t>目  次</w:t>
            </w:r>
            <w:r>
              <w:rPr>
                <w:rFonts w:hAnsi="宋体" w:cs="宋体" w:hint="eastAsia"/>
              </w:rPr>
              <w:tab/>
            </w:r>
            <w:r>
              <w:rPr>
                <w:rFonts w:hAnsi="宋体" w:cs="宋体" w:hint="eastAsia"/>
              </w:rPr>
              <w:fldChar w:fldCharType="begin"/>
            </w:r>
            <w:r>
              <w:rPr>
                <w:rFonts w:hAnsi="宋体" w:cs="宋体" w:hint="eastAsia"/>
              </w:rPr>
              <w:instrText xml:space="preserve"> PAGEREF _Toc1782 \h </w:instrText>
            </w:r>
            <w:r>
              <w:rPr>
                <w:rFonts w:hAnsi="宋体" w:cs="宋体" w:hint="eastAsia"/>
              </w:rPr>
            </w:r>
            <w:r>
              <w:rPr>
                <w:rFonts w:hAnsi="宋体" w:cs="宋体" w:hint="eastAsia"/>
              </w:rPr>
              <w:fldChar w:fldCharType="separate"/>
            </w:r>
            <w:r>
              <w:rPr>
                <w:rFonts w:hAnsi="宋体" w:cs="宋体" w:hint="eastAsia"/>
              </w:rPr>
              <w:t>I</w:t>
            </w:r>
            <w:r>
              <w:rPr>
                <w:rFonts w:hAnsi="宋体" w:cs="宋体" w:hint="eastAsia"/>
              </w:rPr>
              <w:fldChar w:fldCharType="end"/>
            </w:r>
          </w:hyperlink>
        </w:p>
        <w:p w:rsidR="00FD607E" w:rsidRDefault="00182B07">
          <w:pPr>
            <w:pStyle w:val="TOC1"/>
            <w:tabs>
              <w:tab w:val="clear" w:pos="9241"/>
              <w:tab w:val="right" w:leader="dot" w:pos="9355"/>
            </w:tabs>
            <w:spacing w:before="78" w:after="78"/>
            <w:rPr>
              <w:rFonts w:hAnsi="宋体" w:cs="宋体"/>
            </w:rPr>
          </w:pPr>
          <w:hyperlink w:anchor="_Toc30802" w:history="1">
            <w:r>
              <w:rPr>
                <w:rFonts w:hAnsi="宋体" w:cs="宋体" w:hint="eastAsia"/>
              </w:rPr>
              <w:t>前  言</w:t>
            </w:r>
            <w:r>
              <w:rPr>
                <w:rFonts w:hAnsi="宋体" w:cs="宋体" w:hint="eastAsia"/>
              </w:rPr>
              <w:tab/>
            </w:r>
            <w:r>
              <w:rPr>
                <w:rFonts w:hAnsi="宋体" w:cs="宋体" w:hint="eastAsia"/>
              </w:rPr>
              <w:fldChar w:fldCharType="begin"/>
            </w:r>
            <w:r>
              <w:rPr>
                <w:rFonts w:hAnsi="宋体" w:cs="宋体" w:hint="eastAsia"/>
              </w:rPr>
              <w:instrText xml:space="preserve"> PAGEREF _Toc30802 \h </w:instrText>
            </w:r>
            <w:r>
              <w:rPr>
                <w:rFonts w:hAnsi="宋体" w:cs="宋体" w:hint="eastAsia"/>
              </w:rPr>
            </w:r>
            <w:r>
              <w:rPr>
                <w:rFonts w:hAnsi="宋体" w:cs="宋体" w:hint="eastAsia"/>
              </w:rPr>
              <w:fldChar w:fldCharType="separate"/>
            </w:r>
            <w:r>
              <w:rPr>
                <w:rFonts w:hAnsi="宋体" w:cs="宋体" w:hint="eastAsia"/>
              </w:rPr>
              <w:t>II</w:t>
            </w:r>
            <w:r>
              <w:rPr>
                <w:rFonts w:hAnsi="宋体" w:cs="宋体" w:hint="eastAsia"/>
              </w:rPr>
              <w:fldChar w:fldCharType="end"/>
            </w:r>
          </w:hyperlink>
        </w:p>
        <w:p w:rsidR="00FD607E" w:rsidRDefault="00182B07">
          <w:pPr>
            <w:pStyle w:val="TOC2"/>
            <w:tabs>
              <w:tab w:val="clear" w:pos="9241"/>
              <w:tab w:val="right" w:leader="dot" w:pos="9355"/>
            </w:tabs>
            <w:rPr>
              <w:rFonts w:hAnsi="宋体" w:cs="宋体"/>
            </w:rPr>
          </w:pPr>
          <w:hyperlink w:anchor="_Toc32" w:history="1">
            <w:r>
              <w:rPr>
                <w:rFonts w:hAnsi="宋体" w:cs="宋体" w:hint="eastAsia"/>
              </w:rPr>
              <w:t xml:space="preserve">1 </w:t>
            </w:r>
            <w:r>
              <w:rPr>
                <w:rFonts w:hAnsi="宋体" w:cs="宋体" w:hint="eastAsia"/>
              </w:rPr>
              <w:t>范围</w:t>
            </w:r>
            <w:r>
              <w:rPr>
                <w:rFonts w:hAnsi="宋体" w:cs="宋体" w:hint="eastAsia"/>
              </w:rPr>
              <w:tab/>
            </w:r>
            <w:r>
              <w:rPr>
                <w:rFonts w:hAnsi="宋体" w:cs="宋体" w:hint="eastAsia"/>
              </w:rPr>
              <w:fldChar w:fldCharType="begin"/>
            </w:r>
            <w:r>
              <w:rPr>
                <w:rFonts w:hAnsi="宋体" w:cs="宋体" w:hint="eastAsia"/>
              </w:rPr>
              <w:instrText xml:space="preserve"> PAGEREF _Toc32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rsidR="00FD607E" w:rsidRDefault="00182B07">
          <w:pPr>
            <w:pStyle w:val="TOC2"/>
            <w:tabs>
              <w:tab w:val="clear" w:pos="9241"/>
              <w:tab w:val="right" w:leader="dot" w:pos="9355"/>
            </w:tabs>
            <w:rPr>
              <w:rFonts w:hAnsi="宋体" w:cs="宋体"/>
            </w:rPr>
          </w:pPr>
          <w:hyperlink w:anchor="_Toc14464" w:history="1">
            <w:r>
              <w:rPr>
                <w:rFonts w:hAnsi="宋体" w:cs="宋体" w:hint="eastAsia"/>
              </w:rPr>
              <w:t xml:space="preserve">2 </w:t>
            </w:r>
            <w:r>
              <w:rPr>
                <w:rFonts w:hAnsi="宋体" w:cs="宋体" w:hint="eastAsia"/>
              </w:rPr>
              <w:t>规范性引用文件</w:t>
            </w:r>
            <w:r>
              <w:rPr>
                <w:rFonts w:hAnsi="宋体" w:cs="宋体" w:hint="eastAsia"/>
              </w:rPr>
              <w:tab/>
            </w:r>
            <w:r>
              <w:rPr>
                <w:rFonts w:hAnsi="宋体" w:cs="宋体" w:hint="eastAsia"/>
              </w:rPr>
              <w:fldChar w:fldCharType="begin"/>
            </w:r>
            <w:r>
              <w:rPr>
                <w:rFonts w:hAnsi="宋体" w:cs="宋体" w:hint="eastAsia"/>
              </w:rPr>
              <w:instrText xml:space="preserve"> PAGEREF _Toc14464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rsidR="00FD607E" w:rsidRDefault="00182B07">
          <w:pPr>
            <w:pStyle w:val="TOC2"/>
            <w:tabs>
              <w:tab w:val="clear" w:pos="9241"/>
              <w:tab w:val="right" w:leader="dot" w:pos="9355"/>
            </w:tabs>
            <w:rPr>
              <w:rFonts w:hAnsi="宋体" w:cs="宋体"/>
            </w:rPr>
          </w:pPr>
          <w:hyperlink w:anchor="_Toc13749" w:history="1">
            <w:r>
              <w:rPr>
                <w:rFonts w:hAnsi="宋体" w:cs="宋体" w:hint="eastAsia"/>
              </w:rPr>
              <w:t xml:space="preserve">3 </w:t>
            </w:r>
            <w:r>
              <w:rPr>
                <w:rFonts w:hAnsi="宋体" w:cs="宋体" w:hint="eastAsia"/>
              </w:rPr>
              <w:t>术语和定义</w:t>
            </w:r>
            <w:r>
              <w:rPr>
                <w:rFonts w:hAnsi="宋体" w:cs="宋体" w:hint="eastAsia"/>
              </w:rPr>
              <w:tab/>
            </w:r>
            <w:r>
              <w:rPr>
                <w:rFonts w:hAnsi="宋体" w:cs="宋体" w:hint="eastAsia"/>
              </w:rPr>
              <w:fldChar w:fldCharType="begin"/>
            </w:r>
            <w:r>
              <w:rPr>
                <w:rFonts w:hAnsi="宋体" w:cs="宋体" w:hint="eastAsia"/>
              </w:rPr>
              <w:instrText xml:space="preserve"> PAGEREF _Toc13749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rsidR="00FD607E" w:rsidRDefault="00182B07">
          <w:pPr>
            <w:pStyle w:val="TOC2"/>
            <w:tabs>
              <w:tab w:val="clear" w:pos="9241"/>
              <w:tab w:val="right" w:leader="dot" w:pos="9355"/>
            </w:tabs>
            <w:rPr>
              <w:rFonts w:hAnsi="宋体" w:cs="宋体"/>
            </w:rPr>
          </w:pPr>
          <w:hyperlink w:anchor="_Toc5038" w:history="1">
            <w:r>
              <w:rPr>
                <w:rFonts w:hAnsi="宋体" w:cs="宋体" w:hint="eastAsia"/>
              </w:rPr>
              <w:t xml:space="preserve">4 </w:t>
            </w:r>
            <w:r>
              <w:rPr>
                <w:rFonts w:hAnsi="宋体" w:cs="宋体" w:hint="eastAsia"/>
              </w:rPr>
              <w:t>内部水淹总体防护原则</w:t>
            </w:r>
            <w:r>
              <w:rPr>
                <w:rFonts w:hAnsi="宋体" w:cs="宋体" w:hint="eastAsia"/>
              </w:rPr>
              <w:tab/>
            </w:r>
            <w:r>
              <w:rPr>
                <w:rFonts w:hAnsi="宋体" w:cs="宋体" w:hint="eastAsia"/>
              </w:rPr>
              <w:fldChar w:fldCharType="begin"/>
            </w:r>
            <w:r>
              <w:rPr>
                <w:rFonts w:hAnsi="宋体" w:cs="宋体" w:hint="eastAsia"/>
              </w:rPr>
              <w:instrText xml:space="preserve"> PAGEREF _Toc5038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2165" w:history="1">
            <w:r>
              <w:rPr>
                <w:rFonts w:hAnsi="宋体" w:cs="宋体" w:hint="eastAsia"/>
                <w:kern w:val="0"/>
              </w:rPr>
              <w:t xml:space="preserve">4.1 </w:t>
            </w:r>
            <w:r>
              <w:rPr>
                <w:rFonts w:hAnsi="宋体" w:cs="宋体" w:hint="eastAsia"/>
              </w:rPr>
              <w:t>防护目标</w:t>
            </w:r>
            <w:r>
              <w:rPr>
                <w:rFonts w:hAnsi="宋体" w:cs="宋体" w:hint="eastAsia"/>
              </w:rPr>
              <w:tab/>
            </w:r>
            <w:r>
              <w:rPr>
                <w:rFonts w:hAnsi="宋体" w:cs="宋体" w:hint="eastAsia"/>
              </w:rPr>
              <w:fldChar w:fldCharType="begin"/>
            </w:r>
            <w:r>
              <w:rPr>
                <w:rFonts w:hAnsi="宋体" w:cs="宋体" w:hint="eastAsia"/>
              </w:rPr>
              <w:instrText xml:space="preserve"> PAGEREF _Toc2165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7660" w:history="1">
            <w:r>
              <w:rPr>
                <w:rFonts w:hAnsi="宋体" w:cs="宋体" w:hint="eastAsia"/>
                <w:kern w:val="0"/>
              </w:rPr>
              <w:t xml:space="preserve">4.2 </w:t>
            </w:r>
            <w:r>
              <w:rPr>
                <w:rFonts w:hAnsi="宋体" w:cs="宋体" w:hint="eastAsia"/>
              </w:rPr>
              <w:t>防护设计要求</w:t>
            </w:r>
            <w:r>
              <w:rPr>
                <w:rFonts w:hAnsi="宋体" w:cs="宋体" w:hint="eastAsia"/>
              </w:rPr>
              <w:tab/>
            </w:r>
            <w:r>
              <w:rPr>
                <w:rFonts w:hAnsi="宋体" w:cs="宋体" w:hint="eastAsia"/>
              </w:rPr>
              <w:fldChar w:fldCharType="begin"/>
            </w:r>
            <w:r>
              <w:rPr>
                <w:rFonts w:hAnsi="宋体" w:cs="宋体" w:hint="eastAsia"/>
              </w:rPr>
              <w:instrText xml:space="preserve"> PAGEREF _Toc7660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rsidR="00FD607E" w:rsidRDefault="00182B07">
          <w:pPr>
            <w:pStyle w:val="TOC2"/>
            <w:tabs>
              <w:tab w:val="clear" w:pos="9241"/>
              <w:tab w:val="right" w:leader="dot" w:pos="9355"/>
            </w:tabs>
            <w:rPr>
              <w:rFonts w:hAnsi="宋体" w:cs="宋体"/>
            </w:rPr>
          </w:pPr>
          <w:hyperlink w:anchor="_Toc24909" w:history="1">
            <w:r>
              <w:rPr>
                <w:rFonts w:hAnsi="宋体" w:cs="宋体" w:hint="eastAsia"/>
              </w:rPr>
              <w:t xml:space="preserve">5 </w:t>
            </w:r>
            <w:r>
              <w:rPr>
                <w:rFonts w:hAnsi="宋体" w:cs="宋体" w:hint="eastAsia"/>
              </w:rPr>
              <w:t>内部水淹危害性分析方法</w:t>
            </w:r>
            <w:r>
              <w:rPr>
                <w:rFonts w:hAnsi="宋体" w:cs="宋体" w:hint="eastAsia"/>
              </w:rPr>
              <w:tab/>
            </w:r>
            <w:r>
              <w:rPr>
                <w:rFonts w:hAnsi="宋体" w:cs="宋体" w:hint="eastAsia"/>
              </w:rPr>
              <w:fldChar w:fldCharType="begin"/>
            </w:r>
            <w:r>
              <w:rPr>
                <w:rFonts w:hAnsi="宋体" w:cs="宋体" w:hint="eastAsia"/>
              </w:rPr>
              <w:instrText xml:space="preserve"> PAGEREF _Toc2490</w:instrText>
            </w:r>
            <w:r>
              <w:rPr>
                <w:rFonts w:hAnsi="宋体" w:cs="宋体" w:hint="eastAsia"/>
              </w:rPr>
              <w:instrText xml:space="preserve">9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11850" w:history="1">
            <w:r>
              <w:rPr>
                <w:rFonts w:hAnsi="宋体" w:cs="宋体" w:hint="eastAsia"/>
                <w:kern w:val="0"/>
              </w:rPr>
              <w:t xml:space="preserve">5.1 </w:t>
            </w:r>
            <w:r>
              <w:rPr>
                <w:rFonts w:hAnsi="宋体" w:cs="宋体" w:hint="eastAsia"/>
              </w:rPr>
              <w:t>通用假设</w:t>
            </w:r>
            <w:r>
              <w:rPr>
                <w:rFonts w:hAnsi="宋体" w:cs="宋体" w:hint="eastAsia"/>
              </w:rPr>
              <w:tab/>
            </w:r>
            <w:r>
              <w:rPr>
                <w:rFonts w:hAnsi="宋体" w:cs="宋体" w:hint="eastAsia"/>
              </w:rPr>
              <w:fldChar w:fldCharType="begin"/>
            </w:r>
            <w:r>
              <w:rPr>
                <w:rFonts w:hAnsi="宋体" w:cs="宋体" w:hint="eastAsia"/>
              </w:rPr>
              <w:instrText xml:space="preserve"> PAGEREF _Toc11850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23208" w:history="1">
            <w:r>
              <w:rPr>
                <w:rFonts w:hAnsi="宋体" w:cs="宋体" w:hint="eastAsia"/>
                <w:kern w:val="0"/>
              </w:rPr>
              <w:t xml:space="preserve">5.2 </w:t>
            </w:r>
            <w:r>
              <w:rPr>
                <w:rFonts w:hAnsi="宋体" w:cs="宋体" w:hint="eastAsia"/>
              </w:rPr>
              <w:t>分析原则</w:t>
            </w:r>
            <w:r>
              <w:rPr>
                <w:rFonts w:hAnsi="宋体" w:cs="宋体" w:hint="eastAsia"/>
              </w:rPr>
              <w:tab/>
            </w:r>
            <w:r>
              <w:rPr>
                <w:rFonts w:hAnsi="宋体" w:cs="宋体" w:hint="eastAsia"/>
              </w:rPr>
              <w:fldChar w:fldCharType="begin"/>
            </w:r>
            <w:r>
              <w:rPr>
                <w:rFonts w:hAnsi="宋体" w:cs="宋体" w:hint="eastAsia"/>
              </w:rPr>
              <w:instrText xml:space="preserve"> PAGEREF _Toc23208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20864" w:history="1">
            <w:r>
              <w:rPr>
                <w:rFonts w:hAnsi="宋体" w:cs="宋体" w:hint="eastAsia"/>
                <w:kern w:val="0"/>
              </w:rPr>
              <w:t xml:space="preserve">5.3 </w:t>
            </w:r>
            <w:r>
              <w:rPr>
                <w:rFonts w:hAnsi="宋体" w:cs="宋体" w:hint="eastAsia"/>
              </w:rPr>
              <w:t>分析内容</w:t>
            </w:r>
            <w:r>
              <w:rPr>
                <w:rFonts w:hAnsi="宋体" w:cs="宋体" w:hint="eastAsia"/>
              </w:rPr>
              <w:tab/>
            </w:r>
            <w:r>
              <w:rPr>
                <w:rFonts w:hAnsi="宋体" w:cs="宋体" w:hint="eastAsia"/>
              </w:rPr>
              <w:fldChar w:fldCharType="begin"/>
            </w:r>
            <w:r>
              <w:rPr>
                <w:rFonts w:hAnsi="宋体" w:cs="宋体" w:hint="eastAsia"/>
              </w:rPr>
              <w:instrText xml:space="preserve"> PAGEREF _Toc20864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5970" w:history="1">
            <w:r>
              <w:rPr>
                <w:rFonts w:hAnsi="宋体" w:cs="宋体" w:hint="eastAsia"/>
                <w:kern w:val="0"/>
              </w:rPr>
              <w:t xml:space="preserve">5.4 </w:t>
            </w:r>
            <w:r>
              <w:rPr>
                <w:rFonts w:hAnsi="宋体" w:cs="宋体" w:hint="eastAsia"/>
              </w:rPr>
              <w:t>识别禁淹设备</w:t>
            </w:r>
            <w:r>
              <w:rPr>
                <w:rFonts w:hAnsi="宋体" w:cs="宋体" w:hint="eastAsia"/>
              </w:rPr>
              <w:tab/>
            </w:r>
            <w:r>
              <w:rPr>
                <w:rFonts w:hAnsi="宋体" w:cs="宋体" w:hint="eastAsia"/>
              </w:rPr>
              <w:fldChar w:fldCharType="begin"/>
            </w:r>
            <w:r>
              <w:rPr>
                <w:rFonts w:hAnsi="宋体" w:cs="宋体" w:hint="eastAsia"/>
              </w:rPr>
              <w:instrText xml:space="preserve"> PAGEREF _Toc5970 \h </w:instrText>
            </w:r>
            <w:r>
              <w:rPr>
                <w:rFonts w:hAnsi="宋体" w:cs="宋体" w:hint="eastAsia"/>
              </w:rPr>
            </w:r>
            <w:r>
              <w:rPr>
                <w:rFonts w:hAnsi="宋体" w:cs="宋体" w:hint="eastAsia"/>
              </w:rPr>
              <w:fldChar w:fldCharType="separate"/>
            </w:r>
            <w:r>
              <w:rPr>
                <w:rFonts w:hAnsi="宋体" w:cs="宋体" w:hint="eastAsia"/>
              </w:rPr>
              <w:t>6</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11324" w:history="1">
            <w:r>
              <w:rPr>
                <w:rFonts w:hAnsi="宋体" w:cs="宋体" w:hint="eastAsia"/>
                <w:kern w:val="0"/>
              </w:rPr>
              <w:t xml:space="preserve">5.5 </w:t>
            </w:r>
            <w:r>
              <w:rPr>
                <w:rFonts w:hAnsi="宋体" w:cs="宋体" w:hint="eastAsia"/>
              </w:rPr>
              <w:t>划分水淹分区</w:t>
            </w:r>
            <w:r>
              <w:rPr>
                <w:rFonts w:hAnsi="宋体" w:cs="宋体" w:hint="eastAsia"/>
              </w:rPr>
              <w:tab/>
            </w:r>
            <w:r>
              <w:rPr>
                <w:rFonts w:hAnsi="宋体" w:cs="宋体" w:hint="eastAsia"/>
              </w:rPr>
              <w:fldChar w:fldCharType="begin"/>
            </w:r>
            <w:r>
              <w:rPr>
                <w:rFonts w:hAnsi="宋体" w:cs="宋体" w:hint="eastAsia"/>
              </w:rPr>
              <w:instrText xml:space="preserve"> PAGEREF _Toc11324 \h </w:instrText>
            </w:r>
            <w:r>
              <w:rPr>
                <w:rFonts w:hAnsi="宋体" w:cs="宋体" w:hint="eastAsia"/>
              </w:rPr>
            </w:r>
            <w:r>
              <w:rPr>
                <w:rFonts w:hAnsi="宋体" w:cs="宋体" w:hint="eastAsia"/>
              </w:rPr>
              <w:fldChar w:fldCharType="separate"/>
            </w:r>
            <w:r>
              <w:rPr>
                <w:rFonts w:hAnsi="宋体" w:cs="宋体" w:hint="eastAsia"/>
              </w:rPr>
              <w:t>6</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18956" w:history="1">
            <w:r>
              <w:rPr>
                <w:rFonts w:hAnsi="宋体" w:cs="宋体" w:hint="eastAsia"/>
                <w:kern w:val="0"/>
              </w:rPr>
              <w:t xml:space="preserve">5.6 </w:t>
            </w:r>
            <w:r>
              <w:rPr>
                <w:rFonts w:hAnsi="宋体" w:cs="宋体" w:hint="eastAsia"/>
              </w:rPr>
              <w:t>识别潜在水淹源</w:t>
            </w:r>
            <w:r>
              <w:rPr>
                <w:rFonts w:hAnsi="宋体" w:cs="宋体" w:hint="eastAsia"/>
              </w:rPr>
              <w:tab/>
            </w:r>
            <w:r>
              <w:rPr>
                <w:rFonts w:hAnsi="宋体" w:cs="宋体" w:hint="eastAsia"/>
              </w:rPr>
              <w:fldChar w:fldCharType="begin"/>
            </w:r>
            <w:r>
              <w:rPr>
                <w:rFonts w:hAnsi="宋体" w:cs="宋体" w:hint="eastAsia"/>
              </w:rPr>
              <w:instrText xml:space="preserve"> PAGEREF _Toc18956 \h </w:instrText>
            </w:r>
            <w:r>
              <w:rPr>
                <w:rFonts w:hAnsi="宋体" w:cs="宋体" w:hint="eastAsia"/>
              </w:rPr>
            </w:r>
            <w:r>
              <w:rPr>
                <w:rFonts w:hAnsi="宋体" w:cs="宋体" w:hint="eastAsia"/>
              </w:rPr>
              <w:fldChar w:fldCharType="separate"/>
            </w:r>
            <w:r>
              <w:rPr>
                <w:rFonts w:hAnsi="宋体" w:cs="宋体" w:hint="eastAsia"/>
              </w:rPr>
              <w:t>6</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27614" w:history="1">
            <w:r>
              <w:rPr>
                <w:rFonts w:hAnsi="宋体" w:cs="宋体" w:hint="eastAsia"/>
                <w:kern w:val="0"/>
              </w:rPr>
              <w:t xml:space="preserve">5.7 </w:t>
            </w:r>
            <w:r>
              <w:rPr>
                <w:rFonts w:hAnsi="宋体" w:cs="宋体" w:hint="eastAsia"/>
              </w:rPr>
              <w:t>分析漫延路径</w:t>
            </w:r>
            <w:r>
              <w:rPr>
                <w:rFonts w:hAnsi="宋体" w:cs="宋体" w:hint="eastAsia"/>
              </w:rPr>
              <w:tab/>
            </w:r>
            <w:r>
              <w:rPr>
                <w:rFonts w:hAnsi="宋体" w:cs="宋体" w:hint="eastAsia"/>
              </w:rPr>
              <w:fldChar w:fldCharType="begin"/>
            </w:r>
            <w:r>
              <w:rPr>
                <w:rFonts w:hAnsi="宋体" w:cs="宋体" w:hint="eastAsia"/>
              </w:rPr>
              <w:instrText xml:space="preserve"> PAGEREF _Toc27614 \h </w:instrText>
            </w:r>
            <w:r>
              <w:rPr>
                <w:rFonts w:hAnsi="宋体" w:cs="宋体" w:hint="eastAsia"/>
              </w:rPr>
            </w:r>
            <w:r>
              <w:rPr>
                <w:rFonts w:hAnsi="宋体" w:cs="宋体" w:hint="eastAsia"/>
              </w:rPr>
              <w:fldChar w:fldCharType="separate"/>
            </w:r>
            <w:r>
              <w:rPr>
                <w:rFonts w:hAnsi="宋体" w:cs="宋体" w:hint="eastAsia"/>
              </w:rPr>
              <w:t>8</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8660" w:history="1">
            <w:r>
              <w:rPr>
                <w:rFonts w:hAnsi="宋体" w:cs="宋体" w:hint="eastAsia"/>
                <w:kern w:val="0"/>
              </w:rPr>
              <w:t xml:space="preserve">5.8 </w:t>
            </w:r>
            <w:r>
              <w:rPr>
                <w:rFonts w:hAnsi="宋体" w:cs="宋体" w:hint="eastAsia"/>
              </w:rPr>
              <w:t>计算水淹高度</w:t>
            </w:r>
            <w:r>
              <w:rPr>
                <w:rFonts w:hAnsi="宋体" w:cs="宋体" w:hint="eastAsia"/>
              </w:rPr>
              <w:tab/>
            </w:r>
            <w:r>
              <w:rPr>
                <w:rFonts w:hAnsi="宋体" w:cs="宋体" w:hint="eastAsia"/>
              </w:rPr>
              <w:fldChar w:fldCharType="begin"/>
            </w:r>
            <w:r>
              <w:rPr>
                <w:rFonts w:hAnsi="宋体" w:cs="宋体" w:hint="eastAsia"/>
              </w:rPr>
              <w:instrText xml:space="preserve"> PAGEREF _Toc8660 \h </w:instrText>
            </w:r>
            <w:r>
              <w:rPr>
                <w:rFonts w:hAnsi="宋体" w:cs="宋体" w:hint="eastAsia"/>
              </w:rPr>
            </w:r>
            <w:r>
              <w:rPr>
                <w:rFonts w:hAnsi="宋体" w:cs="宋体" w:hint="eastAsia"/>
              </w:rPr>
              <w:fldChar w:fldCharType="separate"/>
            </w:r>
            <w:r>
              <w:rPr>
                <w:rFonts w:hAnsi="宋体" w:cs="宋体" w:hint="eastAsia"/>
              </w:rPr>
              <w:t>8</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17952" w:history="1">
            <w:r>
              <w:rPr>
                <w:rFonts w:hAnsi="宋体" w:cs="宋体" w:hint="eastAsia"/>
                <w:kern w:val="0"/>
              </w:rPr>
              <w:t xml:space="preserve">5.9 </w:t>
            </w:r>
            <w:r>
              <w:rPr>
                <w:rFonts w:hAnsi="宋体" w:cs="宋体" w:hint="eastAsia"/>
              </w:rPr>
              <w:t>分析水淹影响</w:t>
            </w:r>
            <w:r>
              <w:rPr>
                <w:rFonts w:hAnsi="宋体" w:cs="宋体" w:hint="eastAsia"/>
              </w:rPr>
              <w:tab/>
            </w:r>
            <w:r>
              <w:rPr>
                <w:rFonts w:hAnsi="宋体" w:cs="宋体" w:hint="eastAsia"/>
              </w:rPr>
              <w:fldChar w:fldCharType="begin"/>
            </w:r>
            <w:r>
              <w:rPr>
                <w:rFonts w:hAnsi="宋体" w:cs="宋体" w:hint="eastAsia"/>
              </w:rPr>
              <w:instrText xml:space="preserve"> PAGEREF _Toc17952 \h </w:instrText>
            </w:r>
            <w:r>
              <w:rPr>
                <w:rFonts w:hAnsi="宋体" w:cs="宋体" w:hint="eastAsia"/>
              </w:rPr>
            </w:r>
            <w:r>
              <w:rPr>
                <w:rFonts w:hAnsi="宋体" w:cs="宋体" w:hint="eastAsia"/>
              </w:rPr>
              <w:fldChar w:fldCharType="separate"/>
            </w:r>
            <w:r>
              <w:rPr>
                <w:rFonts w:hAnsi="宋体" w:cs="宋体" w:hint="eastAsia"/>
              </w:rPr>
              <w:t>8</w:t>
            </w:r>
            <w:r>
              <w:rPr>
                <w:rFonts w:hAnsi="宋体" w:cs="宋体" w:hint="eastAsia"/>
              </w:rPr>
              <w:fldChar w:fldCharType="end"/>
            </w:r>
          </w:hyperlink>
        </w:p>
        <w:p w:rsidR="00FD607E" w:rsidRDefault="00182B07">
          <w:pPr>
            <w:pStyle w:val="TOC3"/>
            <w:tabs>
              <w:tab w:val="clear" w:pos="9241"/>
              <w:tab w:val="right" w:leader="dot" w:pos="9355"/>
            </w:tabs>
            <w:ind w:firstLine="210"/>
            <w:rPr>
              <w:rFonts w:hAnsi="宋体" w:cs="宋体"/>
            </w:rPr>
          </w:pPr>
          <w:hyperlink w:anchor="_Toc32098" w:history="1">
            <w:r>
              <w:rPr>
                <w:rFonts w:hAnsi="宋体" w:cs="宋体" w:hint="eastAsia"/>
                <w:kern w:val="0"/>
              </w:rPr>
              <w:t xml:space="preserve">5.10 </w:t>
            </w:r>
            <w:r>
              <w:rPr>
                <w:rFonts w:hAnsi="宋体" w:cs="宋体" w:hint="eastAsia"/>
              </w:rPr>
              <w:t>防护措施</w:t>
            </w:r>
            <w:r>
              <w:rPr>
                <w:rFonts w:hAnsi="宋体" w:cs="宋体" w:hint="eastAsia"/>
              </w:rPr>
              <w:tab/>
            </w:r>
            <w:r>
              <w:rPr>
                <w:rFonts w:hAnsi="宋体" w:cs="宋体" w:hint="eastAsia"/>
              </w:rPr>
              <w:fldChar w:fldCharType="begin"/>
            </w:r>
            <w:r>
              <w:rPr>
                <w:rFonts w:hAnsi="宋体" w:cs="宋体" w:hint="eastAsia"/>
              </w:rPr>
              <w:instrText xml:space="preserve"> PAGEREF _Toc32098 \h </w:instrText>
            </w:r>
            <w:r>
              <w:rPr>
                <w:rFonts w:hAnsi="宋体" w:cs="宋体" w:hint="eastAsia"/>
              </w:rPr>
            </w:r>
            <w:r>
              <w:rPr>
                <w:rFonts w:hAnsi="宋体" w:cs="宋体" w:hint="eastAsia"/>
              </w:rPr>
              <w:fldChar w:fldCharType="separate"/>
            </w:r>
            <w:r>
              <w:rPr>
                <w:rFonts w:hAnsi="宋体" w:cs="宋体" w:hint="eastAsia"/>
              </w:rPr>
              <w:t>8</w:t>
            </w:r>
            <w:r>
              <w:rPr>
                <w:rFonts w:hAnsi="宋体" w:cs="宋体" w:hint="eastAsia"/>
              </w:rPr>
              <w:fldChar w:fldCharType="end"/>
            </w:r>
          </w:hyperlink>
        </w:p>
        <w:p w:rsidR="00FD607E" w:rsidRDefault="00182B07">
          <w:pPr>
            <w:pStyle w:val="TOC2"/>
            <w:tabs>
              <w:tab w:val="clear" w:pos="9241"/>
              <w:tab w:val="right" w:leader="dot" w:pos="9355"/>
            </w:tabs>
            <w:rPr>
              <w:rFonts w:hAnsi="宋体" w:cs="宋体"/>
              <w:bCs/>
              <w:lang w:val="zh-CN"/>
            </w:rPr>
          </w:pPr>
          <w:hyperlink w:anchor="_Toc18201" w:history="1">
            <w:r>
              <w:rPr>
                <w:rFonts w:hAnsi="宋体" w:cs="宋体" w:hint="eastAsia"/>
              </w:rPr>
              <w:t>参考文献</w:t>
            </w:r>
            <w:r>
              <w:rPr>
                <w:rFonts w:hAnsi="宋体" w:cs="宋体" w:hint="eastAsia"/>
              </w:rPr>
              <w:tab/>
            </w:r>
            <w:r>
              <w:rPr>
                <w:rFonts w:hAnsi="宋体" w:cs="宋体" w:hint="eastAsia"/>
              </w:rPr>
              <w:fldChar w:fldCharType="begin"/>
            </w:r>
            <w:r>
              <w:rPr>
                <w:rFonts w:hAnsi="宋体" w:cs="宋体" w:hint="eastAsia"/>
              </w:rPr>
              <w:instrText xml:space="preserve"> PAGEREF _Toc18201 \h </w:instrText>
            </w:r>
            <w:r>
              <w:rPr>
                <w:rFonts w:hAnsi="宋体" w:cs="宋体" w:hint="eastAsia"/>
              </w:rPr>
            </w:r>
            <w:r>
              <w:rPr>
                <w:rFonts w:hAnsi="宋体" w:cs="宋体" w:hint="eastAsia"/>
              </w:rPr>
              <w:fldChar w:fldCharType="separate"/>
            </w:r>
            <w:r>
              <w:rPr>
                <w:rFonts w:hAnsi="宋体" w:cs="宋体" w:hint="eastAsia"/>
              </w:rPr>
              <w:t>10</w:t>
            </w:r>
            <w:r>
              <w:rPr>
                <w:rFonts w:hAnsi="宋体" w:cs="宋体" w:hint="eastAsia"/>
              </w:rPr>
              <w:fldChar w:fldCharType="end"/>
            </w:r>
          </w:hyperlink>
        </w:p>
        <w:p w:rsidR="00FD607E" w:rsidRDefault="00FD607E">
          <w:pPr>
            <w:rPr>
              <w:lang w:val="zh-CN"/>
            </w:rPr>
          </w:pPr>
        </w:p>
        <w:p w:rsidR="00FD607E" w:rsidRDefault="00182B07">
          <w:pPr>
            <w:pStyle w:val="TOC2"/>
            <w:tabs>
              <w:tab w:val="clear" w:pos="9241"/>
              <w:tab w:val="right" w:leader="dot" w:pos="9355"/>
            </w:tabs>
            <w:rPr>
              <w:rFonts w:hAnsi="宋体" w:cs="宋体"/>
              <w:bCs/>
            </w:rPr>
          </w:pPr>
          <w:r>
            <w:rPr>
              <w:rFonts w:hAnsi="宋体" w:cs="宋体" w:hint="eastAsia"/>
              <w:bCs/>
            </w:rPr>
            <w:t>图</w:t>
          </w:r>
          <w:r>
            <w:rPr>
              <w:rFonts w:hAnsi="宋体" w:cs="宋体" w:hint="eastAsia"/>
              <w:bCs/>
            </w:rPr>
            <w:t xml:space="preserve">1 </w:t>
          </w:r>
          <w:r>
            <w:rPr>
              <w:rFonts w:hAnsi="宋体" w:cs="宋体" w:hint="eastAsia"/>
              <w:bCs/>
            </w:rPr>
            <w:t>内部水淹危害性分析逻辑图</w:t>
          </w:r>
          <w:r>
            <w:rPr>
              <w:rFonts w:hAnsi="宋体" w:cs="宋体" w:hint="eastAsia"/>
              <w:bCs/>
              <w:lang w:val="zh-CN"/>
            </w:rPr>
            <w:tab/>
          </w:r>
          <w:r>
            <w:rPr>
              <w:rFonts w:hAnsi="宋体" w:cs="宋体" w:hint="eastAsia"/>
              <w:bCs/>
            </w:rPr>
            <w:t>5</w:t>
          </w:r>
        </w:p>
        <w:p w:rsidR="00FD607E" w:rsidRDefault="00182B07">
          <w:pPr>
            <w:pStyle w:val="TOC1"/>
            <w:spacing w:before="78" w:after="78"/>
          </w:pPr>
          <w:r>
            <w:rPr>
              <w:b/>
              <w:bCs/>
              <w:lang w:val="zh-CN"/>
            </w:rPr>
            <w:fldChar w:fldCharType="end"/>
          </w:r>
        </w:p>
      </w:sdtContent>
    </w:sdt>
    <w:p w:rsidR="00FD607E" w:rsidRDefault="00FD607E">
      <w:pPr>
        <w:pStyle w:val="afff1"/>
      </w:pPr>
    </w:p>
    <w:p w:rsidR="00FD607E" w:rsidRDefault="00FD607E">
      <w:pPr>
        <w:pStyle w:val="afff1"/>
      </w:pPr>
    </w:p>
    <w:p w:rsidR="00FD607E" w:rsidRDefault="00182B07">
      <w:pPr>
        <w:pStyle w:val="affffff"/>
      </w:pPr>
      <w:bookmarkStart w:id="10" w:name="_Toc20302068"/>
      <w:bookmarkStart w:id="11" w:name="_Toc30802"/>
      <w:r>
        <w:rPr>
          <w:rFonts w:hint="eastAsia"/>
        </w:rPr>
        <w:lastRenderedPageBreak/>
        <w:t>前</w:t>
      </w:r>
      <w:bookmarkStart w:id="12" w:name="BKQY"/>
      <w:r>
        <w:rPr>
          <w:rFonts w:ascii="MS Mincho" w:eastAsia="MS Mincho" w:hAnsi="MS Mincho" w:cs="MS Mincho" w:hint="eastAsia"/>
        </w:rPr>
        <w:t>  </w:t>
      </w:r>
      <w:r>
        <w:rPr>
          <w:rFonts w:hint="eastAsia"/>
        </w:rPr>
        <w:t>言</w:t>
      </w:r>
      <w:bookmarkEnd w:id="10"/>
      <w:bookmarkEnd w:id="11"/>
      <w:bookmarkEnd w:id="12"/>
    </w:p>
    <w:p w:rsidR="00FD607E" w:rsidRDefault="00182B07">
      <w:pPr>
        <w:pStyle w:val="afff1"/>
        <w:rPr>
          <w:rFonts w:ascii="Times New Roman"/>
        </w:rPr>
      </w:pPr>
      <w:r>
        <w:rPr>
          <w:rFonts w:ascii="Times New Roman"/>
        </w:rPr>
        <w:t>本</w:t>
      </w:r>
      <w:r>
        <w:rPr>
          <w:rFonts w:ascii="Times New Roman" w:hint="eastAsia"/>
        </w:rPr>
        <w:t>文件</w:t>
      </w:r>
      <w:r>
        <w:rPr>
          <w:rFonts w:ascii="Times New Roman"/>
        </w:rPr>
        <w:t>按照</w:t>
      </w:r>
      <w:r>
        <w:rPr>
          <w:rFonts w:ascii="Times New Roman"/>
        </w:rPr>
        <w:t>GB/T 1.1</w:t>
      </w:r>
      <w:r>
        <w:rPr>
          <w:rFonts w:ascii="Times New Roman"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r>
        <w:rPr>
          <w:rFonts w:ascii="Times New Roman"/>
        </w:rPr>
        <w:t>。</w:t>
      </w:r>
    </w:p>
    <w:p w:rsidR="00FD607E" w:rsidRDefault="00182B07">
      <w:pPr>
        <w:pStyle w:val="afff1"/>
        <w:rPr>
          <w:rFonts w:ascii="Times New Roman"/>
        </w:rPr>
      </w:pPr>
      <w:r>
        <w:rPr>
          <w:rFonts w:ascii="Times New Roman" w:hint="eastAsia"/>
        </w:rPr>
        <w:t>请注意本文件的某些内容可能涉及专利。本文件的发布机构不承担识别专利的责任。</w:t>
      </w:r>
    </w:p>
    <w:p w:rsidR="00FD607E" w:rsidRDefault="00182B07">
      <w:pPr>
        <w:pStyle w:val="afff1"/>
        <w:rPr>
          <w:rFonts w:ascii="Times New Roman"/>
        </w:rPr>
      </w:pPr>
      <w:r>
        <w:rPr>
          <w:rFonts w:ascii="Times New Roman" w:hint="eastAsia"/>
        </w:rPr>
        <w:t>本</w:t>
      </w:r>
      <w:r>
        <w:rPr>
          <w:rFonts w:ascii="Times New Roman" w:hint="eastAsia"/>
        </w:rPr>
        <w:t>文件</w:t>
      </w:r>
      <w:r>
        <w:rPr>
          <w:rFonts w:ascii="Times New Roman" w:hint="eastAsia"/>
        </w:rPr>
        <w:t>由中国核学会提出。</w:t>
      </w:r>
    </w:p>
    <w:p w:rsidR="00FD607E" w:rsidRDefault="00182B07">
      <w:pPr>
        <w:pStyle w:val="afff1"/>
        <w:rPr>
          <w:rFonts w:ascii="Times New Roman"/>
          <w:color w:val="000000"/>
        </w:rPr>
      </w:pPr>
      <w:r>
        <w:rPr>
          <w:rFonts w:ascii="Times New Roman" w:hint="eastAsia"/>
        </w:rPr>
        <w:t>本</w:t>
      </w:r>
      <w:r>
        <w:rPr>
          <w:rFonts w:ascii="Times New Roman" w:hint="eastAsia"/>
        </w:rPr>
        <w:t>文件</w:t>
      </w:r>
      <w:r>
        <w:rPr>
          <w:rFonts w:ascii="Times New Roman" w:hint="eastAsia"/>
          <w:color w:val="000000"/>
        </w:rPr>
        <w:t>由核工业标准化研究所归口。</w:t>
      </w:r>
    </w:p>
    <w:p w:rsidR="00FD607E" w:rsidRDefault="00182B07">
      <w:pPr>
        <w:pStyle w:val="afff1"/>
        <w:rPr>
          <w:rFonts w:ascii="Times New Roman"/>
        </w:rPr>
      </w:pPr>
      <w:r>
        <w:rPr>
          <w:rFonts w:ascii="Times New Roman" w:hint="eastAsia"/>
          <w:color w:val="000000"/>
        </w:rPr>
        <w:t>本</w:t>
      </w:r>
      <w:r>
        <w:rPr>
          <w:rFonts w:ascii="Times New Roman" w:hint="eastAsia"/>
        </w:rPr>
        <w:t>文件</w:t>
      </w:r>
      <w:r>
        <w:rPr>
          <w:rFonts w:ascii="Times New Roman" w:hint="eastAsia"/>
          <w:color w:val="000000"/>
        </w:rPr>
        <w:t>起草单位：</w:t>
      </w:r>
      <w:r>
        <w:rPr>
          <w:rFonts w:ascii="Times New Roman" w:hint="eastAsia"/>
        </w:rPr>
        <w:t>中核能源科技有限公司</w:t>
      </w:r>
      <w:r>
        <w:rPr>
          <w:rFonts w:ascii="Times New Roman" w:hint="eastAsia"/>
        </w:rPr>
        <w:t>，</w:t>
      </w:r>
      <w:r>
        <w:rPr>
          <w:rFonts w:ascii="Times New Roman" w:hint="eastAsia"/>
        </w:rPr>
        <w:t>清华大学核能与新能源技术研究院</w:t>
      </w:r>
    </w:p>
    <w:p w:rsidR="00FD607E" w:rsidRDefault="00182B07">
      <w:pPr>
        <w:pStyle w:val="afff1"/>
        <w:rPr>
          <w:rFonts w:ascii="Times New Roman"/>
        </w:rPr>
      </w:pPr>
      <w:r>
        <w:rPr>
          <w:rFonts w:ascii="Times New Roman" w:hint="eastAsia"/>
        </w:rPr>
        <w:t>本</w:t>
      </w:r>
      <w:r>
        <w:rPr>
          <w:rFonts w:ascii="Times New Roman" w:hint="eastAsia"/>
        </w:rPr>
        <w:t>文件</w:t>
      </w:r>
      <w:r>
        <w:rPr>
          <w:rFonts w:ascii="Times New Roman" w:hint="eastAsia"/>
        </w:rPr>
        <w:t>主要起草人：</w:t>
      </w:r>
      <w:r>
        <w:rPr>
          <w:rFonts w:ascii="Times New Roman" w:hint="eastAsia"/>
        </w:rPr>
        <w:t>谭方泉，李静玉，卢放，孙凤，杜志豪，田秀峰</w:t>
      </w:r>
      <w:r>
        <w:rPr>
          <w:rFonts w:ascii="Times New Roman" w:hint="eastAsia"/>
        </w:rPr>
        <w:t>。</w:t>
      </w:r>
    </w:p>
    <w:p w:rsidR="00FD607E" w:rsidRDefault="00FD607E">
      <w:pPr>
        <w:pStyle w:val="afff1"/>
      </w:pPr>
    </w:p>
    <w:p w:rsidR="00FD607E" w:rsidRDefault="00FD607E">
      <w:pPr>
        <w:pStyle w:val="afff1"/>
        <w:ind w:firstLineChars="0" w:firstLine="0"/>
        <w:sectPr w:rsidR="00FD607E">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rsidR="00FD607E" w:rsidRDefault="00182B07">
      <w:pPr>
        <w:widowControl/>
        <w:spacing w:line="440" w:lineRule="exact"/>
        <w:jc w:val="center"/>
        <w:rPr>
          <w:rFonts w:eastAsia="黑体"/>
          <w:color w:val="000000"/>
          <w:spacing w:val="20"/>
          <w:sz w:val="36"/>
          <w:szCs w:val="48"/>
        </w:rPr>
      </w:pPr>
      <w:r>
        <w:rPr>
          <w:rFonts w:eastAsia="黑体" w:hint="eastAsia"/>
          <w:color w:val="000000"/>
          <w:spacing w:val="20"/>
          <w:sz w:val="36"/>
          <w:szCs w:val="48"/>
        </w:rPr>
        <w:lastRenderedPageBreak/>
        <w:t>高温气冷堆</w:t>
      </w:r>
      <w:r>
        <w:rPr>
          <w:rFonts w:eastAsia="黑体" w:hint="eastAsia"/>
          <w:color w:val="000000"/>
          <w:spacing w:val="20"/>
          <w:sz w:val="36"/>
          <w:szCs w:val="48"/>
        </w:rPr>
        <w:t>核动力厂</w:t>
      </w:r>
      <w:r>
        <w:rPr>
          <w:rFonts w:eastAsia="黑体" w:hint="eastAsia"/>
          <w:color w:val="000000"/>
          <w:spacing w:val="20"/>
          <w:sz w:val="36"/>
          <w:szCs w:val="48"/>
        </w:rPr>
        <w:t>内部水淹</w:t>
      </w:r>
    </w:p>
    <w:p w:rsidR="00FD607E" w:rsidRDefault="00182B07">
      <w:pPr>
        <w:widowControl/>
        <w:spacing w:line="440" w:lineRule="exact"/>
        <w:jc w:val="center"/>
        <w:rPr>
          <w:rFonts w:eastAsia="黑体"/>
          <w:b/>
          <w:bCs/>
          <w:color w:val="000000"/>
          <w:spacing w:val="20"/>
          <w:sz w:val="32"/>
          <w:szCs w:val="32"/>
        </w:rPr>
      </w:pPr>
      <w:r>
        <w:rPr>
          <w:rFonts w:eastAsia="黑体" w:hint="eastAsia"/>
          <w:color w:val="000000"/>
          <w:spacing w:val="20"/>
          <w:sz w:val="36"/>
          <w:szCs w:val="48"/>
        </w:rPr>
        <w:t>防护</w:t>
      </w:r>
      <w:r>
        <w:rPr>
          <w:rFonts w:eastAsia="黑体" w:hint="eastAsia"/>
          <w:color w:val="000000"/>
          <w:spacing w:val="20"/>
          <w:sz w:val="36"/>
          <w:szCs w:val="48"/>
        </w:rPr>
        <w:t>设计</w:t>
      </w:r>
      <w:r>
        <w:rPr>
          <w:rFonts w:eastAsia="黑体" w:hint="eastAsia"/>
          <w:color w:val="000000"/>
          <w:spacing w:val="20"/>
          <w:sz w:val="36"/>
          <w:szCs w:val="48"/>
        </w:rPr>
        <w:t>准则</w:t>
      </w:r>
    </w:p>
    <w:p w:rsidR="00FD607E" w:rsidRDefault="00FD607E">
      <w:pPr>
        <w:widowControl/>
        <w:spacing w:line="440" w:lineRule="exact"/>
        <w:jc w:val="center"/>
        <w:rPr>
          <w:b/>
          <w:bCs/>
          <w:kern w:val="0"/>
          <w:sz w:val="32"/>
          <w:szCs w:val="32"/>
        </w:rPr>
      </w:pPr>
    </w:p>
    <w:p w:rsidR="00FD607E" w:rsidRDefault="00182B07">
      <w:pPr>
        <w:pStyle w:val="a4"/>
        <w:ind w:left="0"/>
        <w:rPr>
          <w:szCs w:val="21"/>
        </w:rPr>
      </w:pPr>
      <w:bookmarkStart w:id="13" w:name="_Toc32"/>
      <w:bookmarkStart w:id="14" w:name="_Toc15774"/>
      <w:r>
        <w:rPr>
          <w:rFonts w:hint="eastAsia"/>
          <w:szCs w:val="21"/>
        </w:rPr>
        <w:t>范围</w:t>
      </w:r>
      <w:bookmarkEnd w:id="13"/>
      <w:bookmarkEnd w:id="14"/>
    </w:p>
    <w:p w:rsidR="00FD607E" w:rsidRDefault="00182B07">
      <w:pPr>
        <w:autoSpaceDE w:val="0"/>
        <w:autoSpaceDN w:val="0"/>
        <w:spacing w:line="440" w:lineRule="exact"/>
        <w:ind w:firstLine="420"/>
        <w:jc w:val="left"/>
        <w:rPr>
          <w:rFonts w:eastAsiaTheme="minorEastAsia"/>
          <w:kern w:val="0"/>
        </w:rPr>
      </w:pPr>
      <w:bookmarkStart w:id="15" w:name="_Toc55117896"/>
      <w:bookmarkStart w:id="16" w:name="_Toc18587912"/>
      <w:bookmarkEnd w:id="15"/>
      <w:r>
        <w:rPr>
          <w:rFonts w:hint="eastAsia"/>
          <w:kern w:val="0"/>
        </w:rPr>
        <w:t>本文件</w:t>
      </w:r>
      <w:r>
        <w:rPr>
          <w:rFonts w:hint="eastAsia"/>
          <w:kern w:val="0"/>
        </w:rPr>
        <w:t>规定</w:t>
      </w:r>
      <w:r>
        <w:rPr>
          <w:rFonts w:hint="eastAsia"/>
          <w:kern w:val="0"/>
        </w:rPr>
        <w:t>了高温气冷</w:t>
      </w:r>
      <w:proofErr w:type="gramStart"/>
      <w:r>
        <w:rPr>
          <w:rFonts w:hint="eastAsia"/>
          <w:kern w:val="0"/>
        </w:rPr>
        <w:t>堆内部</w:t>
      </w:r>
      <w:proofErr w:type="gramEnd"/>
      <w:r>
        <w:rPr>
          <w:rFonts w:hint="eastAsia"/>
          <w:kern w:val="0"/>
        </w:rPr>
        <w:t>水淹防护</w:t>
      </w:r>
      <w:r>
        <w:rPr>
          <w:rFonts w:hint="eastAsia"/>
          <w:kern w:val="0"/>
        </w:rPr>
        <w:t>设计</w:t>
      </w:r>
      <w:r>
        <w:rPr>
          <w:rFonts w:hint="eastAsia"/>
          <w:kern w:val="0"/>
        </w:rPr>
        <w:t>的原则和要求，</w:t>
      </w:r>
      <w:r>
        <w:rPr>
          <w:rFonts w:hint="eastAsia"/>
          <w:kern w:val="0"/>
        </w:rPr>
        <w:t>并确定了</w:t>
      </w:r>
      <w:r>
        <w:rPr>
          <w:rFonts w:hint="eastAsia"/>
          <w:kern w:val="0"/>
        </w:rPr>
        <w:t>内部水淹</w:t>
      </w:r>
      <w:r>
        <w:rPr>
          <w:rFonts w:hint="eastAsia"/>
          <w:kern w:val="0"/>
        </w:rPr>
        <w:t>危害性分析的分析方法、范围、关键内容</w:t>
      </w:r>
      <w:r>
        <w:rPr>
          <w:rFonts w:hint="eastAsia"/>
          <w:kern w:val="0"/>
        </w:rPr>
        <w:t>。</w:t>
      </w:r>
    </w:p>
    <w:p w:rsidR="00FD607E" w:rsidRDefault="00182B07">
      <w:pPr>
        <w:autoSpaceDE w:val="0"/>
        <w:autoSpaceDN w:val="0"/>
        <w:spacing w:line="440" w:lineRule="exact"/>
        <w:ind w:firstLine="420"/>
        <w:jc w:val="left"/>
        <w:rPr>
          <w:kern w:val="0"/>
        </w:rPr>
      </w:pPr>
      <w:r>
        <w:rPr>
          <w:rFonts w:hint="eastAsia"/>
          <w:kern w:val="0"/>
        </w:rPr>
        <w:t>本文件适用于</w:t>
      </w:r>
      <w:r>
        <w:rPr>
          <w:rFonts w:hint="eastAsia"/>
          <w:kern w:val="0"/>
        </w:rPr>
        <w:t>高温气冷堆</w:t>
      </w:r>
      <w:r>
        <w:rPr>
          <w:rFonts w:hint="eastAsia"/>
          <w:kern w:val="0"/>
        </w:rPr>
        <w:t>核动力厂</w:t>
      </w:r>
      <w:r>
        <w:rPr>
          <w:rFonts w:hint="eastAsia"/>
          <w:kern w:val="0"/>
        </w:rPr>
        <w:t>的内部水淹防护</w:t>
      </w:r>
      <w:r>
        <w:rPr>
          <w:rFonts w:hint="eastAsia"/>
          <w:kern w:val="0"/>
        </w:rPr>
        <w:t>设计</w:t>
      </w:r>
      <w:r>
        <w:rPr>
          <w:rFonts w:hint="eastAsia"/>
          <w:kern w:val="0"/>
        </w:rPr>
        <w:t>，</w:t>
      </w:r>
      <w:r>
        <w:rPr>
          <w:rFonts w:hint="eastAsia"/>
          <w:kern w:val="0"/>
        </w:rPr>
        <w:t>其他核动力厂可参考使用</w:t>
      </w:r>
      <w:r>
        <w:rPr>
          <w:rFonts w:hint="eastAsia"/>
          <w:kern w:val="0"/>
        </w:rPr>
        <w:t>。</w:t>
      </w:r>
      <w:r>
        <w:rPr>
          <w:rFonts w:hint="eastAsia"/>
          <w:kern w:val="0"/>
        </w:rPr>
        <w:t xml:space="preserve"> </w:t>
      </w:r>
    </w:p>
    <w:p w:rsidR="00FD607E" w:rsidRDefault="00182B07">
      <w:pPr>
        <w:pStyle w:val="a4"/>
        <w:ind w:left="0"/>
        <w:rPr>
          <w:szCs w:val="21"/>
        </w:rPr>
      </w:pPr>
      <w:bookmarkStart w:id="17" w:name="_Toc16253"/>
      <w:bookmarkStart w:id="18" w:name="_Toc14464"/>
      <w:r>
        <w:rPr>
          <w:rFonts w:hint="eastAsia"/>
          <w:szCs w:val="21"/>
        </w:rPr>
        <w:t>规范性引用文件</w:t>
      </w:r>
      <w:bookmarkEnd w:id="16"/>
      <w:bookmarkEnd w:id="17"/>
      <w:bookmarkEnd w:id="18"/>
    </w:p>
    <w:p w:rsidR="00FD607E" w:rsidRDefault="00182B07">
      <w:pPr>
        <w:autoSpaceDE w:val="0"/>
        <w:autoSpaceDN w:val="0"/>
        <w:spacing w:line="440" w:lineRule="exact"/>
        <w:ind w:firstLine="420"/>
        <w:jc w:val="left"/>
        <w:rPr>
          <w:kern w:val="0"/>
        </w:rPr>
      </w:pPr>
      <w:r>
        <w:rPr>
          <w:kern w:val="0"/>
        </w:rPr>
        <w:t>下列文件对于本文件的应用是必不可少的。凡是注日期的引用文件，仅所注日期的版本适用于本文件。凡是不注日期的引用文件，其最新版本（包括所有的修改单）适用于本文件。</w:t>
      </w:r>
    </w:p>
    <w:p w:rsidR="00FD607E" w:rsidRDefault="00182B07">
      <w:pPr>
        <w:widowControl/>
        <w:spacing w:line="440" w:lineRule="exact"/>
        <w:ind w:firstLineChars="200" w:firstLine="420"/>
        <w:rPr>
          <w:color w:val="000000"/>
        </w:rPr>
      </w:pPr>
      <w:r>
        <w:rPr>
          <w:rFonts w:hint="eastAsia"/>
          <w:color w:val="000000"/>
        </w:rPr>
        <w:t xml:space="preserve">NB/T 20591-2021 </w:t>
      </w:r>
      <w:r>
        <w:rPr>
          <w:rFonts w:hint="eastAsia"/>
          <w:color w:val="000000"/>
        </w:rPr>
        <w:t xml:space="preserve">  </w:t>
      </w:r>
      <w:r>
        <w:rPr>
          <w:rFonts w:hint="eastAsia"/>
          <w:color w:val="000000"/>
        </w:rPr>
        <w:t>轻水堆隔间淹没效应防护准则</w:t>
      </w:r>
    </w:p>
    <w:p w:rsidR="00FD607E" w:rsidRDefault="00182B07">
      <w:pPr>
        <w:widowControl/>
        <w:spacing w:line="440" w:lineRule="exact"/>
        <w:ind w:firstLineChars="200" w:firstLine="420"/>
        <w:rPr>
          <w:color w:val="000000"/>
        </w:rPr>
      </w:pPr>
      <w:r>
        <w:rPr>
          <w:rFonts w:hint="eastAsia"/>
          <w:color w:val="000000"/>
        </w:rPr>
        <w:t xml:space="preserve">NB/T 20403-2017RK </w:t>
      </w:r>
      <w:r>
        <w:rPr>
          <w:rFonts w:hint="eastAsia"/>
          <w:color w:val="000000"/>
        </w:rPr>
        <w:t>压水堆核电厂隔间压力与温度瞬态分析</w:t>
      </w:r>
    </w:p>
    <w:p w:rsidR="00FD607E" w:rsidRDefault="00182B07">
      <w:pPr>
        <w:widowControl/>
        <w:spacing w:line="440" w:lineRule="exact"/>
        <w:ind w:firstLineChars="200" w:firstLine="420"/>
        <w:rPr>
          <w:color w:val="000000"/>
        </w:rPr>
      </w:pPr>
      <w:r>
        <w:rPr>
          <w:rFonts w:hint="eastAsia"/>
          <w:color w:val="000000"/>
        </w:rPr>
        <w:t>T-</w:t>
      </w:r>
      <w:r>
        <w:rPr>
          <w:rFonts w:hint="eastAsia"/>
          <w:color w:val="000000"/>
        </w:rPr>
        <w:t>CNS 2</w:t>
      </w:r>
      <w:r>
        <w:rPr>
          <w:rFonts w:hint="eastAsia"/>
          <w:color w:val="000000"/>
        </w:rPr>
        <w:t>4</w:t>
      </w:r>
      <w:r>
        <w:rPr>
          <w:rFonts w:hint="eastAsia"/>
          <w:color w:val="000000"/>
        </w:rPr>
        <w:t>--2020</w:t>
      </w:r>
      <w:r>
        <w:rPr>
          <w:rFonts w:hint="eastAsia"/>
          <w:color w:val="000000"/>
        </w:rPr>
        <w:t xml:space="preserve">  </w:t>
      </w:r>
      <w:r>
        <w:rPr>
          <w:rFonts w:hint="eastAsia"/>
          <w:color w:val="000000"/>
        </w:rPr>
        <w:t>高温气冷堆</w:t>
      </w:r>
      <w:r>
        <w:rPr>
          <w:rFonts w:hint="eastAsia"/>
          <w:color w:val="000000"/>
        </w:rPr>
        <w:t>核动力厂房假想管道破损事故防护设计准则</w:t>
      </w:r>
    </w:p>
    <w:p w:rsidR="00FD607E" w:rsidRDefault="00182B07">
      <w:pPr>
        <w:pStyle w:val="a4"/>
        <w:ind w:left="0"/>
        <w:rPr>
          <w:szCs w:val="21"/>
        </w:rPr>
      </w:pPr>
      <w:bookmarkStart w:id="19" w:name="_Toc87259651"/>
      <w:bookmarkStart w:id="20" w:name="_Toc18325390"/>
      <w:bookmarkStart w:id="21" w:name="_Toc13749"/>
      <w:bookmarkStart w:id="22" w:name="_Toc18587913"/>
      <w:bookmarkStart w:id="23" w:name="_Toc11749281"/>
      <w:bookmarkStart w:id="24" w:name="_Toc3565"/>
      <w:bookmarkStart w:id="25" w:name="_Toc12259706"/>
      <w:bookmarkEnd w:id="19"/>
      <w:r>
        <w:rPr>
          <w:rFonts w:hint="eastAsia"/>
          <w:szCs w:val="21"/>
        </w:rPr>
        <w:t>术语和定义</w:t>
      </w:r>
      <w:bookmarkEnd w:id="20"/>
      <w:bookmarkEnd w:id="21"/>
      <w:bookmarkEnd w:id="22"/>
      <w:bookmarkEnd w:id="23"/>
      <w:bookmarkEnd w:id="24"/>
      <w:bookmarkEnd w:id="25"/>
    </w:p>
    <w:p w:rsidR="00FD607E" w:rsidRDefault="00182B07">
      <w:pPr>
        <w:widowControl/>
        <w:spacing w:line="440" w:lineRule="exact"/>
        <w:ind w:firstLine="420"/>
        <w:rPr>
          <w:kern w:val="0"/>
        </w:rPr>
      </w:pPr>
      <w:bookmarkStart w:id="26" w:name="_Toc57130164"/>
      <w:bookmarkStart w:id="27" w:name="_Toc57130409"/>
      <w:bookmarkStart w:id="28" w:name="_Toc57130343"/>
      <w:r>
        <w:rPr>
          <w:rFonts w:hint="eastAsia"/>
          <w:kern w:val="0"/>
        </w:rPr>
        <w:t>下列</w:t>
      </w:r>
      <w:r>
        <w:rPr>
          <w:rFonts w:hint="eastAsia"/>
          <w:kern w:val="0"/>
        </w:rPr>
        <w:t>术语</w:t>
      </w:r>
      <w:r>
        <w:rPr>
          <w:rFonts w:hint="eastAsia"/>
          <w:kern w:val="0"/>
        </w:rPr>
        <w:t>和</w:t>
      </w:r>
      <w:r>
        <w:rPr>
          <w:rFonts w:hint="eastAsia"/>
          <w:kern w:val="0"/>
        </w:rPr>
        <w:t>定义适用于本标准。</w:t>
      </w:r>
      <w:bookmarkEnd w:id="26"/>
      <w:bookmarkEnd w:id="27"/>
      <w:bookmarkEnd w:id="28"/>
    </w:p>
    <w:p w:rsidR="00FD607E" w:rsidRDefault="00FD607E">
      <w:pPr>
        <w:pStyle w:val="a5"/>
        <w:ind w:left="0"/>
        <w:rPr>
          <w:rFonts w:ascii="Times New Roman"/>
        </w:rPr>
      </w:pPr>
      <w:bookmarkStart w:id="29" w:name="_Toc14120"/>
      <w:bookmarkStart w:id="30" w:name="_Toc7691"/>
      <w:bookmarkStart w:id="31" w:name="_Toc3014"/>
      <w:bookmarkStart w:id="32" w:name="_Toc18955"/>
      <w:bookmarkEnd w:id="29"/>
      <w:bookmarkEnd w:id="30"/>
      <w:bookmarkEnd w:id="31"/>
      <w:bookmarkEnd w:id="32"/>
    </w:p>
    <w:p w:rsidR="00FD607E" w:rsidRDefault="00182B07">
      <w:pPr>
        <w:pStyle w:val="a5"/>
        <w:numPr>
          <w:ilvl w:val="1"/>
          <w:numId w:val="0"/>
        </w:numPr>
        <w:ind w:firstLineChars="200" w:firstLine="420"/>
        <w:rPr>
          <w:rFonts w:hAnsi="黑体" w:cs="黑体"/>
        </w:rPr>
      </w:pPr>
      <w:bookmarkStart w:id="33" w:name="_Toc23527"/>
      <w:r>
        <w:rPr>
          <w:rFonts w:hAnsi="黑体" w:cs="黑体" w:hint="eastAsia"/>
        </w:rPr>
        <w:t>基本安全功能</w:t>
      </w:r>
      <w:r>
        <w:rPr>
          <w:rFonts w:hAnsi="黑体" w:cs="黑体" w:hint="eastAsia"/>
        </w:rPr>
        <w:t xml:space="preserve"> </w:t>
      </w:r>
      <w:r>
        <w:rPr>
          <w:rFonts w:ascii="Times New Roman"/>
          <w:b/>
          <w:bCs/>
        </w:rPr>
        <w:t>fundamental safety function</w:t>
      </w:r>
      <w:bookmarkEnd w:id="33"/>
    </w:p>
    <w:p w:rsidR="00FD607E" w:rsidRDefault="00182B07">
      <w:pPr>
        <w:widowControl/>
        <w:numPr>
          <w:ilvl w:val="0"/>
          <w:numId w:val="18"/>
        </w:numPr>
        <w:tabs>
          <w:tab w:val="left" w:pos="420"/>
        </w:tabs>
        <w:spacing w:line="440" w:lineRule="exact"/>
        <w:rPr>
          <w:kern w:val="0"/>
        </w:rPr>
      </w:pPr>
      <w:r>
        <w:rPr>
          <w:rFonts w:hint="eastAsia"/>
          <w:kern w:val="0"/>
        </w:rPr>
        <w:t>控制反应性；</w:t>
      </w:r>
    </w:p>
    <w:p w:rsidR="00FD607E" w:rsidRDefault="00182B07">
      <w:pPr>
        <w:widowControl/>
        <w:numPr>
          <w:ilvl w:val="0"/>
          <w:numId w:val="18"/>
        </w:numPr>
        <w:tabs>
          <w:tab w:val="left" w:pos="420"/>
        </w:tabs>
        <w:spacing w:line="440" w:lineRule="exact"/>
        <w:rPr>
          <w:kern w:val="0"/>
        </w:rPr>
      </w:pPr>
      <w:r>
        <w:rPr>
          <w:rFonts w:hint="eastAsia"/>
          <w:kern w:val="0"/>
        </w:rPr>
        <w:t>排出堆芯余热，导出乏燃料贮存设施所贮存燃料的热量；</w:t>
      </w:r>
    </w:p>
    <w:p w:rsidR="00FD607E" w:rsidRDefault="00182B07">
      <w:pPr>
        <w:widowControl/>
        <w:numPr>
          <w:ilvl w:val="0"/>
          <w:numId w:val="18"/>
        </w:numPr>
        <w:tabs>
          <w:tab w:val="left" w:pos="420"/>
        </w:tabs>
        <w:spacing w:line="440" w:lineRule="exact"/>
        <w:rPr>
          <w:kern w:val="0"/>
        </w:rPr>
      </w:pPr>
      <w:r>
        <w:rPr>
          <w:rFonts w:hint="eastAsia"/>
          <w:kern w:val="0"/>
        </w:rPr>
        <w:t>包容放射性物质、屏蔽辐射、控制放射性的计划排</w:t>
      </w:r>
      <w:r>
        <w:rPr>
          <w:rFonts w:hint="eastAsia"/>
          <w:kern w:val="0"/>
        </w:rPr>
        <w:t>放，以及限制事故的放射性释放。</w:t>
      </w:r>
    </w:p>
    <w:p w:rsidR="00FD607E" w:rsidRDefault="00FD607E">
      <w:pPr>
        <w:pStyle w:val="a5"/>
        <w:ind w:left="0"/>
        <w:rPr>
          <w:rFonts w:ascii="Times New Roman"/>
        </w:rPr>
      </w:pPr>
      <w:bookmarkStart w:id="34" w:name="_Toc4924"/>
      <w:bookmarkStart w:id="35" w:name="_Toc13101"/>
      <w:bookmarkEnd w:id="34"/>
      <w:bookmarkEnd w:id="35"/>
    </w:p>
    <w:p w:rsidR="00FD607E" w:rsidRDefault="00182B07">
      <w:pPr>
        <w:pStyle w:val="a5"/>
        <w:numPr>
          <w:ilvl w:val="1"/>
          <w:numId w:val="0"/>
        </w:numPr>
        <w:ind w:firstLineChars="200" w:firstLine="420"/>
        <w:rPr>
          <w:rFonts w:ascii="Times New Roman"/>
        </w:rPr>
      </w:pPr>
      <w:bookmarkStart w:id="36" w:name="_Toc23726"/>
      <w:r>
        <w:rPr>
          <w:rFonts w:hAnsi="黑体" w:cs="黑体" w:hint="eastAsia"/>
        </w:rPr>
        <w:t>风险指引</w:t>
      </w:r>
      <w:r>
        <w:rPr>
          <w:rFonts w:ascii="Times New Roman" w:hint="eastAsia"/>
        </w:rPr>
        <w:t xml:space="preserve"> </w:t>
      </w:r>
      <w:r>
        <w:rPr>
          <w:rFonts w:ascii="Times New Roman" w:hint="eastAsia"/>
          <w:b/>
          <w:bCs/>
        </w:rPr>
        <w:t>risk-informed</w:t>
      </w:r>
      <w:bookmarkEnd w:id="36"/>
    </w:p>
    <w:p w:rsidR="00FD607E" w:rsidRDefault="00182B07">
      <w:pPr>
        <w:widowControl/>
        <w:spacing w:line="440" w:lineRule="exact"/>
        <w:ind w:firstLine="420"/>
        <w:rPr>
          <w:kern w:val="0"/>
        </w:rPr>
      </w:pPr>
      <w:r>
        <w:rPr>
          <w:rFonts w:hint="eastAsia"/>
          <w:kern w:val="0"/>
        </w:rPr>
        <w:t>涵盖了风险信息的分析、决策和管理的方法。该方法将风险信息与传统工程分析要考虑的因素结合起来，使得营运单位和核安全监管机构对核动力厂的设计和运行的关注水平与它们对健康和安全的重视程度相一致。</w:t>
      </w:r>
    </w:p>
    <w:p w:rsidR="00FD607E" w:rsidRDefault="00FD607E">
      <w:pPr>
        <w:pStyle w:val="a5"/>
        <w:ind w:left="0"/>
      </w:pPr>
      <w:bookmarkStart w:id="37" w:name="_Toc19109"/>
      <w:bookmarkStart w:id="38" w:name="_Toc11129"/>
      <w:bookmarkEnd w:id="37"/>
      <w:bookmarkEnd w:id="38"/>
    </w:p>
    <w:p w:rsidR="00FD607E" w:rsidRDefault="00182B07">
      <w:pPr>
        <w:pStyle w:val="a5"/>
        <w:numPr>
          <w:ilvl w:val="1"/>
          <w:numId w:val="0"/>
        </w:numPr>
        <w:ind w:firstLineChars="200" w:firstLine="420"/>
        <w:rPr>
          <w:rFonts w:ascii="Times New Roman"/>
        </w:rPr>
      </w:pPr>
      <w:bookmarkStart w:id="39" w:name="_Toc4453"/>
      <w:r>
        <w:rPr>
          <w:rFonts w:hAnsi="黑体" w:cs="黑体" w:hint="eastAsia"/>
        </w:rPr>
        <w:lastRenderedPageBreak/>
        <w:t>安全重要物项</w:t>
      </w:r>
      <w:r>
        <w:rPr>
          <w:rFonts w:hAnsi="黑体" w:cs="黑体" w:hint="eastAsia"/>
        </w:rPr>
        <w:t xml:space="preserve"> </w:t>
      </w:r>
      <w:r>
        <w:rPr>
          <w:rFonts w:ascii="Times New Roman"/>
          <w:b/>
          <w:bCs/>
        </w:rPr>
        <w:t>item</w:t>
      </w:r>
      <w:r>
        <w:rPr>
          <w:rFonts w:hAnsi="黑体" w:cs="黑体" w:hint="eastAsia"/>
        </w:rPr>
        <w:t xml:space="preserve"> </w:t>
      </w:r>
      <w:r>
        <w:rPr>
          <w:rFonts w:ascii="Times New Roman" w:hint="eastAsia"/>
          <w:b/>
          <w:bCs/>
        </w:rPr>
        <w:t>important to safety</w:t>
      </w:r>
      <w:bookmarkEnd w:id="39"/>
    </w:p>
    <w:p w:rsidR="00FD607E" w:rsidRDefault="00182B07">
      <w:pPr>
        <w:widowControl/>
        <w:spacing w:line="440" w:lineRule="exact"/>
        <w:ind w:firstLine="420"/>
        <w:rPr>
          <w:kern w:val="0"/>
        </w:rPr>
      </w:pPr>
      <w:r>
        <w:rPr>
          <w:rFonts w:hint="eastAsia"/>
          <w:kern w:val="0"/>
        </w:rPr>
        <w:t>属于某</w:t>
      </w:r>
      <w:proofErr w:type="gramStart"/>
      <w:r>
        <w:rPr>
          <w:rFonts w:hint="eastAsia"/>
          <w:kern w:val="0"/>
        </w:rPr>
        <w:t>一安全</w:t>
      </w:r>
      <w:proofErr w:type="gramEnd"/>
      <w:r>
        <w:rPr>
          <w:rFonts w:hint="eastAsia"/>
          <w:kern w:val="0"/>
        </w:rPr>
        <w:t>组合的一部分，其失效或故障可能导致对厂区人员或公众的辐射照射的物项。</w:t>
      </w:r>
    </w:p>
    <w:p w:rsidR="00FD607E" w:rsidRDefault="00182B07">
      <w:pPr>
        <w:pStyle w:val="a5"/>
        <w:ind w:left="0"/>
      </w:pPr>
      <w:r>
        <w:rPr>
          <w:rFonts w:hint="eastAsia"/>
        </w:rPr>
        <w:t xml:space="preserve"> </w:t>
      </w:r>
      <w:bookmarkStart w:id="40" w:name="_Toc11691"/>
      <w:bookmarkStart w:id="41" w:name="_Toc8930"/>
      <w:bookmarkEnd w:id="40"/>
      <w:bookmarkEnd w:id="41"/>
    </w:p>
    <w:p w:rsidR="00FD607E" w:rsidRDefault="00182B07">
      <w:pPr>
        <w:pStyle w:val="a5"/>
        <w:numPr>
          <w:ilvl w:val="1"/>
          <w:numId w:val="0"/>
        </w:numPr>
        <w:ind w:firstLineChars="200" w:firstLine="420"/>
        <w:rPr>
          <w:rFonts w:ascii="Times New Roman"/>
        </w:rPr>
      </w:pPr>
      <w:bookmarkStart w:id="42" w:name="_Toc24552"/>
      <w:r>
        <w:rPr>
          <w:rFonts w:hAnsi="黑体" w:cs="黑体" w:hint="eastAsia"/>
        </w:rPr>
        <w:t>防</w:t>
      </w:r>
      <w:r>
        <w:rPr>
          <w:rFonts w:hAnsi="黑体" w:cs="黑体" w:hint="eastAsia"/>
        </w:rPr>
        <w:t>护（缓解）设施</w:t>
      </w:r>
      <w:r>
        <w:rPr>
          <w:rFonts w:hAnsi="黑体" w:cs="黑体" w:hint="eastAsia"/>
        </w:rPr>
        <w:t xml:space="preserve"> </w:t>
      </w:r>
      <w:r>
        <w:rPr>
          <w:rFonts w:ascii="Times New Roman"/>
          <w:b/>
          <w:bCs/>
        </w:rPr>
        <w:t>protective</w:t>
      </w:r>
      <w:r>
        <w:rPr>
          <w:rFonts w:ascii="Times New Roman" w:hint="eastAsia"/>
          <w:b/>
          <w:bCs/>
        </w:rPr>
        <w:t>(mitigating) features</w:t>
      </w:r>
      <w:bookmarkEnd w:id="42"/>
    </w:p>
    <w:p w:rsidR="00FD607E" w:rsidRDefault="00182B07">
      <w:pPr>
        <w:widowControl/>
        <w:spacing w:line="440" w:lineRule="exact"/>
        <w:ind w:firstLineChars="200" w:firstLine="420"/>
        <w:rPr>
          <w:kern w:val="0"/>
        </w:rPr>
      </w:pPr>
      <w:r>
        <w:rPr>
          <w:rFonts w:hint="eastAsia"/>
          <w:kern w:val="0"/>
        </w:rPr>
        <w:t>用于限制淹没影响以保证维持所需功能的非能动或能动设施。</w:t>
      </w:r>
    </w:p>
    <w:p w:rsidR="00FD607E" w:rsidRDefault="00FD607E">
      <w:pPr>
        <w:pStyle w:val="a5"/>
        <w:ind w:left="0"/>
        <w:rPr>
          <w:rFonts w:ascii="Times New Roman"/>
        </w:rPr>
      </w:pPr>
      <w:bookmarkStart w:id="43" w:name="_Toc10026"/>
      <w:bookmarkStart w:id="44" w:name="_Toc8304"/>
      <w:bookmarkEnd w:id="43"/>
      <w:bookmarkEnd w:id="44"/>
    </w:p>
    <w:p w:rsidR="00FD607E" w:rsidRDefault="00182B07">
      <w:pPr>
        <w:pStyle w:val="a5"/>
        <w:numPr>
          <w:ilvl w:val="1"/>
          <w:numId w:val="0"/>
        </w:numPr>
        <w:ind w:firstLineChars="200" w:firstLine="420"/>
        <w:rPr>
          <w:rFonts w:ascii="Times New Roman"/>
        </w:rPr>
      </w:pPr>
      <w:bookmarkStart w:id="45" w:name="_Toc21452"/>
      <w:r>
        <w:rPr>
          <w:rFonts w:hAnsi="黑体" w:cs="黑体" w:hint="eastAsia"/>
        </w:rPr>
        <w:t>淹没</w:t>
      </w:r>
      <w:r>
        <w:rPr>
          <w:rFonts w:ascii="Times New Roman" w:hint="eastAsia"/>
        </w:rPr>
        <w:t xml:space="preserve"> </w:t>
      </w:r>
      <w:r>
        <w:rPr>
          <w:rFonts w:ascii="Times New Roman"/>
          <w:b/>
          <w:bCs/>
        </w:rPr>
        <w:t>flooding</w:t>
      </w:r>
      <w:bookmarkEnd w:id="45"/>
    </w:p>
    <w:p w:rsidR="00FD607E" w:rsidRDefault="00182B07">
      <w:pPr>
        <w:ind w:firstLineChars="200" w:firstLine="420"/>
      </w:pPr>
      <w:r>
        <w:rPr>
          <w:rFonts w:hint="eastAsia"/>
          <w:kern w:val="0"/>
        </w:rPr>
        <w:t>在包含</w:t>
      </w:r>
      <w:proofErr w:type="gramStart"/>
      <w:r>
        <w:rPr>
          <w:rFonts w:hint="eastAsia"/>
          <w:kern w:val="0"/>
        </w:rPr>
        <w:t>安全停</w:t>
      </w:r>
      <w:proofErr w:type="gramEnd"/>
      <w:r>
        <w:rPr>
          <w:rFonts w:hint="eastAsia"/>
          <w:kern w:val="0"/>
        </w:rPr>
        <w:t>堆、应急堆芯冷却所必需的，或者其失效会导致公众受到的剂量当量超过国家规定限值的构筑物、系统和部件的厂房内，以蓄积、流动或者喷射等异常方式出现大量流体。</w:t>
      </w:r>
    </w:p>
    <w:p w:rsidR="00FD607E" w:rsidRDefault="00FD607E">
      <w:pPr>
        <w:pStyle w:val="a5"/>
        <w:ind w:left="0"/>
        <w:rPr>
          <w:rFonts w:ascii="Times New Roman"/>
        </w:rPr>
      </w:pPr>
      <w:bookmarkStart w:id="46" w:name="_Toc30852"/>
      <w:bookmarkStart w:id="47" w:name="_Toc10959"/>
      <w:bookmarkEnd w:id="46"/>
      <w:bookmarkEnd w:id="47"/>
    </w:p>
    <w:p w:rsidR="00FD607E" w:rsidRDefault="00182B07">
      <w:pPr>
        <w:pStyle w:val="a5"/>
        <w:numPr>
          <w:ilvl w:val="1"/>
          <w:numId w:val="0"/>
        </w:numPr>
        <w:ind w:firstLineChars="200" w:firstLine="420"/>
        <w:rPr>
          <w:rFonts w:ascii="Times New Roman"/>
        </w:rPr>
      </w:pPr>
      <w:bookmarkStart w:id="48" w:name="_Toc8884"/>
      <w:r>
        <w:rPr>
          <w:rFonts w:hAnsi="黑体" w:cs="黑体" w:hint="eastAsia"/>
        </w:rPr>
        <w:t>可居留性</w:t>
      </w:r>
      <w:r>
        <w:rPr>
          <w:rFonts w:ascii="Times New Roman" w:hint="eastAsia"/>
        </w:rPr>
        <w:t xml:space="preserve"> </w:t>
      </w:r>
      <w:r>
        <w:rPr>
          <w:rFonts w:ascii="Times New Roman" w:hint="eastAsia"/>
          <w:b/>
          <w:bCs/>
        </w:rPr>
        <w:t>habitability</w:t>
      </w:r>
      <w:bookmarkEnd w:id="48"/>
    </w:p>
    <w:p w:rsidR="00FD607E" w:rsidRDefault="00182B07">
      <w:pPr>
        <w:widowControl/>
        <w:spacing w:line="440" w:lineRule="exact"/>
        <w:ind w:firstLineChars="200" w:firstLine="420"/>
        <w:rPr>
          <w:kern w:val="0"/>
        </w:rPr>
      </w:pPr>
      <w:r>
        <w:rPr>
          <w:kern w:val="0"/>
        </w:rPr>
        <w:t>用于描述某一区域是否满足可以在其中连续或暂时居留的程度</w:t>
      </w:r>
      <w:r>
        <w:rPr>
          <w:rFonts w:hint="eastAsia"/>
          <w:kern w:val="0"/>
        </w:rPr>
        <w:t>。</w:t>
      </w:r>
    </w:p>
    <w:p w:rsidR="00FD607E" w:rsidRDefault="00182B07">
      <w:pPr>
        <w:pStyle w:val="a4"/>
        <w:ind w:left="0"/>
        <w:rPr>
          <w:szCs w:val="21"/>
        </w:rPr>
      </w:pPr>
      <w:bookmarkStart w:id="49" w:name="_Toc6738"/>
      <w:bookmarkStart w:id="50" w:name="_Toc5038"/>
      <w:bookmarkStart w:id="51" w:name="_Toc15421_WPSOffice_Level1"/>
      <w:bookmarkStart w:id="52" w:name="_Toc90808320"/>
      <w:r>
        <w:rPr>
          <w:rFonts w:hint="eastAsia"/>
          <w:szCs w:val="21"/>
        </w:rPr>
        <w:t>内部水淹总体防护原则</w:t>
      </w:r>
      <w:bookmarkEnd w:id="49"/>
      <w:bookmarkEnd w:id="50"/>
      <w:bookmarkEnd w:id="51"/>
      <w:bookmarkEnd w:id="52"/>
    </w:p>
    <w:p w:rsidR="00FD607E" w:rsidRDefault="00182B07">
      <w:pPr>
        <w:pStyle w:val="a5"/>
        <w:ind w:left="0"/>
      </w:pPr>
      <w:bookmarkStart w:id="53" w:name="_Toc8709"/>
      <w:bookmarkStart w:id="54" w:name="_Toc90808321"/>
      <w:bookmarkStart w:id="55" w:name="_Toc2165"/>
      <w:bookmarkStart w:id="56" w:name="_Toc16852_WPSOffice_Level2"/>
      <w:bookmarkStart w:id="57" w:name="_Toc23011"/>
      <w:bookmarkStart w:id="58" w:name="_Toc1621"/>
      <w:bookmarkStart w:id="59" w:name="_Toc21741"/>
      <w:r>
        <w:rPr>
          <w:rFonts w:hint="eastAsia"/>
        </w:rPr>
        <w:t>防护目标</w:t>
      </w:r>
      <w:bookmarkEnd w:id="53"/>
      <w:bookmarkEnd w:id="54"/>
      <w:bookmarkEnd w:id="55"/>
      <w:bookmarkEnd w:id="56"/>
    </w:p>
    <w:p w:rsidR="00FD607E" w:rsidRDefault="00182B07">
      <w:pPr>
        <w:pStyle w:val="afff1"/>
      </w:pPr>
      <w:r>
        <w:rPr>
          <w:rFonts w:hint="eastAsia"/>
        </w:rPr>
        <w:t>内部水淹防护设计应保证以下功能的实现：</w:t>
      </w:r>
    </w:p>
    <w:p w:rsidR="00FD607E" w:rsidRDefault="00182B07">
      <w:pPr>
        <w:widowControl/>
        <w:numPr>
          <w:ilvl w:val="0"/>
          <w:numId w:val="19"/>
        </w:numPr>
        <w:tabs>
          <w:tab w:val="left" w:pos="420"/>
        </w:tabs>
        <w:spacing w:line="440" w:lineRule="exact"/>
        <w:rPr>
          <w:kern w:val="0"/>
        </w:rPr>
      </w:pPr>
      <w:r>
        <w:rPr>
          <w:rFonts w:hint="eastAsia"/>
          <w:kern w:val="0"/>
        </w:rPr>
        <w:t>内部水淹应能保证不会造成用于实现基本安全功能的系统、设备和构筑物的丧失；</w:t>
      </w:r>
    </w:p>
    <w:p w:rsidR="00FD607E" w:rsidRDefault="00182B07">
      <w:pPr>
        <w:widowControl/>
        <w:numPr>
          <w:ilvl w:val="0"/>
          <w:numId w:val="19"/>
        </w:numPr>
        <w:tabs>
          <w:tab w:val="left" w:pos="420"/>
        </w:tabs>
        <w:spacing w:line="440" w:lineRule="exact"/>
        <w:rPr>
          <w:kern w:val="0"/>
        </w:rPr>
      </w:pPr>
      <w:r>
        <w:rPr>
          <w:rFonts w:hint="eastAsia"/>
          <w:kern w:val="0"/>
        </w:rPr>
        <w:t>内部水淹不能影响主控制室的可居留性，且不能妨碍接近（或就地启动）实现基本安全功能所需要的设备；</w:t>
      </w:r>
    </w:p>
    <w:p w:rsidR="00FD607E" w:rsidRDefault="00182B07">
      <w:pPr>
        <w:widowControl/>
        <w:numPr>
          <w:ilvl w:val="0"/>
          <w:numId w:val="19"/>
        </w:numPr>
        <w:tabs>
          <w:tab w:val="left" w:pos="420"/>
        </w:tabs>
        <w:spacing w:line="440" w:lineRule="exact"/>
        <w:rPr>
          <w:kern w:val="0"/>
        </w:rPr>
      </w:pPr>
      <w:r>
        <w:rPr>
          <w:rFonts w:hint="eastAsia"/>
          <w:kern w:val="0"/>
        </w:rPr>
        <w:t>内部水淹不能影响来自</w:t>
      </w:r>
      <w:r>
        <w:rPr>
          <w:kern w:val="0"/>
        </w:rPr>
        <w:t>风险指引分析</w:t>
      </w:r>
      <w:r>
        <w:rPr>
          <w:rFonts w:hint="eastAsia"/>
          <w:kern w:val="0"/>
        </w:rPr>
        <w:t>结果的风险重要设备</w:t>
      </w:r>
      <w:r>
        <w:rPr>
          <w:kern w:val="0"/>
        </w:rPr>
        <w:t>及多模块</w:t>
      </w:r>
      <w:r>
        <w:rPr>
          <w:rFonts w:hint="eastAsia"/>
          <w:kern w:val="0"/>
        </w:rPr>
        <w:t>共用设备。</w:t>
      </w:r>
    </w:p>
    <w:p w:rsidR="00FD607E" w:rsidRDefault="00182B07">
      <w:pPr>
        <w:pStyle w:val="a5"/>
        <w:ind w:left="0"/>
      </w:pPr>
      <w:bookmarkStart w:id="60" w:name="_Toc30599"/>
      <w:bookmarkStart w:id="61" w:name="_Toc7660"/>
      <w:r>
        <w:rPr>
          <w:rFonts w:hint="eastAsia"/>
        </w:rPr>
        <w:t>防护设计要求</w:t>
      </w:r>
      <w:bookmarkEnd w:id="60"/>
      <w:bookmarkEnd w:id="61"/>
    </w:p>
    <w:p w:rsidR="00FD607E" w:rsidRDefault="00182B07">
      <w:pPr>
        <w:pStyle w:val="afffffff1"/>
        <w:widowControl/>
        <w:spacing w:line="440" w:lineRule="exact"/>
        <w:rPr>
          <w:kern w:val="0"/>
        </w:rPr>
      </w:pPr>
      <w:r>
        <w:rPr>
          <w:rFonts w:hint="eastAsia"/>
          <w:kern w:val="0"/>
        </w:rPr>
        <w:t>内部水淹防护应从预防和防护两方面进行设计。</w:t>
      </w:r>
      <w:r>
        <w:rPr>
          <w:kern w:val="0"/>
        </w:rPr>
        <w:t>内部水淹预防是采取措施预防内部水淹始发事件发生或降低其发生的可能性。</w:t>
      </w:r>
      <w:r>
        <w:rPr>
          <w:rFonts w:hint="eastAsia"/>
          <w:kern w:val="0"/>
        </w:rPr>
        <w:t>内部水淹防护是通过采用</w:t>
      </w:r>
      <w:r>
        <w:rPr>
          <w:kern w:val="0"/>
        </w:rPr>
        <w:t>泄漏探测和隔离的方式来控制和缓解内部水淹的后果。</w:t>
      </w:r>
    </w:p>
    <w:p w:rsidR="00FD607E" w:rsidRDefault="00182B07">
      <w:pPr>
        <w:pStyle w:val="a6"/>
        <w:spacing w:before="156" w:after="156"/>
        <w:ind w:left="0"/>
      </w:pPr>
      <w:r>
        <w:rPr>
          <w:rFonts w:hint="eastAsia"/>
        </w:rPr>
        <w:t>内部水淹预防</w:t>
      </w:r>
    </w:p>
    <w:p w:rsidR="00FD607E" w:rsidRDefault="00182B07">
      <w:pPr>
        <w:widowControl/>
        <w:numPr>
          <w:ilvl w:val="0"/>
          <w:numId w:val="20"/>
        </w:numPr>
        <w:tabs>
          <w:tab w:val="left" w:pos="420"/>
        </w:tabs>
        <w:spacing w:line="440" w:lineRule="exact"/>
        <w:rPr>
          <w:kern w:val="0"/>
        </w:rPr>
      </w:pPr>
      <w:r>
        <w:rPr>
          <w:kern w:val="0"/>
        </w:rPr>
        <w:t>应提供足够的监督措施，如对可能发生破裂或泄漏的容器或管道进行定</w:t>
      </w:r>
      <w:r>
        <w:rPr>
          <w:kern w:val="0"/>
        </w:rPr>
        <w:t>期检查，尽可能地减少管道破裂的可能性</w:t>
      </w:r>
      <w:r>
        <w:rPr>
          <w:rFonts w:hint="eastAsia"/>
          <w:kern w:val="0"/>
        </w:rPr>
        <w:t>；</w:t>
      </w:r>
    </w:p>
    <w:p w:rsidR="00FD607E" w:rsidRDefault="00182B07">
      <w:pPr>
        <w:widowControl/>
        <w:numPr>
          <w:ilvl w:val="0"/>
          <w:numId w:val="20"/>
        </w:numPr>
        <w:tabs>
          <w:tab w:val="left" w:pos="420"/>
        </w:tabs>
        <w:spacing w:line="440" w:lineRule="exact"/>
        <w:rPr>
          <w:kern w:val="0"/>
        </w:rPr>
      </w:pPr>
      <w:r>
        <w:rPr>
          <w:kern w:val="0"/>
        </w:rPr>
        <w:lastRenderedPageBreak/>
        <w:t>在设计中应提供预防水箱满溢的措施（如</w:t>
      </w:r>
      <w:r>
        <w:rPr>
          <w:rFonts w:hint="eastAsia"/>
          <w:kern w:val="0"/>
        </w:rPr>
        <w:t>水位</w:t>
      </w:r>
      <w:r>
        <w:rPr>
          <w:kern w:val="0"/>
        </w:rPr>
        <w:t>传感器、</w:t>
      </w:r>
      <w:r>
        <w:rPr>
          <w:rFonts w:hint="eastAsia"/>
          <w:kern w:val="0"/>
        </w:rPr>
        <w:t>自动</w:t>
      </w:r>
      <w:proofErr w:type="gramStart"/>
      <w:r>
        <w:rPr>
          <w:rFonts w:hint="eastAsia"/>
          <w:kern w:val="0"/>
        </w:rPr>
        <w:t>联锁</w:t>
      </w:r>
      <w:proofErr w:type="gramEnd"/>
      <w:r>
        <w:rPr>
          <w:rFonts w:hint="eastAsia"/>
          <w:kern w:val="0"/>
        </w:rPr>
        <w:t>等</w:t>
      </w:r>
      <w:r>
        <w:rPr>
          <w:kern w:val="0"/>
        </w:rPr>
        <w:t>），以</w:t>
      </w:r>
      <w:r>
        <w:rPr>
          <w:rFonts w:hint="eastAsia"/>
          <w:kern w:val="0"/>
        </w:rPr>
        <w:t>避免</w:t>
      </w:r>
      <w:r>
        <w:rPr>
          <w:kern w:val="0"/>
        </w:rPr>
        <w:t>由于水箱满溢导致的内部水淹</w:t>
      </w:r>
      <w:r>
        <w:rPr>
          <w:rFonts w:hint="eastAsia"/>
          <w:kern w:val="0"/>
        </w:rPr>
        <w:t>；</w:t>
      </w:r>
    </w:p>
    <w:p w:rsidR="00FD607E" w:rsidRDefault="00182B07">
      <w:pPr>
        <w:widowControl/>
        <w:numPr>
          <w:ilvl w:val="0"/>
          <w:numId w:val="20"/>
        </w:numPr>
        <w:tabs>
          <w:tab w:val="left" w:pos="420"/>
        </w:tabs>
        <w:spacing w:line="440" w:lineRule="exact"/>
        <w:rPr>
          <w:kern w:val="0"/>
        </w:rPr>
      </w:pPr>
      <w:r>
        <w:rPr>
          <w:rFonts w:hint="eastAsia"/>
          <w:kern w:val="0"/>
        </w:rPr>
        <w:t>应</w:t>
      </w:r>
      <w:r>
        <w:rPr>
          <w:kern w:val="0"/>
        </w:rPr>
        <w:t>合理布置</w:t>
      </w:r>
      <w:r>
        <w:rPr>
          <w:rFonts w:hint="eastAsia"/>
          <w:kern w:val="0"/>
        </w:rPr>
        <w:t>以</w:t>
      </w:r>
      <w:r>
        <w:rPr>
          <w:kern w:val="0"/>
        </w:rPr>
        <w:t>减少内部水淹源</w:t>
      </w:r>
      <w:r>
        <w:rPr>
          <w:kern w:val="0"/>
        </w:rPr>
        <w:t>对</w:t>
      </w:r>
      <w:r>
        <w:rPr>
          <w:rFonts w:hint="eastAsia"/>
          <w:szCs w:val="20"/>
        </w:rPr>
        <w:t>核安全重要物项以及易受水</w:t>
      </w:r>
      <w:proofErr w:type="gramStart"/>
      <w:r>
        <w:rPr>
          <w:rFonts w:hint="eastAsia"/>
          <w:szCs w:val="20"/>
        </w:rPr>
        <w:t>淹</w:t>
      </w:r>
      <w:proofErr w:type="gramEnd"/>
      <w:r>
        <w:rPr>
          <w:rFonts w:hint="eastAsia"/>
          <w:szCs w:val="20"/>
        </w:rPr>
        <w:t>影响设备</w:t>
      </w:r>
      <w:r>
        <w:rPr>
          <w:kern w:val="0"/>
        </w:rPr>
        <w:t>的影响</w:t>
      </w:r>
      <w:r>
        <w:rPr>
          <w:rFonts w:hint="eastAsia"/>
          <w:kern w:val="0"/>
        </w:rPr>
        <w:t>，主要要求包括</w:t>
      </w:r>
      <w:r>
        <w:rPr>
          <w:kern w:val="0"/>
        </w:rPr>
        <w:t>：</w:t>
      </w:r>
    </w:p>
    <w:p w:rsidR="00FD607E" w:rsidRDefault="00182B07">
      <w:pPr>
        <w:widowControl/>
        <w:numPr>
          <w:ilvl w:val="0"/>
          <w:numId w:val="21"/>
        </w:numPr>
        <w:tabs>
          <w:tab w:val="clear" w:pos="840"/>
          <w:tab w:val="left" w:pos="420"/>
        </w:tabs>
        <w:spacing w:line="440" w:lineRule="exact"/>
        <w:rPr>
          <w:kern w:val="0"/>
        </w:rPr>
      </w:pPr>
      <w:proofErr w:type="gramStart"/>
      <w:r>
        <w:rPr>
          <w:kern w:val="0"/>
        </w:rPr>
        <w:t>除运行</w:t>
      </w:r>
      <w:proofErr w:type="gramEnd"/>
      <w:r>
        <w:rPr>
          <w:kern w:val="0"/>
        </w:rPr>
        <w:t>所需设备外，房间内应尽量避免安装其它液体管道；</w:t>
      </w:r>
    </w:p>
    <w:p w:rsidR="00FD607E" w:rsidRDefault="00182B07">
      <w:pPr>
        <w:widowControl/>
        <w:numPr>
          <w:ilvl w:val="0"/>
          <w:numId w:val="21"/>
        </w:numPr>
        <w:tabs>
          <w:tab w:val="clear" w:pos="840"/>
          <w:tab w:val="left" w:pos="420"/>
        </w:tabs>
        <w:spacing w:line="440" w:lineRule="exact"/>
        <w:rPr>
          <w:kern w:val="0"/>
        </w:rPr>
      </w:pPr>
      <w:r>
        <w:rPr>
          <w:kern w:val="0"/>
        </w:rPr>
        <w:t>主控室内应避免布置液体管道；</w:t>
      </w:r>
    </w:p>
    <w:p w:rsidR="00FD607E" w:rsidRDefault="00182B07">
      <w:pPr>
        <w:widowControl/>
        <w:numPr>
          <w:ilvl w:val="0"/>
          <w:numId w:val="21"/>
        </w:numPr>
        <w:tabs>
          <w:tab w:val="clear" w:pos="840"/>
          <w:tab w:val="left" w:pos="420"/>
        </w:tabs>
        <w:spacing w:line="440" w:lineRule="exact"/>
        <w:rPr>
          <w:kern w:val="0"/>
        </w:rPr>
      </w:pPr>
      <w:r>
        <w:rPr>
          <w:kern w:val="0"/>
        </w:rPr>
        <w:t>电气、</w:t>
      </w:r>
      <w:proofErr w:type="gramStart"/>
      <w:r>
        <w:rPr>
          <w:kern w:val="0"/>
        </w:rPr>
        <w:t>仪控机柜</w:t>
      </w:r>
      <w:proofErr w:type="gramEnd"/>
      <w:r>
        <w:rPr>
          <w:kern w:val="0"/>
        </w:rPr>
        <w:t>间内应尽量避免布置液体管道；</w:t>
      </w:r>
    </w:p>
    <w:p w:rsidR="00FD607E" w:rsidRDefault="00182B07">
      <w:pPr>
        <w:widowControl/>
        <w:numPr>
          <w:ilvl w:val="0"/>
          <w:numId w:val="21"/>
        </w:numPr>
        <w:tabs>
          <w:tab w:val="clear" w:pos="840"/>
          <w:tab w:val="left" w:pos="420"/>
        </w:tabs>
        <w:spacing w:line="440" w:lineRule="exact"/>
        <w:rPr>
          <w:kern w:val="0"/>
        </w:rPr>
      </w:pPr>
      <w:r>
        <w:rPr>
          <w:kern w:val="0"/>
        </w:rPr>
        <w:t>反应堆核燃料干</w:t>
      </w:r>
      <w:proofErr w:type="gramStart"/>
      <w:r>
        <w:rPr>
          <w:kern w:val="0"/>
        </w:rPr>
        <w:t>贮存区</w:t>
      </w:r>
      <w:proofErr w:type="gramEnd"/>
      <w:r>
        <w:rPr>
          <w:kern w:val="0"/>
        </w:rPr>
        <w:t>应避免布置液体管道；</w:t>
      </w:r>
    </w:p>
    <w:p w:rsidR="00FD607E" w:rsidRDefault="00182B07">
      <w:pPr>
        <w:widowControl/>
        <w:numPr>
          <w:ilvl w:val="0"/>
          <w:numId w:val="21"/>
        </w:numPr>
        <w:tabs>
          <w:tab w:val="clear" w:pos="840"/>
          <w:tab w:val="left" w:pos="420"/>
        </w:tabs>
        <w:spacing w:line="440" w:lineRule="exact"/>
        <w:rPr>
          <w:kern w:val="0"/>
        </w:rPr>
      </w:pPr>
      <w:r>
        <w:rPr>
          <w:rFonts w:hint="eastAsia"/>
          <w:kern w:val="0"/>
        </w:rPr>
        <w:t>应</w:t>
      </w:r>
      <w:r>
        <w:rPr>
          <w:kern w:val="0"/>
        </w:rPr>
        <w:t>尽量在核安全相关物项所在房间设置干式消防系统；</w:t>
      </w:r>
    </w:p>
    <w:p w:rsidR="00FD607E" w:rsidRDefault="00182B07">
      <w:pPr>
        <w:widowControl/>
        <w:numPr>
          <w:ilvl w:val="0"/>
          <w:numId w:val="21"/>
        </w:numPr>
        <w:tabs>
          <w:tab w:val="clear" w:pos="840"/>
          <w:tab w:val="left" w:pos="420"/>
        </w:tabs>
        <w:spacing w:line="440" w:lineRule="exact"/>
        <w:rPr>
          <w:kern w:val="0"/>
        </w:rPr>
      </w:pPr>
      <w:r>
        <w:rPr>
          <w:kern w:val="0"/>
        </w:rPr>
        <w:t>管道布置应尽量避免在任一隔间内发生内部水淹导致隔间之间发生的虹吸现象。如果不能避免，应提供防虹吸装置；</w:t>
      </w:r>
    </w:p>
    <w:p w:rsidR="00FD607E" w:rsidRDefault="00182B07">
      <w:pPr>
        <w:widowControl/>
        <w:numPr>
          <w:ilvl w:val="0"/>
          <w:numId w:val="21"/>
        </w:numPr>
        <w:tabs>
          <w:tab w:val="clear" w:pos="840"/>
          <w:tab w:val="left" w:pos="420"/>
        </w:tabs>
        <w:spacing w:line="440" w:lineRule="exact"/>
        <w:rPr>
          <w:kern w:val="0"/>
        </w:rPr>
      </w:pPr>
      <w:r>
        <w:rPr>
          <w:kern w:val="0"/>
        </w:rPr>
        <w:t>电缆桥架的布置应避免内部水淹从电缆托盘的位置漫延到核安全重要物项所在房间</w:t>
      </w:r>
      <w:r>
        <w:rPr>
          <w:rFonts w:hint="eastAsia"/>
          <w:kern w:val="0"/>
        </w:rPr>
        <w:t>。</w:t>
      </w:r>
    </w:p>
    <w:p w:rsidR="00FD607E" w:rsidRDefault="00182B07">
      <w:pPr>
        <w:pStyle w:val="a6"/>
        <w:spacing w:before="156" w:after="156"/>
        <w:ind w:left="0"/>
      </w:pPr>
      <w:r>
        <w:rPr>
          <w:rFonts w:hint="eastAsia"/>
        </w:rPr>
        <w:t>内部水淹防护</w:t>
      </w:r>
    </w:p>
    <w:p w:rsidR="00FD607E" w:rsidRDefault="00182B07">
      <w:pPr>
        <w:widowControl/>
        <w:numPr>
          <w:ilvl w:val="0"/>
          <w:numId w:val="22"/>
        </w:numPr>
        <w:tabs>
          <w:tab w:val="left" w:pos="420"/>
        </w:tabs>
        <w:spacing w:line="440" w:lineRule="exact"/>
        <w:rPr>
          <w:kern w:val="0"/>
        </w:rPr>
      </w:pPr>
      <w:bookmarkStart w:id="62" w:name="_Toc132640052"/>
      <w:r>
        <w:rPr>
          <w:rFonts w:hint="eastAsia"/>
          <w:kern w:val="0"/>
        </w:rPr>
        <w:t>应</w:t>
      </w:r>
      <w:r>
        <w:rPr>
          <w:kern w:val="0"/>
        </w:rPr>
        <w:t>设置排水设施，如地漏、排水沟、排水泵</w:t>
      </w:r>
      <w:r>
        <w:rPr>
          <w:rFonts w:hint="eastAsia"/>
          <w:kern w:val="0"/>
        </w:rPr>
        <w:t>、</w:t>
      </w:r>
      <w:r>
        <w:rPr>
          <w:kern w:val="0"/>
        </w:rPr>
        <w:t>排水管线等排水设施将水输送到最终汇集点</w:t>
      </w:r>
      <w:r>
        <w:rPr>
          <w:rFonts w:hint="eastAsia"/>
          <w:kern w:val="0"/>
        </w:rPr>
        <w:t>；</w:t>
      </w:r>
    </w:p>
    <w:p w:rsidR="00FD607E" w:rsidRDefault="00182B07">
      <w:pPr>
        <w:widowControl/>
        <w:numPr>
          <w:ilvl w:val="0"/>
          <w:numId w:val="22"/>
        </w:numPr>
        <w:tabs>
          <w:tab w:val="left" w:pos="420"/>
        </w:tabs>
        <w:spacing w:line="440" w:lineRule="exact"/>
        <w:rPr>
          <w:kern w:val="0"/>
        </w:rPr>
      </w:pPr>
      <w:r>
        <w:rPr>
          <w:kern w:val="0"/>
        </w:rPr>
        <w:t>应采取措施限制由于内部水淹的水淹源所引起的水淹漫延：</w:t>
      </w:r>
    </w:p>
    <w:p w:rsidR="00FD607E" w:rsidRDefault="00182B07">
      <w:pPr>
        <w:widowControl/>
        <w:numPr>
          <w:ilvl w:val="0"/>
          <w:numId w:val="23"/>
        </w:numPr>
        <w:tabs>
          <w:tab w:val="clear" w:pos="840"/>
          <w:tab w:val="left" w:pos="420"/>
        </w:tabs>
        <w:spacing w:line="440" w:lineRule="exact"/>
        <w:rPr>
          <w:kern w:val="0"/>
        </w:rPr>
      </w:pPr>
      <w:r>
        <w:rPr>
          <w:kern w:val="0"/>
        </w:rPr>
        <w:t>通过设置门槛、挡水堰等方式限制内部水淹的漫延，以尽可能减少</w:t>
      </w:r>
      <w:r>
        <w:rPr>
          <w:rFonts w:hint="eastAsia"/>
          <w:kern w:val="0"/>
        </w:rPr>
        <w:t>安全重要物项</w:t>
      </w:r>
      <w:r>
        <w:rPr>
          <w:kern w:val="0"/>
        </w:rPr>
        <w:t>所在区域受到内部水淹的影响</w:t>
      </w:r>
      <w:r>
        <w:rPr>
          <w:rFonts w:hint="eastAsia"/>
          <w:kern w:val="0"/>
        </w:rPr>
        <w:t>，并</w:t>
      </w:r>
      <w:r>
        <w:rPr>
          <w:kern w:val="0"/>
        </w:rPr>
        <w:t>避免单模块的内部水淹漫延造成多模块的水淹风险；</w:t>
      </w:r>
    </w:p>
    <w:p w:rsidR="00FD607E" w:rsidRDefault="00182B07">
      <w:pPr>
        <w:widowControl/>
        <w:numPr>
          <w:ilvl w:val="0"/>
          <w:numId w:val="23"/>
        </w:numPr>
        <w:tabs>
          <w:tab w:val="clear" w:pos="840"/>
          <w:tab w:val="left" w:pos="420"/>
        </w:tabs>
        <w:spacing w:line="440" w:lineRule="exact"/>
        <w:rPr>
          <w:kern w:val="0"/>
        </w:rPr>
      </w:pPr>
      <w:r>
        <w:rPr>
          <w:kern w:val="0"/>
        </w:rPr>
        <w:t>应尽可能将内部水淹的影响范围限定于</w:t>
      </w:r>
      <w:r>
        <w:rPr>
          <w:kern w:val="0"/>
        </w:rPr>
        <w:t>安全系统的一个系列；如</w:t>
      </w:r>
      <w:r>
        <w:rPr>
          <w:rFonts w:hint="eastAsia"/>
          <w:kern w:val="0"/>
        </w:rPr>
        <w:t>无法满足该要求</w:t>
      </w:r>
      <w:r>
        <w:rPr>
          <w:kern w:val="0"/>
        </w:rPr>
        <w:t>，</w:t>
      </w:r>
      <w:r>
        <w:rPr>
          <w:rFonts w:hint="eastAsia"/>
          <w:kern w:val="0"/>
        </w:rPr>
        <w:t>则</w:t>
      </w:r>
      <w:r>
        <w:rPr>
          <w:kern w:val="0"/>
        </w:rPr>
        <w:t>应采取</w:t>
      </w:r>
      <w:r>
        <w:rPr>
          <w:rFonts w:hint="eastAsia"/>
          <w:kern w:val="0"/>
        </w:rPr>
        <w:t>其它</w:t>
      </w:r>
      <w:r>
        <w:rPr>
          <w:kern w:val="0"/>
        </w:rPr>
        <w:t>措施，避免由于内部水淹对安全系统的多个系列造成</w:t>
      </w:r>
      <w:r>
        <w:rPr>
          <w:rFonts w:hint="eastAsia"/>
          <w:kern w:val="0"/>
        </w:rPr>
        <w:t>影响</w:t>
      </w:r>
      <w:r>
        <w:rPr>
          <w:kern w:val="0"/>
        </w:rPr>
        <w:t>；</w:t>
      </w:r>
    </w:p>
    <w:p w:rsidR="00FD607E" w:rsidRDefault="00182B07">
      <w:pPr>
        <w:widowControl/>
        <w:numPr>
          <w:ilvl w:val="0"/>
          <w:numId w:val="23"/>
        </w:numPr>
        <w:tabs>
          <w:tab w:val="clear" w:pos="840"/>
          <w:tab w:val="left" w:pos="420"/>
        </w:tabs>
        <w:spacing w:line="440" w:lineRule="exact"/>
        <w:rPr>
          <w:kern w:val="0"/>
        </w:rPr>
      </w:pPr>
      <w:r>
        <w:rPr>
          <w:kern w:val="0"/>
        </w:rPr>
        <w:t>多个反应堆模块执行</w:t>
      </w:r>
      <w:r>
        <w:rPr>
          <w:rFonts w:hint="eastAsia"/>
          <w:kern w:val="0"/>
        </w:rPr>
        <w:t>相同</w:t>
      </w:r>
      <w:r>
        <w:rPr>
          <w:kern w:val="0"/>
        </w:rPr>
        <w:t>功能的</w:t>
      </w:r>
      <w:r>
        <w:rPr>
          <w:rFonts w:hint="eastAsia"/>
          <w:kern w:val="0"/>
        </w:rPr>
        <w:t>系统或</w:t>
      </w:r>
      <w:r>
        <w:rPr>
          <w:kern w:val="0"/>
        </w:rPr>
        <w:t>设备布置在一起时，应采取相应措施，避免由于内部水淹及其漫延造成多模块设备的水淹风险；</w:t>
      </w:r>
    </w:p>
    <w:p w:rsidR="00FD607E" w:rsidRDefault="00182B07">
      <w:pPr>
        <w:widowControl/>
        <w:numPr>
          <w:ilvl w:val="0"/>
          <w:numId w:val="23"/>
        </w:numPr>
        <w:tabs>
          <w:tab w:val="clear" w:pos="840"/>
          <w:tab w:val="left" w:pos="420"/>
        </w:tabs>
        <w:spacing w:line="440" w:lineRule="exact"/>
        <w:rPr>
          <w:kern w:val="0"/>
        </w:rPr>
      </w:pPr>
      <w:r>
        <w:rPr>
          <w:kern w:val="0"/>
        </w:rPr>
        <w:t>需防护的设备安装高度</w:t>
      </w:r>
      <w:r>
        <w:rPr>
          <w:rFonts w:hint="eastAsia"/>
          <w:kern w:val="0"/>
        </w:rPr>
        <w:t>应高于</w:t>
      </w:r>
      <w:r>
        <w:rPr>
          <w:kern w:val="0"/>
        </w:rPr>
        <w:t>最大内部水淹水位</w:t>
      </w:r>
      <w:r>
        <w:rPr>
          <w:rFonts w:hint="eastAsia"/>
          <w:kern w:val="0"/>
        </w:rPr>
        <w:t>，如设计上无法满足，则应</w:t>
      </w:r>
      <w:r>
        <w:rPr>
          <w:kern w:val="0"/>
        </w:rPr>
        <w:t>证明其能在水淹情况下运行。</w:t>
      </w:r>
    </w:p>
    <w:p w:rsidR="00FD607E" w:rsidRDefault="00182B07">
      <w:pPr>
        <w:widowControl/>
        <w:numPr>
          <w:ilvl w:val="0"/>
          <w:numId w:val="22"/>
        </w:numPr>
        <w:tabs>
          <w:tab w:val="left" w:pos="420"/>
        </w:tabs>
        <w:spacing w:line="440" w:lineRule="exact"/>
        <w:rPr>
          <w:kern w:val="0"/>
        </w:rPr>
      </w:pPr>
      <w:r>
        <w:rPr>
          <w:kern w:val="0"/>
        </w:rPr>
        <w:t>应设置泄漏的监测和隔离措施</w:t>
      </w:r>
      <w:r>
        <w:rPr>
          <w:rFonts w:hint="eastAsia"/>
          <w:kern w:val="0"/>
        </w:rPr>
        <w:t>，包括</w:t>
      </w:r>
      <w:r>
        <w:rPr>
          <w:kern w:val="0"/>
        </w:rPr>
        <w:t>：</w:t>
      </w:r>
    </w:p>
    <w:p w:rsidR="00FD607E" w:rsidRDefault="00182B07">
      <w:pPr>
        <w:widowControl/>
        <w:numPr>
          <w:ilvl w:val="0"/>
          <w:numId w:val="24"/>
        </w:numPr>
        <w:tabs>
          <w:tab w:val="clear" w:pos="840"/>
          <w:tab w:val="left" w:pos="420"/>
        </w:tabs>
        <w:spacing w:line="440" w:lineRule="exact"/>
        <w:rPr>
          <w:kern w:val="0"/>
        </w:rPr>
      </w:pPr>
      <w:r>
        <w:rPr>
          <w:kern w:val="0"/>
        </w:rPr>
        <w:t>应设置</w:t>
      </w:r>
      <w:proofErr w:type="gramStart"/>
      <w:r>
        <w:rPr>
          <w:kern w:val="0"/>
        </w:rPr>
        <w:t>地坑液位</w:t>
      </w:r>
      <w:proofErr w:type="gramEnd"/>
      <w:r>
        <w:rPr>
          <w:kern w:val="0"/>
        </w:rPr>
        <w:t>探测</w:t>
      </w:r>
      <w:r>
        <w:rPr>
          <w:rFonts w:hint="eastAsia"/>
          <w:kern w:val="0"/>
        </w:rPr>
        <w:t>器，并在</w:t>
      </w:r>
      <w:r>
        <w:rPr>
          <w:kern w:val="0"/>
        </w:rPr>
        <w:t>主控室中</w:t>
      </w:r>
      <w:r>
        <w:rPr>
          <w:rFonts w:hint="eastAsia"/>
          <w:kern w:val="0"/>
        </w:rPr>
        <w:t>设置相应的</w:t>
      </w:r>
      <w:r>
        <w:rPr>
          <w:kern w:val="0"/>
        </w:rPr>
        <w:t>报警</w:t>
      </w:r>
      <w:r>
        <w:rPr>
          <w:rFonts w:hint="eastAsia"/>
          <w:kern w:val="0"/>
        </w:rPr>
        <w:t>信号</w:t>
      </w:r>
      <w:r>
        <w:rPr>
          <w:kern w:val="0"/>
        </w:rPr>
        <w:t>；</w:t>
      </w:r>
    </w:p>
    <w:p w:rsidR="00FD607E" w:rsidRDefault="00182B07">
      <w:pPr>
        <w:widowControl/>
        <w:numPr>
          <w:ilvl w:val="0"/>
          <w:numId w:val="24"/>
        </w:numPr>
        <w:tabs>
          <w:tab w:val="clear" w:pos="840"/>
          <w:tab w:val="left" w:pos="420"/>
        </w:tabs>
        <w:spacing w:line="440" w:lineRule="exact"/>
        <w:rPr>
          <w:kern w:val="0"/>
        </w:rPr>
      </w:pPr>
      <w:r>
        <w:rPr>
          <w:rFonts w:hint="eastAsia"/>
          <w:kern w:val="0"/>
        </w:rPr>
        <w:t>液</w:t>
      </w:r>
      <w:r>
        <w:rPr>
          <w:kern w:val="0"/>
        </w:rPr>
        <w:t>体系统应设置可靠的泄漏探测措施（如传感器）和隔离阀门。例如，通过管道流量和压力变化、水位指示等探测到某些位置</w:t>
      </w:r>
      <w:r>
        <w:rPr>
          <w:rFonts w:hint="eastAsia"/>
          <w:kern w:val="0"/>
        </w:rPr>
        <w:t>发生</w:t>
      </w:r>
      <w:r>
        <w:rPr>
          <w:kern w:val="0"/>
        </w:rPr>
        <w:t>水淹，可以自动控制阀门；</w:t>
      </w:r>
    </w:p>
    <w:p w:rsidR="00FD607E" w:rsidRDefault="00182B07">
      <w:pPr>
        <w:widowControl/>
        <w:numPr>
          <w:ilvl w:val="0"/>
          <w:numId w:val="24"/>
        </w:numPr>
        <w:tabs>
          <w:tab w:val="clear" w:pos="840"/>
          <w:tab w:val="left" w:pos="420"/>
        </w:tabs>
        <w:spacing w:line="440" w:lineRule="exact"/>
        <w:rPr>
          <w:kern w:val="0"/>
        </w:rPr>
      </w:pPr>
      <w:r>
        <w:rPr>
          <w:kern w:val="0"/>
        </w:rPr>
        <w:t>每个区域的地漏</w:t>
      </w:r>
      <w:r>
        <w:rPr>
          <w:rFonts w:hint="eastAsia"/>
          <w:kern w:val="0"/>
        </w:rPr>
        <w:t>应</w:t>
      </w:r>
      <w:r>
        <w:rPr>
          <w:kern w:val="0"/>
        </w:rPr>
        <w:t>设计有足够的水淹排泄容量</w:t>
      </w:r>
      <w:r>
        <w:rPr>
          <w:rFonts w:hint="eastAsia"/>
          <w:kern w:val="0"/>
        </w:rPr>
        <w:t>，并</w:t>
      </w:r>
      <w:r>
        <w:rPr>
          <w:kern w:val="0"/>
        </w:rPr>
        <w:t>提供措施（例如地漏逆止阀）</w:t>
      </w:r>
      <w:r>
        <w:rPr>
          <w:rFonts w:hint="eastAsia"/>
          <w:kern w:val="0"/>
        </w:rPr>
        <w:t>以防止</w:t>
      </w:r>
      <w:r>
        <w:rPr>
          <w:kern w:val="0"/>
        </w:rPr>
        <w:t>水</w:t>
      </w:r>
      <w:r>
        <w:rPr>
          <w:rFonts w:hint="eastAsia"/>
          <w:kern w:val="0"/>
        </w:rPr>
        <w:t>的</w:t>
      </w:r>
      <w:r>
        <w:rPr>
          <w:kern w:val="0"/>
        </w:rPr>
        <w:t>回流</w:t>
      </w:r>
      <w:r>
        <w:rPr>
          <w:rFonts w:hint="eastAsia"/>
          <w:kern w:val="0"/>
        </w:rPr>
        <w:t>。应</w:t>
      </w:r>
      <w:r>
        <w:rPr>
          <w:kern w:val="0"/>
        </w:rPr>
        <w:t>对地漏定期检查和维修，并采取管理手段确保临时设备不会</w:t>
      </w:r>
      <w:r>
        <w:rPr>
          <w:rFonts w:hint="eastAsia"/>
          <w:kern w:val="0"/>
        </w:rPr>
        <w:t>遮挡</w:t>
      </w:r>
      <w:r>
        <w:rPr>
          <w:kern w:val="0"/>
        </w:rPr>
        <w:t>地漏；</w:t>
      </w:r>
    </w:p>
    <w:p w:rsidR="00FD607E" w:rsidRDefault="00182B07">
      <w:pPr>
        <w:widowControl/>
        <w:numPr>
          <w:ilvl w:val="0"/>
          <w:numId w:val="24"/>
        </w:numPr>
        <w:tabs>
          <w:tab w:val="clear" w:pos="840"/>
          <w:tab w:val="left" w:pos="420"/>
        </w:tabs>
        <w:spacing w:line="440" w:lineRule="exact"/>
        <w:rPr>
          <w:kern w:val="0"/>
        </w:rPr>
      </w:pPr>
      <w:r>
        <w:rPr>
          <w:kern w:val="0"/>
        </w:rPr>
        <w:lastRenderedPageBreak/>
        <w:t>对于水淹源流量很大且布置有</w:t>
      </w:r>
      <w:r>
        <w:rPr>
          <w:kern w:val="0"/>
        </w:rPr>
        <w:t>安全重要物项</w:t>
      </w:r>
      <w:r>
        <w:rPr>
          <w:rFonts w:hint="eastAsia"/>
          <w:kern w:val="0"/>
        </w:rPr>
        <w:t>（</w:t>
      </w:r>
      <w:proofErr w:type="gramStart"/>
      <w:r>
        <w:rPr>
          <w:rFonts w:hint="eastAsia"/>
          <w:kern w:val="0"/>
        </w:rPr>
        <w:t>禁淹设备</w:t>
      </w:r>
      <w:proofErr w:type="gramEnd"/>
      <w:r>
        <w:rPr>
          <w:rFonts w:hint="eastAsia"/>
          <w:kern w:val="0"/>
        </w:rPr>
        <w:t>）</w:t>
      </w:r>
      <w:r>
        <w:rPr>
          <w:kern w:val="0"/>
        </w:rPr>
        <w:t>的房间，应提供足够的泄流措施（如足够的地漏、未封堵孔洞、地面的格栅、门洞、地面开口等）。应对这些措施进行定期检查和维修，并采取管理手段确保</w:t>
      </w:r>
      <w:r>
        <w:rPr>
          <w:rFonts w:hint="eastAsia"/>
          <w:kern w:val="0"/>
        </w:rPr>
        <w:t>临时设备不会影响这些措施</w:t>
      </w:r>
      <w:r>
        <w:rPr>
          <w:kern w:val="0"/>
        </w:rPr>
        <w:t>。</w:t>
      </w:r>
    </w:p>
    <w:p w:rsidR="00FD607E" w:rsidRDefault="00182B07">
      <w:pPr>
        <w:widowControl/>
        <w:numPr>
          <w:ilvl w:val="0"/>
          <w:numId w:val="22"/>
        </w:numPr>
        <w:tabs>
          <w:tab w:val="left" w:pos="420"/>
        </w:tabs>
        <w:spacing w:line="440" w:lineRule="exact"/>
        <w:rPr>
          <w:kern w:val="0"/>
        </w:rPr>
      </w:pPr>
      <w:r>
        <w:rPr>
          <w:rFonts w:hint="eastAsia"/>
          <w:kern w:val="0"/>
        </w:rPr>
        <w:t>应</w:t>
      </w:r>
      <w:r>
        <w:rPr>
          <w:kern w:val="0"/>
        </w:rPr>
        <w:t>尽可</w:t>
      </w:r>
      <w:r>
        <w:rPr>
          <w:kern w:val="0"/>
        </w:rPr>
        <w:t>能地采用与所在区域水淹情况相适应的防水等级设备</w:t>
      </w:r>
      <w:r>
        <w:rPr>
          <w:rFonts w:hint="eastAsia"/>
          <w:kern w:val="0"/>
        </w:rPr>
        <w:t>。</w:t>
      </w:r>
      <w:r>
        <w:rPr>
          <w:kern w:val="0"/>
        </w:rPr>
        <w:t>防水</w:t>
      </w:r>
      <w:proofErr w:type="gramStart"/>
      <w:r>
        <w:rPr>
          <w:kern w:val="0"/>
        </w:rPr>
        <w:t>淹</w:t>
      </w:r>
      <w:proofErr w:type="gramEnd"/>
      <w:r>
        <w:rPr>
          <w:kern w:val="0"/>
        </w:rPr>
        <w:t>设备应在淹没环境中做合格鉴定，证明其在喷溅甚至淹没中可以执行其安全功能。如果设备没有在这种环境下做合格鉴定，则应通过密封、屏蔽</w:t>
      </w:r>
      <w:r>
        <w:rPr>
          <w:rFonts w:hint="eastAsia"/>
          <w:kern w:val="0"/>
        </w:rPr>
        <w:t>等方式</w:t>
      </w:r>
      <w:r>
        <w:rPr>
          <w:kern w:val="0"/>
        </w:rPr>
        <w:t>加以保护，且密封性也应在相应的环境条件中做合格鉴定</w:t>
      </w:r>
      <w:bookmarkEnd w:id="62"/>
      <w:r>
        <w:rPr>
          <w:rFonts w:hint="eastAsia"/>
          <w:kern w:val="0"/>
        </w:rPr>
        <w:t>；</w:t>
      </w:r>
    </w:p>
    <w:p w:rsidR="00FD607E" w:rsidRDefault="00182B07">
      <w:pPr>
        <w:widowControl/>
        <w:numPr>
          <w:ilvl w:val="0"/>
          <w:numId w:val="22"/>
        </w:numPr>
        <w:tabs>
          <w:tab w:val="left" w:pos="420"/>
        </w:tabs>
        <w:spacing w:line="440" w:lineRule="exact"/>
        <w:rPr>
          <w:kern w:val="0"/>
        </w:rPr>
      </w:pPr>
      <w:r>
        <w:rPr>
          <w:kern w:val="0"/>
        </w:rPr>
        <w:t>应尽量避免不同反应堆模块间的水淹漫延影响。</w:t>
      </w:r>
    </w:p>
    <w:p w:rsidR="00FD607E" w:rsidRDefault="00182B07">
      <w:pPr>
        <w:pStyle w:val="a4"/>
        <w:ind w:left="0"/>
        <w:rPr>
          <w:szCs w:val="21"/>
        </w:rPr>
      </w:pPr>
      <w:bookmarkStart w:id="63" w:name="_Toc24909"/>
      <w:bookmarkStart w:id="64" w:name="_Toc21854"/>
      <w:r>
        <w:rPr>
          <w:rFonts w:hint="eastAsia"/>
          <w:szCs w:val="21"/>
        </w:rPr>
        <w:t>内部水淹危害性分析方法</w:t>
      </w:r>
      <w:bookmarkEnd w:id="63"/>
      <w:bookmarkEnd w:id="64"/>
    </w:p>
    <w:p w:rsidR="00FD607E" w:rsidRDefault="00182B07">
      <w:pPr>
        <w:pStyle w:val="a5"/>
        <w:ind w:left="0"/>
      </w:pPr>
      <w:bookmarkStart w:id="65" w:name="_Toc11850"/>
      <w:bookmarkStart w:id="66" w:name="_Toc29743"/>
      <w:r>
        <w:rPr>
          <w:rFonts w:hint="eastAsia"/>
        </w:rPr>
        <w:t>通用假设</w:t>
      </w:r>
      <w:bookmarkEnd w:id="65"/>
      <w:bookmarkEnd w:id="66"/>
    </w:p>
    <w:p w:rsidR="00FD607E" w:rsidRDefault="00182B07">
      <w:pPr>
        <w:pStyle w:val="afff1"/>
      </w:pPr>
      <w:r>
        <w:rPr>
          <w:rFonts w:hint="eastAsia"/>
        </w:rPr>
        <w:t>内部水淹危害性分析应该建立在以下假设的基础上：</w:t>
      </w:r>
    </w:p>
    <w:p w:rsidR="00FD607E" w:rsidRDefault="00182B07">
      <w:pPr>
        <w:widowControl/>
        <w:numPr>
          <w:ilvl w:val="0"/>
          <w:numId w:val="25"/>
        </w:numPr>
        <w:tabs>
          <w:tab w:val="left" w:pos="420"/>
        </w:tabs>
        <w:spacing w:line="440" w:lineRule="exact"/>
        <w:rPr>
          <w:kern w:val="0"/>
        </w:rPr>
      </w:pPr>
      <w:r>
        <w:rPr>
          <w:rFonts w:hint="eastAsia"/>
          <w:kern w:val="0"/>
        </w:rPr>
        <w:t>考虑内部水淹发生在正常运行工况；</w:t>
      </w:r>
    </w:p>
    <w:p w:rsidR="00FD607E" w:rsidRDefault="00182B07">
      <w:pPr>
        <w:widowControl/>
        <w:numPr>
          <w:ilvl w:val="0"/>
          <w:numId w:val="25"/>
        </w:numPr>
        <w:tabs>
          <w:tab w:val="left" w:pos="420"/>
        </w:tabs>
        <w:spacing w:line="440" w:lineRule="exact"/>
        <w:rPr>
          <w:kern w:val="0"/>
        </w:rPr>
      </w:pPr>
      <w:r>
        <w:rPr>
          <w:kern w:val="0"/>
        </w:rPr>
        <w:t>不考虑</w:t>
      </w:r>
      <w:r>
        <w:rPr>
          <w:rFonts w:hint="eastAsia"/>
          <w:kern w:val="0"/>
        </w:rPr>
        <w:t>同一厂址内</w:t>
      </w:r>
      <w:r>
        <w:rPr>
          <w:kern w:val="0"/>
        </w:rPr>
        <w:t>同时发生</w:t>
      </w:r>
      <w:r>
        <w:rPr>
          <w:kern w:val="0"/>
        </w:rPr>
        <w:t>2</w:t>
      </w:r>
      <w:r>
        <w:rPr>
          <w:kern w:val="0"/>
        </w:rPr>
        <w:t>起及以上独立的内部水淹；</w:t>
      </w:r>
    </w:p>
    <w:p w:rsidR="00FD607E" w:rsidRDefault="00182B07">
      <w:pPr>
        <w:widowControl/>
        <w:numPr>
          <w:ilvl w:val="0"/>
          <w:numId w:val="25"/>
        </w:numPr>
        <w:tabs>
          <w:tab w:val="left" w:pos="420"/>
        </w:tabs>
        <w:spacing w:line="440" w:lineRule="exact"/>
        <w:rPr>
          <w:kern w:val="0"/>
        </w:rPr>
      </w:pPr>
      <w:r>
        <w:rPr>
          <w:kern w:val="0"/>
        </w:rPr>
        <w:t>不考虑</w:t>
      </w:r>
      <w:r>
        <w:rPr>
          <w:rFonts w:hint="eastAsia"/>
          <w:kern w:val="0"/>
        </w:rPr>
        <w:t>内部水淹</w:t>
      </w:r>
      <w:r>
        <w:rPr>
          <w:kern w:val="0"/>
        </w:rPr>
        <w:t>与其它独立假设始发</w:t>
      </w:r>
      <w:r>
        <w:rPr>
          <w:kern w:val="0"/>
        </w:rPr>
        <w:t>事件同时发生</w:t>
      </w:r>
      <w:r>
        <w:rPr>
          <w:rFonts w:hint="eastAsia"/>
          <w:kern w:val="0"/>
        </w:rPr>
        <w:t>，但应考虑内部或外部灾害引发的内部水淹。</w:t>
      </w:r>
    </w:p>
    <w:p w:rsidR="00FD607E" w:rsidRDefault="00182B07">
      <w:pPr>
        <w:pStyle w:val="a5"/>
        <w:ind w:left="0"/>
      </w:pPr>
      <w:bookmarkStart w:id="67" w:name="_Toc23208"/>
      <w:bookmarkStart w:id="68" w:name="_Toc13419"/>
      <w:r>
        <w:rPr>
          <w:rFonts w:hint="eastAsia"/>
        </w:rPr>
        <w:t>分析原则</w:t>
      </w:r>
      <w:bookmarkEnd w:id="67"/>
      <w:bookmarkEnd w:id="68"/>
    </w:p>
    <w:p w:rsidR="00FD607E" w:rsidRDefault="00182B07">
      <w:pPr>
        <w:pStyle w:val="afff1"/>
      </w:pPr>
      <w:r>
        <w:rPr>
          <w:rFonts w:hint="eastAsia"/>
        </w:rPr>
        <w:t>内部水淹危害性分析应该满足以下分析原则：</w:t>
      </w:r>
    </w:p>
    <w:p w:rsidR="00FD607E" w:rsidRDefault="00182B07">
      <w:pPr>
        <w:widowControl/>
        <w:numPr>
          <w:ilvl w:val="0"/>
          <w:numId w:val="26"/>
        </w:numPr>
        <w:tabs>
          <w:tab w:val="left" w:pos="420"/>
        </w:tabs>
        <w:spacing w:line="440" w:lineRule="exact"/>
        <w:rPr>
          <w:kern w:val="0"/>
        </w:rPr>
      </w:pPr>
      <w:r>
        <w:rPr>
          <w:kern w:val="0"/>
        </w:rPr>
        <w:t>应考虑水淹</w:t>
      </w:r>
      <w:r>
        <w:rPr>
          <w:kern w:val="0"/>
        </w:rPr>
        <w:t>所造成的淹没效应和浸润效应，也应考虑水的喷淋和蒸汽凝结在高处可能形成的水淹情况</w:t>
      </w:r>
      <w:r>
        <w:rPr>
          <w:rFonts w:hint="eastAsia"/>
          <w:kern w:val="0"/>
        </w:rPr>
        <w:t>；</w:t>
      </w:r>
    </w:p>
    <w:p w:rsidR="00FD607E" w:rsidRDefault="00182B07">
      <w:pPr>
        <w:widowControl/>
        <w:numPr>
          <w:ilvl w:val="0"/>
          <w:numId w:val="26"/>
        </w:numPr>
        <w:tabs>
          <w:tab w:val="left" w:pos="420"/>
        </w:tabs>
        <w:spacing w:line="440" w:lineRule="exact"/>
        <w:rPr>
          <w:kern w:val="0"/>
        </w:rPr>
      </w:pPr>
      <w:r>
        <w:rPr>
          <w:kern w:val="0"/>
        </w:rPr>
        <w:t>应考虑厂房内所有可漫延的水淹源项，同时也考虑持续的补水系统或补水措施</w:t>
      </w:r>
      <w:r>
        <w:rPr>
          <w:rFonts w:hint="eastAsia"/>
          <w:kern w:val="0"/>
        </w:rPr>
        <w:t>；</w:t>
      </w:r>
    </w:p>
    <w:p w:rsidR="00FD607E" w:rsidRDefault="00182B07">
      <w:pPr>
        <w:widowControl/>
        <w:numPr>
          <w:ilvl w:val="0"/>
          <w:numId w:val="26"/>
        </w:numPr>
        <w:tabs>
          <w:tab w:val="left" w:pos="420"/>
        </w:tabs>
        <w:spacing w:line="440" w:lineRule="exact"/>
        <w:rPr>
          <w:kern w:val="0"/>
        </w:rPr>
      </w:pPr>
      <w:r>
        <w:rPr>
          <w:kern w:val="0"/>
        </w:rPr>
        <w:t>应保守考虑水淹缓解措施，例如考虑地漏对水淹的缓解作用时应假设可能发生堵塞</w:t>
      </w:r>
      <w:r>
        <w:rPr>
          <w:rFonts w:hint="eastAsia"/>
          <w:kern w:val="0"/>
        </w:rPr>
        <w:t>；</w:t>
      </w:r>
    </w:p>
    <w:p w:rsidR="00FD607E" w:rsidRDefault="00182B07">
      <w:pPr>
        <w:widowControl/>
        <w:numPr>
          <w:ilvl w:val="0"/>
          <w:numId w:val="26"/>
        </w:numPr>
        <w:tabs>
          <w:tab w:val="left" w:pos="420"/>
        </w:tabs>
        <w:spacing w:line="440" w:lineRule="exact"/>
        <w:rPr>
          <w:kern w:val="0"/>
        </w:rPr>
      </w:pPr>
      <w:r>
        <w:rPr>
          <w:kern w:val="0"/>
        </w:rPr>
        <w:t>发生内部水淹的区域内，在水淹水位以下的易受水</w:t>
      </w:r>
      <w:proofErr w:type="gramStart"/>
      <w:r>
        <w:rPr>
          <w:kern w:val="0"/>
        </w:rPr>
        <w:t>淹</w:t>
      </w:r>
      <w:proofErr w:type="gramEnd"/>
      <w:r>
        <w:rPr>
          <w:kern w:val="0"/>
        </w:rPr>
        <w:t>影响的设备（电动阀、电气柜、</w:t>
      </w:r>
      <w:proofErr w:type="gramStart"/>
      <w:r>
        <w:rPr>
          <w:kern w:val="0"/>
        </w:rPr>
        <w:t>仪控</w:t>
      </w:r>
      <w:proofErr w:type="gramEnd"/>
      <w:r>
        <w:rPr>
          <w:kern w:val="0"/>
        </w:rPr>
        <w:t>柜等）均应视为丧失功能。机械设备（如机械管道、箱体）、电缆（除电缆接口位置）认为不会受到水淹影响。除</w:t>
      </w:r>
      <w:r>
        <w:rPr>
          <w:kern w:val="0"/>
        </w:rPr>
        <w:t>非构筑物设计中考虑了最大水</w:t>
      </w:r>
      <w:r>
        <w:rPr>
          <w:kern w:val="0"/>
        </w:rPr>
        <w:t>淹水位的荷载，否则应考虑构筑物可能由于水淹的蓄积而失效</w:t>
      </w:r>
      <w:r>
        <w:rPr>
          <w:rFonts w:hint="eastAsia"/>
          <w:kern w:val="0"/>
        </w:rPr>
        <w:t>。</w:t>
      </w:r>
    </w:p>
    <w:p w:rsidR="00FD607E" w:rsidRDefault="00182B07">
      <w:pPr>
        <w:pStyle w:val="a5"/>
        <w:ind w:left="0"/>
      </w:pPr>
      <w:bookmarkStart w:id="69" w:name="_Toc20864"/>
      <w:bookmarkStart w:id="70" w:name="_Toc3227"/>
      <w:r>
        <w:rPr>
          <w:rFonts w:hint="eastAsia"/>
        </w:rPr>
        <w:t>分析内容</w:t>
      </w:r>
      <w:bookmarkEnd w:id="69"/>
      <w:bookmarkEnd w:id="70"/>
    </w:p>
    <w:p w:rsidR="00FD607E" w:rsidRDefault="00182B07">
      <w:pPr>
        <w:widowControl/>
        <w:spacing w:line="440" w:lineRule="exact"/>
        <w:ind w:firstLineChars="200" w:firstLine="420"/>
        <w:rPr>
          <w:kern w:val="0"/>
        </w:rPr>
      </w:pPr>
      <w:r>
        <w:rPr>
          <w:rFonts w:hint="eastAsia"/>
          <w:kern w:val="0"/>
        </w:rPr>
        <w:t>核动力厂设计应能防护管道破损、水箱满溢或泄漏、消防喷淋动作等假想水淹</w:t>
      </w:r>
      <w:proofErr w:type="gramStart"/>
      <w:r>
        <w:rPr>
          <w:rFonts w:hint="eastAsia"/>
          <w:kern w:val="0"/>
        </w:rPr>
        <w:t>源导致</w:t>
      </w:r>
      <w:proofErr w:type="gramEnd"/>
      <w:r>
        <w:rPr>
          <w:rFonts w:hint="eastAsia"/>
          <w:kern w:val="0"/>
        </w:rPr>
        <w:t>的内部水淹</w:t>
      </w:r>
      <w:r>
        <w:rPr>
          <w:kern w:val="0"/>
        </w:rPr>
        <w:t>。</w:t>
      </w:r>
      <w:r>
        <w:rPr>
          <w:rFonts w:hint="eastAsia"/>
          <w:kern w:val="0"/>
        </w:rPr>
        <w:t>在引用本章内容时，还可以参考</w:t>
      </w:r>
      <w:r>
        <w:rPr>
          <w:rFonts w:hint="eastAsia"/>
          <w:kern w:val="0"/>
        </w:rPr>
        <w:t>NB/T 20591-2021</w:t>
      </w:r>
      <w:r>
        <w:rPr>
          <w:rFonts w:hint="eastAsia"/>
          <w:kern w:val="0"/>
        </w:rPr>
        <w:t>。</w:t>
      </w:r>
    </w:p>
    <w:p w:rsidR="00FD607E" w:rsidRDefault="00182B07">
      <w:pPr>
        <w:widowControl/>
        <w:spacing w:line="440" w:lineRule="exact"/>
        <w:ind w:leftChars="200" w:left="420"/>
        <w:rPr>
          <w:kern w:val="0"/>
        </w:rPr>
      </w:pPr>
      <w:r>
        <w:rPr>
          <w:rFonts w:hint="eastAsia"/>
          <w:kern w:val="0"/>
        </w:rPr>
        <w:t>内部水淹危害性</w:t>
      </w:r>
      <w:r>
        <w:rPr>
          <w:rFonts w:hint="eastAsia"/>
          <w:kern w:val="0"/>
        </w:rPr>
        <w:t>分析逻辑图见下图</w:t>
      </w:r>
      <w:r>
        <w:rPr>
          <w:rFonts w:hint="eastAsia"/>
          <w:kern w:val="0"/>
        </w:rPr>
        <w:t>1</w:t>
      </w:r>
      <w:r>
        <w:rPr>
          <w:rFonts w:hint="eastAsia"/>
          <w:kern w:val="0"/>
        </w:rPr>
        <w:t>：</w:t>
      </w:r>
    </w:p>
    <w:p w:rsidR="00FD607E" w:rsidRDefault="00182B07">
      <w:pPr>
        <w:widowControl/>
        <w:jc w:val="center"/>
      </w:pPr>
      <w:r>
        <w:object w:dxaOrig="6561" w:dyaOrig="11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75pt;height:553.5pt" o:ole="">
            <v:imagedata r:id="rId14" o:title=""/>
            <o:lock v:ext="edit" aspectratio="f"/>
          </v:shape>
          <o:OLEObject Type="Embed" ProgID="Visio.Drawing.15" ShapeID="_x0000_i1025" DrawAspect="Content" ObjectID="_1814854901" r:id="rId15"/>
        </w:object>
      </w:r>
    </w:p>
    <w:p w:rsidR="00FD607E" w:rsidRDefault="00182B07">
      <w:pPr>
        <w:widowControl/>
        <w:jc w:val="center"/>
      </w:pPr>
      <w:r>
        <w:rPr>
          <w:rFonts w:hint="eastAsia"/>
        </w:rPr>
        <w:t>图</w:t>
      </w:r>
      <w:r>
        <w:rPr>
          <w:rFonts w:hint="eastAsia"/>
        </w:rPr>
        <w:t xml:space="preserve">1 </w:t>
      </w:r>
      <w:r>
        <w:rPr>
          <w:rFonts w:hint="eastAsia"/>
        </w:rPr>
        <w:t>内部水淹危害性分析逻辑图</w:t>
      </w:r>
    </w:p>
    <w:p w:rsidR="00FD607E" w:rsidRDefault="00182B07">
      <w:pPr>
        <w:widowControl/>
        <w:spacing w:line="440" w:lineRule="exact"/>
        <w:ind w:firstLineChars="200" w:firstLine="420"/>
        <w:rPr>
          <w:kern w:val="0"/>
        </w:rPr>
      </w:pPr>
      <w:r>
        <w:rPr>
          <w:kern w:val="0"/>
        </w:rPr>
        <w:t>内部水淹危害性分析从确定</w:t>
      </w:r>
      <w:proofErr w:type="gramStart"/>
      <w:r>
        <w:rPr>
          <w:kern w:val="0"/>
        </w:rPr>
        <w:t>禁淹设备</w:t>
      </w:r>
      <w:proofErr w:type="gramEnd"/>
      <w:r>
        <w:rPr>
          <w:kern w:val="0"/>
        </w:rPr>
        <w:t>开始，确定任何假想水淹</w:t>
      </w:r>
      <w:proofErr w:type="gramStart"/>
      <w:r>
        <w:rPr>
          <w:kern w:val="0"/>
        </w:rPr>
        <w:t>源引</w:t>
      </w:r>
      <w:proofErr w:type="gramEnd"/>
      <w:r>
        <w:rPr>
          <w:kern w:val="0"/>
        </w:rPr>
        <w:t>起的可能后果</w:t>
      </w:r>
      <w:r>
        <w:rPr>
          <w:rFonts w:hint="eastAsia"/>
          <w:kern w:val="0"/>
        </w:rPr>
        <w:t>。</w:t>
      </w:r>
      <w:r>
        <w:rPr>
          <w:kern w:val="0"/>
        </w:rPr>
        <w:t>内部水淹</w:t>
      </w:r>
      <w:r>
        <w:rPr>
          <w:rFonts w:hint="eastAsia"/>
          <w:kern w:val="0"/>
        </w:rPr>
        <w:t>防护</w:t>
      </w:r>
      <w:r>
        <w:rPr>
          <w:kern w:val="0"/>
        </w:rPr>
        <w:t>分析应包含以下</w:t>
      </w:r>
      <w:r>
        <w:rPr>
          <w:rFonts w:hint="eastAsia"/>
          <w:kern w:val="0"/>
        </w:rPr>
        <w:t>主要方面</w:t>
      </w:r>
      <w:r>
        <w:rPr>
          <w:kern w:val="0"/>
        </w:rPr>
        <w:t>：</w:t>
      </w:r>
    </w:p>
    <w:p w:rsidR="00FD607E" w:rsidRDefault="00182B07">
      <w:pPr>
        <w:widowControl/>
        <w:numPr>
          <w:ilvl w:val="0"/>
          <w:numId w:val="27"/>
        </w:numPr>
        <w:tabs>
          <w:tab w:val="left" w:pos="420"/>
        </w:tabs>
        <w:spacing w:line="440" w:lineRule="exact"/>
        <w:rPr>
          <w:kern w:val="0"/>
        </w:rPr>
      </w:pPr>
      <w:proofErr w:type="gramStart"/>
      <w:r>
        <w:rPr>
          <w:rFonts w:hint="eastAsia"/>
          <w:kern w:val="0"/>
        </w:rPr>
        <w:t>识别</w:t>
      </w:r>
      <w:r>
        <w:rPr>
          <w:kern w:val="0"/>
        </w:rPr>
        <w:t>禁淹设备</w:t>
      </w:r>
      <w:proofErr w:type="gramEnd"/>
      <w:r>
        <w:rPr>
          <w:rFonts w:hint="eastAsia"/>
          <w:kern w:val="0"/>
        </w:rPr>
        <w:t>；</w:t>
      </w:r>
    </w:p>
    <w:p w:rsidR="00FD607E" w:rsidRDefault="00182B07">
      <w:pPr>
        <w:widowControl/>
        <w:numPr>
          <w:ilvl w:val="0"/>
          <w:numId w:val="27"/>
        </w:numPr>
        <w:tabs>
          <w:tab w:val="left" w:pos="420"/>
        </w:tabs>
        <w:spacing w:line="440" w:lineRule="exact"/>
        <w:rPr>
          <w:kern w:val="0"/>
        </w:rPr>
      </w:pPr>
      <w:r>
        <w:rPr>
          <w:kern w:val="0"/>
        </w:rPr>
        <w:t>划分水淹分区</w:t>
      </w:r>
      <w:r>
        <w:rPr>
          <w:rFonts w:hint="eastAsia"/>
          <w:kern w:val="0"/>
        </w:rPr>
        <w:t>；</w:t>
      </w:r>
    </w:p>
    <w:p w:rsidR="00FD607E" w:rsidRDefault="00182B07">
      <w:pPr>
        <w:widowControl/>
        <w:numPr>
          <w:ilvl w:val="0"/>
          <w:numId w:val="27"/>
        </w:numPr>
        <w:tabs>
          <w:tab w:val="left" w:pos="420"/>
        </w:tabs>
        <w:spacing w:line="440" w:lineRule="exact"/>
        <w:rPr>
          <w:kern w:val="0"/>
        </w:rPr>
      </w:pPr>
      <w:r>
        <w:rPr>
          <w:rFonts w:hint="eastAsia"/>
          <w:kern w:val="0"/>
        </w:rPr>
        <w:lastRenderedPageBreak/>
        <w:t>识别潜在</w:t>
      </w:r>
      <w:r>
        <w:rPr>
          <w:kern w:val="0"/>
        </w:rPr>
        <w:t>水淹源</w:t>
      </w:r>
      <w:r>
        <w:rPr>
          <w:rFonts w:hint="eastAsia"/>
          <w:kern w:val="0"/>
        </w:rPr>
        <w:t>；</w:t>
      </w:r>
    </w:p>
    <w:p w:rsidR="00FD607E" w:rsidRDefault="00182B07">
      <w:pPr>
        <w:widowControl/>
        <w:numPr>
          <w:ilvl w:val="0"/>
          <w:numId w:val="27"/>
        </w:numPr>
        <w:tabs>
          <w:tab w:val="left" w:pos="420"/>
        </w:tabs>
        <w:spacing w:line="440" w:lineRule="exact"/>
        <w:rPr>
          <w:kern w:val="0"/>
        </w:rPr>
      </w:pPr>
      <w:r>
        <w:rPr>
          <w:rFonts w:hint="eastAsia"/>
          <w:kern w:val="0"/>
        </w:rPr>
        <w:t>分析</w:t>
      </w:r>
      <w:r>
        <w:rPr>
          <w:kern w:val="0"/>
        </w:rPr>
        <w:t>漫延路径</w:t>
      </w:r>
      <w:r>
        <w:rPr>
          <w:rFonts w:hint="eastAsia"/>
          <w:kern w:val="0"/>
        </w:rPr>
        <w:t>；</w:t>
      </w:r>
    </w:p>
    <w:p w:rsidR="00FD607E" w:rsidRDefault="00182B07">
      <w:pPr>
        <w:widowControl/>
        <w:numPr>
          <w:ilvl w:val="0"/>
          <w:numId w:val="27"/>
        </w:numPr>
        <w:tabs>
          <w:tab w:val="left" w:pos="420"/>
        </w:tabs>
        <w:spacing w:line="440" w:lineRule="exact"/>
        <w:rPr>
          <w:kern w:val="0"/>
        </w:rPr>
      </w:pPr>
      <w:r>
        <w:rPr>
          <w:kern w:val="0"/>
        </w:rPr>
        <w:t>计算</w:t>
      </w:r>
      <w:r>
        <w:rPr>
          <w:rFonts w:hint="eastAsia"/>
          <w:kern w:val="0"/>
        </w:rPr>
        <w:t>水淹</w:t>
      </w:r>
      <w:r>
        <w:rPr>
          <w:kern w:val="0"/>
        </w:rPr>
        <w:t>高度</w:t>
      </w:r>
      <w:r>
        <w:rPr>
          <w:rFonts w:hint="eastAsia"/>
          <w:kern w:val="0"/>
        </w:rPr>
        <w:t>；</w:t>
      </w:r>
    </w:p>
    <w:p w:rsidR="00FD607E" w:rsidRDefault="00182B07">
      <w:pPr>
        <w:widowControl/>
        <w:numPr>
          <w:ilvl w:val="0"/>
          <w:numId w:val="27"/>
        </w:numPr>
        <w:tabs>
          <w:tab w:val="left" w:pos="420"/>
        </w:tabs>
        <w:spacing w:line="440" w:lineRule="exact"/>
        <w:rPr>
          <w:kern w:val="0"/>
        </w:rPr>
      </w:pPr>
      <w:r>
        <w:rPr>
          <w:rFonts w:hint="eastAsia"/>
          <w:kern w:val="0"/>
        </w:rPr>
        <w:t>分析水淹</w:t>
      </w:r>
      <w:r>
        <w:rPr>
          <w:kern w:val="0"/>
        </w:rPr>
        <w:t>影响</w:t>
      </w:r>
      <w:r>
        <w:rPr>
          <w:rFonts w:hint="eastAsia"/>
          <w:kern w:val="0"/>
        </w:rPr>
        <w:t>；</w:t>
      </w:r>
    </w:p>
    <w:p w:rsidR="00FD607E" w:rsidRDefault="00182B07">
      <w:pPr>
        <w:widowControl/>
        <w:numPr>
          <w:ilvl w:val="0"/>
          <w:numId w:val="27"/>
        </w:numPr>
        <w:tabs>
          <w:tab w:val="left" w:pos="420"/>
        </w:tabs>
        <w:spacing w:line="440" w:lineRule="exact"/>
        <w:rPr>
          <w:kern w:val="0"/>
        </w:rPr>
      </w:pPr>
      <w:r>
        <w:rPr>
          <w:kern w:val="0"/>
        </w:rPr>
        <w:t>防护</w:t>
      </w:r>
      <w:r>
        <w:rPr>
          <w:rFonts w:hint="eastAsia"/>
          <w:kern w:val="0"/>
        </w:rPr>
        <w:t>措施</w:t>
      </w:r>
      <w:r>
        <w:rPr>
          <w:rFonts w:hint="eastAsia"/>
          <w:kern w:val="0"/>
        </w:rPr>
        <w:t>。</w:t>
      </w:r>
    </w:p>
    <w:p w:rsidR="00FD607E" w:rsidRDefault="00182B07">
      <w:pPr>
        <w:pStyle w:val="a5"/>
        <w:ind w:left="0"/>
      </w:pPr>
      <w:bookmarkStart w:id="71" w:name="_Toc11411"/>
      <w:bookmarkStart w:id="72" w:name="_Toc5970"/>
      <w:proofErr w:type="gramStart"/>
      <w:r>
        <w:rPr>
          <w:rFonts w:hint="eastAsia"/>
        </w:rPr>
        <w:t>识别禁淹设备</w:t>
      </w:r>
      <w:bookmarkEnd w:id="71"/>
      <w:bookmarkEnd w:id="72"/>
      <w:proofErr w:type="gramEnd"/>
    </w:p>
    <w:p w:rsidR="00FD607E" w:rsidRDefault="00182B07">
      <w:pPr>
        <w:widowControl/>
        <w:spacing w:line="440" w:lineRule="exact"/>
        <w:ind w:firstLineChars="200" w:firstLine="420"/>
        <w:rPr>
          <w:kern w:val="0"/>
        </w:rPr>
      </w:pPr>
      <w:r>
        <w:rPr>
          <w:rFonts w:hint="eastAsia"/>
          <w:kern w:val="0"/>
        </w:rPr>
        <w:t>应识别</w:t>
      </w:r>
      <w:r>
        <w:rPr>
          <w:kern w:val="0"/>
        </w:rPr>
        <w:t>内实现安全功能所必须的工艺、电气、仪表、控制、通风等系统包含的设备及其所需的支持系统包含的设备。</w:t>
      </w:r>
      <w:r>
        <w:rPr>
          <w:rFonts w:hint="eastAsia"/>
          <w:kern w:val="0"/>
        </w:rPr>
        <w:t>应识别上述设备中</w:t>
      </w:r>
      <w:r>
        <w:rPr>
          <w:kern w:val="0"/>
        </w:rPr>
        <w:t>易受水</w:t>
      </w:r>
      <w:proofErr w:type="gramStart"/>
      <w:r>
        <w:rPr>
          <w:kern w:val="0"/>
        </w:rPr>
        <w:t>淹</w:t>
      </w:r>
      <w:proofErr w:type="gramEnd"/>
      <w:r>
        <w:rPr>
          <w:kern w:val="0"/>
        </w:rPr>
        <w:t>影响而失效的、且失效后影响系统功能的设备。</w:t>
      </w:r>
    </w:p>
    <w:p w:rsidR="00FD607E" w:rsidRDefault="00182B07">
      <w:pPr>
        <w:widowControl/>
        <w:spacing w:line="440" w:lineRule="exact"/>
        <w:ind w:firstLineChars="200" w:firstLine="420"/>
        <w:rPr>
          <w:kern w:val="0"/>
        </w:rPr>
      </w:pPr>
      <w:r>
        <w:rPr>
          <w:rFonts w:hint="eastAsia"/>
          <w:kern w:val="0"/>
        </w:rPr>
        <w:t>识别的</w:t>
      </w:r>
      <w:proofErr w:type="gramStart"/>
      <w:r>
        <w:rPr>
          <w:rFonts w:hint="eastAsia"/>
          <w:kern w:val="0"/>
        </w:rPr>
        <w:t>禁淹设备</w:t>
      </w:r>
      <w:proofErr w:type="gramEnd"/>
      <w:r>
        <w:rPr>
          <w:rFonts w:hint="eastAsia"/>
          <w:kern w:val="0"/>
        </w:rPr>
        <w:t>应能保证第</w:t>
      </w:r>
      <w:r>
        <w:rPr>
          <w:rFonts w:hint="eastAsia"/>
          <w:kern w:val="0"/>
        </w:rPr>
        <w:t>4</w:t>
      </w:r>
      <w:r>
        <w:rPr>
          <w:rFonts w:hint="eastAsia"/>
          <w:kern w:val="0"/>
        </w:rPr>
        <w:t>.1</w:t>
      </w:r>
      <w:r>
        <w:rPr>
          <w:rFonts w:hint="eastAsia"/>
          <w:kern w:val="0"/>
        </w:rPr>
        <w:t>节</w:t>
      </w:r>
      <w:r>
        <w:rPr>
          <w:rFonts w:hint="eastAsia"/>
          <w:kern w:val="0"/>
        </w:rPr>
        <w:t>中功能的实现。</w:t>
      </w:r>
      <w:proofErr w:type="gramStart"/>
      <w:r>
        <w:rPr>
          <w:rFonts w:hint="eastAsia"/>
          <w:kern w:val="0"/>
        </w:rPr>
        <w:t>禁淹设备</w:t>
      </w:r>
      <w:proofErr w:type="gramEnd"/>
      <w:r>
        <w:rPr>
          <w:rFonts w:hint="eastAsia"/>
          <w:kern w:val="0"/>
        </w:rPr>
        <w:t>识别应包括以下方面：</w:t>
      </w:r>
    </w:p>
    <w:p w:rsidR="00FD607E" w:rsidRDefault="00182B07">
      <w:pPr>
        <w:widowControl/>
        <w:numPr>
          <w:ilvl w:val="0"/>
          <w:numId w:val="28"/>
        </w:numPr>
        <w:tabs>
          <w:tab w:val="left" w:pos="420"/>
        </w:tabs>
        <w:spacing w:line="440" w:lineRule="exact"/>
        <w:rPr>
          <w:kern w:val="0"/>
        </w:rPr>
      </w:pPr>
      <w:proofErr w:type="gramStart"/>
      <w:r>
        <w:rPr>
          <w:rFonts w:hint="eastAsia"/>
          <w:kern w:val="0"/>
        </w:rPr>
        <w:t>禁淹设备</w:t>
      </w:r>
      <w:proofErr w:type="gramEnd"/>
      <w:r>
        <w:rPr>
          <w:rFonts w:hint="eastAsia"/>
          <w:kern w:val="0"/>
        </w:rPr>
        <w:t>应为</w:t>
      </w:r>
      <w:r>
        <w:rPr>
          <w:kern w:val="0"/>
        </w:rPr>
        <w:t>执行安全功能的系统；</w:t>
      </w:r>
    </w:p>
    <w:p w:rsidR="00FD607E" w:rsidRDefault="00182B07">
      <w:pPr>
        <w:widowControl/>
        <w:numPr>
          <w:ilvl w:val="0"/>
          <w:numId w:val="28"/>
        </w:numPr>
        <w:tabs>
          <w:tab w:val="left" w:pos="420"/>
        </w:tabs>
        <w:spacing w:line="440" w:lineRule="exact"/>
        <w:rPr>
          <w:kern w:val="0"/>
        </w:rPr>
      </w:pPr>
      <w:proofErr w:type="gramStart"/>
      <w:r>
        <w:rPr>
          <w:rFonts w:hint="eastAsia"/>
          <w:kern w:val="0"/>
        </w:rPr>
        <w:t>禁淹设备</w:t>
      </w:r>
      <w:proofErr w:type="gramEnd"/>
      <w:r>
        <w:rPr>
          <w:rFonts w:hint="eastAsia"/>
          <w:kern w:val="0"/>
        </w:rPr>
        <w:t>应为</w:t>
      </w:r>
      <w:r>
        <w:rPr>
          <w:kern w:val="0"/>
        </w:rPr>
        <w:t>失效会导致</w:t>
      </w:r>
      <w:r>
        <w:rPr>
          <w:rFonts w:hint="eastAsia"/>
          <w:kern w:val="0"/>
        </w:rPr>
        <w:t>a</w:t>
      </w:r>
      <w:r>
        <w:rPr>
          <w:rFonts w:hint="eastAsia"/>
          <w:kern w:val="0"/>
        </w:rPr>
        <w:t>）中</w:t>
      </w:r>
      <w:r>
        <w:rPr>
          <w:kern w:val="0"/>
        </w:rPr>
        <w:t>系统主要功能降级或丧失的设备；</w:t>
      </w:r>
    </w:p>
    <w:p w:rsidR="00FD607E" w:rsidRDefault="00182B07">
      <w:pPr>
        <w:widowControl/>
        <w:numPr>
          <w:ilvl w:val="0"/>
          <w:numId w:val="28"/>
        </w:numPr>
        <w:tabs>
          <w:tab w:val="left" w:pos="420"/>
        </w:tabs>
        <w:spacing w:line="440" w:lineRule="exact"/>
        <w:rPr>
          <w:kern w:val="0"/>
        </w:rPr>
      </w:pPr>
      <w:proofErr w:type="gramStart"/>
      <w:r>
        <w:rPr>
          <w:rFonts w:hint="eastAsia"/>
          <w:kern w:val="0"/>
        </w:rPr>
        <w:t>禁淹设备</w:t>
      </w:r>
      <w:proofErr w:type="gramEnd"/>
      <w:r>
        <w:rPr>
          <w:rFonts w:hint="eastAsia"/>
          <w:kern w:val="0"/>
        </w:rPr>
        <w:t>应为</w:t>
      </w:r>
      <w:r>
        <w:rPr>
          <w:kern w:val="0"/>
        </w:rPr>
        <w:t>电动设备、</w:t>
      </w:r>
      <w:proofErr w:type="gramStart"/>
      <w:r>
        <w:rPr>
          <w:kern w:val="0"/>
        </w:rPr>
        <w:t>仪控</w:t>
      </w:r>
      <w:proofErr w:type="gramEnd"/>
      <w:r>
        <w:rPr>
          <w:kern w:val="0"/>
        </w:rPr>
        <w:t>柜、电气柜等</w:t>
      </w:r>
      <w:r>
        <w:rPr>
          <w:rFonts w:hint="eastAsia"/>
          <w:kern w:val="0"/>
        </w:rPr>
        <w:t>能动设备。</w:t>
      </w:r>
    </w:p>
    <w:p w:rsidR="00FD607E" w:rsidRDefault="00182B07">
      <w:pPr>
        <w:widowControl/>
        <w:spacing w:line="440" w:lineRule="exact"/>
        <w:ind w:firstLineChars="200" w:firstLine="420"/>
        <w:rPr>
          <w:kern w:val="0"/>
        </w:rPr>
      </w:pPr>
      <w:proofErr w:type="gramStart"/>
      <w:r>
        <w:rPr>
          <w:rFonts w:hint="eastAsia"/>
          <w:kern w:val="0"/>
        </w:rPr>
        <w:t>禁淹设备</w:t>
      </w:r>
      <w:proofErr w:type="gramEnd"/>
      <w:r>
        <w:rPr>
          <w:rFonts w:hint="eastAsia"/>
          <w:kern w:val="0"/>
        </w:rPr>
        <w:t>的识别</w:t>
      </w:r>
      <w:r>
        <w:rPr>
          <w:kern w:val="0"/>
        </w:rPr>
        <w:t>应结合风险指引的</w:t>
      </w:r>
      <w:r>
        <w:rPr>
          <w:kern w:val="0"/>
        </w:rPr>
        <w:t>分析方法及多模块设计特征</w:t>
      </w:r>
      <w:r>
        <w:rPr>
          <w:rFonts w:hint="eastAsia"/>
          <w:kern w:val="0"/>
        </w:rPr>
        <w:t>。</w:t>
      </w:r>
      <w:proofErr w:type="gramStart"/>
      <w:r>
        <w:rPr>
          <w:kern w:val="0"/>
        </w:rPr>
        <w:t>禁淹设备</w:t>
      </w:r>
      <w:proofErr w:type="gramEnd"/>
      <w:r>
        <w:rPr>
          <w:rFonts w:hint="eastAsia"/>
          <w:kern w:val="0"/>
        </w:rPr>
        <w:t>识别还应</w:t>
      </w:r>
      <w:r>
        <w:rPr>
          <w:kern w:val="0"/>
        </w:rPr>
        <w:t>包括以下设备：</w:t>
      </w:r>
    </w:p>
    <w:p w:rsidR="00FD607E" w:rsidRDefault="00182B07">
      <w:pPr>
        <w:widowControl/>
        <w:numPr>
          <w:ilvl w:val="0"/>
          <w:numId w:val="29"/>
        </w:numPr>
        <w:tabs>
          <w:tab w:val="left" w:pos="420"/>
        </w:tabs>
        <w:spacing w:line="440" w:lineRule="exact"/>
        <w:rPr>
          <w:kern w:val="0"/>
        </w:rPr>
      </w:pPr>
      <w:r>
        <w:rPr>
          <w:rFonts w:hint="eastAsia"/>
          <w:kern w:val="0"/>
        </w:rPr>
        <w:t>应识别</w:t>
      </w:r>
      <w:r>
        <w:rPr>
          <w:kern w:val="0"/>
        </w:rPr>
        <w:t>概率安全分析结果中风险贡献较高或重要度高的设备；</w:t>
      </w:r>
    </w:p>
    <w:p w:rsidR="00FD607E" w:rsidRDefault="00182B07">
      <w:pPr>
        <w:widowControl/>
        <w:numPr>
          <w:ilvl w:val="0"/>
          <w:numId w:val="29"/>
        </w:numPr>
        <w:tabs>
          <w:tab w:val="left" w:pos="420"/>
        </w:tabs>
        <w:spacing w:line="440" w:lineRule="exact"/>
        <w:rPr>
          <w:kern w:val="0"/>
        </w:rPr>
      </w:pPr>
      <w:r>
        <w:rPr>
          <w:rFonts w:hint="eastAsia"/>
          <w:kern w:val="0"/>
        </w:rPr>
        <w:t>应识别</w:t>
      </w:r>
      <w:r>
        <w:rPr>
          <w:kern w:val="0"/>
        </w:rPr>
        <w:t>多模块共用系统或多个模块执行相同功能的系统或设备中会受同一水淹影响而导致多模块始发事件发生的设备。</w:t>
      </w:r>
    </w:p>
    <w:p w:rsidR="00FD607E" w:rsidRDefault="00182B07">
      <w:pPr>
        <w:pStyle w:val="a5"/>
        <w:ind w:left="0"/>
      </w:pPr>
      <w:bookmarkStart w:id="73" w:name="_Toc11324"/>
      <w:bookmarkStart w:id="74" w:name="_Toc14724"/>
      <w:r>
        <w:rPr>
          <w:rFonts w:hint="eastAsia"/>
        </w:rPr>
        <w:t>划分水淹分区</w:t>
      </w:r>
      <w:bookmarkEnd w:id="73"/>
      <w:bookmarkEnd w:id="74"/>
    </w:p>
    <w:p w:rsidR="00FD607E" w:rsidRDefault="00182B07">
      <w:pPr>
        <w:widowControl/>
        <w:spacing w:line="440" w:lineRule="exact"/>
        <w:ind w:firstLineChars="200" w:firstLine="420"/>
        <w:rPr>
          <w:kern w:val="0"/>
        </w:rPr>
      </w:pPr>
      <w:r>
        <w:rPr>
          <w:kern w:val="0"/>
        </w:rPr>
        <w:t>水淹分区的实体屏障</w:t>
      </w:r>
      <w:r>
        <w:rPr>
          <w:rFonts w:hint="eastAsia"/>
          <w:kern w:val="0"/>
        </w:rPr>
        <w:t>应</w:t>
      </w:r>
      <w:r>
        <w:rPr>
          <w:kern w:val="0"/>
        </w:rPr>
        <w:t>限制内部水淹从一个分区向另一分区漫延。</w:t>
      </w:r>
    </w:p>
    <w:p w:rsidR="00FD607E" w:rsidRDefault="00182B07">
      <w:pPr>
        <w:widowControl/>
        <w:spacing w:line="440" w:lineRule="exact"/>
        <w:ind w:firstLineChars="200" w:firstLine="420"/>
        <w:rPr>
          <w:kern w:val="0"/>
        </w:rPr>
      </w:pPr>
      <w:r>
        <w:rPr>
          <w:kern w:val="0"/>
        </w:rPr>
        <w:t>水淹分区的划分应包括以下</w:t>
      </w:r>
      <w:r>
        <w:rPr>
          <w:rFonts w:hint="eastAsia"/>
          <w:kern w:val="0"/>
        </w:rPr>
        <w:t>内容</w:t>
      </w:r>
      <w:r>
        <w:rPr>
          <w:kern w:val="0"/>
        </w:rPr>
        <w:t>：</w:t>
      </w:r>
    </w:p>
    <w:p w:rsidR="00FD607E" w:rsidRDefault="00182B07">
      <w:pPr>
        <w:widowControl/>
        <w:numPr>
          <w:ilvl w:val="0"/>
          <w:numId w:val="30"/>
        </w:numPr>
        <w:tabs>
          <w:tab w:val="left" w:pos="420"/>
        </w:tabs>
        <w:spacing w:line="440" w:lineRule="exact"/>
        <w:rPr>
          <w:kern w:val="0"/>
        </w:rPr>
      </w:pPr>
      <w:r>
        <w:rPr>
          <w:rFonts w:hint="eastAsia"/>
          <w:kern w:val="0"/>
        </w:rPr>
        <w:t>应</w:t>
      </w:r>
      <w:proofErr w:type="gramStart"/>
      <w:r>
        <w:rPr>
          <w:kern w:val="0"/>
        </w:rPr>
        <w:t>将</w:t>
      </w:r>
      <w:r>
        <w:rPr>
          <w:rFonts w:hint="eastAsia"/>
          <w:kern w:val="0"/>
        </w:rPr>
        <w:t>禁淹</w:t>
      </w:r>
      <w:r>
        <w:rPr>
          <w:kern w:val="0"/>
        </w:rPr>
        <w:t>设备</w:t>
      </w:r>
      <w:proofErr w:type="gramEnd"/>
      <w:r>
        <w:rPr>
          <w:kern w:val="0"/>
        </w:rPr>
        <w:t>所在房间划分为水淹分区；</w:t>
      </w:r>
    </w:p>
    <w:p w:rsidR="00FD607E" w:rsidRDefault="00182B07">
      <w:pPr>
        <w:widowControl/>
        <w:numPr>
          <w:ilvl w:val="0"/>
          <w:numId w:val="30"/>
        </w:numPr>
        <w:tabs>
          <w:tab w:val="left" w:pos="420"/>
        </w:tabs>
        <w:spacing w:line="440" w:lineRule="exact"/>
        <w:rPr>
          <w:kern w:val="0"/>
        </w:rPr>
      </w:pPr>
      <w:r>
        <w:rPr>
          <w:rFonts w:hint="eastAsia"/>
          <w:kern w:val="0"/>
        </w:rPr>
        <w:t>应</w:t>
      </w:r>
      <w:r>
        <w:rPr>
          <w:kern w:val="0"/>
        </w:rPr>
        <w:t>尽可能地通过实体边界屏障来划分水淹分区，所有构筑物的外墙、基础、楼板必须为水淹分区提供实体边界；</w:t>
      </w:r>
    </w:p>
    <w:p w:rsidR="00FD607E" w:rsidRDefault="00182B07">
      <w:pPr>
        <w:widowControl/>
        <w:numPr>
          <w:ilvl w:val="0"/>
          <w:numId w:val="30"/>
        </w:numPr>
        <w:tabs>
          <w:tab w:val="left" w:pos="420"/>
        </w:tabs>
        <w:spacing w:line="440" w:lineRule="exact"/>
        <w:rPr>
          <w:kern w:val="0"/>
        </w:rPr>
      </w:pPr>
      <w:r>
        <w:rPr>
          <w:kern w:val="0"/>
        </w:rPr>
        <w:t>水淹区域的边界屏障及其相关部件包括墙、门、楼板、嵌缝、通风管道、机械和电气贯穿件封堵等，这些部件应具备耐水性，应至少能承受该分区发生内部水淹的最大水淹水</w:t>
      </w:r>
      <w:proofErr w:type="gramStart"/>
      <w:r>
        <w:rPr>
          <w:kern w:val="0"/>
        </w:rPr>
        <w:t>位引起</w:t>
      </w:r>
      <w:proofErr w:type="gramEnd"/>
      <w:r>
        <w:rPr>
          <w:kern w:val="0"/>
        </w:rPr>
        <w:t>的荷载。需确保水淹区域边界的完整性，避免内部水淹漫延到其他水淹分区。</w:t>
      </w:r>
    </w:p>
    <w:p w:rsidR="00FD607E" w:rsidRDefault="00182B07">
      <w:pPr>
        <w:widowControl/>
        <w:spacing w:line="440" w:lineRule="exact"/>
        <w:ind w:firstLineChars="200" w:firstLine="420"/>
        <w:rPr>
          <w:kern w:val="0"/>
        </w:rPr>
      </w:pPr>
      <w:r>
        <w:rPr>
          <w:kern w:val="0"/>
        </w:rPr>
        <w:t>如不满足</w:t>
      </w:r>
      <w:r>
        <w:rPr>
          <w:rFonts w:hint="eastAsia"/>
          <w:kern w:val="0"/>
        </w:rPr>
        <w:t>上述</w:t>
      </w:r>
      <w:r>
        <w:rPr>
          <w:kern w:val="0"/>
        </w:rPr>
        <w:t>要求，应保证不会对核</w:t>
      </w:r>
      <w:r>
        <w:rPr>
          <w:rFonts w:hint="eastAsia"/>
          <w:kern w:val="0"/>
        </w:rPr>
        <w:t>动力厂</w:t>
      </w:r>
      <w:r>
        <w:rPr>
          <w:kern w:val="0"/>
        </w:rPr>
        <w:t>三大基本安全功能造成威胁。</w:t>
      </w:r>
    </w:p>
    <w:p w:rsidR="00FD607E" w:rsidRDefault="00182B07">
      <w:pPr>
        <w:pStyle w:val="a5"/>
        <w:ind w:left="0"/>
      </w:pPr>
      <w:bookmarkStart w:id="75" w:name="_Toc22735"/>
      <w:bookmarkStart w:id="76" w:name="_Toc18956"/>
      <w:r>
        <w:rPr>
          <w:rFonts w:hint="eastAsia"/>
        </w:rPr>
        <w:t>识别潜在水淹源</w:t>
      </w:r>
      <w:bookmarkEnd w:id="75"/>
      <w:bookmarkEnd w:id="76"/>
    </w:p>
    <w:p w:rsidR="00FD607E" w:rsidRDefault="00182B07">
      <w:pPr>
        <w:pStyle w:val="a6"/>
        <w:spacing w:before="156" w:after="156"/>
        <w:ind w:left="0"/>
        <w:rPr>
          <w:rFonts w:ascii="Times New Roman"/>
        </w:rPr>
      </w:pPr>
      <w:r>
        <w:rPr>
          <w:rFonts w:ascii="Times New Roman" w:hint="eastAsia"/>
        </w:rPr>
        <w:t>内部水淹的水淹源</w:t>
      </w:r>
    </w:p>
    <w:p w:rsidR="00FD607E" w:rsidRDefault="00182B07">
      <w:pPr>
        <w:widowControl/>
        <w:spacing w:line="440" w:lineRule="exact"/>
        <w:ind w:firstLineChars="200" w:firstLine="420"/>
        <w:rPr>
          <w:kern w:val="0"/>
        </w:rPr>
      </w:pPr>
      <w:r>
        <w:rPr>
          <w:rFonts w:hint="eastAsia"/>
          <w:kern w:val="0"/>
        </w:rPr>
        <w:t>多模块</w:t>
      </w:r>
      <w:r>
        <w:rPr>
          <w:rFonts w:hint="eastAsia"/>
          <w:kern w:val="0"/>
        </w:rPr>
        <w:t>高温气冷堆</w:t>
      </w:r>
      <w:r>
        <w:rPr>
          <w:rFonts w:hint="eastAsia"/>
          <w:kern w:val="0"/>
        </w:rPr>
        <w:t>的水淹源应考虑核安全相关厂房内的所有液体系统及箱体发生以下情况：</w:t>
      </w:r>
    </w:p>
    <w:p w:rsidR="00FD607E" w:rsidRDefault="00182B07">
      <w:pPr>
        <w:widowControl/>
        <w:numPr>
          <w:ilvl w:val="0"/>
          <w:numId w:val="31"/>
        </w:numPr>
        <w:tabs>
          <w:tab w:val="left" w:pos="420"/>
        </w:tabs>
        <w:spacing w:line="440" w:lineRule="exact"/>
        <w:rPr>
          <w:kern w:val="0"/>
        </w:rPr>
      </w:pPr>
      <w:r>
        <w:rPr>
          <w:rFonts w:hint="eastAsia"/>
          <w:kern w:val="0"/>
        </w:rPr>
        <w:lastRenderedPageBreak/>
        <w:t>高能管道和中能管道的泄漏或破裂，高能管道假定发生环向破裂和纵向破裂，但二者不同时发生，故以最坏情况双端剪切断裂进行分析。中能管道破损位置只假定</w:t>
      </w:r>
      <w:proofErr w:type="gramStart"/>
      <w:r>
        <w:rPr>
          <w:rFonts w:hint="eastAsia"/>
          <w:kern w:val="0"/>
        </w:rPr>
        <w:t>发生穿</w:t>
      </w:r>
      <w:proofErr w:type="gramEnd"/>
      <w:r>
        <w:rPr>
          <w:rFonts w:hint="eastAsia"/>
          <w:kern w:val="0"/>
        </w:rPr>
        <w:t>壁裂缝，无环向或纵向破裂的可能；</w:t>
      </w:r>
    </w:p>
    <w:p w:rsidR="00FD607E" w:rsidRDefault="00182B07">
      <w:pPr>
        <w:widowControl/>
        <w:numPr>
          <w:ilvl w:val="0"/>
          <w:numId w:val="31"/>
        </w:numPr>
        <w:tabs>
          <w:tab w:val="left" w:pos="420"/>
        </w:tabs>
        <w:spacing w:line="440" w:lineRule="exact"/>
        <w:rPr>
          <w:kern w:val="0"/>
        </w:rPr>
      </w:pPr>
      <w:r>
        <w:rPr>
          <w:rFonts w:hint="eastAsia"/>
          <w:kern w:val="0"/>
        </w:rPr>
        <w:t>非抗震</w:t>
      </w:r>
      <w:r>
        <w:rPr>
          <w:rFonts w:hint="eastAsia"/>
          <w:kern w:val="0"/>
        </w:rPr>
        <w:t>I</w:t>
      </w:r>
      <w:r>
        <w:rPr>
          <w:rFonts w:hint="eastAsia"/>
          <w:kern w:val="0"/>
        </w:rPr>
        <w:t>类水箱失效或满溢，</w:t>
      </w:r>
      <w:r>
        <w:rPr>
          <w:rFonts w:hint="eastAsia"/>
          <w:szCs w:val="20"/>
        </w:rPr>
        <w:t>对于具有冗余真空爆破装置、大气开口以及超压保护的抗震Ⅰ类水箱，或设置有水密性衬里的水箱，可不假设水箱失效</w:t>
      </w:r>
      <w:r>
        <w:rPr>
          <w:rFonts w:hint="eastAsia"/>
          <w:kern w:val="0"/>
        </w:rPr>
        <w:t>；</w:t>
      </w:r>
    </w:p>
    <w:p w:rsidR="00FD607E" w:rsidRDefault="00182B07">
      <w:pPr>
        <w:widowControl/>
        <w:numPr>
          <w:ilvl w:val="0"/>
          <w:numId w:val="31"/>
        </w:numPr>
        <w:tabs>
          <w:tab w:val="left" w:pos="420"/>
        </w:tabs>
        <w:spacing w:line="440" w:lineRule="exact"/>
        <w:rPr>
          <w:kern w:val="0"/>
        </w:rPr>
      </w:pPr>
      <w:r>
        <w:rPr>
          <w:rFonts w:hint="eastAsia"/>
          <w:kern w:val="0"/>
        </w:rPr>
        <w:t>消防系统动作（包括误动作），可忽略采用闭式喷头的自动喷水灭火系统干管的误动作；</w:t>
      </w:r>
    </w:p>
    <w:p w:rsidR="00FD607E" w:rsidRDefault="00182B07">
      <w:pPr>
        <w:widowControl/>
        <w:numPr>
          <w:ilvl w:val="0"/>
          <w:numId w:val="31"/>
        </w:numPr>
        <w:tabs>
          <w:tab w:val="left" w:pos="420"/>
        </w:tabs>
        <w:spacing w:line="440" w:lineRule="exact"/>
        <w:rPr>
          <w:kern w:val="0"/>
        </w:rPr>
      </w:pPr>
      <w:r>
        <w:rPr>
          <w:rFonts w:hint="eastAsia"/>
          <w:kern w:val="0"/>
        </w:rPr>
        <w:t>设备隔离失效，即泵、阀等能动部件产生泄漏或防泄漏密封装置失效引起的水淹；</w:t>
      </w:r>
    </w:p>
    <w:p w:rsidR="00FD607E" w:rsidRDefault="00182B07">
      <w:pPr>
        <w:widowControl/>
        <w:numPr>
          <w:ilvl w:val="0"/>
          <w:numId w:val="31"/>
        </w:numPr>
        <w:tabs>
          <w:tab w:val="left" w:pos="420"/>
        </w:tabs>
        <w:spacing w:line="440" w:lineRule="exact"/>
        <w:rPr>
          <w:kern w:val="0"/>
        </w:rPr>
      </w:pPr>
      <w:r>
        <w:rPr>
          <w:rFonts w:hint="eastAsia"/>
          <w:kern w:val="0"/>
        </w:rPr>
        <w:t>来自相邻区域的水漫延导致的水淹。</w:t>
      </w:r>
    </w:p>
    <w:p w:rsidR="00FD607E" w:rsidRDefault="00182B07">
      <w:pPr>
        <w:widowControl/>
        <w:spacing w:line="440" w:lineRule="exact"/>
        <w:ind w:firstLineChars="200" w:firstLine="420"/>
        <w:rPr>
          <w:kern w:val="0"/>
        </w:rPr>
      </w:pPr>
      <w:r>
        <w:rPr>
          <w:rFonts w:hint="eastAsia"/>
          <w:kern w:val="0"/>
        </w:rPr>
        <w:t>除考虑</w:t>
      </w:r>
      <w:r>
        <w:rPr>
          <w:rFonts w:hint="eastAsia"/>
          <w:kern w:val="0"/>
        </w:rPr>
        <w:t>上</w:t>
      </w:r>
      <w:r>
        <w:rPr>
          <w:rFonts w:hint="eastAsia"/>
          <w:kern w:val="0"/>
        </w:rPr>
        <w:t>述</w:t>
      </w:r>
      <w:r>
        <w:rPr>
          <w:rFonts w:hint="eastAsia"/>
          <w:kern w:val="0"/>
        </w:rPr>
        <w:t>内部水淹源外，还应包括厂房外厂区内的蓄水结构或设备破坏造成的水淹。</w:t>
      </w:r>
    </w:p>
    <w:p w:rsidR="00FD607E" w:rsidRDefault="00182B07">
      <w:pPr>
        <w:pStyle w:val="a6"/>
        <w:spacing w:before="156" w:after="156"/>
        <w:ind w:left="0"/>
        <w:rPr>
          <w:rFonts w:ascii="Times New Roman"/>
        </w:rPr>
      </w:pPr>
      <w:r>
        <w:rPr>
          <w:rFonts w:ascii="Times New Roman" w:hint="eastAsia"/>
        </w:rPr>
        <w:t>泄漏隔离时间</w:t>
      </w:r>
    </w:p>
    <w:p w:rsidR="00FD607E" w:rsidRDefault="00182B07">
      <w:pPr>
        <w:widowControl/>
        <w:spacing w:line="440" w:lineRule="exact"/>
        <w:ind w:firstLineChars="200" w:firstLine="420"/>
        <w:rPr>
          <w:kern w:val="0"/>
        </w:rPr>
      </w:pPr>
      <w:r>
        <w:rPr>
          <w:rFonts w:hint="eastAsia"/>
          <w:kern w:val="0"/>
        </w:rPr>
        <w:t>泄漏隔离时间由两部分组成</w:t>
      </w:r>
      <w:r>
        <w:rPr>
          <w:kern w:val="0"/>
        </w:rPr>
        <w:t>，</w:t>
      </w:r>
      <w:r>
        <w:rPr>
          <w:rFonts w:hint="eastAsia"/>
          <w:kern w:val="0"/>
        </w:rPr>
        <w:t>即</w:t>
      </w:r>
      <w:r>
        <w:rPr>
          <w:kern w:val="0"/>
        </w:rPr>
        <w:t>发生泄漏之后的探测时间</w:t>
      </w:r>
      <w:r>
        <w:rPr>
          <w:rFonts w:hint="eastAsia"/>
          <w:kern w:val="0"/>
        </w:rPr>
        <w:t>以及</w:t>
      </w:r>
      <w:r>
        <w:rPr>
          <w:kern w:val="0"/>
        </w:rPr>
        <w:t>隔离时间</w:t>
      </w:r>
      <w:r>
        <w:rPr>
          <w:rFonts w:hint="eastAsia"/>
          <w:kern w:val="0"/>
        </w:rPr>
        <w:t>。</w:t>
      </w:r>
    </w:p>
    <w:p w:rsidR="00FD607E" w:rsidRDefault="00182B07">
      <w:pPr>
        <w:widowControl/>
        <w:spacing w:line="440" w:lineRule="exact"/>
        <w:ind w:firstLineChars="200" w:firstLine="420"/>
        <w:rPr>
          <w:kern w:val="0"/>
        </w:rPr>
      </w:pPr>
      <w:r>
        <w:rPr>
          <w:rFonts w:hint="eastAsia"/>
          <w:kern w:val="0"/>
        </w:rPr>
        <w:t>泄漏隔离时间应考虑以下方面：</w:t>
      </w:r>
    </w:p>
    <w:p w:rsidR="00FD607E" w:rsidRDefault="00182B07">
      <w:pPr>
        <w:widowControl/>
        <w:numPr>
          <w:ilvl w:val="0"/>
          <w:numId w:val="32"/>
        </w:numPr>
        <w:tabs>
          <w:tab w:val="left" w:pos="420"/>
        </w:tabs>
        <w:spacing w:line="440" w:lineRule="exact"/>
        <w:rPr>
          <w:kern w:val="0"/>
        </w:rPr>
      </w:pPr>
      <w:r>
        <w:rPr>
          <w:rFonts w:hint="eastAsia"/>
          <w:kern w:val="0"/>
        </w:rPr>
        <w:t>确定</w:t>
      </w:r>
      <w:r>
        <w:rPr>
          <w:kern w:val="0"/>
        </w:rPr>
        <w:t>能在主控室监测到泄漏信号，并可以在主控室手动隔离</w:t>
      </w:r>
      <w:r>
        <w:rPr>
          <w:rFonts w:hint="eastAsia"/>
          <w:kern w:val="0"/>
        </w:rPr>
        <w:t>时</w:t>
      </w:r>
      <w:r>
        <w:rPr>
          <w:kern w:val="0"/>
        </w:rPr>
        <w:t>，泄漏时间</w:t>
      </w:r>
      <w:r>
        <w:rPr>
          <w:rFonts w:hint="eastAsia"/>
          <w:kern w:val="0"/>
        </w:rPr>
        <w:t>应</w:t>
      </w:r>
      <w:r>
        <w:rPr>
          <w:kern w:val="0"/>
        </w:rPr>
        <w:t>等于主控室出现第一次报警信号时间加上人员不干预时间</w:t>
      </w:r>
      <w:r>
        <w:rPr>
          <w:rFonts w:hint="eastAsia"/>
          <w:kern w:val="0"/>
        </w:rPr>
        <w:t>；</w:t>
      </w:r>
    </w:p>
    <w:p w:rsidR="00FD607E" w:rsidRDefault="00182B07">
      <w:pPr>
        <w:widowControl/>
        <w:numPr>
          <w:ilvl w:val="0"/>
          <w:numId w:val="32"/>
        </w:numPr>
        <w:tabs>
          <w:tab w:val="left" w:pos="420"/>
        </w:tabs>
        <w:spacing w:line="440" w:lineRule="exact"/>
        <w:rPr>
          <w:kern w:val="0"/>
        </w:rPr>
      </w:pPr>
      <w:r>
        <w:rPr>
          <w:rFonts w:hint="eastAsia"/>
          <w:kern w:val="0"/>
        </w:rPr>
        <w:t>确定</w:t>
      </w:r>
      <w:r>
        <w:rPr>
          <w:kern w:val="0"/>
        </w:rPr>
        <w:t>能在主控室监测到泄漏信号，但需要就地操作进行隔离</w:t>
      </w:r>
      <w:r>
        <w:rPr>
          <w:rFonts w:hint="eastAsia"/>
          <w:kern w:val="0"/>
        </w:rPr>
        <w:t>时</w:t>
      </w:r>
      <w:r>
        <w:rPr>
          <w:kern w:val="0"/>
        </w:rPr>
        <w:t>，泄漏时间</w:t>
      </w:r>
      <w:r>
        <w:rPr>
          <w:rFonts w:hint="eastAsia"/>
          <w:kern w:val="0"/>
        </w:rPr>
        <w:t>应</w:t>
      </w:r>
      <w:r>
        <w:rPr>
          <w:kern w:val="0"/>
        </w:rPr>
        <w:t>等于主控室出现第一次报警信号时间加上安排人员执行就地动作所需时间</w:t>
      </w:r>
      <w:r>
        <w:rPr>
          <w:rFonts w:hint="eastAsia"/>
          <w:kern w:val="0"/>
        </w:rPr>
        <w:t>，这种情况下，泄漏时间应根据具体情况确定；</w:t>
      </w:r>
    </w:p>
    <w:p w:rsidR="00FD607E" w:rsidRDefault="00182B07">
      <w:pPr>
        <w:widowControl/>
        <w:numPr>
          <w:ilvl w:val="0"/>
          <w:numId w:val="32"/>
        </w:numPr>
        <w:tabs>
          <w:tab w:val="left" w:pos="420"/>
        </w:tabs>
        <w:spacing w:line="440" w:lineRule="exact"/>
        <w:rPr>
          <w:kern w:val="0"/>
        </w:rPr>
      </w:pPr>
      <w:r>
        <w:rPr>
          <w:rFonts w:hint="eastAsia"/>
          <w:kern w:val="0"/>
        </w:rPr>
        <w:t>确定水淹源为</w:t>
      </w:r>
      <w:r>
        <w:rPr>
          <w:kern w:val="0"/>
        </w:rPr>
        <w:t>闭式循环</w:t>
      </w:r>
      <w:r>
        <w:rPr>
          <w:rFonts w:hint="eastAsia"/>
          <w:kern w:val="0"/>
        </w:rPr>
        <w:t>时</w:t>
      </w:r>
      <w:r>
        <w:rPr>
          <w:kern w:val="0"/>
        </w:rPr>
        <w:t>，</w:t>
      </w:r>
      <w:r>
        <w:rPr>
          <w:rFonts w:hint="eastAsia"/>
          <w:kern w:val="0"/>
        </w:rPr>
        <w:t>应考虑水全部泄漏所需要的时间。</w:t>
      </w:r>
    </w:p>
    <w:p w:rsidR="00FD607E" w:rsidRDefault="00182B07">
      <w:pPr>
        <w:pStyle w:val="a6"/>
        <w:spacing w:before="156" w:after="156"/>
        <w:ind w:left="0"/>
        <w:rPr>
          <w:rFonts w:ascii="Times New Roman"/>
        </w:rPr>
      </w:pPr>
      <w:r>
        <w:rPr>
          <w:rFonts w:ascii="Times New Roman" w:hint="eastAsia"/>
        </w:rPr>
        <w:t>泄漏水量</w:t>
      </w:r>
    </w:p>
    <w:p w:rsidR="00FD607E" w:rsidRDefault="00182B07">
      <w:pPr>
        <w:pStyle w:val="afff1"/>
      </w:pPr>
      <w:r>
        <w:rPr>
          <w:rFonts w:ascii="Times New Roman" w:hint="eastAsia"/>
        </w:rPr>
        <w:t>泄漏水量应考虑以下方面：</w:t>
      </w:r>
    </w:p>
    <w:p w:rsidR="00FD607E" w:rsidRDefault="00182B07">
      <w:pPr>
        <w:widowControl/>
        <w:numPr>
          <w:ilvl w:val="0"/>
          <w:numId w:val="33"/>
        </w:numPr>
        <w:tabs>
          <w:tab w:val="left" w:pos="420"/>
        </w:tabs>
        <w:spacing w:line="440" w:lineRule="exact"/>
        <w:rPr>
          <w:kern w:val="0"/>
        </w:rPr>
      </w:pPr>
      <w:r>
        <w:rPr>
          <w:rFonts w:hint="eastAsia"/>
          <w:kern w:val="0"/>
        </w:rPr>
        <w:t>确定</w:t>
      </w:r>
      <w:r>
        <w:rPr>
          <w:kern w:val="0"/>
        </w:rPr>
        <w:t>中能和高能管道</w:t>
      </w:r>
      <w:r>
        <w:rPr>
          <w:rFonts w:hint="eastAsia"/>
          <w:kern w:val="0"/>
        </w:rPr>
        <w:t>的泄漏水量时</w:t>
      </w:r>
      <w:r>
        <w:rPr>
          <w:kern w:val="0"/>
        </w:rPr>
        <w:t>，</w:t>
      </w:r>
      <w:r>
        <w:rPr>
          <w:rFonts w:hint="eastAsia"/>
          <w:kern w:val="0"/>
        </w:rPr>
        <w:t>管线破损的位置和形状应根据</w:t>
      </w:r>
      <w:r>
        <w:rPr>
          <w:rFonts w:hint="eastAsia"/>
          <w:kern w:val="0"/>
        </w:rPr>
        <w:t>T-CNS 24-2020</w:t>
      </w:r>
      <w:r>
        <w:rPr>
          <w:rFonts w:hint="eastAsia"/>
          <w:kern w:val="0"/>
        </w:rPr>
        <w:t>中的要求确定。假想高能和中能管线破损所释放的流体质量应根据</w:t>
      </w:r>
      <w:r>
        <w:rPr>
          <w:rFonts w:hint="eastAsia"/>
          <w:kern w:val="0"/>
        </w:rPr>
        <w:t>NB/T 20403-2017RK</w:t>
      </w:r>
      <w:r>
        <w:rPr>
          <w:rFonts w:hint="eastAsia"/>
          <w:kern w:val="0"/>
        </w:rPr>
        <w:t>中第四章的要求进行计算；</w:t>
      </w:r>
    </w:p>
    <w:p w:rsidR="00FD607E" w:rsidRDefault="00182B07">
      <w:pPr>
        <w:widowControl/>
        <w:numPr>
          <w:ilvl w:val="0"/>
          <w:numId w:val="33"/>
        </w:numPr>
        <w:tabs>
          <w:tab w:val="left" w:pos="420"/>
        </w:tabs>
        <w:spacing w:line="440" w:lineRule="exact"/>
        <w:rPr>
          <w:kern w:val="0"/>
        </w:rPr>
      </w:pPr>
      <w:r>
        <w:rPr>
          <w:rFonts w:hint="eastAsia"/>
          <w:kern w:val="0"/>
        </w:rPr>
        <w:t>确定</w:t>
      </w:r>
      <w:r>
        <w:rPr>
          <w:kern w:val="0"/>
        </w:rPr>
        <w:t>箱体泄漏和破裂</w:t>
      </w:r>
      <w:r>
        <w:rPr>
          <w:rFonts w:hint="eastAsia"/>
          <w:kern w:val="0"/>
        </w:rPr>
        <w:t>的泄漏水量时</w:t>
      </w:r>
      <w:r>
        <w:rPr>
          <w:kern w:val="0"/>
        </w:rPr>
        <w:t>，通常</w:t>
      </w:r>
      <w:r>
        <w:rPr>
          <w:rFonts w:hint="eastAsia"/>
          <w:kern w:val="0"/>
        </w:rPr>
        <w:t>应</w:t>
      </w:r>
      <w:r>
        <w:rPr>
          <w:kern w:val="0"/>
        </w:rPr>
        <w:t>考虑箱体内的水全部排空，最大</w:t>
      </w:r>
      <w:r>
        <w:rPr>
          <w:rFonts w:hint="eastAsia"/>
          <w:kern w:val="0"/>
        </w:rPr>
        <w:t>释放</w:t>
      </w:r>
      <w:r>
        <w:rPr>
          <w:kern w:val="0"/>
        </w:rPr>
        <w:t>水量</w:t>
      </w:r>
      <w:r>
        <w:rPr>
          <w:rFonts w:hint="eastAsia"/>
          <w:kern w:val="0"/>
        </w:rPr>
        <w:t>应</w:t>
      </w:r>
      <w:r>
        <w:rPr>
          <w:kern w:val="0"/>
        </w:rPr>
        <w:t>为水箱的有效容积</w:t>
      </w:r>
      <w:r>
        <w:rPr>
          <w:rFonts w:hint="eastAsia"/>
          <w:kern w:val="0"/>
        </w:rPr>
        <w:t>，还应</w:t>
      </w:r>
      <w:r>
        <w:rPr>
          <w:kern w:val="0"/>
        </w:rPr>
        <w:t>考虑水箱的</w:t>
      </w:r>
      <w:r>
        <w:rPr>
          <w:rFonts w:hint="eastAsia"/>
          <w:kern w:val="0"/>
        </w:rPr>
        <w:t>自动</w:t>
      </w:r>
      <w:r>
        <w:rPr>
          <w:kern w:val="0"/>
        </w:rPr>
        <w:t>补水</w:t>
      </w:r>
      <w:r>
        <w:rPr>
          <w:rFonts w:hint="eastAsia"/>
          <w:kern w:val="0"/>
        </w:rPr>
        <w:t>及相连的管道系统；</w:t>
      </w:r>
    </w:p>
    <w:p w:rsidR="00FD607E" w:rsidRDefault="00182B07">
      <w:pPr>
        <w:widowControl/>
        <w:numPr>
          <w:ilvl w:val="0"/>
          <w:numId w:val="33"/>
        </w:numPr>
        <w:tabs>
          <w:tab w:val="left" w:pos="420"/>
        </w:tabs>
        <w:spacing w:line="440" w:lineRule="exact"/>
        <w:rPr>
          <w:kern w:val="0"/>
        </w:rPr>
      </w:pPr>
      <w:r>
        <w:rPr>
          <w:rFonts w:hint="eastAsia"/>
          <w:kern w:val="0"/>
        </w:rPr>
        <w:t>确定</w:t>
      </w:r>
      <w:r>
        <w:rPr>
          <w:kern w:val="0"/>
        </w:rPr>
        <w:t>消防系统正常动作</w:t>
      </w:r>
      <w:r>
        <w:rPr>
          <w:rFonts w:hint="eastAsia"/>
          <w:kern w:val="0"/>
        </w:rPr>
        <w:t>的水量时</w:t>
      </w:r>
      <w:r>
        <w:rPr>
          <w:kern w:val="0"/>
        </w:rPr>
        <w:t>，</w:t>
      </w:r>
      <w:r>
        <w:rPr>
          <w:rFonts w:hint="eastAsia"/>
          <w:kern w:val="0"/>
        </w:rPr>
        <w:t>应考虑所有影响该水淹区域的</w:t>
      </w:r>
      <w:proofErr w:type="gramStart"/>
      <w:r>
        <w:rPr>
          <w:rFonts w:hint="eastAsia"/>
          <w:kern w:val="0"/>
        </w:rPr>
        <w:t>的</w:t>
      </w:r>
      <w:proofErr w:type="gramEnd"/>
      <w:r>
        <w:rPr>
          <w:rFonts w:hint="eastAsia"/>
          <w:kern w:val="0"/>
        </w:rPr>
        <w:t>消防系统均投入运行。</w:t>
      </w:r>
      <w:r>
        <w:rPr>
          <w:kern w:val="0"/>
        </w:rPr>
        <w:t>水淹量为水淹分区内所有消防喷</w:t>
      </w:r>
      <w:r>
        <w:rPr>
          <w:kern w:val="0"/>
        </w:rPr>
        <w:t>淋系统的喷淋水量和消火栓的投入的水量之和</w:t>
      </w:r>
      <w:r>
        <w:rPr>
          <w:rFonts w:hint="eastAsia"/>
          <w:kern w:val="0"/>
        </w:rPr>
        <w:t>；</w:t>
      </w:r>
    </w:p>
    <w:p w:rsidR="00FD607E" w:rsidRDefault="00182B07">
      <w:pPr>
        <w:widowControl/>
        <w:numPr>
          <w:ilvl w:val="0"/>
          <w:numId w:val="33"/>
        </w:numPr>
        <w:tabs>
          <w:tab w:val="left" w:pos="420"/>
        </w:tabs>
        <w:spacing w:line="440" w:lineRule="exact"/>
        <w:rPr>
          <w:kern w:val="0"/>
        </w:rPr>
      </w:pPr>
      <w:r>
        <w:rPr>
          <w:rFonts w:hint="eastAsia"/>
          <w:kern w:val="0"/>
        </w:rPr>
        <w:t>设备隔离失效的泄漏水量应与该分区内管道破损的水淹源进行比较，选取最大值；</w:t>
      </w:r>
    </w:p>
    <w:p w:rsidR="00FD607E" w:rsidRDefault="00182B07">
      <w:pPr>
        <w:widowControl/>
        <w:numPr>
          <w:ilvl w:val="0"/>
          <w:numId w:val="33"/>
        </w:numPr>
        <w:tabs>
          <w:tab w:val="left" w:pos="420"/>
        </w:tabs>
        <w:spacing w:line="440" w:lineRule="exact"/>
        <w:rPr>
          <w:kern w:val="0"/>
        </w:rPr>
      </w:pPr>
      <w:r>
        <w:rPr>
          <w:rFonts w:hint="eastAsia"/>
          <w:kern w:val="0"/>
        </w:rPr>
        <w:t>确定来自相邻区域的水漫延的水量时，应按对所分析区域最不利的假设确定水量；</w:t>
      </w:r>
    </w:p>
    <w:p w:rsidR="00FD607E" w:rsidRDefault="00182B07">
      <w:pPr>
        <w:widowControl/>
        <w:numPr>
          <w:ilvl w:val="0"/>
          <w:numId w:val="33"/>
        </w:numPr>
        <w:tabs>
          <w:tab w:val="left" w:pos="420"/>
        </w:tabs>
        <w:spacing w:line="440" w:lineRule="exact"/>
        <w:rPr>
          <w:kern w:val="0"/>
        </w:rPr>
      </w:pPr>
      <w:r>
        <w:rPr>
          <w:rFonts w:hint="eastAsia"/>
          <w:kern w:val="0"/>
        </w:rPr>
        <w:lastRenderedPageBreak/>
        <w:t>确定厂房外厂区内的蓄水结构或设备破坏造成的水淹水量时，应按对安全厂房最不利的假设确定水量。</w:t>
      </w:r>
    </w:p>
    <w:p w:rsidR="00FD607E" w:rsidRDefault="00182B07">
      <w:pPr>
        <w:pStyle w:val="a5"/>
        <w:ind w:left="0"/>
      </w:pPr>
      <w:bookmarkStart w:id="77" w:name="_Toc17030"/>
      <w:bookmarkStart w:id="78" w:name="_Toc27614"/>
      <w:r>
        <w:rPr>
          <w:rFonts w:hint="eastAsia"/>
        </w:rPr>
        <w:t>分析漫延路径</w:t>
      </w:r>
      <w:bookmarkEnd w:id="77"/>
      <w:bookmarkEnd w:id="78"/>
    </w:p>
    <w:p w:rsidR="00FD607E" w:rsidRDefault="00182B07">
      <w:pPr>
        <w:widowControl/>
        <w:spacing w:line="440" w:lineRule="exact"/>
        <w:ind w:firstLineChars="200" w:firstLine="420"/>
        <w:rPr>
          <w:kern w:val="0"/>
        </w:rPr>
      </w:pPr>
      <w:r>
        <w:rPr>
          <w:rFonts w:hint="eastAsia"/>
          <w:kern w:val="0"/>
        </w:rPr>
        <w:t>确定</w:t>
      </w:r>
      <w:r>
        <w:rPr>
          <w:kern w:val="0"/>
        </w:rPr>
        <w:t>水淹分区所有的</w:t>
      </w:r>
      <w:r>
        <w:rPr>
          <w:rFonts w:hint="eastAsia"/>
          <w:kern w:val="0"/>
        </w:rPr>
        <w:t>排水措施</w:t>
      </w:r>
      <w:r>
        <w:rPr>
          <w:kern w:val="0"/>
        </w:rPr>
        <w:t>和漫延路径</w:t>
      </w:r>
      <w:r>
        <w:rPr>
          <w:rFonts w:hint="eastAsia"/>
          <w:kern w:val="0"/>
        </w:rPr>
        <w:t>。排水措施包括地漏、地坑、排水泵等，漫延路径包括门缝、门洞、楼梯井、地面开口、地面套管、孔洞等。</w:t>
      </w:r>
    </w:p>
    <w:p w:rsidR="00FD607E" w:rsidRDefault="00182B07">
      <w:pPr>
        <w:widowControl/>
        <w:spacing w:line="440" w:lineRule="exact"/>
        <w:ind w:firstLineChars="200" w:firstLine="420"/>
        <w:rPr>
          <w:kern w:val="0"/>
        </w:rPr>
      </w:pPr>
      <w:r>
        <w:rPr>
          <w:rFonts w:hint="eastAsia"/>
          <w:kern w:val="0"/>
        </w:rPr>
        <w:t>在确定漫延路径时，应按对所分析水淹分区最不利的假设确定保守值。</w:t>
      </w:r>
    </w:p>
    <w:p w:rsidR="00FD607E" w:rsidRDefault="00182B07">
      <w:pPr>
        <w:widowControl/>
        <w:spacing w:line="440" w:lineRule="exact"/>
        <w:ind w:firstLineChars="200" w:firstLine="420"/>
        <w:rPr>
          <w:kern w:val="0"/>
        </w:rPr>
      </w:pPr>
      <w:r>
        <w:rPr>
          <w:kern w:val="0"/>
        </w:rPr>
        <w:t>楼梯井、地面开口、地面套管、门洞等流量依据</w:t>
      </w:r>
      <w:r>
        <w:rPr>
          <w:kern w:val="0"/>
        </w:rPr>
        <w:t>NB/T 20591-2021</w:t>
      </w:r>
      <w:r>
        <w:rPr>
          <w:kern w:val="0"/>
        </w:rPr>
        <w:t>进行计算</w:t>
      </w:r>
      <w:r>
        <w:rPr>
          <w:rFonts w:hint="eastAsia"/>
          <w:kern w:val="0"/>
        </w:rPr>
        <w:t>。</w:t>
      </w:r>
    </w:p>
    <w:p w:rsidR="00FD607E" w:rsidRDefault="00182B07">
      <w:pPr>
        <w:pStyle w:val="a5"/>
        <w:ind w:left="0"/>
      </w:pPr>
      <w:bookmarkStart w:id="79" w:name="_Toc8660"/>
      <w:bookmarkStart w:id="80" w:name="_Toc8396"/>
      <w:r>
        <w:rPr>
          <w:rFonts w:hint="eastAsia"/>
        </w:rPr>
        <w:t>计算水淹高度</w:t>
      </w:r>
      <w:bookmarkEnd w:id="79"/>
      <w:bookmarkEnd w:id="80"/>
    </w:p>
    <w:p w:rsidR="00FD607E" w:rsidRDefault="00182B07">
      <w:pPr>
        <w:widowControl/>
        <w:spacing w:line="440" w:lineRule="exact"/>
        <w:ind w:firstLineChars="200" w:firstLine="420"/>
        <w:rPr>
          <w:kern w:val="0"/>
        </w:rPr>
      </w:pPr>
      <w:r>
        <w:rPr>
          <w:rFonts w:hint="eastAsia"/>
          <w:kern w:val="0"/>
        </w:rPr>
        <w:t>所有水淹分区的水淹</w:t>
      </w:r>
      <w:r>
        <w:rPr>
          <w:rFonts w:hint="eastAsia"/>
          <w:kern w:val="0"/>
        </w:rPr>
        <w:t>高度</w:t>
      </w:r>
      <w:r>
        <w:rPr>
          <w:rFonts w:hint="eastAsia"/>
          <w:kern w:val="0"/>
        </w:rPr>
        <w:t>应通过水淹分区的分区流入量、分区流出量和分区水淹面积确定。</w:t>
      </w:r>
    </w:p>
    <w:p w:rsidR="00FD607E" w:rsidRDefault="00182B07">
      <w:pPr>
        <w:widowControl/>
        <w:numPr>
          <w:ilvl w:val="0"/>
          <w:numId w:val="34"/>
        </w:numPr>
        <w:tabs>
          <w:tab w:val="left" w:pos="420"/>
        </w:tabs>
        <w:spacing w:line="440" w:lineRule="exact"/>
        <w:rPr>
          <w:kern w:val="0"/>
        </w:rPr>
      </w:pPr>
      <w:r>
        <w:rPr>
          <w:kern w:val="0"/>
        </w:rPr>
        <w:t>分区流入量为</w:t>
      </w:r>
      <w:r>
        <w:rPr>
          <w:rFonts w:hint="eastAsia"/>
          <w:kern w:val="0"/>
        </w:rPr>
        <w:t>水淹</w:t>
      </w:r>
      <w:r>
        <w:rPr>
          <w:kern w:val="0"/>
        </w:rPr>
        <w:t>分区内潜在水淹源的泄漏水量，</w:t>
      </w:r>
      <w:r>
        <w:rPr>
          <w:rFonts w:hint="eastAsia"/>
          <w:kern w:val="0"/>
        </w:rPr>
        <w:t>通常应为水淹</w:t>
      </w:r>
      <w:r>
        <w:rPr>
          <w:kern w:val="0"/>
        </w:rPr>
        <w:t>分区内</w:t>
      </w:r>
      <w:r>
        <w:rPr>
          <w:rFonts w:hint="eastAsia"/>
          <w:kern w:val="0"/>
        </w:rPr>
        <w:t>外包络</w:t>
      </w:r>
      <w:r>
        <w:rPr>
          <w:kern w:val="0"/>
        </w:rPr>
        <w:t>的水淹源</w:t>
      </w:r>
      <w:r>
        <w:rPr>
          <w:rFonts w:hint="eastAsia"/>
          <w:kern w:val="0"/>
        </w:rPr>
        <w:t>，水淹量的计算见第</w:t>
      </w:r>
      <w:r>
        <w:rPr>
          <w:rFonts w:hint="eastAsia"/>
          <w:kern w:val="0"/>
        </w:rPr>
        <w:t>5.6</w:t>
      </w:r>
      <w:r>
        <w:rPr>
          <w:rFonts w:hint="eastAsia"/>
          <w:kern w:val="0"/>
        </w:rPr>
        <w:t>节相关内容；</w:t>
      </w:r>
    </w:p>
    <w:p w:rsidR="00FD607E" w:rsidRDefault="00182B07">
      <w:pPr>
        <w:widowControl/>
        <w:numPr>
          <w:ilvl w:val="0"/>
          <w:numId w:val="34"/>
        </w:numPr>
        <w:tabs>
          <w:tab w:val="left" w:pos="420"/>
        </w:tabs>
        <w:spacing w:line="440" w:lineRule="exact"/>
        <w:rPr>
          <w:kern w:val="0"/>
        </w:rPr>
      </w:pPr>
      <w:r>
        <w:rPr>
          <w:kern w:val="0"/>
        </w:rPr>
        <w:t>分区流出量为分区通过排水措施和漫延路径的排水量，</w:t>
      </w:r>
      <w:r>
        <w:rPr>
          <w:rFonts w:hint="eastAsia"/>
          <w:kern w:val="0"/>
        </w:rPr>
        <w:t>排水量的计算见第</w:t>
      </w:r>
      <w:r>
        <w:rPr>
          <w:rFonts w:hint="eastAsia"/>
          <w:kern w:val="0"/>
        </w:rPr>
        <w:t>5.7</w:t>
      </w:r>
      <w:r>
        <w:rPr>
          <w:rFonts w:hint="eastAsia"/>
          <w:kern w:val="0"/>
        </w:rPr>
        <w:t>节相关内容</w:t>
      </w:r>
      <w:r>
        <w:rPr>
          <w:kern w:val="0"/>
        </w:rPr>
        <w:t>；</w:t>
      </w:r>
    </w:p>
    <w:p w:rsidR="00FD607E" w:rsidRDefault="00182B07">
      <w:pPr>
        <w:widowControl/>
        <w:numPr>
          <w:ilvl w:val="0"/>
          <w:numId w:val="34"/>
        </w:numPr>
        <w:tabs>
          <w:tab w:val="left" w:pos="420"/>
        </w:tabs>
        <w:spacing w:line="440" w:lineRule="exact"/>
        <w:rPr>
          <w:kern w:val="0"/>
        </w:rPr>
      </w:pPr>
      <w:r>
        <w:rPr>
          <w:kern w:val="0"/>
        </w:rPr>
        <w:t>分区水淹面积为水淹分区内去除掉设备所占位置之后的实际</w:t>
      </w:r>
      <w:r>
        <w:rPr>
          <w:kern w:val="0"/>
        </w:rPr>
        <w:t>水淹面积。</w:t>
      </w:r>
    </w:p>
    <w:p w:rsidR="00FD607E" w:rsidRDefault="00182B07">
      <w:pPr>
        <w:pStyle w:val="a5"/>
        <w:ind w:left="0"/>
      </w:pPr>
      <w:bookmarkStart w:id="81" w:name="_Toc17952"/>
      <w:r>
        <w:rPr>
          <w:rFonts w:hint="eastAsia"/>
        </w:rPr>
        <w:t>分析水淹影响</w:t>
      </w:r>
      <w:bookmarkEnd w:id="81"/>
    </w:p>
    <w:p w:rsidR="00FD607E" w:rsidRDefault="00182B07">
      <w:pPr>
        <w:widowControl/>
        <w:spacing w:line="440" w:lineRule="exact"/>
        <w:ind w:firstLineChars="200" w:firstLine="420"/>
        <w:rPr>
          <w:kern w:val="0"/>
        </w:rPr>
      </w:pPr>
      <w:r>
        <w:rPr>
          <w:rFonts w:hint="eastAsia"/>
          <w:kern w:val="0"/>
        </w:rPr>
        <w:t>水淹影响应分析淹没影响和喷淋影响。</w:t>
      </w:r>
    </w:p>
    <w:p w:rsidR="00FD607E" w:rsidRDefault="00182B07">
      <w:pPr>
        <w:widowControl/>
        <w:numPr>
          <w:ilvl w:val="0"/>
          <w:numId w:val="35"/>
        </w:numPr>
        <w:tabs>
          <w:tab w:val="left" w:pos="420"/>
        </w:tabs>
        <w:spacing w:line="440" w:lineRule="exact"/>
        <w:rPr>
          <w:kern w:val="0"/>
        </w:rPr>
      </w:pPr>
      <w:r>
        <w:rPr>
          <w:rFonts w:hint="eastAsia"/>
          <w:kern w:val="0"/>
        </w:rPr>
        <w:t>应比较设备安装高度和</w:t>
      </w:r>
      <w:r>
        <w:rPr>
          <w:rFonts w:hint="eastAsia"/>
          <w:kern w:val="0"/>
        </w:rPr>
        <w:t>水淹水位高度，确定</w:t>
      </w:r>
      <w:proofErr w:type="gramStart"/>
      <w:r>
        <w:rPr>
          <w:rFonts w:hint="eastAsia"/>
          <w:kern w:val="0"/>
        </w:rPr>
        <w:t>禁淹设备</w:t>
      </w:r>
      <w:proofErr w:type="gramEnd"/>
      <w:r>
        <w:rPr>
          <w:rFonts w:hint="eastAsia"/>
          <w:kern w:val="0"/>
        </w:rPr>
        <w:t>是否受内部水淹的淹没影响；</w:t>
      </w:r>
    </w:p>
    <w:p w:rsidR="00FD607E" w:rsidRDefault="00182B07">
      <w:pPr>
        <w:widowControl/>
        <w:numPr>
          <w:ilvl w:val="0"/>
          <w:numId w:val="35"/>
        </w:numPr>
        <w:tabs>
          <w:tab w:val="left" w:pos="420"/>
        </w:tabs>
        <w:spacing w:line="440" w:lineRule="exact"/>
        <w:rPr>
          <w:kern w:val="0"/>
        </w:rPr>
      </w:pPr>
      <w:r>
        <w:rPr>
          <w:rFonts w:hint="eastAsia"/>
          <w:kern w:val="0"/>
        </w:rPr>
        <w:t>应分析</w:t>
      </w:r>
      <w:proofErr w:type="gramStart"/>
      <w:r>
        <w:rPr>
          <w:rFonts w:hint="eastAsia"/>
          <w:kern w:val="0"/>
        </w:rPr>
        <w:t>禁淹设备</w:t>
      </w:r>
      <w:proofErr w:type="gramEnd"/>
      <w:r>
        <w:rPr>
          <w:rFonts w:hint="eastAsia"/>
          <w:kern w:val="0"/>
        </w:rPr>
        <w:t>是否受内部水淹</w:t>
      </w:r>
      <w:r>
        <w:rPr>
          <w:rFonts w:hint="eastAsia"/>
          <w:kern w:val="0"/>
        </w:rPr>
        <w:t>的喷淋影响。</w:t>
      </w:r>
    </w:p>
    <w:p w:rsidR="00FD607E" w:rsidRDefault="00182B07">
      <w:pPr>
        <w:pStyle w:val="a5"/>
        <w:ind w:left="0"/>
      </w:pPr>
      <w:bookmarkStart w:id="82" w:name="_Toc32098"/>
      <w:bookmarkStart w:id="83" w:name="_Toc7464"/>
      <w:r>
        <w:rPr>
          <w:rFonts w:hint="eastAsia"/>
        </w:rPr>
        <w:t>防护措施</w:t>
      </w:r>
      <w:bookmarkEnd w:id="82"/>
      <w:bookmarkEnd w:id="83"/>
    </w:p>
    <w:p w:rsidR="00FD607E" w:rsidRDefault="00182B07">
      <w:pPr>
        <w:widowControl/>
        <w:spacing w:line="440" w:lineRule="exact"/>
        <w:ind w:firstLineChars="200" w:firstLine="420"/>
        <w:rPr>
          <w:kern w:val="0"/>
        </w:rPr>
      </w:pPr>
      <w:r>
        <w:rPr>
          <w:rFonts w:hint="eastAsia"/>
          <w:kern w:val="0"/>
        </w:rPr>
        <w:t>防护措施可以是一种或几种措施的组合，应满足本标准</w:t>
      </w:r>
      <w:r>
        <w:rPr>
          <w:rFonts w:hint="eastAsia"/>
          <w:kern w:val="0"/>
        </w:rPr>
        <w:t>4.2</w:t>
      </w:r>
      <w:r>
        <w:rPr>
          <w:rFonts w:hint="eastAsia"/>
          <w:kern w:val="0"/>
        </w:rPr>
        <w:t>节的要求。</w:t>
      </w:r>
      <w:r>
        <w:rPr>
          <w:rFonts w:hint="eastAsia"/>
          <w:kern w:val="0"/>
        </w:rPr>
        <w:t>防护措施包括但不限于以下方面：</w:t>
      </w:r>
    </w:p>
    <w:p w:rsidR="00FD607E" w:rsidRDefault="00182B07">
      <w:pPr>
        <w:widowControl/>
        <w:numPr>
          <w:ilvl w:val="0"/>
          <w:numId w:val="36"/>
        </w:numPr>
        <w:tabs>
          <w:tab w:val="left" w:pos="420"/>
        </w:tabs>
        <w:spacing w:line="440" w:lineRule="exact"/>
        <w:rPr>
          <w:kern w:val="0"/>
        </w:rPr>
      </w:pPr>
      <w:r>
        <w:rPr>
          <w:rFonts w:hint="eastAsia"/>
          <w:kern w:val="0"/>
        </w:rPr>
        <w:t>可</w:t>
      </w:r>
      <w:r>
        <w:rPr>
          <w:rFonts w:hint="eastAsia"/>
          <w:kern w:val="0"/>
        </w:rPr>
        <w:t>增加疏水路径，可增加地漏、地坑、排水沟、排水泵等缓解假想水淹的后果。</w:t>
      </w:r>
    </w:p>
    <w:p w:rsidR="00FD607E" w:rsidRDefault="00182B07">
      <w:pPr>
        <w:widowControl/>
        <w:numPr>
          <w:ilvl w:val="0"/>
          <w:numId w:val="36"/>
        </w:numPr>
        <w:tabs>
          <w:tab w:val="left" w:pos="420"/>
        </w:tabs>
        <w:spacing w:line="440" w:lineRule="exact"/>
        <w:rPr>
          <w:kern w:val="0"/>
        </w:rPr>
      </w:pPr>
      <w:r>
        <w:rPr>
          <w:rFonts w:hint="eastAsia"/>
          <w:kern w:val="0"/>
        </w:rPr>
        <w:t>可设置防淹屏障，可增加门槛、挡水堰、水密门等限制漫延的水淹后果，还应将贯穿部件进行防水密封。</w:t>
      </w:r>
    </w:p>
    <w:p w:rsidR="00FD607E" w:rsidRDefault="00182B07">
      <w:pPr>
        <w:widowControl/>
        <w:numPr>
          <w:ilvl w:val="0"/>
          <w:numId w:val="36"/>
        </w:numPr>
        <w:tabs>
          <w:tab w:val="left" w:pos="420"/>
        </w:tabs>
        <w:spacing w:line="440" w:lineRule="exact"/>
        <w:rPr>
          <w:kern w:val="0"/>
        </w:rPr>
      </w:pPr>
      <w:r>
        <w:rPr>
          <w:rFonts w:hint="eastAsia"/>
          <w:kern w:val="0"/>
        </w:rPr>
        <w:t>可提供泄漏和隔离装置，这些装置应能向操作人员提供“管道或设备已出现故障”的指示。应对泄漏探测和隔离装置的精度、灵敏度和合格性进行平均以保证能及时</w:t>
      </w:r>
      <w:r>
        <w:rPr>
          <w:rFonts w:hint="eastAsia"/>
          <w:kern w:val="0"/>
        </w:rPr>
        <w:t>提供泄漏信号并可操作。</w:t>
      </w:r>
    </w:p>
    <w:p w:rsidR="00FD607E" w:rsidRDefault="00182B07">
      <w:pPr>
        <w:widowControl/>
        <w:numPr>
          <w:ilvl w:val="0"/>
          <w:numId w:val="36"/>
        </w:numPr>
        <w:tabs>
          <w:tab w:val="left" w:pos="420"/>
        </w:tabs>
        <w:spacing w:line="440" w:lineRule="exact"/>
        <w:rPr>
          <w:kern w:val="0"/>
        </w:rPr>
      </w:pPr>
      <w:r>
        <w:rPr>
          <w:rFonts w:hint="eastAsia"/>
          <w:kern w:val="0"/>
        </w:rPr>
        <w:t>可优化水淹源的布置，将影响</w:t>
      </w:r>
      <w:proofErr w:type="gramStart"/>
      <w:r>
        <w:rPr>
          <w:rFonts w:hint="eastAsia"/>
          <w:kern w:val="0"/>
        </w:rPr>
        <w:t>禁淹设备</w:t>
      </w:r>
      <w:proofErr w:type="gramEnd"/>
      <w:r>
        <w:rPr>
          <w:rFonts w:hint="eastAsia"/>
          <w:kern w:val="0"/>
        </w:rPr>
        <w:t>的水淹</w:t>
      </w:r>
      <w:proofErr w:type="gramStart"/>
      <w:r>
        <w:rPr>
          <w:rFonts w:hint="eastAsia"/>
          <w:kern w:val="0"/>
        </w:rPr>
        <w:t>源重</w:t>
      </w:r>
      <w:proofErr w:type="gramEnd"/>
      <w:r>
        <w:rPr>
          <w:rFonts w:hint="eastAsia"/>
          <w:kern w:val="0"/>
        </w:rPr>
        <w:t>新布置。</w:t>
      </w:r>
    </w:p>
    <w:p w:rsidR="00FD607E" w:rsidRDefault="00182B07">
      <w:pPr>
        <w:widowControl/>
        <w:numPr>
          <w:ilvl w:val="0"/>
          <w:numId w:val="36"/>
        </w:numPr>
        <w:tabs>
          <w:tab w:val="left" w:pos="420"/>
        </w:tabs>
        <w:spacing w:line="440" w:lineRule="exact"/>
        <w:rPr>
          <w:kern w:val="0"/>
        </w:rPr>
      </w:pPr>
      <w:r>
        <w:rPr>
          <w:rFonts w:hint="eastAsia"/>
          <w:kern w:val="0"/>
        </w:rPr>
        <w:lastRenderedPageBreak/>
        <w:t>可提高设备的水淹防护，如果防</w:t>
      </w:r>
      <w:proofErr w:type="gramStart"/>
      <w:r>
        <w:rPr>
          <w:rFonts w:hint="eastAsia"/>
          <w:kern w:val="0"/>
        </w:rPr>
        <w:t>淹设备</w:t>
      </w:r>
      <w:proofErr w:type="gramEnd"/>
      <w:r>
        <w:rPr>
          <w:rFonts w:hint="eastAsia"/>
          <w:kern w:val="0"/>
        </w:rPr>
        <w:t>的位置高于最大水淹水位或经鉴定能经受最大水淹水位，则不需要附加的防护措施。否则，应增加防护措施来实现设备防护。例如，</w:t>
      </w:r>
      <w:r>
        <w:rPr>
          <w:kern w:val="0"/>
        </w:rPr>
        <w:t>提高</w:t>
      </w:r>
      <w:proofErr w:type="gramStart"/>
      <w:r>
        <w:rPr>
          <w:kern w:val="0"/>
        </w:rPr>
        <w:t>禁淹设备</w:t>
      </w:r>
      <w:proofErr w:type="gramEnd"/>
      <w:r>
        <w:rPr>
          <w:kern w:val="0"/>
        </w:rPr>
        <w:t>的安装高度</w:t>
      </w:r>
      <w:r>
        <w:rPr>
          <w:rFonts w:hint="eastAsia"/>
          <w:kern w:val="0"/>
        </w:rPr>
        <w:t>、</w:t>
      </w:r>
      <w:r>
        <w:rPr>
          <w:kern w:val="0"/>
        </w:rPr>
        <w:t>提高</w:t>
      </w:r>
      <w:proofErr w:type="gramStart"/>
      <w:r>
        <w:rPr>
          <w:kern w:val="0"/>
        </w:rPr>
        <w:t>禁淹设</w:t>
      </w:r>
      <w:proofErr w:type="gramEnd"/>
      <w:r>
        <w:rPr>
          <w:kern w:val="0"/>
        </w:rPr>
        <w:t>备的防</w:t>
      </w:r>
      <w:r>
        <w:rPr>
          <w:kern w:val="0"/>
        </w:rPr>
        <w:t>水等级</w:t>
      </w:r>
      <w:r>
        <w:rPr>
          <w:rFonts w:hint="eastAsia"/>
          <w:kern w:val="0"/>
        </w:rPr>
        <w:t>等。</w:t>
      </w:r>
    </w:p>
    <w:p w:rsidR="00FD607E" w:rsidRDefault="00FD607E">
      <w:pPr>
        <w:widowControl/>
        <w:spacing w:line="440" w:lineRule="exact"/>
        <w:rPr>
          <w:b/>
        </w:rPr>
      </w:pPr>
      <w:bookmarkStart w:id="84" w:name="_Toc26172"/>
      <w:bookmarkStart w:id="85" w:name="_Toc90808361"/>
      <w:bookmarkEnd w:id="57"/>
      <w:bookmarkEnd w:id="58"/>
      <w:bookmarkEnd w:id="59"/>
    </w:p>
    <w:p w:rsidR="00FD607E" w:rsidRDefault="00FD607E">
      <w:pPr>
        <w:widowControl/>
        <w:spacing w:line="440" w:lineRule="exact"/>
        <w:rPr>
          <w:b/>
        </w:rPr>
      </w:pPr>
    </w:p>
    <w:p w:rsidR="00FD607E" w:rsidRDefault="00182B07">
      <w:pPr>
        <w:rPr>
          <w:b/>
        </w:rPr>
      </w:pPr>
      <w:r>
        <w:rPr>
          <w:b/>
        </w:rPr>
        <w:br w:type="page"/>
      </w:r>
    </w:p>
    <w:p w:rsidR="00FD607E" w:rsidRDefault="00182B07">
      <w:pPr>
        <w:pStyle w:val="a4"/>
        <w:numPr>
          <w:ilvl w:val="0"/>
          <w:numId w:val="0"/>
        </w:numPr>
        <w:jc w:val="center"/>
      </w:pPr>
      <w:bookmarkStart w:id="86" w:name="_Toc18201"/>
      <w:r>
        <w:rPr>
          <w:rFonts w:hint="eastAsia"/>
        </w:rPr>
        <w:lastRenderedPageBreak/>
        <w:t>参考文献</w:t>
      </w:r>
      <w:bookmarkEnd w:id="84"/>
      <w:bookmarkEnd w:id="85"/>
      <w:bookmarkEnd w:id="86"/>
    </w:p>
    <w:p w:rsidR="00FD607E" w:rsidRDefault="00182B07">
      <w:pPr>
        <w:pStyle w:val="afffffff1"/>
        <w:widowControl/>
        <w:numPr>
          <w:ilvl w:val="0"/>
          <w:numId w:val="37"/>
        </w:numPr>
        <w:autoSpaceDE w:val="0"/>
        <w:autoSpaceDN w:val="0"/>
        <w:adjustRightInd w:val="0"/>
        <w:spacing w:line="440" w:lineRule="exact"/>
        <w:ind w:firstLineChars="0"/>
        <w:jc w:val="left"/>
        <w:rPr>
          <w:kern w:val="0"/>
        </w:rPr>
      </w:pPr>
      <w:r>
        <w:rPr>
          <w:rFonts w:hint="eastAsia"/>
          <w:kern w:val="0"/>
        </w:rPr>
        <w:t xml:space="preserve">HAF102-2016 </w:t>
      </w:r>
      <w:r>
        <w:rPr>
          <w:rFonts w:hint="eastAsia"/>
          <w:kern w:val="0"/>
        </w:rPr>
        <w:t>核动力厂设计安全规定</w:t>
      </w:r>
    </w:p>
    <w:p w:rsidR="00FD607E" w:rsidRDefault="00182B07">
      <w:pPr>
        <w:pStyle w:val="afffffff1"/>
        <w:widowControl/>
        <w:numPr>
          <w:ilvl w:val="0"/>
          <w:numId w:val="37"/>
        </w:numPr>
        <w:autoSpaceDE w:val="0"/>
        <w:autoSpaceDN w:val="0"/>
        <w:adjustRightInd w:val="0"/>
        <w:spacing w:line="440" w:lineRule="exact"/>
        <w:ind w:firstLineChars="0"/>
        <w:jc w:val="left"/>
        <w:rPr>
          <w:kern w:val="0"/>
        </w:rPr>
      </w:pPr>
      <w:r>
        <w:rPr>
          <w:rFonts w:hint="eastAsia"/>
          <w:kern w:val="0"/>
        </w:rPr>
        <w:t xml:space="preserve">HAF103-2022 </w:t>
      </w:r>
      <w:r>
        <w:rPr>
          <w:rFonts w:hint="eastAsia"/>
          <w:kern w:val="0"/>
        </w:rPr>
        <w:t>核动力厂调试和运行安全规定</w:t>
      </w:r>
    </w:p>
    <w:p w:rsidR="00FD607E" w:rsidRDefault="00182B07">
      <w:pPr>
        <w:pStyle w:val="afffffff1"/>
        <w:widowControl/>
        <w:numPr>
          <w:ilvl w:val="0"/>
          <w:numId w:val="37"/>
        </w:numPr>
        <w:autoSpaceDE w:val="0"/>
        <w:autoSpaceDN w:val="0"/>
        <w:adjustRightInd w:val="0"/>
        <w:spacing w:line="440" w:lineRule="exact"/>
        <w:ind w:firstLineChars="0"/>
        <w:jc w:val="left"/>
        <w:rPr>
          <w:kern w:val="0"/>
        </w:rPr>
      </w:pPr>
      <w:r>
        <w:rPr>
          <w:kern w:val="0"/>
        </w:rPr>
        <w:t xml:space="preserve">HAD102/01-1989 </w:t>
      </w:r>
      <w:r>
        <w:rPr>
          <w:kern w:val="0"/>
        </w:rPr>
        <w:t>核电厂设计总的安全原则</w:t>
      </w:r>
    </w:p>
    <w:p w:rsidR="00FD607E" w:rsidRDefault="00182B07">
      <w:pPr>
        <w:pStyle w:val="afffffff1"/>
        <w:widowControl/>
        <w:numPr>
          <w:ilvl w:val="0"/>
          <w:numId w:val="37"/>
        </w:numPr>
        <w:autoSpaceDE w:val="0"/>
        <w:autoSpaceDN w:val="0"/>
        <w:adjustRightInd w:val="0"/>
        <w:spacing w:line="440" w:lineRule="exact"/>
        <w:ind w:firstLineChars="0"/>
        <w:jc w:val="left"/>
        <w:rPr>
          <w:kern w:val="0"/>
        </w:rPr>
      </w:pPr>
      <w:r>
        <w:rPr>
          <w:kern w:val="0"/>
        </w:rPr>
        <w:t xml:space="preserve">HAD102/04-2019 </w:t>
      </w:r>
      <w:r>
        <w:rPr>
          <w:kern w:val="0"/>
        </w:rPr>
        <w:t>核动力厂内部危险（火灾和爆炸除外）的防护规定</w:t>
      </w:r>
    </w:p>
    <w:p w:rsidR="00FD607E" w:rsidRDefault="00182B07">
      <w:pPr>
        <w:pStyle w:val="afffffff1"/>
        <w:widowControl/>
        <w:numPr>
          <w:ilvl w:val="0"/>
          <w:numId w:val="37"/>
        </w:numPr>
        <w:autoSpaceDE w:val="0"/>
        <w:autoSpaceDN w:val="0"/>
        <w:adjustRightInd w:val="0"/>
        <w:spacing w:line="440" w:lineRule="exact"/>
        <w:ind w:firstLineChars="0"/>
        <w:jc w:val="left"/>
        <w:rPr>
          <w:kern w:val="0"/>
        </w:rPr>
      </w:pPr>
      <w:r>
        <w:rPr>
          <w:rFonts w:hint="eastAsia"/>
          <w:kern w:val="0"/>
        </w:rPr>
        <w:t xml:space="preserve">NB/T 20667-2023   </w:t>
      </w:r>
      <w:r>
        <w:rPr>
          <w:rFonts w:hint="eastAsia"/>
          <w:kern w:val="0"/>
        </w:rPr>
        <w:t>压水堆核电厂内部灾害防护设计总则</w:t>
      </w:r>
    </w:p>
    <w:p w:rsidR="00FD607E" w:rsidRDefault="00182B07">
      <w:pPr>
        <w:pStyle w:val="afff1"/>
      </w:pPr>
      <w:r>
        <w:rPr>
          <w:noProof/>
        </w:rPr>
        <mc:AlternateContent>
          <mc:Choice Requires="wps">
            <w:drawing>
              <wp:anchor distT="0" distB="0" distL="114300" distR="114300" simplePos="0" relativeHeight="251664384" behindDoc="0" locked="0" layoutInCell="1" allowOverlap="1">
                <wp:simplePos x="0" y="0"/>
                <wp:positionH relativeFrom="column">
                  <wp:posOffset>1668780</wp:posOffset>
                </wp:positionH>
                <wp:positionV relativeFrom="paragraph">
                  <wp:posOffset>244475</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31.4pt;margin-top:19.25pt;height:0.5pt;width:188.05pt;mso-wrap-distance-bottom:0pt;mso-wrap-distance-top:0pt;z-index:251664384;mso-width-relative:page;mso-height-relative:page;" filled="f" stroked="t" coordsize="21600,21600" o:gfxdata="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jd&#10;kUDaAAAACQEAAA8AAAAAAAAAAQAgAAAAIgAAAGRycy9kb3ducmV2LnhtbFBLAQIUABQAAAAIAIdO&#10;4kDbiXXM6AEAALUDAAAOAAAAAAAAAAEAIAAAACkBAABkcnMvZTJvRG9jLnhtbFBLBQYAAAAABgAG&#10;AFkBAACDBQAAAAA=&#10;">
                <v:fill on="f" focussize="0,0"/>
                <v:stroke weight="1pt" color="#000000 [3213]" miterlimit="8" joinstyle="miter"/>
                <v:imagedata o:title=""/>
                <o:lock v:ext="edit" aspectratio="f"/>
                <w10:wrap type="topAndBottom"/>
              </v:line>
            </w:pict>
          </mc:Fallback>
        </mc:AlternateContent>
      </w:r>
    </w:p>
    <w:sectPr w:rsidR="00FD607E">
      <w:footerReference w:type="default" r:id="rId16"/>
      <w:pgSz w:w="11906" w:h="16838"/>
      <w:pgMar w:top="1134" w:right="1417" w:bottom="567" w:left="1134"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2B07" w:rsidRDefault="00182B07">
      <w:r>
        <w:separator/>
      </w:r>
    </w:p>
  </w:endnote>
  <w:endnote w:type="continuationSeparator" w:id="0">
    <w:p w:rsidR="00182B07" w:rsidRDefault="00182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roman"/>
    <w:pitch w:val="default"/>
    <w:sig w:usb0="00000000" w:usb1="00000000" w:usb2="00000010" w:usb3="00000000" w:csb0="0002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07E" w:rsidRDefault="00182B07">
    <w:pPr>
      <w:pStyle w:val="affff2"/>
      <w:jc w:val="center"/>
    </w:pPr>
    <w:r>
      <w:fldChar w:fldCharType="begin"/>
    </w:r>
    <w:r>
      <w:instrText xml:space="preserve"> PAGE  \* MERGEFORMAT </w:instrText>
    </w:r>
    <w:r>
      <w:fldChar w:fldCharType="separate"/>
    </w:r>
    <w: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07E" w:rsidRDefault="00182B07">
    <w:pPr>
      <w:pStyle w:val="afffa"/>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07E" w:rsidRDefault="00182B07">
    <w:pPr>
      <w:pStyle w:val="affe"/>
      <w:jc w:val="center"/>
    </w:pPr>
    <w:r>
      <w:rPr>
        <w:rStyle w:val="afff6"/>
      </w:rPr>
      <w:fldChar w:fldCharType="begin"/>
    </w:r>
    <w:r>
      <w:rPr>
        <w:rStyle w:val="afff6"/>
      </w:rPr>
      <w:instrText xml:space="preserve"> PAGE </w:instrText>
    </w:r>
    <w:r>
      <w:rPr>
        <w:rStyle w:val="afff6"/>
      </w:rPr>
      <w:fldChar w:fldCharType="separate"/>
    </w:r>
    <w:r>
      <w:rPr>
        <w:rStyle w:val="afff6"/>
      </w:rPr>
      <w:t>3</w:t>
    </w:r>
    <w:r>
      <w:rPr>
        <w:rStyle w:val="afff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2B07" w:rsidRDefault="00182B07">
      <w:r>
        <w:separator/>
      </w:r>
    </w:p>
  </w:footnote>
  <w:footnote w:type="continuationSeparator" w:id="0">
    <w:p w:rsidR="00182B07" w:rsidRDefault="00182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07E" w:rsidRDefault="00182B07">
    <w:pPr>
      <w:pStyle w:val="affff3"/>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07E" w:rsidRDefault="00182B07">
    <w:pPr>
      <w:pStyle w:val="aff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0FC7E8"/>
    <w:multiLevelType w:val="singleLevel"/>
    <w:tmpl w:val="820FC7E8"/>
    <w:lvl w:ilvl="0">
      <w:start w:val="1"/>
      <w:numFmt w:val="lowerLetter"/>
      <w:lvlText w:val="%1）"/>
      <w:lvlJc w:val="left"/>
      <w:pPr>
        <w:tabs>
          <w:tab w:val="left" w:pos="840"/>
        </w:tabs>
        <w:ind w:left="845" w:hanging="425"/>
      </w:pPr>
      <w:rPr>
        <w:rFonts w:ascii="宋体" w:eastAsia="宋体" w:hAnsi="宋体" w:cs="宋体" w:hint="default"/>
      </w:rPr>
    </w:lvl>
  </w:abstractNum>
  <w:abstractNum w:abstractNumId="1" w15:restartNumberingAfterBreak="0">
    <w:nsid w:val="8D3C52FD"/>
    <w:multiLevelType w:val="singleLevel"/>
    <w:tmpl w:val="8D3C52FD"/>
    <w:lvl w:ilvl="0">
      <w:start w:val="1"/>
      <w:numFmt w:val="decimal"/>
      <w:lvlText w:val="%1)"/>
      <w:lvlJc w:val="left"/>
      <w:pPr>
        <w:tabs>
          <w:tab w:val="left" w:pos="840"/>
        </w:tabs>
        <w:ind w:left="1265" w:hanging="425"/>
      </w:pPr>
      <w:rPr>
        <w:rFonts w:hint="default"/>
      </w:rPr>
    </w:lvl>
  </w:abstractNum>
  <w:abstractNum w:abstractNumId="2" w15:restartNumberingAfterBreak="0">
    <w:nsid w:val="A3B19EBB"/>
    <w:multiLevelType w:val="singleLevel"/>
    <w:tmpl w:val="A3B19EBB"/>
    <w:lvl w:ilvl="0">
      <w:start w:val="1"/>
      <w:numFmt w:val="lowerLetter"/>
      <w:lvlText w:val="%1）"/>
      <w:lvlJc w:val="left"/>
      <w:pPr>
        <w:tabs>
          <w:tab w:val="left" w:pos="840"/>
        </w:tabs>
        <w:ind w:left="845" w:hanging="425"/>
      </w:pPr>
      <w:rPr>
        <w:rFonts w:ascii="宋体" w:eastAsia="宋体" w:hAnsi="宋体" w:cs="宋体" w:hint="default"/>
      </w:rPr>
    </w:lvl>
  </w:abstractNum>
  <w:abstractNum w:abstractNumId="3" w15:restartNumberingAfterBreak="0">
    <w:nsid w:val="A8531D0B"/>
    <w:multiLevelType w:val="singleLevel"/>
    <w:tmpl w:val="A8531D0B"/>
    <w:lvl w:ilvl="0">
      <w:start w:val="1"/>
      <w:numFmt w:val="lowerLetter"/>
      <w:lvlText w:val="%1）"/>
      <w:lvlJc w:val="left"/>
      <w:pPr>
        <w:tabs>
          <w:tab w:val="left" w:pos="840"/>
        </w:tabs>
        <w:ind w:left="845" w:hanging="425"/>
      </w:pPr>
      <w:rPr>
        <w:rFonts w:ascii="宋体" w:eastAsia="宋体" w:hAnsi="宋体" w:cs="宋体" w:hint="default"/>
      </w:rPr>
    </w:lvl>
  </w:abstractNum>
  <w:abstractNum w:abstractNumId="4" w15:restartNumberingAfterBreak="0">
    <w:nsid w:val="BA132C72"/>
    <w:multiLevelType w:val="singleLevel"/>
    <w:tmpl w:val="BA132C72"/>
    <w:lvl w:ilvl="0">
      <w:start w:val="1"/>
      <w:numFmt w:val="lowerLetter"/>
      <w:lvlText w:val="%1）"/>
      <w:lvlJc w:val="left"/>
      <w:pPr>
        <w:tabs>
          <w:tab w:val="left" w:pos="840"/>
        </w:tabs>
        <w:ind w:left="845" w:hanging="425"/>
      </w:pPr>
      <w:rPr>
        <w:rFonts w:ascii="宋体" w:eastAsia="宋体" w:hAnsi="宋体" w:cs="宋体" w:hint="default"/>
      </w:rPr>
    </w:lvl>
  </w:abstractNum>
  <w:abstractNum w:abstractNumId="5" w15:restartNumberingAfterBreak="0">
    <w:nsid w:val="D752B62E"/>
    <w:multiLevelType w:val="singleLevel"/>
    <w:tmpl w:val="D752B62E"/>
    <w:lvl w:ilvl="0">
      <w:start w:val="1"/>
      <w:numFmt w:val="lowerLetter"/>
      <w:lvlText w:val="%1）"/>
      <w:lvlJc w:val="left"/>
      <w:pPr>
        <w:tabs>
          <w:tab w:val="left" w:pos="840"/>
        </w:tabs>
        <w:ind w:left="845" w:hanging="425"/>
      </w:pPr>
      <w:rPr>
        <w:rFonts w:ascii="宋体" w:eastAsia="宋体" w:hAnsi="宋体" w:cs="宋体" w:hint="default"/>
      </w:rPr>
    </w:lvl>
  </w:abstractNum>
  <w:abstractNum w:abstractNumId="6" w15:restartNumberingAfterBreak="0">
    <w:nsid w:val="E3A1226E"/>
    <w:multiLevelType w:val="singleLevel"/>
    <w:tmpl w:val="E3A1226E"/>
    <w:lvl w:ilvl="0">
      <w:start w:val="1"/>
      <w:numFmt w:val="lowerLetter"/>
      <w:lvlText w:val="%1）"/>
      <w:lvlJc w:val="left"/>
      <w:pPr>
        <w:tabs>
          <w:tab w:val="left" w:pos="840"/>
        </w:tabs>
        <w:ind w:left="845" w:hanging="425"/>
      </w:pPr>
      <w:rPr>
        <w:rFonts w:ascii="宋体" w:eastAsia="宋体" w:hAnsi="宋体" w:cs="宋体" w:hint="default"/>
      </w:rPr>
    </w:lvl>
  </w:abstractNum>
  <w:abstractNum w:abstractNumId="7" w15:restartNumberingAfterBreak="0">
    <w:nsid w:val="F4C27B9D"/>
    <w:multiLevelType w:val="singleLevel"/>
    <w:tmpl w:val="F4C27B9D"/>
    <w:lvl w:ilvl="0">
      <w:start w:val="1"/>
      <w:numFmt w:val="lowerLetter"/>
      <w:lvlText w:val="%1）"/>
      <w:lvlJc w:val="left"/>
      <w:pPr>
        <w:tabs>
          <w:tab w:val="left" w:pos="840"/>
        </w:tabs>
        <w:ind w:left="845" w:hanging="425"/>
      </w:pPr>
      <w:rPr>
        <w:rFonts w:ascii="宋体" w:eastAsia="宋体" w:hAnsi="宋体" w:cs="宋体" w:hint="default"/>
      </w:rPr>
    </w:lvl>
  </w:abstractNum>
  <w:abstractNum w:abstractNumId="8"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9"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0"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1"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2" w15:restartNumberingAfterBreak="0">
    <w:nsid w:val="14CDB58A"/>
    <w:multiLevelType w:val="singleLevel"/>
    <w:tmpl w:val="14CDB58A"/>
    <w:lvl w:ilvl="0">
      <w:start w:val="1"/>
      <w:numFmt w:val="decimal"/>
      <w:lvlText w:val="%1)"/>
      <w:lvlJc w:val="left"/>
      <w:pPr>
        <w:tabs>
          <w:tab w:val="left" w:pos="840"/>
        </w:tabs>
        <w:ind w:left="1265" w:hanging="425"/>
      </w:pPr>
      <w:rPr>
        <w:rFonts w:hint="default"/>
      </w:rPr>
    </w:lvl>
  </w:abstractNum>
  <w:abstractNum w:abstractNumId="13"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4"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15" w15:restartNumberingAfterBreak="0">
    <w:nsid w:val="27EB7CA5"/>
    <w:multiLevelType w:val="singleLevel"/>
    <w:tmpl w:val="27EB7CA5"/>
    <w:lvl w:ilvl="0">
      <w:start w:val="1"/>
      <w:numFmt w:val="lowerLetter"/>
      <w:lvlText w:val="%1）"/>
      <w:lvlJc w:val="left"/>
      <w:pPr>
        <w:tabs>
          <w:tab w:val="left" w:pos="840"/>
        </w:tabs>
        <w:ind w:left="845" w:hanging="425"/>
      </w:pPr>
      <w:rPr>
        <w:rFonts w:ascii="宋体" w:eastAsia="宋体" w:hAnsi="宋体" w:cs="宋体" w:hint="default"/>
      </w:rPr>
    </w:lvl>
  </w:abstractNum>
  <w:abstractNum w:abstractNumId="16" w15:restartNumberingAfterBreak="0">
    <w:nsid w:val="29900883"/>
    <w:multiLevelType w:val="singleLevel"/>
    <w:tmpl w:val="29900883"/>
    <w:lvl w:ilvl="0">
      <w:start w:val="1"/>
      <w:numFmt w:val="lowerLetter"/>
      <w:lvlText w:val="%1）"/>
      <w:lvlJc w:val="left"/>
      <w:pPr>
        <w:tabs>
          <w:tab w:val="left" w:pos="840"/>
        </w:tabs>
        <w:ind w:left="845" w:hanging="425"/>
      </w:pPr>
      <w:rPr>
        <w:rFonts w:ascii="宋体" w:eastAsia="宋体" w:hAnsi="宋体" w:cs="宋体" w:hint="default"/>
      </w:rPr>
    </w:lvl>
  </w:abstractNum>
  <w:abstractNum w:abstractNumId="17"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8"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9"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20"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1"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2" w15:restartNumberingAfterBreak="0">
    <w:nsid w:val="4EE4D895"/>
    <w:multiLevelType w:val="singleLevel"/>
    <w:tmpl w:val="4EE4D895"/>
    <w:lvl w:ilvl="0">
      <w:start w:val="1"/>
      <w:numFmt w:val="lowerLetter"/>
      <w:lvlText w:val="%1）"/>
      <w:lvlJc w:val="left"/>
      <w:pPr>
        <w:tabs>
          <w:tab w:val="left" w:pos="840"/>
        </w:tabs>
        <w:ind w:left="845" w:hanging="425"/>
      </w:pPr>
      <w:rPr>
        <w:rFonts w:ascii="宋体" w:eastAsia="宋体" w:hAnsi="宋体" w:cs="宋体" w:hint="default"/>
      </w:rPr>
    </w:lvl>
  </w:abstractNum>
  <w:abstractNum w:abstractNumId="23"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4" w15:restartNumberingAfterBreak="0">
    <w:nsid w:val="5645361B"/>
    <w:multiLevelType w:val="singleLevel"/>
    <w:tmpl w:val="5645361B"/>
    <w:lvl w:ilvl="0">
      <w:start w:val="1"/>
      <w:numFmt w:val="decimal"/>
      <w:lvlText w:val="%1)"/>
      <w:lvlJc w:val="left"/>
      <w:pPr>
        <w:tabs>
          <w:tab w:val="left" w:pos="840"/>
        </w:tabs>
        <w:ind w:left="1265" w:hanging="425"/>
      </w:pPr>
      <w:rPr>
        <w:rFonts w:hint="default"/>
      </w:rPr>
    </w:lvl>
  </w:abstractNum>
  <w:abstractNum w:abstractNumId="25" w15:restartNumberingAfterBreak="0">
    <w:nsid w:val="56DE0EB7"/>
    <w:multiLevelType w:val="singleLevel"/>
    <w:tmpl w:val="56DE0EB7"/>
    <w:lvl w:ilvl="0">
      <w:start w:val="1"/>
      <w:numFmt w:val="lowerLetter"/>
      <w:lvlText w:val="%1）"/>
      <w:lvlJc w:val="left"/>
      <w:pPr>
        <w:tabs>
          <w:tab w:val="left" w:pos="840"/>
        </w:tabs>
        <w:ind w:left="845" w:hanging="425"/>
      </w:pPr>
      <w:rPr>
        <w:rFonts w:ascii="宋体" w:eastAsia="宋体" w:hAnsi="宋体" w:cs="宋体" w:hint="default"/>
      </w:rPr>
    </w:lvl>
  </w:abstractNum>
  <w:abstractNum w:abstractNumId="26"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7" w15:restartNumberingAfterBreak="0">
    <w:nsid w:val="63D8AF62"/>
    <w:multiLevelType w:val="singleLevel"/>
    <w:tmpl w:val="63D8AF62"/>
    <w:lvl w:ilvl="0">
      <w:start w:val="1"/>
      <w:numFmt w:val="lowerLetter"/>
      <w:lvlText w:val="%1）"/>
      <w:lvlJc w:val="left"/>
      <w:pPr>
        <w:tabs>
          <w:tab w:val="left" w:pos="840"/>
        </w:tabs>
        <w:ind w:left="845" w:hanging="425"/>
      </w:pPr>
      <w:rPr>
        <w:rFonts w:ascii="宋体" w:eastAsia="宋体" w:hAnsi="宋体" w:cs="宋体" w:hint="default"/>
      </w:rPr>
    </w:lvl>
  </w:abstractNum>
  <w:abstractNum w:abstractNumId="28" w15:restartNumberingAfterBreak="0">
    <w:nsid w:val="6423A01E"/>
    <w:multiLevelType w:val="singleLevel"/>
    <w:tmpl w:val="6423A01E"/>
    <w:lvl w:ilvl="0">
      <w:start w:val="1"/>
      <w:numFmt w:val="lowerLetter"/>
      <w:lvlText w:val="%1）"/>
      <w:lvlJc w:val="left"/>
      <w:pPr>
        <w:tabs>
          <w:tab w:val="left" w:pos="840"/>
        </w:tabs>
        <w:ind w:left="845" w:hanging="425"/>
      </w:pPr>
      <w:rPr>
        <w:rFonts w:ascii="宋体" w:eastAsia="宋体" w:hAnsi="宋体" w:cs="宋体" w:hint="default"/>
      </w:rPr>
    </w:lvl>
  </w:abstractNum>
  <w:abstractNum w:abstractNumId="29"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0"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1"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2"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71B91474"/>
    <w:multiLevelType w:val="multilevel"/>
    <w:tmpl w:val="71B9147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71FA6EC6"/>
    <w:multiLevelType w:val="singleLevel"/>
    <w:tmpl w:val="71FA6EC6"/>
    <w:lvl w:ilvl="0">
      <w:start w:val="1"/>
      <w:numFmt w:val="lowerLetter"/>
      <w:lvlText w:val="%1）"/>
      <w:lvlJc w:val="left"/>
      <w:pPr>
        <w:tabs>
          <w:tab w:val="left" w:pos="840"/>
        </w:tabs>
        <w:ind w:left="845" w:hanging="425"/>
      </w:pPr>
      <w:rPr>
        <w:rFonts w:ascii="宋体" w:eastAsia="宋体" w:hAnsi="宋体" w:cs="宋体" w:hint="default"/>
      </w:rPr>
    </w:lvl>
  </w:abstractNum>
  <w:abstractNum w:abstractNumId="35" w15:restartNumberingAfterBreak="0">
    <w:nsid w:val="78AC9D6B"/>
    <w:multiLevelType w:val="singleLevel"/>
    <w:tmpl w:val="78AC9D6B"/>
    <w:lvl w:ilvl="0">
      <w:start w:val="1"/>
      <w:numFmt w:val="lowerLetter"/>
      <w:lvlText w:val="%1）"/>
      <w:lvlJc w:val="left"/>
      <w:pPr>
        <w:tabs>
          <w:tab w:val="left" w:pos="840"/>
        </w:tabs>
        <w:ind w:left="845" w:hanging="425"/>
      </w:pPr>
      <w:rPr>
        <w:rFonts w:ascii="宋体" w:eastAsia="宋体" w:hAnsi="宋体" w:cs="宋体" w:hint="default"/>
      </w:rPr>
    </w:lvl>
  </w:abstractNum>
  <w:abstractNum w:abstractNumId="36" w15:restartNumberingAfterBreak="0">
    <w:nsid w:val="7E3EF252"/>
    <w:multiLevelType w:val="singleLevel"/>
    <w:tmpl w:val="7E3EF252"/>
    <w:lvl w:ilvl="0">
      <w:start w:val="1"/>
      <w:numFmt w:val="lowerLetter"/>
      <w:lvlText w:val="%1）"/>
      <w:lvlJc w:val="left"/>
      <w:pPr>
        <w:tabs>
          <w:tab w:val="left" w:pos="840"/>
        </w:tabs>
        <w:ind w:left="845" w:hanging="425"/>
      </w:pPr>
      <w:rPr>
        <w:rFonts w:ascii="宋体" w:eastAsia="宋体" w:hAnsi="宋体" w:cs="宋体" w:hint="default"/>
      </w:rPr>
    </w:lvl>
  </w:abstractNum>
  <w:num w:numId="1">
    <w:abstractNumId w:val="19"/>
  </w:num>
  <w:num w:numId="2">
    <w:abstractNumId w:val="14"/>
  </w:num>
  <w:num w:numId="3">
    <w:abstractNumId w:val="18"/>
  </w:num>
  <w:num w:numId="4">
    <w:abstractNumId w:val="10"/>
  </w:num>
  <w:num w:numId="5">
    <w:abstractNumId w:val="20"/>
  </w:num>
  <w:num w:numId="6">
    <w:abstractNumId w:val="32"/>
  </w:num>
  <w:num w:numId="7">
    <w:abstractNumId w:val="8"/>
  </w:num>
  <w:num w:numId="8">
    <w:abstractNumId w:val="21"/>
  </w:num>
  <w:num w:numId="9">
    <w:abstractNumId w:val="13"/>
  </w:num>
  <w:num w:numId="10">
    <w:abstractNumId w:val="30"/>
  </w:num>
  <w:num w:numId="11">
    <w:abstractNumId w:val="26"/>
  </w:num>
  <w:num w:numId="12">
    <w:abstractNumId w:val="31"/>
  </w:num>
  <w:num w:numId="13">
    <w:abstractNumId w:val="17"/>
  </w:num>
  <w:num w:numId="14">
    <w:abstractNumId w:val="9"/>
  </w:num>
  <w:num w:numId="15">
    <w:abstractNumId w:val="11"/>
  </w:num>
  <w:num w:numId="16">
    <w:abstractNumId w:val="29"/>
  </w:num>
  <w:num w:numId="17">
    <w:abstractNumId w:val="23"/>
  </w:num>
  <w:num w:numId="18">
    <w:abstractNumId w:val="15"/>
  </w:num>
  <w:num w:numId="19">
    <w:abstractNumId w:val="7"/>
  </w:num>
  <w:num w:numId="20">
    <w:abstractNumId w:val="28"/>
  </w:num>
  <w:num w:numId="21">
    <w:abstractNumId w:val="1"/>
  </w:num>
  <w:num w:numId="22">
    <w:abstractNumId w:val="22"/>
  </w:num>
  <w:num w:numId="23">
    <w:abstractNumId w:val="12"/>
  </w:num>
  <w:num w:numId="24">
    <w:abstractNumId w:val="24"/>
  </w:num>
  <w:num w:numId="25">
    <w:abstractNumId w:val="6"/>
  </w:num>
  <w:num w:numId="26">
    <w:abstractNumId w:val="3"/>
  </w:num>
  <w:num w:numId="27">
    <w:abstractNumId w:val="25"/>
  </w:num>
  <w:num w:numId="28">
    <w:abstractNumId w:val="0"/>
  </w:num>
  <w:num w:numId="29">
    <w:abstractNumId w:val="35"/>
  </w:num>
  <w:num w:numId="30">
    <w:abstractNumId w:val="27"/>
  </w:num>
  <w:num w:numId="31">
    <w:abstractNumId w:val="16"/>
  </w:num>
  <w:num w:numId="32">
    <w:abstractNumId w:val="4"/>
  </w:num>
  <w:num w:numId="33">
    <w:abstractNumId w:val="34"/>
  </w:num>
  <w:num w:numId="34">
    <w:abstractNumId w:val="2"/>
  </w:num>
  <w:num w:numId="35">
    <w:abstractNumId w:val="36"/>
  </w:num>
  <w:num w:numId="36">
    <w:abstractNumId w:val="5"/>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6328"/>
    <w:rsid w:val="00060954"/>
    <w:rsid w:val="00062BC8"/>
    <w:rsid w:val="000634E0"/>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B3143"/>
    <w:rsid w:val="000B5F51"/>
    <w:rsid w:val="000B6513"/>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5877"/>
    <w:rsid w:val="000F6DC3"/>
    <w:rsid w:val="00100E1A"/>
    <w:rsid w:val="001056DE"/>
    <w:rsid w:val="00105FC5"/>
    <w:rsid w:val="00107352"/>
    <w:rsid w:val="001112E2"/>
    <w:rsid w:val="001121E6"/>
    <w:rsid w:val="001124C0"/>
    <w:rsid w:val="00124246"/>
    <w:rsid w:val="00124FD9"/>
    <w:rsid w:val="00125566"/>
    <w:rsid w:val="00127D6A"/>
    <w:rsid w:val="0013175F"/>
    <w:rsid w:val="001337E4"/>
    <w:rsid w:val="001457F3"/>
    <w:rsid w:val="001512B4"/>
    <w:rsid w:val="001533FF"/>
    <w:rsid w:val="00155AF8"/>
    <w:rsid w:val="00160473"/>
    <w:rsid w:val="001620A5"/>
    <w:rsid w:val="00163EB8"/>
    <w:rsid w:val="00164E53"/>
    <w:rsid w:val="0016699D"/>
    <w:rsid w:val="0017178D"/>
    <w:rsid w:val="00175159"/>
    <w:rsid w:val="00175804"/>
    <w:rsid w:val="00176208"/>
    <w:rsid w:val="00177CA3"/>
    <w:rsid w:val="0018211B"/>
    <w:rsid w:val="00182B07"/>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3DA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5C8A"/>
    <w:rsid w:val="0020745D"/>
    <w:rsid w:val="00207EEC"/>
    <w:rsid w:val="00215DEA"/>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554"/>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5DA0"/>
    <w:rsid w:val="00301F39"/>
    <w:rsid w:val="003078BB"/>
    <w:rsid w:val="003129C4"/>
    <w:rsid w:val="00313C85"/>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268D"/>
    <w:rsid w:val="0035323B"/>
    <w:rsid w:val="003609D2"/>
    <w:rsid w:val="00363F22"/>
    <w:rsid w:val="00366046"/>
    <w:rsid w:val="00366C12"/>
    <w:rsid w:val="00367F2A"/>
    <w:rsid w:val="00371DB1"/>
    <w:rsid w:val="0037409B"/>
    <w:rsid w:val="00374580"/>
    <w:rsid w:val="00375564"/>
    <w:rsid w:val="00377F97"/>
    <w:rsid w:val="0038264E"/>
    <w:rsid w:val="00383191"/>
    <w:rsid w:val="00386DED"/>
    <w:rsid w:val="003912E7"/>
    <w:rsid w:val="00391A30"/>
    <w:rsid w:val="00392F72"/>
    <w:rsid w:val="00393947"/>
    <w:rsid w:val="003A2275"/>
    <w:rsid w:val="003A5BB6"/>
    <w:rsid w:val="003A6A4F"/>
    <w:rsid w:val="003A6E20"/>
    <w:rsid w:val="003A6E63"/>
    <w:rsid w:val="003A7088"/>
    <w:rsid w:val="003B00DF"/>
    <w:rsid w:val="003B1275"/>
    <w:rsid w:val="003B1778"/>
    <w:rsid w:val="003B5ECB"/>
    <w:rsid w:val="003C11CB"/>
    <w:rsid w:val="003C1584"/>
    <w:rsid w:val="003C1A74"/>
    <w:rsid w:val="003C2142"/>
    <w:rsid w:val="003C75F3"/>
    <w:rsid w:val="003C78A3"/>
    <w:rsid w:val="003D3024"/>
    <w:rsid w:val="003D67E5"/>
    <w:rsid w:val="003E1867"/>
    <w:rsid w:val="003E5729"/>
    <w:rsid w:val="003F14A8"/>
    <w:rsid w:val="003F4EE0"/>
    <w:rsid w:val="003F6307"/>
    <w:rsid w:val="00402153"/>
    <w:rsid w:val="00402FC1"/>
    <w:rsid w:val="00403C93"/>
    <w:rsid w:val="00415BBA"/>
    <w:rsid w:val="00415E21"/>
    <w:rsid w:val="00421D17"/>
    <w:rsid w:val="00422A36"/>
    <w:rsid w:val="00423F43"/>
    <w:rsid w:val="00425082"/>
    <w:rsid w:val="00427A2E"/>
    <w:rsid w:val="00430240"/>
    <w:rsid w:val="00431DEB"/>
    <w:rsid w:val="00433856"/>
    <w:rsid w:val="00442748"/>
    <w:rsid w:val="004442F1"/>
    <w:rsid w:val="004464FB"/>
    <w:rsid w:val="00446B29"/>
    <w:rsid w:val="00453F9A"/>
    <w:rsid w:val="00455698"/>
    <w:rsid w:val="004633EA"/>
    <w:rsid w:val="00465870"/>
    <w:rsid w:val="00470519"/>
    <w:rsid w:val="00471E91"/>
    <w:rsid w:val="00474675"/>
    <w:rsid w:val="0047470C"/>
    <w:rsid w:val="004754E1"/>
    <w:rsid w:val="00475903"/>
    <w:rsid w:val="00476113"/>
    <w:rsid w:val="004777F8"/>
    <w:rsid w:val="00485B2A"/>
    <w:rsid w:val="00492952"/>
    <w:rsid w:val="004930F0"/>
    <w:rsid w:val="004933F5"/>
    <w:rsid w:val="00494391"/>
    <w:rsid w:val="004A03F8"/>
    <w:rsid w:val="004A35F9"/>
    <w:rsid w:val="004B24C1"/>
    <w:rsid w:val="004B2AE2"/>
    <w:rsid w:val="004B488E"/>
    <w:rsid w:val="004B5ABA"/>
    <w:rsid w:val="004C1AF1"/>
    <w:rsid w:val="004C292F"/>
    <w:rsid w:val="004C5151"/>
    <w:rsid w:val="004C6BA4"/>
    <w:rsid w:val="004D1BFC"/>
    <w:rsid w:val="004D253C"/>
    <w:rsid w:val="004D468D"/>
    <w:rsid w:val="004D6309"/>
    <w:rsid w:val="004E375E"/>
    <w:rsid w:val="004E5E50"/>
    <w:rsid w:val="004E6AE5"/>
    <w:rsid w:val="00510280"/>
    <w:rsid w:val="00510638"/>
    <w:rsid w:val="0051196F"/>
    <w:rsid w:val="00513D73"/>
    <w:rsid w:val="00514A43"/>
    <w:rsid w:val="005174E5"/>
    <w:rsid w:val="00522393"/>
    <w:rsid w:val="00522620"/>
    <w:rsid w:val="00525656"/>
    <w:rsid w:val="00534A30"/>
    <w:rsid w:val="00534C02"/>
    <w:rsid w:val="005364CD"/>
    <w:rsid w:val="0054264B"/>
    <w:rsid w:val="00542E2A"/>
    <w:rsid w:val="00543786"/>
    <w:rsid w:val="00552FDA"/>
    <w:rsid w:val="005533D7"/>
    <w:rsid w:val="00554CD0"/>
    <w:rsid w:val="00555DAC"/>
    <w:rsid w:val="005703DE"/>
    <w:rsid w:val="0058464E"/>
    <w:rsid w:val="0058570A"/>
    <w:rsid w:val="00585824"/>
    <w:rsid w:val="00587FE6"/>
    <w:rsid w:val="00593A1A"/>
    <w:rsid w:val="00594059"/>
    <w:rsid w:val="00595D06"/>
    <w:rsid w:val="005A01CB"/>
    <w:rsid w:val="005A0385"/>
    <w:rsid w:val="005A28C7"/>
    <w:rsid w:val="005A58FF"/>
    <w:rsid w:val="005A5EAF"/>
    <w:rsid w:val="005A64C0"/>
    <w:rsid w:val="005B3C11"/>
    <w:rsid w:val="005B6487"/>
    <w:rsid w:val="005C1C28"/>
    <w:rsid w:val="005C4050"/>
    <w:rsid w:val="005C6DB5"/>
    <w:rsid w:val="005D0051"/>
    <w:rsid w:val="005D0325"/>
    <w:rsid w:val="005D0ADA"/>
    <w:rsid w:val="005D7CEF"/>
    <w:rsid w:val="005E19E7"/>
    <w:rsid w:val="005E49E9"/>
    <w:rsid w:val="005F057C"/>
    <w:rsid w:val="005F6CF1"/>
    <w:rsid w:val="006022B1"/>
    <w:rsid w:val="00603844"/>
    <w:rsid w:val="0061092C"/>
    <w:rsid w:val="0061716C"/>
    <w:rsid w:val="0062409A"/>
    <w:rsid w:val="006243A1"/>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504F4"/>
    <w:rsid w:val="00653423"/>
    <w:rsid w:val="00654302"/>
    <w:rsid w:val="00654BC9"/>
    <w:rsid w:val="006552FD"/>
    <w:rsid w:val="006600F5"/>
    <w:rsid w:val="00663AF3"/>
    <w:rsid w:val="006651DB"/>
    <w:rsid w:val="00665D5B"/>
    <w:rsid w:val="00666B6C"/>
    <w:rsid w:val="006766E8"/>
    <w:rsid w:val="00682682"/>
    <w:rsid w:val="00682702"/>
    <w:rsid w:val="00690F6B"/>
    <w:rsid w:val="00692368"/>
    <w:rsid w:val="00695872"/>
    <w:rsid w:val="006A2EBC"/>
    <w:rsid w:val="006A5EA0"/>
    <w:rsid w:val="006A783B"/>
    <w:rsid w:val="006A7B33"/>
    <w:rsid w:val="006B3945"/>
    <w:rsid w:val="006B4E13"/>
    <w:rsid w:val="006B75DD"/>
    <w:rsid w:val="006C3D8D"/>
    <w:rsid w:val="006C3E69"/>
    <w:rsid w:val="006C67E0"/>
    <w:rsid w:val="006C7ABA"/>
    <w:rsid w:val="006D0D60"/>
    <w:rsid w:val="006D1122"/>
    <w:rsid w:val="006D1681"/>
    <w:rsid w:val="006D3C00"/>
    <w:rsid w:val="006E1DB8"/>
    <w:rsid w:val="006E3675"/>
    <w:rsid w:val="006E4A7F"/>
    <w:rsid w:val="006F0E76"/>
    <w:rsid w:val="006F79D1"/>
    <w:rsid w:val="00704DF6"/>
    <w:rsid w:val="0070651C"/>
    <w:rsid w:val="0070669E"/>
    <w:rsid w:val="007132A3"/>
    <w:rsid w:val="00716421"/>
    <w:rsid w:val="0072267A"/>
    <w:rsid w:val="00722A6D"/>
    <w:rsid w:val="00723A69"/>
    <w:rsid w:val="00724EFB"/>
    <w:rsid w:val="007318AF"/>
    <w:rsid w:val="007336A4"/>
    <w:rsid w:val="00735E3C"/>
    <w:rsid w:val="00737209"/>
    <w:rsid w:val="007419C3"/>
    <w:rsid w:val="007467A7"/>
    <w:rsid w:val="007469DD"/>
    <w:rsid w:val="0074741B"/>
    <w:rsid w:val="0074759E"/>
    <w:rsid w:val="007478EA"/>
    <w:rsid w:val="00751176"/>
    <w:rsid w:val="0075415C"/>
    <w:rsid w:val="007557F9"/>
    <w:rsid w:val="007574CB"/>
    <w:rsid w:val="00763502"/>
    <w:rsid w:val="007657A7"/>
    <w:rsid w:val="00777B87"/>
    <w:rsid w:val="007831A7"/>
    <w:rsid w:val="007913AB"/>
    <w:rsid w:val="007914F7"/>
    <w:rsid w:val="00792F5C"/>
    <w:rsid w:val="0079428E"/>
    <w:rsid w:val="007946B2"/>
    <w:rsid w:val="007950A6"/>
    <w:rsid w:val="007B0B61"/>
    <w:rsid w:val="007B0B89"/>
    <w:rsid w:val="007B1625"/>
    <w:rsid w:val="007B236F"/>
    <w:rsid w:val="007B5C6A"/>
    <w:rsid w:val="007B706E"/>
    <w:rsid w:val="007B71EB"/>
    <w:rsid w:val="007C14C6"/>
    <w:rsid w:val="007C5186"/>
    <w:rsid w:val="007C5304"/>
    <w:rsid w:val="007C53D4"/>
    <w:rsid w:val="007C6205"/>
    <w:rsid w:val="007C686A"/>
    <w:rsid w:val="007C728E"/>
    <w:rsid w:val="007D2C53"/>
    <w:rsid w:val="007D3D60"/>
    <w:rsid w:val="007E1980"/>
    <w:rsid w:val="007E3E4B"/>
    <w:rsid w:val="007E4B76"/>
    <w:rsid w:val="007E5998"/>
    <w:rsid w:val="007E5EA8"/>
    <w:rsid w:val="007F0CF1"/>
    <w:rsid w:val="007F12A5"/>
    <w:rsid w:val="007F2DA5"/>
    <w:rsid w:val="007F4C4F"/>
    <w:rsid w:val="007F4CF1"/>
    <w:rsid w:val="007F758D"/>
    <w:rsid w:val="007F7D52"/>
    <w:rsid w:val="0080654C"/>
    <w:rsid w:val="008071C6"/>
    <w:rsid w:val="00811506"/>
    <w:rsid w:val="008168E3"/>
    <w:rsid w:val="00817A00"/>
    <w:rsid w:val="008204E8"/>
    <w:rsid w:val="00821545"/>
    <w:rsid w:val="0082512C"/>
    <w:rsid w:val="008259F9"/>
    <w:rsid w:val="00835DB3"/>
    <w:rsid w:val="0083617B"/>
    <w:rsid w:val="008371BD"/>
    <w:rsid w:val="0083767E"/>
    <w:rsid w:val="00840257"/>
    <w:rsid w:val="008405AD"/>
    <w:rsid w:val="00840B61"/>
    <w:rsid w:val="008427A3"/>
    <w:rsid w:val="00847566"/>
    <w:rsid w:val="008504A8"/>
    <w:rsid w:val="00850F51"/>
    <w:rsid w:val="0085282E"/>
    <w:rsid w:val="00857896"/>
    <w:rsid w:val="00861580"/>
    <w:rsid w:val="0087198C"/>
    <w:rsid w:val="00872C1F"/>
    <w:rsid w:val="0087373A"/>
    <w:rsid w:val="00873B42"/>
    <w:rsid w:val="008750A4"/>
    <w:rsid w:val="00882F7D"/>
    <w:rsid w:val="00884F76"/>
    <w:rsid w:val="008856D8"/>
    <w:rsid w:val="00887FE6"/>
    <w:rsid w:val="00892E82"/>
    <w:rsid w:val="0089545A"/>
    <w:rsid w:val="00896E6C"/>
    <w:rsid w:val="008A218B"/>
    <w:rsid w:val="008A2641"/>
    <w:rsid w:val="008A559E"/>
    <w:rsid w:val="008A5A33"/>
    <w:rsid w:val="008A6EB6"/>
    <w:rsid w:val="008C1B58"/>
    <w:rsid w:val="008C39AE"/>
    <w:rsid w:val="008C590D"/>
    <w:rsid w:val="008D4BC4"/>
    <w:rsid w:val="008D715F"/>
    <w:rsid w:val="008E031B"/>
    <w:rsid w:val="008E7029"/>
    <w:rsid w:val="008E74F2"/>
    <w:rsid w:val="008E7EF6"/>
    <w:rsid w:val="008F1F98"/>
    <w:rsid w:val="008F6758"/>
    <w:rsid w:val="009040DD"/>
    <w:rsid w:val="00905B47"/>
    <w:rsid w:val="00906819"/>
    <w:rsid w:val="00911FBF"/>
    <w:rsid w:val="0091331C"/>
    <w:rsid w:val="009279DE"/>
    <w:rsid w:val="00930116"/>
    <w:rsid w:val="0093034D"/>
    <w:rsid w:val="009345A4"/>
    <w:rsid w:val="009347EC"/>
    <w:rsid w:val="00936C7D"/>
    <w:rsid w:val="00940825"/>
    <w:rsid w:val="0094212C"/>
    <w:rsid w:val="0094370B"/>
    <w:rsid w:val="00945FCF"/>
    <w:rsid w:val="00947577"/>
    <w:rsid w:val="00953A42"/>
    <w:rsid w:val="00953F02"/>
    <w:rsid w:val="00954689"/>
    <w:rsid w:val="009617C9"/>
    <w:rsid w:val="00961C93"/>
    <w:rsid w:val="00965324"/>
    <w:rsid w:val="0096609F"/>
    <w:rsid w:val="0097091E"/>
    <w:rsid w:val="00974CAC"/>
    <w:rsid w:val="00974CF5"/>
    <w:rsid w:val="009760D3"/>
    <w:rsid w:val="00977132"/>
    <w:rsid w:val="00981A4B"/>
    <w:rsid w:val="00982501"/>
    <w:rsid w:val="00985CCA"/>
    <w:rsid w:val="009875DB"/>
    <w:rsid w:val="009877D3"/>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5362"/>
    <w:rsid w:val="009D60E7"/>
    <w:rsid w:val="009E1415"/>
    <w:rsid w:val="009E1BA8"/>
    <w:rsid w:val="009E6116"/>
    <w:rsid w:val="009E7A64"/>
    <w:rsid w:val="009F12F3"/>
    <w:rsid w:val="009F5759"/>
    <w:rsid w:val="00A02E43"/>
    <w:rsid w:val="00A065F9"/>
    <w:rsid w:val="00A07F34"/>
    <w:rsid w:val="00A1233E"/>
    <w:rsid w:val="00A16BB5"/>
    <w:rsid w:val="00A16F87"/>
    <w:rsid w:val="00A22154"/>
    <w:rsid w:val="00A2217C"/>
    <w:rsid w:val="00A25C38"/>
    <w:rsid w:val="00A340B0"/>
    <w:rsid w:val="00A36BBE"/>
    <w:rsid w:val="00A4035E"/>
    <w:rsid w:val="00A4307A"/>
    <w:rsid w:val="00A47EBB"/>
    <w:rsid w:val="00A50FA4"/>
    <w:rsid w:val="00A51CDD"/>
    <w:rsid w:val="00A617C7"/>
    <w:rsid w:val="00A63B21"/>
    <w:rsid w:val="00A6730D"/>
    <w:rsid w:val="00A708B1"/>
    <w:rsid w:val="00A71625"/>
    <w:rsid w:val="00A71B9B"/>
    <w:rsid w:val="00A71F67"/>
    <w:rsid w:val="00A74FE1"/>
    <w:rsid w:val="00A750BB"/>
    <w:rsid w:val="00A751C7"/>
    <w:rsid w:val="00A842AF"/>
    <w:rsid w:val="00A87844"/>
    <w:rsid w:val="00AA038C"/>
    <w:rsid w:val="00AA671C"/>
    <w:rsid w:val="00AA7A09"/>
    <w:rsid w:val="00AB0BE7"/>
    <w:rsid w:val="00AB18D2"/>
    <w:rsid w:val="00AB3B50"/>
    <w:rsid w:val="00AB3F91"/>
    <w:rsid w:val="00AC05B1"/>
    <w:rsid w:val="00AC3745"/>
    <w:rsid w:val="00AC3FCD"/>
    <w:rsid w:val="00AC698E"/>
    <w:rsid w:val="00AD356C"/>
    <w:rsid w:val="00AE2914"/>
    <w:rsid w:val="00AE6D15"/>
    <w:rsid w:val="00AF2E66"/>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53EB"/>
    <w:rsid w:val="00B439C4"/>
    <w:rsid w:val="00B43B7A"/>
    <w:rsid w:val="00B4535E"/>
    <w:rsid w:val="00B51AB7"/>
    <w:rsid w:val="00B524BD"/>
    <w:rsid w:val="00B52A8C"/>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E11CF"/>
    <w:rsid w:val="00BE21AB"/>
    <w:rsid w:val="00BE55CB"/>
    <w:rsid w:val="00BF0807"/>
    <w:rsid w:val="00BF1780"/>
    <w:rsid w:val="00BF203B"/>
    <w:rsid w:val="00BF4025"/>
    <w:rsid w:val="00BF617A"/>
    <w:rsid w:val="00C0379D"/>
    <w:rsid w:val="00C03821"/>
    <w:rsid w:val="00C03931"/>
    <w:rsid w:val="00C05FE3"/>
    <w:rsid w:val="00C07008"/>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601D2"/>
    <w:rsid w:val="00C618AA"/>
    <w:rsid w:val="00C641CF"/>
    <w:rsid w:val="00C64E85"/>
    <w:rsid w:val="00C65BCC"/>
    <w:rsid w:val="00C66970"/>
    <w:rsid w:val="00C6744A"/>
    <w:rsid w:val="00C809B0"/>
    <w:rsid w:val="00C83FF2"/>
    <w:rsid w:val="00C8691C"/>
    <w:rsid w:val="00C86C0E"/>
    <w:rsid w:val="00C87858"/>
    <w:rsid w:val="00C933D9"/>
    <w:rsid w:val="00CA168A"/>
    <w:rsid w:val="00CA357E"/>
    <w:rsid w:val="00CA44F9"/>
    <w:rsid w:val="00CA4A69"/>
    <w:rsid w:val="00CB2815"/>
    <w:rsid w:val="00CC2180"/>
    <w:rsid w:val="00CC2F37"/>
    <w:rsid w:val="00CC3E0C"/>
    <w:rsid w:val="00CC4372"/>
    <w:rsid w:val="00CC58D3"/>
    <w:rsid w:val="00CC784D"/>
    <w:rsid w:val="00CD09CC"/>
    <w:rsid w:val="00CD1AF8"/>
    <w:rsid w:val="00CD33D7"/>
    <w:rsid w:val="00CE2985"/>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429C6"/>
    <w:rsid w:val="00D45551"/>
    <w:rsid w:val="00D47748"/>
    <w:rsid w:val="00D546FE"/>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E35CB"/>
    <w:rsid w:val="00DE66D8"/>
    <w:rsid w:val="00DF21E9"/>
    <w:rsid w:val="00DF319A"/>
    <w:rsid w:val="00DF3C11"/>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752E0"/>
    <w:rsid w:val="00E77BF6"/>
    <w:rsid w:val="00E81841"/>
    <w:rsid w:val="00E81953"/>
    <w:rsid w:val="00E82344"/>
    <w:rsid w:val="00E84C82"/>
    <w:rsid w:val="00E84D64"/>
    <w:rsid w:val="00E87408"/>
    <w:rsid w:val="00E9052F"/>
    <w:rsid w:val="00E914C4"/>
    <w:rsid w:val="00E934F5"/>
    <w:rsid w:val="00E96961"/>
    <w:rsid w:val="00E96E7B"/>
    <w:rsid w:val="00EA1B3D"/>
    <w:rsid w:val="00EA72EC"/>
    <w:rsid w:val="00EB11CB"/>
    <w:rsid w:val="00EB1E8F"/>
    <w:rsid w:val="00EB275A"/>
    <w:rsid w:val="00EB4C12"/>
    <w:rsid w:val="00EB5704"/>
    <w:rsid w:val="00EB786A"/>
    <w:rsid w:val="00EC1342"/>
    <w:rsid w:val="00EC1578"/>
    <w:rsid w:val="00EC1C72"/>
    <w:rsid w:val="00EC3CC9"/>
    <w:rsid w:val="00EC5B04"/>
    <w:rsid w:val="00EC5BF3"/>
    <w:rsid w:val="00EC680A"/>
    <w:rsid w:val="00ED16DB"/>
    <w:rsid w:val="00ED2417"/>
    <w:rsid w:val="00ED743C"/>
    <w:rsid w:val="00EE2BED"/>
    <w:rsid w:val="00EE374B"/>
    <w:rsid w:val="00EE5DC3"/>
    <w:rsid w:val="00F003B6"/>
    <w:rsid w:val="00F0096C"/>
    <w:rsid w:val="00F06691"/>
    <w:rsid w:val="00F11BB5"/>
    <w:rsid w:val="00F1417B"/>
    <w:rsid w:val="00F16596"/>
    <w:rsid w:val="00F176FC"/>
    <w:rsid w:val="00F22D20"/>
    <w:rsid w:val="00F23696"/>
    <w:rsid w:val="00F23698"/>
    <w:rsid w:val="00F27936"/>
    <w:rsid w:val="00F333C0"/>
    <w:rsid w:val="00F34B99"/>
    <w:rsid w:val="00F35113"/>
    <w:rsid w:val="00F52DAB"/>
    <w:rsid w:val="00F543F0"/>
    <w:rsid w:val="00F64FE8"/>
    <w:rsid w:val="00F67147"/>
    <w:rsid w:val="00F71110"/>
    <w:rsid w:val="00F731A8"/>
    <w:rsid w:val="00F80D88"/>
    <w:rsid w:val="00F81D29"/>
    <w:rsid w:val="00F83FC6"/>
    <w:rsid w:val="00F86102"/>
    <w:rsid w:val="00F876CD"/>
    <w:rsid w:val="00F91C4D"/>
    <w:rsid w:val="00F92FD9"/>
    <w:rsid w:val="00F94929"/>
    <w:rsid w:val="00FA00BB"/>
    <w:rsid w:val="00FA3835"/>
    <w:rsid w:val="00FA4F98"/>
    <w:rsid w:val="00FA6684"/>
    <w:rsid w:val="00FA731E"/>
    <w:rsid w:val="00FB2B38"/>
    <w:rsid w:val="00FC6358"/>
    <w:rsid w:val="00FD320D"/>
    <w:rsid w:val="00FD607E"/>
    <w:rsid w:val="00FE02A8"/>
    <w:rsid w:val="00FE23DE"/>
    <w:rsid w:val="00FE4157"/>
    <w:rsid w:val="0316724E"/>
    <w:rsid w:val="092B1385"/>
    <w:rsid w:val="0B6B1D48"/>
    <w:rsid w:val="11566901"/>
    <w:rsid w:val="121C2E46"/>
    <w:rsid w:val="13646C99"/>
    <w:rsid w:val="149E16AA"/>
    <w:rsid w:val="16A36AB3"/>
    <w:rsid w:val="19620BB5"/>
    <w:rsid w:val="1DD94587"/>
    <w:rsid w:val="207D005D"/>
    <w:rsid w:val="23F635D0"/>
    <w:rsid w:val="2655534A"/>
    <w:rsid w:val="2BA56D2B"/>
    <w:rsid w:val="2ECA07D2"/>
    <w:rsid w:val="2FE03628"/>
    <w:rsid w:val="3024558B"/>
    <w:rsid w:val="35D963E6"/>
    <w:rsid w:val="385806CF"/>
    <w:rsid w:val="3ABB6EE9"/>
    <w:rsid w:val="3D795AE8"/>
    <w:rsid w:val="432702BD"/>
    <w:rsid w:val="43A7408E"/>
    <w:rsid w:val="46816D3A"/>
    <w:rsid w:val="4D597AF4"/>
    <w:rsid w:val="4F7277CD"/>
    <w:rsid w:val="509176A9"/>
    <w:rsid w:val="518F15DB"/>
    <w:rsid w:val="535B0998"/>
    <w:rsid w:val="547C2F28"/>
    <w:rsid w:val="5B816020"/>
    <w:rsid w:val="606A33BF"/>
    <w:rsid w:val="62ED2655"/>
    <w:rsid w:val="64FF4941"/>
    <w:rsid w:val="657E520F"/>
    <w:rsid w:val="7409262D"/>
    <w:rsid w:val="74475895"/>
    <w:rsid w:val="7A323160"/>
    <w:rsid w:val="7BB80A08"/>
    <w:rsid w:val="7C3A75A1"/>
    <w:rsid w:val="7F647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573BCA3"/>
  <w15:docId w15:val="{2A424CAB-A98F-4AFB-9ACC-4BDCD8415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semiHidden/>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Normal Indent"/>
    <w:basedOn w:val="aff2"/>
    <w:qFormat/>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8">
    <w:name w:val="Document Map"/>
    <w:basedOn w:val="aff2"/>
    <w:semiHidden/>
    <w:qFormat/>
    <w:pPr>
      <w:shd w:val="clear" w:color="auto" w:fill="000080"/>
    </w:pPr>
  </w:style>
  <w:style w:type="paragraph" w:styleId="aff9">
    <w:name w:val="annotation text"/>
    <w:basedOn w:val="aff2"/>
    <w:link w:val="affa"/>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TOC5">
    <w:name w:val="toc 5"/>
    <w:basedOn w:val="aff2"/>
    <w:next w:val="aff2"/>
    <w:semiHidden/>
    <w:qFormat/>
    <w:pPr>
      <w:tabs>
        <w:tab w:val="right" w:leader="dot" w:pos="9241"/>
      </w:tabs>
      <w:ind w:firstLineChars="300" w:firstLine="300"/>
      <w:jc w:val="left"/>
    </w:pPr>
    <w:rPr>
      <w:rFonts w:ascii="宋体"/>
      <w:szCs w:val="21"/>
    </w:rPr>
  </w:style>
  <w:style w:type="paragraph" w:styleId="TOC3">
    <w:name w:val="toc 3"/>
    <w:basedOn w:val="aff2"/>
    <w:next w:val="aff2"/>
    <w:uiPriority w:val="39"/>
    <w:qFormat/>
    <w:pPr>
      <w:tabs>
        <w:tab w:val="right" w:leader="dot" w:pos="9241"/>
      </w:tabs>
      <w:ind w:firstLineChars="100" w:firstLine="102"/>
      <w:jc w:val="left"/>
    </w:pPr>
    <w:rPr>
      <w:rFonts w:ascii="宋体"/>
      <w:szCs w:val="21"/>
    </w:rPr>
  </w:style>
  <w:style w:type="paragraph" w:styleId="TOC8">
    <w:name w:val="toc 8"/>
    <w:basedOn w:val="aff2"/>
    <w:next w:val="aff2"/>
    <w:semiHidden/>
    <w:qFormat/>
    <w:pPr>
      <w:tabs>
        <w:tab w:val="right" w:leader="dot" w:pos="9241"/>
      </w:tabs>
      <w:ind w:firstLineChars="600" w:firstLine="607"/>
      <w:jc w:val="left"/>
    </w:pPr>
    <w:rPr>
      <w:rFonts w:ascii="宋体"/>
      <w:szCs w:val="21"/>
    </w:rPr>
  </w:style>
  <w:style w:type="paragraph" w:styleId="31">
    <w:name w:val="index 3"/>
    <w:basedOn w:val="aff2"/>
    <w:next w:val="aff2"/>
    <w:qFormat/>
    <w:pPr>
      <w:ind w:left="630" w:hanging="210"/>
      <w:jc w:val="left"/>
    </w:pPr>
    <w:rPr>
      <w:rFonts w:ascii="Calibri" w:hAnsi="Calibri"/>
      <w:sz w:val="20"/>
      <w:szCs w:val="20"/>
    </w:rPr>
  </w:style>
  <w:style w:type="paragraph" w:styleId="affb">
    <w:name w:val="endnote text"/>
    <w:basedOn w:val="aff2"/>
    <w:semiHidden/>
    <w:qFormat/>
    <w:pPr>
      <w:snapToGrid w:val="0"/>
      <w:jc w:val="left"/>
    </w:pPr>
  </w:style>
  <w:style w:type="paragraph" w:styleId="affc">
    <w:name w:val="Balloon Text"/>
    <w:basedOn w:val="aff2"/>
    <w:link w:val="affd"/>
    <w:semiHidden/>
    <w:unhideWhenUsed/>
    <w:qFormat/>
    <w:rPr>
      <w:rFonts w:ascii="宋体"/>
      <w:sz w:val="18"/>
      <w:szCs w:val="18"/>
    </w:rPr>
  </w:style>
  <w:style w:type="paragraph" w:styleId="affe">
    <w:name w:val="footer"/>
    <w:basedOn w:val="aff2"/>
    <w:qFormat/>
    <w:pPr>
      <w:snapToGrid w:val="0"/>
      <w:ind w:rightChars="100" w:right="210"/>
      <w:jc w:val="right"/>
    </w:pPr>
    <w:rPr>
      <w:sz w:val="18"/>
      <w:szCs w:val="18"/>
    </w:rPr>
  </w:style>
  <w:style w:type="paragraph" w:styleId="afff">
    <w:name w:val="header"/>
    <w:basedOn w:val="aff2"/>
    <w:qFormat/>
    <w:pPr>
      <w:snapToGrid w:val="0"/>
      <w:jc w:val="left"/>
    </w:pPr>
    <w:rPr>
      <w:sz w:val="18"/>
      <w:szCs w:val="18"/>
    </w:rPr>
  </w:style>
  <w:style w:type="paragraph" w:styleId="TOC1">
    <w:name w:val="toc 1"/>
    <w:basedOn w:val="aff2"/>
    <w:next w:val="aff2"/>
    <w:uiPriority w:val="39"/>
    <w:qFormat/>
    <w:pPr>
      <w:tabs>
        <w:tab w:val="right" w:leader="dot" w:pos="9241"/>
      </w:tabs>
      <w:spacing w:beforeLines="25" w:before="25" w:afterLines="25" w:after="25"/>
      <w:jc w:val="left"/>
    </w:pPr>
    <w:rPr>
      <w:rFonts w:ascii="宋体"/>
      <w:szCs w:val="21"/>
    </w:rPr>
  </w:style>
  <w:style w:type="paragraph" w:styleId="TOC4">
    <w:name w:val="toc 4"/>
    <w:basedOn w:val="aff2"/>
    <w:next w:val="aff2"/>
    <w:semiHidden/>
    <w:qFormat/>
    <w:pPr>
      <w:tabs>
        <w:tab w:val="right" w:leader="dot" w:pos="9241"/>
      </w:tabs>
      <w:ind w:firstLineChars="200" w:firstLine="198"/>
      <w:jc w:val="left"/>
    </w:pPr>
    <w:rPr>
      <w:rFonts w:ascii="宋体"/>
      <w:szCs w:val="21"/>
    </w:rPr>
  </w:style>
  <w:style w:type="paragraph" w:styleId="afff0">
    <w:name w:val="index heading"/>
    <w:basedOn w:val="aff2"/>
    <w:next w:val="11"/>
    <w:qFormat/>
    <w:pPr>
      <w:spacing w:before="120" w:after="120"/>
      <w:jc w:val="center"/>
    </w:pPr>
    <w:rPr>
      <w:rFonts w:ascii="Calibri" w:hAnsi="Calibri"/>
      <w:b/>
      <w:bCs/>
      <w:iCs/>
      <w:szCs w:val="20"/>
    </w:rPr>
  </w:style>
  <w:style w:type="paragraph" w:styleId="11">
    <w:name w:val="index 1"/>
    <w:basedOn w:val="aff2"/>
    <w:next w:val="afff1"/>
    <w:qFormat/>
    <w:pPr>
      <w:tabs>
        <w:tab w:val="right" w:leader="dot" w:pos="9299"/>
      </w:tabs>
      <w:jc w:val="left"/>
    </w:pPr>
    <w:rPr>
      <w:rFonts w:ascii="宋体"/>
      <w:szCs w:val="21"/>
    </w:rPr>
  </w:style>
  <w:style w:type="paragraph" w:customStyle="1" w:styleId="afff1">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semiHidden/>
    <w:qFormat/>
    <w:pPr>
      <w:tabs>
        <w:tab w:val="right" w:leader="dot" w:pos="9241"/>
      </w:tabs>
      <w:ind w:firstLineChars="400" w:firstLine="403"/>
      <w:jc w:val="left"/>
    </w:pPr>
    <w:rPr>
      <w:rFonts w:ascii="宋体"/>
      <w:szCs w:val="21"/>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uiPriority w:val="39"/>
    <w:qFormat/>
    <w:pPr>
      <w:tabs>
        <w:tab w:val="right" w:leader="dot" w:pos="9241"/>
      </w:tabs>
    </w:pPr>
    <w:rPr>
      <w:rFonts w:ascii="宋体"/>
      <w:szCs w:val="21"/>
    </w:rPr>
  </w:style>
  <w:style w:type="paragraph" w:styleId="TOC9">
    <w:name w:val="toc 9"/>
    <w:basedOn w:val="aff2"/>
    <w:next w:val="aff2"/>
    <w:semiHidden/>
    <w:qFormat/>
    <w:pPr>
      <w:ind w:left="1470"/>
      <w:jc w:val="left"/>
    </w:pPr>
    <w:rPr>
      <w:sz w:val="20"/>
      <w:szCs w:val="20"/>
    </w:rPr>
  </w:style>
  <w:style w:type="paragraph" w:styleId="21">
    <w:name w:val="index 2"/>
    <w:basedOn w:val="aff2"/>
    <w:next w:val="aff2"/>
    <w:qFormat/>
    <w:pPr>
      <w:ind w:left="420" w:hanging="210"/>
      <w:jc w:val="left"/>
    </w:pPr>
    <w:rPr>
      <w:rFonts w:ascii="Calibri" w:hAnsi="Calibri"/>
      <w:sz w:val="20"/>
      <w:szCs w:val="20"/>
    </w:rPr>
  </w:style>
  <w:style w:type="paragraph" w:styleId="afff2">
    <w:name w:val="annotation subject"/>
    <w:basedOn w:val="aff9"/>
    <w:next w:val="aff9"/>
    <w:link w:val="afff3"/>
    <w:semiHidden/>
    <w:unhideWhenUsed/>
    <w:qFormat/>
    <w:pPr>
      <w:jc w:val="both"/>
    </w:pPr>
    <w:rPr>
      <w:b/>
      <w:bCs/>
      <w:sz w:val="20"/>
      <w:szCs w:val="20"/>
    </w:rPr>
  </w:style>
  <w:style w:type="table" w:styleId="afff4">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basedOn w:val="aff3"/>
    <w:semiHidden/>
    <w:qFormat/>
    <w:rPr>
      <w:vertAlign w:val="superscript"/>
    </w:rPr>
  </w:style>
  <w:style w:type="character" w:styleId="afff6">
    <w:name w:val="page number"/>
    <w:basedOn w:val="aff3"/>
    <w:qFormat/>
    <w:rPr>
      <w:rFonts w:ascii="Times New Roman" w:eastAsia="宋体" w:hAnsi="Times New Roman"/>
      <w:sz w:val="18"/>
    </w:rPr>
  </w:style>
  <w:style w:type="character" w:styleId="afff7">
    <w:name w:val="Hyperlink"/>
    <w:basedOn w:val="aff3"/>
    <w:uiPriority w:val="99"/>
    <w:qFormat/>
    <w:rPr>
      <w:color w:val="0000FF"/>
      <w:spacing w:val="0"/>
      <w:w w:val="100"/>
      <w:szCs w:val="21"/>
      <w:u w:val="single"/>
    </w:rPr>
  </w:style>
  <w:style w:type="character" w:styleId="afff8">
    <w:name w:val="annotation reference"/>
    <w:basedOn w:val="aff3"/>
    <w:qFormat/>
    <w:rPr>
      <w:sz w:val="21"/>
      <w:szCs w:val="21"/>
    </w:rPr>
  </w:style>
  <w:style w:type="character" w:styleId="afff9">
    <w:name w:val="footnote reference"/>
    <w:basedOn w:val="aff3"/>
    <w:semiHidden/>
    <w:qFormat/>
    <w:rPr>
      <w:vertAlign w:val="superscript"/>
    </w:rPr>
  </w:style>
  <w:style w:type="character" w:customStyle="1" w:styleId="Char">
    <w:name w:val="段 Char"/>
    <w:basedOn w:val="aff3"/>
    <w:link w:val="afff1"/>
    <w:qFormat/>
    <w:rPr>
      <w:rFonts w:ascii="宋体"/>
      <w:sz w:val="21"/>
      <w:lang w:val="en-US" w:eastAsia="zh-CN" w:bidi="ar-SA"/>
    </w:rPr>
  </w:style>
  <w:style w:type="paragraph" w:customStyle="1" w:styleId="a5">
    <w:name w:val="一级条标题"/>
    <w:next w:val="afff1"/>
    <w:qFormat/>
    <w:pPr>
      <w:numPr>
        <w:ilvl w:val="1"/>
        <w:numId w:val="2"/>
      </w:numPr>
      <w:spacing w:beforeLines="50" w:before="156" w:afterLines="50" w:after="156"/>
      <w:outlineLvl w:val="2"/>
    </w:pPr>
    <w:rPr>
      <w:rFonts w:ascii="黑体" w:eastAsia="黑体"/>
      <w:sz w:val="21"/>
      <w:szCs w:val="21"/>
    </w:rPr>
  </w:style>
  <w:style w:type="paragraph" w:customStyle="1" w:styleId="afffa">
    <w:name w:val="标准书脚_奇数页"/>
    <w:qFormat/>
    <w:pPr>
      <w:spacing w:before="120"/>
      <w:ind w:right="198"/>
      <w:jc w:val="right"/>
    </w:pPr>
    <w:rPr>
      <w:rFonts w:ascii="宋体"/>
      <w:sz w:val="18"/>
      <w:szCs w:val="18"/>
    </w:rPr>
  </w:style>
  <w:style w:type="paragraph" w:customStyle="1" w:styleId="afffb">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1"/>
    <w:qFormat/>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1"/>
    <w:qFormat/>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c">
    <w:name w:val="目次、标准名称标题"/>
    <w:basedOn w:val="aff2"/>
    <w:next w:val="af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1"/>
    <w:qFormat/>
    <w:pPr>
      <w:numPr>
        <w:ilvl w:val="3"/>
      </w:numPr>
      <w:outlineLvl w:val="4"/>
    </w:pPr>
  </w:style>
  <w:style w:type="paragraph" w:customStyle="1" w:styleId="a1">
    <w:name w:val="示例"/>
    <w:next w:val="afffd"/>
    <w:qFormat/>
    <w:pPr>
      <w:widowControl w:val="0"/>
      <w:numPr>
        <w:numId w:val="4"/>
      </w:numPr>
      <w:jc w:val="both"/>
    </w:pPr>
    <w:rPr>
      <w:rFonts w:ascii="宋体"/>
      <w:sz w:val="18"/>
      <w:szCs w:val="18"/>
    </w:rPr>
  </w:style>
  <w:style w:type="paragraph" w:customStyle="1" w:styleId="afffd">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1"/>
    <w:qFormat/>
    <w:pPr>
      <w:numPr>
        <w:ilvl w:val="4"/>
      </w:numPr>
      <w:outlineLvl w:val="5"/>
    </w:pPr>
  </w:style>
  <w:style w:type="paragraph" w:customStyle="1" w:styleId="a9">
    <w:name w:val="五级条标题"/>
    <w:basedOn w:val="a8"/>
    <w:next w:val="afff1"/>
    <w:qFormat/>
    <w:pPr>
      <w:numPr>
        <w:ilvl w:val="5"/>
      </w:numPr>
      <w:outlineLvl w:val="6"/>
    </w:pPr>
  </w:style>
  <w:style w:type="paragraph" w:customStyle="1" w:styleId="aff1">
    <w:name w:val="注："/>
    <w:next w:val="afff1"/>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e">
    <w:name w:val="二级无"/>
    <w:basedOn w:val="a6"/>
    <w:qFormat/>
    <w:pPr>
      <w:spacing w:beforeLines="0" w:before="0" w:afterLines="0" w:after="0"/>
    </w:pPr>
    <w:rPr>
      <w:rFonts w:ascii="宋体" w:eastAsia="宋体"/>
    </w:rPr>
  </w:style>
  <w:style w:type="paragraph" w:customStyle="1" w:styleId="affff">
    <w:name w:val="注：（正文）"/>
    <w:basedOn w:val="aff1"/>
    <w:next w:val="afff1"/>
    <w:qFormat/>
  </w:style>
  <w:style w:type="paragraph" w:customStyle="1" w:styleId="a3">
    <w:name w:val="注×：（正文）"/>
    <w:qFormat/>
    <w:pPr>
      <w:numPr>
        <w:numId w:val="9"/>
      </w:numPr>
      <w:jc w:val="both"/>
    </w:pPr>
    <w:rPr>
      <w:rFonts w:ascii="宋体"/>
      <w:sz w:val="18"/>
      <w:szCs w:val="18"/>
    </w:rPr>
  </w:style>
  <w:style w:type="paragraph" w:customStyle="1" w:styleId="affff0">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pPr>
      <w:spacing w:before="120"/>
      <w:ind w:left="221"/>
    </w:pPr>
    <w:rPr>
      <w:rFonts w:ascii="宋体"/>
      <w:sz w:val="18"/>
      <w:szCs w:val="18"/>
    </w:rPr>
  </w:style>
  <w:style w:type="paragraph" w:customStyle="1" w:styleId="affff3">
    <w:name w:val="标准书眉_偶数页"/>
    <w:basedOn w:val="afffb"/>
    <w:next w:val="aff2"/>
    <w:qFormat/>
    <w:pPr>
      <w:jc w:val="left"/>
    </w:pPr>
  </w:style>
  <w:style w:type="paragraph" w:customStyle="1" w:styleId="affff4">
    <w:name w:val="标准书眉一"/>
    <w:qFormat/>
    <w:pPr>
      <w:jc w:val="both"/>
    </w:pPr>
  </w:style>
  <w:style w:type="paragraph" w:customStyle="1" w:styleId="affff5">
    <w:name w:val="参考文献"/>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basedOn w:val="aff3"/>
    <w:qFormat/>
    <w:rPr>
      <w:rFonts w:ascii="黑体" w:eastAsia="黑体"/>
      <w:spacing w:val="85"/>
      <w:w w:val="100"/>
      <w:position w:val="3"/>
      <w:sz w:val="28"/>
      <w:szCs w:val="28"/>
    </w:rPr>
  </w:style>
  <w:style w:type="paragraph" w:customStyle="1" w:styleId="affff8">
    <w:name w:val="发布部门"/>
    <w:next w:val="afff1"/>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pPr>
      <w:framePr w:w="3997" w:h="471" w:hRule="exact" w:vSpace="181" w:wrap="around" w:hAnchor="page" w:x="7089" w:y="14097" w:anchorLock="1"/>
    </w:pPr>
    <w:rPr>
      <w:rFonts w:eastAsia="黑体"/>
      <w:sz w:val="28"/>
    </w:r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pPr>
      <w:framePr w:wrap="around"/>
      <w:spacing w:before="370" w:line="400" w:lineRule="exact"/>
    </w:pPr>
    <w:rPr>
      <w:rFonts w:ascii="Times New Roman"/>
      <w:sz w:val="28"/>
      <w:szCs w:val="28"/>
    </w:rPr>
  </w:style>
  <w:style w:type="paragraph" w:customStyle="1" w:styleId="affffd">
    <w:name w:val="封面一致性程度标识"/>
    <w:basedOn w:val="affffc"/>
    <w:qFormat/>
    <w:pPr>
      <w:framePr w:wrap="around"/>
      <w:spacing w:before="440"/>
    </w:pPr>
    <w:rPr>
      <w:rFonts w:ascii="宋体" w:eastAsia="宋体"/>
    </w:rPr>
  </w:style>
  <w:style w:type="paragraph" w:customStyle="1" w:styleId="affffe">
    <w:name w:val="封面标准文稿类别"/>
    <w:basedOn w:val="affffd"/>
    <w:qFormat/>
    <w:pPr>
      <w:framePr w:wrap="around"/>
      <w:spacing w:after="160" w:line="240" w:lineRule="auto"/>
    </w:pPr>
    <w:rPr>
      <w:sz w:val="24"/>
    </w:rPr>
  </w:style>
  <w:style w:type="paragraph" w:customStyle="1" w:styleId="afffff">
    <w:name w:val="封面标准文稿编辑信息"/>
    <w:basedOn w:val="affffe"/>
    <w:qFormat/>
    <w:pPr>
      <w:framePr w:wrap="around"/>
      <w:spacing w:before="180" w:line="180" w:lineRule="exact"/>
    </w:pPr>
    <w:rPr>
      <w:sz w:val="21"/>
    </w:rPr>
  </w:style>
  <w:style w:type="paragraph" w:customStyle="1" w:styleId="afffff0">
    <w:name w:val="封面正文"/>
    <w:qFormat/>
    <w:pPr>
      <w:jc w:val="both"/>
    </w:pPr>
  </w:style>
  <w:style w:type="paragraph" w:customStyle="1" w:styleId="af8">
    <w:name w:val="附录标识"/>
    <w:basedOn w:val="aff2"/>
    <w:next w:val="afff1"/>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1"/>
    <w:next w:val="afff1"/>
    <w:qFormat/>
    <w:pPr>
      <w:ind w:firstLineChars="0" w:firstLine="0"/>
      <w:jc w:val="center"/>
    </w:pPr>
    <w:rPr>
      <w:rFonts w:ascii="黑体" w:eastAsia="黑体"/>
    </w:rPr>
  </w:style>
  <w:style w:type="paragraph" w:customStyle="1" w:styleId="af5">
    <w:name w:val="附录表标号"/>
    <w:basedOn w:val="aff2"/>
    <w:next w:val="afff1"/>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1"/>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1"/>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b"/>
    <w:qFormat/>
    <w:pPr>
      <w:tabs>
        <w:tab w:val="clear" w:pos="360"/>
      </w:tabs>
      <w:spacing w:beforeLines="0" w:before="0" w:afterLines="0" w:after="0"/>
    </w:pPr>
    <w:rPr>
      <w:rFonts w:ascii="宋体" w:eastAsia="宋体"/>
      <w:szCs w:val="21"/>
    </w:rPr>
  </w:style>
  <w:style w:type="paragraph" w:customStyle="1" w:styleId="afffff3">
    <w:name w:val="附录公式"/>
    <w:basedOn w:val="afff1"/>
    <w:next w:val="afff1"/>
    <w:link w:val="Char0"/>
    <w:qFormat/>
  </w:style>
  <w:style w:type="character" w:customStyle="1" w:styleId="Char0">
    <w:name w:val="附录公式 Char"/>
    <w:basedOn w:val="Char"/>
    <w:link w:val="afffff3"/>
    <w:qFormat/>
    <w:rPr>
      <w:rFonts w:ascii="宋体"/>
      <w:sz w:val="21"/>
      <w:lang w:val="en-US" w:eastAsia="zh-CN" w:bidi="ar-SA"/>
    </w:rPr>
  </w:style>
  <w:style w:type="paragraph" w:customStyle="1" w:styleId="afffff4">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1"/>
    <w:qFormat/>
    <w:pPr>
      <w:numPr>
        <w:ilvl w:val="4"/>
      </w:numPr>
      <w:outlineLvl w:val="4"/>
    </w:pPr>
  </w:style>
  <w:style w:type="paragraph" w:customStyle="1" w:styleId="afffff5">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1"/>
    <w:qFormat/>
    <w:pPr>
      <w:numPr>
        <w:ilvl w:val="5"/>
      </w:numPr>
      <w:outlineLvl w:val="5"/>
    </w:pPr>
  </w:style>
  <w:style w:type="paragraph" w:customStyle="1" w:styleId="afffff6">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1"/>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1"/>
    <w:qFormat/>
    <w:pPr>
      <w:numPr>
        <w:ilvl w:val="6"/>
      </w:numPr>
      <w:outlineLvl w:val="6"/>
    </w:pPr>
  </w:style>
  <w:style w:type="paragraph" w:customStyle="1" w:styleId="afffff7">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1"/>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1"/>
    <w:qFormat/>
    <w:pPr>
      <w:numPr>
        <w:ilvl w:val="2"/>
      </w:numPr>
      <w:autoSpaceDN w:val="0"/>
      <w:spacing w:beforeLines="50" w:before="50" w:afterLines="50" w:after="50"/>
      <w:outlineLvl w:val="2"/>
    </w:pPr>
  </w:style>
  <w:style w:type="paragraph" w:customStyle="1" w:styleId="afffff8">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9">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f0"/>
    <w:qFormat/>
    <w:pPr>
      <w:framePr w:w="6101" w:wrap="around" w:vAnchor="page" w:hAnchor="page" w:x="4673" w:y="942"/>
    </w:pPr>
    <w:rPr>
      <w:w w:val="130"/>
    </w:rPr>
  </w:style>
  <w:style w:type="paragraph" w:customStyle="1" w:styleId="afffffd">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pPr>
      <w:framePr w:wrap="around" w:y="15310"/>
      <w:spacing w:line="0" w:lineRule="atLeast"/>
    </w:pPr>
    <w:rPr>
      <w:rFonts w:ascii="黑体" w:eastAsia="黑体"/>
      <w:b w:val="0"/>
    </w:rPr>
  </w:style>
  <w:style w:type="paragraph" w:customStyle="1" w:styleId="affffff">
    <w:name w:val="前言、引言标题"/>
    <w:next w:val="afff1"/>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7"/>
    <w:qFormat/>
    <w:pPr>
      <w:spacing w:beforeLines="0" w:before="0" w:afterLines="0" w:after="0"/>
    </w:pPr>
    <w:rPr>
      <w:rFonts w:ascii="宋体" w:eastAsia="宋体"/>
    </w:rPr>
  </w:style>
  <w:style w:type="paragraph" w:customStyle="1" w:styleId="affffff1">
    <w:name w:val="实施日期"/>
    <w:basedOn w:val="affff9"/>
    <w:qFormat/>
    <w:pPr>
      <w:framePr w:wrap="around" w:vAnchor="page" w:hAnchor="text"/>
      <w:jc w:val="right"/>
    </w:pPr>
  </w:style>
  <w:style w:type="paragraph" w:customStyle="1" w:styleId="affffff2">
    <w:name w:val="示例后文字"/>
    <w:basedOn w:val="afff1"/>
    <w:next w:val="afff1"/>
    <w:qFormat/>
    <w:pPr>
      <w:ind w:firstLine="360"/>
    </w:pPr>
    <w:rPr>
      <w:sz w:val="18"/>
    </w:rPr>
  </w:style>
  <w:style w:type="paragraph" w:customStyle="1" w:styleId="a0">
    <w:name w:val="首示例"/>
    <w:next w:val="afff1"/>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qFormat/>
    <w:rPr>
      <w:rFonts w:ascii="宋体" w:hAnsi="宋体"/>
      <w:kern w:val="2"/>
      <w:sz w:val="18"/>
      <w:szCs w:val="18"/>
    </w:rPr>
  </w:style>
  <w:style w:type="paragraph" w:customStyle="1" w:styleId="affffff3">
    <w:name w:val="四级无"/>
    <w:basedOn w:val="a8"/>
    <w:qFormat/>
    <w:pPr>
      <w:spacing w:beforeLines="0" w:before="0" w:afterLines="0" w:after="0"/>
    </w:pPr>
    <w:rPr>
      <w:rFonts w:ascii="宋体" w:eastAsia="宋体"/>
    </w:rPr>
  </w:style>
  <w:style w:type="paragraph" w:customStyle="1" w:styleId="affffff4">
    <w:name w:val="条文脚注"/>
    <w:basedOn w:val="af"/>
    <w:qFormat/>
    <w:pPr>
      <w:numPr>
        <w:numId w:val="0"/>
      </w:numPr>
      <w:jc w:val="both"/>
    </w:pPr>
  </w:style>
  <w:style w:type="paragraph" w:customStyle="1" w:styleId="affffff5">
    <w:name w:val="图标脚注说明"/>
    <w:basedOn w:val="afff1"/>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6">
    <w:name w:val="图的脚注"/>
    <w:next w:val="afff1"/>
    <w:qFormat/>
    <w:pPr>
      <w:widowControl w:val="0"/>
      <w:ind w:leftChars="200" w:left="840" w:hangingChars="200" w:hanging="420"/>
      <w:jc w:val="both"/>
    </w:pPr>
    <w:rPr>
      <w:rFonts w:ascii="宋体"/>
      <w:sz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qFormat/>
    <w:pPr>
      <w:spacing w:beforeLines="0" w:before="0" w:afterLines="0" w:after="0"/>
    </w:pPr>
    <w:rPr>
      <w:rFonts w:ascii="宋体" w:eastAsia="宋体"/>
    </w:rPr>
  </w:style>
  <w:style w:type="paragraph" w:customStyle="1" w:styleId="affffff9">
    <w:name w:val="一级无"/>
    <w:basedOn w:val="a5"/>
    <w:qFormat/>
    <w:pPr>
      <w:spacing w:beforeLines="0" w:before="0" w:afterLines="0" w:after="0"/>
    </w:pPr>
    <w:rPr>
      <w:rFonts w:ascii="宋体" w:eastAsia="宋体"/>
    </w:rPr>
  </w:style>
  <w:style w:type="character" w:customStyle="1" w:styleId="13">
    <w:name w:val="已访问的超链接1"/>
    <w:basedOn w:val="aff3"/>
    <w:qFormat/>
    <w:rPr>
      <w:color w:val="800080"/>
      <w:u w:val="single"/>
    </w:rPr>
  </w:style>
  <w:style w:type="paragraph" w:customStyle="1" w:styleId="af7">
    <w:name w:val="正文表标题"/>
    <w:next w:val="afff1"/>
    <w:qFormat/>
    <w:pPr>
      <w:numPr>
        <w:numId w:val="16"/>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1"/>
    <w:next w:val="afff1"/>
    <w:qFormat/>
    <w:pPr>
      <w:ind w:firstLineChars="0" w:firstLine="0"/>
    </w:pPr>
  </w:style>
  <w:style w:type="paragraph" w:customStyle="1" w:styleId="af4">
    <w:name w:val="正文图标题"/>
    <w:next w:val="afff1"/>
    <w:qFormat/>
    <w:pPr>
      <w:numPr>
        <w:numId w:val="17"/>
      </w:numPr>
      <w:tabs>
        <w:tab w:val="left" w:pos="360"/>
      </w:tabs>
      <w:spacing w:beforeLines="50" w:before="156" w:afterLines="50" w:after="156"/>
      <w:jc w:val="center"/>
    </w:pPr>
    <w:rPr>
      <w:rFonts w:ascii="黑体" w:eastAsia="黑体"/>
      <w:sz w:val="21"/>
    </w:rPr>
  </w:style>
  <w:style w:type="paragraph" w:customStyle="1" w:styleId="affffffb">
    <w:name w:val="终结线"/>
    <w:basedOn w:val="aff2"/>
    <w:qFormat/>
    <w:pPr>
      <w:framePr w:hSpace="181" w:vSpace="181" w:wrap="around" w:vAnchor="text" w:hAnchor="margin" w:xAlign="center" w:y="285"/>
    </w:pPr>
  </w:style>
  <w:style w:type="paragraph" w:customStyle="1" w:styleId="affffffc">
    <w:name w:val="其他发布日期"/>
    <w:basedOn w:val="affff9"/>
    <w:qFormat/>
    <w:pPr>
      <w:framePr w:wrap="around" w:vAnchor="page" w:hAnchor="text" w:x="1419"/>
    </w:pPr>
  </w:style>
  <w:style w:type="paragraph" w:customStyle="1" w:styleId="affffffd">
    <w:name w:val="其他实施日期"/>
    <w:basedOn w:val="affffff1"/>
    <w:qFormat/>
    <w:pPr>
      <w:framePr w:wrap="around"/>
    </w:pPr>
  </w:style>
  <w:style w:type="paragraph" w:customStyle="1" w:styleId="23">
    <w:name w:val="封面标准名称2"/>
    <w:basedOn w:val="affffb"/>
    <w:qFormat/>
    <w:pPr>
      <w:framePr w:wrap="around" w:y="4469"/>
      <w:spacing w:beforeLines="630" w:before="630"/>
    </w:pPr>
  </w:style>
  <w:style w:type="paragraph" w:customStyle="1" w:styleId="24">
    <w:name w:val="封面标准英文名称2"/>
    <w:basedOn w:val="affffc"/>
    <w:qFormat/>
    <w:pPr>
      <w:framePr w:wrap="around" w:y="4469"/>
    </w:pPr>
  </w:style>
  <w:style w:type="paragraph" w:customStyle="1" w:styleId="25">
    <w:name w:val="封面一致性程度标识2"/>
    <w:basedOn w:val="affffd"/>
    <w:qFormat/>
    <w:pPr>
      <w:framePr w:wrap="around" w:y="4469"/>
    </w:pPr>
  </w:style>
  <w:style w:type="paragraph" w:customStyle="1" w:styleId="26">
    <w:name w:val="封面标准文稿类别2"/>
    <w:basedOn w:val="affffe"/>
    <w:qFormat/>
    <w:pPr>
      <w:framePr w:wrap="around" w:y="4469"/>
    </w:pPr>
  </w:style>
  <w:style w:type="paragraph" w:customStyle="1" w:styleId="27">
    <w:name w:val="封面标准文稿编辑信息2"/>
    <w:basedOn w:val="afffff"/>
    <w:qFormat/>
    <w:pPr>
      <w:framePr w:wrap="around" w:y="4469"/>
    </w:pPr>
  </w:style>
  <w:style w:type="paragraph" w:customStyle="1" w:styleId="affffffe">
    <w:name w:val="标准文件_段"/>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qFormat/>
    <w:rPr>
      <w:rFonts w:eastAsia="楷体_GB2312"/>
      <w:b/>
      <w:bCs/>
      <w:kern w:val="44"/>
      <w:sz w:val="36"/>
      <w:szCs w:val="36"/>
    </w:rPr>
  </w:style>
  <w:style w:type="paragraph" w:customStyle="1" w:styleId="TOC10">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d">
    <w:name w:val="批注框文本 字符"/>
    <w:basedOn w:val="aff3"/>
    <w:link w:val="affc"/>
    <w:semiHidden/>
    <w:qFormat/>
    <w:rPr>
      <w:rFonts w:ascii="宋体"/>
      <w:kern w:val="2"/>
      <w:sz w:val="18"/>
      <w:szCs w:val="18"/>
    </w:rPr>
  </w:style>
  <w:style w:type="character" w:customStyle="1" w:styleId="affa">
    <w:name w:val="批注文字 字符"/>
    <w:basedOn w:val="aff3"/>
    <w:link w:val="aff9"/>
    <w:qFormat/>
    <w:rPr>
      <w:kern w:val="2"/>
      <w:sz w:val="21"/>
      <w:szCs w:val="24"/>
    </w:rPr>
  </w:style>
  <w:style w:type="paragraph" w:customStyle="1" w:styleId="afffffff">
    <w:name w:val="文件正文"/>
    <w:basedOn w:val="aff2"/>
    <w:qFormat/>
    <w:pPr>
      <w:spacing w:line="480" w:lineRule="exact"/>
      <w:ind w:firstLine="560"/>
    </w:pPr>
    <w:rPr>
      <w:rFonts w:eastAsia="仿宋_GB2312" w:cs="宋体"/>
      <w:sz w:val="28"/>
      <w:szCs w:val="20"/>
    </w:rPr>
  </w:style>
  <w:style w:type="character" w:customStyle="1" w:styleId="20">
    <w:name w:val="标题 2 字符"/>
    <w:basedOn w:val="aff3"/>
    <w:link w:val="2"/>
    <w:semiHidden/>
    <w:qFormat/>
    <w:rPr>
      <w:rFonts w:asciiTheme="majorHAnsi" w:eastAsiaTheme="majorEastAsia" w:hAnsiTheme="majorHAnsi" w:cstheme="majorBidi"/>
      <w:b/>
      <w:bCs/>
      <w:kern w:val="2"/>
      <w:sz w:val="32"/>
      <w:szCs w:val="32"/>
    </w:rPr>
  </w:style>
  <w:style w:type="character" w:customStyle="1" w:styleId="30">
    <w:name w:val="标题 3 字符"/>
    <w:basedOn w:val="aff3"/>
    <w:link w:val="3"/>
    <w:semiHidden/>
    <w:qFormat/>
    <w:rPr>
      <w:b/>
      <w:bCs/>
      <w:kern w:val="2"/>
      <w:sz w:val="32"/>
      <w:szCs w:val="32"/>
    </w:rPr>
  </w:style>
  <w:style w:type="paragraph" w:customStyle="1" w:styleId="afffffff0">
    <w:name w:val="文件大标题"/>
    <w:next w:val="aff2"/>
    <w:qFormat/>
    <w:pPr>
      <w:spacing w:before="240" w:after="120" w:line="480" w:lineRule="exact"/>
      <w:jc w:val="center"/>
    </w:pPr>
    <w:rPr>
      <w:rFonts w:eastAsia="黑体"/>
      <w:kern w:val="2"/>
      <w:sz w:val="36"/>
      <w:szCs w:val="44"/>
    </w:rPr>
  </w:style>
  <w:style w:type="character" w:customStyle="1" w:styleId="afff3">
    <w:name w:val="批注主题 字符"/>
    <w:basedOn w:val="affa"/>
    <w:link w:val="afff2"/>
    <w:semiHidden/>
    <w:qFormat/>
    <w:rPr>
      <w:b/>
      <w:bCs/>
      <w:kern w:val="2"/>
      <w:sz w:val="21"/>
      <w:szCs w:val="24"/>
    </w:rPr>
  </w:style>
  <w:style w:type="paragraph" w:styleId="afffffff1">
    <w:name w:val="List Paragraph"/>
    <w:basedOn w:val="aff2"/>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package" Target="embeddings/Microsoft_Visio_Drawing.vsdx"/><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0004CC-CF4B-440B-A5DC-73B60DADF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1071</Words>
  <Characters>6109</Characters>
  <Application>Microsoft Office Word</Application>
  <DocSecurity>0</DocSecurity>
  <Lines>50</Lines>
  <Paragraphs>14</Paragraphs>
  <ScaleCrop>false</ScaleCrop>
  <Company>zle</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11</cp:revision>
  <cp:lastPrinted>2023-10-13T11:01:00Z</cp:lastPrinted>
  <dcterms:created xsi:type="dcterms:W3CDTF">2023-10-13T09:47:00Z</dcterms:created>
  <dcterms:modified xsi:type="dcterms:W3CDTF">2025-07-24T01:35:00Z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C5752B032F864CFFB9E26619B3C15C96</vt:lpwstr>
  </property>
</Properties>
</file>