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FB687D" w:rsidRPr="00672BFD" w14:paraId="2EC3102B" w14:textId="77777777" w:rsidTr="00867C10">
        <w:tc>
          <w:tcPr>
            <w:tcW w:w="509" w:type="dxa"/>
          </w:tcPr>
          <w:p w14:paraId="06AA2B29"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49467353" w14:textId="288DC36A" w:rsidR="00672BFD" w:rsidRPr="00672BFD" w:rsidRDefault="00672BFD" w:rsidP="0024666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07368">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FB687D" w:rsidRPr="00672BFD" w14:paraId="6A558E54" w14:textId="77777777" w:rsidTr="00867C10">
        <w:tc>
          <w:tcPr>
            <w:tcW w:w="509" w:type="dxa"/>
          </w:tcPr>
          <w:p w14:paraId="0C50135F"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7703DD8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Pr="00672BFD">
              <w:rPr>
                <w:rFonts w:ascii="黑体" w:eastAsia="黑体" w:hAnsi="黑体"/>
                <w:noProof/>
                <w:sz w:val="21"/>
                <w:szCs w:val="21"/>
              </w:rPr>
              <w:t>点击此处添加CCS号</w:t>
            </w:r>
            <w:r w:rsidRPr="00672BFD">
              <w:rPr>
                <w:rFonts w:ascii="黑体" w:eastAsia="黑体" w:hAnsi="黑体"/>
                <w:sz w:val="21"/>
                <w:szCs w:val="21"/>
              </w:rPr>
              <w:fldChar w:fldCharType="end"/>
            </w:r>
            <w:bookmarkEnd w:id="1"/>
          </w:p>
        </w:tc>
      </w:tr>
    </w:tbl>
    <w:p w14:paraId="6F421F14"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56AF380D" w14:textId="77777777"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087A77" w:rsidRPr="00DA7370">
        <w:rPr>
          <w:lang w:val="fr-FR"/>
        </w:rPr>
        <w:t>XXXXX</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087A77" w:rsidRPr="00DA7370">
        <w:rPr>
          <w:lang w:val="fr-FR"/>
        </w:rPr>
        <w:t>XXXX</w:t>
      </w:r>
      <w:r w:rsidR="00087A77">
        <w:fldChar w:fldCharType="end"/>
      </w:r>
      <w:bookmarkEnd w:id="5"/>
    </w:p>
    <w:p w14:paraId="1B06393F"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6"/>
    </w:p>
    <w:p w14:paraId="58CED64A"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4097D00B" wp14:editId="1B151828">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5C136DB2"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5j2wEAAHYDAAAOAAAAZHJzL2Uyb0RvYy54bWysU82O0zAQviPxDpbvNGnRLhA13UOX5bJA&#10;pV0eYGo7iYXjsWy3SV+CF0DiBieOe+dtWB6DsfvDAjdEDiPbM/N5vu9z5hdjb9hW+aDR1nw6KTlT&#10;VqDUtq35u9urJ885CxGsBINW1XynAr9YPH40H1ylZtihkcozArGhGlzNuxhdVRRBdKqHMEGnLCUb&#10;9D1E2vq2kB4GQu9NMSvL82JAL51HoUKg08t9ki8yftMoEd82TVCRmZrTbDFHn+M6xWIxh6r14Dot&#10;DmPAP0zRg7Z06QnqEiKwjdd/QfVaeAzYxInAvsCm0UJlDsRmWv7B5qYDpzIXEie4k0zh/8GKN9uV&#10;Z1rW/NlTziz05NH9x7vvHz7/+PaJ4v3XL4wyJNPgQkXVS7vyiagY7Y27RvE+MIvLDmyr8ri3O0cQ&#10;09RR/NaSNsHRZevhNUqqgU3ErNnY+D5BkhpszNbsTtaoMTJBh+dTcrskB8UxV0B1bHQ+xFcKe5YW&#10;NTfaJtWggu11iGkQqI4l6djilTYmO28sG2r+4mx2lhsCGi1TMpUF366XxrMtpLeTv8yKMg/LPG6s&#10;zGCdAvnysI6gzX5Nlxt7ECPx3yu5Rrlb+aNIZG6e8vAQ0+t5uM/dv36XxU8A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B6lfmPbAQAAdgMAAA4AAAAAAAAAAAAAAAAALgIAAGRycy9lMm9Eb2MueG1sUEsBAi0AFAAGAAgA&#10;AAAhAFGBN7ffAAAADAEAAA8AAAAAAAAAAAAAAAAANQQAAGRycy9kb3ducmV2LnhtbFBLBQYAAAAA&#10;BAAEAPMAAABB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134C6810" wp14:editId="7540E3C2">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FFBBC3"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AD2EA61" w14:textId="2FAF8D29"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A94727" w:rsidRPr="00A94727">
        <w:rPr>
          <w:rFonts w:hint="eastAsia"/>
        </w:rPr>
        <w:t>高温气冷堆核动力厂主控制室可居留性评价准则</w:t>
      </w:r>
      <w:r>
        <w:fldChar w:fldCharType="end"/>
      </w:r>
      <w:bookmarkEnd w:id="7"/>
    </w:p>
    <w:p w14:paraId="28764A1B" w14:textId="77777777" w:rsidR="00815419" w:rsidRPr="00815419" w:rsidRDefault="00815419" w:rsidP="00324EDD">
      <w:pPr>
        <w:framePr w:w="9639" w:h="6974" w:hRule="exact" w:wrap="around" w:vAnchor="page" w:hAnchor="page" w:x="1419" w:y="6408" w:anchorLock="1"/>
        <w:ind w:left="-1418"/>
      </w:pPr>
    </w:p>
    <w:p w14:paraId="5D05B07E" w14:textId="7326D7AF"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235F8E" w:rsidRPr="00235F8E">
        <w:rPr>
          <w:rFonts w:eastAsia="黑体"/>
          <w:noProof/>
          <w:szCs w:val="28"/>
        </w:rPr>
        <w:t>Human factors data collection for nuclear power plants</w:t>
      </w:r>
      <w:r>
        <w:rPr>
          <w:rFonts w:eastAsia="黑体"/>
          <w:noProof/>
          <w:szCs w:val="28"/>
        </w:rPr>
        <w:fldChar w:fldCharType="end"/>
      </w:r>
      <w:bookmarkEnd w:id="8"/>
    </w:p>
    <w:p w14:paraId="3E50C4F0" w14:textId="77777777" w:rsidR="00815419" w:rsidRPr="00324EDD" w:rsidRDefault="00815419" w:rsidP="00324EDD">
      <w:pPr>
        <w:framePr w:w="9639" w:h="6974" w:hRule="exact" w:wrap="around" w:vAnchor="page" w:hAnchor="page" w:x="1419" w:y="6408" w:anchorLock="1"/>
        <w:spacing w:line="760" w:lineRule="exact"/>
        <w:ind w:left="-1418"/>
      </w:pPr>
    </w:p>
    <w:p w14:paraId="3BA00BFF" w14:textId="77777777"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Pr>
          <w:rFonts w:eastAsia="黑体" w:hint="eastAsia"/>
          <w:noProof/>
          <w:szCs w:val="28"/>
        </w:rPr>
        <w:t>(</w:t>
      </w:r>
      <w:r>
        <w:rPr>
          <w:rFonts w:eastAsia="黑体" w:hint="eastAsia"/>
          <w:noProof/>
          <w:szCs w:val="28"/>
        </w:rPr>
        <w:t>点击此处添加与国际标准一致性程度的标识</w:t>
      </w:r>
      <w:r>
        <w:rPr>
          <w:rFonts w:eastAsia="黑体" w:hint="eastAsia"/>
          <w:noProof/>
          <w:szCs w:val="28"/>
        </w:rPr>
        <w:t>)</w:t>
      </w:r>
      <w:r>
        <w:rPr>
          <w:rFonts w:eastAsia="黑体"/>
          <w:noProof/>
          <w:szCs w:val="28"/>
        </w:rPr>
        <w:fldChar w:fldCharType="end"/>
      </w:r>
      <w:bookmarkEnd w:id="9"/>
    </w:p>
    <w:p w14:paraId="05F90331" w14:textId="6CF3F631"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F70AEB">
        <w:rPr>
          <w:noProof/>
          <w:sz w:val="24"/>
          <w:szCs w:val="28"/>
        </w:rPr>
      </w:r>
      <w:r w:rsidR="00F70AEB">
        <w:rPr>
          <w:noProof/>
          <w:sz w:val="24"/>
          <w:szCs w:val="28"/>
        </w:rPr>
        <w:fldChar w:fldCharType="separate"/>
      </w:r>
      <w:r>
        <w:rPr>
          <w:noProof/>
          <w:sz w:val="24"/>
          <w:szCs w:val="28"/>
        </w:rPr>
        <w:fldChar w:fldCharType="end"/>
      </w:r>
      <w:bookmarkEnd w:id="10"/>
    </w:p>
    <w:p w14:paraId="3CFC2234"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14:paraId="2FB8EF98"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F70AEB">
        <w:rPr>
          <w:b/>
          <w:noProof/>
          <w:sz w:val="21"/>
          <w:szCs w:val="28"/>
        </w:rPr>
      </w:r>
      <w:r w:rsidR="00F70AEB">
        <w:rPr>
          <w:b/>
          <w:noProof/>
          <w:sz w:val="21"/>
          <w:szCs w:val="28"/>
        </w:rPr>
        <w:fldChar w:fldCharType="separate"/>
      </w:r>
      <w:r w:rsidRPr="00A6537A">
        <w:rPr>
          <w:b/>
          <w:noProof/>
          <w:sz w:val="21"/>
          <w:szCs w:val="28"/>
        </w:rPr>
        <w:fldChar w:fldCharType="end"/>
      </w:r>
      <w:bookmarkEnd w:id="12"/>
    </w:p>
    <w:p w14:paraId="64CC77BA"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131A0ECA"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69B6044B" w14:textId="77777777" w:rsidR="00A02BAE" w:rsidRPr="00CD50A1" w:rsidRDefault="00FC17B7"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556E8149" wp14:editId="0B62B872">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54AA89B" wp14:editId="7C332F2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3F344DD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rW2QEAAHQDAAAOAAAAZHJzL2Uyb0RvYy54bWysU82O0zAQviPxDpbvNGmlriBquocuy2WB&#10;Srs8wNR2EgvHY9luk74EL4DEDU4cufM2uzwGY/eHBW6IHEa2Z+bzfN/nLC7H3rCd8kGjrfl0UnKm&#10;rECpbVvzd3fXz55zFiJYCQatqvleBX65fPpkMbhKzbBDI5VnBGJDNbiadzG6qiiC6FQPYYJOWUo2&#10;6HuItPVtIT0MhN6bYlaWF8WAXjqPQoVAp1eHJF9m/KZRIr5tmqAiMzWn2WKOPsdNisVyAVXrwXVa&#10;HMeAf5iiB23p0jPUFURgW6//guq18BiwiROBfYFNo4XKHIjNtPyDzW0HTmUuJE5wZ5nC/4MVb3Zr&#10;z7Ss+ZwzCz1Z9PDx2/2Hzz++f6L48PULmyeRBhcqql3ZtU80xWhv3Q2K94FZXHVgW5WHvds7Qpim&#10;juK3lrQJjq7aDK9RUg1sI2bFxsb3CZK0YGM2Zn82Ro2RCTq8mJLXJfknTrkCqlOj8yG+UtiztKi5&#10;0TZpBhXsbkJMg0B1KknHFq+1Mdl3Y9lQ8xfz2Tw3BDRapmQqC77drIxnO0gvJ3+ZFWUel3ncWpnB&#10;OgXy5XEdQZvDmi439ihG4n9QcoNyv/YnkcjaPOXxGaa383ifu3/9LMufAAAA//8DAFBLAwQUAAYA&#10;CAAAACEAia13bN4AAAAOAQAADwAAAGRycy9kb3ducmV2LnhtbEyPQU/DMAyF70j8h8hIXCaWtFCG&#10;StMJAb1xYYC4eo1pKxqna7Kt8OtJDwhufvbT8/eK9WR7caDRd441JEsFgrh2puNGw+tLdXEDwgdk&#10;g71j0vBFHtbl6UmBuXFHfqbDJjQihrDPUUMbwpBL6euWLPqlG4jj7cONFkOUYyPNiMcYbnuZKnUt&#10;LXYcP7Q40H1L9edmbzX46o121feiXqj3y8ZRunt4ekStz8+mu1sQgabwZ4YZP6JDGZm2bs/Giz7q&#10;q2QVrfOQrVIQsyVRWQZi+7uTZSH/1yh/AAAA//8DAFBLAQItABQABgAIAAAAIQC2gziS/gAAAOEB&#10;AAATAAAAAAAAAAAAAAAAAAAAAABbQ29udGVudF9UeXBlc10ueG1sUEsBAi0AFAAGAAgAAAAhADj9&#10;If/WAAAAlAEAAAsAAAAAAAAAAAAAAAAALwEAAF9yZWxzLy5yZWxzUEsBAi0AFAAGAAgAAAAhAKy4&#10;StbZAQAAdAMAAA4AAAAAAAAAAAAAAAAALgIAAGRycy9lMm9Eb2MueG1sUEsBAi0AFAAGAAgAAAAh&#10;AImtd2zeAAAADgEAAA8AAAAAAAAAAAAAAAAAMwQAAGRycy9kb3ducmV2LnhtbFBLBQYAAAAABAAE&#10;APMAAAA+BQAAAAA=&#10;">
                <w10:wrap anchorx="page" anchory="page"/>
                <w10:anchorlock/>
              </v:line>
            </w:pict>
          </mc:Fallback>
        </mc:AlternateContent>
      </w:r>
      <w:r>
        <w:rPr>
          <w:rFonts w:ascii="宋体" w:hAnsi="宋体" w:hint="eastAsia"/>
          <w:sz w:val="28"/>
          <w:szCs w:val="28"/>
        </w:rPr>
        <w:t>`</w:t>
      </w:r>
    </w:p>
    <w:p w14:paraId="396B37F7" w14:textId="77777777" w:rsidR="001A6229" w:rsidRDefault="001A6229" w:rsidP="001A6229">
      <w:pPr>
        <w:pStyle w:val="affffff2"/>
        <w:spacing w:after="468"/>
      </w:pPr>
      <w:bookmarkStart w:id="19" w:name="BookMark1"/>
      <w:r w:rsidRPr="001A6229">
        <w:rPr>
          <w:rFonts w:hint="eastAsia"/>
          <w:spacing w:val="320"/>
        </w:rPr>
        <w:lastRenderedPageBreak/>
        <w:t>目</w:t>
      </w:r>
      <w:r>
        <w:rPr>
          <w:rFonts w:hint="eastAsia"/>
        </w:rPr>
        <w:t>次</w:t>
      </w:r>
    </w:p>
    <w:p w14:paraId="37CD8984" w14:textId="1DA40ACB" w:rsidR="0081391B" w:rsidRDefault="001A6229">
      <w:pPr>
        <w:pStyle w:val="11"/>
        <w:rPr>
          <w:rFonts w:asciiTheme="minorHAnsi" w:eastAsiaTheme="minorEastAsia" w:hAnsiTheme="minorHAnsi" w:cstheme="minorBidi"/>
          <w:noProof/>
          <w:sz w:val="22"/>
          <w:szCs w:val="24"/>
          <w14:ligatures w14:val="standardContextual"/>
        </w:rPr>
      </w:pPr>
      <w:r w:rsidRPr="001A6229">
        <w:fldChar w:fldCharType="begin"/>
      </w:r>
      <w:r w:rsidRPr="001A6229">
        <w:instrText xml:space="preserve"> TOC \o "1-1" \h \t "标准文件_一级条标题,2,标准文件_二级条标题,3,标准文件_附录一级条标题,2,标准文件_附录二级条标题,3," </w:instrText>
      </w:r>
      <w:r w:rsidRPr="001A6229">
        <w:fldChar w:fldCharType="separate"/>
      </w:r>
      <w:hyperlink w:anchor="_Toc199150122" w:history="1">
        <w:r w:rsidR="0081391B" w:rsidRPr="001D2FF4">
          <w:rPr>
            <w:rStyle w:val="affffffe"/>
            <w:rFonts w:hint="eastAsia"/>
            <w:noProof/>
          </w:rPr>
          <w:t>1 范围</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_Toc199150122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3</w:t>
        </w:r>
        <w:r w:rsidR="0081391B">
          <w:rPr>
            <w:rFonts w:hint="eastAsia"/>
            <w:noProof/>
          </w:rPr>
          <w:fldChar w:fldCharType="end"/>
        </w:r>
      </w:hyperlink>
    </w:p>
    <w:p w14:paraId="6321528F" w14:textId="3BC328A0" w:rsidR="0081391B" w:rsidRDefault="00F70AEB">
      <w:pPr>
        <w:pStyle w:val="11"/>
        <w:rPr>
          <w:rFonts w:asciiTheme="minorHAnsi" w:eastAsiaTheme="minorEastAsia" w:hAnsiTheme="minorHAnsi" w:cstheme="minorBidi"/>
          <w:noProof/>
          <w:sz w:val="22"/>
          <w:szCs w:val="24"/>
          <w14:ligatures w14:val="standardContextual"/>
        </w:rPr>
      </w:pPr>
      <w:hyperlink w:anchor="_Toc199150123" w:history="1">
        <w:r w:rsidR="0081391B" w:rsidRPr="001D2FF4">
          <w:rPr>
            <w:rStyle w:val="affffffe"/>
            <w:rFonts w:hint="eastAsia"/>
            <w:noProof/>
          </w:rPr>
          <w:t>2 规范性引用文件</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_Toc199150123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3</w:t>
        </w:r>
        <w:r w:rsidR="0081391B">
          <w:rPr>
            <w:rFonts w:hint="eastAsia"/>
            <w:noProof/>
          </w:rPr>
          <w:fldChar w:fldCharType="end"/>
        </w:r>
      </w:hyperlink>
    </w:p>
    <w:p w14:paraId="10692E57" w14:textId="44B8A628" w:rsidR="0081391B" w:rsidRDefault="00F70AEB">
      <w:pPr>
        <w:pStyle w:val="11"/>
        <w:rPr>
          <w:rFonts w:asciiTheme="minorHAnsi" w:eastAsiaTheme="minorEastAsia" w:hAnsiTheme="minorHAnsi" w:cstheme="minorBidi"/>
          <w:noProof/>
          <w:sz w:val="22"/>
          <w:szCs w:val="24"/>
          <w14:ligatures w14:val="standardContextual"/>
        </w:rPr>
      </w:pPr>
      <w:hyperlink w:anchor="_Toc199150124" w:history="1">
        <w:r w:rsidR="0081391B" w:rsidRPr="001D2FF4">
          <w:rPr>
            <w:rStyle w:val="affffffe"/>
            <w:rFonts w:hint="eastAsia"/>
            <w:noProof/>
          </w:rPr>
          <w:t>3 术语和定义</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_Toc199150124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3</w:t>
        </w:r>
        <w:r w:rsidR="0081391B">
          <w:rPr>
            <w:rFonts w:hint="eastAsia"/>
            <w:noProof/>
          </w:rPr>
          <w:fldChar w:fldCharType="end"/>
        </w:r>
      </w:hyperlink>
    </w:p>
    <w:p w14:paraId="2E2372C8" w14:textId="5EB13A80" w:rsidR="0081391B" w:rsidRDefault="00F70AEB">
      <w:pPr>
        <w:pStyle w:val="11"/>
        <w:rPr>
          <w:rFonts w:asciiTheme="minorHAnsi" w:eastAsiaTheme="minorEastAsia" w:hAnsiTheme="minorHAnsi" w:cstheme="minorBidi"/>
          <w:noProof/>
          <w:sz w:val="22"/>
          <w:szCs w:val="24"/>
          <w14:ligatures w14:val="standardContextual"/>
        </w:rPr>
      </w:pPr>
      <w:hyperlink w:anchor="_Toc199150125" w:history="1">
        <w:r w:rsidR="0081391B" w:rsidRPr="001D2FF4">
          <w:rPr>
            <w:rStyle w:val="affffffe"/>
            <w:rFonts w:hint="eastAsia"/>
            <w:noProof/>
          </w:rPr>
          <w:t>4 气象数据选取要求</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_Toc199150125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4</w:t>
        </w:r>
        <w:r w:rsidR="0081391B">
          <w:rPr>
            <w:rFonts w:hint="eastAsia"/>
            <w:noProof/>
          </w:rPr>
          <w:fldChar w:fldCharType="end"/>
        </w:r>
      </w:hyperlink>
    </w:p>
    <w:p w14:paraId="20F73ED2" w14:textId="314F25F7" w:rsidR="0081391B" w:rsidRDefault="00F70AEB">
      <w:pPr>
        <w:pStyle w:val="11"/>
        <w:rPr>
          <w:rFonts w:asciiTheme="minorHAnsi" w:eastAsiaTheme="minorEastAsia" w:hAnsiTheme="minorHAnsi" w:cstheme="minorBidi"/>
          <w:noProof/>
          <w:sz w:val="22"/>
          <w:szCs w:val="24"/>
          <w14:ligatures w14:val="standardContextual"/>
        </w:rPr>
      </w:pPr>
      <w:hyperlink w:anchor="_Toc199150126" w:history="1">
        <w:r w:rsidR="0081391B" w:rsidRPr="001D2FF4">
          <w:rPr>
            <w:rStyle w:val="affffffe"/>
            <w:rFonts w:hint="eastAsia"/>
            <w:noProof/>
          </w:rPr>
          <w:t>5 用于主控制室可居留性评价的大气弥散因子分析原则</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_Toc199150126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4</w:t>
        </w:r>
        <w:r w:rsidR="0081391B">
          <w:rPr>
            <w:rFonts w:hint="eastAsia"/>
            <w:noProof/>
          </w:rPr>
          <w:fldChar w:fldCharType="end"/>
        </w:r>
      </w:hyperlink>
    </w:p>
    <w:p w14:paraId="4831C1CD" w14:textId="1FABF4F1" w:rsidR="0081391B" w:rsidRDefault="00F70AEB">
      <w:pPr>
        <w:pStyle w:val="24"/>
        <w:rPr>
          <w:rFonts w:asciiTheme="minorHAnsi" w:eastAsiaTheme="minorEastAsia" w:hAnsiTheme="minorHAnsi" w:cstheme="minorBidi"/>
          <w:noProof/>
          <w:sz w:val="22"/>
          <w:szCs w:val="24"/>
          <w14:ligatures w14:val="standardContextual"/>
        </w:rPr>
      </w:pPr>
      <w:hyperlink w:anchor="_Toc199150127" w:history="1">
        <w:r w:rsidR="0081391B" w:rsidRPr="001D2FF4">
          <w:rPr>
            <w:rStyle w:val="affffffe"/>
            <w:rFonts w:hint="eastAsia"/>
            <w:noProof/>
            <w14:scene3d>
              <w14:camera w14:prst="orthographicFront"/>
              <w14:lightRig w14:rig="threePt" w14:dir="t">
                <w14:rot w14:lat="0" w14:lon="0" w14:rev="0"/>
              </w14:lightRig>
            </w14:scene3d>
          </w:rPr>
          <w:t>5.1</w:t>
        </w:r>
        <w:r w:rsidR="0081391B" w:rsidRPr="001D2FF4">
          <w:rPr>
            <w:rStyle w:val="affffffe"/>
            <w:rFonts w:hint="eastAsia"/>
            <w:noProof/>
          </w:rPr>
          <w:t xml:space="preserve"> 释放点(源)特性确定</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_Toc199150127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4</w:t>
        </w:r>
        <w:r w:rsidR="0081391B">
          <w:rPr>
            <w:rFonts w:hint="eastAsia"/>
            <w:noProof/>
          </w:rPr>
          <w:fldChar w:fldCharType="end"/>
        </w:r>
      </w:hyperlink>
    </w:p>
    <w:p w14:paraId="37E4A233" w14:textId="1C23AF1C" w:rsidR="0081391B" w:rsidRDefault="00F70AEB">
      <w:pPr>
        <w:pStyle w:val="24"/>
        <w:rPr>
          <w:rFonts w:asciiTheme="minorHAnsi" w:eastAsiaTheme="minorEastAsia" w:hAnsiTheme="minorHAnsi" w:cstheme="minorBidi"/>
          <w:noProof/>
          <w:sz w:val="22"/>
          <w:szCs w:val="24"/>
          <w14:ligatures w14:val="standardContextual"/>
        </w:rPr>
      </w:pPr>
      <w:hyperlink w:anchor="_Toc199150128" w:history="1">
        <w:r w:rsidR="0081391B" w:rsidRPr="001D2FF4">
          <w:rPr>
            <w:rStyle w:val="affffffe"/>
            <w:rFonts w:hint="eastAsia"/>
            <w:noProof/>
            <w14:scene3d>
              <w14:camera w14:prst="orthographicFront"/>
              <w14:lightRig w14:rig="threePt" w14:dir="t">
                <w14:rot w14:lat="0" w14:lon="0" w14:rev="0"/>
              </w14:lightRig>
            </w14:scene3d>
          </w:rPr>
          <w:t>5.2</w:t>
        </w:r>
        <w:r w:rsidR="0081391B" w:rsidRPr="001D2FF4">
          <w:rPr>
            <w:rStyle w:val="affffffe"/>
            <w:rFonts w:hint="eastAsia"/>
            <w:noProof/>
          </w:rPr>
          <w:t xml:space="preserve"> 主控制室通风系统进风口</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_Toc199150128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5</w:t>
        </w:r>
        <w:r w:rsidR="0081391B">
          <w:rPr>
            <w:rFonts w:hint="eastAsia"/>
            <w:noProof/>
          </w:rPr>
          <w:fldChar w:fldCharType="end"/>
        </w:r>
      </w:hyperlink>
    </w:p>
    <w:p w14:paraId="592F585D" w14:textId="73A6882A" w:rsidR="0081391B" w:rsidRDefault="00F70AEB">
      <w:pPr>
        <w:pStyle w:val="11"/>
        <w:rPr>
          <w:rFonts w:asciiTheme="minorHAnsi" w:eastAsiaTheme="minorEastAsia" w:hAnsiTheme="minorHAnsi" w:cstheme="minorBidi"/>
          <w:noProof/>
          <w:sz w:val="22"/>
          <w:szCs w:val="24"/>
          <w14:ligatures w14:val="standardContextual"/>
        </w:rPr>
      </w:pPr>
      <w:hyperlink w:anchor="_Toc199150129" w:history="1">
        <w:r w:rsidR="0081391B" w:rsidRPr="001D2FF4">
          <w:rPr>
            <w:rStyle w:val="affffffe"/>
            <w:rFonts w:hint="eastAsia"/>
            <w:noProof/>
          </w:rPr>
          <w:t>6 用于主控制室可居留性评价的大气弥散因子分析参考模型</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_Toc199150129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6</w:t>
        </w:r>
        <w:r w:rsidR="0081391B">
          <w:rPr>
            <w:rFonts w:hint="eastAsia"/>
            <w:noProof/>
          </w:rPr>
          <w:fldChar w:fldCharType="end"/>
        </w:r>
      </w:hyperlink>
    </w:p>
    <w:p w14:paraId="085DDFD3" w14:textId="0374A9C3" w:rsidR="0081391B" w:rsidRDefault="00F70AEB">
      <w:pPr>
        <w:pStyle w:val="11"/>
        <w:rPr>
          <w:rFonts w:asciiTheme="minorHAnsi" w:eastAsiaTheme="minorEastAsia" w:hAnsiTheme="minorHAnsi" w:cstheme="minorBidi"/>
          <w:noProof/>
          <w:sz w:val="22"/>
          <w:szCs w:val="24"/>
          <w14:ligatures w14:val="standardContextual"/>
        </w:rPr>
      </w:pPr>
      <w:hyperlink w:anchor="_Toc199150130" w:history="1">
        <w:r w:rsidR="0081391B" w:rsidRPr="001D2FF4">
          <w:rPr>
            <w:rStyle w:val="affffffe"/>
            <w:rFonts w:hint="eastAsia"/>
            <w:noProof/>
          </w:rPr>
          <w:t>7 典型事故的选取</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_Toc199150130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6</w:t>
        </w:r>
        <w:r w:rsidR="0081391B">
          <w:rPr>
            <w:rFonts w:hint="eastAsia"/>
            <w:noProof/>
          </w:rPr>
          <w:fldChar w:fldCharType="end"/>
        </w:r>
      </w:hyperlink>
    </w:p>
    <w:p w14:paraId="146054AE" w14:textId="1E04A144" w:rsidR="0081391B" w:rsidRDefault="00F70AEB">
      <w:pPr>
        <w:pStyle w:val="11"/>
        <w:rPr>
          <w:rFonts w:asciiTheme="minorHAnsi" w:eastAsiaTheme="minorEastAsia" w:hAnsiTheme="minorHAnsi" w:cstheme="minorBidi"/>
          <w:noProof/>
          <w:sz w:val="22"/>
          <w:szCs w:val="24"/>
          <w14:ligatures w14:val="standardContextual"/>
        </w:rPr>
      </w:pPr>
      <w:hyperlink w:anchor="_Toc199150131" w:history="1">
        <w:r w:rsidR="0081391B" w:rsidRPr="001D2FF4">
          <w:rPr>
            <w:rStyle w:val="affffffe"/>
            <w:rFonts w:hint="eastAsia"/>
            <w:noProof/>
          </w:rPr>
          <w:t>8 空气净化系统的运行状态考虑</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_Toc199150131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6</w:t>
        </w:r>
        <w:r w:rsidR="0081391B">
          <w:rPr>
            <w:rFonts w:hint="eastAsia"/>
            <w:noProof/>
          </w:rPr>
          <w:fldChar w:fldCharType="end"/>
        </w:r>
      </w:hyperlink>
    </w:p>
    <w:p w14:paraId="4E9D656F" w14:textId="78C69950" w:rsidR="0081391B" w:rsidRDefault="00F70AEB">
      <w:pPr>
        <w:pStyle w:val="11"/>
        <w:rPr>
          <w:rFonts w:asciiTheme="minorHAnsi" w:eastAsiaTheme="minorEastAsia" w:hAnsiTheme="minorHAnsi" w:cstheme="minorBidi"/>
          <w:noProof/>
          <w:sz w:val="22"/>
          <w:szCs w:val="24"/>
          <w14:ligatures w14:val="standardContextual"/>
        </w:rPr>
      </w:pPr>
      <w:hyperlink w:anchor="_Toc199150132" w:history="1">
        <w:r w:rsidR="0081391B" w:rsidRPr="001D2FF4">
          <w:rPr>
            <w:rStyle w:val="affffffe"/>
            <w:rFonts w:hint="eastAsia"/>
            <w:noProof/>
          </w:rPr>
          <w:t>9 照射途径</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_Toc199150132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6</w:t>
        </w:r>
        <w:r w:rsidR="0081391B">
          <w:rPr>
            <w:rFonts w:hint="eastAsia"/>
            <w:noProof/>
          </w:rPr>
          <w:fldChar w:fldCharType="end"/>
        </w:r>
      </w:hyperlink>
    </w:p>
    <w:p w14:paraId="07494572" w14:textId="4134BCB1" w:rsidR="0081391B" w:rsidRDefault="00F70AEB">
      <w:pPr>
        <w:pStyle w:val="11"/>
        <w:rPr>
          <w:rFonts w:asciiTheme="minorHAnsi" w:eastAsiaTheme="minorEastAsia" w:hAnsiTheme="minorHAnsi" w:cstheme="minorBidi"/>
          <w:noProof/>
          <w:sz w:val="22"/>
          <w:szCs w:val="24"/>
          <w14:ligatures w14:val="standardContextual"/>
        </w:rPr>
      </w:pPr>
      <w:hyperlink w:anchor="_Toc199150133" w:history="1">
        <w:r w:rsidR="0081391B" w:rsidRPr="001D2FF4">
          <w:rPr>
            <w:rStyle w:val="affffffe"/>
            <w:rFonts w:hint="eastAsia"/>
            <w:noProof/>
          </w:rPr>
          <w:t>10 剂量评估方法</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_Toc199150133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6</w:t>
        </w:r>
        <w:r w:rsidR="0081391B">
          <w:rPr>
            <w:rFonts w:hint="eastAsia"/>
            <w:noProof/>
          </w:rPr>
          <w:fldChar w:fldCharType="end"/>
        </w:r>
      </w:hyperlink>
    </w:p>
    <w:p w14:paraId="20F9CC08" w14:textId="3491C13C" w:rsidR="0081391B" w:rsidRDefault="00F70AEB">
      <w:pPr>
        <w:pStyle w:val="11"/>
        <w:rPr>
          <w:rFonts w:asciiTheme="minorHAnsi" w:eastAsiaTheme="minorEastAsia" w:hAnsiTheme="minorHAnsi" w:cstheme="minorBidi"/>
          <w:noProof/>
          <w:sz w:val="22"/>
          <w:szCs w:val="24"/>
          <w14:ligatures w14:val="standardContextual"/>
        </w:rPr>
      </w:pPr>
      <w:hyperlink w:anchor="_Toc199150134" w:history="1">
        <w:r w:rsidR="0081391B" w:rsidRPr="001D2FF4">
          <w:rPr>
            <w:rStyle w:val="affffffe"/>
            <w:rFonts w:hint="eastAsia"/>
            <w:noProof/>
          </w:rPr>
          <w:t>11 同一厂址存在大型堆的情况</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_Toc199150134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7</w:t>
        </w:r>
        <w:r w:rsidR="0081391B">
          <w:rPr>
            <w:rFonts w:hint="eastAsia"/>
            <w:noProof/>
          </w:rPr>
          <w:fldChar w:fldCharType="end"/>
        </w:r>
      </w:hyperlink>
    </w:p>
    <w:p w14:paraId="2A15096D" w14:textId="1108A199" w:rsidR="0081391B" w:rsidRDefault="00F70AEB">
      <w:pPr>
        <w:pStyle w:val="11"/>
        <w:rPr>
          <w:rFonts w:asciiTheme="minorHAnsi" w:eastAsiaTheme="minorEastAsia" w:hAnsiTheme="minorHAnsi" w:cstheme="minorBidi"/>
          <w:noProof/>
          <w:sz w:val="22"/>
          <w:szCs w:val="24"/>
          <w14:ligatures w14:val="standardContextual"/>
        </w:rPr>
      </w:pPr>
      <w:hyperlink w:anchor="_Toc199150135" w:history="1">
        <w:r w:rsidR="0081391B" w:rsidRPr="001D2FF4">
          <w:rPr>
            <w:rStyle w:val="affffffe"/>
            <w:rFonts w:hint="eastAsia"/>
            <w:noProof/>
          </w:rPr>
          <w:t>附件：A</w:t>
        </w:r>
        <w:r w:rsidR="0081391B">
          <w:rPr>
            <w:rFonts w:hint="eastAsia"/>
            <w:noProof/>
          </w:rPr>
          <w:tab/>
        </w:r>
        <w:r w:rsidR="0081391B">
          <w:rPr>
            <w:rFonts w:hint="eastAsia"/>
            <w:noProof/>
          </w:rPr>
          <w:fldChar w:fldCharType="begin"/>
        </w:r>
        <w:r w:rsidR="0081391B">
          <w:rPr>
            <w:rFonts w:hint="eastAsia"/>
            <w:noProof/>
          </w:rPr>
          <w:instrText xml:space="preserve"> </w:instrText>
        </w:r>
        <w:r w:rsidR="0081391B">
          <w:rPr>
            <w:noProof/>
          </w:rPr>
          <w:instrText>PAGEREF _Toc199150135 \h</w:instrText>
        </w:r>
        <w:r w:rsidR="0081391B">
          <w:rPr>
            <w:rFonts w:hint="eastAsia"/>
            <w:noProof/>
          </w:rPr>
          <w:instrText xml:space="preserve"> </w:instrText>
        </w:r>
        <w:r w:rsidR="0081391B">
          <w:rPr>
            <w:rFonts w:hint="eastAsia"/>
            <w:noProof/>
          </w:rPr>
        </w:r>
        <w:r w:rsidR="0081391B">
          <w:rPr>
            <w:rFonts w:hint="eastAsia"/>
            <w:noProof/>
          </w:rPr>
          <w:fldChar w:fldCharType="separate"/>
        </w:r>
        <w:r w:rsidR="0081391B">
          <w:rPr>
            <w:noProof/>
          </w:rPr>
          <w:t>8</w:t>
        </w:r>
        <w:r w:rsidR="0081391B">
          <w:rPr>
            <w:rFonts w:hint="eastAsia"/>
            <w:noProof/>
          </w:rPr>
          <w:fldChar w:fldCharType="end"/>
        </w:r>
      </w:hyperlink>
    </w:p>
    <w:p w14:paraId="0AF858FF" w14:textId="04176F1F" w:rsidR="00207368" w:rsidRPr="00741D57" w:rsidRDefault="001A6229" w:rsidP="002F2DC3">
      <w:pPr>
        <w:pStyle w:val="affffff2"/>
        <w:spacing w:after="468"/>
      </w:pPr>
      <w:r w:rsidRPr="001A6229">
        <w:fldChar w:fldCharType="end"/>
      </w:r>
      <w:bookmarkStart w:id="20" w:name="BookMark2"/>
      <w:bookmarkEnd w:id="19"/>
    </w:p>
    <w:p w14:paraId="4D080510" w14:textId="77777777" w:rsidR="00207368" w:rsidRDefault="00207368" w:rsidP="00207368">
      <w:pPr>
        <w:pStyle w:val="affffb"/>
        <w:ind w:firstLine="420"/>
      </w:pPr>
    </w:p>
    <w:p w14:paraId="553A6603" w14:textId="77777777" w:rsidR="00207368" w:rsidRDefault="00207368" w:rsidP="00207368">
      <w:pPr>
        <w:pStyle w:val="affffb"/>
        <w:ind w:firstLine="420"/>
      </w:pPr>
    </w:p>
    <w:p w14:paraId="16401EB1" w14:textId="77777777" w:rsidR="00207368" w:rsidRDefault="00207368" w:rsidP="00207368">
      <w:pPr>
        <w:pStyle w:val="affffb"/>
        <w:ind w:firstLine="420"/>
      </w:pPr>
    </w:p>
    <w:p w14:paraId="083E497E" w14:textId="6E74E9F4" w:rsidR="00207368" w:rsidRPr="00207368" w:rsidRDefault="00207368" w:rsidP="00207368">
      <w:pPr>
        <w:pStyle w:val="affffb"/>
        <w:ind w:firstLine="420"/>
        <w:sectPr w:rsidR="00207368" w:rsidRPr="00207368" w:rsidSect="001A6229">
          <w:headerReference w:type="even" r:id="rId14"/>
          <w:headerReference w:type="default" r:id="rId15"/>
          <w:footerReference w:type="default" r:id="rId16"/>
          <w:pgSz w:w="11906" w:h="16838" w:code="9"/>
          <w:pgMar w:top="2410" w:right="1134" w:bottom="1134" w:left="1134" w:header="1418" w:footer="1134" w:gutter="284"/>
          <w:pgNumType w:fmt="upperRoman"/>
          <w:cols w:space="425"/>
          <w:formProt w:val="0"/>
          <w:docGrid w:type="lines" w:linePitch="312"/>
        </w:sectPr>
      </w:pPr>
    </w:p>
    <w:p w14:paraId="06CF91D5" w14:textId="28BA2586" w:rsidR="00894836" w:rsidRPr="00934C12" w:rsidRDefault="00894836" w:rsidP="00093D25">
      <w:pPr>
        <w:spacing w:line="20" w:lineRule="exact"/>
        <w:jc w:val="center"/>
        <w:rPr>
          <w:rFonts w:ascii="黑体" w:eastAsia="黑体" w:hAnsi="黑体"/>
          <w:sz w:val="32"/>
          <w:szCs w:val="32"/>
        </w:rPr>
      </w:pPr>
      <w:bookmarkStart w:id="21" w:name="BookMark4"/>
      <w:bookmarkEnd w:id="20"/>
    </w:p>
    <w:p w14:paraId="641A5106"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D4EC8A522E746B89DBFA70C14FE3B40"/>
        </w:placeholder>
      </w:sdtPr>
      <w:sdtEndPr/>
      <w:sdtContent>
        <w:bookmarkStart w:id="22" w:name="NEW_STAND_NAME" w:displacedByCustomXml="prev"/>
        <w:p w14:paraId="60A3394E" w14:textId="377757D0" w:rsidR="00F26B7E" w:rsidRPr="00F26B7E" w:rsidRDefault="00D2009E" w:rsidP="008B2BB1">
          <w:pPr>
            <w:pStyle w:val="afffffffff8"/>
            <w:spacing w:beforeLines="100" w:before="312" w:afterLines="220" w:after="686"/>
          </w:pPr>
          <w:r w:rsidRPr="00D2009E">
            <w:rPr>
              <w:rFonts w:hint="eastAsia"/>
            </w:rPr>
            <w:t>高温气冷堆核动力厂主控制室可居留性评价准则</w:t>
          </w:r>
        </w:p>
      </w:sdtContent>
    </w:sdt>
    <w:bookmarkEnd w:id="22" w:displacedByCustomXml="prev"/>
    <w:p w14:paraId="70DA5547" w14:textId="77777777" w:rsidR="00E2552F" w:rsidRDefault="00E2552F" w:rsidP="00A77CCB">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199150122"/>
      <w:r>
        <w:rPr>
          <w:rFonts w:hint="eastAsia"/>
        </w:rPr>
        <w:t>范围</w:t>
      </w:r>
      <w:bookmarkEnd w:id="23"/>
      <w:bookmarkEnd w:id="24"/>
      <w:bookmarkEnd w:id="25"/>
      <w:bookmarkEnd w:id="26"/>
      <w:bookmarkEnd w:id="27"/>
      <w:bookmarkEnd w:id="28"/>
      <w:bookmarkEnd w:id="29"/>
      <w:bookmarkEnd w:id="30"/>
      <w:bookmarkEnd w:id="31"/>
    </w:p>
    <w:p w14:paraId="3BF9C8D1" w14:textId="3FEF8F21" w:rsidR="00C374B2" w:rsidRDefault="00C374B2" w:rsidP="00112A4F">
      <w:pPr>
        <w:pStyle w:val="affffb"/>
        <w:ind w:firstLine="420"/>
      </w:pPr>
      <w:bookmarkStart w:id="32" w:name="_Toc17233326"/>
      <w:bookmarkStart w:id="33" w:name="_Toc17233334"/>
      <w:bookmarkStart w:id="34" w:name="_Toc24884212"/>
      <w:bookmarkStart w:id="35" w:name="_Toc24884219"/>
      <w:bookmarkStart w:id="36" w:name="_Toc26648466"/>
      <w:r w:rsidRPr="00C374B2">
        <w:rPr>
          <w:rFonts w:hint="eastAsia"/>
        </w:rPr>
        <w:t>本标准规定了</w:t>
      </w:r>
      <w:r>
        <w:rPr>
          <w:rFonts w:hint="eastAsia"/>
        </w:rPr>
        <w:t>了</w:t>
      </w:r>
      <w:r w:rsidRPr="00D2009E">
        <w:rPr>
          <w:rFonts w:hint="eastAsia"/>
        </w:rPr>
        <w:t>高温气冷堆核动力厂</w:t>
      </w:r>
      <w:r w:rsidRPr="00C374B2">
        <w:rPr>
          <w:rFonts w:hint="eastAsia"/>
        </w:rPr>
        <w:t>主控制室可居留性设计的基本要求。本标准适用于</w:t>
      </w:r>
      <w:r>
        <w:rPr>
          <w:rFonts w:hint="eastAsia"/>
        </w:rPr>
        <w:t>了</w:t>
      </w:r>
      <w:r w:rsidRPr="00D2009E">
        <w:rPr>
          <w:rFonts w:hint="eastAsia"/>
        </w:rPr>
        <w:t>高温气冷堆核动力厂</w:t>
      </w:r>
      <w:r w:rsidRPr="00C374B2">
        <w:rPr>
          <w:rFonts w:hint="eastAsia"/>
        </w:rPr>
        <w:t>主控制室的可居留性的设计,其他核设施的主控制室可居留性设计也可参照执行。</w:t>
      </w:r>
    </w:p>
    <w:p w14:paraId="288B6607" w14:textId="77777777" w:rsidR="00E2552F" w:rsidRDefault="00E2552F" w:rsidP="00A77CCB">
      <w:pPr>
        <w:pStyle w:val="affc"/>
        <w:spacing w:before="312" w:after="312"/>
      </w:pPr>
      <w:bookmarkStart w:id="37" w:name="_Toc26718931"/>
      <w:bookmarkStart w:id="38" w:name="_Toc26986531"/>
      <w:bookmarkStart w:id="39" w:name="_Toc26986772"/>
      <w:bookmarkStart w:id="40" w:name="_Toc199150123"/>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403C473C278145F285ED199FB571937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6D5EB2C"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10D1106" w14:textId="4F3EF394" w:rsidR="003A6DAF" w:rsidRDefault="00C374B2" w:rsidP="002C4171">
      <w:pPr>
        <w:tabs>
          <w:tab w:val="left" w:pos="1070"/>
        </w:tabs>
        <w:ind w:leftChars="200" w:left="420"/>
        <w:jc w:val="left"/>
        <w:rPr>
          <w:spacing w:val="4"/>
          <w:kern w:val="0"/>
          <w:szCs w:val="24"/>
        </w:rPr>
      </w:pPr>
      <w:bookmarkStart w:id="41" w:name="OLE_LINK12"/>
      <w:r w:rsidRPr="00C374B2">
        <w:rPr>
          <w:spacing w:val="4"/>
          <w:kern w:val="0"/>
          <w:szCs w:val="24"/>
        </w:rPr>
        <w:t>NB/T 20395-2017</w:t>
      </w:r>
      <w:r>
        <w:rPr>
          <w:rFonts w:hint="eastAsia"/>
          <w:spacing w:val="4"/>
          <w:kern w:val="0"/>
          <w:szCs w:val="24"/>
        </w:rPr>
        <w:t xml:space="preserve">  </w:t>
      </w:r>
      <w:r w:rsidR="00483D97">
        <w:rPr>
          <w:rFonts w:hint="eastAsia"/>
          <w:spacing w:val="4"/>
          <w:kern w:val="0"/>
          <w:szCs w:val="24"/>
        </w:rPr>
        <w:t>主控制室</w:t>
      </w:r>
      <w:r w:rsidRPr="00C374B2">
        <w:rPr>
          <w:rFonts w:hint="eastAsia"/>
          <w:spacing w:val="4"/>
          <w:kern w:val="0"/>
          <w:szCs w:val="24"/>
        </w:rPr>
        <w:t>可居留性设计要求</w:t>
      </w:r>
    </w:p>
    <w:p w14:paraId="724F1078" w14:textId="2C2DDA47" w:rsidR="00C374B2" w:rsidRDefault="00C374B2" w:rsidP="002C4171">
      <w:pPr>
        <w:tabs>
          <w:tab w:val="left" w:pos="1070"/>
        </w:tabs>
        <w:ind w:leftChars="200" w:left="420"/>
        <w:jc w:val="left"/>
        <w:rPr>
          <w:spacing w:val="4"/>
          <w:kern w:val="0"/>
          <w:szCs w:val="24"/>
        </w:rPr>
      </w:pPr>
      <w:bookmarkStart w:id="42" w:name="OLE_LINK11"/>
      <w:bookmarkEnd w:id="41"/>
      <w:r w:rsidRPr="00C374B2">
        <w:rPr>
          <w:rFonts w:hint="eastAsia"/>
          <w:spacing w:val="4"/>
          <w:kern w:val="0"/>
          <w:szCs w:val="24"/>
        </w:rPr>
        <w:t>NB</w:t>
      </w:r>
      <w:r w:rsidR="00095216">
        <w:rPr>
          <w:rFonts w:hint="eastAsia"/>
          <w:spacing w:val="4"/>
          <w:kern w:val="0"/>
          <w:szCs w:val="24"/>
        </w:rPr>
        <w:t>/</w:t>
      </w:r>
      <w:r w:rsidRPr="00C374B2">
        <w:rPr>
          <w:rFonts w:hint="eastAsia"/>
          <w:spacing w:val="4"/>
          <w:kern w:val="0"/>
          <w:szCs w:val="24"/>
        </w:rPr>
        <w:t>T 20531-2018</w:t>
      </w:r>
      <w:r>
        <w:rPr>
          <w:rFonts w:hint="eastAsia"/>
          <w:spacing w:val="4"/>
          <w:kern w:val="0"/>
          <w:szCs w:val="24"/>
        </w:rPr>
        <w:t xml:space="preserve">  </w:t>
      </w:r>
      <w:r w:rsidRPr="00C374B2">
        <w:rPr>
          <w:rFonts w:hint="eastAsia"/>
          <w:spacing w:val="4"/>
          <w:kern w:val="0"/>
          <w:szCs w:val="24"/>
        </w:rPr>
        <w:t>核电厂</w:t>
      </w:r>
      <w:r w:rsidR="00483D97">
        <w:rPr>
          <w:rFonts w:hint="eastAsia"/>
          <w:spacing w:val="4"/>
          <w:kern w:val="0"/>
          <w:szCs w:val="24"/>
        </w:rPr>
        <w:t>主控制室</w:t>
      </w:r>
      <w:r w:rsidRPr="00C374B2">
        <w:rPr>
          <w:rFonts w:hint="eastAsia"/>
          <w:spacing w:val="4"/>
          <w:kern w:val="0"/>
          <w:szCs w:val="24"/>
        </w:rPr>
        <w:t>可居留性评价用大气弥散因子分析方法</w:t>
      </w:r>
    </w:p>
    <w:bookmarkEnd w:id="42"/>
    <w:p w14:paraId="1E1710EB" w14:textId="037AFCEE" w:rsidR="00C374B2" w:rsidRPr="002C4171" w:rsidRDefault="00C374B2" w:rsidP="002C4171">
      <w:pPr>
        <w:tabs>
          <w:tab w:val="left" w:pos="1070"/>
        </w:tabs>
        <w:ind w:leftChars="200" w:left="420"/>
        <w:jc w:val="left"/>
        <w:rPr>
          <w:spacing w:val="4"/>
          <w:kern w:val="0"/>
          <w:szCs w:val="24"/>
        </w:rPr>
      </w:pPr>
      <w:r w:rsidRPr="00C374B2">
        <w:rPr>
          <w:rFonts w:hint="eastAsia"/>
          <w:spacing w:val="4"/>
          <w:kern w:val="0"/>
          <w:szCs w:val="24"/>
        </w:rPr>
        <w:t>HA 002/01-2010</w:t>
      </w:r>
      <w:r>
        <w:rPr>
          <w:rFonts w:hint="eastAsia"/>
          <w:spacing w:val="4"/>
          <w:kern w:val="0"/>
          <w:szCs w:val="24"/>
        </w:rPr>
        <w:t xml:space="preserve">   </w:t>
      </w:r>
      <w:r w:rsidRPr="00C374B2">
        <w:rPr>
          <w:rFonts w:hint="eastAsia"/>
          <w:spacing w:val="4"/>
          <w:kern w:val="0"/>
          <w:szCs w:val="24"/>
        </w:rPr>
        <w:t>核动力厂营运单位的应急准备和应急响应</w:t>
      </w:r>
    </w:p>
    <w:p w14:paraId="6FF95F90" w14:textId="5529C794" w:rsidR="00B265BC" w:rsidRPr="00E030F9" w:rsidRDefault="00FD59EB" w:rsidP="00FD59EB">
      <w:pPr>
        <w:pStyle w:val="affc"/>
        <w:spacing w:before="312" w:after="312"/>
      </w:pPr>
      <w:bookmarkStart w:id="43" w:name="_Toc199150124"/>
      <w:r>
        <w:rPr>
          <w:rFonts w:hint="eastAsia"/>
          <w:szCs w:val="21"/>
        </w:rPr>
        <w:t>术语和定义</w:t>
      </w:r>
      <w:bookmarkEnd w:id="43"/>
    </w:p>
    <w:bookmarkStart w:id="44" w:name="_Toc26986532" w:displacedByCustomXml="next"/>
    <w:bookmarkEnd w:id="44" w:displacedByCustomXml="next"/>
    <w:sdt>
      <w:sdtPr>
        <w:id w:val="-1909835108"/>
        <w:placeholder>
          <w:docPart w:val="403C473C278145F285ED199FB571937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7434C85" w14:textId="0200A6AF" w:rsidR="002A1260" w:rsidRDefault="00D224B8" w:rsidP="00207368">
          <w:pPr>
            <w:pStyle w:val="affffb"/>
            <w:ind w:firstLine="420"/>
          </w:pPr>
          <w:r>
            <w:t>下列术语和定义适用于本文件。</w:t>
          </w:r>
        </w:p>
      </w:sdtContent>
    </w:sdt>
    <w:p w14:paraId="5570CB40" w14:textId="77777777" w:rsidR="00C374B2" w:rsidRDefault="00C374B2" w:rsidP="00C374B2">
      <w:pPr>
        <w:pStyle w:val="afffffffffff5"/>
        <w:ind w:left="420" w:hangingChars="200" w:hanging="420"/>
        <w:rPr>
          <w:rFonts w:ascii="黑体" w:eastAsia="黑体" w:hAnsi="黑体"/>
          <w:color w:val="FF0000"/>
        </w:rPr>
      </w:pPr>
    </w:p>
    <w:p w14:paraId="02DD324B" w14:textId="77777777" w:rsidR="00261AAE" w:rsidRPr="00261AAE" w:rsidRDefault="00261AAE" w:rsidP="00261AAE">
      <w:pPr>
        <w:pStyle w:val="afffffffffff5"/>
        <w:numPr>
          <w:ilvl w:val="0"/>
          <w:numId w:val="0"/>
        </w:numPr>
        <w:ind w:left="420"/>
        <w:rPr>
          <w:rFonts w:ascii="黑体" w:eastAsia="黑体" w:hAnsi="黑体"/>
        </w:rPr>
      </w:pPr>
      <w:r w:rsidRPr="00261AAE">
        <w:rPr>
          <w:rFonts w:ascii="黑体" w:eastAsia="黑体" w:hAnsi="黑体" w:hint="eastAsia"/>
        </w:rPr>
        <w:t xml:space="preserve">主控制室main </w:t>
      </w:r>
      <w:proofErr w:type="spellStart"/>
      <w:r w:rsidRPr="00261AAE">
        <w:rPr>
          <w:rFonts w:ascii="黑体" w:eastAsia="黑体" w:hAnsi="黑体" w:hint="eastAsia"/>
        </w:rPr>
        <w:t>controlroom</w:t>
      </w:r>
      <w:proofErr w:type="spellEnd"/>
      <w:r w:rsidRPr="00261AAE">
        <w:rPr>
          <w:rFonts w:ascii="黑体" w:eastAsia="黑体" w:hAnsi="黑体" w:hint="eastAsia"/>
        </w:rPr>
        <w:t>(MCR)</w:t>
      </w:r>
    </w:p>
    <w:p w14:paraId="39C8C01B" w14:textId="01E32A5F" w:rsidR="00261AAE" w:rsidRPr="00261AAE" w:rsidRDefault="00261AAE" w:rsidP="00261AAE">
      <w:pPr>
        <w:pStyle w:val="affffb"/>
        <w:ind w:firstLine="420"/>
      </w:pPr>
      <w:r w:rsidRPr="00261AAE">
        <w:rPr>
          <w:rFonts w:hint="eastAsia"/>
        </w:rPr>
        <w:t>主控制室是对核电厂进行监测、控制和操纵等的场所。</w:t>
      </w:r>
    </w:p>
    <w:p w14:paraId="618211E7" w14:textId="77777777" w:rsidR="00C374B2" w:rsidRPr="00C374B2" w:rsidRDefault="00C374B2" w:rsidP="00C374B2">
      <w:pPr>
        <w:pStyle w:val="afffffffffff5"/>
        <w:numPr>
          <w:ilvl w:val="0"/>
          <w:numId w:val="0"/>
        </w:numPr>
        <w:ind w:left="420"/>
        <w:rPr>
          <w:rFonts w:ascii="黑体" w:eastAsia="黑体" w:hAnsi="黑体"/>
        </w:rPr>
      </w:pPr>
      <w:r w:rsidRPr="00C374B2">
        <w:rPr>
          <w:rFonts w:ascii="黑体" w:eastAsia="黑体" w:hAnsi="黑体" w:hint="eastAsia"/>
        </w:rPr>
        <w:t>大气弥散因子 atmospheric dispersion factor</w:t>
      </w:r>
    </w:p>
    <w:p w14:paraId="2E5B0F12" w14:textId="2095C604" w:rsidR="00C374B2" w:rsidRPr="003C7434" w:rsidRDefault="00C374B2" w:rsidP="00C374B2">
      <w:pPr>
        <w:pStyle w:val="affffb"/>
        <w:ind w:firstLine="420"/>
        <w:rPr>
          <w:szCs w:val="21"/>
        </w:rPr>
      </w:pPr>
      <w:r w:rsidRPr="00C374B2">
        <w:rPr>
          <w:rFonts w:hint="eastAsia"/>
          <w:szCs w:val="21"/>
        </w:rPr>
        <w:t>释放每单位活度放射性核素在下风向某处空气中造成的该放射性核素浓度，通常用</w:t>
      </w:r>
      <w:r>
        <w:rPr>
          <w:rFonts w:hint="eastAsia"/>
          <w:szCs w:val="21"/>
        </w:rPr>
        <w:t>x</w:t>
      </w:r>
      <w:r w:rsidRPr="00C374B2">
        <w:rPr>
          <w:rFonts w:hint="eastAsia"/>
          <w:szCs w:val="21"/>
        </w:rPr>
        <w:t>/</w:t>
      </w:r>
      <w:r>
        <w:rPr>
          <w:rFonts w:hint="eastAsia"/>
          <w:szCs w:val="21"/>
        </w:rPr>
        <w:t>Q</w:t>
      </w:r>
      <w:r w:rsidRPr="00C374B2">
        <w:rPr>
          <w:rFonts w:hint="eastAsia"/>
          <w:szCs w:val="21"/>
        </w:rPr>
        <w:t>表示。</w:t>
      </w:r>
    </w:p>
    <w:p w14:paraId="27B2775D" w14:textId="7B83D819" w:rsidR="008949FE" w:rsidRPr="001561D5" w:rsidRDefault="008949FE" w:rsidP="001561D5">
      <w:pPr>
        <w:pStyle w:val="afffffffffff5"/>
        <w:ind w:left="420" w:hangingChars="200" w:hanging="420"/>
        <w:rPr>
          <w:rFonts w:ascii="黑体" w:eastAsia="黑体" w:hAnsi="黑体"/>
          <w:color w:val="FF0000"/>
        </w:rPr>
      </w:pPr>
    </w:p>
    <w:p w14:paraId="6B18E10C" w14:textId="77777777" w:rsidR="00C374B2" w:rsidRPr="00C374B2" w:rsidRDefault="00C374B2" w:rsidP="00C374B2">
      <w:pPr>
        <w:pStyle w:val="afffffffffff5"/>
        <w:numPr>
          <w:ilvl w:val="0"/>
          <w:numId w:val="0"/>
        </w:numPr>
        <w:ind w:left="420"/>
        <w:rPr>
          <w:rFonts w:ascii="黑体" w:eastAsia="黑体" w:hAnsi="黑体"/>
        </w:rPr>
      </w:pPr>
      <w:r w:rsidRPr="00C374B2">
        <w:rPr>
          <w:rFonts w:ascii="黑体" w:eastAsia="黑体" w:hAnsi="黑体" w:hint="eastAsia"/>
        </w:rPr>
        <w:t>点源 point source</w:t>
      </w:r>
    </w:p>
    <w:p w14:paraId="66B65573" w14:textId="347E8212" w:rsidR="00C374B2" w:rsidRDefault="00C374B2" w:rsidP="00C374B2">
      <w:pPr>
        <w:pStyle w:val="affffb"/>
        <w:ind w:firstLine="420"/>
      </w:pPr>
      <w:r>
        <w:rPr>
          <w:rFonts w:hint="eastAsia"/>
        </w:rPr>
        <w:t>通过某种装置(如烟肉、集气简等)集中排放的固定点状源。</w:t>
      </w:r>
    </w:p>
    <w:p w14:paraId="1F442F32" w14:textId="30CAEF66" w:rsidR="00347874" w:rsidRDefault="00347874" w:rsidP="001561D5">
      <w:pPr>
        <w:pStyle w:val="afffffffffff5"/>
        <w:ind w:left="420" w:hangingChars="200" w:hanging="420"/>
      </w:pPr>
    </w:p>
    <w:p w14:paraId="4A4A5037" w14:textId="2589852D" w:rsidR="00C374B2" w:rsidRPr="00C374B2" w:rsidRDefault="003940AC" w:rsidP="00C374B2">
      <w:pPr>
        <w:pStyle w:val="afffffffffff5"/>
        <w:numPr>
          <w:ilvl w:val="0"/>
          <w:numId w:val="0"/>
        </w:numPr>
        <w:ind w:left="420"/>
        <w:rPr>
          <w:rFonts w:ascii="黑体" w:eastAsia="黑体" w:hAnsi="黑体"/>
        </w:rPr>
      </w:pPr>
      <w:r>
        <w:rPr>
          <w:rFonts w:ascii="黑体" w:eastAsia="黑体" w:hAnsi="黑体" w:hint="eastAsia"/>
        </w:rPr>
        <w:t>弥散</w:t>
      </w:r>
      <w:r w:rsidR="00C374B2" w:rsidRPr="00C374B2">
        <w:rPr>
          <w:rFonts w:ascii="黑体" w:eastAsia="黑体" w:hAnsi="黑体" w:hint="eastAsia"/>
        </w:rPr>
        <w:t>源</w:t>
      </w:r>
      <w:r w:rsidR="00261AAE">
        <w:rPr>
          <w:rFonts w:ascii="黑体" w:eastAsia="黑体" w:hAnsi="黑体" w:hint="eastAsia"/>
        </w:rPr>
        <w:t xml:space="preserve"> </w:t>
      </w:r>
      <w:r w:rsidR="00C374B2" w:rsidRPr="00C374B2">
        <w:rPr>
          <w:rFonts w:ascii="黑体" w:eastAsia="黑体" w:hAnsi="黑体" w:hint="eastAsia"/>
        </w:rPr>
        <w:t>diffuse source</w:t>
      </w:r>
    </w:p>
    <w:p w14:paraId="3C8CC1BB" w14:textId="71839167" w:rsidR="00C374B2" w:rsidRDefault="000A534E" w:rsidP="008949FE">
      <w:pPr>
        <w:pStyle w:val="affffb"/>
        <w:ind w:firstLine="420"/>
      </w:pPr>
      <w:r>
        <w:rPr>
          <w:rFonts w:hint="eastAsia"/>
        </w:rPr>
        <w:t>通过反应堆或安全壳等</w:t>
      </w:r>
      <w:r w:rsidR="00C374B2" w:rsidRPr="00C374B2">
        <w:rPr>
          <w:rFonts w:hint="eastAsia"/>
        </w:rPr>
        <w:t>外表面</w:t>
      </w:r>
      <w:r>
        <w:rPr>
          <w:rFonts w:hint="eastAsia"/>
        </w:rPr>
        <w:t>上的多个位置向环境</w:t>
      </w:r>
      <w:r w:rsidR="00C374B2" w:rsidRPr="00C374B2">
        <w:rPr>
          <w:rFonts w:hint="eastAsia"/>
        </w:rPr>
        <w:t>排放或泄漏的源，</w:t>
      </w:r>
    </w:p>
    <w:p w14:paraId="4A8A3ECF" w14:textId="6E1E674E" w:rsidR="00915626" w:rsidRPr="001561D5" w:rsidRDefault="00915626" w:rsidP="001561D5">
      <w:pPr>
        <w:pStyle w:val="afffffffffff5"/>
        <w:ind w:left="420" w:hangingChars="200" w:hanging="420"/>
        <w:rPr>
          <w:rFonts w:ascii="黑体" w:eastAsia="黑体" w:hAnsi="黑体"/>
          <w:color w:val="FF0000"/>
        </w:rPr>
      </w:pPr>
    </w:p>
    <w:p w14:paraId="3179D53E" w14:textId="77777777" w:rsidR="00261AAE" w:rsidRPr="00261AAE" w:rsidRDefault="00261AAE" w:rsidP="00261AAE">
      <w:pPr>
        <w:pStyle w:val="afffffffffff5"/>
        <w:numPr>
          <w:ilvl w:val="0"/>
          <w:numId w:val="0"/>
        </w:numPr>
        <w:ind w:left="420"/>
        <w:rPr>
          <w:rFonts w:ascii="黑体" w:eastAsia="黑体" w:hAnsi="黑体"/>
        </w:rPr>
      </w:pPr>
      <w:r w:rsidRPr="00261AAE">
        <w:rPr>
          <w:rFonts w:ascii="黑体" w:eastAsia="黑体" w:hAnsi="黑体" w:hint="eastAsia"/>
        </w:rPr>
        <w:t>烟羽抬升:plume rise</w:t>
      </w:r>
    </w:p>
    <w:p w14:paraId="15B538F2" w14:textId="29F6691E" w:rsidR="00261AAE" w:rsidRDefault="00261AAE" w:rsidP="00261AAE">
      <w:pPr>
        <w:pStyle w:val="affffb"/>
        <w:ind w:firstLine="420"/>
      </w:pPr>
      <w:r>
        <w:rPr>
          <w:rFonts w:hint="eastAsia"/>
        </w:rPr>
        <w:t>释放烟流的初始热力和动力作用造成其继续上升的过程，</w:t>
      </w:r>
    </w:p>
    <w:p w14:paraId="506E0092" w14:textId="1EFA1D67" w:rsidR="00462167" w:rsidRPr="001561D5" w:rsidRDefault="00462167" w:rsidP="001561D5">
      <w:pPr>
        <w:pStyle w:val="afffffffffff5"/>
        <w:ind w:left="420" w:hangingChars="200" w:hanging="420"/>
        <w:rPr>
          <w:rFonts w:ascii="黑体" w:eastAsia="黑体" w:hAnsi="黑体"/>
          <w:color w:val="FF0000"/>
        </w:rPr>
      </w:pPr>
    </w:p>
    <w:p w14:paraId="5E548493" w14:textId="1F3C0AE1" w:rsidR="00261AAE" w:rsidRPr="00261AAE" w:rsidRDefault="00483D97" w:rsidP="00261AAE">
      <w:pPr>
        <w:pStyle w:val="afffffffffff5"/>
        <w:numPr>
          <w:ilvl w:val="0"/>
          <w:numId w:val="0"/>
        </w:numPr>
        <w:ind w:left="420"/>
        <w:rPr>
          <w:rFonts w:ascii="黑体" w:eastAsia="黑体" w:hAnsi="黑体"/>
        </w:rPr>
      </w:pPr>
      <w:r>
        <w:rPr>
          <w:rFonts w:ascii="黑体" w:eastAsia="黑体" w:hAnsi="黑体" w:hint="eastAsia"/>
        </w:rPr>
        <w:t>主控制室</w:t>
      </w:r>
      <w:r w:rsidR="00261AAE" w:rsidRPr="00261AAE">
        <w:rPr>
          <w:rFonts w:ascii="黑体" w:eastAsia="黑体" w:hAnsi="黑体" w:hint="eastAsia"/>
        </w:rPr>
        <w:t>可居留区域</w:t>
      </w:r>
      <w:r w:rsidR="00261AAE">
        <w:rPr>
          <w:rFonts w:ascii="黑体" w:eastAsia="黑体" w:hAnsi="黑体" w:hint="eastAsia"/>
        </w:rPr>
        <w:t xml:space="preserve"> </w:t>
      </w:r>
      <w:r w:rsidR="00261AAE" w:rsidRPr="00261AAE">
        <w:rPr>
          <w:rFonts w:ascii="黑体" w:eastAsia="黑体" w:hAnsi="黑体" w:hint="eastAsia"/>
        </w:rPr>
        <w:t xml:space="preserve">main </w:t>
      </w:r>
      <w:proofErr w:type="spellStart"/>
      <w:r w:rsidR="00261AAE" w:rsidRPr="00261AAE">
        <w:rPr>
          <w:rFonts w:ascii="黑体" w:eastAsia="黑体" w:hAnsi="黑体" w:hint="eastAsia"/>
        </w:rPr>
        <w:t>controlroom</w:t>
      </w:r>
      <w:proofErr w:type="spellEnd"/>
      <w:r w:rsidR="00261AAE" w:rsidRPr="00261AAE">
        <w:rPr>
          <w:rFonts w:ascii="黑体" w:eastAsia="黑体" w:hAnsi="黑体" w:hint="eastAsia"/>
        </w:rPr>
        <w:t xml:space="preserve"> envelope(CRE)</w:t>
      </w:r>
    </w:p>
    <w:p w14:paraId="45FE9039" w14:textId="181D374B" w:rsidR="00261AAE" w:rsidRDefault="00483D97" w:rsidP="008949FE">
      <w:pPr>
        <w:pStyle w:val="affffb"/>
        <w:ind w:firstLine="420"/>
      </w:pPr>
      <w:r>
        <w:rPr>
          <w:rFonts w:hint="eastAsia"/>
        </w:rPr>
        <w:t>主控制室</w:t>
      </w:r>
      <w:r w:rsidR="00261AAE" w:rsidRPr="00261AAE">
        <w:rPr>
          <w:rFonts w:hint="eastAsia"/>
        </w:rPr>
        <w:t>的外围封闭边界包络的区域，核应急情况将</w:t>
      </w:r>
      <w:r>
        <w:rPr>
          <w:rFonts w:hint="eastAsia"/>
        </w:rPr>
        <w:t>主控制室</w:t>
      </w:r>
      <w:r w:rsidR="00261AAE" w:rsidRPr="00261AAE">
        <w:rPr>
          <w:rFonts w:hint="eastAsia"/>
        </w:rPr>
        <w:t>可居留区与其他区域或房间隔离开，包括</w:t>
      </w:r>
      <w:r>
        <w:rPr>
          <w:rFonts w:hint="eastAsia"/>
        </w:rPr>
        <w:t>主控制室</w:t>
      </w:r>
      <w:r w:rsidR="00261AAE" w:rsidRPr="00261AAE">
        <w:rPr>
          <w:rFonts w:hint="eastAsia"/>
        </w:rPr>
        <w:t>、通风系统支持的其他非关键区域。</w:t>
      </w:r>
    </w:p>
    <w:p w14:paraId="7C187F05" w14:textId="77777777" w:rsidR="00261AAE" w:rsidRPr="00261AAE" w:rsidRDefault="00261AAE" w:rsidP="00261AAE">
      <w:pPr>
        <w:pStyle w:val="afffffffffff5"/>
        <w:numPr>
          <w:ilvl w:val="0"/>
          <w:numId w:val="0"/>
        </w:numPr>
        <w:ind w:left="420"/>
        <w:rPr>
          <w:rFonts w:ascii="黑体" w:eastAsia="黑体" w:hAnsi="黑体"/>
        </w:rPr>
      </w:pPr>
      <w:r w:rsidRPr="00261AAE">
        <w:rPr>
          <w:rFonts w:ascii="黑体" w:eastAsia="黑体" w:hAnsi="黑体" w:hint="eastAsia"/>
        </w:rPr>
        <w:t xml:space="preserve">主控制室的可居留性 main </w:t>
      </w:r>
      <w:proofErr w:type="spellStart"/>
      <w:r w:rsidRPr="00261AAE">
        <w:rPr>
          <w:rFonts w:ascii="黑体" w:eastAsia="黑体" w:hAnsi="黑体" w:hint="eastAsia"/>
        </w:rPr>
        <w:t>controlroom</w:t>
      </w:r>
      <w:proofErr w:type="spellEnd"/>
      <w:r w:rsidRPr="00261AAE">
        <w:rPr>
          <w:rFonts w:ascii="黑体" w:eastAsia="黑体" w:hAnsi="黑体" w:hint="eastAsia"/>
        </w:rPr>
        <w:t xml:space="preserve"> habitability(MCRH)</w:t>
      </w:r>
    </w:p>
    <w:p w14:paraId="26863E46" w14:textId="52CDDB13" w:rsidR="00261AAE" w:rsidRDefault="00261AAE" w:rsidP="00261AAE">
      <w:pPr>
        <w:pStyle w:val="affffb"/>
        <w:ind w:firstLine="420"/>
      </w:pPr>
      <w:r>
        <w:rPr>
          <w:rFonts w:hint="eastAsia"/>
        </w:rPr>
        <w:lastRenderedPageBreak/>
        <w:t>指为CREZ工作人员配备或提供一个可以居留的生活及工作环境,保持核反应堆和相关系统正常运行期间的受控、异常情况期间的安全停堆;在核电厂(除主控制室外)发生如火灾、有害气体爆炸或泄漏以及放射性污染事故时，为防止事故工况下形成的过量照射、有害气体险情的继发性危害，必须保障主控制室环境仍能适宜于人员的工作和生活，以保持公众和电厂工作人员的健康和安全。</w:t>
      </w:r>
    </w:p>
    <w:p w14:paraId="1385C346" w14:textId="5C852AD8" w:rsidR="00462167" w:rsidRPr="001561D5" w:rsidRDefault="00462167" w:rsidP="001561D5">
      <w:pPr>
        <w:pStyle w:val="afffffffffff5"/>
        <w:ind w:left="420" w:hangingChars="200" w:hanging="420"/>
        <w:rPr>
          <w:rFonts w:ascii="黑体" w:eastAsia="黑体" w:hAnsi="黑体"/>
          <w:color w:val="FF0000"/>
        </w:rPr>
      </w:pPr>
    </w:p>
    <w:p w14:paraId="3E67FA0B" w14:textId="0E053BD8" w:rsidR="00261AAE" w:rsidRPr="00261AAE" w:rsidRDefault="00483D97" w:rsidP="00261AAE">
      <w:pPr>
        <w:pStyle w:val="afffffffffff5"/>
        <w:numPr>
          <w:ilvl w:val="0"/>
          <w:numId w:val="0"/>
        </w:numPr>
        <w:ind w:left="420"/>
        <w:rPr>
          <w:rFonts w:ascii="黑体" w:eastAsia="黑体" w:hAnsi="黑体"/>
        </w:rPr>
      </w:pPr>
      <w:r>
        <w:rPr>
          <w:rFonts w:ascii="黑体" w:eastAsia="黑体" w:hAnsi="黑体" w:hint="eastAsia"/>
        </w:rPr>
        <w:t>主控制室</w:t>
      </w:r>
      <w:r w:rsidR="00261AAE" w:rsidRPr="00261AAE">
        <w:rPr>
          <w:rFonts w:ascii="黑体" w:eastAsia="黑体" w:hAnsi="黑体" w:hint="eastAsia"/>
        </w:rPr>
        <w:t>进风口main control room intake</w:t>
      </w:r>
    </w:p>
    <w:p w14:paraId="50A17E6A" w14:textId="76CB15F7" w:rsidR="00261AAE" w:rsidRDefault="00261AAE" w:rsidP="00261AAE">
      <w:pPr>
        <w:pStyle w:val="affffb"/>
        <w:ind w:firstLine="420"/>
      </w:pPr>
      <w:r>
        <w:rPr>
          <w:rFonts w:hint="eastAsia"/>
        </w:rPr>
        <w:t>放射性物质进入</w:t>
      </w:r>
      <w:r w:rsidR="00483D97">
        <w:rPr>
          <w:rFonts w:hint="eastAsia"/>
        </w:rPr>
        <w:t>主控制室</w:t>
      </w:r>
      <w:r>
        <w:rPr>
          <w:rFonts w:hint="eastAsia"/>
        </w:rPr>
        <w:t>可居留区边界的位置,包括通风系统进风口及可能泄漏进入</w:t>
      </w:r>
      <w:r w:rsidR="00483D97">
        <w:rPr>
          <w:rFonts w:hint="eastAsia"/>
        </w:rPr>
        <w:t>主控制室</w:t>
      </w:r>
      <w:r>
        <w:rPr>
          <w:rFonts w:hint="eastAsia"/>
        </w:rPr>
        <w:t>可居留区边界的其他位置。</w:t>
      </w:r>
    </w:p>
    <w:p w14:paraId="482527EE" w14:textId="213F7CC8" w:rsidR="004201E7" w:rsidRPr="001561D5" w:rsidRDefault="004201E7" w:rsidP="001561D5">
      <w:pPr>
        <w:pStyle w:val="afffffffffff5"/>
        <w:ind w:left="420" w:hangingChars="200" w:hanging="420"/>
        <w:rPr>
          <w:rFonts w:ascii="黑体" w:eastAsia="黑体" w:hAnsi="黑体"/>
          <w:color w:val="FF0000"/>
        </w:rPr>
      </w:pPr>
    </w:p>
    <w:p w14:paraId="2DA2B8E5" w14:textId="44A13394" w:rsidR="00261AAE" w:rsidRPr="00261AAE" w:rsidRDefault="00261AAE" w:rsidP="00261AAE">
      <w:pPr>
        <w:pStyle w:val="afffffffffff5"/>
        <w:numPr>
          <w:ilvl w:val="0"/>
          <w:numId w:val="0"/>
        </w:numPr>
        <w:ind w:left="420"/>
        <w:rPr>
          <w:rFonts w:ascii="黑体" w:eastAsia="黑体" w:hAnsi="黑体"/>
        </w:rPr>
      </w:pPr>
      <w:r w:rsidRPr="00261AAE">
        <w:rPr>
          <w:rFonts w:ascii="黑体" w:eastAsia="黑体" w:hAnsi="黑体" w:hint="eastAsia"/>
        </w:rPr>
        <w:t xml:space="preserve">内渗漏 </w:t>
      </w:r>
      <w:proofErr w:type="spellStart"/>
      <w:r w:rsidRPr="00261AAE">
        <w:rPr>
          <w:rFonts w:ascii="黑体" w:eastAsia="黑体" w:hAnsi="黑体" w:hint="eastAsia"/>
        </w:rPr>
        <w:t>inleakage</w:t>
      </w:r>
      <w:proofErr w:type="spellEnd"/>
    </w:p>
    <w:p w14:paraId="1F44CE2F" w14:textId="468F0925" w:rsidR="00261AAE" w:rsidRDefault="00261AAE" w:rsidP="004201E7">
      <w:pPr>
        <w:pStyle w:val="affffb"/>
        <w:ind w:firstLine="420"/>
      </w:pPr>
      <w:r w:rsidRPr="00261AAE">
        <w:rPr>
          <w:rFonts w:hint="eastAsia"/>
        </w:rPr>
        <w:t>通过构成</w:t>
      </w:r>
      <w:r w:rsidR="00483D97">
        <w:rPr>
          <w:rFonts w:hint="eastAsia"/>
        </w:rPr>
        <w:t>主控制室</w:t>
      </w:r>
      <w:r w:rsidRPr="00261AAE">
        <w:rPr>
          <w:rFonts w:hint="eastAsia"/>
        </w:rPr>
        <w:t>可居留区边界的相关建筑物、系统和部件,在内外压力作用或者开关门等情况下，放射性物质未经过滤而进入到</w:t>
      </w:r>
      <w:r w:rsidR="00483D97">
        <w:rPr>
          <w:rFonts w:hint="eastAsia"/>
        </w:rPr>
        <w:t>主控制室</w:t>
      </w:r>
      <w:r w:rsidRPr="00261AAE">
        <w:rPr>
          <w:rFonts w:hint="eastAsia"/>
        </w:rPr>
        <w:t>可居留区。</w:t>
      </w:r>
    </w:p>
    <w:p w14:paraId="34793C40" w14:textId="77777777" w:rsidR="008B3683" w:rsidRPr="008B3683" w:rsidRDefault="008B3683" w:rsidP="008B3683">
      <w:pPr>
        <w:pStyle w:val="afffffffffff5"/>
        <w:numPr>
          <w:ilvl w:val="0"/>
          <w:numId w:val="0"/>
        </w:numPr>
        <w:ind w:left="420"/>
        <w:rPr>
          <w:rFonts w:ascii="黑体" w:eastAsia="黑体" w:hAnsi="黑体"/>
        </w:rPr>
      </w:pPr>
      <w:r w:rsidRPr="008B3683">
        <w:rPr>
          <w:rFonts w:ascii="黑体" w:eastAsia="黑体" w:hAnsi="黑体" w:hint="eastAsia"/>
        </w:rPr>
        <w:t>内渗透量</w:t>
      </w:r>
      <w:proofErr w:type="spellStart"/>
      <w:r w:rsidRPr="008B3683">
        <w:rPr>
          <w:rFonts w:ascii="黑体" w:eastAsia="黑体" w:hAnsi="黑体" w:hint="eastAsia"/>
        </w:rPr>
        <w:t>inleakage</w:t>
      </w:r>
      <w:proofErr w:type="spellEnd"/>
    </w:p>
    <w:p w14:paraId="7DFBF681" w14:textId="2A0930CD" w:rsidR="008B3683" w:rsidRDefault="008B3683" w:rsidP="008B3683">
      <w:pPr>
        <w:pStyle w:val="affffb"/>
        <w:ind w:firstLine="420"/>
      </w:pPr>
      <w:r>
        <w:rPr>
          <w:rFonts w:hint="eastAsia"/>
        </w:rPr>
        <w:t>MCRE外的环境空气经洞孔及开门等途径进入到MCRE之内的未经处理的空气流量。</w:t>
      </w:r>
    </w:p>
    <w:p w14:paraId="2ABF2606" w14:textId="6954E111" w:rsidR="004201E7" w:rsidRPr="001561D5" w:rsidRDefault="004201E7" w:rsidP="001561D5">
      <w:pPr>
        <w:pStyle w:val="afffffffffff5"/>
        <w:ind w:left="420" w:hangingChars="200" w:hanging="420"/>
        <w:rPr>
          <w:rFonts w:ascii="黑体" w:eastAsia="黑体" w:hAnsi="黑体"/>
          <w:color w:val="FF0000"/>
        </w:rPr>
      </w:pPr>
    </w:p>
    <w:p w14:paraId="6EC5D710" w14:textId="77777777" w:rsidR="00261AAE" w:rsidRPr="00261AAE" w:rsidRDefault="00261AAE" w:rsidP="00261AAE">
      <w:pPr>
        <w:pStyle w:val="afffffffffff5"/>
        <w:numPr>
          <w:ilvl w:val="0"/>
          <w:numId w:val="0"/>
        </w:numPr>
        <w:ind w:left="420"/>
        <w:rPr>
          <w:rFonts w:ascii="黑体" w:eastAsia="黑体" w:hAnsi="黑体"/>
        </w:rPr>
      </w:pPr>
      <w:r w:rsidRPr="00261AAE">
        <w:rPr>
          <w:rFonts w:ascii="黑体" w:eastAsia="黑体" w:hAnsi="黑体" w:hint="eastAsia"/>
        </w:rPr>
        <w:t>风向窗wind direction window</w:t>
      </w:r>
    </w:p>
    <w:p w14:paraId="3EA08ADA" w14:textId="79C48BFE" w:rsidR="00261AAE" w:rsidRDefault="00261AAE" w:rsidP="00261AAE">
      <w:pPr>
        <w:pStyle w:val="affffb"/>
        <w:ind w:firstLine="420"/>
        <w:rPr>
          <w:rFonts w:cs="宋体"/>
          <w:noProof w:val="0"/>
          <w:color w:val="000000"/>
          <w:szCs w:val="21"/>
        </w:rPr>
      </w:pPr>
      <w:r w:rsidRPr="00261AAE">
        <w:rPr>
          <w:rFonts w:cs="宋体" w:hint="eastAsia"/>
          <w:noProof w:val="0"/>
          <w:color w:val="000000"/>
          <w:szCs w:val="21"/>
        </w:rPr>
        <w:t>以释放点为顶点，以释放点-接收点的连线为对称轴，所确定的一定的角度范围</w:t>
      </w:r>
      <w:r>
        <w:rPr>
          <w:rFonts w:cs="宋体" w:hint="eastAsia"/>
          <w:noProof w:val="0"/>
          <w:color w:val="000000"/>
          <w:szCs w:val="21"/>
        </w:rPr>
        <w:t>。</w:t>
      </w:r>
    </w:p>
    <w:p w14:paraId="7754F643" w14:textId="77777777" w:rsidR="008B3683" w:rsidRPr="008B3683" w:rsidRDefault="008B3683" w:rsidP="008B3683">
      <w:pPr>
        <w:pStyle w:val="afffffffffff5"/>
        <w:numPr>
          <w:ilvl w:val="0"/>
          <w:numId w:val="0"/>
        </w:numPr>
        <w:ind w:left="420"/>
        <w:rPr>
          <w:rFonts w:ascii="黑体" w:eastAsia="黑体" w:hAnsi="黑体"/>
        </w:rPr>
      </w:pPr>
      <w:r w:rsidRPr="008B3683">
        <w:rPr>
          <w:rFonts w:ascii="黑体" w:eastAsia="黑体" w:hAnsi="黑体" w:hint="eastAsia"/>
        </w:rPr>
        <w:t xml:space="preserve">空气净化装置 </w:t>
      </w:r>
      <w:proofErr w:type="spellStart"/>
      <w:r w:rsidRPr="008B3683">
        <w:rPr>
          <w:rFonts w:ascii="黑体" w:eastAsia="黑体" w:hAnsi="黑体" w:hint="eastAsia"/>
        </w:rPr>
        <w:t>aircleaning</w:t>
      </w:r>
      <w:proofErr w:type="spellEnd"/>
      <w:r w:rsidRPr="008B3683">
        <w:rPr>
          <w:rFonts w:ascii="黑体" w:eastAsia="黑体" w:hAnsi="黑体" w:hint="eastAsia"/>
        </w:rPr>
        <w:t xml:space="preserve"> units</w:t>
      </w:r>
    </w:p>
    <w:p w14:paraId="51FC489A" w14:textId="11786F24" w:rsidR="008B3683" w:rsidRDefault="008B3683" w:rsidP="008B3683">
      <w:pPr>
        <w:pStyle w:val="affffb"/>
        <w:ind w:firstLine="420"/>
        <w:rPr>
          <w:rFonts w:cs="宋体"/>
          <w:noProof w:val="0"/>
          <w:color w:val="000000"/>
          <w:szCs w:val="21"/>
        </w:rPr>
      </w:pPr>
      <w:r w:rsidRPr="008B3683">
        <w:rPr>
          <w:rFonts w:cs="宋体" w:hint="eastAsia"/>
          <w:noProof w:val="0"/>
          <w:color w:val="000000"/>
          <w:szCs w:val="21"/>
        </w:rPr>
        <w:t>用于事故时去除气溶胶和放射性碘等的空气处理设施，主要由初效过滤器、高效粒子过滤器和</w:t>
      </w:r>
      <w:proofErr w:type="gramStart"/>
      <w:r w:rsidRPr="008B3683">
        <w:rPr>
          <w:rFonts w:cs="宋体" w:hint="eastAsia"/>
          <w:noProof w:val="0"/>
          <w:color w:val="000000"/>
          <w:szCs w:val="21"/>
        </w:rPr>
        <w:t>碘吸附器</w:t>
      </w:r>
      <w:proofErr w:type="gramEnd"/>
      <w:r w:rsidRPr="008B3683">
        <w:rPr>
          <w:rFonts w:cs="宋体" w:hint="eastAsia"/>
          <w:noProof w:val="0"/>
          <w:color w:val="000000"/>
          <w:szCs w:val="21"/>
        </w:rPr>
        <w:t>组成。</w:t>
      </w:r>
    </w:p>
    <w:p w14:paraId="489FFB3A" w14:textId="027E6B5E" w:rsidR="004201E7" w:rsidRPr="001561D5" w:rsidRDefault="004201E7" w:rsidP="001561D5">
      <w:pPr>
        <w:pStyle w:val="afffffffffff5"/>
        <w:ind w:left="420" w:hangingChars="200" w:hanging="420"/>
        <w:rPr>
          <w:rFonts w:ascii="黑体" w:eastAsia="黑体" w:hAnsi="黑体"/>
          <w:color w:val="FF0000"/>
        </w:rPr>
      </w:pPr>
    </w:p>
    <w:p w14:paraId="5DAB5A34" w14:textId="77777777" w:rsidR="004201E7" w:rsidRPr="004201E7" w:rsidRDefault="004201E7" w:rsidP="001561D5">
      <w:pPr>
        <w:pStyle w:val="afffffffffff5"/>
        <w:numPr>
          <w:ilvl w:val="0"/>
          <w:numId w:val="0"/>
        </w:numPr>
        <w:ind w:left="420"/>
        <w:rPr>
          <w:rFonts w:ascii="黑体" w:eastAsia="黑体" w:hAnsi="黑体"/>
        </w:rPr>
      </w:pPr>
      <w:r w:rsidRPr="004201E7">
        <w:rPr>
          <w:rFonts w:ascii="黑体" w:eastAsia="黑体" w:hAnsi="黑体" w:hint="eastAsia"/>
        </w:rPr>
        <w:t>事故</w:t>
      </w:r>
      <w:r w:rsidRPr="004201E7">
        <w:rPr>
          <w:rFonts w:ascii="黑体" w:eastAsia="黑体" w:hAnsi="黑体"/>
        </w:rPr>
        <w:t xml:space="preserve"> accident </w:t>
      </w:r>
    </w:p>
    <w:p w14:paraId="042072F7" w14:textId="11B06425" w:rsidR="004201E7" w:rsidRPr="005B320C" w:rsidRDefault="004201E7" w:rsidP="004201E7">
      <w:pPr>
        <w:pStyle w:val="affffb"/>
        <w:ind w:firstLine="420"/>
        <w:rPr>
          <w:rFonts w:cs="宋体"/>
          <w:noProof w:val="0"/>
          <w:color w:val="000000"/>
          <w:szCs w:val="21"/>
        </w:rPr>
      </w:pPr>
      <w:r w:rsidRPr="005B320C">
        <w:rPr>
          <w:rFonts w:cs="宋体" w:hint="eastAsia"/>
          <w:noProof w:val="0"/>
          <w:color w:val="000000"/>
          <w:szCs w:val="21"/>
        </w:rPr>
        <w:t>造成不期望后果的事件。</w:t>
      </w:r>
    </w:p>
    <w:p w14:paraId="5213B53A" w14:textId="0D3064A3" w:rsidR="00AA3ED1" w:rsidRPr="001561D5" w:rsidRDefault="00231C18" w:rsidP="00207368">
      <w:pPr>
        <w:pStyle w:val="affc"/>
        <w:spacing w:before="312" w:after="312"/>
      </w:pPr>
      <w:bookmarkStart w:id="45" w:name="_Toc199150125"/>
      <w:r w:rsidRPr="00231C18">
        <w:rPr>
          <w:rFonts w:hint="eastAsia"/>
        </w:rPr>
        <w:t>气象数据选取要求</w:t>
      </w:r>
      <w:bookmarkEnd w:id="45"/>
    </w:p>
    <w:p w14:paraId="7FAE8F8C" w14:textId="50A4883F" w:rsidR="00231C18" w:rsidRDefault="00231C18" w:rsidP="00231C18">
      <w:pPr>
        <w:pStyle w:val="affffb"/>
        <w:ind w:firstLineChars="0" w:firstLine="0"/>
      </w:pPr>
      <w:r w:rsidRPr="00231C18">
        <w:rPr>
          <w:rFonts w:hint="eastAsia"/>
        </w:rPr>
        <w:t>4.1</w:t>
      </w:r>
      <w:r>
        <w:rPr>
          <w:rFonts w:hint="eastAsia"/>
        </w:rPr>
        <w:t xml:space="preserve"> </w:t>
      </w:r>
      <w:r w:rsidRPr="00231C18">
        <w:rPr>
          <w:rFonts w:hint="eastAsia"/>
        </w:rPr>
        <w:t>大气弥散因子计算所需的气象数据包括逐时的风速、风向及大气稳定度，所选取的气象数据应能够反映整个厂址情况。与HAD002/01的要求相一致，应从厂址气象测量中选取气象数据。</w:t>
      </w:r>
    </w:p>
    <w:p w14:paraId="04F2447F" w14:textId="41374067" w:rsidR="00231C18" w:rsidRPr="00A63948" w:rsidRDefault="00231C18" w:rsidP="00231C18">
      <w:pPr>
        <w:pStyle w:val="affffb"/>
        <w:ind w:firstLineChars="0" w:firstLine="0"/>
      </w:pPr>
      <w:r w:rsidRPr="00231C18">
        <w:rPr>
          <w:rFonts w:hint="eastAsia"/>
        </w:rPr>
        <w:t>4.2 大气弥散因子计算中应尽可能采用足够多的有效气象数据，最少保证采用近年一整年逐时气象数据。</w:t>
      </w:r>
    </w:p>
    <w:p w14:paraId="08CBED0A" w14:textId="62D6FC67" w:rsidR="00207368" w:rsidRPr="002C4171" w:rsidRDefault="00095216" w:rsidP="00207368">
      <w:pPr>
        <w:pStyle w:val="affc"/>
        <w:spacing w:before="312" w:after="312"/>
      </w:pPr>
      <w:bookmarkStart w:id="46" w:name="_Toc199150126"/>
      <w:r w:rsidRPr="00095216">
        <w:rPr>
          <w:rFonts w:hint="eastAsia"/>
        </w:rPr>
        <w:t>用于</w:t>
      </w:r>
      <w:r w:rsidR="00483D97">
        <w:rPr>
          <w:rFonts w:hint="eastAsia"/>
        </w:rPr>
        <w:t>主控制室</w:t>
      </w:r>
      <w:r w:rsidRPr="00095216">
        <w:rPr>
          <w:rFonts w:hint="eastAsia"/>
        </w:rPr>
        <w:t>可居留性评价的大气弥散因子分析原则</w:t>
      </w:r>
      <w:bookmarkEnd w:id="46"/>
    </w:p>
    <w:p w14:paraId="15EAA174" w14:textId="6803305C" w:rsidR="00BB485A" w:rsidRDefault="00095216" w:rsidP="00BB485A">
      <w:pPr>
        <w:pStyle w:val="affd"/>
        <w:spacing w:before="156" w:after="156"/>
      </w:pPr>
      <w:bookmarkStart w:id="47" w:name="_Toc199150127"/>
      <w:r w:rsidRPr="00095216">
        <w:rPr>
          <w:rFonts w:hint="eastAsia"/>
        </w:rPr>
        <w:t>释放点(源)特性确定</w:t>
      </w:r>
      <w:bookmarkEnd w:id="47"/>
    </w:p>
    <w:p w14:paraId="5E13589A" w14:textId="02B1211D" w:rsidR="00095216" w:rsidRDefault="00095216" w:rsidP="00095216">
      <w:pPr>
        <w:pStyle w:val="affffb"/>
        <w:ind w:firstLineChars="0" w:firstLine="0"/>
      </w:pPr>
      <w:r>
        <w:rPr>
          <w:rFonts w:hint="eastAsia"/>
        </w:rPr>
        <w:t>5.1.1 对于多释放点一接收点组合情况，为了减少计算量，可根据释放点与接收点的实际情况选取包络性位置组合用于确定大气弥散因子，该过程应考虑各释放点与</w:t>
      </w:r>
      <w:r w:rsidR="00483D97">
        <w:rPr>
          <w:rFonts w:hint="eastAsia"/>
        </w:rPr>
        <w:t>主控制室</w:t>
      </w:r>
      <w:r>
        <w:rPr>
          <w:rFonts w:hint="eastAsia"/>
        </w:rPr>
        <w:t>各进风口之间的距离、方位及释放模式，其他参数(如用于确定烟羽抬升的参数等)也应视情况考虑。</w:t>
      </w:r>
    </w:p>
    <w:p w14:paraId="009FBD9E" w14:textId="77777777" w:rsidR="00095216" w:rsidRDefault="00095216" w:rsidP="00095216">
      <w:pPr>
        <w:pStyle w:val="affffb"/>
        <w:ind w:firstLineChars="0" w:firstLine="0"/>
      </w:pPr>
      <w:r>
        <w:rPr>
          <w:rFonts w:hint="eastAsia"/>
        </w:rPr>
        <w:t>5.1.2 对于具有多个释放位置的情况，可进行加权处理，但方案合理性及权重系数保守性应经过论证。</w:t>
      </w:r>
    </w:p>
    <w:p w14:paraId="63B03ED9" w14:textId="77777777" w:rsidR="00095216" w:rsidRDefault="00095216" w:rsidP="00095216">
      <w:pPr>
        <w:pStyle w:val="affffb"/>
        <w:ind w:firstLineChars="0" w:firstLine="0"/>
      </w:pPr>
      <w:r>
        <w:rPr>
          <w:rFonts w:hint="eastAsia"/>
        </w:rPr>
        <w:t>5.1.3 对于已确定的释放点一接收点组合，通常应分别计算并确定 95%概率水平的大气弥散因子。</w:t>
      </w:r>
    </w:p>
    <w:p w14:paraId="182F3D52" w14:textId="75945286" w:rsidR="00095216" w:rsidRDefault="00095216" w:rsidP="00095216">
      <w:pPr>
        <w:pStyle w:val="affffb"/>
        <w:ind w:firstLineChars="0" w:firstLine="0"/>
      </w:pPr>
      <w:r>
        <w:rPr>
          <w:rFonts w:hint="eastAsia"/>
        </w:rPr>
        <w:t>5.1.4 释放方式包括地面释放、高架释放等点源释放，以及</w:t>
      </w:r>
      <w:r w:rsidR="00392C0B">
        <w:rPr>
          <w:rFonts w:hint="eastAsia"/>
        </w:rPr>
        <w:t>弥散</w:t>
      </w:r>
      <w:r>
        <w:rPr>
          <w:rFonts w:hint="eastAsia"/>
        </w:rPr>
        <w:t>源释放。</w:t>
      </w:r>
    </w:p>
    <w:p w14:paraId="3C72F21E" w14:textId="76ADA9D5" w:rsidR="00095216" w:rsidRDefault="00095216" w:rsidP="00095216">
      <w:pPr>
        <w:pStyle w:val="affffb"/>
        <w:ind w:firstLine="420"/>
      </w:pPr>
      <w:r>
        <w:rPr>
          <w:rFonts w:hint="eastAsia"/>
        </w:rPr>
        <w:lastRenderedPageBreak/>
        <w:t>5.1.4.1 地面释放模式适合于大多数情况下的</w:t>
      </w:r>
      <w:r w:rsidR="00483D97">
        <w:rPr>
          <w:rFonts w:hint="eastAsia"/>
        </w:rPr>
        <w:t>主控制室</w:t>
      </w:r>
      <w:r>
        <w:rPr>
          <w:rFonts w:hint="eastAsia"/>
        </w:rPr>
        <w:t>可居留性评价用大气弥散因子计算，通常不考虑烟羽抬升。</w:t>
      </w:r>
    </w:p>
    <w:p w14:paraId="20BF3E05" w14:textId="0EF0DBAB" w:rsidR="00095216" w:rsidRDefault="00095216" w:rsidP="00095216">
      <w:pPr>
        <w:pStyle w:val="affffb"/>
        <w:ind w:firstLine="420"/>
      </w:pPr>
      <w:r>
        <w:rPr>
          <w:rFonts w:hint="eastAsia"/>
        </w:rPr>
        <w:t xml:space="preserve">5.1.4.2 </w:t>
      </w:r>
      <w:r w:rsidR="00D43CC8">
        <w:rPr>
          <w:rFonts w:hint="eastAsia"/>
        </w:rPr>
        <w:t>高架释放模式适用于独立的、竖直的、无盖烟囱</w:t>
      </w:r>
      <w:r>
        <w:rPr>
          <w:rFonts w:hint="eastAsia"/>
        </w:rPr>
        <w:t>等的释放，并且不受周围建筑物的影响。当释放高度大于周围建筑物高度 2.5倍，或者满足如下条件按高架释放处理:</w:t>
      </w:r>
    </w:p>
    <w:p w14:paraId="63BB067A" w14:textId="130C61CE" w:rsidR="00095216" w:rsidRDefault="00095216" w:rsidP="00095216">
      <w:pPr>
        <w:pStyle w:val="affffb"/>
        <w:ind w:firstLine="420"/>
      </w:pPr>
      <w:r>
        <w:rPr>
          <w:rFonts w:hint="eastAsia"/>
        </w:rPr>
        <w:t>a)与上风向建筑物尾端距离超过 5L；</w:t>
      </w:r>
    </w:p>
    <w:p w14:paraId="18F46D29" w14:textId="0CC2638B" w:rsidR="00095216" w:rsidRDefault="00095216" w:rsidP="00095216">
      <w:pPr>
        <w:pStyle w:val="affffb"/>
        <w:ind w:firstLine="420"/>
      </w:pPr>
      <w:r>
        <w:rPr>
          <w:rFonts w:hint="eastAsia"/>
        </w:rPr>
        <w:t>b)与下风向建筑物前端距离超过 2L；</w:t>
      </w:r>
    </w:p>
    <w:p w14:paraId="49464FAE" w14:textId="4387CDAA" w:rsidR="00095216" w:rsidRDefault="00095216" w:rsidP="00095216">
      <w:pPr>
        <w:pStyle w:val="affffb"/>
        <w:ind w:firstLine="420"/>
      </w:pPr>
      <w:r>
        <w:rPr>
          <w:rFonts w:hint="eastAsia"/>
        </w:rPr>
        <w:t>c)与横风向建筑物最近边缘距离超过 0.5L。</w:t>
      </w:r>
    </w:p>
    <w:p w14:paraId="48D05432" w14:textId="02E695AD" w:rsidR="00095216" w:rsidRDefault="00095216" w:rsidP="00095216">
      <w:pPr>
        <w:pStyle w:val="affffb"/>
        <w:ind w:firstLine="420"/>
      </w:pPr>
      <w:r>
        <w:rPr>
          <w:rFonts w:hint="eastAsia"/>
        </w:rPr>
        <w:t>L为产生上凤向、下风向、横风向尾流效应的建筑物高度或宽度中较小者。</w:t>
      </w:r>
    </w:p>
    <w:p w14:paraId="6308B5EF" w14:textId="1791A9BB" w:rsidR="00D43CC8" w:rsidRDefault="00D43CC8" w:rsidP="00095216">
      <w:pPr>
        <w:pStyle w:val="affffb"/>
        <w:ind w:firstLine="420"/>
      </w:pPr>
      <w:r>
        <w:rPr>
          <w:rFonts w:hint="eastAsia"/>
        </w:rPr>
        <w:t>由于高温气冷堆烟囱较矮，一般按地面释放进行计算。</w:t>
      </w:r>
    </w:p>
    <w:p w14:paraId="740C7484" w14:textId="350FC331" w:rsidR="00095216" w:rsidRDefault="00095216" w:rsidP="00095216">
      <w:pPr>
        <w:pStyle w:val="affffb"/>
        <w:ind w:firstLine="420"/>
      </w:pPr>
      <w:r>
        <w:rPr>
          <w:rFonts w:hint="eastAsia"/>
        </w:rPr>
        <w:t xml:space="preserve">5.1.4.3 </w:t>
      </w:r>
      <w:r w:rsidR="00033F81">
        <w:rPr>
          <w:rFonts w:hint="eastAsia"/>
        </w:rPr>
        <w:t>弥散</w:t>
      </w:r>
      <w:r>
        <w:rPr>
          <w:rFonts w:hint="eastAsia"/>
        </w:rPr>
        <w:t>源释放</w:t>
      </w:r>
      <w:r w:rsidR="00033F81">
        <w:rPr>
          <w:rFonts w:hint="eastAsia"/>
        </w:rPr>
        <w:t>适用于放射性从建筑</w:t>
      </w:r>
      <w:r>
        <w:rPr>
          <w:rFonts w:hint="eastAsia"/>
        </w:rPr>
        <w:t>物</w:t>
      </w:r>
      <w:r w:rsidR="00033F81">
        <w:rPr>
          <w:rFonts w:hint="eastAsia"/>
        </w:rPr>
        <w:t>外</w:t>
      </w:r>
      <w:r>
        <w:rPr>
          <w:rFonts w:hint="eastAsia"/>
        </w:rPr>
        <w:t>表面</w:t>
      </w:r>
      <w:r w:rsidR="00593936">
        <w:rPr>
          <w:rFonts w:hint="eastAsia"/>
        </w:rPr>
        <w:t>上各种缝隙和孔洞</w:t>
      </w:r>
      <w:r>
        <w:rPr>
          <w:rFonts w:hint="eastAsia"/>
        </w:rPr>
        <w:t>向环境</w:t>
      </w:r>
      <w:r w:rsidR="00593936">
        <w:rPr>
          <w:rFonts w:hint="eastAsia"/>
        </w:rPr>
        <w:t>缓慢</w:t>
      </w:r>
      <w:r>
        <w:rPr>
          <w:rFonts w:hint="eastAsia"/>
        </w:rPr>
        <w:t>释放</w:t>
      </w:r>
      <w:r w:rsidR="00033F81">
        <w:rPr>
          <w:rFonts w:hint="eastAsia"/>
        </w:rPr>
        <w:t>的情况</w:t>
      </w:r>
      <w:r>
        <w:rPr>
          <w:rFonts w:hint="eastAsia"/>
        </w:rPr>
        <w:t>。建筑物贯穿件的位置相对容易发生泄，分析中应考虑连通环境的贯穿件对扩散面源的可能影响，甚至不适用的情况。</w:t>
      </w:r>
    </w:p>
    <w:p w14:paraId="59955D77" w14:textId="4BB28141" w:rsidR="00095216" w:rsidRDefault="00095216" w:rsidP="00095216">
      <w:pPr>
        <w:pStyle w:val="affffb"/>
        <w:ind w:firstLine="420"/>
      </w:pPr>
      <w:r>
        <w:rPr>
          <w:rFonts w:hint="eastAsia"/>
        </w:rPr>
        <w:t>5.1.4.</w:t>
      </w:r>
      <w:r w:rsidR="002C13A3">
        <w:t>4</w:t>
      </w:r>
      <w:r>
        <w:rPr>
          <w:rFonts w:hint="eastAsia"/>
        </w:rPr>
        <w:t xml:space="preserve"> 对于点源释放,释放点到接收点的斜线距离通过两者之间的最短的水平距离及高度养来计算,如果释放点在建筑物群中，释放点与接收点之间的最短路径需穿过中间建筑物的情况，可取绕过或者越过中间建筑物的最小长度。</w:t>
      </w:r>
    </w:p>
    <w:p w14:paraId="07C7886F" w14:textId="5CA20BEF" w:rsidR="00095216" w:rsidRPr="00095216" w:rsidRDefault="00095216" w:rsidP="00095216">
      <w:pPr>
        <w:pStyle w:val="affffb"/>
        <w:ind w:firstLine="420"/>
      </w:pPr>
      <w:r>
        <w:rPr>
          <w:rFonts w:hint="eastAsia"/>
        </w:rPr>
        <w:t>5.1.4.</w:t>
      </w:r>
      <w:r w:rsidR="002C13A3">
        <w:t>5</w:t>
      </w:r>
      <w:r>
        <w:rPr>
          <w:rFonts w:hint="eastAsia"/>
        </w:rPr>
        <w:t xml:space="preserve"> 对于</w:t>
      </w:r>
      <w:r w:rsidR="00EF1EAC">
        <w:rPr>
          <w:rFonts w:hint="eastAsia"/>
        </w:rPr>
        <w:t>弥散</w:t>
      </w:r>
      <w:r>
        <w:rPr>
          <w:rFonts w:hint="eastAsia"/>
        </w:rPr>
        <w:t>源释放，扩散距离的计算可采用</w:t>
      </w:r>
      <w:r w:rsidR="00EF1EAC">
        <w:rPr>
          <w:rFonts w:hint="eastAsia"/>
        </w:rPr>
        <w:t>弥散</w:t>
      </w:r>
      <w:r>
        <w:rPr>
          <w:rFonts w:hint="eastAsia"/>
        </w:rPr>
        <w:t>源距</w:t>
      </w:r>
      <w:r w:rsidR="00483D97">
        <w:rPr>
          <w:rFonts w:hint="eastAsia"/>
        </w:rPr>
        <w:t>主控制室</w:t>
      </w:r>
      <w:r>
        <w:rPr>
          <w:rFonts w:hint="eastAsia"/>
        </w:rPr>
        <w:t>进风口最短的距离。</w:t>
      </w:r>
    </w:p>
    <w:p w14:paraId="7E01FDCC" w14:textId="0292BE1C" w:rsidR="00D761A0" w:rsidRDefault="00483D97" w:rsidP="00B31D76">
      <w:pPr>
        <w:pStyle w:val="affd"/>
        <w:spacing w:before="156" w:after="156"/>
      </w:pPr>
      <w:bookmarkStart w:id="48" w:name="_Toc199150128"/>
      <w:r>
        <w:rPr>
          <w:rFonts w:hint="eastAsia"/>
        </w:rPr>
        <w:t>主控制室</w:t>
      </w:r>
      <w:r w:rsidR="00095216" w:rsidRPr="00095216">
        <w:rPr>
          <w:rFonts w:hint="eastAsia"/>
        </w:rPr>
        <w:t>通风系统进风口</w:t>
      </w:r>
      <w:bookmarkEnd w:id="48"/>
    </w:p>
    <w:p w14:paraId="56E39F6D" w14:textId="27ED8C14" w:rsidR="00B61451" w:rsidRDefault="00B61451" w:rsidP="00B61451">
      <w:pPr>
        <w:pStyle w:val="affffb"/>
        <w:ind w:firstLine="420"/>
      </w:pPr>
      <w:r w:rsidRPr="00B61451">
        <w:rPr>
          <w:rFonts w:hint="eastAsia"/>
        </w:rPr>
        <w:t>5.2.1 正常运行工况下，</w:t>
      </w:r>
      <w:r w:rsidR="00483D97">
        <w:rPr>
          <w:rFonts w:hint="eastAsia"/>
        </w:rPr>
        <w:t>主控制室</w:t>
      </w:r>
      <w:r w:rsidRPr="00B61451">
        <w:rPr>
          <w:rFonts w:hint="eastAsia"/>
        </w:rPr>
        <w:t>通风系统的新风来自于环境的空气。事故工况下，切换到应急模式后,通风系统运行模式发生改变。大气弥散因子计算中，应考虑进风口位置可能的变化。除了</w:t>
      </w:r>
      <w:r w:rsidR="00483D97">
        <w:rPr>
          <w:rFonts w:hint="eastAsia"/>
        </w:rPr>
        <w:t>主控制室</w:t>
      </w:r>
      <w:r w:rsidRPr="00B61451">
        <w:rPr>
          <w:rFonts w:hint="eastAsia"/>
        </w:rPr>
        <w:t>通风系统进风口外，还需考虑内渗漏等其他可能的污染空气进入</w:t>
      </w:r>
      <w:r w:rsidR="00483D97">
        <w:rPr>
          <w:rFonts w:hint="eastAsia"/>
        </w:rPr>
        <w:t>主控制室</w:t>
      </w:r>
      <w:r w:rsidRPr="00B61451">
        <w:rPr>
          <w:rFonts w:hint="eastAsia"/>
        </w:rPr>
        <w:t>的途径。</w:t>
      </w:r>
      <w:r w:rsidR="00483D97">
        <w:rPr>
          <w:rFonts w:hint="eastAsia"/>
        </w:rPr>
        <w:t>鉴于高温堆的源项很小，主控制室可居留性评价中所用内渗漏量可以适当增加，</w:t>
      </w:r>
      <w:r w:rsidR="00483D97" w:rsidRPr="0020784F">
        <w:rPr>
          <w:rFonts w:hint="eastAsia"/>
          <w:highlight w:val="yellow"/>
        </w:rPr>
        <w:t>参考上限为</w:t>
      </w:r>
      <w:r w:rsidR="00483D97" w:rsidRPr="0020784F">
        <w:rPr>
          <w:highlight w:val="yellow"/>
        </w:rPr>
        <w:t>400</w:t>
      </w:r>
      <w:r w:rsidR="00483D97" w:rsidRPr="0020784F">
        <w:rPr>
          <w:rFonts w:hint="eastAsia"/>
          <w:highlight w:val="yellow"/>
        </w:rPr>
        <w:t>m</w:t>
      </w:r>
      <w:r w:rsidR="00483D97" w:rsidRPr="0081391B">
        <w:rPr>
          <w:highlight w:val="yellow"/>
          <w:vertAlign w:val="superscript"/>
        </w:rPr>
        <w:t>3</w:t>
      </w:r>
      <w:r w:rsidR="00483D97" w:rsidRPr="0020784F">
        <w:rPr>
          <w:rFonts w:hint="eastAsia"/>
          <w:highlight w:val="yellow"/>
        </w:rPr>
        <w:t>/</w:t>
      </w:r>
      <w:r w:rsidR="00483D97" w:rsidRPr="0020784F">
        <w:rPr>
          <w:highlight w:val="yellow"/>
        </w:rPr>
        <w:t>h</w:t>
      </w:r>
      <w:r w:rsidR="00483D97" w:rsidRPr="0020784F">
        <w:rPr>
          <w:rFonts w:hint="eastAsia"/>
          <w:highlight w:val="yellow"/>
        </w:rPr>
        <w:t>。</w:t>
      </w:r>
    </w:p>
    <w:p w14:paraId="272DC264" w14:textId="423F77D4" w:rsidR="00B61451" w:rsidRDefault="00B61451" w:rsidP="00B61451">
      <w:pPr>
        <w:pStyle w:val="affffb"/>
        <w:ind w:firstLine="420"/>
      </w:pPr>
      <w:r w:rsidRPr="00B61451">
        <w:rPr>
          <w:rFonts w:hint="eastAsia"/>
        </w:rPr>
        <w:t xml:space="preserve">5.2.2 </w:t>
      </w:r>
      <w:r w:rsidR="00483D97">
        <w:rPr>
          <w:rFonts w:hint="eastAsia"/>
        </w:rPr>
        <w:t>主控制室</w:t>
      </w:r>
      <w:r w:rsidRPr="00B61451">
        <w:rPr>
          <w:rFonts w:hint="eastAsia"/>
        </w:rPr>
        <w:t>外部的通风系统进风口应设置在任何风向条件下提供低污染空气的位置。该位置的确定与释放点的设置、建筑物尾流效应、地形及静风或风向逆转的可能性等因素相关。</w:t>
      </w:r>
    </w:p>
    <w:p w14:paraId="066576F6" w14:textId="77777777" w:rsidR="00B61451" w:rsidRDefault="00B61451" w:rsidP="00B61451">
      <w:pPr>
        <w:pStyle w:val="affffb"/>
        <w:ind w:firstLine="420"/>
      </w:pPr>
      <w:r w:rsidRPr="00B61451">
        <w:rPr>
          <w:rFonts w:hint="eastAsia"/>
        </w:rPr>
        <w:t>5.2.3 在仅通过观察难以判断不利或有利的进风口位置的情况下,针对释放点-进风口的每一组合计算出 O值，再根据计算结果识别出不利或有利的进风口位置。</w:t>
      </w:r>
    </w:p>
    <w:p w14:paraId="2574D451" w14:textId="416C9965" w:rsidR="00B61451" w:rsidRDefault="00B61451" w:rsidP="00B61451">
      <w:pPr>
        <w:pStyle w:val="affffb"/>
        <w:ind w:firstLine="420"/>
      </w:pPr>
      <w:r w:rsidRPr="00B61451">
        <w:rPr>
          <w:rFonts w:hint="eastAsia"/>
        </w:rPr>
        <w:t>5.2.4 如果两个进风口设置在同一个风向窗内，两个进风口将同时受到污染。如果进风流量相同，则采用公式(2)计算有效大气弥散因子:如果进风流量不同，并且两个进风口进风流量不会发生变化，应采用公式(3)计算有效大气弥散因子;如果两个进风口进风流量会发生变化，应采用公式(4)计算有效大气弥散因子。</w:t>
      </w:r>
      <w:r>
        <w:rPr>
          <w:rFonts w:hint="eastAsia"/>
        </w:rPr>
        <w:t>(公式采用《</w:t>
      </w:r>
      <w:r w:rsidRPr="00095216">
        <w:rPr>
          <w:rFonts w:hint="eastAsia"/>
        </w:rPr>
        <w:t>NB/T 20531-2018  核电厂</w:t>
      </w:r>
      <w:r w:rsidR="00483D97">
        <w:rPr>
          <w:rFonts w:hint="eastAsia"/>
        </w:rPr>
        <w:t>主控制室</w:t>
      </w:r>
      <w:r w:rsidRPr="00095216">
        <w:rPr>
          <w:rFonts w:hint="eastAsia"/>
        </w:rPr>
        <w:t>可居留性评价用大气弥散因子分析方法》</w:t>
      </w:r>
      <w:r>
        <w:rPr>
          <w:rFonts w:hint="eastAsia"/>
        </w:rPr>
        <w:t>5.2.4中（2)、（3）、（4）公式）。</w:t>
      </w:r>
    </w:p>
    <w:p w14:paraId="37FA8661" w14:textId="4DAAC30D" w:rsidR="00B61451" w:rsidRDefault="00B61451" w:rsidP="00B61451">
      <w:pPr>
        <w:pStyle w:val="affffb"/>
        <w:ind w:firstLine="420"/>
      </w:pPr>
      <w:r w:rsidRPr="00B61451">
        <w:rPr>
          <w:rFonts w:hint="eastAsia"/>
        </w:rPr>
        <w:t>5.2.5 如果两个进风口不在同一个风向窗内，并且其同时工作才能满足设计需求的情况下，应计算确定每一个时间段内最不利进风口的大气弥散因子。如果进风流量相同，则采用公式(5)计算有效大气弥散因子;如果进风流量不同，并且两个进风口进风流量不会发生变化，应采用公式(6)计算有效大气弥散因子:如果两个进风口进风流量会发生变化，应采用公式(7)计算有效大气弥散因子。</w:t>
      </w:r>
      <w:r>
        <w:rPr>
          <w:rFonts w:hint="eastAsia"/>
        </w:rPr>
        <w:t>(公式采用《</w:t>
      </w:r>
      <w:r w:rsidRPr="00095216">
        <w:rPr>
          <w:rFonts w:hint="eastAsia"/>
        </w:rPr>
        <w:t>NB/T 20531-2018  核电厂</w:t>
      </w:r>
      <w:r w:rsidR="00483D97">
        <w:rPr>
          <w:rFonts w:hint="eastAsia"/>
        </w:rPr>
        <w:t>主控制室</w:t>
      </w:r>
      <w:r w:rsidRPr="00095216">
        <w:rPr>
          <w:rFonts w:hint="eastAsia"/>
        </w:rPr>
        <w:t>可居留性评价用大气弥散因子分析方法》</w:t>
      </w:r>
      <w:r>
        <w:rPr>
          <w:rFonts w:hint="eastAsia"/>
        </w:rPr>
        <w:t>5.2.4中（5)、（6）、（7）公式）。</w:t>
      </w:r>
    </w:p>
    <w:p w14:paraId="250B5C87" w14:textId="38E5A339" w:rsidR="00B61451" w:rsidRPr="00B61451" w:rsidRDefault="00B61451" w:rsidP="00B61451">
      <w:pPr>
        <w:pStyle w:val="affffb"/>
        <w:ind w:firstLine="420"/>
      </w:pPr>
      <w:r w:rsidRPr="00B61451">
        <w:rPr>
          <w:rFonts w:hint="eastAsia"/>
        </w:rPr>
        <w:t>5.2.6 对于两个进风口不在同一个风向窗内，并且不需同时投用情况，可根据实际投用情况选择适用的大气弥散因子。</w:t>
      </w:r>
    </w:p>
    <w:p w14:paraId="5B7E7BE1" w14:textId="77777777" w:rsidR="00B61451" w:rsidRDefault="00B61451" w:rsidP="001D74DE">
      <w:pPr>
        <w:pStyle w:val="affffb"/>
        <w:ind w:leftChars="200" w:left="420" w:firstLine="420"/>
      </w:pPr>
    </w:p>
    <w:p w14:paraId="4E51BC47" w14:textId="2E7AFE77" w:rsidR="00C433CC" w:rsidRPr="002C4171" w:rsidRDefault="00B61451" w:rsidP="001D765C">
      <w:pPr>
        <w:pStyle w:val="affc"/>
        <w:spacing w:before="312" w:after="312"/>
      </w:pPr>
      <w:bookmarkStart w:id="49" w:name="_Toc199150129"/>
      <w:bookmarkStart w:id="50" w:name="_Hlk77760668"/>
      <w:r w:rsidRPr="00B61451">
        <w:rPr>
          <w:rFonts w:hint="eastAsia"/>
        </w:rPr>
        <w:lastRenderedPageBreak/>
        <w:t>用于</w:t>
      </w:r>
      <w:r w:rsidR="00483D97">
        <w:rPr>
          <w:rFonts w:hint="eastAsia"/>
        </w:rPr>
        <w:t>主控制室</w:t>
      </w:r>
      <w:r w:rsidRPr="00B61451">
        <w:rPr>
          <w:rFonts w:hint="eastAsia"/>
        </w:rPr>
        <w:t>可居留性评价的大气弥散因子分析参考模型</w:t>
      </w:r>
      <w:bookmarkEnd w:id="49"/>
      <w:r w:rsidR="00FD6E30" w:rsidRPr="002C4171">
        <w:rPr>
          <w:rFonts w:hint="eastAsia"/>
        </w:rPr>
        <w:t xml:space="preserve"> </w:t>
      </w:r>
      <w:r w:rsidR="00FD6E30" w:rsidRPr="002C4171">
        <w:t xml:space="preserve">     </w:t>
      </w:r>
    </w:p>
    <w:p w14:paraId="7A88270C" w14:textId="7F20EE01" w:rsidR="00B61451" w:rsidRDefault="00B61451" w:rsidP="00B61451">
      <w:pPr>
        <w:pStyle w:val="affffb"/>
        <w:ind w:firstLine="420"/>
      </w:pPr>
      <w:r>
        <w:rPr>
          <w:rFonts w:hint="eastAsia"/>
        </w:rPr>
        <w:t xml:space="preserve">6.1 </w:t>
      </w:r>
      <w:r w:rsidR="002C13A3">
        <w:rPr>
          <w:rFonts w:hint="eastAsia"/>
        </w:rPr>
        <w:t>针对地面释放模式，</w:t>
      </w:r>
      <w:r>
        <w:rPr>
          <w:rFonts w:hint="eastAsia"/>
        </w:rPr>
        <w:t>大气弥散因子计算的参考模型，参见《</w:t>
      </w:r>
      <w:r w:rsidRPr="00095216">
        <w:rPr>
          <w:rFonts w:hint="eastAsia"/>
        </w:rPr>
        <w:t>NB/T 20531-2018  核电厂</w:t>
      </w:r>
      <w:r w:rsidR="00483D97">
        <w:rPr>
          <w:rFonts w:hint="eastAsia"/>
        </w:rPr>
        <w:t>主控制室</w:t>
      </w:r>
      <w:r w:rsidRPr="00095216">
        <w:rPr>
          <w:rFonts w:hint="eastAsia"/>
        </w:rPr>
        <w:t>可居留性评价用大气弥散因子分析方法》</w:t>
      </w:r>
      <w:r>
        <w:rPr>
          <w:rFonts w:hint="eastAsia"/>
        </w:rPr>
        <w:t>附录 A。</w:t>
      </w:r>
    </w:p>
    <w:p w14:paraId="36C26995" w14:textId="659C6422" w:rsidR="00B61451" w:rsidRDefault="00B61451" w:rsidP="00B61451">
      <w:pPr>
        <w:pStyle w:val="affffb"/>
        <w:ind w:firstLine="420"/>
      </w:pPr>
      <w:r>
        <w:rPr>
          <w:rFonts w:hint="eastAsia"/>
        </w:rPr>
        <w:t>6.2 针对高架释放模式，以烟囱为例，</w:t>
      </w:r>
      <w:bookmarkStart w:id="51" w:name="OLE_LINK1"/>
      <w:r w:rsidR="002C13A3">
        <w:rPr>
          <w:rFonts w:hint="eastAsia"/>
        </w:rPr>
        <w:t>大气弥散因子计算</w:t>
      </w:r>
      <w:bookmarkEnd w:id="51"/>
      <w:r w:rsidR="002C13A3">
        <w:rPr>
          <w:rFonts w:hint="eastAsia"/>
        </w:rPr>
        <w:t>的参考模型</w:t>
      </w:r>
      <w:r>
        <w:rPr>
          <w:rFonts w:hint="eastAsia"/>
        </w:rPr>
        <w:t>参见《</w:t>
      </w:r>
      <w:r w:rsidRPr="00095216">
        <w:rPr>
          <w:rFonts w:hint="eastAsia"/>
        </w:rPr>
        <w:t>NB/T 20531-2018  核电厂</w:t>
      </w:r>
      <w:r w:rsidR="00483D97">
        <w:rPr>
          <w:rFonts w:hint="eastAsia"/>
        </w:rPr>
        <w:t>主控制室</w:t>
      </w:r>
      <w:r w:rsidRPr="00095216">
        <w:rPr>
          <w:rFonts w:hint="eastAsia"/>
        </w:rPr>
        <w:t>可居留性评价用大气弥散因子分析方法》</w:t>
      </w:r>
      <w:r>
        <w:rPr>
          <w:rFonts w:hint="eastAsia"/>
        </w:rPr>
        <w:t>附录 B。</w:t>
      </w:r>
    </w:p>
    <w:p w14:paraId="219540D3" w14:textId="078CC662" w:rsidR="002C13A3" w:rsidRDefault="00B61451" w:rsidP="002C13A3">
      <w:pPr>
        <w:pStyle w:val="affffb"/>
        <w:ind w:firstLine="420"/>
      </w:pPr>
      <w:r>
        <w:rPr>
          <w:rFonts w:hint="eastAsia"/>
        </w:rPr>
        <w:t>6.3</w:t>
      </w:r>
      <w:r w:rsidR="002C13A3">
        <w:t xml:space="preserve"> </w:t>
      </w:r>
      <w:r w:rsidR="002C13A3">
        <w:rPr>
          <w:rFonts w:hint="eastAsia"/>
        </w:rPr>
        <w:t>针对弥散源释放, ,大气弥散因子计算采用本标准附录A中的公式进行计算。</w:t>
      </w:r>
    </w:p>
    <w:p w14:paraId="511480DE" w14:textId="51A2129F" w:rsidR="00B61451" w:rsidRDefault="00B61451" w:rsidP="00B61451">
      <w:pPr>
        <w:pStyle w:val="affffb"/>
        <w:ind w:firstLine="420"/>
      </w:pPr>
      <w:r>
        <w:rPr>
          <w:rFonts w:hint="eastAsia"/>
        </w:rPr>
        <w:t xml:space="preserve">6.4 </w:t>
      </w:r>
      <w:r w:rsidR="00483D97">
        <w:rPr>
          <w:rFonts w:hint="eastAsia"/>
        </w:rPr>
        <w:t>主控制室</w:t>
      </w:r>
      <w:r>
        <w:rPr>
          <w:rFonts w:hint="eastAsia"/>
        </w:rPr>
        <w:t>大气弥散因子计算中，可视具体情况考虑浮力抬升或者机械喷射作用引起的烟羽抬升对释放高度的影响。烟羽抬升计算的参考模型</w:t>
      </w:r>
      <w:r w:rsidR="002C13A3">
        <w:rPr>
          <w:rFonts w:hint="eastAsia"/>
        </w:rPr>
        <w:t>可</w:t>
      </w:r>
      <w:r>
        <w:rPr>
          <w:rFonts w:hint="eastAsia"/>
        </w:rPr>
        <w:t>参见《</w:t>
      </w:r>
      <w:r w:rsidRPr="00095216">
        <w:rPr>
          <w:rFonts w:hint="eastAsia"/>
        </w:rPr>
        <w:t>NB/T 20531-2018  核电厂</w:t>
      </w:r>
      <w:r w:rsidR="00483D97">
        <w:rPr>
          <w:rFonts w:hint="eastAsia"/>
        </w:rPr>
        <w:t>主控制室</w:t>
      </w:r>
      <w:r w:rsidRPr="00095216">
        <w:rPr>
          <w:rFonts w:hint="eastAsia"/>
        </w:rPr>
        <w:t>可居留性评价用大气弥散因子分析方法》</w:t>
      </w:r>
      <w:r>
        <w:rPr>
          <w:rFonts w:hint="eastAsia"/>
        </w:rPr>
        <w:t>附录D</w:t>
      </w:r>
      <w:r w:rsidR="002C13A3">
        <w:rPr>
          <w:rFonts w:hint="eastAsia"/>
        </w:rPr>
        <w:t>；也可以保守地认为不存在抬升。</w:t>
      </w:r>
    </w:p>
    <w:p w14:paraId="67E2D8AC" w14:textId="77777777" w:rsidR="005B729D" w:rsidRDefault="00B61451" w:rsidP="00B61451">
      <w:pPr>
        <w:pStyle w:val="affc"/>
        <w:spacing w:before="312" w:after="312"/>
      </w:pPr>
      <w:bookmarkStart w:id="52" w:name="_Toc199150130"/>
      <w:bookmarkEnd w:id="50"/>
      <w:r w:rsidRPr="00B61451">
        <w:rPr>
          <w:rFonts w:hint="eastAsia"/>
        </w:rPr>
        <w:t>典型事故的选取</w:t>
      </w:r>
      <w:bookmarkEnd w:id="52"/>
    </w:p>
    <w:p w14:paraId="349FC808" w14:textId="1ADE655C" w:rsidR="00B61451" w:rsidRDefault="009B2281" w:rsidP="009B2281">
      <w:pPr>
        <w:pStyle w:val="affffb"/>
        <w:ind w:firstLine="420"/>
      </w:pPr>
      <w:r w:rsidRPr="009B2281">
        <w:rPr>
          <w:rFonts w:hint="eastAsia"/>
        </w:rPr>
        <w:t>选择设计基准事故（IV类）中的压力容器和一回路隔离阀之间一根DN65mm大连管断裂事故和设计基准事故（III类）中的蒸汽发生器一根传热管双端断裂事故进行主控制室综合体可居留性的评估，以保证评估结论可以包络其他事故工况。</w:t>
      </w:r>
    </w:p>
    <w:p w14:paraId="3ADC9D64" w14:textId="7E63555C" w:rsidR="00B61451" w:rsidRDefault="00B61451" w:rsidP="00B61451">
      <w:pPr>
        <w:pStyle w:val="affc"/>
        <w:spacing w:before="312" w:after="312"/>
      </w:pPr>
      <w:bookmarkStart w:id="53" w:name="_Toc199150131"/>
      <w:r w:rsidRPr="00B61451">
        <w:rPr>
          <w:rFonts w:hint="eastAsia"/>
        </w:rPr>
        <w:t>空气净化系统的运行状态考虑</w:t>
      </w:r>
      <w:bookmarkEnd w:id="53"/>
    </w:p>
    <w:p w14:paraId="039E9249" w14:textId="1BBCC27B" w:rsidR="00F125A3" w:rsidRDefault="00F125A3" w:rsidP="00F125A3">
      <w:pPr>
        <w:pStyle w:val="affffb"/>
        <w:ind w:firstLineChars="0" w:firstLine="0"/>
      </w:pPr>
      <w:r>
        <w:rPr>
          <w:rFonts w:hint="eastAsia"/>
        </w:rPr>
        <w:t xml:space="preserve">8.1 </w:t>
      </w:r>
      <w:bookmarkStart w:id="54" w:name="OLE_LINK9"/>
      <w:r>
        <w:rPr>
          <w:rFonts w:hint="eastAsia"/>
        </w:rPr>
        <w:t>非安全级事故通风系统</w:t>
      </w:r>
      <w:bookmarkEnd w:id="54"/>
    </w:p>
    <w:p w14:paraId="5E6F7E43" w14:textId="17A2ADCA" w:rsidR="00F125A3" w:rsidRDefault="00F125A3" w:rsidP="00F125A3">
      <w:pPr>
        <w:pStyle w:val="affffb"/>
        <w:ind w:firstLine="420"/>
      </w:pPr>
      <w:r>
        <w:rPr>
          <w:rFonts w:hint="eastAsia"/>
        </w:rPr>
        <w:t>假设</w:t>
      </w:r>
      <w:r w:rsidR="00483D97">
        <w:rPr>
          <w:rFonts w:hint="eastAsia"/>
        </w:rPr>
        <w:t>主控制室</w:t>
      </w:r>
      <w:r>
        <w:rPr>
          <w:rFonts w:hint="eastAsia"/>
        </w:rPr>
        <w:t>与外环境连通，则主控制室综合体内工作人员同时受到如下两种途径的照射：</w:t>
      </w:r>
    </w:p>
    <w:p w14:paraId="764BC0A8" w14:textId="77777777" w:rsidR="00F125A3" w:rsidRDefault="00F125A3" w:rsidP="00F125A3">
      <w:pPr>
        <w:pStyle w:val="affffb"/>
        <w:ind w:firstLine="420"/>
      </w:pPr>
      <w:r>
        <w:rPr>
          <w:rFonts w:hint="eastAsia"/>
        </w:rPr>
        <w:t>a.放射性烟羽直接对主控制室综合体工作人员产生的浸没外照射；</w:t>
      </w:r>
    </w:p>
    <w:p w14:paraId="76A6B475" w14:textId="532AD196" w:rsidR="00B61451" w:rsidRDefault="00F125A3" w:rsidP="00F125A3">
      <w:pPr>
        <w:pStyle w:val="affffb"/>
        <w:ind w:firstLine="420"/>
      </w:pPr>
      <w:r>
        <w:rPr>
          <w:rFonts w:hint="eastAsia"/>
        </w:rPr>
        <w:t>b.工作人员吸入放射性物质所形成的内照射。</w:t>
      </w:r>
    </w:p>
    <w:p w14:paraId="491AFF82" w14:textId="72F42A17" w:rsidR="00F125A3" w:rsidRDefault="00F125A3" w:rsidP="00F125A3">
      <w:pPr>
        <w:pStyle w:val="affffb"/>
        <w:ind w:firstLineChars="0" w:firstLine="0"/>
      </w:pPr>
      <w:r>
        <w:rPr>
          <w:rFonts w:hint="eastAsia"/>
        </w:rPr>
        <w:t xml:space="preserve">8.2 </w:t>
      </w:r>
      <w:bookmarkStart w:id="55" w:name="OLE_LINK10"/>
      <w:r w:rsidRPr="00F125A3">
        <w:rPr>
          <w:rFonts w:hint="eastAsia"/>
        </w:rPr>
        <w:t>安全级事故通风系统</w:t>
      </w:r>
      <w:bookmarkEnd w:id="55"/>
    </w:p>
    <w:p w14:paraId="604D3180" w14:textId="64CA6538" w:rsidR="00AF2449" w:rsidRDefault="00F125A3" w:rsidP="00F125A3">
      <w:pPr>
        <w:pStyle w:val="affffb"/>
        <w:ind w:firstLine="420"/>
      </w:pPr>
      <w:r w:rsidRPr="00F125A3">
        <w:rPr>
          <w:rFonts w:hint="eastAsia"/>
        </w:rPr>
        <w:t>在事故情况下，主控制室综合体正常进风口关闭，事故进风口打开，新风由此进入。新风与循环空气混合，经过过滤后送入主控制室综合体。</w:t>
      </w:r>
      <w:r w:rsidR="00AF2449">
        <w:rPr>
          <w:rFonts w:hint="eastAsia"/>
        </w:rPr>
        <w:t>需要考虑</w:t>
      </w:r>
      <w:r w:rsidR="00AF2449" w:rsidRPr="00F125A3">
        <w:rPr>
          <w:rFonts w:hint="eastAsia"/>
        </w:rPr>
        <w:t>进风过滤器对粒子的总去除率</w:t>
      </w:r>
      <w:r w:rsidR="00AF2449">
        <w:rPr>
          <w:rFonts w:hint="eastAsia"/>
        </w:rPr>
        <w:t>、</w:t>
      </w:r>
      <w:r w:rsidR="00AF2449" w:rsidRPr="00F125A3">
        <w:rPr>
          <w:rFonts w:hint="eastAsia"/>
        </w:rPr>
        <w:t>分子碘总去除率</w:t>
      </w:r>
      <w:r w:rsidR="00AF2449">
        <w:rPr>
          <w:rFonts w:hint="eastAsia"/>
        </w:rPr>
        <w:t>、</w:t>
      </w:r>
      <w:r w:rsidR="00AF2449" w:rsidRPr="00F125A3">
        <w:rPr>
          <w:rFonts w:hint="eastAsia"/>
        </w:rPr>
        <w:t>甲基碘总去除率</w:t>
      </w:r>
      <w:r w:rsidR="00AF2449">
        <w:rPr>
          <w:rFonts w:hint="eastAsia"/>
        </w:rPr>
        <w:t>和</w:t>
      </w:r>
      <w:r w:rsidR="00AF2449" w:rsidRPr="00F125A3">
        <w:rPr>
          <w:rFonts w:hint="eastAsia"/>
        </w:rPr>
        <w:t>气体循环去除率</w:t>
      </w:r>
      <w:r w:rsidR="00580C48">
        <w:rPr>
          <w:rFonts w:hint="eastAsia"/>
        </w:rPr>
        <w:t>；并考虑内渗量的影响。</w:t>
      </w:r>
    </w:p>
    <w:p w14:paraId="5223BD50" w14:textId="349F5412" w:rsidR="00B61451" w:rsidRDefault="00B61451" w:rsidP="00B61451">
      <w:pPr>
        <w:pStyle w:val="affc"/>
        <w:spacing w:before="312" w:after="312"/>
      </w:pPr>
      <w:bookmarkStart w:id="56" w:name="_Toc199150132"/>
      <w:r w:rsidRPr="00B61451">
        <w:rPr>
          <w:rFonts w:hint="eastAsia"/>
        </w:rPr>
        <w:t>照射途径</w:t>
      </w:r>
      <w:bookmarkEnd w:id="56"/>
    </w:p>
    <w:p w14:paraId="727A39AF" w14:textId="77777777" w:rsidR="003618D6" w:rsidRDefault="003618D6" w:rsidP="003618D6">
      <w:pPr>
        <w:pStyle w:val="affffb"/>
        <w:ind w:firstLine="420"/>
      </w:pPr>
      <w:r>
        <w:rPr>
          <w:rFonts w:hint="eastAsia"/>
        </w:rPr>
        <w:t>在估计事故放射性对主控制室综合体工作人员释放引起的辐射剂量时，考虑了以下的照射途径：</w:t>
      </w:r>
    </w:p>
    <w:p w14:paraId="5603F24C" w14:textId="560F0FBA" w:rsidR="003618D6" w:rsidRDefault="003618D6" w:rsidP="003618D6">
      <w:pPr>
        <w:pStyle w:val="affffb"/>
        <w:ind w:firstLine="420"/>
      </w:pPr>
      <w:r>
        <w:rPr>
          <w:rFonts w:hint="eastAsia"/>
        </w:rPr>
        <w:t>a 室外放射性烟羽对主控制室综合体工作人员产生的外照射；</w:t>
      </w:r>
    </w:p>
    <w:p w14:paraId="70733409" w14:textId="17F5609C" w:rsidR="003618D6" w:rsidRDefault="003618D6" w:rsidP="003618D6">
      <w:pPr>
        <w:pStyle w:val="affffb"/>
        <w:ind w:firstLine="420"/>
      </w:pPr>
      <w:r>
        <w:rPr>
          <w:rFonts w:hint="eastAsia"/>
        </w:rPr>
        <w:t>b 进入</w:t>
      </w:r>
      <w:r w:rsidR="00483D97">
        <w:rPr>
          <w:rFonts w:hint="eastAsia"/>
        </w:rPr>
        <w:t>主控制室</w:t>
      </w:r>
      <w:r>
        <w:rPr>
          <w:rFonts w:hint="eastAsia"/>
        </w:rPr>
        <w:t>综合体的放射性物质对工作人员产生的外照射；</w:t>
      </w:r>
    </w:p>
    <w:p w14:paraId="0EA022BA" w14:textId="3BC48C0B" w:rsidR="003618D6" w:rsidRDefault="003618D6" w:rsidP="003618D6">
      <w:pPr>
        <w:pStyle w:val="affffb"/>
        <w:ind w:firstLine="420"/>
      </w:pPr>
      <w:r>
        <w:rPr>
          <w:rFonts w:hint="eastAsia"/>
        </w:rPr>
        <w:t>c 工作人员吸入主控制室综合体中放射性物质所形成的内照射。</w:t>
      </w:r>
    </w:p>
    <w:p w14:paraId="4FE3BC65" w14:textId="77777777" w:rsidR="00C44A2C" w:rsidRDefault="00C44A2C" w:rsidP="003618D6">
      <w:pPr>
        <w:pStyle w:val="affffb"/>
        <w:ind w:firstLine="420"/>
      </w:pPr>
    </w:p>
    <w:p w14:paraId="3060EAF3" w14:textId="11A3B1AC" w:rsidR="003618D6" w:rsidRDefault="003618D6" w:rsidP="003618D6">
      <w:pPr>
        <w:pStyle w:val="affffb"/>
        <w:ind w:firstLine="420"/>
      </w:pPr>
      <w:r>
        <w:rPr>
          <w:rFonts w:hint="eastAsia"/>
        </w:rPr>
        <w:t>对于主控制室综合体工作人员甲状腺的辐射剂量，考虑了以下的照射途径：</w:t>
      </w:r>
    </w:p>
    <w:p w14:paraId="1465FBEA" w14:textId="11223AA8" w:rsidR="00B61451" w:rsidRPr="003618D6" w:rsidRDefault="003618D6" w:rsidP="003618D6">
      <w:pPr>
        <w:pStyle w:val="affffb"/>
        <w:ind w:firstLine="420"/>
      </w:pPr>
      <w:r>
        <w:rPr>
          <w:rFonts w:hint="eastAsia"/>
        </w:rPr>
        <w:t>可居留区域人员吸入放射性物质对甲状腺形成的内照射。</w:t>
      </w:r>
    </w:p>
    <w:p w14:paraId="744D90FA" w14:textId="77777777" w:rsidR="00B61451" w:rsidRDefault="00B61451" w:rsidP="00B61451">
      <w:pPr>
        <w:pStyle w:val="affffb"/>
        <w:ind w:firstLine="420"/>
      </w:pPr>
    </w:p>
    <w:p w14:paraId="759C54CD" w14:textId="5E91123E" w:rsidR="00B61451" w:rsidRDefault="00B61451" w:rsidP="00B61451">
      <w:pPr>
        <w:pStyle w:val="affc"/>
        <w:spacing w:before="312" w:after="312"/>
      </w:pPr>
      <w:bookmarkStart w:id="57" w:name="_Toc199150133"/>
      <w:r>
        <w:rPr>
          <w:rFonts w:hint="eastAsia"/>
        </w:rPr>
        <w:t>剂量评估方法</w:t>
      </w:r>
      <w:bookmarkEnd w:id="57"/>
    </w:p>
    <w:p w14:paraId="6F5556EE" w14:textId="77777777" w:rsidR="003618D6" w:rsidRDefault="003618D6" w:rsidP="003618D6">
      <w:pPr>
        <w:pStyle w:val="affffb"/>
        <w:ind w:firstLine="420"/>
      </w:pPr>
      <w:r>
        <w:rPr>
          <w:rFonts w:hint="eastAsia"/>
        </w:rPr>
        <w:lastRenderedPageBreak/>
        <w:t>开展有效剂量与甲状腺剂量评估。</w:t>
      </w:r>
    </w:p>
    <w:p w14:paraId="37F4EB10" w14:textId="0384C5D0" w:rsidR="003618D6" w:rsidRDefault="003618D6" w:rsidP="00AC036C">
      <w:pPr>
        <w:pStyle w:val="affffb"/>
        <w:ind w:firstLine="420"/>
      </w:pPr>
      <w:r>
        <w:rPr>
          <w:rFonts w:hint="eastAsia"/>
        </w:rPr>
        <w:t>1. 非安全级事故通风系统：</w:t>
      </w:r>
      <w:r w:rsidR="00F90319">
        <w:rPr>
          <w:rFonts w:hint="eastAsia"/>
        </w:rPr>
        <w:t>按本标准第5章</w:t>
      </w:r>
      <w:r>
        <w:rPr>
          <w:rFonts w:hint="eastAsia"/>
        </w:rPr>
        <w:t>计算弥散因子，</w:t>
      </w:r>
      <w:r w:rsidR="00F90319">
        <w:rPr>
          <w:rFonts w:hint="eastAsia"/>
        </w:rPr>
        <w:t>按本标准8</w:t>
      </w:r>
      <w:r w:rsidR="00F90319">
        <w:t>.1</w:t>
      </w:r>
      <w:r w:rsidR="00F90319">
        <w:rPr>
          <w:rFonts w:hint="eastAsia"/>
        </w:rPr>
        <w:t>节假设主控制室内外连通的情况，</w:t>
      </w:r>
      <w:r>
        <w:rPr>
          <w:rFonts w:hint="eastAsia"/>
        </w:rPr>
        <w:t>计算</w:t>
      </w:r>
      <w:r w:rsidR="00483D97">
        <w:rPr>
          <w:rFonts w:hint="eastAsia"/>
        </w:rPr>
        <w:t>主控制室</w:t>
      </w:r>
      <w:r>
        <w:rPr>
          <w:rFonts w:hint="eastAsia"/>
        </w:rPr>
        <w:t>进风口位置核素浓度，按事故时间，呼吸率，居留因子计算内照射剂量，再与外照射剂量累加。</w:t>
      </w:r>
    </w:p>
    <w:p w14:paraId="238C87B3" w14:textId="34CB1445" w:rsidR="00B61451" w:rsidRDefault="003618D6" w:rsidP="003618D6">
      <w:pPr>
        <w:pStyle w:val="affffb"/>
        <w:ind w:firstLine="420"/>
      </w:pPr>
      <w:r>
        <w:rPr>
          <w:rFonts w:hint="eastAsia"/>
        </w:rPr>
        <w:t>2. 安全级事故通风系统：</w:t>
      </w:r>
      <w:r w:rsidR="00580C48">
        <w:rPr>
          <w:rFonts w:hint="eastAsia"/>
        </w:rPr>
        <w:t>按本标准第5章计算弥散因子，</w:t>
      </w:r>
      <w:r w:rsidR="00D844D8">
        <w:rPr>
          <w:rFonts w:hint="eastAsia"/>
        </w:rPr>
        <w:t>计算主控制室进风口位置核素浓度，</w:t>
      </w:r>
      <w:r w:rsidR="00580C48">
        <w:rPr>
          <w:rFonts w:hint="eastAsia"/>
        </w:rPr>
        <w:t>按本标准8</w:t>
      </w:r>
      <w:r w:rsidR="00580C48">
        <w:t>.1</w:t>
      </w:r>
      <w:r w:rsidR="00580C48">
        <w:rPr>
          <w:rFonts w:hint="eastAsia"/>
        </w:rPr>
        <w:t>节的考虑</w:t>
      </w:r>
      <w:r w:rsidR="00D844D8">
        <w:rPr>
          <w:rFonts w:hint="eastAsia"/>
        </w:rPr>
        <w:t>，</w:t>
      </w:r>
      <w:r>
        <w:rPr>
          <w:rFonts w:hint="eastAsia"/>
        </w:rPr>
        <w:t>按通风系统过滤效率、事故进风口的空气总流量、内渗量计算进入</w:t>
      </w:r>
      <w:r w:rsidR="00483D97">
        <w:rPr>
          <w:rFonts w:hint="eastAsia"/>
        </w:rPr>
        <w:t>主控制室</w:t>
      </w:r>
      <w:r>
        <w:rPr>
          <w:rFonts w:hint="eastAsia"/>
        </w:rPr>
        <w:t>的核素浓度，按事故时间，呼吸率，居留因子计算内照射剂量，再与外照射剂量累加。</w:t>
      </w:r>
    </w:p>
    <w:p w14:paraId="14F76735" w14:textId="145058C3" w:rsidR="00AC036C" w:rsidRDefault="00AC036C" w:rsidP="00AC036C">
      <w:pPr>
        <w:pStyle w:val="affffb"/>
        <w:ind w:firstLineChars="0" w:firstLine="0"/>
        <w:jc w:val="center"/>
      </w:pPr>
      <w:bookmarkStart w:id="58" w:name="_Toc194093765"/>
      <w:r>
        <w:t>计算</w:t>
      </w:r>
      <w:r w:rsidR="00483D97">
        <w:t>主控制室</w:t>
      </w:r>
      <w:r>
        <w:t>中人员吸入剂量的有关参数</w:t>
      </w:r>
      <w:bookmarkEnd w:id="58"/>
    </w:p>
    <w:tbl>
      <w:tblPr>
        <w:tblW w:w="6159" w:type="dxa"/>
        <w:jc w:val="center"/>
        <w:tblBorders>
          <w:top w:val="single" w:sz="4" w:space="0" w:color="000000"/>
          <w:bottom w:val="single" w:sz="4" w:space="0" w:color="000000"/>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3624"/>
        <w:gridCol w:w="1354"/>
        <w:gridCol w:w="1181"/>
      </w:tblGrid>
      <w:tr w:rsidR="00AC036C" w14:paraId="7530B0E3" w14:textId="77777777" w:rsidTr="00BE2411">
        <w:trPr>
          <w:jc w:val="center"/>
        </w:trPr>
        <w:tc>
          <w:tcPr>
            <w:tcW w:w="3624" w:type="dxa"/>
            <w:tcBorders>
              <w:top w:val="single" w:sz="4" w:space="0" w:color="000000"/>
              <w:left w:val="single" w:sz="4" w:space="0" w:color="auto"/>
              <w:bottom w:val="single" w:sz="4" w:space="0" w:color="000000"/>
              <w:right w:val="single" w:sz="4" w:space="0" w:color="000000"/>
            </w:tcBorders>
          </w:tcPr>
          <w:p w14:paraId="723F0948" w14:textId="77777777" w:rsidR="00AC036C" w:rsidRDefault="00AC036C" w:rsidP="00BE2411">
            <w:pPr>
              <w:jc w:val="center"/>
              <w:rPr>
                <w:rStyle w:val="NormalCharacter"/>
                <w:sz w:val="24"/>
              </w:rPr>
            </w:pPr>
            <w:r>
              <w:rPr>
                <w:rStyle w:val="NormalCharacter"/>
                <w:sz w:val="24"/>
              </w:rPr>
              <w:t>参数</w:t>
            </w:r>
          </w:p>
        </w:tc>
        <w:tc>
          <w:tcPr>
            <w:tcW w:w="1354" w:type="dxa"/>
            <w:tcBorders>
              <w:top w:val="single" w:sz="4" w:space="0" w:color="000000"/>
              <w:left w:val="single" w:sz="4" w:space="0" w:color="000000"/>
              <w:bottom w:val="single" w:sz="4" w:space="0" w:color="000000"/>
              <w:right w:val="single" w:sz="4" w:space="0" w:color="000000"/>
            </w:tcBorders>
          </w:tcPr>
          <w:p w14:paraId="775415B9" w14:textId="77777777" w:rsidR="00AC036C" w:rsidRDefault="00AC036C" w:rsidP="00BE2411">
            <w:pPr>
              <w:jc w:val="center"/>
              <w:rPr>
                <w:rStyle w:val="NormalCharacter"/>
                <w:sz w:val="24"/>
              </w:rPr>
            </w:pPr>
            <w:r>
              <w:rPr>
                <w:rStyle w:val="NormalCharacter"/>
                <w:sz w:val="24"/>
              </w:rPr>
              <w:t>取值</w:t>
            </w:r>
          </w:p>
        </w:tc>
        <w:tc>
          <w:tcPr>
            <w:tcW w:w="1181" w:type="dxa"/>
            <w:tcBorders>
              <w:top w:val="single" w:sz="4" w:space="0" w:color="000000"/>
              <w:left w:val="single" w:sz="4" w:space="0" w:color="000000"/>
              <w:bottom w:val="single" w:sz="4" w:space="0" w:color="000000"/>
              <w:right w:val="single" w:sz="4" w:space="0" w:color="auto"/>
            </w:tcBorders>
          </w:tcPr>
          <w:p w14:paraId="6FD26319" w14:textId="77777777" w:rsidR="00AC036C" w:rsidRDefault="00AC036C" w:rsidP="00BE2411">
            <w:pPr>
              <w:jc w:val="center"/>
              <w:rPr>
                <w:rStyle w:val="NormalCharacter"/>
                <w:sz w:val="24"/>
              </w:rPr>
            </w:pPr>
            <w:r>
              <w:rPr>
                <w:rStyle w:val="NormalCharacter"/>
                <w:sz w:val="24"/>
              </w:rPr>
              <w:t>单位</w:t>
            </w:r>
          </w:p>
        </w:tc>
      </w:tr>
      <w:tr w:rsidR="00AC036C" w14:paraId="4066A6D2" w14:textId="77777777" w:rsidTr="00BE2411">
        <w:trPr>
          <w:jc w:val="center"/>
        </w:trPr>
        <w:tc>
          <w:tcPr>
            <w:tcW w:w="3624" w:type="dxa"/>
            <w:tcBorders>
              <w:top w:val="single" w:sz="4" w:space="0" w:color="000000"/>
              <w:left w:val="single" w:sz="4" w:space="0" w:color="auto"/>
              <w:bottom w:val="nil"/>
              <w:right w:val="single" w:sz="4" w:space="0" w:color="000000"/>
            </w:tcBorders>
          </w:tcPr>
          <w:p w14:paraId="67FEE993" w14:textId="77777777" w:rsidR="00AC036C" w:rsidRDefault="00AC036C" w:rsidP="00BE2411">
            <w:pPr>
              <w:jc w:val="left"/>
              <w:rPr>
                <w:rStyle w:val="NormalCharacter"/>
                <w:sz w:val="24"/>
              </w:rPr>
            </w:pPr>
            <w:r>
              <w:rPr>
                <w:rStyle w:val="NormalCharacter"/>
                <w:sz w:val="24"/>
              </w:rPr>
              <w:t>呼吸率</w:t>
            </w:r>
          </w:p>
        </w:tc>
        <w:tc>
          <w:tcPr>
            <w:tcW w:w="1354" w:type="dxa"/>
            <w:tcBorders>
              <w:top w:val="single" w:sz="4" w:space="0" w:color="000000"/>
              <w:left w:val="single" w:sz="4" w:space="0" w:color="000000"/>
              <w:bottom w:val="nil"/>
              <w:right w:val="single" w:sz="4" w:space="0" w:color="000000"/>
            </w:tcBorders>
          </w:tcPr>
          <w:p w14:paraId="3953A902" w14:textId="77777777" w:rsidR="00AC036C" w:rsidRDefault="00AC036C" w:rsidP="00BE2411">
            <w:pPr>
              <w:spacing w:line="360" w:lineRule="auto"/>
              <w:jc w:val="center"/>
              <w:rPr>
                <w:rStyle w:val="NormalCharacter"/>
                <w:sz w:val="24"/>
                <w:vertAlign w:val="superscript"/>
              </w:rPr>
            </w:pPr>
          </w:p>
        </w:tc>
        <w:tc>
          <w:tcPr>
            <w:tcW w:w="1181" w:type="dxa"/>
            <w:tcBorders>
              <w:top w:val="single" w:sz="4" w:space="0" w:color="000000"/>
              <w:left w:val="single" w:sz="4" w:space="0" w:color="000000"/>
              <w:bottom w:val="nil"/>
              <w:right w:val="single" w:sz="4" w:space="0" w:color="auto"/>
            </w:tcBorders>
          </w:tcPr>
          <w:p w14:paraId="59878E30" w14:textId="77777777" w:rsidR="00AC036C" w:rsidRDefault="00AC036C" w:rsidP="00BE2411">
            <w:pPr>
              <w:spacing w:line="360" w:lineRule="auto"/>
              <w:jc w:val="center"/>
              <w:rPr>
                <w:rStyle w:val="NormalCharacter"/>
                <w:sz w:val="24"/>
              </w:rPr>
            </w:pPr>
          </w:p>
        </w:tc>
      </w:tr>
      <w:tr w:rsidR="00AC036C" w14:paraId="5DDFCBF8" w14:textId="77777777" w:rsidTr="00BE2411">
        <w:trPr>
          <w:jc w:val="center"/>
        </w:trPr>
        <w:tc>
          <w:tcPr>
            <w:tcW w:w="3624" w:type="dxa"/>
            <w:tcBorders>
              <w:top w:val="nil"/>
              <w:left w:val="single" w:sz="4" w:space="0" w:color="auto"/>
              <w:bottom w:val="nil"/>
              <w:right w:val="single" w:sz="4" w:space="0" w:color="000000"/>
            </w:tcBorders>
          </w:tcPr>
          <w:p w14:paraId="3D1AA8E5" w14:textId="77777777" w:rsidR="00AC036C" w:rsidRDefault="00AC036C" w:rsidP="00BE2411">
            <w:pPr>
              <w:jc w:val="center"/>
              <w:rPr>
                <w:rStyle w:val="NormalCharacter"/>
                <w:sz w:val="24"/>
              </w:rPr>
            </w:pPr>
            <w:r>
              <w:rPr>
                <w:rStyle w:val="NormalCharacter"/>
                <w:sz w:val="24"/>
              </w:rPr>
              <w:t>事故后</w:t>
            </w:r>
            <w:r>
              <w:rPr>
                <w:rStyle w:val="NormalCharacter"/>
                <w:sz w:val="24"/>
              </w:rPr>
              <w:t>0-8</w:t>
            </w:r>
            <w:r>
              <w:rPr>
                <w:rStyle w:val="NormalCharacter"/>
                <w:sz w:val="24"/>
              </w:rPr>
              <w:t>小时</w:t>
            </w:r>
            <w:r>
              <w:rPr>
                <w:rStyle w:val="NormalCharacter"/>
                <w:sz w:val="24"/>
              </w:rPr>
              <w:t xml:space="preserve"> </w:t>
            </w:r>
          </w:p>
        </w:tc>
        <w:tc>
          <w:tcPr>
            <w:tcW w:w="1354" w:type="dxa"/>
            <w:tcBorders>
              <w:top w:val="nil"/>
              <w:left w:val="single" w:sz="4" w:space="0" w:color="000000"/>
              <w:bottom w:val="nil"/>
              <w:right w:val="single" w:sz="4" w:space="0" w:color="000000"/>
            </w:tcBorders>
          </w:tcPr>
          <w:p w14:paraId="42CE3487" w14:textId="77777777" w:rsidR="00AC036C" w:rsidRDefault="00AC036C" w:rsidP="00BE2411">
            <w:pPr>
              <w:spacing w:line="360" w:lineRule="auto"/>
              <w:jc w:val="center"/>
              <w:rPr>
                <w:rStyle w:val="NormalCharacter"/>
                <w:sz w:val="24"/>
              </w:rPr>
            </w:pPr>
            <w:r>
              <w:rPr>
                <w:rStyle w:val="NormalCharacter"/>
                <w:sz w:val="24"/>
              </w:rPr>
              <w:t>3.5×10</w:t>
            </w:r>
            <w:r>
              <w:rPr>
                <w:rStyle w:val="NormalCharacter"/>
                <w:sz w:val="24"/>
                <w:vertAlign w:val="superscript"/>
              </w:rPr>
              <w:t>-4</w:t>
            </w:r>
          </w:p>
        </w:tc>
        <w:tc>
          <w:tcPr>
            <w:tcW w:w="1181" w:type="dxa"/>
            <w:tcBorders>
              <w:top w:val="nil"/>
              <w:left w:val="single" w:sz="4" w:space="0" w:color="000000"/>
              <w:bottom w:val="nil"/>
              <w:right w:val="single" w:sz="4" w:space="0" w:color="auto"/>
            </w:tcBorders>
          </w:tcPr>
          <w:p w14:paraId="7BC208FD" w14:textId="77777777" w:rsidR="00AC036C" w:rsidRDefault="00AC036C" w:rsidP="00BE2411">
            <w:pPr>
              <w:spacing w:line="360" w:lineRule="auto"/>
              <w:jc w:val="center"/>
              <w:rPr>
                <w:rStyle w:val="NormalCharacter"/>
                <w:sz w:val="24"/>
              </w:rPr>
            </w:pPr>
            <w:r>
              <w:rPr>
                <w:rStyle w:val="NormalCharacter"/>
                <w:sz w:val="24"/>
              </w:rPr>
              <w:t>m</w:t>
            </w:r>
            <w:r>
              <w:rPr>
                <w:rStyle w:val="NormalCharacter"/>
                <w:sz w:val="24"/>
                <w:vertAlign w:val="superscript"/>
              </w:rPr>
              <w:t>3</w:t>
            </w:r>
            <w:r>
              <w:rPr>
                <w:rStyle w:val="NormalCharacter"/>
                <w:sz w:val="24"/>
              </w:rPr>
              <w:t>/s</w:t>
            </w:r>
          </w:p>
        </w:tc>
      </w:tr>
      <w:tr w:rsidR="00AC036C" w14:paraId="3F7FD752" w14:textId="77777777" w:rsidTr="00BE2411">
        <w:trPr>
          <w:jc w:val="center"/>
        </w:trPr>
        <w:tc>
          <w:tcPr>
            <w:tcW w:w="3624" w:type="dxa"/>
            <w:tcBorders>
              <w:top w:val="nil"/>
              <w:left w:val="single" w:sz="4" w:space="0" w:color="auto"/>
              <w:bottom w:val="nil"/>
              <w:right w:val="single" w:sz="4" w:space="0" w:color="000000"/>
            </w:tcBorders>
          </w:tcPr>
          <w:p w14:paraId="6DA0BEE2" w14:textId="77777777" w:rsidR="00AC036C" w:rsidRDefault="00AC036C" w:rsidP="00BE2411">
            <w:pPr>
              <w:jc w:val="center"/>
              <w:rPr>
                <w:rStyle w:val="NormalCharacter"/>
                <w:sz w:val="24"/>
              </w:rPr>
            </w:pPr>
            <w:r>
              <w:rPr>
                <w:rStyle w:val="NormalCharacter"/>
                <w:sz w:val="24"/>
              </w:rPr>
              <w:t>事故后</w:t>
            </w:r>
            <w:r>
              <w:rPr>
                <w:rStyle w:val="NormalCharacter"/>
                <w:sz w:val="24"/>
              </w:rPr>
              <w:t>8-24</w:t>
            </w:r>
            <w:r>
              <w:rPr>
                <w:rStyle w:val="NormalCharacter"/>
                <w:sz w:val="24"/>
              </w:rPr>
              <w:t>小时</w:t>
            </w:r>
          </w:p>
        </w:tc>
        <w:tc>
          <w:tcPr>
            <w:tcW w:w="1354" w:type="dxa"/>
            <w:tcBorders>
              <w:top w:val="nil"/>
              <w:left w:val="single" w:sz="4" w:space="0" w:color="000000"/>
              <w:bottom w:val="nil"/>
              <w:right w:val="single" w:sz="4" w:space="0" w:color="000000"/>
            </w:tcBorders>
          </w:tcPr>
          <w:p w14:paraId="4AC7E37B" w14:textId="77777777" w:rsidR="00AC036C" w:rsidRDefault="00AC036C" w:rsidP="00BE2411">
            <w:pPr>
              <w:spacing w:line="360" w:lineRule="auto"/>
              <w:jc w:val="center"/>
              <w:rPr>
                <w:rStyle w:val="NormalCharacter"/>
                <w:sz w:val="24"/>
              </w:rPr>
            </w:pPr>
            <w:r>
              <w:rPr>
                <w:rStyle w:val="NormalCharacter"/>
                <w:sz w:val="24"/>
              </w:rPr>
              <w:t>1.8×10</w:t>
            </w:r>
            <w:r>
              <w:rPr>
                <w:rStyle w:val="NormalCharacter"/>
                <w:sz w:val="24"/>
                <w:vertAlign w:val="superscript"/>
              </w:rPr>
              <w:t>-4</w:t>
            </w:r>
          </w:p>
        </w:tc>
        <w:tc>
          <w:tcPr>
            <w:tcW w:w="1181" w:type="dxa"/>
            <w:tcBorders>
              <w:top w:val="nil"/>
              <w:left w:val="single" w:sz="4" w:space="0" w:color="000000"/>
              <w:bottom w:val="nil"/>
              <w:right w:val="single" w:sz="4" w:space="0" w:color="auto"/>
            </w:tcBorders>
          </w:tcPr>
          <w:p w14:paraId="716EB76D" w14:textId="77777777" w:rsidR="00AC036C" w:rsidRDefault="00AC036C" w:rsidP="00BE2411">
            <w:pPr>
              <w:spacing w:line="360" w:lineRule="auto"/>
              <w:jc w:val="center"/>
              <w:rPr>
                <w:rStyle w:val="NormalCharacter"/>
                <w:sz w:val="24"/>
              </w:rPr>
            </w:pPr>
            <w:r>
              <w:rPr>
                <w:rStyle w:val="NormalCharacter"/>
                <w:sz w:val="24"/>
              </w:rPr>
              <w:t>m</w:t>
            </w:r>
            <w:r>
              <w:rPr>
                <w:rStyle w:val="NormalCharacter"/>
                <w:sz w:val="24"/>
                <w:vertAlign w:val="superscript"/>
              </w:rPr>
              <w:t>3</w:t>
            </w:r>
            <w:r>
              <w:rPr>
                <w:rStyle w:val="NormalCharacter"/>
                <w:sz w:val="24"/>
              </w:rPr>
              <w:t>/s</w:t>
            </w:r>
          </w:p>
        </w:tc>
      </w:tr>
      <w:tr w:rsidR="00AC036C" w14:paraId="64121291" w14:textId="77777777" w:rsidTr="00BE2411">
        <w:trPr>
          <w:jc w:val="center"/>
        </w:trPr>
        <w:tc>
          <w:tcPr>
            <w:tcW w:w="3624" w:type="dxa"/>
            <w:tcBorders>
              <w:top w:val="nil"/>
              <w:left w:val="single" w:sz="4" w:space="0" w:color="auto"/>
              <w:bottom w:val="single" w:sz="4" w:space="0" w:color="000000"/>
              <w:right w:val="single" w:sz="4" w:space="0" w:color="000000"/>
            </w:tcBorders>
          </w:tcPr>
          <w:p w14:paraId="26742F0B" w14:textId="77777777" w:rsidR="00AC036C" w:rsidRDefault="00AC036C" w:rsidP="00BE2411">
            <w:pPr>
              <w:jc w:val="center"/>
              <w:rPr>
                <w:rStyle w:val="NormalCharacter"/>
                <w:sz w:val="24"/>
              </w:rPr>
            </w:pPr>
            <w:r>
              <w:rPr>
                <w:rStyle w:val="NormalCharacter"/>
                <w:sz w:val="24"/>
              </w:rPr>
              <w:t>事故后</w:t>
            </w:r>
            <w:r>
              <w:rPr>
                <w:rStyle w:val="NormalCharacter"/>
                <w:sz w:val="24"/>
              </w:rPr>
              <w:t>24</w:t>
            </w:r>
            <w:r>
              <w:rPr>
                <w:rStyle w:val="NormalCharacter"/>
                <w:sz w:val="24"/>
              </w:rPr>
              <w:t>小时</w:t>
            </w:r>
            <w:r>
              <w:rPr>
                <w:rStyle w:val="NormalCharacter"/>
                <w:sz w:val="24"/>
              </w:rPr>
              <w:t>-30</w:t>
            </w:r>
            <w:r>
              <w:rPr>
                <w:rStyle w:val="NormalCharacter"/>
                <w:sz w:val="24"/>
              </w:rPr>
              <w:t>天</w:t>
            </w:r>
          </w:p>
        </w:tc>
        <w:tc>
          <w:tcPr>
            <w:tcW w:w="1354" w:type="dxa"/>
            <w:tcBorders>
              <w:top w:val="nil"/>
              <w:left w:val="single" w:sz="4" w:space="0" w:color="000000"/>
              <w:bottom w:val="single" w:sz="4" w:space="0" w:color="000000"/>
              <w:right w:val="single" w:sz="4" w:space="0" w:color="000000"/>
            </w:tcBorders>
          </w:tcPr>
          <w:p w14:paraId="523D930F" w14:textId="77777777" w:rsidR="00AC036C" w:rsidRDefault="00AC036C" w:rsidP="00BE2411">
            <w:pPr>
              <w:spacing w:line="360" w:lineRule="auto"/>
              <w:jc w:val="center"/>
              <w:rPr>
                <w:rStyle w:val="NormalCharacter"/>
                <w:sz w:val="24"/>
              </w:rPr>
            </w:pPr>
            <w:r>
              <w:rPr>
                <w:rStyle w:val="NormalCharacter"/>
                <w:sz w:val="24"/>
              </w:rPr>
              <w:t>2.3×10</w:t>
            </w:r>
            <w:r>
              <w:rPr>
                <w:rStyle w:val="NormalCharacter"/>
                <w:sz w:val="24"/>
                <w:vertAlign w:val="superscript"/>
              </w:rPr>
              <w:t>-4</w:t>
            </w:r>
          </w:p>
        </w:tc>
        <w:tc>
          <w:tcPr>
            <w:tcW w:w="1181" w:type="dxa"/>
            <w:tcBorders>
              <w:top w:val="nil"/>
              <w:left w:val="single" w:sz="4" w:space="0" w:color="000000"/>
              <w:bottom w:val="single" w:sz="4" w:space="0" w:color="000000"/>
              <w:right w:val="single" w:sz="4" w:space="0" w:color="auto"/>
            </w:tcBorders>
          </w:tcPr>
          <w:p w14:paraId="1F3F8D07" w14:textId="77777777" w:rsidR="00AC036C" w:rsidRDefault="00AC036C" w:rsidP="00BE2411">
            <w:pPr>
              <w:spacing w:line="360" w:lineRule="auto"/>
              <w:jc w:val="center"/>
              <w:rPr>
                <w:rStyle w:val="NormalCharacter"/>
                <w:sz w:val="24"/>
              </w:rPr>
            </w:pPr>
            <w:r>
              <w:rPr>
                <w:rStyle w:val="NormalCharacter"/>
                <w:sz w:val="24"/>
              </w:rPr>
              <w:t>m</w:t>
            </w:r>
            <w:r>
              <w:rPr>
                <w:rStyle w:val="NormalCharacter"/>
                <w:sz w:val="24"/>
                <w:vertAlign w:val="superscript"/>
              </w:rPr>
              <w:t>3</w:t>
            </w:r>
            <w:r>
              <w:rPr>
                <w:rStyle w:val="NormalCharacter"/>
                <w:sz w:val="24"/>
              </w:rPr>
              <w:t>/s</w:t>
            </w:r>
          </w:p>
        </w:tc>
      </w:tr>
      <w:tr w:rsidR="00AC036C" w14:paraId="7D907FAE" w14:textId="77777777" w:rsidTr="00BE2411">
        <w:trPr>
          <w:jc w:val="center"/>
        </w:trPr>
        <w:tc>
          <w:tcPr>
            <w:tcW w:w="3624" w:type="dxa"/>
            <w:tcBorders>
              <w:top w:val="single" w:sz="4" w:space="0" w:color="000000"/>
              <w:left w:val="single" w:sz="4" w:space="0" w:color="auto"/>
              <w:bottom w:val="nil"/>
              <w:right w:val="single" w:sz="4" w:space="0" w:color="000000"/>
            </w:tcBorders>
          </w:tcPr>
          <w:p w14:paraId="245F3A64" w14:textId="77777777" w:rsidR="00AC036C" w:rsidRDefault="00AC036C" w:rsidP="00BE2411">
            <w:pPr>
              <w:jc w:val="left"/>
              <w:rPr>
                <w:rStyle w:val="NormalCharacter"/>
                <w:sz w:val="24"/>
              </w:rPr>
            </w:pPr>
            <w:r>
              <w:rPr>
                <w:rStyle w:val="NormalCharacter"/>
                <w:sz w:val="24"/>
              </w:rPr>
              <w:t>停留时间份额：</w:t>
            </w:r>
          </w:p>
        </w:tc>
        <w:tc>
          <w:tcPr>
            <w:tcW w:w="1354" w:type="dxa"/>
            <w:tcBorders>
              <w:top w:val="single" w:sz="4" w:space="0" w:color="000000"/>
              <w:left w:val="single" w:sz="4" w:space="0" w:color="000000"/>
              <w:bottom w:val="nil"/>
              <w:right w:val="single" w:sz="4" w:space="0" w:color="000000"/>
            </w:tcBorders>
          </w:tcPr>
          <w:p w14:paraId="744FCF83" w14:textId="77777777" w:rsidR="00AC036C" w:rsidRDefault="00AC036C" w:rsidP="00BE2411">
            <w:pPr>
              <w:spacing w:line="360" w:lineRule="auto"/>
              <w:jc w:val="center"/>
              <w:rPr>
                <w:rStyle w:val="NormalCharacter"/>
                <w:sz w:val="24"/>
              </w:rPr>
            </w:pPr>
          </w:p>
        </w:tc>
        <w:tc>
          <w:tcPr>
            <w:tcW w:w="1181" w:type="dxa"/>
            <w:tcBorders>
              <w:top w:val="single" w:sz="4" w:space="0" w:color="000000"/>
              <w:left w:val="single" w:sz="4" w:space="0" w:color="000000"/>
              <w:bottom w:val="nil"/>
              <w:right w:val="single" w:sz="4" w:space="0" w:color="auto"/>
            </w:tcBorders>
          </w:tcPr>
          <w:p w14:paraId="34D8D5D8" w14:textId="77777777" w:rsidR="00AC036C" w:rsidRDefault="00AC036C" w:rsidP="00BE2411">
            <w:pPr>
              <w:spacing w:line="360" w:lineRule="auto"/>
              <w:jc w:val="center"/>
              <w:rPr>
                <w:rStyle w:val="NormalCharacter"/>
                <w:sz w:val="24"/>
              </w:rPr>
            </w:pPr>
          </w:p>
        </w:tc>
      </w:tr>
      <w:tr w:rsidR="00AC036C" w14:paraId="2F908900" w14:textId="77777777" w:rsidTr="00BE2411">
        <w:trPr>
          <w:jc w:val="center"/>
        </w:trPr>
        <w:tc>
          <w:tcPr>
            <w:tcW w:w="3624" w:type="dxa"/>
            <w:tcBorders>
              <w:top w:val="nil"/>
              <w:left w:val="single" w:sz="4" w:space="0" w:color="auto"/>
              <w:bottom w:val="nil"/>
              <w:right w:val="single" w:sz="4" w:space="0" w:color="000000"/>
            </w:tcBorders>
          </w:tcPr>
          <w:p w14:paraId="2B7F299A" w14:textId="77777777" w:rsidR="00AC036C" w:rsidRDefault="00AC036C" w:rsidP="00BE2411">
            <w:pPr>
              <w:jc w:val="center"/>
              <w:rPr>
                <w:rStyle w:val="NormalCharacter"/>
                <w:sz w:val="24"/>
              </w:rPr>
            </w:pPr>
            <w:r>
              <w:rPr>
                <w:rStyle w:val="NormalCharacter"/>
                <w:sz w:val="24"/>
              </w:rPr>
              <w:t>事故后</w:t>
            </w:r>
            <w:r>
              <w:rPr>
                <w:rStyle w:val="NormalCharacter"/>
                <w:sz w:val="24"/>
              </w:rPr>
              <w:t>24</w:t>
            </w:r>
            <w:r>
              <w:rPr>
                <w:rStyle w:val="NormalCharacter"/>
                <w:sz w:val="24"/>
              </w:rPr>
              <w:t>小时内</w:t>
            </w:r>
          </w:p>
        </w:tc>
        <w:tc>
          <w:tcPr>
            <w:tcW w:w="1354" w:type="dxa"/>
            <w:tcBorders>
              <w:top w:val="nil"/>
              <w:left w:val="single" w:sz="4" w:space="0" w:color="000000"/>
              <w:bottom w:val="nil"/>
              <w:right w:val="single" w:sz="4" w:space="0" w:color="000000"/>
            </w:tcBorders>
          </w:tcPr>
          <w:p w14:paraId="486BC84B" w14:textId="77777777" w:rsidR="00AC036C" w:rsidRDefault="00AC036C" w:rsidP="00BE2411">
            <w:pPr>
              <w:spacing w:line="360" w:lineRule="auto"/>
              <w:jc w:val="center"/>
              <w:rPr>
                <w:rStyle w:val="NormalCharacter"/>
                <w:sz w:val="24"/>
              </w:rPr>
            </w:pPr>
            <w:r>
              <w:rPr>
                <w:rStyle w:val="NormalCharacter"/>
                <w:sz w:val="24"/>
              </w:rPr>
              <w:t>100%</w:t>
            </w:r>
          </w:p>
        </w:tc>
        <w:tc>
          <w:tcPr>
            <w:tcW w:w="1181" w:type="dxa"/>
            <w:tcBorders>
              <w:top w:val="nil"/>
              <w:left w:val="single" w:sz="4" w:space="0" w:color="000000"/>
              <w:bottom w:val="nil"/>
              <w:right w:val="single" w:sz="4" w:space="0" w:color="auto"/>
            </w:tcBorders>
          </w:tcPr>
          <w:p w14:paraId="69EFCCCB" w14:textId="77777777" w:rsidR="00AC036C" w:rsidRDefault="00AC036C" w:rsidP="00BE2411">
            <w:pPr>
              <w:spacing w:line="360" w:lineRule="auto"/>
              <w:jc w:val="center"/>
              <w:rPr>
                <w:rStyle w:val="NormalCharacter"/>
                <w:sz w:val="24"/>
              </w:rPr>
            </w:pPr>
          </w:p>
        </w:tc>
      </w:tr>
      <w:tr w:rsidR="00AC036C" w14:paraId="38B1D840" w14:textId="77777777" w:rsidTr="00BE2411">
        <w:trPr>
          <w:jc w:val="center"/>
        </w:trPr>
        <w:tc>
          <w:tcPr>
            <w:tcW w:w="3624" w:type="dxa"/>
            <w:tcBorders>
              <w:top w:val="nil"/>
              <w:left w:val="single" w:sz="4" w:space="0" w:color="auto"/>
              <w:bottom w:val="nil"/>
              <w:right w:val="single" w:sz="4" w:space="0" w:color="000000"/>
            </w:tcBorders>
          </w:tcPr>
          <w:p w14:paraId="56E48523" w14:textId="77777777" w:rsidR="00AC036C" w:rsidRDefault="00AC036C" w:rsidP="00BE2411">
            <w:pPr>
              <w:jc w:val="center"/>
              <w:rPr>
                <w:rStyle w:val="NormalCharacter"/>
                <w:sz w:val="24"/>
              </w:rPr>
            </w:pPr>
            <w:r>
              <w:rPr>
                <w:rStyle w:val="NormalCharacter"/>
                <w:sz w:val="24"/>
              </w:rPr>
              <w:t>事故后</w:t>
            </w:r>
            <w:r>
              <w:rPr>
                <w:rStyle w:val="NormalCharacter"/>
                <w:sz w:val="24"/>
              </w:rPr>
              <w:t>1 – 4</w:t>
            </w:r>
            <w:r>
              <w:rPr>
                <w:rStyle w:val="NormalCharacter"/>
                <w:sz w:val="24"/>
              </w:rPr>
              <w:t>天</w:t>
            </w:r>
          </w:p>
        </w:tc>
        <w:tc>
          <w:tcPr>
            <w:tcW w:w="1354" w:type="dxa"/>
            <w:tcBorders>
              <w:top w:val="nil"/>
              <w:left w:val="single" w:sz="4" w:space="0" w:color="000000"/>
              <w:bottom w:val="nil"/>
              <w:right w:val="single" w:sz="4" w:space="0" w:color="000000"/>
            </w:tcBorders>
          </w:tcPr>
          <w:p w14:paraId="17D47C24" w14:textId="77777777" w:rsidR="00AC036C" w:rsidRDefault="00AC036C" w:rsidP="00BE2411">
            <w:pPr>
              <w:spacing w:line="360" w:lineRule="auto"/>
              <w:jc w:val="center"/>
              <w:rPr>
                <w:rStyle w:val="NormalCharacter"/>
                <w:sz w:val="24"/>
              </w:rPr>
            </w:pPr>
            <w:r>
              <w:rPr>
                <w:rStyle w:val="NormalCharacter"/>
                <w:sz w:val="24"/>
              </w:rPr>
              <w:t>60%</w:t>
            </w:r>
          </w:p>
        </w:tc>
        <w:tc>
          <w:tcPr>
            <w:tcW w:w="1181" w:type="dxa"/>
            <w:tcBorders>
              <w:top w:val="nil"/>
              <w:left w:val="single" w:sz="4" w:space="0" w:color="000000"/>
              <w:bottom w:val="nil"/>
              <w:right w:val="single" w:sz="4" w:space="0" w:color="auto"/>
            </w:tcBorders>
          </w:tcPr>
          <w:p w14:paraId="4DAB1E2F" w14:textId="77777777" w:rsidR="00AC036C" w:rsidRDefault="00AC036C" w:rsidP="00BE2411">
            <w:pPr>
              <w:spacing w:line="360" w:lineRule="auto"/>
              <w:jc w:val="center"/>
              <w:rPr>
                <w:rStyle w:val="NormalCharacter"/>
                <w:sz w:val="24"/>
              </w:rPr>
            </w:pPr>
          </w:p>
        </w:tc>
      </w:tr>
      <w:tr w:rsidR="00AC036C" w14:paraId="5034DD6B" w14:textId="77777777" w:rsidTr="00BE2411">
        <w:trPr>
          <w:jc w:val="center"/>
        </w:trPr>
        <w:tc>
          <w:tcPr>
            <w:tcW w:w="3624" w:type="dxa"/>
            <w:tcBorders>
              <w:top w:val="nil"/>
              <w:left w:val="single" w:sz="4" w:space="0" w:color="auto"/>
              <w:bottom w:val="single" w:sz="4" w:space="0" w:color="000000"/>
              <w:right w:val="single" w:sz="4" w:space="0" w:color="000000"/>
            </w:tcBorders>
          </w:tcPr>
          <w:p w14:paraId="19C1EDAA" w14:textId="77777777" w:rsidR="00AC036C" w:rsidRDefault="00AC036C" w:rsidP="00BE2411">
            <w:pPr>
              <w:jc w:val="center"/>
              <w:rPr>
                <w:rStyle w:val="NormalCharacter"/>
                <w:sz w:val="24"/>
              </w:rPr>
            </w:pPr>
            <w:r>
              <w:rPr>
                <w:rStyle w:val="NormalCharacter"/>
                <w:sz w:val="24"/>
              </w:rPr>
              <w:t>事故后</w:t>
            </w:r>
            <w:r>
              <w:rPr>
                <w:rStyle w:val="NormalCharacter"/>
                <w:sz w:val="24"/>
              </w:rPr>
              <w:t>4 – 30</w:t>
            </w:r>
            <w:r>
              <w:rPr>
                <w:rStyle w:val="NormalCharacter"/>
                <w:sz w:val="24"/>
              </w:rPr>
              <w:t>天</w:t>
            </w:r>
          </w:p>
        </w:tc>
        <w:tc>
          <w:tcPr>
            <w:tcW w:w="1354" w:type="dxa"/>
            <w:tcBorders>
              <w:top w:val="nil"/>
              <w:left w:val="single" w:sz="4" w:space="0" w:color="000000"/>
              <w:bottom w:val="single" w:sz="4" w:space="0" w:color="000000"/>
              <w:right w:val="single" w:sz="4" w:space="0" w:color="000000"/>
            </w:tcBorders>
          </w:tcPr>
          <w:p w14:paraId="3FC74124" w14:textId="77777777" w:rsidR="00AC036C" w:rsidRDefault="00AC036C" w:rsidP="00BE2411">
            <w:pPr>
              <w:spacing w:line="360" w:lineRule="auto"/>
              <w:jc w:val="center"/>
              <w:rPr>
                <w:rStyle w:val="NormalCharacter"/>
                <w:sz w:val="24"/>
              </w:rPr>
            </w:pPr>
            <w:r>
              <w:rPr>
                <w:rStyle w:val="NormalCharacter"/>
                <w:sz w:val="24"/>
              </w:rPr>
              <w:t>40%</w:t>
            </w:r>
          </w:p>
        </w:tc>
        <w:tc>
          <w:tcPr>
            <w:tcW w:w="1181" w:type="dxa"/>
            <w:tcBorders>
              <w:top w:val="nil"/>
              <w:left w:val="single" w:sz="4" w:space="0" w:color="000000"/>
              <w:bottom w:val="single" w:sz="4" w:space="0" w:color="000000"/>
              <w:right w:val="single" w:sz="4" w:space="0" w:color="auto"/>
            </w:tcBorders>
          </w:tcPr>
          <w:p w14:paraId="5A1AC643" w14:textId="77777777" w:rsidR="00AC036C" w:rsidRDefault="00AC036C" w:rsidP="00BE2411">
            <w:pPr>
              <w:spacing w:line="360" w:lineRule="auto"/>
              <w:jc w:val="center"/>
              <w:rPr>
                <w:rStyle w:val="NormalCharacter"/>
                <w:sz w:val="24"/>
              </w:rPr>
            </w:pPr>
          </w:p>
        </w:tc>
      </w:tr>
    </w:tbl>
    <w:p w14:paraId="269DC98E" w14:textId="77777777" w:rsidR="00F125A3" w:rsidRPr="00AC036C" w:rsidRDefault="00F125A3" w:rsidP="00AC036C">
      <w:pPr>
        <w:pStyle w:val="affffb"/>
        <w:ind w:firstLineChars="0" w:firstLine="0"/>
      </w:pPr>
    </w:p>
    <w:p w14:paraId="2018AC4C" w14:textId="172DFAD7" w:rsidR="00F125A3" w:rsidRDefault="00AC6EF0" w:rsidP="00F125A3">
      <w:pPr>
        <w:pStyle w:val="affc"/>
        <w:spacing w:before="312" w:after="312"/>
      </w:pPr>
      <w:bookmarkStart w:id="59" w:name="_Toc199150134"/>
      <w:r>
        <w:rPr>
          <w:rFonts w:hint="eastAsia"/>
        </w:rPr>
        <w:t>同一厂址存在大型堆的情况</w:t>
      </w:r>
      <w:bookmarkEnd w:id="59"/>
    </w:p>
    <w:p w14:paraId="10B66BB6" w14:textId="0BDAB1EF" w:rsidR="00EF1EAC" w:rsidRDefault="00AC6EF0" w:rsidP="00EF1EAC">
      <w:pPr>
        <w:pStyle w:val="affffb"/>
        <w:ind w:firstLine="420"/>
      </w:pPr>
      <w:r>
        <w:rPr>
          <w:rFonts w:hint="eastAsia"/>
        </w:rPr>
        <w:t>在同一厂址存在大型堆时，需要评价距离最近的</w:t>
      </w:r>
      <w:r w:rsidR="00F125A3" w:rsidRPr="00F125A3">
        <w:rPr>
          <w:rFonts w:hint="eastAsia"/>
        </w:rPr>
        <w:t>大型堆</w:t>
      </w:r>
      <w:r>
        <w:rPr>
          <w:rFonts w:hint="eastAsia"/>
        </w:rPr>
        <w:t>发生</w:t>
      </w:r>
      <w:r w:rsidR="00F125A3" w:rsidRPr="00F125A3">
        <w:rPr>
          <w:rFonts w:hint="eastAsia"/>
        </w:rPr>
        <w:t>事故</w:t>
      </w:r>
      <w:r>
        <w:rPr>
          <w:rFonts w:hint="eastAsia"/>
        </w:rPr>
        <w:t>时，</w:t>
      </w:r>
      <w:r w:rsidR="00F125A3" w:rsidRPr="00F125A3">
        <w:rPr>
          <w:rFonts w:hint="eastAsia"/>
        </w:rPr>
        <w:t>高温堆</w:t>
      </w:r>
      <w:r w:rsidR="00483D97">
        <w:rPr>
          <w:rFonts w:hint="eastAsia"/>
        </w:rPr>
        <w:t>主控制室</w:t>
      </w:r>
      <w:r>
        <w:rPr>
          <w:rFonts w:hint="eastAsia"/>
        </w:rPr>
        <w:t>的可居留性。</w:t>
      </w:r>
    </w:p>
    <w:p w14:paraId="450848F3" w14:textId="77777777" w:rsidR="00EF1EAC" w:rsidRDefault="00EF1EAC">
      <w:pPr>
        <w:widowControl/>
        <w:adjustRightInd/>
        <w:spacing w:line="240" w:lineRule="auto"/>
        <w:jc w:val="left"/>
        <w:rPr>
          <w:rFonts w:ascii="宋体" w:hAnsi="Times New Roman"/>
          <w:noProof/>
          <w:kern w:val="0"/>
          <w:szCs w:val="20"/>
        </w:rPr>
      </w:pPr>
      <w:r>
        <w:br w:type="page"/>
      </w:r>
    </w:p>
    <w:p w14:paraId="51F406B0" w14:textId="6B6EAE53" w:rsidR="00EF1EAC" w:rsidRDefault="00EF1EAC" w:rsidP="0081391B">
      <w:pPr>
        <w:pStyle w:val="affc"/>
        <w:numPr>
          <w:ilvl w:val="0"/>
          <w:numId w:val="0"/>
        </w:numPr>
        <w:spacing w:before="312" w:after="312"/>
      </w:pPr>
      <w:bookmarkStart w:id="60" w:name="_Toc199150135"/>
      <w:r>
        <w:rPr>
          <w:rFonts w:hint="eastAsia"/>
        </w:rPr>
        <w:lastRenderedPageBreak/>
        <w:t>附</w:t>
      </w:r>
      <w:r w:rsidR="00960116">
        <w:rPr>
          <w:rFonts w:hint="eastAsia"/>
        </w:rPr>
        <w:t>录</w:t>
      </w:r>
      <w:bookmarkStart w:id="61" w:name="_GoBack"/>
      <w:bookmarkEnd w:id="61"/>
      <w:r>
        <w:rPr>
          <w:rFonts w:hint="eastAsia"/>
        </w:rPr>
        <w:t>：A</w:t>
      </w:r>
      <w:bookmarkEnd w:id="60"/>
    </w:p>
    <w:p w14:paraId="17B8775E" w14:textId="77777777" w:rsidR="00EF1EAC" w:rsidRPr="0081391B" w:rsidRDefault="00EF1EAC" w:rsidP="0081391B">
      <w:pPr>
        <w:pStyle w:val="affffb"/>
        <w:ind w:firstLine="420"/>
        <w:rPr>
          <w:rFonts w:hAnsi="宋体"/>
          <w:szCs w:val="21"/>
        </w:rPr>
      </w:pPr>
      <w:r w:rsidRPr="0081391B">
        <w:rPr>
          <w:rFonts w:hAnsi="宋体" w:hint="eastAsia"/>
          <w:szCs w:val="21"/>
        </w:rPr>
        <w:t>通过以下公式计算弥散源的大气弥散因子：</w:t>
      </w:r>
    </w:p>
    <w:p w14:paraId="1AC803F4" w14:textId="0C617B82" w:rsidR="00EF1EAC" w:rsidRPr="0081391B" w:rsidRDefault="0081391B" w:rsidP="0081391B">
      <w:pPr>
        <w:tabs>
          <w:tab w:val="left" w:pos="5240"/>
        </w:tabs>
        <w:spacing w:line="240" w:lineRule="auto"/>
        <w:ind w:firstLine="561"/>
        <w:jc w:val="right"/>
        <w:rPr>
          <w:rFonts w:ascii="宋体" w:hAnsi="宋体"/>
        </w:rPr>
      </w:pPr>
      <w:r w:rsidRPr="0081391B">
        <w:rPr>
          <w:rFonts w:ascii="宋体" w:hAnsi="宋体"/>
          <w:position w:val="-30"/>
        </w:rPr>
        <w:object w:dxaOrig="3045" w:dyaOrig="765" w14:anchorId="4DB582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8pt;height:31.2pt" o:ole="" filled="t">
            <v:fill color2="black"/>
            <v:imagedata r:id="rId17" o:title=""/>
          </v:shape>
          <o:OLEObject Type="Embed" ProgID="Equation.DSMT4" ShapeID="_x0000_i1025" DrawAspect="Content" ObjectID="_1809763326" r:id="rId18"/>
        </w:object>
      </w:r>
      <w:r w:rsidR="00EF1EAC" w:rsidRPr="0081391B">
        <w:rPr>
          <w:rFonts w:ascii="宋体" w:hAnsi="宋体"/>
        </w:rPr>
        <w:tab/>
      </w:r>
      <w:r w:rsidR="00EF1EAC" w:rsidRPr="0081391B">
        <w:rPr>
          <w:rFonts w:ascii="宋体" w:hAnsi="宋体"/>
        </w:rPr>
        <w:tab/>
      </w:r>
      <w:r w:rsidR="00EF1EAC" w:rsidRPr="0081391B">
        <w:rPr>
          <w:rFonts w:ascii="宋体" w:hAnsi="宋体"/>
        </w:rPr>
        <w:tab/>
      </w:r>
      <w:r w:rsidR="00EF1EAC" w:rsidRPr="0081391B">
        <w:rPr>
          <w:rFonts w:ascii="宋体" w:hAnsi="宋体" w:hint="eastAsia"/>
        </w:rPr>
        <w:t>（</w:t>
      </w:r>
      <w:r w:rsidR="00EF1EAC" w:rsidRPr="0081391B">
        <w:rPr>
          <w:rFonts w:ascii="宋体" w:hAnsi="宋体"/>
          <w:b/>
          <w:bCs/>
        </w:rPr>
        <w:t>I-</w:t>
      </w:r>
      <w:r w:rsidR="00EF1EAC" w:rsidRPr="0081391B">
        <w:rPr>
          <w:rFonts w:ascii="宋体" w:hAnsi="宋体"/>
        </w:rPr>
        <w:t>5</w:t>
      </w:r>
      <w:r w:rsidR="00EF1EAC" w:rsidRPr="0081391B">
        <w:rPr>
          <w:rFonts w:ascii="宋体" w:hAnsi="宋体" w:hint="eastAsia"/>
        </w:rPr>
        <w:t>）</w:t>
      </w:r>
    </w:p>
    <w:p w14:paraId="064C60F7" w14:textId="77777777" w:rsidR="00EF1EAC" w:rsidRPr="0081391B" w:rsidRDefault="00EF1EAC" w:rsidP="0081391B">
      <w:pPr>
        <w:pStyle w:val="affffb"/>
        <w:ind w:firstLine="420"/>
        <w:rPr>
          <w:rFonts w:hAnsi="宋体"/>
          <w:szCs w:val="21"/>
        </w:rPr>
      </w:pPr>
      <w:r w:rsidRPr="0081391B">
        <w:rPr>
          <w:rFonts w:hAnsi="宋体" w:hint="eastAsia"/>
          <w:szCs w:val="21"/>
        </w:rPr>
        <w:t>其中：</w:t>
      </w:r>
    </w:p>
    <w:p w14:paraId="3B30957C" w14:textId="532C1092" w:rsidR="00EF1EAC" w:rsidRPr="0081391B" w:rsidRDefault="0081391B" w:rsidP="0081391B">
      <w:pPr>
        <w:spacing w:line="240" w:lineRule="auto"/>
        <w:ind w:firstLineChars="202" w:firstLine="424"/>
        <w:rPr>
          <w:rFonts w:ascii="宋体" w:hAnsi="宋体"/>
        </w:rPr>
      </w:pPr>
      <w:r w:rsidRPr="0081391B">
        <w:rPr>
          <w:rFonts w:ascii="宋体" w:hAnsi="宋体"/>
          <w:position w:val="-20"/>
        </w:rPr>
        <w:object w:dxaOrig="505" w:dyaOrig="690" w14:anchorId="4760B673">
          <v:shape id="_x0000_i1026" type="#_x0000_t75" style="width:23.4pt;height:31.2pt" o:ole="">
            <v:imagedata r:id="rId19" o:title=""/>
          </v:shape>
          <o:OLEObject Type="Embed" ProgID="Equation.DSMT4" ShapeID="_x0000_i1026" DrawAspect="Content" ObjectID="_1809763327" r:id="rId20"/>
        </w:object>
      </w:r>
      <w:r w:rsidR="00EF1EAC" w:rsidRPr="0081391B">
        <w:rPr>
          <w:rFonts w:ascii="宋体" w:hAnsi="宋体"/>
        </w:rPr>
        <w:t xml:space="preserve"> </w:t>
      </w:r>
      <w:r w:rsidR="00EF1EAC" w:rsidRPr="0081391B">
        <w:rPr>
          <w:rFonts w:ascii="宋体" w:hAnsi="宋体" w:hint="eastAsia"/>
        </w:rPr>
        <w:t>—</w:t>
      </w:r>
      <w:r w:rsidR="00EF1EAC" w:rsidRPr="0081391B">
        <w:rPr>
          <w:rFonts w:ascii="宋体" w:hAnsi="宋体"/>
        </w:rPr>
        <w:t xml:space="preserve">  </w:t>
      </w:r>
      <w:r w:rsidR="00EF1EAC" w:rsidRPr="0081391B">
        <w:rPr>
          <w:rFonts w:ascii="宋体" w:hAnsi="宋体" w:hint="eastAsia"/>
        </w:rPr>
        <w:t>大气弥散因子，</w:t>
      </w:r>
      <w:r w:rsidR="00EF1EAC" w:rsidRPr="0081391B">
        <w:rPr>
          <w:rFonts w:ascii="宋体" w:hAnsi="宋体"/>
        </w:rPr>
        <w:t>s/m</w:t>
      </w:r>
      <w:r w:rsidR="00EF1EAC" w:rsidRPr="0081391B">
        <w:rPr>
          <w:rFonts w:ascii="宋体" w:hAnsi="宋体"/>
          <w:vertAlign w:val="superscript"/>
        </w:rPr>
        <w:t>3</w:t>
      </w:r>
      <w:r w:rsidR="00EF1EAC" w:rsidRPr="0081391B">
        <w:rPr>
          <w:rFonts w:ascii="宋体" w:hAnsi="宋体" w:hint="eastAsia"/>
        </w:rPr>
        <w:t>；</w:t>
      </w:r>
    </w:p>
    <w:p w14:paraId="51E380E6" w14:textId="77777777" w:rsidR="00EF1EAC" w:rsidRPr="0081391B" w:rsidRDefault="00EF1EAC" w:rsidP="0081391B">
      <w:pPr>
        <w:spacing w:line="240" w:lineRule="auto"/>
        <w:ind w:firstLineChars="202" w:firstLine="424"/>
        <w:rPr>
          <w:rFonts w:ascii="宋体" w:hAnsi="宋体"/>
        </w:rPr>
      </w:pPr>
      <w:r w:rsidRPr="0081391B">
        <w:rPr>
          <w:rFonts w:ascii="宋体" w:hAnsi="宋体"/>
          <w:position w:val="-6"/>
        </w:rPr>
        <w:object w:dxaOrig="300" w:dyaOrig="260" w14:anchorId="64442574">
          <v:shape id="_x0000_i1027" type="#_x0000_t75" style="width:15pt;height:12.6pt" o:ole="">
            <v:imagedata r:id="rId21" o:title=""/>
          </v:shape>
          <o:OLEObject Type="Embed" ProgID="Equation.DSMT4" ShapeID="_x0000_i1027" DrawAspect="Content" ObjectID="_1809763328" r:id="rId22"/>
        </w:object>
      </w:r>
      <w:r w:rsidRPr="0081391B">
        <w:rPr>
          <w:rFonts w:ascii="宋体" w:hAnsi="宋体"/>
        </w:rPr>
        <w:t xml:space="preserve"> </w:t>
      </w:r>
      <w:r w:rsidRPr="0081391B">
        <w:rPr>
          <w:rFonts w:ascii="宋体" w:hAnsi="宋体" w:hint="eastAsia"/>
        </w:rPr>
        <w:t>—</w:t>
      </w:r>
      <w:r w:rsidRPr="0081391B">
        <w:rPr>
          <w:rFonts w:ascii="宋体" w:hAnsi="宋体"/>
        </w:rPr>
        <w:t xml:space="preserve">  </w:t>
      </w:r>
      <w:r w:rsidRPr="0081391B">
        <w:rPr>
          <w:rFonts w:ascii="宋体" w:hAnsi="宋体" w:hint="eastAsia"/>
        </w:rPr>
        <w:t>1</w:t>
      </w:r>
      <w:r w:rsidRPr="0081391B">
        <w:rPr>
          <w:rFonts w:ascii="宋体" w:hAnsi="宋体"/>
        </w:rPr>
        <w:t>0</w:t>
      </w:r>
      <w:r w:rsidRPr="0081391B">
        <w:rPr>
          <w:rFonts w:ascii="宋体" w:hAnsi="宋体" w:hint="eastAsia"/>
        </w:rPr>
        <w:t>米处风速，</w:t>
      </w:r>
      <w:r w:rsidRPr="0081391B">
        <w:rPr>
          <w:rFonts w:ascii="宋体" w:hAnsi="宋体"/>
        </w:rPr>
        <w:t>m</w:t>
      </w:r>
      <w:r w:rsidRPr="0081391B">
        <w:rPr>
          <w:rFonts w:ascii="宋体" w:hAnsi="宋体" w:hint="eastAsia"/>
        </w:rPr>
        <w:t>/</w:t>
      </w:r>
      <w:r w:rsidRPr="0081391B">
        <w:rPr>
          <w:rFonts w:ascii="宋体" w:hAnsi="宋体"/>
        </w:rPr>
        <w:t>s</w:t>
      </w:r>
      <w:r w:rsidRPr="0081391B">
        <w:rPr>
          <w:rFonts w:ascii="宋体" w:hAnsi="宋体" w:hint="eastAsia"/>
        </w:rPr>
        <w:t>；</w:t>
      </w:r>
    </w:p>
    <w:p w14:paraId="1FD4E301" w14:textId="77777777" w:rsidR="00EF1EAC" w:rsidRPr="0081391B" w:rsidRDefault="00EF1EAC" w:rsidP="0081391B">
      <w:pPr>
        <w:spacing w:line="240" w:lineRule="auto"/>
        <w:ind w:firstLineChars="202" w:firstLine="424"/>
        <w:rPr>
          <w:rFonts w:ascii="宋体" w:hAnsi="宋体"/>
        </w:rPr>
      </w:pPr>
      <w:r w:rsidRPr="0081391B">
        <w:rPr>
          <w:rFonts w:ascii="宋体" w:hAnsi="宋体"/>
          <w:position w:val="-14"/>
        </w:rPr>
        <w:object w:dxaOrig="805" w:dyaOrig="335" w14:anchorId="255DBE84">
          <v:shape id="_x0000_i1028" type="#_x0000_t75" style="width:40.2pt;height:16.2pt" o:ole="">
            <v:imagedata r:id="rId23" o:title=""/>
          </v:shape>
          <o:OLEObject Type="Embed" ProgID="Equation.DSMT4" ShapeID="_x0000_i1028" DrawAspect="Content" ObjectID="_1809763329" r:id="rId24"/>
        </w:object>
      </w:r>
      <w:r w:rsidRPr="0081391B">
        <w:rPr>
          <w:rFonts w:ascii="宋体" w:hAnsi="宋体"/>
        </w:rPr>
        <w:t xml:space="preserve"> </w:t>
      </w:r>
      <w:r w:rsidRPr="0081391B">
        <w:rPr>
          <w:rFonts w:ascii="宋体" w:hAnsi="宋体" w:hint="eastAsia"/>
        </w:rPr>
        <w:t>—</w:t>
      </w:r>
      <w:r w:rsidRPr="0081391B">
        <w:rPr>
          <w:rFonts w:ascii="宋体" w:hAnsi="宋体"/>
        </w:rPr>
        <w:t xml:space="preserve">  </w:t>
      </w:r>
      <w:r w:rsidRPr="0081391B">
        <w:rPr>
          <w:rFonts w:ascii="宋体" w:hAnsi="宋体" w:hint="eastAsia"/>
        </w:rPr>
        <w:t>扩散参数，</w:t>
      </w:r>
      <w:r w:rsidRPr="0081391B">
        <w:rPr>
          <w:rFonts w:ascii="宋体" w:hAnsi="宋体"/>
        </w:rPr>
        <w:t>m</w:t>
      </w:r>
      <w:r w:rsidRPr="0081391B">
        <w:rPr>
          <w:rFonts w:ascii="宋体" w:hAnsi="宋体" w:hint="eastAsia"/>
        </w:rPr>
        <w:t>；</w:t>
      </w:r>
    </w:p>
    <w:p w14:paraId="451562F9" w14:textId="77777777" w:rsidR="00EF1EAC" w:rsidRPr="0081391B" w:rsidRDefault="00EF1EAC" w:rsidP="0081391B">
      <w:pPr>
        <w:spacing w:line="240" w:lineRule="auto"/>
        <w:ind w:firstLineChars="202" w:firstLine="424"/>
        <w:rPr>
          <w:rFonts w:ascii="宋体" w:hAnsi="宋体"/>
        </w:rPr>
      </w:pPr>
      <w:r w:rsidRPr="0081391B">
        <w:rPr>
          <w:rFonts w:ascii="宋体" w:hAnsi="宋体"/>
          <w:i/>
          <w:iCs/>
        </w:rPr>
        <w:t xml:space="preserve">A </w:t>
      </w:r>
      <w:r w:rsidRPr="0081391B">
        <w:rPr>
          <w:rFonts w:ascii="宋体" w:hAnsi="宋体"/>
        </w:rPr>
        <w:t xml:space="preserve">– </w:t>
      </w:r>
      <w:r w:rsidRPr="0081391B">
        <w:rPr>
          <w:rFonts w:ascii="宋体" w:hAnsi="宋体" w:hint="eastAsia"/>
        </w:rPr>
        <w:t>建筑物截面积，</w:t>
      </w:r>
      <w:r w:rsidRPr="0081391B">
        <w:rPr>
          <w:rFonts w:ascii="宋体" w:hAnsi="宋体"/>
        </w:rPr>
        <w:t>m</w:t>
      </w:r>
      <w:r w:rsidRPr="0081391B">
        <w:rPr>
          <w:rFonts w:ascii="宋体" w:hAnsi="宋体"/>
          <w:vertAlign w:val="superscript"/>
        </w:rPr>
        <w:t>2</w:t>
      </w:r>
      <w:r w:rsidRPr="0081391B">
        <w:rPr>
          <w:rFonts w:ascii="宋体" w:hAnsi="宋体" w:hint="eastAsia"/>
        </w:rPr>
        <w:t>；</w:t>
      </w:r>
    </w:p>
    <w:p w14:paraId="6082BA7B" w14:textId="77777777" w:rsidR="00EF1EAC" w:rsidRPr="0081391B" w:rsidRDefault="00EF1EAC" w:rsidP="0081391B">
      <w:pPr>
        <w:spacing w:line="240" w:lineRule="auto"/>
        <w:ind w:firstLineChars="202" w:firstLine="424"/>
        <w:rPr>
          <w:rFonts w:ascii="宋体" w:hAnsi="宋体"/>
        </w:rPr>
      </w:pPr>
      <w:r w:rsidRPr="0081391B">
        <w:rPr>
          <w:rFonts w:ascii="宋体" w:hAnsi="宋体"/>
          <w:position w:val="-28"/>
        </w:rPr>
        <w:object w:dxaOrig="1495" w:dyaOrig="600" w14:anchorId="18628C99">
          <v:shape id="_x0000_i1029" type="#_x0000_t75" style="width:75pt;height:30pt" o:ole="">
            <v:imagedata r:id="rId25" o:title=""/>
          </v:shape>
          <o:OLEObject Type="Embed" ProgID="Equation.DSMT4" ShapeID="_x0000_i1029" DrawAspect="Content" ObjectID="_1809763330" r:id="rId26"/>
        </w:object>
      </w:r>
      <w:r w:rsidRPr="0081391B">
        <w:rPr>
          <w:rFonts w:ascii="宋体" w:hAnsi="宋体" w:hint="eastAsia"/>
        </w:rPr>
        <w:t>：</w:t>
      </w:r>
    </w:p>
    <w:p w14:paraId="1238DA3A" w14:textId="77777777" w:rsidR="00EF1EAC" w:rsidRPr="0081391B" w:rsidRDefault="00EF1EAC" w:rsidP="0081391B">
      <w:pPr>
        <w:spacing w:line="240" w:lineRule="auto"/>
        <w:ind w:firstLineChars="202" w:firstLine="424"/>
        <w:rPr>
          <w:rFonts w:ascii="宋体" w:hAnsi="宋体"/>
        </w:rPr>
      </w:pPr>
      <w:r w:rsidRPr="0081391B">
        <w:rPr>
          <w:rFonts w:ascii="宋体" w:hAnsi="宋体"/>
          <w:i/>
          <w:iCs/>
        </w:rPr>
        <w:t>s</w:t>
      </w:r>
      <w:r w:rsidRPr="0081391B">
        <w:rPr>
          <w:rFonts w:ascii="宋体" w:hAnsi="宋体"/>
        </w:rPr>
        <w:t xml:space="preserve"> – </w:t>
      </w:r>
      <w:r w:rsidRPr="0081391B">
        <w:rPr>
          <w:rFonts w:ascii="宋体" w:hAnsi="宋体" w:hint="eastAsia"/>
        </w:rPr>
        <w:t>建筑物表面与主控制室综合体进风口的最短距离，m；</w:t>
      </w:r>
    </w:p>
    <w:p w14:paraId="2A1898DF" w14:textId="77777777" w:rsidR="00EF1EAC" w:rsidRPr="0081391B" w:rsidRDefault="00EF1EAC" w:rsidP="0081391B">
      <w:pPr>
        <w:spacing w:line="240" w:lineRule="auto"/>
        <w:ind w:firstLineChars="202" w:firstLine="424"/>
        <w:rPr>
          <w:rFonts w:ascii="宋体" w:hAnsi="宋体"/>
        </w:rPr>
      </w:pPr>
      <w:r w:rsidRPr="0081391B">
        <w:rPr>
          <w:rFonts w:ascii="宋体" w:hAnsi="宋体"/>
          <w:i/>
          <w:iCs/>
        </w:rPr>
        <w:t xml:space="preserve">d </w:t>
      </w:r>
      <w:r w:rsidRPr="0081391B">
        <w:rPr>
          <w:rFonts w:ascii="宋体" w:hAnsi="宋体"/>
        </w:rPr>
        <w:t xml:space="preserve">– </w:t>
      </w:r>
      <w:r w:rsidRPr="0081391B">
        <w:rPr>
          <w:rFonts w:ascii="宋体" w:hAnsi="宋体" w:hint="eastAsia"/>
        </w:rPr>
        <w:t>建筑物直径，m。</w:t>
      </w:r>
    </w:p>
    <w:p w14:paraId="0CAD6687" w14:textId="77777777" w:rsidR="00EF1EAC" w:rsidRPr="0081391B" w:rsidRDefault="00EF1EAC" w:rsidP="0081391B">
      <w:pPr>
        <w:spacing w:line="240" w:lineRule="auto"/>
        <w:ind w:firstLineChars="200" w:firstLine="420"/>
        <w:rPr>
          <w:rFonts w:ascii="宋体" w:hAnsi="宋体"/>
        </w:rPr>
      </w:pPr>
      <w:r w:rsidRPr="0081391B">
        <w:rPr>
          <w:rFonts w:ascii="宋体" w:hAnsi="宋体" w:hint="eastAsia"/>
        </w:rPr>
        <w:t>根据</w:t>
      </w:r>
      <w:r w:rsidRPr="0081391B">
        <w:rPr>
          <w:rFonts w:ascii="宋体" w:hAnsi="宋体"/>
        </w:rPr>
        <w:t>RG-1.194</w:t>
      </w:r>
      <w:r w:rsidRPr="0081391B">
        <w:rPr>
          <w:rFonts w:ascii="宋体" w:hAnsi="宋体" w:hint="eastAsia"/>
        </w:rPr>
        <w:t>（</w:t>
      </w:r>
      <w:r w:rsidRPr="0081391B">
        <w:rPr>
          <w:rFonts w:ascii="宋体" w:hAnsi="宋体"/>
        </w:rPr>
        <w:t>4.4</w:t>
      </w:r>
      <w:r w:rsidRPr="0081391B">
        <w:rPr>
          <w:rFonts w:ascii="宋体" w:hAnsi="宋体" w:hint="eastAsia"/>
        </w:rPr>
        <w:t>节）给出的计算方法，针对事故后的不同时段，分别对式（</w:t>
      </w:r>
      <w:r w:rsidRPr="0081391B">
        <w:rPr>
          <w:rFonts w:ascii="宋体" w:hAnsi="宋体"/>
        </w:rPr>
        <w:t>14</w:t>
      </w:r>
      <w:r w:rsidRPr="0081391B">
        <w:rPr>
          <w:rFonts w:ascii="宋体" w:hAnsi="宋体" w:hint="eastAsia"/>
        </w:rPr>
        <w:t>）的计算结果进行矫正，得到对应时段的弥散因子。矫正考虑风向窗口和风速两方面因素。由式（</w:t>
      </w:r>
      <w:r w:rsidRPr="0081391B">
        <w:rPr>
          <w:rFonts w:ascii="宋体" w:hAnsi="宋体"/>
        </w:rPr>
        <w:t>14</w:t>
      </w:r>
      <w:r w:rsidRPr="0081391B">
        <w:rPr>
          <w:rFonts w:ascii="宋体" w:hAnsi="宋体" w:hint="eastAsia"/>
        </w:rPr>
        <w:t>）中</w:t>
      </w:r>
      <w:r w:rsidRPr="0081391B">
        <w:rPr>
          <w:rFonts w:ascii="宋体" w:hAnsi="宋体"/>
          <w:i/>
        </w:rPr>
        <w:t>s/d</w:t>
      </w:r>
      <w:r w:rsidRPr="0081391B">
        <w:rPr>
          <w:rFonts w:ascii="宋体" w:hAnsi="宋体" w:hint="eastAsia"/>
        </w:rPr>
        <w:t>的比值与</w:t>
      </w:r>
      <w:r w:rsidRPr="0081391B">
        <w:rPr>
          <w:rFonts w:ascii="宋体" w:hAnsi="宋体"/>
        </w:rPr>
        <w:t>RG-1.194</w:t>
      </w:r>
      <w:r w:rsidRPr="0081391B">
        <w:rPr>
          <w:rFonts w:ascii="宋体" w:hAnsi="宋体" w:hint="eastAsia"/>
        </w:rPr>
        <w:t>（第</w:t>
      </w:r>
      <w:r w:rsidRPr="0081391B">
        <w:rPr>
          <w:rFonts w:ascii="宋体" w:hAnsi="宋体"/>
        </w:rPr>
        <w:t>19</w:t>
      </w:r>
      <w:r w:rsidRPr="0081391B">
        <w:rPr>
          <w:rFonts w:ascii="宋体" w:hAnsi="宋体" w:hint="eastAsia"/>
        </w:rPr>
        <w:t>页表</w:t>
      </w:r>
      <w:r w:rsidRPr="0081391B">
        <w:rPr>
          <w:rFonts w:ascii="宋体" w:hAnsi="宋体"/>
        </w:rPr>
        <w:t>2）确定风向窗口</w:t>
      </w:r>
      <w:r w:rsidRPr="0081391B">
        <w:rPr>
          <w:rFonts w:ascii="宋体" w:hAnsi="宋体" w:hint="eastAsia"/>
        </w:rPr>
        <w:t>（附表</w:t>
      </w:r>
      <w:r w:rsidRPr="0081391B">
        <w:rPr>
          <w:rFonts w:ascii="宋体" w:hAnsi="宋体"/>
        </w:rPr>
        <w:t>I.2-1</w:t>
      </w:r>
      <w:r w:rsidRPr="0081391B">
        <w:rPr>
          <w:rFonts w:ascii="宋体" w:hAnsi="宋体" w:hint="eastAsia"/>
        </w:rPr>
        <w:t>）</w:t>
      </w:r>
      <w:r w:rsidRPr="0081391B">
        <w:rPr>
          <w:rFonts w:ascii="宋体" w:hAnsi="宋体"/>
        </w:rPr>
        <w:t>。</w:t>
      </w:r>
    </w:p>
    <w:p w14:paraId="7342EF67" w14:textId="77777777" w:rsidR="00EF1EAC" w:rsidRPr="0081391B" w:rsidRDefault="00EF1EAC" w:rsidP="0081391B">
      <w:pPr>
        <w:spacing w:line="240" w:lineRule="auto"/>
        <w:jc w:val="center"/>
        <w:rPr>
          <w:rFonts w:ascii="宋体" w:hAnsi="宋体"/>
        </w:rPr>
      </w:pPr>
      <w:r w:rsidRPr="0081391B">
        <w:rPr>
          <w:rFonts w:ascii="宋体" w:hAnsi="宋体" w:hint="eastAsia"/>
        </w:rPr>
        <w:t>附表</w:t>
      </w:r>
      <w:r w:rsidRPr="0081391B">
        <w:rPr>
          <w:rFonts w:ascii="宋体" w:hAnsi="宋体"/>
        </w:rPr>
        <w:t xml:space="preserve"> I.2-1 </w:t>
      </w:r>
      <w:r w:rsidRPr="0081391B">
        <w:rPr>
          <w:rFonts w:ascii="宋体" w:hAnsi="宋体" w:hint="eastAsia"/>
        </w:rPr>
        <w:t>不同</w:t>
      </w:r>
      <w:r w:rsidRPr="0081391B">
        <w:rPr>
          <w:rFonts w:ascii="宋体" w:hAnsi="宋体"/>
          <w:i/>
        </w:rPr>
        <w:t>s/d</w:t>
      </w:r>
      <w:r w:rsidRPr="0081391B">
        <w:rPr>
          <w:rFonts w:ascii="宋体" w:hAnsi="宋体" w:hint="eastAsia"/>
        </w:rPr>
        <w:t>比值下的最小风向窗口</w:t>
      </w:r>
    </w:p>
    <w:tbl>
      <w:tblPr>
        <w:tblW w:w="5510" w:type="dxa"/>
        <w:jc w:val="center"/>
        <w:tblLook w:val="04A0" w:firstRow="1" w:lastRow="0" w:firstColumn="1" w:lastColumn="0" w:noHBand="0" w:noVBand="1"/>
      </w:tblPr>
      <w:tblGrid>
        <w:gridCol w:w="2555"/>
        <w:gridCol w:w="2955"/>
      </w:tblGrid>
      <w:tr w:rsidR="00EF1EAC" w:rsidRPr="0081391B" w14:paraId="083B1E97" w14:textId="77777777" w:rsidTr="0081391B">
        <w:trPr>
          <w:trHeight w:val="195"/>
          <w:jc w:val="center"/>
        </w:trPr>
        <w:tc>
          <w:tcPr>
            <w:tcW w:w="2555" w:type="dxa"/>
            <w:tcBorders>
              <w:top w:val="single" w:sz="4" w:space="0" w:color="auto"/>
              <w:left w:val="single" w:sz="4" w:space="0" w:color="auto"/>
              <w:bottom w:val="single" w:sz="4" w:space="0" w:color="auto"/>
              <w:right w:val="single" w:sz="4" w:space="0" w:color="auto"/>
            </w:tcBorders>
            <w:shd w:val="clear" w:color="000000" w:fill="FFFFFF"/>
            <w:vAlign w:val="center"/>
          </w:tcPr>
          <w:p w14:paraId="69E7429E" w14:textId="77777777" w:rsidR="00EF1EAC" w:rsidRPr="0081391B" w:rsidRDefault="00EF1EAC" w:rsidP="0081391B">
            <w:pPr>
              <w:jc w:val="center"/>
              <w:rPr>
                <w:rStyle w:val="NormalCharacter"/>
                <w:sz w:val="24"/>
              </w:rPr>
            </w:pPr>
            <w:r w:rsidRPr="0081391B">
              <w:rPr>
                <w:rStyle w:val="NormalCharacter"/>
                <w:sz w:val="24"/>
              </w:rPr>
              <w:t xml:space="preserve">s/d </w:t>
            </w:r>
            <w:r w:rsidRPr="0081391B">
              <w:rPr>
                <w:rFonts w:ascii="宋体" w:hAnsi="宋体" w:hint="eastAsia"/>
              </w:rPr>
              <w:t>值</w:t>
            </w:r>
          </w:p>
        </w:tc>
        <w:tc>
          <w:tcPr>
            <w:tcW w:w="2955" w:type="dxa"/>
            <w:tcBorders>
              <w:top w:val="single" w:sz="4" w:space="0" w:color="auto"/>
              <w:left w:val="nil"/>
              <w:bottom w:val="single" w:sz="4" w:space="0" w:color="auto"/>
              <w:right w:val="single" w:sz="4" w:space="0" w:color="auto"/>
            </w:tcBorders>
            <w:shd w:val="clear" w:color="000000" w:fill="FFFFFF"/>
            <w:vAlign w:val="center"/>
          </w:tcPr>
          <w:p w14:paraId="67F39F82" w14:textId="77777777" w:rsidR="00EF1EAC" w:rsidRPr="0081391B" w:rsidRDefault="00EF1EAC" w:rsidP="0081391B">
            <w:pPr>
              <w:jc w:val="center"/>
              <w:rPr>
                <w:rStyle w:val="NormalCharacter"/>
                <w:sz w:val="24"/>
              </w:rPr>
            </w:pPr>
            <w:r w:rsidRPr="0081391B">
              <w:rPr>
                <w:rFonts w:ascii="宋体" w:hAnsi="宋体" w:hint="eastAsia"/>
              </w:rPr>
              <w:t>最小风向窗口</w:t>
            </w:r>
          </w:p>
        </w:tc>
      </w:tr>
      <w:tr w:rsidR="00EF1EAC" w:rsidRPr="0081391B" w14:paraId="6B143D92"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5F112A98" w14:textId="77777777" w:rsidR="00EF1EAC" w:rsidRPr="0081391B" w:rsidRDefault="00EF1EAC" w:rsidP="0081391B">
            <w:pPr>
              <w:jc w:val="center"/>
              <w:rPr>
                <w:rStyle w:val="NormalCharacter"/>
                <w:sz w:val="24"/>
              </w:rPr>
            </w:pPr>
            <w:r w:rsidRPr="0081391B">
              <w:rPr>
                <w:rStyle w:val="NormalCharacter"/>
                <w:sz w:val="24"/>
              </w:rPr>
              <w:t>&gt;2.5</w:t>
            </w:r>
          </w:p>
        </w:tc>
        <w:tc>
          <w:tcPr>
            <w:tcW w:w="2955" w:type="dxa"/>
            <w:tcBorders>
              <w:top w:val="nil"/>
              <w:left w:val="nil"/>
              <w:bottom w:val="single" w:sz="4" w:space="0" w:color="auto"/>
              <w:right w:val="single" w:sz="4" w:space="0" w:color="auto"/>
            </w:tcBorders>
            <w:shd w:val="clear" w:color="000000" w:fill="FFFFFF"/>
            <w:vAlign w:val="center"/>
          </w:tcPr>
          <w:p w14:paraId="309BFBB6" w14:textId="77777777" w:rsidR="00EF1EAC" w:rsidRPr="0081391B" w:rsidRDefault="00EF1EAC" w:rsidP="0081391B">
            <w:pPr>
              <w:jc w:val="center"/>
              <w:rPr>
                <w:rStyle w:val="NormalCharacter"/>
                <w:sz w:val="24"/>
              </w:rPr>
            </w:pPr>
            <w:r w:rsidRPr="0081391B">
              <w:rPr>
                <w:rStyle w:val="NormalCharacter"/>
                <w:sz w:val="24"/>
              </w:rPr>
              <w:t>68°</w:t>
            </w:r>
          </w:p>
        </w:tc>
      </w:tr>
      <w:tr w:rsidR="00EF1EAC" w:rsidRPr="0081391B" w14:paraId="5E0E3F16"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028AFCAF" w14:textId="77777777" w:rsidR="00EF1EAC" w:rsidRPr="0081391B" w:rsidRDefault="00EF1EAC" w:rsidP="0081391B">
            <w:pPr>
              <w:jc w:val="center"/>
              <w:rPr>
                <w:rStyle w:val="NormalCharacter"/>
                <w:sz w:val="24"/>
              </w:rPr>
            </w:pPr>
            <w:r w:rsidRPr="0081391B">
              <w:rPr>
                <w:rStyle w:val="NormalCharacter"/>
                <w:sz w:val="24"/>
              </w:rPr>
              <w:t>1.25 - 2.5</w:t>
            </w:r>
          </w:p>
        </w:tc>
        <w:tc>
          <w:tcPr>
            <w:tcW w:w="2955" w:type="dxa"/>
            <w:tcBorders>
              <w:top w:val="nil"/>
              <w:left w:val="nil"/>
              <w:bottom w:val="single" w:sz="4" w:space="0" w:color="auto"/>
              <w:right w:val="single" w:sz="4" w:space="0" w:color="auto"/>
            </w:tcBorders>
            <w:shd w:val="clear" w:color="000000" w:fill="FFFFFF"/>
            <w:vAlign w:val="center"/>
          </w:tcPr>
          <w:p w14:paraId="290C75C1" w14:textId="77777777" w:rsidR="00EF1EAC" w:rsidRPr="0081391B" w:rsidRDefault="00EF1EAC" w:rsidP="0081391B">
            <w:pPr>
              <w:jc w:val="center"/>
              <w:rPr>
                <w:rStyle w:val="NormalCharacter"/>
                <w:sz w:val="24"/>
              </w:rPr>
            </w:pPr>
            <w:r w:rsidRPr="0081391B">
              <w:rPr>
                <w:rStyle w:val="NormalCharacter"/>
                <w:sz w:val="24"/>
              </w:rPr>
              <w:t>90°</w:t>
            </w:r>
          </w:p>
        </w:tc>
      </w:tr>
      <w:tr w:rsidR="00EF1EAC" w:rsidRPr="0081391B" w14:paraId="23235583"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639714E5" w14:textId="77777777" w:rsidR="00EF1EAC" w:rsidRPr="0081391B" w:rsidRDefault="00EF1EAC" w:rsidP="0081391B">
            <w:pPr>
              <w:jc w:val="center"/>
              <w:rPr>
                <w:rStyle w:val="NormalCharacter"/>
                <w:sz w:val="24"/>
              </w:rPr>
            </w:pPr>
            <w:r w:rsidRPr="0081391B">
              <w:rPr>
                <w:rStyle w:val="NormalCharacter"/>
                <w:sz w:val="24"/>
              </w:rPr>
              <w:t>0.8 - 1.25</w:t>
            </w:r>
          </w:p>
        </w:tc>
        <w:tc>
          <w:tcPr>
            <w:tcW w:w="2955" w:type="dxa"/>
            <w:tcBorders>
              <w:top w:val="nil"/>
              <w:left w:val="nil"/>
              <w:bottom w:val="single" w:sz="4" w:space="0" w:color="auto"/>
              <w:right w:val="single" w:sz="4" w:space="0" w:color="auto"/>
            </w:tcBorders>
            <w:shd w:val="clear" w:color="000000" w:fill="FFFFFF"/>
            <w:vAlign w:val="center"/>
          </w:tcPr>
          <w:p w14:paraId="3609703B" w14:textId="77777777" w:rsidR="00EF1EAC" w:rsidRPr="0081391B" w:rsidRDefault="00EF1EAC" w:rsidP="0081391B">
            <w:pPr>
              <w:jc w:val="center"/>
              <w:rPr>
                <w:rStyle w:val="NormalCharacter"/>
                <w:sz w:val="24"/>
              </w:rPr>
            </w:pPr>
            <w:r w:rsidRPr="0081391B">
              <w:rPr>
                <w:rStyle w:val="NormalCharacter"/>
                <w:sz w:val="24"/>
              </w:rPr>
              <w:t>113°</w:t>
            </w:r>
          </w:p>
        </w:tc>
      </w:tr>
      <w:tr w:rsidR="00EF1EAC" w:rsidRPr="0081391B" w14:paraId="18C1A223"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1D944068" w14:textId="77777777" w:rsidR="00EF1EAC" w:rsidRPr="0081391B" w:rsidRDefault="00EF1EAC" w:rsidP="0081391B">
            <w:pPr>
              <w:jc w:val="center"/>
              <w:rPr>
                <w:rStyle w:val="NormalCharacter"/>
                <w:sz w:val="24"/>
              </w:rPr>
            </w:pPr>
            <w:r w:rsidRPr="0081391B">
              <w:rPr>
                <w:rStyle w:val="NormalCharacter"/>
                <w:sz w:val="24"/>
              </w:rPr>
              <w:t>0.6 - 0.8</w:t>
            </w:r>
          </w:p>
        </w:tc>
        <w:tc>
          <w:tcPr>
            <w:tcW w:w="2955" w:type="dxa"/>
            <w:tcBorders>
              <w:top w:val="nil"/>
              <w:left w:val="nil"/>
              <w:bottom w:val="single" w:sz="4" w:space="0" w:color="auto"/>
              <w:right w:val="single" w:sz="4" w:space="0" w:color="auto"/>
            </w:tcBorders>
            <w:shd w:val="clear" w:color="000000" w:fill="FFFFFF"/>
            <w:vAlign w:val="center"/>
          </w:tcPr>
          <w:p w14:paraId="5B77AA00" w14:textId="77777777" w:rsidR="00EF1EAC" w:rsidRPr="0081391B" w:rsidRDefault="00EF1EAC" w:rsidP="0081391B">
            <w:pPr>
              <w:jc w:val="center"/>
              <w:rPr>
                <w:rStyle w:val="NormalCharacter"/>
                <w:sz w:val="24"/>
              </w:rPr>
            </w:pPr>
            <w:r w:rsidRPr="0081391B">
              <w:rPr>
                <w:rStyle w:val="NormalCharacter"/>
                <w:sz w:val="24"/>
              </w:rPr>
              <w:t>135°</w:t>
            </w:r>
          </w:p>
        </w:tc>
      </w:tr>
      <w:tr w:rsidR="00EF1EAC" w:rsidRPr="0081391B" w14:paraId="2EF48FD5"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5775CDEA" w14:textId="77777777" w:rsidR="00EF1EAC" w:rsidRPr="0081391B" w:rsidRDefault="00EF1EAC" w:rsidP="0081391B">
            <w:pPr>
              <w:jc w:val="center"/>
              <w:rPr>
                <w:rStyle w:val="NormalCharacter"/>
                <w:sz w:val="24"/>
              </w:rPr>
            </w:pPr>
            <w:r w:rsidRPr="0081391B">
              <w:rPr>
                <w:rStyle w:val="NormalCharacter"/>
                <w:sz w:val="24"/>
              </w:rPr>
              <w:t>0.5 - 0.6</w:t>
            </w:r>
          </w:p>
        </w:tc>
        <w:tc>
          <w:tcPr>
            <w:tcW w:w="2955" w:type="dxa"/>
            <w:tcBorders>
              <w:top w:val="nil"/>
              <w:left w:val="nil"/>
              <w:bottom w:val="single" w:sz="4" w:space="0" w:color="auto"/>
              <w:right w:val="single" w:sz="4" w:space="0" w:color="auto"/>
            </w:tcBorders>
            <w:shd w:val="clear" w:color="000000" w:fill="FFFFFF"/>
            <w:vAlign w:val="center"/>
          </w:tcPr>
          <w:p w14:paraId="5D69627F" w14:textId="77777777" w:rsidR="00EF1EAC" w:rsidRPr="0081391B" w:rsidRDefault="00EF1EAC" w:rsidP="0081391B">
            <w:pPr>
              <w:jc w:val="center"/>
              <w:rPr>
                <w:rStyle w:val="NormalCharacter"/>
                <w:sz w:val="24"/>
              </w:rPr>
            </w:pPr>
            <w:r w:rsidRPr="0081391B">
              <w:rPr>
                <w:rStyle w:val="NormalCharacter"/>
                <w:sz w:val="24"/>
              </w:rPr>
              <w:t>158°</w:t>
            </w:r>
          </w:p>
        </w:tc>
      </w:tr>
      <w:tr w:rsidR="00EF1EAC" w:rsidRPr="0081391B" w14:paraId="12DBFD5E"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773EB538" w14:textId="77777777" w:rsidR="00EF1EAC" w:rsidRPr="0081391B" w:rsidRDefault="00EF1EAC" w:rsidP="0081391B">
            <w:pPr>
              <w:jc w:val="center"/>
              <w:rPr>
                <w:rStyle w:val="NormalCharacter"/>
                <w:sz w:val="24"/>
              </w:rPr>
            </w:pPr>
            <w:r w:rsidRPr="0081391B">
              <w:rPr>
                <w:rStyle w:val="NormalCharacter"/>
                <w:sz w:val="24"/>
              </w:rPr>
              <w:t>0.35 - 0.5</w:t>
            </w:r>
          </w:p>
        </w:tc>
        <w:tc>
          <w:tcPr>
            <w:tcW w:w="2955" w:type="dxa"/>
            <w:tcBorders>
              <w:top w:val="nil"/>
              <w:left w:val="nil"/>
              <w:bottom w:val="single" w:sz="4" w:space="0" w:color="auto"/>
              <w:right w:val="single" w:sz="4" w:space="0" w:color="auto"/>
            </w:tcBorders>
            <w:shd w:val="clear" w:color="000000" w:fill="FFFFFF"/>
            <w:vAlign w:val="center"/>
          </w:tcPr>
          <w:p w14:paraId="3BBB1330" w14:textId="77777777" w:rsidR="00EF1EAC" w:rsidRPr="0081391B" w:rsidRDefault="00EF1EAC" w:rsidP="0081391B">
            <w:pPr>
              <w:jc w:val="center"/>
              <w:rPr>
                <w:rStyle w:val="NormalCharacter"/>
                <w:sz w:val="24"/>
              </w:rPr>
            </w:pPr>
            <w:r w:rsidRPr="0081391B">
              <w:rPr>
                <w:rStyle w:val="NormalCharacter"/>
                <w:sz w:val="24"/>
              </w:rPr>
              <w:t>180°</w:t>
            </w:r>
          </w:p>
        </w:tc>
      </w:tr>
      <w:tr w:rsidR="00EF1EAC" w:rsidRPr="0081391B" w14:paraId="7663CCFE" w14:textId="77777777" w:rsidTr="0081391B">
        <w:trPr>
          <w:trHeight w:val="195"/>
          <w:jc w:val="center"/>
        </w:trPr>
        <w:tc>
          <w:tcPr>
            <w:tcW w:w="2555" w:type="dxa"/>
            <w:tcBorders>
              <w:top w:val="nil"/>
              <w:left w:val="single" w:sz="4" w:space="0" w:color="auto"/>
              <w:bottom w:val="single" w:sz="4" w:space="0" w:color="auto"/>
              <w:right w:val="single" w:sz="4" w:space="0" w:color="auto"/>
            </w:tcBorders>
            <w:shd w:val="clear" w:color="000000" w:fill="FFFFFF"/>
            <w:vAlign w:val="center"/>
          </w:tcPr>
          <w:p w14:paraId="1C93CC54" w14:textId="77777777" w:rsidR="00EF1EAC" w:rsidRPr="0081391B" w:rsidRDefault="00EF1EAC" w:rsidP="0081391B">
            <w:pPr>
              <w:jc w:val="center"/>
              <w:rPr>
                <w:rStyle w:val="NormalCharacter"/>
                <w:sz w:val="24"/>
              </w:rPr>
            </w:pPr>
            <w:r w:rsidRPr="0081391B">
              <w:rPr>
                <w:rStyle w:val="NormalCharacter"/>
                <w:sz w:val="24"/>
              </w:rPr>
              <w:t>&lt;0.35</w:t>
            </w:r>
          </w:p>
        </w:tc>
        <w:tc>
          <w:tcPr>
            <w:tcW w:w="2955" w:type="dxa"/>
            <w:tcBorders>
              <w:top w:val="nil"/>
              <w:left w:val="nil"/>
              <w:bottom w:val="single" w:sz="4" w:space="0" w:color="auto"/>
              <w:right w:val="single" w:sz="4" w:space="0" w:color="auto"/>
            </w:tcBorders>
            <w:shd w:val="clear" w:color="000000" w:fill="FFFFFF"/>
            <w:vAlign w:val="center"/>
          </w:tcPr>
          <w:p w14:paraId="6D126970" w14:textId="77777777" w:rsidR="00EF1EAC" w:rsidRPr="0081391B" w:rsidRDefault="00EF1EAC" w:rsidP="0081391B">
            <w:pPr>
              <w:jc w:val="center"/>
              <w:rPr>
                <w:rStyle w:val="NormalCharacter"/>
                <w:sz w:val="24"/>
              </w:rPr>
            </w:pPr>
            <w:r w:rsidRPr="0081391B">
              <w:rPr>
                <w:rStyle w:val="NormalCharacter"/>
                <w:sz w:val="24"/>
              </w:rPr>
              <w:t>225°</w:t>
            </w:r>
          </w:p>
        </w:tc>
      </w:tr>
    </w:tbl>
    <w:p w14:paraId="6DBC2E46" w14:textId="77777777" w:rsidR="00EF1EAC" w:rsidRPr="0081391B" w:rsidRDefault="00EF1EAC" w:rsidP="0081391B">
      <w:pPr>
        <w:spacing w:line="240" w:lineRule="auto"/>
        <w:ind w:firstLineChars="200" w:firstLine="420"/>
        <w:rPr>
          <w:rFonts w:ascii="宋体" w:hAnsi="宋体"/>
        </w:rPr>
      </w:pPr>
      <w:r w:rsidRPr="0081391B">
        <w:rPr>
          <w:rFonts w:ascii="宋体" w:hAnsi="宋体" w:hint="eastAsia"/>
        </w:rPr>
        <w:t>在该风向窗口内，按</w:t>
      </w:r>
      <w:r w:rsidRPr="0081391B">
        <w:rPr>
          <w:rFonts w:ascii="宋体" w:hAnsi="宋体"/>
        </w:rPr>
        <w:t>RG-1.194</w:t>
      </w:r>
      <w:r w:rsidRPr="0081391B">
        <w:rPr>
          <w:rFonts w:ascii="宋体" w:hAnsi="宋体" w:hint="eastAsia"/>
        </w:rPr>
        <w:t>（第</w:t>
      </w:r>
      <w:r w:rsidRPr="0081391B">
        <w:rPr>
          <w:rFonts w:ascii="宋体" w:hAnsi="宋体"/>
        </w:rPr>
        <w:t>19</w:t>
      </w:r>
      <w:r w:rsidRPr="0081391B">
        <w:rPr>
          <w:rFonts w:ascii="宋体" w:hAnsi="宋体" w:hint="eastAsia"/>
        </w:rPr>
        <w:t>页表</w:t>
      </w:r>
      <w:r w:rsidRPr="0081391B">
        <w:rPr>
          <w:rFonts w:ascii="宋体" w:hAnsi="宋体"/>
        </w:rPr>
        <w:t>1）</w:t>
      </w:r>
      <w:r w:rsidRPr="0081391B">
        <w:rPr>
          <w:rFonts w:ascii="宋体" w:hAnsi="宋体" w:hint="eastAsia"/>
        </w:rPr>
        <w:t>统计各个时段的代表性风速</w:t>
      </w:r>
      <w:r w:rsidRPr="0081391B">
        <w:rPr>
          <w:rFonts w:ascii="宋体" w:hAnsi="宋体"/>
        </w:rPr>
        <w:t>(附表I.2-2)</w:t>
      </w:r>
      <w:r w:rsidRPr="0081391B">
        <w:rPr>
          <w:rFonts w:ascii="宋体" w:hAnsi="宋体" w:hint="eastAsia"/>
        </w:rPr>
        <w:t>，并除以式（</w:t>
      </w:r>
      <w:r w:rsidRPr="0081391B">
        <w:rPr>
          <w:rFonts w:ascii="宋体" w:hAnsi="宋体"/>
        </w:rPr>
        <w:t>14</w:t>
      </w:r>
      <w:r w:rsidRPr="0081391B">
        <w:rPr>
          <w:rFonts w:ascii="宋体" w:hAnsi="宋体" w:hint="eastAsia"/>
        </w:rPr>
        <w:t>）中的</w:t>
      </w:r>
      <w:r w:rsidRPr="0081391B">
        <w:rPr>
          <w:rFonts w:ascii="宋体" w:hAnsi="宋体"/>
        </w:rPr>
        <w:t>5%</w:t>
      </w:r>
      <w:r w:rsidRPr="0081391B">
        <w:rPr>
          <w:rFonts w:ascii="宋体" w:hAnsi="宋体" w:hint="eastAsia"/>
        </w:rPr>
        <w:t>分位风速，得到各个时段的矫正系数。将矫正系数乘以式（</w:t>
      </w:r>
      <w:r w:rsidRPr="0081391B">
        <w:rPr>
          <w:rFonts w:ascii="宋体" w:hAnsi="宋体"/>
        </w:rPr>
        <w:t>14</w:t>
      </w:r>
      <w:r w:rsidRPr="0081391B">
        <w:rPr>
          <w:rFonts w:ascii="宋体" w:hAnsi="宋体" w:hint="eastAsia"/>
        </w:rPr>
        <w:t>）计算的</w:t>
      </w:r>
      <w:r w:rsidRPr="0081391B">
        <w:rPr>
          <w:rFonts w:ascii="宋体" w:hAnsi="宋体"/>
        </w:rPr>
        <w:t>0-8</w:t>
      </w:r>
      <w:r w:rsidRPr="0081391B">
        <w:rPr>
          <w:rFonts w:ascii="宋体" w:hAnsi="宋体" w:hint="eastAsia"/>
        </w:rPr>
        <w:t>小时弥散因子，得到各个时段的弥散因子。</w:t>
      </w:r>
    </w:p>
    <w:p w14:paraId="674812F6" w14:textId="77777777" w:rsidR="00EF1EAC" w:rsidRPr="0081391B" w:rsidRDefault="00EF1EAC" w:rsidP="0081391B">
      <w:pPr>
        <w:spacing w:line="240" w:lineRule="auto"/>
        <w:jc w:val="center"/>
        <w:rPr>
          <w:rFonts w:ascii="宋体" w:hAnsi="宋体"/>
        </w:rPr>
      </w:pPr>
      <w:r w:rsidRPr="0081391B">
        <w:rPr>
          <w:rFonts w:ascii="宋体" w:hAnsi="宋体" w:hint="eastAsia"/>
        </w:rPr>
        <w:t>附表</w:t>
      </w:r>
      <w:r w:rsidRPr="0081391B">
        <w:rPr>
          <w:rFonts w:ascii="宋体" w:hAnsi="宋体"/>
        </w:rPr>
        <w:t xml:space="preserve"> I.2-2 </w:t>
      </w:r>
      <w:r w:rsidRPr="0081391B">
        <w:rPr>
          <w:rFonts w:ascii="宋体" w:hAnsi="宋体" w:hint="eastAsia"/>
        </w:rPr>
        <w:t>不同时间间隔的风速百分位</w:t>
      </w:r>
    </w:p>
    <w:tbl>
      <w:tblPr>
        <w:tblW w:w="5491" w:type="dxa"/>
        <w:jc w:val="center"/>
        <w:tblLook w:val="04A0" w:firstRow="1" w:lastRow="0" w:firstColumn="1" w:lastColumn="0" w:noHBand="0" w:noVBand="1"/>
      </w:tblPr>
      <w:tblGrid>
        <w:gridCol w:w="2547"/>
        <w:gridCol w:w="2944"/>
      </w:tblGrid>
      <w:tr w:rsidR="00EF1EAC" w:rsidRPr="0081391B" w14:paraId="39C09F40" w14:textId="77777777" w:rsidTr="00081252">
        <w:trPr>
          <w:trHeight w:val="278"/>
          <w:jc w:val="center"/>
        </w:trPr>
        <w:tc>
          <w:tcPr>
            <w:tcW w:w="2547" w:type="dxa"/>
            <w:tcBorders>
              <w:top w:val="single" w:sz="4" w:space="0" w:color="auto"/>
              <w:left w:val="single" w:sz="4" w:space="0" w:color="auto"/>
              <w:bottom w:val="single" w:sz="4" w:space="0" w:color="auto"/>
              <w:right w:val="single" w:sz="4" w:space="0" w:color="auto"/>
            </w:tcBorders>
            <w:shd w:val="clear" w:color="000000" w:fill="FFFFFF"/>
            <w:vAlign w:val="center"/>
          </w:tcPr>
          <w:p w14:paraId="530C57FC" w14:textId="77777777" w:rsidR="00EF1EAC" w:rsidRPr="0081391B" w:rsidRDefault="00EF1EAC" w:rsidP="0081391B">
            <w:pPr>
              <w:jc w:val="center"/>
              <w:rPr>
                <w:rStyle w:val="NormalCharacter"/>
                <w:sz w:val="24"/>
              </w:rPr>
            </w:pPr>
            <w:r w:rsidRPr="0081391B">
              <w:rPr>
                <w:rFonts w:ascii="宋体" w:hAnsi="宋体" w:hint="eastAsia"/>
              </w:rPr>
              <w:t>时间间隔</w:t>
            </w:r>
          </w:p>
        </w:tc>
        <w:tc>
          <w:tcPr>
            <w:tcW w:w="2944" w:type="dxa"/>
            <w:tcBorders>
              <w:top w:val="single" w:sz="4" w:space="0" w:color="auto"/>
              <w:left w:val="nil"/>
              <w:bottom w:val="single" w:sz="4" w:space="0" w:color="auto"/>
              <w:right w:val="single" w:sz="4" w:space="0" w:color="auto"/>
            </w:tcBorders>
            <w:shd w:val="clear" w:color="000000" w:fill="FFFFFF"/>
            <w:vAlign w:val="center"/>
          </w:tcPr>
          <w:p w14:paraId="1B98389D" w14:textId="77777777" w:rsidR="00EF1EAC" w:rsidRPr="0081391B" w:rsidRDefault="00EF1EAC" w:rsidP="0081391B">
            <w:pPr>
              <w:jc w:val="center"/>
              <w:rPr>
                <w:rStyle w:val="NormalCharacter"/>
                <w:sz w:val="24"/>
              </w:rPr>
            </w:pPr>
            <w:r w:rsidRPr="0081391B">
              <w:rPr>
                <w:rFonts w:ascii="宋体" w:hAnsi="宋体" w:hint="eastAsia"/>
              </w:rPr>
              <w:t>风速百分位</w:t>
            </w:r>
          </w:p>
        </w:tc>
      </w:tr>
      <w:tr w:rsidR="00EF1EAC" w:rsidRPr="0081391B" w14:paraId="000CB2A2" w14:textId="77777777" w:rsidTr="00081252">
        <w:trPr>
          <w:trHeight w:val="278"/>
          <w:jc w:val="center"/>
        </w:trPr>
        <w:tc>
          <w:tcPr>
            <w:tcW w:w="2547" w:type="dxa"/>
            <w:tcBorders>
              <w:top w:val="nil"/>
              <w:left w:val="single" w:sz="4" w:space="0" w:color="auto"/>
              <w:bottom w:val="single" w:sz="4" w:space="0" w:color="auto"/>
              <w:right w:val="single" w:sz="4" w:space="0" w:color="auto"/>
            </w:tcBorders>
            <w:shd w:val="clear" w:color="000000" w:fill="FFFFFF"/>
            <w:vAlign w:val="center"/>
          </w:tcPr>
          <w:p w14:paraId="2DAA2747" w14:textId="77777777" w:rsidR="00EF1EAC" w:rsidRPr="0081391B" w:rsidRDefault="00EF1EAC" w:rsidP="0081391B">
            <w:pPr>
              <w:jc w:val="center"/>
              <w:rPr>
                <w:rStyle w:val="NormalCharacter"/>
                <w:sz w:val="24"/>
              </w:rPr>
            </w:pPr>
            <w:r w:rsidRPr="0081391B">
              <w:rPr>
                <w:rStyle w:val="NormalCharacter"/>
                <w:sz w:val="24"/>
              </w:rPr>
              <w:t>0 - 8 hours</w:t>
            </w:r>
          </w:p>
        </w:tc>
        <w:tc>
          <w:tcPr>
            <w:tcW w:w="2944" w:type="dxa"/>
            <w:tcBorders>
              <w:top w:val="nil"/>
              <w:left w:val="nil"/>
              <w:bottom w:val="single" w:sz="4" w:space="0" w:color="auto"/>
              <w:right w:val="single" w:sz="4" w:space="0" w:color="auto"/>
            </w:tcBorders>
            <w:shd w:val="clear" w:color="000000" w:fill="FFFFFF"/>
            <w:vAlign w:val="center"/>
          </w:tcPr>
          <w:p w14:paraId="73B19E24" w14:textId="77777777" w:rsidR="00EF1EAC" w:rsidRPr="0081391B" w:rsidRDefault="00EF1EAC" w:rsidP="0081391B">
            <w:pPr>
              <w:jc w:val="center"/>
              <w:rPr>
                <w:rStyle w:val="NormalCharacter"/>
                <w:sz w:val="24"/>
              </w:rPr>
            </w:pPr>
            <w:r w:rsidRPr="0081391B">
              <w:rPr>
                <w:rStyle w:val="NormalCharacter"/>
                <w:sz w:val="24"/>
              </w:rPr>
              <w:t>5</w:t>
            </w:r>
          </w:p>
        </w:tc>
      </w:tr>
      <w:tr w:rsidR="00EF1EAC" w:rsidRPr="0081391B" w14:paraId="610F42BB" w14:textId="77777777" w:rsidTr="00081252">
        <w:trPr>
          <w:trHeight w:val="278"/>
          <w:jc w:val="center"/>
        </w:trPr>
        <w:tc>
          <w:tcPr>
            <w:tcW w:w="2547" w:type="dxa"/>
            <w:tcBorders>
              <w:top w:val="nil"/>
              <w:left w:val="single" w:sz="4" w:space="0" w:color="auto"/>
              <w:bottom w:val="single" w:sz="4" w:space="0" w:color="auto"/>
              <w:right w:val="single" w:sz="4" w:space="0" w:color="auto"/>
            </w:tcBorders>
            <w:shd w:val="clear" w:color="000000" w:fill="FFFFFF"/>
            <w:vAlign w:val="center"/>
          </w:tcPr>
          <w:p w14:paraId="022DA588" w14:textId="77777777" w:rsidR="00EF1EAC" w:rsidRPr="0081391B" w:rsidRDefault="00EF1EAC" w:rsidP="0081391B">
            <w:pPr>
              <w:jc w:val="center"/>
              <w:rPr>
                <w:rStyle w:val="NormalCharacter"/>
                <w:sz w:val="24"/>
              </w:rPr>
            </w:pPr>
            <w:r w:rsidRPr="0081391B">
              <w:rPr>
                <w:rStyle w:val="NormalCharacter"/>
                <w:sz w:val="24"/>
              </w:rPr>
              <w:t>8 - 24 hours</w:t>
            </w:r>
          </w:p>
        </w:tc>
        <w:tc>
          <w:tcPr>
            <w:tcW w:w="2944" w:type="dxa"/>
            <w:tcBorders>
              <w:top w:val="nil"/>
              <w:left w:val="nil"/>
              <w:bottom w:val="single" w:sz="4" w:space="0" w:color="auto"/>
              <w:right w:val="single" w:sz="4" w:space="0" w:color="auto"/>
            </w:tcBorders>
            <w:shd w:val="clear" w:color="000000" w:fill="FFFFFF"/>
            <w:vAlign w:val="center"/>
          </w:tcPr>
          <w:p w14:paraId="2C33FA1F" w14:textId="77777777" w:rsidR="00EF1EAC" w:rsidRPr="0081391B" w:rsidRDefault="00EF1EAC" w:rsidP="0081391B">
            <w:pPr>
              <w:jc w:val="center"/>
              <w:rPr>
                <w:rStyle w:val="NormalCharacter"/>
                <w:sz w:val="24"/>
              </w:rPr>
            </w:pPr>
            <w:r w:rsidRPr="0081391B">
              <w:rPr>
                <w:rStyle w:val="NormalCharacter"/>
                <w:sz w:val="24"/>
              </w:rPr>
              <w:t>10</w:t>
            </w:r>
          </w:p>
        </w:tc>
      </w:tr>
      <w:tr w:rsidR="00EF1EAC" w:rsidRPr="0081391B" w14:paraId="4F4973C1" w14:textId="77777777" w:rsidTr="00081252">
        <w:trPr>
          <w:trHeight w:val="278"/>
          <w:jc w:val="center"/>
        </w:trPr>
        <w:tc>
          <w:tcPr>
            <w:tcW w:w="2547" w:type="dxa"/>
            <w:tcBorders>
              <w:top w:val="nil"/>
              <w:left w:val="single" w:sz="4" w:space="0" w:color="auto"/>
              <w:bottom w:val="single" w:sz="4" w:space="0" w:color="auto"/>
              <w:right w:val="single" w:sz="4" w:space="0" w:color="auto"/>
            </w:tcBorders>
            <w:shd w:val="clear" w:color="000000" w:fill="FFFFFF"/>
            <w:vAlign w:val="center"/>
          </w:tcPr>
          <w:p w14:paraId="217FF4E6" w14:textId="77777777" w:rsidR="00EF1EAC" w:rsidRPr="0081391B" w:rsidRDefault="00EF1EAC" w:rsidP="0081391B">
            <w:pPr>
              <w:jc w:val="center"/>
              <w:rPr>
                <w:rStyle w:val="NormalCharacter"/>
                <w:sz w:val="24"/>
              </w:rPr>
            </w:pPr>
            <w:r w:rsidRPr="0081391B">
              <w:rPr>
                <w:rStyle w:val="NormalCharacter"/>
                <w:sz w:val="24"/>
              </w:rPr>
              <w:t>1 - 4 days</w:t>
            </w:r>
          </w:p>
        </w:tc>
        <w:tc>
          <w:tcPr>
            <w:tcW w:w="2944" w:type="dxa"/>
            <w:tcBorders>
              <w:top w:val="nil"/>
              <w:left w:val="nil"/>
              <w:bottom w:val="single" w:sz="4" w:space="0" w:color="auto"/>
              <w:right w:val="single" w:sz="4" w:space="0" w:color="auto"/>
            </w:tcBorders>
            <w:shd w:val="clear" w:color="000000" w:fill="FFFFFF"/>
            <w:vAlign w:val="center"/>
          </w:tcPr>
          <w:p w14:paraId="44E2E3C9" w14:textId="77777777" w:rsidR="00EF1EAC" w:rsidRPr="0081391B" w:rsidRDefault="00EF1EAC" w:rsidP="0081391B">
            <w:pPr>
              <w:jc w:val="center"/>
              <w:rPr>
                <w:rStyle w:val="NormalCharacter"/>
                <w:sz w:val="24"/>
              </w:rPr>
            </w:pPr>
            <w:r w:rsidRPr="0081391B">
              <w:rPr>
                <w:rStyle w:val="NormalCharacter"/>
                <w:sz w:val="24"/>
              </w:rPr>
              <w:t>20</w:t>
            </w:r>
          </w:p>
        </w:tc>
      </w:tr>
      <w:tr w:rsidR="00EF1EAC" w:rsidRPr="0081391B" w14:paraId="6FD49570" w14:textId="77777777" w:rsidTr="00081252">
        <w:trPr>
          <w:trHeight w:val="316"/>
          <w:jc w:val="center"/>
        </w:trPr>
        <w:tc>
          <w:tcPr>
            <w:tcW w:w="2547" w:type="dxa"/>
            <w:tcBorders>
              <w:top w:val="nil"/>
              <w:left w:val="single" w:sz="4" w:space="0" w:color="auto"/>
              <w:bottom w:val="single" w:sz="4" w:space="0" w:color="auto"/>
              <w:right w:val="single" w:sz="4" w:space="0" w:color="auto"/>
            </w:tcBorders>
            <w:shd w:val="clear" w:color="000000" w:fill="FFFFFF"/>
            <w:vAlign w:val="center"/>
          </w:tcPr>
          <w:p w14:paraId="4FEA95DE" w14:textId="77777777" w:rsidR="00EF1EAC" w:rsidRPr="0081391B" w:rsidRDefault="00EF1EAC" w:rsidP="0081391B">
            <w:pPr>
              <w:jc w:val="center"/>
              <w:rPr>
                <w:rStyle w:val="NormalCharacter"/>
                <w:sz w:val="24"/>
              </w:rPr>
            </w:pPr>
            <w:r w:rsidRPr="0081391B">
              <w:rPr>
                <w:rStyle w:val="NormalCharacter"/>
                <w:sz w:val="24"/>
              </w:rPr>
              <w:lastRenderedPageBreak/>
              <w:t>4 - 30 days</w:t>
            </w:r>
          </w:p>
        </w:tc>
        <w:tc>
          <w:tcPr>
            <w:tcW w:w="2944" w:type="dxa"/>
            <w:tcBorders>
              <w:top w:val="nil"/>
              <w:left w:val="nil"/>
              <w:bottom w:val="single" w:sz="4" w:space="0" w:color="auto"/>
              <w:right w:val="single" w:sz="4" w:space="0" w:color="auto"/>
            </w:tcBorders>
            <w:shd w:val="clear" w:color="000000" w:fill="FFFFFF"/>
            <w:vAlign w:val="center"/>
          </w:tcPr>
          <w:p w14:paraId="75844EEB" w14:textId="77777777" w:rsidR="00EF1EAC" w:rsidRPr="0081391B" w:rsidRDefault="00EF1EAC" w:rsidP="0081391B">
            <w:pPr>
              <w:jc w:val="center"/>
              <w:rPr>
                <w:rStyle w:val="NormalCharacter"/>
                <w:sz w:val="24"/>
              </w:rPr>
            </w:pPr>
            <w:r w:rsidRPr="0081391B">
              <w:rPr>
                <w:rStyle w:val="NormalCharacter"/>
                <w:sz w:val="24"/>
              </w:rPr>
              <w:t>40</w:t>
            </w:r>
          </w:p>
        </w:tc>
      </w:tr>
    </w:tbl>
    <w:p w14:paraId="78E7DC74" w14:textId="77777777" w:rsidR="00D24AFE" w:rsidRPr="00105108" w:rsidRDefault="00D24AFE" w:rsidP="00BF1D4A">
      <w:pPr>
        <w:pStyle w:val="affffb"/>
        <w:ind w:firstLineChars="0" w:firstLine="0"/>
      </w:pPr>
    </w:p>
    <w:p w14:paraId="3EAD84FF" w14:textId="790128F1" w:rsidR="00FD7574" w:rsidRDefault="00FD7574" w:rsidP="003D332F">
      <w:pPr>
        <w:pStyle w:val="af8"/>
        <w:rPr>
          <w:vanish w:val="0"/>
        </w:rPr>
      </w:pPr>
      <w:bookmarkStart w:id="62" w:name="BookMark5"/>
      <w:bookmarkEnd w:id="21"/>
      <w:bookmarkEnd w:id="62"/>
    </w:p>
    <w:sectPr w:rsidR="00FD7574" w:rsidSect="00FD7574">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0D2AA9" w14:textId="77777777" w:rsidR="00F70AEB" w:rsidRDefault="00F70AEB" w:rsidP="00D86DB7">
      <w:r>
        <w:separator/>
      </w:r>
    </w:p>
    <w:p w14:paraId="0D2A81AC" w14:textId="77777777" w:rsidR="00F70AEB" w:rsidRDefault="00F70AEB"/>
    <w:p w14:paraId="32BD59A9" w14:textId="77777777" w:rsidR="00F70AEB" w:rsidRDefault="00F70AEB"/>
  </w:endnote>
  <w:endnote w:type="continuationSeparator" w:id="0">
    <w:p w14:paraId="27225617" w14:textId="77777777" w:rsidR="00F70AEB" w:rsidRDefault="00F70AEB" w:rsidP="00D86DB7">
      <w:r>
        <w:continuationSeparator/>
      </w:r>
    </w:p>
    <w:p w14:paraId="6B4D65B4" w14:textId="77777777" w:rsidR="00F70AEB" w:rsidRDefault="00F70AEB"/>
    <w:p w14:paraId="134390D2" w14:textId="77777777" w:rsidR="00F70AEB" w:rsidRDefault="00F70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A11C7" w14:textId="77777777" w:rsidR="007B77A5" w:rsidRDefault="007B77A5">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89F6F" w14:textId="77777777" w:rsidR="007B77A5" w:rsidRPr="00324EDD" w:rsidRDefault="007B77A5"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0B75D" w14:textId="284C9C2A" w:rsidR="007B77A5" w:rsidRDefault="007B77A5" w:rsidP="00D63276">
    <w:pPr>
      <w:pStyle w:val="affff8"/>
    </w:pPr>
    <w:r>
      <w:fldChar w:fldCharType="begin"/>
    </w:r>
    <w:r>
      <w:instrText>PAGE   \* MERGEFORMAT</w:instrText>
    </w:r>
    <w:r>
      <w:fldChar w:fldCharType="separate"/>
    </w:r>
    <w:r w:rsidR="00960116" w:rsidRPr="00960116">
      <w:rPr>
        <w:noProof/>
        <w:lang w:val="zh-CN"/>
      </w:rPr>
      <w:t>9</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F593A6" w14:textId="77777777" w:rsidR="00F70AEB" w:rsidRDefault="00F70AEB" w:rsidP="00D86DB7">
      <w:r>
        <w:separator/>
      </w:r>
    </w:p>
  </w:footnote>
  <w:footnote w:type="continuationSeparator" w:id="0">
    <w:p w14:paraId="12702003" w14:textId="77777777" w:rsidR="00F70AEB" w:rsidRDefault="00F70AEB" w:rsidP="00D86DB7">
      <w:r>
        <w:continuationSeparator/>
      </w:r>
    </w:p>
    <w:p w14:paraId="7288C8F6" w14:textId="77777777" w:rsidR="00F70AEB" w:rsidRDefault="00F70AEB"/>
    <w:p w14:paraId="04927637" w14:textId="77777777" w:rsidR="00F70AEB" w:rsidRDefault="00F70AE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D0BF8" w14:textId="77777777" w:rsidR="007B77A5" w:rsidRPr="00E70388" w:rsidRDefault="007B77A5"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9182D1" w14:textId="77777777" w:rsidR="007B77A5" w:rsidRPr="00324EDD" w:rsidRDefault="007B77A5"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DB035" w14:textId="4D379152" w:rsidR="007B77A5" w:rsidRDefault="007B77A5"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noProof/>
      </w:rPr>
      <w:t>GB/T XXXXX—XXXX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1E23E" w14:textId="474DB077" w:rsidR="007B77A5" w:rsidRPr="00D84FA1" w:rsidRDefault="007B77A5" w:rsidP="007C19E8">
    <w:pPr>
      <w:pStyle w:val="afffff0"/>
      <w:spacing w:after="0"/>
    </w:pPr>
    <w:r>
      <w:fldChar w:fldCharType="begin"/>
    </w:r>
    <w:r>
      <w:instrText xml:space="preserve"> STYLEREF  标准文件_文件编号  \* MERGEFORMAT </w:instrText>
    </w:r>
    <w:r>
      <w:fldChar w:fldCharType="separate"/>
    </w:r>
    <w:r w:rsidR="00960116">
      <w:t>GB/T XXXXX</w:t>
    </w:r>
    <w:r w:rsidR="00960116">
      <w:t>—</w:t>
    </w:r>
    <w:r w:rsidR="00960116">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98161FC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283"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7"/>
  </w:num>
  <w:num w:numId="3">
    <w:abstractNumId w:val="5"/>
  </w:num>
  <w:num w:numId="4">
    <w:abstractNumId w:val="8"/>
  </w:num>
  <w:num w:numId="5">
    <w:abstractNumId w:val="23"/>
  </w:num>
  <w:num w:numId="6">
    <w:abstractNumId w:val="9"/>
  </w:num>
  <w:num w:numId="7">
    <w:abstractNumId w:val="16"/>
  </w:num>
  <w:num w:numId="8">
    <w:abstractNumId w:val="7"/>
  </w:num>
  <w:num w:numId="9">
    <w:abstractNumId w:val="19"/>
  </w:num>
  <w:num w:numId="10">
    <w:abstractNumId w:val="21"/>
  </w:num>
  <w:num w:numId="11">
    <w:abstractNumId w:val="17"/>
  </w:num>
  <w:num w:numId="12">
    <w:abstractNumId w:val="29"/>
  </w:num>
  <w:num w:numId="13">
    <w:abstractNumId w:val="15"/>
  </w:num>
  <w:num w:numId="14">
    <w:abstractNumId w:val="30"/>
  </w:num>
  <w:num w:numId="15">
    <w:abstractNumId w:val="1"/>
  </w:num>
  <w:num w:numId="16">
    <w:abstractNumId w:val="20"/>
  </w:num>
  <w:num w:numId="17">
    <w:abstractNumId w:val="6"/>
  </w:num>
  <w:num w:numId="18">
    <w:abstractNumId w:val="13"/>
  </w:num>
  <w:num w:numId="19">
    <w:abstractNumId w:val="25"/>
  </w:num>
  <w:num w:numId="20">
    <w:abstractNumId w:val="26"/>
  </w:num>
  <w:num w:numId="21">
    <w:abstractNumId w:val="11"/>
  </w:num>
  <w:num w:numId="22">
    <w:abstractNumId w:val="28"/>
  </w:num>
  <w:num w:numId="23">
    <w:abstractNumId w:val="2"/>
  </w:num>
  <w:num w:numId="24">
    <w:abstractNumId w:val="4"/>
  </w:num>
  <w:num w:numId="25">
    <w:abstractNumId w:val="14"/>
  </w:num>
  <w:num w:numId="26">
    <w:abstractNumId w:val="24"/>
  </w:num>
  <w:num w:numId="27">
    <w:abstractNumId w:val="10"/>
  </w:num>
  <w:num w:numId="28">
    <w:abstractNumId w:val="22"/>
  </w:num>
  <w:num w:numId="29">
    <w:abstractNumId w:val="18"/>
  </w:num>
  <w:num w:numId="30">
    <w:abstractNumId w:val="3"/>
  </w:num>
  <w:num w:numId="31">
    <w:abstractNumId w:val="12"/>
  </w:num>
  <w:num w:numId="32">
    <w:abstractNumId w:val="27"/>
  </w:num>
  <w:num w:numId="33">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activeWritingStyle w:appName="MSWord" w:lang="zh-CN" w:vendorID="64" w:dllVersion="131077" w:nlCheck="1" w:checkStyle="1"/>
  <w:activeWritingStyle w:appName="MSWord" w:lang="en-US" w:vendorID="64" w:dllVersion="131078" w:nlCheck="1" w:checkStyle="0"/>
  <w:proofState w:spelling="clean" w:grammar="clean"/>
  <w:attachedTemplate r:id="rId1"/>
  <w:stylePaneSortMethod w:val="0000"/>
  <w:documentProtection w:edit="forms" w:enforcement="1" w:cryptProviderType="rsaAES" w:cryptAlgorithmClass="hash" w:cryptAlgorithmType="typeAny" w:cryptAlgorithmSid="14" w:cryptSpinCount="100000" w:hash="kwILfnjFixHfyLWmhZ58/8lRfXwDbNDZRviV0uHthEIOJiFj1S7I8GvPH8nUwQZ4N28pHcBERDUyZIQNRIjzow==" w:salt="xdW0vZClQgLZIzv2z+AB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368"/>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32F7"/>
    <w:rsid w:val="00033F81"/>
    <w:rsid w:val="000346A5"/>
    <w:rsid w:val="00035498"/>
    <w:rsid w:val="000359C3"/>
    <w:rsid w:val="00035A7D"/>
    <w:rsid w:val="00037CEB"/>
    <w:rsid w:val="0004249A"/>
    <w:rsid w:val="000429FA"/>
    <w:rsid w:val="00043282"/>
    <w:rsid w:val="00044286"/>
    <w:rsid w:val="00046F3B"/>
    <w:rsid w:val="0004730E"/>
    <w:rsid w:val="00047F28"/>
    <w:rsid w:val="00047FF0"/>
    <w:rsid w:val="000503AA"/>
    <w:rsid w:val="000506A1"/>
    <w:rsid w:val="0005071C"/>
    <w:rsid w:val="000515DD"/>
    <w:rsid w:val="00052046"/>
    <w:rsid w:val="0005265A"/>
    <w:rsid w:val="000539DD"/>
    <w:rsid w:val="00053BD3"/>
    <w:rsid w:val="000556ED"/>
    <w:rsid w:val="00055FE2"/>
    <w:rsid w:val="0005616F"/>
    <w:rsid w:val="00060C2E"/>
    <w:rsid w:val="00061033"/>
    <w:rsid w:val="000619E9"/>
    <w:rsid w:val="000622D4"/>
    <w:rsid w:val="0006357D"/>
    <w:rsid w:val="000673FB"/>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5216"/>
    <w:rsid w:val="00096D63"/>
    <w:rsid w:val="000A0B60"/>
    <w:rsid w:val="000A0EB8"/>
    <w:rsid w:val="000A19FC"/>
    <w:rsid w:val="000A296B"/>
    <w:rsid w:val="000A534E"/>
    <w:rsid w:val="000A7311"/>
    <w:rsid w:val="000B060F"/>
    <w:rsid w:val="000B1592"/>
    <w:rsid w:val="000B1FF2"/>
    <w:rsid w:val="000B3CDA"/>
    <w:rsid w:val="000B6A0B"/>
    <w:rsid w:val="000C0F6C"/>
    <w:rsid w:val="000C10D8"/>
    <w:rsid w:val="000C11DB"/>
    <w:rsid w:val="000C2FBD"/>
    <w:rsid w:val="000C3E10"/>
    <w:rsid w:val="000C4B41"/>
    <w:rsid w:val="000C57D6"/>
    <w:rsid w:val="000C7666"/>
    <w:rsid w:val="000C7E5C"/>
    <w:rsid w:val="000D0A9C"/>
    <w:rsid w:val="000D1795"/>
    <w:rsid w:val="000D329A"/>
    <w:rsid w:val="000D3E29"/>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05108"/>
    <w:rsid w:val="00112A4F"/>
    <w:rsid w:val="00113B1E"/>
    <w:rsid w:val="0011711C"/>
    <w:rsid w:val="00124E4F"/>
    <w:rsid w:val="00125E9C"/>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1D5"/>
    <w:rsid w:val="0015650C"/>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40BC"/>
    <w:rsid w:val="00174DBE"/>
    <w:rsid w:val="00176DFD"/>
    <w:rsid w:val="001800B5"/>
    <w:rsid w:val="001852C9"/>
    <w:rsid w:val="00190087"/>
    <w:rsid w:val="001913C4"/>
    <w:rsid w:val="0019348F"/>
    <w:rsid w:val="00193702"/>
    <w:rsid w:val="00193A07"/>
    <w:rsid w:val="00194C95"/>
    <w:rsid w:val="00195C34"/>
    <w:rsid w:val="001A1A53"/>
    <w:rsid w:val="001A234A"/>
    <w:rsid w:val="001A341A"/>
    <w:rsid w:val="001A6229"/>
    <w:rsid w:val="001B06E8"/>
    <w:rsid w:val="001B0996"/>
    <w:rsid w:val="001B0BC8"/>
    <w:rsid w:val="001B34A6"/>
    <w:rsid w:val="001B71D0"/>
    <w:rsid w:val="001B71EE"/>
    <w:rsid w:val="001C04A8"/>
    <w:rsid w:val="001C2C03"/>
    <w:rsid w:val="001C42F7"/>
    <w:rsid w:val="001C49E5"/>
    <w:rsid w:val="001C4EF9"/>
    <w:rsid w:val="001C680C"/>
    <w:rsid w:val="001C7FEA"/>
    <w:rsid w:val="001D0499"/>
    <w:rsid w:val="001D0BBE"/>
    <w:rsid w:val="001D0ED4"/>
    <w:rsid w:val="001D1C53"/>
    <w:rsid w:val="001D212F"/>
    <w:rsid w:val="001D29D7"/>
    <w:rsid w:val="001D2DE7"/>
    <w:rsid w:val="001D411C"/>
    <w:rsid w:val="001D5024"/>
    <w:rsid w:val="001D74DE"/>
    <w:rsid w:val="001D765C"/>
    <w:rsid w:val="001E1B6A"/>
    <w:rsid w:val="001E2484"/>
    <w:rsid w:val="001E3CC4"/>
    <w:rsid w:val="001E4882"/>
    <w:rsid w:val="001E4DD9"/>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7368"/>
    <w:rsid w:val="0020784F"/>
    <w:rsid w:val="00210B15"/>
    <w:rsid w:val="002142EA"/>
    <w:rsid w:val="00217127"/>
    <w:rsid w:val="00220052"/>
    <w:rsid w:val="002204BB"/>
    <w:rsid w:val="00221356"/>
    <w:rsid w:val="00221B79"/>
    <w:rsid w:val="00221C6B"/>
    <w:rsid w:val="002253A1"/>
    <w:rsid w:val="00225CF8"/>
    <w:rsid w:val="0022794E"/>
    <w:rsid w:val="00230F63"/>
    <w:rsid w:val="00231C18"/>
    <w:rsid w:val="00233D64"/>
    <w:rsid w:val="0023482A"/>
    <w:rsid w:val="00234C6C"/>
    <w:rsid w:val="002359CB"/>
    <w:rsid w:val="00235F8E"/>
    <w:rsid w:val="00236BBD"/>
    <w:rsid w:val="00240E9D"/>
    <w:rsid w:val="00243540"/>
    <w:rsid w:val="0024497B"/>
    <w:rsid w:val="0024515B"/>
    <w:rsid w:val="00246021"/>
    <w:rsid w:val="0024666E"/>
    <w:rsid w:val="00247F52"/>
    <w:rsid w:val="0025093E"/>
    <w:rsid w:val="00250B25"/>
    <w:rsid w:val="00250BBE"/>
    <w:rsid w:val="0025194F"/>
    <w:rsid w:val="0025479D"/>
    <w:rsid w:val="0026148A"/>
    <w:rsid w:val="00261AAE"/>
    <w:rsid w:val="00262696"/>
    <w:rsid w:val="00262EBF"/>
    <w:rsid w:val="002643C3"/>
    <w:rsid w:val="002644C5"/>
    <w:rsid w:val="00264978"/>
    <w:rsid w:val="00264A0C"/>
    <w:rsid w:val="002664D6"/>
    <w:rsid w:val="00267EF4"/>
    <w:rsid w:val="00270CB8"/>
    <w:rsid w:val="00272B08"/>
    <w:rsid w:val="00281BB8"/>
    <w:rsid w:val="00281E9E"/>
    <w:rsid w:val="00285170"/>
    <w:rsid w:val="00285361"/>
    <w:rsid w:val="00292D60"/>
    <w:rsid w:val="00294D34"/>
    <w:rsid w:val="00294E3B"/>
    <w:rsid w:val="00296193"/>
    <w:rsid w:val="00296280"/>
    <w:rsid w:val="00296C66"/>
    <w:rsid w:val="00296EBE"/>
    <w:rsid w:val="002974E3"/>
    <w:rsid w:val="002A084B"/>
    <w:rsid w:val="002A1260"/>
    <w:rsid w:val="002A1589"/>
    <w:rsid w:val="002A1608"/>
    <w:rsid w:val="002A25DC"/>
    <w:rsid w:val="002A3AAB"/>
    <w:rsid w:val="002A43B1"/>
    <w:rsid w:val="002A4CEA"/>
    <w:rsid w:val="002A5977"/>
    <w:rsid w:val="002A5A13"/>
    <w:rsid w:val="002A7F44"/>
    <w:rsid w:val="002B0C40"/>
    <w:rsid w:val="002B1966"/>
    <w:rsid w:val="002B4508"/>
    <w:rsid w:val="002B5779"/>
    <w:rsid w:val="002B7332"/>
    <w:rsid w:val="002B7F51"/>
    <w:rsid w:val="002C09E7"/>
    <w:rsid w:val="002C13A3"/>
    <w:rsid w:val="002C1B28"/>
    <w:rsid w:val="002C3F07"/>
    <w:rsid w:val="002C4171"/>
    <w:rsid w:val="002C5278"/>
    <w:rsid w:val="002C7EBB"/>
    <w:rsid w:val="002D06C1"/>
    <w:rsid w:val="002D42B5"/>
    <w:rsid w:val="002D43D7"/>
    <w:rsid w:val="002D4F1A"/>
    <w:rsid w:val="002D6EC6"/>
    <w:rsid w:val="002D79AC"/>
    <w:rsid w:val="002E039D"/>
    <w:rsid w:val="002E4D5A"/>
    <w:rsid w:val="002E5195"/>
    <w:rsid w:val="002E6326"/>
    <w:rsid w:val="002F2DC3"/>
    <w:rsid w:val="002F30E0"/>
    <w:rsid w:val="002F35E4"/>
    <w:rsid w:val="002F3730"/>
    <w:rsid w:val="002F38E1"/>
    <w:rsid w:val="002F445D"/>
    <w:rsid w:val="002F7739"/>
    <w:rsid w:val="002F7AF6"/>
    <w:rsid w:val="00300E63"/>
    <w:rsid w:val="00302F5F"/>
    <w:rsid w:val="0030441D"/>
    <w:rsid w:val="00305C12"/>
    <w:rsid w:val="00306063"/>
    <w:rsid w:val="00313B85"/>
    <w:rsid w:val="00314BDF"/>
    <w:rsid w:val="0031612E"/>
    <w:rsid w:val="00316B43"/>
    <w:rsid w:val="00317988"/>
    <w:rsid w:val="00320B8F"/>
    <w:rsid w:val="003221B4"/>
    <w:rsid w:val="00322E62"/>
    <w:rsid w:val="00324EDD"/>
    <w:rsid w:val="00325C2E"/>
    <w:rsid w:val="00331E87"/>
    <w:rsid w:val="00336C64"/>
    <w:rsid w:val="00337162"/>
    <w:rsid w:val="0034194F"/>
    <w:rsid w:val="003431C8"/>
    <w:rsid w:val="00344605"/>
    <w:rsid w:val="003474AA"/>
    <w:rsid w:val="00347874"/>
    <w:rsid w:val="00347A65"/>
    <w:rsid w:val="00350D1D"/>
    <w:rsid w:val="00352C83"/>
    <w:rsid w:val="003615D2"/>
    <w:rsid w:val="003618D6"/>
    <w:rsid w:val="0036429C"/>
    <w:rsid w:val="00364A53"/>
    <w:rsid w:val="003654CB"/>
    <w:rsid w:val="00365F86"/>
    <w:rsid w:val="00365F87"/>
    <w:rsid w:val="003701B7"/>
    <w:rsid w:val="003705F4"/>
    <w:rsid w:val="00370D58"/>
    <w:rsid w:val="00371316"/>
    <w:rsid w:val="00376713"/>
    <w:rsid w:val="00381815"/>
    <w:rsid w:val="003819AF"/>
    <w:rsid w:val="003820E9"/>
    <w:rsid w:val="00382DE7"/>
    <w:rsid w:val="00384A2A"/>
    <w:rsid w:val="00384FFC"/>
    <w:rsid w:val="003872FC"/>
    <w:rsid w:val="00387ADC"/>
    <w:rsid w:val="00390020"/>
    <w:rsid w:val="003903D6"/>
    <w:rsid w:val="003906E5"/>
    <w:rsid w:val="00390EE6"/>
    <w:rsid w:val="0039118F"/>
    <w:rsid w:val="00392AD7"/>
    <w:rsid w:val="00392C0B"/>
    <w:rsid w:val="00392C1E"/>
    <w:rsid w:val="003938D9"/>
    <w:rsid w:val="003940AC"/>
    <w:rsid w:val="00394376"/>
    <w:rsid w:val="003943FF"/>
    <w:rsid w:val="003974EB"/>
    <w:rsid w:val="00397CC5"/>
    <w:rsid w:val="003A1582"/>
    <w:rsid w:val="003A4077"/>
    <w:rsid w:val="003A6DAF"/>
    <w:rsid w:val="003B09AD"/>
    <w:rsid w:val="003B1F18"/>
    <w:rsid w:val="003B294C"/>
    <w:rsid w:val="003B2EAC"/>
    <w:rsid w:val="003B5BF0"/>
    <w:rsid w:val="003B60BF"/>
    <w:rsid w:val="003B6BE3"/>
    <w:rsid w:val="003C010C"/>
    <w:rsid w:val="003C0A6C"/>
    <w:rsid w:val="003C5A43"/>
    <w:rsid w:val="003C7434"/>
    <w:rsid w:val="003D0519"/>
    <w:rsid w:val="003D0884"/>
    <w:rsid w:val="003D0FF6"/>
    <w:rsid w:val="003D262C"/>
    <w:rsid w:val="003D27CF"/>
    <w:rsid w:val="003D332F"/>
    <w:rsid w:val="003D610B"/>
    <w:rsid w:val="003D6D61"/>
    <w:rsid w:val="003E091D"/>
    <w:rsid w:val="003E1C53"/>
    <w:rsid w:val="003E2A69"/>
    <w:rsid w:val="003E2D49"/>
    <w:rsid w:val="003E2FD4"/>
    <w:rsid w:val="003E494A"/>
    <w:rsid w:val="003E49F6"/>
    <w:rsid w:val="003F0841"/>
    <w:rsid w:val="003F23D3"/>
    <w:rsid w:val="003F3F08"/>
    <w:rsid w:val="003F49F1"/>
    <w:rsid w:val="003F60ED"/>
    <w:rsid w:val="003F6272"/>
    <w:rsid w:val="00400E72"/>
    <w:rsid w:val="00401400"/>
    <w:rsid w:val="00404869"/>
    <w:rsid w:val="00405884"/>
    <w:rsid w:val="00407048"/>
    <w:rsid w:val="00407D39"/>
    <w:rsid w:val="0041477A"/>
    <w:rsid w:val="004167A3"/>
    <w:rsid w:val="004201E7"/>
    <w:rsid w:val="00423CBB"/>
    <w:rsid w:val="004242F2"/>
    <w:rsid w:val="00424E5F"/>
    <w:rsid w:val="00432DAA"/>
    <w:rsid w:val="00434305"/>
    <w:rsid w:val="004347D3"/>
    <w:rsid w:val="00435DF7"/>
    <w:rsid w:val="00437DC2"/>
    <w:rsid w:val="00440710"/>
    <w:rsid w:val="0044083F"/>
    <w:rsid w:val="00441AE7"/>
    <w:rsid w:val="00443741"/>
    <w:rsid w:val="00445574"/>
    <w:rsid w:val="004467FB"/>
    <w:rsid w:val="004506AA"/>
    <w:rsid w:val="00452D6B"/>
    <w:rsid w:val="00454484"/>
    <w:rsid w:val="0045517B"/>
    <w:rsid w:val="00462167"/>
    <w:rsid w:val="00463B77"/>
    <w:rsid w:val="00463C7B"/>
    <w:rsid w:val="004644A6"/>
    <w:rsid w:val="00464F34"/>
    <w:rsid w:val="004659BD"/>
    <w:rsid w:val="0046639F"/>
    <w:rsid w:val="00466742"/>
    <w:rsid w:val="00466CCE"/>
    <w:rsid w:val="00470775"/>
    <w:rsid w:val="004746B1"/>
    <w:rsid w:val="0047583F"/>
    <w:rsid w:val="00481E95"/>
    <w:rsid w:val="0048325D"/>
    <w:rsid w:val="0048356B"/>
    <w:rsid w:val="00483D97"/>
    <w:rsid w:val="00484936"/>
    <w:rsid w:val="00485C89"/>
    <w:rsid w:val="00486BE3"/>
    <w:rsid w:val="004905E4"/>
    <w:rsid w:val="00490A89"/>
    <w:rsid w:val="00490AB4"/>
    <w:rsid w:val="00492F02"/>
    <w:rsid w:val="004939AE"/>
    <w:rsid w:val="004A0B52"/>
    <w:rsid w:val="004A12DF"/>
    <w:rsid w:val="004A1BA8"/>
    <w:rsid w:val="004A4B57"/>
    <w:rsid w:val="004A63FA"/>
    <w:rsid w:val="004B01E5"/>
    <w:rsid w:val="004B2701"/>
    <w:rsid w:val="004B2E1B"/>
    <w:rsid w:val="004B3E93"/>
    <w:rsid w:val="004C1FBC"/>
    <w:rsid w:val="004C3F1D"/>
    <w:rsid w:val="004C458D"/>
    <w:rsid w:val="004C7556"/>
    <w:rsid w:val="004C7E9D"/>
    <w:rsid w:val="004C7F67"/>
    <w:rsid w:val="004D076D"/>
    <w:rsid w:val="004D0EF1"/>
    <w:rsid w:val="004D2253"/>
    <w:rsid w:val="004D3D71"/>
    <w:rsid w:val="004D4406"/>
    <w:rsid w:val="004D7C42"/>
    <w:rsid w:val="004E0465"/>
    <w:rsid w:val="004E127B"/>
    <w:rsid w:val="004E1C0A"/>
    <w:rsid w:val="004E30C5"/>
    <w:rsid w:val="004E4AA5"/>
    <w:rsid w:val="004E4AEE"/>
    <w:rsid w:val="004E59E3"/>
    <w:rsid w:val="004E6607"/>
    <w:rsid w:val="004E67C0"/>
    <w:rsid w:val="004F0285"/>
    <w:rsid w:val="004F391A"/>
    <w:rsid w:val="004F3CFB"/>
    <w:rsid w:val="004F6456"/>
    <w:rsid w:val="004F696E"/>
    <w:rsid w:val="004F6C71"/>
    <w:rsid w:val="00501139"/>
    <w:rsid w:val="0050363E"/>
    <w:rsid w:val="005039BC"/>
    <w:rsid w:val="005043BB"/>
    <w:rsid w:val="00504A3D"/>
    <w:rsid w:val="00505669"/>
    <w:rsid w:val="00505767"/>
    <w:rsid w:val="005061B6"/>
    <w:rsid w:val="005073F0"/>
    <w:rsid w:val="00510A7B"/>
    <w:rsid w:val="005117CC"/>
    <w:rsid w:val="00512F6E"/>
    <w:rsid w:val="00513038"/>
    <w:rsid w:val="00514174"/>
    <w:rsid w:val="00514DF9"/>
    <w:rsid w:val="00516088"/>
    <w:rsid w:val="0051685D"/>
    <w:rsid w:val="00516B0B"/>
    <w:rsid w:val="005220EC"/>
    <w:rsid w:val="00523F4B"/>
    <w:rsid w:val="00523F95"/>
    <w:rsid w:val="00524D65"/>
    <w:rsid w:val="00525B16"/>
    <w:rsid w:val="00533D04"/>
    <w:rsid w:val="00534804"/>
    <w:rsid w:val="00534BDF"/>
    <w:rsid w:val="005354EA"/>
    <w:rsid w:val="00535EC4"/>
    <w:rsid w:val="00535ED9"/>
    <w:rsid w:val="0053692B"/>
    <w:rsid w:val="00541853"/>
    <w:rsid w:val="00543BDA"/>
    <w:rsid w:val="005441CC"/>
    <w:rsid w:val="00546562"/>
    <w:rsid w:val="005479DA"/>
    <w:rsid w:val="00547BCC"/>
    <w:rsid w:val="0055013B"/>
    <w:rsid w:val="005509A8"/>
    <w:rsid w:val="00551F6F"/>
    <w:rsid w:val="00555044"/>
    <w:rsid w:val="00561475"/>
    <w:rsid w:val="0056487B"/>
    <w:rsid w:val="00564FB9"/>
    <w:rsid w:val="00573D9E"/>
    <w:rsid w:val="005801E3"/>
    <w:rsid w:val="00580C48"/>
    <w:rsid w:val="00581802"/>
    <w:rsid w:val="00582080"/>
    <w:rsid w:val="0058241B"/>
    <w:rsid w:val="005836A8"/>
    <w:rsid w:val="00584262"/>
    <w:rsid w:val="00586630"/>
    <w:rsid w:val="00587ADD"/>
    <w:rsid w:val="00593936"/>
    <w:rsid w:val="00596160"/>
    <w:rsid w:val="005966E2"/>
    <w:rsid w:val="00597007"/>
    <w:rsid w:val="0059795A"/>
    <w:rsid w:val="005A0966"/>
    <w:rsid w:val="005A11B7"/>
    <w:rsid w:val="005A260B"/>
    <w:rsid w:val="005A3A79"/>
    <w:rsid w:val="005A4A1B"/>
    <w:rsid w:val="005A72EB"/>
    <w:rsid w:val="005A7830"/>
    <w:rsid w:val="005A7FCE"/>
    <w:rsid w:val="005B0F3F"/>
    <w:rsid w:val="005B320C"/>
    <w:rsid w:val="005B4903"/>
    <w:rsid w:val="005B51CE"/>
    <w:rsid w:val="005B5885"/>
    <w:rsid w:val="005B5CD7"/>
    <w:rsid w:val="005B6CF6"/>
    <w:rsid w:val="005B729D"/>
    <w:rsid w:val="005B7422"/>
    <w:rsid w:val="005C04C9"/>
    <w:rsid w:val="005C29B8"/>
    <w:rsid w:val="005C5609"/>
    <w:rsid w:val="005C5F21"/>
    <w:rsid w:val="005C7156"/>
    <w:rsid w:val="005D0C75"/>
    <w:rsid w:val="005D4171"/>
    <w:rsid w:val="005D6A95"/>
    <w:rsid w:val="005D6B2C"/>
    <w:rsid w:val="005D6D9C"/>
    <w:rsid w:val="005E2335"/>
    <w:rsid w:val="005E34CA"/>
    <w:rsid w:val="005E3C18"/>
    <w:rsid w:val="005E4E37"/>
    <w:rsid w:val="005E4E88"/>
    <w:rsid w:val="005E7881"/>
    <w:rsid w:val="005E78E0"/>
    <w:rsid w:val="005F0D9C"/>
    <w:rsid w:val="005F284E"/>
    <w:rsid w:val="005F77B8"/>
    <w:rsid w:val="006002B2"/>
    <w:rsid w:val="006015CE"/>
    <w:rsid w:val="00604784"/>
    <w:rsid w:val="00606419"/>
    <w:rsid w:val="00607D29"/>
    <w:rsid w:val="00612952"/>
    <w:rsid w:val="00614CC1"/>
    <w:rsid w:val="00615A9D"/>
    <w:rsid w:val="006162BE"/>
    <w:rsid w:val="00616BBB"/>
    <w:rsid w:val="00617387"/>
    <w:rsid w:val="00620585"/>
    <w:rsid w:val="006208EB"/>
    <w:rsid w:val="006252D8"/>
    <w:rsid w:val="006259BC"/>
    <w:rsid w:val="0062636B"/>
    <w:rsid w:val="00626922"/>
    <w:rsid w:val="00632182"/>
    <w:rsid w:val="00632AE0"/>
    <w:rsid w:val="00633C17"/>
    <w:rsid w:val="00636E3E"/>
    <w:rsid w:val="006379F7"/>
    <w:rsid w:val="00637B79"/>
    <w:rsid w:val="00637E4D"/>
    <w:rsid w:val="006402EF"/>
    <w:rsid w:val="00640620"/>
    <w:rsid w:val="00641A1F"/>
    <w:rsid w:val="00645904"/>
    <w:rsid w:val="00647391"/>
    <w:rsid w:val="00651ACB"/>
    <w:rsid w:val="00651C47"/>
    <w:rsid w:val="00652AB2"/>
    <w:rsid w:val="00654EC0"/>
    <w:rsid w:val="0065525B"/>
    <w:rsid w:val="00655D4F"/>
    <w:rsid w:val="00663518"/>
    <w:rsid w:val="006640E5"/>
    <w:rsid w:val="006646F1"/>
    <w:rsid w:val="00664929"/>
    <w:rsid w:val="00664F62"/>
    <w:rsid w:val="006655E1"/>
    <w:rsid w:val="00672060"/>
    <w:rsid w:val="00672BFD"/>
    <w:rsid w:val="0067421A"/>
    <w:rsid w:val="006770F4"/>
    <w:rsid w:val="00677A84"/>
    <w:rsid w:val="0068026D"/>
    <w:rsid w:val="00680A27"/>
    <w:rsid w:val="006816A4"/>
    <w:rsid w:val="006819B8"/>
    <w:rsid w:val="006840A6"/>
    <w:rsid w:val="006850CD"/>
    <w:rsid w:val="00685AAB"/>
    <w:rsid w:val="00690068"/>
    <w:rsid w:val="00690489"/>
    <w:rsid w:val="00691E66"/>
    <w:rsid w:val="006A07AA"/>
    <w:rsid w:val="006A25E5"/>
    <w:rsid w:val="006A2B46"/>
    <w:rsid w:val="006A336D"/>
    <w:rsid w:val="006A37B9"/>
    <w:rsid w:val="006A420D"/>
    <w:rsid w:val="006A42C6"/>
    <w:rsid w:val="006B2672"/>
    <w:rsid w:val="006B54BF"/>
    <w:rsid w:val="006B5F44"/>
    <w:rsid w:val="006B5F90"/>
    <w:rsid w:val="006B62E4"/>
    <w:rsid w:val="006B7995"/>
    <w:rsid w:val="006B7CA2"/>
    <w:rsid w:val="006C1BBA"/>
    <w:rsid w:val="006C2079"/>
    <w:rsid w:val="006C5A62"/>
    <w:rsid w:val="006C5D68"/>
    <w:rsid w:val="006C6976"/>
    <w:rsid w:val="006C6DD0"/>
    <w:rsid w:val="006D04EA"/>
    <w:rsid w:val="006D1176"/>
    <w:rsid w:val="006D16C4"/>
    <w:rsid w:val="006D3E96"/>
    <w:rsid w:val="006D4515"/>
    <w:rsid w:val="006D4BB1"/>
    <w:rsid w:val="006D53D0"/>
    <w:rsid w:val="006D6593"/>
    <w:rsid w:val="006E5FC1"/>
    <w:rsid w:val="006F03A8"/>
    <w:rsid w:val="006F2ACA"/>
    <w:rsid w:val="006F2ADC"/>
    <w:rsid w:val="006F2BFE"/>
    <w:rsid w:val="006F31E9"/>
    <w:rsid w:val="006F43F3"/>
    <w:rsid w:val="006F6284"/>
    <w:rsid w:val="007002C5"/>
    <w:rsid w:val="0070049D"/>
    <w:rsid w:val="00704387"/>
    <w:rsid w:val="007064DD"/>
    <w:rsid w:val="00707669"/>
    <w:rsid w:val="00711CBA"/>
    <w:rsid w:val="00711FB5"/>
    <w:rsid w:val="00712A01"/>
    <w:rsid w:val="00713C57"/>
    <w:rsid w:val="00714F58"/>
    <w:rsid w:val="00722FBF"/>
    <w:rsid w:val="00722FC2"/>
    <w:rsid w:val="00725949"/>
    <w:rsid w:val="00727FA2"/>
    <w:rsid w:val="007318F0"/>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3C50"/>
    <w:rsid w:val="00755402"/>
    <w:rsid w:val="00756B26"/>
    <w:rsid w:val="00756EDF"/>
    <w:rsid w:val="007609A2"/>
    <w:rsid w:val="00765C43"/>
    <w:rsid w:val="00765C95"/>
    <w:rsid w:val="00765EFB"/>
    <w:rsid w:val="007671CA"/>
    <w:rsid w:val="00767279"/>
    <w:rsid w:val="00767C61"/>
    <w:rsid w:val="00767CBC"/>
    <w:rsid w:val="0077008A"/>
    <w:rsid w:val="00772588"/>
    <w:rsid w:val="00773BE0"/>
    <w:rsid w:val="00773C1F"/>
    <w:rsid w:val="00774DA4"/>
    <w:rsid w:val="0077648C"/>
    <w:rsid w:val="00776599"/>
    <w:rsid w:val="0078114B"/>
    <w:rsid w:val="007812D8"/>
    <w:rsid w:val="00781DD2"/>
    <w:rsid w:val="00783ECF"/>
    <w:rsid w:val="0078413A"/>
    <w:rsid w:val="00790CA3"/>
    <w:rsid w:val="007959E8"/>
    <w:rsid w:val="00795E9C"/>
    <w:rsid w:val="007A0521"/>
    <w:rsid w:val="007A061E"/>
    <w:rsid w:val="007A2E12"/>
    <w:rsid w:val="007A3475"/>
    <w:rsid w:val="007A41C8"/>
    <w:rsid w:val="007A54CE"/>
    <w:rsid w:val="007A57F6"/>
    <w:rsid w:val="007A7FFA"/>
    <w:rsid w:val="007B04EB"/>
    <w:rsid w:val="007B0D4F"/>
    <w:rsid w:val="007B5A3D"/>
    <w:rsid w:val="007B5B95"/>
    <w:rsid w:val="007B68EA"/>
    <w:rsid w:val="007B77A5"/>
    <w:rsid w:val="007C19E8"/>
    <w:rsid w:val="007C2D89"/>
    <w:rsid w:val="007C4593"/>
    <w:rsid w:val="007C5309"/>
    <w:rsid w:val="007C5BB2"/>
    <w:rsid w:val="007C6069"/>
    <w:rsid w:val="007D06C4"/>
    <w:rsid w:val="007D1352"/>
    <w:rsid w:val="007D2508"/>
    <w:rsid w:val="007D346A"/>
    <w:rsid w:val="007D3D0A"/>
    <w:rsid w:val="007D6518"/>
    <w:rsid w:val="007D76BD"/>
    <w:rsid w:val="007E0BF1"/>
    <w:rsid w:val="007E52DD"/>
    <w:rsid w:val="007F0ED8"/>
    <w:rsid w:val="007F0F63"/>
    <w:rsid w:val="007F2A9C"/>
    <w:rsid w:val="007F5252"/>
    <w:rsid w:val="007F69D2"/>
    <w:rsid w:val="007F75CE"/>
    <w:rsid w:val="008001C3"/>
    <w:rsid w:val="008013A4"/>
    <w:rsid w:val="008027CE"/>
    <w:rsid w:val="00802F42"/>
    <w:rsid w:val="00804383"/>
    <w:rsid w:val="00804BB7"/>
    <w:rsid w:val="00805FF6"/>
    <w:rsid w:val="00810257"/>
    <w:rsid w:val="008104F5"/>
    <w:rsid w:val="00811072"/>
    <w:rsid w:val="00811369"/>
    <w:rsid w:val="008121B5"/>
    <w:rsid w:val="00812D3D"/>
    <w:rsid w:val="0081391B"/>
    <w:rsid w:val="00814E50"/>
    <w:rsid w:val="00815419"/>
    <w:rsid w:val="008163C8"/>
    <w:rsid w:val="008169A7"/>
    <w:rsid w:val="00817325"/>
    <w:rsid w:val="008209E6"/>
    <w:rsid w:val="00821B2F"/>
    <w:rsid w:val="00823303"/>
    <w:rsid w:val="008233B2"/>
    <w:rsid w:val="00823A9F"/>
    <w:rsid w:val="00823C85"/>
    <w:rsid w:val="00825138"/>
    <w:rsid w:val="008269DD"/>
    <w:rsid w:val="00830621"/>
    <w:rsid w:val="008316ED"/>
    <w:rsid w:val="0083348C"/>
    <w:rsid w:val="00833E39"/>
    <w:rsid w:val="008373D3"/>
    <w:rsid w:val="00840617"/>
    <w:rsid w:val="00842A47"/>
    <w:rsid w:val="00843C13"/>
    <w:rsid w:val="008454F8"/>
    <w:rsid w:val="00851342"/>
    <w:rsid w:val="0085173A"/>
    <w:rsid w:val="00855E28"/>
    <w:rsid w:val="008603CE"/>
    <w:rsid w:val="008620FC"/>
    <w:rsid w:val="008627A5"/>
    <w:rsid w:val="00863E05"/>
    <w:rsid w:val="00865ACA"/>
    <w:rsid w:val="00865D28"/>
    <w:rsid w:val="00865F85"/>
    <w:rsid w:val="00867C10"/>
    <w:rsid w:val="00870439"/>
    <w:rsid w:val="00870DA1"/>
    <w:rsid w:val="008764AD"/>
    <w:rsid w:val="00883F93"/>
    <w:rsid w:val="00884DB3"/>
    <w:rsid w:val="00885A9D"/>
    <w:rsid w:val="008864F6"/>
    <w:rsid w:val="0089049D"/>
    <w:rsid w:val="008928C9"/>
    <w:rsid w:val="00892957"/>
    <w:rsid w:val="00892AD9"/>
    <w:rsid w:val="008938DC"/>
    <w:rsid w:val="00893FD1"/>
    <w:rsid w:val="00894836"/>
    <w:rsid w:val="008949FE"/>
    <w:rsid w:val="00895172"/>
    <w:rsid w:val="00895680"/>
    <w:rsid w:val="00896DFF"/>
    <w:rsid w:val="0089762C"/>
    <w:rsid w:val="008A02F2"/>
    <w:rsid w:val="008A1893"/>
    <w:rsid w:val="008A769A"/>
    <w:rsid w:val="008A7D45"/>
    <w:rsid w:val="008B0AA4"/>
    <w:rsid w:val="008B0C9C"/>
    <w:rsid w:val="008B166D"/>
    <w:rsid w:val="008B17F4"/>
    <w:rsid w:val="008B2BB1"/>
    <w:rsid w:val="008B3615"/>
    <w:rsid w:val="008B3683"/>
    <w:rsid w:val="008B4AC4"/>
    <w:rsid w:val="008B50C8"/>
    <w:rsid w:val="008B5281"/>
    <w:rsid w:val="008B7E05"/>
    <w:rsid w:val="008C153D"/>
    <w:rsid w:val="008C1797"/>
    <w:rsid w:val="008C219C"/>
    <w:rsid w:val="008C42CC"/>
    <w:rsid w:val="008C475E"/>
    <w:rsid w:val="008C619A"/>
    <w:rsid w:val="008C7435"/>
    <w:rsid w:val="008D0CE8"/>
    <w:rsid w:val="008D2D1D"/>
    <w:rsid w:val="008D453D"/>
    <w:rsid w:val="008D53AD"/>
    <w:rsid w:val="008D562B"/>
    <w:rsid w:val="008D5733"/>
    <w:rsid w:val="008D622B"/>
    <w:rsid w:val="008D666C"/>
    <w:rsid w:val="008D7B54"/>
    <w:rsid w:val="008E0C9D"/>
    <w:rsid w:val="008E1648"/>
    <w:rsid w:val="008E1AD1"/>
    <w:rsid w:val="008E1B3E"/>
    <w:rsid w:val="008E2319"/>
    <w:rsid w:val="008E4BB6"/>
    <w:rsid w:val="008E5518"/>
    <w:rsid w:val="008E6A84"/>
    <w:rsid w:val="008F0CDC"/>
    <w:rsid w:val="008F17A3"/>
    <w:rsid w:val="008F1ED3"/>
    <w:rsid w:val="008F4543"/>
    <w:rsid w:val="008F4C29"/>
    <w:rsid w:val="008F70BD"/>
    <w:rsid w:val="008F788F"/>
    <w:rsid w:val="008F7EA2"/>
    <w:rsid w:val="00902722"/>
    <w:rsid w:val="009027BC"/>
    <w:rsid w:val="009062E6"/>
    <w:rsid w:val="00910AC8"/>
    <w:rsid w:val="00911BE5"/>
    <w:rsid w:val="00913CA9"/>
    <w:rsid w:val="009145AE"/>
    <w:rsid w:val="009146CE"/>
    <w:rsid w:val="00914CA7"/>
    <w:rsid w:val="00915626"/>
    <w:rsid w:val="00915C3E"/>
    <w:rsid w:val="009161A8"/>
    <w:rsid w:val="0091673D"/>
    <w:rsid w:val="00920CF9"/>
    <w:rsid w:val="009245F5"/>
    <w:rsid w:val="009249EC"/>
    <w:rsid w:val="009273B3"/>
    <w:rsid w:val="009305B5"/>
    <w:rsid w:val="00934C12"/>
    <w:rsid w:val="00937D07"/>
    <w:rsid w:val="009429D5"/>
    <w:rsid w:val="00942BF1"/>
    <w:rsid w:val="00945180"/>
    <w:rsid w:val="00945428"/>
    <w:rsid w:val="0094607B"/>
    <w:rsid w:val="0095093C"/>
    <w:rsid w:val="00952C52"/>
    <w:rsid w:val="00953604"/>
    <w:rsid w:val="009536EE"/>
    <w:rsid w:val="00960116"/>
    <w:rsid w:val="009610DC"/>
    <w:rsid w:val="00961490"/>
    <w:rsid w:val="0096381A"/>
    <w:rsid w:val="00965934"/>
    <w:rsid w:val="00965E04"/>
    <w:rsid w:val="00966C20"/>
    <w:rsid w:val="00966EC8"/>
    <w:rsid w:val="009674AD"/>
    <w:rsid w:val="0097094E"/>
    <w:rsid w:val="00970CDC"/>
    <w:rsid w:val="009737E1"/>
    <w:rsid w:val="00977010"/>
    <w:rsid w:val="0097743C"/>
    <w:rsid w:val="00977D02"/>
    <w:rsid w:val="009809BB"/>
    <w:rsid w:val="00982D22"/>
    <w:rsid w:val="0098364B"/>
    <w:rsid w:val="00983BF9"/>
    <w:rsid w:val="009856E0"/>
    <w:rsid w:val="00986597"/>
    <w:rsid w:val="0099062E"/>
    <w:rsid w:val="009911AF"/>
    <w:rsid w:val="00991875"/>
    <w:rsid w:val="00991F92"/>
    <w:rsid w:val="00992985"/>
    <w:rsid w:val="00993889"/>
    <w:rsid w:val="00994DDA"/>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2281"/>
    <w:rsid w:val="009B38D4"/>
    <w:rsid w:val="009B6029"/>
    <w:rsid w:val="009B6971"/>
    <w:rsid w:val="009B7E2F"/>
    <w:rsid w:val="009C27F1"/>
    <w:rsid w:val="009C3152"/>
    <w:rsid w:val="009C3B7C"/>
    <w:rsid w:val="009C4CFA"/>
    <w:rsid w:val="009C5070"/>
    <w:rsid w:val="009D112C"/>
    <w:rsid w:val="009D2888"/>
    <w:rsid w:val="009D47FA"/>
    <w:rsid w:val="009D50D2"/>
    <w:rsid w:val="009D6BCA"/>
    <w:rsid w:val="009E0F62"/>
    <w:rsid w:val="009E4A58"/>
    <w:rsid w:val="009E5A2D"/>
    <w:rsid w:val="009E5AB2"/>
    <w:rsid w:val="009E6219"/>
    <w:rsid w:val="009F03B3"/>
    <w:rsid w:val="009F12CA"/>
    <w:rsid w:val="009F5DC3"/>
    <w:rsid w:val="00A01757"/>
    <w:rsid w:val="00A028C0"/>
    <w:rsid w:val="00A02BAE"/>
    <w:rsid w:val="00A06A6B"/>
    <w:rsid w:val="00A07E47"/>
    <w:rsid w:val="00A114F9"/>
    <w:rsid w:val="00A129D0"/>
    <w:rsid w:val="00A12C33"/>
    <w:rsid w:val="00A138BA"/>
    <w:rsid w:val="00A14C8E"/>
    <w:rsid w:val="00A153D9"/>
    <w:rsid w:val="00A15F09"/>
    <w:rsid w:val="00A169B6"/>
    <w:rsid w:val="00A16D5E"/>
    <w:rsid w:val="00A2271D"/>
    <w:rsid w:val="00A236E5"/>
    <w:rsid w:val="00A237D5"/>
    <w:rsid w:val="00A23DAB"/>
    <w:rsid w:val="00A24F7B"/>
    <w:rsid w:val="00A27D04"/>
    <w:rsid w:val="00A30EFC"/>
    <w:rsid w:val="00A31984"/>
    <w:rsid w:val="00A32D73"/>
    <w:rsid w:val="00A32ECE"/>
    <w:rsid w:val="00A3367B"/>
    <w:rsid w:val="00A3597D"/>
    <w:rsid w:val="00A366A6"/>
    <w:rsid w:val="00A40091"/>
    <w:rsid w:val="00A4030F"/>
    <w:rsid w:val="00A419B4"/>
    <w:rsid w:val="00A41C79"/>
    <w:rsid w:val="00A41CB5"/>
    <w:rsid w:val="00A41EE7"/>
    <w:rsid w:val="00A42A87"/>
    <w:rsid w:val="00A42CDF"/>
    <w:rsid w:val="00A4452E"/>
    <w:rsid w:val="00A4472C"/>
    <w:rsid w:val="00A44E69"/>
    <w:rsid w:val="00A4661E"/>
    <w:rsid w:val="00A54EEE"/>
    <w:rsid w:val="00A55BD6"/>
    <w:rsid w:val="00A55D50"/>
    <w:rsid w:val="00A57142"/>
    <w:rsid w:val="00A63948"/>
    <w:rsid w:val="00A648CD"/>
    <w:rsid w:val="00A6537A"/>
    <w:rsid w:val="00A67866"/>
    <w:rsid w:val="00A70B07"/>
    <w:rsid w:val="00A723F8"/>
    <w:rsid w:val="00A7263C"/>
    <w:rsid w:val="00A73587"/>
    <w:rsid w:val="00A762B6"/>
    <w:rsid w:val="00A77CCB"/>
    <w:rsid w:val="00A77DF3"/>
    <w:rsid w:val="00A83D8D"/>
    <w:rsid w:val="00A8446B"/>
    <w:rsid w:val="00A8473F"/>
    <w:rsid w:val="00A858F3"/>
    <w:rsid w:val="00A8612F"/>
    <w:rsid w:val="00A862D6"/>
    <w:rsid w:val="00A8715E"/>
    <w:rsid w:val="00A9295B"/>
    <w:rsid w:val="00A93B09"/>
    <w:rsid w:val="00A94727"/>
    <w:rsid w:val="00A952D7"/>
    <w:rsid w:val="00A95595"/>
    <w:rsid w:val="00A963F7"/>
    <w:rsid w:val="00A96AD8"/>
    <w:rsid w:val="00AA052C"/>
    <w:rsid w:val="00AA1E38"/>
    <w:rsid w:val="00AA1E45"/>
    <w:rsid w:val="00AA24BB"/>
    <w:rsid w:val="00AA2A24"/>
    <w:rsid w:val="00AA3ED1"/>
    <w:rsid w:val="00AA4286"/>
    <w:rsid w:val="00AA456B"/>
    <w:rsid w:val="00AA57F5"/>
    <w:rsid w:val="00AA672E"/>
    <w:rsid w:val="00AA6EC9"/>
    <w:rsid w:val="00AB210B"/>
    <w:rsid w:val="00AB6309"/>
    <w:rsid w:val="00AB6C5F"/>
    <w:rsid w:val="00AB7129"/>
    <w:rsid w:val="00AC036C"/>
    <w:rsid w:val="00AC27A6"/>
    <w:rsid w:val="00AC30F7"/>
    <w:rsid w:val="00AC3A5A"/>
    <w:rsid w:val="00AC4D95"/>
    <w:rsid w:val="00AC5DF4"/>
    <w:rsid w:val="00AC6EF0"/>
    <w:rsid w:val="00AD0AEF"/>
    <w:rsid w:val="00AD11B7"/>
    <w:rsid w:val="00AD1A94"/>
    <w:rsid w:val="00AD1C05"/>
    <w:rsid w:val="00AD2278"/>
    <w:rsid w:val="00AD2992"/>
    <w:rsid w:val="00AD3367"/>
    <w:rsid w:val="00AD4126"/>
    <w:rsid w:val="00AD421C"/>
    <w:rsid w:val="00AD44FA"/>
    <w:rsid w:val="00AD4B06"/>
    <w:rsid w:val="00AE070A"/>
    <w:rsid w:val="00AE101C"/>
    <w:rsid w:val="00AF0C18"/>
    <w:rsid w:val="00AF2449"/>
    <w:rsid w:val="00AF397A"/>
    <w:rsid w:val="00AF3E16"/>
    <w:rsid w:val="00AF47C5"/>
    <w:rsid w:val="00AF5398"/>
    <w:rsid w:val="00B049AF"/>
    <w:rsid w:val="00B07242"/>
    <w:rsid w:val="00B10534"/>
    <w:rsid w:val="00B113DB"/>
    <w:rsid w:val="00B11D8A"/>
    <w:rsid w:val="00B12981"/>
    <w:rsid w:val="00B131C0"/>
    <w:rsid w:val="00B1372D"/>
    <w:rsid w:val="00B147DD"/>
    <w:rsid w:val="00B156FD"/>
    <w:rsid w:val="00B21F61"/>
    <w:rsid w:val="00B23045"/>
    <w:rsid w:val="00B25B9B"/>
    <w:rsid w:val="00B261F1"/>
    <w:rsid w:val="00B265BC"/>
    <w:rsid w:val="00B27C49"/>
    <w:rsid w:val="00B27D10"/>
    <w:rsid w:val="00B31D76"/>
    <w:rsid w:val="00B31FB1"/>
    <w:rsid w:val="00B32470"/>
    <w:rsid w:val="00B33952"/>
    <w:rsid w:val="00B33C5E"/>
    <w:rsid w:val="00B342F4"/>
    <w:rsid w:val="00B34369"/>
    <w:rsid w:val="00B34DC2"/>
    <w:rsid w:val="00B378E5"/>
    <w:rsid w:val="00B4346D"/>
    <w:rsid w:val="00B440F4"/>
    <w:rsid w:val="00B447A5"/>
    <w:rsid w:val="00B455E1"/>
    <w:rsid w:val="00B4654C"/>
    <w:rsid w:val="00B47293"/>
    <w:rsid w:val="00B51C0B"/>
    <w:rsid w:val="00B52120"/>
    <w:rsid w:val="00B52CFE"/>
    <w:rsid w:val="00B54ABC"/>
    <w:rsid w:val="00B56FBE"/>
    <w:rsid w:val="00B612AF"/>
    <w:rsid w:val="00B61451"/>
    <w:rsid w:val="00B62B58"/>
    <w:rsid w:val="00B65149"/>
    <w:rsid w:val="00B66567"/>
    <w:rsid w:val="00B66F52"/>
    <w:rsid w:val="00B66FE5"/>
    <w:rsid w:val="00B675B7"/>
    <w:rsid w:val="00B72880"/>
    <w:rsid w:val="00B758BF"/>
    <w:rsid w:val="00B827A6"/>
    <w:rsid w:val="00B831CE"/>
    <w:rsid w:val="00B83735"/>
    <w:rsid w:val="00B86677"/>
    <w:rsid w:val="00B87131"/>
    <w:rsid w:val="00B9127B"/>
    <w:rsid w:val="00B91566"/>
    <w:rsid w:val="00B9320C"/>
    <w:rsid w:val="00B939B1"/>
    <w:rsid w:val="00B96D40"/>
    <w:rsid w:val="00B97386"/>
    <w:rsid w:val="00BA263B"/>
    <w:rsid w:val="00BA42B2"/>
    <w:rsid w:val="00BA58D4"/>
    <w:rsid w:val="00BA5B9E"/>
    <w:rsid w:val="00BA7C9A"/>
    <w:rsid w:val="00BB23BD"/>
    <w:rsid w:val="00BB485A"/>
    <w:rsid w:val="00BB5F8F"/>
    <w:rsid w:val="00BB657A"/>
    <w:rsid w:val="00BC1A4E"/>
    <w:rsid w:val="00BC2866"/>
    <w:rsid w:val="00BC4865"/>
    <w:rsid w:val="00BC59EF"/>
    <w:rsid w:val="00BC5DC7"/>
    <w:rsid w:val="00BC6B8B"/>
    <w:rsid w:val="00BC73D8"/>
    <w:rsid w:val="00BD2232"/>
    <w:rsid w:val="00BD52D7"/>
    <w:rsid w:val="00BD5AD2"/>
    <w:rsid w:val="00BD6082"/>
    <w:rsid w:val="00BE0B60"/>
    <w:rsid w:val="00BE22F3"/>
    <w:rsid w:val="00BE2B8D"/>
    <w:rsid w:val="00BE4542"/>
    <w:rsid w:val="00BE49EE"/>
    <w:rsid w:val="00BE5B52"/>
    <w:rsid w:val="00BE7B8D"/>
    <w:rsid w:val="00BF0993"/>
    <w:rsid w:val="00BF10A9"/>
    <w:rsid w:val="00BF1703"/>
    <w:rsid w:val="00BF1D4A"/>
    <w:rsid w:val="00BF231C"/>
    <w:rsid w:val="00BF2550"/>
    <w:rsid w:val="00BF51E5"/>
    <w:rsid w:val="00BF5BB6"/>
    <w:rsid w:val="00BF74A6"/>
    <w:rsid w:val="00C013AD"/>
    <w:rsid w:val="00C01799"/>
    <w:rsid w:val="00C03F8F"/>
    <w:rsid w:val="00C04904"/>
    <w:rsid w:val="00C056B3"/>
    <w:rsid w:val="00C103E5"/>
    <w:rsid w:val="00C13319"/>
    <w:rsid w:val="00C13EE9"/>
    <w:rsid w:val="00C14D87"/>
    <w:rsid w:val="00C21540"/>
    <w:rsid w:val="00C21906"/>
    <w:rsid w:val="00C21BFA"/>
    <w:rsid w:val="00C23C97"/>
    <w:rsid w:val="00C24C8D"/>
    <w:rsid w:val="00C25501"/>
    <w:rsid w:val="00C25FE2"/>
    <w:rsid w:val="00C25FF3"/>
    <w:rsid w:val="00C26B53"/>
    <w:rsid w:val="00C279B2"/>
    <w:rsid w:val="00C333B8"/>
    <w:rsid w:val="00C33E50"/>
    <w:rsid w:val="00C34964"/>
    <w:rsid w:val="00C34C20"/>
    <w:rsid w:val="00C35049"/>
    <w:rsid w:val="00C35A3E"/>
    <w:rsid w:val="00C374B2"/>
    <w:rsid w:val="00C42130"/>
    <w:rsid w:val="00C423A4"/>
    <w:rsid w:val="00C433CC"/>
    <w:rsid w:val="00C44A2C"/>
    <w:rsid w:val="00C44BF5"/>
    <w:rsid w:val="00C51F80"/>
    <w:rsid w:val="00C55232"/>
    <w:rsid w:val="00C553A4"/>
    <w:rsid w:val="00C55A06"/>
    <w:rsid w:val="00C55D03"/>
    <w:rsid w:val="00C56D49"/>
    <w:rsid w:val="00C601BC"/>
    <w:rsid w:val="00C6329F"/>
    <w:rsid w:val="00C63340"/>
    <w:rsid w:val="00C637BE"/>
    <w:rsid w:val="00C643F9"/>
    <w:rsid w:val="00C64E95"/>
    <w:rsid w:val="00C655FD"/>
    <w:rsid w:val="00C71372"/>
    <w:rsid w:val="00C72410"/>
    <w:rsid w:val="00C7287F"/>
    <w:rsid w:val="00C72F0E"/>
    <w:rsid w:val="00C80CB8"/>
    <w:rsid w:val="00C819F8"/>
    <w:rsid w:val="00C8248C"/>
    <w:rsid w:val="00C83411"/>
    <w:rsid w:val="00C84E33"/>
    <w:rsid w:val="00C86D6F"/>
    <w:rsid w:val="00C905FC"/>
    <w:rsid w:val="00C92D03"/>
    <w:rsid w:val="00C9319C"/>
    <w:rsid w:val="00C9435D"/>
    <w:rsid w:val="00C9517F"/>
    <w:rsid w:val="00C95407"/>
    <w:rsid w:val="00C96741"/>
    <w:rsid w:val="00CA2D1B"/>
    <w:rsid w:val="00CA662A"/>
    <w:rsid w:val="00CA6A4A"/>
    <w:rsid w:val="00CA7AFD"/>
    <w:rsid w:val="00CA7C3C"/>
    <w:rsid w:val="00CB0189"/>
    <w:rsid w:val="00CB06CA"/>
    <w:rsid w:val="00CB0BA2"/>
    <w:rsid w:val="00CB1A42"/>
    <w:rsid w:val="00CB1B0C"/>
    <w:rsid w:val="00CB2C0B"/>
    <w:rsid w:val="00CB2C49"/>
    <w:rsid w:val="00CB517D"/>
    <w:rsid w:val="00CB6ABD"/>
    <w:rsid w:val="00CC038D"/>
    <w:rsid w:val="00CC39FF"/>
    <w:rsid w:val="00CC3C2F"/>
    <w:rsid w:val="00CC4AC8"/>
    <w:rsid w:val="00CC5233"/>
    <w:rsid w:val="00CC5DE6"/>
    <w:rsid w:val="00CC6E4E"/>
    <w:rsid w:val="00CC6FE8"/>
    <w:rsid w:val="00CC7202"/>
    <w:rsid w:val="00CD222A"/>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12C"/>
    <w:rsid w:val="00D0321C"/>
    <w:rsid w:val="00D035EC"/>
    <w:rsid w:val="00D06AB1"/>
    <w:rsid w:val="00D072ED"/>
    <w:rsid w:val="00D07A16"/>
    <w:rsid w:val="00D1067E"/>
    <w:rsid w:val="00D10F50"/>
    <w:rsid w:val="00D11272"/>
    <w:rsid w:val="00D126F5"/>
    <w:rsid w:val="00D1489E"/>
    <w:rsid w:val="00D1597D"/>
    <w:rsid w:val="00D15C99"/>
    <w:rsid w:val="00D2009E"/>
    <w:rsid w:val="00D20737"/>
    <w:rsid w:val="00D21E81"/>
    <w:rsid w:val="00D223DE"/>
    <w:rsid w:val="00D224B8"/>
    <w:rsid w:val="00D23B27"/>
    <w:rsid w:val="00D24AFE"/>
    <w:rsid w:val="00D25E37"/>
    <w:rsid w:val="00D2661A"/>
    <w:rsid w:val="00D27582"/>
    <w:rsid w:val="00D32719"/>
    <w:rsid w:val="00D33333"/>
    <w:rsid w:val="00D352A2"/>
    <w:rsid w:val="00D36CF3"/>
    <w:rsid w:val="00D40A83"/>
    <w:rsid w:val="00D4162B"/>
    <w:rsid w:val="00D42FDA"/>
    <w:rsid w:val="00D43CC8"/>
    <w:rsid w:val="00D4514F"/>
    <w:rsid w:val="00D451E2"/>
    <w:rsid w:val="00D4545E"/>
    <w:rsid w:val="00D45B8A"/>
    <w:rsid w:val="00D45E89"/>
    <w:rsid w:val="00D45E8D"/>
    <w:rsid w:val="00D466AE"/>
    <w:rsid w:val="00D4734F"/>
    <w:rsid w:val="00D47E66"/>
    <w:rsid w:val="00D51BF3"/>
    <w:rsid w:val="00D56166"/>
    <w:rsid w:val="00D56546"/>
    <w:rsid w:val="00D63276"/>
    <w:rsid w:val="00D66846"/>
    <w:rsid w:val="00D675FB"/>
    <w:rsid w:val="00D71F25"/>
    <w:rsid w:val="00D761A0"/>
    <w:rsid w:val="00D77031"/>
    <w:rsid w:val="00D844D8"/>
    <w:rsid w:val="00D84941"/>
    <w:rsid w:val="00D84FA1"/>
    <w:rsid w:val="00D851F0"/>
    <w:rsid w:val="00D86DB7"/>
    <w:rsid w:val="00D92515"/>
    <w:rsid w:val="00D926D0"/>
    <w:rsid w:val="00D93030"/>
    <w:rsid w:val="00D932E2"/>
    <w:rsid w:val="00D950E1"/>
    <w:rsid w:val="00D952A6"/>
    <w:rsid w:val="00D9679A"/>
    <w:rsid w:val="00D976F4"/>
    <w:rsid w:val="00D97E7C"/>
    <w:rsid w:val="00D97F99"/>
    <w:rsid w:val="00DA19E7"/>
    <w:rsid w:val="00DA1E08"/>
    <w:rsid w:val="00DA24F8"/>
    <w:rsid w:val="00DA28E8"/>
    <w:rsid w:val="00DA32EC"/>
    <w:rsid w:val="00DA33B8"/>
    <w:rsid w:val="00DA37ED"/>
    <w:rsid w:val="00DA38D3"/>
    <w:rsid w:val="00DA3932"/>
    <w:rsid w:val="00DA47E5"/>
    <w:rsid w:val="00DA64F8"/>
    <w:rsid w:val="00DA6C15"/>
    <w:rsid w:val="00DA7370"/>
    <w:rsid w:val="00DB38EE"/>
    <w:rsid w:val="00DB498B"/>
    <w:rsid w:val="00DB66CA"/>
    <w:rsid w:val="00DB6BCA"/>
    <w:rsid w:val="00DB706D"/>
    <w:rsid w:val="00DC0321"/>
    <w:rsid w:val="00DC3067"/>
    <w:rsid w:val="00DC370B"/>
    <w:rsid w:val="00DC5B90"/>
    <w:rsid w:val="00DD00F2"/>
    <w:rsid w:val="00DD00FF"/>
    <w:rsid w:val="00DD0619"/>
    <w:rsid w:val="00DD07FB"/>
    <w:rsid w:val="00DD25C6"/>
    <w:rsid w:val="00DD54B0"/>
    <w:rsid w:val="00DD57EE"/>
    <w:rsid w:val="00DD5FCA"/>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3D9E"/>
    <w:rsid w:val="00E04758"/>
    <w:rsid w:val="00E06404"/>
    <w:rsid w:val="00E06D53"/>
    <w:rsid w:val="00E075F7"/>
    <w:rsid w:val="00E11A85"/>
    <w:rsid w:val="00E11C8A"/>
    <w:rsid w:val="00E12495"/>
    <w:rsid w:val="00E15C9B"/>
    <w:rsid w:val="00E15CCD"/>
    <w:rsid w:val="00E202EF"/>
    <w:rsid w:val="00E210B5"/>
    <w:rsid w:val="00E24C43"/>
    <w:rsid w:val="00E2552F"/>
    <w:rsid w:val="00E26DB6"/>
    <w:rsid w:val="00E3137A"/>
    <w:rsid w:val="00E31F89"/>
    <w:rsid w:val="00E32CCF"/>
    <w:rsid w:val="00E3462F"/>
    <w:rsid w:val="00E34A98"/>
    <w:rsid w:val="00E35D1E"/>
    <w:rsid w:val="00E364F9"/>
    <w:rsid w:val="00E365FA"/>
    <w:rsid w:val="00E40C94"/>
    <w:rsid w:val="00E4167E"/>
    <w:rsid w:val="00E44A83"/>
    <w:rsid w:val="00E45FFC"/>
    <w:rsid w:val="00E47546"/>
    <w:rsid w:val="00E502C1"/>
    <w:rsid w:val="00E502DD"/>
    <w:rsid w:val="00E50D3A"/>
    <w:rsid w:val="00E51387"/>
    <w:rsid w:val="00E51E68"/>
    <w:rsid w:val="00E52EFD"/>
    <w:rsid w:val="00E5408A"/>
    <w:rsid w:val="00E56800"/>
    <w:rsid w:val="00E60CD7"/>
    <w:rsid w:val="00E62DDC"/>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13D9"/>
    <w:rsid w:val="00E9311F"/>
    <w:rsid w:val="00E934D1"/>
    <w:rsid w:val="00E94AF0"/>
    <w:rsid w:val="00E95D13"/>
    <w:rsid w:val="00E95DD3"/>
    <w:rsid w:val="00E969D5"/>
    <w:rsid w:val="00EA58D1"/>
    <w:rsid w:val="00EA61BC"/>
    <w:rsid w:val="00EA681A"/>
    <w:rsid w:val="00EA735B"/>
    <w:rsid w:val="00EB1E69"/>
    <w:rsid w:val="00EB2086"/>
    <w:rsid w:val="00EB3D20"/>
    <w:rsid w:val="00EB5EDF"/>
    <w:rsid w:val="00EB60FE"/>
    <w:rsid w:val="00EB74DB"/>
    <w:rsid w:val="00EC26A8"/>
    <w:rsid w:val="00EC5359"/>
    <w:rsid w:val="00EC562A"/>
    <w:rsid w:val="00ED067A"/>
    <w:rsid w:val="00ED2B50"/>
    <w:rsid w:val="00ED37CF"/>
    <w:rsid w:val="00ED65D7"/>
    <w:rsid w:val="00EE0226"/>
    <w:rsid w:val="00EE0350"/>
    <w:rsid w:val="00EE0719"/>
    <w:rsid w:val="00EE0E80"/>
    <w:rsid w:val="00EE16BC"/>
    <w:rsid w:val="00EE22FC"/>
    <w:rsid w:val="00EE613F"/>
    <w:rsid w:val="00EE7214"/>
    <w:rsid w:val="00EE7295"/>
    <w:rsid w:val="00EE7869"/>
    <w:rsid w:val="00EF054A"/>
    <w:rsid w:val="00EF1EAC"/>
    <w:rsid w:val="00EF3235"/>
    <w:rsid w:val="00EF513A"/>
    <w:rsid w:val="00EF7E72"/>
    <w:rsid w:val="00F00BEF"/>
    <w:rsid w:val="00F06D37"/>
    <w:rsid w:val="00F07B9D"/>
    <w:rsid w:val="00F11586"/>
    <w:rsid w:val="00F1183B"/>
    <w:rsid w:val="00F11C9F"/>
    <w:rsid w:val="00F12263"/>
    <w:rsid w:val="00F125A3"/>
    <w:rsid w:val="00F12CF0"/>
    <w:rsid w:val="00F13F94"/>
    <w:rsid w:val="00F1409D"/>
    <w:rsid w:val="00F14214"/>
    <w:rsid w:val="00F146BD"/>
    <w:rsid w:val="00F157A9"/>
    <w:rsid w:val="00F16EAD"/>
    <w:rsid w:val="00F25BB6"/>
    <w:rsid w:val="00F26B7E"/>
    <w:rsid w:val="00F27A3B"/>
    <w:rsid w:val="00F32EF3"/>
    <w:rsid w:val="00F330D9"/>
    <w:rsid w:val="00F33817"/>
    <w:rsid w:val="00F420D5"/>
    <w:rsid w:val="00F451EA"/>
    <w:rsid w:val="00F45447"/>
    <w:rsid w:val="00F456C6"/>
    <w:rsid w:val="00F4577B"/>
    <w:rsid w:val="00F45C57"/>
    <w:rsid w:val="00F46496"/>
    <w:rsid w:val="00F46D38"/>
    <w:rsid w:val="00F474D0"/>
    <w:rsid w:val="00F50179"/>
    <w:rsid w:val="00F522CF"/>
    <w:rsid w:val="00F56511"/>
    <w:rsid w:val="00F6194E"/>
    <w:rsid w:val="00F623AC"/>
    <w:rsid w:val="00F6412A"/>
    <w:rsid w:val="00F65893"/>
    <w:rsid w:val="00F66A4A"/>
    <w:rsid w:val="00F70AEB"/>
    <w:rsid w:val="00F71E22"/>
    <w:rsid w:val="00F72142"/>
    <w:rsid w:val="00F72AE7"/>
    <w:rsid w:val="00F76032"/>
    <w:rsid w:val="00F766B4"/>
    <w:rsid w:val="00F84934"/>
    <w:rsid w:val="00F84FD0"/>
    <w:rsid w:val="00F850C8"/>
    <w:rsid w:val="00F859A8"/>
    <w:rsid w:val="00F90319"/>
    <w:rsid w:val="00F9108B"/>
    <w:rsid w:val="00F91349"/>
    <w:rsid w:val="00F9347A"/>
    <w:rsid w:val="00F93A8A"/>
    <w:rsid w:val="00F95248"/>
    <w:rsid w:val="00F956A9"/>
    <w:rsid w:val="00F963ED"/>
    <w:rsid w:val="00F966CF"/>
    <w:rsid w:val="00F96CAE"/>
    <w:rsid w:val="00F97C99"/>
    <w:rsid w:val="00FA0CAC"/>
    <w:rsid w:val="00FA367A"/>
    <w:rsid w:val="00FA662D"/>
    <w:rsid w:val="00FA73B1"/>
    <w:rsid w:val="00FB0CB9"/>
    <w:rsid w:val="00FB45F1"/>
    <w:rsid w:val="00FB4A72"/>
    <w:rsid w:val="00FB54E8"/>
    <w:rsid w:val="00FB687D"/>
    <w:rsid w:val="00FB7054"/>
    <w:rsid w:val="00FC0A67"/>
    <w:rsid w:val="00FC17B7"/>
    <w:rsid w:val="00FC2CB7"/>
    <w:rsid w:val="00FC4090"/>
    <w:rsid w:val="00FC55B4"/>
    <w:rsid w:val="00FD00E6"/>
    <w:rsid w:val="00FD09A1"/>
    <w:rsid w:val="00FD2A7C"/>
    <w:rsid w:val="00FD59EB"/>
    <w:rsid w:val="00FD6E30"/>
    <w:rsid w:val="00FD7299"/>
    <w:rsid w:val="00FD7574"/>
    <w:rsid w:val="00FE1FBE"/>
    <w:rsid w:val="00FE3901"/>
    <w:rsid w:val="00FE4BCE"/>
    <w:rsid w:val="00FE5408"/>
    <w:rsid w:val="00FE54AE"/>
    <w:rsid w:val="00FE576A"/>
    <w:rsid w:val="00FE61CF"/>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C2D79C"/>
  <w15:docId w15:val="{9D3E4449-3A60-41A6-9371-138996A8F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uiPriority w:val="99"/>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qFormat/>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29"/>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0"/>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qFormat/>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b"/>
    <w:qFormat/>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1"/>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qFormat/>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qFormat/>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C72F0E"/>
    <w:pPr>
      <w:numPr>
        <w:ilvl w:val="1"/>
        <w:numId w:val="31"/>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qFormat/>
    <w:rsid w:val="00655D4F"/>
    <w:pPr>
      <w:numPr>
        <w:ilvl w:val="2"/>
        <w:numId w:val="31"/>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rsid w:val="00C72F0E"/>
    <w:pPr>
      <w:numPr>
        <w:numId w:val="27"/>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qFormat/>
    <w:rsid w:val="00E82554"/>
    <w:pPr>
      <w:numPr>
        <w:ilvl w:val="2"/>
        <w:numId w:val="27"/>
      </w:numPr>
      <w:spacing w:line="-300" w:lineRule="auto"/>
    </w:pPr>
    <w:rPr>
      <w:rFonts w:ascii="Times New Roman" w:hAnsi="Times New Roman"/>
    </w:rPr>
  </w:style>
  <w:style w:type="paragraph" w:customStyle="1" w:styleId="affa">
    <w:name w:val="图表脚注说明"/>
    <w:basedOn w:val="afff5"/>
    <w:next w:val="affffb"/>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qFormat/>
    <w:rsid w:val="00C72F0E"/>
    <w:pPr>
      <w:numPr>
        <w:numId w:val="31"/>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90CA3"/>
    <w:pPr>
      <w:spacing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2"/>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3"/>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4"/>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5"/>
      </w:numPr>
      <w:adjustRightInd/>
      <w:spacing w:line="240" w:lineRule="auto"/>
    </w:pPr>
    <w:rPr>
      <w:rFonts w:ascii="宋体" w:hAnsi="Times New Roman"/>
      <w:kern w:val="0"/>
      <w:sz w:val="18"/>
      <w:szCs w:val="18"/>
    </w:rPr>
  </w:style>
  <w:style w:type="character" w:customStyle="1" w:styleId="Char">
    <w:name w:val="标准文件_段 Char"/>
    <w:link w:val="affffb"/>
    <w:uiPriority w:val="99"/>
    <w:qFormat/>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11">
    <w:name w:val="toc 1"/>
    <w:basedOn w:val="afff5"/>
    <w:next w:val="afff5"/>
    <w:autoRedefine/>
    <w:uiPriority w:val="39"/>
    <w:unhideWhenUsed/>
    <w:rsid w:val="008E1AD1"/>
    <w:pPr>
      <w:tabs>
        <w:tab w:val="right" w:leader="dot" w:pos="9344"/>
      </w:tabs>
      <w:jc w:val="left"/>
    </w:pPr>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27"/>
      </w:numPr>
      <w:ind w:left="1271" w:firstLineChars="0" w:hanging="420"/>
    </w:pPr>
  </w:style>
  <w:style w:type="paragraph" w:customStyle="1" w:styleId="21">
    <w:name w:val="标准文件_三级项2"/>
    <w:basedOn w:val="affffb"/>
    <w:qFormat/>
    <w:rsid w:val="00313B85"/>
    <w:pPr>
      <w:numPr>
        <w:numId w:val="26"/>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28"/>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EB1E69"/>
    <w:pPr>
      <w:spacing w:line="300" w:lineRule="exact"/>
      <w:ind w:left="420"/>
    </w:pPr>
    <w:rPr>
      <w:rFonts w:ascii="宋体"/>
    </w:rPr>
  </w:style>
  <w:style w:type="paragraph" w:styleId="42">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EB1E69"/>
    <w:pPr>
      <w:ind w:left="839"/>
    </w:pPr>
    <w:rPr>
      <w:rFonts w:ascii="宋体"/>
    </w:rPr>
  </w:style>
  <w:style w:type="paragraph" w:styleId="62">
    <w:name w:val="toc 6"/>
    <w:basedOn w:val="afff5"/>
    <w:next w:val="afff5"/>
    <w:autoRedefine/>
    <w:uiPriority w:val="39"/>
    <w:unhideWhenUsed/>
    <w:rsid w:val="00EB1E69"/>
    <w:pPr>
      <w:spacing w:line="300" w:lineRule="exact"/>
      <w:ind w:left="1049"/>
    </w:pPr>
    <w:rPr>
      <w:rFonts w:ascii="宋体"/>
    </w:rPr>
  </w:style>
  <w:style w:type="paragraph" w:styleId="72">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29"/>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0"/>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0"/>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0"/>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0"/>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0"/>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styleId="afffffffffffa">
    <w:name w:val="List Paragraph"/>
    <w:basedOn w:val="afff5"/>
    <w:uiPriority w:val="99"/>
    <w:qFormat/>
    <w:rsid w:val="0025479D"/>
    <w:pPr>
      <w:adjustRightInd/>
      <w:spacing w:line="360" w:lineRule="auto"/>
      <w:ind w:firstLineChars="200" w:firstLine="420"/>
    </w:pPr>
    <w:rPr>
      <w:rFonts w:ascii="Times New Roman" w:hAnsi="Times New Roman" w:cstheme="minorBidi"/>
      <w:sz w:val="24"/>
      <w:szCs w:val="22"/>
    </w:rPr>
  </w:style>
  <w:style w:type="paragraph" w:styleId="afffffffffffb">
    <w:name w:val="Revision"/>
    <w:hidden/>
    <w:uiPriority w:val="99"/>
    <w:semiHidden/>
    <w:rsid w:val="00C637BE"/>
    <w:rPr>
      <w:kern w:val="2"/>
      <w:sz w:val="21"/>
      <w:szCs w:val="21"/>
    </w:rPr>
  </w:style>
  <w:style w:type="paragraph" w:customStyle="1" w:styleId="TableText">
    <w:name w:val="Table Text"/>
    <w:basedOn w:val="afff5"/>
    <w:rsid w:val="00D24AFE"/>
    <w:pPr>
      <w:widowControl/>
      <w:adjustRightInd/>
      <w:spacing w:line="480" w:lineRule="auto"/>
      <w:jc w:val="left"/>
    </w:pPr>
    <w:rPr>
      <w:rFonts w:ascii="Times New Roman" w:hAnsi="Times New Roman"/>
      <w:snapToGrid w:val="0"/>
      <w:kern w:val="0"/>
      <w:sz w:val="22"/>
      <w:szCs w:val="22"/>
      <w:lang w:eastAsia="en-US"/>
    </w:rPr>
  </w:style>
  <w:style w:type="character" w:customStyle="1" w:styleId="NormalCharacter">
    <w:name w:val="NormalCharacter"/>
    <w:semiHidden/>
    <w:qFormat/>
    <w:rsid w:val="00AC03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tiff"/><Relationship Id="rId18" Type="http://schemas.openxmlformats.org/officeDocument/2006/relationships/oleObject" Target="embeddings/oleObject1.bin"/><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oleObject" Target="embeddings/oleObject2.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oleObject" Target="embeddings/oleObject4.bin"/><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6.wmf"/><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oleObject" Target="embeddings/oleObject3.bin"/><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D4EC8A522E746B89DBFA70C14FE3B40"/>
        <w:category>
          <w:name w:val="常规"/>
          <w:gallery w:val="placeholder"/>
        </w:category>
        <w:types>
          <w:type w:val="bbPlcHdr"/>
        </w:types>
        <w:behaviors>
          <w:behavior w:val="content"/>
        </w:behaviors>
        <w:guid w:val="{B6976989-8DC1-4EA6-AC4C-559751FDF9C8}"/>
      </w:docPartPr>
      <w:docPartBody>
        <w:p w:rsidR="002A23C9" w:rsidRDefault="009940E3">
          <w:pPr>
            <w:pStyle w:val="5D4EC8A522E746B89DBFA70C14FE3B40"/>
          </w:pPr>
          <w:r w:rsidRPr="00751A05">
            <w:rPr>
              <w:rStyle w:val="a3"/>
              <w:rFonts w:hint="eastAsia"/>
            </w:rPr>
            <w:t>单击或点击此处输入文字。</w:t>
          </w:r>
        </w:p>
      </w:docPartBody>
    </w:docPart>
    <w:docPart>
      <w:docPartPr>
        <w:name w:val="403C473C278145F285ED199FB5719376"/>
        <w:category>
          <w:name w:val="常规"/>
          <w:gallery w:val="placeholder"/>
        </w:category>
        <w:types>
          <w:type w:val="bbPlcHdr"/>
        </w:types>
        <w:behaviors>
          <w:behavior w:val="content"/>
        </w:behaviors>
        <w:guid w:val="{4A7EF979-C634-4820-A6A3-C92A6CE2BEEB}"/>
      </w:docPartPr>
      <w:docPartBody>
        <w:p w:rsidR="002A23C9" w:rsidRDefault="009940E3">
          <w:pPr>
            <w:pStyle w:val="403C473C278145F285ED199FB5719376"/>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0E3"/>
    <w:rsid w:val="00035498"/>
    <w:rsid w:val="000B25FC"/>
    <w:rsid w:val="000C5944"/>
    <w:rsid w:val="0011783C"/>
    <w:rsid w:val="00125E9C"/>
    <w:rsid w:val="0013155F"/>
    <w:rsid w:val="00162158"/>
    <w:rsid w:val="0017735E"/>
    <w:rsid w:val="00177BB3"/>
    <w:rsid w:val="0025346B"/>
    <w:rsid w:val="002A23C9"/>
    <w:rsid w:val="002B2839"/>
    <w:rsid w:val="002B43C1"/>
    <w:rsid w:val="002C489E"/>
    <w:rsid w:val="002E0A0B"/>
    <w:rsid w:val="00317291"/>
    <w:rsid w:val="00392019"/>
    <w:rsid w:val="003C5718"/>
    <w:rsid w:val="003D0884"/>
    <w:rsid w:val="003E3B51"/>
    <w:rsid w:val="004477F0"/>
    <w:rsid w:val="005760A6"/>
    <w:rsid w:val="006C4C4E"/>
    <w:rsid w:val="00762E28"/>
    <w:rsid w:val="008E0DE2"/>
    <w:rsid w:val="009940E3"/>
    <w:rsid w:val="009B0767"/>
    <w:rsid w:val="009E251D"/>
    <w:rsid w:val="00B5496B"/>
    <w:rsid w:val="00B93172"/>
    <w:rsid w:val="00BE0ACE"/>
    <w:rsid w:val="00C9071D"/>
    <w:rsid w:val="00CA17A9"/>
    <w:rsid w:val="00CF3891"/>
    <w:rsid w:val="00D400B5"/>
    <w:rsid w:val="00E43ECC"/>
    <w:rsid w:val="00E54BB0"/>
    <w:rsid w:val="00EE22FC"/>
    <w:rsid w:val="00F0657F"/>
    <w:rsid w:val="00F17416"/>
    <w:rsid w:val="00F22F90"/>
    <w:rsid w:val="00FB24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D4EC8A522E746B89DBFA70C14FE3B40">
    <w:name w:val="5D4EC8A522E746B89DBFA70C14FE3B40"/>
    <w:pPr>
      <w:widowControl w:val="0"/>
      <w:jc w:val="both"/>
    </w:pPr>
  </w:style>
  <w:style w:type="paragraph" w:customStyle="1" w:styleId="403C473C278145F285ED199FB5719376">
    <w:name w:val="403C473C278145F285ED199FB571937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89C88-CE3D-4AC7-9821-BE6712F5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国家标准.dotx</Template>
  <TotalTime>3</TotalTime>
  <Pages>9</Pages>
  <Words>1043</Words>
  <Characters>5950</Characters>
  <Application>Microsoft Office Word</Application>
  <DocSecurity>0</DocSecurity>
  <Lines>49</Lines>
  <Paragraphs>13</Paragraphs>
  <ScaleCrop>false</ScaleCrop>
  <Company>PCMI</Company>
  <LinksUpToDate>false</LinksUpToDate>
  <CharactersWithSpaces>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subject/>
  <dc:creator>Yilong Liu</dc:creator>
  <cp:keywords/>
  <dc:description>&lt;config cover="true" show_menu="true" version="1.0.0" doctype="SDKXY"&gt;_x000d_
&lt;/config&gt;</dc:description>
  <cp:lastModifiedBy>方晟</cp:lastModifiedBy>
  <cp:revision>2</cp:revision>
  <cp:lastPrinted>2021-12-22T07:13:00Z</cp:lastPrinted>
  <dcterms:created xsi:type="dcterms:W3CDTF">2025-05-26T03:16:00Z</dcterms:created>
  <dcterms:modified xsi:type="dcterms:W3CDTF">2025-05-26T03:16:00Z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