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tbl>
      <w:tblPr>
        <w:tblStyle w:val="11"/>
        <w:tblW w:w="5000" w:type="pct"/>
        <w:jc w:val="center"/>
        <w:tblBorders>
          <w:top w:val="none" w:color="auto" w:sz="0" w:space="0"/>
          <w:left w:val="none" w:color="auto" w:sz="0" w:space="0"/>
          <w:bottom w:val="none" w:color="auto" w:sz="0" w:space="0"/>
          <w:right w:val="none" w:color="auto" w:sz="0" w:space="0"/>
          <w:insideH w:val="none" w:color="auto" w:sz="0" w:space="0"/>
          <w:insideV w:val="single" w:color="auto" w:sz="4" w:space="0"/>
        </w:tblBorders>
        <w:tblLayout w:type="autofit"/>
        <w:tblCellMar>
          <w:top w:w="0" w:type="dxa"/>
          <w:left w:w="108" w:type="dxa"/>
          <w:bottom w:w="0" w:type="dxa"/>
          <w:right w:w="108" w:type="dxa"/>
        </w:tblCellMar>
      </w:tblPr>
      <w:tblGrid>
        <w:gridCol w:w="8522"/>
      </w:tblGrid>
      <w:tr w14:paraId="3DF0D45D">
        <w:tblPrEx>
          <w:tblBorders>
            <w:top w:val="none" w:color="auto" w:sz="0" w:space="0"/>
            <w:left w:val="none" w:color="auto" w:sz="0" w:space="0"/>
            <w:bottom w:val="none" w:color="auto" w:sz="0"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1697" w:hRule="atLeast"/>
          <w:jc w:val="center"/>
        </w:trPr>
        <w:tc>
          <w:tcPr>
            <w:tcW w:w="5000" w:type="pct"/>
            <w:noWrap w:val="0"/>
            <w:vAlign w:val="top"/>
          </w:tcPr>
          <w:p w14:paraId="3934AB0C">
            <w:pPr>
              <w:ind w:left="-3425" w:leftChars="-1427" w:right="-3350" w:rightChars="-1396"/>
              <w:rPr>
                <w:b/>
                <w:sz w:val="27"/>
              </w:rPr>
            </w:pPr>
            <w:r>
              <w:rPr>
                <w:rFonts w:hint="eastAsia"/>
                <w:b/>
                <w:sz w:val="27"/>
              </w:rPr>
              <w:t>附件5：</w:t>
            </w:r>
          </w:p>
          <w:p w14:paraId="0557AAC9">
            <w:pPr>
              <w:jc w:val="center"/>
              <w:rPr>
                <w:rFonts w:eastAsia="黑体"/>
                <w:spacing w:val="20"/>
                <w:sz w:val="32"/>
                <w:szCs w:val="32"/>
              </w:rPr>
            </w:pPr>
            <w:r>
              <w:rPr>
                <w:rFonts w:hint="eastAsia" w:eastAsia="黑体" w:cs="黑体"/>
                <w:spacing w:val="20"/>
                <w:sz w:val="32"/>
                <w:szCs w:val="32"/>
              </w:rPr>
              <w:t>中国核学会团体标准</w:t>
            </w:r>
          </w:p>
        </w:tc>
      </w:tr>
      <w:tr w14:paraId="21E74711">
        <w:tblPrEx>
          <w:tblBorders>
            <w:top w:val="none" w:color="auto" w:sz="0" w:space="0"/>
            <w:left w:val="none" w:color="auto" w:sz="0" w:space="0"/>
            <w:bottom w:val="none" w:color="auto" w:sz="0"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5514" w:hRule="atLeast"/>
          <w:jc w:val="center"/>
        </w:trPr>
        <w:tc>
          <w:tcPr>
            <w:tcW w:w="5000" w:type="pct"/>
            <w:noWrap w:val="0"/>
            <w:vAlign w:val="top"/>
          </w:tcPr>
          <w:p w14:paraId="5940D2FE">
            <w:pPr>
              <w:jc w:val="center"/>
              <w:rPr>
                <w:rFonts w:hint="default" w:eastAsia="黑体" w:cs="黑体"/>
                <w:spacing w:val="20"/>
                <w:sz w:val="44"/>
                <w:szCs w:val="44"/>
                <w:lang w:val="en-US" w:eastAsia="zh-CN"/>
              </w:rPr>
            </w:pPr>
          </w:p>
          <w:p w14:paraId="127009B1">
            <w:pPr>
              <w:jc w:val="center"/>
              <w:rPr>
                <w:rFonts w:hint="eastAsia" w:eastAsia="黑体" w:cs="黑体"/>
                <w:spacing w:val="20"/>
                <w:sz w:val="44"/>
                <w:szCs w:val="44"/>
              </w:rPr>
            </w:pPr>
            <w:r>
              <w:rPr>
                <w:rFonts w:hint="eastAsia" w:eastAsia="黑体" w:cs="黑体"/>
                <w:spacing w:val="20"/>
                <w:sz w:val="44"/>
                <w:szCs w:val="44"/>
              </w:rPr>
              <w:t>高温气冷堆核动力厂</w:t>
            </w:r>
          </w:p>
          <w:p w14:paraId="13E0475D">
            <w:pPr>
              <w:jc w:val="center"/>
              <w:rPr>
                <w:rFonts w:hint="eastAsia" w:eastAsia="黑体" w:cs="黑体"/>
                <w:spacing w:val="20"/>
                <w:sz w:val="44"/>
                <w:szCs w:val="44"/>
              </w:rPr>
            </w:pPr>
            <w:r>
              <w:rPr>
                <w:rFonts w:hint="eastAsia" w:eastAsia="黑体" w:cs="黑体"/>
                <w:spacing w:val="20"/>
                <w:sz w:val="44"/>
                <w:szCs w:val="44"/>
              </w:rPr>
              <w:t>燃耗测量系统设计准则</w:t>
            </w:r>
          </w:p>
          <w:p w14:paraId="06EDB441">
            <w:pPr>
              <w:jc w:val="center"/>
              <w:rPr>
                <w:rFonts w:eastAsia="黑体"/>
                <w:spacing w:val="20"/>
                <w:sz w:val="32"/>
                <w:szCs w:val="32"/>
              </w:rPr>
            </w:pPr>
          </w:p>
        </w:tc>
      </w:tr>
      <w:tr w14:paraId="2C3CE2AC">
        <w:tblPrEx>
          <w:tblBorders>
            <w:top w:val="none" w:color="auto" w:sz="0" w:space="0"/>
            <w:left w:val="none" w:color="auto" w:sz="0" w:space="0"/>
            <w:bottom w:val="none" w:color="auto" w:sz="0"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1114" w:hRule="atLeast"/>
          <w:jc w:val="center"/>
        </w:trPr>
        <w:tc>
          <w:tcPr>
            <w:tcW w:w="5000" w:type="pct"/>
            <w:noWrap w:val="0"/>
            <w:vAlign w:val="top"/>
          </w:tcPr>
          <w:p w14:paraId="628711C8">
            <w:pPr>
              <w:jc w:val="center"/>
              <w:rPr>
                <w:rFonts w:eastAsia="黑体" w:cs="黑体"/>
                <w:spacing w:val="20"/>
                <w:sz w:val="44"/>
                <w:szCs w:val="44"/>
              </w:rPr>
            </w:pPr>
            <w:r>
              <w:rPr>
                <w:rFonts w:hint="eastAsia" w:eastAsia="黑体" w:cs="黑体"/>
                <w:spacing w:val="20"/>
                <w:sz w:val="44"/>
                <w:szCs w:val="44"/>
              </w:rPr>
              <w:t>编制说明</w:t>
            </w:r>
          </w:p>
          <w:p w14:paraId="796D22FC">
            <w:pPr>
              <w:rPr>
                <w:rFonts w:eastAsia="黑体"/>
                <w:spacing w:val="20"/>
                <w:sz w:val="44"/>
                <w:szCs w:val="44"/>
              </w:rPr>
            </w:pPr>
          </w:p>
        </w:tc>
      </w:tr>
      <w:tr w14:paraId="2FD7DCD2">
        <w:tblPrEx>
          <w:tblBorders>
            <w:top w:val="none" w:color="auto" w:sz="0" w:space="0"/>
            <w:left w:val="none" w:color="auto" w:sz="0" w:space="0"/>
            <w:bottom w:val="none" w:color="auto" w:sz="0"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3555" w:hRule="atLeast"/>
          <w:jc w:val="center"/>
        </w:trPr>
        <w:tc>
          <w:tcPr>
            <w:tcW w:w="5000" w:type="pct"/>
            <w:noWrap w:val="0"/>
            <w:vAlign w:val="top"/>
          </w:tcPr>
          <w:p w14:paraId="794EE089">
            <w:pPr>
              <w:jc w:val="center"/>
              <w:rPr>
                <w:rFonts w:eastAsia="黑体"/>
                <w:spacing w:val="20"/>
                <w:sz w:val="32"/>
                <w:szCs w:val="32"/>
              </w:rPr>
            </w:pPr>
            <w:r>
              <w:rPr>
                <w:rFonts w:hint="eastAsia" w:eastAsia="黑体" w:cs="黑体"/>
                <w:spacing w:val="20"/>
                <w:sz w:val="32"/>
                <w:szCs w:val="32"/>
              </w:rPr>
              <w:t>（征求意见稿）</w:t>
            </w:r>
          </w:p>
        </w:tc>
      </w:tr>
      <w:tr w14:paraId="7847769A">
        <w:tblPrEx>
          <w:tblBorders>
            <w:top w:val="none" w:color="auto" w:sz="0" w:space="0"/>
            <w:left w:val="none" w:color="auto" w:sz="0" w:space="0"/>
            <w:bottom w:val="none" w:color="auto" w:sz="0" w:space="0"/>
            <w:right w:val="none" w:color="auto" w:sz="0" w:space="0"/>
            <w:insideH w:val="none" w:color="auto" w:sz="0" w:space="0"/>
            <w:insideV w:val="single" w:color="auto" w:sz="4" w:space="0"/>
          </w:tblBorders>
          <w:tblCellMar>
            <w:top w:w="0" w:type="dxa"/>
            <w:left w:w="108" w:type="dxa"/>
            <w:bottom w:w="0" w:type="dxa"/>
            <w:right w:w="108" w:type="dxa"/>
          </w:tblCellMar>
        </w:tblPrEx>
        <w:trPr>
          <w:trHeight w:val="970" w:hRule="atLeast"/>
          <w:jc w:val="center"/>
        </w:trPr>
        <w:tc>
          <w:tcPr>
            <w:tcW w:w="5000" w:type="pct"/>
            <w:noWrap w:val="0"/>
            <w:vAlign w:val="top"/>
          </w:tcPr>
          <w:p w14:paraId="79CD6587">
            <w:pPr>
              <w:jc w:val="center"/>
              <w:rPr>
                <w:rFonts w:eastAsia="黑体"/>
                <w:sz w:val="28"/>
                <w:szCs w:val="28"/>
              </w:rPr>
            </w:pPr>
            <w:r>
              <w:rPr>
                <w:rFonts w:hint="eastAsia" w:eastAsia="黑体" w:cs="黑体"/>
                <w:sz w:val="28"/>
                <w:szCs w:val="28"/>
              </w:rPr>
              <w:t>标准编制组</w:t>
            </w:r>
          </w:p>
          <w:p w14:paraId="7F414020">
            <w:pPr>
              <w:jc w:val="center"/>
              <w:rPr>
                <w:rFonts w:eastAsia="黑体"/>
                <w:sz w:val="28"/>
                <w:szCs w:val="28"/>
              </w:rPr>
            </w:pPr>
            <w:r>
              <w:rPr>
                <w:rFonts w:eastAsia="黑体"/>
                <w:sz w:val="28"/>
                <w:szCs w:val="28"/>
              </w:rPr>
              <w:t>20</w:t>
            </w:r>
            <w:r>
              <w:rPr>
                <w:rFonts w:hint="eastAsia" w:eastAsia="黑体"/>
                <w:sz w:val="28"/>
                <w:szCs w:val="28"/>
              </w:rPr>
              <w:t>2</w:t>
            </w:r>
            <w:r>
              <w:rPr>
                <w:rFonts w:hint="eastAsia" w:eastAsia="黑体"/>
                <w:sz w:val="28"/>
                <w:szCs w:val="28"/>
                <w:lang w:val="en-US" w:eastAsia="zh-CN"/>
              </w:rPr>
              <w:t>5</w:t>
            </w:r>
            <w:r>
              <w:rPr>
                <w:rFonts w:hint="eastAsia" w:eastAsia="黑体" w:cs="黑体"/>
                <w:sz w:val="28"/>
                <w:szCs w:val="28"/>
              </w:rPr>
              <w:t>年</w:t>
            </w:r>
            <w:r>
              <w:rPr>
                <w:rFonts w:hint="eastAsia" w:eastAsia="黑体" w:cs="黑体"/>
                <w:sz w:val="28"/>
                <w:szCs w:val="28"/>
                <w:lang w:val="en-US" w:eastAsia="zh-CN"/>
              </w:rPr>
              <w:t>6</w:t>
            </w:r>
            <w:r>
              <w:rPr>
                <w:rFonts w:hint="eastAsia" w:eastAsia="黑体" w:cs="黑体"/>
                <w:sz w:val="28"/>
                <w:szCs w:val="28"/>
              </w:rPr>
              <w:t>月</w:t>
            </w:r>
          </w:p>
        </w:tc>
      </w:tr>
    </w:tbl>
    <w:p w14:paraId="7B5C8DEE">
      <w:pPr>
        <w:pStyle w:val="8"/>
        <w:bidi w:val="0"/>
        <w:rPr>
          <w:rFonts w:hint="eastAsia"/>
        </w:rPr>
        <w:sectPr>
          <w:pgSz w:w="11906" w:h="16839"/>
          <w:pgMar w:top="1440" w:right="1800" w:bottom="1440" w:left="1800" w:header="851" w:footer="992" w:gutter="0"/>
          <w:pgBorders w:offsetFrom="page">
            <w:top w:val="none" w:sz="0" w:space="0"/>
            <w:left w:val="none" w:sz="0" w:space="0"/>
            <w:bottom w:val="none" w:sz="0" w:space="0"/>
            <w:right w:val="none" w:sz="0" w:space="0"/>
          </w:pgBorders>
          <w:cols w:space="0" w:num="1"/>
        </w:sectPr>
      </w:pPr>
    </w:p>
    <w:p w14:paraId="74B0B0C9">
      <w:pPr>
        <w:pStyle w:val="2"/>
        <w:bidi w:val="0"/>
      </w:pPr>
      <w:r>
        <w:t>任务来源及计划要求</w:t>
      </w:r>
    </w:p>
    <w:p w14:paraId="6560BF0E">
      <w:pPr>
        <w:pStyle w:val="8"/>
        <w:bidi w:val="0"/>
      </w:pPr>
      <w:r>
        <w:rPr>
          <w:rFonts w:hint="eastAsia"/>
        </w:rPr>
        <w:t>本部分制订任务由中核集团文件“关于下达中核集团集中研发项目高温气冷堆标准体系研究与建设任务书的通知”（中核科发【2024】461号）下达，项目计划周期为2024年12月至2028年12月。</w:t>
      </w:r>
    </w:p>
    <w:p w14:paraId="1F513FB5">
      <w:pPr>
        <w:pStyle w:val="8"/>
        <w:bidi w:val="0"/>
      </w:pPr>
      <w:r>
        <w:rPr>
          <w:rFonts w:hint="eastAsia"/>
        </w:rPr>
        <w:t>2025年6月13日，中国核学会《关于下达2025年度第一批核学会团体标准立项计划的通知》（中核学发【2025】166号）下达了《高温气冷堆核动力厂燃耗测量系统设计准则》编制计划（计划编号：HTB2025074）。</w:t>
      </w:r>
    </w:p>
    <w:p w14:paraId="14D47AB9">
      <w:pPr>
        <w:pStyle w:val="2"/>
        <w:bidi w:val="0"/>
      </w:pPr>
      <w:r>
        <w:t>标准编制组组成</w:t>
      </w:r>
    </w:p>
    <w:p w14:paraId="2C60A55E">
      <w:pPr>
        <w:pStyle w:val="8"/>
        <w:bidi w:val="0"/>
        <w:rPr>
          <w:rFonts w:hint="eastAsia"/>
        </w:rPr>
      </w:pPr>
      <w:r>
        <w:rPr>
          <w:rFonts w:hint="eastAsia"/>
        </w:rPr>
        <w:t>本标准编制组成员情况：</w:t>
      </w:r>
    </w:p>
    <w:p w14:paraId="601FFF99">
      <w:pPr>
        <w:ind w:firstLine="480" w:firstLineChars="200"/>
        <w:jc w:val="center"/>
        <w:rPr>
          <w:rFonts w:hint="eastAsia"/>
        </w:rPr>
      </w:pPr>
      <w:r>
        <w:t>表1：标准编制组成员名单</w:t>
      </w:r>
    </w:p>
    <w:tbl>
      <w:tblPr>
        <w:tblStyle w:val="11"/>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726"/>
        <w:gridCol w:w="969"/>
        <w:gridCol w:w="3876"/>
        <w:gridCol w:w="1279"/>
        <w:gridCol w:w="1696"/>
      </w:tblGrid>
      <w:tr w14:paraId="77C203B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50" w:hRule="atLeast"/>
        </w:trPr>
        <w:tc>
          <w:tcPr>
            <w:tcW w:w="0" w:type="auto"/>
            <w:tcBorders>
              <w:top w:val="single" w:color="DDDDDD" w:sz="6" w:space="0"/>
              <w:left w:val="single" w:color="DDDDDD" w:sz="6" w:space="0"/>
              <w:bottom w:val="single" w:color="DDDDDD" w:sz="6" w:space="0"/>
              <w:right w:val="single" w:color="DDDDDD" w:sz="6" w:space="0"/>
            </w:tcBorders>
            <w:shd w:val="clear" w:color="auto" w:fill="auto"/>
            <w:tcMar>
              <w:top w:w="120" w:type="dxa"/>
              <w:left w:w="120" w:type="dxa"/>
              <w:bottom w:w="120" w:type="dxa"/>
              <w:right w:w="120" w:type="dxa"/>
            </w:tcMar>
            <w:vAlign w:val="center"/>
          </w:tcPr>
          <w:p w14:paraId="6ED4C497">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Times New Roman" w:hAnsi="Times New Roman" w:eastAsia="宋体" w:cs="Times New Roman"/>
                <w:kern w:val="2"/>
                <w:szCs w:val="22"/>
                <w:lang w:bidi="ar-SA"/>
              </w:rPr>
            </w:pPr>
            <w:r>
              <w:rPr>
                <w:rFonts w:hint="eastAsia" w:ascii="Times New Roman" w:hAnsi="Times New Roman" w:eastAsia="宋体" w:cs="Times New Roman"/>
                <w:kern w:val="2"/>
                <w:szCs w:val="22"/>
                <w:lang w:bidi="ar-SA"/>
              </w:rPr>
              <w:t>序号</w:t>
            </w:r>
          </w:p>
        </w:tc>
        <w:tc>
          <w:tcPr>
            <w:tcW w:w="0" w:type="auto"/>
            <w:tcBorders>
              <w:top w:val="single" w:color="DDDDDD" w:sz="6" w:space="0"/>
              <w:left w:val="single" w:color="DDDDDD" w:sz="6" w:space="0"/>
              <w:bottom w:val="single" w:color="DDDDDD" w:sz="6" w:space="0"/>
              <w:right w:val="single" w:color="DDDDDD" w:sz="6" w:space="0"/>
            </w:tcBorders>
            <w:shd w:val="clear" w:color="auto" w:fill="auto"/>
            <w:tcMar>
              <w:top w:w="120" w:type="dxa"/>
              <w:left w:w="120" w:type="dxa"/>
              <w:bottom w:w="120" w:type="dxa"/>
              <w:right w:w="120" w:type="dxa"/>
            </w:tcMar>
            <w:vAlign w:val="center"/>
          </w:tcPr>
          <w:p w14:paraId="235F796D">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Times New Roman" w:hAnsi="Times New Roman" w:eastAsia="宋体" w:cs="Times New Roman"/>
                <w:kern w:val="2"/>
                <w:szCs w:val="22"/>
                <w:lang w:bidi="ar-SA"/>
              </w:rPr>
            </w:pPr>
            <w:r>
              <w:rPr>
                <w:rFonts w:hint="eastAsia" w:ascii="Times New Roman" w:hAnsi="Times New Roman" w:eastAsia="宋体" w:cs="Times New Roman"/>
                <w:kern w:val="2"/>
                <w:szCs w:val="22"/>
                <w:lang w:bidi="ar-SA"/>
              </w:rPr>
              <w:t>姓名</w:t>
            </w:r>
          </w:p>
        </w:tc>
        <w:tc>
          <w:tcPr>
            <w:tcW w:w="0" w:type="auto"/>
            <w:tcBorders>
              <w:top w:val="single" w:color="DDDDDD" w:sz="6" w:space="0"/>
              <w:left w:val="single" w:color="DDDDDD" w:sz="6" w:space="0"/>
              <w:bottom w:val="single" w:color="DDDDDD" w:sz="6" w:space="0"/>
              <w:right w:val="single" w:color="DDDDDD" w:sz="6" w:space="0"/>
            </w:tcBorders>
            <w:shd w:val="clear" w:color="auto" w:fill="auto"/>
            <w:tcMar>
              <w:top w:w="120" w:type="dxa"/>
              <w:left w:w="120" w:type="dxa"/>
              <w:bottom w:w="120" w:type="dxa"/>
              <w:right w:w="120" w:type="dxa"/>
            </w:tcMar>
            <w:vAlign w:val="center"/>
          </w:tcPr>
          <w:p w14:paraId="0B4A7DFE">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Times New Roman" w:hAnsi="Times New Roman" w:eastAsia="宋体" w:cs="Times New Roman"/>
                <w:kern w:val="2"/>
                <w:szCs w:val="22"/>
                <w:lang w:bidi="ar-SA"/>
              </w:rPr>
            </w:pPr>
            <w:r>
              <w:rPr>
                <w:rFonts w:hint="eastAsia" w:ascii="Times New Roman" w:hAnsi="Times New Roman" w:eastAsia="宋体" w:cs="Times New Roman"/>
                <w:kern w:val="2"/>
                <w:szCs w:val="22"/>
                <w:lang w:bidi="ar-SA"/>
              </w:rPr>
              <w:t>单位</w:t>
            </w:r>
          </w:p>
        </w:tc>
        <w:tc>
          <w:tcPr>
            <w:tcW w:w="0" w:type="auto"/>
            <w:tcBorders>
              <w:top w:val="single" w:color="DDDDDD" w:sz="6" w:space="0"/>
              <w:left w:val="single" w:color="DDDDDD" w:sz="6" w:space="0"/>
              <w:bottom w:val="single" w:color="DDDDDD" w:sz="6" w:space="0"/>
              <w:right w:val="single" w:color="DDDDDD" w:sz="6" w:space="0"/>
            </w:tcBorders>
            <w:shd w:val="clear" w:color="auto" w:fill="auto"/>
            <w:tcMar>
              <w:top w:w="120" w:type="dxa"/>
              <w:left w:w="120" w:type="dxa"/>
              <w:bottom w:w="120" w:type="dxa"/>
              <w:right w:w="120" w:type="dxa"/>
            </w:tcMar>
            <w:vAlign w:val="center"/>
          </w:tcPr>
          <w:p w14:paraId="6FC6555A">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Times New Roman" w:hAnsi="Times New Roman" w:eastAsia="宋体" w:cs="Times New Roman"/>
                <w:kern w:val="2"/>
                <w:szCs w:val="22"/>
                <w:lang w:bidi="ar-SA"/>
              </w:rPr>
            </w:pPr>
            <w:r>
              <w:rPr>
                <w:rFonts w:hint="eastAsia" w:ascii="Times New Roman" w:hAnsi="Times New Roman" w:eastAsia="宋体" w:cs="Times New Roman"/>
                <w:kern w:val="2"/>
                <w:szCs w:val="22"/>
                <w:lang w:bidi="ar-SA"/>
              </w:rPr>
              <w:t>职务/职称</w:t>
            </w:r>
          </w:p>
        </w:tc>
        <w:tc>
          <w:tcPr>
            <w:tcW w:w="0" w:type="auto"/>
            <w:tcBorders>
              <w:top w:val="single" w:color="DDDDDD" w:sz="6" w:space="0"/>
              <w:left w:val="single" w:color="DDDDDD" w:sz="6" w:space="0"/>
              <w:bottom w:val="single" w:color="DDDDDD" w:sz="6" w:space="0"/>
              <w:right w:val="single" w:color="DDDDDD" w:sz="6" w:space="0"/>
            </w:tcBorders>
            <w:shd w:val="clear" w:color="auto" w:fill="auto"/>
            <w:tcMar>
              <w:top w:w="120" w:type="dxa"/>
              <w:left w:w="120" w:type="dxa"/>
              <w:bottom w:w="120" w:type="dxa"/>
              <w:right w:w="120" w:type="dxa"/>
            </w:tcMar>
            <w:vAlign w:val="center"/>
          </w:tcPr>
          <w:p w14:paraId="7B0E150B">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Times New Roman" w:hAnsi="Times New Roman" w:eastAsia="宋体" w:cs="Times New Roman"/>
                <w:kern w:val="2"/>
                <w:szCs w:val="22"/>
                <w:lang w:bidi="ar-SA"/>
              </w:rPr>
            </w:pPr>
            <w:r>
              <w:rPr>
                <w:rFonts w:hint="eastAsia" w:ascii="Times New Roman" w:hAnsi="Times New Roman" w:eastAsia="宋体" w:cs="Times New Roman"/>
                <w:kern w:val="2"/>
                <w:szCs w:val="22"/>
                <w:lang w:bidi="ar-SA"/>
              </w:rPr>
              <w:t>负责编写内容</w:t>
            </w:r>
          </w:p>
        </w:tc>
      </w:tr>
      <w:tr w14:paraId="0C1D9D2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15" w:hRule="atLeast"/>
        </w:trPr>
        <w:tc>
          <w:tcPr>
            <w:tcW w:w="0" w:type="auto"/>
            <w:tcBorders>
              <w:top w:val="single" w:color="DDDDDD" w:sz="6" w:space="0"/>
              <w:left w:val="single" w:color="DDDDDD" w:sz="6" w:space="0"/>
              <w:bottom w:val="single" w:color="DDDDDD" w:sz="6" w:space="0"/>
              <w:right w:val="single" w:color="DDDDDD" w:sz="6" w:space="0"/>
            </w:tcBorders>
            <w:shd w:val="clear" w:color="auto" w:fill="auto"/>
            <w:tcMar>
              <w:top w:w="120" w:type="dxa"/>
              <w:left w:w="120" w:type="dxa"/>
              <w:bottom w:w="120" w:type="dxa"/>
              <w:right w:w="120" w:type="dxa"/>
            </w:tcMar>
            <w:vAlign w:val="center"/>
          </w:tcPr>
          <w:p w14:paraId="662ECAEF">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Times New Roman" w:hAnsi="Times New Roman" w:eastAsia="宋体" w:cs="Times New Roman"/>
                <w:kern w:val="2"/>
                <w:szCs w:val="22"/>
                <w:lang w:bidi="ar-SA"/>
              </w:rPr>
            </w:pPr>
            <w:r>
              <w:rPr>
                <w:rFonts w:hint="eastAsia" w:ascii="Times New Roman" w:hAnsi="Times New Roman" w:eastAsia="宋体" w:cs="Times New Roman"/>
                <w:kern w:val="2"/>
                <w:szCs w:val="22"/>
                <w:lang w:bidi="ar-SA"/>
              </w:rPr>
              <w:t>1</w:t>
            </w:r>
          </w:p>
        </w:tc>
        <w:tc>
          <w:tcPr>
            <w:tcW w:w="0" w:type="auto"/>
            <w:tcBorders>
              <w:top w:val="single" w:color="DDDDDD" w:sz="6" w:space="0"/>
              <w:left w:val="single" w:color="DDDDDD" w:sz="6" w:space="0"/>
              <w:bottom w:val="single" w:color="DDDDDD" w:sz="6" w:space="0"/>
              <w:right w:val="single" w:color="DDDDDD" w:sz="6" w:space="0"/>
            </w:tcBorders>
            <w:shd w:val="clear" w:color="auto" w:fill="auto"/>
            <w:tcMar>
              <w:top w:w="120" w:type="dxa"/>
              <w:left w:w="120" w:type="dxa"/>
              <w:bottom w:w="120" w:type="dxa"/>
              <w:right w:w="120" w:type="dxa"/>
            </w:tcMar>
            <w:vAlign w:val="center"/>
          </w:tcPr>
          <w:p w14:paraId="5A0A2F30">
            <w:pPr>
              <w:keepNext w:val="0"/>
              <w:keepLines w:val="0"/>
              <w:pageBreakBefore w:val="0"/>
              <w:widowControl w:val="0"/>
              <w:kinsoku/>
              <w:wordWrap/>
              <w:overflowPunct/>
              <w:topLinePunct w:val="0"/>
              <w:autoSpaceDE/>
              <w:autoSpaceDN/>
              <w:bidi w:val="0"/>
              <w:adjustRightInd/>
              <w:snapToGrid/>
              <w:spacing w:line="240" w:lineRule="auto"/>
              <w:ind w:firstLine="0" w:firstLineChars="0"/>
              <w:jc w:val="left"/>
              <w:textAlignment w:val="auto"/>
              <w:rPr>
                <w:rFonts w:hint="eastAsia" w:ascii="Times New Roman" w:hAnsi="Times New Roman" w:eastAsia="宋体" w:cs="Times New Roman"/>
                <w:kern w:val="2"/>
                <w:szCs w:val="22"/>
                <w:lang w:bidi="ar-SA"/>
              </w:rPr>
            </w:pPr>
            <w:r>
              <w:rPr>
                <w:rFonts w:hint="eastAsia" w:ascii="Times New Roman" w:hAnsi="Times New Roman" w:eastAsia="宋体" w:cs="Times New Roman"/>
                <w:kern w:val="2"/>
                <w:szCs w:val="22"/>
                <w:lang w:bidi="ar-SA"/>
              </w:rPr>
              <w:t>张立国</w:t>
            </w:r>
          </w:p>
        </w:tc>
        <w:tc>
          <w:tcPr>
            <w:tcW w:w="0" w:type="auto"/>
            <w:tcBorders>
              <w:top w:val="single" w:color="DDDDDD" w:sz="6" w:space="0"/>
              <w:left w:val="single" w:color="DDDDDD" w:sz="6" w:space="0"/>
              <w:bottom w:val="single" w:color="DDDDDD" w:sz="6" w:space="0"/>
              <w:right w:val="single" w:color="DDDDDD" w:sz="6" w:space="0"/>
            </w:tcBorders>
            <w:shd w:val="clear" w:color="auto" w:fill="auto"/>
            <w:tcMar>
              <w:top w:w="120" w:type="dxa"/>
              <w:left w:w="120" w:type="dxa"/>
              <w:bottom w:w="120" w:type="dxa"/>
              <w:right w:w="120" w:type="dxa"/>
            </w:tcMar>
            <w:vAlign w:val="center"/>
          </w:tcPr>
          <w:p w14:paraId="462F0855">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Times New Roman" w:hAnsi="Times New Roman" w:eastAsia="宋体" w:cs="Times New Roman"/>
                <w:kern w:val="2"/>
                <w:szCs w:val="22"/>
                <w:lang w:bidi="ar-SA"/>
              </w:rPr>
            </w:pPr>
            <w:r>
              <w:rPr>
                <w:rFonts w:hint="eastAsia" w:ascii="Times New Roman" w:hAnsi="Times New Roman" w:eastAsia="宋体" w:cs="Times New Roman"/>
                <w:kern w:val="2"/>
                <w:szCs w:val="22"/>
                <w:lang w:bidi="ar-SA"/>
              </w:rPr>
              <w:t>清华大学核能与新能源技术研究院</w:t>
            </w:r>
          </w:p>
        </w:tc>
        <w:tc>
          <w:tcPr>
            <w:tcW w:w="0" w:type="auto"/>
            <w:tcBorders>
              <w:top w:val="single" w:color="DDDDDD" w:sz="6" w:space="0"/>
              <w:left w:val="single" w:color="DDDDDD" w:sz="6" w:space="0"/>
              <w:bottom w:val="single" w:color="DDDDDD" w:sz="6" w:space="0"/>
              <w:right w:val="single" w:color="DDDDDD" w:sz="6" w:space="0"/>
            </w:tcBorders>
            <w:shd w:val="clear" w:color="auto" w:fill="auto"/>
            <w:tcMar>
              <w:top w:w="120" w:type="dxa"/>
              <w:left w:w="120" w:type="dxa"/>
              <w:bottom w:w="120" w:type="dxa"/>
              <w:right w:w="120" w:type="dxa"/>
            </w:tcMar>
            <w:vAlign w:val="center"/>
          </w:tcPr>
          <w:p w14:paraId="245C05EB">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宋体" w:cs="Times New Roman"/>
                <w:kern w:val="2"/>
                <w:szCs w:val="22"/>
                <w:lang w:val="en-US" w:eastAsia="zh-CN" w:bidi="ar-SA"/>
              </w:rPr>
            </w:pPr>
            <w:r>
              <w:rPr>
                <w:rFonts w:hint="eastAsia" w:ascii="Times New Roman" w:hAnsi="Times New Roman" w:eastAsia="宋体" w:cs="Times New Roman"/>
                <w:kern w:val="2"/>
                <w:szCs w:val="22"/>
                <w:lang w:val="en-US" w:eastAsia="zh-CN" w:bidi="ar-SA"/>
              </w:rPr>
              <w:t>高工</w:t>
            </w:r>
          </w:p>
        </w:tc>
        <w:tc>
          <w:tcPr>
            <w:tcW w:w="0" w:type="auto"/>
            <w:tcBorders>
              <w:top w:val="single" w:color="DDDDDD" w:sz="6" w:space="0"/>
              <w:left w:val="single" w:color="DDDDDD" w:sz="6" w:space="0"/>
              <w:bottom w:val="single" w:color="DDDDDD" w:sz="6" w:space="0"/>
              <w:right w:val="single" w:color="DDDDDD" w:sz="6" w:space="0"/>
            </w:tcBorders>
            <w:shd w:val="clear" w:color="auto" w:fill="auto"/>
            <w:tcMar>
              <w:top w:w="120" w:type="dxa"/>
              <w:left w:w="120" w:type="dxa"/>
              <w:bottom w:w="120" w:type="dxa"/>
              <w:right w:w="120" w:type="dxa"/>
            </w:tcMar>
            <w:vAlign w:val="center"/>
          </w:tcPr>
          <w:p w14:paraId="6299622B">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Times New Roman" w:hAnsi="Times New Roman" w:eastAsia="宋体" w:cs="Times New Roman"/>
                <w:kern w:val="2"/>
                <w:szCs w:val="22"/>
                <w:lang w:bidi="ar-SA"/>
              </w:rPr>
            </w:pPr>
            <w:r>
              <w:rPr>
                <w:rFonts w:hint="eastAsia" w:ascii="Times New Roman" w:hAnsi="Times New Roman" w:eastAsia="宋体" w:cs="Times New Roman"/>
                <w:kern w:val="2"/>
                <w:szCs w:val="22"/>
                <w:lang w:bidi="ar-SA"/>
              </w:rPr>
              <w:t>主要起草</w:t>
            </w:r>
          </w:p>
        </w:tc>
      </w:tr>
      <w:tr w14:paraId="56A2142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c>
          <w:tcPr>
            <w:tcW w:w="0" w:type="auto"/>
            <w:tcBorders>
              <w:top w:val="single" w:color="DDDDDD" w:sz="6" w:space="0"/>
              <w:left w:val="single" w:color="DDDDDD" w:sz="6" w:space="0"/>
              <w:bottom w:val="single" w:color="DDDDDD" w:sz="6" w:space="0"/>
              <w:right w:val="single" w:color="DDDDDD" w:sz="6" w:space="0"/>
            </w:tcBorders>
            <w:shd w:val="clear" w:color="auto" w:fill="auto"/>
            <w:tcMar>
              <w:top w:w="120" w:type="dxa"/>
              <w:left w:w="120" w:type="dxa"/>
              <w:bottom w:w="120" w:type="dxa"/>
              <w:right w:w="120" w:type="dxa"/>
            </w:tcMar>
            <w:vAlign w:val="center"/>
          </w:tcPr>
          <w:p w14:paraId="1F0ED260">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Times New Roman" w:hAnsi="Times New Roman" w:eastAsia="宋体" w:cs="Times New Roman"/>
                <w:kern w:val="2"/>
                <w:szCs w:val="22"/>
                <w:lang w:val="en-US" w:eastAsia="zh-CN" w:bidi="ar-SA"/>
              </w:rPr>
            </w:pPr>
            <w:r>
              <w:rPr>
                <w:rFonts w:hint="eastAsia" w:ascii="Times New Roman" w:hAnsi="Times New Roman" w:eastAsia="宋体" w:cs="Times New Roman"/>
                <w:kern w:val="2"/>
                <w:szCs w:val="22"/>
                <w:lang w:val="en-US" w:eastAsia="zh-CN" w:bidi="ar-SA"/>
              </w:rPr>
              <w:t>2</w:t>
            </w:r>
          </w:p>
        </w:tc>
        <w:tc>
          <w:tcPr>
            <w:tcW w:w="0" w:type="auto"/>
            <w:tcBorders>
              <w:top w:val="single" w:color="DDDDDD" w:sz="6" w:space="0"/>
              <w:left w:val="single" w:color="DDDDDD" w:sz="6" w:space="0"/>
              <w:bottom w:val="single" w:color="DDDDDD" w:sz="6" w:space="0"/>
              <w:right w:val="single" w:color="DDDDDD" w:sz="6" w:space="0"/>
            </w:tcBorders>
            <w:shd w:val="clear" w:color="auto" w:fill="auto"/>
            <w:tcMar>
              <w:top w:w="120" w:type="dxa"/>
              <w:left w:w="120" w:type="dxa"/>
              <w:bottom w:w="120" w:type="dxa"/>
              <w:right w:w="120" w:type="dxa"/>
            </w:tcMar>
            <w:vAlign w:val="center"/>
          </w:tcPr>
          <w:p w14:paraId="6FF86CAD">
            <w:pPr>
              <w:keepNext w:val="0"/>
              <w:keepLines w:val="0"/>
              <w:pageBreakBefore w:val="0"/>
              <w:widowControl w:val="0"/>
              <w:kinsoku/>
              <w:wordWrap/>
              <w:overflowPunct/>
              <w:topLinePunct w:val="0"/>
              <w:autoSpaceDE/>
              <w:autoSpaceDN/>
              <w:bidi w:val="0"/>
              <w:adjustRightInd/>
              <w:snapToGrid/>
              <w:spacing w:line="240" w:lineRule="auto"/>
              <w:ind w:firstLine="0" w:firstLineChars="0"/>
              <w:jc w:val="left"/>
              <w:textAlignment w:val="auto"/>
              <w:rPr>
                <w:rFonts w:hint="default" w:ascii="Times New Roman" w:hAnsi="Times New Roman" w:eastAsia="宋体" w:cs="Times New Roman"/>
                <w:kern w:val="2"/>
                <w:szCs w:val="22"/>
                <w:lang w:val="en-US" w:eastAsia="zh-CN" w:bidi="ar-SA"/>
              </w:rPr>
            </w:pPr>
            <w:r>
              <w:rPr>
                <w:rFonts w:hint="eastAsia" w:ascii="Times New Roman" w:hAnsi="Times New Roman" w:eastAsia="宋体" w:cs="Times New Roman"/>
                <w:kern w:val="2"/>
                <w:szCs w:val="22"/>
                <w:lang w:val="en-US" w:eastAsia="zh-CN" w:bidi="ar-SA"/>
              </w:rPr>
              <w:t>肖海燕</w:t>
            </w:r>
          </w:p>
        </w:tc>
        <w:tc>
          <w:tcPr>
            <w:tcW w:w="0" w:type="auto"/>
            <w:tcBorders>
              <w:top w:val="single" w:color="DDDDDD" w:sz="6" w:space="0"/>
              <w:left w:val="single" w:color="DDDDDD" w:sz="6" w:space="0"/>
              <w:bottom w:val="single" w:color="DDDDDD" w:sz="6" w:space="0"/>
              <w:right w:val="single" w:color="DDDDDD" w:sz="6" w:space="0"/>
            </w:tcBorders>
            <w:shd w:val="clear" w:color="auto" w:fill="auto"/>
            <w:tcMar>
              <w:top w:w="120" w:type="dxa"/>
              <w:left w:w="120" w:type="dxa"/>
              <w:bottom w:w="120" w:type="dxa"/>
              <w:right w:w="120" w:type="dxa"/>
            </w:tcMar>
            <w:vAlign w:val="center"/>
          </w:tcPr>
          <w:p w14:paraId="4A2553A7">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rPr>
                <w:rFonts w:hint="eastAsia" w:ascii="Times New Roman" w:hAnsi="Times New Roman" w:eastAsia="宋体" w:cs="Times New Roman"/>
                <w:kern w:val="2"/>
                <w:szCs w:val="22"/>
                <w:lang w:eastAsia="zh-CN" w:bidi="ar-SA"/>
              </w:rPr>
            </w:pPr>
            <w:r>
              <w:rPr>
                <w:rFonts w:hint="eastAsia" w:ascii="Times New Roman" w:hAnsi="Times New Roman" w:eastAsia="宋体" w:cs="Times New Roman"/>
                <w:kern w:val="2"/>
                <w:szCs w:val="22"/>
                <w:lang w:eastAsia="zh-CN" w:bidi="ar-SA"/>
              </w:rPr>
              <w:t>清华大学核能与新能源技术研究院</w:t>
            </w:r>
          </w:p>
        </w:tc>
        <w:tc>
          <w:tcPr>
            <w:tcW w:w="0" w:type="auto"/>
            <w:tcBorders>
              <w:top w:val="single" w:color="DDDDDD" w:sz="6" w:space="0"/>
              <w:left w:val="single" w:color="DDDDDD" w:sz="6" w:space="0"/>
              <w:bottom w:val="single" w:color="DDDDDD" w:sz="6" w:space="0"/>
              <w:right w:val="single" w:color="DDDDDD" w:sz="6" w:space="0"/>
            </w:tcBorders>
            <w:shd w:val="clear" w:color="auto" w:fill="auto"/>
            <w:tcMar>
              <w:top w:w="120" w:type="dxa"/>
              <w:left w:w="120" w:type="dxa"/>
              <w:bottom w:w="120" w:type="dxa"/>
              <w:right w:w="120" w:type="dxa"/>
            </w:tcMar>
            <w:vAlign w:val="center"/>
          </w:tcPr>
          <w:p w14:paraId="41205F3D">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Times New Roman" w:hAnsi="Times New Roman" w:eastAsia="宋体" w:cs="Times New Roman"/>
                <w:kern w:val="2"/>
                <w:szCs w:val="22"/>
                <w:lang w:eastAsia="zh-CN" w:bidi="ar-SA"/>
              </w:rPr>
            </w:pPr>
            <w:r>
              <w:rPr>
                <w:rFonts w:hint="eastAsia" w:ascii="Times New Roman" w:hAnsi="Times New Roman" w:eastAsia="宋体" w:cs="Times New Roman"/>
                <w:kern w:val="2"/>
                <w:szCs w:val="22"/>
                <w:lang w:eastAsia="zh-CN" w:bidi="ar-SA"/>
              </w:rPr>
              <w:t>工程师</w:t>
            </w:r>
          </w:p>
        </w:tc>
        <w:tc>
          <w:tcPr>
            <w:tcW w:w="0" w:type="auto"/>
            <w:tcBorders>
              <w:top w:val="single" w:color="DDDDDD" w:sz="6" w:space="0"/>
              <w:left w:val="single" w:color="DDDDDD" w:sz="6" w:space="0"/>
              <w:bottom w:val="single" w:color="DDDDDD" w:sz="6" w:space="0"/>
              <w:right w:val="single" w:color="DDDDDD" w:sz="6" w:space="0"/>
            </w:tcBorders>
            <w:shd w:val="clear" w:color="auto" w:fill="auto"/>
            <w:tcMar>
              <w:top w:w="120" w:type="dxa"/>
              <w:left w:w="120" w:type="dxa"/>
              <w:bottom w:w="120" w:type="dxa"/>
              <w:right w:w="120" w:type="dxa"/>
            </w:tcMar>
            <w:vAlign w:val="center"/>
          </w:tcPr>
          <w:p w14:paraId="7A558029">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宋体" w:cs="Times New Roman"/>
                <w:kern w:val="2"/>
                <w:szCs w:val="22"/>
                <w:lang w:val="en-US" w:eastAsia="zh-CN" w:bidi="ar-SA"/>
              </w:rPr>
            </w:pPr>
            <w:r>
              <w:rPr>
                <w:rFonts w:hint="eastAsia" w:ascii="Times New Roman" w:hAnsi="Times New Roman" w:eastAsia="宋体" w:cs="Times New Roman"/>
                <w:kern w:val="2"/>
                <w:szCs w:val="22"/>
                <w:lang w:eastAsia="zh-CN" w:bidi="ar-SA"/>
              </w:rPr>
              <w:t>参与编制</w:t>
            </w:r>
          </w:p>
        </w:tc>
      </w:tr>
      <w:tr w14:paraId="067A198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c>
          <w:tcPr>
            <w:tcW w:w="0" w:type="auto"/>
            <w:tcBorders>
              <w:top w:val="single" w:color="DDDDDD" w:sz="6" w:space="0"/>
              <w:left w:val="single" w:color="DDDDDD" w:sz="6" w:space="0"/>
              <w:bottom w:val="single" w:color="DDDDDD" w:sz="6" w:space="0"/>
              <w:right w:val="single" w:color="DDDDDD" w:sz="6" w:space="0"/>
            </w:tcBorders>
            <w:shd w:val="clear" w:color="auto" w:fill="auto"/>
            <w:tcMar>
              <w:top w:w="120" w:type="dxa"/>
              <w:left w:w="120" w:type="dxa"/>
              <w:bottom w:w="120" w:type="dxa"/>
              <w:right w:w="120" w:type="dxa"/>
            </w:tcMar>
            <w:vAlign w:val="center"/>
          </w:tcPr>
          <w:p w14:paraId="44EB1BC0">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Times New Roman" w:hAnsi="Times New Roman" w:eastAsia="宋体" w:cs="Times New Roman"/>
                <w:kern w:val="2"/>
                <w:sz w:val="24"/>
                <w:szCs w:val="22"/>
                <w:lang w:val="en-US" w:eastAsia="zh-CN" w:bidi="ar-SA"/>
              </w:rPr>
            </w:pPr>
            <w:r>
              <w:rPr>
                <w:rFonts w:hint="eastAsia" w:ascii="Times New Roman" w:hAnsi="Times New Roman" w:eastAsia="宋体" w:cs="Times New Roman"/>
                <w:kern w:val="2"/>
                <w:szCs w:val="22"/>
                <w:lang w:val="en-US" w:eastAsia="zh-CN" w:bidi="ar-SA"/>
              </w:rPr>
              <w:t>3</w:t>
            </w:r>
          </w:p>
        </w:tc>
        <w:tc>
          <w:tcPr>
            <w:tcW w:w="0" w:type="auto"/>
            <w:tcBorders>
              <w:top w:val="single" w:color="DDDDDD" w:sz="6" w:space="0"/>
              <w:left w:val="single" w:color="DDDDDD" w:sz="6" w:space="0"/>
              <w:bottom w:val="single" w:color="DDDDDD" w:sz="6" w:space="0"/>
              <w:right w:val="single" w:color="DDDDDD" w:sz="6" w:space="0"/>
            </w:tcBorders>
            <w:shd w:val="clear" w:color="auto" w:fill="auto"/>
            <w:tcMar>
              <w:top w:w="120" w:type="dxa"/>
              <w:left w:w="120" w:type="dxa"/>
              <w:bottom w:w="120" w:type="dxa"/>
              <w:right w:w="120" w:type="dxa"/>
            </w:tcMar>
            <w:vAlign w:val="center"/>
          </w:tcPr>
          <w:p w14:paraId="4358FC19">
            <w:pPr>
              <w:keepNext w:val="0"/>
              <w:keepLines w:val="0"/>
              <w:pageBreakBefore w:val="0"/>
              <w:widowControl w:val="0"/>
              <w:kinsoku/>
              <w:wordWrap/>
              <w:overflowPunct/>
              <w:topLinePunct w:val="0"/>
              <w:autoSpaceDE/>
              <w:autoSpaceDN/>
              <w:bidi w:val="0"/>
              <w:adjustRightInd/>
              <w:snapToGrid/>
              <w:spacing w:line="240" w:lineRule="auto"/>
              <w:ind w:firstLine="0" w:firstLineChars="0"/>
              <w:jc w:val="left"/>
              <w:textAlignment w:val="auto"/>
              <w:rPr>
                <w:rFonts w:hint="eastAsia" w:ascii="Times New Roman" w:hAnsi="Times New Roman" w:eastAsia="宋体" w:cs="Times New Roman"/>
                <w:kern w:val="2"/>
                <w:szCs w:val="22"/>
                <w:lang w:val="en-US" w:eastAsia="zh-CN" w:bidi="ar-SA"/>
              </w:rPr>
            </w:pPr>
            <w:r>
              <w:rPr>
                <w:rFonts w:hint="eastAsia" w:ascii="Times New Roman" w:hAnsi="Times New Roman" w:eastAsia="宋体" w:cs="Times New Roman"/>
                <w:kern w:val="2"/>
                <w:szCs w:val="22"/>
                <w:lang w:val="en-US" w:eastAsia="zh-CN" w:bidi="ar-SA"/>
              </w:rPr>
              <w:t>曹建主</w:t>
            </w:r>
          </w:p>
        </w:tc>
        <w:tc>
          <w:tcPr>
            <w:tcW w:w="0" w:type="auto"/>
            <w:tcBorders>
              <w:top w:val="single" w:color="DDDDDD" w:sz="6" w:space="0"/>
              <w:left w:val="single" w:color="DDDDDD" w:sz="6" w:space="0"/>
              <w:bottom w:val="single" w:color="DDDDDD" w:sz="6" w:space="0"/>
              <w:right w:val="single" w:color="DDDDDD" w:sz="6" w:space="0"/>
            </w:tcBorders>
            <w:shd w:val="clear" w:color="auto" w:fill="auto"/>
            <w:tcMar>
              <w:top w:w="120" w:type="dxa"/>
              <w:left w:w="120" w:type="dxa"/>
              <w:bottom w:w="120" w:type="dxa"/>
              <w:right w:w="120" w:type="dxa"/>
            </w:tcMar>
            <w:vAlign w:val="center"/>
          </w:tcPr>
          <w:p w14:paraId="12CD4D6F">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rPr>
                <w:rFonts w:hint="eastAsia" w:ascii="Times New Roman" w:hAnsi="Times New Roman" w:eastAsia="宋体" w:cs="Times New Roman"/>
                <w:kern w:val="2"/>
                <w:sz w:val="24"/>
                <w:szCs w:val="22"/>
                <w:lang w:val="en-US" w:eastAsia="zh-CN" w:bidi="ar-SA"/>
              </w:rPr>
            </w:pPr>
            <w:r>
              <w:rPr>
                <w:rFonts w:hint="eastAsia" w:ascii="Times New Roman" w:hAnsi="Times New Roman" w:eastAsia="宋体" w:cs="Times New Roman"/>
                <w:kern w:val="2"/>
                <w:szCs w:val="22"/>
                <w:lang w:eastAsia="zh-CN" w:bidi="ar-SA"/>
              </w:rPr>
              <w:t>清华大学核能与新能源技术研究院</w:t>
            </w:r>
          </w:p>
        </w:tc>
        <w:tc>
          <w:tcPr>
            <w:tcW w:w="0" w:type="auto"/>
            <w:tcBorders>
              <w:top w:val="single" w:color="DDDDDD" w:sz="6" w:space="0"/>
              <w:left w:val="single" w:color="DDDDDD" w:sz="6" w:space="0"/>
              <w:bottom w:val="single" w:color="DDDDDD" w:sz="6" w:space="0"/>
              <w:right w:val="single" w:color="DDDDDD" w:sz="6" w:space="0"/>
            </w:tcBorders>
            <w:shd w:val="clear" w:color="auto" w:fill="auto"/>
            <w:tcMar>
              <w:top w:w="120" w:type="dxa"/>
              <w:left w:w="120" w:type="dxa"/>
              <w:bottom w:w="120" w:type="dxa"/>
              <w:right w:w="120" w:type="dxa"/>
            </w:tcMar>
            <w:vAlign w:val="center"/>
          </w:tcPr>
          <w:p w14:paraId="1CF2B7B0">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Times New Roman" w:hAnsi="Times New Roman" w:eastAsia="宋体" w:cs="Times New Roman"/>
                <w:kern w:val="2"/>
                <w:szCs w:val="22"/>
                <w:lang w:eastAsia="zh-CN" w:bidi="ar-SA"/>
              </w:rPr>
            </w:pPr>
            <w:r>
              <w:rPr>
                <w:rFonts w:hint="eastAsia" w:ascii="Times New Roman" w:hAnsi="Times New Roman" w:eastAsia="宋体" w:cs="Times New Roman"/>
                <w:kern w:val="2"/>
                <w:szCs w:val="22"/>
                <w:lang w:eastAsia="zh-CN" w:bidi="ar-SA"/>
              </w:rPr>
              <w:t>研究员</w:t>
            </w:r>
          </w:p>
        </w:tc>
        <w:tc>
          <w:tcPr>
            <w:tcW w:w="0" w:type="auto"/>
            <w:tcBorders>
              <w:top w:val="single" w:color="DDDDDD" w:sz="6" w:space="0"/>
              <w:left w:val="single" w:color="DDDDDD" w:sz="6" w:space="0"/>
              <w:bottom w:val="single" w:color="DDDDDD" w:sz="6" w:space="0"/>
              <w:right w:val="single" w:color="DDDDDD" w:sz="6" w:space="0"/>
            </w:tcBorders>
            <w:shd w:val="clear" w:color="auto" w:fill="auto"/>
            <w:tcMar>
              <w:top w:w="120" w:type="dxa"/>
              <w:left w:w="120" w:type="dxa"/>
              <w:bottom w:w="120" w:type="dxa"/>
              <w:right w:w="120" w:type="dxa"/>
            </w:tcMar>
            <w:vAlign w:val="center"/>
          </w:tcPr>
          <w:p w14:paraId="74CC6349">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Times New Roman" w:hAnsi="Times New Roman" w:eastAsia="宋体" w:cs="Times New Roman"/>
                <w:kern w:val="2"/>
                <w:szCs w:val="22"/>
                <w:lang w:eastAsia="zh-CN" w:bidi="ar-SA"/>
              </w:rPr>
            </w:pPr>
            <w:r>
              <w:rPr>
                <w:rFonts w:hint="eastAsia" w:ascii="Times New Roman" w:hAnsi="Times New Roman" w:eastAsia="宋体" w:cs="Times New Roman"/>
                <w:kern w:val="2"/>
                <w:szCs w:val="22"/>
                <w:lang w:eastAsia="zh-CN" w:bidi="ar-SA"/>
              </w:rPr>
              <w:t>审核全文</w:t>
            </w:r>
          </w:p>
        </w:tc>
      </w:tr>
      <w:tr w14:paraId="4F13AAA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c>
          <w:tcPr>
            <w:tcW w:w="0" w:type="auto"/>
            <w:tcBorders>
              <w:top w:val="single" w:color="DDDDDD" w:sz="6" w:space="0"/>
              <w:left w:val="single" w:color="DDDDDD" w:sz="6" w:space="0"/>
              <w:bottom w:val="single" w:color="DDDDDD" w:sz="6" w:space="0"/>
              <w:right w:val="single" w:color="DDDDDD" w:sz="6" w:space="0"/>
            </w:tcBorders>
            <w:shd w:val="clear" w:color="auto" w:fill="auto"/>
            <w:tcMar>
              <w:top w:w="120" w:type="dxa"/>
              <w:left w:w="120" w:type="dxa"/>
              <w:bottom w:w="120" w:type="dxa"/>
              <w:right w:w="120" w:type="dxa"/>
            </w:tcMar>
            <w:vAlign w:val="center"/>
          </w:tcPr>
          <w:p w14:paraId="5407107D">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宋体" w:cs="Times New Roman"/>
                <w:kern w:val="2"/>
                <w:sz w:val="24"/>
                <w:szCs w:val="22"/>
                <w:lang w:val="en-US" w:eastAsia="zh-CN" w:bidi="ar-SA"/>
              </w:rPr>
            </w:pPr>
            <w:r>
              <w:rPr>
                <w:rFonts w:hint="eastAsia" w:ascii="Times New Roman" w:hAnsi="Times New Roman" w:eastAsia="宋体" w:cs="Times New Roman"/>
                <w:kern w:val="2"/>
                <w:szCs w:val="22"/>
                <w:lang w:val="en-US" w:eastAsia="zh-CN" w:bidi="ar-SA"/>
              </w:rPr>
              <w:t>4</w:t>
            </w:r>
          </w:p>
        </w:tc>
        <w:tc>
          <w:tcPr>
            <w:tcW w:w="0" w:type="auto"/>
            <w:tcBorders>
              <w:top w:val="single" w:color="DDDDDD" w:sz="6" w:space="0"/>
              <w:left w:val="single" w:color="DDDDDD" w:sz="6" w:space="0"/>
              <w:bottom w:val="single" w:color="DDDDDD" w:sz="6" w:space="0"/>
              <w:right w:val="single" w:color="DDDDDD" w:sz="6" w:space="0"/>
            </w:tcBorders>
            <w:shd w:val="clear" w:color="auto" w:fill="auto"/>
            <w:tcMar>
              <w:top w:w="120" w:type="dxa"/>
              <w:left w:w="120" w:type="dxa"/>
              <w:bottom w:w="120" w:type="dxa"/>
              <w:right w:w="120" w:type="dxa"/>
            </w:tcMar>
            <w:vAlign w:val="center"/>
          </w:tcPr>
          <w:p w14:paraId="0C562CCE">
            <w:pPr>
              <w:keepNext w:val="0"/>
              <w:keepLines w:val="0"/>
              <w:pageBreakBefore w:val="0"/>
              <w:widowControl w:val="0"/>
              <w:kinsoku/>
              <w:wordWrap/>
              <w:overflowPunct/>
              <w:topLinePunct w:val="0"/>
              <w:autoSpaceDE/>
              <w:autoSpaceDN/>
              <w:bidi w:val="0"/>
              <w:adjustRightInd/>
              <w:snapToGrid/>
              <w:spacing w:line="240" w:lineRule="auto"/>
              <w:ind w:firstLine="0" w:firstLineChars="0"/>
              <w:jc w:val="left"/>
              <w:textAlignment w:val="auto"/>
              <w:rPr>
                <w:rFonts w:hint="eastAsia" w:ascii="Times New Roman" w:hAnsi="Times New Roman" w:eastAsia="宋体" w:cs="Times New Roman"/>
                <w:kern w:val="2"/>
                <w:szCs w:val="22"/>
                <w:lang w:val="en-US" w:eastAsia="zh-CN" w:bidi="ar-SA"/>
              </w:rPr>
            </w:pPr>
            <w:r>
              <w:rPr>
                <w:rFonts w:hint="eastAsia" w:ascii="Times New Roman" w:hAnsi="Times New Roman" w:eastAsia="宋体" w:cs="Times New Roman"/>
                <w:kern w:val="2"/>
                <w:szCs w:val="22"/>
                <w:lang w:val="en-US" w:eastAsia="zh-CN" w:bidi="ar-SA"/>
              </w:rPr>
              <w:t>刘学</w:t>
            </w:r>
          </w:p>
        </w:tc>
        <w:tc>
          <w:tcPr>
            <w:tcW w:w="0" w:type="auto"/>
            <w:tcBorders>
              <w:top w:val="single" w:color="DDDDDD" w:sz="6" w:space="0"/>
              <w:left w:val="single" w:color="DDDDDD" w:sz="6" w:space="0"/>
              <w:bottom w:val="single" w:color="DDDDDD" w:sz="6" w:space="0"/>
              <w:right w:val="single" w:color="DDDDDD" w:sz="6" w:space="0"/>
            </w:tcBorders>
            <w:shd w:val="clear" w:color="auto" w:fill="auto"/>
            <w:tcMar>
              <w:top w:w="120" w:type="dxa"/>
              <w:left w:w="120" w:type="dxa"/>
              <w:bottom w:w="120" w:type="dxa"/>
              <w:right w:w="120" w:type="dxa"/>
            </w:tcMar>
            <w:vAlign w:val="center"/>
          </w:tcPr>
          <w:p w14:paraId="48361BFB">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rPr>
                <w:rFonts w:hint="eastAsia" w:ascii="Times New Roman" w:hAnsi="Times New Roman" w:eastAsia="宋体" w:cs="Times New Roman"/>
                <w:kern w:val="2"/>
                <w:szCs w:val="22"/>
                <w:lang w:eastAsia="zh-CN" w:bidi="ar-SA"/>
              </w:rPr>
            </w:pPr>
            <w:r>
              <w:rPr>
                <w:rFonts w:hint="eastAsia" w:ascii="Times New Roman" w:hAnsi="Times New Roman" w:eastAsia="宋体" w:cs="Times New Roman"/>
                <w:kern w:val="2"/>
                <w:szCs w:val="22"/>
                <w:lang w:bidi="ar-SA"/>
              </w:rPr>
              <w:t>中核能源科技有限公司</w:t>
            </w:r>
          </w:p>
        </w:tc>
        <w:tc>
          <w:tcPr>
            <w:tcW w:w="0" w:type="auto"/>
            <w:tcBorders>
              <w:top w:val="single" w:color="DDDDDD" w:sz="6" w:space="0"/>
              <w:left w:val="single" w:color="DDDDDD" w:sz="6" w:space="0"/>
              <w:bottom w:val="single" w:color="DDDDDD" w:sz="6" w:space="0"/>
              <w:right w:val="single" w:color="DDDDDD" w:sz="6" w:space="0"/>
            </w:tcBorders>
            <w:shd w:val="clear" w:color="auto" w:fill="auto"/>
            <w:tcMar>
              <w:top w:w="120" w:type="dxa"/>
              <w:left w:w="120" w:type="dxa"/>
              <w:bottom w:w="120" w:type="dxa"/>
              <w:right w:w="120" w:type="dxa"/>
            </w:tcMar>
            <w:vAlign w:val="center"/>
          </w:tcPr>
          <w:p w14:paraId="2B00EBE3">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宋体" w:cs="Times New Roman"/>
                <w:kern w:val="2"/>
                <w:szCs w:val="22"/>
                <w:lang w:val="en-US" w:eastAsia="zh-CN" w:bidi="ar-SA"/>
              </w:rPr>
            </w:pPr>
            <w:r>
              <w:rPr>
                <w:rFonts w:hint="eastAsia" w:ascii="Times New Roman" w:hAnsi="Times New Roman" w:eastAsia="宋体" w:cs="Times New Roman"/>
                <w:kern w:val="2"/>
                <w:szCs w:val="22"/>
                <w:lang w:eastAsia="zh-CN" w:bidi="ar-SA"/>
              </w:rPr>
              <w:t>工程师</w:t>
            </w:r>
          </w:p>
        </w:tc>
        <w:tc>
          <w:tcPr>
            <w:tcW w:w="0" w:type="auto"/>
            <w:tcBorders>
              <w:top w:val="single" w:color="DDDDDD" w:sz="6" w:space="0"/>
              <w:left w:val="single" w:color="DDDDDD" w:sz="6" w:space="0"/>
              <w:bottom w:val="single" w:color="DDDDDD" w:sz="6" w:space="0"/>
              <w:right w:val="single" w:color="DDDDDD" w:sz="6" w:space="0"/>
            </w:tcBorders>
            <w:shd w:val="clear" w:color="auto" w:fill="auto"/>
            <w:tcMar>
              <w:top w:w="120" w:type="dxa"/>
              <w:left w:w="120" w:type="dxa"/>
              <w:bottom w:w="120" w:type="dxa"/>
              <w:right w:w="120" w:type="dxa"/>
            </w:tcMar>
            <w:vAlign w:val="center"/>
          </w:tcPr>
          <w:p w14:paraId="670880FA">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Times New Roman" w:hAnsi="Times New Roman" w:eastAsia="宋体" w:cs="Times New Roman"/>
                <w:kern w:val="2"/>
                <w:szCs w:val="22"/>
                <w:lang w:eastAsia="zh-CN" w:bidi="ar-SA"/>
              </w:rPr>
            </w:pPr>
            <w:r>
              <w:rPr>
                <w:rFonts w:hint="eastAsia" w:ascii="Times New Roman" w:hAnsi="Times New Roman" w:eastAsia="宋体" w:cs="Times New Roman"/>
                <w:kern w:val="2"/>
                <w:szCs w:val="22"/>
                <w:lang w:eastAsia="zh-CN" w:bidi="ar-SA"/>
              </w:rPr>
              <w:t>参与编制</w:t>
            </w:r>
          </w:p>
        </w:tc>
      </w:tr>
      <w:tr w14:paraId="1F5817A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c>
          <w:tcPr>
            <w:tcW w:w="0" w:type="auto"/>
            <w:tcBorders>
              <w:top w:val="single" w:color="DDDDDD" w:sz="6" w:space="0"/>
              <w:left w:val="single" w:color="DDDDDD" w:sz="6" w:space="0"/>
              <w:bottom w:val="single" w:color="DDDDDD" w:sz="6" w:space="0"/>
              <w:right w:val="single" w:color="DDDDDD" w:sz="6" w:space="0"/>
            </w:tcBorders>
            <w:shd w:val="clear" w:color="auto" w:fill="auto"/>
            <w:tcMar>
              <w:top w:w="120" w:type="dxa"/>
              <w:left w:w="120" w:type="dxa"/>
              <w:bottom w:w="120" w:type="dxa"/>
              <w:right w:w="120" w:type="dxa"/>
            </w:tcMar>
            <w:vAlign w:val="center"/>
          </w:tcPr>
          <w:p w14:paraId="57CD36EF">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宋体" w:cs="Times New Roman"/>
                <w:kern w:val="2"/>
                <w:szCs w:val="22"/>
                <w:lang w:val="en-US" w:eastAsia="zh-CN" w:bidi="ar-SA"/>
              </w:rPr>
            </w:pPr>
            <w:r>
              <w:rPr>
                <w:rFonts w:hint="eastAsia" w:ascii="Times New Roman" w:hAnsi="Times New Roman" w:eastAsia="宋体" w:cs="Times New Roman"/>
                <w:kern w:val="2"/>
                <w:szCs w:val="22"/>
                <w:lang w:val="en-US" w:eastAsia="zh-CN" w:bidi="ar-SA"/>
              </w:rPr>
              <w:t>5</w:t>
            </w:r>
          </w:p>
        </w:tc>
        <w:tc>
          <w:tcPr>
            <w:tcW w:w="0" w:type="auto"/>
            <w:tcBorders>
              <w:top w:val="single" w:color="DDDDDD" w:sz="6" w:space="0"/>
              <w:left w:val="single" w:color="DDDDDD" w:sz="6" w:space="0"/>
              <w:bottom w:val="single" w:color="DDDDDD" w:sz="6" w:space="0"/>
              <w:right w:val="single" w:color="DDDDDD" w:sz="6" w:space="0"/>
            </w:tcBorders>
            <w:shd w:val="clear" w:color="auto" w:fill="auto"/>
            <w:tcMar>
              <w:top w:w="120" w:type="dxa"/>
              <w:left w:w="120" w:type="dxa"/>
              <w:bottom w:w="120" w:type="dxa"/>
              <w:right w:w="120" w:type="dxa"/>
            </w:tcMar>
            <w:vAlign w:val="center"/>
          </w:tcPr>
          <w:p w14:paraId="1D4B02E6">
            <w:pPr>
              <w:keepNext w:val="0"/>
              <w:keepLines w:val="0"/>
              <w:pageBreakBefore w:val="0"/>
              <w:widowControl w:val="0"/>
              <w:kinsoku/>
              <w:wordWrap/>
              <w:overflowPunct/>
              <w:topLinePunct w:val="0"/>
              <w:autoSpaceDE/>
              <w:autoSpaceDN/>
              <w:bidi w:val="0"/>
              <w:adjustRightInd/>
              <w:snapToGrid/>
              <w:spacing w:line="240" w:lineRule="auto"/>
              <w:ind w:firstLine="0" w:firstLineChars="0"/>
              <w:jc w:val="left"/>
              <w:textAlignment w:val="auto"/>
              <w:rPr>
                <w:rFonts w:hint="eastAsia" w:ascii="Times New Roman" w:hAnsi="Times New Roman" w:eastAsia="宋体" w:cs="Times New Roman"/>
                <w:kern w:val="2"/>
                <w:szCs w:val="22"/>
                <w:lang w:val="en-US" w:eastAsia="zh-CN" w:bidi="ar-SA"/>
              </w:rPr>
            </w:pPr>
            <w:r>
              <w:rPr>
                <w:rFonts w:hint="eastAsia" w:ascii="Times New Roman" w:hAnsi="Times New Roman" w:eastAsia="宋体" w:cs="Times New Roman"/>
                <w:kern w:val="2"/>
                <w:szCs w:val="22"/>
                <w:lang w:val="en-US" w:eastAsia="zh-CN" w:bidi="ar-SA"/>
              </w:rPr>
              <w:t>安东</w:t>
            </w:r>
          </w:p>
        </w:tc>
        <w:tc>
          <w:tcPr>
            <w:tcW w:w="0" w:type="auto"/>
            <w:tcBorders>
              <w:top w:val="single" w:color="DDDDDD" w:sz="6" w:space="0"/>
              <w:left w:val="single" w:color="DDDDDD" w:sz="6" w:space="0"/>
              <w:bottom w:val="single" w:color="DDDDDD" w:sz="6" w:space="0"/>
              <w:right w:val="single" w:color="DDDDDD" w:sz="6" w:space="0"/>
            </w:tcBorders>
            <w:shd w:val="clear" w:color="auto" w:fill="auto"/>
            <w:tcMar>
              <w:top w:w="120" w:type="dxa"/>
              <w:left w:w="120" w:type="dxa"/>
              <w:bottom w:w="120" w:type="dxa"/>
              <w:right w:w="120" w:type="dxa"/>
            </w:tcMar>
            <w:vAlign w:val="center"/>
          </w:tcPr>
          <w:p w14:paraId="2BACF840">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rPr>
                <w:rFonts w:hint="eastAsia" w:ascii="Times New Roman" w:hAnsi="Times New Roman" w:eastAsia="宋体" w:cs="Times New Roman"/>
                <w:kern w:val="2"/>
                <w:szCs w:val="22"/>
                <w:lang w:bidi="ar-SA"/>
              </w:rPr>
            </w:pPr>
            <w:r>
              <w:rPr>
                <w:rFonts w:hint="eastAsia" w:ascii="Times New Roman" w:hAnsi="Times New Roman" w:eastAsia="宋体" w:cs="Times New Roman"/>
                <w:kern w:val="2"/>
                <w:szCs w:val="22"/>
                <w:lang w:bidi="ar-SA"/>
              </w:rPr>
              <w:t>中核能源科技有限公司</w:t>
            </w:r>
          </w:p>
        </w:tc>
        <w:tc>
          <w:tcPr>
            <w:tcW w:w="0" w:type="auto"/>
            <w:tcBorders>
              <w:top w:val="single" w:color="DDDDDD" w:sz="6" w:space="0"/>
              <w:left w:val="single" w:color="DDDDDD" w:sz="6" w:space="0"/>
              <w:bottom w:val="single" w:color="DDDDDD" w:sz="6" w:space="0"/>
              <w:right w:val="single" w:color="DDDDDD" w:sz="6" w:space="0"/>
            </w:tcBorders>
            <w:shd w:val="clear" w:color="auto" w:fill="auto"/>
            <w:tcMar>
              <w:top w:w="120" w:type="dxa"/>
              <w:left w:w="120" w:type="dxa"/>
              <w:bottom w:w="120" w:type="dxa"/>
              <w:right w:w="120" w:type="dxa"/>
            </w:tcMar>
            <w:vAlign w:val="center"/>
          </w:tcPr>
          <w:p w14:paraId="41D71B24">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Times New Roman" w:hAnsi="Times New Roman" w:eastAsia="宋体" w:cs="Times New Roman"/>
                <w:kern w:val="2"/>
                <w:szCs w:val="22"/>
                <w:lang w:eastAsia="zh-CN" w:bidi="ar-SA"/>
              </w:rPr>
            </w:pPr>
            <w:r>
              <w:rPr>
                <w:rFonts w:hint="eastAsia" w:ascii="Times New Roman" w:hAnsi="Times New Roman" w:eastAsia="宋体" w:cs="Times New Roman"/>
                <w:kern w:val="2"/>
                <w:szCs w:val="22"/>
                <w:lang w:eastAsia="zh-CN" w:bidi="ar-SA"/>
              </w:rPr>
              <w:t>工程师</w:t>
            </w:r>
          </w:p>
        </w:tc>
        <w:tc>
          <w:tcPr>
            <w:tcW w:w="0" w:type="auto"/>
            <w:tcBorders>
              <w:top w:val="single" w:color="DDDDDD" w:sz="6" w:space="0"/>
              <w:left w:val="single" w:color="DDDDDD" w:sz="6" w:space="0"/>
              <w:bottom w:val="single" w:color="DDDDDD" w:sz="6" w:space="0"/>
              <w:right w:val="single" w:color="DDDDDD" w:sz="6" w:space="0"/>
            </w:tcBorders>
            <w:shd w:val="clear" w:color="auto" w:fill="auto"/>
            <w:tcMar>
              <w:top w:w="120" w:type="dxa"/>
              <w:left w:w="120" w:type="dxa"/>
              <w:bottom w:w="120" w:type="dxa"/>
              <w:right w:w="120" w:type="dxa"/>
            </w:tcMar>
            <w:vAlign w:val="center"/>
          </w:tcPr>
          <w:p w14:paraId="1D806CE7">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Times New Roman" w:hAnsi="Times New Roman" w:eastAsia="宋体" w:cs="Times New Roman"/>
                <w:kern w:val="2"/>
                <w:szCs w:val="22"/>
                <w:lang w:eastAsia="zh-CN" w:bidi="ar-SA"/>
              </w:rPr>
            </w:pPr>
            <w:r>
              <w:rPr>
                <w:rFonts w:hint="eastAsia" w:ascii="Times New Roman" w:hAnsi="Times New Roman" w:eastAsia="宋体" w:cs="Times New Roman"/>
                <w:kern w:val="2"/>
                <w:szCs w:val="22"/>
                <w:lang w:eastAsia="zh-CN" w:bidi="ar-SA"/>
              </w:rPr>
              <w:t>参与编制</w:t>
            </w:r>
          </w:p>
        </w:tc>
      </w:tr>
      <w:tr w14:paraId="23B9C84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c>
          <w:tcPr>
            <w:tcW w:w="0" w:type="auto"/>
            <w:tcBorders>
              <w:top w:val="single" w:color="DDDDDD" w:sz="6" w:space="0"/>
              <w:left w:val="single" w:color="DDDDDD" w:sz="6" w:space="0"/>
              <w:bottom w:val="single" w:color="DDDDDD" w:sz="6" w:space="0"/>
              <w:right w:val="single" w:color="DDDDDD" w:sz="6" w:space="0"/>
            </w:tcBorders>
            <w:shd w:val="clear" w:color="auto" w:fill="auto"/>
            <w:tcMar>
              <w:top w:w="120" w:type="dxa"/>
              <w:left w:w="120" w:type="dxa"/>
              <w:bottom w:w="120" w:type="dxa"/>
              <w:right w:w="120" w:type="dxa"/>
            </w:tcMar>
            <w:vAlign w:val="center"/>
          </w:tcPr>
          <w:p w14:paraId="0DF9EB32">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Times New Roman" w:hAnsi="Times New Roman" w:eastAsia="宋体" w:cs="Times New Roman"/>
                <w:kern w:val="2"/>
                <w:szCs w:val="22"/>
                <w:lang w:val="en-US" w:eastAsia="zh-CN" w:bidi="ar-SA"/>
              </w:rPr>
            </w:pPr>
            <w:r>
              <w:rPr>
                <w:rFonts w:hint="eastAsia" w:ascii="Times New Roman" w:hAnsi="Times New Roman" w:eastAsia="宋体" w:cs="Times New Roman"/>
                <w:kern w:val="2"/>
                <w:szCs w:val="22"/>
                <w:lang w:val="en-US" w:eastAsia="zh-CN" w:bidi="ar-SA"/>
              </w:rPr>
              <w:t>5</w:t>
            </w:r>
          </w:p>
        </w:tc>
        <w:tc>
          <w:tcPr>
            <w:tcW w:w="0" w:type="auto"/>
            <w:tcBorders>
              <w:top w:val="single" w:color="DDDDDD" w:sz="6" w:space="0"/>
              <w:left w:val="single" w:color="DDDDDD" w:sz="6" w:space="0"/>
              <w:bottom w:val="single" w:color="DDDDDD" w:sz="6" w:space="0"/>
              <w:right w:val="single" w:color="DDDDDD" w:sz="6" w:space="0"/>
            </w:tcBorders>
            <w:shd w:val="clear" w:color="auto" w:fill="auto"/>
            <w:tcMar>
              <w:top w:w="120" w:type="dxa"/>
              <w:left w:w="120" w:type="dxa"/>
              <w:bottom w:w="120" w:type="dxa"/>
              <w:right w:w="120" w:type="dxa"/>
            </w:tcMar>
            <w:vAlign w:val="center"/>
          </w:tcPr>
          <w:p w14:paraId="1D28C643">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Times New Roman" w:hAnsi="Times New Roman" w:eastAsia="宋体" w:cs="Times New Roman"/>
                <w:kern w:val="2"/>
                <w:szCs w:val="22"/>
                <w:lang w:bidi="ar-SA"/>
              </w:rPr>
            </w:pPr>
          </w:p>
        </w:tc>
        <w:tc>
          <w:tcPr>
            <w:tcW w:w="0" w:type="auto"/>
            <w:tcBorders>
              <w:top w:val="single" w:color="DDDDDD" w:sz="6" w:space="0"/>
              <w:left w:val="single" w:color="DDDDDD" w:sz="6" w:space="0"/>
              <w:bottom w:val="single" w:color="DDDDDD" w:sz="6" w:space="0"/>
              <w:right w:val="single" w:color="DDDDDD" w:sz="6" w:space="0"/>
            </w:tcBorders>
            <w:shd w:val="clear" w:color="auto" w:fill="auto"/>
            <w:tcMar>
              <w:top w:w="120" w:type="dxa"/>
              <w:left w:w="120" w:type="dxa"/>
              <w:bottom w:w="120" w:type="dxa"/>
              <w:right w:w="120" w:type="dxa"/>
            </w:tcMar>
            <w:vAlign w:val="center"/>
          </w:tcPr>
          <w:p w14:paraId="41008BA6">
            <w:pPr>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rPr>
                <w:rFonts w:hint="eastAsia" w:ascii="Times New Roman" w:hAnsi="Times New Roman" w:eastAsia="宋体" w:cs="Times New Roman"/>
                <w:kern w:val="2"/>
                <w:szCs w:val="22"/>
                <w:lang w:bidi="ar-SA"/>
              </w:rPr>
            </w:pPr>
            <w:r>
              <w:rPr>
                <w:rFonts w:hint="eastAsia" w:ascii="Times New Roman" w:hAnsi="Times New Roman" w:eastAsia="宋体" w:cs="Times New Roman"/>
                <w:kern w:val="2"/>
                <w:szCs w:val="22"/>
                <w:lang w:bidi="ar-SA"/>
              </w:rPr>
              <w:t>中核战略规划总院标准化所</w:t>
            </w:r>
          </w:p>
        </w:tc>
        <w:tc>
          <w:tcPr>
            <w:tcW w:w="0" w:type="auto"/>
            <w:tcBorders>
              <w:top w:val="single" w:color="DDDDDD" w:sz="6" w:space="0"/>
              <w:left w:val="single" w:color="DDDDDD" w:sz="6" w:space="0"/>
              <w:bottom w:val="single" w:color="DDDDDD" w:sz="6" w:space="0"/>
              <w:right w:val="single" w:color="DDDDDD" w:sz="6" w:space="0"/>
            </w:tcBorders>
            <w:shd w:val="clear" w:color="auto" w:fill="auto"/>
            <w:tcMar>
              <w:top w:w="120" w:type="dxa"/>
              <w:left w:w="120" w:type="dxa"/>
              <w:bottom w:w="120" w:type="dxa"/>
              <w:right w:w="120" w:type="dxa"/>
            </w:tcMar>
            <w:vAlign w:val="center"/>
          </w:tcPr>
          <w:p w14:paraId="5C03AF0C">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Times New Roman" w:hAnsi="Times New Roman" w:eastAsia="宋体" w:cs="Times New Roman"/>
                <w:kern w:val="2"/>
                <w:szCs w:val="22"/>
                <w:lang w:bidi="ar-SA"/>
              </w:rPr>
            </w:pPr>
          </w:p>
        </w:tc>
        <w:tc>
          <w:tcPr>
            <w:tcW w:w="0" w:type="auto"/>
            <w:tcBorders>
              <w:top w:val="single" w:color="DDDDDD" w:sz="6" w:space="0"/>
              <w:left w:val="single" w:color="DDDDDD" w:sz="6" w:space="0"/>
              <w:bottom w:val="single" w:color="DDDDDD" w:sz="6" w:space="0"/>
              <w:right w:val="single" w:color="DDDDDD" w:sz="6" w:space="0"/>
            </w:tcBorders>
            <w:shd w:val="clear" w:color="auto" w:fill="auto"/>
            <w:tcMar>
              <w:top w:w="120" w:type="dxa"/>
              <w:left w:w="120" w:type="dxa"/>
              <w:bottom w:w="120" w:type="dxa"/>
              <w:right w:w="120" w:type="dxa"/>
            </w:tcMar>
            <w:vAlign w:val="center"/>
          </w:tcPr>
          <w:p w14:paraId="04289BF3">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Times New Roman" w:hAnsi="Times New Roman" w:eastAsia="宋体" w:cs="Times New Roman"/>
                <w:kern w:val="2"/>
                <w:szCs w:val="22"/>
                <w:lang w:bidi="ar-SA"/>
              </w:rPr>
            </w:pPr>
            <w:r>
              <w:rPr>
                <w:rFonts w:hint="eastAsia" w:ascii="Times New Roman" w:hAnsi="Times New Roman" w:eastAsia="宋体" w:cs="Times New Roman"/>
                <w:kern w:val="2"/>
                <w:szCs w:val="22"/>
                <w:lang w:bidi="ar-SA"/>
              </w:rPr>
              <w:t>参与编制</w:t>
            </w:r>
          </w:p>
        </w:tc>
      </w:tr>
    </w:tbl>
    <w:p w14:paraId="384E7743">
      <w:pPr>
        <w:pStyle w:val="2"/>
        <w:bidi w:val="0"/>
      </w:pPr>
      <w:r>
        <w:t>编制过程</w:t>
      </w:r>
    </w:p>
    <w:p w14:paraId="4BBCC0AA">
      <w:pPr>
        <w:pStyle w:val="3"/>
        <w:bidi w:val="0"/>
      </w:pPr>
      <w:r>
        <w:t>3.1 总体过程</w:t>
      </w:r>
    </w:p>
    <w:p w14:paraId="40E71801">
      <w:pPr>
        <w:widowControl w:val="0"/>
        <w:spacing w:line="360" w:lineRule="auto"/>
        <w:ind w:firstLine="480" w:firstLineChars="200"/>
        <w:jc w:val="both"/>
        <w:rPr>
          <w:rFonts w:ascii="Times New Roman" w:hAnsi="Times New Roman" w:eastAsia="宋体" w:cs="Times New Roman"/>
          <w:kern w:val="0"/>
          <w:szCs w:val="22"/>
          <w:lang w:bidi="ar-SA"/>
        </w:rPr>
      </w:pPr>
      <w:r>
        <w:rPr>
          <w:rFonts w:hint="eastAsia" w:ascii="Times New Roman" w:hAnsi="Times New Roman" w:eastAsia="宋体" w:cs="Times New Roman"/>
          <w:kern w:val="0"/>
          <w:szCs w:val="22"/>
          <w:lang w:bidi="ar-SA"/>
        </w:rPr>
        <w:t>本标准的制定过程主要分为前期准备、初稿编写</w:t>
      </w:r>
      <w:r>
        <w:rPr>
          <w:rFonts w:hint="eastAsia" w:ascii="Times New Roman" w:hAnsi="Times New Roman" w:eastAsia="宋体" w:cs="Times New Roman"/>
          <w:kern w:val="0"/>
          <w:szCs w:val="22"/>
          <w:lang w:eastAsia="zh-CN" w:bidi="ar-SA"/>
        </w:rPr>
        <w:t>和</w:t>
      </w:r>
      <w:r>
        <w:rPr>
          <w:rFonts w:hint="eastAsia" w:ascii="Times New Roman" w:hAnsi="Times New Roman" w:eastAsia="宋体" w:cs="Times New Roman"/>
          <w:kern w:val="0"/>
          <w:szCs w:val="22"/>
          <w:lang w:bidi="ar-SA"/>
        </w:rPr>
        <w:t>征求意见稿编写阶段。</w:t>
      </w:r>
    </w:p>
    <w:p w14:paraId="7B6D3DF5">
      <w:pPr>
        <w:pStyle w:val="3"/>
        <w:bidi w:val="0"/>
      </w:pPr>
      <w:r>
        <w:t>3.2 前期准备（2024年12月-2025年3月）</w:t>
      </w:r>
    </w:p>
    <w:p w14:paraId="6547BFC0">
      <w:pPr>
        <w:pStyle w:val="8"/>
        <w:bidi w:val="0"/>
      </w:pPr>
      <w:r>
        <w:rPr>
          <w:rFonts w:hint="eastAsia"/>
        </w:rPr>
        <w:t>主要任务是成立标准编制小组，分解工作任务、文件收集和调研分析、明确标准编制的进度控制。</w:t>
      </w:r>
    </w:p>
    <w:p w14:paraId="7A01D9F1">
      <w:pPr>
        <w:pStyle w:val="8"/>
        <w:bidi w:val="0"/>
      </w:pPr>
      <w:r>
        <w:rPr>
          <w:rFonts w:hint="eastAsia"/>
        </w:rPr>
        <w:t>在前期准备阶段成立标准编制小组和明确工作任务后，首先消化吸收清华大学核能与新能源技术研究院、中核能源科技有限公司等单位在高温气冷堆燃耗测量系统设计、制造和调试过程中积累的实践经验；收集了国标（GB）和能源标准（NB）有关的检测、检验标准，并对上述所有标准进行了研究和分析，确立编制标准的构架以及技术内容。</w:t>
      </w:r>
    </w:p>
    <w:p w14:paraId="31D531D2">
      <w:pPr>
        <w:pStyle w:val="8"/>
        <w:bidi w:val="0"/>
      </w:pPr>
      <w:r>
        <w:rPr>
          <w:rFonts w:hint="eastAsia"/>
        </w:rPr>
        <w:t>根据核电标准体系研究的前期工作分析结果，确定了本标准编制的进度安排。</w:t>
      </w:r>
    </w:p>
    <w:p w14:paraId="15670A80">
      <w:pPr>
        <w:pStyle w:val="3"/>
        <w:bidi w:val="0"/>
      </w:pPr>
      <w:r>
        <w:t>3.3 初稿编写（2025年4月-2025年5月）</w:t>
      </w:r>
    </w:p>
    <w:p w14:paraId="305AAA72">
      <w:pPr>
        <w:pStyle w:val="8"/>
        <w:bidi w:val="0"/>
      </w:pPr>
      <w:r>
        <w:rPr>
          <w:rFonts w:hint="eastAsia"/>
        </w:rPr>
        <w:t>在上述调研分析的基础上同时结合国内高温气冷堆工程实际情况，起草了本标准的初稿，明确了燃耗测量系统的功能、组成、安全分级、设计原则和设计要求等核心内容。</w:t>
      </w:r>
    </w:p>
    <w:p w14:paraId="70B7CD3C">
      <w:pPr>
        <w:pStyle w:val="3"/>
        <w:bidi w:val="0"/>
      </w:pPr>
      <w:r>
        <w:t>3.4 征求意见稿编写（2025年6月）</w:t>
      </w:r>
    </w:p>
    <w:p w14:paraId="1BE0F1B7">
      <w:pPr>
        <w:pStyle w:val="8"/>
        <w:bidi w:val="0"/>
      </w:pPr>
      <w:r>
        <w:rPr>
          <w:rFonts w:hint="eastAsia"/>
        </w:rPr>
        <w:t>在初稿完成后，在具体章节编写过程中，主编单位向各参编单位征求了相关意见，对标准内容的定位和合理安排进行了讨论。主编单位内部对反馈意见进行多次反复讨论和修改，最终形成本标准征求意见稿。</w:t>
      </w:r>
    </w:p>
    <w:p w14:paraId="6A2F28EA">
      <w:pPr>
        <w:pStyle w:val="2"/>
        <w:bidi w:val="0"/>
      </w:pPr>
      <w:r>
        <w:t>相关标准现状分析</w:t>
      </w:r>
    </w:p>
    <w:p w14:paraId="6F55600A">
      <w:pPr>
        <w:pStyle w:val="3"/>
        <w:bidi w:val="0"/>
      </w:pPr>
      <w:r>
        <w:t>4.1 我国相关标准现状分析</w:t>
      </w:r>
    </w:p>
    <w:p w14:paraId="3DF816B8">
      <w:pPr>
        <w:pStyle w:val="8"/>
        <w:bidi w:val="0"/>
      </w:pPr>
      <w:r>
        <w:rPr>
          <w:rFonts w:hint="eastAsia"/>
        </w:rPr>
        <w:t>针对高温气冷堆燃耗测量系统，国内目前尚无专门的设计标准。仅《高温气冷堆核动力厂仪表系统设计准则》中对燃耗测量系统的设计给出过部分原则性要求，但缺乏针对燃耗测量系统功能、组成、设计原则和设计要求的详细指导。现有标准体系中，针对球床式高温气冷堆独有的燃耗测量系统设计缺乏专项规范，无法满足工程实践需求。</w:t>
      </w:r>
    </w:p>
    <w:p w14:paraId="1AD51488">
      <w:pPr>
        <w:pStyle w:val="3"/>
        <w:bidi w:val="0"/>
      </w:pPr>
      <w:r>
        <w:t>4.2 国外相关标准现状分析</w:t>
      </w:r>
    </w:p>
    <w:p w14:paraId="3E769B0B">
      <w:pPr>
        <w:pStyle w:val="8"/>
        <w:bidi w:val="0"/>
      </w:pPr>
      <w:r>
        <w:rPr>
          <w:rFonts w:hint="eastAsia"/>
        </w:rPr>
        <w:t>燃耗测量系统是球床模块式高温气冷堆所独有的工艺辅助系统，目前国际上并无针对该系统的相关标准。国外类似高温气冷堆项目中，燃耗测量系统的设计经验多以企业内部技术文件形式存在，未形成公开的标准化文件，无法为我国高温气冷堆产业推广提供直接参考。</w:t>
      </w:r>
    </w:p>
    <w:p w14:paraId="060996E0">
      <w:pPr>
        <w:pStyle w:val="2"/>
        <w:bidi w:val="0"/>
      </w:pPr>
      <w:r>
        <w:t>标准制修订背景</w:t>
      </w:r>
    </w:p>
    <w:p w14:paraId="1CCD9BFD">
      <w:pPr>
        <w:pStyle w:val="8"/>
        <w:bidi w:val="0"/>
      </w:pPr>
      <w:r>
        <w:rPr>
          <w:rFonts w:hint="eastAsia"/>
        </w:rPr>
        <w:t>随着华能山东石岛湾核电厂高温气冷堆示范工程（HTR-PM）的商运和后续机型设计、建造工作的开展，高温气冷堆已经基本具备产业推广的基础。在10MW高温气冷试验堆、高温气冷堆示范工程设计、建造、安装、调试和运行过程中，标准提出单位在高温气冷堆燃耗测量系统设计、制造和调试过程中积累了较为丰富的实践经验，应适时对其进行总结、提高，形成标准，为其产业推广提供基础。</w:t>
      </w:r>
    </w:p>
    <w:p w14:paraId="6753AF57">
      <w:pPr>
        <w:pStyle w:val="8"/>
        <w:bidi w:val="0"/>
      </w:pPr>
      <w:r>
        <w:rPr>
          <w:rFonts w:hint="eastAsia"/>
        </w:rPr>
        <w:t>燃耗测量系统是球床模块式高温气冷堆所独有的工艺辅助系统，需要在线对球形元件进行类别鉴别（石墨球与燃料球），对燃料球进行燃耗测量，识别乏燃料球，目前没有配套标准作为指导。针对燃耗测量系统的功能、组成、设计原则和设计要求等进行规范，可以促进燃耗测量系统设计的标准化，为高温气冷堆核动力厂的安全、经济运行提供技术支撑。</w:t>
      </w:r>
    </w:p>
    <w:p w14:paraId="620E9C33">
      <w:pPr>
        <w:pStyle w:val="2"/>
        <w:bidi w:val="0"/>
      </w:pPr>
      <w:r>
        <w:t>主要技术内容说明</w:t>
      </w:r>
    </w:p>
    <w:p w14:paraId="7357C358">
      <w:pPr>
        <w:pStyle w:val="8"/>
        <w:bidi w:val="0"/>
        <w:rPr>
          <w:rFonts w:hint="eastAsia" w:eastAsia="宋体"/>
          <w:lang w:eastAsia="zh-CN"/>
        </w:rPr>
      </w:pPr>
      <w:r>
        <w:rPr>
          <w:rFonts w:hint="eastAsia"/>
        </w:rPr>
        <w:t>下面按标准的条文顺序对标准内容进行说明</w:t>
      </w:r>
      <w:r>
        <w:rPr>
          <w:rFonts w:hint="eastAsia"/>
          <w:lang w:eastAsia="zh-CN"/>
        </w:rPr>
        <w:t>。</w:t>
      </w:r>
    </w:p>
    <w:p w14:paraId="18808352">
      <w:pPr>
        <w:pStyle w:val="3"/>
        <w:bidi w:val="0"/>
      </w:pPr>
      <w:r>
        <w:t>6.1 标准结构范围</w:t>
      </w:r>
    </w:p>
    <w:p w14:paraId="728E2A60">
      <w:pPr>
        <w:pStyle w:val="8"/>
        <w:bidi w:val="0"/>
      </w:pPr>
      <w:r>
        <w:rPr>
          <w:rFonts w:hint="eastAsia"/>
        </w:rPr>
        <w:t>本标准主要由范围、规范性引用文件、术语和定义、系统功能、系统构成、安全分级、设计原则、设计要求等部分组成，形成对高温气冷堆燃耗测量系统设计的完整规范体系。</w:t>
      </w:r>
    </w:p>
    <w:p w14:paraId="5CF69B16">
      <w:pPr>
        <w:pStyle w:val="3"/>
        <w:bidi w:val="0"/>
      </w:pPr>
      <w:r>
        <w:t>6.2 范围</w:t>
      </w:r>
    </w:p>
    <w:p w14:paraId="2DBD0AC7">
      <w:pPr>
        <w:pStyle w:val="8"/>
        <w:bidi w:val="0"/>
      </w:pPr>
      <w:r>
        <w:rPr>
          <w:rFonts w:hint="eastAsia"/>
        </w:rPr>
        <w:t>本标准规定了球床式高温气冷堆核动力厂燃耗测量系统设计准则，包括系统功能、系统组成、安全分级、设计原则和设计要求，适用于高温气冷堆核动力厂燃耗测量系统设计。</w:t>
      </w:r>
    </w:p>
    <w:p w14:paraId="455F2425">
      <w:pPr>
        <w:pStyle w:val="3"/>
        <w:bidi w:val="0"/>
      </w:pPr>
      <w:r>
        <w:t>6.3 规范性引用文件</w:t>
      </w:r>
    </w:p>
    <w:p w14:paraId="73D69619">
      <w:pPr>
        <w:pStyle w:val="8"/>
        <w:bidi w:val="0"/>
      </w:pPr>
      <w:r>
        <w:rPr>
          <w:rFonts w:hint="eastAsia"/>
        </w:rPr>
        <w:t>引用了GB/T 11684《核仪器电磁环境条件与试验方法》和GB/T 8993《核仪器环境条件与试验方法》，为燃耗测量系统的环境适应性和电磁兼容性设计提供依据。</w:t>
      </w:r>
    </w:p>
    <w:p w14:paraId="2C678A60">
      <w:pPr>
        <w:pStyle w:val="3"/>
        <w:bidi w:val="0"/>
      </w:pPr>
      <w:r>
        <w:t>6.4 术语和定义</w:t>
      </w:r>
    </w:p>
    <w:p w14:paraId="0A869981">
      <w:pPr>
        <w:pStyle w:val="8"/>
        <w:bidi w:val="0"/>
        <w:rPr>
          <w:rFonts w:hint="eastAsia"/>
        </w:rPr>
      </w:pPr>
      <w:r>
        <w:rPr>
          <w:rFonts w:hint="eastAsia"/>
        </w:rPr>
        <w:t>对燃耗深度、燃料球、石墨球、乏燃料球、富集度、能量分辨率等关键术语进行了定义，明确了标准适用的专业术语体系，便于使用者准确理解和应用。</w:t>
      </w:r>
    </w:p>
    <w:p w14:paraId="5D794DA5">
      <w:pPr>
        <w:pStyle w:val="8"/>
        <w:bidi w:val="0"/>
        <w:rPr>
          <w:rFonts w:hint="default" w:eastAsia="宋体"/>
          <w:lang w:val="en-US" w:eastAsia="zh-CN"/>
        </w:rPr>
      </w:pPr>
      <w:r>
        <w:rPr>
          <w:rFonts w:hint="eastAsia"/>
          <w:lang w:eastAsia="zh-CN"/>
        </w:rPr>
        <w:t>上述术语的定义主要参考了</w:t>
      </w:r>
      <w:r>
        <w:rPr>
          <w:rFonts w:hint="eastAsia"/>
          <w:lang w:val="en-US" w:eastAsia="zh-CN"/>
        </w:rPr>
        <w:t>GB</w:t>
      </w:r>
      <w:r>
        <w:rPr>
          <w:rFonts w:hint="default"/>
          <w:lang w:val="en-US" w:eastAsia="zh-CN"/>
        </w:rPr>
        <w:t>/T</w:t>
      </w:r>
      <w:r>
        <w:rPr>
          <w:rFonts w:hint="eastAsia"/>
          <w:lang w:eastAsia="zh-CN"/>
        </w:rPr>
        <w:t xml:space="preserve"> </w:t>
      </w:r>
      <w:r>
        <w:rPr>
          <w:rFonts w:hint="default"/>
          <w:lang w:val="en-US" w:eastAsia="zh-CN"/>
        </w:rPr>
        <w:t>4960</w:t>
      </w:r>
      <w:r>
        <w:rPr>
          <w:rFonts w:hint="eastAsia"/>
          <w:lang w:val="en-US" w:eastAsia="zh-CN"/>
        </w:rPr>
        <w:t>系列标准。</w:t>
      </w:r>
    </w:p>
    <w:p w14:paraId="17C57BC1">
      <w:pPr>
        <w:pStyle w:val="3"/>
        <w:bidi w:val="0"/>
      </w:pPr>
      <w:r>
        <w:t>6.5 系统功能</w:t>
      </w:r>
    </w:p>
    <w:p w14:paraId="6C50A466">
      <w:pPr>
        <w:pStyle w:val="8"/>
        <w:bidi w:val="0"/>
      </w:pPr>
      <w:r>
        <w:rPr>
          <w:rFonts w:hint="eastAsia"/>
          <w:lang w:val="en-US" w:eastAsia="zh-CN"/>
        </w:rPr>
        <w:t>本节定义了系统主要功能，包含主要功能和辅助功能。</w:t>
      </w:r>
    </w:p>
    <w:p w14:paraId="16E760F6">
      <w:pPr>
        <w:pStyle w:val="9"/>
        <w:numPr>
          <w:ilvl w:val="0"/>
          <w:numId w:val="2"/>
        </w:numPr>
        <w:bidi w:val="0"/>
        <w:rPr>
          <w:rFonts w:hint="eastAsia"/>
        </w:rPr>
      </w:pPr>
      <w:r>
        <w:rPr>
          <w:rFonts w:hint="eastAsia"/>
        </w:rPr>
        <w:t>主要功能：鉴别石墨球和燃料球；测量燃料球燃耗深度，识别乏燃料球。</w:t>
      </w:r>
    </w:p>
    <w:p w14:paraId="1155C700">
      <w:pPr>
        <w:pStyle w:val="9"/>
        <w:numPr>
          <w:ilvl w:val="0"/>
          <w:numId w:val="2"/>
        </w:numPr>
        <w:bidi w:val="0"/>
        <w:rPr>
          <w:rFonts w:hint="eastAsia"/>
        </w:rPr>
      </w:pPr>
      <w:r>
        <w:rPr>
          <w:rFonts w:hint="eastAsia"/>
        </w:rPr>
        <w:t>辅助功能：辅助完成初装堆及过渡过程中不同富集度燃料球的鉴别；乏燃料球与石墨球分检鉴别。</w:t>
      </w:r>
    </w:p>
    <w:p w14:paraId="23D408E6">
      <w:pPr>
        <w:pStyle w:val="3"/>
        <w:bidi w:val="0"/>
      </w:pPr>
      <w:r>
        <w:t>6.6 系统构成</w:t>
      </w:r>
    </w:p>
    <w:p w14:paraId="5843C6E5">
      <w:pPr>
        <w:pStyle w:val="8"/>
        <w:bidi w:val="0"/>
        <w:rPr>
          <w:rFonts w:hint="eastAsia" w:eastAsia="宋体"/>
          <w:lang w:eastAsia="zh-CN"/>
        </w:rPr>
      </w:pPr>
      <w:r>
        <w:rPr>
          <w:rFonts w:hint="eastAsia"/>
          <w:lang w:eastAsia="zh-CN"/>
        </w:rPr>
        <w:t>本节根据设计实践给出了</w:t>
      </w:r>
      <w:r>
        <w:rPr>
          <w:rFonts w:hint="eastAsia"/>
        </w:rPr>
        <w:t>燃耗测量系统</w:t>
      </w:r>
      <w:r>
        <w:rPr>
          <w:rFonts w:hint="eastAsia"/>
          <w:lang w:eastAsia="zh-CN"/>
        </w:rPr>
        <w:t>总体配置和要求和各子模块（子系统）的构成及功能描述。</w:t>
      </w:r>
      <w:bookmarkStart w:id="0" w:name="_GoBack"/>
      <w:bookmarkEnd w:id="0"/>
    </w:p>
    <w:p w14:paraId="4F4874C9">
      <w:pPr>
        <w:pStyle w:val="3"/>
        <w:bidi w:val="0"/>
      </w:pPr>
      <w:r>
        <w:t>6.7 安全分级</w:t>
      </w:r>
    </w:p>
    <w:p w14:paraId="41BC8832">
      <w:pPr>
        <w:pStyle w:val="8"/>
        <w:bidi w:val="0"/>
      </w:pPr>
      <w:r>
        <w:rPr>
          <w:rFonts w:hint="eastAsia"/>
        </w:rPr>
        <w:t>明确燃耗测量系统各装置和子系统及其所属设备均属非安全级、常规抗震类和常规质保等级，为系统设计的安全边界提供依据。</w:t>
      </w:r>
    </w:p>
    <w:p w14:paraId="507432CA">
      <w:pPr>
        <w:pStyle w:val="3"/>
        <w:bidi w:val="0"/>
      </w:pPr>
      <w:r>
        <w:t>6.8 设计原则</w:t>
      </w:r>
    </w:p>
    <w:p w14:paraId="1B163F0C">
      <w:pPr>
        <w:pStyle w:val="8"/>
        <w:bidi w:val="0"/>
        <w:rPr>
          <w:rFonts w:hint="eastAsia"/>
          <w:lang w:eastAsia="zh-CN"/>
        </w:rPr>
      </w:pPr>
      <w:r>
        <w:rPr>
          <w:rFonts w:hint="eastAsia"/>
          <w:lang w:eastAsia="zh-CN"/>
        </w:rPr>
        <w:t>分别针对燃耗测量装置、元件分检装置和远程控制子系统指出了实现其功能的基本方法、关键设计特征与参数分析方法和核心参数要求，作为系统级别的设计原则。</w:t>
      </w:r>
    </w:p>
    <w:p w14:paraId="63AEBA88">
      <w:pPr>
        <w:pStyle w:val="3"/>
        <w:bidi w:val="0"/>
      </w:pPr>
      <w:r>
        <w:t>6.9 设计要求</w:t>
      </w:r>
    </w:p>
    <w:p w14:paraId="6A24ACE5">
      <w:pPr>
        <w:pStyle w:val="8"/>
        <w:bidi w:val="0"/>
      </w:pPr>
      <w:r>
        <w:rPr>
          <w:rFonts w:hint="eastAsia"/>
        </w:rPr>
        <w:t>对燃耗测量装置、元件分检装置和通用接口等提出具体技术要求，包括：</w:t>
      </w:r>
    </w:p>
    <w:p w14:paraId="4853044D">
      <w:pPr>
        <w:pStyle w:val="9"/>
        <w:numPr>
          <w:ilvl w:val="0"/>
          <w:numId w:val="2"/>
        </w:numPr>
        <w:bidi w:val="0"/>
      </w:pPr>
      <w:r>
        <w:rPr>
          <w:rFonts w:hint="eastAsia"/>
        </w:rPr>
        <w:t>高纯锗γ谱仪子系统的相对效率、能量分辨率、计数率等技术指标；</w:t>
      </w:r>
    </w:p>
    <w:p w14:paraId="2901A93A">
      <w:pPr>
        <w:pStyle w:val="9"/>
        <w:numPr>
          <w:ilvl w:val="0"/>
          <w:numId w:val="2"/>
        </w:numPr>
        <w:bidi w:val="0"/>
      </w:pPr>
      <w:r>
        <w:rPr>
          <w:rFonts w:hint="eastAsia"/>
        </w:rPr>
        <w:t>刻度子系统、屏蔽系统的设计要求；</w:t>
      </w:r>
    </w:p>
    <w:p w14:paraId="70AABF82">
      <w:pPr>
        <w:pStyle w:val="9"/>
        <w:numPr>
          <w:ilvl w:val="0"/>
          <w:numId w:val="2"/>
        </w:numPr>
        <w:bidi w:val="0"/>
      </w:pPr>
      <w:r>
        <w:rPr>
          <w:rFonts w:hint="eastAsia"/>
        </w:rPr>
        <w:t>前端探测器、计数率仪的选型与性能要求；</w:t>
      </w:r>
    </w:p>
    <w:p w14:paraId="42AC2974">
      <w:pPr>
        <w:pStyle w:val="9"/>
        <w:numPr>
          <w:ilvl w:val="0"/>
          <w:numId w:val="2"/>
        </w:numPr>
        <w:bidi w:val="0"/>
      </w:pPr>
      <w:r>
        <w:rPr>
          <w:rFonts w:hint="eastAsia"/>
        </w:rPr>
        <w:t>土建、机械、电气、控制等接口设计要求；</w:t>
      </w:r>
    </w:p>
    <w:p w14:paraId="04265D65">
      <w:pPr>
        <w:pStyle w:val="9"/>
        <w:numPr>
          <w:ilvl w:val="0"/>
          <w:numId w:val="2"/>
        </w:numPr>
        <w:bidi w:val="0"/>
      </w:pPr>
      <w:r>
        <w:rPr>
          <w:rFonts w:hint="eastAsia"/>
        </w:rPr>
        <w:t>电缆、电磁兼容</w:t>
      </w:r>
      <w:r>
        <w:rPr>
          <w:rFonts w:hint="eastAsia"/>
          <w:lang w:eastAsia="zh-CN"/>
        </w:rPr>
        <w:t>、环境适应性和</w:t>
      </w:r>
      <w:r>
        <w:rPr>
          <w:rFonts w:hint="eastAsia"/>
        </w:rPr>
        <w:t>接地等通用技术要求。</w:t>
      </w:r>
    </w:p>
    <w:p w14:paraId="549BC6BA">
      <w:pPr>
        <w:pStyle w:val="2"/>
        <w:bidi w:val="0"/>
      </w:pPr>
      <w:r>
        <w:t>重大问题的处理经过和依据</w:t>
      </w:r>
    </w:p>
    <w:p w14:paraId="5D746EDC">
      <w:pPr>
        <w:pStyle w:val="8"/>
        <w:bidi w:val="0"/>
      </w:pPr>
      <w:r>
        <w:rPr>
          <w:rFonts w:hint="eastAsia"/>
        </w:rPr>
        <w:t>本标准编制过程中无重大技术问题需要处理。</w:t>
      </w:r>
    </w:p>
    <w:p w14:paraId="10A0FC9F">
      <w:pPr>
        <w:pStyle w:val="2"/>
        <w:bidi w:val="0"/>
      </w:pPr>
      <w:r>
        <w:t>参考资料清单</w:t>
      </w:r>
    </w:p>
    <w:p w14:paraId="2E488F20">
      <w:pPr>
        <w:pStyle w:val="9"/>
        <w:numPr>
          <w:ilvl w:val="0"/>
          <w:numId w:val="3"/>
        </w:numPr>
        <w:bidi w:val="0"/>
      </w:pPr>
      <w:r>
        <w:rPr>
          <w:rFonts w:hint="eastAsia"/>
          <w:lang w:val="en-US" w:eastAsia="zh-CN"/>
        </w:rPr>
        <w:t xml:space="preserve">GB/T 4960系列 </w:t>
      </w:r>
      <w:r>
        <w:rPr>
          <w:rFonts w:hint="eastAsia"/>
        </w:rPr>
        <w:t>核科学技术术语</w:t>
      </w:r>
    </w:p>
    <w:p w14:paraId="1FC108C3">
      <w:pPr>
        <w:pStyle w:val="9"/>
        <w:numPr>
          <w:ilvl w:val="0"/>
          <w:numId w:val="3"/>
        </w:numPr>
        <w:bidi w:val="0"/>
      </w:pPr>
      <w:r>
        <w:rPr>
          <w:rFonts w:hint="eastAsia"/>
        </w:rPr>
        <w:t>GB/T 11684-20</w:t>
      </w:r>
      <w:r>
        <w:rPr>
          <w:rFonts w:hint="eastAsia"/>
          <w:lang w:val="en-US" w:eastAsia="zh-CN"/>
        </w:rPr>
        <w:t>03</w:t>
      </w:r>
      <w:r>
        <w:rPr>
          <w:rFonts w:hint="eastAsia"/>
        </w:rPr>
        <w:t xml:space="preserve"> 核仪器电磁环境条件与试验方法</w:t>
      </w:r>
    </w:p>
    <w:p w14:paraId="1FB6EA7E">
      <w:pPr>
        <w:pStyle w:val="9"/>
        <w:numPr>
          <w:ilvl w:val="0"/>
          <w:numId w:val="3"/>
        </w:numPr>
        <w:bidi w:val="0"/>
      </w:pPr>
      <w:r>
        <w:rPr>
          <w:rFonts w:hint="eastAsia"/>
        </w:rPr>
        <w:t>GB/T 8993-</w:t>
      </w:r>
      <w:r>
        <w:rPr>
          <w:rFonts w:hint="eastAsia"/>
          <w:lang w:val="en-US" w:eastAsia="zh-CN"/>
        </w:rPr>
        <w:t>1998</w:t>
      </w:r>
      <w:r>
        <w:rPr>
          <w:rFonts w:hint="eastAsia"/>
        </w:rPr>
        <w:t xml:space="preserve"> 核仪器环境条件与试验方法</w:t>
      </w:r>
    </w:p>
    <w:p w14:paraId="1B1A344A">
      <w:pPr>
        <w:pStyle w:val="9"/>
        <w:numPr>
          <w:ilvl w:val="0"/>
          <w:numId w:val="3"/>
        </w:numPr>
        <w:bidi w:val="0"/>
      </w:pPr>
      <w:r>
        <w:rPr>
          <w:rFonts w:hint="eastAsia"/>
        </w:rPr>
        <w:t>T/CNS 41-2020</w:t>
      </w:r>
      <w:r>
        <w:rPr>
          <w:rFonts w:hint="eastAsia"/>
          <w:lang w:val="en-US" w:eastAsia="zh-CN"/>
        </w:rPr>
        <w:t xml:space="preserve"> </w:t>
      </w:r>
      <w:r>
        <w:rPr>
          <w:rFonts w:hint="eastAsia"/>
        </w:rPr>
        <w:t>高温气冷堆核动力厂仪表系统设计准则</w:t>
      </w:r>
    </w:p>
    <w:p w14:paraId="04BDB497">
      <w:pPr>
        <w:pStyle w:val="2"/>
        <w:bidi w:val="0"/>
      </w:pPr>
      <w:r>
        <w:t>其他需要说明事项</w:t>
      </w:r>
    </w:p>
    <w:p w14:paraId="48C6849D">
      <w:pPr>
        <w:pStyle w:val="8"/>
        <w:bidi w:val="0"/>
      </w:pPr>
      <w:r>
        <w:rPr>
          <w:rFonts w:hint="eastAsia"/>
        </w:rPr>
        <w:t>无。</w:t>
      </w:r>
    </w:p>
    <w:sectPr>
      <w:pgSz w:w="11906" w:h="16839"/>
      <w:pgMar w:top="1440" w:right="1800" w:bottom="1440" w:left="1800" w:header="851" w:footer="992" w:gutter="0"/>
      <w:pgBorders w:offsetFrom="page">
        <w:top w:val="none" w:sz="0" w:space="0"/>
        <w:left w:val="none" w:sz="0" w:space="0"/>
        <w:bottom w:val="none" w:sz="0" w:space="0"/>
        <w:right w:val="none" w:sz="0" w:space="0"/>
      </w:pgBorders>
      <w:cols w:space="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DCE3167"/>
    <w:multiLevelType w:val="singleLevel"/>
    <w:tmpl w:val="DDCE3167"/>
    <w:lvl w:ilvl="0" w:tentative="0">
      <w:start w:val="1"/>
      <w:numFmt w:val="decimal"/>
      <w:lvlText w:val="(%1)"/>
      <w:lvlJc w:val="left"/>
      <w:pPr>
        <w:ind w:left="425" w:hanging="425"/>
      </w:pPr>
      <w:rPr>
        <w:rFonts w:hint="default"/>
      </w:rPr>
    </w:lvl>
  </w:abstractNum>
  <w:abstractNum w:abstractNumId="1">
    <w:nsid w:val="2D4E3D38"/>
    <w:multiLevelType w:val="multilevel"/>
    <w:tmpl w:val="2D4E3D38"/>
    <w:lvl w:ilvl="0" w:tentative="0">
      <w:start w:val="1"/>
      <w:numFmt w:val="japaneseCounting"/>
      <w:pStyle w:val="2"/>
      <w:lvlText w:val="%1、"/>
      <w:lvlJc w:val="left"/>
      <w:pPr>
        <w:tabs>
          <w:tab w:val="left" w:pos="720"/>
        </w:tabs>
        <w:ind w:left="720" w:hanging="720"/>
      </w:pPr>
      <w:rPr>
        <w:rFonts w:hint="default"/>
        <w:lang w:val="en-US"/>
      </w:rPr>
    </w:lvl>
    <w:lvl w:ilvl="1" w:tentative="0">
      <w:start w:val="1"/>
      <w:numFmt w:val="decimal"/>
      <w:lvlText w:val="%2."/>
      <w:lvlJc w:val="left"/>
      <w:pPr>
        <w:tabs>
          <w:tab w:val="left" w:pos="840"/>
        </w:tabs>
        <w:ind w:left="840" w:hanging="420"/>
      </w:pPr>
      <w:rPr>
        <w:rFonts w:hint="default"/>
      </w:rPr>
    </w:lvl>
    <w:lvl w:ilvl="2" w:tentative="0">
      <w:start w:val="1"/>
      <w:numFmt w:val="decimal"/>
      <w:lvlText w:val="%3、"/>
      <w:lvlJc w:val="left"/>
      <w:pPr>
        <w:ind w:left="1200" w:hanging="360"/>
      </w:pPr>
      <w:rPr>
        <w:rFonts w:hint="default"/>
      </w:rPr>
    </w:lvl>
    <w:lvl w:ilvl="3" w:tentative="0">
      <w:start w:val="1"/>
      <w:numFmt w:val="decimal"/>
      <w:lvlText w:val="%4."/>
      <w:lvlJc w:val="left"/>
      <w:pPr>
        <w:tabs>
          <w:tab w:val="left" w:pos="1680"/>
        </w:tabs>
        <w:ind w:left="1680" w:hanging="420"/>
      </w:pPr>
      <w:rPr>
        <w:rFonts w:hint="default"/>
      </w:r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575AB933"/>
    <w:multiLevelType w:val="singleLevel"/>
    <w:tmpl w:val="575AB933"/>
    <w:lvl w:ilvl="0" w:tentative="0">
      <w:start w:val="1"/>
      <w:numFmt w:val="decimal"/>
      <w:lvlText w:val="(%1)"/>
      <w:lvlJc w:val="left"/>
      <w:pPr>
        <w:ind w:left="425" w:hanging="425"/>
      </w:pPr>
      <w:rPr>
        <w:rFont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30"/>
  <w:bordersDoNotSurroundHeader w:val="0"/>
  <w:bordersDoNotSurroundFooter w:val="0"/>
  <w:documentProtection w:enforcement="0"/>
  <w:defaultTabStop w:val="420"/>
  <w:displayHorizontalDrawingGridEvery w:val="1"/>
  <w:displayVerticalDrawingGridEvery w:val="1"/>
  <w:noPunctuationKerning w:val="1"/>
  <w:characterSpacingControl w:val="doNotCompress"/>
  <w:compat>
    <w:doNotBreakWrappedTables/>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FFF6504"/>
    <w:rsid w:val="2DFE1B03"/>
    <w:rsid w:val="2FBF030C"/>
    <w:rsid w:val="3FBF9656"/>
    <w:rsid w:val="48FFF9E6"/>
    <w:rsid w:val="4FFE60DD"/>
    <w:rsid w:val="5F55C645"/>
    <w:rsid w:val="5FEE01E6"/>
    <w:rsid w:val="5FF7871C"/>
    <w:rsid w:val="67FD995B"/>
    <w:rsid w:val="67FFBE63"/>
    <w:rsid w:val="67FFEA4D"/>
    <w:rsid w:val="737F7A78"/>
    <w:rsid w:val="73ED9BFB"/>
    <w:rsid w:val="7779AF93"/>
    <w:rsid w:val="77EEA381"/>
    <w:rsid w:val="77F6F151"/>
    <w:rsid w:val="7ADF9CE7"/>
    <w:rsid w:val="7EFDDEA7"/>
    <w:rsid w:val="7F6F32FA"/>
    <w:rsid w:val="95D01329"/>
    <w:rsid w:val="ADEF6E62"/>
    <w:rsid w:val="BFEB448E"/>
    <w:rsid w:val="C6FE807D"/>
    <w:rsid w:val="DAFD2307"/>
    <w:rsid w:val="DFFF05E8"/>
    <w:rsid w:val="EAB731FF"/>
    <w:rsid w:val="EAE704A8"/>
    <w:rsid w:val="EF7FC017"/>
    <w:rsid w:val="F9FB0A32"/>
    <w:rsid w:val="FB7FD26D"/>
    <w:rsid w:val="FBEEB90B"/>
    <w:rsid w:val="FE7FB4E8"/>
    <w:rsid w:val="FEEE4B09"/>
    <w:rsid w:val="FF96B46E"/>
    <w:rsid w:val="FFDE7F65"/>
    <w:rsid w:val="FFFB724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left"/>
    </w:pPr>
    <w:rPr>
      <w:rFonts w:asciiTheme="minorEastAsia" w:hAnsiTheme="minorEastAsia" w:eastAsiaTheme="minorEastAsia" w:cstheme="minorEastAsia"/>
      <w:kern w:val="0"/>
      <w:sz w:val="24"/>
      <w:szCs w:val="24"/>
      <w:lang w:val="en-US" w:eastAsia="zh-CN" w:bidi="ar"/>
    </w:rPr>
  </w:style>
  <w:style w:type="paragraph" w:styleId="2">
    <w:name w:val="heading 1"/>
    <w:basedOn w:val="1"/>
    <w:next w:val="1"/>
    <w:qFormat/>
    <w:uiPriority w:val="0"/>
    <w:pPr>
      <w:widowControl w:val="0"/>
      <w:numPr>
        <w:ilvl w:val="0"/>
        <w:numId w:val="1"/>
      </w:numPr>
      <w:spacing w:line="360" w:lineRule="auto"/>
      <w:ind w:left="720" w:hanging="720"/>
      <w:jc w:val="both"/>
      <w:outlineLvl w:val="0"/>
    </w:pPr>
    <w:rPr>
      <w:rFonts w:ascii="Times New Roman" w:hAnsi="Times New Roman" w:eastAsia="黑体" w:cs="Times New Roman"/>
      <w:kern w:val="2"/>
      <w:sz w:val="28"/>
      <w:szCs w:val="28"/>
      <w:lang w:bidi="ar-SA"/>
    </w:rPr>
  </w:style>
  <w:style w:type="paragraph" w:styleId="3">
    <w:name w:val="heading 2"/>
    <w:basedOn w:val="1"/>
    <w:next w:val="1"/>
    <w:unhideWhenUsed/>
    <w:qFormat/>
    <w:uiPriority w:val="0"/>
    <w:pPr>
      <w:widowControl w:val="0"/>
      <w:spacing w:line="360" w:lineRule="auto"/>
      <w:jc w:val="both"/>
      <w:outlineLvl w:val="1"/>
    </w:pPr>
    <w:rPr>
      <w:rFonts w:ascii="Times New Roman" w:hAnsi="Times New Roman" w:eastAsia="宋体" w:cs="Times New Roman"/>
      <w:b/>
      <w:bCs/>
      <w:kern w:val="2"/>
      <w:lang w:bidi="ar-SA"/>
    </w:rPr>
  </w:style>
  <w:style w:type="paragraph" w:styleId="4">
    <w:name w:val="heading 3"/>
    <w:basedOn w:val="1"/>
    <w:next w:val="1"/>
    <w:semiHidden/>
    <w:unhideWhenUsed/>
    <w:qFormat/>
    <w:uiPriority w:val="0"/>
    <w:pPr>
      <w:spacing w:before="300" w:beforeAutospacing="0" w:after="0" w:afterAutospacing="1"/>
      <w:jc w:val="left"/>
    </w:pPr>
    <w:rPr>
      <w:rFonts w:hint="eastAsia" w:ascii="宋体" w:hAnsi="宋体" w:eastAsia="宋体" w:cs="宋体"/>
      <w:b/>
      <w:bCs/>
      <w:color w:val="0077AA"/>
      <w:kern w:val="0"/>
      <w:sz w:val="27"/>
      <w:szCs w:val="27"/>
      <w:lang w:val="en-US" w:eastAsia="zh-CN" w:bidi="ar"/>
    </w:rPr>
  </w:style>
  <w:style w:type="paragraph" w:styleId="5">
    <w:name w:val="heading 4"/>
    <w:basedOn w:val="1"/>
    <w:next w:val="1"/>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paragraph" w:styleId="6">
    <w:name w:val="heading 5"/>
    <w:basedOn w:val="1"/>
    <w:next w:val="1"/>
    <w:semiHidden/>
    <w:unhideWhenUsed/>
    <w:qFormat/>
    <w:uiPriority w:val="0"/>
    <w:pPr>
      <w:spacing w:before="0" w:beforeAutospacing="1" w:after="0" w:afterAutospacing="1"/>
      <w:jc w:val="left"/>
    </w:pPr>
    <w:rPr>
      <w:rFonts w:hint="eastAsia" w:ascii="宋体" w:hAnsi="宋体" w:eastAsia="宋体" w:cs="宋体"/>
      <w:b/>
      <w:bCs/>
      <w:kern w:val="0"/>
      <w:sz w:val="20"/>
      <w:szCs w:val="20"/>
      <w:lang w:val="en-US" w:eastAsia="zh-CN" w:bidi="ar"/>
    </w:rPr>
  </w:style>
  <w:style w:type="paragraph" w:styleId="7">
    <w:name w:val="heading 6"/>
    <w:basedOn w:val="1"/>
    <w:next w:val="1"/>
    <w:semiHidden/>
    <w:unhideWhenUsed/>
    <w:qFormat/>
    <w:uiPriority w:val="0"/>
    <w:pPr>
      <w:spacing w:before="0" w:beforeAutospacing="1" w:after="0" w:afterAutospacing="1"/>
      <w:jc w:val="left"/>
    </w:pPr>
    <w:rPr>
      <w:rFonts w:hint="eastAsia" w:ascii="宋体" w:hAnsi="宋体" w:eastAsia="宋体" w:cs="宋体"/>
      <w:b/>
      <w:bCs/>
      <w:kern w:val="0"/>
      <w:sz w:val="15"/>
      <w:szCs w:val="15"/>
      <w:lang w:val="en-US" w:eastAsia="zh-CN" w:bidi="ar"/>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8">
    <w:name w:val="Normal Indent"/>
    <w:basedOn w:val="1"/>
    <w:qFormat/>
    <w:uiPriority w:val="0"/>
    <w:pPr>
      <w:widowControl w:val="0"/>
      <w:spacing w:line="360" w:lineRule="auto"/>
      <w:ind w:firstLine="480" w:firstLineChars="200"/>
      <w:jc w:val="both"/>
    </w:pPr>
    <w:rPr>
      <w:rFonts w:ascii="Times New Roman" w:hAnsi="Times New Roman" w:eastAsia="宋体" w:cs="Times New Roman"/>
      <w:szCs w:val="22"/>
      <w:lang w:bidi="ar-SA"/>
    </w:rPr>
  </w:style>
  <w:style w:type="paragraph" w:styleId="9">
    <w:name w:val="List"/>
    <w:basedOn w:val="1"/>
    <w:qFormat/>
    <w:uiPriority w:val="0"/>
    <w:pPr>
      <w:spacing w:line="360" w:lineRule="auto"/>
      <w:ind w:left="1022" w:leftChars="200" w:hanging="200" w:hangingChars="200"/>
    </w:pPr>
  </w:style>
  <w:style w:type="paragraph" w:styleId="10">
    <w:name w:val="Normal (Web)"/>
    <w:basedOn w:val="1"/>
    <w:qFormat/>
    <w:uiPriority w:val="0"/>
    <w:pPr>
      <w:spacing w:before="0" w:beforeAutospacing="1" w:after="225" w:afterAutospacing="0" w:line="24" w:lineRule="atLeast"/>
      <w:ind w:left="0" w:right="0"/>
      <w:jc w:val="left"/>
    </w:pPr>
    <w:rPr>
      <w:kern w:val="0"/>
      <w:sz w:val="24"/>
      <w:lang w:val="en-US" w:eastAsia="zh-CN" w:bidi="ar"/>
    </w:rPr>
  </w:style>
  <w:style w:type="character" w:styleId="13">
    <w:name w:val="Strong"/>
    <w:basedOn w:val="12"/>
    <w:qFormat/>
    <w:uiPriority w:val="0"/>
    <w:rPr>
      <w:b/>
    </w:rPr>
  </w:style>
  <w:style w:type="paragraph" w:customStyle="1" w:styleId="14">
    <w:name w:val="note"/>
    <w:basedOn w:val="1"/>
    <w:qFormat/>
    <w:uiPriority w:val="0"/>
    <w:pPr>
      <w:spacing w:before="150" w:beforeAutospacing="0"/>
      <w:jc w:val="left"/>
    </w:pPr>
    <w:rPr>
      <w:i/>
      <w:iCs/>
      <w:color w:val="666666"/>
      <w:kern w:val="0"/>
      <w:lang w:val="en-US" w:eastAsia="zh-CN" w:bidi="ar"/>
    </w:rPr>
  </w:style>
  <w:style w:type="paragraph" w:customStyle="1" w:styleId="15">
    <w:name w:val="section"/>
    <w:basedOn w:val="1"/>
    <w:qFormat/>
    <w:uiPriority w:val="0"/>
    <w:pPr>
      <w:spacing w:after="450" w:afterAutospacing="0"/>
      <w:jc w:val="left"/>
    </w:pPr>
    <w:rPr>
      <w:kern w:val="0"/>
      <w:lang w:val="en-US" w:eastAsia="zh-CN" w:bidi="ar"/>
    </w:rPr>
  </w:style>
  <w:style w:type="paragraph" w:customStyle="1" w:styleId="16">
    <w:name w:val="封面标准名称"/>
    <w:qFormat/>
    <w:uiPriority w:val="0"/>
    <w:pPr>
      <w:framePr w:w="9639" w:h="6917" w:hRule="exact" w:wrap="around" w:vAnchor="page" w:hAnchor="page" w:xAlign="center" w:y="6408" w:anchorLock="1"/>
      <w:widowControl w:val="0"/>
      <w:spacing w:line="680" w:lineRule="exact"/>
      <w:jc w:val="center"/>
      <w:textAlignment w:val="center"/>
    </w:pPr>
    <w:rPr>
      <w:rFonts w:ascii="黑体" w:hAnsi="Times New Roman" w:eastAsia="黑体" w:cs="Times New Roman"/>
      <w:sz w:val="5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5</Pages>
  <TotalTime>5</TotalTime>
  <ScaleCrop>false</ScaleCrop>
  <LinksUpToDate>false</LinksUpToDate>
  <Application>WPS Office_12.1.0.17900_F1E327BC-269C-435d-A152-05C5408002CA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2025-06-18T01:03:00Z</dcterms:created>
  <dc:creator>zlg</dc:creator>
  <cp:lastModifiedBy>张立国(2006980009)</cp:lastModifiedBy>
  <dcterms:modified xsi:type="dcterms:W3CDTF">2025-06-18T17:15:24Z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2052-12.1.0.17900</vt:lpwstr>
  </property>
  <property fmtid="{D5CDD505-2E9C-101B-9397-08002B2CF9AE}" pid="3" name="ICV">
    <vt:lpwstr>58991F8B7FFFE30F8ABF5068CF5D800A_43</vt:lpwstr>
  </property>
</Properties>
</file>