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67292C">
      <w:pPr>
        <w:pStyle w:val="125"/>
        <w:framePr w:h="1801" w:hRule="exact" w:wrap="around"/>
      </w:pPr>
      <w:bookmarkStart w:id="0" w:name="_Hlk122552383"/>
      <w:bookmarkEnd w:id="0"/>
      <w:bookmarkStart w:id="1" w:name="c1"/>
      <w:r>
        <w:rPr>
          <w:rFonts w:ascii="Times New Roman"/>
        </w:rPr>
        <w:t>ICS</w:t>
      </w:r>
      <w:r>
        <w:rPr>
          <w:rFonts w:hAnsi="黑体"/>
        </w:rPr>
        <w:t> </w:t>
      </w:r>
      <w:r>
        <w:fldChar w:fldCharType="begin">
          <w:ffData>
            <w:name w:val="ICS"/>
            <w:enabled/>
            <w:calcOnExit w:val="0"/>
            <w:helpText w:type="text" w:val="请输入正确的ICS号："/>
            <w:textInput>
              <w:default w:val="点击此处添加ICS号"/>
            </w:textInput>
          </w:ffData>
        </w:fldChar>
      </w:r>
      <w:bookmarkStart w:id="2" w:name="ICS"/>
      <w:r>
        <w:instrText xml:space="preserve"> FORMTEXT </w:instrText>
      </w:r>
      <w:r>
        <w:fldChar w:fldCharType="separate"/>
      </w:r>
      <w:r>
        <w:rPr>
          <w:rFonts w:hint="eastAsia"/>
        </w:rPr>
        <w:t>点击此处添加ICS号</w:t>
      </w:r>
      <w:r>
        <w:fldChar w:fldCharType="end"/>
      </w:r>
      <w:bookmarkEnd w:id="2"/>
    </w:p>
    <w:p w14:paraId="60A33FAB">
      <w:pPr>
        <w:pStyle w:val="125"/>
        <w:framePr w:h="1801" w:hRule="exact" w:wrap="around"/>
      </w:pPr>
      <w:r>
        <w:rPr>
          <w:rFonts w:ascii="Times New Roman"/>
        </w:rPr>
        <w:t>CCS</w:t>
      </w:r>
      <w:r>
        <w:fldChar w:fldCharType="begin">
          <w:ffData>
            <w:name w:val="WXFLH"/>
            <w:enabled/>
            <w:calcOnExit w:val="0"/>
            <w:helpText w:type="text" w:val="请输入中国标准文献分类号："/>
            <w:textInput>
              <w:default w:val="点击此处添加中国标准文献分类号"/>
            </w:textInput>
          </w:ffData>
        </w:fldChar>
      </w:r>
      <w:bookmarkStart w:id="3" w:name="WXFLH"/>
      <w:r>
        <w:instrText xml:space="preserve"> FORMTEXT </w:instrText>
      </w:r>
      <w:r>
        <w:fldChar w:fldCharType="separate"/>
      </w:r>
      <w:r>
        <w:rPr>
          <w:rFonts w:hint="eastAsia"/>
        </w:rPr>
        <w:t>点击此处添加中国标准文献分类号</w:t>
      </w:r>
      <w:r>
        <w:fldChar w:fldCharType="end"/>
      </w:r>
      <w:bookmarkEnd w:id="3"/>
    </w:p>
    <w:p w14:paraId="71CE7648">
      <w:pPr>
        <w:pStyle w:val="125"/>
        <w:framePr w:h="1801" w:hRule="exact" w:wrap="around"/>
        <w:jc w:val="right"/>
        <w:rPr>
          <w:rFonts w:ascii="Times New Roman"/>
          <w:b/>
          <w:bCs/>
          <w:w w:val="130"/>
          <w:sz w:val="96"/>
          <w:szCs w:val="96"/>
        </w:rPr>
      </w:pPr>
      <w:r>
        <w:rPr>
          <w:rFonts w:ascii="Times New Roman"/>
          <w:b/>
          <w:bCs/>
          <w:w w:val="130"/>
          <w:sz w:val="96"/>
          <w:szCs w:val="96"/>
        </w:rPr>
        <w:t>T/CNS</w:t>
      </w:r>
    </w:p>
    <w:p w14:paraId="189CAF54">
      <w:pPr>
        <w:pStyle w:val="125"/>
        <w:framePr w:h="1801" w:hRule="exact" w:wrap="around"/>
      </w:pPr>
    </w:p>
    <w:bookmarkEnd w:id="1"/>
    <w:p w14:paraId="4DFEF711">
      <w:pPr>
        <w:pStyle w:val="112"/>
        <w:framePr w:wrap="around"/>
        <w:rPr>
          <w:rFonts w:hint="eastAsia"/>
          <w:sz w:val="52"/>
        </w:rPr>
      </w:pPr>
      <w:r>
        <w:rPr>
          <w:rFonts w:hint="eastAsia"/>
          <w:sz w:val="52"/>
        </w:rPr>
        <w:t>中国核学会团体标准</w:t>
      </w:r>
    </w:p>
    <w:p w14:paraId="495920F1">
      <w:pPr>
        <w:pStyle w:val="49"/>
        <w:framePr w:h="1126" w:hRule="exact" w:wrap="around" w:y="3016"/>
        <w:rPr>
          <w:rFonts w:hint="eastAsia" w:hAnsi="黑体"/>
        </w:rPr>
      </w:pPr>
      <w:r>
        <w:rPr>
          <w:rFonts w:hint="eastAsia" w:ascii="Times New Roman"/>
        </w:rPr>
        <w:t>T</w:t>
      </w:r>
      <w:r>
        <w:rPr>
          <w:rFonts w:ascii="Times New Roman"/>
        </w:rPr>
        <w:t>/</w:t>
      </w:r>
      <w:r>
        <w:rPr>
          <w:rFonts w:hint="eastAsia" w:ascii="Times New Roman"/>
        </w:rPr>
        <w:t>CNS</w:t>
      </w:r>
      <w:r>
        <w:rPr>
          <w:rFonts w:ascii="Times New Roman"/>
        </w:rPr>
        <w:t xml:space="preserve"> </w:t>
      </w:r>
      <w:r>
        <w:rPr>
          <w:rFonts w:hint="eastAsia" w:ascii="Times New Roman"/>
        </w:rPr>
        <w:t>XXXX</w:t>
      </w:r>
      <w:r>
        <w:rPr>
          <w:rFonts w:hAnsi="黑体"/>
        </w:rPr>
        <w:t>—XXXX</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01E503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shd w:val="clear" w:color="auto" w:fill="auto"/>
          </w:tcPr>
          <w:p w14:paraId="7B518840">
            <w:pPr>
              <w:pStyle w:val="78"/>
              <w:framePr w:h="1126" w:hRule="exact" w:wrap="around" w:y="3016"/>
            </w:pPr>
            <w:bookmarkStart w:id="4" w:name="DT"/>
            <w:r>
              <mc:AlternateContent>
                <mc:Choice Requires="wps">
                  <w:drawing>
                    <wp:anchor distT="0" distB="0" distL="114300" distR="114300" simplePos="0" relativeHeight="251661312"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5" name="DT"/>
                      <wp:cNvGraphicFramePr/>
                      <a:graphic xmlns:a="http://schemas.openxmlformats.org/drawingml/2006/main">
                        <a:graphicData uri="http://schemas.microsoft.com/office/word/2010/wordprocessingShape">
                          <wps:wsp>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DT" o:spid="_x0000_s1026" o:spt="1" style="position:absolute;left:0pt;margin-left:372.8pt;margin-top:2.7pt;height:18pt;width:90pt;z-index:-251655168;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5g8svWAAAACAEAAA8AAAAAAAAAAQAgAAAAIgAAAGRycy9kb3ducmV2LnhtbFBLAQIUABQAAAAI&#10;AIdO4kAmFjv77wEAAPADAAAOAAAAAAAAAAEAIAAAACUBAABkcnMvZTJvRG9jLnhtbFBLBQYAAAAA&#10;BgAGAFkBAACGBQAAAAA=&#10;">
                      <v:fill on="t" focussize="0,0"/>
                      <v:stroke on="f"/>
                      <v:imagedata o:title=""/>
                      <o:lock v:ext="edit" aspectratio="f"/>
                    </v:rect>
                  </w:pict>
                </mc:Fallback>
              </mc:AlternateContent>
            </w:r>
            <w:r>
              <w:fldChar w:fldCharType="begin">
                <w:ffData>
                  <w:name w:val="DT"/>
                  <w:enabled/>
                  <w:calcOnExit w:val="0"/>
                  <w:textInput/>
                </w:ffData>
              </w:fldChar>
            </w:r>
            <w:r>
              <w:instrText xml:space="preserve"> FORMTEXT </w:instrText>
            </w:r>
            <w:r>
              <w:fldChar w:fldCharType="separate"/>
            </w:r>
            <w:r>
              <w:t>     </w:t>
            </w:r>
            <w:r>
              <w:fldChar w:fldCharType="end"/>
            </w:r>
            <w:bookmarkEnd w:id="4"/>
          </w:p>
        </w:tc>
      </w:tr>
    </w:tbl>
    <w:p w14:paraId="49B5B07A">
      <w:pPr>
        <w:pStyle w:val="49"/>
        <w:framePr w:h="1126" w:hRule="exact" w:wrap="around" w:y="3016"/>
        <w:rPr>
          <w:rFonts w:hint="eastAsia" w:hAnsi="黑体"/>
        </w:rPr>
      </w:pPr>
    </w:p>
    <w:p w14:paraId="5A400798">
      <w:pPr>
        <w:pStyle w:val="49"/>
        <w:framePr w:h="1126" w:hRule="exact" w:wrap="around" w:y="3016"/>
        <w:rPr>
          <w:rFonts w:hint="eastAsia" w:hAnsi="黑体"/>
        </w:rPr>
      </w:pPr>
    </w:p>
    <w:p w14:paraId="657049CD">
      <w:pPr>
        <w:pStyle w:val="80"/>
        <w:framePr w:w="10417" w:wrap="around" w:x="787" w:y="6082"/>
      </w:pPr>
      <w:r>
        <w:rPr>
          <w:rFonts w:hint="eastAsia"/>
        </w:rPr>
        <w:t>高温气冷堆核动力厂</w:t>
      </w:r>
    </w:p>
    <w:p w14:paraId="1FCC39C8">
      <w:pPr>
        <w:pStyle w:val="80"/>
        <w:framePr w:w="10417" w:wrap="around" w:x="787" w:y="6082"/>
      </w:pPr>
      <w:r>
        <w:rPr>
          <w:rFonts w:hint="eastAsia"/>
        </w:rPr>
        <w:t>燃耗测量系统设计准则</w:t>
      </w:r>
    </w:p>
    <w:p w14:paraId="78D16E3E">
      <w:pPr>
        <w:pStyle w:val="81"/>
        <w:framePr w:w="10417" w:wrap="around" w:x="787" w:y="6082"/>
        <w:rPr>
          <w:b/>
        </w:rPr>
      </w:pPr>
      <w:r>
        <w:rPr>
          <w:rFonts w:hint="eastAsia"/>
        </w:rPr>
        <w:t>Design criteria</w:t>
      </w:r>
      <w:r>
        <w:t xml:space="preserve"> for burnup measurement system of high temperature gas</w:t>
      </w:r>
      <w:r>
        <w:rPr>
          <w:rFonts w:hint="eastAsia"/>
        </w:rPr>
        <w:t xml:space="preserve"> </w:t>
      </w:r>
      <w:r>
        <w:t>cooled reactor nuclear power plant</w:t>
      </w:r>
    </w:p>
    <w:tbl>
      <w:tblPr>
        <w:tblStyle w:val="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14:paraId="4B704D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157F3065">
            <w:pPr>
              <w:pStyle w:val="83"/>
              <w:framePr w:w="10417" w:wrap="around" w:x="787" w:y="6082"/>
            </w:pPr>
            <w:r>
              <w:rPr>
                <w:rFonts w:hint="eastAsia"/>
              </w:rPr>
              <w:t>（征求意见稿）</w:t>
            </w:r>
            <w:r>
              <mc:AlternateContent>
                <mc:Choice Requires="wps">
                  <w:drawing>
                    <wp:anchor distT="0" distB="0" distL="114300" distR="114300" simplePos="0" relativeHeight="251663360" behindDoc="1" locked="1" layoutInCell="1" allowOverlap="1">
                      <wp:simplePos x="0" y="0"/>
                      <wp:positionH relativeFrom="column">
                        <wp:posOffset>2200910</wp:posOffset>
                      </wp:positionH>
                      <wp:positionV relativeFrom="paragraph">
                        <wp:posOffset>573405</wp:posOffset>
                      </wp:positionV>
                      <wp:extent cx="1905000" cy="254000"/>
                      <wp:effectExtent l="0" t="0" r="0" b="0"/>
                      <wp:wrapNone/>
                      <wp:docPr id="4" name="RQ"/>
                      <wp:cNvGraphicFramePr/>
                      <a:graphic xmlns:a="http://schemas.openxmlformats.org/drawingml/2006/main">
                        <a:graphicData uri="http://schemas.microsoft.com/office/word/2010/wordprocessingShape">
                          <wps:wsp>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45.15pt;height:20pt;width:150pt;z-index:-251653120;mso-width-relative:page;mso-height-relative:page;" fillcolor="#FFFFFF" filled="t" stroked="f" coordsize="21600,21600" o:gfxdata="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BYmuktUAAAAKAQAADwAAAAAAAAABACAAAAAiAAAAZHJzL2Rvd25yZXYueG1sUEsBAhQAFAAAAAgA&#10;h07iQKHcPxTvAQAA8AMAAA4AAAAAAAAAAQAgAAAAJAEAAGRycy9lMm9Eb2MueG1sUEsFBgAAAAAG&#10;AAYAWQEAAIUFAAAAAA==&#10;">
                      <v:fill on="t" focussize="0,0"/>
                      <v:stroke on="f"/>
                      <v:imagedata o:title=""/>
                      <o:lock v:ext="edit" aspectratio="f"/>
                      <w10:anchorlock/>
                    </v:rect>
                  </w:pict>
                </mc:Fallback>
              </mc:AlternateContent>
            </w:r>
            <w:r>
              <mc:AlternateContent>
                <mc:Choice Requires="wps">
                  <w:drawing>
                    <wp:anchor distT="0" distB="0" distL="114300" distR="114300" simplePos="0" relativeHeight="251662336" behindDoc="1" locked="0" layoutInCell="1" allowOverlap="1">
                      <wp:simplePos x="0" y="0"/>
                      <wp:positionH relativeFrom="column">
                        <wp:posOffset>2454910</wp:posOffset>
                      </wp:positionH>
                      <wp:positionV relativeFrom="paragraph">
                        <wp:posOffset>255905</wp:posOffset>
                      </wp:positionV>
                      <wp:extent cx="1270000" cy="304800"/>
                      <wp:effectExtent l="0" t="0" r="0" b="0"/>
                      <wp:wrapNone/>
                      <wp:docPr id="3" name="LB"/>
                      <wp:cNvGraphicFramePr/>
                      <a:graphic xmlns:a="http://schemas.openxmlformats.org/drawingml/2006/main">
                        <a:graphicData uri="http://schemas.microsoft.com/office/word/2010/wordprocessingShape">
                          <wps:wsp>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LB" o:spid="_x0000_s1026" o:spt="1" style="position:absolute;left:0pt;margin-left:193.3pt;margin-top:20.15pt;height:24pt;width:100pt;z-index:-251654144;mso-width-relative:page;mso-height-relative:page;" fillcolor="#FFFFFF" filled="t" stroked="f" coordsize="21600,21600" o:gfxdata="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APhi+XWAAAACQEAAA8AAAAAAAAAAQAgAAAAIgAAAGRycy9kb3ducmV2LnhtbFBLAQIUABQAAAAI&#10;AIdO4kAUtNKs7wEAAPADAAAOAAAAAAAAAAEAIAAAACUBAABkcnMvZTJvRG9jLnhtbFBLBQYAAAAA&#10;BgAGAFkBAACGBQAAAAA=&#10;">
                      <v:fill on="t" focussize="0,0"/>
                      <v:stroke on="f"/>
                      <v:imagedata o:title=""/>
                      <o:lock v:ext="edit" aspectratio="f"/>
                    </v:rect>
                  </w:pict>
                </mc:Fallback>
              </mc:AlternateContent>
            </w:r>
          </w:p>
        </w:tc>
      </w:tr>
      <w:tr w14:paraId="5CD2EC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shd w:val="clear" w:color="auto" w:fill="auto"/>
          </w:tcPr>
          <w:p w14:paraId="2E5A649F">
            <w:pPr>
              <w:pStyle w:val="84"/>
              <w:framePr w:w="10417" w:wrap="around" w:x="787" w:y="6082"/>
            </w:pPr>
          </w:p>
        </w:tc>
      </w:tr>
    </w:tbl>
    <w:p w14:paraId="22D7E650">
      <w:pPr>
        <w:pStyle w:val="133"/>
        <w:framePr w:wrap="around" w:hAnchor="page" w:x="1585" w:y="14137"/>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发布</w:t>
      </w:r>
      <w:r>
        <mc:AlternateContent>
          <mc:Choice Requires="wps">
            <w:drawing>
              <wp:anchor distT="0" distB="0" distL="114300" distR="114300" simplePos="0" relativeHeight="251659264" behindDoc="0" locked="1" layoutInCell="1" allowOverlap="1">
                <wp:simplePos x="0" y="0"/>
                <wp:positionH relativeFrom="column">
                  <wp:posOffset>-635</wp:posOffset>
                </wp:positionH>
                <wp:positionV relativeFrom="page">
                  <wp:posOffset>9251950</wp:posOffset>
                </wp:positionV>
                <wp:extent cx="6120130" cy="0"/>
                <wp:effectExtent l="0" t="0" r="1270" b="0"/>
                <wp:wrapNone/>
                <wp:docPr id="2" name="Line 10"/>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0" o:spid="_x0000_s1026" o:spt="20" style="position:absolute;left:0pt;margin-left:-0.05pt;margin-top:728.5pt;height:0pt;width:481.9pt;mso-position-vertical-relative:page;z-index:251659264;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CWHazzWAAAA&#10;CwEAAA8AAAAAAAAAAQAgAAAAIgAAAGRycy9kb3ducmV2LnhtbFBLAQIUABQAAAAIAIdO4kDcfFU7&#10;rQEAAG4DAAAOAAAAAAAAAAEAIAAAACUBAABkcnMvZTJvRG9jLnhtbFBLBQYAAAAABgAGAFkBAABE&#10;BQAAAAA=&#10;">
                <v:fill on="f" focussize="0,0"/>
                <v:stroke color="#000000" joinstyle="round"/>
                <v:imagedata o:title=""/>
                <o:lock v:ext="edit" aspectratio="f"/>
                <w10:anchorlock/>
              </v:line>
            </w:pict>
          </mc:Fallback>
        </mc:AlternateContent>
      </w:r>
    </w:p>
    <w:p w14:paraId="4FAB56F7">
      <w:pPr>
        <w:pStyle w:val="134"/>
        <w:framePr w:wrap="around" w:hAnchor="page" w:x="6613"/>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 xml:space="preserve">XX </w:t>
      </w:r>
      <w:r>
        <w:rPr>
          <w:rFonts w:hint="eastAsia"/>
        </w:rPr>
        <w:t>实施</w:t>
      </w:r>
    </w:p>
    <w:p w14:paraId="7B341BA4">
      <w:pPr>
        <w:pStyle w:val="113"/>
        <w:framePr w:wrap="around"/>
      </w:pPr>
      <w:r>
        <w:rPr>
          <w:rFonts w:hint="eastAsia"/>
        </w:rPr>
        <w:t>中国核学会</w:t>
      </w:r>
      <w:r>
        <w:rPr>
          <w:rFonts w:hint="eastAsia" w:ascii="MS Mincho" w:hAnsi="MS Mincho" w:eastAsia="MS Mincho" w:cs="MS Mincho"/>
        </w:rPr>
        <w:t>   </w:t>
      </w:r>
      <w:r>
        <w:rPr>
          <w:rStyle w:val="75"/>
          <w:rFonts w:hint="eastAsia"/>
        </w:rPr>
        <w:t>发布</w:t>
      </w:r>
    </w:p>
    <w:p w14:paraId="598D8C40">
      <w:pPr>
        <w:pStyle w:val="26"/>
        <w:sectPr>
          <w:headerReference r:id="rId3" w:type="even"/>
          <w:footerReference r:id="rId4" w:type="even"/>
          <w:pgSz w:w="11906" w:h="16838"/>
          <w:pgMar w:top="567" w:right="1134" w:bottom="1134" w:left="1417" w:header="0" w:footer="0" w:gutter="0"/>
          <w:pgNumType w:start="1"/>
          <w:cols w:space="425" w:num="1"/>
          <w:docGrid w:type="lines" w:linePitch="312" w:charSpace="0"/>
        </w:sectPr>
      </w:pPr>
      <w:r>
        <mc:AlternateContent>
          <mc:Choice Requires="wps">
            <w:drawing>
              <wp:anchor distT="0" distB="0" distL="114300" distR="114300" simplePos="0" relativeHeight="251660288" behindDoc="0" locked="0" layoutInCell="1" allowOverlap="1">
                <wp:simplePos x="0" y="0"/>
                <wp:positionH relativeFrom="column">
                  <wp:posOffset>-635</wp:posOffset>
                </wp:positionH>
                <wp:positionV relativeFrom="paragraph">
                  <wp:posOffset>2339975</wp:posOffset>
                </wp:positionV>
                <wp:extent cx="6120130" cy="0"/>
                <wp:effectExtent l="0" t="0" r="1270" b="0"/>
                <wp:wrapNone/>
                <wp:docPr id="1" name="Line 11"/>
                <wp:cNvGraphicFramePr/>
                <a:graphic xmlns:a="http://schemas.openxmlformats.org/drawingml/2006/main">
                  <a:graphicData uri="http://schemas.microsoft.com/office/word/2010/wordprocessingShape">
                    <wps:wsp>
                      <wps:cNvCnPr/>
                      <wps:spPr bwMode="auto">
                        <a:xfrm>
                          <a:off x="0" y="0"/>
                          <a:ext cx="6120130" cy="0"/>
                        </a:xfrm>
                        <a:prstGeom prst="line">
                          <a:avLst/>
                        </a:prstGeom>
                        <a:noFill/>
                        <a:ln w="9525">
                          <a:solidFill>
                            <a:srgbClr val="000000"/>
                          </a:solidFill>
                          <a:round/>
                        </a:ln>
                      </wps:spPr>
                      <wps:bodyPr/>
                    </wps:wsp>
                  </a:graphicData>
                </a:graphic>
              </wp:anchor>
            </w:drawing>
          </mc:Choice>
          <mc:Fallback>
            <w:pict>
              <v:line id="Line 11" o:spid="_x0000_s1026" o:spt="20" style="position:absolute;left:0pt;margin-left:-0.05pt;margin-top:184.25pt;height:0pt;width:481.9pt;z-index:251660288;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CQeJf1wAA&#10;AAkBAAAPAAAAAAAAAAEAIAAAACIAAABkcnMvZG93bnJldi54bWxQSwECFAAUAAAACACHTuJANW0K&#10;n60BAABuAwAADgAAAAAAAAABACAAAAAmAQAAZHJzL2Uyb0RvYy54bWxQSwUGAAAAAAYABgBZAQAA&#10;RQUAAAAA&#10;">
                <v:fill on="f" focussize="0,0"/>
                <v:stroke color="#000000" joinstyle="round"/>
                <v:imagedata o:title=""/>
                <o:lock v:ext="edit" aspectratio="f"/>
              </v:line>
            </w:pict>
          </mc:Fallback>
        </mc:AlternateContent>
      </w:r>
    </w:p>
    <w:p w14:paraId="578D0616">
      <w:pPr>
        <w:pStyle w:val="52"/>
        <w:rPr>
          <w:rFonts w:hint="eastAsia" w:hAnsi="黑体"/>
        </w:rPr>
      </w:pPr>
      <w:bookmarkStart w:id="5" w:name="_Toc1926936359"/>
      <w:bookmarkStart w:id="6" w:name="_Toc48658960"/>
      <w:r>
        <w:rPr>
          <w:rFonts w:hint="eastAsia" w:hAnsi="黑体"/>
        </w:rPr>
        <w:t>目</w:t>
      </w:r>
      <w:bookmarkStart w:id="7" w:name="BKML"/>
      <w:r>
        <w:rPr>
          <w:rFonts w:hAnsi="黑体" w:cs="MS Mincho"/>
        </w:rPr>
        <w:t>  </w:t>
      </w:r>
      <w:r>
        <w:rPr>
          <w:rFonts w:hint="eastAsia" w:hAnsi="黑体"/>
        </w:rPr>
        <w:t>次</w:t>
      </w:r>
      <w:bookmarkEnd w:id="5"/>
      <w:bookmarkEnd w:id="6"/>
      <w:bookmarkEnd w:id="7"/>
    </w:p>
    <w:sdt>
      <w:sdtPr>
        <w:rPr>
          <w:lang w:val="zh-CN"/>
        </w:rPr>
        <w:id w:val="-1"/>
        <w:docPartObj>
          <w:docPartGallery w:val="Table of Contents"/>
          <w:docPartUnique/>
        </w:docPartObj>
      </w:sdtPr>
      <w:sdtEndPr>
        <w:rPr>
          <w:b/>
          <w:bCs/>
          <w:lang w:val="zh-CN"/>
        </w:rPr>
      </w:sdtEndPr>
      <w:sdtContent>
        <w:p w14:paraId="582F5687">
          <w:pPr>
            <w:pStyle w:val="22"/>
            <w:spacing w:before="78" w:after="78"/>
            <w:rPr>
              <w:b/>
              <w:bCs/>
              <w:lang w:val="zh-CN"/>
            </w:rPr>
          </w:pPr>
          <w:r>
            <w:rPr>
              <w:rFonts w:asciiTheme="majorHAnsi" w:hAnsiTheme="majorHAnsi" w:eastAsiaTheme="majorEastAsia" w:cstheme="majorBidi"/>
              <w:color w:val="2F5597" w:themeColor="accent1" w:themeShade="BF"/>
              <w:kern w:val="0"/>
              <w:sz w:val="32"/>
              <w:szCs w:val="32"/>
            </w:rPr>
            <w:fldChar w:fldCharType="begin"/>
          </w:r>
          <w:r>
            <w:instrText xml:space="preserve"> TOC \o "1-3" \h \z \u </w:instrText>
          </w:r>
          <w:r>
            <w:rPr>
              <w:rFonts w:asciiTheme="majorHAnsi" w:hAnsiTheme="majorHAnsi" w:eastAsiaTheme="majorEastAsia" w:cstheme="majorBidi"/>
              <w:color w:val="2F5597" w:themeColor="accent1" w:themeShade="BF"/>
              <w:kern w:val="0"/>
              <w:sz w:val="32"/>
              <w:szCs w:val="32"/>
            </w:rPr>
            <w:fldChar w:fldCharType="separate"/>
          </w:r>
        </w:p>
        <w:p w14:paraId="2B175F66">
          <w:pPr>
            <w:pStyle w:val="22"/>
            <w:tabs>
              <w:tab w:val="right" w:leader="dot" w:pos="9355"/>
              <w:tab w:val="clear" w:pos="9241"/>
            </w:tabs>
            <w:spacing w:before="78" w:after="78"/>
          </w:pPr>
          <w:r>
            <w:fldChar w:fldCharType="begin"/>
          </w:r>
          <w:r>
            <w:instrText xml:space="preserve"> HYPERLINK \l "_Toc1926936359" </w:instrText>
          </w:r>
          <w:r>
            <w:fldChar w:fldCharType="separate"/>
          </w:r>
          <w:r>
            <w:rPr>
              <w:rFonts w:hint="eastAsia" w:hAnsi="黑体"/>
            </w:rPr>
            <w:t>目</w:t>
          </w:r>
          <w:r>
            <w:rPr>
              <w:rFonts w:hAnsi="黑体" w:cs="MS Mincho"/>
            </w:rPr>
            <w:t>  </w:t>
          </w:r>
          <w:r>
            <w:rPr>
              <w:rFonts w:hint="eastAsia" w:hAnsi="黑体"/>
            </w:rPr>
            <w:t>次</w:t>
          </w:r>
          <w:r>
            <w:tab/>
          </w:r>
          <w:r>
            <w:fldChar w:fldCharType="begin"/>
          </w:r>
          <w:r>
            <w:instrText xml:space="preserve"> PAGEREF _Toc1926936359 \h </w:instrText>
          </w:r>
          <w:r>
            <w:fldChar w:fldCharType="separate"/>
          </w:r>
          <w:r>
            <w:t>I</w:t>
          </w:r>
          <w:r>
            <w:fldChar w:fldCharType="end"/>
          </w:r>
          <w:r>
            <w:fldChar w:fldCharType="end"/>
          </w:r>
        </w:p>
        <w:p w14:paraId="3AB3842D">
          <w:pPr>
            <w:pStyle w:val="22"/>
            <w:tabs>
              <w:tab w:val="right" w:leader="dot" w:pos="9355"/>
              <w:tab w:val="clear" w:pos="9241"/>
            </w:tabs>
            <w:spacing w:before="78" w:after="78"/>
          </w:pPr>
          <w:r>
            <w:fldChar w:fldCharType="begin"/>
          </w:r>
          <w:r>
            <w:instrText xml:space="preserve"> HYPERLINK \l "_Toc555585819" </w:instrText>
          </w:r>
          <w:r>
            <w:fldChar w:fldCharType="separate"/>
          </w:r>
          <w:r>
            <w:rPr>
              <w:rFonts w:hint="eastAsia"/>
            </w:rPr>
            <w:t>前</w:t>
          </w:r>
          <w:r>
            <w:rPr>
              <w:rFonts w:hint="eastAsia" w:ascii="MS Mincho" w:hAnsi="MS Mincho" w:eastAsia="MS Mincho" w:cs="MS Mincho"/>
            </w:rPr>
            <w:t>  </w:t>
          </w:r>
          <w:r>
            <w:rPr>
              <w:rFonts w:hint="eastAsia"/>
            </w:rPr>
            <w:t>言</w:t>
          </w:r>
          <w:r>
            <w:tab/>
          </w:r>
          <w:r>
            <w:fldChar w:fldCharType="begin"/>
          </w:r>
          <w:r>
            <w:instrText xml:space="preserve"> PAGEREF _Toc555585819 \h </w:instrText>
          </w:r>
          <w:r>
            <w:fldChar w:fldCharType="separate"/>
          </w:r>
          <w:r>
            <w:t>II</w:t>
          </w:r>
          <w:r>
            <w:fldChar w:fldCharType="end"/>
          </w:r>
          <w:r>
            <w:fldChar w:fldCharType="end"/>
          </w:r>
        </w:p>
        <w:p w14:paraId="13E28E10">
          <w:pPr>
            <w:pStyle w:val="31"/>
            <w:tabs>
              <w:tab w:val="right" w:leader="dot" w:pos="9355"/>
              <w:tab w:val="clear" w:pos="9241"/>
            </w:tabs>
          </w:pPr>
          <w:r>
            <w:fldChar w:fldCharType="begin"/>
          </w:r>
          <w:r>
            <w:instrText xml:space="preserve"> HYPERLINK \l "_Toc852050916" </w:instrText>
          </w:r>
          <w:r>
            <w:fldChar w:fldCharType="separate"/>
          </w:r>
          <w:r>
            <w:rPr>
              <w:rFonts w:hint="eastAsia" w:ascii="黑体" w:eastAsia="黑体"/>
            </w:rPr>
            <w:t xml:space="preserve">1 </w:t>
          </w:r>
          <w:r>
            <w:rPr>
              <w:rFonts w:hint="eastAsia"/>
            </w:rPr>
            <w:t>范围</w:t>
          </w:r>
          <w:r>
            <w:tab/>
          </w:r>
          <w:r>
            <w:fldChar w:fldCharType="begin"/>
          </w:r>
          <w:r>
            <w:instrText xml:space="preserve"> PAGEREF _Toc852050916 \h </w:instrText>
          </w:r>
          <w:r>
            <w:fldChar w:fldCharType="separate"/>
          </w:r>
          <w:r>
            <w:t>3</w:t>
          </w:r>
          <w:r>
            <w:fldChar w:fldCharType="end"/>
          </w:r>
          <w:r>
            <w:fldChar w:fldCharType="end"/>
          </w:r>
        </w:p>
        <w:p w14:paraId="7570BBE0">
          <w:pPr>
            <w:pStyle w:val="31"/>
            <w:tabs>
              <w:tab w:val="right" w:leader="dot" w:pos="9355"/>
              <w:tab w:val="clear" w:pos="9241"/>
            </w:tabs>
          </w:pPr>
          <w:r>
            <w:fldChar w:fldCharType="begin"/>
          </w:r>
          <w:r>
            <w:instrText xml:space="preserve"> HYPERLINK \l "_Toc1454072196" </w:instrText>
          </w:r>
          <w:r>
            <w:fldChar w:fldCharType="separate"/>
          </w:r>
          <w:r>
            <w:rPr>
              <w:rFonts w:hint="eastAsia" w:ascii="黑体" w:eastAsia="黑体"/>
            </w:rPr>
            <w:t xml:space="preserve">2 </w:t>
          </w:r>
          <w:r>
            <w:rPr>
              <w:rFonts w:hint="eastAsia"/>
            </w:rPr>
            <w:t>规范性引用文件</w:t>
          </w:r>
          <w:r>
            <w:tab/>
          </w:r>
          <w:r>
            <w:fldChar w:fldCharType="begin"/>
          </w:r>
          <w:r>
            <w:instrText xml:space="preserve"> PAGEREF _Toc1454072196 \h </w:instrText>
          </w:r>
          <w:r>
            <w:fldChar w:fldCharType="separate"/>
          </w:r>
          <w:r>
            <w:t>3</w:t>
          </w:r>
          <w:r>
            <w:fldChar w:fldCharType="end"/>
          </w:r>
          <w:r>
            <w:fldChar w:fldCharType="end"/>
          </w:r>
        </w:p>
        <w:p w14:paraId="00E465D5">
          <w:pPr>
            <w:pStyle w:val="31"/>
            <w:tabs>
              <w:tab w:val="right" w:leader="dot" w:pos="9355"/>
              <w:tab w:val="clear" w:pos="9241"/>
            </w:tabs>
          </w:pPr>
          <w:r>
            <w:fldChar w:fldCharType="begin"/>
          </w:r>
          <w:r>
            <w:instrText xml:space="preserve"> HYPERLINK \l "_Toc1036971007" </w:instrText>
          </w:r>
          <w:r>
            <w:fldChar w:fldCharType="separate"/>
          </w:r>
          <w:r>
            <w:rPr>
              <w:rFonts w:hint="eastAsia" w:ascii="黑体" w:eastAsia="黑体"/>
            </w:rPr>
            <w:t xml:space="preserve">3 </w:t>
          </w:r>
          <w:r>
            <w:rPr>
              <w:rFonts w:hint="eastAsia"/>
            </w:rPr>
            <w:t>术语和定义</w:t>
          </w:r>
          <w:r>
            <w:tab/>
          </w:r>
          <w:r>
            <w:fldChar w:fldCharType="begin"/>
          </w:r>
          <w:r>
            <w:instrText xml:space="preserve"> PAGEREF _Toc1036971007 \h </w:instrText>
          </w:r>
          <w:r>
            <w:fldChar w:fldCharType="separate"/>
          </w:r>
          <w:r>
            <w:t>3</w:t>
          </w:r>
          <w:r>
            <w:fldChar w:fldCharType="end"/>
          </w:r>
          <w:r>
            <w:fldChar w:fldCharType="end"/>
          </w:r>
        </w:p>
        <w:p w14:paraId="55234DC1">
          <w:pPr>
            <w:pStyle w:val="31"/>
            <w:tabs>
              <w:tab w:val="right" w:leader="dot" w:pos="9355"/>
              <w:tab w:val="clear" w:pos="9241"/>
            </w:tabs>
          </w:pPr>
          <w:r>
            <w:fldChar w:fldCharType="begin"/>
          </w:r>
          <w:r>
            <w:instrText xml:space="preserve"> HYPERLINK \l "_Toc1812015917" </w:instrText>
          </w:r>
          <w:r>
            <w:fldChar w:fldCharType="separate"/>
          </w:r>
          <w:r>
            <w:rPr>
              <w:rFonts w:hint="eastAsia" w:ascii="黑体" w:eastAsia="黑体"/>
            </w:rPr>
            <w:t xml:space="preserve">4 </w:t>
          </w:r>
          <w:r>
            <w:rPr>
              <w:rFonts w:hint="eastAsia"/>
            </w:rPr>
            <w:t>系统功能</w:t>
          </w:r>
          <w:r>
            <w:tab/>
          </w:r>
          <w:r>
            <w:fldChar w:fldCharType="begin"/>
          </w:r>
          <w:r>
            <w:instrText xml:space="preserve"> PAGEREF _Toc1812015917 \h </w:instrText>
          </w:r>
          <w:r>
            <w:fldChar w:fldCharType="separate"/>
          </w:r>
          <w:r>
            <w:t>4</w:t>
          </w:r>
          <w:r>
            <w:fldChar w:fldCharType="end"/>
          </w:r>
          <w:r>
            <w:fldChar w:fldCharType="end"/>
          </w:r>
        </w:p>
        <w:p w14:paraId="466AD9DA">
          <w:pPr>
            <w:pStyle w:val="15"/>
            <w:tabs>
              <w:tab w:val="right" w:leader="dot" w:pos="9355"/>
              <w:tab w:val="clear" w:pos="9241"/>
            </w:tabs>
            <w:ind w:firstLine="210"/>
          </w:pPr>
          <w:r>
            <w:fldChar w:fldCharType="begin"/>
          </w:r>
          <w:r>
            <w:instrText xml:space="preserve"> HYPERLINK \l "_Toc1714059311" </w:instrText>
          </w:r>
          <w:r>
            <w:fldChar w:fldCharType="separate"/>
          </w:r>
          <w:r>
            <w:rPr>
              <w:rFonts w:hint="eastAsia" w:ascii="黑体" w:eastAsia="黑体"/>
              <w:kern w:val="0"/>
            </w:rPr>
            <w:t xml:space="preserve">4.1 </w:t>
          </w:r>
          <w:r>
            <w:rPr>
              <w:rFonts w:hint="eastAsia"/>
            </w:rPr>
            <w:t>主要功能</w:t>
          </w:r>
          <w:r>
            <w:tab/>
          </w:r>
          <w:r>
            <w:fldChar w:fldCharType="begin"/>
          </w:r>
          <w:r>
            <w:instrText xml:space="preserve"> PAGEREF _Toc1714059311 \h </w:instrText>
          </w:r>
          <w:r>
            <w:fldChar w:fldCharType="separate"/>
          </w:r>
          <w:r>
            <w:t>4</w:t>
          </w:r>
          <w:r>
            <w:fldChar w:fldCharType="end"/>
          </w:r>
          <w:r>
            <w:fldChar w:fldCharType="end"/>
          </w:r>
        </w:p>
        <w:p w14:paraId="0C34655A">
          <w:pPr>
            <w:pStyle w:val="15"/>
            <w:tabs>
              <w:tab w:val="right" w:leader="dot" w:pos="9355"/>
              <w:tab w:val="clear" w:pos="9241"/>
            </w:tabs>
            <w:ind w:firstLine="210"/>
          </w:pPr>
          <w:r>
            <w:fldChar w:fldCharType="begin"/>
          </w:r>
          <w:r>
            <w:instrText xml:space="preserve"> HYPERLINK \l "_Toc2015833720" </w:instrText>
          </w:r>
          <w:r>
            <w:fldChar w:fldCharType="separate"/>
          </w:r>
          <w:r>
            <w:rPr>
              <w:rFonts w:hint="eastAsia" w:ascii="黑体" w:eastAsia="黑体"/>
              <w:kern w:val="0"/>
            </w:rPr>
            <w:t xml:space="preserve">4.2 </w:t>
          </w:r>
          <w:r>
            <w:rPr>
              <w:rFonts w:hint="eastAsia"/>
            </w:rPr>
            <w:t>辅助功能</w:t>
          </w:r>
          <w:r>
            <w:tab/>
          </w:r>
          <w:r>
            <w:fldChar w:fldCharType="begin"/>
          </w:r>
          <w:r>
            <w:instrText xml:space="preserve"> PAGEREF _Toc2015833720 \h </w:instrText>
          </w:r>
          <w:r>
            <w:fldChar w:fldCharType="separate"/>
          </w:r>
          <w:r>
            <w:t>4</w:t>
          </w:r>
          <w:r>
            <w:fldChar w:fldCharType="end"/>
          </w:r>
          <w:r>
            <w:fldChar w:fldCharType="end"/>
          </w:r>
        </w:p>
        <w:p w14:paraId="5120E96A">
          <w:pPr>
            <w:pStyle w:val="31"/>
            <w:tabs>
              <w:tab w:val="right" w:leader="dot" w:pos="9355"/>
              <w:tab w:val="clear" w:pos="9241"/>
            </w:tabs>
          </w:pPr>
          <w:r>
            <w:fldChar w:fldCharType="begin"/>
          </w:r>
          <w:r>
            <w:instrText xml:space="preserve"> HYPERLINK \l "_Toc1566296287" </w:instrText>
          </w:r>
          <w:r>
            <w:fldChar w:fldCharType="separate"/>
          </w:r>
          <w:r>
            <w:rPr>
              <w:rFonts w:hint="eastAsia" w:ascii="黑体" w:eastAsia="黑体"/>
            </w:rPr>
            <w:t xml:space="preserve">5 </w:t>
          </w:r>
          <w:r>
            <w:rPr>
              <w:rFonts w:hint="eastAsia"/>
            </w:rPr>
            <w:t>系统构成</w:t>
          </w:r>
          <w:r>
            <w:tab/>
          </w:r>
          <w:r>
            <w:fldChar w:fldCharType="begin"/>
          </w:r>
          <w:r>
            <w:instrText xml:space="preserve"> PAGEREF _Toc1566296287 \h </w:instrText>
          </w:r>
          <w:r>
            <w:fldChar w:fldCharType="separate"/>
          </w:r>
          <w:r>
            <w:t>4</w:t>
          </w:r>
          <w:r>
            <w:fldChar w:fldCharType="end"/>
          </w:r>
          <w:r>
            <w:fldChar w:fldCharType="end"/>
          </w:r>
        </w:p>
        <w:p w14:paraId="76A7586D">
          <w:pPr>
            <w:pStyle w:val="15"/>
            <w:tabs>
              <w:tab w:val="right" w:leader="dot" w:pos="9355"/>
              <w:tab w:val="clear" w:pos="9241"/>
            </w:tabs>
            <w:ind w:firstLine="210"/>
          </w:pPr>
          <w:r>
            <w:fldChar w:fldCharType="begin"/>
          </w:r>
          <w:r>
            <w:instrText xml:space="preserve"> HYPERLINK \l "_Toc1862904437" </w:instrText>
          </w:r>
          <w:r>
            <w:fldChar w:fldCharType="separate"/>
          </w:r>
          <w:r>
            <w:rPr>
              <w:rFonts w:hint="eastAsia" w:ascii="黑体" w:eastAsia="黑体"/>
              <w:kern w:val="0"/>
            </w:rPr>
            <w:t xml:space="preserve">5.1 </w:t>
          </w:r>
          <w:r>
            <w:rPr>
              <w:rFonts w:hint="eastAsia"/>
            </w:rPr>
            <w:t>燃耗测量装置</w:t>
          </w:r>
          <w:r>
            <w:tab/>
          </w:r>
          <w:r>
            <w:fldChar w:fldCharType="begin"/>
          </w:r>
          <w:r>
            <w:instrText xml:space="preserve"> PAGEREF _Toc1862904437 \h </w:instrText>
          </w:r>
          <w:r>
            <w:fldChar w:fldCharType="separate"/>
          </w:r>
          <w:r>
            <w:t>4</w:t>
          </w:r>
          <w:r>
            <w:fldChar w:fldCharType="end"/>
          </w:r>
          <w:r>
            <w:fldChar w:fldCharType="end"/>
          </w:r>
        </w:p>
        <w:p w14:paraId="0CF85466">
          <w:pPr>
            <w:pStyle w:val="15"/>
            <w:tabs>
              <w:tab w:val="right" w:leader="dot" w:pos="9355"/>
              <w:tab w:val="clear" w:pos="9241"/>
            </w:tabs>
            <w:ind w:firstLine="210"/>
          </w:pPr>
          <w:r>
            <w:fldChar w:fldCharType="begin"/>
          </w:r>
          <w:r>
            <w:instrText xml:space="preserve"> HYPERLINK \l "_Toc697015061" </w:instrText>
          </w:r>
          <w:r>
            <w:fldChar w:fldCharType="separate"/>
          </w:r>
          <w:r>
            <w:rPr>
              <w:rFonts w:hint="eastAsia" w:ascii="黑体" w:eastAsia="黑体"/>
              <w:kern w:val="0"/>
            </w:rPr>
            <w:t xml:space="preserve">5.2 </w:t>
          </w:r>
          <w:r>
            <w:rPr>
              <w:rFonts w:hint="eastAsia"/>
            </w:rPr>
            <w:t>元件分检装置</w:t>
          </w:r>
          <w:r>
            <w:tab/>
          </w:r>
          <w:r>
            <w:fldChar w:fldCharType="begin"/>
          </w:r>
          <w:r>
            <w:instrText xml:space="preserve"> PAGEREF _Toc697015061 \h </w:instrText>
          </w:r>
          <w:r>
            <w:fldChar w:fldCharType="separate"/>
          </w:r>
          <w:r>
            <w:t>5</w:t>
          </w:r>
          <w:r>
            <w:fldChar w:fldCharType="end"/>
          </w:r>
          <w:r>
            <w:fldChar w:fldCharType="end"/>
          </w:r>
        </w:p>
        <w:p w14:paraId="2DCA77D7">
          <w:pPr>
            <w:pStyle w:val="15"/>
            <w:tabs>
              <w:tab w:val="right" w:leader="dot" w:pos="9355"/>
              <w:tab w:val="clear" w:pos="9241"/>
            </w:tabs>
            <w:ind w:firstLine="210"/>
          </w:pPr>
          <w:r>
            <w:fldChar w:fldCharType="begin"/>
          </w:r>
          <w:r>
            <w:instrText xml:space="preserve"> HYPERLINK \l "_Toc2115760252" </w:instrText>
          </w:r>
          <w:r>
            <w:fldChar w:fldCharType="separate"/>
          </w:r>
          <w:r>
            <w:rPr>
              <w:rFonts w:hint="eastAsia" w:ascii="黑体" w:eastAsia="黑体"/>
              <w:kern w:val="0"/>
            </w:rPr>
            <w:t xml:space="preserve">5.3 </w:t>
          </w:r>
          <w:r>
            <w:rPr>
              <w:rFonts w:hint="eastAsia"/>
            </w:rPr>
            <w:t>远程控制子系统</w:t>
          </w:r>
          <w:r>
            <w:tab/>
          </w:r>
          <w:r>
            <w:fldChar w:fldCharType="begin"/>
          </w:r>
          <w:r>
            <w:instrText xml:space="preserve"> PAGEREF _Toc2115760252 \h </w:instrText>
          </w:r>
          <w:r>
            <w:fldChar w:fldCharType="separate"/>
          </w:r>
          <w:r>
            <w:t>5</w:t>
          </w:r>
          <w:r>
            <w:fldChar w:fldCharType="end"/>
          </w:r>
          <w:r>
            <w:fldChar w:fldCharType="end"/>
          </w:r>
        </w:p>
        <w:p w14:paraId="4B644214">
          <w:pPr>
            <w:pStyle w:val="31"/>
            <w:tabs>
              <w:tab w:val="right" w:leader="dot" w:pos="9355"/>
              <w:tab w:val="clear" w:pos="9241"/>
            </w:tabs>
          </w:pPr>
          <w:r>
            <w:fldChar w:fldCharType="begin"/>
          </w:r>
          <w:r>
            <w:instrText xml:space="preserve"> HYPERLINK \l "_Toc900617371" </w:instrText>
          </w:r>
          <w:r>
            <w:fldChar w:fldCharType="separate"/>
          </w:r>
          <w:r>
            <w:rPr>
              <w:rFonts w:hint="eastAsia" w:ascii="黑体" w:eastAsia="黑体"/>
            </w:rPr>
            <w:t xml:space="preserve">6 </w:t>
          </w:r>
          <w:r>
            <w:rPr>
              <w:rFonts w:hint="eastAsia"/>
            </w:rPr>
            <w:t>安全分级</w:t>
          </w:r>
          <w:r>
            <w:tab/>
          </w:r>
          <w:r>
            <w:fldChar w:fldCharType="begin"/>
          </w:r>
          <w:r>
            <w:instrText xml:space="preserve"> PAGEREF _Toc900617371 \h </w:instrText>
          </w:r>
          <w:r>
            <w:fldChar w:fldCharType="separate"/>
          </w:r>
          <w:r>
            <w:t>5</w:t>
          </w:r>
          <w:r>
            <w:fldChar w:fldCharType="end"/>
          </w:r>
          <w:r>
            <w:fldChar w:fldCharType="end"/>
          </w:r>
        </w:p>
        <w:p w14:paraId="6047E456">
          <w:pPr>
            <w:pStyle w:val="31"/>
            <w:tabs>
              <w:tab w:val="right" w:leader="dot" w:pos="9355"/>
              <w:tab w:val="clear" w:pos="9241"/>
            </w:tabs>
          </w:pPr>
          <w:r>
            <w:fldChar w:fldCharType="begin"/>
          </w:r>
          <w:r>
            <w:instrText xml:space="preserve"> HYPERLINK \l "_Toc1105885666" </w:instrText>
          </w:r>
          <w:r>
            <w:fldChar w:fldCharType="separate"/>
          </w:r>
          <w:r>
            <w:rPr>
              <w:rFonts w:hint="eastAsia" w:ascii="黑体" w:eastAsia="黑体"/>
            </w:rPr>
            <w:t xml:space="preserve">7 </w:t>
          </w:r>
          <w:r>
            <w:rPr>
              <w:rFonts w:hint="eastAsia"/>
            </w:rPr>
            <w:t>设计原则</w:t>
          </w:r>
          <w:r>
            <w:tab/>
          </w:r>
          <w:r>
            <w:fldChar w:fldCharType="begin"/>
          </w:r>
          <w:r>
            <w:instrText xml:space="preserve"> PAGEREF _Toc1105885666 \h </w:instrText>
          </w:r>
          <w:r>
            <w:fldChar w:fldCharType="separate"/>
          </w:r>
          <w:r>
            <w:t>5</w:t>
          </w:r>
          <w:r>
            <w:fldChar w:fldCharType="end"/>
          </w:r>
          <w:r>
            <w:fldChar w:fldCharType="end"/>
          </w:r>
        </w:p>
        <w:p w14:paraId="410FA6BC">
          <w:pPr>
            <w:pStyle w:val="15"/>
            <w:tabs>
              <w:tab w:val="right" w:leader="dot" w:pos="9355"/>
              <w:tab w:val="clear" w:pos="9241"/>
            </w:tabs>
            <w:ind w:firstLine="210"/>
          </w:pPr>
          <w:r>
            <w:fldChar w:fldCharType="begin"/>
          </w:r>
          <w:r>
            <w:instrText xml:space="preserve"> HYPERLINK \l "_Toc361989428" </w:instrText>
          </w:r>
          <w:r>
            <w:fldChar w:fldCharType="separate"/>
          </w:r>
          <w:r>
            <w:rPr>
              <w:rFonts w:hint="eastAsia" w:ascii="黑体" w:eastAsia="黑体"/>
              <w:kern w:val="0"/>
            </w:rPr>
            <w:t xml:space="preserve">7.1 </w:t>
          </w:r>
          <w:r>
            <w:rPr>
              <w:rFonts w:hint="eastAsia"/>
            </w:rPr>
            <w:t>燃耗测量装置</w:t>
          </w:r>
          <w:r>
            <w:tab/>
          </w:r>
          <w:r>
            <w:fldChar w:fldCharType="begin"/>
          </w:r>
          <w:r>
            <w:instrText xml:space="preserve"> PAGEREF _Toc361989428 \h </w:instrText>
          </w:r>
          <w:r>
            <w:fldChar w:fldCharType="separate"/>
          </w:r>
          <w:r>
            <w:t>5</w:t>
          </w:r>
          <w:r>
            <w:fldChar w:fldCharType="end"/>
          </w:r>
          <w:r>
            <w:fldChar w:fldCharType="end"/>
          </w:r>
        </w:p>
        <w:p w14:paraId="107C5EEE">
          <w:pPr>
            <w:pStyle w:val="15"/>
            <w:tabs>
              <w:tab w:val="right" w:leader="dot" w:pos="9355"/>
              <w:tab w:val="clear" w:pos="9241"/>
            </w:tabs>
            <w:ind w:firstLine="210"/>
          </w:pPr>
          <w:r>
            <w:fldChar w:fldCharType="begin"/>
          </w:r>
          <w:r>
            <w:instrText xml:space="preserve"> HYPERLINK \l "_Toc412436692" </w:instrText>
          </w:r>
          <w:r>
            <w:fldChar w:fldCharType="separate"/>
          </w:r>
          <w:r>
            <w:rPr>
              <w:rFonts w:hint="eastAsia" w:ascii="黑体" w:eastAsia="黑体"/>
              <w:kern w:val="0"/>
            </w:rPr>
            <w:t xml:space="preserve">7.2 </w:t>
          </w:r>
          <w:r>
            <w:rPr>
              <w:rFonts w:hint="eastAsia"/>
            </w:rPr>
            <w:t>元件分检装置</w:t>
          </w:r>
          <w:r>
            <w:tab/>
          </w:r>
          <w:r>
            <w:fldChar w:fldCharType="begin"/>
          </w:r>
          <w:r>
            <w:instrText xml:space="preserve"> PAGEREF _Toc412436692 \h </w:instrText>
          </w:r>
          <w:r>
            <w:fldChar w:fldCharType="separate"/>
          </w:r>
          <w:r>
            <w:t>6</w:t>
          </w:r>
          <w:r>
            <w:fldChar w:fldCharType="end"/>
          </w:r>
          <w:r>
            <w:fldChar w:fldCharType="end"/>
          </w:r>
        </w:p>
        <w:p w14:paraId="0E5281C4">
          <w:pPr>
            <w:pStyle w:val="15"/>
            <w:tabs>
              <w:tab w:val="right" w:leader="dot" w:pos="9355"/>
              <w:tab w:val="clear" w:pos="9241"/>
            </w:tabs>
            <w:ind w:firstLine="210"/>
          </w:pPr>
          <w:r>
            <w:fldChar w:fldCharType="begin"/>
          </w:r>
          <w:r>
            <w:instrText xml:space="preserve"> HYPERLINK \l "_Toc1380684317" </w:instrText>
          </w:r>
          <w:r>
            <w:fldChar w:fldCharType="separate"/>
          </w:r>
          <w:r>
            <w:rPr>
              <w:rFonts w:hint="eastAsia" w:ascii="黑体" w:eastAsia="黑体"/>
              <w:kern w:val="0"/>
            </w:rPr>
            <w:t xml:space="preserve">7.3 </w:t>
          </w:r>
          <w:r>
            <w:rPr>
              <w:rFonts w:hint="eastAsia"/>
            </w:rPr>
            <w:t>远程控制子系统</w:t>
          </w:r>
          <w:r>
            <w:tab/>
          </w:r>
          <w:r>
            <w:fldChar w:fldCharType="begin"/>
          </w:r>
          <w:r>
            <w:instrText xml:space="preserve"> PAGEREF _Toc1380684317 \h </w:instrText>
          </w:r>
          <w:r>
            <w:fldChar w:fldCharType="separate"/>
          </w:r>
          <w:r>
            <w:t>6</w:t>
          </w:r>
          <w:r>
            <w:fldChar w:fldCharType="end"/>
          </w:r>
          <w:r>
            <w:fldChar w:fldCharType="end"/>
          </w:r>
        </w:p>
        <w:p w14:paraId="0E49039D">
          <w:pPr>
            <w:pStyle w:val="31"/>
            <w:tabs>
              <w:tab w:val="right" w:leader="dot" w:pos="9355"/>
              <w:tab w:val="clear" w:pos="9241"/>
            </w:tabs>
          </w:pPr>
          <w:r>
            <w:fldChar w:fldCharType="begin"/>
          </w:r>
          <w:r>
            <w:instrText xml:space="preserve"> HYPERLINK \l "_Toc2100707171" </w:instrText>
          </w:r>
          <w:r>
            <w:fldChar w:fldCharType="separate"/>
          </w:r>
          <w:r>
            <w:rPr>
              <w:rFonts w:hint="eastAsia" w:ascii="黑体" w:eastAsia="黑体"/>
            </w:rPr>
            <w:t xml:space="preserve">8 </w:t>
          </w:r>
          <w:r>
            <w:rPr>
              <w:rFonts w:hint="eastAsia"/>
            </w:rPr>
            <w:t>设计要求</w:t>
          </w:r>
          <w:r>
            <w:tab/>
          </w:r>
          <w:r>
            <w:fldChar w:fldCharType="begin"/>
          </w:r>
          <w:r>
            <w:instrText xml:space="preserve"> PAGEREF _Toc2100707171 \h </w:instrText>
          </w:r>
          <w:r>
            <w:fldChar w:fldCharType="separate"/>
          </w:r>
          <w:r>
            <w:t>6</w:t>
          </w:r>
          <w:r>
            <w:fldChar w:fldCharType="end"/>
          </w:r>
          <w:r>
            <w:fldChar w:fldCharType="end"/>
          </w:r>
        </w:p>
        <w:p w14:paraId="221C557C">
          <w:pPr>
            <w:pStyle w:val="15"/>
            <w:tabs>
              <w:tab w:val="right" w:leader="dot" w:pos="9355"/>
              <w:tab w:val="clear" w:pos="9241"/>
            </w:tabs>
            <w:ind w:firstLine="210"/>
          </w:pPr>
          <w:r>
            <w:fldChar w:fldCharType="begin"/>
          </w:r>
          <w:r>
            <w:instrText xml:space="preserve"> HYPERLINK \l "_Toc396787478" </w:instrText>
          </w:r>
          <w:r>
            <w:fldChar w:fldCharType="separate"/>
          </w:r>
          <w:r>
            <w:rPr>
              <w:rFonts w:hint="eastAsia" w:ascii="黑体" w:eastAsia="黑体"/>
              <w:kern w:val="0"/>
            </w:rPr>
            <w:t xml:space="preserve">8.1 </w:t>
          </w:r>
          <w:r>
            <w:rPr>
              <w:rFonts w:hint="eastAsia"/>
            </w:rPr>
            <w:t>燃耗测量装置</w:t>
          </w:r>
          <w:r>
            <w:tab/>
          </w:r>
          <w:r>
            <w:fldChar w:fldCharType="begin"/>
          </w:r>
          <w:r>
            <w:instrText xml:space="preserve"> PAGEREF _Toc396787478 \h </w:instrText>
          </w:r>
          <w:r>
            <w:fldChar w:fldCharType="separate"/>
          </w:r>
          <w:r>
            <w:t>6</w:t>
          </w:r>
          <w:r>
            <w:fldChar w:fldCharType="end"/>
          </w:r>
          <w:r>
            <w:fldChar w:fldCharType="end"/>
          </w:r>
        </w:p>
        <w:p w14:paraId="34083969">
          <w:pPr>
            <w:pStyle w:val="15"/>
            <w:tabs>
              <w:tab w:val="right" w:leader="dot" w:pos="9355"/>
              <w:tab w:val="clear" w:pos="9241"/>
            </w:tabs>
            <w:ind w:firstLine="210"/>
          </w:pPr>
          <w:r>
            <w:fldChar w:fldCharType="begin"/>
          </w:r>
          <w:r>
            <w:instrText xml:space="preserve"> HYPERLINK \l "_Toc2054208905" </w:instrText>
          </w:r>
          <w:r>
            <w:fldChar w:fldCharType="separate"/>
          </w:r>
          <w:r>
            <w:rPr>
              <w:rFonts w:hint="eastAsia" w:ascii="黑体" w:eastAsia="黑体"/>
              <w:kern w:val="0"/>
            </w:rPr>
            <w:t xml:space="preserve">8.2 </w:t>
          </w:r>
          <w:r>
            <w:rPr>
              <w:rFonts w:hint="eastAsia"/>
            </w:rPr>
            <w:t>元件分检装置</w:t>
          </w:r>
          <w:r>
            <w:tab/>
          </w:r>
          <w:r>
            <w:fldChar w:fldCharType="begin"/>
          </w:r>
          <w:r>
            <w:instrText xml:space="preserve"> PAGEREF _Toc2054208905 \h </w:instrText>
          </w:r>
          <w:r>
            <w:fldChar w:fldCharType="separate"/>
          </w:r>
          <w:r>
            <w:t>7</w:t>
          </w:r>
          <w:r>
            <w:fldChar w:fldCharType="end"/>
          </w:r>
          <w:r>
            <w:fldChar w:fldCharType="end"/>
          </w:r>
        </w:p>
        <w:p w14:paraId="3A8F2FEF">
          <w:pPr>
            <w:pStyle w:val="15"/>
            <w:tabs>
              <w:tab w:val="right" w:leader="dot" w:pos="9355"/>
              <w:tab w:val="clear" w:pos="9241"/>
            </w:tabs>
            <w:ind w:firstLine="210"/>
          </w:pPr>
          <w:r>
            <w:fldChar w:fldCharType="begin"/>
          </w:r>
          <w:r>
            <w:instrText xml:space="preserve"> HYPERLINK \l "_Toc1627422103" </w:instrText>
          </w:r>
          <w:r>
            <w:fldChar w:fldCharType="separate"/>
          </w:r>
          <w:r>
            <w:rPr>
              <w:rFonts w:hint="eastAsia" w:ascii="黑体" w:eastAsia="黑体"/>
              <w:kern w:val="0"/>
            </w:rPr>
            <w:t xml:space="preserve">8.3 </w:t>
          </w:r>
          <w:r>
            <w:rPr>
              <w:rFonts w:hint="eastAsia"/>
            </w:rPr>
            <w:t>通用要求</w:t>
          </w:r>
          <w:r>
            <w:tab/>
          </w:r>
          <w:r>
            <w:fldChar w:fldCharType="begin"/>
          </w:r>
          <w:r>
            <w:instrText xml:space="preserve"> PAGEREF _Toc1627422103 \h </w:instrText>
          </w:r>
          <w:r>
            <w:fldChar w:fldCharType="separate"/>
          </w:r>
          <w:r>
            <w:t>7</w:t>
          </w:r>
          <w:r>
            <w:fldChar w:fldCharType="end"/>
          </w:r>
          <w:r>
            <w:fldChar w:fldCharType="end"/>
          </w:r>
        </w:p>
        <w:p w14:paraId="222EC5E8">
          <w:pPr>
            <w:pStyle w:val="22"/>
            <w:spacing w:before="78" w:after="78"/>
          </w:pPr>
          <w:r>
            <w:rPr>
              <w:b/>
              <w:bCs/>
              <w:lang w:val="zh-CN"/>
            </w:rPr>
            <w:fldChar w:fldCharType="end"/>
          </w:r>
        </w:p>
      </w:sdtContent>
    </w:sdt>
    <w:p w14:paraId="776B2633">
      <w:pPr>
        <w:pStyle w:val="26"/>
      </w:pPr>
    </w:p>
    <w:p w14:paraId="64A57952">
      <w:pPr>
        <w:pStyle w:val="26"/>
      </w:pPr>
    </w:p>
    <w:p w14:paraId="3B2C364D">
      <w:pPr>
        <w:pStyle w:val="114"/>
      </w:pPr>
      <w:bookmarkStart w:id="8" w:name="_Toc20302068"/>
      <w:bookmarkStart w:id="9" w:name="_Toc555585819"/>
      <w:r>
        <w:rPr>
          <w:rFonts w:hint="eastAsia"/>
        </w:rPr>
        <w:t>前</w:t>
      </w:r>
      <w:bookmarkStart w:id="10" w:name="BKQY"/>
      <w:r>
        <w:rPr>
          <w:rFonts w:hint="eastAsia" w:ascii="MS Mincho" w:hAnsi="MS Mincho" w:eastAsia="MS Mincho" w:cs="MS Mincho"/>
        </w:rPr>
        <w:t>  </w:t>
      </w:r>
      <w:r>
        <w:rPr>
          <w:rFonts w:hint="eastAsia"/>
        </w:rPr>
        <w:t>言</w:t>
      </w:r>
      <w:bookmarkEnd w:id="8"/>
      <w:bookmarkEnd w:id="9"/>
      <w:bookmarkEnd w:id="10"/>
    </w:p>
    <w:p w14:paraId="2A2BF6F3">
      <w:pPr>
        <w:pStyle w:val="26"/>
        <w:rPr>
          <w:rFonts w:ascii="Times New Roman"/>
        </w:rPr>
      </w:pPr>
      <w:r>
        <w:rPr>
          <w:rFonts w:ascii="Times New Roman"/>
        </w:rPr>
        <w:t>本</w:t>
      </w:r>
      <w:r>
        <w:rPr>
          <w:rFonts w:hint="eastAsia" w:ascii="Times New Roman"/>
        </w:rPr>
        <w:t>文件</w:t>
      </w:r>
      <w:r>
        <w:rPr>
          <w:rFonts w:ascii="Times New Roman"/>
        </w:rPr>
        <w:t>按照GB/T 1.1</w:t>
      </w:r>
      <w:r>
        <w:rPr>
          <w:rFonts w:hint="eastAsia" w:ascii="Times New Roman"/>
        </w:rPr>
        <w:t>—</w:t>
      </w:r>
      <w:r>
        <w:rPr>
          <w:rFonts w:hint="eastAsia"/>
        </w:rPr>
        <w:t>2020《标准化工作导则 第1部分：标准化文件的结构和起草规则》的规定起草</w:t>
      </w:r>
      <w:r>
        <w:rPr>
          <w:rFonts w:ascii="Times New Roman"/>
        </w:rPr>
        <w:t>。</w:t>
      </w:r>
    </w:p>
    <w:p w14:paraId="73AD8CFC">
      <w:pPr>
        <w:pStyle w:val="26"/>
        <w:rPr>
          <w:rFonts w:ascii="Times New Roman"/>
        </w:rPr>
      </w:pPr>
      <w:r>
        <w:rPr>
          <w:rFonts w:hint="eastAsia" w:ascii="Times New Roman"/>
        </w:rPr>
        <w:t>请注意本文件的某些内容可能涉及专利。本文件的发布机构不承担识别专利的责任。</w:t>
      </w:r>
    </w:p>
    <w:p w14:paraId="64068F0A">
      <w:pPr>
        <w:pStyle w:val="26"/>
        <w:rPr>
          <w:rFonts w:ascii="Times New Roman"/>
        </w:rPr>
      </w:pPr>
      <w:r>
        <w:rPr>
          <w:rFonts w:hint="eastAsia" w:ascii="Times New Roman"/>
        </w:rPr>
        <w:t>本标准由中国核学会提出。</w:t>
      </w:r>
    </w:p>
    <w:p w14:paraId="6AAA5742">
      <w:pPr>
        <w:pStyle w:val="26"/>
        <w:rPr>
          <w:rFonts w:ascii="Times New Roman"/>
          <w:color w:val="000000"/>
        </w:rPr>
      </w:pPr>
      <w:r>
        <w:rPr>
          <w:rFonts w:hint="eastAsia" w:ascii="Times New Roman"/>
        </w:rPr>
        <w:t>本标</w:t>
      </w:r>
      <w:r>
        <w:rPr>
          <w:rFonts w:hint="eastAsia" w:ascii="Times New Roman"/>
          <w:color w:val="000000"/>
        </w:rPr>
        <w:t>准由核工业标准化研究所归口。</w:t>
      </w:r>
    </w:p>
    <w:p w14:paraId="23E27D02">
      <w:pPr>
        <w:pStyle w:val="26"/>
        <w:rPr>
          <w:rFonts w:ascii="Times New Roman"/>
        </w:rPr>
      </w:pPr>
      <w:r>
        <w:rPr>
          <w:rFonts w:hint="eastAsia" w:ascii="Times New Roman"/>
          <w:color w:val="000000"/>
        </w:rPr>
        <w:t>本标准起草单位：</w:t>
      </w:r>
      <w:r>
        <w:rPr>
          <w:rFonts w:hint="eastAsia" w:ascii="Times New Roman"/>
        </w:rPr>
        <w:t>清华大学核能与新能源技术研究院，中核能源科技有限公司，中核战略规划总院标准化所</w:t>
      </w:r>
    </w:p>
    <w:p w14:paraId="42E27D22">
      <w:pPr>
        <w:pStyle w:val="26"/>
        <w:rPr>
          <w:rFonts w:ascii="Times New Roman"/>
        </w:rPr>
      </w:pPr>
      <w:r>
        <w:rPr>
          <w:rFonts w:hint="eastAsia" w:ascii="Times New Roman"/>
        </w:rPr>
        <w:t>本标准主要起草人：张立国 肖海燕 XXXX XXXX 。</w:t>
      </w:r>
    </w:p>
    <w:p w14:paraId="05E75F2A">
      <w:pPr>
        <w:pStyle w:val="26"/>
      </w:pPr>
    </w:p>
    <w:p w14:paraId="6FF45203">
      <w:pPr>
        <w:pStyle w:val="26"/>
        <w:ind w:firstLine="0" w:firstLineChars="0"/>
        <w:sectPr>
          <w:headerReference r:id="rId5" w:type="default"/>
          <w:footerReference r:id="rId6" w:type="default"/>
          <w:pgSz w:w="11906" w:h="16838"/>
          <w:pgMar w:top="567" w:right="1134" w:bottom="1134" w:left="1417" w:header="1418" w:footer="1134" w:gutter="0"/>
          <w:pgNumType w:fmt="upperRoman" w:start="1"/>
          <w:cols w:space="425" w:num="1"/>
          <w:formProt w:val="0"/>
          <w:docGrid w:type="lines" w:linePitch="312" w:charSpace="0"/>
        </w:sectPr>
      </w:pPr>
    </w:p>
    <w:p w14:paraId="2143884B">
      <w:pPr>
        <w:pStyle w:val="26"/>
        <w:ind w:firstLine="640"/>
        <w:jc w:val="center"/>
        <w:rPr>
          <w:rFonts w:hint="eastAsia" w:ascii="黑体" w:hAnsi="黑体" w:eastAsia="黑体"/>
          <w:sz w:val="32"/>
          <w:szCs w:val="32"/>
        </w:rPr>
      </w:pPr>
      <w:bookmarkStart w:id="11" w:name="_Toc48658962"/>
      <w:r>
        <w:rPr>
          <w:rFonts w:hint="eastAsia" w:ascii="黑体" w:hAnsi="黑体" w:eastAsia="黑体"/>
          <w:sz w:val="32"/>
          <w:szCs w:val="32"/>
        </w:rPr>
        <w:t>高温气冷堆核动力厂</w:t>
      </w:r>
      <w:bookmarkEnd w:id="11"/>
      <w:r>
        <w:rPr>
          <w:rFonts w:hint="eastAsia" w:ascii="黑体" w:hAnsi="黑体" w:eastAsia="黑体"/>
          <w:sz w:val="32"/>
          <w:szCs w:val="32"/>
        </w:rPr>
        <w:t>燃耗测量系统设计准则</w:t>
      </w:r>
    </w:p>
    <w:p w14:paraId="36D07439">
      <w:pPr>
        <w:pStyle w:val="47"/>
        <w:ind w:left="0"/>
        <w:rPr>
          <w:szCs w:val="21"/>
        </w:rPr>
      </w:pPr>
      <w:bookmarkStart w:id="12" w:name="_Toc20301579"/>
      <w:bookmarkStart w:id="13" w:name="_Toc20302069"/>
      <w:bookmarkStart w:id="14" w:name="_Toc852050916"/>
      <w:r>
        <w:rPr>
          <w:rFonts w:hint="eastAsia"/>
          <w:szCs w:val="21"/>
        </w:rPr>
        <w:t>范围</w:t>
      </w:r>
      <w:bookmarkEnd w:id="12"/>
      <w:bookmarkEnd w:id="13"/>
      <w:bookmarkEnd w:id="14"/>
    </w:p>
    <w:p w14:paraId="7607736A">
      <w:pPr>
        <w:pStyle w:val="26"/>
        <w:rPr>
          <w:rFonts w:ascii="Times New Roman"/>
        </w:rPr>
      </w:pPr>
      <w:r>
        <w:rPr>
          <w:rFonts w:hint="eastAsia" w:ascii="Times New Roman"/>
        </w:rPr>
        <w:t>本文件</w:t>
      </w:r>
      <w:r>
        <w:rPr>
          <w:rFonts w:ascii="Times New Roman"/>
        </w:rPr>
        <w:t>规定了</w:t>
      </w:r>
      <w:r>
        <w:rPr>
          <w:rFonts w:hint="eastAsia" w:ascii="Times New Roman"/>
        </w:rPr>
        <w:t>球床高温气冷堆（以下简称：高温气冷堆）核动力厂燃耗测量系统设计准则，包括系统功能、系统组成、安全分级、设计原则和设计要求</w:t>
      </w:r>
      <w:r>
        <w:rPr>
          <w:rFonts w:ascii="Times New Roman"/>
        </w:rPr>
        <w:t>。</w:t>
      </w:r>
    </w:p>
    <w:p w14:paraId="16E39901">
      <w:pPr>
        <w:pStyle w:val="26"/>
      </w:pPr>
      <w:r>
        <w:rPr>
          <w:rFonts w:ascii="Times New Roman"/>
        </w:rPr>
        <w:t>本</w:t>
      </w:r>
      <w:r>
        <w:rPr>
          <w:rFonts w:hint="eastAsia" w:ascii="Times New Roman"/>
        </w:rPr>
        <w:t>文件</w:t>
      </w:r>
      <w:r>
        <w:rPr>
          <w:rFonts w:ascii="Times New Roman"/>
        </w:rPr>
        <w:t>适用于高温气冷堆核</w:t>
      </w:r>
      <w:r>
        <w:rPr>
          <w:rFonts w:hint="eastAsia" w:ascii="Times New Roman"/>
        </w:rPr>
        <w:t>动力</w:t>
      </w:r>
      <w:r>
        <w:rPr>
          <w:rFonts w:ascii="Times New Roman"/>
        </w:rPr>
        <w:t>厂</w:t>
      </w:r>
      <w:r>
        <w:rPr>
          <w:rFonts w:hint="eastAsia" w:ascii="Times New Roman"/>
        </w:rPr>
        <w:t>燃耗测量系统设计</w:t>
      </w:r>
      <w:r>
        <w:rPr>
          <w:rFonts w:ascii="Times New Roman"/>
        </w:rPr>
        <w:t>。</w:t>
      </w:r>
    </w:p>
    <w:p w14:paraId="347179A1">
      <w:pPr>
        <w:pStyle w:val="47"/>
        <w:ind w:left="0"/>
        <w:rPr>
          <w:szCs w:val="21"/>
        </w:rPr>
      </w:pPr>
      <w:bookmarkStart w:id="15" w:name="_Toc20301580"/>
      <w:bookmarkStart w:id="16" w:name="_Toc20302070"/>
      <w:bookmarkStart w:id="17" w:name="_Toc1454072196"/>
      <w:r>
        <w:rPr>
          <w:rFonts w:hint="eastAsia"/>
          <w:szCs w:val="21"/>
        </w:rPr>
        <w:t>规范性引用文件</w:t>
      </w:r>
      <w:bookmarkEnd w:id="15"/>
      <w:bookmarkEnd w:id="16"/>
      <w:bookmarkEnd w:id="17"/>
    </w:p>
    <w:p w14:paraId="0053ED29">
      <w:pPr>
        <w:pStyle w:val="26"/>
      </w:pPr>
      <w:r>
        <w:rPr>
          <w:rFonts w:hint="eastAsia"/>
        </w:rPr>
        <w:t>下列文件对于本文件的应用是必不可少的。凡是注日期的引用文件，仅所注日期的版本适用于本文件。凡是不注日期的引用文件，其最新版本（包括所有的修改单）适用于本文件。</w:t>
      </w:r>
    </w:p>
    <w:tbl>
      <w:tblPr>
        <w:tblStyle w:val="36"/>
        <w:tblW w:w="8423" w:type="dxa"/>
        <w:tblInd w:w="51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16"/>
        <w:gridCol w:w="6307"/>
      </w:tblGrid>
      <w:tr w14:paraId="3D6180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16" w:type="dxa"/>
          </w:tcPr>
          <w:p w14:paraId="2EBDDEF0">
            <w:pPr>
              <w:pStyle w:val="145"/>
              <w:ind w:firstLine="0"/>
              <w:rPr>
                <w:rFonts w:ascii="宋体" w:eastAsia="宋体"/>
                <w:sz w:val="21"/>
                <w:szCs w:val="21"/>
              </w:rPr>
            </w:pPr>
            <w:r>
              <w:rPr>
                <w:rFonts w:ascii="宋体" w:eastAsia="宋体"/>
                <w:sz w:val="21"/>
                <w:szCs w:val="21"/>
              </w:rPr>
              <w:t>GB/T 11684</w:t>
            </w:r>
          </w:p>
        </w:tc>
        <w:tc>
          <w:tcPr>
            <w:tcW w:w="6307" w:type="dxa"/>
          </w:tcPr>
          <w:p w14:paraId="451E7B00">
            <w:pPr>
              <w:pStyle w:val="145"/>
              <w:ind w:firstLine="0"/>
              <w:rPr>
                <w:rFonts w:ascii="宋体" w:eastAsia="宋体"/>
                <w:sz w:val="21"/>
                <w:szCs w:val="21"/>
              </w:rPr>
            </w:pPr>
            <w:r>
              <w:rPr>
                <w:rFonts w:hint="eastAsia" w:ascii="宋体" w:eastAsia="宋体"/>
                <w:sz w:val="21"/>
                <w:szCs w:val="21"/>
              </w:rPr>
              <w:t>核仪器电磁环境条件与试验方法</w:t>
            </w:r>
          </w:p>
        </w:tc>
      </w:tr>
      <w:tr w14:paraId="35000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16" w:type="dxa"/>
          </w:tcPr>
          <w:p w14:paraId="6094FFBE">
            <w:pPr>
              <w:pStyle w:val="145"/>
              <w:ind w:firstLine="0"/>
              <w:rPr>
                <w:rFonts w:ascii="宋体" w:eastAsia="宋体"/>
                <w:sz w:val="21"/>
                <w:szCs w:val="21"/>
              </w:rPr>
            </w:pPr>
            <w:r>
              <w:rPr>
                <w:rFonts w:ascii="宋体" w:eastAsia="宋体"/>
                <w:sz w:val="21"/>
                <w:szCs w:val="21"/>
              </w:rPr>
              <w:t>GB/T 8993</w:t>
            </w:r>
          </w:p>
        </w:tc>
        <w:tc>
          <w:tcPr>
            <w:tcW w:w="6307" w:type="dxa"/>
          </w:tcPr>
          <w:p w14:paraId="4F240C7D">
            <w:pPr>
              <w:pStyle w:val="145"/>
              <w:ind w:firstLine="0"/>
              <w:rPr>
                <w:rFonts w:ascii="宋体" w:eastAsia="宋体"/>
                <w:sz w:val="21"/>
                <w:szCs w:val="21"/>
              </w:rPr>
            </w:pPr>
            <w:r>
              <w:rPr>
                <w:rFonts w:hint="eastAsia" w:ascii="宋体" w:eastAsia="宋体"/>
                <w:sz w:val="21"/>
                <w:szCs w:val="21"/>
              </w:rPr>
              <w:t>核仪器环境条件与试验方法</w:t>
            </w:r>
          </w:p>
        </w:tc>
      </w:tr>
    </w:tbl>
    <w:p w14:paraId="5D88AB5F">
      <w:pPr>
        <w:pStyle w:val="47"/>
        <w:ind w:left="0"/>
        <w:rPr>
          <w:szCs w:val="21"/>
        </w:rPr>
      </w:pPr>
      <w:bookmarkStart w:id="18" w:name="_Toc1036971007"/>
      <w:bookmarkStart w:id="19" w:name="_Toc381002925"/>
      <w:bookmarkStart w:id="20" w:name="_Toc502135604"/>
      <w:bookmarkStart w:id="21" w:name="_Toc490662725"/>
      <w:bookmarkStart w:id="22" w:name="_Toc381003436"/>
      <w:bookmarkStart w:id="23" w:name="_Toc380005105"/>
      <w:bookmarkStart w:id="24" w:name="_Toc504579062"/>
      <w:bookmarkStart w:id="25" w:name="_Toc504579609"/>
      <w:bookmarkStart w:id="26" w:name="_Toc20302071"/>
      <w:r>
        <w:rPr>
          <w:rFonts w:hint="eastAsia"/>
          <w:szCs w:val="21"/>
        </w:rPr>
        <w:t>术语和定义</w:t>
      </w:r>
      <w:bookmarkEnd w:id="18"/>
      <w:bookmarkEnd w:id="19"/>
      <w:bookmarkEnd w:id="20"/>
      <w:bookmarkEnd w:id="21"/>
      <w:bookmarkEnd w:id="22"/>
      <w:bookmarkEnd w:id="23"/>
      <w:bookmarkEnd w:id="24"/>
      <w:bookmarkEnd w:id="25"/>
      <w:bookmarkEnd w:id="26"/>
    </w:p>
    <w:p w14:paraId="1493712B">
      <w:pPr>
        <w:pStyle w:val="26"/>
      </w:pPr>
      <w:r>
        <w:rPr>
          <w:rFonts w:hint="eastAsia"/>
        </w:rPr>
        <w:t>下列术语和定义适用于本文件。</w:t>
      </w:r>
    </w:p>
    <w:p w14:paraId="5F234E27">
      <w:pPr>
        <w:pStyle w:val="44"/>
        <w:ind w:left="0"/>
        <w:outlineLvl w:val="9"/>
      </w:pPr>
    </w:p>
    <w:p w14:paraId="687A048F">
      <w:pPr>
        <w:pStyle w:val="150"/>
      </w:pPr>
      <w:r>
        <w:rPr>
          <w:rFonts w:hint="eastAsia"/>
        </w:rPr>
        <w:t>燃耗深度 burnup</w:t>
      </w:r>
    </w:p>
    <w:p w14:paraId="2C0DCC59">
      <w:pPr>
        <w:pStyle w:val="26"/>
        <w:rPr>
          <w:rFonts w:ascii="Times New Roman"/>
        </w:rPr>
      </w:pPr>
      <w:r>
        <w:rPr>
          <w:rFonts w:hint="eastAsia" w:ascii="Times New Roman"/>
        </w:rPr>
        <w:t>比燃耗，或简称燃耗，指单位质量核燃料释放的总能量。</w:t>
      </w:r>
    </w:p>
    <w:p w14:paraId="2865497A">
      <w:pPr>
        <w:pStyle w:val="44"/>
        <w:ind w:left="0"/>
        <w:outlineLvl w:val="9"/>
      </w:pPr>
    </w:p>
    <w:p w14:paraId="50C08A50">
      <w:pPr>
        <w:pStyle w:val="150"/>
      </w:pPr>
      <w:r>
        <w:rPr>
          <w:rFonts w:hint="eastAsia"/>
        </w:rPr>
        <w:t xml:space="preserve">燃料球 </w:t>
      </w:r>
      <w:r>
        <w:t>fuel pebble</w:t>
      </w:r>
    </w:p>
    <w:p w14:paraId="0586F35C">
      <w:pPr>
        <w:pStyle w:val="26"/>
        <w:rPr>
          <w:rFonts w:ascii="Times New Roman"/>
        </w:rPr>
      </w:pPr>
      <w:r>
        <w:rPr>
          <w:rFonts w:hint="eastAsia" w:ascii="Times New Roman"/>
        </w:rPr>
        <w:t>指高温气冷堆中使用的球形燃料元件。</w:t>
      </w:r>
    </w:p>
    <w:p w14:paraId="2532D129">
      <w:pPr>
        <w:pStyle w:val="44"/>
        <w:ind w:left="0"/>
        <w:outlineLvl w:val="9"/>
      </w:pPr>
    </w:p>
    <w:p w14:paraId="298EE956">
      <w:pPr>
        <w:pStyle w:val="150"/>
      </w:pPr>
      <w:r>
        <w:rPr>
          <w:rFonts w:hint="eastAsia"/>
        </w:rPr>
        <w:t>石墨球 graphite</w:t>
      </w:r>
      <w:r>
        <w:t xml:space="preserve"> </w:t>
      </w:r>
      <w:r>
        <w:rPr>
          <w:rFonts w:hint="eastAsia"/>
        </w:rPr>
        <w:t>pebble</w:t>
      </w:r>
    </w:p>
    <w:p w14:paraId="6A9A611B">
      <w:pPr>
        <w:pStyle w:val="26"/>
      </w:pPr>
      <w:r>
        <w:rPr>
          <w:rFonts w:hint="eastAsia"/>
        </w:rPr>
        <w:t>指高温气冷堆中使用的球形石墨元件。</w:t>
      </w:r>
    </w:p>
    <w:p w14:paraId="3F8C32FB">
      <w:pPr>
        <w:pStyle w:val="44"/>
        <w:ind w:left="0"/>
        <w:outlineLvl w:val="9"/>
      </w:pPr>
    </w:p>
    <w:p w14:paraId="008CAFCA">
      <w:pPr>
        <w:pStyle w:val="26"/>
        <w:rPr>
          <w:rFonts w:ascii="Times New Roman" w:eastAsia="黑体"/>
        </w:rPr>
      </w:pPr>
      <w:r>
        <w:rPr>
          <w:rFonts w:ascii="Times New Roman" w:eastAsia="黑体"/>
        </w:rPr>
        <w:t xml:space="preserve">乏燃料球 spent </w:t>
      </w:r>
      <w:r>
        <w:rPr>
          <w:rFonts w:hint="eastAsia" w:ascii="Times New Roman" w:eastAsia="黑体"/>
        </w:rPr>
        <w:t>fuel pebble</w:t>
      </w:r>
    </w:p>
    <w:p w14:paraId="30407B60">
      <w:pPr>
        <w:pStyle w:val="26"/>
        <w:rPr>
          <w:rFonts w:ascii="Times New Roman"/>
          <w:szCs w:val="21"/>
        </w:rPr>
      </w:pPr>
      <w:r>
        <w:rPr>
          <w:rFonts w:hint="eastAsia" w:ascii="Times New Roman"/>
          <w:szCs w:val="21"/>
        </w:rPr>
        <w:t>指燃耗深度大于卸料燃耗整定值的燃料球。</w:t>
      </w:r>
    </w:p>
    <w:p w14:paraId="34C9E50C">
      <w:pPr>
        <w:pStyle w:val="44"/>
        <w:ind w:left="0"/>
        <w:outlineLvl w:val="9"/>
      </w:pPr>
    </w:p>
    <w:p w14:paraId="4064D42A">
      <w:pPr>
        <w:pStyle w:val="150"/>
      </w:pPr>
      <w:r>
        <w:rPr>
          <w:rFonts w:hint="eastAsia"/>
        </w:rPr>
        <w:t>富集度 enrichment</w:t>
      </w:r>
    </w:p>
    <w:p w14:paraId="772C266F">
      <w:pPr>
        <w:pStyle w:val="26"/>
      </w:pPr>
      <w:r>
        <w:rPr>
          <w:rFonts w:hint="eastAsia"/>
        </w:rPr>
        <w:t>指铀燃料中</w:t>
      </w:r>
      <w:r>
        <w:rPr>
          <w:rFonts w:hint="eastAsia"/>
          <w:vertAlign w:val="superscript"/>
          <w:lang w:val="en-US" w:eastAsia="zh-CN"/>
        </w:rPr>
        <w:t>235</w:t>
      </w:r>
      <w:r>
        <w:rPr>
          <w:rFonts w:hint="eastAsia"/>
        </w:rPr>
        <w:t>U的质量分数。</w:t>
      </w:r>
    </w:p>
    <w:p w14:paraId="73CB6A4E">
      <w:pPr>
        <w:pStyle w:val="44"/>
        <w:ind w:left="0"/>
        <w:outlineLvl w:val="9"/>
      </w:pPr>
    </w:p>
    <w:p w14:paraId="5DBA2773">
      <w:pPr>
        <w:pStyle w:val="150"/>
      </w:pPr>
      <w:r>
        <w:rPr>
          <w:rFonts w:hint="eastAsia"/>
        </w:rPr>
        <w:t>能量分辨率 energy resolution</w:t>
      </w:r>
    </w:p>
    <w:p w14:paraId="49883D05">
      <w:pPr>
        <w:pStyle w:val="26"/>
      </w:pPr>
      <w:r>
        <w:rPr>
          <w:rFonts w:hint="eastAsia"/>
        </w:rPr>
        <w:t>辐射谱仪能分辨的两个粒子能量之间的最小差值。能量分辨率用一个因子表示，该因子是在单能粒子分布曲线峰的半高宽（能量）除以峰位对应能量，也常用分布曲线的半高宽（能量）直接表示，本标准中采用后者。能量分辨率也常简称分辨率。</w:t>
      </w:r>
    </w:p>
    <w:p w14:paraId="0A99C548">
      <w:pPr>
        <w:pStyle w:val="44"/>
        <w:ind w:left="0"/>
        <w:outlineLvl w:val="9"/>
      </w:pPr>
    </w:p>
    <w:p w14:paraId="4832142D">
      <w:pPr>
        <w:pStyle w:val="150"/>
      </w:pPr>
      <w:r>
        <w:rPr>
          <w:rFonts w:hint="eastAsia"/>
        </w:rPr>
        <w:t>相对效率刻度 efficiency</w:t>
      </w:r>
      <w:r>
        <w:t xml:space="preserve"> </w:t>
      </w:r>
      <w:r>
        <w:rPr>
          <w:rFonts w:hint="eastAsia"/>
        </w:rPr>
        <w:t>calibration</w:t>
      </w:r>
    </w:p>
    <w:p w14:paraId="443CE4F4">
      <w:pPr>
        <w:pStyle w:val="26"/>
      </w:pPr>
      <w:r>
        <w:rPr>
          <w:rFonts w:hint="eastAsia"/>
        </w:rPr>
        <w:t>指通过技术手段确定高纯锗γ谱仪</w:t>
      </w:r>
      <w:r>
        <w:rPr>
          <w:rFonts w:hint="eastAsia"/>
          <w:lang w:eastAsia="zh-CN"/>
        </w:rPr>
        <w:t>子</w:t>
      </w:r>
      <w:r>
        <w:rPr>
          <w:rFonts w:hint="eastAsia"/>
        </w:rPr>
        <w:t>系统探测其他能量的γ射线的探测效率相对于</w:t>
      </w:r>
      <w:r>
        <w:rPr>
          <w:rFonts w:hint="eastAsia"/>
          <w:vertAlign w:val="superscript"/>
          <w:lang w:val="en-US" w:eastAsia="zh-CN"/>
        </w:rPr>
        <w:t>137</w:t>
      </w:r>
      <w:r>
        <w:rPr>
          <w:rFonts w:hint="eastAsia"/>
        </w:rPr>
        <w:t>Cs</w:t>
      </w:r>
      <w:r>
        <w:t xml:space="preserve"> 661</w:t>
      </w:r>
      <w:r>
        <w:rPr>
          <w:rFonts w:hint="eastAsia"/>
        </w:rPr>
        <w:t>.657</w:t>
      </w:r>
      <w:r>
        <w:rPr>
          <w:rFonts w:hint="eastAsia"/>
          <w:lang w:val="en-US" w:eastAsia="zh-CN"/>
        </w:rPr>
        <w:t xml:space="preserve"> </w:t>
      </w:r>
      <w:r>
        <w:rPr>
          <w:rFonts w:hint="eastAsia"/>
        </w:rPr>
        <w:t>keV特征射线探测效率的过程。</w:t>
      </w:r>
    </w:p>
    <w:p w14:paraId="6F283FFA">
      <w:pPr>
        <w:pStyle w:val="44"/>
        <w:ind w:left="0"/>
        <w:outlineLvl w:val="9"/>
      </w:pPr>
    </w:p>
    <w:p w14:paraId="762B43C4">
      <w:pPr>
        <w:pStyle w:val="150"/>
      </w:pPr>
      <w:r>
        <w:rPr>
          <w:rFonts w:hint="eastAsia"/>
        </w:rPr>
        <w:t>标准刻度 standard</w:t>
      </w:r>
      <w:r>
        <w:t xml:space="preserve"> </w:t>
      </w:r>
      <w:r>
        <w:rPr>
          <w:rFonts w:hint="eastAsia"/>
        </w:rPr>
        <w:t>calibration</w:t>
      </w:r>
    </w:p>
    <w:p w14:paraId="74D3B069">
      <w:pPr>
        <w:pStyle w:val="26"/>
      </w:pPr>
      <w:r>
        <w:rPr>
          <w:rFonts w:hint="eastAsia"/>
        </w:rPr>
        <w:t>指通过标准刻度源确定γ能谱中</w:t>
      </w:r>
      <w:r>
        <w:rPr>
          <w:rFonts w:hint="eastAsia"/>
          <w:vertAlign w:val="superscript"/>
          <w:lang w:val="en-US" w:eastAsia="zh-CN"/>
        </w:rPr>
        <w:t>137</w:t>
      </w:r>
      <w:r>
        <w:rPr>
          <w:rFonts w:hint="eastAsia"/>
          <w:lang w:val="en-US" w:eastAsia="zh-CN"/>
        </w:rPr>
        <w:t>Cs</w:t>
      </w:r>
      <w:r>
        <w:t xml:space="preserve"> 661.657keV</w:t>
      </w:r>
      <w:r>
        <w:rPr>
          <w:rFonts w:hint="eastAsia"/>
        </w:rPr>
        <w:t>特征峰射线净计数率与标准刻度源活度之间关系的刻度过程。</w:t>
      </w:r>
    </w:p>
    <w:p w14:paraId="0753553A">
      <w:pPr>
        <w:pStyle w:val="44"/>
        <w:ind w:left="0"/>
        <w:outlineLvl w:val="9"/>
      </w:pPr>
    </w:p>
    <w:p w14:paraId="22F94540">
      <w:pPr>
        <w:pStyle w:val="26"/>
        <w:rPr>
          <w:rFonts w:ascii="Times New Roman" w:eastAsia="黑体"/>
        </w:rPr>
      </w:pPr>
      <w:r>
        <w:rPr>
          <w:rFonts w:hint="eastAsia" w:ascii="Times New Roman" w:eastAsia="黑体"/>
        </w:rPr>
        <w:t>系统校检</w:t>
      </w:r>
      <w:r>
        <w:rPr>
          <w:rFonts w:hint="eastAsia"/>
        </w:rPr>
        <w:t xml:space="preserve"> </w:t>
      </w:r>
      <w:r>
        <w:rPr>
          <w:rFonts w:hint="eastAsia" w:ascii="Times New Roman" w:eastAsia="黑体"/>
        </w:rPr>
        <w:t>efficiency check</w:t>
      </w:r>
    </w:p>
    <w:p w14:paraId="4FE25E0C">
      <w:pPr>
        <w:pStyle w:val="26"/>
      </w:pPr>
      <w:r>
        <w:rPr>
          <w:rFonts w:hint="eastAsia"/>
        </w:rPr>
        <w:t>指对高纯锗γ谱仪</w:t>
      </w:r>
      <w:r>
        <w:rPr>
          <w:rFonts w:hint="eastAsia"/>
          <w:lang w:eastAsia="zh-CN"/>
        </w:rPr>
        <w:t>子</w:t>
      </w:r>
      <w:r>
        <w:rPr>
          <w:rFonts w:hint="eastAsia"/>
        </w:rPr>
        <w:t>系统的探测效率稳定性的定期核查和校正，即探测效率监督。</w:t>
      </w:r>
    </w:p>
    <w:p w14:paraId="3A3EDC3C">
      <w:pPr>
        <w:pStyle w:val="47"/>
        <w:ind w:left="0"/>
        <w:rPr>
          <w:szCs w:val="21"/>
        </w:rPr>
      </w:pPr>
      <w:bookmarkStart w:id="27" w:name="_Toc119926288"/>
      <w:bookmarkEnd w:id="27"/>
      <w:bookmarkStart w:id="28" w:name="_Toc48658972"/>
      <w:bookmarkEnd w:id="28"/>
      <w:bookmarkStart w:id="29" w:name="_Toc119926396"/>
      <w:bookmarkEnd w:id="29"/>
      <w:bookmarkStart w:id="30" w:name="_Toc381002926"/>
      <w:bookmarkEnd w:id="30"/>
      <w:bookmarkStart w:id="31" w:name="_Toc48658966"/>
      <w:bookmarkEnd w:id="31"/>
      <w:bookmarkStart w:id="32" w:name="_Toc119926394"/>
      <w:bookmarkEnd w:id="32"/>
      <w:bookmarkStart w:id="33" w:name="_Toc119926395"/>
      <w:bookmarkEnd w:id="33"/>
      <w:bookmarkStart w:id="34" w:name="_Toc119926287"/>
      <w:bookmarkEnd w:id="34"/>
      <w:bookmarkStart w:id="35" w:name="_Toc119926290"/>
      <w:bookmarkEnd w:id="35"/>
      <w:bookmarkStart w:id="36" w:name="_Toc119926292"/>
      <w:bookmarkEnd w:id="36"/>
      <w:bookmarkStart w:id="37" w:name="_Toc119926389"/>
      <w:bookmarkEnd w:id="37"/>
      <w:bookmarkStart w:id="38" w:name="_Toc119926390"/>
      <w:bookmarkEnd w:id="38"/>
      <w:bookmarkStart w:id="39" w:name="_Toc119926289"/>
      <w:bookmarkEnd w:id="39"/>
      <w:bookmarkStart w:id="40" w:name="_Toc119926392"/>
      <w:bookmarkEnd w:id="40"/>
      <w:bookmarkStart w:id="41" w:name="_Toc119071413"/>
      <w:bookmarkEnd w:id="41"/>
      <w:bookmarkStart w:id="42" w:name="_Toc381003437"/>
      <w:bookmarkEnd w:id="42"/>
      <w:bookmarkStart w:id="43" w:name="_Toc490662726"/>
      <w:bookmarkEnd w:id="43"/>
      <w:bookmarkStart w:id="44" w:name="_Toc490662728"/>
      <w:bookmarkEnd w:id="44"/>
      <w:bookmarkStart w:id="45" w:name="_Toc119926388"/>
      <w:bookmarkEnd w:id="45"/>
      <w:bookmarkStart w:id="46" w:name="_Toc48658974"/>
      <w:bookmarkEnd w:id="46"/>
      <w:bookmarkStart w:id="47" w:name="_Toc119926393"/>
      <w:bookmarkEnd w:id="47"/>
      <w:bookmarkStart w:id="48" w:name="_Toc119926291"/>
      <w:bookmarkEnd w:id="48"/>
      <w:bookmarkStart w:id="49" w:name="_Toc119926391"/>
      <w:bookmarkEnd w:id="49"/>
      <w:bookmarkStart w:id="50" w:name="_Toc48658976"/>
      <w:bookmarkEnd w:id="50"/>
      <w:bookmarkStart w:id="51" w:name="_Toc119926286"/>
      <w:bookmarkEnd w:id="51"/>
      <w:bookmarkStart w:id="52" w:name="_Toc380005106"/>
      <w:bookmarkEnd w:id="52"/>
      <w:bookmarkStart w:id="53" w:name="_Toc119926285"/>
      <w:bookmarkEnd w:id="53"/>
      <w:bookmarkStart w:id="54" w:name="_Toc119926293"/>
      <w:bookmarkEnd w:id="54"/>
      <w:bookmarkStart w:id="55" w:name="_Toc1812015917"/>
      <w:r>
        <w:rPr>
          <w:rFonts w:hint="eastAsia"/>
          <w:szCs w:val="21"/>
        </w:rPr>
        <w:t>系统功能</w:t>
      </w:r>
      <w:bookmarkEnd w:id="55"/>
    </w:p>
    <w:p w14:paraId="1893B687">
      <w:pPr>
        <w:pStyle w:val="44"/>
        <w:ind w:left="0"/>
      </w:pPr>
      <w:bookmarkStart w:id="56" w:name="_Toc1714059311"/>
      <w:bookmarkStart w:id="57" w:name="_Hlk199020017"/>
      <w:r>
        <w:rPr>
          <w:rFonts w:hint="eastAsia"/>
        </w:rPr>
        <w:t>主要功能</w:t>
      </w:r>
      <w:bookmarkEnd w:id="56"/>
    </w:p>
    <w:bookmarkEnd w:id="57"/>
    <w:p w14:paraId="75CE0C84">
      <w:pPr>
        <w:pStyle w:val="26"/>
      </w:pPr>
      <w:r>
        <w:rPr>
          <w:rFonts w:hint="eastAsia"/>
        </w:rPr>
        <w:t>燃耗测量系统要实现如下两项基本功能：</w:t>
      </w:r>
    </w:p>
    <w:p w14:paraId="7CC31BFC">
      <w:pPr>
        <w:numPr>
          <w:ilvl w:val="0"/>
          <w:numId w:val="18"/>
        </w:numPr>
      </w:pPr>
      <w:r>
        <w:rPr>
          <w:rFonts w:hint="eastAsia"/>
        </w:rPr>
        <w:t>鉴别石墨球和燃料球。</w:t>
      </w:r>
    </w:p>
    <w:p w14:paraId="64159273">
      <w:pPr>
        <w:numPr>
          <w:ilvl w:val="0"/>
          <w:numId w:val="18"/>
        </w:numPr>
      </w:pPr>
      <w:r>
        <w:rPr>
          <w:rFonts w:hint="eastAsia"/>
        </w:rPr>
        <w:t>测量燃料球燃耗深度，识别乏燃料球。</w:t>
      </w:r>
    </w:p>
    <w:p w14:paraId="2AA02204">
      <w:pPr>
        <w:pStyle w:val="44"/>
        <w:ind w:left="0"/>
      </w:pPr>
      <w:bookmarkStart w:id="58" w:name="_Toc2015833720"/>
      <w:r>
        <w:rPr>
          <w:rFonts w:hint="eastAsia"/>
        </w:rPr>
        <w:t>辅助功能</w:t>
      </w:r>
      <w:bookmarkEnd w:id="58"/>
    </w:p>
    <w:p w14:paraId="5C45BDEE">
      <w:pPr>
        <w:numPr>
          <w:ilvl w:val="0"/>
          <w:numId w:val="19"/>
        </w:numPr>
      </w:pPr>
      <w:r>
        <w:rPr>
          <w:rFonts w:hint="eastAsia"/>
        </w:rPr>
        <w:t>辅助完成初装堆以及过渡过程中装载不同富集度燃料的燃料球鉴别。</w:t>
      </w:r>
    </w:p>
    <w:p w14:paraId="7A94426D">
      <w:pPr>
        <w:numPr>
          <w:ilvl w:val="0"/>
          <w:numId w:val="19"/>
        </w:numPr>
      </w:pPr>
      <w:r>
        <w:rPr>
          <w:rFonts w:hint="eastAsia"/>
        </w:rPr>
        <w:t>乏燃料球与石墨球分检鉴别。</w:t>
      </w:r>
    </w:p>
    <w:p w14:paraId="24C5502D">
      <w:pPr>
        <w:pStyle w:val="26"/>
      </w:pPr>
      <w:r>
        <w:rPr>
          <w:rFonts w:hint="eastAsia"/>
        </w:rPr>
        <w:t>燃耗测量系统的主要功能</w:t>
      </w:r>
      <w:r>
        <w:rPr>
          <w:rFonts w:hint="eastAsia"/>
          <w:lang w:eastAsia="zh-CN"/>
        </w:rPr>
        <w:t>服务</w:t>
      </w:r>
      <w:r>
        <w:rPr>
          <w:rFonts w:hint="eastAsia"/>
        </w:rPr>
        <w:t>于高温气冷堆安全、经济地运行，辅助功能</w:t>
      </w:r>
      <w:r>
        <w:rPr>
          <w:rFonts w:hint="eastAsia"/>
          <w:lang w:eastAsia="zh-CN"/>
        </w:rPr>
        <w:t>服务于</w:t>
      </w:r>
      <w:r>
        <w:rPr>
          <w:rFonts w:hint="eastAsia"/>
        </w:rPr>
        <w:t>高温气冷堆乏燃料球和石墨球的分类贮存。</w:t>
      </w:r>
    </w:p>
    <w:p w14:paraId="40A19C80">
      <w:pPr>
        <w:pStyle w:val="47"/>
        <w:ind w:left="0"/>
        <w:rPr>
          <w:szCs w:val="21"/>
        </w:rPr>
      </w:pPr>
      <w:bookmarkStart w:id="59" w:name="_Toc1566296287"/>
      <w:r>
        <w:rPr>
          <w:rFonts w:hint="eastAsia"/>
          <w:szCs w:val="21"/>
        </w:rPr>
        <w:t>系统构成</w:t>
      </w:r>
      <w:bookmarkEnd w:id="59"/>
    </w:p>
    <w:p w14:paraId="2D8EB5A9">
      <w:pPr>
        <w:pStyle w:val="44"/>
        <w:ind w:left="0"/>
      </w:pPr>
      <w:r>
        <w:rPr>
          <w:rFonts w:hint="eastAsia"/>
          <w:lang w:eastAsia="zh-CN"/>
        </w:rPr>
        <w:t>总体配置与要求</w:t>
      </w:r>
    </w:p>
    <w:p w14:paraId="12FD9F4A">
      <w:pPr>
        <w:pStyle w:val="26"/>
      </w:pPr>
      <w:r>
        <w:rPr>
          <w:rFonts w:hint="eastAsia"/>
        </w:rPr>
        <w:t>燃耗测量系统通常由多套燃耗测量装置、多套元件分检装置和1套远程控制子系统构成。</w:t>
      </w:r>
    </w:p>
    <w:p w14:paraId="26D4839F">
      <w:pPr>
        <w:pStyle w:val="26"/>
      </w:pPr>
      <w:r>
        <w:rPr>
          <w:rFonts w:hint="eastAsia"/>
        </w:rPr>
        <w:t>燃耗测量装置的配置</w:t>
      </w:r>
      <w:bookmarkStart w:id="85" w:name="_GoBack"/>
      <w:bookmarkEnd w:id="85"/>
      <w:r>
        <w:rPr>
          <w:rFonts w:hint="eastAsia"/>
        </w:rPr>
        <w:t>数量应与燃料装卸系统相适应，满足燃料循环的要求。</w:t>
      </w:r>
    </w:p>
    <w:p w14:paraId="41CA24E8">
      <w:pPr>
        <w:pStyle w:val="26"/>
      </w:pPr>
      <w:r>
        <w:rPr>
          <w:rFonts w:hint="eastAsia"/>
        </w:rPr>
        <w:t>元件分检装置的配置数量应与乏燃料贮存系统相适应，满足乏燃料卸料的要求。</w:t>
      </w:r>
    </w:p>
    <w:p w14:paraId="02F6B053">
      <w:pPr>
        <w:pStyle w:val="26"/>
      </w:pPr>
      <w:r>
        <w:rPr>
          <w:rFonts w:hint="eastAsia"/>
        </w:rPr>
        <w:t>远程控制子系统一般可只配置1套。</w:t>
      </w:r>
    </w:p>
    <w:p w14:paraId="4CD72409">
      <w:pPr>
        <w:pStyle w:val="44"/>
        <w:ind w:left="0"/>
      </w:pPr>
      <w:bookmarkStart w:id="60" w:name="_Toc1862904437"/>
      <w:r>
        <w:rPr>
          <w:rFonts w:hint="eastAsia"/>
        </w:rPr>
        <w:t>燃耗测量装置</w:t>
      </w:r>
      <w:bookmarkEnd w:id="60"/>
    </w:p>
    <w:p w14:paraId="748E5CD6">
      <w:pPr>
        <w:pStyle w:val="26"/>
      </w:pPr>
      <w:r>
        <w:rPr>
          <w:rFonts w:hint="eastAsia"/>
        </w:rPr>
        <w:t>燃耗测量装置的核心功能是测量燃料球的燃耗深度，识别乏燃料球。</w:t>
      </w:r>
    </w:p>
    <w:p w14:paraId="148C8058">
      <w:pPr>
        <w:pStyle w:val="26"/>
      </w:pPr>
      <w:r>
        <w:rPr>
          <w:rFonts w:hint="eastAsia"/>
        </w:rPr>
        <w:t>燃耗测量装置应能够鉴别石墨球和燃料球，并在初装堆芯以及过渡过程中鉴别不同富集度的燃料球。</w:t>
      </w:r>
    </w:p>
    <w:p w14:paraId="6D247A85">
      <w:pPr>
        <w:pStyle w:val="26"/>
      </w:pPr>
      <w:r>
        <w:rPr>
          <w:rFonts w:hint="eastAsia"/>
        </w:rPr>
        <w:t>燃耗测量装置主要组成</w:t>
      </w:r>
      <w:r>
        <w:t>部分</w:t>
      </w:r>
      <w:r>
        <w:rPr>
          <w:rFonts w:hint="eastAsia"/>
        </w:rPr>
        <w:t>及其功能如下：</w:t>
      </w:r>
    </w:p>
    <w:p w14:paraId="2B7D3641">
      <w:pPr>
        <w:numPr>
          <w:ilvl w:val="0"/>
          <w:numId w:val="20"/>
        </w:numPr>
      </w:pPr>
      <w:r>
        <w:rPr>
          <w:rFonts w:hint="eastAsia"/>
          <w:lang w:eastAsia="zh-CN"/>
        </w:rPr>
        <w:t>高纯锗γ谱仪子系统</w:t>
      </w:r>
      <w:r>
        <w:rPr>
          <w:rFonts w:hint="eastAsia"/>
        </w:rPr>
        <w:t>，获取燃料球/辐射源的γ能谱数据；</w:t>
      </w:r>
    </w:p>
    <w:p w14:paraId="7D9731DA">
      <w:pPr>
        <w:numPr>
          <w:ilvl w:val="0"/>
          <w:numId w:val="20"/>
        </w:numPr>
      </w:pPr>
      <w:r>
        <w:rPr>
          <w:rFonts w:hint="eastAsia"/>
        </w:rPr>
        <w:t>刻度子系统，用于对</w:t>
      </w:r>
      <w:r>
        <w:rPr>
          <w:rFonts w:hint="eastAsia"/>
          <w:lang w:eastAsia="zh-CN"/>
        </w:rPr>
        <w:t>高纯锗γ谱仪子系统</w:t>
      </w:r>
      <w:r>
        <w:rPr>
          <w:rFonts w:hint="eastAsia"/>
        </w:rPr>
        <w:t>进行能量、相对效率和标准刻度；包括标准放射源、</w:t>
      </w:r>
      <w:r>
        <w:rPr>
          <w:rFonts w:hint="eastAsia"/>
          <w:lang w:eastAsia="zh-CN"/>
        </w:rPr>
        <w:t>准直子系统</w:t>
      </w:r>
      <w:r>
        <w:rPr>
          <w:rFonts w:hint="eastAsia"/>
        </w:rPr>
        <w:t>；</w:t>
      </w:r>
    </w:p>
    <w:p w14:paraId="2C607B06">
      <w:pPr>
        <w:numPr>
          <w:ilvl w:val="0"/>
          <w:numId w:val="20"/>
        </w:numPr>
      </w:pPr>
      <w:r>
        <w:rPr>
          <w:rFonts w:hint="eastAsia"/>
        </w:rPr>
        <w:t>燃耗测量定位装置（通常集成在燃料装卸系统中），用于将待测对象（石墨球或者燃料球）固定在指定的位置；</w:t>
      </w:r>
    </w:p>
    <w:p w14:paraId="0C5C4E5A">
      <w:pPr>
        <w:numPr>
          <w:ilvl w:val="0"/>
          <w:numId w:val="20"/>
        </w:numPr>
      </w:pPr>
      <w:r>
        <w:rPr>
          <w:rFonts w:hint="eastAsia"/>
        </w:rPr>
        <w:t>屏蔽，围绕在高纯锗探测器或者辐射源周围，保障</w:t>
      </w:r>
      <w:r>
        <w:rPr>
          <w:rFonts w:hint="eastAsia"/>
          <w:lang w:eastAsia="zh-CN"/>
        </w:rPr>
        <w:t>高纯锗γ谱仪子系统</w:t>
      </w:r>
      <w:r>
        <w:rPr>
          <w:rFonts w:hint="eastAsia"/>
        </w:rPr>
        <w:t>性能，使得环境辐射水平的影响满足探测精度要求；</w:t>
      </w:r>
    </w:p>
    <w:p w14:paraId="4C369CE0">
      <w:pPr>
        <w:numPr>
          <w:ilvl w:val="0"/>
          <w:numId w:val="20"/>
        </w:numPr>
      </w:pPr>
      <w:r>
        <w:rPr>
          <w:rFonts w:hint="eastAsia"/>
        </w:rPr>
        <w:t>电气单元，内部电气分配和外部电气接口；</w:t>
      </w:r>
    </w:p>
    <w:p w14:paraId="662D1078">
      <w:pPr>
        <w:numPr>
          <w:ilvl w:val="0"/>
          <w:numId w:val="20"/>
        </w:numPr>
      </w:pPr>
      <w:r>
        <w:rPr>
          <w:rFonts w:hint="eastAsia"/>
        </w:rPr>
        <w:t>控制单元，数据分析和存储、流程控制及内外部控制和通信接口。</w:t>
      </w:r>
    </w:p>
    <w:p w14:paraId="69DDB64A">
      <w:pPr>
        <w:pStyle w:val="26"/>
      </w:pPr>
      <w:r>
        <w:rPr>
          <w:rFonts w:hint="eastAsia"/>
        </w:rPr>
        <w:t>电气单元和控制单元可以集成于同一电气柜中。</w:t>
      </w:r>
    </w:p>
    <w:p w14:paraId="79A727E5">
      <w:pPr>
        <w:pStyle w:val="44"/>
        <w:ind w:left="0"/>
      </w:pPr>
      <w:bookmarkStart w:id="61" w:name="_Toc697015061"/>
      <w:r>
        <w:rPr>
          <w:rFonts w:hint="eastAsia"/>
        </w:rPr>
        <w:t>元件分检装置</w:t>
      </w:r>
      <w:bookmarkEnd w:id="61"/>
    </w:p>
    <w:p w14:paraId="1CB2756E">
      <w:pPr>
        <w:pStyle w:val="26"/>
      </w:pPr>
      <w:r>
        <w:rPr>
          <w:rFonts w:hint="eastAsia"/>
        </w:rPr>
        <w:t>元件分检装置核心功能为鉴别石墨球和乏燃料球。</w:t>
      </w:r>
    </w:p>
    <w:p w14:paraId="054FAC8B">
      <w:pPr>
        <w:pStyle w:val="26"/>
      </w:pPr>
      <w:r>
        <w:rPr>
          <w:rFonts w:hint="eastAsia"/>
        </w:rPr>
        <w:t>元件分检装置主要组成部分及其功能如下：</w:t>
      </w:r>
    </w:p>
    <w:p w14:paraId="5C9B1115">
      <w:pPr>
        <w:numPr>
          <w:ilvl w:val="0"/>
          <w:numId w:val="21"/>
        </w:numPr>
      </w:pPr>
      <w:r>
        <w:rPr>
          <w:rFonts w:hint="eastAsia"/>
        </w:rPr>
        <w:t>前端探测器，负责探测石墨球或者燃料球中发射的γ射线；</w:t>
      </w:r>
    </w:p>
    <w:p w14:paraId="43EB427F">
      <w:pPr>
        <w:numPr>
          <w:ilvl w:val="0"/>
          <w:numId w:val="21"/>
        </w:numPr>
      </w:pPr>
      <w:r>
        <w:rPr>
          <w:rFonts w:hint="eastAsia"/>
        </w:rPr>
        <w:t>计数率仪，对前端探测器产生的探测信号进行分析处理和记录；</w:t>
      </w:r>
    </w:p>
    <w:p w14:paraId="3362E33F">
      <w:pPr>
        <w:numPr>
          <w:ilvl w:val="0"/>
          <w:numId w:val="21"/>
        </w:numPr>
      </w:pPr>
      <w:r>
        <w:rPr>
          <w:rFonts w:hint="eastAsia"/>
        </w:rPr>
        <w:t>屏蔽，围绕在前端探测器周围，减少测量位置周围环境和燃料球发射</w:t>
      </w:r>
      <w:r>
        <w:rPr>
          <w:rFonts w:hint="eastAsia"/>
          <w:lang w:eastAsia="zh-CN"/>
        </w:rPr>
        <w:t>的</w:t>
      </w:r>
      <w:r>
        <w:rPr>
          <w:rFonts w:hint="eastAsia"/>
        </w:rPr>
        <w:t>γ射线对测量的影响；</w:t>
      </w:r>
    </w:p>
    <w:p w14:paraId="73B4AAF2">
      <w:pPr>
        <w:numPr>
          <w:ilvl w:val="0"/>
          <w:numId w:val="21"/>
        </w:numPr>
      </w:pPr>
      <w:r>
        <w:rPr>
          <w:rFonts w:hint="eastAsia"/>
        </w:rPr>
        <w:t>电气单元，负责内部电气分配和外部电气接口；</w:t>
      </w:r>
    </w:p>
    <w:p w14:paraId="750EF58E">
      <w:pPr>
        <w:numPr>
          <w:ilvl w:val="0"/>
          <w:numId w:val="21"/>
        </w:numPr>
      </w:pPr>
      <w:r>
        <w:rPr>
          <w:rFonts w:hint="eastAsia"/>
        </w:rPr>
        <w:t>控制单元，负责数据分析和存储、流程控制及内外部控制和通信接口。</w:t>
      </w:r>
    </w:p>
    <w:p w14:paraId="59EF3B4D">
      <w:pPr>
        <w:pStyle w:val="26"/>
      </w:pPr>
      <w:r>
        <w:rPr>
          <w:rFonts w:hint="eastAsia"/>
        </w:rPr>
        <w:t>电气单元和控制单元可以集成于同一电气柜中。</w:t>
      </w:r>
    </w:p>
    <w:p w14:paraId="49C2D668">
      <w:pPr>
        <w:pStyle w:val="44"/>
        <w:ind w:left="0"/>
      </w:pPr>
      <w:bookmarkStart w:id="62" w:name="_Toc2115760252"/>
      <w:r>
        <w:rPr>
          <w:rFonts w:hint="eastAsia"/>
        </w:rPr>
        <w:t>远程控制子系统</w:t>
      </w:r>
      <w:bookmarkEnd w:id="62"/>
    </w:p>
    <w:p w14:paraId="52A84107">
      <w:pPr>
        <w:pStyle w:val="26"/>
      </w:pPr>
      <w:r>
        <w:rPr>
          <w:rFonts w:hint="eastAsia"/>
        </w:rPr>
        <w:t>远程控制子系统核心功能是为燃耗测量装置和元件分检装置的远程监视和维护提供手段。</w:t>
      </w:r>
    </w:p>
    <w:p w14:paraId="1BD37CF1">
      <w:pPr>
        <w:pStyle w:val="26"/>
      </w:pPr>
      <w:r>
        <w:rPr>
          <w:rFonts w:hint="eastAsia"/>
        </w:rPr>
        <w:t>远程控制子系统主要组成部分及功能如下：</w:t>
      </w:r>
    </w:p>
    <w:p w14:paraId="1B6CE366">
      <w:pPr>
        <w:numPr>
          <w:ilvl w:val="0"/>
          <w:numId w:val="22"/>
        </w:numPr>
      </w:pPr>
      <w:r>
        <w:rPr>
          <w:rFonts w:hint="eastAsia"/>
        </w:rPr>
        <w:t>远程控制终端，电子计算机系统，实现远程监视和维护功能的核心设备；</w:t>
      </w:r>
    </w:p>
    <w:p w14:paraId="3B5C7C39">
      <w:pPr>
        <w:numPr>
          <w:ilvl w:val="0"/>
          <w:numId w:val="22"/>
        </w:numPr>
      </w:pPr>
      <w:r>
        <w:rPr>
          <w:rFonts w:hint="eastAsia"/>
        </w:rPr>
        <w:t>网络设备，包括交换机（或者路由器）及必要的光电转换接口设备等。</w:t>
      </w:r>
    </w:p>
    <w:p w14:paraId="66166B13">
      <w:pPr>
        <w:pStyle w:val="47"/>
        <w:ind w:left="0"/>
        <w:rPr>
          <w:szCs w:val="21"/>
        </w:rPr>
      </w:pPr>
      <w:bookmarkStart w:id="63" w:name="_Toc900617371"/>
      <w:r>
        <w:rPr>
          <w:rFonts w:hint="eastAsia"/>
          <w:szCs w:val="21"/>
        </w:rPr>
        <w:t>安全分级</w:t>
      </w:r>
      <w:bookmarkEnd w:id="63"/>
    </w:p>
    <w:p w14:paraId="0516A5FA">
      <w:pPr>
        <w:pStyle w:val="26"/>
      </w:pPr>
      <w:r>
        <w:rPr>
          <w:rFonts w:hint="eastAsia"/>
        </w:rPr>
        <w:t>燃耗测量系统各装置和子系统及其所属设备均属非安全级、常规抗震类和常规质保等级。</w:t>
      </w:r>
    </w:p>
    <w:p w14:paraId="50EA14C7">
      <w:pPr>
        <w:pStyle w:val="47"/>
        <w:ind w:left="0"/>
        <w:rPr>
          <w:szCs w:val="21"/>
        </w:rPr>
      </w:pPr>
      <w:bookmarkStart w:id="64" w:name="_Toc1105885666"/>
      <w:r>
        <w:rPr>
          <w:rFonts w:hint="eastAsia"/>
          <w:szCs w:val="21"/>
        </w:rPr>
        <w:t>设计原则</w:t>
      </w:r>
      <w:bookmarkEnd w:id="64"/>
    </w:p>
    <w:p w14:paraId="3F2BEF88">
      <w:pPr>
        <w:pStyle w:val="44"/>
        <w:ind w:left="0"/>
      </w:pPr>
      <w:bookmarkStart w:id="65" w:name="_Toc199880914"/>
      <w:bookmarkEnd w:id="65"/>
      <w:bookmarkStart w:id="66" w:name="_Toc361989428"/>
      <w:r>
        <w:rPr>
          <w:rFonts w:hint="eastAsia"/>
        </w:rPr>
        <w:t>燃耗测量装置</w:t>
      </w:r>
      <w:bookmarkEnd w:id="66"/>
    </w:p>
    <w:p w14:paraId="40C7E272">
      <w:pPr>
        <w:pStyle w:val="26"/>
      </w:pPr>
      <w:r>
        <w:rPr>
          <w:rFonts w:hint="eastAsia"/>
        </w:rPr>
        <w:t>燃耗测量装置通过</w:t>
      </w:r>
      <w:r>
        <w:rPr>
          <w:rFonts w:hint="eastAsia"/>
          <w:lang w:eastAsia="zh-CN"/>
        </w:rPr>
        <w:t>高纯锗γ谱仪子系统</w:t>
      </w:r>
      <w:r>
        <w:rPr>
          <w:rFonts w:hint="eastAsia"/>
        </w:rPr>
        <w:t>获取待测对象的γ能谱，通过分析γ能谱，确定控制流程，从而实现其功能。</w:t>
      </w:r>
    </w:p>
    <w:p w14:paraId="4F46FAA4">
      <w:pPr>
        <w:pStyle w:val="26"/>
      </w:pPr>
      <w:r>
        <w:rPr>
          <w:rFonts w:hint="eastAsia"/>
        </w:rPr>
        <w:t>可通过待测对象γ射线总强度测量鉴别出石墨球和燃料球；可通过测量燃料球中的</w:t>
      </w:r>
      <w:r>
        <w:rPr>
          <w:rFonts w:hint="eastAsia"/>
          <w:vertAlign w:val="superscript"/>
          <w:lang w:val="en-US" w:eastAsia="zh-CN"/>
        </w:rPr>
        <w:t>137</w:t>
      </w:r>
      <w:r>
        <w:rPr>
          <w:rFonts w:hint="eastAsia"/>
        </w:rPr>
        <w:t>Cs活度计算出燃耗深度，进而鉴别乏燃料球；可通过短半衰期核素的活度鉴别出装载有不同富集度燃料的燃料球。</w:t>
      </w:r>
    </w:p>
    <w:p w14:paraId="710A4D80">
      <w:pPr>
        <w:pStyle w:val="26"/>
      </w:pPr>
      <w:r>
        <w:rPr>
          <w:rFonts w:hint="eastAsia"/>
        </w:rPr>
        <w:t>应对测量对象进行源项分析确定其γ能谱，并对高纯锗γ谱仪探测的能谱进行预测分析，基于分析结果确定燃耗测量装置关键设计特征和设计参数。</w:t>
      </w:r>
    </w:p>
    <w:p w14:paraId="334C253B">
      <w:pPr>
        <w:pStyle w:val="26"/>
      </w:pPr>
      <w:r>
        <w:rPr>
          <w:rFonts w:hint="eastAsia"/>
        </w:rPr>
        <w:t>通常应保证达到平均卸料燃耗的燃料球的燃耗测量误差不大于5%</w:t>
      </w:r>
      <w:r>
        <w:rPr>
          <w:rFonts w:hint="eastAsia"/>
          <w:lang w:eastAsia="zh-CN"/>
        </w:rPr>
        <w:t>（</w:t>
      </w:r>
      <w:r>
        <w:rPr>
          <w:rFonts w:hint="eastAsia"/>
          <w:lang w:val="en-US" w:eastAsia="zh-CN"/>
        </w:rPr>
        <w:t>1σ</w:t>
      </w:r>
      <w:r>
        <w:rPr>
          <w:rFonts w:hint="eastAsia"/>
          <w:lang w:eastAsia="zh-CN"/>
        </w:rPr>
        <w:t>）</w:t>
      </w:r>
      <w:r>
        <w:rPr>
          <w:rFonts w:hint="eastAsia"/>
        </w:rPr>
        <w:t>。</w:t>
      </w:r>
    </w:p>
    <w:p w14:paraId="0B3D1A7C">
      <w:pPr>
        <w:pStyle w:val="26"/>
      </w:pPr>
      <w:r>
        <w:rPr>
          <w:rFonts w:hint="eastAsia"/>
        </w:rPr>
        <w:t>应优化运行时参数，以保证燃耗测量装置日测量待测对象的数量能满足反应堆正常运行的要求。</w:t>
      </w:r>
    </w:p>
    <w:p w14:paraId="422DB68D">
      <w:pPr>
        <w:pStyle w:val="44"/>
        <w:ind w:left="0"/>
      </w:pPr>
      <w:bookmarkStart w:id="67" w:name="_Toc412436692"/>
      <w:r>
        <w:rPr>
          <w:rFonts w:hint="eastAsia"/>
        </w:rPr>
        <w:t>元件分检装置</w:t>
      </w:r>
      <w:bookmarkEnd w:id="67"/>
    </w:p>
    <w:p w14:paraId="01D701E2">
      <w:pPr>
        <w:pStyle w:val="26"/>
      </w:pPr>
      <w:r>
        <w:rPr>
          <w:rFonts w:hint="eastAsia"/>
        </w:rPr>
        <w:t>元件分检装置通过前端探测器和计数率仪获取待测对象的γ能谱，通过总放射性水平的测量，实现石墨球和乏燃料球的鉴别测量。</w:t>
      </w:r>
    </w:p>
    <w:p w14:paraId="306FF579">
      <w:pPr>
        <w:pStyle w:val="26"/>
      </w:pPr>
      <w:r>
        <w:rPr>
          <w:rFonts w:hint="eastAsia"/>
        </w:rPr>
        <w:t>应对待测对象进行源项分析，确定其γ能谱，并分析探测器上的能量沉积，进而确定元件分检装置关键设计特征和设计参数。</w:t>
      </w:r>
    </w:p>
    <w:p w14:paraId="5228E98B">
      <w:pPr>
        <w:pStyle w:val="26"/>
      </w:pPr>
      <w:r>
        <w:rPr>
          <w:rFonts w:hint="eastAsia"/>
        </w:rPr>
        <w:t>一般应保证乏燃料球与石墨球造成的计数率差异不小于1000倍。</w:t>
      </w:r>
    </w:p>
    <w:p w14:paraId="06944806">
      <w:pPr>
        <w:pStyle w:val="26"/>
      </w:pPr>
      <w:r>
        <w:rPr>
          <w:rFonts w:hint="eastAsia"/>
        </w:rPr>
        <w:t>应优化运行时参数，以保证元件分检装置日测量待测对象的数量能满足乏燃料卸料能力的需求。</w:t>
      </w:r>
    </w:p>
    <w:p w14:paraId="019BCF72">
      <w:pPr>
        <w:pStyle w:val="44"/>
        <w:ind w:left="0"/>
      </w:pPr>
      <w:bookmarkStart w:id="68" w:name="_Toc1380684317"/>
      <w:r>
        <w:rPr>
          <w:rFonts w:hint="eastAsia"/>
        </w:rPr>
        <w:t>远程控制子系统</w:t>
      </w:r>
      <w:bookmarkEnd w:id="68"/>
    </w:p>
    <w:p w14:paraId="517203E8">
      <w:pPr>
        <w:pStyle w:val="26"/>
      </w:pPr>
      <w:r>
        <w:rPr>
          <w:rFonts w:hint="eastAsia"/>
        </w:rPr>
        <w:t>远程控制子系统服务于现场多台/套燃耗测量装置和元件分检装置的监督与维护，应保证各装置与远程控制终端</w:t>
      </w:r>
      <w:r>
        <w:rPr>
          <w:rFonts w:hint="eastAsia"/>
          <w:lang w:eastAsia="zh-CN"/>
        </w:rPr>
        <w:t>间的</w:t>
      </w:r>
      <w:r>
        <w:rPr>
          <w:rFonts w:hint="eastAsia"/>
        </w:rPr>
        <w:t>网络通信的可靠性、安全性、及时性和一致性。</w:t>
      </w:r>
    </w:p>
    <w:p w14:paraId="1E0CBDAA">
      <w:pPr>
        <w:pStyle w:val="47"/>
        <w:ind w:left="0"/>
        <w:rPr>
          <w:szCs w:val="21"/>
        </w:rPr>
      </w:pPr>
      <w:bookmarkStart w:id="69" w:name="_Toc147783236"/>
      <w:bookmarkEnd w:id="69"/>
      <w:bookmarkStart w:id="70" w:name="_Toc147783276"/>
      <w:bookmarkEnd w:id="70"/>
      <w:bookmarkStart w:id="71" w:name="_Toc147783233"/>
      <w:bookmarkEnd w:id="71"/>
      <w:bookmarkStart w:id="72" w:name="_Toc147783480"/>
      <w:bookmarkEnd w:id="72"/>
      <w:bookmarkStart w:id="73" w:name="_Toc147783481"/>
      <w:bookmarkEnd w:id="73"/>
      <w:bookmarkStart w:id="74" w:name="_Toc147783278"/>
      <w:bookmarkEnd w:id="74"/>
      <w:bookmarkStart w:id="75" w:name="_Toc147783277"/>
      <w:bookmarkEnd w:id="75"/>
      <w:bookmarkStart w:id="76" w:name="_Toc147783279"/>
      <w:bookmarkEnd w:id="76"/>
      <w:bookmarkStart w:id="77" w:name="_Toc147783479"/>
      <w:bookmarkEnd w:id="77"/>
      <w:bookmarkStart w:id="78" w:name="_Toc147783478"/>
      <w:bookmarkEnd w:id="78"/>
      <w:bookmarkStart w:id="79" w:name="_Toc147783235"/>
      <w:bookmarkEnd w:id="79"/>
      <w:bookmarkStart w:id="80" w:name="_Toc147783234"/>
      <w:bookmarkEnd w:id="80"/>
      <w:bookmarkStart w:id="81" w:name="_Toc2100707171"/>
      <w:r>
        <w:rPr>
          <w:rFonts w:hint="eastAsia"/>
          <w:szCs w:val="21"/>
        </w:rPr>
        <w:t>设计要求</w:t>
      </w:r>
      <w:bookmarkEnd w:id="81"/>
    </w:p>
    <w:p w14:paraId="69D4F4A7">
      <w:pPr>
        <w:pStyle w:val="44"/>
        <w:ind w:left="0"/>
      </w:pPr>
      <w:bookmarkStart w:id="82" w:name="_Toc396787478"/>
      <w:r>
        <w:rPr>
          <w:rFonts w:hint="eastAsia"/>
        </w:rPr>
        <w:t>燃耗测量装置</w:t>
      </w:r>
      <w:bookmarkEnd w:id="82"/>
    </w:p>
    <w:p w14:paraId="768AFD97">
      <w:pPr>
        <w:pStyle w:val="152"/>
        <w:spacing w:before="156" w:after="156"/>
        <w:ind w:left="0"/>
      </w:pPr>
      <w:r>
        <w:rPr>
          <w:rFonts w:hint="eastAsia"/>
          <w:lang w:eastAsia="zh-CN"/>
        </w:rPr>
        <w:t>高纯锗γ谱仪子系统</w:t>
      </w:r>
    </w:p>
    <w:p w14:paraId="4D2F7D18">
      <w:pPr>
        <w:pStyle w:val="26"/>
      </w:pPr>
      <w:r>
        <w:rPr>
          <w:rFonts w:hint="eastAsia"/>
        </w:rPr>
        <w:t>高纯锗探测器的相对效率不应低于30%，峰康比不低于60：1（对</w:t>
      </w:r>
      <w:r>
        <w:rPr>
          <w:rFonts w:hint="eastAsia"/>
          <w:vertAlign w:val="superscript"/>
          <w:lang w:val="en-US" w:eastAsia="zh-CN"/>
        </w:rPr>
        <w:t>60</w:t>
      </w:r>
      <w:r>
        <w:rPr>
          <w:rFonts w:hint="eastAsia"/>
        </w:rPr>
        <w:t>Co</w:t>
      </w:r>
      <w:r>
        <w:rPr>
          <w:rFonts w:hint="eastAsia"/>
          <w:lang w:val="en-US" w:eastAsia="zh-CN"/>
        </w:rPr>
        <w:t xml:space="preserve"> </w:t>
      </w:r>
      <w:r>
        <w:rPr>
          <w:rFonts w:hint="eastAsia"/>
        </w:rPr>
        <w:t>1332.5 keV）。</w:t>
      </w:r>
    </w:p>
    <w:p w14:paraId="31DEE9A5">
      <w:pPr>
        <w:pStyle w:val="26"/>
      </w:pPr>
      <w:r>
        <w:rPr>
          <w:rFonts w:hint="eastAsia"/>
        </w:rPr>
        <w:t>高纯锗γ谱仪应工作在高通过率模式下，且允许最大计数率不应小于100 kcps。</w:t>
      </w:r>
    </w:p>
    <w:p w14:paraId="4FB6364F">
      <w:pPr>
        <w:pStyle w:val="26"/>
      </w:pPr>
      <w:r>
        <w:rPr>
          <w:rFonts w:hint="eastAsia"/>
        </w:rPr>
        <w:t>在燃料球造成的预期计数率范围内，高纯锗γ谱仪的能量分辨率应能够保证清晰分辨燃耗标识核素（</w:t>
      </w:r>
      <w:r>
        <w:rPr>
          <w:rFonts w:hint="eastAsia"/>
          <w:vertAlign w:val="superscript"/>
        </w:rPr>
        <w:t>137</w:t>
      </w:r>
      <w:r>
        <w:rPr>
          <w:rFonts w:hint="eastAsia"/>
        </w:rPr>
        <w:t>Cs 661.657keV）的特征峰周围的干扰核素的特征峰；通常该分辨率不应大于2.6keV。</w:t>
      </w:r>
    </w:p>
    <w:p w14:paraId="1C4E4699">
      <w:pPr>
        <w:pStyle w:val="152"/>
        <w:spacing w:before="156" w:after="156"/>
        <w:ind w:left="0"/>
      </w:pPr>
      <w:r>
        <w:rPr>
          <w:rFonts w:hint="eastAsia"/>
        </w:rPr>
        <w:t>刻度子系统</w:t>
      </w:r>
    </w:p>
    <w:p w14:paraId="01F72384">
      <w:pPr>
        <w:pStyle w:val="26"/>
      </w:pPr>
      <w:r>
        <w:rPr>
          <w:rFonts w:hint="eastAsia"/>
        </w:rPr>
        <w:t>刻度子系统应为</w:t>
      </w:r>
      <w:r>
        <w:rPr>
          <w:rFonts w:hint="eastAsia"/>
          <w:lang w:eastAsia="zh-CN"/>
        </w:rPr>
        <w:t>高纯锗γ谱仪子系统</w:t>
      </w:r>
      <w:r>
        <w:rPr>
          <w:rFonts w:hint="eastAsia"/>
        </w:rPr>
        <w:t>提供能量刻度、相对效率刻度、标准刻度和</w:t>
      </w:r>
      <w:r>
        <w:rPr>
          <w:rFonts w:hint="eastAsia"/>
          <w:lang w:eastAsia="zh-CN"/>
        </w:rPr>
        <w:t>系统校检</w:t>
      </w:r>
      <w:r>
        <w:rPr>
          <w:rFonts w:hint="eastAsia"/>
        </w:rPr>
        <w:t>等功能。</w:t>
      </w:r>
    </w:p>
    <w:p w14:paraId="011A40D2">
      <w:pPr>
        <w:pStyle w:val="26"/>
      </w:pPr>
      <w:r>
        <w:rPr>
          <w:rFonts w:hint="eastAsia"/>
        </w:rPr>
        <w:t>为能量刻度、相对效率刻度和探测效率监督而引入的放射源，需保证其射线不会干扰燃耗测量装置对待测对象的测量。</w:t>
      </w:r>
    </w:p>
    <w:p w14:paraId="67355ECD">
      <w:pPr>
        <w:pStyle w:val="26"/>
      </w:pPr>
      <w:r>
        <w:rPr>
          <w:rFonts w:hint="eastAsia"/>
          <w:lang w:eastAsia="zh-CN"/>
        </w:rPr>
        <w:t>准直子系统</w:t>
      </w:r>
      <w:r>
        <w:rPr>
          <w:rFonts w:hint="eastAsia"/>
        </w:rPr>
        <w:t>中，用于限定被测对象出射射线进入高纯锗探测器的强度的准直应至少保证燃料球含源区域均在准直锥体内，且一般应保证</w:t>
      </w:r>
      <w:r>
        <w:rPr>
          <w:rFonts w:hint="eastAsia"/>
          <w:lang w:eastAsia="zh-CN"/>
        </w:rPr>
        <w:t>高纯锗γ谱仪子系统</w:t>
      </w:r>
      <w:r>
        <w:rPr>
          <w:rFonts w:hint="eastAsia"/>
        </w:rPr>
        <w:t>的最大计数率不超过通过率曲线峰值。</w:t>
      </w:r>
    </w:p>
    <w:p w14:paraId="0582DD40">
      <w:pPr>
        <w:pStyle w:val="152"/>
        <w:spacing w:before="156" w:after="156"/>
        <w:ind w:left="0"/>
      </w:pPr>
      <w:r>
        <w:rPr>
          <w:rFonts w:hint="eastAsia"/>
        </w:rPr>
        <w:t>屏蔽</w:t>
      </w:r>
    </w:p>
    <w:p w14:paraId="086E8D83">
      <w:pPr>
        <w:pStyle w:val="26"/>
      </w:pPr>
      <w:r>
        <w:rPr>
          <w:rFonts w:hint="eastAsia"/>
        </w:rPr>
        <w:t>应在高纯锗探测器周围设置屏蔽，使得周围环境中发射的射线造成的</w:t>
      </w:r>
      <w:r>
        <w:rPr>
          <w:rFonts w:hint="eastAsia"/>
          <w:lang w:eastAsia="zh-CN"/>
        </w:rPr>
        <w:t>高纯锗γ谱仪子系统</w:t>
      </w:r>
      <w:r>
        <w:rPr>
          <w:rFonts w:hint="eastAsia"/>
        </w:rPr>
        <w:t>的计数率不超过30cps。</w:t>
      </w:r>
    </w:p>
    <w:p w14:paraId="143782FB">
      <w:pPr>
        <w:pStyle w:val="26"/>
      </w:pPr>
      <w:r>
        <w:rPr>
          <w:rFonts w:hint="eastAsia"/>
        </w:rPr>
        <w:t>应为标准放射源提供足够的屏蔽，以满足其所在区域的辐射防护要求。</w:t>
      </w:r>
    </w:p>
    <w:p w14:paraId="30A886FD">
      <w:pPr>
        <w:pStyle w:val="152"/>
        <w:spacing w:before="156" w:after="156"/>
        <w:ind w:left="0"/>
      </w:pPr>
      <w:r>
        <w:rPr>
          <w:rFonts w:hint="eastAsia"/>
        </w:rPr>
        <w:t>控制</w:t>
      </w:r>
    </w:p>
    <w:p w14:paraId="4C4F6D67">
      <w:pPr>
        <w:pStyle w:val="26"/>
      </w:pPr>
      <w:r>
        <w:rPr>
          <w:rFonts w:hint="eastAsia"/>
        </w:rPr>
        <w:t>燃耗测量装置的测量流程应</w:t>
      </w:r>
      <w:r>
        <w:rPr>
          <w:rFonts w:hint="eastAsia"/>
          <w:lang w:eastAsia="zh-CN"/>
        </w:rPr>
        <w:t>实现</w:t>
      </w:r>
      <w:r>
        <w:rPr>
          <w:rFonts w:hint="eastAsia"/>
        </w:rPr>
        <w:t>全自动化。</w:t>
      </w:r>
    </w:p>
    <w:p w14:paraId="1E24EBED">
      <w:pPr>
        <w:pStyle w:val="26"/>
      </w:pPr>
      <w:r>
        <w:rPr>
          <w:rFonts w:hint="eastAsia"/>
        </w:rPr>
        <w:t>单次测量后数据分析与控制信号生成之间的时间应控制在2s以内。</w:t>
      </w:r>
    </w:p>
    <w:p w14:paraId="097B9EF8">
      <w:pPr>
        <w:pStyle w:val="26"/>
      </w:pPr>
      <w:r>
        <w:rPr>
          <w:rFonts w:hint="eastAsia"/>
        </w:rPr>
        <w:t>卸料燃耗整定值的设定应与反应堆运行需求相配合。</w:t>
      </w:r>
    </w:p>
    <w:p w14:paraId="668E4896">
      <w:pPr>
        <w:pStyle w:val="26"/>
      </w:pPr>
      <w:r>
        <w:rPr>
          <w:rFonts w:hint="eastAsia"/>
        </w:rPr>
        <w:t>其余控制过程中的关键参数推荐如下：</w:t>
      </w:r>
    </w:p>
    <w:tbl>
      <w:tblPr>
        <w:tblStyle w:val="36"/>
        <w:tblW w:w="2713" w:type="pct"/>
        <w:tblInd w:w="4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149"/>
        <w:gridCol w:w="1044"/>
      </w:tblGrid>
      <w:tr w14:paraId="620D9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994" w:type="pct"/>
          </w:tcPr>
          <w:p w14:paraId="7B83A10B">
            <w:pPr>
              <w:pStyle w:val="26"/>
              <w:ind w:leftChars="200" w:firstLine="0" w:firstLineChars="0"/>
              <w:rPr>
                <w:szCs w:val="18"/>
              </w:rPr>
            </w:pPr>
            <w:r>
              <w:rPr>
                <w:rFonts w:hint="eastAsia"/>
                <w:szCs w:val="18"/>
              </w:rPr>
              <w:t>石墨球鉴别测量时间</w:t>
            </w:r>
          </w:p>
        </w:tc>
        <w:tc>
          <w:tcPr>
            <w:tcW w:w="1005" w:type="pct"/>
            <w:vAlign w:val="center"/>
          </w:tcPr>
          <w:p w14:paraId="03C61B2F">
            <w:pPr>
              <w:pStyle w:val="26"/>
              <w:jc w:val="right"/>
              <w:rPr>
                <w:szCs w:val="18"/>
              </w:rPr>
            </w:pPr>
            <w:r>
              <w:rPr>
                <w:rFonts w:hint="eastAsia"/>
                <w:szCs w:val="18"/>
              </w:rPr>
              <w:t>3s</w:t>
            </w:r>
          </w:p>
        </w:tc>
      </w:tr>
      <w:tr w14:paraId="6FE68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3994" w:type="pct"/>
          </w:tcPr>
          <w:p w14:paraId="3F01949E">
            <w:pPr>
              <w:pStyle w:val="26"/>
              <w:ind w:leftChars="200" w:firstLine="0" w:firstLineChars="0"/>
              <w:rPr>
                <w:szCs w:val="18"/>
              </w:rPr>
            </w:pPr>
            <w:r>
              <w:rPr>
                <w:rFonts w:hint="eastAsia"/>
                <w:szCs w:val="18"/>
              </w:rPr>
              <w:t>高、低富集度燃料球鉴别测量时间</w:t>
            </w:r>
          </w:p>
        </w:tc>
        <w:tc>
          <w:tcPr>
            <w:tcW w:w="1005" w:type="pct"/>
            <w:vAlign w:val="center"/>
          </w:tcPr>
          <w:p w14:paraId="3AAF3DE7">
            <w:pPr>
              <w:pStyle w:val="26"/>
              <w:jc w:val="right"/>
              <w:rPr>
                <w:szCs w:val="18"/>
              </w:rPr>
            </w:pPr>
            <w:r>
              <w:rPr>
                <w:rFonts w:hint="eastAsia"/>
                <w:szCs w:val="18"/>
              </w:rPr>
              <w:t>10s</w:t>
            </w:r>
          </w:p>
        </w:tc>
      </w:tr>
      <w:tr w14:paraId="33036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994" w:type="pct"/>
          </w:tcPr>
          <w:p w14:paraId="7A90083A">
            <w:pPr>
              <w:pStyle w:val="26"/>
              <w:ind w:leftChars="200" w:firstLine="0" w:firstLineChars="0"/>
              <w:rPr>
                <w:szCs w:val="18"/>
              </w:rPr>
            </w:pPr>
            <w:r>
              <w:rPr>
                <w:rFonts w:hint="eastAsia"/>
                <w:szCs w:val="18"/>
              </w:rPr>
              <w:t>浅燃耗和深燃耗燃料球鉴别测量时间</w:t>
            </w:r>
          </w:p>
        </w:tc>
        <w:tc>
          <w:tcPr>
            <w:tcW w:w="1005" w:type="pct"/>
            <w:vAlign w:val="center"/>
          </w:tcPr>
          <w:p w14:paraId="029897C7">
            <w:pPr>
              <w:pStyle w:val="26"/>
              <w:jc w:val="right"/>
              <w:rPr>
                <w:szCs w:val="18"/>
              </w:rPr>
            </w:pPr>
            <w:r>
              <w:rPr>
                <w:rFonts w:hint="eastAsia"/>
                <w:szCs w:val="18"/>
              </w:rPr>
              <w:t>10s</w:t>
            </w:r>
          </w:p>
        </w:tc>
      </w:tr>
      <w:tr w14:paraId="02828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994" w:type="pct"/>
          </w:tcPr>
          <w:p w14:paraId="248A2CE6">
            <w:pPr>
              <w:pStyle w:val="26"/>
              <w:ind w:leftChars="200" w:firstLine="0" w:firstLineChars="0"/>
              <w:rPr>
                <w:szCs w:val="18"/>
              </w:rPr>
            </w:pPr>
            <w:r>
              <w:rPr>
                <w:rFonts w:hint="eastAsia"/>
                <w:szCs w:val="18"/>
              </w:rPr>
              <w:t>乏燃料球鉴别测量时间</w:t>
            </w:r>
          </w:p>
        </w:tc>
        <w:tc>
          <w:tcPr>
            <w:tcW w:w="1005" w:type="pct"/>
            <w:vAlign w:val="center"/>
          </w:tcPr>
          <w:p w14:paraId="63E926CE">
            <w:pPr>
              <w:pStyle w:val="26"/>
              <w:jc w:val="right"/>
              <w:rPr>
                <w:szCs w:val="18"/>
              </w:rPr>
            </w:pPr>
            <w:r>
              <w:rPr>
                <w:rFonts w:hint="eastAsia"/>
                <w:szCs w:val="18"/>
              </w:rPr>
              <w:t>25s</w:t>
            </w:r>
          </w:p>
        </w:tc>
      </w:tr>
    </w:tbl>
    <w:p w14:paraId="65D9DC7B">
      <w:pPr>
        <w:pStyle w:val="26"/>
      </w:pPr>
      <w:bookmarkStart w:id="83" w:name="_Toc2054208905"/>
      <w:r>
        <w:rPr>
          <w:rFonts w:hint="eastAsia"/>
        </w:rPr>
        <w:t>应允许根据运行经验反馈和运行需求调整上述控制参数。</w:t>
      </w:r>
    </w:p>
    <w:p w14:paraId="71EC4E26">
      <w:pPr>
        <w:pStyle w:val="26"/>
      </w:pPr>
      <w:r>
        <w:rPr>
          <w:rFonts w:hint="eastAsia"/>
        </w:rPr>
        <w:t>应能够在</w:t>
      </w:r>
      <w:r>
        <w:rPr>
          <w:rFonts w:hint="eastAsia"/>
          <w:lang w:eastAsia="zh-CN"/>
        </w:rPr>
        <w:t>装置</w:t>
      </w:r>
      <w:r>
        <w:rPr>
          <w:rFonts w:hint="eastAsia"/>
        </w:rPr>
        <w:t>空闲期间进行本底测量，</w:t>
      </w:r>
      <w:r>
        <w:rPr>
          <w:rFonts w:hint="eastAsia"/>
          <w:lang w:eastAsia="zh-CN"/>
        </w:rPr>
        <w:t>以</w:t>
      </w:r>
      <w:r>
        <w:rPr>
          <w:rFonts w:hint="eastAsia"/>
        </w:rPr>
        <w:t>及时发现测量环境变化或者探测设备异常。</w:t>
      </w:r>
    </w:p>
    <w:p w14:paraId="117EF521">
      <w:pPr>
        <w:pStyle w:val="44"/>
        <w:ind w:left="0"/>
      </w:pPr>
      <w:r>
        <w:rPr>
          <w:rFonts w:hint="eastAsia"/>
        </w:rPr>
        <w:t>元件分检装置</w:t>
      </w:r>
      <w:bookmarkEnd w:id="83"/>
    </w:p>
    <w:p w14:paraId="4E8EA710">
      <w:pPr>
        <w:pStyle w:val="152"/>
        <w:spacing w:before="156" w:after="156"/>
        <w:ind w:left="0"/>
      </w:pPr>
      <w:r>
        <w:rPr>
          <w:rFonts w:hint="eastAsia"/>
        </w:rPr>
        <w:t>前端探测器和计数率仪</w:t>
      </w:r>
    </w:p>
    <w:p w14:paraId="51ABF3DE">
      <w:pPr>
        <w:pStyle w:val="26"/>
      </w:pPr>
      <w:r>
        <w:rPr>
          <w:rFonts w:hint="eastAsia"/>
        </w:rPr>
        <w:t>前端探测器可选用闪烁体探测器。</w:t>
      </w:r>
    </w:p>
    <w:p w14:paraId="4CB76A6F">
      <w:pPr>
        <w:pStyle w:val="26"/>
      </w:pPr>
      <w:r>
        <w:rPr>
          <w:rFonts w:hint="eastAsia"/>
        </w:rPr>
        <w:t>元件分检装置设计应保证前端探测器在其使用寿期内无明显性能下降，且能量注量率不超过探测器材料最大允许能量注量率。</w:t>
      </w:r>
    </w:p>
    <w:p w14:paraId="337AF58C">
      <w:pPr>
        <w:pStyle w:val="26"/>
      </w:pPr>
      <w:r>
        <w:rPr>
          <w:rFonts w:hint="eastAsia"/>
        </w:rPr>
        <w:t>计数率仪应工作在高计数率模式中，</w:t>
      </w:r>
      <w:r>
        <w:rPr>
          <w:rFonts w:hint="eastAsia"/>
          <w:lang w:eastAsia="zh-CN"/>
        </w:rPr>
        <w:t>支持计数率范围应到约</w:t>
      </w:r>
      <w:r>
        <w:rPr>
          <w:rFonts w:hint="eastAsia"/>
          <w:lang w:val="en-US" w:eastAsia="zh-CN"/>
        </w:rPr>
        <w:t>10</w:t>
      </w:r>
      <w:r>
        <w:rPr>
          <w:rFonts w:hint="default"/>
          <w:vertAlign w:val="superscript"/>
          <w:lang w:val="en-US" w:eastAsia="zh-CN"/>
        </w:rPr>
        <w:t xml:space="preserve">6 </w:t>
      </w:r>
      <w:r>
        <w:rPr>
          <w:rFonts w:hint="default"/>
          <w:vertAlign w:val="baseline"/>
          <w:lang w:val="en-US" w:eastAsia="zh-CN"/>
        </w:rPr>
        <w:t>cps</w:t>
      </w:r>
      <w:r>
        <w:rPr>
          <w:rFonts w:hint="eastAsia"/>
          <w:vertAlign w:val="baseline"/>
          <w:lang w:val="en-US" w:eastAsia="zh-CN"/>
        </w:rPr>
        <w:t>；</w:t>
      </w:r>
      <w:r>
        <w:rPr>
          <w:rFonts w:hint="eastAsia"/>
        </w:rPr>
        <w:t>且在其稳定工作的前提下，可不必考虑分辨率。</w:t>
      </w:r>
    </w:p>
    <w:p w14:paraId="0F2AD1CE">
      <w:pPr>
        <w:pStyle w:val="26"/>
      </w:pPr>
      <w:r>
        <w:rPr>
          <w:rFonts w:hint="eastAsia"/>
        </w:rPr>
        <w:t>应为前端探测器和计数率仪构成的探测单元配置放射性源，用于监督探测单元的能谱峰位的稳定性和探测效率的稳定性，推荐Am-241放射源和天然KCl。</w:t>
      </w:r>
    </w:p>
    <w:p w14:paraId="78BF8C6C">
      <w:pPr>
        <w:pStyle w:val="152"/>
        <w:spacing w:before="156" w:after="156"/>
        <w:ind w:left="0"/>
      </w:pPr>
      <w:r>
        <w:rPr>
          <w:rFonts w:hint="eastAsia"/>
        </w:rPr>
        <w:t>屏蔽</w:t>
      </w:r>
    </w:p>
    <w:p w14:paraId="677AFB1A">
      <w:pPr>
        <w:pStyle w:val="26"/>
      </w:pPr>
      <w:r>
        <w:rPr>
          <w:rFonts w:hint="eastAsia"/>
        </w:rPr>
        <w:t>应在前端探测周围设置足够屏蔽，用于保证环境本底和探测器周围短时通过的乏燃料球造成的计数率可忽略，或者远低于乏燃料球与石墨球分检限值。</w:t>
      </w:r>
    </w:p>
    <w:p w14:paraId="73FFF5A0">
      <w:pPr>
        <w:pStyle w:val="152"/>
        <w:spacing w:before="156" w:after="156"/>
        <w:ind w:left="0"/>
      </w:pPr>
      <w:r>
        <w:rPr>
          <w:rFonts w:hint="eastAsia"/>
        </w:rPr>
        <w:t>控制</w:t>
      </w:r>
    </w:p>
    <w:p w14:paraId="3D7EEB85">
      <w:pPr>
        <w:pStyle w:val="26"/>
      </w:pPr>
      <w:r>
        <w:rPr>
          <w:rFonts w:hint="eastAsia"/>
        </w:rPr>
        <w:t>燃耗测量装置的测量流程应实现全自动化。</w:t>
      </w:r>
    </w:p>
    <w:p w14:paraId="491E127A">
      <w:pPr>
        <w:pStyle w:val="26"/>
      </w:pPr>
      <w:r>
        <w:rPr>
          <w:rFonts w:hint="eastAsia"/>
        </w:rPr>
        <w:t>建议对待测对象的测量时间为3s，供设备动作的信号应能够维持在4s，且信号维持过程可随时被中断。</w:t>
      </w:r>
    </w:p>
    <w:p w14:paraId="21B79EE6">
      <w:pPr>
        <w:pStyle w:val="26"/>
      </w:pPr>
      <w:r>
        <w:rPr>
          <w:rFonts w:hint="eastAsia"/>
        </w:rPr>
        <w:t>石墨球与乏燃料球分检限值应根据对待测对象的γ射线强度的探测过程分析确定。</w:t>
      </w:r>
    </w:p>
    <w:p w14:paraId="1C57A976">
      <w:pPr>
        <w:pStyle w:val="26"/>
      </w:pPr>
      <w:r>
        <w:rPr>
          <w:rFonts w:hint="eastAsia"/>
        </w:rPr>
        <w:t>应允许根据运行经验反馈和运行需求调整上述控制参数。</w:t>
      </w:r>
    </w:p>
    <w:p w14:paraId="6A0CC76A">
      <w:pPr>
        <w:pStyle w:val="26"/>
      </w:pPr>
      <w:r>
        <w:rPr>
          <w:rFonts w:hint="eastAsia"/>
        </w:rPr>
        <w:t>应能够在</w:t>
      </w:r>
      <w:r>
        <w:rPr>
          <w:rFonts w:hint="eastAsia"/>
          <w:lang w:eastAsia="zh-CN"/>
        </w:rPr>
        <w:t>装置</w:t>
      </w:r>
      <w:r>
        <w:rPr>
          <w:rFonts w:hint="eastAsia"/>
        </w:rPr>
        <w:t>空闲期间进行本底测量，</w:t>
      </w:r>
      <w:r>
        <w:rPr>
          <w:rFonts w:hint="eastAsia"/>
          <w:lang w:eastAsia="zh-CN"/>
        </w:rPr>
        <w:t>以</w:t>
      </w:r>
      <w:r>
        <w:rPr>
          <w:rFonts w:hint="eastAsia"/>
        </w:rPr>
        <w:t>及时发现测量环境变化或者探测设备异常。</w:t>
      </w:r>
    </w:p>
    <w:p w14:paraId="074B2C84">
      <w:pPr>
        <w:pStyle w:val="44"/>
        <w:ind w:left="0"/>
      </w:pPr>
      <w:bookmarkStart w:id="84" w:name="_Toc1627422103"/>
      <w:r>
        <w:rPr>
          <w:rFonts w:hint="eastAsia"/>
        </w:rPr>
        <w:t>通用要求</w:t>
      </w:r>
      <w:bookmarkEnd w:id="84"/>
    </w:p>
    <w:p w14:paraId="69F772DB">
      <w:pPr>
        <w:pStyle w:val="152"/>
        <w:spacing w:before="156" w:after="156"/>
        <w:ind w:left="0"/>
      </w:pPr>
      <w:r>
        <w:rPr>
          <w:rFonts w:hint="eastAsia"/>
        </w:rPr>
        <w:t>接口要求</w:t>
      </w:r>
    </w:p>
    <w:p w14:paraId="54FE3085">
      <w:pPr>
        <w:pStyle w:val="115"/>
        <w:rPr>
          <w:rFonts w:hint="eastAsia"/>
        </w:rPr>
      </w:pPr>
      <w:r>
        <w:rPr>
          <w:rFonts w:hint="eastAsia"/>
        </w:rPr>
        <w:t>土建接口</w:t>
      </w:r>
    </w:p>
    <w:p w14:paraId="36984CE9">
      <w:pPr>
        <w:pStyle w:val="26"/>
      </w:pPr>
      <w:r>
        <w:rPr>
          <w:rFonts w:hint="eastAsia"/>
        </w:rPr>
        <w:t>燃耗测量系统落地安装或者挂壁安装应优先考虑金属预埋件作为设备安装基础。</w:t>
      </w:r>
    </w:p>
    <w:p w14:paraId="0BCB6462">
      <w:pPr>
        <w:pStyle w:val="26"/>
      </w:pPr>
      <w:r>
        <w:rPr>
          <w:rFonts w:hint="eastAsia"/>
        </w:rPr>
        <w:t>为保障燃耗测量装置针对燃料球测量的</w:t>
      </w:r>
      <w:r>
        <w:rPr>
          <w:rFonts w:hint="eastAsia"/>
          <w:lang w:eastAsia="zh-CN"/>
        </w:rPr>
        <w:t>准直子系统</w:t>
      </w:r>
      <w:r>
        <w:rPr>
          <w:rFonts w:hint="eastAsia"/>
        </w:rPr>
        <w:t>的安装质量，应设置较大的预埋孔道，用以补偿土建误差及安装误差。预埋孔道应能够在</w:t>
      </w:r>
      <w:r>
        <w:rPr>
          <w:rFonts w:hint="eastAsia"/>
          <w:lang w:eastAsia="zh-CN"/>
        </w:rPr>
        <w:t>准直子系统</w:t>
      </w:r>
      <w:r>
        <w:rPr>
          <w:rFonts w:hint="eastAsia"/>
        </w:rPr>
        <w:t>安装完毕后进行二次灌浆封闭；灌浆应填满</w:t>
      </w:r>
      <w:r>
        <w:rPr>
          <w:rFonts w:hint="eastAsia"/>
          <w:lang w:eastAsia="zh-CN"/>
        </w:rPr>
        <w:t>准直子系统</w:t>
      </w:r>
      <w:r>
        <w:rPr>
          <w:rFonts w:hint="eastAsia"/>
        </w:rPr>
        <w:t>部件与预埋孔道间的所有空间，且保证灌浆材料密度不低于2</w:t>
      </w:r>
      <w:r>
        <w:t>.0</w:t>
      </w:r>
      <w:r>
        <w:rPr>
          <w:rFonts w:hint="eastAsia"/>
          <w:lang w:val="en-US" w:eastAsia="zh-CN"/>
        </w:rPr>
        <w:t xml:space="preserve"> </w:t>
      </w:r>
      <w:r>
        <w:rPr>
          <w:rFonts w:hint="eastAsia"/>
        </w:rPr>
        <w:t>g</w:t>
      </w:r>
      <w:r>
        <w:t>/cm</w:t>
      </w:r>
      <w:r>
        <w:rPr>
          <w:vertAlign w:val="superscript"/>
        </w:rPr>
        <w:t>3</w:t>
      </w:r>
      <w:r>
        <w:rPr>
          <w:rFonts w:hint="eastAsia"/>
        </w:rPr>
        <w:t>。</w:t>
      </w:r>
    </w:p>
    <w:p w14:paraId="14D6BFFF">
      <w:pPr>
        <w:pStyle w:val="115"/>
        <w:rPr>
          <w:rFonts w:hint="eastAsia"/>
        </w:rPr>
      </w:pPr>
      <w:r>
        <w:rPr>
          <w:rFonts w:hint="eastAsia"/>
        </w:rPr>
        <w:t>机械接口</w:t>
      </w:r>
    </w:p>
    <w:p w14:paraId="0D905C8D">
      <w:pPr>
        <w:pStyle w:val="26"/>
      </w:pPr>
      <w:r>
        <w:rPr>
          <w:rFonts w:hint="eastAsia"/>
        </w:rPr>
        <w:t>燃耗测量装置接口系统为燃料装卸系统，燃耗测量装置中准直</w:t>
      </w:r>
      <w:r>
        <w:rPr>
          <w:rFonts w:hint="eastAsia"/>
          <w:lang w:eastAsia="zh-CN"/>
        </w:rPr>
        <w:t>子</w:t>
      </w:r>
      <w:r>
        <w:rPr>
          <w:rFonts w:hint="eastAsia"/>
        </w:rPr>
        <w:t>系统和高纯锗探测器等的安装定位应以待测对象（燃料球或者石墨球）球心位置或其替代基准为基础。通常，辐射测量过程中，待测对象停靠在燃料装卸系统燃耗测量定位分配器中。</w:t>
      </w:r>
    </w:p>
    <w:p w14:paraId="763B4890">
      <w:pPr>
        <w:pStyle w:val="26"/>
      </w:pPr>
      <w:r>
        <w:rPr>
          <w:rFonts w:hint="eastAsia"/>
        </w:rPr>
        <w:t>元件分检装置前端探测器安装在乏燃料贮存系统的元件分检定位装置中，因此应协调两部件设计，保障前端探测器的可靠固定、有效屏蔽和电缆出线；应优化电缆出线孔道，使其对屏蔽的减弱作用对鉴别测量的影响可以忽略。</w:t>
      </w:r>
    </w:p>
    <w:p w14:paraId="5B5BB71E">
      <w:pPr>
        <w:pStyle w:val="115"/>
        <w:rPr>
          <w:rFonts w:hint="eastAsia"/>
        </w:rPr>
      </w:pPr>
      <w:r>
        <w:rPr>
          <w:rFonts w:hint="eastAsia"/>
        </w:rPr>
        <w:t>电气接口</w:t>
      </w:r>
    </w:p>
    <w:p w14:paraId="688CEF02">
      <w:pPr>
        <w:pStyle w:val="26"/>
      </w:pPr>
      <w:r>
        <w:rPr>
          <w:rFonts w:hint="eastAsia"/>
        </w:rPr>
        <w:t>对于燃耗测量装置，应配备不间断电源，以防止偶然断电导致高纯锗探测器回温问题。</w:t>
      </w:r>
    </w:p>
    <w:p w14:paraId="01BA1C43">
      <w:pPr>
        <w:pStyle w:val="26"/>
      </w:pPr>
      <w:r>
        <w:rPr>
          <w:rFonts w:hint="eastAsia"/>
        </w:rPr>
        <w:t>用电负荷估计应考虑正常运行用电需求和部分设备投运时的短时较高负荷。</w:t>
      </w:r>
    </w:p>
    <w:p w14:paraId="5BDAE578">
      <w:pPr>
        <w:pStyle w:val="26"/>
      </w:pPr>
      <w:r>
        <w:rPr>
          <w:rFonts w:hint="eastAsia"/>
        </w:rPr>
        <w:t>对外电气接口应尽量集中，避免每个用电部件的独立取电。</w:t>
      </w:r>
    </w:p>
    <w:p w14:paraId="77A21019">
      <w:pPr>
        <w:pStyle w:val="115"/>
        <w:rPr>
          <w:rFonts w:hint="eastAsia"/>
        </w:rPr>
      </w:pPr>
      <w:r>
        <w:rPr>
          <w:rFonts w:hint="eastAsia"/>
        </w:rPr>
        <w:t>控制接口</w:t>
      </w:r>
    </w:p>
    <w:p w14:paraId="1F508851">
      <w:pPr>
        <w:pStyle w:val="26"/>
      </w:pPr>
      <w:r>
        <w:rPr>
          <w:rFonts w:hint="eastAsia"/>
        </w:rPr>
        <w:t>与后续控制动作直接相关联的仪控信号，宜采用硬接线方式保障信号传递的可靠性和低延时。</w:t>
      </w:r>
    </w:p>
    <w:p w14:paraId="6F8A615E">
      <w:pPr>
        <w:pStyle w:val="26"/>
      </w:pPr>
      <w:r>
        <w:rPr>
          <w:rFonts w:hint="eastAsia"/>
        </w:rPr>
        <w:t>测量数据、流程控制参数等宜通过通信接口传递。</w:t>
      </w:r>
    </w:p>
    <w:p w14:paraId="2AC63A1A">
      <w:pPr>
        <w:pStyle w:val="115"/>
        <w:rPr>
          <w:rFonts w:hint="eastAsia"/>
        </w:rPr>
      </w:pPr>
      <w:r>
        <w:rPr>
          <w:rFonts w:hint="eastAsia"/>
        </w:rPr>
        <w:t>时钟接口</w:t>
      </w:r>
    </w:p>
    <w:p w14:paraId="11AFC11A">
      <w:pPr>
        <w:pStyle w:val="26"/>
      </w:pPr>
      <w:r>
        <w:rPr>
          <w:rFonts w:hint="eastAsia"/>
        </w:rPr>
        <w:t>燃耗测量系统应接入全厂时钟，以保证流程控制、数据传输与存储等的协调。</w:t>
      </w:r>
    </w:p>
    <w:p w14:paraId="1E8FCB21">
      <w:pPr>
        <w:pStyle w:val="26"/>
      </w:pPr>
      <w:r>
        <w:rPr>
          <w:rFonts w:hint="eastAsia"/>
        </w:rPr>
        <w:t>全厂时钟信号宜接入远程控制子系统，并通过燃耗测量内部网络实现系统内的时间同步。</w:t>
      </w:r>
    </w:p>
    <w:p w14:paraId="0D706BCF">
      <w:pPr>
        <w:pStyle w:val="26"/>
      </w:pPr>
      <w:r>
        <w:rPr>
          <w:rFonts w:hint="eastAsia"/>
        </w:rPr>
        <w:t>推荐采用NTP协议实现系统内部时钟与全厂时钟的同步。</w:t>
      </w:r>
    </w:p>
    <w:p w14:paraId="2CE4AE3B">
      <w:pPr>
        <w:pStyle w:val="115"/>
        <w:rPr>
          <w:rFonts w:hint="eastAsia"/>
        </w:rPr>
      </w:pPr>
      <w:r>
        <w:rPr>
          <w:rFonts w:hint="eastAsia"/>
        </w:rPr>
        <w:t>暖通</w:t>
      </w:r>
    </w:p>
    <w:p w14:paraId="5BFCD297">
      <w:pPr>
        <w:pStyle w:val="26"/>
      </w:pPr>
      <w:r>
        <w:rPr>
          <w:rFonts w:hint="eastAsia"/>
        </w:rPr>
        <w:t>应根据关键零部件/设备运行的环境温、湿度要求，明确对暖通系统的要求。</w:t>
      </w:r>
    </w:p>
    <w:p w14:paraId="0D27DDCD">
      <w:pPr>
        <w:pStyle w:val="26"/>
      </w:pPr>
      <w:r>
        <w:rPr>
          <w:rFonts w:hint="eastAsia"/>
        </w:rPr>
        <w:t>应特别关注高纯锗探测器所在房间的温、湿度环境情况，保证高纯锗探测器表面不出现结露、凝水等现象。</w:t>
      </w:r>
    </w:p>
    <w:p w14:paraId="4D74A703">
      <w:pPr>
        <w:pStyle w:val="152"/>
        <w:spacing w:before="156" w:after="156"/>
        <w:ind w:left="0"/>
      </w:pPr>
      <w:r>
        <w:rPr>
          <w:rFonts w:hint="eastAsia"/>
        </w:rPr>
        <w:t>电缆要求</w:t>
      </w:r>
    </w:p>
    <w:p w14:paraId="0F37F802">
      <w:pPr>
        <w:pStyle w:val="26"/>
      </w:pPr>
      <w:r>
        <w:rPr>
          <w:rFonts w:hint="eastAsia"/>
        </w:rPr>
        <w:t>燃耗测量系统内、外部电缆均应采用低燃无卤阻燃电缆，阻燃等级为A；当</w:t>
      </w:r>
      <w:r>
        <w:rPr>
          <w:rFonts w:hint="eastAsia"/>
          <w:lang w:eastAsia="zh-CN"/>
        </w:rPr>
        <w:t>多</w:t>
      </w:r>
      <w:r>
        <w:rPr>
          <w:rFonts w:hint="eastAsia"/>
        </w:rPr>
        <w:t>指标</w:t>
      </w:r>
      <w:r>
        <w:rPr>
          <w:rFonts w:hint="eastAsia"/>
          <w:lang w:eastAsia="zh-CN"/>
        </w:rPr>
        <w:t>要求</w:t>
      </w:r>
      <w:r>
        <w:rPr>
          <w:rFonts w:hint="eastAsia"/>
        </w:rPr>
        <w:t>发生冲突（如耐辐照性能电缆均无法达到A级）时，阻燃等级也不应低于C。</w:t>
      </w:r>
    </w:p>
    <w:p w14:paraId="29A956A2">
      <w:pPr>
        <w:pStyle w:val="26"/>
      </w:pPr>
      <w:r>
        <w:rPr>
          <w:rFonts w:hint="eastAsia"/>
        </w:rPr>
        <w:t>对应弱信号传输电缆（如高纯锗探测器输出、通讯电缆）须特别关注屏蔽接地等问题。</w:t>
      </w:r>
    </w:p>
    <w:p w14:paraId="606D5399">
      <w:pPr>
        <w:pStyle w:val="152"/>
        <w:spacing w:before="156" w:after="156"/>
        <w:ind w:left="0"/>
      </w:pPr>
      <w:r>
        <w:rPr>
          <w:rFonts w:hint="eastAsia"/>
        </w:rPr>
        <w:t>电气要求</w:t>
      </w:r>
    </w:p>
    <w:p w14:paraId="5D2D111D">
      <w:pPr>
        <w:pStyle w:val="26"/>
      </w:pPr>
      <w:r>
        <w:rPr>
          <w:rFonts w:hint="eastAsia"/>
        </w:rPr>
        <w:t>燃耗测量系统设备/部件应能够耐受供电电压±1</w:t>
      </w:r>
      <w:r>
        <w:t>0%</w:t>
      </w:r>
      <w:r>
        <w:rPr>
          <w:rFonts w:hint="eastAsia"/>
        </w:rPr>
        <w:t>的波动，且不影响燃耗测量系统性能。</w:t>
      </w:r>
    </w:p>
    <w:p w14:paraId="24F65B08">
      <w:pPr>
        <w:pStyle w:val="152"/>
        <w:spacing w:before="156" w:after="156"/>
        <w:ind w:left="0"/>
      </w:pPr>
      <w:r>
        <w:rPr>
          <w:rFonts w:hint="eastAsia"/>
        </w:rPr>
        <w:t>电磁兼容要求</w:t>
      </w:r>
    </w:p>
    <w:p w14:paraId="71128FC4">
      <w:pPr>
        <w:pStyle w:val="26"/>
        <w:rPr>
          <w:rFonts w:hint="eastAsia"/>
          <w:lang w:eastAsia="zh-CN"/>
        </w:rPr>
      </w:pPr>
      <w:r>
        <w:rPr>
          <w:rFonts w:hint="eastAsia"/>
        </w:rPr>
        <w:t>燃耗测量系统</w:t>
      </w:r>
      <w:r>
        <w:rPr>
          <w:rFonts w:hint="eastAsia"/>
          <w:lang w:eastAsia="zh-CN"/>
        </w:rPr>
        <w:t>中燃耗测量装置和元件分检装置应按照</w:t>
      </w:r>
      <w:r>
        <w:rPr>
          <w:rFonts w:hint="eastAsia"/>
        </w:rPr>
        <w:t>GB/T</w:t>
      </w:r>
      <w:r>
        <w:rPr>
          <w:rFonts w:hint="eastAsia"/>
          <w:lang w:val="en-US" w:eastAsia="zh-CN"/>
        </w:rPr>
        <w:t xml:space="preserve"> </w:t>
      </w:r>
      <w:r>
        <w:rPr>
          <w:rFonts w:hint="eastAsia"/>
        </w:rPr>
        <w:t>11684中</w:t>
      </w:r>
      <w:r>
        <w:rPr>
          <w:rFonts w:hint="eastAsia"/>
          <w:lang w:eastAsia="zh-CN"/>
        </w:rPr>
        <w:t>对</w:t>
      </w:r>
      <w:r>
        <w:rPr>
          <w:rFonts w:hint="eastAsia"/>
        </w:rPr>
        <w:t>核电厂用仪表</w:t>
      </w:r>
      <w:r>
        <w:rPr>
          <w:rFonts w:hint="eastAsia"/>
          <w:lang w:eastAsia="zh-CN"/>
        </w:rPr>
        <w:t>的</w:t>
      </w:r>
      <w:r>
        <w:rPr>
          <w:rFonts w:hint="eastAsia"/>
        </w:rPr>
        <w:t>电磁兼容</w:t>
      </w:r>
      <w:r>
        <w:rPr>
          <w:rFonts w:hint="eastAsia"/>
          <w:lang w:eastAsia="zh-CN"/>
        </w:rPr>
        <w:t>试验要求进行电磁兼容测试，且</w:t>
      </w:r>
      <w:r>
        <w:rPr>
          <w:rFonts w:hint="eastAsia"/>
        </w:rPr>
        <w:t>验收准则为A类</w:t>
      </w:r>
      <w:r>
        <w:rPr>
          <w:rFonts w:hint="eastAsia"/>
          <w:lang w:eastAsia="zh-CN"/>
        </w:rPr>
        <w:t>。</w:t>
      </w:r>
    </w:p>
    <w:p w14:paraId="7DBA9B3F">
      <w:pPr>
        <w:pStyle w:val="26"/>
        <w:rPr>
          <w:rFonts w:hint="eastAsia"/>
          <w:lang w:eastAsia="zh-CN"/>
        </w:rPr>
      </w:pPr>
      <w:r>
        <w:rPr>
          <w:rFonts w:hint="eastAsia"/>
          <w:lang w:eastAsia="zh-CN"/>
        </w:rPr>
        <w:t>对燃耗测量装置，试验验收指标应包含特征γ射线全能峰（推荐</w:t>
      </w:r>
      <w:r>
        <w:rPr>
          <w:rFonts w:hint="eastAsia"/>
          <w:vertAlign w:val="superscript"/>
          <w:lang w:val="en-US" w:eastAsia="zh-CN"/>
        </w:rPr>
        <w:t>137</w:t>
      </w:r>
      <w:r>
        <w:rPr>
          <w:rFonts w:hint="eastAsia"/>
          <w:lang w:val="en-US" w:eastAsia="zh-CN"/>
        </w:rPr>
        <w:t>Cs 661.657keV射线）的</w:t>
      </w:r>
      <w:r>
        <w:rPr>
          <w:rFonts w:hint="eastAsia"/>
          <w:lang w:eastAsia="zh-CN"/>
        </w:rPr>
        <w:t>峰位、计数率、分辨率和谱仪输出高压的稳定性。</w:t>
      </w:r>
    </w:p>
    <w:p w14:paraId="1A0EFF0D">
      <w:pPr>
        <w:pStyle w:val="26"/>
        <w:rPr>
          <w:rFonts w:hint="eastAsia" w:eastAsia="宋体"/>
          <w:lang w:eastAsia="zh-CN"/>
        </w:rPr>
      </w:pPr>
      <w:r>
        <w:rPr>
          <w:rFonts w:hint="eastAsia"/>
          <w:lang w:eastAsia="zh-CN"/>
        </w:rPr>
        <w:t>对元件分检装置，实验验收指标应包含计数率和计数率仪高压输出稳定性。</w:t>
      </w:r>
    </w:p>
    <w:p w14:paraId="48BB49A9">
      <w:pPr>
        <w:pStyle w:val="152"/>
        <w:spacing w:before="156" w:after="156"/>
        <w:ind w:left="0"/>
      </w:pPr>
      <w:r>
        <w:rPr>
          <w:rFonts w:hint="eastAsia"/>
          <w:lang w:eastAsia="zh-CN"/>
        </w:rPr>
        <w:t>环境适应性要求</w:t>
      </w:r>
    </w:p>
    <w:p w14:paraId="02C0B491">
      <w:pPr>
        <w:pStyle w:val="26"/>
        <w:rPr>
          <w:rFonts w:hint="eastAsia"/>
          <w:lang w:val="en-US" w:eastAsia="zh-CN"/>
        </w:rPr>
      </w:pPr>
      <w:r>
        <w:rPr>
          <w:rFonts w:hint="eastAsia"/>
          <w:lang w:eastAsia="zh-CN"/>
        </w:rPr>
        <w:t>燃耗测量系统中燃耗测量装置和元件分检装置应按照</w:t>
      </w:r>
      <w:r>
        <w:rPr>
          <w:rFonts w:hint="eastAsia"/>
          <w:lang w:val="en-US" w:eastAsia="zh-CN"/>
        </w:rPr>
        <w:t>GB/T 8993中的环境条件和试验方法进行环境适应性试验。</w:t>
      </w:r>
    </w:p>
    <w:p w14:paraId="4DC492F9">
      <w:pPr>
        <w:pStyle w:val="26"/>
        <w:rPr>
          <w:rFonts w:hint="eastAsia"/>
          <w:lang w:val="en-US" w:eastAsia="zh-CN"/>
        </w:rPr>
      </w:pPr>
      <w:r>
        <w:rPr>
          <w:rFonts w:hint="eastAsia"/>
          <w:lang w:val="en-US" w:eastAsia="zh-CN"/>
        </w:rPr>
        <w:t>燃耗测量装置试验环境条件推荐GB/T 8993 Ib组。</w:t>
      </w:r>
    </w:p>
    <w:p w14:paraId="31F34222">
      <w:pPr>
        <w:pStyle w:val="26"/>
        <w:rPr>
          <w:rFonts w:hint="default"/>
          <w:lang w:val="en-US" w:eastAsia="zh-CN"/>
        </w:rPr>
      </w:pPr>
      <w:r>
        <w:rPr>
          <w:rFonts w:hint="eastAsia"/>
          <w:lang w:val="en-US" w:eastAsia="zh-CN"/>
        </w:rPr>
        <w:t>元件分检装置试验环境条件推荐GB/T 8993 1c组。</w:t>
      </w:r>
    </w:p>
    <w:p w14:paraId="4C5B5197">
      <w:pPr>
        <w:pStyle w:val="152"/>
        <w:spacing w:before="156" w:after="156"/>
        <w:ind w:left="0"/>
      </w:pPr>
      <w:r>
        <w:rPr>
          <w:rFonts w:hint="eastAsia"/>
        </w:rPr>
        <w:t>接地要求</w:t>
      </w:r>
    </w:p>
    <w:p w14:paraId="6655ECB6">
      <w:pPr>
        <w:pStyle w:val="26"/>
      </w:pPr>
      <w:r>
        <w:rPr>
          <w:rFonts w:hint="eastAsia"/>
        </w:rPr>
        <w:t>燃耗测量系统应至少配备系统地（信号地）和保护地，分别与现场对应接地系统对接。</w:t>
      </w:r>
    </w:p>
    <w:p w14:paraId="096700AD">
      <w:pPr>
        <w:pStyle w:val="26"/>
      </w:pPr>
    </w:p>
    <w:sectPr>
      <w:footerReference r:id="rId7" w:type="default"/>
      <w:pgSz w:w="11906" w:h="16838"/>
      <w:pgMar w:top="1134" w:right="1417" w:bottom="567" w:left="1134" w:header="1418" w:footer="1134" w:gutter="0"/>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仿宋体">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MS Mincho">
    <w:altName w:val="MS Gothic"/>
    <w:panose1 w:val="02020609040205080304"/>
    <w:charset w:val="80"/>
    <w:family w:val="modern"/>
    <w:pitch w:val="default"/>
    <w:sig w:usb0="00000000" w:usb1="00000000" w:usb2="08000012" w:usb3="00000000" w:csb0="0002009F" w:csb1="00000000"/>
  </w:font>
  <w:font w:name="MS Gothic">
    <w:panose1 w:val="020B0609070205080204"/>
    <w:charset w:val="80"/>
    <w:family w:val="auto"/>
    <w:pitch w:val="default"/>
    <w:sig w:usb0="E00002FF" w:usb1="6AC7FDFB" w:usb2="08000012" w:usb3="00000000" w:csb0="4002009F" w:csb1="DFD70000"/>
  </w:font>
  <w:font w:name="Adwaita Mono">
    <w:panose1 w:val="02000509030000000004"/>
    <w:charset w:val="00"/>
    <w:family w:val="auto"/>
    <w:pitch w:val="default"/>
    <w:sig w:usb0="E50006FF" w:usb1="5040FFFF" w:usb2="03040028" w:usb3="0010A008" w:csb0="2000011F" w:csb1="C4000000"/>
  </w:font>
  <w:font w:name="Book Antiqua">
    <w:panose1 w:val="02040602050305030304"/>
    <w:charset w:val="00"/>
    <w:family w:val="auto"/>
    <w:pitch w:val="default"/>
    <w:sig w:usb0="00000287" w:usb1="00000000" w:usb2="00000000" w:usb3="00000000" w:csb0="2000009F" w:csb1="DFD7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19DBD">
    <w:pPr>
      <w:pStyle w:val="70"/>
      <w:jc w:val="center"/>
    </w:pPr>
    <w:r>
      <w:fldChar w:fldCharType="begin"/>
    </w:r>
    <w:r>
      <w:instrText xml:space="preserve"> PAGE  \* MERGEFORMAT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30F41">
    <w:pPr>
      <w:pStyle w:val="45"/>
    </w:pPr>
    <w:r>
      <w:fldChar w:fldCharType="begin"/>
    </w:r>
    <w:r>
      <w:instrText xml:space="preserve"> PAGE  \* MERGEFORMAT </w:instrText>
    </w:r>
    <w:r>
      <w:fldChar w:fldCharType="separate"/>
    </w:r>
    <w:r>
      <w:t>I</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CCFAA">
    <w:pPr>
      <w:pStyle w:val="20"/>
      <w:jc w:val="center"/>
    </w:pPr>
    <w:r>
      <w:rPr>
        <w:rStyle w:val="39"/>
      </w:rPr>
      <w:fldChar w:fldCharType="begin"/>
    </w:r>
    <w:r>
      <w:rPr>
        <w:rStyle w:val="39"/>
      </w:rPr>
      <w:instrText xml:space="preserve"> PAGE </w:instrText>
    </w:r>
    <w:r>
      <w:rPr>
        <w:rStyle w:val="39"/>
      </w:rPr>
      <w:fldChar w:fldCharType="separate"/>
    </w:r>
    <w:r>
      <w:rPr>
        <w:rStyle w:val="39"/>
      </w:rPr>
      <w:t>3</w:t>
    </w:r>
    <w:r>
      <w:rPr>
        <w:rStyle w:val="39"/>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A5B7F">
    <w:pPr>
      <w:pStyle w:val="71"/>
    </w:pPr>
    <w:r>
      <w:rPr>
        <w:rFonts w:hint="eastAsia"/>
      </w:rPr>
      <w:t>T</w:t>
    </w:r>
    <w:r>
      <w:t>/</w:t>
    </w:r>
    <w:r>
      <w:rPr>
        <w:rFonts w:hint="eastAsia"/>
      </w:rPr>
      <w:t>CNS</w:t>
    </w:r>
    <w:r>
      <w:t xml:space="preserve">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13F8E">
    <w:pPr>
      <w:pStyle w:val="46"/>
    </w:pPr>
    <w:r>
      <w:rPr>
        <w:rFonts w:hint="eastAsia"/>
      </w:rPr>
      <w:t>T</w:t>
    </w:r>
    <w:r>
      <w:t>/</w:t>
    </w:r>
    <w:r>
      <w:rPr>
        <w:rFonts w:hint="eastAsia"/>
      </w:rPr>
      <w:t>CNS</w:t>
    </w:r>
    <w:r>
      <w:t xml:space="preserve">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BE51AE"/>
    <w:multiLevelType w:val="multilevel"/>
    <w:tmpl w:val="F5BE51AE"/>
    <w:lvl w:ilvl="0" w:tentative="0">
      <w:start w:val="1"/>
      <w:numFmt w:val="decimal"/>
      <w:suff w:val="space"/>
      <w:lvlText w:val="（%1）"/>
      <w:lvlJc w:val="left"/>
      <w:pPr>
        <w:ind w:left="840" w:hanging="420"/>
      </w:pPr>
      <w:rPr>
        <w:rFonts w:hint="eastAsia"/>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1">
    <w:nsid w:val="079102AD"/>
    <w:multiLevelType w:val="multilevel"/>
    <w:tmpl w:val="079102AD"/>
    <w:lvl w:ilvl="0" w:tentative="0">
      <w:start w:val="1"/>
      <w:numFmt w:val="decimal"/>
      <w:pStyle w:val="60"/>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2">
    <w:nsid w:val="0902423D"/>
    <w:multiLevelType w:val="multilevel"/>
    <w:tmpl w:val="0902423D"/>
    <w:lvl w:ilvl="0" w:tentative="0">
      <w:start w:val="1"/>
      <w:numFmt w:val="decimal"/>
      <w:suff w:val="space"/>
      <w:lvlText w:val="（%1）"/>
      <w:lvlJc w:val="left"/>
      <w:pPr>
        <w:ind w:left="840" w:hanging="420"/>
      </w:pPr>
      <w:rPr>
        <w:rFonts w:hint="eastAsia"/>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3">
    <w:nsid w:val="093C6778"/>
    <w:multiLevelType w:val="multilevel"/>
    <w:tmpl w:val="093C6778"/>
    <w:lvl w:ilvl="0" w:tentative="0">
      <w:start w:val="1"/>
      <w:numFmt w:val="decimal"/>
      <w:pStyle w:val="118"/>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0AE367E9"/>
    <w:multiLevelType w:val="multilevel"/>
    <w:tmpl w:val="0AE367E9"/>
    <w:lvl w:ilvl="0" w:tentative="0">
      <w:start w:val="1"/>
      <w:numFmt w:val="none"/>
      <w:pStyle w:val="54"/>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DDE2B46"/>
    <w:multiLevelType w:val="multilevel"/>
    <w:tmpl w:val="0DDE2B46"/>
    <w:lvl w:ilvl="0" w:tentative="0">
      <w:start w:val="1"/>
      <w:numFmt w:val="lowerLetter"/>
      <w:pStyle w:val="123"/>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67"/>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47"/>
      <w:suff w:val="nothing"/>
      <w:lvlText w:val="%1　"/>
      <w:lvlJc w:val="left"/>
      <w:pPr>
        <w:ind w:left="993" w:firstLine="0"/>
      </w:pPr>
      <w:rPr>
        <w:rFonts w:hint="eastAsia" w:ascii="黑体" w:hAnsi="Times New Roman" w:eastAsia="黑体"/>
        <w:b w:val="0"/>
        <w:i w:val="0"/>
        <w:sz w:val="21"/>
        <w:szCs w:val="21"/>
      </w:rPr>
    </w:lvl>
    <w:lvl w:ilvl="1" w:tentative="0">
      <w:start w:val="1"/>
      <w:numFmt w:val="decimal"/>
      <w:pStyle w:val="44"/>
      <w:suff w:val="nothing"/>
      <w:lvlText w:val="%1.%2　"/>
      <w:lvlJc w:val="left"/>
      <w:pPr>
        <w:ind w:left="1275"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48"/>
      <w:suff w:val="nothing"/>
      <w:lvlText w:val="%1.%2.%3　"/>
      <w:lvlJc w:val="left"/>
      <w:pPr>
        <w:ind w:left="-1417" w:firstLine="0"/>
      </w:pPr>
      <w:rPr>
        <w:rFonts w:hint="eastAsia" w:ascii="黑体" w:hAnsi="Times New Roman" w:eastAsia="黑体"/>
        <w:b w:val="0"/>
        <w:i w:val="0"/>
        <w:sz w:val="21"/>
      </w:rPr>
    </w:lvl>
    <w:lvl w:ilvl="3" w:tentative="0">
      <w:start w:val="1"/>
      <w:numFmt w:val="decimal"/>
      <w:pStyle w:val="53"/>
      <w:suff w:val="nothing"/>
      <w:lvlText w:val="%1.%2.%3.%4　"/>
      <w:lvlJc w:val="left"/>
      <w:pPr>
        <w:ind w:left="-1417" w:firstLine="0"/>
      </w:pPr>
      <w:rPr>
        <w:rFonts w:hint="eastAsia" w:ascii="黑体" w:hAnsi="Times New Roman" w:eastAsia="黑体"/>
        <w:b w:val="0"/>
        <w:i w:val="0"/>
        <w:sz w:val="21"/>
      </w:rPr>
    </w:lvl>
    <w:lvl w:ilvl="4" w:tentative="0">
      <w:start w:val="1"/>
      <w:numFmt w:val="decimal"/>
      <w:pStyle w:val="57"/>
      <w:suff w:val="nothing"/>
      <w:lvlText w:val="%1.%2.%3.%4.%5　"/>
      <w:lvlJc w:val="left"/>
      <w:pPr>
        <w:ind w:left="-1417" w:firstLine="0"/>
      </w:pPr>
      <w:rPr>
        <w:rFonts w:hint="eastAsia" w:ascii="黑体" w:hAnsi="Times New Roman" w:eastAsia="黑体"/>
        <w:b w:val="0"/>
        <w:i w:val="0"/>
        <w:sz w:val="21"/>
      </w:rPr>
    </w:lvl>
    <w:lvl w:ilvl="5" w:tentative="0">
      <w:start w:val="1"/>
      <w:numFmt w:val="decimal"/>
      <w:pStyle w:val="58"/>
      <w:suff w:val="nothing"/>
      <w:lvlText w:val="%1.%2.%3.%4.%5.%6　"/>
      <w:lvlJc w:val="left"/>
      <w:pPr>
        <w:ind w:left="-1417" w:firstLine="0"/>
      </w:pPr>
      <w:rPr>
        <w:rFonts w:hint="eastAsia" w:ascii="黑体" w:hAnsi="Times New Roman" w:eastAsia="黑体"/>
        <w:b w:val="0"/>
        <w:i w:val="0"/>
        <w:sz w:val="21"/>
      </w:rPr>
    </w:lvl>
    <w:lvl w:ilvl="6" w:tentative="0">
      <w:start w:val="1"/>
      <w:numFmt w:val="decimal"/>
      <w:suff w:val="nothing"/>
      <w:lvlText w:val="%1%2.%3.%4.%5.%6.%7　"/>
      <w:lvlJc w:val="left"/>
      <w:pPr>
        <w:ind w:left="-1417" w:firstLine="0"/>
      </w:pPr>
      <w:rPr>
        <w:rFonts w:hint="eastAsia" w:ascii="黑体" w:hAnsi="Times New Roman" w:eastAsia="黑体"/>
        <w:b w:val="0"/>
        <w:i w:val="0"/>
        <w:sz w:val="21"/>
      </w:rPr>
    </w:lvl>
    <w:lvl w:ilvl="7" w:tentative="0">
      <w:start w:val="1"/>
      <w:numFmt w:val="decimal"/>
      <w:lvlText w:val="%1.%2.%3.%4.%5.%6.%7.%8"/>
      <w:lvlJc w:val="left"/>
      <w:pPr>
        <w:tabs>
          <w:tab w:val="left" w:pos="2934"/>
        </w:tabs>
        <w:ind w:left="2552" w:hanging="1418"/>
      </w:pPr>
      <w:rPr>
        <w:rFonts w:hint="eastAsia"/>
      </w:rPr>
    </w:lvl>
    <w:lvl w:ilvl="8" w:tentative="0">
      <w:start w:val="1"/>
      <w:numFmt w:val="decimal"/>
      <w:lvlText w:val="%1.%2.%3.%4.%5.%6.%7.%8.%9"/>
      <w:lvlJc w:val="left"/>
      <w:pPr>
        <w:tabs>
          <w:tab w:val="left" w:pos="3360"/>
        </w:tabs>
        <w:ind w:left="3260" w:hanging="1700"/>
      </w:pPr>
      <w:rPr>
        <w:rFonts w:hint="eastAsia"/>
      </w:rPr>
    </w:lvl>
  </w:abstractNum>
  <w:abstractNum w:abstractNumId="8">
    <w:nsid w:val="2A8F7113"/>
    <w:multiLevelType w:val="multilevel"/>
    <w:tmpl w:val="2A8F7113"/>
    <w:lvl w:ilvl="0" w:tentative="0">
      <w:start w:val="1"/>
      <w:numFmt w:val="upperLetter"/>
      <w:pStyle w:val="100"/>
      <w:suff w:val="space"/>
      <w:lvlText w:val="%1"/>
      <w:lvlJc w:val="left"/>
      <w:pPr>
        <w:ind w:left="623" w:hanging="425"/>
      </w:pPr>
      <w:rPr>
        <w:rFonts w:hint="eastAsia"/>
      </w:rPr>
    </w:lvl>
    <w:lvl w:ilvl="1" w:tentative="0">
      <w:start w:val="1"/>
      <w:numFmt w:val="decimal"/>
      <w:pStyle w:val="101"/>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2C5917C3"/>
    <w:multiLevelType w:val="multilevel"/>
    <w:tmpl w:val="2C5917C3"/>
    <w:lvl w:ilvl="0" w:tentative="0">
      <w:start w:val="1"/>
      <w:numFmt w:val="none"/>
      <w:pStyle w:val="50"/>
      <w:suff w:val="nothing"/>
      <w:lvlText w:val="%1——"/>
      <w:lvlJc w:val="left"/>
      <w:pPr>
        <w:ind w:left="833" w:hanging="408"/>
      </w:pPr>
      <w:rPr>
        <w:rFonts w:hint="eastAsia"/>
      </w:rPr>
    </w:lvl>
    <w:lvl w:ilvl="1" w:tentative="0">
      <w:start w:val="1"/>
      <w:numFmt w:val="bullet"/>
      <w:pStyle w:val="51"/>
      <w:lvlText w:val=""/>
      <w:lvlJc w:val="left"/>
      <w:pPr>
        <w:tabs>
          <w:tab w:val="left" w:pos="760"/>
        </w:tabs>
        <w:ind w:left="1264" w:hanging="413"/>
      </w:pPr>
      <w:rPr>
        <w:rFonts w:hint="default" w:ascii="Symbol" w:hAnsi="Symbol"/>
        <w:color w:val="auto"/>
      </w:rPr>
    </w:lvl>
    <w:lvl w:ilvl="2" w:tentative="0">
      <w:start w:val="1"/>
      <w:numFmt w:val="bullet"/>
      <w:pStyle w:val="62"/>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3D733618"/>
    <w:multiLevelType w:val="multilevel"/>
    <w:tmpl w:val="3D733618"/>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tentative="0">
      <w:start w:val="1"/>
      <w:numFmt w:val="lowerLetter"/>
      <w:pStyle w:val="61"/>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6"/>
      <w:lvlText w:val="%2)"/>
      <w:lvlJc w:val="left"/>
      <w:pPr>
        <w:tabs>
          <w:tab w:val="left" w:pos="1260"/>
        </w:tabs>
        <w:ind w:left="1259" w:hanging="419"/>
      </w:pPr>
      <w:rPr>
        <w:rFonts w:hint="eastAsia"/>
      </w:rPr>
    </w:lvl>
    <w:lvl w:ilvl="2" w:tentative="0">
      <w:start w:val="1"/>
      <w:numFmt w:val="decimal"/>
      <w:pStyle w:val="63"/>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4B733A5F"/>
    <w:multiLevelType w:val="multilevel"/>
    <w:tmpl w:val="4B733A5F"/>
    <w:lvl w:ilvl="0" w:tentative="0">
      <w:start w:val="1"/>
      <w:numFmt w:val="decimal"/>
      <w:pStyle w:val="64"/>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5449BC2C"/>
    <w:multiLevelType w:val="multilevel"/>
    <w:tmpl w:val="5449BC2C"/>
    <w:lvl w:ilvl="0" w:tentative="0">
      <w:start w:val="1"/>
      <w:numFmt w:val="decimal"/>
      <w:suff w:val="space"/>
      <w:lvlText w:val="（%1）"/>
      <w:lvlJc w:val="left"/>
      <w:pPr>
        <w:ind w:left="840" w:hanging="420"/>
      </w:pPr>
      <w:rPr>
        <w:rFonts w:hint="eastAsia"/>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14">
    <w:nsid w:val="557C2AF5"/>
    <w:multiLevelType w:val="multilevel"/>
    <w:tmpl w:val="557C2AF5"/>
    <w:lvl w:ilvl="0" w:tentative="0">
      <w:start w:val="1"/>
      <w:numFmt w:val="decimal"/>
      <w:pStyle w:val="131"/>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5B63B00B"/>
    <w:multiLevelType w:val="multilevel"/>
    <w:tmpl w:val="5B63B00B"/>
    <w:lvl w:ilvl="0" w:tentative="0">
      <w:start w:val="1"/>
      <w:numFmt w:val="decimal"/>
      <w:suff w:val="space"/>
      <w:lvlText w:val="（%1）"/>
      <w:lvlJc w:val="left"/>
      <w:pPr>
        <w:ind w:left="840" w:hanging="420"/>
      </w:pPr>
      <w:rPr>
        <w:rFonts w:hint="eastAsia"/>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16">
    <w:nsid w:val="6078151C"/>
    <w:multiLevelType w:val="multilevel"/>
    <w:tmpl w:val="6078151C"/>
    <w:lvl w:ilvl="0" w:tentative="0">
      <w:start w:val="1"/>
      <w:numFmt w:val="decimal"/>
      <w:suff w:val="space"/>
      <w:lvlText w:val="（%1）"/>
      <w:lvlJc w:val="left"/>
      <w:pPr>
        <w:ind w:left="840" w:hanging="420"/>
      </w:pPr>
      <w:rPr>
        <w:rFonts w:hint="eastAsia"/>
      </w:rPr>
    </w:lvl>
    <w:lvl w:ilvl="1" w:tentative="0">
      <w:start w:val="1"/>
      <w:numFmt w:val="lowerLetter"/>
      <w:lvlText w:val="%2)"/>
      <w:lvlJc w:val="left"/>
      <w:pPr>
        <w:ind w:left="1260" w:hanging="420"/>
      </w:pPr>
      <w:rPr>
        <w:rFonts w:hint="eastAsia"/>
      </w:rPr>
    </w:lvl>
    <w:lvl w:ilvl="2" w:tentative="0">
      <w:start w:val="1"/>
      <w:numFmt w:val="lowerRoman"/>
      <w:lvlText w:val="%3."/>
      <w:lvlJc w:val="right"/>
      <w:pPr>
        <w:ind w:left="1680" w:hanging="420"/>
      </w:pPr>
      <w:rPr>
        <w:rFonts w:hint="eastAsia"/>
      </w:rPr>
    </w:lvl>
    <w:lvl w:ilvl="3" w:tentative="0">
      <w:start w:val="1"/>
      <w:numFmt w:val="decimal"/>
      <w:lvlText w:val="%4."/>
      <w:lvlJc w:val="left"/>
      <w:pPr>
        <w:ind w:left="2100" w:hanging="420"/>
      </w:pPr>
      <w:rPr>
        <w:rFonts w:hint="eastAsia"/>
      </w:rPr>
    </w:lvl>
    <w:lvl w:ilvl="4" w:tentative="0">
      <w:start w:val="1"/>
      <w:numFmt w:val="lowerLetter"/>
      <w:lvlText w:val="%5)"/>
      <w:lvlJc w:val="left"/>
      <w:pPr>
        <w:ind w:left="2520" w:hanging="420"/>
      </w:pPr>
      <w:rPr>
        <w:rFonts w:hint="eastAsia"/>
      </w:rPr>
    </w:lvl>
    <w:lvl w:ilvl="5" w:tentative="0">
      <w:start w:val="1"/>
      <w:numFmt w:val="lowerRoman"/>
      <w:lvlText w:val="%6."/>
      <w:lvlJc w:val="right"/>
      <w:pPr>
        <w:ind w:left="2940" w:hanging="420"/>
      </w:pPr>
      <w:rPr>
        <w:rFonts w:hint="eastAsia"/>
      </w:rPr>
    </w:lvl>
    <w:lvl w:ilvl="6" w:tentative="0">
      <w:start w:val="1"/>
      <w:numFmt w:val="decimal"/>
      <w:lvlText w:val="%7."/>
      <w:lvlJc w:val="left"/>
      <w:pPr>
        <w:ind w:left="3360" w:hanging="420"/>
      </w:pPr>
      <w:rPr>
        <w:rFonts w:hint="eastAsia"/>
      </w:rPr>
    </w:lvl>
    <w:lvl w:ilvl="7" w:tentative="0">
      <w:start w:val="1"/>
      <w:numFmt w:val="lowerLetter"/>
      <w:lvlText w:val="%8)"/>
      <w:lvlJc w:val="left"/>
      <w:pPr>
        <w:ind w:left="3780" w:hanging="420"/>
      </w:pPr>
      <w:rPr>
        <w:rFonts w:hint="eastAsia"/>
      </w:rPr>
    </w:lvl>
    <w:lvl w:ilvl="8" w:tentative="0">
      <w:start w:val="1"/>
      <w:numFmt w:val="lowerRoman"/>
      <w:lvlText w:val="%9."/>
      <w:lvlJc w:val="right"/>
      <w:pPr>
        <w:ind w:left="4200" w:hanging="420"/>
      </w:pPr>
      <w:rPr>
        <w:rFonts w:hint="eastAsia"/>
      </w:rPr>
    </w:lvl>
  </w:abstractNum>
  <w:abstractNum w:abstractNumId="17">
    <w:nsid w:val="60B55DC2"/>
    <w:multiLevelType w:val="multilevel"/>
    <w:tmpl w:val="60B55DC2"/>
    <w:lvl w:ilvl="0" w:tentative="0">
      <w:start w:val="1"/>
      <w:numFmt w:val="upperLetter"/>
      <w:pStyle w:val="88"/>
      <w:lvlText w:val="%1"/>
      <w:lvlJc w:val="left"/>
      <w:pPr>
        <w:tabs>
          <w:tab w:val="left" w:pos="0"/>
        </w:tabs>
        <w:ind w:left="0" w:hanging="425"/>
      </w:pPr>
      <w:rPr>
        <w:rFonts w:hint="eastAsia"/>
      </w:rPr>
    </w:lvl>
    <w:lvl w:ilvl="1" w:tentative="0">
      <w:start w:val="1"/>
      <w:numFmt w:val="decimal"/>
      <w:pStyle w:val="89"/>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8">
    <w:nsid w:val="646260FA"/>
    <w:multiLevelType w:val="multilevel"/>
    <w:tmpl w:val="646260FA"/>
    <w:lvl w:ilvl="0" w:tentative="0">
      <w:start w:val="1"/>
      <w:numFmt w:val="decimal"/>
      <w:pStyle w:val="12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9">
    <w:nsid w:val="657D3FBC"/>
    <w:multiLevelType w:val="multilevel"/>
    <w:tmpl w:val="657D3FBC"/>
    <w:lvl w:ilvl="0" w:tentative="0">
      <w:start w:val="1"/>
      <w:numFmt w:val="upperLetter"/>
      <w:pStyle w:val="86"/>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4"/>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5"/>
      <w:suff w:val="nothing"/>
      <w:lvlText w:val="%1.%2.%3　"/>
      <w:lvlJc w:val="left"/>
      <w:pPr>
        <w:ind w:left="0" w:firstLine="0"/>
      </w:pPr>
      <w:rPr>
        <w:rFonts w:hint="eastAsia" w:ascii="黑体" w:hAnsi="Times New Roman" w:eastAsia="黑体"/>
        <w:b w:val="0"/>
        <w:i w:val="0"/>
        <w:sz w:val="21"/>
      </w:rPr>
    </w:lvl>
    <w:lvl w:ilvl="3" w:tentative="0">
      <w:start w:val="1"/>
      <w:numFmt w:val="decimal"/>
      <w:pStyle w:val="90"/>
      <w:suff w:val="nothing"/>
      <w:lvlText w:val="%1.%2.%3.%4　"/>
      <w:lvlJc w:val="left"/>
      <w:pPr>
        <w:ind w:left="0" w:firstLine="0"/>
      </w:pPr>
      <w:rPr>
        <w:rFonts w:hint="eastAsia" w:ascii="黑体" w:hAnsi="Times New Roman" w:eastAsia="黑体"/>
        <w:b w:val="0"/>
        <w:i w:val="0"/>
        <w:sz w:val="21"/>
      </w:rPr>
    </w:lvl>
    <w:lvl w:ilvl="4" w:tentative="0">
      <w:start w:val="1"/>
      <w:numFmt w:val="decimal"/>
      <w:pStyle w:val="95"/>
      <w:suff w:val="nothing"/>
      <w:lvlText w:val="%1.%2.%3.%4.%5　"/>
      <w:lvlJc w:val="left"/>
      <w:pPr>
        <w:ind w:left="0" w:firstLine="0"/>
      </w:pPr>
      <w:rPr>
        <w:rFonts w:hint="eastAsia" w:ascii="黑体" w:hAnsi="Times New Roman" w:eastAsia="黑体"/>
        <w:b w:val="0"/>
        <w:i w:val="0"/>
        <w:sz w:val="21"/>
      </w:rPr>
    </w:lvl>
    <w:lvl w:ilvl="5" w:tentative="0">
      <w:start w:val="1"/>
      <w:numFmt w:val="decimal"/>
      <w:pStyle w:val="98"/>
      <w:suff w:val="nothing"/>
      <w:lvlText w:val="%1.%2.%3.%4.%5.%6　"/>
      <w:lvlJc w:val="left"/>
      <w:pPr>
        <w:ind w:left="0" w:firstLine="0"/>
      </w:pPr>
      <w:rPr>
        <w:rFonts w:hint="eastAsia" w:ascii="黑体" w:hAnsi="Times New Roman" w:eastAsia="黑体"/>
        <w:b w:val="0"/>
        <w:i w:val="0"/>
        <w:sz w:val="21"/>
      </w:rPr>
    </w:lvl>
    <w:lvl w:ilvl="6" w:tentative="0">
      <w:start w:val="1"/>
      <w:numFmt w:val="decimal"/>
      <w:pStyle w:val="102"/>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0">
    <w:nsid w:val="6D6C07CD"/>
    <w:multiLevelType w:val="multilevel"/>
    <w:tmpl w:val="6D6C07CD"/>
    <w:lvl w:ilvl="0" w:tentative="0">
      <w:start w:val="1"/>
      <w:numFmt w:val="lowerLetter"/>
      <w:pStyle w:val="107"/>
      <w:lvlText w:val="%1)"/>
      <w:lvlJc w:val="left"/>
      <w:pPr>
        <w:tabs>
          <w:tab w:val="left" w:pos="839"/>
        </w:tabs>
        <w:ind w:left="839" w:hanging="419"/>
      </w:pPr>
      <w:rPr>
        <w:rFonts w:hint="eastAsia" w:ascii="宋体" w:eastAsia="宋体"/>
        <w:b w:val="0"/>
        <w:i w:val="0"/>
        <w:sz w:val="21"/>
      </w:rPr>
    </w:lvl>
    <w:lvl w:ilvl="1" w:tentative="0">
      <w:start w:val="1"/>
      <w:numFmt w:val="decimal"/>
      <w:pStyle w:val="97"/>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21">
    <w:nsid w:val="6DBF04F4"/>
    <w:multiLevelType w:val="multilevel"/>
    <w:tmpl w:val="6DBF04F4"/>
    <w:lvl w:ilvl="0" w:tentative="0">
      <w:start w:val="1"/>
      <w:numFmt w:val="none"/>
      <w:pStyle w:val="59"/>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0"/>
  </w:num>
  <w:num w:numId="2">
    <w:abstractNumId w:val="7"/>
  </w:num>
  <w:num w:numId="3">
    <w:abstractNumId w:val="9"/>
  </w:num>
  <w:num w:numId="4">
    <w:abstractNumId w:val="4"/>
  </w:num>
  <w:num w:numId="5">
    <w:abstractNumId w:val="11"/>
  </w:num>
  <w:num w:numId="6">
    <w:abstractNumId w:val="21"/>
  </w:num>
  <w:num w:numId="7">
    <w:abstractNumId w:val="1"/>
  </w:num>
  <w:num w:numId="8">
    <w:abstractNumId w:val="12"/>
  </w:num>
  <w:num w:numId="9">
    <w:abstractNumId w:val="6"/>
  </w:num>
  <w:num w:numId="10">
    <w:abstractNumId w:val="19"/>
  </w:num>
  <w:num w:numId="11">
    <w:abstractNumId w:val="17"/>
  </w:num>
  <w:num w:numId="12">
    <w:abstractNumId w:val="20"/>
  </w:num>
  <w:num w:numId="13">
    <w:abstractNumId w:val="8"/>
  </w:num>
  <w:num w:numId="14">
    <w:abstractNumId w:val="3"/>
  </w:num>
  <w:num w:numId="15">
    <w:abstractNumId w:val="5"/>
  </w:num>
  <w:num w:numId="16">
    <w:abstractNumId w:val="18"/>
  </w:num>
  <w:num w:numId="17">
    <w:abstractNumId w:val="14"/>
  </w:num>
  <w:num w:numId="18">
    <w:abstractNumId w:val="16"/>
  </w:num>
  <w:num w:numId="19">
    <w:abstractNumId w:val="15"/>
  </w:num>
  <w:num w:numId="20">
    <w:abstractNumId w:val="13"/>
  </w:num>
  <w:num w:numId="21">
    <w:abstractNumId w:val="0"/>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mirrorMargins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FhOTUzMGVlNmQ2N2NiN2ZhZjBjZDc5Y2I4M2I3NjYifQ=="/>
  </w:docVars>
  <w:rsids>
    <w:rsidRoot w:val="00035925"/>
    <w:rsid w:val="00000244"/>
    <w:rsid w:val="0000185F"/>
    <w:rsid w:val="000053F2"/>
    <w:rsid w:val="0000586F"/>
    <w:rsid w:val="00010755"/>
    <w:rsid w:val="0001212A"/>
    <w:rsid w:val="000126EB"/>
    <w:rsid w:val="00013D86"/>
    <w:rsid w:val="00013E02"/>
    <w:rsid w:val="0002143C"/>
    <w:rsid w:val="000234F7"/>
    <w:rsid w:val="00025A65"/>
    <w:rsid w:val="0002694B"/>
    <w:rsid w:val="00026C31"/>
    <w:rsid w:val="00027280"/>
    <w:rsid w:val="000320A7"/>
    <w:rsid w:val="00035925"/>
    <w:rsid w:val="00036803"/>
    <w:rsid w:val="00040D19"/>
    <w:rsid w:val="00041FC4"/>
    <w:rsid w:val="000433A5"/>
    <w:rsid w:val="00056328"/>
    <w:rsid w:val="00060954"/>
    <w:rsid w:val="00062BC8"/>
    <w:rsid w:val="000634E0"/>
    <w:rsid w:val="000650C9"/>
    <w:rsid w:val="0006539D"/>
    <w:rsid w:val="00065858"/>
    <w:rsid w:val="00067CDF"/>
    <w:rsid w:val="000724C8"/>
    <w:rsid w:val="00074FBE"/>
    <w:rsid w:val="000802A7"/>
    <w:rsid w:val="00083A09"/>
    <w:rsid w:val="0009005E"/>
    <w:rsid w:val="00092857"/>
    <w:rsid w:val="00095EBC"/>
    <w:rsid w:val="00096DBE"/>
    <w:rsid w:val="000A0F8A"/>
    <w:rsid w:val="000A20A9"/>
    <w:rsid w:val="000A40E4"/>
    <w:rsid w:val="000A47FE"/>
    <w:rsid w:val="000A48B1"/>
    <w:rsid w:val="000B3143"/>
    <w:rsid w:val="000B5F51"/>
    <w:rsid w:val="000B6513"/>
    <w:rsid w:val="000C3E60"/>
    <w:rsid w:val="000C6B05"/>
    <w:rsid w:val="000C6DD6"/>
    <w:rsid w:val="000C73D4"/>
    <w:rsid w:val="000C773F"/>
    <w:rsid w:val="000C7763"/>
    <w:rsid w:val="000D231D"/>
    <w:rsid w:val="000D2D64"/>
    <w:rsid w:val="000D2D8B"/>
    <w:rsid w:val="000D3384"/>
    <w:rsid w:val="000D3D4C"/>
    <w:rsid w:val="000D4BFE"/>
    <w:rsid w:val="000D4F51"/>
    <w:rsid w:val="000D718B"/>
    <w:rsid w:val="000E0C46"/>
    <w:rsid w:val="000E15A4"/>
    <w:rsid w:val="000E206A"/>
    <w:rsid w:val="000E4AC0"/>
    <w:rsid w:val="000F030C"/>
    <w:rsid w:val="000F129C"/>
    <w:rsid w:val="000F5877"/>
    <w:rsid w:val="000F66F8"/>
    <w:rsid w:val="000F6DC3"/>
    <w:rsid w:val="00100E1A"/>
    <w:rsid w:val="00103832"/>
    <w:rsid w:val="001056DE"/>
    <w:rsid w:val="00105FC5"/>
    <w:rsid w:val="00107352"/>
    <w:rsid w:val="001112E2"/>
    <w:rsid w:val="001121E6"/>
    <w:rsid w:val="001124C0"/>
    <w:rsid w:val="00116C6D"/>
    <w:rsid w:val="00120822"/>
    <w:rsid w:val="00124246"/>
    <w:rsid w:val="00124FD9"/>
    <w:rsid w:val="00125566"/>
    <w:rsid w:val="00127D6A"/>
    <w:rsid w:val="0013175F"/>
    <w:rsid w:val="001337E4"/>
    <w:rsid w:val="001457F3"/>
    <w:rsid w:val="0014628F"/>
    <w:rsid w:val="001512B4"/>
    <w:rsid w:val="001533FF"/>
    <w:rsid w:val="00155AF8"/>
    <w:rsid w:val="00160473"/>
    <w:rsid w:val="001620A5"/>
    <w:rsid w:val="00163EB8"/>
    <w:rsid w:val="00164E53"/>
    <w:rsid w:val="0016699D"/>
    <w:rsid w:val="0017178D"/>
    <w:rsid w:val="00174418"/>
    <w:rsid w:val="00174DDA"/>
    <w:rsid w:val="00175159"/>
    <w:rsid w:val="00175804"/>
    <w:rsid w:val="00176208"/>
    <w:rsid w:val="00177CA3"/>
    <w:rsid w:val="0018211B"/>
    <w:rsid w:val="00182CB9"/>
    <w:rsid w:val="001835E4"/>
    <w:rsid w:val="001840D3"/>
    <w:rsid w:val="00185CB1"/>
    <w:rsid w:val="001900F8"/>
    <w:rsid w:val="00191258"/>
    <w:rsid w:val="00192680"/>
    <w:rsid w:val="00192A65"/>
    <w:rsid w:val="00193037"/>
    <w:rsid w:val="00193195"/>
    <w:rsid w:val="00193A2C"/>
    <w:rsid w:val="001951CC"/>
    <w:rsid w:val="001A1CE6"/>
    <w:rsid w:val="001A288E"/>
    <w:rsid w:val="001A6D07"/>
    <w:rsid w:val="001B1489"/>
    <w:rsid w:val="001B3DA1"/>
    <w:rsid w:val="001B59DE"/>
    <w:rsid w:val="001B6DC2"/>
    <w:rsid w:val="001C149C"/>
    <w:rsid w:val="001C21AC"/>
    <w:rsid w:val="001C40DC"/>
    <w:rsid w:val="001C47BA"/>
    <w:rsid w:val="001C59EA"/>
    <w:rsid w:val="001C6A8E"/>
    <w:rsid w:val="001D2D13"/>
    <w:rsid w:val="001D406C"/>
    <w:rsid w:val="001D41EE"/>
    <w:rsid w:val="001D5849"/>
    <w:rsid w:val="001D5FD6"/>
    <w:rsid w:val="001D6ED0"/>
    <w:rsid w:val="001E0380"/>
    <w:rsid w:val="001E0566"/>
    <w:rsid w:val="001E13B1"/>
    <w:rsid w:val="001E5385"/>
    <w:rsid w:val="001E618C"/>
    <w:rsid w:val="001F21F8"/>
    <w:rsid w:val="001F38AF"/>
    <w:rsid w:val="001F3A19"/>
    <w:rsid w:val="001F44A5"/>
    <w:rsid w:val="001F5889"/>
    <w:rsid w:val="00203EAA"/>
    <w:rsid w:val="00205C8A"/>
    <w:rsid w:val="0020745D"/>
    <w:rsid w:val="00207EEC"/>
    <w:rsid w:val="00211F8C"/>
    <w:rsid w:val="00215DEA"/>
    <w:rsid w:val="00217BA7"/>
    <w:rsid w:val="0022090A"/>
    <w:rsid w:val="002277DD"/>
    <w:rsid w:val="00227958"/>
    <w:rsid w:val="00232BF5"/>
    <w:rsid w:val="00234467"/>
    <w:rsid w:val="00237D8D"/>
    <w:rsid w:val="00241DA2"/>
    <w:rsid w:val="0024301D"/>
    <w:rsid w:val="00247FEE"/>
    <w:rsid w:val="00250E7D"/>
    <w:rsid w:val="00252124"/>
    <w:rsid w:val="00255FBF"/>
    <w:rsid w:val="002565D5"/>
    <w:rsid w:val="0025661C"/>
    <w:rsid w:val="002622C0"/>
    <w:rsid w:val="00263C64"/>
    <w:rsid w:val="00265C20"/>
    <w:rsid w:val="00267C92"/>
    <w:rsid w:val="002706AA"/>
    <w:rsid w:val="00276DCA"/>
    <w:rsid w:val="002778AE"/>
    <w:rsid w:val="0028269A"/>
    <w:rsid w:val="00283590"/>
    <w:rsid w:val="00286973"/>
    <w:rsid w:val="00290A7C"/>
    <w:rsid w:val="00292203"/>
    <w:rsid w:val="00293CDD"/>
    <w:rsid w:val="00294E70"/>
    <w:rsid w:val="00295D13"/>
    <w:rsid w:val="002A10C1"/>
    <w:rsid w:val="002A1924"/>
    <w:rsid w:val="002A2062"/>
    <w:rsid w:val="002A38F4"/>
    <w:rsid w:val="002A416B"/>
    <w:rsid w:val="002A7420"/>
    <w:rsid w:val="002B0F12"/>
    <w:rsid w:val="002B1308"/>
    <w:rsid w:val="002B1903"/>
    <w:rsid w:val="002B1E2C"/>
    <w:rsid w:val="002B361C"/>
    <w:rsid w:val="002B4554"/>
    <w:rsid w:val="002B4BEB"/>
    <w:rsid w:val="002C3773"/>
    <w:rsid w:val="002C3FE1"/>
    <w:rsid w:val="002C4EE1"/>
    <w:rsid w:val="002C72D8"/>
    <w:rsid w:val="002D11FA"/>
    <w:rsid w:val="002D25CB"/>
    <w:rsid w:val="002D26FA"/>
    <w:rsid w:val="002E0DDF"/>
    <w:rsid w:val="002E1DF3"/>
    <w:rsid w:val="002E2906"/>
    <w:rsid w:val="002E5635"/>
    <w:rsid w:val="002E64C3"/>
    <w:rsid w:val="002E6A2C"/>
    <w:rsid w:val="002F1D8C"/>
    <w:rsid w:val="002F21DA"/>
    <w:rsid w:val="002F5DA0"/>
    <w:rsid w:val="00301F39"/>
    <w:rsid w:val="00304679"/>
    <w:rsid w:val="00304CBC"/>
    <w:rsid w:val="003078BB"/>
    <w:rsid w:val="003129C4"/>
    <w:rsid w:val="00313C85"/>
    <w:rsid w:val="00320A15"/>
    <w:rsid w:val="00324487"/>
    <w:rsid w:val="00325926"/>
    <w:rsid w:val="00326619"/>
    <w:rsid w:val="0032699A"/>
    <w:rsid w:val="00327A8A"/>
    <w:rsid w:val="003331B1"/>
    <w:rsid w:val="00336610"/>
    <w:rsid w:val="00336E5A"/>
    <w:rsid w:val="0034042D"/>
    <w:rsid w:val="00343F73"/>
    <w:rsid w:val="00344444"/>
    <w:rsid w:val="00345060"/>
    <w:rsid w:val="00345C75"/>
    <w:rsid w:val="0034606E"/>
    <w:rsid w:val="0035268D"/>
    <w:rsid w:val="0035323B"/>
    <w:rsid w:val="00353782"/>
    <w:rsid w:val="003609D2"/>
    <w:rsid w:val="003615DA"/>
    <w:rsid w:val="00363F22"/>
    <w:rsid w:val="00366046"/>
    <w:rsid w:val="00366C12"/>
    <w:rsid w:val="00367F2A"/>
    <w:rsid w:val="00371DB1"/>
    <w:rsid w:val="0037409B"/>
    <w:rsid w:val="00374580"/>
    <w:rsid w:val="00375564"/>
    <w:rsid w:val="00377F97"/>
    <w:rsid w:val="0038264E"/>
    <w:rsid w:val="00383191"/>
    <w:rsid w:val="00385EAA"/>
    <w:rsid w:val="003867CA"/>
    <w:rsid w:val="00386DED"/>
    <w:rsid w:val="003912E7"/>
    <w:rsid w:val="00391A30"/>
    <w:rsid w:val="00392F72"/>
    <w:rsid w:val="00393947"/>
    <w:rsid w:val="0039454B"/>
    <w:rsid w:val="00396EAC"/>
    <w:rsid w:val="003A2275"/>
    <w:rsid w:val="003A5BB6"/>
    <w:rsid w:val="003A6A4F"/>
    <w:rsid w:val="003A6E20"/>
    <w:rsid w:val="003A6E63"/>
    <w:rsid w:val="003A7088"/>
    <w:rsid w:val="003B00DF"/>
    <w:rsid w:val="003B1275"/>
    <w:rsid w:val="003B1778"/>
    <w:rsid w:val="003B5ECB"/>
    <w:rsid w:val="003B6EDF"/>
    <w:rsid w:val="003C11CB"/>
    <w:rsid w:val="003C1584"/>
    <w:rsid w:val="003C1A74"/>
    <w:rsid w:val="003C2142"/>
    <w:rsid w:val="003C75F3"/>
    <w:rsid w:val="003C78A3"/>
    <w:rsid w:val="003D3024"/>
    <w:rsid w:val="003D67E5"/>
    <w:rsid w:val="003E1867"/>
    <w:rsid w:val="003E2DD9"/>
    <w:rsid w:val="003E5729"/>
    <w:rsid w:val="003E6F6F"/>
    <w:rsid w:val="003F14A8"/>
    <w:rsid w:val="003F4EE0"/>
    <w:rsid w:val="003F6307"/>
    <w:rsid w:val="00402153"/>
    <w:rsid w:val="00402FC1"/>
    <w:rsid w:val="00403C93"/>
    <w:rsid w:val="00415BBA"/>
    <w:rsid w:val="00415E21"/>
    <w:rsid w:val="00421D17"/>
    <w:rsid w:val="00422A36"/>
    <w:rsid w:val="00423F43"/>
    <w:rsid w:val="00425082"/>
    <w:rsid w:val="004276F4"/>
    <w:rsid w:val="00427A2E"/>
    <w:rsid w:val="00430240"/>
    <w:rsid w:val="00431DEB"/>
    <w:rsid w:val="00433856"/>
    <w:rsid w:val="00442748"/>
    <w:rsid w:val="004442F1"/>
    <w:rsid w:val="004464FB"/>
    <w:rsid w:val="00446814"/>
    <w:rsid w:val="00446B29"/>
    <w:rsid w:val="00453F9A"/>
    <w:rsid w:val="00455698"/>
    <w:rsid w:val="00456217"/>
    <w:rsid w:val="004633EA"/>
    <w:rsid w:val="00465870"/>
    <w:rsid w:val="00470519"/>
    <w:rsid w:val="00471E91"/>
    <w:rsid w:val="00474675"/>
    <w:rsid w:val="0047470C"/>
    <w:rsid w:val="004754E1"/>
    <w:rsid w:val="00475903"/>
    <w:rsid w:val="00476113"/>
    <w:rsid w:val="00476F29"/>
    <w:rsid w:val="004777F8"/>
    <w:rsid w:val="00480482"/>
    <w:rsid w:val="00485B2A"/>
    <w:rsid w:val="00492952"/>
    <w:rsid w:val="004930F0"/>
    <w:rsid w:val="004933F5"/>
    <w:rsid w:val="00494391"/>
    <w:rsid w:val="004A03F8"/>
    <w:rsid w:val="004A3427"/>
    <w:rsid w:val="004A35F9"/>
    <w:rsid w:val="004B24C1"/>
    <w:rsid w:val="004B2AE2"/>
    <w:rsid w:val="004B488E"/>
    <w:rsid w:val="004B5ABA"/>
    <w:rsid w:val="004C087B"/>
    <w:rsid w:val="004C292F"/>
    <w:rsid w:val="004C4D2F"/>
    <w:rsid w:val="004C5151"/>
    <w:rsid w:val="004C6BA4"/>
    <w:rsid w:val="004D1BFC"/>
    <w:rsid w:val="004D253C"/>
    <w:rsid w:val="004D468D"/>
    <w:rsid w:val="004D6309"/>
    <w:rsid w:val="004E375E"/>
    <w:rsid w:val="004E5E50"/>
    <w:rsid w:val="004E6AE5"/>
    <w:rsid w:val="004F1D83"/>
    <w:rsid w:val="0050766B"/>
    <w:rsid w:val="00510280"/>
    <w:rsid w:val="00510638"/>
    <w:rsid w:val="005116E0"/>
    <w:rsid w:val="0051196F"/>
    <w:rsid w:val="00513D73"/>
    <w:rsid w:val="00514A43"/>
    <w:rsid w:val="005174E5"/>
    <w:rsid w:val="00517E46"/>
    <w:rsid w:val="00522393"/>
    <w:rsid w:val="00522620"/>
    <w:rsid w:val="0052507D"/>
    <w:rsid w:val="00525656"/>
    <w:rsid w:val="00534A30"/>
    <w:rsid w:val="00534C02"/>
    <w:rsid w:val="005364CD"/>
    <w:rsid w:val="0054264B"/>
    <w:rsid w:val="00542E2A"/>
    <w:rsid w:val="00543786"/>
    <w:rsid w:val="00552FDA"/>
    <w:rsid w:val="005533D7"/>
    <w:rsid w:val="00554CD0"/>
    <w:rsid w:val="00555DAC"/>
    <w:rsid w:val="005703DE"/>
    <w:rsid w:val="0058464E"/>
    <w:rsid w:val="0058570A"/>
    <w:rsid w:val="00585824"/>
    <w:rsid w:val="00587718"/>
    <w:rsid w:val="00587FE6"/>
    <w:rsid w:val="00593A1A"/>
    <w:rsid w:val="00594059"/>
    <w:rsid w:val="00595D06"/>
    <w:rsid w:val="005A01CB"/>
    <w:rsid w:val="005A0385"/>
    <w:rsid w:val="005A28C7"/>
    <w:rsid w:val="005A58FF"/>
    <w:rsid w:val="005A5E7B"/>
    <w:rsid w:val="005A5EAF"/>
    <w:rsid w:val="005A64C0"/>
    <w:rsid w:val="005B3C11"/>
    <w:rsid w:val="005B6487"/>
    <w:rsid w:val="005C1C28"/>
    <w:rsid w:val="005C4050"/>
    <w:rsid w:val="005C6DB5"/>
    <w:rsid w:val="005D0051"/>
    <w:rsid w:val="005D0325"/>
    <w:rsid w:val="005D0ADA"/>
    <w:rsid w:val="005D3FB9"/>
    <w:rsid w:val="005D57C6"/>
    <w:rsid w:val="005D7CEF"/>
    <w:rsid w:val="005E19E7"/>
    <w:rsid w:val="005E25AF"/>
    <w:rsid w:val="005E49E9"/>
    <w:rsid w:val="005F057C"/>
    <w:rsid w:val="005F6CF1"/>
    <w:rsid w:val="006022B1"/>
    <w:rsid w:val="00603844"/>
    <w:rsid w:val="00606E35"/>
    <w:rsid w:val="006075D8"/>
    <w:rsid w:val="006107E1"/>
    <w:rsid w:val="0061092C"/>
    <w:rsid w:val="0061716C"/>
    <w:rsid w:val="00617CF1"/>
    <w:rsid w:val="0062409A"/>
    <w:rsid w:val="006243A1"/>
    <w:rsid w:val="0062693C"/>
    <w:rsid w:val="00626D36"/>
    <w:rsid w:val="00627B96"/>
    <w:rsid w:val="00627E7A"/>
    <w:rsid w:val="0063101D"/>
    <w:rsid w:val="00632E56"/>
    <w:rsid w:val="00633F6D"/>
    <w:rsid w:val="00635482"/>
    <w:rsid w:val="00635CBA"/>
    <w:rsid w:val="006361E7"/>
    <w:rsid w:val="00640B28"/>
    <w:rsid w:val="00641787"/>
    <w:rsid w:val="00641C22"/>
    <w:rsid w:val="0064338B"/>
    <w:rsid w:val="00643A30"/>
    <w:rsid w:val="00643B01"/>
    <w:rsid w:val="00644187"/>
    <w:rsid w:val="00645FBD"/>
    <w:rsid w:val="006460DF"/>
    <w:rsid w:val="00646542"/>
    <w:rsid w:val="006504F4"/>
    <w:rsid w:val="00653423"/>
    <w:rsid w:val="00654302"/>
    <w:rsid w:val="00654BC9"/>
    <w:rsid w:val="006552FD"/>
    <w:rsid w:val="006600F5"/>
    <w:rsid w:val="00663AF3"/>
    <w:rsid w:val="006651DB"/>
    <w:rsid w:val="00665D5B"/>
    <w:rsid w:val="00666B6C"/>
    <w:rsid w:val="006766E8"/>
    <w:rsid w:val="00682682"/>
    <w:rsid w:val="00682702"/>
    <w:rsid w:val="0068347B"/>
    <w:rsid w:val="00690F6B"/>
    <w:rsid w:val="00692368"/>
    <w:rsid w:val="00695872"/>
    <w:rsid w:val="006A2EBC"/>
    <w:rsid w:val="006A5EA0"/>
    <w:rsid w:val="006A783B"/>
    <w:rsid w:val="006A7B33"/>
    <w:rsid w:val="006B3945"/>
    <w:rsid w:val="006B43D7"/>
    <w:rsid w:val="006B4E13"/>
    <w:rsid w:val="006B75DD"/>
    <w:rsid w:val="006B7E01"/>
    <w:rsid w:val="006C3D8D"/>
    <w:rsid w:val="006C3E69"/>
    <w:rsid w:val="006C4F72"/>
    <w:rsid w:val="006C67E0"/>
    <w:rsid w:val="006C7ABA"/>
    <w:rsid w:val="006D0D60"/>
    <w:rsid w:val="006D1122"/>
    <w:rsid w:val="006D1681"/>
    <w:rsid w:val="006D3C00"/>
    <w:rsid w:val="006D5223"/>
    <w:rsid w:val="006D5A90"/>
    <w:rsid w:val="006D7D01"/>
    <w:rsid w:val="006E1DB8"/>
    <w:rsid w:val="006E3675"/>
    <w:rsid w:val="006E4A7F"/>
    <w:rsid w:val="006E6796"/>
    <w:rsid w:val="006F0E76"/>
    <w:rsid w:val="006F3D46"/>
    <w:rsid w:val="006F79D1"/>
    <w:rsid w:val="00704DF6"/>
    <w:rsid w:val="0070651C"/>
    <w:rsid w:val="0070669E"/>
    <w:rsid w:val="007132A3"/>
    <w:rsid w:val="00716421"/>
    <w:rsid w:val="0071650E"/>
    <w:rsid w:val="0072267A"/>
    <w:rsid w:val="00722A6D"/>
    <w:rsid w:val="00723A69"/>
    <w:rsid w:val="00724EFB"/>
    <w:rsid w:val="007318AF"/>
    <w:rsid w:val="007332F8"/>
    <w:rsid w:val="007336A4"/>
    <w:rsid w:val="00735E3C"/>
    <w:rsid w:val="00737209"/>
    <w:rsid w:val="007419C3"/>
    <w:rsid w:val="007467A7"/>
    <w:rsid w:val="007469DD"/>
    <w:rsid w:val="0074741B"/>
    <w:rsid w:val="0074759E"/>
    <w:rsid w:val="007478EA"/>
    <w:rsid w:val="00751176"/>
    <w:rsid w:val="0075415C"/>
    <w:rsid w:val="007557F9"/>
    <w:rsid w:val="007574CB"/>
    <w:rsid w:val="00763502"/>
    <w:rsid w:val="007657A7"/>
    <w:rsid w:val="00777B87"/>
    <w:rsid w:val="007831A7"/>
    <w:rsid w:val="007913AB"/>
    <w:rsid w:val="007914F7"/>
    <w:rsid w:val="00792F5C"/>
    <w:rsid w:val="0079428E"/>
    <w:rsid w:val="007946B2"/>
    <w:rsid w:val="007950A6"/>
    <w:rsid w:val="007B0B61"/>
    <w:rsid w:val="007B0B89"/>
    <w:rsid w:val="007B1625"/>
    <w:rsid w:val="007B236F"/>
    <w:rsid w:val="007B5C6A"/>
    <w:rsid w:val="007B706E"/>
    <w:rsid w:val="007B71EB"/>
    <w:rsid w:val="007C14C6"/>
    <w:rsid w:val="007C4F1A"/>
    <w:rsid w:val="007C5186"/>
    <w:rsid w:val="007C5304"/>
    <w:rsid w:val="007C53D4"/>
    <w:rsid w:val="007C6205"/>
    <w:rsid w:val="007C686A"/>
    <w:rsid w:val="007C728E"/>
    <w:rsid w:val="007D2C53"/>
    <w:rsid w:val="007D3D60"/>
    <w:rsid w:val="007D3DF8"/>
    <w:rsid w:val="007E1980"/>
    <w:rsid w:val="007E1D90"/>
    <w:rsid w:val="007E3E4B"/>
    <w:rsid w:val="007E4B76"/>
    <w:rsid w:val="007E5998"/>
    <w:rsid w:val="007E5EA8"/>
    <w:rsid w:val="007F0CF1"/>
    <w:rsid w:val="007F12A5"/>
    <w:rsid w:val="007F2DA5"/>
    <w:rsid w:val="007F4C4F"/>
    <w:rsid w:val="007F4CF1"/>
    <w:rsid w:val="007F758D"/>
    <w:rsid w:val="007F7D52"/>
    <w:rsid w:val="0080654C"/>
    <w:rsid w:val="008071C6"/>
    <w:rsid w:val="00811506"/>
    <w:rsid w:val="008168E3"/>
    <w:rsid w:val="00817A00"/>
    <w:rsid w:val="008204E8"/>
    <w:rsid w:val="00821545"/>
    <w:rsid w:val="00821F63"/>
    <w:rsid w:val="0082512C"/>
    <w:rsid w:val="008259F9"/>
    <w:rsid w:val="00835DB3"/>
    <w:rsid w:val="0083617B"/>
    <w:rsid w:val="008371BD"/>
    <w:rsid w:val="0083767E"/>
    <w:rsid w:val="00840257"/>
    <w:rsid w:val="008405AD"/>
    <w:rsid w:val="00840B61"/>
    <w:rsid w:val="008427A3"/>
    <w:rsid w:val="00847566"/>
    <w:rsid w:val="008504A8"/>
    <w:rsid w:val="00850F51"/>
    <w:rsid w:val="0085282E"/>
    <w:rsid w:val="00854E7C"/>
    <w:rsid w:val="00857896"/>
    <w:rsid w:val="00861580"/>
    <w:rsid w:val="0087198C"/>
    <w:rsid w:val="00872C1F"/>
    <w:rsid w:val="0087373A"/>
    <w:rsid w:val="00873B42"/>
    <w:rsid w:val="008750A4"/>
    <w:rsid w:val="00882F7D"/>
    <w:rsid w:val="00883936"/>
    <w:rsid w:val="00884F76"/>
    <w:rsid w:val="008856D8"/>
    <w:rsid w:val="00887FE6"/>
    <w:rsid w:val="00892E82"/>
    <w:rsid w:val="0089545A"/>
    <w:rsid w:val="00896E6C"/>
    <w:rsid w:val="008A218B"/>
    <w:rsid w:val="008A2641"/>
    <w:rsid w:val="008A559E"/>
    <w:rsid w:val="008A5A33"/>
    <w:rsid w:val="008A6EB6"/>
    <w:rsid w:val="008C1B58"/>
    <w:rsid w:val="008C2415"/>
    <w:rsid w:val="008C39AE"/>
    <w:rsid w:val="008C5033"/>
    <w:rsid w:val="008C590D"/>
    <w:rsid w:val="008C7563"/>
    <w:rsid w:val="008D4BC4"/>
    <w:rsid w:val="008D715F"/>
    <w:rsid w:val="008E031B"/>
    <w:rsid w:val="008E2E9E"/>
    <w:rsid w:val="008E7029"/>
    <w:rsid w:val="008E74F2"/>
    <w:rsid w:val="008E7EF6"/>
    <w:rsid w:val="008F0316"/>
    <w:rsid w:val="008F1F98"/>
    <w:rsid w:val="008F33EB"/>
    <w:rsid w:val="008F6758"/>
    <w:rsid w:val="009040DD"/>
    <w:rsid w:val="00905B47"/>
    <w:rsid w:val="00906819"/>
    <w:rsid w:val="00911FBF"/>
    <w:rsid w:val="0091331C"/>
    <w:rsid w:val="009279DE"/>
    <w:rsid w:val="00930116"/>
    <w:rsid w:val="0093034D"/>
    <w:rsid w:val="009345A4"/>
    <w:rsid w:val="009347EC"/>
    <w:rsid w:val="00936C7D"/>
    <w:rsid w:val="00940825"/>
    <w:rsid w:val="0094212C"/>
    <w:rsid w:val="0094370B"/>
    <w:rsid w:val="00945FCF"/>
    <w:rsid w:val="00947577"/>
    <w:rsid w:val="00953A42"/>
    <w:rsid w:val="00953F02"/>
    <w:rsid w:val="00954689"/>
    <w:rsid w:val="00954A22"/>
    <w:rsid w:val="009561A6"/>
    <w:rsid w:val="009617C9"/>
    <w:rsid w:val="00961C93"/>
    <w:rsid w:val="009645F1"/>
    <w:rsid w:val="00965324"/>
    <w:rsid w:val="0096609F"/>
    <w:rsid w:val="0097091E"/>
    <w:rsid w:val="00974CAC"/>
    <w:rsid w:val="00974CF5"/>
    <w:rsid w:val="009760D3"/>
    <w:rsid w:val="00977132"/>
    <w:rsid w:val="00981A4B"/>
    <w:rsid w:val="00982501"/>
    <w:rsid w:val="00985CCA"/>
    <w:rsid w:val="009875DB"/>
    <w:rsid w:val="009877D3"/>
    <w:rsid w:val="00994E8F"/>
    <w:rsid w:val="009951DC"/>
    <w:rsid w:val="009959BB"/>
    <w:rsid w:val="00997158"/>
    <w:rsid w:val="009A1366"/>
    <w:rsid w:val="009A3A7C"/>
    <w:rsid w:val="009A5C11"/>
    <w:rsid w:val="009A61C4"/>
    <w:rsid w:val="009B22CD"/>
    <w:rsid w:val="009B2ADB"/>
    <w:rsid w:val="009B603A"/>
    <w:rsid w:val="009B77F1"/>
    <w:rsid w:val="009C02E0"/>
    <w:rsid w:val="009C0591"/>
    <w:rsid w:val="009C20EE"/>
    <w:rsid w:val="009C2B9B"/>
    <w:rsid w:val="009C2D0E"/>
    <w:rsid w:val="009C3DAC"/>
    <w:rsid w:val="009C42E0"/>
    <w:rsid w:val="009C60C0"/>
    <w:rsid w:val="009D15AD"/>
    <w:rsid w:val="009D5362"/>
    <w:rsid w:val="009D60E7"/>
    <w:rsid w:val="009E1415"/>
    <w:rsid w:val="009E1BA8"/>
    <w:rsid w:val="009E6116"/>
    <w:rsid w:val="009E7A64"/>
    <w:rsid w:val="009F12F3"/>
    <w:rsid w:val="009F40AF"/>
    <w:rsid w:val="009F5759"/>
    <w:rsid w:val="00A02E43"/>
    <w:rsid w:val="00A065F9"/>
    <w:rsid w:val="00A07F34"/>
    <w:rsid w:val="00A1233E"/>
    <w:rsid w:val="00A16BB5"/>
    <w:rsid w:val="00A16F87"/>
    <w:rsid w:val="00A22154"/>
    <w:rsid w:val="00A2217C"/>
    <w:rsid w:val="00A25C38"/>
    <w:rsid w:val="00A26C30"/>
    <w:rsid w:val="00A340B0"/>
    <w:rsid w:val="00A36BBE"/>
    <w:rsid w:val="00A36EF5"/>
    <w:rsid w:val="00A4035E"/>
    <w:rsid w:val="00A4307A"/>
    <w:rsid w:val="00A46801"/>
    <w:rsid w:val="00A47EBB"/>
    <w:rsid w:val="00A50FA4"/>
    <w:rsid w:val="00A51CDD"/>
    <w:rsid w:val="00A617C7"/>
    <w:rsid w:val="00A63B21"/>
    <w:rsid w:val="00A6730D"/>
    <w:rsid w:val="00A708B1"/>
    <w:rsid w:val="00A71625"/>
    <w:rsid w:val="00A71B9B"/>
    <w:rsid w:val="00A71F67"/>
    <w:rsid w:val="00A74FE1"/>
    <w:rsid w:val="00A750BB"/>
    <w:rsid w:val="00A751C7"/>
    <w:rsid w:val="00A8152E"/>
    <w:rsid w:val="00A842AF"/>
    <w:rsid w:val="00A87517"/>
    <w:rsid w:val="00A87844"/>
    <w:rsid w:val="00A92F6C"/>
    <w:rsid w:val="00AA038C"/>
    <w:rsid w:val="00AA671C"/>
    <w:rsid w:val="00AA7A09"/>
    <w:rsid w:val="00AB0BE7"/>
    <w:rsid w:val="00AB1197"/>
    <w:rsid w:val="00AB18D2"/>
    <w:rsid w:val="00AB3B50"/>
    <w:rsid w:val="00AB3F91"/>
    <w:rsid w:val="00AC05B1"/>
    <w:rsid w:val="00AC3745"/>
    <w:rsid w:val="00AC3FCD"/>
    <w:rsid w:val="00AC698E"/>
    <w:rsid w:val="00AD356C"/>
    <w:rsid w:val="00AE2914"/>
    <w:rsid w:val="00AE49B5"/>
    <w:rsid w:val="00AE6D15"/>
    <w:rsid w:val="00AF2E66"/>
    <w:rsid w:val="00AF6063"/>
    <w:rsid w:val="00B0012A"/>
    <w:rsid w:val="00B04182"/>
    <w:rsid w:val="00B0757C"/>
    <w:rsid w:val="00B07AE3"/>
    <w:rsid w:val="00B11430"/>
    <w:rsid w:val="00B15BB3"/>
    <w:rsid w:val="00B15C93"/>
    <w:rsid w:val="00B1655E"/>
    <w:rsid w:val="00B20245"/>
    <w:rsid w:val="00B20598"/>
    <w:rsid w:val="00B215A3"/>
    <w:rsid w:val="00B22822"/>
    <w:rsid w:val="00B23682"/>
    <w:rsid w:val="00B257F2"/>
    <w:rsid w:val="00B25E90"/>
    <w:rsid w:val="00B302F4"/>
    <w:rsid w:val="00B30A5E"/>
    <w:rsid w:val="00B353EB"/>
    <w:rsid w:val="00B439C4"/>
    <w:rsid w:val="00B43B7A"/>
    <w:rsid w:val="00B4535E"/>
    <w:rsid w:val="00B50875"/>
    <w:rsid w:val="00B51AB7"/>
    <w:rsid w:val="00B524BD"/>
    <w:rsid w:val="00B52600"/>
    <w:rsid w:val="00B52A8C"/>
    <w:rsid w:val="00B56D00"/>
    <w:rsid w:val="00B57BD0"/>
    <w:rsid w:val="00B636A8"/>
    <w:rsid w:val="00B6504B"/>
    <w:rsid w:val="00B665C6"/>
    <w:rsid w:val="00B66654"/>
    <w:rsid w:val="00B73CF7"/>
    <w:rsid w:val="00B805AF"/>
    <w:rsid w:val="00B810BB"/>
    <w:rsid w:val="00B81BD1"/>
    <w:rsid w:val="00B83A31"/>
    <w:rsid w:val="00B83F78"/>
    <w:rsid w:val="00B86539"/>
    <w:rsid w:val="00B869EC"/>
    <w:rsid w:val="00B87E43"/>
    <w:rsid w:val="00B9397A"/>
    <w:rsid w:val="00B9633D"/>
    <w:rsid w:val="00B97082"/>
    <w:rsid w:val="00BA1AE4"/>
    <w:rsid w:val="00BA2BD7"/>
    <w:rsid w:val="00BA2EBE"/>
    <w:rsid w:val="00BA6367"/>
    <w:rsid w:val="00BB0F28"/>
    <w:rsid w:val="00BB458A"/>
    <w:rsid w:val="00BB4AE8"/>
    <w:rsid w:val="00BB7C08"/>
    <w:rsid w:val="00BC256F"/>
    <w:rsid w:val="00BC698C"/>
    <w:rsid w:val="00BD00D3"/>
    <w:rsid w:val="00BD094C"/>
    <w:rsid w:val="00BD144B"/>
    <w:rsid w:val="00BD1659"/>
    <w:rsid w:val="00BD3AA9"/>
    <w:rsid w:val="00BD3B55"/>
    <w:rsid w:val="00BD4A18"/>
    <w:rsid w:val="00BD65AA"/>
    <w:rsid w:val="00BD6DB2"/>
    <w:rsid w:val="00BE11CF"/>
    <w:rsid w:val="00BE21AB"/>
    <w:rsid w:val="00BE55CB"/>
    <w:rsid w:val="00BF0807"/>
    <w:rsid w:val="00BF1780"/>
    <w:rsid w:val="00BF203B"/>
    <w:rsid w:val="00BF4025"/>
    <w:rsid w:val="00BF617A"/>
    <w:rsid w:val="00C009BC"/>
    <w:rsid w:val="00C0379D"/>
    <w:rsid w:val="00C03821"/>
    <w:rsid w:val="00C03931"/>
    <w:rsid w:val="00C05FE3"/>
    <w:rsid w:val="00C07008"/>
    <w:rsid w:val="00C148AA"/>
    <w:rsid w:val="00C16158"/>
    <w:rsid w:val="00C16311"/>
    <w:rsid w:val="00C2136D"/>
    <w:rsid w:val="00C214EE"/>
    <w:rsid w:val="00C23085"/>
    <w:rsid w:val="00C2314B"/>
    <w:rsid w:val="00C24971"/>
    <w:rsid w:val="00C26BE5"/>
    <w:rsid w:val="00C26E4D"/>
    <w:rsid w:val="00C27909"/>
    <w:rsid w:val="00C27B03"/>
    <w:rsid w:val="00C3054C"/>
    <w:rsid w:val="00C314E1"/>
    <w:rsid w:val="00C32A18"/>
    <w:rsid w:val="00C34397"/>
    <w:rsid w:val="00C37865"/>
    <w:rsid w:val="00C4095D"/>
    <w:rsid w:val="00C42064"/>
    <w:rsid w:val="00C42630"/>
    <w:rsid w:val="00C601D2"/>
    <w:rsid w:val="00C618AA"/>
    <w:rsid w:val="00C641CF"/>
    <w:rsid w:val="00C64E85"/>
    <w:rsid w:val="00C65BCC"/>
    <w:rsid w:val="00C66970"/>
    <w:rsid w:val="00C6744A"/>
    <w:rsid w:val="00C76345"/>
    <w:rsid w:val="00C809B0"/>
    <w:rsid w:val="00C83FF2"/>
    <w:rsid w:val="00C8691C"/>
    <w:rsid w:val="00C86C0E"/>
    <w:rsid w:val="00C87858"/>
    <w:rsid w:val="00C933D9"/>
    <w:rsid w:val="00C960D2"/>
    <w:rsid w:val="00CA168A"/>
    <w:rsid w:val="00CA357E"/>
    <w:rsid w:val="00CA44F9"/>
    <w:rsid w:val="00CA4A69"/>
    <w:rsid w:val="00CA7BD9"/>
    <w:rsid w:val="00CB2815"/>
    <w:rsid w:val="00CC2180"/>
    <w:rsid w:val="00CC2F37"/>
    <w:rsid w:val="00CC3E0C"/>
    <w:rsid w:val="00CC4372"/>
    <w:rsid w:val="00CC58D3"/>
    <w:rsid w:val="00CC784D"/>
    <w:rsid w:val="00CD09CC"/>
    <w:rsid w:val="00CD1AF8"/>
    <w:rsid w:val="00CD21C1"/>
    <w:rsid w:val="00CD33D7"/>
    <w:rsid w:val="00CE2985"/>
    <w:rsid w:val="00CE7B33"/>
    <w:rsid w:val="00CF3443"/>
    <w:rsid w:val="00CF3E4D"/>
    <w:rsid w:val="00CF669C"/>
    <w:rsid w:val="00D0337B"/>
    <w:rsid w:val="00D0340C"/>
    <w:rsid w:val="00D039BA"/>
    <w:rsid w:val="00D0441D"/>
    <w:rsid w:val="00D079B2"/>
    <w:rsid w:val="00D114E9"/>
    <w:rsid w:val="00D123E7"/>
    <w:rsid w:val="00D1682E"/>
    <w:rsid w:val="00D20919"/>
    <w:rsid w:val="00D20CA3"/>
    <w:rsid w:val="00D25B84"/>
    <w:rsid w:val="00D26938"/>
    <w:rsid w:val="00D274FD"/>
    <w:rsid w:val="00D30319"/>
    <w:rsid w:val="00D334B3"/>
    <w:rsid w:val="00D429C6"/>
    <w:rsid w:val="00D45551"/>
    <w:rsid w:val="00D47748"/>
    <w:rsid w:val="00D546FE"/>
    <w:rsid w:val="00D54CC3"/>
    <w:rsid w:val="00D56C52"/>
    <w:rsid w:val="00D6041A"/>
    <w:rsid w:val="00D623F8"/>
    <w:rsid w:val="00D633EB"/>
    <w:rsid w:val="00D63581"/>
    <w:rsid w:val="00D64F1F"/>
    <w:rsid w:val="00D65076"/>
    <w:rsid w:val="00D73A9F"/>
    <w:rsid w:val="00D75D67"/>
    <w:rsid w:val="00D760DF"/>
    <w:rsid w:val="00D81361"/>
    <w:rsid w:val="00D82470"/>
    <w:rsid w:val="00D826B3"/>
    <w:rsid w:val="00D82FF7"/>
    <w:rsid w:val="00D83570"/>
    <w:rsid w:val="00D8382E"/>
    <w:rsid w:val="00D8450A"/>
    <w:rsid w:val="00D847FE"/>
    <w:rsid w:val="00D92046"/>
    <w:rsid w:val="00D95C4D"/>
    <w:rsid w:val="00D964EA"/>
    <w:rsid w:val="00D966D0"/>
    <w:rsid w:val="00DA0C59"/>
    <w:rsid w:val="00DA1F56"/>
    <w:rsid w:val="00DA3991"/>
    <w:rsid w:val="00DA6FB8"/>
    <w:rsid w:val="00DB0514"/>
    <w:rsid w:val="00DB11E3"/>
    <w:rsid w:val="00DB351F"/>
    <w:rsid w:val="00DB6AF5"/>
    <w:rsid w:val="00DB71B2"/>
    <w:rsid w:val="00DB7611"/>
    <w:rsid w:val="00DB7789"/>
    <w:rsid w:val="00DB7E6C"/>
    <w:rsid w:val="00DC1795"/>
    <w:rsid w:val="00DC6AD5"/>
    <w:rsid w:val="00DD5A29"/>
    <w:rsid w:val="00DD5D9D"/>
    <w:rsid w:val="00DE35CB"/>
    <w:rsid w:val="00DE66D8"/>
    <w:rsid w:val="00DF21E9"/>
    <w:rsid w:val="00DF319A"/>
    <w:rsid w:val="00DF3C11"/>
    <w:rsid w:val="00E00F14"/>
    <w:rsid w:val="00E06386"/>
    <w:rsid w:val="00E070DB"/>
    <w:rsid w:val="00E16E71"/>
    <w:rsid w:val="00E17DA2"/>
    <w:rsid w:val="00E24EB4"/>
    <w:rsid w:val="00E25043"/>
    <w:rsid w:val="00E2778C"/>
    <w:rsid w:val="00E320ED"/>
    <w:rsid w:val="00E3298A"/>
    <w:rsid w:val="00E33AFB"/>
    <w:rsid w:val="00E34218"/>
    <w:rsid w:val="00E34E5D"/>
    <w:rsid w:val="00E37BF8"/>
    <w:rsid w:val="00E4135A"/>
    <w:rsid w:val="00E448F6"/>
    <w:rsid w:val="00E45170"/>
    <w:rsid w:val="00E45E31"/>
    <w:rsid w:val="00E46282"/>
    <w:rsid w:val="00E5216E"/>
    <w:rsid w:val="00E55CBD"/>
    <w:rsid w:val="00E57099"/>
    <w:rsid w:val="00E63236"/>
    <w:rsid w:val="00E752E0"/>
    <w:rsid w:val="00E77BF6"/>
    <w:rsid w:val="00E81841"/>
    <w:rsid w:val="00E81953"/>
    <w:rsid w:val="00E82344"/>
    <w:rsid w:val="00E84C82"/>
    <w:rsid w:val="00E84D64"/>
    <w:rsid w:val="00E87408"/>
    <w:rsid w:val="00E87ED9"/>
    <w:rsid w:val="00E9052F"/>
    <w:rsid w:val="00E9126D"/>
    <w:rsid w:val="00E914C4"/>
    <w:rsid w:val="00E934F5"/>
    <w:rsid w:val="00E96961"/>
    <w:rsid w:val="00E96E7B"/>
    <w:rsid w:val="00EA1B3D"/>
    <w:rsid w:val="00EA72EC"/>
    <w:rsid w:val="00EB1174"/>
    <w:rsid w:val="00EB11CB"/>
    <w:rsid w:val="00EB1E8F"/>
    <w:rsid w:val="00EB243E"/>
    <w:rsid w:val="00EB275A"/>
    <w:rsid w:val="00EB4C12"/>
    <w:rsid w:val="00EB5704"/>
    <w:rsid w:val="00EB786A"/>
    <w:rsid w:val="00EC1342"/>
    <w:rsid w:val="00EC1578"/>
    <w:rsid w:val="00EC1C72"/>
    <w:rsid w:val="00EC37D3"/>
    <w:rsid w:val="00EC3CC9"/>
    <w:rsid w:val="00EC5B04"/>
    <w:rsid w:val="00EC5BF3"/>
    <w:rsid w:val="00EC680A"/>
    <w:rsid w:val="00ED16DB"/>
    <w:rsid w:val="00ED2417"/>
    <w:rsid w:val="00ED3143"/>
    <w:rsid w:val="00ED743C"/>
    <w:rsid w:val="00EE2BED"/>
    <w:rsid w:val="00EE374B"/>
    <w:rsid w:val="00EE5DC3"/>
    <w:rsid w:val="00EF564C"/>
    <w:rsid w:val="00F003B6"/>
    <w:rsid w:val="00F0096C"/>
    <w:rsid w:val="00F06691"/>
    <w:rsid w:val="00F11BB5"/>
    <w:rsid w:val="00F1417B"/>
    <w:rsid w:val="00F16228"/>
    <w:rsid w:val="00F16596"/>
    <w:rsid w:val="00F16EF1"/>
    <w:rsid w:val="00F176FC"/>
    <w:rsid w:val="00F22D20"/>
    <w:rsid w:val="00F23696"/>
    <w:rsid w:val="00F23698"/>
    <w:rsid w:val="00F27936"/>
    <w:rsid w:val="00F333C0"/>
    <w:rsid w:val="00F34B99"/>
    <w:rsid w:val="00F35113"/>
    <w:rsid w:val="00F36FAE"/>
    <w:rsid w:val="00F52DAB"/>
    <w:rsid w:val="00F543F0"/>
    <w:rsid w:val="00F64FE8"/>
    <w:rsid w:val="00F67147"/>
    <w:rsid w:val="00F71110"/>
    <w:rsid w:val="00F71E1B"/>
    <w:rsid w:val="00F71FEA"/>
    <w:rsid w:val="00F731A8"/>
    <w:rsid w:val="00F80D88"/>
    <w:rsid w:val="00F81D29"/>
    <w:rsid w:val="00F83FC6"/>
    <w:rsid w:val="00F86102"/>
    <w:rsid w:val="00F876CD"/>
    <w:rsid w:val="00F904D0"/>
    <w:rsid w:val="00F91C4D"/>
    <w:rsid w:val="00F92FD9"/>
    <w:rsid w:val="00F94929"/>
    <w:rsid w:val="00FA00BB"/>
    <w:rsid w:val="00FA253C"/>
    <w:rsid w:val="00FA3835"/>
    <w:rsid w:val="00FA4F98"/>
    <w:rsid w:val="00FA6684"/>
    <w:rsid w:val="00FA731E"/>
    <w:rsid w:val="00FB190F"/>
    <w:rsid w:val="00FB2B38"/>
    <w:rsid w:val="00FC1FBF"/>
    <w:rsid w:val="00FC6358"/>
    <w:rsid w:val="00FD320D"/>
    <w:rsid w:val="00FE02A8"/>
    <w:rsid w:val="00FE23DE"/>
    <w:rsid w:val="00FE4157"/>
    <w:rsid w:val="01046C74"/>
    <w:rsid w:val="01976042"/>
    <w:rsid w:val="01EE2D58"/>
    <w:rsid w:val="03D71AA1"/>
    <w:rsid w:val="04167C06"/>
    <w:rsid w:val="04601EFA"/>
    <w:rsid w:val="04DB2A96"/>
    <w:rsid w:val="058663AA"/>
    <w:rsid w:val="05FF5C73"/>
    <w:rsid w:val="070C181F"/>
    <w:rsid w:val="09515288"/>
    <w:rsid w:val="0E78191D"/>
    <w:rsid w:val="0FD0094D"/>
    <w:rsid w:val="0FF8621F"/>
    <w:rsid w:val="12190B2C"/>
    <w:rsid w:val="12C729E0"/>
    <w:rsid w:val="13D75E90"/>
    <w:rsid w:val="14E135FC"/>
    <w:rsid w:val="15A23D23"/>
    <w:rsid w:val="16A17D2C"/>
    <w:rsid w:val="17E33645"/>
    <w:rsid w:val="186751A0"/>
    <w:rsid w:val="18FE29CF"/>
    <w:rsid w:val="1B2C3630"/>
    <w:rsid w:val="1C6C13EF"/>
    <w:rsid w:val="1D5FC471"/>
    <w:rsid w:val="1DFF308F"/>
    <w:rsid w:val="1EFB9806"/>
    <w:rsid w:val="20EB1A8B"/>
    <w:rsid w:val="2155776C"/>
    <w:rsid w:val="2232092F"/>
    <w:rsid w:val="225D502F"/>
    <w:rsid w:val="23696C97"/>
    <w:rsid w:val="2517340D"/>
    <w:rsid w:val="277E5C66"/>
    <w:rsid w:val="27D020C5"/>
    <w:rsid w:val="29F7525C"/>
    <w:rsid w:val="2A214CD4"/>
    <w:rsid w:val="2B400C25"/>
    <w:rsid w:val="2B9F45F9"/>
    <w:rsid w:val="2C522FF5"/>
    <w:rsid w:val="2D3B79DB"/>
    <w:rsid w:val="2D5F2773"/>
    <w:rsid w:val="2DBBFECC"/>
    <w:rsid w:val="2E752D2A"/>
    <w:rsid w:val="2F6F7D2B"/>
    <w:rsid w:val="2F7C0D2B"/>
    <w:rsid w:val="2F7FBFFA"/>
    <w:rsid w:val="2FFDFF64"/>
    <w:rsid w:val="301736CD"/>
    <w:rsid w:val="311F82B5"/>
    <w:rsid w:val="32CC2D9E"/>
    <w:rsid w:val="33447EDF"/>
    <w:rsid w:val="33C02114"/>
    <w:rsid w:val="33FB77DF"/>
    <w:rsid w:val="34DB1784"/>
    <w:rsid w:val="35415911"/>
    <w:rsid w:val="35FF126B"/>
    <w:rsid w:val="36EFD64D"/>
    <w:rsid w:val="37575774"/>
    <w:rsid w:val="37A265E4"/>
    <w:rsid w:val="37E96025"/>
    <w:rsid w:val="38155984"/>
    <w:rsid w:val="391A2AB5"/>
    <w:rsid w:val="39FDF001"/>
    <w:rsid w:val="3BAFD3B2"/>
    <w:rsid w:val="3BEB8D6B"/>
    <w:rsid w:val="3BF5AF7C"/>
    <w:rsid w:val="3CBF46D0"/>
    <w:rsid w:val="3D9C6402"/>
    <w:rsid w:val="3EF95CE7"/>
    <w:rsid w:val="3EFEAC5A"/>
    <w:rsid w:val="3F3D44F2"/>
    <w:rsid w:val="3F6EAABC"/>
    <w:rsid w:val="3F7B31E7"/>
    <w:rsid w:val="3FDDE4F3"/>
    <w:rsid w:val="3FEB0659"/>
    <w:rsid w:val="3FEF3AC6"/>
    <w:rsid w:val="3FFB39FE"/>
    <w:rsid w:val="41B91D49"/>
    <w:rsid w:val="42010EFF"/>
    <w:rsid w:val="42ED4483"/>
    <w:rsid w:val="43F16B09"/>
    <w:rsid w:val="44474275"/>
    <w:rsid w:val="45B35CD2"/>
    <w:rsid w:val="46F10BCE"/>
    <w:rsid w:val="476BCBCD"/>
    <w:rsid w:val="47FD2635"/>
    <w:rsid w:val="486A6E89"/>
    <w:rsid w:val="4BFE15DA"/>
    <w:rsid w:val="4C247E6E"/>
    <w:rsid w:val="4CF31228"/>
    <w:rsid w:val="4E7329CB"/>
    <w:rsid w:val="4EFF311B"/>
    <w:rsid w:val="4FFFFC61"/>
    <w:rsid w:val="50465EC1"/>
    <w:rsid w:val="51903EDE"/>
    <w:rsid w:val="528D6749"/>
    <w:rsid w:val="52FDE122"/>
    <w:rsid w:val="53134CF9"/>
    <w:rsid w:val="536D660D"/>
    <w:rsid w:val="542F09BC"/>
    <w:rsid w:val="57F58FC0"/>
    <w:rsid w:val="58A87F58"/>
    <w:rsid w:val="59F31064"/>
    <w:rsid w:val="5A78650C"/>
    <w:rsid w:val="5AEA0FF2"/>
    <w:rsid w:val="5BC704BA"/>
    <w:rsid w:val="5BEF16B4"/>
    <w:rsid w:val="5C156FF2"/>
    <w:rsid w:val="5CBB4A69"/>
    <w:rsid w:val="5D9F612B"/>
    <w:rsid w:val="5DBF9CAA"/>
    <w:rsid w:val="5EDD0186"/>
    <w:rsid w:val="5EFF2F22"/>
    <w:rsid w:val="5F2859B3"/>
    <w:rsid w:val="5F37731A"/>
    <w:rsid w:val="5F3E8528"/>
    <w:rsid w:val="5F4FF620"/>
    <w:rsid w:val="5F7EDD9D"/>
    <w:rsid w:val="5F8F28C6"/>
    <w:rsid w:val="5F9505FE"/>
    <w:rsid w:val="5FBF2ADD"/>
    <w:rsid w:val="5FD9551B"/>
    <w:rsid w:val="5FE34332"/>
    <w:rsid w:val="5FFDEC0E"/>
    <w:rsid w:val="5FFF0554"/>
    <w:rsid w:val="61BD3ECF"/>
    <w:rsid w:val="61D2220B"/>
    <w:rsid w:val="63DD0C16"/>
    <w:rsid w:val="65B50E9B"/>
    <w:rsid w:val="663C7C5F"/>
    <w:rsid w:val="67F5E96E"/>
    <w:rsid w:val="6AC5631E"/>
    <w:rsid w:val="6B3E7080"/>
    <w:rsid w:val="6BEE14A6"/>
    <w:rsid w:val="6C1F7088"/>
    <w:rsid w:val="6D4E902A"/>
    <w:rsid w:val="6DDFD38E"/>
    <w:rsid w:val="6DED8CFA"/>
    <w:rsid w:val="6E2F362F"/>
    <w:rsid w:val="6F5F1122"/>
    <w:rsid w:val="6F66DD90"/>
    <w:rsid w:val="6FE3FA78"/>
    <w:rsid w:val="6FE7E3AC"/>
    <w:rsid w:val="6FFE11A9"/>
    <w:rsid w:val="70F7CC34"/>
    <w:rsid w:val="71133E83"/>
    <w:rsid w:val="71B83B50"/>
    <w:rsid w:val="72460213"/>
    <w:rsid w:val="728FD276"/>
    <w:rsid w:val="72A2709C"/>
    <w:rsid w:val="72FDE1A6"/>
    <w:rsid w:val="73816CB2"/>
    <w:rsid w:val="73B87E1B"/>
    <w:rsid w:val="73C7BCA0"/>
    <w:rsid w:val="73EC5EC3"/>
    <w:rsid w:val="73FFDCF4"/>
    <w:rsid w:val="741E449F"/>
    <w:rsid w:val="745E2C83"/>
    <w:rsid w:val="758247A3"/>
    <w:rsid w:val="75BF18D2"/>
    <w:rsid w:val="76617192"/>
    <w:rsid w:val="766FD784"/>
    <w:rsid w:val="7769C472"/>
    <w:rsid w:val="776C16AF"/>
    <w:rsid w:val="779B0D39"/>
    <w:rsid w:val="77BE6771"/>
    <w:rsid w:val="77CC744B"/>
    <w:rsid w:val="77CF85E6"/>
    <w:rsid w:val="77EE5557"/>
    <w:rsid w:val="77F5EECA"/>
    <w:rsid w:val="77F6264A"/>
    <w:rsid w:val="77FFBB18"/>
    <w:rsid w:val="788F291D"/>
    <w:rsid w:val="78E906FB"/>
    <w:rsid w:val="798F8AC3"/>
    <w:rsid w:val="7A7E465A"/>
    <w:rsid w:val="7A7FAE4D"/>
    <w:rsid w:val="7AC3A148"/>
    <w:rsid w:val="7B0217AC"/>
    <w:rsid w:val="7B136D89"/>
    <w:rsid w:val="7B83E75A"/>
    <w:rsid w:val="7BFB833C"/>
    <w:rsid w:val="7BFE31F2"/>
    <w:rsid w:val="7C5B7186"/>
    <w:rsid w:val="7CA078DC"/>
    <w:rsid w:val="7CEFFAD4"/>
    <w:rsid w:val="7D95B615"/>
    <w:rsid w:val="7DAD751E"/>
    <w:rsid w:val="7DC92BA1"/>
    <w:rsid w:val="7DCEC96B"/>
    <w:rsid w:val="7DE1A141"/>
    <w:rsid w:val="7DF71822"/>
    <w:rsid w:val="7DF74364"/>
    <w:rsid w:val="7DF7D900"/>
    <w:rsid w:val="7DFB9EB4"/>
    <w:rsid w:val="7DFD719F"/>
    <w:rsid w:val="7DFD741A"/>
    <w:rsid w:val="7DFFBB59"/>
    <w:rsid w:val="7E6E6371"/>
    <w:rsid w:val="7E7B674D"/>
    <w:rsid w:val="7EAFF637"/>
    <w:rsid w:val="7EBBF120"/>
    <w:rsid w:val="7ECE4E2C"/>
    <w:rsid w:val="7ECF6AC1"/>
    <w:rsid w:val="7EEEDF69"/>
    <w:rsid w:val="7EFF44A6"/>
    <w:rsid w:val="7F2957DB"/>
    <w:rsid w:val="7F3775ED"/>
    <w:rsid w:val="7F384E03"/>
    <w:rsid w:val="7F7A1049"/>
    <w:rsid w:val="7F7EBE77"/>
    <w:rsid w:val="7FB7FF79"/>
    <w:rsid w:val="7FBA8B62"/>
    <w:rsid w:val="7FC71008"/>
    <w:rsid w:val="7FD38C6A"/>
    <w:rsid w:val="7FD53ACD"/>
    <w:rsid w:val="7FDBD5D0"/>
    <w:rsid w:val="7FDF2B1E"/>
    <w:rsid w:val="7FE8DB68"/>
    <w:rsid w:val="7FEC4B83"/>
    <w:rsid w:val="7FF76324"/>
    <w:rsid w:val="7FFDF318"/>
    <w:rsid w:val="7FFFE579"/>
    <w:rsid w:val="877F5FFA"/>
    <w:rsid w:val="8F7F43E7"/>
    <w:rsid w:val="93DC1DA7"/>
    <w:rsid w:val="95D61B9D"/>
    <w:rsid w:val="9BFF35E3"/>
    <w:rsid w:val="9CFFDECD"/>
    <w:rsid w:val="9CFFF44C"/>
    <w:rsid w:val="9DBF0972"/>
    <w:rsid w:val="9F373327"/>
    <w:rsid w:val="9F3DC5E9"/>
    <w:rsid w:val="9FEDE5A8"/>
    <w:rsid w:val="A73FDE3F"/>
    <w:rsid w:val="ABFCA4D6"/>
    <w:rsid w:val="ADFFFCC1"/>
    <w:rsid w:val="AFF7298B"/>
    <w:rsid w:val="B4DDA120"/>
    <w:rsid w:val="B4FD96E5"/>
    <w:rsid w:val="B5EF220A"/>
    <w:rsid w:val="B6FD9498"/>
    <w:rsid w:val="B77597CF"/>
    <w:rsid w:val="B7EB727B"/>
    <w:rsid w:val="B95FC73E"/>
    <w:rsid w:val="B9DF5FAE"/>
    <w:rsid w:val="BA6EB9E8"/>
    <w:rsid w:val="BAEE092B"/>
    <w:rsid w:val="BDC6BB58"/>
    <w:rsid w:val="BDDE2FF4"/>
    <w:rsid w:val="BDF7A90D"/>
    <w:rsid w:val="BDFEBF72"/>
    <w:rsid w:val="BE7D4B00"/>
    <w:rsid w:val="BFCF51A6"/>
    <w:rsid w:val="BFDE735A"/>
    <w:rsid w:val="BFDF77C1"/>
    <w:rsid w:val="BFEC57BF"/>
    <w:rsid w:val="BFEE6EDA"/>
    <w:rsid w:val="BFFFB293"/>
    <w:rsid w:val="C5F6D3E2"/>
    <w:rsid w:val="C73FFD3C"/>
    <w:rsid w:val="CCFD149A"/>
    <w:rsid w:val="CD9A13E3"/>
    <w:rsid w:val="CEDDB16D"/>
    <w:rsid w:val="CFF94222"/>
    <w:rsid w:val="CFFBBF45"/>
    <w:rsid w:val="D9BF8B6D"/>
    <w:rsid w:val="DB6F6DCA"/>
    <w:rsid w:val="DBBB97A9"/>
    <w:rsid w:val="DCD70A6E"/>
    <w:rsid w:val="DCDD0BC0"/>
    <w:rsid w:val="DE7F6346"/>
    <w:rsid w:val="DEBF5882"/>
    <w:rsid w:val="DF6F140B"/>
    <w:rsid w:val="DFD79554"/>
    <w:rsid w:val="DFEFBEED"/>
    <w:rsid w:val="DFF89168"/>
    <w:rsid w:val="E7EF2411"/>
    <w:rsid w:val="E8FF48A1"/>
    <w:rsid w:val="EABF1C5D"/>
    <w:rsid w:val="EDBCB299"/>
    <w:rsid w:val="EDE332CD"/>
    <w:rsid w:val="EE09E151"/>
    <w:rsid w:val="EEC6685B"/>
    <w:rsid w:val="EF795FFF"/>
    <w:rsid w:val="EF8FF61D"/>
    <w:rsid w:val="EFDFB76E"/>
    <w:rsid w:val="EFFB632C"/>
    <w:rsid w:val="F24FC067"/>
    <w:rsid w:val="F26F9E08"/>
    <w:rsid w:val="F3390054"/>
    <w:rsid w:val="F3BF9297"/>
    <w:rsid w:val="F566D163"/>
    <w:rsid w:val="F56AF040"/>
    <w:rsid w:val="F5EF184D"/>
    <w:rsid w:val="F68F51C4"/>
    <w:rsid w:val="F6956FA3"/>
    <w:rsid w:val="F69CD287"/>
    <w:rsid w:val="F6D6B69B"/>
    <w:rsid w:val="F6FE3270"/>
    <w:rsid w:val="F7972F19"/>
    <w:rsid w:val="F7B71192"/>
    <w:rsid w:val="F7BDFFF1"/>
    <w:rsid w:val="F7E7F271"/>
    <w:rsid w:val="FA9FCF55"/>
    <w:rsid w:val="FB7DF344"/>
    <w:rsid w:val="FBF7B9E9"/>
    <w:rsid w:val="FBFE2005"/>
    <w:rsid w:val="FC9FBEFE"/>
    <w:rsid w:val="FCCFF524"/>
    <w:rsid w:val="FCE9CBF2"/>
    <w:rsid w:val="FD1F614D"/>
    <w:rsid w:val="FDBD524E"/>
    <w:rsid w:val="FDFDA89E"/>
    <w:rsid w:val="FF329D59"/>
    <w:rsid w:val="FF3D7158"/>
    <w:rsid w:val="FF6B0DD6"/>
    <w:rsid w:val="FF7BEF22"/>
    <w:rsid w:val="FF8F06E9"/>
    <w:rsid w:val="FFAA9868"/>
    <w:rsid w:val="FFDAB275"/>
    <w:rsid w:val="FFDFEA44"/>
    <w:rsid w:val="FFE8C25B"/>
    <w:rsid w:val="FFED03A1"/>
    <w:rsid w:val="FFEF1BBF"/>
    <w:rsid w:val="FFF7C67B"/>
    <w:rsid w:val="FFF7FB22"/>
    <w:rsid w:val="FFFF78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name="endnote reference"/>
    <w:lsdException w:qFormat="1"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1"/>
    <w:qFormat/>
    <w:uiPriority w:val="0"/>
    <w:pPr>
      <w:keepNext/>
      <w:keepLines/>
      <w:autoSpaceDN w:val="0"/>
      <w:adjustRightInd w:val="0"/>
      <w:snapToGrid w:val="0"/>
      <w:jc w:val="center"/>
      <w:outlineLvl w:val="0"/>
    </w:pPr>
    <w:rPr>
      <w:rFonts w:eastAsia="楷体_GB2312"/>
      <w:b/>
      <w:bCs/>
      <w:kern w:val="44"/>
      <w:sz w:val="36"/>
      <w:szCs w:val="36"/>
    </w:rPr>
  </w:style>
  <w:style w:type="paragraph" w:styleId="3">
    <w:name w:val="heading 2"/>
    <w:basedOn w:val="1"/>
    <w:next w:val="1"/>
    <w:link w:val="146"/>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47"/>
    <w:semiHidden/>
    <w:unhideWhenUsed/>
    <w:qFormat/>
    <w:uiPriority w:val="0"/>
    <w:pPr>
      <w:keepNext/>
      <w:keepLines/>
      <w:spacing w:before="260" w:after="260" w:line="416" w:lineRule="auto"/>
      <w:outlineLvl w:val="2"/>
    </w:pPr>
    <w:rPr>
      <w:b/>
      <w:bCs/>
      <w:sz w:val="32"/>
      <w:szCs w:val="32"/>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semiHidden/>
    <w:qFormat/>
    <w:uiPriority w:val="0"/>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Normal Indent"/>
    <w:basedOn w:val="1"/>
    <w:qFormat/>
    <w:uiPriority w:val="0"/>
    <w:pPr>
      <w:adjustRightInd w:val="0"/>
      <w:spacing w:line="420" w:lineRule="atLeast"/>
      <w:ind w:firstLine="420"/>
      <w:textAlignment w:val="baseline"/>
    </w:pPr>
    <w:rPr>
      <w:rFonts w:ascii="仿宋体" w:eastAsia="仿宋体"/>
      <w:kern w:val="0"/>
      <w:sz w:val="28"/>
      <w:szCs w:val="20"/>
    </w:rPr>
  </w:style>
  <w:style w:type="paragraph" w:styleId="8">
    <w:name w:val="caption"/>
    <w:basedOn w:val="1"/>
    <w:next w:val="1"/>
    <w:qFormat/>
    <w:uiPriority w:val="0"/>
    <w:pPr>
      <w:spacing w:before="152" w:after="160"/>
    </w:pPr>
    <w:rPr>
      <w:rFonts w:ascii="Arial" w:hAnsi="Arial" w:eastAsia="黑体" w:cs="Arial"/>
      <w:sz w:val="20"/>
      <w:szCs w:val="20"/>
    </w:rPr>
  </w:style>
  <w:style w:type="paragraph" w:styleId="9">
    <w:name w:val="index 5"/>
    <w:basedOn w:val="1"/>
    <w:next w:val="1"/>
    <w:qFormat/>
    <w:uiPriority w:val="0"/>
    <w:pPr>
      <w:ind w:left="1050" w:hanging="210"/>
      <w:jc w:val="left"/>
    </w:pPr>
    <w:rPr>
      <w:rFonts w:ascii="Calibri" w:hAnsi="Calibri"/>
      <w:sz w:val="20"/>
      <w:szCs w:val="20"/>
    </w:rPr>
  </w:style>
  <w:style w:type="paragraph" w:styleId="10">
    <w:name w:val="Document Map"/>
    <w:basedOn w:val="1"/>
    <w:semiHidden/>
    <w:qFormat/>
    <w:uiPriority w:val="0"/>
    <w:pPr>
      <w:shd w:val="clear" w:color="auto" w:fill="000080"/>
    </w:pPr>
  </w:style>
  <w:style w:type="paragraph" w:styleId="11">
    <w:name w:val="annotation text"/>
    <w:basedOn w:val="1"/>
    <w:link w:val="144"/>
    <w:qFormat/>
    <w:uiPriority w:val="0"/>
    <w:pPr>
      <w:jc w:val="left"/>
    </w:pPr>
  </w:style>
  <w:style w:type="paragraph" w:styleId="12">
    <w:name w:val="index 6"/>
    <w:basedOn w:val="1"/>
    <w:next w:val="1"/>
    <w:qFormat/>
    <w:uiPriority w:val="0"/>
    <w:pPr>
      <w:ind w:left="1260" w:hanging="210"/>
      <w:jc w:val="left"/>
    </w:pPr>
    <w:rPr>
      <w:rFonts w:ascii="Calibri" w:hAnsi="Calibri"/>
      <w:sz w:val="20"/>
      <w:szCs w:val="20"/>
    </w:rPr>
  </w:style>
  <w:style w:type="paragraph" w:styleId="13">
    <w:name w:val="index 4"/>
    <w:basedOn w:val="1"/>
    <w:next w:val="1"/>
    <w:qFormat/>
    <w:uiPriority w:val="0"/>
    <w:pPr>
      <w:ind w:left="840" w:hanging="210"/>
      <w:jc w:val="left"/>
    </w:pPr>
    <w:rPr>
      <w:rFonts w:ascii="Calibri" w:hAnsi="Calibri"/>
      <w:sz w:val="20"/>
      <w:szCs w:val="20"/>
    </w:rPr>
  </w:style>
  <w:style w:type="paragraph" w:styleId="14">
    <w:name w:val="toc 5"/>
    <w:basedOn w:val="1"/>
    <w:next w:val="1"/>
    <w:semiHidden/>
    <w:qFormat/>
    <w:uiPriority w:val="0"/>
    <w:pPr>
      <w:tabs>
        <w:tab w:val="right" w:leader="dot" w:pos="9241"/>
      </w:tabs>
      <w:ind w:firstLine="300" w:firstLineChars="300"/>
      <w:jc w:val="left"/>
    </w:pPr>
    <w:rPr>
      <w:rFonts w:ascii="宋体"/>
      <w:szCs w:val="21"/>
    </w:rPr>
  </w:style>
  <w:style w:type="paragraph" w:styleId="15">
    <w:name w:val="toc 3"/>
    <w:basedOn w:val="1"/>
    <w:next w:val="1"/>
    <w:qFormat/>
    <w:uiPriority w:val="39"/>
    <w:pPr>
      <w:tabs>
        <w:tab w:val="right" w:leader="dot" w:pos="9241"/>
      </w:tabs>
      <w:ind w:firstLine="102" w:firstLineChars="100"/>
      <w:jc w:val="left"/>
    </w:pPr>
    <w:rPr>
      <w:rFonts w:ascii="宋体"/>
      <w:szCs w:val="21"/>
    </w:rPr>
  </w:style>
  <w:style w:type="paragraph" w:styleId="16">
    <w:name w:val="toc 8"/>
    <w:basedOn w:val="1"/>
    <w:next w:val="1"/>
    <w:semiHidden/>
    <w:qFormat/>
    <w:uiPriority w:val="0"/>
    <w:pPr>
      <w:tabs>
        <w:tab w:val="right" w:leader="dot" w:pos="9241"/>
      </w:tabs>
      <w:ind w:firstLine="607" w:firstLineChars="600"/>
      <w:jc w:val="left"/>
    </w:pPr>
    <w:rPr>
      <w:rFonts w:ascii="宋体"/>
      <w:szCs w:val="21"/>
    </w:rPr>
  </w:style>
  <w:style w:type="paragraph" w:styleId="17">
    <w:name w:val="index 3"/>
    <w:basedOn w:val="1"/>
    <w:next w:val="1"/>
    <w:qFormat/>
    <w:uiPriority w:val="0"/>
    <w:pPr>
      <w:ind w:left="630" w:hanging="210"/>
      <w:jc w:val="left"/>
    </w:pPr>
    <w:rPr>
      <w:rFonts w:ascii="Calibri" w:hAnsi="Calibri"/>
      <w:sz w:val="20"/>
      <w:szCs w:val="20"/>
    </w:rPr>
  </w:style>
  <w:style w:type="paragraph" w:styleId="18">
    <w:name w:val="endnote text"/>
    <w:basedOn w:val="1"/>
    <w:semiHidden/>
    <w:qFormat/>
    <w:uiPriority w:val="0"/>
    <w:pPr>
      <w:snapToGrid w:val="0"/>
      <w:jc w:val="left"/>
    </w:pPr>
  </w:style>
  <w:style w:type="paragraph" w:styleId="19">
    <w:name w:val="Balloon Text"/>
    <w:basedOn w:val="1"/>
    <w:link w:val="143"/>
    <w:semiHidden/>
    <w:unhideWhenUsed/>
    <w:qFormat/>
    <w:uiPriority w:val="0"/>
    <w:rPr>
      <w:rFonts w:ascii="宋体"/>
      <w:sz w:val="18"/>
      <w:szCs w:val="18"/>
    </w:rPr>
  </w:style>
  <w:style w:type="paragraph" w:styleId="20">
    <w:name w:val="footer"/>
    <w:basedOn w:val="1"/>
    <w:qFormat/>
    <w:uiPriority w:val="0"/>
    <w:pPr>
      <w:snapToGrid w:val="0"/>
      <w:ind w:right="210" w:rightChars="100"/>
      <w:jc w:val="right"/>
    </w:pPr>
    <w:rPr>
      <w:sz w:val="18"/>
      <w:szCs w:val="18"/>
    </w:rPr>
  </w:style>
  <w:style w:type="paragraph" w:styleId="21">
    <w:name w:val="header"/>
    <w:basedOn w:val="1"/>
    <w:qFormat/>
    <w:uiPriority w:val="0"/>
    <w:pPr>
      <w:snapToGrid w:val="0"/>
      <w:jc w:val="left"/>
    </w:pPr>
    <w:rPr>
      <w:sz w:val="18"/>
      <w:szCs w:val="18"/>
    </w:rPr>
  </w:style>
  <w:style w:type="paragraph" w:styleId="22">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3">
    <w:name w:val="toc 4"/>
    <w:basedOn w:val="1"/>
    <w:next w:val="1"/>
    <w:semiHidden/>
    <w:qFormat/>
    <w:uiPriority w:val="0"/>
    <w:pPr>
      <w:tabs>
        <w:tab w:val="right" w:leader="dot" w:pos="9241"/>
      </w:tabs>
      <w:ind w:firstLine="198" w:firstLineChars="200"/>
      <w:jc w:val="left"/>
    </w:pPr>
    <w:rPr>
      <w:rFonts w:ascii="宋体"/>
      <w:szCs w:val="21"/>
    </w:rPr>
  </w:style>
  <w:style w:type="paragraph" w:styleId="24">
    <w:name w:val="index heading"/>
    <w:basedOn w:val="1"/>
    <w:next w:val="25"/>
    <w:qFormat/>
    <w:uiPriority w:val="0"/>
    <w:pPr>
      <w:spacing w:before="120" w:after="120"/>
      <w:jc w:val="center"/>
    </w:pPr>
    <w:rPr>
      <w:rFonts w:ascii="Calibri" w:hAnsi="Calibri"/>
      <w:b/>
      <w:bCs/>
      <w:iCs/>
      <w:szCs w:val="20"/>
    </w:rPr>
  </w:style>
  <w:style w:type="paragraph" w:styleId="25">
    <w:name w:val="index 1"/>
    <w:basedOn w:val="1"/>
    <w:next w:val="26"/>
    <w:qFormat/>
    <w:uiPriority w:val="0"/>
    <w:pPr>
      <w:tabs>
        <w:tab w:val="right" w:leader="dot" w:pos="9299"/>
      </w:tabs>
      <w:jc w:val="left"/>
    </w:pPr>
    <w:rPr>
      <w:rFonts w:ascii="宋体"/>
      <w:szCs w:val="21"/>
    </w:rPr>
  </w:style>
  <w:style w:type="paragraph" w:customStyle="1" w:styleId="26">
    <w:name w:val="段"/>
    <w:link w:val="4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7">
    <w:name w:val="footnote text"/>
    <w:basedOn w:val="1"/>
    <w:qFormat/>
    <w:uiPriority w:val="0"/>
    <w:pPr>
      <w:numPr>
        <w:ilvl w:val="0"/>
        <w:numId w:val="1"/>
      </w:numPr>
      <w:snapToGrid w:val="0"/>
      <w:jc w:val="left"/>
    </w:pPr>
    <w:rPr>
      <w:rFonts w:ascii="宋体"/>
      <w:sz w:val="18"/>
      <w:szCs w:val="18"/>
    </w:rPr>
  </w:style>
  <w:style w:type="paragraph" w:styleId="28">
    <w:name w:val="toc 6"/>
    <w:basedOn w:val="1"/>
    <w:next w:val="1"/>
    <w:semiHidden/>
    <w:qFormat/>
    <w:uiPriority w:val="0"/>
    <w:pPr>
      <w:tabs>
        <w:tab w:val="right" w:leader="dot" w:pos="9241"/>
      </w:tabs>
      <w:ind w:firstLine="403" w:firstLineChars="400"/>
      <w:jc w:val="left"/>
    </w:pPr>
    <w:rPr>
      <w:rFonts w:ascii="宋体"/>
      <w:szCs w:val="21"/>
    </w:rPr>
  </w:style>
  <w:style w:type="paragraph" w:styleId="29">
    <w:name w:val="index 7"/>
    <w:basedOn w:val="1"/>
    <w:next w:val="1"/>
    <w:qFormat/>
    <w:uiPriority w:val="0"/>
    <w:pPr>
      <w:ind w:left="1470" w:hanging="210"/>
      <w:jc w:val="left"/>
    </w:pPr>
    <w:rPr>
      <w:rFonts w:ascii="Calibri" w:hAnsi="Calibri"/>
      <w:sz w:val="20"/>
      <w:szCs w:val="20"/>
    </w:rPr>
  </w:style>
  <w:style w:type="paragraph" w:styleId="30">
    <w:name w:val="index 9"/>
    <w:basedOn w:val="1"/>
    <w:next w:val="1"/>
    <w:qFormat/>
    <w:uiPriority w:val="0"/>
    <w:pPr>
      <w:ind w:left="1890" w:hanging="210"/>
      <w:jc w:val="left"/>
    </w:pPr>
    <w:rPr>
      <w:rFonts w:ascii="Calibri" w:hAnsi="Calibri"/>
      <w:sz w:val="20"/>
      <w:szCs w:val="20"/>
    </w:rPr>
  </w:style>
  <w:style w:type="paragraph" w:styleId="31">
    <w:name w:val="toc 2"/>
    <w:basedOn w:val="1"/>
    <w:next w:val="1"/>
    <w:qFormat/>
    <w:uiPriority w:val="39"/>
    <w:pPr>
      <w:tabs>
        <w:tab w:val="right" w:leader="dot" w:pos="9241"/>
      </w:tabs>
    </w:pPr>
    <w:rPr>
      <w:rFonts w:ascii="宋体"/>
      <w:szCs w:val="21"/>
    </w:rPr>
  </w:style>
  <w:style w:type="paragraph" w:styleId="32">
    <w:name w:val="toc 9"/>
    <w:basedOn w:val="1"/>
    <w:next w:val="1"/>
    <w:semiHidden/>
    <w:qFormat/>
    <w:uiPriority w:val="0"/>
    <w:pPr>
      <w:ind w:left="1470"/>
      <w:jc w:val="left"/>
    </w:pPr>
    <w:rPr>
      <w:sz w:val="20"/>
      <w:szCs w:val="20"/>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annotation subject"/>
    <w:basedOn w:val="11"/>
    <w:next w:val="11"/>
    <w:link w:val="149"/>
    <w:semiHidden/>
    <w:unhideWhenUsed/>
    <w:qFormat/>
    <w:uiPriority w:val="0"/>
    <w:pPr>
      <w:jc w:val="both"/>
    </w:pPr>
    <w:rPr>
      <w:b/>
      <w:bCs/>
      <w:sz w:val="20"/>
      <w:szCs w:val="20"/>
    </w:rPr>
  </w:style>
  <w:style w:type="table" w:styleId="36">
    <w:name w:val="Table Grid"/>
    <w:basedOn w:val="35"/>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8">
    <w:name w:val="endnote reference"/>
    <w:basedOn w:val="37"/>
    <w:semiHidden/>
    <w:qFormat/>
    <w:uiPriority w:val="0"/>
    <w:rPr>
      <w:vertAlign w:val="superscript"/>
    </w:rPr>
  </w:style>
  <w:style w:type="character" w:styleId="39">
    <w:name w:val="page number"/>
    <w:basedOn w:val="37"/>
    <w:qFormat/>
    <w:uiPriority w:val="0"/>
    <w:rPr>
      <w:rFonts w:ascii="Times New Roman" w:hAnsi="Times New Roman" w:eastAsia="宋体"/>
      <w:sz w:val="18"/>
    </w:rPr>
  </w:style>
  <w:style w:type="character" w:styleId="40">
    <w:name w:val="Hyperlink"/>
    <w:basedOn w:val="37"/>
    <w:qFormat/>
    <w:uiPriority w:val="99"/>
    <w:rPr>
      <w:color w:val="0000FF"/>
      <w:spacing w:val="0"/>
      <w:w w:val="100"/>
      <w:szCs w:val="21"/>
      <w:u w:val="single"/>
    </w:rPr>
  </w:style>
  <w:style w:type="character" w:styleId="41">
    <w:name w:val="annotation reference"/>
    <w:basedOn w:val="37"/>
    <w:qFormat/>
    <w:uiPriority w:val="0"/>
    <w:rPr>
      <w:sz w:val="21"/>
      <w:szCs w:val="21"/>
    </w:rPr>
  </w:style>
  <w:style w:type="character" w:styleId="42">
    <w:name w:val="footnote reference"/>
    <w:basedOn w:val="37"/>
    <w:semiHidden/>
    <w:qFormat/>
    <w:uiPriority w:val="0"/>
    <w:rPr>
      <w:vertAlign w:val="superscript"/>
    </w:rPr>
  </w:style>
  <w:style w:type="character" w:customStyle="1" w:styleId="43">
    <w:name w:val="段 Char"/>
    <w:basedOn w:val="37"/>
    <w:link w:val="26"/>
    <w:qFormat/>
    <w:uiPriority w:val="0"/>
    <w:rPr>
      <w:rFonts w:ascii="宋体"/>
      <w:sz w:val="21"/>
      <w:lang w:val="en-US" w:eastAsia="zh-CN" w:bidi="ar-SA"/>
    </w:rPr>
  </w:style>
  <w:style w:type="paragraph" w:customStyle="1" w:styleId="44">
    <w:name w:val="一级条标题"/>
    <w:next w:val="26"/>
    <w:qFormat/>
    <w:uiPriority w:val="0"/>
    <w:pPr>
      <w:numPr>
        <w:ilvl w:val="1"/>
        <w:numId w:val="2"/>
      </w:numPr>
      <w:spacing w:before="156" w:beforeLines="50" w:after="156" w:afterLines="50"/>
      <w:ind w:left="-282"/>
      <w:outlineLvl w:val="2"/>
    </w:pPr>
    <w:rPr>
      <w:rFonts w:ascii="黑体" w:hAnsi="Times New Roman" w:eastAsia="黑体" w:cs="Times New Roman"/>
      <w:sz w:val="21"/>
      <w:szCs w:val="21"/>
      <w:lang w:val="en-US" w:eastAsia="zh-CN" w:bidi="ar-SA"/>
    </w:rPr>
  </w:style>
  <w:style w:type="paragraph" w:customStyle="1" w:styleId="45">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7">
    <w:name w:val="章标题"/>
    <w:next w:val="26"/>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8">
    <w:name w:val="二级条标题"/>
    <w:basedOn w:val="44"/>
    <w:next w:val="26"/>
    <w:qFormat/>
    <w:uiPriority w:val="0"/>
    <w:pPr>
      <w:numPr>
        <w:ilvl w:val="2"/>
      </w:numPr>
      <w:spacing w:before="50" w:after="50"/>
      <w:outlineLvl w:val="3"/>
    </w:pPr>
  </w:style>
  <w:style w:type="paragraph" w:customStyle="1" w:styleId="49">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0">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1">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2">
    <w:name w:val="目次、标准名称标题"/>
    <w:basedOn w:val="1"/>
    <w:next w:val="26"/>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3">
    <w:name w:val="三级条标题"/>
    <w:basedOn w:val="48"/>
    <w:next w:val="26"/>
    <w:qFormat/>
    <w:uiPriority w:val="0"/>
    <w:pPr>
      <w:numPr>
        <w:ilvl w:val="3"/>
      </w:numPr>
      <w:outlineLvl w:val="4"/>
    </w:pPr>
  </w:style>
  <w:style w:type="paragraph" w:customStyle="1" w:styleId="54">
    <w:name w:val="示例"/>
    <w:next w:val="55"/>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5">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6">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7">
    <w:name w:val="四级条标题"/>
    <w:basedOn w:val="53"/>
    <w:next w:val="26"/>
    <w:qFormat/>
    <w:uiPriority w:val="0"/>
    <w:pPr>
      <w:numPr>
        <w:ilvl w:val="4"/>
      </w:numPr>
      <w:outlineLvl w:val="5"/>
    </w:pPr>
  </w:style>
  <w:style w:type="paragraph" w:customStyle="1" w:styleId="58">
    <w:name w:val="五级条标题"/>
    <w:basedOn w:val="57"/>
    <w:next w:val="26"/>
    <w:qFormat/>
    <w:uiPriority w:val="0"/>
    <w:pPr>
      <w:numPr>
        <w:ilvl w:val="5"/>
      </w:numPr>
      <w:outlineLvl w:val="6"/>
    </w:pPr>
  </w:style>
  <w:style w:type="paragraph" w:customStyle="1" w:styleId="59">
    <w:name w:val="注："/>
    <w:next w:val="26"/>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0">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1">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2">
    <w:name w:val="列项◆（三级）"/>
    <w:basedOn w:val="1"/>
    <w:qFormat/>
    <w:uiPriority w:val="0"/>
    <w:pPr>
      <w:numPr>
        <w:ilvl w:val="2"/>
        <w:numId w:val="3"/>
      </w:numPr>
    </w:pPr>
    <w:rPr>
      <w:rFonts w:ascii="宋体"/>
      <w:szCs w:val="21"/>
    </w:rPr>
  </w:style>
  <w:style w:type="paragraph" w:customStyle="1" w:styleId="63">
    <w:name w:val="编号列项（三级）"/>
    <w:qFormat/>
    <w:uiPriority w:val="0"/>
    <w:pPr>
      <w:numPr>
        <w:ilvl w:val="2"/>
        <w:numId w:val="5"/>
      </w:numPr>
    </w:pPr>
    <w:rPr>
      <w:rFonts w:ascii="宋体" w:hAnsi="Times New Roman" w:eastAsia="宋体" w:cs="Times New Roman"/>
      <w:sz w:val="21"/>
      <w:lang w:val="en-US" w:eastAsia="zh-CN" w:bidi="ar-SA"/>
    </w:rPr>
  </w:style>
  <w:style w:type="paragraph" w:customStyle="1" w:styleId="64">
    <w:name w:val="示例×："/>
    <w:basedOn w:val="47"/>
    <w:qFormat/>
    <w:uiPriority w:val="0"/>
    <w:pPr>
      <w:numPr>
        <w:numId w:val="8"/>
      </w:numPr>
      <w:spacing w:before="0" w:beforeLines="0" w:after="0" w:afterLines="0"/>
      <w:outlineLvl w:val="9"/>
    </w:pPr>
    <w:rPr>
      <w:rFonts w:ascii="宋体" w:eastAsia="宋体"/>
      <w:sz w:val="18"/>
      <w:szCs w:val="18"/>
    </w:rPr>
  </w:style>
  <w:style w:type="paragraph" w:customStyle="1" w:styleId="65">
    <w:name w:val="二级无"/>
    <w:basedOn w:val="48"/>
    <w:qFormat/>
    <w:uiPriority w:val="0"/>
    <w:pPr>
      <w:spacing w:before="0" w:beforeLines="0" w:after="0" w:afterLines="0"/>
    </w:pPr>
    <w:rPr>
      <w:rFonts w:ascii="宋体" w:eastAsia="宋体"/>
    </w:rPr>
  </w:style>
  <w:style w:type="paragraph" w:customStyle="1" w:styleId="66">
    <w:name w:val="注：（正文）"/>
    <w:basedOn w:val="59"/>
    <w:next w:val="26"/>
    <w:qFormat/>
    <w:uiPriority w:val="0"/>
  </w:style>
  <w:style w:type="paragraph" w:customStyle="1" w:styleId="67">
    <w:name w:val="注×：（正文）"/>
    <w:qFormat/>
    <w:uiPriority w:val="0"/>
    <w:pPr>
      <w:numPr>
        <w:ilvl w:val="0"/>
        <w:numId w:val="9"/>
      </w:numPr>
      <w:jc w:val="both"/>
    </w:pPr>
    <w:rPr>
      <w:rFonts w:ascii="宋体" w:hAnsi="Times New Roman" w:eastAsia="宋体" w:cs="Times New Roman"/>
      <w:sz w:val="18"/>
      <w:szCs w:val="18"/>
      <w:lang w:val="en-US" w:eastAsia="zh-CN" w:bidi="ar-SA"/>
    </w:rPr>
  </w:style>
  <w:style w:type="paragraph" w:customStyle="1" w:styleId="68">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69">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0">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1">
    <w:name w:val="标准书眉_偶数页"/>
    <w:basedOn w:val="46"/>
    <w:next w:val="1"/>
    <w:qFormat/>
    <w:uiPriority w:val="0"/>
    <w:pPr>
      <w:jc w:val="left"/>
    </w:pPr>
  </w:style>
  <w:style w:type="paragraph" w:customStyle="1" w:styleId="72">
    <w:name w:val="标准书眉一"/>
    <w:qFormat/>
    <w:uiPriority w:val="0"/>
    <w:pPr>
      <w:jc w:val="both"/>
    </w:pPr>
    <w:rPr>
      <w:rFonts w:ascii="Times New Roman" w:hAnsi="Times New Roman" w:eastAsia="宋体" w:cs="Times New Roman"/>
      <w:lang w:val="en-US" w:eastAsia="zh-CN" w:bidi="ar-SA"/>
    </w:rPr>
  </w:style>
  <w:style w:type="paragraph" w:customStyle="1" w:styleId="73">
    <w:name w:val="参考文献"/>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4">
    <w:name w:val="参考文献、索引标题"/>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5">
    <w:name w:val="发布"/>
    <w:basedOn w:val="37"/>
    <w:qFormat/>
    <w:uiPriority w:val="0"/>
    <w:rPr>
      <w:rFonts w:ascii="黑体" w:eastAsia="黑体"/>
      <w:spacing w:val="85"/>
      <w:w w:val="100"/>
      <w:position w:val="3"/>
      <w:sz w:val="28"/>
      <w:szCs w:val="28"/>
    </w:rPr>
  </w:style>
  <w:style w:type="paragraph" w:customStyle="1" w:styleId="76">
    <w:name w:val="发布部门"/>
    <w:next w:val="2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7">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8">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9">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0">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1">
    <w:name w:val="封面标准英文名称"/>
    <w:basedOn w:val="80"/>
    <w:qFormat/>
    <w:uiPriority w:val="0"/>
    <w:pPr>
      <w:framePr w:wrap="around"/>
      <w:spacing w:before="370" w:line="400" w:lineRule="exact"/>
    </w:pPr>
    <w:rPr>
      <w:rFonts w:ascii="Times New Roman"/>
      <w:sz w:val="28"/>
      <w:szCs w:val="28"/>
    </w:rPr>
  </w:style>
  <w:style w:type="paragraph" w:customStyle="1" w:styleId="82">
    <w:name w:val="封面一致性程度标识"/>
    <w:basedOn w:val="81"/>
    <w:qFormat/>
    <w:uiPriority w:val="0"/>
    <w:pPr>
      <w:framePr w:wrap="around"/>
      <w:spacing w:before="440"/>
    </w:pPr>
    <w:rPr>
      <w:rFonts w:ascii="宋体" w:eastAsia="宋体"/>
    </w:rPr>
  </w:style>
  <w:style w:type="paragraph" w:customStyle="1" w:styleId="83">
    <w:name w:val="封面标准文稿类别"/>
    <w:basedOn w:val="82"/>
    <w:qFormat/>
    <w:uiPriority w:val="0"/>
    <w:pPr>
      <w:framePr w:wrap="around"/>
      <w:spacing w:after="160" w:line="240" w:lineRule="auto"/>
    </w:pPr>
    <w:rPr>
      <w:sz w:val="24"/>
    </w:rPr>
  </w:style>
  <w:style w:type="paragraph" w:customStyle="1" w:styleId="84">
    <w:name w:val="封面标准文稿编辑信息"/>
    <w:basedOn w:val="83"/>
    <w:qFormat/>
    <w:uiPriority w:val="0"/>
    <w:pPr>
      <w:framePr w:wrap="around"/>
      <w:spacing w:before="180" w:line="180" w:lineRule="exact"/>
    </w:pPr>
    <w:rPr>
      <w:sz w:val="21"/>
    </w:rPr>
  </w:style>
  <w:style w:type="paragraph" w:customStyle="1" w:styleId="85">
    <w:name w:val="封面正文"/>
    <w:qFormat/>
    <w:uiPriority w:val="0"/>
    <w:pPr>
      <w:jc w:val="both"/>
    </w:pPr>
    <w:rPr>
      <w:rFonts w:ascii="Times New Roman" w:hAnsi="Times New Roman" w:eastAsia="宋体" w:cs="Times New Roman"/>
      <w:lang w:val="en-US" w:eastAsia="zh-CN" w:bidi="ar-SA"/>
    </w:rPr>
  </w:style>
  <w:style w:type="paragraph" w:customStyle="1" w:styleId="86">
    <w:name w:val="附录标识"/>
    <w:basedOn w:val="1"/>
    <w:next w:val="26"/>
    <w:qFormat/>
    <w:uiPriority w:val="0"/>
    <w:pPr>
      <w:keepNext/>
      <w:widowControl/>
      <w:numPr>
        <w:ilvl w:val="0"/>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7">
    <w:name w:val="附录标题"/>
    <w:basedOn w:val="26"/>
    <w:next w:val="26"/>
    <w:qFormat/>
    <w:uiPriority w:val="0"/>
    <w:pPr>
      <w:ind w:firstLine="0" w:firstLineChars="0"/>
      <w:jc w:val="center"/>
    </w:pPr>
    <w:rPr>
      <w:rFonts w:ascii="黑体" w:eastAsia="黑体"/>
    </w:rPr>
  </w:style>
  <w:style w:type="paragraph" w:customStyle="1" w:styleId="88">
    <w:name w:val="附录表标号"/>
    <w:basedOn w:val="1"/>
    <w:next w:val="26"/>
    <w:qFormat/>
    <w:uiPriority w:val="0"/>
    <w:pPr>
      <w:numPr>
        <w:ilvl w:val="0"/>
        <w:numId w:val="11"/>
      </w:numPr>
      <w:tabs>
        <w:tab w:val="clear" w:pos="0"/>
      </w:tabs>
      <w:spacing w:line="14" w:lineRule="exact"/>
      <w:ind w:left="811" w:hanging="448"/>
      <w:jc w:val="center"/>
      <w:outlineLvl w:val="0"/>
    </w:pPr>
    <w:rPr>
      <w:color w:val="FFFFFF"/>
    </w:rPr>
  </w:style>
  <w:style w:type="paragraph" w:customStyle="1" w:styleId="89">
    <w:name w:val="附录表标题"/>
    <w:basedOn w:val="1"/>
    <w:next w:val="26"/>
    <w:qFormat/>
    <w:uiPriority w:val="0"/>
    <w:pPr>
      <w:numPr>
        <w:ilvl w:val="1"/>
        <w:numId w:val="11"/>
      </w:numPr>
      <w:tabs>
        <w:tab w:val="left" w:pos="180"/>
      </w:tabs>
      <w:spacing w:before="50" w:beforeLines="50" w:after="50" w:afterLines="50"/>
      <w:ind w:left="0" w:firstLine="0"/>
      <w:jc w:val="center"/>
    </w:pPr>
    <w:rPr>
      <w:rFonts w:ascii="黑体" w:eastAsia="黑体"/>
      <w:szCs w:val="21"/>
    </w:rPr>
  </w:style>
  <w:style w:type="paragraph" w:customStyle="1" w:styleId="90">
    <w:name w:val="附录二级条标题"/>
    <w:basedOn w:val="1"/>
    <w:next w:val="26"/>
    <w:qFormat/>
    <w:uiPriority w:val="0"/>
    <w:pPr>
      <w:widowControl/>
      <w:numPr>
        <w:ilvl w:val="3"/>
        <w:numId w:val="10"/>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1">
    <w:name w:val="附录二级无"/>
    <w:basedOn w:val="90"/>
    <w:qFormat/>
    <w:uiPriority w:val="0"/>
    <w:pPr>
      <w:tabs>
        <w:tab w:val="clear" w:pos="360"/>
      </w:tabs>
      <w:spacing w:before="0" w:beforeLines="0" w:after="0" w:afterLines="0"/>
    </w:pPr>
    <w:rPr>
      <w:rFonts w:ascii="宋体" w:eastAsia="宋体"/>
      <w:szCs w:val="21"/>
    </w:rPr>
  </w:style>
  <w:style w:type="paragraph" w:customStyle="1" w:styleId="92">
    <w:name w:val="附录公式"/>
    <w:basedOn w:val="26"/>
    <w:next w:val="26"/>
    <w:link w:val="93"/>
    <w:qFormat/>
    <w:uiPriority w:val="0"/>
  </w:style>
  <w:style w:type="character" w:customStyle="1" w:styleId="93">
    <w:name w:val="附录公式 Char"/>
    <w:basedOn w:val="43"/>
    <w:link w:val="92"/>
    <w:qFormat/>
    <w:uiPriority w:val="0"/>
    <w:rPr>
      <w:rFonts w:ascii="宋体"/>
      <w:sz w:val="21"/>
      <w:lang w:val="en-US" w:eastAsia="zh-CN" w:bidi="ar-SA"/>
    </w:rPr>
  </w:style>
  <w:style w:type="paragraph" w:customStyle="1" w:styleId="94">
    <w:name w:val="附录公式编号制表符"/>
    <w:basedOn w:val="1"/>
    <w:next w:val="26"/>
    <w:qFormat/>
    <w:uiPriority w:val="0"/>
    <w:pPr>
      <w:widowControl/>
      <w:tabs>
        <w:tab w:val="center" w:pos="4201"/>
        <w:tab w:val="right" w:leader="dot" w:pos="9298"/>
      </w:tabs>
      <w:autoSpaceDE w:val="0"/>
      <w:autoSpaceDN w:val="0"/>
    </w:pPr>
    <w:rPr>
      <w:rFonts w:ascii="宋体"/>
      <w:kern w:val="0"/>
      <w:szCs w:val="20"/>
    </w:rPr>
  </w:style>
  <w:style w:type="paragraph" w:customStyle="1" w:styleId="95">
    <w:name w:val="附录三级条标题"/>
    <w:basedOn w:val="90"/>
    <w:next w:val="26"/>
    <w:qFormat/>
    <w:uiPriority w:val="0"/>
    <w:pPr>
      <w:numPr>
        <w:ilvl w:val="4"/>
      </w:numPr>
      <w:outlineLvl w:val="4"/>
    </w:pPr>
  </w:style>
  <w:style w:type="paragraph" w:customStyle="1" w:styleId="96">
    <w:name w:val="附录三级无"/>
    <w:basedOn w:val="95"/>
    <w:qFormat/>
    <w:uiPriority w:val="0"/>
    <w:pPr>
      <w:tabs>
        <w:tab w:val="clear" w:pos="360"/>
      </w:tabs>
      <w:spacing w:before="0" w:beforeLines="0" w:after="0" w:afterLines="0"/>
    </w:pPr>
    <w:rPr>
      <w:rFonts w:ascii="宋体" w:eastAsia="宋体"/>
      <w:szCs w:val="21"/>
    </w:rPr>
  </w:style>
  <w:style w:type="paragraph" w:customStyle="1" w:styleId="97">
    <w:name w:val="附录数字编号列项（二级）"/>
    <w:qFormat/>
    <w:uiPriority w:val="0"/>
    <w:pPr>
      <w:numPr>
        <w:ilvl w:val="1"/>
        <w:numId w:val="12"/>
      </w:numPr>
    </w:pPr>
    <w:rPr>
      <w:rFonts w:ascii="宋体" w:hAnsi="Times New Roman" w:eastAsia="宋体" w:cs="Times New Roman"/>
      <w:sz w:val="21"/>
      <w:lang w:val="en-US" w:eastAsia="zh-CN" w:bidi="ar-SA"/>
    </w:rPr>
  </w:style>
  <w:style w:type="paragraph" w:customStyle="1" w:styleId="98">
    <w:name w:val="附录四级条标题"/>
    <w:basedOn w:val="95"/>
    <w:next w:val="26"/>
    <w:qFormat/>
    <w:uiPriority w:val="0"/>
    <w:pPr>
      <w:numPr>
        <w:ilvl w:val="5"/>
      </w:numPr>
      <w:outlineLvl w:val="5"/>
    </w:pPr>
  </w:style>
  <w:style w:type="paragraph" w:customStyle="1" w:styleId="99">
    <w:name w:val="附录四级无"/>
    <w:basedOn w:val="98"/>
    <w:qFormat/>
    <w:uiPriority w:val="0"/>
    <w:pPr>
      <w:tabs>
        <w:tab w:val="clear" w:pos="360"/>
      </w:tabs>
      <w:spacing w:before="0" w:beforeLines="0" w:after="0" w:afterLines="0"/>
    </w:pPr>
    <w:rPr>
      <w:rFonts w:ascii="宋体" w:eastAsia="宋体"/>
      <w:szCs w:val="21"/>
    </w:rPr>
  </w:style>
  <w:style w:type="paragraph" w:customStyle="1" w:styleId="100">
    <w:name w:val="附录图标号"/>
    <w:basedOn w:val="1"/>
    <w:qFormat/>
    <w:uiPriority w:val="0"/>
    <w:pPr>
      <w:keepNext/>
      <w:pageBreakBefore/>
      <w:widowControl/>
      <w:numPr>
        <w:ilvl w:val="0"/>
        <w:numId w:val="13"/>
      </w:numPr>
      <w:spacing w:line="14" w:lineRule="exact"/>
      <w:ind w:left="0" w:firstLine="363"/>
      <w:jc w:val="center"/>
      <w:outlineLvl w:val="0"/>
    </w:pPr>
    <w:rPr>
      <w:color w:val="FFFFFF"/>
    </w:rPr>
  </w:style>
  <w:style w:type="paragraph" w:customStyle="1" w:styleId="101">
    <w:name w:val="附录图标题"/>
    <w:basedOn w:val="1"/>
    <w:next w:val="26"/>
    <w:qFormat/>
    <w:uiPriority w:val="0"/>
    <w:pPr>
      <w:numPr>
        <w:ilvl w:val="1"/>
        <w:numId w:val="13"/>
      </w:numPr>
      <w:tabs>
        <w:tab w:val="left" w:pos="363"/>
      </w:tabs>
      <w:spacing w:before="50" w:beforeLines="50" w:after="50" w:afterLines="50"/>
      <w:ind w:left="0" w:firstLine="0"/>
      <w:jc w:val="center"/>
    </w:pPr>
    <w:rPr>
      <w:rFonts w:ascii="黑体" w:eastAsia="黑体"/>
      <w:szCs w:val="21"/>
    </w:rPr>
  </w:style>
  <w:style w:type="paragraph" w:customStyle="1" w:styleId="102">
    <w:name w:val="附录五级条标题"/>
    <w:basedOn w:val="98"/>
    <w:next w:val="26"/>
    <w:qFormat/>
    <w:uiPriority w:val="0"/>
    <w:pPr>
      <w:numPr>
        <w:ilvl w:val="6"/>
      </w:numPr>
      <w:outlineLvl w:val="6"/>
    </w:pPr>
  </w:style>
  <w:style w:type="paragraph" w:customStyle="1" w:styleId="103">
    <w:name w:val="附录五级无"/>
    <w:basedOn w:val="102"/>
    <w:qFormat/>
    <w:uiPriority w:val="0"/>
    <w:pPr>
      <w:tabs>
        <w:tab w:val="clear" w:pos="360"/>
      </w:tabs>
      <w:spacing w:before="0" w:beforeLines="0" w:after="0" w:afterLines="0"/>
    </w:pPr>
    <w:rPr>
      <w:rFonts w:ascii="宋体" w:eastAsia="宋体"/>
      <w:szCs w:val="21"/>
    </w:rPr>
  </w:style>
  <w:style w:type="paragraph" w:customStyle="1" w:styleId="104">
    <w:name w:val="附录章标题"/>
    <w:next w:val="26"/>
    <w:qFormat/>
    <w:uiPriority w:val="0"/>
    <w:pPr>
      <w:numPr>
        <w:ilvl w:val="1"/>
        <w:numId w:val="10"/>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5">
    <w:name w:val="附录一级条标题"/>
    <w:basedOn w:val="104"/>
    <w:next w:val="26"/>
    <w:qFormat/>
    <w:uiPriority w:val="0"/>
    <w:pPr>
      <w:numPr>
        <w:ilvl w:val="2"/>
      </w:numPr>
      <w:autoSpaceDN w:val="0"/>
      <w:spacing w:before="50" w:beforeLines="50" w:after="50" w:afterLines="50"/>
      <w:outlineLvl w:val="2"/>
    </w:pPr>
  </w:style>
  <w:style w:type="paragraph" w:customStyle="1" w:styleId="106">
    <w:name w:val="附录一级无"/>
    <w:basedOn w:val="105"/>
    <w:qFormat/>
    <w:uiPriority w:val="0"/>
    <w:pPr>
      <w:tabs>
        <w:tab w:val="clear" w:pos="360"/>
      </w:tabs>
      <w:spacing w:before="0" w:beforeLines="0" w:after="0" w:afterLines="0"/>
    </w:pPr>
    <w:rPr>
      <w:rFonts w:ascii="宋体" w:eastAsia="宋体"/>
      <w:szCs w:val="21"/>
    </w:rPr>
  </w:style>
  <w:style w:type="paragraph" w:customStyle="1" w:styleId="107">
    <w:name w:val="附录字母编号列项（一级）"/>
    <w:qFormat/>
    <w:uiPriority w:val="0"/>
    <w:pPr>
      <w:numPr>
        <w:ilvl w:val="0"/>
        <w:numId w:val="12"/>
      </w:numPr>
    </w:pPr>
    <w:rPr>
      <w:rFonts w:ascii="宋体" w:hAnsi="Times New Roman" w:eastAsia="宋体" w:cs="Times New Roman"/>
      <w:sz w:val="21"/>
      <w:lang w:val="en-US" w:eastAsia="zh-CN" w:bidi="ar-SA"/>
    </w:rPr>
  </w:style>
  <w:style w:type="paragraph" w:customStyle="1" w:styleId="108">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09">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1">
    <w:name w:val="其他标准标志"/>
    <w:basedOn w:val="68"/>
    <w:qFormat/>
    <w:uiPriority w:val="0"/>
    <w:pPr>
      <w:framePr w:w="6101" w:wrap="around" w:vAnchor="page" w:hAnchor="page" w:x="4673" w:y="942"/>
    </w:pPr>
    <w:rPr>
      <w:w w:val="130"/>
    </w:rPr>
  </w:style>
  <w:style w:type="paragraph" w:customStyle="1" w:styleId="112">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3">
    <w:name w:val="其他发布部门"/>
    <w:basedOn w:val="76"/>
    <w:qFormat/>
    <w:uiPriority w:val="0"/>
    <w:pPr>
      <w:framePr w:wrap="around" w:y="15310"/>
      <w:spacing w:line="0" w:lineRule="atLeast"/>
    </w:pPr>
    <w:rPr>
      <w:rFonts w:ascii="黑体" w:eastAsia="黑体"/>
      <w:b w:val="0"/>
    </w:rPr>
  </w:style>
  <w:style w:type="paragraph" w:customStyle="1" w:styleId="114">
    <w:name w:val="前言、引言标题"/>
    <w:next w:val="2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5">
    <w:name w:val="三级无"/>
    <w:basedOn w:val="53"/>
    <w:qFormat/>
    <w:uiPriority w:val="0"/>
    <w:pPr>
      <w:spacing w:before="0" w:beforeLines="0" w:after="0" w:afterLines="0"/>
      <w:ind w:left="0"/>
    </w:pPr>
    <w:rPr>
      <w:rFonts w:ascii="宋体" w:hAnsi="宋体" w:eastAsia="宋体"/>
    </w:rPr>
  </w:style>
  <w:style w:type="paragraph" w:customStyle="1" w:styleId="116">
    <w:name w:val="实施日期"/>
    <w:basedOn w:val="77"/>
    <w:qFormat/>
    <w:uiPriority w:val="0"/>
    <w:pPr>
      <w:framePr w:wrap="around" w:vAnchor="page" w:hAnchor="text"/>
      <w:jc w:val="right"/>
    </w:pPr>
  </w:style>
  <w:style w:type="paragraph" w:customStyle="1" w:styleId="117">
    <w:name w:val="示例后文字"/>
    <w:basedOn w:val="26"/>
    <w:next w:val="26"/>
    <w:qFormat/>
    <w:uiPriority w:val="0"/>
    <w:pPr>
      <w:ind w:firstLine="360"/>
    </w:pPr>
    <w:rPr>
      <w:sz w:val="18"/>
    </w:rPr>
  </w:style>
  <w:style w:type="paragraph" w:customStyle="1" w:styleId="118">
    <w:name w:val="首示例"/>
    <w:next w:val="26"/>
    <w:link w:val="119"/>
    <w:qFormat/>
    <w:uiPriority w:val="0"/>
    <w:pPr>
      <w:numPr>
        <w:ilvl w:val="0"/>
        <w:numId w:val="14"/>
      </w:numPr>
      <w:tabs>
        <w:tab w:val="left" w:pos="360"/>
      </w:tabs>
      <w:ind w:firstLine="0"/>
    </w:pPr>
    <w:rPr>
      <w:rFonts w:ascii="宋体" w:hAnsi="宋体" w:eastAsia="宋体" w:cs="Times New Roman"/>
      <w:kern w:val="2"/>
      <w:sz w:val="18"/>
      <w:szCs w:val="18"/>
      <w:lang w:val="en-US" w:eastAsia="zh-CN" w:bidi="ar-SA"/>
    </w:rPr>
  </w:style>
  <w:style w:type="character" w:customStyle="1" w:styleId="119">
    <w:name w:val="首示例 Char"/>
    <w:basedOn w:val="37"/>
    <w:link w:val="118"/>
    <w:qFormat/>
    <w:uiPriority w:val="0"/>
    <w:rPr>
      <w:rFonts w:ascii="宋体" w:hAnsi="宋体"/>
      <w:kern w:val="2"/>
      <w:sz w:val="18"/>
      <w:szCs w:val="18"/>
    </w:rPr>
  </w:style>
  <w:style w:type="paragraph" w:customStyle="1" w:styleId="120">
    <w:name w:val="四级无"/>
    <w:basedOn w:val="57"/>
    <w:qFormat/>
    <w:uiPriority w:val="0"/>
    <w:pPr>
      <w:spacing w:before="0" w:beforeLines="0" w:after="0" w:afterLines="0"/>
    </w:pPr>
    <w:rPr>
      <w:rFonts w:ascii="宋体" w:eastAsia="宋体"/>
    </w:rPr>
  </w:style>
  <w:style w:type="paragraph" w:customStyle="1" w:styleId="121">
    <w:name w:val="条文脚注"/>
    <w:basedOn w:val="27"/>
    <w:qFormat/>
    <w:uiPriority w:val="0"/>
    <w:pPr>
      <w:numPr>
        <w:numId w:val="0"/>
      </w:numPr>
      <w:jc w:val="both"/>
    </w:pPr>
  </w:style>
  <w:style w:type="paragraph" w:customStyle="1" w:styleId="122">
    <w:name w:val="图标脚注说明"/>
    <w:basedOn w:val="26"/>
    <w:qFormat/>
    <w:uiPriority w:val="0"/>
    <w:pPr>
      <w:ind w:left="840" w:hanging="420" w:firstLineChars="0"/>
    </w:pPr>
    <w:rPr>
      <w:sz w:val="18"/>
      <w:szCs w:val="18"/>
    </w:rPr>
  </w:style>
  <w:style w:type="paragraph" w:customStyle="1" w:styleId="123">
    <w:name w:val="图表脚注说明"/>
    <w:basedOn w:val="1"/>
    <w:qFormat/>
    <w:uiPriority w:val="0"/>
    <w:pPr>
      <w:numPr>
        <w:ilvl w:val="0"/>
        <w:numId w:val="15"/>
      </w:numPr>
    </w:pPr>
    <w:rPr>
      <w:rFonts w:ascii="宋体"/>
      <w:sz w:val="18"/>
      <w:szCs w:val="18"/>
    </w:rPr>
  </w:style>
  <w:style w:type="paragraph" w:customStyle="1" w:styleId="124">
    <w:name w:val="图的脚注"/>
    <w:next w:val="2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5">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6">
    <w:name w:val="五级无"/>
    <w:basedOn w:val="58"/>
    <w:qFormat/>
    <w:uiPriority w:val="0"/>
    <w:pPr>
      <w:spacing w:before="0" w:beforeLines="0" w:after="0" w:afterLines="0"/>
    </w:pPr>
    <w:rPr>
      <w:rFonts w:ascii="宋体" w:eastAsia="宋体"/>
    </w:rPr>
  </w:style>
  <w:style w:type="paragraph" w:customStyle="1" w:styleId="127">
    <w:name w:val="一级无"/>
    <w:basedOn w:val="44"/>
    <w:qFormat/>
    <w:uiPriority w:val="0"/>
    <w:pPr>
      <w:spacing w:before="0" w:beforeLines="0" w:after="0" w:afterLines="0"/>
    </w:pPr>
    <w:rPr>
      <w:rFonts w:ascii="宋体" w:eastAsia="宋体"/>
    </w:rPr>
  </w:style>
  <w:style w:type="character" w:customStyle="1" w:styleId="128">
    <w:name w:val="已访问的超链接1"/>
    <w:basedOn w:val="37"/>
    <w:qFormat/>
    <w:uiPriority w:val="0"/>
    <w:rPr>
      <w:color w:val="800080"/>
      <w:u w:val="single"/>
    </w:rPr>
  </w:style>
  <w:style w:type="paragraph" w:customStyle="1" w:styleId="129">
    <w:name w:val="正文表标题"/>
    <w:next w:val="26"/>
    <w:qFormat/>
    <w:uiPriority w:val="0"/>
    <w:pPr>
      <w:numPr>
        <w:ilvl w:val="0"/>
        <w:numId w:val="16"/>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0">
    <w:name w:val="正文公式编号制表符"/>
    <w:basedOn w:val="26"/>
    <w:next w:val="26"/>
    <w:qFormat/>
    <w:uiPriority w:val="0"/>
    <w:pPr>
      <w:ind w:firstLine="0" w:firstLineChars="0"/>
    </w:pPr>
  </w:style>
  <w:style w:type="paragraph" w:customStyle="1" w:styleId="131">
    <w:name w:val="正文图标题"/>
    <w:next w:val="26"/>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2">
    <w:name w:val="终结线"/>
    <w:basedOn w:val="1"/>
    <w:qFormat/>
    <w:uiPriority w:val="0"/>
    <w:pPr>
      <w:framePr w:hSpace="181" w:vSpace="181" w:wrap="around" w:vAnchor="text" w:hAnchor="margin" w:xAlign="center" w:y="285"/>
    </w:pPr>
  </w:style>
  <w:style w:type="paragraph" w:customStyle="1" w:styleId="133">
    <w:name w:val="其他发布日期"/>
    <w:basedOn w:val="77"/>
    <w:qFormat/>
    <w:uiPriority w:val="0"/>
    <w:pPr>
      <w:framePr w:wrap="around" w:vAnchor="page" w:hAnchor="text" w:x="1419"/>
    </w:pPr>
  </w:style>
  <w:style w:type="paragraph" w:customStyle="1" w:styleId="134">
    <w:name w:val="其他实施日期"/>
    <w:basedOn w:val="116"/>
    <w:qFormat/>
    <w:uiPriority w:val="0"/>
    <w:pPr>
      <w:framePr w:wrap="around"/>
    </w:pPr>
  </w:style>
  <w:style w:type="paragraph" w:customStyle="1" w:styleId="135">
    <w:name w:val="封面标准名称2"/>
    <w:basedOn w:val="80"/>
    <w:qFormat/>
    <w:uiPriority w:val="0"/>
    <w:pPr>
      <w:framePr w:wrap="around" w:y="4469"/>
      <w:spacing w:before="630" w:beforeLines="630"/>
    </w:pPr>
  </w:style>
  <w:style w:type="paragraph" w:customStyle="1" w:styleId="136">
    <w:name w:val="封面标准英文名称2"/>
    <w:basedOn w:val="81"/>
    <w:qFormat/>
    <w:uiPriority w:val="0"/>
    <w:pPr>
      <w:framePr w:wrap="around" w:y="4469"/>
    </w:pPr>
  </w:style>
  <w:style w:type="paragraph" w:customStyle="1" w:styleId="137">
    <w:name w:val="封面一致性程度标识2"/>
    <w:basedOn w:val="82"/>
    <w:qFormat/>
    <w:uiPriority w:val="0"/>
    <w:pPr>
      <w:framePr w:wrap="around" w:y="4469"/>
    </w:pPr>
  </w:style>
  <w:style w:type="paragraph" w:customStyle="1" w:styleId="138">
    <w:name w:val="封面标准文稿类别2"/>
    <w:basedOn w:val="83"/>
    <w:qFormat/>
    <w:uiPriority w:val="0"/>
    <w:pPr>
      <w:framePr w:wrap="around" w:y="4469"/>
    </w:pPr>
  </w:style>
  <w:style w:type="paragraph" w:customStyle="1" w:styleId="139">
    <w:name w:val="封面标准文稿编辑信息2"/>
    <w:basedOn w:val="84"/>
    <w:qFormat/>
    <w:uiPriority w:val="0"/>
    <w:pPr>
      <w:framePr w:wrap="around" w:y="4469"/>
    </w:pPr>
  </w:style>
  <w:style w:type="paragraph" w:customStyle="1" w:styleId="140">
    <w:name w:val="标准文件_段"/>
    <w:qFormat/>
    <w:uiPriority w:val="0"/>
    <w:pPr>
      <w:autoSpaceDE w:val="0"/>
      <w:autoSpaceDN w:val="0"/>
      <w:adjustRightInd w:val="0"/>
      <w:snapToGrid w:val="0"/>
      <w:spacing w:line="276" w:lineRule="auto"/>
      <w:ind w:right="-105" w:rightChars="-50"/>
      <w:jc w:val="both"/>
    </w:pPr>
    <w:rPr>
      <w:rFonts w:ascii="宋体" w:hAnsi="Times New Roman" w:eastAsia="宋体" w:cs="Times New Roman"/>
      <w:spacing w:val="2"/>
      <w:sz w:val="21"/>
      <w:lang w:val="en-US" w:eastAsia="zh-CN" w:bidi="ar-SA"/>
    </w:rPr>
  </w:style>
  <w:style w:type="character" w:customStyle="1" w:styleId="141">
    <w:name w:val="标题 1 字符"/>
    <w:basedOn w:val="37"/>
    <w:link w:val="2"/>
    <w:qFormat/>
    <w:uiPriority w:val="0"/>
    <w:rPr>
      <w:rFonts w:eastAsia="楷体_GB2312"/>
      <w:b/>
      <w:bCs/>
      <w:kern w:val="44"/>
      <w:sz w:val="36"/>
      <w:szCs w:val="36"/>
    </w:rPr>
  </w:style>
  <w:style w:type="paragraph" w:customStyle="1" w:styleId="142">
    <w:name w:val="TOC 标题1"/>
    <w:basedOn w:val="2"/>
    <w:next w:val="1"/>
    <w:unhideWhenUsed/>
    <w:qFormat/>
    <w:uiPriority w:val="39"/>
    <w:pPr>
      <w:widowControl/>
      <w:autoSpaceDN/>
      <w:adjustRightInd/>
      <w:snapToGrid/>
      <w:spacing w:before="24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43">
    <w:name w:val="批注框文本 字符"/>
    <w:basedOn w:val="37"/>
    <w:link w:val="19"/>
    <w:semiHidden/>
    <w:qFormat/>
    <w:uiPriority w:val="0"/>
    <w:rPr>
      <w:rFonts w:ascii="宋体"/>
      <w:kern w:val="2"/>
      <w:sz w:val="18"/>
      <w:szCs w:val="18"/>
    </w:rPr>
  </w:style>
  <w:style w:type="character" w:customStyle="1" w:styleId="144">
    <w:name w:val="批注文字 字符"/>
    <w:basedOn w:val="37"/>
    <w:link w:val="11"/>
    <w:qFormat/>
    <w:uiPriority w:val="0"/>
    <w:rPr>
      <w:kern w:val="2"/>
      <w:sz w:val="21"/>
      <w:szCs w:val="24"/>
    </w:rPr>
  </w:style>
  <w:style w:type="paragraph" w:customStyle="1" w:styleId="145">
    <w:name w:val="文件正文"/>
    <w:basedOn w:val="1"/>
    <w:qFormat/>
    <w:uiPriority w:val="0"/>
    <w:pPr>
      <w:spacing w:line="480" w:lineRule="exact"/>
      <w:ind w:firstLine="560"/>
    </w:pPr>
    <w:rPr>
      <w:rFonts w:eastAsia="仿宋_GB2312" w:cs="宋体"/>
      <w:sz w:val="28"/>
      <w:szCs w:val="20"/>
    </w:rPr>
  </w:style>
  <w:style w:type="character" w:customStyle="1" w:styleId="146">
    <w:name w:val="标题 2 字符"/>
    <w:basedOn w:val="37"/>
    <w:link w:val="3"/>
    <w:semiHidden/>
    <w:qFormat/>
    <w:uiPriority w:val="0"/>
    <w:rPr>
      <w:rFonts w:asciiTheme="majorHAnsi" w:hAnsiTheme="majorHAnsi" w:eastAsiaTheme="majorEastAsia" w:cstheme="majorBidi"/>
      <w:b/>
      <w:bCs/>
      <w:kern w:val="2"/>
      <w:sz w:val="32"/>
      <w:szCs w:val="32"/>
    </w:rPr>
  </w:style>
  <w:style w:type="character" w:customStyle="1" w:styleId="147">
    <w:name w:val="标题 3 字符"/>
    <w:basedOn w:val="37"/>
    <w:link w:val="4"/>
    <w:semiHidden/>
    <w:qFormat/>
    <w:uiPriority w:val="0"/>
    <w:rPr>
      <w:b/>
      <w:bCs/>
      <w:kern w:val="2"/>
      <w:sz w:val="32"/>
      <w:szCs w:val="32"/>
    </w:rPr>
  </w:style>
  <w:style w:type="paragraph" w:customStyle="1" w:styleId="148">
    <w:name w:val="文件大标题"/>
    <w:next w:val="1"/>
    <w:qFormat/>
    <w:uiPriority w:val="0"/>
    <w:pPr>
      <w:spacing w:before="240" w:after="120" w:line="480" w:lineRule="exact"/>
      <w:jc w:val="center"/>
    </w:pPr>
    <w:rPr>
      <w:rFonts w:ascii="Times New Roman" w:hAnsi="Times New Roman" w:eastAsia="黑体" w:cs="Times New Roman"/>
      <w:kern w:val="2"/>
      <w:sz w:val="36"/>
      <w:szCs w:val="44"/>
      <w:lang w:val="en-US" w:eastAsia="zh-CN" w:bidi="ar-SA"/>
    </w:rPr>
  </w:style>
  <w:style w:type="character" w:customStyle="1" w:styleId="149">
    <w:name w:val="批注主题 字符"/>
    <w:basedOn w:val="144"/>
    <w:link w:val="34"/>
    <w:semiHidden/>
    <w:qFormat/>
    <w:uiPriority w:val="0"/>
    <w:rPr>
      <w:b/>
      <w:bCs/>
      <w:kern w:val="2"/>
      <w:sz w:val="21"/>
      <w:szCs w:val="24"/>
    </w:rPr>
  </w:style>
  <w:style w:type="paragraph" w:customStyle="1" w:styleId="150">
    <w:name w:val="样式 段 + 黑体"/>
    <w:basedOn w:val="26"/>
    <w:qFormat/>
    <w:uiPriority w:val="0"/>
    <w:rPr>
      <w:rFonts w:ascii="Times New Roman" w:eastAsia="黑体"/>
    </w:rPr>
  </w:style>
  <w:style w:type="paragraph" w:styleId="151">
    <w:name w:val="List Paragraph"/>
    <w:basedOn w:val="1"/>
    <w:qFormat/>
    <w:uiPriority w:val="99"/>
    <w:pPr>
      <w:ind w:firstLine="420" w:firstLineChars="200"/>
    </w:pPr>
  </w:style>
  <w:style w:type="paragraph" w:customStyle="1" w:styleId="152">
    <w:name w:val="样式 二级条标题 + 段前: 0.5 行 段后: 0.5 行"/>
    <w:basedOn w:val="48"/>
    <w:qFormat/>
    <w:uiPriority w:val="0"/>
    <w:rPr>
      <w:rFonts w:cs="宋体"/>
      <w:szCs w:val="20"/>
    </w:rPr>
  </w:style>
  <w:style w:type="paragraph" w:customStyle="1" w:styleId="153">
    <w:name w:val="样式 三级条标题 + 段前: 0.5 行 段后: 0.5 行"/>
    <w:basedOn w:val="53"/>
    <w:qFormat/>
    <w:uiPriority w:val="0"/>
    <w:pPr>
      <w:ind w:left="0"/>
    </w:pPr>
    <w:rPr>
      <w:rFonts w:cs="宋体"/>
      <w:szCs w:val="20"/>
    </w:rPr>
  </w:style>
  <w:style w:type="paragraph" w:customStyle="1" w:styleId="154">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microsoft.com/office/2006/relationships/keyMapCustomizations" Target="customizations.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10</Pages>
  <Words>2952</Words>
  <Characters>3957</Characters>
  <Lines>247</Lines>
  <Paragraphs>238</Paragraphs>
  <TotalTime>0</TotalTime>
  <ScaleCrop>false</ScaleCrop>
  <LinksUpToDate>false</LinksUpToDate>
  <CharactersWithSpaces>6671</CharactersWithSpaces>
  <Application>WPS Office_12.1.0.17900_F1E327BC-269C-435d-A152-05C5408002CA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2025-06-07T02:45:00Z</dcterms:created>
  <dc:creator>CNIS</dc:creator>
  <cp:lastModifiedBy>张立国(2006980009)</cp:lastModifiedBy>
  <cp:lastPrinted>2023-10-18T03:01:00Z</cp:lastPrinted>
  <dcterms:modified xsi:type="dcterms:W3CDTF">2025-06-18T17:11:23Z</dcterms:modified>
  <dc:title>标准名称</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2052-12.1.0.17900</vt:lpwstr>
  </property>
  <property fmtid="{D5CDD505-2E9C-101B-9397-08002B2CF9AE}" pid="3" name="ICV">
    <vt:lpwstr>831E9D8D55EAACB03315516801052387_43</vt:lpwstr>
  </property>
</Properties>
</file>