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3BB33">
      <w:pPr>
        <w:pStyle w:val="119"/>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lang w:eastAsia="zh-CN"/>
        </w:rPr>
        <w:t>添加</w:t>
      </w:r>
      <w:r>
        <w:rPr>
          <w:rFonts w:hint="eastAsia"/>
          <w:lang w:val="en-US" w:eastAsia="zh-CN"/>
        </w:rPr>
        <w:t>ICS号</w:t>
      </w:r>
      <w:r>
        <w:fldChar w:fldCharType="end"/>
      </w:r>
      <w:bookmarkEnd w:id="0"/>
    </w:p>
    <w:p w14:paraId="4A5BBFDA">
      <w:pPr>
        <w:pStyle w:val="119"/>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 xml:space="preserve">CCS </w:t>
      </w:r>
      <w:r>
        <w:rPr>
          <w:rFonts w:hint="eastAsia"/>
          <w:lang w:eastAsia="zh-CN"/>
        </w:rPr>
        <w:t>添加中国标准文献分类号</w:t>
      </w:r>
      <w:r>
        <w:fldChar w:fldCharType="end"/>
      </w:r>
      <w:bookmarkEnd w:id="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280013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484392E1">
            <w:pPr>
              <w:pStyle w:val="119"/>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8"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uL+zVAAAABwEAAA8AAAAAAAAAAQAg&#10;AAAAIgAAAGRycy9kb3ducmV2LnhtbFBLAQIUABQAAAAIAIdO4kDTjfc2EQIAAC4EAAAOAAAAAAAA&#10;AAEAIAAAACQBAABkcnMvZTJvRG9jLnhtbFBLBQYAAAAABgAGAFkBAACn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2F9DDB4A">
      <w:pPr>
        <w:pStyle w:val="105"/>
        <w:framePr w:wrap="around"/>
      </w:pPr>
      <w:r>
        <w:rPr>
          <w:rFonts w:hint="eastAsia"/>
        </w:rPr>
        <w:t>T</w:t>
      </w:r>
      <w:r>
        <w:t>/</w:t>
      </w:r>
      <w:bookmarkStart w:id="3" w:name="c5"/>
      <w:r>
        <w:fldChar w:fldCharType="begin">
          <w:ffData>
            <w:name w:val="c5"/>
            <w:enabled/>
            <w:calcOnExit w:val="0"/>
            <w:entryMacro w:val="ShowHelp17"/>
            <w:textInput/>
          </w:ffData>
        </w:fldChar>
      </w:r>
      <w:r>
        <w:instrText xml:space="preserve"> FORMTEXT </w:instrText>
      </w:r>
      <w:r>
        <w:fldChar w:fldCharType="separate"/>
      </w:r>
      <w:r>
        <w:rPr>
          <w:rFonts w:hint="eastAsia"/>
        </w:rPr>
        <w:t>CNS</w:t>
      </w:r>
      <w:r>
        <w:fldChar w:fldCharType="end"/>
      </w:r>
      <w:bookmarkEnd w:id="3"/>
    </w:p>
    <w:p w14:paraId="3A2B1A38">
      <w:pPr>
        <w:pStyle w:val="106"/>
        <w:framePr w:wrap="around"/>
        <w:rPr>
          <w:rFonts w:ascii="Times New Roman" w:hAnsi="Times New Roman"/>
        </w:rPr>
      </w:pPr>
      <w:r>
        <w:rPr>
          <w:rFonts w:hint="eastAsia"/>
        </w:rPr>
        <w:t>团体标准</w:t>
      </w:r>
    </w:p>
    <w:p w14:paraId="1C79E337">
      <w:pPr>
        <w:pStyle w:val="43"/>
        <w:framePr w:wrap="around"/>
        <w:rPr>
          <w:rFonts w:hAnsi="黑体"/>
        </w:rPr>
      </w:pPr>
      <w:r>
        <w:rPr>
          <w:rFonts w:hint="eastAsia" w:ascii="Times New Roman"/>
        </w:rPr>
        <w:t>T</w:t>
      </w:r>
      <w:r>
        <w:rPr>
          <w:rFonts w:ascii="Times New Roman"/>
        </w:rPr>
        <w:t>/</w:t>
      </w:r>
      <w:bookmarkStart w:id="4" w:name="StdNo0"/>
      <w:r>
        <w:rPr>
          <w:rFonts w:ascii="Times New Roman"/>
        </w:rPr>
        <w:fldChar w:fldCharType="begin">
          <w:ffData>
            <w:name w:val="StdNo0"/>
            <w:enabled/>
            <w:calcOnExit w:val="0"/>
            <w:textInput>
              <w:default w:val="XXX"/>
            </w:textInput>
          </w:ffData>
        </w:fldChar>
      </w:r>
      <w:r>
        <w:rPr>
          <w:rFonts w:ascii="Times New Roman"/>
        </w:rPr>
        <w:instrText xml:space="preserve"> FORMTEXT </w:instrText>
      </w:r>
      <w:r>
        <w:rPr>
          <w:rFonts w:ascii="Times New Roman"/>
        </w:rPr>
        <w:fldChar w:fldCharType="separate"/>
      </w:r>
      <w:r>
        <w:rPr>
          <w:rFonts w:ascii="Times New Roman"/>
        </w:rPr>
        <w:t>CNS</w:t>
      </w:r>
      <w:r>
        <w:rPr>
          <w:rFonts w:ascii="Times New Roman"/>
        </w:rPr>
        <w:fldChar w:fldCharType="end"/>
      </w:r>
      <w:bookmarkEnd w:id="4"/>
      <w:r>
        <w:rPr>
          <w:rFonts w:hAnsi="黑体"/>
        </w:rPr>
        <w:t xml:space="preserve"> </w:t>
      </w:r>
      <w:bookmarkStart w:id="5"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5"/>
      <w:r>
        <w:rPr>
          <w:rFonts w:hAnsi="黑体"/>
        </w:rPr>
        <w:t>—</w:t>
      </w:r>
      <w:bookmarkStart w:id="6"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6"/>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11DE2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45AC3DBE">
            <w:pPr>
              <w:pStyle w:val="72"/>
              <w:framePr w:wrap="around"/>
            </w:pPr>
            <w:bookmarkStart w:id="7"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5g8svWAAAACAEAAA8AAAAAAAAAAQAgAAAA&#10;IgAAAGRycy9kb3ducmV2LnhtbFBLAQIUABQAAAAIAIdO4kCPY76WDQIAAC4EAAAOAAAAAAAAAAEA&#10;IAAAACUBAABkcnMvZTJvRG9jLnhtbFBLBQYAAAAABgAGAFkBAACkBQ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7"/>
          </w:p>
        </w:tc>
      </w:tr>
    </w:tbl>
    <w:p w14:paraId="7534A27C">
      <w:pPr>
        <w:pStyle w:val="43"/>
        <w:framePr w:wrap="around"/>
        <w:rPr>
          <w:rFonts w:hAnsi="黑体"/>
        </w:rPr>
      </w:pPr>
    </w:p>
    <w:p w14:paraId="3073CD6A">
      <w:pPr>
        <w:pStyle w:val="43"/>
        <w:framePr w:wrap="around"/>
        <w:rPr>
          <w:rFonts w:hAnsi="黑体"/>
        </w:rPr>
      </w:pPr>
    </w:p>
    <w:p w14:paraId="28BB6598">
      <w:pPr>
        <w:pStyle w:val="74"/>
        <w:framePr w:wrap="around"/>
      </w:pPr>
      <w:bookmarkStart w:id="8"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lang w:eastAsia="zh-CN"/>
        </w:rPr>
        <w:t>高温气冷堆核动力厂燃料元件出厂验收标准</w:t>
      </w:r>
      <w:r>
        <w:fldChar w:fldCharType="end"/>
      </w:r>
      <w:bookmarkEnd w:id="8"/>
    </w:p>
    <w:p w14:paraId="09C1127F">
      <w:pPr>
        <w:pStyle w:val="75"/>
        <w:framePr w:wrap="around"/>
      </w:pPr>
      <w:bookmarkStart w:id="9"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lang w:eastAsia="zh-CN"/>
        </w:rPr>
        <w:t>F</w:t>
      </w:r>
      <w:r>
        <w:rPr>
          <w:rFonts w:hint="eastAsia"/>
          <w:lang w:val="en-US" w:eastAsia="zh-CN"/>
        </w:rPr>
        <w:t>actory acceptance standard for fuel elements of high-temperature gas-cooled reactor nuclear power plant</w:t>
      </w:r>
      <w:r>
        <w:fldChar w:fldCharType="end"/>
      </w:r>
      <w:bookmarkEnd w:id="9"/>
    </w:p>
    <w:p w14:paraId="60E75937">
      <w:pPr>
        <w:pStyle w:val="76"/>
        <w:framePr w:wrap="around"/>
      </w:pPr>
      <w:bookmarkStart w:id="10"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0"/>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488FE9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10BC70FF">
            <w:pPr>
              <w:pStyle w:val="77"/>
              <w:framePr w:wrap="around"/>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7"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Fia6S1QAAAAoBAAAPAAAAAAAAAAEAIAAAACIA&#10;AABkcnMvZG93bnJldi54bWxQSwECFAAUAAAACACHTuJAe6cKkwwCAAAuBAAADgAAAAAAAAABACAA&#10;AAAkAQAAZHJzL2Uyb0RvYy54bWxQSwUGAAAAAAYABgBZAQAAogU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6"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GL5dYAAAAJAQAADwAAAAAAAAABACAAAAAi&#10;AAAAZHJzL2Rvd25yZXYueG1sUEsBAhQAFAAAAAgAh07iQDudS0MMAgAALgQAAA4AAAAAAAAAAQAg&#10;AAAAJQEAAGRycy9lMm9Eb2MueG1sUEsFBgAAAAAGAAYAWQEAAKMFA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1" w:name="LB"/>
            <w:r>
              <w:instrText xml:space="preserve"> FORMDROPDOWN </w:instrText>
            </w:r>
            <w:r>
              <w:fldChar w:fldCharType="separate"/>
            </w:r>
            <w:r>
              <w:fldChar w:fldCharType="end"/>
            </w:r>
            <w:bookmarkEnd w:id="11"/>
          </w:p>
        </w:tc>
      </w:tr>
      <w:tr w14:paraId="4878A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43C9CF62">
            <w:pPr>
              <w:pStyle w:val="78"/>
              <w:framePr w:wrap="around"/>
            </w:pPr>
            <w:bookmarkStart w:id="12" w:name="WCRQ"/>
            <w:r>
              <w:fldChar w:fldCharType="begin">
                <w:ffData>
                  <w:name w:val="WCRQ"/>
                  <w:enabled/>
                  <w:calcOnExit w:val="0"/>
                  <w:textInput/>
                </w:ffData>
              </w:fldChar>
            </w:r>
            <w:r>
              <w:instrText xml:space="preserve"> FORMTEXT </w:instrText>
            </w:r>
            <w:r>
              <w:fldChar w:fldCharType="separate"/>
            </w:r>
            <w:r>
              <w:rPr>
                <w:rFonts w:hint="eastAsia"/>
              </w:rPr>
              <w:t>（本稿完成日期：202</w:t>
            </w:r>
            <w:r>
              <w:rPr>
                <w:rFonts w:hint="eastAsia"/>
                <w:lang w:val="en-US" w:eastAsia="zh-CN"/>
              </w:rPr>
              <w:t>6</w:t>
            </w:r>
            <w:r>
              <w:rPr>
                <w:rFonts w:hint="eastAsia"/>
              </w:rPr>
              <w:t>年</w:t>
            </w:r>
            <w:r>
              <w:rPr>
                <w:rFonts w:hint="eastAsia"/>
                <w:lang w:val="en-US" w:eastAsia="zh-CN"/>
              </w:rPr>
              <w:t>3</w:t>
            </w:r>
            <w:r>
              <w:rPr>
                <w:rFonts w:hint="eastAsia"/>
              </w:rPr>
              <w:t>月）</w:t>
            </w:r>
            <w:r>
              <w:fldChar w:fldCharType="end"/>
            </w:r>
            <w:bookmarkEnd w:id="12"/>
          </w:p>
        </w:tc>
      </w:tr>
    </w:tbl>
    <w:p w14:paraId="478B0743">
      <w:pPr>
        <w:pStyle w:val="127"/>
        <w:framePr w:wrap="around" w:hAnchor="page" w:x="1414" w:y="14116"/>
      </w:pPr>
      <w:bookmarkStart w:id="13"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4"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5yXznOAQAArg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tAmceeFo4FvjNauLNGPAhiLWfhcz&#10;OTn5p7AF+RuZh/UgfK9Li8+nQHl1FrP6KyUbGKjAfvwOimLEIUHRaeqiy5CkAJvKOE63cegpMUmP&#10;9zVp8pkmJa++SjTXxBAxfdPgWL603FLTBVgct5hyI6K5huQ6Hh6NtWXa1rOx5V/vFnclAcEalZ05&#10;DGO/X9vIjiLvS/kKK/K8Dotw8OpcxPqcp8uqXSpfWeclxGYP6rSLV2lojKW3y8rlPXltFwFffrPV&#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WHazzWAAAACwEAAA8AAAAAAAAAAQAgAAAAIgAAAGRy&#10;cy9kb3ducmV2LnhtbFBLAQIUABQAAAAIAIdO4kCucl85zgEAAK4DAAAOAAAAAAAAAAEAIAAAACUB&#10;AABkcnMvZTJvRG9jLnhtbFBLBQYAAAAABgAGAFkBAABlBQAAAAA=&#10;">
                <v:fill on="f" focussize="0,0"/>
                <v:stroke color="#000000" joinstyle="round"/>
                <v:imagedata o:title=""/>
                <o:lock v:ext="edit" aspectratio="f"/>
                <w10:anchorlock/>
              </v:line>
            </w:pict>
          </mc:Fallback>
        </mc:AlternateContent>
      </w:r>
    </w:p>
    <w:p w14:paraId="7245F6B5">
      <w:pPr>
        <w:pStyle w:val="128"/>
        <w:framePr w:wrap="around" w:hAnchor="page" w:x="6969"/>
      </w:pPr>
      <w:bookmarkStart w:id="15"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bookmarkStart w:id="16"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bookmarkStart w:id="17"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0E748BA2">
      <w:pPr>
        <w:pStyle w:val="107"/>
        <w:framePr w:wrap="around"/>
      </w:pPr>
      <w:bookmarkStart w:id="18" w:name="fm"/>
      <w:r>
        <w:fldChar w:fldCharType="begin">
          <w:ffData>
            <w:name w:val="fm"/>
            <w:enabled/>
            <w:calcOnExit w:val="0"/>
            <w:textInput/>
          </w:ffData>
        </w:fldChar>
      </w:r>
      <w:r>
        <w:instrText xml:space="preserve"> FORMTEXT </w:instrText>
      </w:r>
      <w:r>
        <w:fldChar w:fldCharType="separate"/>
      </w:r>
      <w:r>
        <w:rPr>
          <w:rFonts w:hint="eastAsia"/>
        </w:rPr>
        <w:t>中国核学会</w:t>
      </w:r>
      <w:r>
        <w:fldChar w:fldCharType="end"/>
      </w:r>
      <w:bookmarkEnd w:id="18"/>
      <w:r>
        <w:rPr>
          <w:rFonts w:hAnsi="黑体"/>
        </w:rPr>
        <w:t>   </w:t>
      </w:r>
      <w:r>
        <w:rPr>
          <w:rStyle w:val="69"/>
          <w:rFonts w:hint="eastAsia"/>
        </w:rPr>
        <w:t>发布</w:t>
      </w:r>
    </w:p>
    <w:p w14:paraId="4B23A77C">
      <w:pPr>
        <w:pStyle w:val="22"/>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4"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&#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CQeJf1wAAAAkBAAAPAAAAAAAAAAEAIAAAACIAAABk&#10;cnMvZG93bnJldi54bWxQSwECFAAUAAAACACHTuJA1aufHc4BAACuAwAADgAAAAAAAAABACAAAAAm&#10;AQAAZHJzL2Uyb0RvYy54bWxQSwUGAAAAAAYABgBZAQAAZgUAAAAA&#10;">
                <v:fill on="f" focussize="0,0"/>
                <v:stroke color="#000000" joinstyle="round"/>
                <v:imagedata o:title=""/>
                <o:lock v:ext="edit" aspectratio="f"/>
              </v:line>
            </w:pict>
          </mc:Fallback>
        </mc:AlternateContent>
      </w:r>
    </w:p>
    <w:p w14:paraId="74947594">
      <w:pPr>
        <w:pStyle w:val="135"/>
        <w:spacing w:after="468"/>
        <w:rPr>
          <w:rFonts w:hint="eastAsia" w:eastAsia="黑体"/>
          <w:lang w:val="en-US" w:eastAsia="zh-CN"/>
        </w:rPr>
      </w:pPr>
      <w:bookmarkStart w:id="19" w:name="_Toc115420329"/>
      <w:bookmarkStart w:id="20" w:name="_Toc85033958"/>
      <w:bookmarkStart w:id="21" w:name="_Toc83904485"/>
      <w:bookmarkStart w:id="22" w:name="_Toc84947312"/>
      <w:bookmarkStart w:id="23" w:name="_Toc83904436"/>
      <w:r>
        <w:rPr>
          <w:rFonts w:hint="eastAsia"/>
          <w:spacing w:val="320"/>
        </w:rPr>
        <w:t>目</w:t>
      </w:r>
      <w:r>
        <w:rPr>
          <w:rFonts w:hint="eastAsia"/>
          <w:spacing w:val="320"/>
          <w:lang w:eastAsia="zh-CN"/>
        </w:rPr>
        <w:t>次</w:t>
      </w:r>
    </w:p>
    <w:p w14:paraId="497B9518">
      <w:pPr>
        <w:pStyle w:val="18"/>
        <w:tabs>
          <w:tab w:val="right" w:leader="dot" w:pos="9344"/>
          <w:tab w:val="clear" w:pos="9241"/>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"_Toc156981825" </w:instrText>
      </w:r>
      <w:r>
        <w:fldChar w:fldCharType="separate"/>
      </w:r>
      <w:r>
        <w:rPr>
          <w:rStyle w:val="35"/>
          <w:spacing w:val="320"/>
        </w:rPr>
        <w:t>前</w:t>
      </w:r>
      <w:r>
        <w:rPr>
          <w:rStyle w:val="35"/>
        </w:rPr>
        <w:t>言</w:t>
      </w:r>
      <w:r>
        <w:tab/>
      </w:r>
      <w:r>
        <w:fldChar w:fldCharType="begin"/>
      </w:r>
      <w:r>
        <w:instrText xml:space="preserve"> PAGEREF _Toc156981825 \h </w:instrText>
      </w:r>
      <w:r>
        <w:fldChar w:fldCharType="separate"/>
      </w:r>
      <w:r>
        <w:t>II</w:t>
      </w:r>
      <w:r>
        <w:fldChar w:fldCharType="end"/>
      </w:r>
      <w:r>
        <w:fldChar w:fldCharType="end"/>
      </w:r>
    </w:p>
    <w:p w14:paraId="556C6668">
      <w:pPr>
        <w:pStyle w:val="18"/>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"_Toc156981826" </w:instrText>
      </w:r>
      <w:r>
        <w:fldChar w:fldCharType="separate"/>
      </w:r>
      <w:r>
        <w:rPr>
          <w:rStyle w:val="35"/>
          <w:rFonts w:hint="eastAsia" w:ascii="黑体" w:hAnsi="黑体" w:eastAsia="黑体" w:cs="黑体"/>
        </w:rPr>
        <w:t>1</w:t>
      </w:r>
      <w:r>
        <w:rPr>
          <w:rStyle w:val="35"/>
        </w:rPr>
        <w:t xml:space="preserve"> 范围</w:t>
      </w:r>
      <w:r>
        <w:tab/>
      </w:r>
      <w:r>
        <w:fldChar w:fldCharType="begin"/>
      </w:r>
      <w:r>
        <w:instrText xml:space="preserve"> PAGEREF _Toc156981826 \h </w:instrText>
      </w:r>
      <w:r>
        <w:fldChar w:fldCharType="separate"/>
      </w:r>
      <w:r>
        <w:t>1</w:t>
      </w:r>
      <w:r>
        <w:fldChar w:fldCharType="end"/>
      </w:r>
      <w:r>
        <w:fldChar w:fldCharType="end"/>
      </w:r>
    </w:p>
    <w:p w14:paraId="404E8B3C">
      <w:pPr>
        <w:pStyle w:val="18"/>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"_Toc156981827" </w:instrText>
      </w:r>
      <w:r>
        <w:fldChar w:fldCharType="separate"/>
      </w:r>
      <w:r>
        <w:rPr>
          <w:rStyle w:val="35"/>
          <w:rFonts w:hint="eastAsia" w:ascii="黑体" w:hAnsi="黑体" w:eastAsia="黑体" w:cs="黑体"/>
        </w:rPr>
        <w:t>2</w:t>
      </w:r>
      <w:r>
        <w:rPr>
          <w:rStyle w:val="35"/>
        </w:rPr>
        <w:t xml:space="preserve"> 规范性引用文件</w:t>
      </w:r>
      <w:r>
        <w:tab/>
      </w:r>
      <w:r>
        <w:fldChar w:fldCharType="begin"/>
      </w:r>
      <w:r>
        <w:instrText xml:space="preserve"> PAGEREF _Toc156981827 \h </w:instrText>
      </w:r>
      <w:r>
        <w:fldChar w:fldCharType="separate"/>
      </w:r>
      <w:r>
        <w:t>1</w:t>
      </w:r>
      <w:r>
        <w:fldChar w:fldCharType="end"/>
      </w:r>
      <w:r>
        <w:fldChar w:fldCharType="end"/>
      </w:r>
    </w:p>
    <w:p w14:paraId="0971EAB5">
      <w:pPr>
        <w:pStyle w:val="18"/>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"_Toc156981828" </w:instrText>
      </w:r>
      <w:r>
        <w:fldChar w:fldCharType="separate"/>
      </w:r>
      <w:r>
        <w:rPr>
          <w:rStyle w:val="35"/>
          <w:rFonts w:hint="eastAsia" w:ascii="黑体" w:hAnsi="黑体" w:eastAsia="黑体" w:cs="黑体"/>
        </w:rPr>
        <w:t xml:space="preserve">3 </w:t>
      </w:r>
      <w:r>
        <w:rPr>
          <w:rStyle w:val="35"/>
        </w:rPr>
        <w:t>术语和定义</w:t>
      </w:r>
      <w:r>
        <w:tab/>
      </w:r>
      <w:r>
        <w:fldChar w:fldCharType="begin"/>
      </w:r>
      <w:r>
        <w:instrText xml:space="preserve"> PAGEREF _Toc156981828 \h </w:instrText>
      </w:r>
      <w:r>
        <w:fldChar w:fldCharType="separate"/>
      </w:r>
      <w:r>
        <w:t>1</w:t>
      </w:r>
      <w:r>
        <w:fldChar w:fldCharType="end"/>
      </w:r>
      <w:r>
        <w:fldChar w:fldCharType="end"/>
      </w:r>
    </w:p>
    <w:p w14:paraId="05720CA0">
      <w:pPr>
        <w:pStyle w:val="18"/>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"_Toc156981829" </w:instrText>
      </w:r>
      <w:r>
        <w:fldChar w:fldCharType="separate"/>
      </w:r>
      <w:r>
        <w:rPr>
          <w:rStyle w:val="35"/>
          <w:rFonts w:hint="eastAsia" w:ascii="黑体" w:hAnsi="黑体" w:eastAsia="黑体" w:cs="黑体"/>
        </w:rPr>
        <w:t>4</w:t>
      </w:r>
      <w:r>
        <w:rPr>
          <w:rStyle w:val="35"/>
        </w:rPr>
        <w:t xml:space="preserve"> 一般要求</w:t>
      </w:r>
      <w:r>
        <w:tab/>
      </w:r>
      <w:r>
        <w:fldChar w:fldCharType="begin"/>
      </w:r>
      <w:r>
        <w:instrText xml:space="preserve"> PAGEREF _Toc156981829 \h </w:instrText>
      </w:r>
      <w:r>
        <w:fldChar w:fldCharType="separate"/>
      </w:r>
      <w:r>
        <w:t>1</w:t>
      </w:r>
      <w:r>
        <w:fldChar w:fldCharType="end"/>
      </w:r>
      <w:r>
        <w:fldChar w:fldCharType="end"/>
      </w:r>
    </w:p>
    <w:p w14:paraId="7EA0AF62">
      <w:pPr>
        <w:pStyle w:val="27"/>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"_Toc156981830" </w:instrText>
      </w:r>
      <w:r>
        <w:fldChar w:fldCharType="separate"/>
      </w:r>
      <w:r>
        <w:rPr>
          <w:rStyle w:val="35"/>
          <w:rFonts w:hint="eastAsia" w:ascii="黑体" w:hAnsi="黑体" w:eastAsia="黑体" w:cs="黑体"/>
          <w14:scene3d>
            <w14:lightRig w14:rig="threePt" w14:dir="t">
              <w14:rot w14:lat="0" w14:lon="0" w14:rev="0"/>
            </w14:lightRig>
          </w14:scene3d>
        </w:rPr>
        <w:t>4.1</w:t>
      </w:r>
      <w:r>
        <w:rPr>
          <w:rStyle w:val="35"/>
          <w:rFonts w:hint="eastAsia" w:ascii="黑体" w:hAnsi="黑体" w:eastAsia="黑体" w:cs="黑体"/>
        </w:rPr>
        <w:t xml:space="preserve"> </w:t>
      </w:r>
      <w:r>
        <w:rPr>
          <w:rStyle w:val="35"/>
        </w:rPr>
        <w:t>验收先决条件</w:t>
      </w:r>
      <w:r>
        <w:tab/>
      </w:r>
      <w:r>
        <w:fldChar w:fldCharType="begin"/>
      </w:r>
      <w:r>
        <w:instrText xml:space="preserve"> PAGEREF _Toc156981830 \h </w:instrText>
      </w:r>
      <w:r>
        <w:fldChar w:fldCharType="separate"/>
      </w:r>
      <w:r>
        <w:t>1</w:t>
      </w:r>
      <w:r>
        <w:fldChar w:fldCharType="end"/>
      </w:r>
      <w:r>
        <w:fldChar w:fldCharType="end"/>
      </w:r>
    </w:p>
    <w:p w14:paraId="4F860D5E">
      <w:pPr>
        <w:pStyle w:val="27"/>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"_Toc156981831" </w:instrText>
      </w:r>
      <w:r>
        <w:fldChar w:fldCharType="separate"/>
      </w:r>
      <w:r>
        <w:rPr>
          <w:rStyle w:val="35"/>
          <w:rFonts w:hint="eastAsia" w:ascii="黑体" w:hAnsi="黑体" w:eastAsia="黑体" w:cs="黑体"/>
          <w14:scene3d>
            <w14:lightRig w14:rig="threePt" w14:dir="t">
              <w14:rot w14:lat="0" w14:lon="0" w14:rev="0"/>
            </w14:lightRig>
          </w14:scene3d>
        </w:rPr>
        <w:t>4.2</w:t>
      </w:r>
      <w:r>
        <w:rPr>
          <w:rStyle w:val="35"/>
        </w:rPr>
        <w:t xml:space="preserve"> 验收依据</w:t>
      </w:r>
      <w:r>
        <w:tab/>
      </w:r>
      <w:r>
        <w:fldChar w:fldCharType="begin"/>
      </w:r>
      <w:r>
        <w:instrText xml:space="preserve"> PAGEREF _Toc156981831 \h </w:instrText>
      </w:r>
      <w:r>
        <w:fldChar w:fldCharType="separate"/>
      </w:r>
      <w:r>
        <w:t>1</w:t>
      </w:r>
      <w:r>
        <w:fldChar w:fldCharType="end"/>
      </w:r>
      <w:r>
        <w:fldChar w:fldCharType="end"/>
      </w:r>
    </w:p>
    <w:p w14:paraId="28425A5C">
      <w:pPr>
        <w:pStyle w:val="18"/>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"_Toc156981832" </w:instrText>
      </w:r>
      <w:r>
        <w:fldChar w:fldCharType="separate"/>
      </w:r>
      <w:r>
        <w:rPr>
          <w:rStyle w:val="35"/>
          <w:rFonts w:hint="eastAsia" w:ascii="黑体" w:hAnsi="黑体" w:eastAsia="黑体" w:cs="黑体"/>
        </w:rPr>
        <w:t xml:space="preserve">5 </w:t>
      </w:r>
      <w:r>
        <w:rPr>
          <w:rStyle w:val="35"/>
        </w:rPr>
        <w:t>验收</w:t>
      </w:r>
      <w:r>
        <w:tab/>
      </w:r>
      <w:r>
        <w:fldChar w:fldCharType="begin"/>
      </w:r>
      <w:r>
        <w:instrText xml:space="preserve"> PAGEREF _Toc156981832 \h </w:instrText>
      </w:r>
      <w:r>
        <w:fldChar w:fldCharType="separate"/>
      </w:r>
      <w:r>
        <w:t>1</w:t>
      </w:r>
      <w:r>
        <w:fldChar w:fldCharType="end"/>
      </w:r>
      <w:r>
        <w:fldChar w:fldCharType="end"/>
      </w:r>
    </w:p>
    <w:p w14:paraId="6610F7F0">
      <w:pPr>
        <w:pStyle w:val="27"/>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"_Toc156981833" </w:instrText>
      </w:r>
      <w:r>
        <w:fldChar w:fldCharType="separate"/>
      </w:r>
      <w:r>
        <w:rPr>
          <w:rStyle w:val="35"/>
          <w:rFonts w:hint="eastAsia" w:ascii="黑体" w:hAnsi="黑体" w:eastAsia="黑体" w:cs="黑体"/>
          <w14:scene3d>
            <w14:lightRig w14:rig="threePt" w14:dir="t">
              <w14:rot w14:lat="0" w14:lon="0" w14:rev="0"/>
            </w14:lightRig>
          </w14:scene3d>
        </w:rPr>
        <w:t>5.1</w:t>
      </w:r>
      <w:r>
        <w:rPr>
          <w:rStyle w:val="35"/>
        </w:rPr>
        <w:t xml:space="preserve"> 文件验收</w:t>
      </w:r>
      <w:r>
        <w:tab/>
      </w:r>
      <w:r>
        <w:fldChar w:fldCharType="begin"/>
      </w:r>
      <w:r>
        <w:instrText xml:space="preserve"> PAGEREF _Toc156981833 \h </w:instrText>
      </w:r>
      <w:r>
        <w:fldChar w:fldCharType="separate"/>
      </w:r>
      <w:r>
        <w:t>1</w:t>
      </w:r>
      <w:r>
        <w:fldChar w:fldCharType="end"/>
      </w:r>
      <w:r>
        <w:fldChar w:fldCharType="end"/>
      </w:r>
    </w:p>
    <w:p w14:paraId="028C67FF">
      <w:pPr>
        <w:pStyle w:val="27"/>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"_Toc156981834" </w:instrText>
      </w:r>
      <w:r>
        <w:fldChar w:fldCharType="separate"/>
      </w:r>
      <w:r>
        <w:rPr>
          <w:rStyle w:val="35"/>
          <w:rFonts w:hint="eastAsia" w:ascii="黑体" w:hAnsi="黑体" w:eastAsia="黑体" w:cs="黑体"/>
          <w14:scene3d>
            <w14:lightRig w14:rig="threePt" w14:dir="t">
              <w14:rot w14:lat="0" w14:lon="0" w14:rev="0"/>
            </w14:lightRig>
          </w14:scene3d>
        </w:rPr>
        <w:t>5.2</w:t>
      </w:r>
      <w:r>
        <w:rPr>
          <w:rStyle w:val="35"/>
        </w:rPr>
        <w:t xml:space="preserve"> 实物验收</w:t>
      </w:r>
      <w:r>
        <w:tab/>
      </w:r>
      <w:r>
        <w:rPr>
          <w:rFonts w:hint="eastAsia"/>
          <w:lang w:val="en-US" w:eastAsia="zh-CN"/>
        </w:rPr>
        <w:t>2</w:t>
      </w:r>
      <w:r>
        <w:fldChar w:fldCharType="end"/>
      </w:r>
    </w:p>
    <w:p w14:paraId="6245D57A">
      <w:pPr>
        <w:pStyle w:val="27"/>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"_Toc156981835" </w:instrText>
      </w:r>
      <w:r>
        <w:fldChar w:fldCharType="separate"/>
      </w:r>
      <w:r>
        <w:rPr>
          <w:rStyle w:val="35"/>
          <w:rFonts w:hint="eastAsia" w:ascii="黑体" w:hAnsi="黑体" w:eastAsia="黑体" w:cs="黑体"/>
          <w14:scene3d>
            <w14:lightRig w14:rig="threePt" w14:dir="t">
              <w14:rot w14:lat="0" w14:lon="0" w14:rev="0"/>
            </w14:lightRig>
          </w14:scene3d>
        </w:rPr>
        <w:t>5.3</w:t>
      </w:r>
      <w:r>
        <w:rPr>
          <w:rStyle w:val="35"/>
        </w:rPr>
        <w:t xml:space="preserve"> 验收结果与处置</w:t>
      </w:r>
      <w:r>
        <w:tab/>
      </w:r>
      <w:r>
        <w:rPr>
          <w:rFonts w:hint="eastAsia"/>
          <w:lang w:val="en-US" w:eastAsia="zh-CN"/>
        </w:rPr>
        <w:t>2</w:t>
      </w:r>
      <w:r>
        <w:fldChar w:fldCharType="end"/>
      </w:r>
    </w:p>
    <w:p w14:paraId="7BE7A6A5">
      <w:pPr>
        <w:pStyle w:val="27"/>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"_Toc156981836" </w:instrText>
      </w:r>
      <w:r>
        <w:fldChar w:fldCharType="separate"/>
      </w:r>
      <w:r>
        <w:rPr>
          <w:rStyle w:val="35"/>
          <w:rFonts w:hint="eastAsia" w:ascii="黑体" w:hAnsi="黑体" w:eastAsia="黑体" w:cs="黑体"/>
          <w14:scene3d>
            <w14:lightRig w14:rig="threePt" w14:dir="t">
              <w14:rot w14:lat="0" w14:lon="0" w14:rev="0"/>
            </w14:lightRig>
          </w14:scene3d>
        </w:rPr>
        <w:t>5.4</w:t>
      </w:r>
      <w:r>
        <w:rPr>
          <w:rStyle w:val="35"/>
        </w:rPr>
        <w:t xml:space="preserve"> 验收结论</w:t>
      </w:r>
      <w:r>
        <w:tab/>
      </w:r>
      <w:r>
        <w:rPr>
          <w:rFonts w:hint="eastAsia"/>
          <w:lang w:val="en-US" w:eastAsia="zh-CN"/>
        </w:rPr>
        <w:t>2</w:t>
      </w:r>
      <w:r>
        <w:fldChar w:fldCharType="end"/>
      </w:r>
    </w:p>
    <w:p w14:paraId="2901D2B4">
      <w:pPr>
        <w:pStyle w:val="18"/>
        <w:tabs>
          <w:tab w:val="right" w:leader="dot" w:pos="9344"/>
          <w:tab w:val="clear" w:pos="9241"/>
        </w:tabs>
        <w:rPr>
          <w:rFonts w:asciiTheme="minorHAnsi" w:hAnsiTheme="minorHAnsi" w:eastAsiaTheme="minorEastAsia" w:cstheme="minorBidi"/>
          <w:szCs w:val="22"/>
        </w:rPr>
      </w:pPr>
      <w:r>
        <w:fldChar w:fldCharType="begin"/>
      </w:r>
      <w:r>
        <w:instrText xml:space="preserve"> HYPERLINK \l "_Toc156981837" </w:instrText>
      </w:r>
      <w:r>
        <w:fldChar w:fldCharType="separate"/>
      </w:r>
      <w:r>
        <w:rPr>
          <w:rStyle w:val="35"/>
          <w:spacing w:val="100"/>
        </w:rPr>
        <w:t>附录A</w:t>
      </w:r>
      <w:r>
        <w:rPr>
          <w:rStyle w:val="35"/>
        </w:rPr>
        <w:t xml:space="preserve"> （资料性） 球形燃料元件技术参数</w:t>
      </w:r>
      <w:r>
        <w:tab/>
      </w:r>
      <w:r>
        <w:rPr>
          <w:rFonts w:hint="eastAsia"/>
          <w:lang w:val="en-US" w:eastAsia="zh-CN"/>
        </w:rPr>
        <w:t>1</w:t>
      </w:r>
      <w:r>
        <w:fldChar w:fldCharType="end"/>
      </w:r>
    </w:p>
    <w:p w14:paraId="3A8515DE">
      <w:pPr>
        <w:pStyle w:val="18"/>
        <w:tabs>
          <w:tab w:val="right" w:leader="dot" w:pos="9344"/>
          <w:tab w:val="clear" w:pos="9241"/>
        </w:tabs>
        <w:rPr>
          <w:rFonts w:asciiTheme="minorHAnsi" w:hAnsiTheme="minorHAnsi" w:eastAsiaTheme="minorEastAsia" w:cstheme="minorBidi"/>
          <w:szCs w:val="22"/>
        </w:rPr>
      </w:pPr>
      <w:r>
        <w:rPr>
          <w:rStyle w:val="35"/>
        </w:rPr>
        <w:fldChar w:fldCharType="begin"/>
      </w:r>
      <w:r>
        <w:rPr>
          <w:rStyle w:val="35"/>
        </w:rPr>
        <w:instrText xml:space="preserve"> </w:instrText>
      </w:r>
      <w:r>
        <w:instrText xml:space="preserve">HYPERLINK \l "_Toc156981840"</w:instrText>
      </w:r>
      <w:r>
        <w:rPr>
          <w:rStyle w:val="35"/>
        </w:rPr>
        <w:instrText xml:space="preserve"> </w:instrText>
      </w:r>
      <w:r>
        <w:rPr>
          <w:rStyle w:val="35"/>
        </w:rPr>
        <w:fldChar w:fldCharType="separate"/>
      </w:r>
      <w:r>
        <w:rPr>
          <w:rStyle w:val="35"/>
          <w:spacing w:val="105"/>
        </w:rPr>
        <w:t>参考文</w:t>
      </w:r>
      <w:r>
        <w:rPr>
          <w:rStyle w:val="35"/>
        </w:rPr>
        <w:t>献</w:t>
      </w:r>
      <w:r>
        <w:tab/>
      </w:r>
      <w:r>
        <w:rPr>
          <w:rFonts w:hint="eastAsia"/>
          <w:lang w:val="en-US" w:eastAsia="zh-CN"/>
        </w:rPr>
        <w:t>3</w:t>
      </w:r>
      <w:r>
        <w:rPr>
          <w:rStyle w:val="35"/>
        </w:rPr>
        <w:fldChar w:fldCharType="end"/>
      </w:r>
    </w:p>
    <w:p w14:paraId="1FE0FC0D">
      <w:pPr>
        <w:pStyle w:val="22"/>
      </w:pPr>
      <w:r>
        <w:fldChar w:fldCharType="end"/>
      </w:r>
    </w:p>
    <w:p w14:paraId="07278FCC">
      <w:pPr>
        <w:pStyle w:val="108"/>
      </w:pPr>
      <w:bookmarkStart w:id="24" w:name="_Toc141087993"/>
      <w:r>
        <w:rPr>
          <w:rFonts w:hint="eastAsia"/>
        </w:rPr>
        <w:t>前</w:t>
      </w:r>
      <w:bookmarkStart w:id="25" w:name="BKQY"/>
      <w:r>
        <w:rPr>
          <w:rFonts w:hAnsi="黑体"/>
        </w:rPr>
        <w:t>  </w:t>
      </w:r>
      <w:r>
        <w:rPr>
          <w:rFonts w:hint="eastAsia"/>
        </w:rPr>
        <w:t>言</w:t>
      </w:r>
      <w:bookmarkEnd w:id="19"/>
      <w:bookmarkEnd w:id="20"/>
      <w:bookmarkEnd w:id="21"/>
      <w:bookmarkEnd w:id="22"/>
      <w:bookmarkEnd w:id="23"/>
      <w:bookmarkEnd w:id="24"/>
      <w:bookmarkEnd w:id="25"/>
    </w:p>
    <w:p w14:paraId="7BF4DDEB">
      <w:pPr>
        <w:pStyle w:val="22"/>
      </w:pPr>
      <w:r>
        <w:rPr>
          <w:rFonts w:hint="eastAsia"/>
        </w:rPr>
        <w:t>本文件按照GB/T 1.1—2020《标准化工作导则 第1部分：标准化文件的结构和起草规则》的规定起草。</w:t>
      </w:r>
    </w:p>
    <w:p w14:paraId="4F53F27E">
      <w:pPr>
        <w:pStyle w:val="22"/>
      </w:pPr>
      <w:r>
        <w:rPr>
          <w:rFonts w:hint="eastAsia"/>
        </w:rPr>
        <w:t>请注意本文件的某些内容可能涉及专利。本文件的发布机构不承担识别专利的责任。</w:t>
      </w:r>
    </w:p>
    <w:p w14:paraId="0521E83E">
      <w:pPr>
        <w:pStyle w:val="22"/>
        <w:rPr>
          <w:rFonts w:ascii="Times New Roman"/>
        </w:rPr>
      </w:pPr>
      <w:r>
        <w:rPr>
          <w:rFonts w:ascii="Times New Roman"/>
        </w:rPr>
        <w:t>本</w:t>
      </w:r>
      <w:r>
        <w:rPr>
          <w:rFonts w:hint="eastAsia" w:ascii="Times New Roman"/>
        </w:rPr>
        <w:t>文件</w:t>
      </w:r>
      <w:r>
        <w:rPr>
          <w:rFonts w:ascii="Times New Roman"/>
        </w:rPr>
        <w:t>由中国核学会提出。</w:t>
      </w:r>
    </w:p>
    <w:p w14:paraId="19329DA6">
      <w:pPr>
        <w:pStyle w:val="22"/>
        <w:rPr>
          <w:rFonts w:ascii="Times New Roman"/>
        </w:rPr>
      </w:pPr>
      <w:r>
        <w:rPr>
          <w:rFonts w:ascii="Times New Roman"/>
        </w:rPr>
        <w:t>本</w:t>
      </w:r>
      <w:r>
        <w:rPr>
          <w:rFonts w:hint="eastAsia" w:ascii="Times New Roman"/>
        </w:rPr>
        <w:t>文件</w:t>
      </w:r>
      <w:r>
        <w:rPr>
          <w:rFonts w:ascii="Times New Roman"/>
        </w:rPr>
        <w:t>由核工业标准化研究所归口。</w:t>
      </w:r>
    </w:p>
    <w:p w14:paraId="655B2961">
      <w:pPr>
        <w:pStyle w:val="22"/>
        <w:rPr>
          <w:rFonts w:ascii="Times New Roman"/>
        </w:rPr>
      </w:pPr>
      <w:r>
        <w:rPr>
          <w:rFonts w:ascii="Times New Roman"/>
        </w:rPr>
        <w:t>本</w:t>
      </w:r>
      <w:r>
        <w:rPr>
          <w:rFonts w:hint="eastAsia" w:ascii="Times New Roman"/>
        </w:rPr>
        <w:t>文件</w:t>
      </w:r>
      <w:r>
        <w:rPr>
          <w:rFonts w:ascii="Times New Roman"/>
        </w:rPr>
        <w:t>起草单位：</w:t>
      </w:r>
      <w:r>
        <w:rPr>
          <w:rFonts w:hint="eastAsia"/>
          <w:szCs w:val="21"/>
        </w:rPr>
        <w:t>中核山东核能有限公司</w:t>
      </w:r>
      <w:r>
        <w:rPr>
          <w:rFonts w:hint="eastAsia"/>
          <w:szCs w:val="21"/>
          <w:lang w:eastAsia="zh-CN"/>
        </w:rPr>
        <w:t>，</w:t>
      </w:r>
      <w:r>
        <w:rPr>
          <w:rFonts w:hint="eastAsia" w:ascii="Times New Roman"/>
        </w:rPr>
        <w:t>清华大学核能与新能源技术研究院</w:t>
      </w:r>
      <w:r>
        <w:rPr>
          <w:rFonts w:ascii="Times New Roman"/>
        </w:rPr>
        <w:t>。</w:t>
      </w:r>
    </w:p>
    <w:p w14:paraId="7B560586">
      <w:pPr>
        <w:pStyle w:val="22"/>
        <w:rPr>
          <w:rFonts w:ascii="Times New Roman"/>
        </w:rPr>
      </w:pPr>
      <w:r>
        <w:rPr>
          <w:rFonts w:ascii="Times New Roman"/>
        </w:rPr>
        <w:t>本</w:t>
      </w:r>
      <w:r>
        <w:rPr>
          <w:rFonts w:hint="eastAsia" w:ascii="Times New Roman"/>
        </w:rPr>
        <w:t>文件</w:t>
      </w:r>
      <w:r>
        <w:rPr>
          <w:rFonts w:ascii="Times New Roman"/>
        </w:rPr>
        <w:t>主要起草人：</w:t>
      </w:r>
      <w:r>
        <w:rPr>
          <w:rFonts w:hint="eastAsia"/>
          <w:lang w:val="en-US" w:eastAsia="zh-CN"/>
        </w:rPr>
        <w:t>朱尤楷，刘兵，徐睿杰，黄立黔</w:t>
      </w:r>
      <w:r>
        <w:rPr>
          <w:rFonts w:ascii="Times New Roman"/>
        </w:rPr>
        <w:t>。</w:t>
      </w:r>
    </w:p>
    <w:p w14:paraId="355ADF84">
      <w:pPr>
        <w:pStyle w:val="22"/>
        <w:rPr>
          <w:rFonts w:ascii="Times New Roman"/>
        </w:rPr>
      </w:pPr>
      <w:r>
        <w:rPr>
          <w:rFonts w:hint="eastAsia" w:ascii="Times New Roman"/>
        </w:rPr>
        <w:t>本文件为首次发布。</w:t>
      </w:r>
    </w:p>
    <w:p w14:paraId="145DE3BF">
      <w:pPr>
        <w:pStyle w:val="22"/>
      </w:pPr>
    </w:p>
    <w:p w14:paraId="3C61C495">
      <w:pPr>
        <w:pStyle w:val="22"/>
        <w:sectPr>
          <w:headerReference r:id="rId9" w:type="default"/>
          <w:footerReference r:id="rId10" w:type="default"/>
          <w:pgSz w:w="11906" w:h="16838"/>
          <w:pgMar w:top="567" w:right="1134" w:bottom="1134" w:left="1418" w:header="1418" w:footer="1134" w:gutter="0"/>
          <w:pgNumType w:fmt="upperRoman" w:start="1"/>
          <w:cols w:space="425" w:num="1"/>
          <w:formProt w:val="0"/>
          <w:docGrid w:type="lines" w:linePitch="312" w:charSpace="0"/>
        </w:sectPr>
      </w:pPr>
    </w:p>
    <w:sdt>
      <w:sdtPr>
        <w:tag w:val="NEW_STAND_NAME"/>
        <w:id w:val="595910757"/>
        <w:lock w:val="sdtLocked"/>
        <w:placeholder>
          <w:docPart w:val="{c52129e7-f63a-464e-b0ac-161171dbe5b8}"/>
        </w:placeholder>
      </w:sdtPr>
      <w:sdtContent>
        <w:p w14:paraId="7D4FDE93">
          <w:pPr>
            <w:pStyle w:val="136"/>
            <w:spacing w:before="3" w:beforeLines="1" w:after="686" w:afterLines="220"/>
          </w:pPr>
          <w:bookmarkStart w:id="26" w:name="NEW_STAND_NAME"/>
          <w:r>
            <w:rPr>
              <w:rFonts w:hint="eastAsia"/>
            </w:rPr>
            <w:t>高温气冷堆燃料元件出厂验收标准</w:t>
          </w:r>
        </w:p>
      </w:sdtContent>
    </w:sdt>
    <w:bookmarkEnd w:id="26"/>
    <w:p w14:paraId="4DA6D867">
      <w:pPr>
        <w:pStyle w:val="137"/>
        <w:spacing w:before="312" w:after="312"/>
      </w:pPr>
      <w:bookmarkStart w:id="27" w:name="_Toc156921535"/>
      <w:bookmarkStart w:id="28" w:name="_Toc156981826"/>
      <w:r>
        <w:rPr>
          <w:rFonts w:hint="eastAsia"/>
        </w:rPr>
        <w:t>范围</w:t>
      </w:r>
      <w:bookmarkEnd w:id="27"/>
      <w:bookmarkEnd w:id="28"/>
    </w:p>
    <w:p w14:paraId="4733115E">
      <w:pPr>
        <w:pStyle w:val="22"/>
      </w:pPr>
      <w:r>
        <w:rPr>
          <w:rFonts w:hint="eastAsia"/>
        </w:rPr>
        <w:t>本文件规定了高温气冷堆燃料元件出厂验收条件、文件准备、验收内容等工作的标准。</w:t>
      </w:r>
    </w:p>
    <w:p w14:paraId="1E82DA4D">
      <w:pPr>
        <w:pStyle w:val="22"/>
      </w:pPr>
      <w:r>
        <w:rPr>
          <w:rFonts w:hint="eastAsia"/>
        </w:rPr>
        <w:t>本文件适用于</w:t>
      </w:r>
      <w:r>
        <w:t>高温气冷堆核电站球形燃料元件</w:t>
      </w:r>
      <w:r>
        <w:rPr>
          <w:rFonts w:hint="eastAsia"/>
        </w:rPr>
        <w:t>的出厂验收工作</w:t>
      </w:r>
      <w:r>
        <w:t>。</w:t>
      </w:r>
    </w:p>
    <w:p w14:paraId="49AAE1AB">
      <w:pPr>
        <w:pStyle w:val="137"/>
        <w:spacing w:before="312" w:after="312"/>
      </w:pPr>
      <w:bookmarkStart w:id="29" w:name="_Toc156921536"/>
      <w:bookmarkStart w:id="30" w:name="_Toc156981827"/>
      <w:r>
        <w:rPr>
          <w:rFonts w:hint="eastAsia"/>
        </w:rPr>
        <w:t>规范性引用文件</w:t>
      </w:r>
      <w:bookmarkEnd w:id="29"/>
      <w:bookmarkEnd w:id="30"/>
    </w:p>
    <w:sdt>
      <w:sdtPr>
        <w:rPr>
          <w:rFonts w:hint="eastAsia"/>
        </w:rPr>
        <w:id w:val="2020580423"/>
        <w:placeholder>
          <w:docPart w:val="{49da6c91-2c16-43b1-8d8b-9d172c49c66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4CEAD5B">
          <w:pPr>
            <w:pStyle w:val="13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C9C568F">
      <w:pPr>
        <w:pStyle w:val="22"/>
        <w:rPr>
          <w:rFonts w:hint="eastAsia"/>
        </w:rPr>
      </w:pPr>
      <w:r>
        <w:t xml:space="preserve">HAD003/10  </w:t>
      </w:r>
      <w:r>
        <w:rPr>
          <w:rFonts w:hint="eastAsia"/>
        </w:rPr>
        <w:t>核燃料组件采购、设计和制造中的质量保证</w:t>
      </w:r>
    </w:p>
    <w:p w14:paraId="7A6AE652">
      <w:pPr>
        <w:pStyle w:val="22"/>
      </w:pPr>
      <w:r>
        <w:rPr>
          <w:rFonts w:hint="eastAsia"/>
        </w:rPr>
        <w:t>HAD003/08</w:t>
      </w:r>
      <w:r>
        <w:rPr>
          <w:rFonts w:hint="eastAsia"/>
          <w:lang w:val="en-US" w:eastAsia="zh-CN"/>
        </w:rPr>
        <w:t xml:space="preserve">  </w:t>
      </w:r>
      <w:r>
        <w:rPr>
          <w:rFonts w:hint="eastAsia"/>
        </w:rPr>
        <w:t>核电厂物项制造中的质量保证</w:t>
      </w:r>
    </w:p>
    <w:p w14:paraId="5E33DD5D">
      <w:pPr>
        <w:pStyle w:val="22"/>
        <w:rPr>
          <w:rFonts w:hint="eastAsia"/>
        </w:rPr>
      </w:pPr>
      <w:r>
        <w:rPr>
          <w:rFonts w:hint="eastAsia"/>
        </w:rPr>
        <w:t>EJ/T 564-2006</w:t>
      </w:r>
      <w:r>
        <w:rPr>
          <w:rFonts w:hint="eastAsia"/>
        </w:rPr>
        <w:tab/>
      </w:r>
      <w:r>
        <w:t xml:space="preserve">  </w:t>
      </w:r>
      <w:r>
        <w:rPr>
          <w:rFonts w:hint="eastAsia"/>
        </w:rPr>
        <w:t>核电厂物项包装、运输、装卸、接收、贮存和维护要求</w:t>
      </w:r>
    </w:p>
    <w:p w14:paraId="7D770FFC">
      <w:pPr>
        <w:pStyle w:val="22"/>
        <w:rPr>
          <w:rFonts w:hint="eastAsia"/>
        </w:rPr>
      </w:pPr>
      <w:r>
        <w:rPr>
          <w:rFonts w:hint="eastAsia"/>
        </w:rPr>
        <w:t>GB</w:t>
      </w:r>
      <w:r>
        <w:rPr>
          <w:rFonts w:hint="eastAsia"/>
          <w:lang w:val="en-US" w:eastAsia="zh-CN"/>
        </w:rPr>
        <w:t xml:space="preserve">/T </w:t>
      </w:r>
      <w:r>
        <w:rPr>
          <w:rFonts w:hint="eastAsia"/>
        </w:rPr>
        <w:t>10609.3</w:t>
      </w:r>
      <w:r>
        <w:rPr>
          <w:rFonts w:hint="eastAsia"/>
          <w:lang w:val="en-US" w:eastAsia="zh-CN"/>
        </w:rPr>
        <w:t xml:space="preserve">  </w:t>
      </w:r>
      <w:r>
        <w:rPr>
          <w:rFonts w:hint="eastAsia"/>
        </w:rPr>
        <w:t>技术制图复制图的折叠方法</w:t>
      </w:r>
    </w:p>
    <w:p w14:paraId="27218E17">
      <w:pPr>
        <w:pStyle w:val="137"/>
        <w:spacing w:before="312" w:after="312"/>
      </w:pPr>
      <w:bookmarkStart w:id="31" w:name="_Toc156921537"/>
      <w:bookmarkStart w:id="32" w:name="_Toc156981828"/>
      <w:r>
        <w:rPr>
          <w:rFonts w:hint="eastAsia"/>
        </w:rPr>
        <w:t>术语和定义</w:t>
      </w:r>
      <w:bookmarkEnd w:id="31"/>
      <w:bookmarkEnd w:id="32"/>
    </w:p>
    <w:p w14:paraId="0F0777BC">
      <w:pPr>
        <w:pStyle w:val="138"/>
        <w:ind w:firstLine="420"/>
        <w:rPr>
          <w:rFonts w:hint="eastAsia"/>
          <w:lang w:val="en-US" w:eastAsia="zh-CN"/>
        </w:rPr>
      </w:pPr>
      <w:r>
        <w:rPr>
          <w:rFonts w:hint="eastAsia"/>
          <w:lang w:val="en-US" w:eastAsia="zh-CN"/>
        </w:rPr>
        <w:t>定期验收：适用于特定批次的产品交验，特定批次根据驻厂监造的质量趋势确定；</w:t>
      </w:r>
    </w:p>
    <w:p w14:paraId="530972EF">
      <w:pPr>
        <w:pStyle w:val="138"/>
        <w:ind w:firstLine="420"/>
      </w:pPr>
      <w:r>
        <w:rPr>
          <w:rFonts w:hint="eastAsia"/>
          <w:lang w:val="en-US" w:eastAsia="zh-CN"/>
        </w:rPr>
        <w:t>日常验收：适用于除了定期验收外的所有验收批次的产品交验</w:t>
      </w:r>
      <w:r>
        <w:t>。</w:t>
      </w:r>
    </w:p>
    <w:p w14:paraId="05D65732">
      <w:pPr>
        <w:pStyle w:val="137"/>
        <w:spacing w:before="312" w:after="312"/>
      </w:pPr>
      <w:bookmarkStart w:id="33" w:name="_Toc156981829"/>
      <w:bookmarkStart w:id="34" w:name="_Toc156921538"/>
      <w:r>
        <w:rPr>
          <w:rFonts w:hint="eastAsia"/>
        </w:rPr>
        <w:t>一般要求</w:t>
      </w:r>
      <w:bookmarkEnd w:id="33"/>
      <w:bookmarkEnd w:id="34"/>
    </w:p>
    <w:p w14:paraId="3AF6BD1F">
      <w:pPr>
        <w:pStyle w:val="139"/>
        <w:spacing w:before="156" w:after="156"/>
        <w:rPr>
          <w:spacing w:val="7"/>
        </w:rPr>
      </w:pPr>
      <w:bookmarkStart w:id="35" w:name="_Toc156981830"/>
      <w:r>
        <w:rPr>
          <w:rFonts w:hint="eastAsia"/>
        </w:rPr>
        <w:t>验收先决条件</w:t>
      </w:r>
      <w:bookmarkEnd w:id="35"/>
    </w:p>
    <w:p w14:paraId="47430F6D">
      <w:pPr>
        <w:pStyle w:val="22"/>
        <w:numPr>
          <w:ilvl w:val="0"/>
          <w:numId w:val="0"/>
        </w:numPr>
        <w:ind w:left="448" w:leftChars="0"/>
        <w:rPr>
          <w:spacing w:val="7"/>
        </w:rPr>
      </w:pPr>
      <w:bookmarkStart w:id="58" w:name="_GoBack"/>
      <w:bookmarkEnd w:id="58"/>
      <w:r>
        <w:rPr>
          <w:rFonts w:hint="eastAsia"/>
          <w:color w:val="auto"/>
          <w:spacing w:val="7"/>
          <w:lang w:val="en-US" w:eastAsia="zh-CN"/>
        </w:rPr>
        <w:t>1）</w:t>
      </w:r>
      <w:r>
        <w:rPr>
          <w:rFonts w:hint="eastAsia"/>
          <w:color w:val="auto"/>
          <w:spacing w:val="7"/>
          <w:lang w:eastAsia="zh-CN"/>
        </w:rPr>
        <w:t>球形燃料元件</w:t>
      </w:r>
      <w:r>
        <w:rPr>
          <w:rFonts w:hint="eastAsia"/>
          <w:spacing w:val="7"/>
        </w:rPr>
        <w:t>出厂验收大纲已经生效</w:t>
      </w:r>
      <w:r>
        <w:rPr>
          <w:rFonts w:hint="eastAsia"/>
          <w:spacing w:val="7"/>
          <w:lang w:eastAsia="zh-CN"/>
        </w:rPr>
        <w:t>；</w:t>
      </w:r>
    </w:p>
    <w:p w14:paraId="154E7948">
      <w:pPr>
        <w:pStyle w:val="22"/>
        <w:numPr>
          <w:ilvl w:val="0"/>
          <w:numId w:val="0"/>
        </w:numPr>
        <w:ind w:left="448" w:leftChars="0"/>
        <w:rPr>
          <w:spacing w:val="7"/>
        </w:rPr>
      </w:pPr>
      <w:r>
        <w:rPr>
          <w:rFonts w:hint="eastAsia"/>
          <w:spacing w:val="7"/>
          <w:lang w:val="en-US" w:eastAsia="zh-CN"/>
        </w:rPr>
        <w:t>2）</w:t>
      </w:r>
      <w:r>
        <w:rPr>
          <w:rFonts w:hint="eastAsia"/>
          <w:spacing w:val="7"/>
          <w:lang w:eastAsia="zh-CN"/>
        </w:rPr>
        <w:t>交付文件（除出厂验收意见书）和装箱清单已按要求准备齐全；</w:t>
      </w:r>
    </w:p>
    <w:p w14:paraId="3E659D29">
      <w:pPr>
        <w:pStyle w:val="22"/>
        <w:numPr>
          <w:ilvl w:val="0"/>
          <w:numId w:val="0"/>
        </w:numPr>
        <w:ind w:left="448" w:leftChars="0"/>
        <w:rPr>
          <w:spacing w:val="7"/>
        </w:rPr>
      </w:pPr>
      <w:r>
        <w:rPr>
          <w:rFonts w:hint="eastAsia"/>
          <w:spacing w:val="7"/>
          <w:lang w:val="en-US" w:eastAsia="zh-CN"/>
        </w:rPr>
        <w:t>3）</w:t>
      </w:r>
      <w:r>
        <w:rPr>
          <w:rFonts w:hint="eastAsia"/>
          <w:spacing w:val="7"/>
          <w:lang w:eastAsia="zh-CN"/>
        </w:rPr>
        <w:t>供方已完成交货批次燃料元件的制造和检验；</w:t>
      </w:r>
    </w:p>
    <w:p w14:paraId="0107D00E">
      <w:pPr>
        <w:pStyle w:val="22"/>
        <w:numPr>
          <w:ilvl w:val="0"/>
          <w:numId w:val="0"/>
        </w:numPr>
        <w:ind w:left="448" w:leftChars="0"/>
        <w:rPr>
          <w:spacing w:val="7"/>
        </w:rPr>
      </w:pPr>
      <w:r>
        <w:rPr>
          <w:rFonts w:hint="eastAsia"/>
          <w:spacing w:val="7"/>
          <w:lang w:val="en-US" w:eastAsia="zh-CN"/>
        </w:rPr>
        <w:t>4）</w:t>
      </w:r>
      <w:r>
        <w:rPr>
          <w:rFonts w:hint="eastAsia"/>
          <w:spacing w:val="7"/>
        </w:rPr>
        <w:t>所有交货批次燃料元件全部不符合项已关闭</w:t>
      </w:r>
      <w:r>
        <w:rPr>
          <w:rFonts w:hint="eastAsia"/>
          <w:spacing w:val="7"/>
          <w:lang w:eastAsia="zh-CN"/>
        </w:rPr>
        <w:t>。</w:t>
      </w:r>
    </w:p>
    <w:p w14:paraId="611D93D9">
      <w:pPr>
        <w:pStyle w:val="139"/>
        <w:spacing w:before="156" w:after="156"/>
      </w:pPr>
      <w:bookmarkStart w:id="36" w:name="_Toc156921539"/>
      <w:bookmarkStart w:id="37" w:name="_Toc156981831"/>
      <w:r>
        <w:rPr>
          <w:rFonts w:hint="eastAsia"/>
        </w:rPr>
        <w:t>验收依据</w:t>
      </w:r>
      <w:bookmarkEnd w:id="36"/>
      <w:bookmarkEnd w:id="37"/>
    </w:p>
    <w:p w14:paraId="444476B3">
      <w:pPr>
        <w:pStyle w:val="8"/>
        <w:spacing w:line="322" w:lineRule="auto"/>
        <w:ind w:right="135" w:firstLine="420" w:firstLineChars="200"/>
      </w:pPr>
      <w:r>
        <w:rPr>
          <w:rFonts w:hint="eastAsia"/>
        </w:rPr>
        <w:t>燃料元件采购技术规格书和燃料元件采购合同。</w:t>
      </w:r>
      <w:r>
        <w:rPr>
          <w:rFonts w:hint="eastAsia"/>
          <w:lang w:val="en-US" w:eastAsia="zh-CN"/>
        </w:rPr>
        <w:t>球形</w:t>
      </w:r>
      <w:r>
        <w:rPr>
          <w:rFonts w:hint="eastAsia"/>
        </w:rPr>
        <w:t>燃料元件技术</w:t>
      </w:r>
      <w:r>
        <w:rPr>
          <w:rFonts w:hint="eastAsia"/>
          <w:lang w:val="en-US" w:eastAsia="zh-CN"/>
        </w:rPr>
        <w:t>参数可参考</w:t>
      </w:r>
      <w:r>
        <w:rPr>
          <w:rFonts w:hint="eastAsia"/>
        </w:rPr>
        <w:t>附录A。</w:t>
      </w:r>
    </w:p>
    <w:p w14:paraId="7642F0BC">
      <w:pPr>
        <w:pStyle w:val="137"/>
        <w:spacing w:before="312" w:after="312"/>
      </w:pPr>
      <w:bookmarkStart w:id="38" w:name="_Toc156981832"/>
      <w:bookmarkStart w:id="39" w:name="_Toc156921540"/>
      <w:bookmarkStart w:id="40" w:name="_Hlk156481877"/>
      <w:r>
        <w:rPr>
          <w:rFonts w:hint="eastAsia"/>
        </w:rPr>
        <w:t>验收</w:t>
      </w:r>
      <w:bookmarkEnd w:id="38"/>
      <w:bookmarkEnd w:id="39"/>
    </w:p>
    <w:bookmarkEnd w:id="40"/>
    <w:p w14:paraId="31E04318">
      <w:pPr>
        <w:pStyle w:val="139"/>
        <w:spacing w:before="156" w:after="156"/>
      </w:pPr>
      <w:bookmarkStart w:id="41" w:name="_Toc156981833"/>
      <w:bookmarkStart w:id="42" w:name="_Toc156921541"/>
      <w:r>
        <w:rPr>
          <w:rFonts w:hint="eastAsia"/>
        </w:rPr>
        <w:t>文件验收</w:t>
      </w:r>
      <w:bookmarkEnd w:id="41"/>
      <w:bookmarkEnd w:id="42"/>
    </w:p>
    <w:p w14:paraId="7FA6CD5B">
      <w:pPr>
        <w:pStyle w:val="8"/>
        <w:spacing w:line="322" w:lineRule="auto"/>
        <w:ind w:right="135" w:firstLine="420" w:firstLineChars="200"/>
      </w:pPr>
      <w:r>
        <w:rPr>
          <w:rFonts w:hint="eastAsia"/>
        </w:rPr>
        <w:t>出厂验收检查的文件如下所示，对每类文件抽取1份进行检查。</w:t>
      </w:r>
    </w:p>
    <w:p w14:paraId="70152745">
      <w:pPr>
        <w:pStyle w:val="22"/>
        <w:numPr>
          <w:ilvl w:val="0"/>
          <w:numId w:val="0"/>
        </w:numPr>
        <w:ind w:left="448" w:leftChars="0"/>
        <w:rPr>
          <w:spacing w:val="7"/>
        </w:rPr>
      </w:pPr>
      <w:r>
        <w:rPr>
          <w:rFonts w:hint="eastAsia"/>
          <w:spacing w:val="7"/>
          <w:lang w:val="en-US" w:eastAsia="zh-CN"/>
        </w:rPr>
        <w:t>1）</w:t>
      </w:r>
      <w:r>
        <w:rPr>
          <w:spacing w:val="7"/>
        </w:rPr>
        <w:t>原材料质量</w:t>
      </w:r>
      <w:r>
        <w:rPr>
          <w:rFonts w:hint="eastAsia"/>
          <w:spacing w:val="7"/>
          <w:lang w:val="en-US" w:eastAsia="zh-CN"/>
        </w:rPr>
        <w:t>证明</w:t>
      </w:r>
      <w:r>
        <w:rPr>
          <w:spacing w:val="7"/>
        </w:rPr>
        <w:t>文件；</w:t>
      </w:r>
    </w:p>
    <w:p w14:paraId="180E796F">
      <w:pPr>
        <w:pStyle w:val="22"/>
        <w:numPr>
          <w:ilvl w:val="0"/>
          <w:numId w:val="0"/>
        </w:numPr>
        <w:ind w:left="448" w:leftChars="0"/>
        <w:rPr>
          <w:spacing w:val="7"/>
        </w:rPr>
      </w:pPr>
      <w:r>
        <w:rPr>
          <w:rFonts w:hint="eastAsia"/>
          <w:spacing w:val="7"/>
          <w:lang w:val="en-US" w:eastAsia="zh-CN"/>
        </w:rPr>
        <w:t>2）</w:t>
      </w:r>
      <w:r>
        <w:rPr>
          <w:spacing w:val="7"/>
        </w:rPr>
        <w:t>包覆工艺合格性鉴定文件；</w:t>
      </w:r>
    </w:p>
    <w:p w14:paraId="37D7FADE">
      <w:pPr>
        <w:pStyle w:val="22"/>
        <w:numPr>
          <w:ilvl w:val="0"/>
          <w:numId w:val="0"/>
        </w:numPr>
        <w:ind w:left="448" w:leftChars="0"/>
        <w:rPr>
          <w:spacing w:val="7"/>
        </w:rPr>
      </w:pPr>
      <w:r>
        <w:rPr>
          <w:rFonts w:hint="eastAsia"/>
          <w:spacing w:val="7"/>
          <w:lang w:val="en-US" w:eastAsia="zh-CN"/>
        </w:rPr>
        <w:t>3）</w:t>
      </w:r>
      <w:r>
        <w:rPr>
          <w:spacing w:val="7"/>
        </w:rPr>
        <w:t>产品合格性鉴定文件；</w:t>
      </w:r>
    </w:p>
    <w:p w14:paraId="1D7FC76E">
      <w:pPr>
        <w:pStyle w:val="22"/>
        <w:numPr>
          <w:ilvl w:val="0"/>
          <w:numId w:val="0"/>
        </w:numPr>
        <w:ind w:left="448" w:leftChars="0"/>
        <w:rPr>
          <w:spacing w:val="7"/>
        </w:rPr>
      </w:pPr>
      <w:r>
        <w:rPr>
          <w:rFonts w:hint="eastAsia"/>
          <w:spacing w:val="7"/>
          <w:lang w:val="en-US" w:eastAsia="zh-CN"/>
        </w:rPr>
        <w:t>4）</w:t>
      </w:r>
      <w:r>
        <w:rPr>
          <w:spacing w:val="7"/>
        </w:rPr>
        <w:t>燃料元件中间产品质量文件；</w:t>
      </w:r>
    </w:p>
    <w:p w14:paraId="5334E88F">
      <w:pPr>
        <w:pStyle w:val="22"/>
        <w:numPr>
          <w:ilvl w:val="0"/>
          <w:numId w:val="0"/>
        </w:numPr>
        <w:ind w:left="448" w:leftChars="0"/>
        <w:rPr>
          <w:spacing w:val="7"/>
        </w:rPr>
      </w:pPr>
      <w:r>
        <w:rPr>
          <w:rFonts w:hint="eastAsia"/>
          <w:spacing w:val="7"/>
          <w:lang w:val="en-US" w:eastAsia="zh-CN"/>
        </w:rPr>
        <w:t>5）燃料元件最终产品质量文件；</w:t>
      </w:r>
    </w:p>
    <w:p w14:paraId="2E64D7B4">
      <w:pPr>
        <w:pStyle w:val="22"/>
        <w:numPr>
          <w:ilvl w:val="0"/>
          <w:numId w:val="0"/>
        </w:numPr>
        <w:ind w:left="448" w:leftChars="0"/>
        <w:rPr>
          <w:spacing w:val="7"/>
        </w:rPr>
      </w:pPr>
      <w:r>
        <w:rPr>
          <w:rFonts w:hint="eastAsia"/>
          <w:spacing w:val="7"/>
          <w:lang w:val="en-US" w:eastAsia="zh-CN"/>
        </w:rPr>
        <w:t>6）</w:t>
      </w:r>
      <w:r>
        <w:rPr>
          <w:spacing w:val="7"/>
        </w:rPr>
        <w:t>燃料元件加工</w:t>
      </w:r>
      <w:r>
        <w:rPr>
          <w:rFonts w:hint="eastAsia"/>
          <w:spacing w:val="7"/>
          <w:lang w:eastAsia="zh-CN"/>
        </w:rPr>
        <w:t>设备</w:t>
      </w:r>
      <w:r>
        <w:rPr>
          <w:rFonts w:hint="eastAsia"/>
          <w:spacing w:val="7"/>
          <w:lang w:val="en-US" w:eastAsia="zh-CN"/>
        </w:rPr>
        <w:t>有效性</w:t>
      </w:r>
      <w:r>
        <w:rPr>
          <w:spacing w:val="7"/>
        </w:rPr>
        <w:t>文件；</w:t>
      </w:r>
    </w:p>
    <w:p w14:paraId="61082CC4">
      <w:pPr>
        <w:pStyle w:val="22"/>
        <w:numPr>
          <w:ilvl w:val="0"/>
          <w:numId w:val="0"/>
        </w:numPr>
        <w:ind w:left="448" w:leftChars="0"/>
        <w:rPr>
          <w:spacing w:val="7"/>
        </w:rPr>
      </w:pPr>
      <w:r>
        <w:rPr>
          <w:rFonts w:hint="eastAsia"/>
          <w:spacing w:val="7"/>
          <w:lang w:val="en-US" w:eastAsia="zh-CN"/>
        </w:rPr>
        <w:t>7）燃料元件检测设备有效性文件；</w:t>
      </w:r>
    </w:p>
    <w:p w14:paraId="5F78F10B">
      <w:pPr>
        <w:pStyle w:val="22"/>
        <w:numPr>
          <w:ilvl w:val="0"/>
          <w:numId w:val="0"/>
        </w:numPr>
        <w:ind w:left="448" w:leftChars="0"/>
        <w:rPr>
          <w:spacing w:val="7"/>
        </w:rPr>
      </w:pPr>
      <w:r>
        <w:rPr>
          <w:rFonts w:hint="eastAsia"/>
          <w:spacing w:val="7"/>
          <w:lang w:val="en-US" w:eastAsia="zh-CN"/>
        </w:rPr>
        <w:t>8）</w:t>
      </w:r>
      <w:r>
        <w:rPr>
          <w:spacing w:val="7"/>
        </w:rPr>
        <w:t>不符合项</w:t>
      </w:r>
      <w:r>
        <w:rPr>
          <w:rFonts w:hint="eastAsia"/>
          <w:spacing w:val="7"/>
          <w:lang w:eastAsia="zh-CN"/>
        </w:rPr>
        <w:t>清单</w:t>
      </w:r>
      <w:r>
        <w:rPr>
          <w:spacing w:val="7"/>
        </w:rPr>
        <w:t>文件；</w:t>
      </w:r>
    </w:p>
    <w:p w14:paraId="2D02185D">
      <w:pPr>
        <w:pStyle w:val="22"/>
        <w:numPr>
          <w:ilvl w:val="0"/>
          <w:numId w:val="0"/>
        </w:numPr>
        <w:ind w:left="448" w:leftChars="0"/>
        <w:rPr>
          <w:spacing w:val="7"/>
        </w:rPr>
      </w:pPr>
      <w:r>
        <w:rPr>
          <w:rFonts w:hint="eastAsia"/>
          <w:spacing w:val="7"/>
          <w:lang w:val="en-US" w:eastAsia="zh-CN"/>
        </w:rPr>
        <w:t>9）</w:t>
      </w:r>
      <w:r>
        <w:rPr>
          <w:spacing w:val="7"/>
        </w:rPr>
        <w:t>加速度计质量证明相关文件；</w:t>
      </w:r>
    </w:p>
    <w:p w14:paraId="106EEF4D">
      <w:pPr>
        <w:pStyle w:val="22"/>
        <w:numPr>
          <w:ilvl w:val="0"/>
          <w:numId w:val="0"/>
        </w:numPr>
        <w:ind w:left="448" w:leftChars="0"/>
        <w:rPr>
          <w:spacing w:val="7"/>
        </w:rPr>
      </w:pPr>
      <w:r>
        <w:rPr>
          <w:rFonts w:hint="eastAsia"/>
          <w:spacing w:val="7"/>
          <w:lang w:val="en-US" w:eastAsia="zh-CN"/>
        </w:rPr>
        <w:t>10）</w:t>
      </w:r>
      <w:r>
        <w:rPr>
          <w:spacing w:val="7"/>
        </w:rPr>
        <w:t>燃料元件核材料衡算报告</w:t>
      </w:r>
      <w:r>
        <w:rPr>
          <w:rFonts w:hint="eastAsia"/>
          <w:spacing w:val="7"/>
          <w:lang w:eastAsia="zh-CN"/>
        </w:rPr>
        <w:t>（</w:t>
      </w:r>
      <w:r>
        <w:rPr>
          <w:rFonts w:hint="eastAsia"/>
          <w:spacing w:val="7"/>
          <w:lang w:val="en-US" w:eastAsia="zh-CN"/>
        </w:rPr>
        <w:t>根据衡算周期提供</w:t>
      </w:r>
      <w:r>
        <w:rPr>
          <w:rFonts w:hint="eastAsia"/>
          <w:spacing w:val="7"/>
          <w:lang w:eastAsia="zh-CN"/>
        </w:rPr>
        <w:t>）</w:t>
      </w:r>
      <w:r>
        <w:rPr>
          <w:spacing w:val="7"/>
        </w:rPr>
        <w:t>；</w:t>
      </w:r>
    </w:p>
    <w:p w14:paraId="1ED0219C">
      <w:pPr>
        <w:pStyle w:val="22"/>
        <w:numPr>
          <w:ilvl w:val="0"/>
          <w:numId w:val="0"/>
        </w:numPr>
        <w:ind w:left="448" w:leftChars="0"/>
        <w:rPr>
          <w:spacing w:val="7"/>
        </w:rPr>
      </w:pPr>
      <w:r>
        <w:rPr>
          <w:rFonts w:hint="eastAsia"/>
          <w:spacing w:val="7"/>
          <w:lang w:val="en-US" w:eastAsia="zh-CN"/>
        </w:rPr>
        <w:t>11）</w:t>
      </w:r>
      <w:r>
        <w:rPr>
          <w:spacing w:val="7"/>
        </w:rPr>
        <w:t>设备操作人员</w:t>
      </w:r>
      <w:r>
        <w:rPr>
          <w:rFonts w:hint="eastAsia"/>
          <w:spacing w:val="7"/>
          <w:lang w:val="en-US" w:eastAsia="zh-CN"/>
        </w:rPr>
        <w:t>的</w:t>
      </w:r>
      <w:r>
        <w:rPr>
          <w:spacing w:val="7"/>
        </w:rPr>
        <w:t>培训、授权记录；</w:t>
      </w:r>
    </w:p>
    <w:p w14:paraId="1AD17274">
      <w:pPr>
        <w:pStyle w:val="22"/>
        <w:numPr>
          <w:ilvl w:val="0"/>
          <w:numId w:val="0"/>
        </w:numPr>
        <w:ind w:left="448" w:leftChars="0"/>
        <w:rPr>
          <w:spacing w:val="7"/>
        </w:rPr>
      </w:pPr>
      <w:r>
        <w:rPr>
          <w:rFonts w:hint="eastAsia"/>
          <w:spacing w:val="7"/>
          <w:lang w:val="en-US" w:eastAsia="zh-CN"/>
        </w:rPr>
        <w:t>12）性能检测</w:t>
      </w:r>
      <w:r>
        <w:rPr>
          <w:spacing w:val="7"/>
        </w:rPr>
        <w:t>人员</w:t>
      </w:r>
      <w:r>
        <w:rPr>
          <w:rFonts w:hint="eastAsia"/>
          <w:spacing w:val="7"/>
          <w:lang w:val="en-US" w:eastAsia="zh-CN"/>
        </w:rPr>
        <w:t>的</w:t>
      </w:r>
      <w:r>
        <w:rPr>
          <w:spacing w:val="7"/>
        </w:rPr>
        <w:t>培训、授权记录；</w:t>
      </w:r>
    </w:p>
    <w:p w14:paraId="418CF0AC">
      <w:pPr>
        <w:pStyle w:val="22"/>
        <w:numPr>
          <w:ilvl w:val="0"/>
          <w:numId w:val="0"/>
        </w:numPr>
        <w:ind w:left="448" w:leftChars="0"/>
        <w:rPr>
          <w:spacing w:val="7"/>
        </w:rPr>
      </w:pPr>
      <w:r>
        <w:rPr>
          <w:rFonts w:hint="eastAsia"/>
          <w:spacing w:val="7"/>
          <w:lang w:val="en-US" w:eastAsia="zh-CN"/>
        </w:rPr>
        <w:t>13）</w:t>
      </w:r>
      <w:r>
        <w:rPr>
          <w:spacing w:val="7"/>
        </w:rPr>
        <w:t>QA/QC类检查整改记录文件</w:t>
      </w:r>
      <w:r>
        <w:rPr>
          <w:rFonts w:hint="eastAsia"/>
          <w:spacing w:val="7"/>
          <w:lang w:eastAsia="zh-CN"/>
        </w:rPr>
        <w:t>（</w:t>
      </w:r>
      <w:r>
        <w:rPr>
          <w:rFonts w:hint="eastAsia"/>
          <w:spacing w:val="7"/>
          <w:lang w:val="en-US" w:eastAsia="zh-CN"/>
        </w:rPr>
        <w:t>如有</w:t>
      </w:r>
      <w:r>
        <w:rPr>
          <w:rFonts w:hint="eastAsia"/>
          <w:spacing w:val="7"/>
          <w:lang w:eastAsia="zh-CN"/>
        </w:rPr>
        <w:t>）</w:t>
      </w:r>
      <w:r>
        <w:rPr>
          <w:spacing w:val="7"/>
        </w:rPr>
        <w:t>；</w:t>
      </w:r>
    </w:p>
    <w:p w14:paraId="42C0A5E8">
      <w:pPr>
        <w:pStyle w:val="22"/>
        <w:numPr>
          <w:ilvl w:val="0"/>
          <w:numId w:val="0"/>
        </w:numPr>
        <w:ind w:left="448" w:leftChars="0"/>
        <w:rPr>
          <w:spacing w:val="7"/>
        </w:rPr>
      </w:pPr>
      <w:r>
        <w:rPr>
          <w:rFonts w:hint="eastAsia"/>
          <w:spacing w:val="7"/>
          <w:lang w:val="en-US" w:eastAsia="zh-CN"/>
        </w:rPr>
        <w:t>14）</w:t>
      </w:r>
      <w:r>
        <w:rPr>
          <w:spacing w:val="7"/>
        </w:rPr>
        <w:t>包装运输方案。</w:t>
      </w:r>
    </w:p>
    <w:p w14:paraId="650F3487">
      <w:pPr>
        <w:pStyle w:val="139"/>
        <w:spacing w:before="156" w:after="156"/>
      </w:pPr>
      <w:bookmarkStart w:id="43" w:name="_Toc156921542"/>
      <w:bookmarkStart w:id="44" w:name="_Toc156981834"/>
      <w:r>
        <w:rPr>
          <w:rFonts w:hint="eastAsia"/>
        </w:rPr>
        <w:t>实物验收</w:t>
      </w:r>
      <w:bookmarkEnd w:id="43"/>
      <w:bookmarkEnd w:id="44"/>
    </w:p>
    <w:p w14:paraId="5BD56CD9">
      <w:pPr>
        <w:pStyle w:val="140"/>
        <w:spacing w:before="156" w:after="156"/>
        <w:rPr>
          <w:rFonts w:hAnsi="黑体"/>
        </w:rPr>
      </w:pPr>
      <w:r>
        <w:rPr>
          <w:rFonts w:hint="eastAsia"/>
        </w:rPr>
        <w:t>燃料元</w:t>
      </w:r>
      <w:r>
        <w:rPr>
          <w:rFonts w:hint="eastAsia"/>
          <w:lang w:eastAsia="zh-CN"/>
        </w:rPr>
        <w:t>件</w:t>
      </w:r>
      <w:r>
        <w:rPr>
          <w:rFonts w:hint="eastAsia"/>
          <w:lang w:val="en-US" w:eastAsia="zh-CN"/>
        </w:rPr>
        <w:t>贮存容器</w:t>
      </w:r>
      <w:r>
        <w:rPr>
          <w:rFonts w:hint="eastAsia"/>
        </w:rPr>
        <w:t>标识检查</w:t>
      </w:r>
    </w:p>
    <w:p w14:paraId="7585CFE7">
      <w:pPr>
        <w:pStyle w:val="22"/>
        <w:numPr>
          <w:ilvl w:val="0"/>
          <w:numId w:val="0"/>
        </w:numPr>
        <w:ind w:left="448" w:leftChars="0"/>
        <w:rPr>
          <w:rFonts w:hint="eastAsia"/>
          <w:spacing w:val="7"/>
          <w:lang w:val="en-US" w:eastAsia="zh-CN"/>
        </w:rPr>
      </w:pPr>
      <w:r>
        <w:rPr>
          <w:rFonts w:hint="eastAsia"/>
          <w:spacing w:val="7"/>
          <w:lang w:val="en-US" w:eastAsia="zh-CN"/>
        </w:rPr>
        <w:t>依据燃料元件装箱清单，对照装箱单对每台贮存容器进行清点，核对每台容器的标识；保证标识清晰、完整且与装箱清单一致。</w:t>
      </w:r>
    </w:p>
    <w:p w14:paraId="322FFDE2">
      <w:pPr>
        <w:pStyle w:val="140"/>
        <w:spacing w:before="156" w:after="156"/>
      </w:pPr>
      <w:r>
        <w:rPr>
          <w:rFonts w:hint="eastAsia"/>
          <w:lang w:val="en-US" w:eastAsia="zh-CN"/>
        </w:rPr>
        <w:t>装球后清洁度</w:t>
      </w:r>
      <w:r>
        <w:rPr>
          <w:rFonts w:hint="eastAsia"/>
        </w:rPr>
        <w:t>，燃料元件表面质量</w:t>
      </w:r>
      <w:r>
        <w:rPr>
          <w:rFonts w:hint="eastAsia"/>
          <w:lang w:val="en-US" w:eastAsia="zh-CN"/>
        </w:rPr>
        <w:t>检查</w:t>
      </w:r>
    </w:p>
    <w:p w14:paraId="4A2735E7">
      <w:pPr>
        <w:pStyle w:val="22"/>
        <w:numPr>
          <w:ilvl w:val="0"/>
          <w:numId w:val="0"/>
        </w:numPr>
        <w:ind w:left="448" w:leftChars="0"/>
        <w:rPr>
          <w:rFonts w:hint="eastAsia"/>
          <w:spacing w:val="7"/>
          <w:lang w:eastAsia="zh-CN"/>
        </w:rPr>
      </w:pPr>
      <w:r>
        <w:rPr>
          <w:rFonts w:hint="eastAsia"/>
          <w:spacing w:val="7"/>
          <w:lang w:val="en-US" w:eastAsia="zh-CN"/>
        </w:rPr>
        <w:t>1）</w:t>
      </w:r>
      <w:r>
        <w:rPr>
          <w:rFonts w:hint="eastAsia"/>
          <w:spacing w:val="7"/>
        </w:rPr>
        <w:t>清洁度验收：检查容器内部的清洁度。要求无油污、</w:t>
      </w:r>
      <w:r>
        <w:rPr>
          <w:rFonts w:hint="eastAsia"/>
          <w:spacing w:val="7"/>
          <w:lang w:val="en-US" w:eastAsia="zh-CN"/>
        </w:rPr>
        <w:t>无</w:t>
      </w:r>
      <w:r>
        <w:rPr>
          <w:rFonts w:hint="eastAsia"/>
          <w:spacing w:val="7"/>
        </w:rPr>
        <w:t>粉尘、</w:t>
      </w:r>
      <w:r>
        <w:rPr>
          <w:rFonts w:hint="eastAsia"/>
          <w:spacing w:val="7"/>
          <w:lang w:val="en-US" w:eastAsia="zh-CN"/>
        </w:rPr>
        <w:t>无</w:t>
      </w:r>
      <w:r>
        <w:rPr>
          <w:rFonts w:hint="eastAsia"/>
          <w:spacing w:val="7"/>
        </w:rPr>
        <w:t>杂志颗粒、</w:t>
      </w:r>
      <w:r>
        <w:rPr>
          <w:rFonts w:hint="eastAsia"/>
          <w:spacing w:val="7"/>
          <w:lang w:val="en-US" w:eastAsia="zh-CN"/>
        </w:rPr>
        <w:t>无</w:t>
      </w:r>
      <w:r>
        <w:rPr>
          <w:rFonts w:hint="eastAsia"/>
          <w:spacing w:val="7"/>
        </w:rPr>
        <w:t>水渍</w:t>
      </w:r>
      <w:r>
        <w:rPr>
          <w:rFonts w:hint="eastAsia"/>
          <w:spacing w:val="7"/>
          <w:lang w:eastAsia="zh-CN"/>
        </w:rPr>
        <w:t>；</w:t>
      </w:r>
    </w:p>
    <w:p w14:paraId="64F26BEC">
      <w:pPr>
        <w:pStyle w:val="22"/>
        <w:numPr>
          <w:ilvl w:val="0"/>
          <w:numId w:val="0"/>
        </w:numPr>
        <w:ind w:left="448" w:leftChars="0"/>
        <w:rPr>
          <w:rFonts w:hint="eastAsia"/>
          <w:spacing w:val="7"/>
          <w:lang w:val="en-US" w:eastAsia="zh-CN"/>
        </w:rPr>
      </w:pPr>
      <w:r>
        <w:rPr>
          <w:rFonts w:hint="eastAsia"/>
          <w:spacing w:val="7"/>
          <w:lang w:val="en-US" w:eastAsia="zh-CN"/>
        </w:rPr>
        <w:t>日常验收：按照日常见证频次抽取1个容器进行清洁度验收，检查容器的清洁度；</w:t>
      </w:r>
    </w:p>
    <w:p w14:paraId="32A38E71">
      <w:pPr>
        <w:pStyle w:val="22"/>
        <w:numPr>
          <w:ilvl w:val="0"/>
          <w:numId w:val="0"/>
        </w:numPr>
        <w:ind w:left="448" w:leftChars="0"/>
        <w:rPr>
          <w:rFonts w:hint="default"/>
          <w:spacing w:val="7"/>
          <w:lang w:val="en-US" w:eastAsia="zh-CN"/>
        </w:rPr>
      </w:pPr>
      <w:r>
        <w:rPr>
          <w:rFonts w:hint="eastAsia"/>
          <w:spacing w:val="7"/>
          <w:lang w:val="en-US" w:eastAsia="zh-CN"/>
        </w:rPr>
        <w:t>定期验收：提前联系燃料厂包装时间，在包装前抽检该批次1个容器的清洁度。</w:t>
      </w:r>
    </w:p>
    <w:p w14:paraId="539105EA">
      <w:pPr>
        <w:pStyle w:val="22"/>
        <w:numPr>
          <w:ilvl w:val="0"/>
          <w:numId w:val="0"/>
        </w:numPr>
        <w:ind w:left="448" w:leftChars="0"/>
        <w:rPr>
          <w:rFonts w:hint="eastAsia"/>
          <w:spacing w:val="7"/>
        </w:rPr>
      </w:pPr>
      <w:r>
        <w:rPr>
          <w:rFonts w:hint="eastAsia"/>
          <w:spacing w:val="7"/>
          <w:lang w:val="en-US" w:eastAsia="zh-CN"/>
        </w:rPr>
        <w:t>2）</w:t>
      </w:r>
      <w:r>
        <w:rPr>
          <w:rFonts w:hint="eastAsia"/>
          <w:spacing w:val="7"/>
        </w:rPr>
        <w:t>燃料元件表面质量验收：要求燃料元件表面干净，光洁度好，无机加工切削痕迹、凹痕、空洞、缺口，无油污和其他污染物；不允许有一个切向长度≥5mm且径向深度≥2mm的缺陷，或两个切向长度≥2mm且径向深度≥1mm的缺陷。</w:t>
      </w:r>
    </w:p>
    <w:p w14:paraId="693BAF53">
      <w:pPr>
        <w:pStyle w:val="22"/>
        <w:numPr>
          <w:ilvl w:val="0"/>
          <w:numId w:val="0"/>
        </w:numPr>
        <w:ind w:left="448" w:leftChars="0"/>
        <w:rPr>
          <w:rFonts w:hint="eastAsia"/>
          <w:spacing w:val="7"/>
          <w:lang w:val="en-US" w:eastAsia="zh-CN"/>
        </w:rPr>
      </w:pPr>
      <w:r>
        <w:rPr>
          <w:rFonts w:hint="eastAsia"/>
          <w:spacing w:val="7"/>
          <w:lang w:val="en-US" w:eastAsia="zh-CN"/>
        </w:rPr>
        <w:t>日常验收：按照日常见证频次抽取1个燃料元件篮的原则进行抽样检查；</w:t>
      </w:r>
    </w:p>
    <w:p w14:paraId="522DD98B">
      <w:pPr>
        <w:pStyle w:val="22"/>
        <w:numPr>
          <w:ilvl w:val="0"/>
          <w:numId w:val="0"/>
        </w:numPr>
        <w:ind w:left="448" w:leftChars="0"/>
        <w:rPr>
          <w:rFonts w:hint="default"/>
          <w:spacing w:val="7"/>
          <w:lang w:val="en-US" w:eastAsia="zh-CN"/>
        </w:rPr>
      </w:pPr>
      <w:r>
        <w:rPr>
          <w:rFonts w:hint="eastAsia"/>
          <w:spacing w:val="7"/>
          <w:lang w:val="en-US" w:eastAsia="zh-CN"/>
        </w:rPr>
        <w:t>定期验收：提前联系燃料厂包装时间，在包装前抽检该批次1个容器中的1%的燃料球表面质量。</w:t>
      </w:r>
    </w:p>
    <w:p w14:paraId="2DAFABF2">
      <w:pPr>
        <w:pStyle w:val="140"/>
        <w:spacing w:before="156" w:after="156"/>
      </w:pPr>
      <w:r>
        <w:rPr>
          <w:rFonts w:hint="eastAsia"/>
        </w:rPr>
        <w:t>燃料元件发运前</w:t>
      </w:r>
      <w:r>
        <w:rPr>
          <w:rFonts w:hint="eastAsia"/>
          <w:lang w:val="en-US" w:eastAsia="zh-CN"/>
        </w:rPr>
        <w:t>检查</w:t>
      </w:r>
    </w:p>
    <w:p w14:paraId="0A537E38">
      <w:pPr>
        <w:pStyle w:val="22"/>
        <w:numPr>
          <w:ilvl w:val="0"/>
          <w:numId w:val="0"/>
        </w:numPr>
        <w:ind w:left="448" w:leftChars="0"/>
        <w:rPr>
          <w:spacing w:val="7"/>
        </w:rPr>
      </w:pPr>
      <w:r>
        <w:rPr>
          <w:rFonts w:hint="eastAsia"/>
          <w:spacing w:val="7"/>
        </w:rPr>
        <w:t>对运输容器放射性水平、加速度计安装、燃料元件贮运容器装车后的栓系等情况检查。</w:t>
      </w:r>
    </w:p>
    <w:p w14:paraId="5F0FEB38">
      <w:pPr>
        <w:pStyle w:val="139"/>
        <w:spacing w:before="156" w:after="156"/>
      </w:pPr>
      <w:bookmarkStart w:id="45" w:name="_Toc156921543"/>
      <w:bookmarkStart w:id="46" w:name="_Toc156981835"/>
      <w:r>
        <w:rPr>
          <w:rFonts w:hint="eastAsia"/>
        </w:rPr>
        <w:t>验收结果与处置</w:t>
      </w:r>
      <w:bookmarkEnd w:id="45"/>
      <w:bookmarkEnd w:id="46"/>
    </w:p>
    <w:p w14:paraId="34C44619">
      <w:pPr>
        <w:pStyle w:val="22"/>
        <w:numPr>
          <w:ilvl w:val="0"/>
          <w:numId w:val="0"/>
        </w:numPr>
        <w:ind w:left="448" w:leftChars="0"/>
        <w:rPr>
          <w:spacing w:val="7"/>
        </w:rPr>
      </w:pPr>
      <w:r>
        <w:rPr>
          <w:rFonts w:hint="eastAsia"/>
          <w:spacing w:val="7"/>
        </w:rPr>
        <w:t>若容器标识，清洁度不满足验收要求，供方要查明原因进行整改，并编制整改报告。整改后申请复验，整改报告随燃料元件出厂复验通知一同发买方。</w:t>
      </w:r>
    </w:p>
    <w:p w14:paraId="429FD00D">
      <w:pPr>
        <w:pStyle w:val="22"/>
        <w:numPr>
          <w:ilvl w:val="0"/>
          <w:numId w:val="0"/>
        </w:numPr>
        <w:ind w:left="448" w:leftChars="0"/>
      </w:pPr>
      <w:r>
        <w:rPr>
          <w:rFonts w:hint="eastAsia"/>
        </w:rPr>
        <w:t>若燃料元件表面质量不满足验收要求，则按抽样方法加倍抽样，直至全检，并开启不符合项。</w:t>
      </w:r>
    </w:p>
    <w:p w14:paraId="2030CEC4">
      <w:pPr>
        <w:pStyle w:val="139"/>
        <w:spacing w:before="156" w:after="156"/>
      </w:pPr>
      <w:bookmarkStart w:id="47" w:name="_Toc156981836"/>
      <w:bookmarkStart w:id="48" w:name="_Toc156921544"/>
      <w:r>
        <w:rPr>
          <w:rFonts w:hint="eastAsia"/>
        </w:rPr>
        <w:t>验收结论</w:t>
      </w:r>
      <w:bookmarkEnd w:id="47"/>
      <w:bookmarkEnd w:id="48"/>
    </w:p>
    <w:p w14:paraId="7CAEDFE0">
      <w:pPr>
        <w:pStyle w:val="22"/>
        <w:numPr>
          <w:ilvl w:val="0"/>
          <w:numId w:val="0"/>
        </w:numPr>
        <w:ind w:left="448" w:leftChars="0"/>
        <w:rPr>
          <w:rFonts w:hint="eastAsia"/>
          <w:spacing w:val="7"/>
          <w:lang w:eastAsia="zh-CN"/>
        </w:rPr>
      </w:pPr>
      <w:r>
        <w:rPr>
          <w:rFonts w:hint="eastAsia"/>
          <w:spacing w:val="7"/>
        </w:rPr>
        <w:t>验收组负责起草出厂验收意见书，验收结论分为</w:t>
      </w:r>
      <w:r>
        <w:rPr>
          <w:rFonts w:hint="eastAsia"/>
          <w:spacing w:val="7"/>
          <w:lang w:val="en-US" w:eastAsia="zh-CN"/>
        </w:rPr>
        <w:t>接受</w:t>
      </w:r>
      <w:r>
        <w:rPr>
          <w:rFonts w:hint="eastAsia"/>
          <w:spacing w:val="7"/>
        </w:rPr>
        <w:t>、有条件接收（需限期整改后出厂或承诺现场处理解决遗留问题）、拒收三种形式，最终由验收组长签字、宣布</w:t>
      </w:r>
      <w:r>
        <w:rPr>
          <w:rFonts w:hint="eastAsia"/>
          <w:spacing w:val="7"/>
          <w:lang w:eastAsia="zh-CN"/>
        </w:rPr>
        <w:t>；</w:t>
      </w:r>
    </w:p>
    <w:p w14:paraId="6DA4D5B9">
      <w:pPr>
        <w:pStyle w:val="22"/>
        <w:numPr>
          <w:ilvl w:val="0"/>
          <w:numId w:val="0"/>
        </w:numPr>
        <w:ind w:left="448" w:leftChars="0"/>
        <w:rPr>
          <w:spacing w:val="7"/>
        </w:rPr>
      </w:pPr>
      <w:r>
        <w:rPr>
          <w:rFonts w:hint="eastAsia"/>
          <w:spacing w:val="7"/>
        </w:rPr>
        <w:t>对于验收意见书中需要详细说明和限期整改的遗留问题等事项，应由验收组编制出厂验收纪要，在与供方讨论后，共同签字认可。待整改遗留问题解决后，供方正式提交相关证明文件至买方，买方审查后正式通知供方验收结论。</w:t>
      </w:r>
    </w:p>
    <w:p w14:paraId="2B4B4865">
      <w:pPr>
        <w:pStyle w:val="138"/>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decimal" w:start="1"/>
          <w:cols w:space="425" w:num="1"/>
          <w:formProt w:val="0"/>
          <w:docGrid w:type="lines" w:linePitch="312" w:charSpace="0"/>
        </w:sectPr>
      </w:pPr>
    </w:p>
    <w:p w14:paraId="275C2698">
      <w:pPr>
        <w:pStyle w:val="141"/>
      </w:pPr>
    </w:p>
    <w:p w14:paraId="4B4EE0A6">
      <w:pPr>
        <w:pStyle w:val="142"/>
      </w:pPr>
    </w:p>
    <w:p w14:paraId="2D48A338">
      <w:pPr>
        <w:pStyle w:val="143"/>
        <w:spacing w:before="78" w:after="156"/>
      </w:pPr>
      <w:r>
        <w:br w:type="textWrapping"/>
      </w:r>
      <w:bookmarkStart w:id="49" w:name="_Toc156921545"/>
      <w:bookmarkStart w:id="50" w:name="_Toc156981837"/>
      <w:r>
        <w:rPr>
          <w:rFonts w:hint="eastAsia"/>
        </w:rPr>
        <w:t>（资料性）</w:t>
      </w:r>
      <w:r>
        <w:br w:type="textWrapping"/>
      </w:r>
      <w:r>
        <w:rPr>
          <w:rFonts w:hint="eastAsia"/>
        </w:rPr>
        <w:t>球形燃料元件技术参数</w:t>
      </w:r>
      <w:bookmarkEnd w:id="49"/>
      <w:bookmarkEnd w:id="50"/>
    </w:p>
    <w:p w14:paraId="146D1097">
      <w:pPr>
        <w:pStyle w:val="144"/>
        <w:spacing w:before="156" w:after="156"/>
      </w:pPr>
      <w:bookmarkStart w:id="51" w:name="_Toc156921546"/>
      <w:bookmarkStart w:id="52" w:name="_Toc156981838"/>
      <w:r>
        <w:rPr>
          <w:rFonts w:hint="eastAsia"/>
        </w:rPr>
        <w:t>球形燃料元件技术参数</w:t>
      </w:r>
      <w:bookmarkEnd w:id="51"/>
      <w:bookmarkEnd w:id="52"/>
    </w:p>
    <w:p w14:paraId="31E440EF">
      <w:pPr>
        <w:pStyle w:val="143"/>
        <w:numPr>
          <w:ilvl w:val="0"/>
          <w:numId w:val="0"/>
        </w:numPr>
        <w:spacing w:before="78" w:after="156"/>
      </w:pPr>
      <w:bookmarkStart w:id="53" w:name="_Toc156918384"/>
      <w:bookmarkStart w:id="54" w:name="_Toc156917048"/>
      <w:bookmarkStart w:id="55" w:name="_Toc156981839"/>
      <w:bookmarkStart w:id="56" w:name="_Toc156979140"/>
      <w:r>
        <w:rPr>
          <w:rFonts w:hint="eastAsia"/>
        </w:rPr>
        <w:t>表A</w:t>
      </w:r>
      <w:r>
        <w:t>.</w:t>
      </w:r>
      <w:r>
        <w:rPr>
          <w:rFonts w:hint="eastAsia"/>
        </w:rPr>
        <w:t>1</w:t>
      </w:r>
      <w:r>
        <w:t xml:space="preserve"> </w:t>
      </w:r>
      <w:bookmarkStart w:id="57" w:name="_Hlk156916463"/>
      <w:r>
        <w:rPr>
          <w:rFonts w:hint="eastAsia"/>
        </w:rPr>
        <w:t>球形燃料元件设计</w:t>
      </w:r>
      <w:bookmarkEnd w:id="53"/>
      <w:bookmarkEnd w:id="54"/>
      <w:bookmarkEnd w:id="57"/>
      <w:r>
        <w:rPr>
          <w:rFonts w:hint="eastAsia"/>
        </w:rPr>
        <w:t>参数</w:t>
      </w:r>
      <w:bookmarkEnd w:id="55"/>
      <w:bookmarkEnd w:id="56"/>
    </w:p>
    <w:tbl>
      <w:tblPr>
        <w:tblStyle w:val="30"/>
        <w:tblW w:w="0" w:type="auto"/>
        <w:tblInd w:w="0" w:type="dxa"/>
        <w:tblLayout w:type="fixed"/>
        <w:tblCellMar>
          <w:top w:w="0" w:type="dxa"/>
          <w:left w:w="108" w:type="dxa"/>
          <w:bottom w:w="0" w:type="dxa"/>
          <w:right w:w="108" w:type="dxa"/>
        </w:tblCellMar>
      </w:tblPr>
      <w:tblGrid>
        <w:gridCol w:w="709"/>
        <w:gridCol w:w="3968"/>
        <w:gridCol w:w="4414"/>
      </w:tblGrid>
      <w:tr w14:paraId="7F038608">
        <w:tblPrEx>
          <w:tblCellMar>
            <w:top w:w="0" w:type="dxa"/>
            <w:left w:w="108" w:type="dxa"/>
            <w:bottom w:w="0" w:type="dxa"/>
            <w:right w:w="108" w:type="dxa"/>
          </w:tblCellMar>
        </w:tblPrEx>
        <w:trPr>
          <w:trHeight w:val="565" w:hRule="exact"/>
        </w:trPr>
        <w:tc>
          <w:tcPr>
            <w:tcW w:w="709" w:type="dxa"/>
            <w:tcBorders>
              <w:top w:val="single" w:color="000000" w:sz="8" w:space="0"/>
              <w:left w:val="single" w:color="000000" w:sz="8" w:space="0"/>
              <w:bottom w:val="single" w:color="000000" w:sz="6" w:space="0"/>
              <w:right w:val="single" w:color="000000" w:sz="6" w:space="0"/>
            </w:tcBorders>
            <w:vAlign w:val="center"/>
          </w:tcPr>
          <w:p w14:paraId="015C80F3">
            <w:pPr>
              <w:pStyle w:val="145"/>
              <w:rPr>
                <w:rFonts w:hint="default" w:ascii="Times New Roman" w:hAnsi="Times New Roman" w:cs="Times New Roman"/>
                <w:b/>
                <w:bCs/>
                <w:szCs w:val="18"/>
              </w:rPr>
            </w:pPr>
            <w:r>
              <w:rPr>
                <w:rFonts w:hint="default" w:ascii="Times New Roman" w:hAnsi="Times New Roman" w:cs="Times New Roman"/>
                <w:b/>
                <w:bCs/>
                <w:szCs w:val="18"/>
              </w:rPr>
              <w:t>编号</w:t>
            </w:r>
          </w:p>
        </w:tc>
        <w:tc>
          <w:tcPr>
            <w:tcW w:w="3968" w:type="dxa"/>
            <w:tcBorders>
              <w:top w:val="single" w:color="000000" w:sz="8" w:space="0"/>
              <w:left w:val="single" w:color="000000" w:sz="6" w:space="0"/>
              <w:bottom w:val="single" w:color="000000" w:sz="6" w:space="0"/>
              <w:right w:val="single" w:color="000000" w:sz="6" w:space="0"/>
            </w:tcBorders>
            <w:vAlign w:val="center"/>
          </w:tcPr>
          <w:p w14:paraId="35C6D375">
            <w:pPr>
              <w:pStyle w:val="145"/>
              <w:rPr>
                <w:rFonts w:hint="default" w:ascii="Times New Roman" w:hAnsi="Times New Roman" w:cs="Times New Roman"/>
                <w:b/>
                <w:bCs/>
                <w:szCs w:val="18"/>
              </w:rPr>
            </w:pPr>
            <w:r>
              <w:rPr>
                <w:rFonts w:hint="default" w:ascii="Times New Roman" w:hAnsi="Times New Roman" w:cs="Times New Roman"/>
                <w:b/>
                <w:bCs/>
                <w:szCs w:val="18"/>
              </w:rPr>
              <w:t>项目</w:t>
            </w:r>
          </w:p>
        </w:tc>
        <w:tc>
          <w:tcPr>
            <w:tcW w:w="4414" w:type="dxa"/>
            <w:tcBorders>
              <w:top w:val="single" w:color="000000" w:sz="8" w:space="0"/>
              <w:left w:val="single" w:color="000000" w:sz="6" w:space="0"/>
              <w:bottom w:val="single" w:color="000000" w:sz="6" w:space="0"/>
              <w:right w:val="single" w:color="000000" w:sz="8" w:space="0"/>
            </w:tcBorders>
            <w:vAlign w:val="center"/>
          </w:tcPr>
          <w:p w14:paraId="18D42786">
            <w:pPr>
              <w:pStyle w:val="145"/>
              <w:rPr>
                <w:rFonts w:hint="default" w:ascii="Times New Roman" w:hAnsi="Times New Roman" w:cs="Times New Roman"/>
                <w:b/>
                <w:bCs/>
                <w:szCs w:val="18"/>
              </w:rPr>
            </w:pPr>
            <w:r>
              <w:rPr>
                <w:rFonts w:hint="default" w:ascii="Times New Roman" w:hAnsi="Times New Roman" w:cs="Times New Roman"/>
                <w:b/>
                <w:bCs/>
                <w:szCs w:val="18"/>
              </w:rPr>
              <w:t>技术指标</w:t>
            </w:r>
          </w:p>
        </w:tc>
      </w:tr>
      <w:tr w14:paraId="4C1510C5">
        <w:tblPrEx>
          <w:tblCellMar>
            <w:top w:w="0" w:type="dxa"/>
            <w:left w:w="108" w:type="dxa"/>
            <w:bottom w:w="0" w:type="dxa"/>
            <w:right w:w="108" w:type="dxa"/>
          </w:tblCellMar>
        </w:tblPrEx>
        <w:trPr>
          <w:trHeight w:val="522"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1140830C">
            <w:pPr>
              <w:pStyle w:val="145"/>
              <w:rPr>
                <w:rFonts w:hint="default" w:ascii="Times New Roman" w:hAnsi="Times New Roman" w:cs="Times New Roman"/>
                <w:b/>
                <w:bCs/>
                <w:szCs w:val="18"/>
              </w:rPr>
            </w:pPr>
            <w:r>
              <w:rPr>
                <w:rFonts w:hint="default" w:ascii="Times New Roman" w:hAnsi="Times New Roman" w:cs="Times New Roman"/>
                <w:b/>
                <w:bCs/>
                <w:szCs w:val="18"/>
              </w:rPr>
              <w:t>1</w:t>
            </w:r>
          </w:p>
        </w:tc>
        <w:tc>
          <w:tcPr>
            <w:tcW w:w="8382" w:type="dxa"/>
            <w:gridSpan w:val="2"/>
            <w:tcBorders>
              <w:top w:val="single" w:color="000000" w:sz="6" w:space="0"/>
              <w:left w:val="single" w:color="000000" w:sz="6" w:space="0"/>
              <w:bottom w:val="single" w:color="000000" w:sz="6" w:space="0"/>
              <w:right w:val="single" w:color="000000" w:sz="8" w:space="0"/>
            </w:tcBorders>
            <w:vAlign w:val="center"/>
          </w:tcPr>
          <w:p w14:paraId="0390EA34">
            <w:pPr>
              <w:pStyle w:val="145"/>
              <w:jc w:val="left"/>
              <w:rPr>
                <w:rFonts w:hint="default" w:ascii="Times New Roman" w:hAnsi="Times New Roman" w:cs="Times New Roman"/>
                <w:b/>
                <w:bCs/>
                <w:szCs w:val="18"/>
              </w:rPr>
            </w:pPr>
            <w:r>
              <w:rPr>
                <w:rFonts w:hint="default" w:ascii="Times New Roman" w:hAnsi="Times New Roman" w:cs="Times New Roman"/>
                <w:b/>
                <w:bCs/>
                <w:szCs w:val="18"/>
              </w:rPr>
              <w:t>基体石墨球</w:t>
            </w:r>
          </w:p>
        </w:tc>
      </w:tr>
      <w:tr w14:paraId="18A644F5">
        <w:tblPrEx>
          <w:tblCellMar>
            <w:top w:w="0" w:type="dxa"/>
            <w:left w:w="108" w:type="dxa"/>
            <w:bottom w:w="0" w:type="dxa"/>
            <w:right w:w="108" w:type="dxa"/>
          </w:tblCellMar>
        </w:tblPrEx>
        <w:trPr>
          <w:trHeight w:val="522"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40244AF2">
            <w:pPr>
              <w:pStyle w:val="145"/>
              <w:rPr>
                <w:rFonts w:hint="default" w:ascii="Times New Roman" w:hAnsi="Times New Roman" w:cs="Times New Roman"/>
                <w:szCs w:val="18"/>
              </w:rPr>
            </w:pPr>
            <w:r>
              <w:rPr>
                <w:rFonts w:hint="default" w:ascii="Times New Roman" w:hAnsi="Times New Roman" w:cs="Times New Roman"/>
                <w:szCs w:val="18"/>
              </w:rPr>
              <w:t>(1)</w:t>
            </w:r>
          </w:p>
        </w:tc>
        <w:tc>
          <w:tcPr>
            <w:tcW w:w="3968" w:type="dxa"/>
            <w:tcBorders>
              <w:top w:val="single" w:color="000000" w:sz="6" w:space="0"/>
              <w:left w:val="single" w:color="000000" w:sz="6" w:space="0"/>
              <w:bottom w:val="single" w:color="000000" w:sz="6" w:space="0"/>
              <w:right w:val="single" w:color="000000" w:sz="6" w:space="0"/>
            </w:tcBorders>
            <w:vAlign w:val="center"/>
          </w:tcPr>
          <w:p w14:paraId="6FCF8613">
            <w:pPr>
              <w:pStyle w:val="145"/>
              <w:rPr>
                <w:rFonts w:hint="default" w:ascii="Times New Roman" w:hAnsi="Times New Roman" w:cs="Times New Roman"/>
                <w:szCs w:val="18"/>
              </w:rPr>
            </w:pPr>
            <w:r>
              <w:rPr>
                <w:rFonts w:hint="default" w:ascii="Times New Roman" w:hAnsi="Times New Roman" w:cs="Times New Roman"/>
                <w:szCs w:val="18"/>
              </w:rPr>
              <w:t>密度</w:t>
            </w:r>
            <w:r>
              <w:rPr>
                <w:rFonts w:hint="default" w:ascii="Times New Roman" w:hAnsi="Times New Roman" w:cs="Times New Roman"/>
                <w:szCs w:val="18"/>
                <w:lang w:val="en-US" w:eastAsia="zh-CN"/>
              </w:rPr>
              <w:t>ρ</w:t>
            </w:r>
            <w:r>
              <w:rPr>
                <w:rFonts w:hint="default" w:ascii="Times New Roman" w:hAnsi="Times New Roman" w:cs="Times New Roman"/>
                <w:szCs w:val="18"/>
              </w:rPr>
              <w:t>（g/cm</w:t>
            </w:r>
            <w:r>
              <w:rPr>
                <w:rFonts w:hint="default" w:ascii="Times New Roman" w:hAnsi="Times New Roman" w:cs="Times New Roman"/>
                <w:szCs w:val="18"/>
                <w:vertAlign w:val="superscript"/>
              </w:rPr>
              <w:t>3</w:t>
            </w:r>
            <w:r>
              <w:rPr>
                <w:rFonts w:hint="default" w:ascii="Times New Roman" w:hAnsi="Times New Roman" w:cs="Times New Roman"/>
                <w:szCs w:val="18"/>
              </w:rPr>
              <w:t>）</w:t>
            </w:r>
          </w:p>
        </w:tc>
        <w:tc>
          <w:tcPr>
            <w:tcW w:w="4414" w:type="dxa"/>
            <w:tcBorders>
              <w:top w:val="single" w:color="000000" w:sz="6" w:space="0"/>
              <w:left w:val="single" w:color="000000" w:sz="6" w:space="0"/>
              <w:bottom w:val="single" w:color="000000" w:sz="6" w:space="0"/>
              <w:right w:val="single" w:color="000000" w:sz="8" w:space="0"/>
            </w:tcBorders>
            <w:vAlign w:val="center"/>
          </w:tcPr>
          <w:p w14:paraId="4C464B21">
            <w:pPr>
              <w:pStyle w:val="145"/>
              <w:rPr>
                <w:rFonts w:hint="default" w:ascii="Times New Roman" w:hAnsi="Times New Roman" w:cs="Times New Roman"/>
                <w:szCs w:val="18"/>
              </w:rPr>
            </w:pPr>
            <w:r>
              <w:rPr>
                <w:rFonts w:hint="default" w:ascii="Times New Roman" w:hAnsi="Times New Roman" w:cs="Times New Roman"/>
                <w:szCs w:val="18"/>
              </w:rPr>
              <w:t>1.70≤</w:t>
            </w:r>
            <w:r>
              <w:rPr>
                <w:rFonts w:hint="default" w:ascii="Times New Roman" w:hAnsi="Times New Roman" w:cs="Times New Roman"/>
                <w:szCs w:val="18"/>
                <w:lang w:val="en-US" w:eastAsia="zh-CN"/>
              </w:rPr>
              <w:t>ρ</w:t>
            </w:r>
            <w:r>
              <w:rPr>
                <w:rFonts w:hint="default" w:ascii="Times New Roman" w:hAnsi="Times New Roman" w:cs="Times New Roman"/>
                <w:szCs w:val="18"/>
              </w:rPr>
              <w:t>≤1.77</w:t>
            </w:r>
          </w:p>
        </w:tc>
      </w:tr>
      <w:tr w14:paraId="6AB5981D">
        <w:tblPrEx>
          <w:tblCellMar>
            <w:top w:w="0" w:type="dxa"/>
            <w:left w:w="108" w:type="dxa"/>
            <w:bottom w:w="0" w:type="dxa"/>
            <w:right w:w="108" w:type="dxa"/>
          </w:tblCellMar>
        </w:tblPrEx>
        <w:trPr>
          <w:trHeight w:val="522"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739C308E">
            <w:pPr>
              <w:pStyle w:val="145"/>
              <w:rPr>
                <w:rFonts w:hint="default" w:ascii="Times New Roman" w:hAnsi="Times New Roman" w:cs="Times New Roman"/>
                <w:szCs w:val="18"/>
              </w:rPr>
            </w:pPr>
            <w:r>
              <w:rPr>
                <w:rFonts w:hint="default" w:ascii="Times New Roman" w:hAnsi="Times New Roman" w:cs="Times New Roman"/>
                <w:szCs w:val="18"/>
              </w:rPr>
              <w:t>(2)</w:t>
            </w:r>
          </w:p>
        </w:tc>
        <w:tc>
          <w:tcPr>
            <w:tcW w:w="3968" w:type="dxa"/>
            <w:tcBorders>
              <w:top w:val="single" w:color="000000" w:sz="6" w:space="0"/>
              <w:left w:val="single" w:color="000000" w:sz="6" w:space="0"/>
              <w:bottom w:val="single" w:color="000000" w:sz="6" w:space="0"/>
              <w:right w:val="single" w:color="000000" w:sz="6" w:space="0"/>
            </w:tcBorders>
            <w:vAlign w:val="center"/>
          </w:tcPr>
          <w:p w14:paraId="1A64C67D">
            <w:pPr>
              <w:pStyle w:val="145"/>
              <w:rPr>
                <w:rFonts w:hint="default" w:ascii="Times New Roman" w:hAnsi="Times New Roman" w:cs="Times New Roman"/>
                <w:szCs w:val="18"/>
              </w:rPr>
            </w:pPr>
            <w:r>
              <w:rPr>
                <w:rFonts w:hint="default" w:ascii="Times New Roman" w:hAnsi="Times New Roman" w:cs="Times New Roman"/>
                <w:szCs w:val="18"/>
              </w:rPr>
              <w:t>总灰分（μg/g）</w:t>
            </w:r>
          </w:p>
        </w:tc>
        <w:tc>
          <w:tcPr>
            <w:tcW w:w="4414" w:type="dxa"/>
            <w:tcBorders>
              <w:top w:val="single" w:color="000000" w:sz="6" w:space="0"/>
              <w:left w:val="single" w:color="000000" w:sz="6" w:space="0"/>
              <w:bottom w:val="single" w:color="000000" w:sz="6" w:space="0"/>
              <w:right w:val="single" w:color="000000" w:sz="8" w:space="0"/>
            </w:tcBorders>
            <w:vAlign w:val="center"/>
          </w:tcPr>
          <w:p w14:paraId="25FBF650">
            <w:pPr>
              <w:pStyle w:val="145"/>
              <w:rPr>
                <w:rFonts w:hint="default" w:ascii="Times New Roman" w:hAnsi="Times New Roman" w:cs="Times New Roman"/>
                <w:szCs w:val="18"/>
              </w:rPr>
            </w:pPr>
            <w:r>
              <w:rPr>
                <w:rFonts w:hint="default" w:ascii="Times New Roman" w:hAnsi="Times New Roman" w:cs="Times New Roman"/>
                <w:szCs w:val="18"/>
              </w:rPr>
              <w:t>＜300</w:t>
            </w:r>
          </w:p>
        </w:tc>
      </w:tr>
      <w:tr w14:paraId="2954BE14">
        <w:tblPrEx>
          <w:tblCellMar>
            <w:top w:w="0" w:type="dxa"/>
            <w:left w:w="108" w:type="dxa"/>
            <w:bottom w:w="0" w:type="dxa"/>
            <w:right w:w="108" w:type="dxa"/>
          </w:tblCellMar>
        </w:tblPrEx>
        <w:trPr>
          <w:trHeight w:val="994"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2F90023F">
            <w:pPr>
              <w:pStyle w:val="145"/>
              <w:rPr>
                <w:rFonts w:hint="default" w:ascii="Times New Roman" w:hAnsi="Times New Roman" w:cs="Times New Roman"/>
                <w:szCs w:val="18"/>
              </w:rPr>
            </w:pPr>
            <w:r>
              <w:rPr>
                <w:rFonts w:hint="default" w:ascii="Times New Roman" w:hAnsi="Times New Roman" w:cs="Times New Roman"/>
                <w:szCs w:val="18"/>
              </w:rPr>
              <w:t>(3)</w:t>
            </w:r>
          </w:p>
        </w:tc>
        <w:tc>
          <w:tcPr>
            <w:tcW w:w="3968" w:type="dxa"/>
            <w:tcBorders>
              <w:top w:val="single" w:color="000000" w:sz="6" w:space="0"/>
              <w:left w:val="single" w:color="000000" w:sz="6" w:space="0"/>
              <w:bottom w:val="single" w:color="000000" w:sz="6" w:space="0"/>
              <w:right w:val="single" w:color="000000" w:sz="6" w:space="0"/>
            </w:tcBorders>
            <w:vAlign w:val="center"/>
          </w:tcPr>
          <w:p w14:paraId="1E5136E0">
            <w:pPr>
              <w:pStyle w:val="145"/>
              <w:rPr>
                <w:rFonts w:hint="default" w:ascii="Times New Roman" w:hAnsi="Times New Roman" w:cs="Times New Roman"/>
                <w:szCs w:val="18"/>
              </w:rPr>
            </w:pPr>
            <w:r>
              <w:rPr>
                <w:rFonts w:hint="default" w:ascii="Times New Roman" w:hAnsi="Times New Roman" w:cs="Times New Roman"/>
                <w:szCs w:val="18"/>
              </w:rPr>
              <w:t>硼当量（μg/g）</w:t>
            </w:r>
          </w:p>
        </w:tc>
        <w:tc>
          <w:tcPr>
            <w:tcW w:w="4414" w:type="dxa"/>
            <w:tcBorders>
              <w:top w:val="single" w:color="000000" w:sz="6" w:space="0"/>
              <w:left w:val="single" w:color="000000" w:sz="6" w:space="0"/>
              <w:bottom w:val="single" w:color="000000" w:sz="6" w:space="0"/>
              <w:right w:val="single" w:color="000000" w:sz="8" w:space="0"/>
            </w:tcBorders>
            <w:vAlign w:val="center"/>
          </w:tcPr>
          <w:p w14:paraId="4511D893">
            <w:pPr>
              <w:pStyle w:val="145"/>
              <w:rPr>
                <w:rFonts w:hint="default" w:ascii="Times New Roman" w:hAnsi="Times New Roman" w:cs="Times New Roman"/>
                <w:szCs w:val="18"/>
              </w:rPr>
            </w:pPr>
            <w:r>
              <w:rPr>
                <w:rFonts w:hint="default" w:ascii="Times New Roman" w:hAnsi="Times New Roman" w:cs="Times New Roman"/>
                <w:szCs w:val="18"/>
              </w:rPr>
              <w:t>≤1.3（应测定 B、Cd、Gd、Dy</w:t>
            </w:r>
            <w:r>
              <w:rPr>
                <w:rFonts w:hint="eastAsia" w:ascii="Times New Roman" w:cs="Times New Roman"/>
                <w:szCs w:val="18"/>
                <w:lang w:eastAsia="zh-CN"/>
              </w:rPr>
              <w:t>、</w:t>
            </w:r>
            <w:r>
              <w:rPr>
                <w:rFonts w:hint="default" w:ascii="Times New Roman" w:hAnsi="Times New Roman" w:cs="Times New Roman"/>
                <w:szCs w:val="18"/>
              </w:rPr>
              <w:t>Eu、Sm和Li等元素的含量，并根 据它们的当量硼因子计算总当量硼 含量）</w:t>
            </w:r>
          </w:p>
        </w:tc>
      </w:tr>
      <w:tr w14:paraId="480007F1">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27A4A74C">
            <w:pPr>
              <w:pStyle w:val="145"/>
              <w:rPr>
                <w:rFonts w:hint="default" w:ascii="Times New Roman" w:hAnsi="Times New Roman" w:cs="Times New Roman"/>
                <w:szCs w:val="18"/>
              </w:rPr>
            </w:pPr>
            <w:r>
              <w:rPr>
                <w:rFonts w:hint="default" w:ascii="Times New Roman" w:hAnsi="Times New Roman" w:cs="Times New Roman"/>
                <w:szCs w:val="18"/>
              </w:rPr>
              <w:t>(4)</w:t>
            </w:r>
          </w:p>
        </w:tc>
        <w:tc>
          <w:tcPr>
            <w:tcW w:w="3968" w:type="dxa"/>
            <w:tcBorders>
              <w:top w:val="single" w:color="000000" w:sz="6" w:space="0"/>
              <w:left w:val="single" w:color="000000" w:sz="6" w:space="0"/>
              <w:bottom w:val="single" w:color="000000" w:sz="6" w:space="0"/>
              <w:right w:val="single" w:color="000000" w:sz="6" w:space="0"/>
            </w:tcBorders>
            <w:vAlign w:val="center"/>
          </w:tcPr>
          <w:p w14:paraId="656E90FC">
            <w:pPr>
              <w:pStyle w:val="145"/>
              <w:rPr>
                <w:rFonts w:hint="default" w:ascii="Times New Roman" w:hAnsi="Times New Roman" w:cs="Times New Roman"/>
                <w:szCs w:val="18"/>
              </w:rPr>
            </w:pPr>
            <w:r>
              <w:rPr>
                <w:rFonts w:hint="default" w:ascii="Times New Roman" w:hAnsi="Times New Roman" w:cs="Times New Roman"/>
                <w:szCs w:val="18"/>
              </w:rPr>
              <w:t>锂含量（μg/g）</w:t>
            </w:r>
          </w:p>
        </w:tc>
        <w:tc>
          <w:tcPr>
            <w:tcW w:w="4414" w:type="dxa"/>
            <w:tcBorders>
              <w:top w:val="single" w:color="000000" w:sz="6" w:space="0"/>
              <w:left w:val="single" w:color="000000" w:sz="6" w:space="0"/>
              <w:bottom w:val="single" w:color="000000" w:sz="6" w:space="0"/>
              <w:right w:val="single" w:color="000000" w:sz="8" w:space="0"/>
            </w:tcBorders>
            <w:vAlign w:val="center"/>
          </w:tcPr>
          <w:p w14:paraId="3FDC20CA">
            <w:pPr>
              <w:pStyle w:val="145"/>
              <w:rPr>
                <w:rFonts w:hint="default" w:ascii="Times New Roman" w:hAnsi="Times New Roman" w:cs="Times New Roman"/>
                <w:szCs w:val="18"/>
              </w:rPr>
            </w:pPr>
            <w:r>
              <w:rPr>
                <w:rFonts w:hint="default" w:ascii="Times New Roman" w:hAnsi="Times New Roman" w:cs="Times New Roman"/>
                <w:szCs w:val="18"/>
              </w:rPr>
              <w:t>≤0.05</w:t>
            </w:r>
          </w:p>
        </w:tc>
      </w:tr>
      <w:tr w14:paraId="5FC9BA0C">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1F644EAA">
            <w:pPr>
              <w:pStyle w:val="145"/>
              <w:rPr>
                <w:rFonts w:hint="default" w:ascii="Times New Roman" w:hAnsi="Times New Roman" w:cs="Times New Roman"/>
                <w:szCs w:val="18"/>
              </w:rPr>
            </w:pPr>
            <w:r>
              <w:rPr>
                <w:rFonts w:hint="default" w:ascii="Times New Roman" w:hAnsi="Times New Roman" w:cs="Times New Roman"/>
                <w:szCs w:val="18"/>
              </w:rPr>
              <w:t>(5)</w:t>
            </w:r>
          </w:p>
        </w:tc>
        <w:tc>
          <w:tcPr>
            <w:tcW w:w="3968" w:type="dxa"/>
            <w:tcBorders>
              <w:top w:val="single" w:color="000000" w:sz="6" w:space="0"/>
              <w:left w:val="single" w:color="000000" w:sz="6" w:space="0"/>
              <w:bottom w:val="single" w:color="000000" w:sz="6" w:space="0"/>
              <w:right w:val="single" w:color="000000" w:sz="6" w:space="0"/>
            </w:tcBorders>
            <w:vAlign w:val="center"/>
          </w:tcPr>
          <w:p w14:paraId="4F354D4A">
            <w:pPr>
              <w:pStyle w:val="145"/>
              <w:rPr>
                <w:rFonts w:hint="default" w:ascii="Times New Roman" w:hAnsi="Times New Roman" w:eastAsia="宋体" w:cs="Times New Roman"/>
                <w:szCs w:val="18"/>
                <w:lang w:val="en-US" w:eastAsia="zh-CN"/>
              </w:rPr>
            </w:pPr>
            <w:r>
              <w:rPr>
                <w:rFonts w:hint="default" w:ascii="Times New Roman" w:hAnsi="Times New Roman" w:cs="Times New Roman"/>
                <w:szCs w:val="18"/>
              </w:rPr>
              <w:t>导热系数</w:t>
            </w:r>
            <w:r>
              <w:rPr>
                <w:rFonts w:hint="eastAsia" w:ascii="Times New Roman" w:cs="Times New Roman"/>
                <w:szCs w:val="18"/>
                <w:lang w:val="en-US" w:eastAsia="zh-CN"/>
              </w:rPr>
              <w:t>[</w:t>
            </w:r>
            <w:r>
              <w:rPr>
                <w:rFonts w:hint="default" w:ascii="Times New Roman" w:hAnsi="Times New Roman" w:cs="Times New Roman"/>
                <w:szCs w:val="18"/>
              </w:rPr>
              <w:t>1000℃</w:t>
            </w:r>
            <w:r>
              <w:rPr>
                <w:rFonts w:hint="eastAsia" w:ascii="Times New Roman" w:cs="Times New Roman"/>
                <w:szCs w:val="18"/>
                <w:lang w:eastAsia="zh-CN"/>
              </w:rPr>
              <w:t>、</w:t>
            </w:r>
            <w:r>
              <w:rPr>
                <w:rFonts w:hint="default" w:ascii="Times New Roman" w:hAnsi="Times New Roman" w:cs="Times New Roman"/>
                <w:szCs w:val="18"/>
              </w:rPr>
              <w:t>W/（m∙K）</w:t>
            </w:r>
            <w:r>
              <w:rPr>
                <w:rFonts w:hint="eastAsia" w:ascii="Times New Roman" w:cs="Times New Roman"/>
                <w:szCs w:val="18"/>
                <w:lang w:val="en-US" w:eastAsia="zh-CN"/>
              </w:rPr>
              <w:t>]</w:t>
            </w:r>
          </w:p>
        </w:tc>
        <w:tc>
          <w:tcPr>
            <w:tcW w:w="4414" w:type="dxa"/>
            <w:tcBorders>
              <w:top w:val="single" w:color="000000" w:sz="6" w:space="0"/>
              <w:left w:val="single" w:color="000000" w:sz="6" w:space="0"/>
              <w:bottom w:val="single" w:color="000000" w:sz="6" w:space="0"/>
              <w:right w:val="single" w:color="000000" w:sz="8" w:space="0"/>
            </w:tcBorders>
            <w:vAlign w:val="center"/>
          </w:tcPr>
          <w:p w14:paraId="781204EE">
            <w:pPr>
              <w:pStyle w:val="145"/>
              <w:rPr>
                <w:rFonts w:hint="default" w:ascii="Times New Roman" w:hAnsi="Times New Roman" w:cs="Times New Roman"/>
                <w:szCs w:val="18"/>
              </w:rPr>
            </w:pPr>
            <w:r>
              <w:rPr>
                <w:rFonts w:hint="default" w:ascii="Times New Roman" w:hAnsi="Times New Roman" w:cs="Times New Roman"/>
                <w:szCs w:val="18"/>
              </w:rPr>
              <w:t>≥25.0</w:t>
            </w:r>
          </w:p>
        </w:tc>
      </w:tr>
      <w:tr w14:paraId="1DA2B278">
        <w:tblPrEx>
          <w:tblCellMar>
            <w:top w:w="0" w:type="dxa"/>
            <w:left w:w="108" w:type="dxa"/>
            <w:bottom w:w="0" w:type="dxa"/>
            <w:right w:w="108" w:type="dxa"/>
          </w:tblCellMar>
        </w:tblPrEx>
        <w:trPr>
          <w:trHeight w:val="797"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2D332062">
            <w:pPr>
              <w:pStyle w:val="145"/>
              <w:rPr>
                <w:rFonts w:hint="default" w:ascii="Times New Roman" w:hAnsi="Times New Roman" w:cs="Times New Roman"/>
                <w:szCs w:val="18"/>
              </w:rPr>
            </w:pPr>
            <w:r>
              <w:rPr>
                <w:rFonts w:hint="default" w:ascii="Times New Roman" w:hAnsi="Times New Roman" w:cs="Times New Roman"/>
                <w:szCs w:val="18"/>
              </w:rPr>
              <w:t>(6)</w:t>
            </w:r>
          </w:p>
        </w:tc>
        <w:tc>
          <w:tcPr>
            <w:tcW w:w="3968" w:type="dxa"/>
            <w:tcBorders>
              <w:top w:val="single" w:color="000000" w:sz="6" w:space="0"/>
              <w:left w:val="single" w:color="000000" w:sz="6" w:space="0"/>
              <w:bottom w:val="single" w:color="000000" w:sz="6" w:space="0"/>
              <w:right w:val="single" w:color="000000" w:sz="6" w:space="0"/>
            </w:tcBorders>
            <w:vAlign w:val="center"/>
          </w:tcPr>
          <w:p w14:paraId="458F4CB7">
            <w:pPr>
              <w:pStyle w:val="145"/>
              <w:rPr>
                <w:rFonts w:hint="eastAsia" w:ascii="Times New Roman" w:cs="Times New Roman"/>
                <w:szCs w:val="18"/>
                <w:lang w:eastAsia="zh-CN"/>
              </w:rPr>
            </w:pPr>
            <w:r>
              <w:rPr>
                <w:rFonts w:hint="default" w:ascii="Times New Roman" w:hAnsi="Times New Roman" w:cs="Times New Roman"/>
                <w:szCs w:val="18"/>
              </w:rPr>
              <w:t>腐蚀速率</w:t>
            </w:r>
            <w:r>
              <w:rPr>
                <w:rFonts w:hint="eastAsia" w:ascii="Times New Roman" w:cs="Times New Roman"/>
                <w:szCs w:val="18"/>
                <w:lang w:val="en-US" w:eastAsia="zh-CN"/>
              </w:rPr>
              <w:t>[</w:t>
            </w:r>
            <w:r>
              <w:rPr>
                <w:rFonts w:hint="default" w:ascii="Times New Roman" w:hAnsi="Times New Roman" w:cs="Times New Roman"/>
                <w:szCs w:val="18"/>
              </w:rPr>
              <w:t>1000 ℃，1vo1%H</w:t>
            </w:r>
            <w:r>
              <w:rPr>
                <w:rFonts w:hint="default" w:ascii="Times New Roman" w:hAnsi="Times New Roman" w:cs="Times New Roman"/>
                <w:szCs w:val="18"/>
                <w:vertAlign w:val="subscript"/>
              </w:rPr>
              <w:t>2</w:t>
            </w:r>
            <w:r>
              <w:rPr>
                <w:rFonts w:hint="default" w:ascii="Times New Roman" w:hAnsi="Times New Roman" w:cs="Times New Roman"/>
                <w:szCs w:val="18"/>
              </w:rPr>
              <w:t>O-He，10h</w:t>
            </w:r>
            <w:r>
              <w:rPr>
                <w:rFonts w:hint="eastAsia" w:ascii="Times New Roman" w:cs="Times New Roman"/>
                <w:szCs w:val="18"/>
                <w:lang w:eastAsia="zh-CN"/>
              </w:rPr>
              <w:t>、</w:t>
            </w:r>
          </w:p>
          <w:p w14:paraId="62F4AF25">
            <w:pPr>
              <w:pStyle w:val="145"/>
              <w:rPr>
                <w:rFonts w:hint="eastAsia" w:ascii="Times New Roman" w:hAnsi="Times New Roman" w:eastAsia="宋体" w:cs="Times New Roman"/>
                <w:szCs w:val="18"/>
                <w:lang w:eastAsia="zh-CN"/>
              </w:rPr>
            </w:pPr>
            <w:r>
              <w:rPr>
                <w:rFonts w:hint="default" w:ascii="Times New Roman" w:hAnsi="Times New Roman" w:cs="Times New Roman"/>
                <w:szCs w:val="18"/>
              </w:rPr>
              <w:t>mg/（cm</w:t>
            </w:r>
            <w:r>
              <w:rPr>
                <w:rFonts w:hint="default" w:ascii="Times New Roman" w:hAnsi="Times New Roman" w:cs="Times New Roman"/>
                <w:szCs w:val="18"/>
                <w:vertAlign w:val="superscript"/>
              </w:rPr>
              <w:t>2</w:t>
            </w:r>
            <w:r>
              <w:rPr>
                <w:rFonts w:hint="default" w:ascii="Times New Roman" w:hAnsi="Times New Roman" w:cs="Times New Roman"/>
                <w:szCs w:val="18"/>
              </w:rPr>
              <w:t>∙h）</w:t>
            </w:r>
            <w:r>
              <w:rPr>
                <w:rFonts w:hint="eastAsia" w:ascii="Times New Roman" w:cs="Times New Roman"/>
                <w:szCs w:val="18"/>
                <w:lang w:val="en-US" w:eastAsia="zh-CN"/>
              </w:rPr>
              <w:t>]</w:t>
            </w:r>
          </w:p>
        </w:tc>
        <w:tc>
          <w:tcPr>
            <w:tcW w:w="4414" w:type="dxa"/>
            <w:tcBorders>
              <w:top w:val="single" w:color="000000" w:sz="6" w:space="0"/>
              <w:left w:val="single" w:color="000000" w:sz="6" w:space="0"/>
              <w:bottom w:val="single" w:color="000000" w:sz="6" w:space="0"/>
              <w:right w:val="single" w:color="000000" w:sz="8" w:space="0"/>
            </w:tcBorders>
            <w:vAlign w:val="center"/>
          </w:tcPr>
          <w:p w14:paraId="0B0DAEEE">
            <w:pPr>
              <w:pStyle w:val="145"/>
              <w:rPr>
                <w:rFonts w:hint="default" w:ascii="Times New Roman" w:hAnsi="Times New Roman" w:cs="Times New Roman"/>
                <w:szCs w:val="18"/>
              </w:rPr>
            </w:pPr>
            <w:r>
              <w:rPr>
                <w:rFonts w:hint="default" w:ascii="Times New Roman" w:hAnsi="Times New Roman" w:cs="Times New Roman"/>
                <w:szCs w:val="18"/>
              </w:rPr>
              <w:t>≤1.3（样品单个值＜1.5）</w:t>
            </w:r>
          </w:p>
        </w:tc>
      </w:tr>
      <w:tr w14:paraId="7BDAD517">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1C9E5F8C">
            <w:pPr>
              <w:pStyle w:val="145"/>
              <w:rPr>
                <w:rFonts w:hint="default" w:ascii="Times New Roman" w:hAnsi="Times New Roman" w:cs="Times New Roman"/>
                <w:szCs w:val="18"/>
              </w:rPr>
            </w:pPr>
            <w:r>
              <w:rPr>
                <w:rFonts w:hint="default" w:ascii="Times New Roman" w:hAnsi="Times New Roman" w:cs="Times New Roman"/>
                <w:szCs w:val="18"/>
              </w:rPr>
              <w:t>(7)</w:t>
            </w:r>
          </w:p>
        </w:tc>
        <w:tc>
          <w:tcPr>
            <w:tcW w:w="3968" w:type="dxa"/>
            <w:tcBorders>
              <w:top w:val="single" w:color="000000" w:sz="6" w:space="0"/>
              <w:left w:val="single" w:color="000000" w:sz="6" w:space="0"/>
              <w:bottom w:val="single" w:color="000000" w:sz="6" w:space="0"/>
              <w:right w:val="single" w:color="000000" w:sz="6" w:space="0"/>
            </w:tcBorders>
            <w:vAlign w:val="center"/>
          </w:tcPr>
          <w:p w14:paraId="79E0E4F1">
            <w:pPr>
              <w:pStyle w:val="145"/>
              <w:rPr>
                <w:rFonts w:hint="eastAsia" w:ascii="Times New Roman" w:hAnsi="Times New Roman" w:eastAsia="宋体" w:cs="Times New Roman"/>
                <w:szCs w:val="18"/>
                <w:lang w:eastAsia="zh-CN"/>
              </w:rPr>
            </w:pPr>
            <w:r>
              <w:rPr>
                <w:rFonts w:hint="default" w:ascii="Times New Roman" w:hAnsi="Times New Roman" w:cs="Times New Roman"/>
                <w:szCs w:val="18"/>
              </w:rPr>
              <w:t>磨损速率</w:t>
            </w:r>
            <w:r>
              <w:rPr>
                <w:rFonts w:hint="eastAsia" w:ascii="Times New Roman" w:cs="Times New Roman"/>
                <w:szCs w:val="18"/>
                <w:lang w:val="en-US" w:eastAsia="zh-CN"/>
              </w:rPr>
              <w:t>[</w:t>
            </w:r>
            <w:r>
              <w:rPr>
                <w:rFonts w:hint="default" w:ascii="Times New Roman" w:hAnsi="Times New Roman" w:cs="Times New Roman"/>
                <w:szCs w:val="18"/>
              </w:rPr>
              <w:t>mg/（球∙h）</w:t>
            </w:r>
            <w:r>
              <w:rPr>
                <w:rFonts w:hint="eastAsia" w:ascii="Times New Roman" w:cs="Times New Roman"/>
                <w:szCs w:val="18"/>
                <w:lang w:val="en-US" w:eastAsia="zh-CN"/>
              </w:rPr>
              <w:t>]</w:t>
            </w:r>
          </w:p>
        </w:tc>
        <w:tc>
          <w:tcPr>
            <w:tcW w:w="4414" w:type="dxa"/>
            <w:tcBorders>
              <w:top w:val="single" w:color="000000" w:sz="6" w:space="0"/>
              <w:left w:val="single" w:color="000000" w:sz="6" w:space="0"/>
              <w:bottom w:val="single" w:color="000000" w:sz="6" w:space="0"/>
              <w:right w:val="single" w:color="000000" w:sz="8" w:space="0"/>
            </w:tcBorders>
            <w:vAlign w:val="center"/>
          </w:tcPr>
          <w:p w14:paraId="182A9AF5">
            <w:pPr>
              <w:pStyle w:val="145"/>
              <w:rPr>
                <w:rFonts w:hint="default" w:ascii="Times New Roman" w:hAnsi="Times New Roman" w:cs="Times New Roman"/>
                <w:szCs w:val="18"/>
              </w:rPr>
            </w:pPr>
            <w:r>
              <w:rPr>
                <w:rFonts w:hint="default" w:ascii="Times New Roman" w:hAnsi="Times New Roman" w:cs="Times New Roman"/>
                <w:szCs w:val="18"/>
              </w:rPr>
              <w:t>≤6.0</w:t>
            </w:r>
          </w:p>
        </w:tc>
      </w:tr>
      <w:tr w14:paraId="235DAB6A">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7082E020">
            <w:pPr>
              <w:pStyle w:val="145"/>
              <w:rPr>
                <w:rFonts w:hint="default" w:ascii="Times New Roman" w:hAnsi="Times New Roman" w:cs="Times New Roman"/>
                <w:szCs w:val="18"/>
              </w:rPr>
            </w:pPr>
            <w:r>
              <w:rPr>
                <w:rFonts w:hint="default" w:ascii="Times New Roman" w:hAnsi="Times New Roman" w:cs="Times New Roman"/>
                <w:szCs w:val="18"/>
              </w:rPr>
              <w:t>(8)</w:t>
            </w:r>
          </w:p>
        </w:tc>
        <w:tc>
          <w:tcPr>
            <w:tcW w:w="3968" w:type="dxa"/>
            <w:tcBorders>
              <w:top w:val="single" w:color="000000" w:sz="6" w:space="0"/>
              <w:left w:val="single" w:color="000000" w:sz="6" w:space="0"/>
              <w:bottom w:val="single" w:color="000000" w:sz="6" w:space="0"/>
              <w:right w:val="single" w:color="000000" w:sz="6" w:space="0"/>
            </w:tcBorders>
            <w:vAlign w:val="center"/>
          </w:tcPr>
          <w:p w14:paraId="067B95D0">
            <w:pPr>
              <w:pStyle w:val="145"/>
              <w:rPr>
                <w:rFonts w:hint="default" w:ascii="Times New Roman" w:hAnsi="Times New Roman" w:cs="Times New Roman"/>
                <w:szCs w:val="18"/>
              </w:rPr>
            </w:pPr>
            <w:r>
              <w:rPr>
                <w:rFonts w:hint="default" w:ascii="Times New Roman" w:hAnsi="Times New Roman" w:cs="Times New Roman"/>
                <w:szCs w:val="18"/>
              </w:rPr>
              <w:t>热膨胀（20-500℃）各向异性度</w:t>
            </w:r>
          </w:p>
        </w:tc>
        <w:tc>
          <w:tcPr>
            <w:tcW w:w="4414" w:type="dxa"/>
            <w:tcBorders>
              <w:top w:val="single" w:color="000000" w:sz="6" w:space="0"/>
              <w:left w:val="single" w:color="000000" w:sz="6" w:space="0"/>
              <w:bottom w:val="single" w:color="000000" w:sz="6" w:space="0"/>
              <w:right w:val="single" w:color="000000" w:sz="8" w:space="0"/>
            </w:tcBorders>
            <w:vAlign w:val="center"/>
          </w:tcPr>
          <w:p w14:paraId="15DCAC58">
            <w:pPr>
              <w:pStyle w:val="145"/>
              <w:rPr>
                <w:rFonts w:hint="default" w:ascii="Times New Roman" w:hAnsi="Times New Roman" w:cs="Times New Roman"/>
                <w:szCs w:val="18"/>
              </w:rPr>
            </w:pPr>
            <w:r>
              <w:rPr>
                <w:rFonts w:hint="default" w:ascii="Times New Roman" w:hAnsi="Times New Roman" w:cs="Times New Roman"/>
                <w:szCs w:val="18"/>
              </w:rPr>
              <w:t>≤1.3</w:t>
            </w:r>
          </w:p>
        </w:tc>
      </w:tr>
      <w:tr w14:paraId="6866432E">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4A2F773C">
            <w:pPr>
              <w:pStyle w:val="145"/>
              <w:rPr>
                <w:rFonts w:hint="default" w:ascii="Times New Roman" w:hAnsi="Times New Roman" w:cs="Times New Roman"/>
                <w:b/>
                <w:bCs/>
                <w:szCs w:val="18"/>
              </w:rPr>
            </w:pPr>
            <w:r>
              <w:rPr>
                <w:rFonts w:hint="default" w:ascii="Times New Roman" w:hAnsi="Times New Roman" w:cs="Times New Roman"/>
                <w:b/>
                <w:bCs/>
                <w:szCs w:val="18"/>
              </w:rPr>
              <w:t>2</w:t>
            </w:r>
          </w:p>
        </w:tc>
        <w:tc>
          <w:tcPr>
            <w:tcW w:w="8382" w:type="dxa"/>
            <w:gridSpan w:val="2"/>
            <w:tcBorders>
              <w:top w:val="single" w:color="000000" w:sz="6" w:space="0"/>
              <w:left w:val="single" w:color="000000" w:sz="6" w:space="0"/>
              <w:bottom w:val="single" w:color="000000" w:sz="6" w:space="0"/>
              <w:right w:val="single" w:color="000000" w:sz="8" w:space="0"/>
            </w:tcBorders>
            <w:vAlign w:val="center"/>
          </w:tcPr>
          <w:p w14:paraId="745BBB5A">
            <w:pPr>
              <w:pStyle w:val="145"/>
              <w:jc w:val="left"/>
              <w:rPr>
                <w:rFonts w:hint="default" w:ascii="Times New Roman" w:hAnsi="Times New Roman" w:cs="Times New Roman"/>
                <w:b/>
                <w:bCs/>
                <w:szCs w:val="18"/>
              </w:rPr>
            </w:pPr>
            <w:r>
              <w:rPr>
                <w:rFonts w:hint="default" w:ascii="Times New Roman" w:hAnsi="Times New Roman" w:cs="Times New Roman"/>
                <w:b/>
                <w:bCs/>
                <w:szCs w:val="18"/>
              </w:rPr>
              <w:t>燃料元件</w:t>
            </w:r>
          </w:p>
        </w:tc>
      </w:tr>
      <w:tr w14:paraId="78933B09">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1AF5A294">
            <w:pPr>
              <w:pStyle w:val="145"/>
              <w:rPr>
                <w:rFonts w:hint="default" w:ascii="Times New Roman" w:hAnsi="Times New Roman" w:cs="Times New Roman"/>
                <w:szCs w:val="18"/>
              </w:rPr>
            </w:pPr>
            <w:r>
              <w:rPr>
                <w:rFonts w:hint="default" w:ascii="Times New Roman" w:hAnsi="Times New Roman" w:cs="Times New Roman"/>
                <w:szCs w:val="18"/>
              </w:rPr>
              <w:t>(1)</w:t>
            </w:r>
          </w:p>
        </w:tc>
        <w:tc>
          <w:tcPr>
            <w:tcW w:w="3968" w:type="dxa"/>
            <w:tcBorders>
              <w:top w:val="single" w:color="000000" w:sz="6" w:space="0"/>
              <w:left w:val="single" w:color="000000" w:sz="6" w:space="0"/>
              <w:bottom w:val="single" w:color="000000" w:sz="6" w:space="0"/>
              <w:right w:val="single" w:color="000000" w:sz="6" w:space="0"/>
            </w:tcBorders>
            <w:vAlign w:val="center"/>
          </w:tcPr>
          <w:p w14:paraId="67DF2E11">
            <w:pPr>
              <w:pStyle w:val="145"/>
              <w:rPr>
                <w:rFonts w:hint="default" w:ascii="Times New Roman" w:hAnsi="Times New Roman" w:cs="Times New Roman"/>
                <w:szCs w:val="18"/>
              </w:rPr>
            </w:pPr>
            <w:r>
              <w:rPr>
                <w:rFonts w:hint="default" w:ascii="Times New Roman" w:hAnsi="Times New Roman" w:cs="Times New Roman"/>
                <w:szCs w:val="18"/>
              </w:rPr>
              <w:t>装铀量（g/元件）</w:t>
            </w:r>
          </w:p>
        </w:tc>
        <w:tc>
          <w:tcPr>
            <w:tcW w:w="4414" w:type="dxa"/>
            <w:tcBorders>
              <w:top w:val="single" w:color="000000" w:sz="6" w:space="0"/>
              <w:left w:val="single" w:color="000000" w:sz="6" w:space="0"/>
              <w:bottom w:val="single" w:color="000000" w:sz="6" w:space="0"/>
              <w:right w:val="single" w:color="000000" w:sz="8" w:space="0"/>
            </w:tcBorders>
            <w:vAlign w:val="center"/>
          </w:tcPr>
          <w:p w14:paraId="3B4106C5">
            <w:pPr>
              <w:pStyle w:val="145"/>
              <w:rPr>
                <w:rFonts w:hint="default" w:ascii="Times New Roman" w:hAnsi="Times New Roman" w:cs="Times New Roman"/>
                <w:szCs w:val="18"/>
              </w:rPr>
            </w:pPr>
            <w:r>
              <w:rPr>
                <w:rFonts w:hint="default" w:ascii="Times New Roman" w:hAnsi="Times New Roman" w:cs="Times New Roman"/>
                <w:szCs w:val="18"/>
              </w:rPr>
              <w:t>7.00±0.35</w:t>
            </w:r>
          </w:p>
        </w:tc>
      </w:tr>
      <w:tr w14:paraId="378A8B70">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57A36AFE">
            <w:pPr>
              <w:pStyle w:val="145"/>
              <w:rPr>
                <w:rFonts w:hint="default" w:ascii="Times New Roman" w:hAnsi="Times New Roman" w:cs="Times New Roman"/>
                <w:szCs w:val="18"/>
              </w:rPr>
            </w:pPr>
            <w:r>
              <w:rPr>
                <w:rFonts w:hint="default" w:ascii="Times New Roman" w:hAnsi="Times New Roman" w:cs="Times New Roman"/>
                <w:szCs w:val="18"/>
              </w:rPr>
              <w:t>(2)</w:t>
            </w:r>
          </w:p>
        </w:tc>
        <w:tc>
          <w:tcPr>
            <w:tcW w:w="3968" w:type="dxa"/>
            <w:tcBorders>
              <w:top w:val="single" w:color="000000" w:sz="6" w:space="0"/>
              <w:left w:val="single" w:color="000000" w:sz="6" w:space="0"/>
              <w:bottom w:val="single" w:color="000000" w:sz="6" w:space="0"/>
              <w:right w:val="single" w:color="000000" w:sz="6" w:space="0"/>
            </w:tcBorders>
            <w:vAlign w:val="center"/>
          </w:tcPr>
          <w:p w14:paraId="5DB4BB37">
            <w:pPr>
              <w:pStyle w:val="145"/>
              <w:rPr>
                <w:rFonts w:hint="default" w:ascii="Times New Roman" w:hAnsi="Times New Roman" w:cs="Times New Roman"/>
                <w:szCs w:val="18"/>
              </w:rPr>
            </w:pPr>
            <w:r>
              <w:rPr>
                <w:rFonts w:hint="default" w:ascii="Times New Roman" w:hAnsi="Times New Roman" w:cs="Times New Roman"/>
                <w:szCs w:val="18"/>
              </w:rPr>
              <w:t>直径（mm）</w:t>
            </w:r>
          </w:p>
        </w:tc>
        <w:tc>
          <w:tcPr>
            <w:tcW w:w="4414" w:type="dxa"/>
            <w:tcBorders>
              <w:top w:val="single" w:color="000000" w:sz="6" w:space="0"/>
              <w:left w:val="single" w:color="000000" w:sz="6" w:space="0"/>
              <w:bottom w:val="single" w:color="000000" w:sz="6" w:space="0"/>
              <w:right w:val="single" w:color="000000" w:sz="8" w:space="0"/>
            </w:tcBorders>
            <w:vAlign w:val="center"/>
          </w:tcPr>
          <w:p w14:paraId="4E7591CC">
            <w:pPr>
              <w:pStyle w:val="145"/>
              <w:rPr>
                <w:rFonts w:hint="default" w:ascii="Times New Roman" w:hAnsi="Times New Roman" w:cs="Times New Roman"/>
                <w:szCs w:val="18"/>
              </w:rPr>
            </w:pPr>
            <w:r>
              <w:rPr>
                <w:rFonts w:hint="default" w:ascii="Times New Roman" w:hAnsi="Times New Roman" w:cs="Times New Roman"/>
                <w:szCs w:val="18"/>
              </w:rPr>
              <w:t>59.6～60.2</w:t>
            </w:r>
          </w:p>
        </w:tc>
      </w:tr>
      <w:tr w14:paraId="6A1BB435">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58DB3372">
            <w:pPr>
              <w:pStyle w:val="145"/>
              <w:rPr>
                <w:rFonts w:hint="default" w:ascii="Times New Roman" w:hAnsi="Times New Roman" w:cs="Times New Roman"/>
                <w:szCs w:val="18"/>
              </w:rPr>
            </w:pPr>
            <w:r>
              <w:rPr>
                <w:rFonts w:hint="default" w:ascii="Times New Roman" w:hAnsi="Times New Roman" w:cs="Times New Roman"/>
                <w:szCs w:val="18"/>
              </w:rPr>
              <w:t>(3)</w:t>
            </w:r>
          </w:p>
        </w:tc>
        <w:tc>
          <w:tcPr>
            <w:tcW w:w="3968" w:type="dxa"/>
            <w:tcBorders>
              <w:top w:val="single" w:color="000000" w:sz="6" w:space="0"/>
              <w:left w:val="single" w:color="000000" w:sz="6" w:space="0"/>
              <w:bottom w:val="single" w:color="000000" w:sz="6" w:space="0"/>
              <w:right w:val="single" w:color="000000" w:sz="6" w:space="0"/>
            </w:tcBorders>
            <w:vAlign w:val="center"/>
          </w:tcPr>
          <w:p w14:paraId="6A0C6C93">
            <w:pPr>
              <w:pStyle w:val="145"/>
              <w:rPr>
                <w:rFonts w:hint="default" w:ascii="Times New Roman" w:hAnsi="Times New Roman" w:cs="Times New Roman"/>
                <w:szCs w:val="18"/>
              </w:rPr>
            </w:pPr>
            <w:r>
              <w:rPr>
                <w:rFonts w:hint="default" w:ascii="Times New Roman" w:hAnsi="Times New Roman" w:cs="Times New Roman"/>
                <w:szCs w:val="18"/>
              </w:rPr>
              <w:t>压碎强度（kN）</w:t>
            </w:r>
          </w:p>
        </w:tc>
        <w:tc>
          <w:tcPr>
            <w:tcW w:w="4414" w:type="dxa"/>
            <w:tcBorders>
              <w:top w:val="single" w:color="000000" w:sz="6" w:space="0"/>
              <w:left w:val="single" w:color="000000" w:sz="6" w:space="0"/>
              <w:bottom w:val="single" w:color="000000" w:sz="6" w:space="0"/>
              <w:right w:val="single" w:color="000000" w:sz="8" w:space="0"/>
            </w:tcBorders>
            <w:vAlign w:val="center"/>
          </w:tcPr>
          <w:p w14:paraId="4A4C91CB">
            <w:pPr>
              <w:pStyle w:val="145"/>
              <w:rPr>
                <w:rFonts w:hint="default" w:ascii="Times New Roman" w:hAnsi="Times New Roman" w:cs="Times New Roman"/>
                <w:szCs w:val="18"/>
              </w:rPr>
            </w:pPr>
            <w:r>
              <w:rPr>
                <w:rFonts w:hint="default" w:ascii="Times New Roman" w:hAnsi="Times New Roman" w:cs="Times New Roman"/>
                <w:szCs w:val="18"/>
              </w:rPr>
              <w:t>≥18.0</w:t>
            </w:r>
          </w:p>
        </w:tc>
      </w:tr>
      <w:tr w14:paraId="50C68B38">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470DA3CD">
            <w:pPr>
              <w:pStyle w:val="145"/>
              <w:rPr>
                <w:rFonts w:hint="default" w:ascii="Times New Roman" w:hAnsi="Times New Roman" w:cs="Times New Roman"/>
                <w:szCs w:val="18"/>
              </w:rPr>
            </w:pPr>
            <w:r>
              <w:rPr>
                <w:rFonts w:hint="default" w:ascii="Times New Roman" w:hAnsi="Times New Roman" w:cs="Times New Roman"/>
                <w:szCs w:val="18"/>
              </w:rPr>
              <w:t>(4)</w:t>
            </w:r>
          </w:p>
        </w:tc>
        <w:tc>
          <w:tcPr>
            <w:tcW w:w="3968" w:type="dxa"/>
            <w:tcBorders>
              <w:top w:val="single" w:color="000000" w:sz="6" w:space="0"/>
              <w:left w:val="single" w:color="000000" w:sz="6" w:space="0"/>
              <w:bottom w:val="single" w:color="000000" w:sz="6" w:space="0"/>
              <w:right w:val="single" w:color="000000" w:sz="6" w:space="0"/>
            </w:tcBorders>
            <w:vAlign w:val="center"/>
          </w:tcPr>
          <w:p w14:paraId="48DA5320">
            <w:pPr>
              <w:pStyle w:val="145"/>
              <w:rPr>
                <w:rFonts w:hint="default" w:ascii="Times New Roman" w:hAnsi="Times New Roman" w:cs="Times New Roman"/>
                <w:szCs w:val="18"/>
              </w:rPr>
            </w:pPr>
            <w:r>
              <w:rPr>
                <w:rFonts w:hint="default" w:ascii="Times New Roman" w:hAnsi="Times New Roman" w:cs="Times New Roman"/>
                <w:szCs w:val="18"/>
              </w:rPr>
              <w:t>落球次数（4m高）</w:t>
            </w:r>
          </w:p>
        </w:tc>
        <w:tc>
          <w:tcPr>
            <w:tcW w:w="4414" w:type="dxa"/>
            <w:tcBorders>
              <w:top w:val="single" w:color="000000" w:sz="6" w:space="0"/>
              <w:left w:val="single" w:color="000000" w:sz="6" w:space="0"/>
              <w:bottom w:val="single" w:color="000000" w:sz="6" w:space="0"/>
              <w:right w:val="single" w:color="000000" w:sz="8" w:space="0"/>
            </w:tcBorders>
            <w:vAlign w:val="center"/>
          </w:tcPr>
          <w:p w14:paraId="1388F9F0">
            <w:pPr>
              <w:pStyle w:val="145"/>
              <w:rPr>
                <w:rFonts w:hint="default" w:ascii="Times New Roman" w:hAnsi="Times New Roman" w:cs="Times New Roman"/>
                <w:szCs w:val="18"/>
              </w:rPr>
            </w:pPr>
            <w:r>
              <w:rPr>
                <w:rFonts w:hint="default" w:ascii="Times New Roman" w:hAnsi="Times New Roman" w:cs="Times New Roman"/>
                <w:szCs w:val="18"/>
              </w:rPr>
              <w:t>≥50</w:t>
            </w:r>
          </w:p>
        </w:tc>
      </w:tr>
      <w:tr w14:paraId="1AF57152">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11CC52CC">
            <w:pPr>
              <w:pStyle w:val="145"/>
              <w:rPr>
                <w:rFonts w:hint="default" w:ascii="Times New Roman" w:hAnsi="Times New Roman" w:cs="Times New Roman"/>
                <w:szCs w:val="18"/>
              </w:rPr>
            </w:pPr>
            <w:r>
              <w:rPr>
                <w:rFonts w:hint="default" w:ascii="Times New Roman" w:hAnsi="Times New Roman" w:cs="Times New Roman"/>
                <w:szCs w:val="18"/>
              </w:rPr>
              <w:t>(5)</w:t>
            </w:r>
          </w:p>
        </w:tc>
        <w:tc>
          <w:tcPr>
            <w:tcW w:w="3968" w:type="dxa"/>
            <w:tcBorders>
              <w:top w:val="single" w:color="000000" w:sz="6" w:space="0"/>
              <w:left w:val="single" w:color="000000" w:sz="6" w:space="0"/>
              <w:bottom w:val="single" w:color="000000" w:sz="6" w:space="0"/>
              <w:right w:val="single" w:color="000000" w:sz="6" w:space="0"/>
            </w:tcBorders>
            <w:vAlign w:val="center"/>
          </w:tcPr>
          <w:p w14:paraId="134F679C">
            <w:pPr>
              <w:pStyle w:val="145"/>
              <w:rPr>
                <w:rFonts w:hint="default" w:ascii="Times New Roman" w:hAnsi="Times New Roman" w:cs="Times New Roman"/>
                <w:szCs w:val="18"/>
              </w:rPr>
            </w:pPr>
            <w:r>
              <w:rPr>
                <w:rFonts w:hint="default" w:ascii="Times New Roman" w:hAnsi="Times New Roman" w:cs="Times New Roman"/>
                <w:szCs w:val="18"/>
              </w:rPr>
              <w:t>无燃料区厚度（mm）</w:t>
            </w:r>
          </w:p>
        </w:tc>
        <w:tc>
          <w:tcPr>
            <w:tcW w:w="4414" w:type="dxa"/>
            <w:tcBorders>
              <w:top w:val="single" w:color="000000" w:sz="6" w:space="0"/>
              <w:left w:val="single" w:color="000000" w:sz="6" w:space="0"/>
              <w:bottom w:val="single" w:color="000000" w:sz="6" w:space="0"/>
              <w:right w:val="single" w:color="000000" w:sz="8" w:space="0"/>
            </w:tcBorders>
            <w:vAlign w:val="center"/>
          </w:tcPr>
          <w:p w14:paraId="18253A1A">
            <w:pPr>
              <w:pStyle w:val="145"/>
              <w:rPr>
                <w:rFonts w:hint="default" w:ascii="Times New Roman" w:hAnsi="Times New Roman" w:cs="Times New Roman"/>
                <w:szCs w:val="18"/>
              </w:rPr>
            </w:pPr>
            <w:r>
              <w:rPr>
                <w:rFonts w:hint="default" w:ascii="Times New Roman" w:hAnsi="Times New Roman" w:cs="Times New Roman"/>
                <w:szCs w:val="18"/>
              </w:rPr>
              <w:t>≥4.0</w:t>
            </w:r>
          </w:p>
        </w:tc>
      </w:tr>
      <w:tr w14:paraId="5DD785AB">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038C2A2B">
            <w:pPr>
              <w:pStyle w:val="145"/>
              <w:rPr>
                <w:rFonts w:hint="default" w:ascii="Times New Roman" w:hAnsi="Times New Roman" w:cs="Times New Roman"/>
                <w:szCs w:val="18"/>
              </w:rPr>
            </w:pPr>
            <w:r>
              <w:rPr>
                <w:rFonts w:hint="default" w:ascii="Times New Roman" w:hAnsi="Times New Roman" w:cs="Times New Roman"/>
                <w:szCs w:val="18"/>
              </w:rPr>
              <w:t>(6)</w:t>
            </w:r>
          </w:p>
        </w:tc>
        <w:tc>
          <w:tcPr>
            <w:tcW w:w="3968" w:type="dxa"/>
            <w:tcBorders>
              <w:top w:val="single" w:color="000000" w:sz="6" w:space="0"/>
              <w:left w:val="single" w:color="000000" w:sz="6" w:space="0"/>
              <w:bottom w:val="single" w:color="000000" w:sz="6" w:space="0"/>
              <w:right w:val="single" w:color="000000" w:sz="6" w:space="0"/>
            </w:tcBorders>
            <w:vAlign w:val="center"/>
          </w:tcPr>
          <w:p w14:paraId="44B36AAA">
            <w:pPr>
              <w:pStyle w:val="145"/>
              <w:rPr>
                <w:rFonts w:hint="default" w:ascii="Times New Roman" w:hAnsi="Times New Roman" w:cs="Times New Roman"/>
                <w:szCs w:val="18"/>
              </w:rPr>
            </w:pPr>
            <w:r>
              <w:rPr>
                <w:rFonts w:hint="default" w:ascii="Times New Roman" w:hAnsi="Times New Roman" w:cs="Times New Roman"/>
                <w:szCs w:val="18"/>
              </w:rPr>
              <w:t>自由铀含量（gU</w:t>
            </w:r>
            <w:r>
              <w:rPr>
                <w:rFonts w:hint="default" w:ascii="Times New Roman" w:hAnsi="Times New Roman" w:cs="Times New Roman"/>
                <w:szCs w:val="18"/>
                <w:vertAlign w:val="subscript"/>
              </w:rPr>
              <w:t>自由</w:t>
            </w:r>
            <w:r>
              <w:rPr>
                <w:rFonts w:hint="default" w:ascii="Times New Roman" w:hAnsi="Times New Roman" w:cs="Times New Roman"/>
                <w:szCs w:val="18"/>
              </w:rPr>
              <w:t>/gU</w:t>
            </w:r>
            <w:r>
              <w:rPr>
                <w:rFonts w:hint="default" w:ascii="Times New Roman" w:hAnsi="Times New Roman" w:cs="Times New Roman"/>
                <w:szCs w:val="18"/>
                <w:vertAlign w:val="subscript"/>
              </w:rPr>
              <w:t>总</w:t>
            </w:r>
            <w:r>
              <w:rPr>
                <w:rFonts w:hint="default" w:ascii="Times New Roman" w:hAnsi="Times New Roman" w:cs="Times New Roman"/>
                <w:szCs w:val="18"/>
              </w:rPr>
              <w:t>）</w:t>
            </w:r>
          </w:p>
        </w:tc>
        <w:tc>
          <w:tcPr>
            <w:tcW w:w="4414" w:type="dxa"/>
            <w:tcBorders>
              <w:top w:val="single" w:color="000000" w:sz="6" w:space="0"/>
              <w:left w:val="single" w:color="000000" w:sz="6" w:space="0"/>
              <w:bottom w:val="single" w:color="000000" w:sz="6" w:space="0"/>
              <w:right w:val="single" w:color="000000" w:sz="8" w:space="0"/>
            </w:tcBorders>
            <w:vAlign w:val="center"/>
          </w:tcPr>
          <w:p w14:paraId="23390FB0">
            <w:pPr>
              <w:pStyle w:val="145"/>
              <w:rPr>
                <w:rFonts w:hint="default" w:ascii="Times New Roman" w:hAnsi="Times New Roman" w:cs="Times New Roman"/>
                <w:szCs w:val="18"/>
              </w:rPr>
            </w:pPr>
            <w:r>
              <w:rPr>
                <w:rFonts w:hint="default" w:ascii="Times New Roman" w:hAnsi="Times New Roman" w:cs="Times New Roman"/>
                <w:szCs w:val="18"/>
              </w:rPr>
              <w:t>≤6.0×10</w:t>
            </w:r>
            <w:r>
              <w:rPr>
                <w:rFonts w:hint="default" w:ascii="Times New Roman" w:hAnsi="Times New Roman" w:cs="Times New Roman"/>
                <w:szCs w:val="18"/>
                <w:vertAlign w:val="superscript"/>
              </w:rPr>
              <w:t>-5</w:t>
            </w:r>
          </w:p>
        </w:tc>
      </w:tr>
      <w:tr w14:paraId="0A75BC82">
        <w:tblPrEx>
          <w:tblCellMar>
            <w:top w:w="0" w:type="dxa"/>
            <w:left w:w="108" w:type="dxa"/>
            <w:bottom w:w="0" w:type="dxa"/>
            <w:right w:w="108" w:type="dxa"/>
          </w:tblCellMar>
        </w:tblPrEx>
        <w:trPr>
          <w:trHeight w:val="520"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02277023">
            <w:pPr>
              <w:pStyle w:val="145"/>
              <w:rPr>
                <w:rFonts w:hint="default" w:ascii="Times New Roman" w:hAnsi="Times New Roman" w:cs="Times New Roman"/>
                <w:szCs w:val="18"/>
              </w:rPr>
            </w:pPr>
            <w:r>
              <w:rPr>
                <w:rFonts w:hint="default" w:ascii="Times New Roman" w:hAnsi="Times New Roman" w:cs="Times New Roman"/>
                <w:szCs w:val="18"/>
              </w:rPr>
              <w:t>(7)</w:t>
            </w:r>
          </w:p>
        </w:tc>
        <w:tc>
          <w:tcPr>
            <w:tcW w:w="3968" w:type="dxa"/>
            <w:tcBorders>
              <w:top w:val="single" w:color="000000" w:sz="6" w:space="0"/>
              <w:left w:val="single" w:color="000000" w:sz="6" w:space="0"/>
              <w:bottom w:val="single" w:color="000000" w:sz="6" w:space="0"/>
              <w:right w:val="single" w:color="000000" w:sz="6" w:space="0"/>
            </w:tcBorders>
            <w:vAlign w:val="center"/>
          </w:tcPr>
          <w:p w14:paraId="3A0DE340">
            <w:pPr>
              <w:pStyle w:val="145"/>
              <w:rPr>
                <w:rFonts w:hint="default" w:ascii="Times New Roman" w:hAnsi="Times New Roman" w:cs="Times New Roman"/>
                <w:szCs w:val="18"/>
              </w:rPr>
            </w:pPr>
            <w:r>
              <w:rPr>
                <w:rFonts w:hint="default" w:ascii="Times New Roman" w:hAnsi="Times New Roman" w:cs="Times New Roman"/>
                <w:szCs w:val="18"/>
              </w:rPr>
              <w:t>基体石墨铀污染率（gU</w:t>
            </w:r>
            <w:r>
              <w:rPr>
                <w:rFonts w:hint="default" w:ascii="Times New Roman" w:hAnsi="Times New Roman" w:cs="Times New Roman"/>
                <w:szCs w:val="18"/>
                <w:vertAlign w:val="subscript"/>
              </w:rPr>
              <w:t>沾污</w:t>
            </w:r>
            <w:r>
              <w:rPr>
                <w:rFonts w:hint="default" w:ascii="Times New Roman" w:hAnsi="Times New Roman" w:cs="Times New Roman"/>
                <w:szCs w:val="18"/>
              </w:rPr>
              <w:t>/gU</w:t>
            </w:r>
            <w:r>
              <w:rPr>
                <w:rFonts w:hint="default" w:ascii="Times New Roman" w:hAnsi="Times New Roman" w:cs="Times New Roman"/>
                <w:szCs w:val="18"/>
                <w:vertAlign w:val="subscript"/>
              </w:rPr>
              <w:t>总</w:t>
            </w:r>
            <w:r>
              <w:rPr>
                <w:rFonts w:hint="default" w:ascii="Times New Roman" w:hAnsi="Times New Roman" w:cs="Times New Roman"/>
                <w:szCs w:val="18"/>
              </w:rPr>
              <w:t>）</w:t>
            </w:r>
          </w:p>
        </w:tc>
        <w:tc>
          <w:tcPr>
            <w:tcW w:w="4414" w:type="dxa"/>
            <w:tcBorders>
              <w:top w:val="single" w:color="000000" w:sz="6" w:space="0"/>
              <w:left w:val="single" w:color="000000" w:sz="6" w:space="0"/>
              <w:bottom w:val="single" w:color="000000" w:sz="6" w:space="0"/>
              <w:right w:val="single" w:color="000000" w:sz="8" w:space="0"/>
            </w:tcBorders>
            <w:vAlign w:val="center"/>
          </w:tcPr>
          <w:p w14:paraId="0BE6EA8B">
            <w:pPr>
              <w:pStyle w:val="145"/>
              <w:rPr>
                <w:rFonts w:hint="default" w:ascii="Times New Roman" w:hAnsi="Times New Roman" w:cs="Times New Roman"/>
                <w:szCs w:val="18"/>
              </w:rPr>
            </w:pPr>
            <w:r>
              <w:rPr>
                <w:rFonts w:hint="default" w:ascii="Times New Roman" w:hAnsi="Times New Roman" w:cs="Times New Roman"/>
                <w:szCs w:val="18"/>
              </w:rPr>
              <w:t>≤7.0×10</w:t>
            </w:r>
            <w:r>
              <w:rPr>
                <w:rFonts w:hint="default" w:ascii="Times New Roman" w:hAnsi="Times New Roman" w:cs="Times New Roman"/>
                <w:szCs w:val="18"/>
                <w:vertAlign w:val="superscript"/>
              </w:rPr>
              <w:t>-7</w:t>
            </w:r>
          </w:p>
        </w:tc>
      </w:tr>
      <w:tr w14:paraId="024FFF10">
        <w:tblPrEx>
          <w:tblCellMar>
            <w:top w:w="0" w:type="dxa"/>
            <w:left w:w="108" w:type="dxa"/>
            <w:bottom w:w="0" w:type="dxa"/>
            <w:right w:w="108" w:type="dxa"/>
          </w:tblCellMar>
        </w:tblPrEx>
        <w:trPr>
          <w:trHeight w:val="1662" w:hRule="exact"/>
        </w:trPr>
        <w:tc>
          <w:tcPr>
            <w:tcW w:w="709" w:type="dxa"/>
            <w:tcBorders>
              <w:top w:val="single" w:color="000000" w:sz="6" w:space="0"/>
              <w:left w:val="single" w:color="000000" w:sz="8" w:space="0"/>
              <w:bottom w:val="single" w:color="000000" w:sz="6" w:space="0"/>
              <w:right w:val="single" w:color="000000" w:sz="6" w:space="0"/>
            </w:tcBorders>
            <w:vAlign w:val="center"/>
          </w:tcPr>
          <w:p w14:paraId="6B40B835">
            <w:pPr>
              <w:pStyle w:val="145"/>
              <w:rPr>
                <w:rFonts w:hint="default" w:ascii="Times New Roman" w:hAnsi="Times New Roman" w:cs="Times New Roman"/>
                <w:szCs w:val="18"/>
              </w:rPr>
            </w:pPr>
            <w:r>
              <w:rPr>
                <w:rFonts w:hint="default" w:ascii="Times New Roman" w:hAnsi="Times New Roman" w:cs="Times New Roman"/>
                <w:szCs w:val="18"/>
              </w:rPr>
              <w:t>(</w:t>
            </w:r>
            <w:r>
              <w:rPr>
                <w:rFonts w:hint="eastAsia" w:ascii="Times New Roman" w:cs="Times New Roman"/>
                <w:szCs w:val="18"/>
                <w:lang w:val="en-US" w:eastAsia="zh-CN"/>
              </w:rPr>
              <w:t>8</w:t>
            </w:r>
            <w:r>
              <w:rPr>
                <w:rFonts w:hint="default" w:ascii="Times New Roman" w:hAnsi="Times New Roman" w:cs="Times New Roman"/>
                <w:szCs w:val="18"/>
              </w:rPr>
              <w:t>)</w:t>
            </w:r>
          </w:p>
        </w:tc>
        <w:tc>
          <w:tcPr>
            <w:tcW w:w="3968" w:type="dxa"/>
            <w:tcBorders>
              <w:top w:val="single" w:color="000000" w:sz="6" w:space="0"/>
              <w:left w:val="single" w:color="000000" w:sz="6" w:space="0"/>
              <w:bottom w:val="single" w:color="000000" w:sz="6" w:space="0"/>
              <w:right w:val="single" w:color="000000" w:sz="6" w:space="0"/>
            </w:tcBorders>
            <w:vAlign w:val="center"/>
          </w:tcPr>
          <w:p w14:paraId="4B4DC374">
            <w:pPr>
              <w:pStyle w:val="145"/>
              <w:rPr>
                <w:rFonts w:hint="default" w:ascii="Times New Roman" w:hAnsi="Times New Roman" w:cs="Times New Roman"/>
                <w:szCs w:val="18"/>
              </w:rPr>
            </w:pPr>
            <w:r>
              <w:rPr>
                <w:rFonts w:hint="default" w:ascii="Times New Roman" w:hAnsi="Times New Roman" w:cs="Times New Roman"/>
                <w:szCs w:val="18"/>
              </w:rPr>
              <w:t>表面质量</w:t>
            </w:r>
          </w:p>
        </w:tc>
        <w:tc>
          <w:tcPr>
            <w:tcW w:w="4414" w:type="dxa"/>
            <w:tcBorders>
              <w:top w:val="single" w:color="000000" w:sz="6" w:space="0"/>
              <w:left w:val="single" w:color="000000" w:sz="6" w:space="0"/>
              <w:bottom w:val="single" w:color="000000" w:sz="6" w:space="0"/>
              <w:right w:val="single" w:color="000000" w:sz="8" w:space="0"/>
            </w:tcBorders>
            <w:vAlign w:val="center"/>
          </w:tcPr>
          <w:p w14:paraId="41F97151">
            <w:pPr>
              <w:pStyle w:val="145"/>
              <w:rPr>
                <w:rFonts w:hint="default" w:ascii="Times New Roman" w:hAnsi="Times New Roman" w:cs="Times New Roman"/>
                <w:szCs w:val="18"/>
              </w:rPr>
            </w:pPr>
            <w:r>
              <w:rPr>
                <w:rFonts w:hint="default" w:ascii="Times New Roman" w:hAnsi="Times New Roman" w:cs="Times New Roman"/>
                <w:szCs w:val="18"/>
              </w:rPr>
              <w:t>表面光洁度好；凹痕、空洞、缺口和机加工痕迹等视为缺陷。不允许有一个切向长度≥5mm且径向深度≥2mm的缺陷，或两个切向长度≥2mm且径向深度≥1mm的缺陷，表面干净，无机加工切屑，无油污和其它污染物等。</w:t>
            </w:r>
          </w:p>
        </w:tc>
      </w:tr>
    </w:tbl>
    <w:p w14:paraId="156A8422">
      <w:pPr>
        <w:spacing w:before="14"/>
        <w:ind w:left="624"/>
        <w:rPr>
          <w:rFonts w:ascii="宋体" w:hAnsi="宋体" w:cs="宋体"/>
          <w:position w:val="1"/>
          <w:sz w:val="24"/>
          <w:szCs w:val="24"/>
        </w:rPr>
      </w:pPr>
      <w:r>
        <w:rPr>
          <w:rFonts w:ascii="宋体" w:hAnsi="宋体" w:cs="宋体"/>
          <w:position w:val="1"/>
          <w:sz w:val="24"/>
          <w:szCs w:val="24"/>
        </w:rPr>
        <w:t>注：(1) 如果球形燃料元件的性能等效或高于基体石墨球的数据，可以用基体石墨球代替球形燃料元件进行测试</w:t>
      </w:r>
      <w:r>
        <w:rPr>
          <w:rFonts w:hint="eastAsia" w:ascii="宋体" w:hAnsi="宋体" w:cs="宋体"/>
          <w:position w:val="1"/>
          <w:sz w:val="24"/>
          <w:szCs w:val="24"/>
        </w:rPr>
        <w:t>。</w:t>
      </w:r>
    </w:p>
    <w:p w14:paraId="5ECFDFC1">
      <w:pPr>
        <w:pStyle w:val="138"/>
        <w:ind w:firstLine="420"/>
      </w:pPr>
    </w:p>
    <w:p w14:paraId="6D70FBD2">
      <w:pPr>
        <w:pStyle w:val="146"/>
        <w:spacing w:after="156"/>
        <w:rPr>
          <w:rFonts w:hint="eastAsia"/>
          <w:spacing w:val="105"/>
        </w:rPr>
      </w:pPr>
    </w:p>
    <w:p w14:paraId="2C328215">
      <w:pPr>
        <w:pStyle w:val="146"/>
        <w:spacing w:after="156"/>
        <w:rPr>
          <w:rFonts w:hint="eastAsia"/>
          <w:spacing w:val="105"/>
        </w:rPr>
      </w:pPr>
    </w:p>
    <w:p w14:paraId="25ED3DDA">
      <w:pPr>
        <w:pStyle w:val="146"/>
        <w:spacing w:after="156"/>
        <w:rPr>
          <w:rFonts w:hint="eastAsia"/>
          <w:spacing w:val="105"/>
        </w:rPr>
      </w:pPr>
    </w:p>
    <w:p w14:paraId="3EFA87DD">
      <w:pPr>
        <w:pStyle w:val="146"/>
        <w:spacing w:after="156"/>
        <w:rPr>
          <w:rFonts w:hint="eastAsia"/>
          <w:spacing w:val="105"/>
        </w:rPr>
      </w:pPr>
    </w:p>
    <w:p w14:paraId="5B9FC8CE">
      <w:pPr>
        <w:pStyle w:val="146"/>
        <w:spacing w:after="156"/>
        <w:rPr>
          <w:rFonts w:hint="eastAsia"/>
          <w:spacing w:val="105"/>
        </w:rPr>
      </w:pPr>
    </w:p>
    <w:p w14:paraId="2B5372FD">
      <w:pPr>
        <w:pStyle w:val="146"/>
        <w:spacing w:after="156"/>
        <w:rPr>
          <w:rFonts w:hint="eastAsia"/>
          <w:spacing w:val="105"/>
        </w:rPr>
      </w:pPr>
    </w:p>
    <w:p w14:paraId="7635603C">
      <w:pPr>
        <w:pStyle w:val="146"/>
        <w:spacing w:after="156"/>
        <w:rPr>
          <w:rFonts w:hint="eastAsia"/>
          <w:spacing w:val="105"/>
        </w:rPr>
      </w:pPr>
    </w:p>
    <w:p w14:paraId="758A2BBA">
      <w:pPr>
        <w:pStyle w:val="146"/>
        <w:spacing w:after="156"/>
        <w:rPr>
          <w:rFonts w:hint="eastAsia"/>
          <w:spacing w:val="105"/>
        </w:rPr>
      </w:pPr>
    </w:p>
    <w:p w14:paraId="1BBB0508">
      <w:pPr>
        <w:pStyle w:val="146"/>
        <w:spacing w:after="156"/>
        <w:rPr>
          <w:rFonts w:hint="eastAsia"/>
          <w:spacing w:val="105"/>
        </w:rPr>
      </w:pPr>
    </w:p>
    <w:p w14:paraId="16D3049B">
      <w:pPr>
        <w:pStyle w:val="146"/>
        <w:spacing w:after="156"/>
        <w:rPr>
          <w:rFonts w:hint="eastAsia"/>
          <w:spacing w:val="105"/>
        </w:rPr>
      </w:pPr>
    </w:p>
    <w:p w14:paraId="5AF64D51">
      <w:pPr>
        <w:pStyle w:val="146"/>
        <w:spacing w:after="156"/>
        <w:rPr>
          <w:rFonts w:hint="eastAsia"/>
          <w:spacing w:val="105"/>
        </w:rPr>
      </w:pPr>
    </w:p>
    <w:p w14:paraId="3B270D62">
      <w:pPr>
        <w:pStyle w:val="146"/>
        <w:spacing w:after="156"/>
        <w:rPr>
          <w:rFonts w:hint="eastAsia"/>
          <w:spacing w:val="105"/>
        </w:rPr>
      </w:pPr>
    </w:p>
    <w:p w14:paraId="30524C8D">
      <w:pPr>
        <w:pStyle w:val="146"/>
        <w:spacing w:after="156"/>
        <w:rPr>
          <w:rFonts w:hint="eastAsia"/>
          <w:spacing w:val="105"/>
        </w:rPr>
      </w:pPr>
    </w:p>
    <w:p w14:paraId="4AF4880E">
      <w:pPr>
        <w:pStyle w:val="146"/>
        <w:spacing w:after="156"/>
      </w:pPr>
      <w:r>
        <w:rPr>
          <w:rFonts w:hint="eastAsia"/>
          <w:spacing w:val="105"/>
        </w:rPr>
        <w:t>参考文</w:t>
      </w:r>
      <w:r>
        <w:rPr>
          <w:rFonts w:hint="eastAsia"/>
        </w:rPr>
        <w:t>献</w:t>
      </w:r>
    </w:p>
    <w:p w14:paraId="12A97C80">
      <w:pPr>
        <w:pStyle w:val="22"/>
      </w:pPr>
      <w:r>
        <w:rPr>
          <w:rFonts w:hint="eastAsia"/>
        </w:rPr>
        <w:t xml:space="preserve">[1]  </w:t>
      </w:r>
      <w:r>
        <w:t xml:space="preserve">HAD003/10  </w:t>
      </w:r>
      <w:r>
        <w:rPr>
          <w:rFonts w:hint="eastAsia"/>
        </w:rPr>
        <w:t>核燃料组件采购、设计和制造中的质量保证</w:t>
      </w:r>
    </w:p>
    <w:p w14:paraId="5473BCD6">
      <w:pPr>
        <w:pStyle w:val="22"/>
      </w:pPr>
      <w:r>
        <w:rPr>
          <w:rFonts w:hint="eastAsia"/>
        </w:rPr>
        <w:t>[2]  HAD003/08</w:t>
      </w:r>
      <w:r>
        <w:rPr>
          <w:rFonts w:hint="eastAsia"/>
          <w:lang w:val="en-US" w:eastAsia="zh-CN"/>
        </w:rPr>
        <w:t xml:space="preserve">  </w:t>
      </w:r>
      <w:r>
        <w:rPr>
          <w:rFonts w:hint="eastAsia"/>
        </w:rPr>
        <w:t>核电厂物项制造中的质量保证</w:t>
      </w:r>
    </w:p>
    <w:p w14:paraId="0BF682F5">
      <w:pPr>
        <w:pStyle w:val="22"/>
        <w:rPr>
          <w:rFonts w:hint="eastAsia"/>
        </w:rPr>
      </w:pPr>
      <w:r>
        <w:rPr>
          <w:rFonts w:hint="eastAsia"/>
        </w:rPr>
        <w:t>[3]  EJ/T 564-2006</w:t>
      </w:r>
      <w:r>
        <w:rPr>
          <w:rFonts w:hint="eastAsia"/>
        </w:rPr>
        <w:tab/>
      </w:r>
      <w:r>
        <w:t xml:space="preserve">  </w:t>
      </w:r>
      <w:r>
        <w:rPr>
          <w:rFonts w:hint="eastAsia"/>
        </w:rPr>
        <w:t>核电厂物项包装、运输、装卸、接收、贮存和维护要求</w:t>
      </w:r>
    </w:p>
    <w:p w14:paraId="2D17D636">
      <w:pPr>
        <w:pStyle w:val="22"/>
        <w:rPr>
          <w:rFonts w:hint="default" w:eastAsia="宋体"/>
          <w:lang w:val="en-US" w:eastAsia="zh-CN"/>
        </w:rPr>
      </w:pPr>
      <w:r>
        <w:rPr>
          <w:rFonts w:hint="eastAsia"/>
          <w:lang w:val="en-US" w:eastAsia="zh-CN"/>
        </w:rPr>
        <w:t xml:space="preserve">[4]  </w:t>
      </w:r>
      <w:r>
        <w:rPr>
          <w:rFonts w:hint="eastAsia"/>
        </w:rPr>
        <w:t>GB</w:t>
      </w:r>
      <w:r>
        <w:rPr>
          <w:rFonts w:hint="eastAsia"/>
          <w:lang w:val="en-US" w:eastAsia="zh-CN"/>
        </w:rPr>
        <w:t xml:space="preserve">/T </w:t>
      </w:r>
      <w:r>
        <w:rPr>
          <w:rFonts w:hint="eastAsia"/>
        </w:rPr>
        <w:t>10609.3</w:t>
      </w:r>
      <w:r>
        <w:rPr>
          <w:rFonts w:hint="eastAsia"/>
          <w:lang w:val="en-US" w:eastAsia="zh-CN"/>
        </w:rPr>
        <w:t xml:space="preserve">  </w:t>
      </w:r>
      <w:r>
        <w:rPr>
          <w:rFonts w:hint="eastAsia"/>
        </w:rPr>
        <w:t>技术制图复制图的折叠方法</w:t>
      </w:r>
    </w:p>
    <w:p w14:paraId="0A5F4BD2">
      <w:pPr>
        <w:pStyle w:val="22"/>
        <w:ind w:left="0" w:leftChars="0" w:firstLine="0" w:firstLineChars="0"/>
      </w:pPr>
      <w:r>
        <mc:AlternateContent>
          <mc:Choice Requires="wps">
            <w:drawing>
              <wp:anchor distT="0" distB="0" distL="114300" distR="114300" simplePos="0" relativeHeight="251668480" behindDoc="0" locked="0" layoutInCell="1" allowOverlap="1">
                <wp:simplePos x="0" y="0"/>
                <wp:positionH relativeFrom="column">
                  <wp:posOffset>1668780</wp:posOffset>
                </wp:positionH>
                <wp:positionV relativeFrom="paragraph">
                  <wp:posOffset>244475</wp:posOffset>
                </wp:positionV>
                <wp:extent cx="2388235" cy="6350"/>
                <wp:effectExtent l="0" t="0" r="0" b="0"/>
                <wp:wrapTopAndBottom/>
                <wp:docPr id="10" name="直接连接符 10"/>
                <wp:cNvGraphicFramePr/>
                <a:graphic xmlns:a="http://schemas.openxmlformats.org/drawingml/2006/main">
                  <a:graphicData uri="http://schemas.microsoft.com/office/word/2010/wordprocessingShape">
                    <wps:wsp>
                      <wps:cNvCnPr/>
                      <wps:spPr>
                        <a:xfrm>
                          <a:off x="0" y="0"/>
                          <a:ext cx="2388235" cy="6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1.4pt;margin-top:19.25pt;height:0.5pt;width:188.05pt;mso-wrap-distance-bottom:0pt;mso-wrap-distance-top:0pt;z-index:251668480;mso-width-relative:page;mso-height-relative:page;" filled="f" stroked="t" coordsize="21600,21600" o:gfxdata="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jd&#10;kUDaAAAACQEAAA8AAAAAAAAAAQAgAAAAIgAAAGRycy9kb3ducmV2LnhtbFBLAQIUABQAAAAIAIdO&#10;4kDdS3md6AEAALcDAAAOAAAAAAAAAAEAIAAAACkBAABkcnMvZTJvRG9jLnhtbFBLBQYAAAAABgAG&#10;AFkBAACDBQAAAAA=&#10;">
                <v:fill on="f" focussize="0,0"/>
                <v:stroke weight="1pt" color="#000000 [3213]" miterlimit="8" joinstyle="miter"/>
                <v:imagedata o:title=""/>
                <o:lock v:ext="edit" aspectratio="f"/>
                <w10:wrap type="topAndBottom"/>
              </v:line>
            </w:pict>
          </mc:Fallback>
        </mc:AlternateContent>
      </w:r>
    </w:p>
    <w:sectPr>
      <w:headerReference r:id="rId15" w:type="default"/>
      <w:footerReference r:id="rId16" w:type="default"/>
      <w:pgSz w:w="11906" w:h="16838"/>
      <w:pgMar w:top="567" w:right="1134" w:bottom="1134" w:left="1418"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A315D">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ECA78">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A55CE">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E9191">
    <w:pPr>
      <w:pStyle w:val="39"/>
    </w:pPr>
    <w:r>
      <w:fldChar w:fldCharType="begin"/>
    </w:r>
    <w:r>
      <w:instrText xml:space="preserve"> PAGE  \* MERGEFORMAT </w:instrText>
    </w:r>
    <w:r>
      <w:fldChar w:fldCharType="separate"/>
    </w:r>
    <w:r>
      <w:t>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E33FA">
    <w:pPr>
      <w:pStyle w:val="147"/>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DA03E8">
                          <w:pPr>
                            <w:pStyle w:val="147"/>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DA03E8">
                    <w:pPr>
                      <w:pStyle w:val="147"/>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11A7F">
    <w:pPr>
      <w:pStyle w:val="148"/>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1C796">
    <w:pPr>
      <w:pStyle w:val="147"/>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E8777">
                          <w:pPr>
                            <w:pStyle w:val="1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37E8777">
                    <w:pPr>
                      <w:pStyle w:val="16"/>
                    </w:pPr>
                    <w:r>
                      <w:fldChar w:fldCharType="begin"/>
                    </w:r>
                    <w:r>
                      <w:instrText xml:space="preserve"> PAGE  \* MERGEFORMAT </w:instrText>
                    </w:r>
                    <w:r>
                      <w:fldChar w:fldCharType="separate"/>
                    </w:r>
                    <w:r>
                      <w:t>4</w:t>
                    </w:r>
                    <w:r>
                      <w:fldChar w:fldCharType="end"/>
                    </w:r>
                  </w:p>
                </w:txbxContent>
              </v:textbox>
            </v:shape>
          </w:pict>
        </mc:Fallback>
      </mc:AlternateContent>
    </w: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3E9B8">
                          <w:pPr>
                            <w:pStyle w:val="14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9A3E9B8">
                    <w:pPr>
                      <w:pStyle w:val="147"/>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C7E31">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8C1C4">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86CA7">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F7909">
    <w:pPr>
      <w:pStyle w:val="40"/>
    </w:pPr>
    <w:r>
      <w:rPr>
        <w:rFonts w:hint="eastAsia"/>
      </w:rPr>
      <w:t>T</w:t>
    </w:r>
    <w:r>
      <w:t>/</w:t>
    </w:r>
    <w:r>
      <w:rPr>
        <w:rFonts w:hint="eastAsia"/>
      </w:rPr>
      <w:t>CNS</w:t>
    </w:r>
    <w:r>
      <w:t xml:space="preserve"> XXXXX—XXXX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96E89">
    <w:pPr>
      <w:pStyle w:val="40"/>
    </w:pPr>
    <w:r>
      <w:rPr>
        <w:rFonts w:hint="eastAsia"/>
      </w:rPr>
      <w:t>T</w:t>
    </w:r>
    <w:r>
      <w:t>/</w:t>
    </w:r>
    <w:r>
      <w:rPr>
        <w:rFonts w:hint="eastAsia"/>
      </w:rPr>
      <w:t>CNS</w:t>
    </w:r>
    <w:r>
      <w:t xml:space="preserve"> 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0B174">
    <w:pPr>
      <w:pStyle w:val="40"/>
      <w:jc w:val="both"/>
    </w:pPr>
    <w:r>
      <w:rPr>
        <w:rFonts w:hint="eastAsia"/>
      </w:rPr>
      <w:t>T</w:t>
    </w:r>
    <w:r>
      <w:t>/</w:t>
    </w:r>
    <w:r>
      <w:rPr>
        <w:rFonts w:hint="eastAsia"/>
      </w:rPr>
      <w:t>CNS</w:t>
    </w:r>
    <w:r>
      <w:t xml:space="preserve"> 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90131">
    <w:pPr>
      <w:pStyle w:val="40"/>
    </w:pPr>
    <w:r>
      <w:rPr>
        <w:rFonts w:hint="eastAsia"/>
      </w:rPr>
      <w:t>T</w:t>
    </w:r>
    <w:r>
      <w:t>/</w:t>
    </w:r>
    <w:r>
      <w:rPr>
        <w:rFonts w:hint="eastAsia"/>
      </w:rPr>
      <w:t>CNS</w:t>
    </w:r>
    <w:r>
      <w:t xml:space="preserve">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4"/>
      <w:suff w:val="space"/>
      <w:lvlText w:val="%1"/>
      <w:lvlJc w:val="left"/>
      <w:pPr>
        <w:ind w:left="623" w:hanging="425"/>
      </w:pPr>
      <w:rPr>
        <w:rFonts w:hint="eastAsia"/>
      </w:rPr>
    </w:lvl>
    <w:lvl w:ilvl="1" w:tentative="0">
      <w:start w:val="1"/>
      <w:numFmt w:val="decimal"/>
      <w:pStyle w:val="9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4"/>
      <w:suff w:val="nothing"/>
      <w:lvlText w:val="%1——"/>
      <w:lvlJc w:val="left"/>
      <w:pPr>
        <w:ind w:left="833" w:hanging="408"/>
      </w:pPr>
      <w:rPr>
        <w:rFonts w:hint="eastAsia"/>
      </w:rPr>
    </w:lvl>
    <w:lvl w:ilvl="1" w:tentative="0">
      <w:start w:val="1"/>
      <w:numFmt w:val="bullet"/>
      <w:pStyle w:val="45"/>
      <w:lvlText w:val=""/>
      <w:lvlJc w:val="left"/>
      <w:pPr>
        <w:tabs>
          <w:tab w:val="left" w:pos="760"/>
        </w:tabs>
        <w:ind w:left="1264" w:hanging="413"/>
      </w:pPr>
      <w:rPr>
        <w:rFonts w:hint="default" w:ascii="Symbol" w:hAnsi="Symbol"/>
        <w:color w:val="auto"/>
      </w:rPr>
    </w:lvl>
    <w:lvl w:ilvl="2" w:tentative="0">
      <w:start w:val="1"/>
      <w:numFmt w:val="bullet"/>
      <w:pStyle w:val="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0"/>
      <w:lvlText w:val="%2)"/>
      <w:lvlJc w:val="left"/>
      <w:pPr>
        <w:tabs>
          <w:tab w:val="left" w:pos="1260"/>
        </w:tabs>
        <w:ind w:left="1259" w:hanging="419"/>
      </w:pPr>
      <w:rPr>
        <w:rFonts w:hint="eastAsia"/>
      </w:rPr>
    </w:lvl>
    <w:lvl w:ilvl="2" w:tentative="0">
      <w:start w:val="1"/>
      <w:numFmt w:val="decimal"/>
      <w:pStyle w:val="57"/>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8802D1C"/>
    <w:multiLevelType w:val="multilevel"/>
    <w:tmpl w:val="48802D1C"/>
    <w:lvl w:ilvl="0" w:tentative="0">
      <w:start w:val="1"/>
      <w:numFmt w:val="upperLetter"/>
      <w:pStyle w:val="141"/>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4B733A5F"/>
    <w:multiLevelType w:val="multilevel"/>
    <w:tmpl w:val="4B733A5F"/>
    <w:lvl w:ilvl="0" w:tentative="0">
      <w:start w:val="1"/>
      <w:numFmt w:val="decimal"/>
      <w:pStyle w:val="5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5603797C"/>
    <w:multiLevelType w:val="multilevel"/>
    <w:tmpl w:val="5603797C"/>
    <w:lvl w:ilvl="0" w:tentative="0">
      <w:start w:val="1"/>
      <w:numFmt w:val="upperLetter"/>
      <w:pStyle w:val="142"/>
      <w:suff w:val="space"/>
      <w:lvlText w:val="%1"/>
      <w:lvlJc w:val="left"/>
      <w:pPr>
        <w:ind w:left="425" w:hanging="425"/>
      </w:pPr>
      <w:rPr>
        <w:rFonts w:hint="eastAsia"/>
      </w:rPr>
    </w:lvl>
    <w:lvl w:ilvl="1" w:tentative="0">
      <w:start w:val="1"/>
      <w:numFmt w:val="decimal"/>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0B55DC2"/>
    <w:multiLevelType w:val="multilevel"/>
    <w:tmpl w:val="60B55DC2"/>
    <w:lvl w:ilvl="0" w:tentative="0">
      <w:start w:val="1"/>
      <w:numFmt w:val="upperLetter"/>
      <w:pStyle w:val="82"/>
      <w:lvlText w:val="%1"/>
      <w:lvlJc w:val="left"/>
      <w:pPr>
        <w:tabs>
          <w:tab w:val="left" w:pos="0"/>
        </w:tabs>
        <w:ind w:left="0" w:hanging="425"/>
      </w:pPr>
      <w:rPr>
        <w:rFonts w:hint="eastAsia"/>
      </w:rPr>
    </w:lvl>
    <w:lvl w:ilvl="1" w:tentative="0">
      <w:start w:val="1"/>
      <w:numFmt w:val="decimal"/>
      <w:pStyle w:val="8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8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9"/>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89"/>
      <w:suff w:val="nothing"/>
      <w:lvlText w:val="%1.%2.%3.%4.%5　"/>
      <w:lvlJc w:val="left"/>
      <w:pPr>
        <w:ind w:left="0" w:firstLine="0"/>
      </w:pPr>
      <w:rPr>
        <w:rFonts w:hint="eastAsia" w:ascii="黑体" w:hAnsi="Times New Roman" w:eastAsia="黑体"/>
        <w:b w:val="0"/>
        <w:i w:val="0"/>
        <w:sz w:val="21"/>
      </w:rPr>
    </w:lvl>
    <w:lvl w:ilvl="5" w:tentative="0">
      <w:start w:val="1"/>
      <w:numFmt w:val="decimal"/>
      <w:pStyle w:val="92"/>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37"/>
      <w:suff w:val="nothing"/>
      <w:lvlText w:val="%1%2　"/>
      <w:lvlJc w:val="left"/>
      <w:pPr>
        <w:ind w:left="0" w:firstLine="0"/>
      </w:pPr>
      <w:rPr>
        <w:rFonts w:hint="eastAsia" w:ascii="黑体" w:eastAsia="黑体"/>
        <w:b w:val="0"/>
        <w:i w:val="0"/>
        <w:sz w:val="21"/>
      </w:rPr>
    </w:lvl>
    <w:lvl w:ilvl="2" w:tentative="0">
      <w:start w:val="1"/>
      <w:numFmt w:val="decimal"/>
      <w:pStyle w:val="13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40"/>
      <w:suff w:val="nothing"/>
      <w:lvlText w:val="%1%2.%3.%4　"/>
      <w:lvlJc w:val="left"/>
      <w:pPr>
        <w:ind w:left="993"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6D6C07CD"/>
    <w:multiLevelType w:val="multilevel"/>
    <w:tmpl w:val="6D6C07CD"/>
    <w:lvl w:ilvl="0" w:tentative="0">
      <w:start w:val="1"/>
      <w:numFmt w:val="lowerLetter"/>
      <w:pStyle w:val="101"/>
      <w:lvlText w:val="%1)"/>
      <w:lvlJc w:val="left"/>
      <w:pPr>
        <w:tabs>
          <w:tab w:val="left" w:pos="839"/>
        </w:tabs>
        <w:ind w:left="839" w:hanging="419"/>
      </w:pPr>
      <w:rPr>
        <w:rFonts w:hint="eastAsia" w:ascii="宋体" w:eastAsia="宋体"/>
        <w:b w:val="0"/>
        <w:i w:val="0"/>
        <w:sz w:val="21"/>
      </w:rPr>
    </w:lvl>
    <w:lvl w:ilvl="1" w:tentative="0">
      <w:start w:val="1"/>
      <w:numFmt w:val="decimal"/>
      <w:pStyle w:val="9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5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9"/>
  </w:num>
  <w:num w:numId="7">
    <w:abstractNumId w:val="0"/>
  </w:num>
  <w:num w:numId="8">
    <w:abstractNumId w:val="11"/>
  </w:num>
  <w:num w:numId="9">
    <w:abstractNumId w:val="4"/>
  </w:num>
  <w:num w:numId="10">
    <w:abstractNumId w:val="16"/>
  </w:num>
  <w:num w:numId="11">
    <w:abstractNumId w:val="14"/>
  </w:num>
  <w:num w:numId="12">
    <w:abstractNumId w:val="18"/>
  </w:num>
  <w:num w:numId="13">
    <w:abstractNumId w:val="6"/>
  </w:num>
  <w:num w:numId="14">
    <w:abstractNumId w:val="1"/>
  </w:num>
  <w:num w:numId="15">
    <w:abstractNumId w:val="3"/>
  </w:num>
  <w:num w:numId="16">
    <w:abstractNumId w:val="15"/>
  </w:num>
  <w:num w:numId="17">
    <w:abstractNumId w:val="12"/>
  </w:num>
  <w:num w:numId="18">
    <w:abstractNumId w:val="17"/>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forms" w:enforcement="1" w:cryptProviderType="rsaFull" w:cryptAlgorithmClass="hash" w:cryptAlgorithmType="typeAny" w:cryptAlgorithmSid="4" w:cryptSpinCount="100000" w:hash="pFoyAzLgsoseh94OXPsnUPNA7UQ=" w:salt="lZLxq7Q9YIGIw6l5CYA6m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13D86"/>
    <w:rsid w:val="00013E02"/>
    <w:rsid w:val="0002143C"/>
    <w:rsid w:val="00025A65"/>
    <w:rsid w:val="00026C31"/>
    <w:rsid w:val="00027280"/>
    <w:rsid w:val="000320A7"/>
    <w:rsid w:val="000356F3"/>
    <w:rsid w:val="00035925"/>
    <w:rsid w:val="00036A0C"/>
    <w:rsid w:val="000373E4"/>
    <w:rsid w:val="00042B54"/>
    <w:rsid w:val="000440B0"/>
    <w:rsid w:val="0005437D"/>
    <w:rsid w:val="000543E0"/>
    <w:rsid w:val="00064746"/>
    <w:rsid w:val="0006615B"/>
    <w:rsid w:val="00067CDF"/>
    <w:rsid w:val="00071231"/>
    <w:rsid w:val="00074FBE"/>
    <w:rsid w:val="00077B67"/>
    <w:rsid w:val="00081261"/>
    <w:rsid w:val="0008290D"/>
    <w:rsid w:val="00083A09"/>
    <w:rsid w:val="0009005E"/>
    <w:rsid w:val="000907B1"/>
    <w:rsid w:val="00092857"/>
    <w:rsid w:val="00093FA7"/>
    <w:rsid w:val="00094069"/>
    <w:rsid w:val="00095C2A"/>
    <w:rsid w:val="000A20A9"/>
    <w:rsid w:val="000A48B1"/>
    <w:rsid w:val="000B3143"/>
    <w:rsid w:val="000B31AC"/>
    <w:rsid w:val="000B67FF"/>
    <w:rsid w:val="000C2D5B"/>
    <w:rsid w:val="000C3148"/>
    <w:rsid w:val="000C6B05"/>
    <w:rsid w:val="000C6DD6"/>
    <w:rsid w:val="000C73D4"/>
    <w:rsid w:val="000D3D4C"/>
    <w:rsid w:val="000D4F51"/>
    <w:rsid w:val="000D524A"/>
    <w:rsid w:val="000D52FC"/>
    <w:rsid w:val="000D718B"/>
    <w:rsid w:val="000E0C46"/>
    <w:rsid w:val="000E1391"/>
    <w:rsid w:val="000F030C"/>
    <w:rsid w:val="000F129C"/>
    <w:rsid w:val="000F5DAD"/>
    <w:rsid w:val="00103B91"/>
    <w:rsid w:val="001056DE"/>
    <w:rsid w:val="001124C0"/>
    <w:rsid w:val="00112EF1"/>
    <w:rsid w:val="00113CDC"/>
    <w:rsid w:val="00116155"/>
    <w:rsid w:val="0013124D"/>
    <w:rsid w:val="0013175F"/>
    <w:rsid w:val="00131BBF"/>
    <w:rsid w:val="0014656F"/>
    <w:rsid w:val="001512B4"/>
    <w:rsid w:val="001620A5"/>
    <w:rsid w:val="00162DDF"/>
    <w:rsid w:val="00164E53"/>
    <w:rsid w:val="0016699D"/>
    <w:rsid w:val="00175159"/>
    <w:rsid w:val="00176208"/>
    <w:rsid w:val="0018211B"/>
    <w:rsid w:val="001840D3"/>
    <w:rsid w:val="0018435E"/>
    <w:rsid w:val="001900F8"/>
    <w:rsid w:val="00191258"/>
    <w:rsid w:val="00192680"/>
    <w:rsid w:val="00193037"/>
    <w:rsid w:val="00193A2C"/>
    <w:rsid w:val="00195C94"/>
    <w:rsid w:val="00196486"/>
    <w:rsid w:val="001A288E"/>
    <w:rsid w:val="001A5962"/>
    <w:rsid w:val="001B01F1"/>
    <w:rsid w:val="001B6DC2"/>
    <w:rsid w:val="001C149C"/>
    <w:rsid w:val="001C1DA2"/>
    <w:rsid w:val="001C21AC"/>
    <w:rsid w:val="001C47BA"/>
    <w:rsid w:val="001C59EA"/>
    <w:rsid w:val="001D0224"/>
    <w:rsid w:val="001D18DB"/>
    <w:rsid w:val="001D1E1B"/>
    <w:rsid w:val="001D406C"/>
    <w:rsid w:val="001D41EE"/>
    <w:rsid w:val="001D563A"/>
    <w:rsid w:val="001E0380"/>
    <w:rsid w:val="001E13B1"/>
    <w:rsid w:val="001E3352"/>
    <w:rsid w:val="001E7124"/>
    <w:rsid w:val="001F3A19"/>
    <w:rsid w:val="001F7DDE"/>
    <w:rsid w:val="00203763"/>
    <w:rsid w:val="00207E7F"/>
    <w:rsid w:val="00213A90"/>
    <w:rsid w:val="002159A8"/>
    <w:rsid w:val="0021704A"/>
    <w:rsid w:val="00220389"/>
    <w:rsid w:val="00220B28"/>
    <w:rsid w:val="002318BF"/>
    <w:rsid w:val="00234467"/>
    <w:rsid w:val="0023529B"/>
    <w:rsid w:val="002357C8"/>
    <w:rsid w:val="00237D8D"/>
    <w:rsid w:val="0024019C"/>
    <w:rsid w:val="00241DA2"/>
    <w:rsid w:val="00243C53"/>
    <w:rsid w:val="002476E9"/>
    <w:rsid w:val="00247FEE"/>
    <w:rsid w:val="00250E7D"/>
    <w:rsid w:val="002565B3"/>
    <w:rsid w:val="002565D5"/>
    <w:rsid w:val="002622C0"/>
    <w:rsid w:val="00263599"/>
    <w:rsid w:val="002701F8"/>
    <w:rsid w:val="002778AE"/>
    <w:rsid w:val="0028269A"/>
    <w:rsid w:val="00283590"/>
    <w:rsid w:val="00286973"/>
    <w:rsid w:val="00294E70"/>
    <w:rsid w:val="00295415"/>
    <w:rsid w:val="002A1924"/>
    <w:rsid w:val="002A3A98"/>
    <w:rsid w:val="002A54F1"/>
    <w:rsid w:val="002A7420"/>
    <w:rsid w:val="002B0F12"/>
    <w:rsid w:val="002B1308"/>
    <w:rsid w:val="002B4554"/>
    <w:rsid w:val="002C6978"/>
    <w:rsid w:val="002C72D8"/>
    <w:rsid w:val="002C7FBD"/>
    <w:rsid w:val="002D11FA"/>
    <w:rsid w:val="002D57D3"/>
    <w:rsid w:val="002E06C5"/>
    <w:rsid w:val="002E0DDF"/>
    <w:rsid w:val="002E2906"/>
    <w:rsid w:val="002E5635"/>
    <w:rsid w:val="002E64C3"/>
    <w:rsid w:val="002E6A2C"/>
    <w:rsid w:val="002F0DD5"/>
    <w:rsid w:val="002F1D8C"/>
    <w:rsid w:val="002F21DA"/>
    <w:rsid w:val="002F4599"/>
    <w:rsid w:val="002F6770"/>
    <w:rsid w:val="002F78F9"/>
    <w:rsid w:val="00301F39"/>
    <w:rsid w:val="00315C66"/>
    <w:rsid w:val="00317B67"/>
    <w:rsid w:val="003203A4"/>
    <w:rsid w:val="003251F0"/>
    <w:rsid w:val="00325926"/>
    <w:rsid w:val="00327A8A"/>
    <w:rsid w:val="00333C83"/>
    <w:rsid w:val="00336610"/>
    <w:rsid w:val="00336661"/>
    <w:rsid w:val="00343BFD"/>
    <w:rsid w:val="00343F73"/>
    <w:rsid w:val="00345060"/>
    <w:rsid w:val="0035323B"/>
    <w:rsid w:val="00353B7B"/>
    <w:rsid w:val="003544A0"/>
    <w:rsid w:val="003555AB"/>
    <w:rsid w:val="003609D2"/>
    <w:rsid w:val="00361234"/>
    <w:rsid w:val="00363F22"/>
    <w:rsid w:val="003676D5"/>
    <w:rsid w:val="00371FF7"/>
    <w:rsid w:val="00375564"/>
    <w:rsid w:val="003756F5"/>
    <w:rsid w:val="00383191"/>
    <w:rsid w:val="00386DED"/>
    <w:rsid w:val="00387110"/>
    <w:rsid w:val="003912E7"/>
    <w:rsid w:val="00393947"/>
    <w:rsid w:val="003959CB"/>
    <w:rsid w:val="003A201A"/>
    <w:rsid w:val="003A2275"/>
    <w:rsid w:val="003A2779"/>
    <w:rsid w:val="003A2FAE"/>
    <w:rsid w:val="003A3F40"/>
    <w:rsid w:val="003A66B7"/>
    <w:rsid w:val="003A6A4F"/>
    <w:rsid w:val="003A7088"/>
    <w:rsid w:val="003B00DF"/>
    <w:rsid w:val="003B1275"/>
    <w:rsid w:val="003B1778"/>
    <w:rsid w:val="003C11CB"/>
    <w:rsid w:val="003C75F3"/>
    <w:rsid w:val="003C78A3"/>
    <w:rsid w:val="003E1867"/>
    <w:rsid w:val="003E2C66"/>
    <w:rsid w:val="003E5729"/>
    <w:rsid w:val="003F15D3"/>
    <w:rsid w:val="003F4EE0"/>
    <w:rsid w:val="003F7EB6"/>
    <w:rsid w:val="00401A11"/>
    <w:rsid w:val="00402153"/>
    <w:rsid w:val="00402FC1"/>
    <w:rsid w:val="00404CD2"/>
    <w:rsid w:val="00404F62"/>
    <w:rsid w:val="00406F35"/>
    <w:rsid w:val="00415657"/>
    <w:rsid w:val="00416C73"/>
    <w:rsid w:val="00425082"/>
    <w:rsid w:val="004272C7"/>
    <w:rsid w:val="00430E55"/>
    <w:rsid w:val="00431DEB"/>
    <w:rsid w:val="00433A56"/>
    <w:rsid w:val="004378D7"/>
    <w:rsid w:val="00444CA9"/>
    <w:rsid w:val="0044568B"/>
    <w:rsid w:val="004462B3"/>
    <w:rsid w:val="00446B29"/>
    <w:rsid w:val="0044734B"/>
    <w:rsid w:val="0045006F"/>
    <w:rsid w:val="00453F9A"/>
    <w:rsid w:val="00456CA7"/>
    <w:rsid w:val="00461B1B"/>
    <w:rsid w:val="0046201F"/>
    <w:rsid w:val="00463536"/>
    <w:rsid w:val="00464730"/>
    <w:rsid w:val="00464C43"/>
    <w:rsid w:val="004719EF"/>
    <w:rsid w:val="00471E91"/>
    <w:rsid w:val="00474675"/>
    <w:rsid w:val="0047470C"/>
    <w:rsid w:val="00485E00"/>
    <w:rsid w:val="004A35F9"/>
    <w:rsid w:val="004A5E26"/>
    <w:rsid w:val="004B0C4C"/>
    <w:rsid w:val="004B24C1"/>
    <w:rsid w:val="004C292F"/>
    <w:rsid w:val="004C2FE0"/>
    <w:rsid w:val="004C4E29"/>
    <w:rsid w:val="004C6C58"/>
    <w:rsid w:val="004E5308"/>
    <w:rsid w:val="00500894"/>
    <w:rsid w:val="005041AC"/>
    <w:rsid w:val="00505CCF"/>
    <w:rsid w:val="00510280"/>
    <w:rsid w:val="005107F6"/>
    <w:rsid w:val="00512A67"/>
    <w:rsid w:val="00513D73"/>
    <w:rsid w:val="00514A43"/>
    <w:rsid w:val="005174E5"/>
    <w:rsid w:val="00522393"/>
    <w:rsid w:val="00522620"/>
    <w:rsid w:val="00525656"/>
    <w:rsid w:val="00531E87"/>
    <w:rsid w:val="005324A6"/>
    <w:rsid w:val="0053282C"/>
    <w:rsid w:val="00533E06"/>
    <w:rsid w:val="00534504"/>
    <w:rsid w:val="00534C02"/>
    <w:rsid w:val="00535FC4"/>
    <w:rsid w:val="0054264B"/>
    <w:rsid w:val="00543786"/>
    <w:rsid w:val="00551A64"/>
    <w:rsid w:val="00551D17"/>
    <w:rsid w:val="005533D7"/>
    <w:rsid w:val="00561DAD"/>
    <w:rsid w:val="0056245D"/>
    <w:rsid w:val="0056381A"/>
    <w:rsid w:val="00563A00"/>
    <w:rsid w:val="005643E5"/>
    <w:rsid w:val="005703DE"/>
    <w:rsid w:val="00573C22"/>
    <w:rsid w:val="005816F6"/>
    <w:rsid w:val="0058464E"/>
    <w:rsid w:val="005A01CB"/>
    <w:rsid w:val="005A58FF"/>
    <w:rsid w:val="005A5D88"/>
    <w:rsid w:val="005A5EAF"/>
    <w:rsid w:val="005A64C0"/>
    <w:rsid w:val="005B1AA4"/>
    <w:rsid w:val="005B3C11"/>
    <w:rsid w:val="005C1C28"/>
    <w:rsid w:val="005C2BE1"/>
    <w:rsid w:val="005C2C26"/>
    <w:rsid w:val="005C634B"/>
    <w:rsid w:val="005C6DB5"/>
    <w:rsid w:val="005D5D72"/>
    <w:rsid w:val="005E09CE"/>
    <w:rsid w:val="005E19E7"/>
    <w:rsid w:val="005E357B"/>
    <w:rsid w:val="006015D1"/>
    <w:rsid w:val="006054F5"/>
    <w:rsid w:val="00612F8C"/>
    <w:rsid w:val="0061716C"/>
    <w:rsid w:val="00620736"/>
    <w:rsid w:val="006243A1"/>
    <w:rsid w:val="006269F2"/>
    <w:rsid w:val="00631B74"/>
    <w:rsid w:val="00632E56"/>
    <w:rsid w:val="00635CBA"/>
    <w:rsid w:val="00640BDA"/>
    <w:rsid w:val="0064338B"/>
    <w:rsid w:val="00643867"/>
    <w:rsid w:val="00646542"/>
    <w:rsid w:val="006504F4"/>
    <w:rsid w:val="00653257"/>
    <w:rsid w:val="00654BC9"/>
    <w:rsid w:val="006552FD"/>
    <w:rsid w:val="00655E34"/>
    <w:rsid w:val="00663AF3"/>
    <w:rsid w:val="00664644"/>
    <w:rsid w:val="00665C29"/>
    <w:rsid w:val="00665FBF"/>
    <w:rsid w:val="00666B6C"/>
    <w:rsid w:val="0067071B"/>
    <w:rsid w:val="00675161"/>
    <w:rsid w:val="00682682"/>
    <w:rsid w:val="00682702"/>
    <w:rsid w:val="00683734"/>
    <w:rsid w:val="0069036D"/>
    <w:rsid w:val="00692368"/>
    <w:rsid w:val="00693A37"/>
    <w:rsid w:val="006A2A26"/>
    <w:rsid w:val="006A2EBC"/>
    <w:rsid w:val="006A5EA0"/>
    <w:rsid w:val="006A62F3"/>
    <w:rsid w:val="006A783B"/>
    <w:rsid w:val="006A7B33"/>
    <w:rsid w:val="006B12F6"/>
    <w:rsid w:val="006B4E13"/>
    <w:rsid w:val="006B75DD"/>
    <w:rsid w:val="006C67E0"/>
    <w:rsid w:val="006C73CE"/>
    <w:rsid w:val="006C7ABA"/>
    <w:rsid w:val="006D0D60"/>
    <w:rsid w:val="006D1122"/>
    <w:rsid w:val="006D3C00"/>
    <w:rsid w:val="006E3675"/>
    <w:rsid w:val="006E4A7F"/>
    <w:rsid w:val="006F6D46"/>
    <w:rsid w:val="0070013B"/>
    <w:rsid w:val="007009EC"/>
    <w:rsid w:val="00704DF6"/>
    <w:rsid w:val="0070651C"/>
    <w:rsid w:val="00711FD5"/>
    <w:rsid w:val="007132A3"/>
    <w:rsid w:val="00716421"/>
    <w:rsid w:val="007228A3"/>
    <w:rsid w:val="00723C46"/>
    <w:rsid w:val="00724818"/>
    <w:rsid w:val="00724EFB"/>
    <w:rsid w:val="007336D7"/>
    <w:rsid w:val="007419C3"/>
    <w:rsid w:val="007467A7"/>
    <w:rsid w:val="007469DD"/>
    <w:rsid w:val="00746E04"/>
    <w:rsid w:val="0074741B"/>
    <w:rsid w:val="0074759E"/>
    <w:rsid w:val="007478EA"/>
    <w:rsid w:val="0075415C"/>
    <w:rsid w:val="00763502"/>
    <w:rsid w:val="00780E28"/>
    <w:rsid w:val="007837F9"/>
    <w:rsid w:val="00784C5D"/>
    <w:rsid w:val="00785FE7"/>
    <w:rsid w:val="00786719"/>
    <w:rsid w:val="00790B39"/>
    <w:rsid w:val="00790D92"/>
    <w:rsid w:val="007913AB"/>
    <w:rsid w:val="007914F7"/>
    <w:rsid w:val="007A38E9"/>
    <w:rsid w:val="007A3925"/>
    <w:rsid w:val="007A50FF"/>
    <w:rsid w:val="007A6B01"/>
    <w:rsid w:val="007A7883"/>
    <w:rsid w:val="007B1625"/>
    <w:rsid w:val="007B4275"/>
    <w:rsid w:val="007B6176"/>
    <w:rsid w:val="007B706E"/>
    <w:rsid w:val="007B71EB"/>
    <w:rsid w:val="007C3342"/>
    <w:rsid w:val="007C3F58"/>
    <w:rsid w:val="007C6205"/>
    <w:rsid w:val="007C686A"/>
    <w:rsid w:val="007C6CB9"/>
    <w:rsid w:val="007C728E"/>
    <w:rsid w:val="007D2A5F"/>
    <w:rsid w:val="007D2C53"/>
    <w:rsid w:val="007D3D60"/>
    <w:rsid w:val="007E1980"/>
    <w:rsid w:val="007E4B76"/>
    <w:rsid w:val="007E5EA8"/>
    <w:rsid w:val="007F004C"/>
    <w:rsid w:val="007F0CF1"/>
    <w:rsid w:val="007F12A5"/>
    <w:rsid w:val="007F3B9E"/>
    <w:rsid w:val="007F4CF1"/>
    <w:rsid w:val="007F4E48"/>
    <w:rsid w:val="007F731E"/>
    <w:rsid w:val="007F758D"/>
    <w:rsid w:val="007F7D52"/>
    <w:rsid w:val="0080654C"/>
    <w:rsid w:val="008071C6"/>
    <w:rsid w:val="00817A00"/>
    <w:rsid w:val="00817BB7"/>
    <w:rsid w:val="00820F09"/>
    <w:rsid w:val="008239F3"/>
    <w:rsid w:val="00827748"/>
    <w:rsid w:val="00832119"/>
    <w:rsid w:val="00832F54"/>
    <w:rsid w:val="00835DB3"/>
    <w:rsid w:val="0083617B"/>
    <w:rsid w:val="008371BD"/>
    <w:rsid w:val="00837A2F"/>
    <w:rsid w:val="00842A5A"/>
    <w:rsid w:val="00844090"/>
    <w:rsid w:val="008504A8"/>
    <w:rsid w:val="0085282E"/>
    <w:rsid w:val="00855B95"/>
    <w:rsid w:val="0087198C"/>
    <w:rsid w:val="00872C1F"/>
    <w:rsid w:val="00873B42"/>
    <w:rsid w:val="00876B55"/>
    <w:rsid w:val="00882A44"/>
    <w:rsid w:val="00882CEE"/>
    <w:rsid w:val="008856D8"/>
    <w:rsid w:val="0089146C"/>
    <w:rsid w:val="00892E82"/>
    <w:rsid w:val="00897885"/>
    <w:rsid w:val="008A1ADF"/>
    <w:rsid w:val="008A3C3D"/>
    <w:rsid w:val="008B3F6B"/>
    <w:rsid w:val="008C1B58"/>
    <w:rsid w:val="008C38F9"/>
    <w:rsid w:val="008C39AE"/>
    <w:rsid w:val="008C590D"/>
    <w:rsid w:val="008D3939"/>
    <w:rsid w:val="008D690E"/>
    <w:rsid w:val="008D7EE2"/>
    <w:rsid w:val="008E031B"/>
    <w:rsid w:val="008E3DCC"/>
    <w:rsid w:val="008E3EB3"/>
    <w:rsid w:val="008E7029"/>
    <w:rsid w:val="008E7EF6"/>
    <w:rsid w:val="008F1F98"/>
    <w:rsid w:val="008F6758"/>
    <w:rsid w:val="0090072B"/>
    <w:rsid w:val="009040DD"/>
    <w:rsid w:val="00905B47"/>
    <w:rsid w:val="00907BF9"/>
    <w:rsid w:val="0091331C"/>
    <w:rsid w:val="009137DB"/>
    <w:rsid w:val="009165CA"/>
    <w:rsid w:val="00916645"/>
    <w:rsid w:val="00921425"/>
    <w:rsid w:val="009214F3"/>
    <w:rsid w:val="009279DE"/>
    <w:rsid w:val="00930116"/>
    <w:rsid w:val="00931D9B"/>
    <w:rsid w:val="009354A2"/>
    <w:rsid w:val="0094212C"/>
    <w:rsid w:val="00943B77"/>
    <w:rsid w:val="009444AD"/>
    <w:rsid w:val="009475F6"/>
    <w:rsid w:val="0095113D"/>
    <w:rsid w:val="00951A68"/>
    <w:rsid w:val="00954689"/>
    <w:rsid w:val="00956EE1"/>
    <w:rsid w:val="009617C9"/>
    <w:rsid w:val="00961C93"/>
    <w:rsid w:val="009625FB"/>
    <w:rsid w:val="00965324"/>
    <w:rsid w:val="0097091E"/>
    <w:rsid w:val="00972719"/>
    <w:rsid w:val="009736E2"/>
    <w:rsid w:val="009760D3"/>
    <w:rsid w:val="00977132"/>
    <w:rsid w:val="00981A4B"/>
    <w:rsid w:val="00982501"/>
    <w:rsid w:val="009877D3"/>
    <w:rsid w:val="009906AB"/>
    <w:rsid w:val="00991C59"/>
    <w:rsid w:val="00994E8F"/>
    <w:rsid w:val="009951DC"/>
    <w:rsid w:val="009959BB"/>
    <w:rsid w:val="00997158"/>
    <w:rsid w:val="009A2FC2"/>
    <w:rsid w:val="009A3A7C"/>
    <w:rsid w:val="009A5E05"/>
    <w:rsid w:val="009B08A2"/>
    <w:rsid w:val="009B2ADB"/>
    <w:rsid w:val="009B5BD9"/>
    <w:rsid w:val="009B5C53"/>
    <w:rsid w:val="009B603A"/>
    <w:rsid w:val="009C260B"/>
    <w:rsid w:val="009C2ABA"/>
    <w:rsid w:val="009C2D0E"/>
    <w:rsid w:val="009C2D82"/>
    <w:rsid w:val="009C3DAC"/>
    <w:rsid w:val="009C42E0"/>
    <w:rsid w:val="009C6E0E"/>
    <w:rsid w:val="009D4FF0"/>
    <w:rsid w:val="009D5362"/>
    <w:rsid w:val="009E1415"/>
    <w:rsid w:val="009E513D"/>
    <w:rsid w:val="009E6116"/>
    <w:rsid w:val="009E6D9D"/>
    <w:rsid w:val="009F6692"/>
    <w:rsid w:val="00A017C6"/>
    <w:rsid w:val="00A0205F"/>
    <w:rsid w:val="00A023F4"/>
    <w:rsid w:val="00A02E43"/>
    <w:rsid w:val="00A05E4A"/>
    <w:rsid w:val="00A065F9"/>
    <w:rsid w:val="00A07F34"/>
    <w:rsid w:val="00A1282D"/>
    <w:rsid w:val="00A21403"/>
    <w:rsid w:val="00A22154"/>
    <w:rsid w:val="00A25C38"/>
    <w:rsid w:val="00A30C04"/>
    <w:rsid w:val="00A34606"/>
    <w:rsid w:val="00A36BBE"/>
    <w:rsid w:val="00A40EDE"/>
    <w:rsid w:val="00A40FFC"/>
    <w:rsid w:val="00A4307A"/>
    <w:rsid w:val="00A43B6B"/>
    <w:rsid w:val="00A44A12"/>
    <w:rsid w:val="00A44ECE"/>
    <w:rsid w:val="00A46DF9"/>
    <w:rsid w:val="00A46E84"/>
    <w:rsid w:val="00A47CA9"/>
    <w:rsid w:val="00A47EBB"/>
    <w:rsid w:val="00A51CDD"/>
    <w:rsid w:val="00A601EB"/>
    <w:rsid w:val="00A6730D"/>
    <w:rsid w:val="00A71625"/>
    <w:rsid w:val="00A71B9B"/>
    <w:rsid w:val="00A751C7"/>
    <w:rsid w:val="00A759B0"/>
    <w:rsid w:val="00A818D2"/>
    <w:rsid w:val="00A821C3"/>
    <w:rsid w:val="00A87844"/>
    <w:rsid w:val="00A90F2A"/>
    <w:rsid w:val="00A93245"/>
    <w:rsid w:val="00A95895"/>
    <w:rsid w:val="00AA038C"/>
    <w:rsid w:val="00AA1181"/>
    <w:rsid w:val="00AA496E"/>
    <w:rsid w:val="00AA7A09"/>
    <w:rsid w:val="00AB3B50"/>
    <w:rsid w:val="00AB431C"/>
    <w:rsid w:val="00AC05B1"/>
    <w:rsid w:val="00AC20A8"/>
    <w:rsid w:val="00AC5167"/>
    <w:rsid w:val="00AD035D"/>
    <w:rsid w:val="00AD356C"/>
    <w:rsid w:val="00AD3813"/>
    <w:rsid w:val="00AD5943"/>
    <w:rsid w:val="00AE0F49"/>
    <w:rsid w:val="00AE2914"/>
    <w:rsid w:val="00AE50C8"/>
    <w:rsid w:val="00AE6045"/>
    <w:rsid w:val="00AE6D15"/>
    <w:rsid w:val="00AF4C64"/>
    <w:rsid w:val="00AF63EE"/>
    <w:rsid w:val="00B01DD8"/>
    <w:rsid w:val="00B04182"/>
    <w:rsid w:val="00B07AE3"/>
    <w:rsid w:val="00B11430"/>
    <w:rsid w:val="00B14298"/>
    <w:rsid w:val="00B16BA2"/>
    <w:rsid w:val="00B322B3"/>
    <w:rsid w:val="00B353EB"/>
    <w:rsid w:val="00B439C4"/>
    <w:rsid w:val="00B4535E"/>
    <w:rsid w:val="00B52A8C"/>
    <w:rsid w:val="00B636A8"/>
    <w:rsid w:val="00B66049"/>
    <w:rsid w:val="00B665C6"/>
    <w:rsid w:val="00B67418"/>
    <w:rsid w:val="00B67778"/>
    <w:rsid w:val="00B74035"/>
    <w:rsid w:val="00B7576A"/>
    <w:rsid w:val="00B805AF"/>
    <w:rsid w:val="00B83DCA"/>
    <w:rsid w:val="00B869EC"/>
    <w:rsid w:val="00B92E31"/>
    <w:rsid w:val="00B9397A"/>
    <w:rsid w:val="00B95B2E"/>
    <w:rsid w:val="00B9633D"/>
    <w:rsid w:val="00B974EA"/>
    <w:rsid w:val="00BA0FA7"/>
    <w:rsid w:val="00BA2EBE"/>
    <w:rsid w:val="00BB05C0"/>
    <w:rsid w:val="00BB0F28"/>
    <w:rsid w:val="00BB3FAE"/>
    <w:rsid w:val="00BB458A"/>
    <w:rsid w:val="00BB55AD"/>
    <w:rsid w:val="00BC04A9"/>
    <w:rsid w:val="00BD00D3"/>
    <w:rsid w:val="00BD1659"/>
    <w:rsid w:val="00BD3AA9"/>
    <w:rsid w:val="00BD4A18"/>
    <w:rsid w:val="00BD6865"/>
    <w:rsid w:val="00BD6DB2"/>
    <w:rsid w:val="00BE11CF"/>
    <w:rsid w:val="00BE21AB"/>
    <w:rsid w:val="00BE3354"/>
    <w:rsid w:val="00BE4393"/>
    <w:rsid w:val="00BE55CB"/>
    <w:rsid w:val="00BE6537"/>
    <w:rsid w:val="00BF10FD"/>
    <w:rsid w:val="00BF617A"/>
    <w:rsid w:val="00BF6CBB"/>
    <w:rsid w:val="00C03168"/>
    <w:rsid w:val="00C0379D"/>
    <w:rsid w:val="00C03931"/>
    <w:rsid w:val="00C05FE3"/>
    <w:rsid w:val="00C11E51"/>
    <w:rsid w:val="00C2136D"/>
    <w:rsid w:val="00C214EE"/>
    <w:rsid w:val="00C228C0"/>
    <w:rsid w:val="00C2314B"/>
    <w:rsid w:val="00C24971"/>
    <w:rsid w:val="00C24D4B"/>
    <w:rsid w:val="00C26BE5"/>
    <w:rsid w:val="00C26E4D"/>
    <w:rsid w:val="00C27909"/>
    <w:rsid w:val="00C27B03"/>
    <w:rsid w:val="00C314E1"/>
    <w:rsid w:val="00C34397"/>
    <w:rsid w:val="00C4095D"/>
    <w:rsid w:val="00C601D2"/>
    <w:rsid w:val="00C6127D"/>
    <w:rsid w:val="00C63802"/>
    <w:rsid w:val="00C65BCC"/>
    <w:rsid w:val="00C66970"/>
    <w:rsid w:val="00C830B4"/>
    <w:rsid w:val="00C8691C"/>
    <w:rsid w:val="00C94EBF"/>
    <w:rsid w:val="00CA168A"/>
    <w:rsid w:val="00CA357E"/>
    <w:rsid w:val="00CA44F9"/>
    <w:rsid w:val="00CA4768"/>
    <w:rsid w:val="00CA4A69"/>
    <w:rsid w:val="00CA5125"/>
    <w:rsid w:val="00CB24CE"/>
    <w:rsid w:val="00CB275E"/>
    <w:rsid w:val="00CB4FFD"/>
    <w:rsid w:val="00CC3E0C"/>
    <w:rsid w:val="00CC5101"/>
    <w:rsid w:val="00CC5119"/>
    <w:rsid w:val="00CC5263"/>
    <w:rsid w:val="00CC58D3"/>
    <w:rsid w:val="00CC784D"/>
    <w:rsid w:val="00CD050B"/>
    <w:rsid w:val="00CD17FC"/>
    <w:rsid w:val="00CD2BE7"/>
    <w:rsid w:val="00CD3B87"/>
    <w:rsid w:val="00CE051F"/>
    <w:rsid w:val="00CE46EE"/>
    <w:rsid w:val="00D0337B"/>
    <w:rsid w:val="00D079B2"/>
    <w:rsid w:val="00D1055B"/>
    <w:rsid w:val="00D10CE4"/>
    <w:rsid w:val="00D114E9"/>
    <w:rsid w:val="00D114FB"/>
    <w:rsid w:val="00D129BE"/>
    <w:rsid w:val="00D158DB"/>
    <w:rsid w:val="00D2693F"/>
    <w:rsid w:val="00D26FC9"/>
    <w:rsid w:val="00D37D06"/>
    <w:rsid w:val="00D429C6"/>
    <w:rsid w:val="00D4470D"/>
    <w:rsid w:val="00D47748"/>
    <w:rsid w:val="00D51082"/>
    <w:rsid w:val="00D54CC3"/>
    <w:rsid w:val="00D564DF"/>
    <w:rsid w:val="00D6041A"/>
    <w:rsid w:val="00D60671"/>
    <w:rsid w:val="00D616AA"/>
    <w:rsid w:val="00D633EB"/>
    <w:rsid w:val="00D81B6A"/>
    <w:rsid w:val="00D81E2F"/>
    <w:rsid w:val="00D82FF7"/>
    <w:rsid w:val="00D847FE"/>
    <w:rsid w:val="00D922CB"/>
    <w:rsid w:val="00D964EA"/>
    <w:rsid w:val="00D966D0"/>
    <w:rsid w:val="00D970E2"/>
    <w:rsid w:val="00DA0C59"/>
    <w:rsid w:val="00DA3991"/>
    <w:rsid w:val="00DB3911"/>
    <w:rsid w:val="00DB3AB5"/>
    <w:rsid w:val="00DB7E6C"/>
    <w:rsid w:val="00DC417B"/>
    <w:rsid w:val="00DC6644"/>
    <w:rsid w:val="00DC69C7"/>
    <w:rsid w:val="00DD5A29"/>
    <w:rsid w:val="00DD5D9D"/>
    <w:rsid w:val="00DD7639"/>
    <w:rsid w:val="00DE35CB"/>
    <w:rsid w:val="00DE7367"/>
    <w:rsid w:val="00DF029F"/>
    <w:rsid w:val="00DF15C7"/>
    <w:rsid w:val="00DF21E9"/>
    <w:rsid w:val="00DF5ED7"/>
    <w:rsid w:val="00E00F14"/>
    <w:rsid w:val="00E0175B"/>
    <w:rsid w:val="00E034F6"/>
    <w:rsid w:val="00E06386"/>
    <w:rsid w:val="00E17862"/>
    <w:rsid w:val="00E23E64"/>
    <w:rsid w:val="00E24EB4"/>
    <w:rsid w:val="00E320ED"/>
    <w:rsid w:val="00E33AFB"/>
    <w:rsid w:val="00E34218"/>
    <w:rsid w:val="00E37FA4"/>
    <w:rsid w:val="00E44056"/>
    <w:rsid w:val="00E46282"/>
    <w:rsid w:val="00E5216E"/>
    <w:rsid w:val="00E52594"/>
    <w:rsid w:val="00E535C4"/>
    <w:rsid w:val="00E73A22"/>
    <w:rsid w:val="00E82344"/>
    <w:rsid w:val="00E84C82"/>
    <w:rsid w:val="00E84D64"/>
    <w:rsid w:val="00E87408"/>
    <w:rsid w:val="00E914C4"/>
    <w:rsid w:val="00E934F5"/>
    <w:rsid w:val="00E96961"/>
    <w:rsid w:val="00EA0B07"/>
    <w:rsid w:val="00EA72EC"/>
    <w:rsid w:val="00EB0D5F"/>
    <w:rsid w:val="00EB11CB"/>
    <w:rsid w:val="00EB275A"/>
    <w:rsid w:val="00EB786A"/>
    <w:rsid w:val="00EC1578"/>
    <w:rsid w:val="00EC1C72"/>
    <w:rsid w:val="00EC3A01"/>
    <w:rsid w:val="00EC3B7F"/>
    <w:rsid w:val="00EC3CC9"/>
    <w:rsid w:val="00EC4E09"/>
    <w:rsid w:val="00EC680A"/>
    <w:rsid w:val="00ED785E"/>
    <w:rsid w:val="00EE05DA"/>
    <w:rsid w:val="00EE2713"/>
    <w:rsid w:val="00EE2BED"/>
    <w:rsid w:val="00EE374B"/>
    <w:rsid w:val="00EF1DC0"/>
    <w:rsid w:val="00EF7613"/>
    <w:rsid w:val="00F00C3F"/>
    <w:rsid w:val="00F11BB5"/>
    <w:rsid w:val="00F1417B"/>
    <w:rsid w:val="00F170F2"/>
    <w:rsid w:val="00F17FE6"/>
    <w:rsid w:val="00F23F8A"/>
    <w:rsid w:val="00F24A59"/>
    <w:rsid w:val="00F34B99"/>
    <w:rsid w:val="00F3600A"/>
    <w:rsid w:val="00F400F0"/>
    <w:rsid w:val="00F40CE5"/>
    <w:rsid w:val="00F45231"/>
    <w:rsid w:val="00F45944"/>
    <w:rsid w:val="00F52DAB"/>
    <w:rsid w:val="00F543F0"/>
    <w:rsid w:val="00F55BFE"/>
    <w:rsid w:val="00F648A1"/>
    <w:rsid w:val="00F72980"/>
    <w:rsid w:val="00F8039C"/>
    <w:rsid w:val="00F81D29"/>
    <w:rsid w:val="00F82BC5"/>
    <w:rsid w:val="00F87258"/>
    <w:rsid w:val="00F87B58"/>
    <w:rsid w:val="00F90CC9"/>
    <w:rsid w:val="00F91C4D"/>
    <w:rsid w:val="00F92FD9"/>
    <w:rsid w:val="00F93D52"/>
    <w:rsid w:val="00F97422"/>
    <w:rsid w:val="00FA6684"/>
    <w:rsid w:val="00FA731E"/>
    <w:rsid w:val="00FB2B38"/>
    <w:rsid w:val="00FB6023"/>
    <w:rsid w:val="00FC6358"/>
    <w:rsid w:val="00FD320D"/>
    <w:rsid w:val="00FD4D8C"/>
    <w:rsid w:val="00FD6E47"/>
    <w:rsid w:val="00FD7D4A"/>
    <w:rsid w:val="00FE23DE"/>
    <w:rsid w:val="00FE63F9"/>
    <w:rsid w:val="00FE6D1D"/>
    <w:rsid w:val="00FF65C3"/>
    <w:rsid w:val="038A42AE"/>
    <w:rsid w:val="06CA1997"/>
    <w:rsid w:val="0C866BBC"/>
    <w:rsid w:val="2C165CF6"/>
    <w:rsid w:val="2D8C125A"/>
    <w:rsid w:val="2E00265E"/>
    <w:rsid w:val="2F2F7C22"/>
    <w:rsid w:val="3AE51B54"/>
    <w:rsid w:val="6854727F"/>
    <w:rsid w:val="70F53DFE"/>
    <w:rsid w:val="7E493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Body Text"/>
    <w:basedOn w:val="1"/>
    <w:qFormat/>
    <w:uiPriority w:val="0"/>
    <w:pPr>
      <w:spacing w:after="120"/>
    </w:p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qFormat/>
    <w:uiPriority w:val="39"/>
    <w:pPr>
      <w:tabs>
        <w:tab w:val="right" w:leader="dot" w:pos="9241"/>
      </w:tabs>
      <w:ind w:firstLine="102"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Balloon Text"/>
    <w:basedOn w:val="1"/>
    <w:link w:val="134"/>
    <w:qFormat/>
    <w:uiPriority w:val="0"/>
    <w:rPr>
      <w:sz w:val="18"/>
      <w:szCs w:val="18"/>
    </w:rPr>
  </w:style>
  <w:style w:type="paragraph" w:styleId="16">
    <w:name w:val="footer"/>
    <w:basedOn w:val="1"/>
    <w:qFormat/>
    <w:uiPriority w:val="0"/>
    <w:pPr>
      <w:snapToGrid w:val="0"/>
      <w:ind w:right="210" w:rightChars="100"/>
      <w:jc w:val="right"/>
    </w:pPr>
    <w:rPr>
      <w:sz w:val="18"/>
      <w:szCs w:val="18"/>
    </w:rPr>
  </w:style>
  <w:style w:type="paragraph" w:styleId="17">
    <w:name w:val="header"/>
    <w:basedOn w:val="1"/>
    <w:qFormat/>
    <w:uiPriority w:val="0"/>
    <w:pPr>
      <w:snapToGrid w:val="0"/>
      <w:jc w:val="left"/>
    </w:pPr>
    <w:rPr>
      <w:sz w:val="18"/>
      <w:szCs w:val="18"/>
    </w:rPr>
  </w:style>
  <w:style w:type="paragraph" w:styleId="18">
    <w:name w:val="toc 1"/>
    <w:basedOn w:val="1"/>
    <w:next w:val="1"/>
    <w:qFormat/>
    <w:uiPriority w:val="39"/>
    <w:pPr>
      <w:tabs>
        <w:tab w:val="right" w:leader="dot" w:pos="9241"/>
      </w:tabs>
      <w:spacing w:beforeLines="25" w:afterLines="25"/>
      <w:jc w:val="left"/>
    </w:pPr>
    <w:rPr>
      <w:rFonts w:ascii="宋体"/>
      <w:szCs w:val="21"/>
    </w:rPr>
  </w:style>
  <w:style w:type="paragraph" w:styleId="19">
    <w:name w:val="toc 4"/>
    <w:basedOn w:val="1"/>
    <w:next w:val="1"/>
    <w:semiHidden/>
    <w:qFormat/>
    <w:uiPriority w:val="0"/>
    <w:pPr>
      <w:tabs>
        <w:tab w:val="right" w:leader="dot" w:pos="9241"/>
      </w:tabs>
      <w:ind w:firstLine="198" w:firstLineChars="200"/>
      <w:jc w:val="left"/>
    </w:pPr>
    <w:rPr>
      <w:rFonts w:ascii="宋体"/>
      <w:szCs w:val="21"/>
    </w:rPr>
  </w:style>
  <w:style w:type="paragraph" w:styleId="20">
    <w:name w:val="index heading"/>
    <w:basedOn w:val="1"/>
    <w:next w:val="21"/>
    <w:qFormat/>
    <w:uiPriority w:val="0"/>
    <w:pPr>
      <w:spacing w:before="120" w:after="120"/>
      <w:jc w:val="center"/>
    </w:pPr>
    <w:rPr>
      <w:rFonts w:ascii="Calibri" w:hAnsi="Calibri"/>
      <w:b/>
      <w:bCs/>
      <w:iCs/>
      <w:szCs w:val="20"/>
    </w:rPr>
  </w:style>
  <w:style w:type="paragraph" w:styleId="21">
    <w:name w:val="index 1"/>
    <w:basedOn w:val="1"/>
    <w:next w:val="22"/>
    <w:qFormat/>
    <w:uiPriority w:val="0"/>
    <w:pPr>
      <w:tabs>
        <w:tab w:val="right" w:leader="dot" w:pos="9299"/>
      </w:tabs>
      <w:jc w:val="left"/>
    </w:pPr>
    <w:rPr>
      <w:rFonts w:ascii="宋体"/>
      <w:szCs w:val="21"/>
    </w:rPr>
  </w:style>
  <w:style w:type="paragraph" w:customStyle="1" w:styleId="22">
    <w:name w:val="段"/>
    <w:link w:val="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qFormat/>
    <w:uiPriority w:val="0"/>
    <w:pPr>
      <w:numPr>
        <w:ilvl w:val="0"/>
        <w:numId w:val="1"/>
      </w:numPr>
      <w:snapToGrid w:val="0"/>
      <w:jc w:val="left"/>
    </w:pPr>
    <w:rPr>
      <w:rFonts w:ascii="宋体"/>
      <w:sz w:val="18"/>
      <w:szCs w:val="18"/>
    </w:rPr>
  </w:style>
  <w:style w:type="paragraph" w:styleId="24">
    <w:name w:val="toc 6"/>
    <w:basedOn w:val="1"/>
    <w:next w:val="1"/>
    <w:semiHidden/>
    <w:qFormat/>
    <w:uiPriority w:val="0"/>
    <w:pPr>
      <w:tabs>
        <w:tab w:val="right" w:leader="dot" w:pos="9241"/>
      </w:tabs>
      <w:ind w:firstLine="403" w:firstLineChars="400"/>
      <w:jc w:val="left"/>
    </w:pPr>
    <w:rPr>
      <w:rFonts w:ascii="宋体"/>
      <w:szCs w:val="21"/>
    </w:rPr>
  </w:style>
  <w:style w:type="paragraph" w:styleId="25">
    <w:name w:val="index 7"/>
    <w:basedOn w:val="1"/>
    <w:next w:val="1"/>
    <w:qFormat/>
    <w:uiPriority w:val="0"/>
    <w:pPr>
      <w:ind w:left="1470" w:hanging="210"/>
      <w:jc w:val="left"/>
    </w:pPr>
    <w:rPr>
      <w:rFonts w:ascii="Calibri" w:hAnsi="Calibri"/>
      <w:sz w:val="20"/>
      <w:szCs w:val="20"/>
    </w:rPr>
  </w:style>
  <w:style w:type="paragraph" w:styleId="26">
    <w:name w:val="index 9"/>
    <w:basedOn w:val="1"/>
    <w:next w:val="1"/>
    <w:qFormat/>
    <w:uiPriority w:val="0"/>
    <w:pPr>
      <w:ind w:left="1890" w:hanging="210"/>
      <w:jc w:val="left"/>
    </w:pPr>
    <w:rPr>
      <w:rFonts w:ascii="Calibri" w:hAnsi="Calibri"/>
      <w:sz w:val="20"/>
      <w:szCs w:val="20"/>
    </w:rPr>
  </w:style>
  <w:style w:type="paragraph" w:styleId="27">
    <w:name w:val="toc 2"/>
    <w:basedOn w:val="1"/>
    <w:next w:val="1"/>
    <w:semiHidden/>
    <w:qFormat/>
    <w:uiPriority w:val="0"/>
    <w:pPr>
      <w:tabs>
        <w:tab w:val="right" w:leader="dot" w:pos="9241"/>
      </w:tabs>
    </w:pPr>
    <w:rPr>
      <w:rFonts w:ascii="宋体"/>
      <w:szCs w:val="21"/>
    </w:rPr>
  </w:style>
  <w:style w:type="paragraph" w:styleId="28">
    <w:name w:val="toc 9"/>
    <w:basedOn w:val="1"/>
    <w:next w:val="1"/>
    <w:semiHidden/>
    <w:qFormat/>
    <w:uiPriority w:val="0"/>
    <w:pPr>
      <w:ind w:left="1470"/>
      <w:jc w:val="left"/>
    </w:pPr>
    <w:rPr>
      <w:sz w:val="20"/>
      <w:szCs w:val="20"/>
    </w:rPr>
  </w:style>
  <w:style w:type="paragraph" w:styleId="29">
    <w:name w:val="index 2"/>
    <w:basedOn w:val="1"/>
    <w:next w:val="1"/>
    <w:qFormat/>
    <w:uiPriority w:val="0"/>
    <w:pPr>
      <w:ind w:left="420" w:hanging="210"/>
      <w:jc w:val="left"/>
    </w:pPr>
    <w:rPr>
      <w:rFonts w:ascii="Calibri" w:hAnsi="Calibri"/>
      <w:sz w:val="20"/>
      <w:szCs w:val="20"/>
    </w:rPr>
  </w:style>
  <w:style w:type="table" w:styleId="31">
    <w:name w:val="Table Grid"/>
    <w:basedOn w:val="3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endnote reference"/>
    <w:semiHidden/>
    <w:qFormat/>
    <w:uiPriority w:val="0"/>
    <w:rPr>
      <w:vertAlign w:val="superscript"/>
    </w:rPr>
  </w:style>
  <w:style w:type="character" w:styleId="34">
    <w:name w:val="page number"/>
    <w:basedOn w:val="32"/>
    <w:qFormat/>
    <w:uiPriority w:val="0"/>
    <w:rPr>
      <w:rFonts w:ascii="Times New Roman" w:hAnsi="Times New Roman" w:eastAsia="宋体"/>
      <w:sz w:val="18"/>
    </w:rPr>
  </w:style>
  <w:style w:type="character" w:styleId="35">
    <w:name w:val="Hyperlink"/>
    <w:qFormat/>
    <w:uiPriority w:val="99"/>
    <w:rPr>
      <w:color w:val="0000FF"/>
      <w:spacing w:val="0"/>
      <w:w w:val="100"/>
      <w:szCs w:val="21"/>
      <w:u w:val="single"/>
    </w:rPr>
  </w:style>
  <w:style w:type="character" w:styleId="36">
    <w:name w:val="footnote reference"/>
    <w:semiHidden/>
    <w:qFormat/>
    <w:uiPriority w:val="0"/>
    <w:rPr>
      <w:vertAlign w:val="superscript"/>
    </w:rPr>
  </w:style>
  <w:style w:type="character" w:customStyle="1" w:styleId="37">
    <w:name w:val="段 Char"/>
    <w:link w:val="22"/>
    <w:qFormat/>
    <w:uiPriority w:val="0"/>
    <w:rPr>
      <w:rFonts w:ascii="宋体"/>
      <w:sz w:val="21"/>
      <w:lang w:val="en-US" w:eastAsia="zh-CN" w:bidi="ar-SA"/>
    </w:rPr>
  </w:style>
  <w:style w:type="paragraph" w:customStyle="1" w:styleId="38">
    <w:name w:val="一级条标题"/>
    <w:next w:val="2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1">
    <w:name w:val="章标题"/>
    <w:next w:val="2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2">
    <w:name w:val="二级条标题"/>
    <w:basedOn w:val="38"/>
    <w:next w:val="22"/>
    <w:qFormat/>
    <w:uiPriority w:val="0"/>
    <w:pPr>
      <w:numPr>
        <w:ilvl w:val="2"/>
      </w:numPr>
      <w:spacing w:before="50" w:after="50"/>
      <w:outlineLvl w:val="3"/>
    </w:pPr>
  </w:style>
  <w:style w:type="paragraph" w:customStyle="1" w:styleId="4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5">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6">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7">
    <w:name w:val="三级条标题"/>
    <w:basedOn w:val="42"/>
    <w:next w:val="22"/>
    <w:qFormat/>
    <w:uiPriority w:val="0"/>
    <w:pPr>
      <w:numPr>
        <w:ilvl w:val="3"/>
      </w:numPr>
      <w:outlineLvl w:val="4"/>
    </w:pPr>
  </w:style>
  <w:style w:type="paragraph" w:customStyle="1" w:styleId="48">
    <w:name w:val="示例"/>
    <w:next w:val="49"/>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0">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1">
    <w:name w:val="四级条标题"/>
    <w:basedOn w:val="47"/>
    <w:next w:val="22"/>
    <w:qFormat/>
    <w:uiPriority w:val="0"/>
    <w:pPr>
      <w:numPr>
        <w:ilvl w:val="4"/>
      </w:numPr>
      <w:outlineLvl w:val="5"/>
    </w:pPr>
  </w:style>
  <w:style w:type="paragraph" w:customStyle="1" w:styleId="52">
    <w:name w:val="五级条标题"/>
    <w:basedOn w:val="51"/>
    <w:next w:val="22"/>
    <w:qFormat/>
    <w:uiPriority w:val="0"/>
    <w:pPr>
      <w:numPr>
        <w:ilvl w:val="5"/>
      </w:numPr>
      <w:outlineLvl w:val="6"/>
    </w:pPr>
  </w:style>
  <w:style w:type="paragraph" w:customStyle="1" w:styleId="53">
    <w:name w:val="注："/>
    <w:next w:val="22"/>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4">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6">
    <w:name w:val="列项◆（三级）"/>
    <w:basedOn w:val="1"/>
    <w:qFormat/>
    <w:uiPriority w:val="0"/>
    <w:pPr>
      <w:numPr>
        <w:ilvl w:val="2"/>
        <w:numId w:val="3"/>
      </w:numPr>
    </w:pPr>
    <w:rPr>
      <w:rFonts w:ascii="宋体"/>
      <w:szCs w:val="21"/>
    </w:rPr>
  </w:style>
  <w:style w:type="paragraph" w:customStyle="1" w:styleId="57">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8">
    <w:name w:val="示例×："/>
    <w:basedOn w:val="41"/>
    <w:qFormat/>
    <w:uiPriority w:val="0"/>
    <w:pPr>
      <w:numPr>
        <w:numId w:val="8"/>
      </w:numPr>
      <w:spacing w:beforeLines="0" w:afterLines="0"/>
      <w:outlineLvl w:val="9"/>
    </w:pPr>
    <w:rPr>
      <w:rFonts w:ascii="宋体" w:eastAsia="宋体"/>
      <w:sz w:val="18"/>
      <w:szCs w:val="18"/>
    </w:rPr>
  </w:style>
  <w:style w:type="paragraph" w:customStyle="1" w:styleId="59">
    <w:name w:val="二级无"/>
    <w:basedOn w:val="42"/>
    <w:qFormat/>
    <w:uiPriority w:val="0"/>
    <w:pPr>
      <w:spacing w:beforeLines="0" w:afterLines="0"/>
    </w:pPr>
    <w:rPr>
      <w:rFonts w:ascii="宋体" w:eastAsia="宋体"/>
    </w:rPr>
  </w:style>
  <w:style w:type="paragraph" w:customStyle="1" w:styleId="60">
    <w:name w:val="注：（正文）"/>
    <w:basedOn w:val="53"/>
    <w:next w:val="22"/>
    <w:qFormat/>
    <w:uiPriority w:val="0"/>
  </w:style>
  <w:style w:type="paragraph" w:customStyle="1" w:styleId="61">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5">
    <w:name w:val="标准书眉_偶数页"/>
    <w:basedOn w:val="40"/>
    <w:next w:val="1"/>
    <w:qFormat/>
    <w:uiPriority w:val="0"/>
    <w:pPr>
      <w:jc w:val="left"/>
    </w:pPr>
  </w:style>
  <w:style w:type="paragraph" w:customStyle="1" w:styleId="66">
    <w:name w:val="标准书眉一"/>
    <w:qFormat/>
    <w:uiPriority w:val="0"/>
    <w:pPr>
      <w:jc w:val="both"/>
    </w:pPr>
    <w:rPr>
      <w:rFonts w:ascii="Times New Roman" w:hAnsi="Times New Roman" w:eastAsia="宋体" w:cs="Times New Roman"/>
      <w:lang w:val="en-US" w:eastAsia="zh-CN" w:bidi="ar-SA"/>
    </w:rPr>
  </w:style>
  <w:style w:type="paragraph" w:customStyle="1" w:styleId="67">
    <w:name w:val="参考文献"/>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参考文献、索引标题"/>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9">
    <w:name w:val="发布"/>
    <w:qFormat/>
    <w:uiPriority w:val="0"/>
    <w:rPr>
      <w:rFonts w:ascii="黑体" w:eastAsia="黑体"/>
      <w:spacing w:val="85"/>
      <w:w w:val="100"/>
      <w:position w:val="3"/>
      <w:sz w:val="28"/>
      <w:szCs w:val="28"/>
    </w:rPr>
  </w:style>
  <w:style w:type="paragraph" w:customStyle="1" w:styleId="70">
    <w:name w:val="发布部门"/>
    <w:next w:val="2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封面标准英文名称"/>
    <w:basedOn w:val="74"/>
    <w:qFormat/>
    <w:uiPriority w:val="0"/>
    <w:pPr>
      <w:framePr w:wrap="around"/>
      <w:spacing w:before="370" w:line="400" w:lineRule="exact"/>
    </w:pPr>
    <w:rPr>
      <w:rFonts w:ascii="Times New Roman"/>
      <w:sz w:val="28"/>
      <w:szCs w:val="28"/>
    </w:rPr>
  </w:style>
  <w:style w:type="paragraph" w:customStyle="1" w:styleId="76">
    <w:name w:val="封面一致性程度标识"/>
    <w:basedOn w:val="75"/>
    <w:qFormat/>
    <w:uiPriority w:val="0"/>
    <w:pPr>
      <w:framePr w:wrap="around"/>
      <w:spacing w:before="440"/>
    </w:pPr>
    <w:rPr>
      <w:rFonts w:ascii="宋体" w:eastAsia="宋体"/>
    </w:rPr>
  </w:style>
  <w:style w:type="paragraph" w:customStyle="1" w:styleId="77">
    <w:name w:val="封面标准文稿类别"/>
    <w:basedOn w:val="76"/>
    <w:qFormat/>
    <w:uiPriority w:val="0"/>
    <w:pPr>
      <w:framePr w:wrap="around"/>
      <w:spacing w:after="160" w:line="240" w:lineRule="auto"/>
    </w:pPr>
    <w:rPr>
      <w:sz w:val="24"/>
    </w:rPr>
  </w:style>
  <w:style w:type="paragraph" w:customStyle="1" w:styleId="78">
    <w:name w:val="封面标准文稿编辑信息"/>
    <w:basedOn w:val="77"/>
    <w:qFormat/>
    <w:uiPriority w:val="0"/>
    <w:pPr>
      <w:framePr w:wrap="around"/>
      <w:spacing w:before="180" w:line="180" w:lineRule="exact"/>
    </w:pPr>
    <w:rPr>
      <w:sz w:val="21"/>
    </w:rPr>
  </w:style>
  <w:style w:type="paragraph" w:customStyle="1" w:styleId="79">
    <w:name w:val="封面正文"/>
    <w:qFormat/>
    <w:uiPriority w:val="0"/>
    <w:pPr>
      <w:jc w:val="both"/>
    </w:pPr>
    <w:rPr>
      <w:rFonts w:ascii="Times New Roman" w:hAnsi="Times New Roman" w:eastAsia="宋体" w:cs="Times New Roman"/>
      <w:lang w:val="en-US" w:eastAsia="zh-CN" w:bidi="ar-SA"/>
    </w:rPr>
  </w:style>
  <w:style w:type="paragraph" w:customStyle="1" w:styleId="80">
    <w:name w:val="附录标识"/>
    <w:basedOn w:val="1"/>
    <w:next w:val="22"/>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1">
    <w:name w:val="附录标题"/>
    <w:basedOn w:val="22"/>
    <w:next w:val="22"/>
    <w:qFormat/>
    <w:uiPriority w:val="0"/>
    <w:pPr>
      <w:ind w:firstLine="0" w:firstLineChars="0"/>
      <w:jc w:val="center"/>
    </w:pPr>
    <w:rPr>
      <w:rFonts w:ascii="黑体" w:eastAsia="黑体"/>
    </w:rPr>
  </w:style>
  <w:style w:type="paragraph" w:customStyle="1" w:styleId="82">
    <w:name w:val="附录表标号"/>
    <w:basedOn w:val="1"/>
    <w:next w:val="22"/>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3">
    <w:name w:val="附录表标题"/>
    <w:basedOn w:val="1"/>
    <w:next w:val="22"/>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84">
    <w:name w:val="附录二级条标题"/>
    <w:basedOn w:val="1"/>
    <w:next w:val="22"/>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5">
    <w:name w:val="附录二级无"/>
    <w:basedOn w:val="84"/>
    <w:qFormat/>
    <w:uiPriority w:val="0"/>
    <w:pPr>
      <w:tabs>
        <w:tab w:val="clear" w:pos="360"/>
      </w:tabs>
      <w:spacing w:beforeLines="0" w:afterLines="0"/>
    </w:pPr>
    <w:rPr>
      <w:rFonts w:ascii="宋体" w:eastAsia="宋体"/>
      <w:szCs w:val="21"/>
    </w:rPr>
  </w:style>
  <w:style w:type="paragraph" w:customStyle="1" w:styleId="86">
    <w:name w:val="附录公式"/>
    <w:basedOn w:val="22"/>
    <w:next w:val="22"/>
    <w:link w:val="87"/>
    <w:qFormat/>
    <w:uiPriority w:val="0"/>
  </w:style>
  <w:style w:type="character" w:customStyle="1" w:styleId="87">
    <w:name w:val="附录公式 Char"/>
    <w:basedOn w:val="37"/>
    <w:link w:val="86"/>
    <w:qFormat/>
    <w:uiPriority w:val="0"/>
    <w:rPr>
      <w:rFonts w:ascii="宋体"/>
      <w:sz w:val="21"/>
      <w:lang w:val="en-US" w:eastAsia="zh-CN" w:bidi="ar-SA"/>
    </w:rPr>
  </w:style>
  <w:style w:type="paragraph" w:customStyle="1" w:styleId="88">
    <w:name w:val="附录公式编号制表符"/>
    <w:basedOn w:val="1"/>
    <w:next w:val="22"/>
    <w:qFormat/>
    <w:uiPriority w:val="0"/>
    <w:pPr>
      <w:widowControl/>
      <w:tabs>
        <w:tab w:val="center" w:pos="4201"/>
        <w:tab w:val="right" w:leader="dot" w:pos="9298"/>
      </w:tabs>
      <w:autoSpaceDE w:val="0"/>
      <w:autoSpaceDN w:val="0"/>
    </w:pPr>
    <w:rPr>
      <w:rFonts w:ascii="宋体"/>
      <w:kern w:val="0"/>
      <w:szCs w:val="20"/>
    </w:rPr>
  </w:style>
  <w:style w:type="paragraph" w:customStyle="1" w:styleId="89">
    <w:name w:val="附录三级条标题"/>
    <w:basedOn w:val="84"/>
    <w:next w:val="22"/>
    <w:qFormat/>
    <w:uiPriority w:val="0"/>
    <w:pPr>
      <w:numPr>
        <w:ilvl w:val="4"/>
      </w:numPr>
      <w:outlineLvl w:val="4"/>
    </w:pPr>
  </w:style>
  <w:style w:type="paragraph" w:customStyle="1" w:styleId="90">
    <w:name w:val="附录三级无"/>
    <w:basedOn w:val="89"/>
    <w:qFormat/>
    <w:uiPriority w:val="0"/>
    <w:pPr>
      <w:tabs>
        <w:tab w:val="clear" w:pos="360"/>
      </w:tabs>
      <w:spacing w:beforeLines="0" w:afterLines="0"/>
    </w:pPr>
    <w:rPr>
      <w:rFonts w:ascii="宋体" w:eastAsia="宋体"/>
      <w:szCs w:val="21"/>
    </w:rPr>
  </w:style>
  <w:style w:type="paragraph" w:customStyle="1" w:styleId="91">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2">
    <w:name w:val="附录四级条标题"/>
    <w:basedOn w:val="89"/>
    <w:next w:val="22"/>
    <w:qFormat/>
    <w:uiPriority w:val="0"/>
    <w:pPr>
      <w:numPr>
        <w:ilvl w:val="5"/>
      </w:numPr>
      <w:outlineLvl w:val="5"/>
    </w:pPr>
  </w:style>
  <w:style w:type="paragraph" w:customStyle="1" w:styleId="93">
    <w:name w:val="附录四级无"/>
    <w:basedOn w:val="92"/>
    <w:qFormat/>
    <w:uiPriority w:val="0"/>
    <w:pPr>
      <w:tabs>
        <w:tab w:val="clear" w:pos="360"/>
      </w:tabs>
      <w:spacing w:beforeLines="0" w:afterLines="0"/>
    </w:pPr>
    <w:rPr>
      <w:rFonts w:ascii="宋体" w:eastAsia="宋体"/>
      <w:szCs w:val="21"/>
    </w:rPr>
  </w:style>
  <w:style w:type="paragraph" w:customStyle="1" w:styleId="94">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5">
    <w:name w:val="附录图标题"/>
    <w:basedOn w:val="1"/>
    <w:next w:val="22"/>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96">
    <w:name w:val="附录五级条标题"/>
    <w:basedOn w:val="92"/>
    <w:next w:val="22"/>
    <w:qFormat/>
    <w:uiPriority w:val="0"/>
    <w:pPr>
      <w:numPr>
        <w:ilvl w:val="6"/>
      </w:numPr>
      <w:outlineLvl w:val="6"/>
    </w:pPr>
  </w:style>
  <w:style w:type="paragraph" w:customStyle="1" w:styleId="97">
    <w:name w:val="附录五级无"/>
    <w:basedOn w:val="96"/>
    <w:qFormat/>
    <w:uiPriority w:val="0"/>
    <w:pPr>
      <w:tabs>
        <w:tab w:val="clear" w:pos="360"/>
      </w:tabs>
      <w:spacing w:beforeLines="0" w:afterLines="0"/>
    </w:pPr>
    <w:rPr>
      <w:rFonts w:ascii="宋体" w:eastAsia="宋体"/>
      <w:szCs w:val="21"/>
    </w:rPr>
  </w:style>
  <w:style w:type="paragraph" w:customStyle="1" w:styleId="98">
    <w:name w:val="附录章标题"/>
    <w:next w:val="22"/>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附录一级条标题"/>
    <w:basedOn w:val="98"/>
    <w:next w:val="22"/>
    <w:qFormat/>
    <w:uiPriority w:val="0"/>
    <w:pPr>
      <w:numPr>
        <w:ilvl w:val="2"/>
      </w:numPr>
      <w:autoSpaceDN w:val="0"/>
      <w:spacing w:beforeLines="50" w:afterLines="50"/>
      <w:outlineLvl w:val="2"/>
    </w:pPr>
  </w:style>
  <w:style w:type="paragraph" w:customStyle="1" w:styleId="100">
    <w:name w:val="附录一级无"/>
    <w:basedOn w:val="99"/>
    <w:qFormat/>
    <w:uiPriority w:val="0"/>
    <w:pPr>
      <w:tabs>
        <w:tab w:val="clear" w:pos="360"/>
      </w:tabs>
      <w:spacing w:beforeLines="0" w:afterLines="0"/>
    </w:pPr>
    <w:rPr>
      <w:rFonts w:ascii="宋体" w:eastAsia="宋体"/>
      <w:szCs w:val="21"/>
    </w:rPr>
  </w:style>
  <w:style w:type="paragraph" w:customStyle="1" w:styleId="101">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5">
    <w:name w:val="其他标准标志"/>
    <w:basedOn w:val="62"/>
    <w:qFormat/>
    <w:uiPriority w:val="0"/>
    <w:pPr>
      <w:framePr w:w="6101" w:wrap="around" w:vAnchor="page" w:hAnchor="page" w:x="4673" w:y="942"/>
    </w:pPr>
    <w:rPr>
      <w:w w:val="130"/>
    </w:rPr>
  </w:style>
  <w:style w:type="paragraph" w:customStyle="1" w:styleId="10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7">
    <w:name w:val="其他发布部门"/>
    <w:basedOn w:val="70"/>
    <w:qFormat/>
    <w:uiPriority w:val="0"/>
    <w:pPr>
      <w:framePr w:wrap="around" w:y="15310"/>
      <w:spacing w:line="0" w:lineRule="atLeast"/>
    </w:pPr>
    <w:rPr>
      <w:rFonts w:ascii="黑体" w:eastAsia="黑体"/>
      <w:b w:val="0"/>
    </w:rPr>
  </w:style>
  <w:style w:type="paragraph" w:customStyle="1" w:styleId="108">
    <w:name w:val="前言、引言标题"/>
    <w:next w:val="2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9">
    <w:name w:val="三级无"/>
    <w:basedOn w:val="47"/>
    <w:qFormat/>
    <w:uiPriority w:val="0"/>
    <w:pPr>
      <w:spacing w:beforeLines="0" w:afterLines="0"/>
    </w:pPr>
    <w:rPr>
      <w:rFonts w:ascii="宋体" w:eastAsia="宋体"/>
    </w:rPr>
  </w:style>
  <w:style w:type="paragraph" w:customStyle="1" w:styleId="110">
    <w:name w:val="实施日期"/>
    <w:basedOn w:val="71"/>
    <w:qFormat/>
    <w:uiPriority w:val="0"/>
    <w:pPr>
      <w:framePr w:wrap="around" w:vAnchor="page" w:hAnchor="text"/>
      <w:jc w:val="right"/>
    </w:pPr>
  </w:style>
  <w:style w:type="paragraph" w:customStyle="1" w:styleId="111">
    <w:name w:val="示例后文字"/>
    <w:basedOn w:val="22"/>
    <w:next w:val="22"/>
    <w:qFormat/>
    <w:uiPriority w:val="0"/>
    <w:pPr>
      <w:ind w:firstLine="360"/>
    </w:pPr>
    <w:rPr>
      <w:sz w:val="18"/>
    </w:rPr>
  </w:style>
  <w:style w:type="paragraph" w:customStyle="1" w:styleId="112">
    <w:name w:val="首示例"/>
    <w:next w:val="22"/>
    <w:link w:val="113"/>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3">
    <w:name w:val="首示例 Char"/>
    <w:link w:val="112"/>
    <w:qFormat/>
    <w:uiPriority w:val="0"/>
    <w:rPr>
      <w:rFonts w:ascii="宋体" w:hAnsi="宋体"/>
      <w:kern w:val="2"/>
      <w:sz w:val="18"/>
      <w:szCs w:val="18"/>
      <w:lang w:val="en-US" w:eastAsia="zh-CN" w:bidi="ar-SA"/>
    </w:rPr>
  </w:style>
  <w:style w:type="paragraph" w:customStyle="1" w:styleId="114">
    <w:name w:val="四级无"/>
    <w:basedOn w:val="51"/>
    <w:qFormat/>
    <w:uiPriority w:val="0"/>
    <w:pPr>
      <w:spacing w:beforeLines="0" w:afterLines="0"/>
    </w:pPr>
    <w:rPr>
      <w:rFonts w:ascii="宋体" w:eastAsia="宋体"/>
    </w:rPr>
  </w:style>
  <w:style w:type="paragraph" w:customStyle="1" w:styleId="115">
    <w:name w:val="条文脚注"/>
    <w:basedOn w:val="23"/>
    <w:qFormat/>
    <w:uiPriority w:val="0"/>
    <w:pPr>
      <w:numPr>
        <w:numId w:val="0"/>
      </w:numPr>
      <w:jc w:val="both"/>
    </w:pPr>
  </w:style>
  <w:style w:type="paragraph" w:customStyle="1" w:styleId="116">
    <w:name w:val="图标脚注说明"/>
    <w:basedOn w:val="22"/>
    <w:qFormat/>
    <w:uiPriority w:val="0"/>
    <w:pPr>
      <w:ind w:left="840" w:hanging="420" w:firstLineChars="0"/>
    </w:pPr>
    <w:rPr>
      <w:sz w:val="18"/>
      <w:szCs w:val="18"/>
    </w:rPr>
  </w:style>
  <w:style w:type="paragraph" w:customStyle="1" w:styleId="117">
    <w:name w:val="图表脚注说明"/>
    <w:basedOn w:val="1"/>
    <w:qFormat/>
    <w:uiPriority w:val="0"/>
    <w:pPr>
      <w:numPr>
        <w:ilvl w:val="0"/>
        <w:numId w:val="15"/>
      </w:numPr>
    </w:pPr>
    <w:rPr>
      <w:rFonts w:ascii="宋体"/>
      <w:sz w:val="18"/>
      <w:szCs w:val="18"/>
    </w:rPr>
  </w:style>
  <w:style w:type="paragraph" w:customStyle="1" w:styleId="118">
    <w:name w:val="图的脚注"/>
    <w:next w:val="2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52"/>
    <w:qFormat/>
    <w:uiPriority w:val="0"/>
    <w:pPr>
      <w:spacing w:beforeLines="0" w:afterLines="0"/>
    </w:pPr>
    <w:rPr>
      <w:rFonts w:ascii="宋体" w:eastAsia="宋体"/>
    </w:rPr>
  </w:style>
  <w:style w:type="paragraph" w:customStyle="1" w:styleId="121">
    <w:name w:val="一级无"/>
    <w:basedOn w:val="38"/>
    <w:qFormat/>
    <w:uiPriority w:val="0"/>
    <w:pPr>
      <w:spacing w:beforeLines="0" w:afterLines="0"/>
    </w:pPr>
    <w:rPr>
      <w:rFonts w:ascii="宋体" w:eastAsia="宋体"/>
    </w:rPr>
  </w:style>
  <w:style w:type="character" w:customStyle="1" w:styleId="122">
    <w:name w:val="已访问的超链接1"/>
    <w:qFormat/>
    <w:uiPriority w:val="0"/>
    <w:rPr>
      <w:color w:val="800080"/>
      <w:u w:val="single"/>
    </w:rPr>
  </w:style>
  <w:style w:type="paragraph" w:customStyle="1" w:styleId="123">
    <w:name w:val="正文表标题"/>
    <w:next w:val="22"/>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4">
    <w:name w:val="正文公式编号制表符"/>
    <w:basedOn w:val="22"/>
    <w:next w:val="22"/>
    <w:qFormat/>
    <w:uiPriority w:val="0"/>
    <w:pPr>
      <w:ind w:firstLine="0" w:firstLineChars="0"/>
    </w:pPr>
  </w:style>
  <w:style w:type="paragraph" w:customStyle="1" w:styleId="125">
    <w:name w:val="正文图标题"/>
    <w:next w:val="22"/>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6">
    <w:name w:val="终结线"/>
    <w:basedOn w:val="1"/>
    <w:qFormat/>
    <w:uiPriority w:val="0"/>
    <w:pPr>
      <w:framePr w:hSpace="181" w:vSpace="181" w:wrap="around" w:vAnchor="text" w:hAnchor="margin" w:xAlign="center" w:y="285"/>
    </w:pPr>
  </w:style>
  <w:style w:type="paragraph" w:customStyle="1" w:styleId="127">
    <w:name w:val="其他发布日期"/>
    <w:basedOn w:val="71"/>
    <w:qFormat/>
    <w:uiPriority w:val="0"/>
    <w:pPr>
      <w:framePr w:wrap="around" w:vAnchor="page" w:hAnchor="text" w:x="1419"/>
    </w:pPr>
  </w:style>
  <w:style w:type="paragraph" w:customStyle="1" w:styleId="128">
    <w:name w:val="其他实施日期"/>
    <w:basedOn w:val="110"/>
    <w:qFormat/>
    <w:uiPriority w:val="0"/>
    <w:pPr>
      <w:framePr w:wrap="around"/>
    </w:pPr>
  </w:style>
  <w:style w:type="paragraph" w:customStyle="1" w:styleId="129">
    <w:name w:val="封面标准名称2"/>
    <w:basedOn w:val="74"/>
    <w:qFormat/>
    <w:uiPriority w:val="0"/>
    <w:pPr>
      <w:framePr w:wrap="around" w:y="4469"/>
      <w:spacing w:beforeLines="630"/>
    </w:pPr>
  </w:style>
  <w:style w:type="paragraph" w:customStyle="1" w:styleId="130">
    <w:name w:val="封面标准英文名称2"/>
    <w:basedOn w:val="75"/>
    <w:qFormat/>
    <w:uiPriority w:val="0"/>
    <w:pPr>
      <w:framePr w:wrap="around" w:y="4469"/>
    </w:pPr>
  </w:style>
  <w:style w:type="paragraph" w:customStyle="1" w:styleId="131">
    <w:name w:val="封面一致性程度标识2"/>
    <w:basedOn w:val="76"/>
    <w:qFormat/>
    <w:uiPriority w:val="0"/>
    <w:pPr>
      <w:framePr w:wrap="around" w:y="4469"/>
    </w:pPr>
  </w:style>
  <w:style w:type="paragraph" w:customStyle="1" w:styleId="132">
    <w:name w:val="封面标准文稿类别2"/>
    <w:basedOn w:val="77"/>
    <w:qFormat/>
    <w:uiPriority w:val="0"/>
    <w:pPr>
      <w:framePr w:wrap="around" w:y="4469"/>
    </w:pPr>
  </w:style>
  <w:style w:type="paragraph" w:customStyle="1" w:styleId="133">
    <w:name w:val="封面标准文稿编辑信息2"/>
    <w:basedOn w:val="78"/>
    <w:qFormat/>
    <w:uiPriority w:val="0"/>
    <w:pPr>
      <w:framePr w:wrap="around" w:y="4469"/>
    </w:pPr>
  </w:style>
  <w:style w:type="character" w:customStyle="1" w:styleId="134">
    <w:name w:val="批注框文本 Char"/>
    <w:basedOn w:val="32"/>
    <w:link w:val="15"/>
    <w:qFormat/>
    <w:uiPriority w:val="0"/>
    <w:rPr>
      <w:kern w:val="2"/>
      <w:sz w:val="18"/>
      <w:szCs w:val="18"/>
    </w:rPr>
  </w:style>
  <w:style w:type="paragraph" w:customStyle="1" w:styleId="13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36">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37">
    <w:name w:val="标准文件_章标题"/>
    <w:next w:val="138"/>
    <w:qFormat/>
    <w:uiPriority w:val="0"/>
    <w:pPr>
      <w:numPr>
        <w:ilvl w:val="1"/>
        <w:numId w:val="1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38">
    <w:name w:val="标准文件_段"/>
    <w:qFormat/>
    <w:uiPriority w:val="0"/>
    <w:pPr>
      <w:autoSpaceDE w:val="0"/>
      <w:autoSpaceDN w:val="0"/>
      <w:adjustRightInd w:val="0"/>
      <w:snapToGrid w:val="0"/>
      <w:spacing w:line="276" w:lineRule="auto"/>
      <w:ind w:right="-105" w:rightChars="-50"/>
      <w:jc w:val="both"/>
    </w:pPr>
    <w:rPr>
      <w:rFonts w:ascii="宋体" w:hAnsi="Times New Roman" w:eastAsia="宋体" w:cs="Times New Roman"/>
      <w:spacing w:val="2"/>
      <w:sz w:val="21"/>
      <w:lang w:val="en-US" w:eastAsia="zh-CN" w:bidi="ar-SA"/>
    </w:rPr>
  </w:style>
  <w:style w:type="paragraph" w:customStyle="1" w:styleId="139">
    <w:name w:val="标准文件_一级条标题"/>
    <w:basedOn w:val="137"/>
    <w:next w:val="138"/>
    <w:qFormat/>
    <w:uiPriority w:val="0"/>
    <w:pPr>
      <w:numPr>
        <w:ilvl w:val="2"/>
      </w:numPr>
      <w:spacing w:before="50" w:beforeLines="50" w:after="50" w:afterLines="50"/>
      <w:outlineLvl w:val="1"/>
    </w:pPr>
  </w:style>
  <w:style w:type="paragraph" w:customStyle="1" w:styleId="140">
    <w:name w:val="标准文件_二级条标题"/>
    <w:next w:val="138"/>
    <w:qFormat/>
    <w:uiPriority w:val="0"/>
    <w:pPr>
      <w:widowControl w:val="0"/>
      <w:numPr>
        <w:ilvl w:val="3"/>
        <w:numId w:val="18"/>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141">
    <w:name w:val="标准文件_附录图标号"/>
    <w:basedOn w:val="138"/>
    <w:next w:val="138"/>
    <w:qFormat/>
    <w:uiPriority w:val="0"/>
    <w:pPr>
      <w:numPr>
        <w:ilvl w:val="0"/>
        <w:numId w:val="19"/>
      </w:numPr>
      <w:spacing w:line="14" w:lineRule="exact"/>
      <w:ind w:firstLine="0" w:firstLineChars="0"/>
      <w:jc w:val="center"/>
    </w:pPr>
    <w:rPr>
      <w:rFonts w:ascii="黑体" w:hAnsi="黑体" w:eastAsia="黑体"/>
      <w:vanish/>
      <w:sz w:val="2"/>
      <w:szCs w:val="21"/>
    </w:rPr>
  </w:style>
  <w:style w:type="paragraph" w:customStyle="1" w:styleId="142">
    <w:name w:val="标准文件_附录表标号"/>
    <w:basedOn w:val="138"/>
    <w:next w:val="138"/>
    <w:qFormat/>
    <w:uiPriority w:val="0"/>
    <w:pPr>
      <w:numPr>
        <w:ilvl w:val="0"/>
        <w:numId w:val="20"/>
      </w:numPr>
      <w:spacing w:line="14" w:lineRule="exact"/>
      <w:ind w:firstLine="0" w:firstLineChars="0"/>
      <w:jc w:val="center"/>
    </w:pPr>
    <w:rPr>
      <w:rFonts w:eastAsia="黑体"/>
      <w:vanish/>
      <w:sz w:val="2"/>
    </w:rPr>
  </w:style>
  <w:style w:type="paragraph" w:customStyle="1" w:styleId="143">
    <w:name w:val="标准文件_附录标识"/>
    <w:next w:val="138"/>
    <w:qFormat/>
    <w:uiPriority w:val="0"/>
    <w:pPr>
      <w:numPr>
        <w:ilvl w:val="0"/>
        <w:numId w:val="10"/>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44">
    <w:name w:val="标准文件_附录一级条标题"/>
    <w:next w:val="138"/>
    <w:qFormat/>
    <w:uiPriority w:val="0"/>
    <w:pPr>
      <w:widowControl w:val="0"/>
      <w:numPr>
        <w:ilvl w:val="1"/>
        <w:numId w:val="10"/>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45">
    <w:name w:val="标准文件_表格"/>
    <w:basedOn w:val="138"/>
    <w:qFormat/>
    <w:uiPriority w:val="0"/>
    <w:pPr>
      <w:ind w:firstLine="0" w:firstLineChars="0"/>
      <w:jc w:val="center"/>
    </w:pPr>
    <w:rPr>
      <w:sz w:val="18"/>
    </w:rPr>
  </w:style>
  <w:style w:type="paragraph" w:customStyle="1" w:styleId="146">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14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48">
    <w:name w:val="标准文件_页脚偶数页"/>
    <w:qFormat/>
    <w:uiPriority w:val="0"/>
    <w:pPr>
      <w:ind w:left="198"/>
    </w:pPr>
    <w:rPr>
      <w:rFonts w:ascii="宋体" w:hAnsi="Times New Roman" w:eastAsia="宋体" w:cs="Times New Roman"/>
      <w:sz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glossaryDocument" Target="glossary/document.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52129e7-f63a-464e-b0ac-161171dbe5b8}"/>
        <w:style w:val=""/>
        <w:category>
          <w:name w:val="常规"/>
          <w:gallery w:val="placeholder"/>
        </w:category>
        <w:types>
          <w:type w:val="bbPlcHdr"/>
        </w:types>
        <w:behaviors>
          <w:behavior w:val="content"/>
        </w:behaviors>
        <w:description w:val=""/>
        <w:guid w:val="{c52129e7-f63a-464e-b0ac-161171dbe5b8}"/>
      </w:docPartPr>
      <w:docPartBody>
        <w:p w14:paraId="14516792">
          <w:pPr>
            <w:pStyle w:val="2"/>
          </w:pPr>
          <w:r>
            <w:rPr>
              <w:rStyle w:val="3"/>
              <w:rFonts w:hint="eastAsia"/>
            </w:rPr>
            <w:t>单击或点击此处输入文字。</w:t>
          </w:r>
        </w:p>
      </w:docPartBody>
    </w:docPart>
    <w:docPart>
      <w:docPartPr>
        <w:name w:val="{49da6c91-2c16-43b1-8d8b-9d172c49c662}"/>
        <w:style w:val=""/>
        <w:category>
          <w:name w:val="常规"/>
          <w:gallery w:val="placeholder"/>
        </w:category>
        <w:types>
          <w:type w:val="bbPlcHdr"/>
        </w:types>
        <w:behaviors>
          <w:behavior w:val="content"/>
        </w:behaviors>
        <w:description w:val=""/>
        <w:guid w:val="{49da6c91-2c16-43b1-8d8b-9d172c49c662}"/>
      </w:docPartPr>
      <w:docPartBody>
        <w:p w14:paraId="5901B7DD">
          <w:pPr>
            <w:pStyle w:val="4"/>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37BB669AC7EB41A7958D33237211E0D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B644EBD341DA4081B9B6235904BA58D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9</Pages>
  <Words>409</Words>
  <Characters>555</Characters>
  <Lines>14</Lines>
  <Paragraphs>11</Paragraphs>
  <TotalTime>15</TotalTime>
  <ScaleCrop>false</ScaleCrop>
  <LinksUpToDate>false</LinksUpToDate>
  <CharactersWithSpaces>606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2023-07-06T13:37:00Z</dcterms:created>
  <dc:creator>CNIS</dc:creator>
  <cp:lastModifiedBy>La solitudine</cp:lastModifiedBy>
  <dcterms:modified xsi:type="dcterms:W3CDTF">2026-06-04T02:00:39Z</dcterms:modified>
  <dc:title>标准名称</dc:title>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4F60C93FEE3A4BA58CECC35F24FF627D</vt:lpwstr>
  </property>
  <property fmtid="{D5CDD505-2E9C-101B-9397-08002B2CF9AE}" pid="4" name="KSOTemplateDocerSaveRecord">
    <vt:lpwstr>eyJoZGlkIjoiOGJjNWNjZjhhZmY1M2U4ZmMxNzZmNGNmMjQwNjFiNjIiLCJ1c2VySWQiOiI0NjE0NTI2MDMifQ==</vt:lpwstr>
  </property>
</Properties>
</file>