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05" w:rsidRDefault="00E647D8">
      <w:pPr>
        <w:pStyle w:val="1"/>
        <w:rPr>
          <w:rFonts w:ascii="仿宋_GB2312" w:eastAsia="仿宋_GB2312" w:hAnsi="仿宋_GB2312" w:cs="仿宋_GB2312"/>
          <w:sz w:val="28"/>
          <w:szCs w:val="28"/>
        </w:rPr>
      </w:pPr>
      <w:r>
        <w:rPr>
          <w:rFonts w:eastAsia="仿宋_GB2312" w:hint="eastAsia"/>
          <w:sz w:val="28"/>
          <w:szCs w:val="28"/>
        </w:rPr>
        <w:t>附件</w:t>
      </w:r>
      <w:r>
        <w:rPr>
          <w:rFonts w:eastAsia="仿宋_GB2312" w:hint="eastAsia"/>
          <w:sz w:val="28"/>
          <w:szCs w:val="28"/>
        </w:rPr>
        <w:t>2</w:t>
      </w:r>
      <w:r>
        <w:rPr>
          <w:rFonts w:eastAsia="仿宋_GB2312" w:hint="eastAsia"/>
          <w:sz w:val="28"/>
          <w:szCs w:val="28"/>
        </w:rPr>
        <w:t>：</w:t>
      </w:r>
    </w:p>
    <w:p w:rsidR="00DA2F05" w:rsidRDefault="00E647D8">
      <w:pPr>
        <w:pStyle w:val="1"/>
        <w:jc w:val="center"/>
      </w:pPr>
      <w:r>
        <w:rPr>
          <w:rFonts w:hint="eastAsia"/>
        </w:rPr>
        <w:t>第一届工业企业环保复合型人才</w:t>
      </w:r>
    </w:p>
    <w:p w:rsidR="00DA2F05" w:rsidRDefault="00E647D8">
      <w:pPr>
        <w:pStyle w:val="1"/>
        <w:jc w:val="center"/>
      </w:pPr>
      <w:r>
        <w:rPr>
          <w:rFonts w:hint="eastAsia"/>
        </w:rPr>
        <w:t>高级研修班培养方案</w:t>
      </w:r>
    </w:p>
    <w:p w:rsidR="00DA2F05" w:rsidRDefault="00E647D8">
      <w:pPr>
        <w:pStyle w:val="2"/>
        <w:spacing w:before="38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一、培养目标</w:t>
      </w:r>
    </w:p>
    <w:p w:rsidR="00DA2F05" w:rsidRDefault="00E647D8">
      <w:pPr>
        <w:spacing w:line="560" w:lineRule="exact"/>
        <w:ind w:firstLineChars="200" w:firstLine="560"/>
        <w:rPr>
          <w:rFonts w:ascii="仿宋_GB2312" w:eastAsia="仿宋_GB2312"/>
          <w:sz w:val="28"/>
          <w:szCs w:val="32"/>
        </w:rPr>
      </w:pPr>
      <w:r>
        <w:rPr>
          <w:rFonts w:ascii="仿宋_GB2312" w:eastAsia="仿宋_GB2312" w:hint="eastAsia"/>
          <w:sz w:val="28"/>
          <w:szCs w:val="32"/>
        </w:rPr>
        <w:t>培养“明法规标准，懂工艺技术，精专业技能，会管理提升”的环境保护复合型人才：</w:t>
      </w:r>
    </w:p>
    <w:p w:rsidR="00DA2F05" w:rsidRDefault="00E647D8">
      <w:pPr>
        <w:spacing w:line="560" w:lineRule="exact"/>
        <w:ind w:firstLineChars="200" w:firstLine="560"/>
        <w:rPr>
          <w:rFonts w:ascii="仿宋_GB2312" w:eastAsia="仿宋_GB2312"/>
          <w:sz w:val="28"/>
          <w:szCs w:val="32"/>
        </w:rPr>
      </w:pPr>
      <w:r>
        <w:rPr>
          <w:rFonts w:ascii="仿宋_GB2312" w:eastAsia="仿宋_GB2312" w:hint="eastAsia"/>
          <w:sz w:val="28"/>
          <w:szCs w:val="32"/>
        </w:rPr>
        <w:t>明法规标准：熟悉国家环保相关法律、法规、政策、标准，做到知法、懂法、守法；</w:t>
      </w:r>
    </w:p>
    <w:p w:rsidR="00DA2F05" w:rsidRDefault="00E647D8">
      <w:pPr>
        <w:spacing w:line="560" w:lineRule="exact"/>
        <w:ind w:firstLineChars="200" w:firstLine="560"/>
        <w:rPr>
          <w:rFonts w:ascii="仿宋_GB2312" w:eastAsia="仿宋_GB2312"/>
          <w:sz w:val="28"/>
          <w:szCs w:val="32"/>
        </w:rPr>
      </w:pPr>
      <w:r>
        <w:rPr>
          <w:rFonts w:ascii="仿宋_GB2312" w:eastAsia="仿宋_GB2312" w:hint="eastAsia"/>
          <w:sz w:val="28"/>
          <w:szCs w:val="32"/>
        </w:rPr>
        <w:t>懂工艺技术：熟悉典型工业企业生产工艺及其产排污特点，做到知工艺、懂环保；</w:t>
      </w:r>
    </w:p>
    <w:p w:rsidR="00DA2F05" w:rsidRDefault="00E647D8">
      <w:pPr>
        <w:spacing w:line="560" w:lineRule="exact"/>
        <w:ind w:firstLineChars="200" w:firstLine="536"/>
        <w:rPr>
          <w:rFonts w:ascii="仿宋_GB2312" w:eastAsia="仿宋_GB2312"/>
          <w:spacing w:val="-6"/>
          <w:sz w:val="28"/>
          <w:szCs w:val="32"/>
        </w:rPr>
      </w:pPr>
      <w:r>
        <w:rPr>
          <w:rFonts w:ascii="仿宋_GB2312" w:eastAsia="仿宋_GB2312" w:hint="eastAsia"/>
          <w:spacing w:val="-6"/>
          <w:sz w:val="28"/>
          <w:szCs w:val="32"/>
        </w:rPr>
        <w:t>精专业技能：掌握工业企业污染治理技术、风险防控能力、环境监测方法等专业技能，熟悉国内外先进治理技术，做到知行业、精技能；</w:t>
      </w:r>
      <w:r>
        <w:rPr>
          <w:rFonts w:ascii="仿宋_GB2312" w:eastAsia="仿宋_GB2312"/>
          <w:spacing w:val="-6"/>
          <w:sz w:val="28"/>
          <w:szCs w:val="32"/>
        </w:rPr>
        <w:t xml:space="preserve"> </w:t>
      </w:r>
    </w:p>
    <w:p w:rsidR="00DA2F05" w:rsidRDefault="00E647D8">
      <w:pPr>
        <w:spacing w:line="560" w:lineRule="exact"/>
        <w:ind w:firstLineChars="200" w:firstLine="536"/>
        <w:rPr>
          <w:rFonts w:ascii="仿宋_GB2312" w:eastAsia="仿宋_GB2312"/>
          <w:spacing w:val="-6"/>
          <w:sz w:val="28"/>
          <w:szCs w:val="32"/>
        </w:rPr>
      </w:pPr>
      <w:r>
        <w:rPr>
          <w:rFonts w:ascii="仿宋_GB2312" w:eastAsia="仿宋_GB2312" w:hint="eastAsia"/>
          <w:spacing w:val="-6"/>
          <w:sz w:val="28"/>
          <w:szCs w:val="32"/>
        </w:rPr>
        <w:t>会管理提升：掌握环境管理体系、环境管理要求，熟悉环境管理学相关基础知识，做到全过程精细化管理，全面提升企业的环保管理水平。</w:t>
      </w:r>
    </w:p>
    <w:p w:rsidR="00DA2F05" w:rsidRDefault="00E647D8">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二、培养对象</w:t>
      </w:r>
    </w:p>
    <w:p w:rsidR="00DA2F05" w:rsidRDefault="00E647D8">
      <w:pPr>
        <w:spacing w:line="560" w:lineRule="exact"/>
        <w:ind w:firstLineChars="200" w:firstLine="560"/>
        <w:rPr>
          <w:rFonts w:ascii="仿宋_GB2312" w:eastAsia="仿宋_GB2312"/>
          <w:sz w:val="28"/>
          <w:szCs w:val="32"/>
        </w:rPr>
      </w:pPr>
      <w:r>
        <w:rPr>
          <w:rFonts w:ascii="仿宋_GB2312" w:eastAsia="仿宋_GB2312"/>
          <w:sz w:val="28"/>
          <w:szCs w:val="32"/>
        </w:rPr>
        <w:t>以工业企业、第三方</w:t>
      </w:r>
      <w:r>
        <w:rPr>
          <w:rFonts w:ascii="仿宋_GB2312" w:eastAsia="仿宋_GB2312" w:hint="eastAsia"/>
          <w:sz w:val="28"/>
          <w:szCs w:val="32"/>
        </w:rPr>
        <w:t>环境</w:t>
      </w:r>
      <w:r>
        <w:rPr>
          <w:rFonts w:ascii="仿宋_GB2312" w:eastAsia="仿宋_GB2312"/>
          <w:sz w:val="28"/>
          <w:szCs w:val="32"/>
        </w:rPr>
        <w:t>服务、政府部门等与环保相关从业人员为主要对象，培养具备环保为主体，工艺、安全、管理等多学科融合知识构架的环保复合型人才，为我国的环境保护事业保驾护航。</w:t>
      </w:r>
    </w:p>
    <w:p w:rsidR="00DA2F05" w:rsidRDefault="00E647D8">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三、培养模式</w:t>
      </w:r>
    </w:p>
    <w:p w:rsidR="00DA2F05" w:rsidRDefault="00E647D8">
      <w:pPr>
        <w:spacing w:line="560" w:lineRule="exact"/>
        <w:ind w:firstLineChars="200" w:firstLine="560"/>
        <w:rPr>
          <w:rFonts w:ascii="仿宋_GB2312" w:eastAsia="仿宋_GB2312"/>
          <w:sz w:val="28"/>
          <w:szCs w:val="32"/>
        </w:rPr>
      </w:pPr>
      <w:r>
        <w:rPr>
          <w:rFonts w:ascii="仿宋_GB2312" w:eastAsia="仿宋_GB2312" w:hint="eastAsia"/>
          <w:sz w:val="28"/>
          <w:szCs w:val="32"/>
        </w:rPr>
        <w:t>培养过程充分发挥中国环境科学学会专业权威专家资源和中国石油大学丰富的工业环保理论实践教学资源，采取“理论学习不断线、</w:t>
      </w:r>
      <w:r>
        <w:rPr>
          <w:rFonts w:ascii="仿宋_GB2312" w:eastAsia="仿宋_GB2312" w:hint="eastAsia"/>
          <w:sz w:val="28"/>
          <w:szCs w:val="32"/>
        </w:rPr>
        <w:lastRenderedPageBreak/>
        <w:t>经验分享不断线、工程实践不断线”的“三个不断线”培养方式，同时结合国内</w:t>
      </w:r>
      <w:r>
        <w:rPr>
          <w:rFonts w:ascii="仿宋_GB2312" w:eastAsia="仿宋_GB2312" w:hint="eastAsia"/>
          <w:sz w:val="28"/>
          <w:szCs w:val="32"/>
        </w:rPr>
        <w:t>重点大学和国外名校在环保教育方面的经验，重在培养学员的应用及创新意识、工程实践能力和管理水平。</w:t>
      </w:r>
    </w:p>
    <w:p w:rsidR="00DA2F05" w:rsidRDefault="00E647D8">
      <w:pPr>
        <w:spacing w:line="560" w:lineRule="exact"/>
        <w:ind w:firstLineChars="200" w:firstLine="536"/>
        <w:rPr>
          <w:rFonts w:ascii="仿宋_GB2312" w:eastAsia="仿宋_GB2312"/>
          <w:sz w:val="28"/>
          <w:szCs w:val="32"/>
        </w:rPr>
      </w:pPr>
      <w:r>
        <w:rPr>
          <w:rFonts w:ascii="仿宋_GB2312" w:eastAsia="仿宋_GB2312" w:hint="eastAsia"/>
          <w:spacing w:val="-6"/>
          <w:sz w:val="28"/>
          <w:szCs w:val="32"/>
        </w:rPr>
        <w:t>专业授课依托中国石油大学（华东）具有丰富工业环保治理和环境风险管理理论实践经验的教师，同时中国环境科学学会将组织生态环境部门、国内知名高校、大型企业和设计院的权威专家，对涉及重点领域的关键性课程进行讲授或专题讲座。授课过程充分借鉴国内外人才培养的经验，注重将先进的授课模式引进到课堂中，如案例教学、实践教学、翻转课堂、团队学习等，充分保证培养目标和教学效果的实现。</w:t>
      </w:r>
    </w:p>
    <w:p w:rsidR="00DA2F05" w:rsidRDefault="00E647D8">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四、学习年限及要求</w:t>
      </w:r>
    </w:p>
    <w:p w:rsidR="00DA2F05" w:rsidRDefault="00E647D8">
      <w:pPr>
        <w:spacing w:line="560" w:lineRule="exact"/>
        <w:ind w:firstLineChars="200" w:firstLine="536"/>
        <w:rPr>
          <w:rFonts w:ascii="仿宋_GB2312" w:eastAsia="仿宋_GB2312"/>
          <w:spacing w:val="-6"/>
          <w:sz w:val="28"/>
          <w:szCs w:val="32"/>
        </w:rPr>
      </w:pPr>
      <w:r>
        <w:rPr>
          <w:rFonts w:ascii="仿宋_GB2312" w:eastAsia="仿宋_GB2312" w:hint="eastAsia"/>
          <w:spacing w:val="-6"/>
          <w:sz w:val="28"/>
          <w:szCs w:val="32"/>
        </w:rPr>
        <w:t>学习年限为</w:t>
      </w:r>
      <w:r>
        <w:rPr>
          <w:rFonts w:ascii="仿宋_GB2312" w:eastAsia="仿宋_GB2312"/>
          <w:spacing w:val="-6"/>
          <w:sz w:val="28"/>
          <w:szCs w:val="32"/>
        </w:rPr>
        <w:t>1</w:t>
      </w:r>
      <w:r>
        <w:rPr>
          <w:rFonts w:ascii="仿宋_GB2312" w:eastAsia="仿宋_GB2312" w:hint="eastAsia"/>
          <w:spacing w:val="-6"/>
          <w:sz w:val="28"/>
          <w:szCs w:val="32"/>
        </w:rPr>
        <w:t>年，包括四次脱产集</w:t>
      </w:r>
      <w:r>
        <w:rPr>
          <w:rFonts w:ascii="仿宋_GB2312" w:eastAsia="仿宋_GB2312" w:hint="eastAsia"/>
          <w:spacing w:val="-6"/>
          <w:sz w:val="28"/>
          <w:szCs w:val="32"/>
        </w:rPr>
        <w:t>中学习，每个阶段时长两周左右，包括理论学习和现场实践学习；非集中学习阶段采用网络学习平台实现“三个不断线”学习；学员需针对企业环保问题选题并完成毕业成果。</w:t>
      </w:r>
    </w:p>
    <w:p w:rsidR="00DA2F05" w:rsidRDefault="00E647D8">
      <w:pPr>
        <w:pStyle w:val="2"/>
        <w:spacing w:before="140" w:after="20" w:line="560" w:lineRule="exact"/>
        <w:ind w:firstLineChars="200" w:firstLine="600"/>
        <w:rPr>
          <w:rFonts w:ascii="黑体" w:eastAsia="黑体" w:hAnsi="黑体" w:cs="黑体"/>
          <w:b w:val="0"/>
          <w:bCs w:val="0"/>
          <w:sz w:val="30"/>
          <w:szCs w:val="30"/>
        </w:rPr>
      </w:pPr>
      <w:r>
        <w:rPr>
          <w:rFonts w:ascii="黑体" w:eastAsia="黑体" w:hAnsi="黑体" w:cs="黑体" w:hint="eastAsia"/>
          <w:b w:val="0"/>
          <w:bCs w:val="0"/>
          <w:sz w:val="30"/>
          <w:szCs w:val="30"/>
        </w:rPr>
        <w:t>五、课程设置</w:t>
      </w:r>
    </w:p>
    <w:p w:rsidR="00DA2F05" w:rsidRDefault="00E647D8">
      <w:pPr>
        <w:spacing w:line="560" w:lineRule="exact"/>
        <w:ind w:firstLineChars="200" w:firstLine="560"/>
        <w:rPr>
          <w:rFonts w:ascii="Times New Roman" w:eastAsia="仿宋_GB2312" w:hAnsi="Times New Roman" w:cs="Times New Roman"/>
          <w:sz w:val="28"/>
          <w:szCs w:val="32"/>
        </w:rPr>
      </w:pPr>
      <w:r>
        <w:rPr>
          <w:rFonts w:ascii="仿宋_GB2312" w:eastAsia="仿宋_GB2312" w:hint="eastAsia"/>
          <w:sz w:val="28"/>
          <w:szCs w:val="32"/>
        </w:rPr>
        <w:t>课程体系分为政治理论模块、法规标准模块、环境管理模块、工艺及污染治理设施模块、环境监测及治理新技术、全过程管控模块等六大模块</w:t>
      </w:r>
      <w:r>
        <w:rPr>
          <w:rFonts w:ascii="仿宋_GB2312" w:eastAsia="仿宋_GB2312" w:hint="eastAsia"/>
          <w:sz w:val="28"/>
          <w:szCs w:val="32"/>
        </w:rPr>
        <w:t>(</w:t>
      </w:r>
      <w:r>
        <w:rPr>
          <w:rFonts w:ascii="仿宋_GB2312" w:eastAsia="仿宋_GB2312" w:hint="eastAsia"/>
          <w:sz w:val="28"/>
          <w:szCs w:val="32"/>
        </w:rPr>
        <w:t>见表</w:t>
      </w:r>
      <w:r>
        <w:rPr>
          <w:rFonts w:ascii="仿宋_GB2312" w:eastAsia="仿宋_GB2312" w:hint="eastAsia"/>
          <w:sz w:val="28"/>
          <w:szCs w:val="32"/>
        </w:rPr>
        <w:t>1</w:t>
      </w:r>
      <w:r>
        <w:rPr>
          <w:rFonts w:ascii="仿宋_GB2312" w:eastAsia="仿宋_GB2312" w:hint="eastAsia"/>
          <w:sz w:val="28"/>
          <w:szCs w:val="32"/>
        </w:rPr>
        <w:t>）</w:t>
      </w:r>
      <w:r>
        <w:rPr>
          <w:rFonts w:ascii="仿宋_GB2312" w:eastAsia="仿宋_GB2312" w:hint="eastAsia"/>
          <w:sz w:val="28"/>
          <w:szCs w:val="32"/>
        </w:rPr>
        <w:t>，旨在以生态文明建设为引导，以法规体系及标准解译为基础，以工艺过程、污染治理设施及先进治理技术为提升，发挥中国环境科学学会学科引领和专业权威专家优势；发挥石油大学在风险管控、石化行业</w:t>
      </w:r>
      <w:r>
        <w:rPr>
          <w:rFonts w:ascii="仿宋_GB2312" w:eastAsia="仿宋_GB2312" w:hint="eastAsia"/>
          <w:sz w:val="28"/>
          <w:szCs w:val="32"/>
        </w:rPr>
        <w:t>HSE</w:t>
      </w:r>
      <w:r>
        <w:rPr>
          <w:rFonts w:ascii="仿宋_GB2312" w:eastAsia="仿宋_GB2312" w:hint="eastAsia"/>
          <w:sz w:val="28"/>
          <w:szCs w:val="32"/>
        </w:rPr>
        <w:t>管理等方面理论实践教</w:t>
      </w:r>
      <w:r>
        <w:rPr>
          <w:rFonts w:ascii="仿宋_GB2312" w:eastAsia="仿宋_GB2312" w:hint="eastAsia"/>
          <w:sz w:val="28"/>
          <w:szCs w:val="32"/>
        </w:rPr>
        <w:t>学优势，培养高层次技术和管理复合型环保人才，实现企业全过程精细化环保管理，全面提升企业环保管控水平。除常规课程设置外，同时还设置有丰富的专</w:t>
      </w:r>
      <w:r>
        <w:rPr>
          <w:rFonts w:ascii="Times New Roman" w:eastAsia="仿宋_GB2312" w:hAnsi="Times New Roman" w:cs="Times New Roman"/>
          <w:sz w:val="28"/>
          <w:szCs w:val="32"/>
        </w:rPr>
        <w:t>家讲座</w:t>
      </w:r>
      <w:r>
        <w:rPr>
          <w:rFonts w:ascii="Times New Roman" w:eastAsia="仿宋_GB2312" w:hAnsi="Times New Roman" w:cs="Times New Roman" w:hint="eastAsia"/>
          <w:sz w:val="28"/>
          <w:szCs w:val="32"/>
        </w:rPr>
        <w:t>（见表</w:t>
      </w:r>
      <w:r>
        <w:rPr>
          <w:rFonts w:ascii="Times New Roman" w:eastAsia="仿宋_GB2312" w:hAnsi="Times New Roman" w:cs="Times New Roman" w:hint="eastAsia"/>
          <w:sz w:val="28"/>
          <w:szCs w:val="32"/>
        </w:rPr>
        <w:t>2</w:t>
      </w:r>
      <w:r>
        <w:rPr>
          <w:rFonts w:ascii="Times New Roman" w:eastAsia="仿宋_GB2312" w:hAnsi="Times New Roman" w:cs="Times New Roman" w:hint="eastAsia"/>
          <w:sz w:val="28"/>
          <w:szCs w:val="32"/>
        </w:rPr>
        <w:t>）</w:t>
      </w:r>
      <w:r>
        <w:rPr>
          <w:rFonts w:ascii="Times New Roman" w:eastAsia="仿宋_GB2312" w:hAnsi="Times New Roman" w:cs="Times New Roman"/>
          <w:sz w:val="28"/>
          <w:szCs w:val="32"/>
        </w:rPr>
        <w:t>和现场实践环节。</w:t>
      </w:r>
    </w:p>
    <w:p w:rsidR="00DA2F05" w:rsidRDefault="00DA2F05">
      <w:pPr>
        <w:spacing w:line="360" w:lineRule="auto"/>
        <w:rPr>
          <w:rFonts w:ascii="黑体" w:eastAsia="黑体" w:hAnsi="黑体" w:cs="黑体"/>
          <w:bCs/>
          <w:kern w:val="0"/>
          <w:sz w:val="32"/>
          <w:szCs w:val="32"/>
        </w:rPr>
      </w:pPr>
    </w:p>
    <w:p w:rsidR="00DA2F05" w:rsidRDefault="00E647D8">
      <w:pPr>
        <w:spacing w:line="360" w:lineRule="auto"/>
        <w:rPr>
          <w:rFonts w:ascii="黑体" w:eastAsia="黑体" w:hAnsi="黑体" w:cs="黑体"/>
          <w:bCs/>
          <w:kern w:val="0"/>
          <w:sz w:val="32"/>
          <w:szCs w:val="32"/>
        </w:rPr>
      </w:pPr>
      <w:r>
        <w:rPr>
          <w:rFonts w:ascii="黑体" w:eastAsia="黑体" w:hAnsi="黑体" w:cs="黑体" w:hint="eastAsia"/>
          <w:bCs/>
          <w:kern w:val="0"/>
          <w:sz w:val="32"/>
          <w:szCs w:val="32"/>
        </w:rPr>
        <w:lastRenderedPageBreak/>
        <w:t>表</w:t>
      </w:r>
      <w:r>
        <w:rPr>
          <w:rFonts w:ascii="黑体" w:eastAsia="黑体" w:hAnsi="黑体" w:cs="黑体" w:hint="eastAsia"/>
          <w:bCs/>
          <w:kern w:val="0"/>
          <w:sz w:val="32"/>
          <w:szCs w:val="32"/>
        </w:rPr>
        <w:t>1</w:t>
      </w:r>
    </w:p>
    <w:p w:rsidR="00DA2F05" w:rsidRDefault="00E647D8" w:rsidP="007F746E">
      <w:pPr>
        <w:spacing w:beforeLines="50" w:before="156" w:afterLines="50" w:after="15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第一届工业企业环保复合型人才高级研修班课程设置</w:t>
      </w:r>
    </w:p>
    <w:tbl>
      <w:tblPr>
        <w:tblStyle w:val="a7"/>
        <w:tblW w:w="5000" w:type="pct"/>
        <w:tblLook w:val="04A0" w:firstRow="1" w:lastRow="0" w:firstColumn="1" w:lastColumn="0" w:noHBand="0" w:noVBand="1"/>
      </w:tblPr>
      <w:tblGrid>
        <w:gridCol w:w="2519"/>
        <w:gridCol w:w="4945"/>
        <w:gridCol w:w="1064"/>
      </w:tblGrid>
      <w:tr w:rsidR="00DA2F05">
        <w:trPr>
          <w:trHeight w:hRule="exact" w:val="454"/>
        </w:trPr>
        <w:tc>
          <w:tcPr>
            <w:tcW w:w="1476" w:type="pct"/>
            <w:vAlign w:val="center"/>
          </w:tcPr>
          <w:p w:rsidR="00DA2F05" w:rsidRDefault="00E647D8">
            <w:pPr>
              <w:adjustRightInd w:val="0"/>
              <w:snapToGrid w:val="0"/>
              <w:jc w:val="center"/>
              <w:rPr>
                <w:rFonts w:ascii="仿宋" w:eastAsia="仿宋" w:hAnsi="仿宋" w:cs="Times New Roman"/>
                <w:b/>
                <w:sz w:val="28"/>
                <w:szCs w:val="24"/>
              </w:rPr>
            </w:pPr>
            <w:r>
              <w:rPr>
                <w:rFonts w:ascii="仿宋" w:eastAsia="仿宋" w:hAnsi="仿宋" w:cs="Times New Roman"/>
                <w:b/>
                <w:sz w:val="28"/>
                <w:szCs w:val="24"/>
              </w:rPr>
              <w:t>课程模块</w:t>
            </w:r>
          </w:p>
        </w:tc>
        <w:tc>
          <w:tcPr>
            <w:tcW w:w="2898" w:type="pct"/>
            <w:vAlign w:val="center"/>
          </w:tcPr>
          <w:p w:rsidR="00DA2F05" w:rsidRDefault="00E647D8">
            <w:pPr>
              <w:adjustRightInd w:val="0"/>
              <w:snapToGrid w:val="0"/>
              <w:jc w:val="center"/>
              <w:rPr>
                <w:rFonts w:ascii="仿宋" w:eastAsia="仿宋" w:hAnsi="仿宋" w:cs="Times New Roman"/>
                <w:b/>
                <w:sz w:val="28"/>
                <w:szCs w:val="24"/>
              </w:rPr>
            </w:pPr>
            <w:r>
              <w:rPr>
                <w:rFonts w:ascii="仿宋" w:eastAsia="仿宋" w:hAnsi="仿宋" w:cs="Times New Roman"/>
                <w:b/>
                <w:sz w:val="28"/>
                <w:szCs w:val="24"/>
              </w:rPr>
              <w:t>课程设置</w:t>
            </w:r>
          </w:p>
        </w:tc>
        <w:tc>
          <w:tcPr>
            <w:tcW w:w="624" w:type="pct"/>
            <w:vAlign w:val="center"/>
          </w:tcPr>
          <w:p w:rsidR="00DA2F05" w:rsidRDefault="00E647D8">
            <w:pPr>
              <w:adjustRightInd w:val="0"/>
              <w:snapToGrid w:val="0"/>
              <w:jc w:val="center"/>
              <w:rPr>
                <w:rFonts w:ascii="仿宋" w:eastAsia="仿宋" w:hAnsi="仿宋" w:cs="Times New Roman"/>
                <w:b/>
                <w:sz w:val="28"/>
                <w:szCs w:val="24"/>
              </w:rPr>
            </w:pPr>
            <w:r>
              <w:rPr>
                <w:rFonts w:ascii="仿宋" w:eastAsia="仿宋" w:hAnsi="仿宋" w:cs="Times New Roman"/>
                <w:b/>
                <w:sz w:val="28"/>
                <w:szCs w:val="24"/>
              </w:rPr>
              <w:t>学时</w:t>
            </w:r>
          </w:p>
        </w:tc>
      </w:tr>
      <w:tr w:rsidR="00DA2F05">
        <w:trPr>
          <w:trHeight w:hRule="exact" w:val="454"/>
        </w:trPr>
        <w:tc>
          <w:tcPr>
            <w:tcW w:w="1476" w:type="pct"/>
            <w:vMerge w:val="restar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政治理论模块</w:t>
            </w: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生态文明与可持续发展</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24</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环境</w:t>
            </w:r>
            <w:r>
              <w:rPr>
                <w:rFonts w:ascii="仿宋" w:eastAsia="仿宋" w:hAnsi="仿宋" w:cs="Times New Roman" w:hint="eastAsia"/>
                <w:bCs/>
                <w:sz w:val="28"/>
                <w:szCs w:val="24"/>
              </w:rPr>
              <w:t>工程</w:t>
            </w:r>
            <w:r>
              <w:rPr>
                <w:rFonts w:ascii="仿宋" w:eastAsia="仿宋" w:hAnsi="仿宋" w:cs="Times New Roman"/>
                <w:bCs/>
                <w:sz w:val="28"/>
                <w:szCs w:val="24"/>
              </w:rPr>
              <w:t>伦理学</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DA2F05">
        <w:trPr>
          <w:trHeight w:hRule="exact" w:val="454"/>
        </w:trPr>
        <w:tc>
          <w:tcPr>
            <w:tcW w:w="1476" w:type="pct"/>
            <w:vMerge w:val="restar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法规标准模块</w:t>
            </w: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新环保法</w:t>
            </w:r>
            <w:r>
              <w:rPr>
                <w:rFonts w:ascii="仿宋" w:eastAsia="仿宋" w:hAnsi="仿宋" w:cs="Times New Roman" w:hint="eastAsia"/>
                <w:bCs/>
                <w:sz w:val="28"/>
                <w:szCs w:val="24"/>
              </w:rPr>
              <w:t>与生态环境</w:t>
            </w:r>
            <w:r>
              <w:rPr>
                <w:rFonts w:ascii="仿宋" w:eastAsia="仿宋" w:hAnsi="仿宋" w:cs="Times New Roman"/>
                <w:bCs/>
                <w:sz w:val="28"/>
                <w:szCs w:val="24"/>
              </w:rPr>
              <w:t>法律法规体系</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24</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生态环境</w:t>
            </w:r>
            <w:r>
              <w:rPr>
                <w:rFonts w:ascii="仿宋" w:eastAsia="仿宋" w:hAnsi="仿宋" w:cs="Times New Roman"/>
                <w:bCs/>
                <w:sz w:val="28"/>
                <w:szCs w:val="24"/>
              </w:rPr>
              <w:t>政策</w:t>
            </w:r>
            <w:r>
              <w:rPr>
                <w:rFonts w:ascii="仿宋" w:eastAsia="仿宋" w:hAnsi="仿宋" w:cs="Times New Roman" w:hint="eastAsia"/>
                <w:bCs/>
                <w:sz w:val="28"/>
                <w:szCs w:val="24"/>
              </w:rPr>
              <w:t>与</w:t>
            </w:r>
            <w:r>
              <w:rPr>
                <w:rFonts w:ascii="仿宋" w:eastAsia="仿宋" w:hAnsi="仿宋" w:cs="Times New Roman"/>
                <w:bCs/>
                <w:sz w:val="28"/>
                <w:szCs w:val="24"/>
              </w:rPr>
              <w:t>规划</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8</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环境监管执法与企业环境守法</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生态</w:t>
            </w:r>
            <w:r>
              <w:rPr>
                <w:rFonts w:ascii="仿宋" w:eastAsia="仿宋" w:hAnsi="仿宋" w:cs="Times New Roman"/>
                <w:bCs/>
                <w:sz w:val="28"/>
                <w:szCs w:val="24"/>
              </w:rPr>
              <w:t>环境保护标准</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DA2F05">
        <w:trPr>
          <w:trHeight w:hRule="exact" w:val="454"/>
        </w:trPr>
        <w:tc>
          <w:tcPr>
            <w:tcW w:w="1476" w:type="pct"/>
            <w:vMerge w:val="restar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环境管理模块</w:t>
            </w: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事前事中事后监管</w:t>
            </w:r>
            <w:r>
              <w:rPr>
                <w:rFonts w:ascii="仿宋" w:eastAsia="仿宋" w:hAnsi="仿宋" w:cs="Times New Roman" w:hint="eastAsia"/>
                <w:bCs/>
                <w:sz w:val="28"/>
                <w:szCs w:val="24"/>
              </w:rPr>
              <w:t>制度</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28</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pStyle w:val="a6"/>
              <w:adjustRightInd w:val="0"/>
              <w:snapToGrid w:val="0"/>
              <w:spacing w:line="360" w:lineRule="atLeast"/>
              <w:rPr>
                <w:rFonts w:ascii="仿宋" w:eastAsia="仿宋" w:hAnsi="仿宋" w:cs="Times New Roman"/>
                <w:bCs/>
                <w:sz w:val="28"/>
                <w:szCs w:val="24"/>
              </w:rPr>
            </w:pPr>
            <w:r>
              <w:rPr>
                <w:rFonts w:ascii="仿宋" w:eastAsia="仿宋" w:hAnsi="仿宋" w:cs="Times New Roman"/>
                <w:bCs/>
                <w:sz w:val="28"/>
                <w:szCs w:val="24"/>
              </w:rPr>
              <w:t>排污许可证制度</w:t>
            </w:r>
            <w:r>
              <w:rPr>
                <w:rFonts w:ascii="仿宋" w:eastAsia="仿宋" w:hAnsi="仿宋" w:cs="Times New Roman" w:hint="eastAsia"/>
                <w:bCs/>
                <w:sz w:val="28"/>
                <w:szCs w:val="24"/>
              </w:rPr>
              <w:t>与环境税费制度</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28</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环境风险评价与应急管理</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24</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环境行政处罚及现场执法案例</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shd w:val="clear" w:color="auto" w:fill="FFFFFF" w:themeFill="background1"/>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碳减排</w:t>
            </w:r>
            <w:r>
              <w:rPr>
                <w:rFonts w:ascii="仿宋" w:eastAsia="仿宋" w:hAnsi="仿宋" w:cs="Times New Roman" w:hint="eastAsia"/>
                <w:bCs/>
                <w:sz w:val="28"/>
                <w:szCs w:val="24"/>
              </w:rPr>
              <w:t>与碳交易</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8</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企业环境信用制度与环境信息公开</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绿色金融与绿色信贷</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8</w:t>
            </w:r>
          </w:p>
        </w:tc>
      </w:tr>
      <w:tr w:rsidR="00DA2F05">
        <w:trPr>
          <w:trHeight w:hRule="exact" w:val="454"/>
        </w:trPr>
        <w:tc>
          <w:tcPr>
            <w:tcW w:w="1476" w:type="pct"/>
            <w:vMerge w:val="restar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工艺及污染治理设施模块</w:t>
            </w: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典型工业企业生产工艺及产排污</w:t>
            </w:r>
            <w:r>
              <w:rPr>
                <w:rFonts w:ascii="仿宋" w:eastAsia="仿宋" w:hAnsi="仿宋" w:cs="Times New Roman" w:hint="eastAsia"/>
                <w:bCs/>
                <w:sz w:val="28"/>
                <w:szCs w:val="24"/>
              </w:rPr>
              <w:t>控制</w:t>
            </w:r>
          </w:p>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化工、火电、钢铁、医药、造纸等</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28</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pacing w:val="-6"/>
                <w:sz w:val="28"/>
                <w:szCs w:val="24"/>
              </w:rPr>
              <w:t>工业企业大气</w:t>
            </w:r>
            <w:r>
              <w:rPr>
                <w:rFonts w:ascii="仿宋" w:eastAsia="仿宋" w:hAnsi="仿宋" w:cs="Times New Roman"/>
                <w:bCs/>
                <w:spacing w:val="-6"/>
                <w:sz w:val="28"/>
                <w:szCs w:val="24"/>
              </w:rPr>
              <w:t>污染治理</w:t>
            </w:r>
            <w:r>
              <w:rPr>
                <w:rFonts w:ascii="仿宋" w:eastAsia="仿宋" w:hAnsi="仿宋" w:cs="Times New Roman" w:hint="eastAsia"/>
                <w:bCs/>
                <w:spacing w:val="-6"/>
                <w:sz w:val="28"/>
                <w:szCs w:val="24"/>
              </w:rPr>
              <w:t>技术与</w:t>
            </w:r>
            <w:r>
              <w:rPr>
                <w:rFonts w:ascii="仿宋" w:eastAsia="仿宋" w:hAnsi="仿宋" w:cs="Times New Roman"/>
                <w:bCs/>
                <w:spacing w:val="-6"/>
                <w:sz w:val="28"/>
                <w:szCs w:val="24"/>
              </w:rPr>
              <w:t>设施</w:t>
            </w:r>
            <w:r>
              <w:rPr>
                <w:rFonts w:ascii="仿宋" w:eastAsia="仿宋" w:hAnsi="仿宋" w:cs="Times New Roman" w:hint="eastAsia"/>
                <w:bCs/>
                <w:spacing w:val="-6"/>
                <w:sz w:val="28"/>
                <w:szCs w:val="24"/>
              </w:rPr>
              <w:t>运维</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废水治理设施</w:t>
            </w:r>
            <w:r>
              <w:rPr>
                <w:rFonts w:ascii="仿宋" w:eastAsia="仿宋" w:hAnsi="仿宋" w:cs="Times New Roman" w:hint="eastAsia"/>
                <w:bCs/>
                <w:sz w:val="28"/>
                <w:szCs w:val="24"/>
              </w:rPr>
              <w:t>技术与设施运维</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固废</w:t>
            </w:r>
            <w:r>
              <w:rPr>
                <w:rFonts w:ascii="仿宋" w:eastAsia="仿宋" w:hAnsi="仿宋" w:cs="Times New Roman" w:hint="eastAsia"/>
                <w:bCs/>
                <w:sz w:val="28"/>
                <w:szCs w:val="24"/>
              </w:rPr>
              <w:t>管理与资源化</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危险废物与化学品管理</w:t>
            </w:r>
          </w:p>
        </w:tc>
        <w:tc>
          <w:tcPr>
            <w:tcW w:w="624" w:type="pct"/>
            <w:shd w:val="clear" w:color="auto" w:fill="auto"/>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DA2F05">
        <w:trPr>
          <w:trHeight w:hRule="exact" w:val="454"/>
        </w:trPr>
        <w:tc>
          <w:tcPr>
            <w:tcW w:w="1476" w:type="pct"/>
            <w:vMerge w:val="restar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环境监测及治理新技术模块</w:t>
            </w: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环境监测</w:t>
            </w:r>
            <w:r>
              <w:rPr>
                <w:rFonts w:ascii="仿宋" w:eastAsia="仿宋" w:hAnsi="仿宋" w:cs="Times New Roman" w:hint="eastAsia"/>
                <w:bCs/>
                <w:sz w:val="28"/>
                <w:szCs w:val="24"/>
              </w:rPr>
              <w:t>与智慧环保</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24</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工业污染</w:t>
            </w:r>
            <w:r>
              <w:rPr>
                <w:rFonts w:ascii="仿宋" w:eastAsia="仿宋" w:hAnsi="仿宋" w:cs="Times New Roman"/>
                <w:bCs/>
                <w:sz w:val="28"/>
                <w:szCs w:val="24"/>
              </w:rPr>
              <w:t>治理新技术</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场地污染调查与修复技术</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DA2F05">
        <w:trPr>
          <w:trHeight w:hRule="exact" w:val="454"/>
        </w:trPr>
        <w:tc>
          <w:tcPr>
            <w:tcW w:w="1476" w:type="pct"/>
            <w:vMerge w:val="restar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全过程管控模块</w:t>
            </w: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VOCs</w:t>
            </w:r>
            <w:r>
              <w:rPr>
                <w:rFonts w:ascii="仿宋" w:eastAsia="仿宋" w:hAnsi="仿宋" w:cs="Times New Roman" w:hint="eastAsia"/>
                <w:bCs/>
                <w:sz w:val="28"/>
                <w:szCs w:val="24"/>
              </w:rPr>
              <w:t>全过程管控</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16</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bCs/>
                <w:sz w:val="28"/>
                <w:szCs w:val="24"/>
              </w:rPr>
              <w:t>非正常工况环保管控</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8</w:t>
            </w:r>
          </w:p>
        </w:tc>
      </w:tr>
      <w:tr w:rsidR="00DA2F05">
        <w:trPr>
          <w:trHeight w:hRule="exact" w:val="454"/>
        </w:trPr>
        <w:tc>
          <w:tcPr>
            <w:tcW w:w="1476" w:type="pct"/>
            <w:vMerge/>
            <w:vAlign w:val="center"/>
          </w:tcPr>
          <w:p w:rsidR="00DA2F05" w:rsidRDefault="00DA2F05">
            <w:pPr>
              <w:adjustRightInd w:val="0"/>
              <w:snapToGrid w:val="0"/>
              <w:jc w:val="center"/>
              <w:rPr>
                <w:rFonts w:ascii="仿宋" w:eastAsia="仿宋" w:hAnsi="仿宋" w:cs="Times New Roman"/>
                <w:bCs/>
                <w:sz w:val="28"/>
                <w:szCs w:val="24"/>
              </w:rPr>
            </w:pPr>
          </w:p>
        </w:tc>
        <w:tc>
          <w:tcPr>
            <w:tcW w:w="2898" w:type="pct"/>
            <w:vAlign w:val="center"/>
          </w:tcPr>
          <w:p w:rsidR="00DA2F05" w:rsidRDefault="00E647D8">
            <w:pPr>
              <w:adjustRightInd w:val="0"/>
              <w:snapToGrid w:val="0"/>
              <w:jc w:val="left"/>
              <w:rPr>
                <w:rFonts w:ascii="仿宋" w:eastAsia="仿宋" w:hAnsi="仿宋" w:cs="Times New Roman"/>
                <w:bCs/>
                <w:sz w:val="28"/>
                <w:szCs w:val="24"/>
              </w:rPr>
            </w:pPr>
            <w:r>
              <w:rPr>
                <w:rFonts w:ascii="仿宋" w:eastAsia="仿宋" w:hAnsi="仿宋" w:cs="Times New Roman" w:hint="eastAsia"/>
                <w:bCs/>
                <w:sz w:val="28"/>
                <w:szCs w:val="24"/>
              </w:rPr>
              <w:t>企业</w:t>
            </w:r>
            <w:r>
              <w:rPr>
                <w:rFonts w:ascii="仿宋" w:eastAsia="仿宋" w:hAnsi="仿宋" w:cs="Times New Roman"/>
                <w:bCs/>
                <w:sz w:val="28"/>
                <w:szCs w:val="24"/>
              </w:rPr>
              <w:t>环境管理</w:t>
            </w:r>
            <w:r>
              <w:rPr>
                <w:rFonts w:ascii="仿宋" w:eastAsia="仿宋" w:hAnsi="仿宋" w:cs="Times New Roman" w:hint="eastAsia"/>
                <w:bCs/>
                <w:sz w:val="28"/>
                <w:szCs w:val="24"/>
              </w:rPr>
              <w:t>体系</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16</w:t>
            </w:r>
          </w:p>
        </w:tc>
      </w:tr>
      <w:tr w:rsidR="00DA2F05">
        <w:trPr>
          <w:trHeight w:hRule="exact" w:val="454"/>
        </w:trPr>
        <w:tc>
          <w:tcPr>
            <w:tcW w:w="1476" w:type="pc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bCs/>
                <w:sz w:val="28"/>
                <w:szCs w:val="24"/>
              </w:rPr>
              <w:t>合计</w:t>
            </w:r>
          </w:p>
        </w:tc>
        <w:tc>
          <w:tcPr>
            <w:tcW w:w="2898" w:type="pct"/>
            <w:vAlign w:val="center"/>
          </w:tcPr>
          <w:p w:rsidR="00DA2F05" w:rsidRDefault="00E647D8">
            <w:pPr>
              <w:adjustRightInd w:val="0"/>
              <w:snapToGrid w:val="0"/>
              <w:jc w:val="center"/>
              <w:rPr>
                <w:rFonts w:ascii="仿宋" w:eastAsia="仿宋" w:hAnsi="仿宋" w:cs="Times New Roman"/>
                <w:bCs/>
                <w:sz w:val="28"/>
                <w:szCs w:val="24"/>
              </w:rPr>
            </w:pPr>
            <w:r>
              <w:rPr>
                <w:rFonts w:ascii="仿宋" w:eastAsia="仿宋" w:hAnsi="仿宋" w:cs="Times New Roman" w:hint="eastAsia"/>
                <w:bCs/>
                <w:sz w:val="28"/>
                <w:szCs w:val="24"/>
              </w:rPr>
              <w:t>25</w:t>
            </w:r>
          </w:p>
        </w:tc>
        <w:tc>
          <w:tcPr>
            <w:tcW w:w="624"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420</w:t>
            </w:r>
          </w:p>
        </w:tc>
      </w:tr>
    </w:tbl>
    <w:p w:rsidR="00DA2F05" w:rsidRDefault="00E647D8" w:rsidP="007F746E">
      <w:pPr>
        <w:spacing w:beforeLines="50" w:before="156" w:afterLines="50" w:after="156" w:line="360" w:lineRule="auto"/>
        <w:rPr>
          <w:rFonts w:ascii="黑体" w:eastAsia="黑体" w:hAnsi="黑体" w:cs="黑体"/>
          <w:bCs/>
          <w:kern w:val="0"/>
          <w:sz w:val="32"/>
          <w:szCs w:val="32"/>
        </w:rPr>
      </w:pPr>
      <w:r>
        <w:rPr>
          <w:rFonts w:ascii="黑体" w:eastAsia="黑体" w:hAnsi="黑体" w:cs="黑体" w:hint="eastAsia"/>
          <w:bCs/>
          <w:kern w:val="0"/>
          <w:sz w:val="32"/>
          <w:szCs w:val="32"/>
        </w:rPr>
        <w:lastRenderedPageBreak/>
        <w:t>表</w:t>
      </w:r>
      <w:r>
        <w:rPr>
          <w:rFonts w:ascii="黑体" w:eastAsia="黑体" w:hAnsi="黑体" w:cs="黑体" w:hint="eastAsia"/>
          <w:bCs/>
          <w:kern w:val="0"/>
          <w:sz w:val="32"/>
          <w:szCs w:val="32"/>
        </w:rPr>
        <w:t>2</w:t>
      </w:r>
    </w:p>
    <w:p w:rsidR="00DA2F05" w:rsidRDefault="00E647D8" w:rsidP="007F746E">
      <w:pPr>
        <w:spacing w:beforeLines="50" w:before="156" w:afterLines="50" w:after="15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第一届工业企业环保复合型人才高级研修班讲座设置</w:t>
      </w:r>
    </w:p>
    <w:tbl>
      <w:tblPr>
        <w:tblStyle w:val="a7"/>
        <w:tblW w:w="5000" w:type="pct"/>
        <w:tblLook w:val="04A0" w:firstRow="1" w:lastRow="0" w:firstColumn="1" w:lastColumn="0" w:noHBand="0" w:noVBand="1"/>
      </w:tblPr>
      <w:tblGrid>
        <w:gridCol w:w="1243"/>
        <w:gridCol w:w="7285"/>
      </w:tblGrid>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
                <w:sz w:val="28"/>
                <w:szCs w:val="24"/>
              </w:rPr>
            </w:pPr>
            <w:r>
              <w:rPr>
                <w:rFonts w:ascii="Times New Roman" w:eastAsia="仿宋" w:hAnsi="Times New Roman" w:cs="Times New Roman"/>
                <w:b/>
                <w:sz w:val="28"/>
                <w:szCs w:val="24"/>
              </w:rPr>
              <w:t>序号</w:t>
            </w:r>
          </w:p>
        </w:tc>
        <w:tc>
          <w:tcPr>
            <w:tcW w:w="4271" w:type="pct"/>
            <w:vAlign w:val="center"/>
          </w:tcPr>
          <w:p w:rsidR="00DA2F05" w:rsidRDefault="00E647D8">
            <w:pPr>
              <w:adjustRightInd w:val="0"/>
              <w:snapToGrid w:val="0"/>
              <w:jc w:val="center"/>
              <w:rPr>
                <w:rFonts w:ascii="Times New Roman" w:eastAsia="仿宋" w:hAnsi="Times New Roman" w:cs="Times New Roman"/>
                <w:b/>
                <w:sz w:val="28"/>
                <w:szCs w:val="24"/>
              </w:rPr>
            </w:pPr>
            <w:r>
              <w:rPr>
                <w:rFonts w:ascii="Times New Roman" w:eastAsia="仿宋" w:hAnsi="Times New Roman" w:cs="Times New Roman"/>
                <w:b/>
                <w:sz w:val="28"/>
                <w:szCs w:val="24"/>
              </w:rPr>
              <w:t>讲座内容</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1</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hint="eastAsia"/>
                <w:bCs/>
                <w:sz w:val="28"/>
                <w:szCs w:val="24"/>
              </w:rPr>
              <w:t>习近平生态文明思想与生态文明制度体系</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2</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近年生态环境法规政策主要变化与发展</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3</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仿宋" w:eastAsia="仿宋" w:hAnsi="仿宋" w:cs="Times New Roman" w:hint="eastAsia"/>
                <w:bCs/>
                <w:sz w:val="28"/>
                <w:szCs w:val="24"/>
              </w:rPr>
              <w:t>企业典型环境违法行为及检查方法</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4</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环境防护距离与邻避效应的探讨（化工园区安全环保）</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5</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典型突发环境事件应急处置与舆情应对</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6</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在线监测主要问题及解决思路</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7</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危险废物管控与处理处置</w:t>
            </w:r>
          </w:p>
        </w:tc>
      </w:tr>
      <w:tr w:rsidR="00DA2F05">
        <w:trPr>
          <w:trHeight w:hRule="exact" w:val="420"/>
        </w:trPr>
        <w:tc>
          <w:tcPr>
            <w:tcW w:w="729"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8</w:t>
            </w:r>
          </w:p>
        </w:tc>
        <w:tc>
          <w:tcPr>
            <w:tcW w:w="4271" w:type="pct"/>
            <w:vAlign w:val="center"/>
          </w:tcPr>
          <w:p w:rsidR="00DA2F05" w:rsidRDefault="00E647D8">
            <w:pPr>
              <w:adjustRightInd w:val="0"/>
              <w:snapToGrid w:val="0"/>
              <w:jc w:val="center"/>
              <w:rPr>
                <w:rFonts w:ascii="Times New Roman" w:eastAsia="仿宋" w:hAnsi="Times New Roman" w:cs="Times New Roman"/>
                <w:bCs/>
                <w:sz w:val="28"/>
                <w:szCs w:val="24"/>
              </w:rPr>
            </w:pPr>
            <w:r>
              <w:rPr>
                <w:rFonts w:ascii="Times New Roman" w:eastAsia="仿宋" w:hAnsi="Times New Roman" w:cs="Times New Roman"/>
                <w:bCs/>
                <w:sz w:val="28"/>
                <w:szCs w:val="24"/>
              </w:rPr>
              <w:t>VOCs</w:t>
            </w:r>
            <w:r>
              <w:rPr>
                <w:rFonts w:ascii="Times New Roman" w:eastAsia="仿宋" w:hAnsi="Times New Roman" w:cs="Times New Roman"/>
                <w:bCs/>
                <w:sz w:val="28"/>
                <w:szCs w:val="24"/>
              </w:rPr>
              <w:t>主流管控技术及应用选择</w:t>
            </w:r>
          </w:p>
        </w:tc>
      </w:tr>
    </w:tbl>
    <w:p w:rsidR="00DA2F05" w:rsidRDefault="00E647D8">
      <w:pPr>
        <w:pStyle w:val="2"/>
        <w:spacing w:before="140" w:after="20" w:line="540" w:lineRule="exact"/>
        <w:rPr>
          <w:rFonts w:ascii="黑体" w:eastAsia="黑体" w:hAnsi="黑体" w:cs="黑体"/>
          <w:b w:val="0"/>
          <w:bCs w:val="0"/>
          <w:sz w:val="30"/>
          <w:szCs w:val="30"/>
        </w:rPr>
      </w:pPr>
      <w:r>
        <w:rPr>
          <w:rFonts w:ascii="黑体" w:eastAsia="黑体" w:hAnsi="黑体" w:cs="黑体" w:hint="eastAsia"/>
          <w:b w:val="0"/>
          <w:bCs w:val="0"/>
          <w:sz w:val="30"/>
          <w:szCs w:val="30"/>
        </w:rPr>
        <w:t>六、毕业要求及证书</w:t>
      </w:r>
    </w:p>
    <w:p w:rsidR="00DA2F05" w:rsidRDefault="00E647D8">
      <w:pPr>
        <w:spacing w:line="540" w:lineRule="exact"/>
        <w:ind w:firstLineChars="200" w:firstLine="560"/>
        <w:rPr>
          <w:rFonts w:ascii="仿宋_GB2312" w:eastAsia="仿宋_GB2312"/>
          <w:sz w:val="28"/>
          <w:szCs w:val="32"/>
        </w:rPr>
      </w:pPr>
      <w:r>
        <w:rPr>
          <w:rFonts w:ascii="仿宋_GB2312" w:eastAsia="仿宋_GB2312" w:hint="eastAsia"/>
          <w:bCs/>
          <w:sz w:val="28"/>
          <w:szCs w:val="32"/>
        </w:rPr>
        <w:t>（一）研修班学员的研究选题应来源于本单位环保问题及实际情况。毕业成果形式可采用研究论文、技术调研报告、新技术研发应用报告、综合类研究和应用等</w:t>
      </w:r>
      <w:r>
        <w:rPr>
          <w:rFonts w:ascii="仿宋_GB2312" w:eastAsia="仿宋_GB2312" w:hint="eastAsia"/>
          <w:sz w:val="28"/>
          <w:szCs w:val="32"/>
        </w:rPr>
        <w:t>。指导形式采用导师团联合指导的模式、导师团由高校、企业、科研单位专家组成，根据学员研究方向优化设置多个方向的导师团。</w:t>
      </w:r>
    </w:p>
    <w:p w:rsidR="00DA2F05" w:rsidRDefault="00E647D8">
      <w:pPr>
        <w:spacing w:line="540" w:lineRule="exact"/>
        <w:ind w:firstLineChars="200" w:firstLine="560"/>
        <w:rPr>
          <w:rFonts w:ascii="仿宋_GB2312" w:eastAsia="仿宋_GB2312"/>
          <w:bCs/>
          <w:sz w:val="28"/>
          <w:szCs w:val="32"/>
        </w:rPr>
      </w:pPr>
      <w:r>
        <w:rPr>
          <w:rFonts w:ascii="仿宋_GB2312" w:eastAsia="仿宋_GB2312" w:hint="eastAsia"/>
          <w:sz w:val="28"/>
          <w:szCs w:val="32"/>
        </w:rPr>
        <w:t>（二）研修班专业实践和毕业成果可以结合进行，其中专业实践可以分组进行，但毕业成果必须独立完成，要体现研修班学员综合运用科学理论、</w:t>
      </w:r>
      <w:r>
        <w:rPr>
          <w:rFonts w:ascii="仿宋_GB2312" w:eastAsia="仿宋_GB2312" w:hint="eastAsia"/>
          <w:bCs/>
          <w:sz w:val="28"/>
          <w:szCs w:val="32"/>
        </w:rPr>
        <w:t>方法和技术解决实际问题的能力。</w:t>
      </w:r>
    </w:p>
    <w:p w:rsidR="00DA2F05" w:rsidRDefault="00E647D8">
      <w:pPr>
        <w:spacing w:line="540" w:lineRule="exact"/>
        <w:ind w:firstLineChars="200" w:firstLine="560"/>
        <w:rPr>
          <w:rFonts w:ascii="仿宋_GB2312" w:eastAsia="仿宋_GB2312"/>
          <w:bCs/>
          <w:sz w:val="28"/>
          <w:szCs w:val="32"/>
        </w:rPr>
      </w:pPr>
      <w:r>
        <w:rPr>
          <w:rFonts w:ascii="仿宋_GB2312" w:eastAsia="仿宋_GB2312" w:hint="eastAsia"/>
          <w:bCs/>
          <w:sz w:val="28"/>
          <w:szCs w:val="32"/>
        </w:rPr>
        <w:t>（三）研修班学员需严格遵守培养高校的相关管理规定，实行严格的考勤及现场表现考核制度，计入最后相应的课程和论文成绩。</w:t>
      </w:r>
    </w:p>
    <w:p w:rsidR="00DA2F05" w:rsidRPr="007F746E" w:rsidRDefault="00E647D8" w:rsidP="007F746E">
      <w:pPr>
        <w:spacing w:line="540" w:lineRule="exact"/>
        <w:ind w:firstLineChars="200" w:firstLine="560"/>
        <w:rPr>
          <w:rFonts w:ascii="仿宋_GB2312" w:eastAsia="仿宋_GB2312"/>
          <w:bCs/>
          <w:sz w:val="28"/>
          <w:szCs w:val="32"/>
        </w:rPr>
      </w:pPr>
      <w:r>
        <w:rPr>
          <w:rFonts w:ascii="仿宋_GB2312" w:eastAsia="仿宋_GB2312" w:hint="eastAsia"/>
          <w:bCs/>
          <w:sz w:val="28"/>
          <w:szCs w:val="32"/>
        </w:rPr>
        <w:t>（四）满足毕业要求，发放中国环境科学学会《环境保护专业技术人才培训证书》（工业企业环保复合型人才高级研修班），该证书可作为工业企业环保专业技术人员能力考核的证明，可作为岗位聘任、专业定级和参与继续教育的水平依据。</w:t>
      </w:r>
      <w:bookmarkStart w:id="0" w:name="_GoBack"/>
      <w:bookmarkEnd w:id="0"/>
    </w:p>
    <w:sectPr w:rsidR="00DA2F05" w:rsidRPr="007F746E">
      <w:footerReference w:type="default" r:id="rId9"/>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D8" w:rsidRDefault="00E647D8">
      <w:r>
        <w:separator/>
      </w:r>
    </w:p>
  </w:endnote>
  <w:endnote w:type="continuationSeparator" w:id="0">
    <w:p w:rsidR="00E647D8" w:rsidRDefault="00E6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0269"/>
    </w:sdtPr>
    <w:sdtEndPr>
      <w:rPr>
        <w:rFonts w:ascii="宋体" w:eastAsia="宋体" w:hAnsi="宋体"/>
        <w:sz w:val="28"/>
        <w:szCs w:val="28"/>
      </w:rPr>
    </w:sdtEndPr>
    <w:sdtContent>
      <w:p w:rsidR="00DA2F05" w:rsidRDefault="00E647D8">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F746E" w:rsidRPr="007F746E">
          <w:rPr>
            <w:rFonts w:ascii="宋体" w:eastAsia="宋体" w:hAnsi="宋体"/>
            <w:noProof/>
            <w:sz w:val="28"/>
            <w:szCs w:val="28"/>
            <w:lang w:val="zh-CN"/>
          </w:rPr>
          <w:t>-</w:t>
        </w:r>
        <w:r w:rsidR="007F746E">
          <w:rPr>
            <w:rFonts w:ascii="宋体" w:eastAsia="宋体" w:hAnsi="宋体"/>
            <w:noProof/>
            <w:sz w:val="28"/>
            <w:szCs w:val="28"/>
          </w:rPr>
          <w:t xml:space="preserve"> 2 -</w:t>
        </w:r>
        <w:r>
          <w:rPr>
            <w:rFonts w:ascii="宋体" w:eastAsia="宋体" w:hAnsi="宋体"/>
            <w:sz w:val="28"/>
            <w:szCs w:val="28"/>
          </w:rPr>
          <w:fldChar w:fldCharType="end"/>
        </w:r>
      </w:p>
    </w:sdtContent>
  </w:sdt>
  <w:p w:rsidR="00DA2F05" w:rsidRDefault="00DA2F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D8" w:rsidRDefault="00E647D8">
      <w:r>
        <w:separator/>
      </w:r>
    </w:p>
  </w:footnote>
  <w:footnote w:type="continuationSeparator" w:id="0">
    <w:p w:rsidR="00E647D8" w:rsidRDefault="00E64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50"/>
    <w:rsid w:val="00012A1B"/>
    <w:rsid w:val="000A6846"/>
    <w:rsid w:val="00235D65"/>
    <w:rsid w:val="00237A3D"/>
    <w:rsid w:val="00265674"/>
    <w:rsid w:val="002911B2"/>
    <w:rsid w:val="002B5A81"/>
    <w:rsid w:val="0041598B"/>
    <w:rsid w:val="00442822"/>
    <w:rsid w:val="004472D2"/>
    <w:rsid w:val="004C35DD"/>
    <w:rsid w:val="0050405B"/>
    <w:rsid w:val="00530677"/>
    <w:rsid w:val="00573043"/>
    <w:rsid w:val="005858E4"/>
    <w:rsid w:val="00592294"/>
    <w:rsid w:val="005C0EE8"/>
    <w:rsid w:val="005F6861"/>
    <w:rsid w:val="00617A04"/>
    <w:rsid w:val="00620478"/>
    <w:rsid w:val="006C2691"/>
    <w:rsid w:val="006F0D24"/>
    <w:rsid w:val="00700BB2"/>
    <w:rsid w:val="007B0A78"/>
    <w:rsid w:val="007F746E"/>
    <w:rsid w:val="00876EFE"/>
    <w:rsid w:val="008C6B50"/>
    <w:rsid w:val="00934F49"/>
    <w:rsid w:val="00943165"/>
    <w:rsid w:val="0097307B"/>
    <w:rsid w:val="00976789"/>
    <w:rsid w:val="00986AC1"/>
    <w:rsid w:val="009D0615"/>
    <w:rsid w:val="009F19B2"/>
    <w:rsid w:val="00A20874"/>
    <w:rsid w:val="00A35912"/>
    <w:rsid w:val="00A834F7"/>
    <w:rsid w:val="00AA16A3"/>
    <w:rsid w:val="00AB2A15"/>
    <w:rsid w:val="00AE12A3"/>
    <w:rsid w:val="00B102A0"/>
    <w:rsid w:val="00B11D8E"/>
    <w:rsid w:val="00B9171B"/>
    <w:rsid w:val="00BB2B03"/>
    <w:rsid w:val="00BD5633"/>
    <w:rsid w:val="00BD5955"/>
    <w:rsid w:val="00C401D4"/>
    <w:rsid w:val="00C9768B"/>
    <w:rsid w:val="00D01346"/>
    <w:rsid w:val="00DA2F05"/>
    <w:rsid w:val="00DA4619"/>
    <w:rsid w:val="00E647D8"/>
    <w:rsid w:val="00EA6496"/>
    <w:rsid w:val="00F155CB"/>
    <w:rsid w:val="00FB1466"/>
    <w:rsid w:val="0594448B"/>
    <w:rsid w:val="08697DF2"/>
    <w:rsid w:val="0E300D2D"/>
    <w:rsid w:val="0E8871E6"/>
    <w:rsid w:val="15187E4E"/>
    <w:rsid w:val="1B4A1674"/>
    <w:rsid w:val="1C9117EF"/>
    <w:rsid w:val="2394735C"/>
    <w:rsid w:val="2FC73941"/>
    <w:rsid w:val="309F3797"/>
    <w:rsid w:val="3C837458"/>
    <w:rsid w:val="4BE90C80"/>
    <w:rsid w:val="5D6813C0"/>
    <w:rsid w:val="61BC2972"/>
    <w:rsid w:val="626F3519"/>
    <w:rsid w:val="6636655E"/>
    <w:rsid w:val="68A21640"/>
    <w:rsid w:val="690A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color w:val="CC0000"/>
    </w:rPr>
  </w:style>
  <w:style w:type="character" w:styleId="a9">
    <w:name w:val="Hyperlink"/>
    <w:basedOn w:val="a0"/>
    <w:uiPriority w:val="99"/>
    <w:semiHidden/>
    <w:unhideWhenUsed/>
    <w:qFormat/>
    <w:rPr>
      <w:color w:val="0000FF"/>
      <w:u w:val="single"/>
    </w:rPr>
  </w:style>
  <w:style w:type="character" w:styleId="HTML">
    <w:name w:val="HTML Cite"/>
    <w:basedOn w:val="a0"/>
    <w:uiPriority w:val="99"/>
    <w:semiHidden/>
    <w:unhideWhenUsed/>
    <w:qFormat/>
    <w:rPr>
      <w:color w:val="00800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icon">
    <w:name w:val="c-icon"/>
    <w:basedOn w:val="a0"/>
    <w:qFormat/>
  </w:style>
  <w:style w:type="paragraph" w:styleId="ab">
    <w:name w:val="Balloon Text"/>
    <w:basedOn w:val="a"/>
    <w:link w:val="Char2"/>
    <w:uiPriority w:val="99"/>
    <w:semiHidden/>
    <w:unhideWhenUsed/>
    <w:rsid w:val="007F746E"/>
    <w:rPr>
      <w:sz w:val="18"/>
      <w:szCs w:val="18"/>
    </w:rPr>
  </w:style>
  <w:style w:type="character" w:customStyle="1" w:styleId="Char2">
    <w:name w:val="批注框文本 Char"/>
    <w:basedOn w:val="a0"/>
    <w:link w:val="ab"/>
    <w:uiPriority w:val="99"/>
    <w:semiHidden/>
    <w:rsid w:val="007F74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color w:val="CC0000"/>
    </w:rPr>
  </w:style>
  <w:style w:type="character" w:styleId="a9">
    <w:name w:val="Hyperlink"/>
    <w:basedOn w:val="a0"/>
    <w:uiPriority w:val="99"/>
    <w:semiHidden/>
    <w:unhideWhenUsed/>
    <w:qFormat/>
    <w:rPr>
      <w:color w:val="0000FF"/>
      <w:u w:val="single"/>
    </w:rPr>
  </w:style>
  <w:style w:type="character" w:styleId="HTML">
    <w:name w:val="HTML Cite"/>
    <w:basedOn w:val="a0"/>
    <w:uiPriority w:val="99"/>
    <w:semiHidden/>
    <w:unhideWhenUsed/>
    <w:qFormat/>
    <w:rPr>
      <w:color w:val="00800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c-icon">
    <w:name w:val="c-icon"/>
    <w:basedOn w:val="a0"/>
    <w:qFormat/>
  </w:style>
  <w:style w:type="paragraph" w:styleId="ab">
    <w:name w:val="Balloon Text"/>
    <w:basedOn w:val="a"/>
    <w:link w:val="Char2"/>
    <w:uiPriority w:val="99"/>
    <w:semiHidden/>
    <w:unhideWhenUsed/>
    <w:rsid w:val="007F746E"/>
    <w:rPr>
      <w:sz w:val="18"/>
      <w:szCs w:val="18"/>
    </w:rPr>
  </w:style>
  <w:style w:type="character" w:customStyle="1" w:styleId="Char2">
    <w:name w:val="批注框文本 Char"/>
    <w:basedOn w:val="a0"/>
    <w:link w:val="ab"/>
    <w:uiPriority w:val="99"/>
    <w:semiHidden/>
    <w:rsid w:val="007F74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E7DC5-4D5C-4FE6-8839-C226858D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YIFEI</dc:creator>
  <cp:lastModifiedBy>IEC</cp:lastModifiedBy>
  <cp:revision>6</cp:revision>
  <cp:lastPrinted>2020-05-13T02:00:00Z</cp:lastPrinted>
  <dcterms:created xsi:type="dcterms:W3CDTF">2020-03-23T11:11:00Z</dcterms:created>
  <dcterms:modified xsi:type="dcterms:W3CDTF">2020-05-18T01:41:00Z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