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71C6"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57AB8B33"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6B080E4C" w14:textId="77777777" w:rsidR="00453ECA" w:rsidRDefault="00000000">
      <w:pPr>
        <w:widowControl/>
        <w:adjustRightInd w:val="0"/>
        <w:snapToGrid w:val="0"/>
        <w:spacing w:line="360" w:lineRule="auto"/>
        <w:jc w:val="center"/>
        <w:rPr>
          <w:rFonts w:ascii="黑体" w:eastAsia="黑体" w:hAnsi="黑体"/>
          <w:snapToGrid w:val="0"/>
          <w:kern w:val="0"/>
          <w:sz w:val="32"/>
          <w:szCs w:val="32"/>
        </w:rPr>
      </w:pPr>
      <w:r>
        <w:rPr>
          <w:rFonts w:ascii="黑体" w:eastAsia="黑体" w:hAnsi="黑体" w:hint="eastAsia"/>
          <w:snapToGrid w:val="0"/>
          <w:kern w:val="0"/>
          <w:sz w:val="32"/>
          <w:szCs w:val="32"/>
        </w:rPr>
        <w:t>团体标准</w:t>
      </w:r>
      <w:r>
        <w:rPr>
          <w:rFonts w:ascii="黑体" w:eastAsia="黑体" w:hAnsi="黑体" w:hint="eastAsia"/>
          <w:snapToGrid w:val="0"/>
          <w:kern w:val="0"/>
          <w:sz w:val="32"/>
          <w:szCs w:val="32"/>
        </w:rPr>
        <w:br/>
        <w:t>《企业碳排放管理体系 建设指南》</w:t>
      </w:r>
    </w:p>
    <w:p w14:paraId="2F197398" w14:textId="77777777" w:rsidR="00453ECA" w:rsidRDefault="00000000">
      <w:pPr>
        <w:widowControl/>
        <w:adjustRightInd w:val="0"/>
        <w:snapToGrid w:val="0"/>
        <w:spacing w:line="360" w:lineRule="auto"/>
        <w:jc w:val="center"/>
        <w:rPr>
          <w:rFonts w:ascii="黑体" w:eastAsia="黑体" w:hAnsi="黑体"/>
          <w:snapToGrid w:val="0"/>
          <w:kern w:val="0"/>
          <w:sz w:val="32"/>
          <w:szCs w:val="32"/>
        </w:rPr>
      </w:pPr>
      <w:r>
        <w:rPr>
          <w:rFonts w:ascii="黑体" w:eastAsia="黑体" w:hAnsi="黑体" w:hint="eastAsia"/>
          <w:snapToGrid w:val="0"/>
          <w:kern w:val="0"/>
          <w:sz w:val="32"/>
          <w:szCs w:val="32"/>
        </w:rPr>
        <w:t>（征求意见稿）</w:t>
      </w:r>
    </w:p>
    <w:p w14:paraId="7E745CF7" w14:textId="77777777" w:rsidR="00453ECA" w:rsidRDefault="00000000">
      <w:pPr>
        <w:widowControl/>
        <w:adjustRightInd w:val="0"/>
        <w:snapToGrid w:val="0"/>
        <w:spacing w:beforeLines="100" w:before="312" w:afterLines="100" w:after="312" w:line="600" w:lineRule="auto"/>
        <w:jc w:val="center"/>
        <w:rPr>
          <w:rFonts w:ascii="华光隶书_CNKI" w:eastAsia="华光隶书_CNKI" w:hAnsi="华光隶书_CNKI"/>
          <w:snapToGrid w:val="0"/>
          <w:kern w:val="0"/>
          <w:sz w:val="44"/>
          <w:szCs w:val="44"/>
        </w:rPr>
      </w:pPr>
      <w:r>
        <w:rPr>
          <w:rFonts w:ascii="华光隶书_CNKI" w:eastAsia="华光隶书_CNKI" w:hAnsi="华光隶书_CNKI" w:hint="eastAsia"/>
          <w:snapToGrid w:val="0"/>
          <w:kern w:val="0"/>
          <w:sz w:val="44"/>
          <w:szCs w:val="44"/>
        </w:rPr>
        <w:t>编制说明</w:t>
      </w:r>
    </w:p>
    <w:p w14:paraId="511F6C43"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3D891BFC"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50035DA0"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2C2B9D1E"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20374125" w14:textId="77777777" w:rsidR="00453ECA" w:rsidRDefault="00453ECA">
      <w:pPr>
        <w:widowControl/>
        <w:adjustRightInd w:val="0"/>
        <w:snapToGrid w:val="0"/>
        <w:spacing w:beforeLines="100" w:before="312" w:afterLines="100" w:after="312"/>
        <w:jc w:val="center"/>
        <w:rPr>
          <w:rFonts w:ascii="黑体" w:eastAsia="黑体" w:hAnsi="黑体"/>
          <w:snapToGrid w:val="0"/>
          <w:kern w:val="0"/>
          <w:sz w:val="44"/>
          <w:szCs w:val="44"/>
        </w:rPr>
      </w:pPr>
    </w:p>
    <w:p w14:paraId="02CAF998" w14:textId="77777777" w:rsidR="00453ECA" w:rsidRDefault="00000000">
      <w:pPr>
        <w:widowControl/>
        <w:adjustRightInd w:val="0"/>
        <w:snapToGrid w:val="0"/>
        <w:spacing w:beforeLines="100" w:before="312" w:afterLines="100" w:after="312"/>
        <w:jc w:val="center"/>
        <w:rPr>
          <w:rFonts w:ascii="黑体" w:eastAsia="黑体" w:hAnsi="黑体"/>
          <w:snapToGrid w:val="0"/>
          <w:kern w:val="0"/>
          <w:sz w:val="32"/>
          <w:szCs w:val="32"/>
        </w:rPr>
      </w:pPr>
      <w:r>
        <w:rPr>
          <w:rFonts w:ascii="黑体" w:eastAsia="黑体" w:hAnsi="黑体" w:hint="eastAsia"/>
          <w:snapToGrid w:val="0"/>
          <w:kern w:val="0"/>
          <w:sz w:val="32"/>
          <w:szCs w:val="32"/>
        </w:rPr>
        <w:t>标准编制工作组</w:t>
      </w:r>
    </w:p>
    <w:p w14:paraId="3FD5E4D5" w14:textId="66BF40F8" w:rsidR="00453ECA" w:rsidRDefault="00000000">
      <w:pPr>
        <w:widowControl/>
        <w:adjustRightInd w:val="0"/>
        <w:snapToGrid w:val="0"/>
        <w:spacing w:beforeLines="100" w:before="312" w:afterLines="100" w:after="312"/>
        <w:jc w:val="center"/>
        <w:rPr>
          <w:rFonts w:ascii="黑体" w:eastAsia="黑体" w:hAnsi="黑体"/>
          <w:snapToGrid w:val="0"/>
          <w:kern w:val="0"/>
          <w:sz w:val="32"/>
          <w:szCs w:val="32"/>
        </w:rPr>
      </w:pPr>
      <w:r>
        <w:rPr>
          <w:rFonts w:ascii="黑体" w:eastAsia="黑体" w:hAnsi="黑体" w:hint="eastAsia"/>
          <w:snapToGrid w:val="0"/>
          <w:kern w:val="0"/>
          <w:sz w:val="32"/>
          <w:szCs w:val="32"/>
        </w:rPr>
        <w:t>2023年</w:t>
      </w:r>
      <w:r w:rsidR="00C61FB4">
        <w:rPr>
          <w:rFonts w:ascii="黑体" w:eastAsia="黑体" w:hAnsi="黑体" w:hint="eastAsia"/>
          <w:snapToGrid w:val="0"/>
          <w:kern w:val="0"/>
          <w:sz w:val="32"/>
          <w:szCs w:val="32"/>
        </w:rPr>
        <w:t>1</w:t>
      </w:r>
      <w:r w:rsidR="00C61FB4">
        <w:rPr>
          <w:rFonts w:ascii="黑体" w:eastAsia="黑体" w:hAnsi="黑体"/>
          <w:snapToGrid w:val="0"/>
          <w:kern w:val="0"/>
          <w:sz w:val="32"/>
          <w:szCs w:val="32"/>
        </w:rPr>
        <w:t>2</w:t>
      </w:r>
      <w:r>
        <w:rPr>
          <w:rFonts w:ascii="黑体" w:eastAsia="黑体" w:hAnsi="黑体" w:hint="eastAsia"/>
          <w:snapToGrid w:val="0"/>
          <w:kern w:val="0"/>
          <w:sz w:val="32"/>
          <w:szCs w:val="32"/>
        </w:rPr>
        <w:t>月</w:t>
      </w:r>
    </w:p>
    <w:p w14:paraId="0BB88418" w14:textId="77777777" w:rsidR="00453ECA" w:rsidRDefault="00453ECA">
      <w:pPr>
        <w:pStyle w:val="TOC11"/>
        <w:keepNext w:val="0"/>
        <w:keepLines w:val="0"/>
        <w:widowControl w:val="0"/>
        <w:jc w:val="center"/>
        <w:rPr>
          <w:rFonts w:asciiTheme="minorHAnsi" w:eastAsiaTheme="minorEastAsia" w:hAnsiTheme="minorHAnsi" w:cstheme="minorBidi"/>
          <w:color w:val="auto"/>
          <w:kern w:val="2"/>
          <w:sz w:val="21"/>
          <w:szCs w:val="22"/>
          <w:lang w:val="zh-CN"/>
        </w:rPr>
        <w:sectPr w:rsidR="00453ECA">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527789223"/>
      </w:sdtPr>
      <w:sdtEndPr>
        <w:rPr>
          <w:b/>
          <w:kern w:val="0"/>
          <w:sz w:val="22"/>
        </w:rPr>
      </w:sdtEndPr>
      <w:sdtContent>
        <w:p w14:paraId="40B0467D" w14:textId="77777777" w:rsidR="00453ECA" w:rsidRDefault="00000000">
          <w:pPr>
            <w:pStyle w:val="TOC11"/>
            <w:keepNext w:val="0"/>
            <w:keepLines w:val="0"/>
            <w:widowControl w:val="0"/>
            <w:jc w:val="center"/>
            <w:rPr>
              <w:rFonts w:ascii="黑体" w:eastAsia="黑体" w:hAnsi="黑体"/>
              <w:color w:val="auto"/>
            </w:rPr>
          </w:pPr>
          <w:r>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hint="eastAsia"/>
              <w:color w:val="auto"/>
            </w:rPr>
            <w:t>录</w:t>
          </w:r>
        </w:p>
        <w:p w14:paraId="458D04F9" w14:textId="77777777" w:rsidR="00453ECA" w:rsidRDefault="00000000">
          <w:pPr>
            <w:pStyle w:val="TOC1"/>
            <w:rPr>
              <w:kern w:val="2"/>
              <w:sz w:val="21"/>
              <w14:ligatures w14:val="standardContextual"/>
            </w:rPr>
          </w:pPr>
          <w:r>
            <w:fldChar w:fldCharType="begin"/>
          </w:r>
          <w:r>
            <w:instrText xml:space="preserve"> TOC \o "1-3" \h \z \u </w:instrText>
          </w:r>
          <w:r>
            <w:fldChar w:fldCharType="separate"/>
          </w:r>
          <w:hyperlink w:anchor="_Toc137627266" w:history="1">
            <w:r>
              <w:rPr>
                <w:rStyle w:val="af"/>
                <w:rFonts w:ascii="黑体" w:eastAsia="黑体" w:hAnsi="黑体"/>
              </w:rPr>
              <w:t>1.工作简况</w:t>
            </w:r>
            <w:r>
              <w:tab/>
            </w:r>
            <w:r>
              <w:fldChar w:fldCharType="begin"/>
            </w:r>
            <w:r>
              <w:instrText xml:space="preserve"> PAGEREF _Toc137627266 \h </w:instrText>
            </w:r>
            <w:r>
              <w:fldChar w:fldCharType="separate"/>
            </w:r>
            <w:r>
              <w:t>1</w:t>
            </w:r>
            <w:r>
              <w:fldChar w:fldCharType="end"/>
            </w:r>
          </w:hyperlink>
        </w:p>
        <w:p w14:paraId="4E049CF2" w14:textId="77777777" w:rsidR="00453ECA" w:rsidRDefault="00000000">
          <w:pPr>
            <w:pStyle w:val="TOC1"/>
            <w:rPr>
              <w:kern w:val="2"/>
              <w:sz w:val="21"/>
              <w14:ligatures w14:val="standardContextual"/>
            </w:rPr>
          </w:pPr>
          <w:hyperlink w:anchor="_Toc137627267" w:history="1">
            <w:r>
              <w:rPr>
                <w:rStyle w:val="af"/>
                <w:rFonts w:ascii="黑体" w:eastAsia="黑体" w:hAnsi="黑体"/>
              </w:rPr>
              <w:t>2.标准编制原则</w:t>
            </w:r>
            <w:r>
              <w:tab/>
            </w:r>
            <w:r>
              <w:fldChar w:fldCharType="begin"/>
            </w:r>
            <w:r>
              <w:instrText xml:space="preserve"> PAGEREF _Toc137627267 \h </w:instrText>
            </w:r>
            <w:r>
              <w:fldChar w:fldCharType="separate"/>
            </w:r>
            <w:r>
              <w:t>3</w:t>
            </w:r>
            <w:r>
              <w:fldChar w:fldCharType="end"/>
            </w:r>
          </w:hyperlink>
        </w:p>
        <w:p w14:paraId="2205DD9C" w14:textId="77777777" w:rsidR="00453ECA" w:rsidRDefault="00000000">
          <w:pPr>
            <w:pStyle w:val="TOC1"/>
            <w:rPr>
              <w:kern w:val="2"/>
              <w:sz w:val="21"/>
              <w14:ligatures w14:val="standardContextual"/>
            </w:rPr>
          </w:pPr>
          <w:hyperlink w:anchor="_Toc137627268" w:history="1">
            <w:r>
              <w:rPr>
                <w:rStyle w:val="af"/>
                <w:rFonts w:ascii="黑体" w:eastAsia="黑体" w:hAnsi="黑体"/>
              </w:rPr>
              <w:t>3.标准编制方法论</w:t>
            </w:r>
            <w:r>
              <w:tab/>
            </w:r>
            <w:r>
              <w:fldChar w:fldCharType="begin"/>
            </w:r>
            <w:r>
              <w:instrText xml:space="preserve"> PAGEREF _Toc137627268 \h </w:instrText>
            </w:r>
            <w:r>
              <w:fldChar w:fldCharType="separate"/>
            </w:r>
            <w:r>
              <w:t>4</w:t>
            </w:r>
            <w:r>
              <w:fldChar w:fldCharType="end"/>
            </w:r>
          </w:hyperlink>
        </w:p>
        <w:p w14:paraId="56138083" w14:textId="77777777" w:rsidR="00453ECA" w:rsidRDefault="00000000">
          <w:pPr>
            <w:pStyle w:val="TOC1"/>
            <w:rPr>
              <w:kern w:val="2"/>
              <w:sz w:val="21"/>
              <w14:ligatures w14:val="standardContextual"/>
            </w:rPr>
          </w:pPr>
          <w:hyperlink w:anchor="_Toc137627269" w:history="1">
            <w:r>
              <w:rPr>
                <w:rStyle w:val="af"/>
                <w:rFonts w:ascii="黑体" w:eastAsia="黑体" w:hAnsi="黑体"/>
              </w:rPr>
              <w:t>4.标准主要技术内容</w:t>
            </w:r>
            <w:r>
              <w:tab/>
            </w:r>
            <w:r>
              <w:fldChar w:fldCharType="begin"/>
            </w:r>
            <w:r>
              <w:instrText xml:space="preserve"> PAGEREF _Toc137627269 \h </w:instrText>
            </w:r>
            <w:r>
              <w:fldChar w:fldCharType="separate"/>
            </w:r>
            <w:r>
              <w:t>4</w:t>
            </w:r>
            <w:r>
              <w:fldChar w:fldCharType="end"/>
            </w:r>
          </w:hyperlink>
        </w:p>
        <w:p w14:paraId="45360F6F" w14:textId="77777777" w:rsidR="00453ECA" w:rsidRDefault="00000000">
          <w:pPr>
            <w:pStyle w:val="TOC1"/>
            <w:rPr>
              <w:kern w:val="2"/>
              <w:sz w:val="21"/>
              <w14:ligatures w14:val="standardContextual"/>
            </w:rPr>
          </w:pPr>
          <w:hyperlink w:anchor="_Toc137627270" w:history="1">
            <w:r>
              <w:rPr>
                <w:rStyle w:val="af"/>
                <w:rFonts w:ascii="黑体" w:eastAsia="黑体" w:hAnsi="黑体"/>
              </w:rPr>
              <w:t>5.主要试验、验证及试行结果</w:t>
            </w:r>
            <w:r>
              <w:tab/>
            </w:r>
            <w:r>
              <w:fldChar w:fldCharType="begin"/>
            </w:r>
            <w:r>
              <w:instrText xml:space="preserve"> PAGEREF _Toc137627270 \h </w:instrText>
            </w:r>
            <w:r>
              <w:fldChar w:fldCharType="separate"/>
            </w:r>
            <w:r>
              <w:t>5</w:t>
            </w:r>
            <w:r>
              <w:fldChar w:fldCharType="end"/>
            </w:r>
          </w:hyperlink>
        </w:p>
        <w:p w14:paraId="45FAFA1A" w14:textId="77777777" w:rsidR="00453ECA" w:rsidRDefault="00000000">
          <w:pPr>
            <w:pStyle w:val="TOC1"/>
            <w:rPr>
              <w:kern w:val="2"/>
              <w:sz w:val="21"/>
              <w14:ligatures w14:val="standardContextual"/>
            </w:rPr>
          </w:pPr>
          <w:hyperlink w:anchor="_Toc137627271" w:history="1">
            <w:r>
              <w:rPr>
                <w:rStyle w:val="af"/>
                <w:rFonts w:ascii="黑体" w:eastAsia="黑体" w:hAnsi="黑体"/>
              </w:rPr>
              <w:t>6.与相关标准的关系分析</w:t>
            </w:r>
            <w:r>
              <w:tab/>
            </w:r>
            <w:r>
              <w:fldChar w:fldCharType="begin"/>
            </w:r>
            <w:r>
              <w:instrText xml:space="preserve"> PAGEREF _Toc137627271 \h </w:instrText>
            </w:r>
            <w:r>
              <w:fldChar w:fldCharType="separate"/>
            </w:r>
            <w:r>
              <w:t>5</w:t>
            </w:r>
            <w:r>
              <w:fldChar w:fldCharType="end"/>
            </w:r>
          </w:hyperlink>
        </w:p>
        <w:p w14:paraId="48599D0C" w14:textId="77777777" w:rsidR="00453ECA" w:rsidRDefault="00000000">
          <w:pPr>
            <w:pStyle w:val="TOC1"/>
            <w:rPr>
              <w:kern w:val="2"/>
              <w:sz w:val="21"/>
              <w14:ligatures w14:val="standardContextual"/>
            </w:rPr>
          </w:pPr>
          <w:hyperlink w:anchor="_Toc137627272" w:history="1">
            <w:r>
              <w:rPr>
                <w:rStyle w:val="af"/>
                <w:rFonts w:ascii="黑体" w:eastAsia="黑体" w:hAnsi="黑体"/>
              </w:rPr>
              <w:t>7.采用国际标准的程度及水平说明</w:t>
            </w:r>
            <w:r>
              <w:tab/>
            </w:r>
            <w:r>
              <w:fldChar w:fldCharType="begin"/>
            </w:r>
            <w:r>
              <w:instrText xml:space="preserve"> PAGEREF _Toc137627272 \h </w:instrText>
            </w:r>
            <w:r>
              <w:fldChar w:fldCharType="separate"/>
            </w:r>
            <w:r>
              <w:t>6</w:t>
            </w:r>
            <w:r>
              <w:fldChar w:fldCharType="end"/>
            </w:r>
          </w:hyperlink>
        </w:p>
        <w:p w14:paraId="30EABAE3" w14:textId="77777777" w:rsidR="00453ECA" w:rsidRDefault="00000000">
          <w:pPr>
            <w:pStyle w:val="TOC1"/>
            <w:rPr>
              <w:kern w:val="2"/>
              <w:sz w:val="21"/>
              <w14:ligatures w14:val="standardContextual"/>
            </w:rPr>
          </w:pPr>
          <w:hyperlink w:anchor="_Toc137627273" w:history="1">
            <w:r>
              <w:rPr>
                <w:rStyle w:val="af"/>
                <w:rFonts w:ascii="黑体" w:eastAsia="黑体" w:hAnsi="黑体"/>
              </w:rPr>
              <w:t>8.重大分歧或重难点的处理经过和依据</w:t>
            </w:r>
            <w:r>
              <w:tab/>
            </w:r>
            <w:r>
              <w:fldChar w:fldCharType="begin"/>
            </w:r>
            <w:r>
              <w:instrText xml:space="preserve"> PAGEREF _Toc137627273 \h </w:instrText>
            </w:r>
            <w:r>
              <w:fldChar w:fldCharType="separate"/>
            </w:r>
            <w:r>
              <w:t>6</w:t>
            </w:r>
            <w:r>
              <w:fldChar w:fldCharType="end"/>
            </w:r>
          </w:hyperlink>
        </w:p>
        <w:p w14:paraId="38107506" w14:textId="77777777" w:rsidR="00453ECA" w:rsidRDefault="00000000">
          <w:pPr>
            <w:pStyle w:val="TOC1"/>
            <w:rPr>
              <w:kern w:val="2"/>
              <w:sz w:val="21"/>
              <w14:ligatures w14:val="standardContextual"/>
            </w:rPr>
          </w:pPr>
          <w:hyperlink w:anchor="_Toc137627274" w:history="1">
            <w:r>
              <w:rPr>
                <w:rStyle w:val="af"/>
                <w:rFonts w:ascii="黑体" w:eastAsia="黑体" w:hAnsi="黑体"/>
              </w:rPr>
              <w:t>9.标准推广应用措施及预期效果</w:t>
            </w:r>
            <w:r>
              <w:tab/>
            </w:r>
            <w:r>
              <w:fldChar w:fldCharType="begin"/>
            </w:r>
            <w:r>
              <w:instrText xml:space="preserve"> PAGEREF _Toc137627274 \h </w:instrText>
            </w:r>
            <w:r>
              <w:fldChar w:fldCharType="separate"/>
            </w:r>
            <w:r>
              <w:t>6</w:t>
            </w:r>
            <w:r>
              <w:fldChar w:fldCharType="end"/>
            </w:r>
          </w:hyperlink>
        </w:p>
        <w:p w14:paraId="6A6649DC" w14:textId="77777777" w:rsidR="00453ECA" w:rsidRDefault="00000000">
          <w:pPr>
            <w:pStyle w:val="TOC1"/>
            <w:rPr>
              <w:kern w:val="2"/>
              <w:sz w:val="21"/>
              <w14:ligatures w14:val="standardContextual"/>
            </w:rPr>
          </w:pPr>
          <w:hyperlink w:anchor="_Toc137627275" w:history="1">
            <w:r>
              <w:rPr>
                <w:rStyle w:val="af"/>
                <w:rFonts w:ascii="黑体" w:eastAsia="黑体" w:hAnsi="黑体"/>
              </w:rPr>
              <w:t>10.其他应说明的事项</w:t>
            </w:r>
            <w:r>
              <w:tab/>
            </w:r>
            <w:r>
              <w:fldChar w:fldCharType="begin"/>
            </w:r>
            <w:r>
              <w:instrText xml:space="preserve"> PAGEREF _Toc137627275 \h </w:instrText>
            </w:r>
            <w:r>
              <w:fldChar w:fldCharType="separate"/>
            </w:r>
            <w:r>
              <w:t>7</w:t>
            </w:r>
            <w:r>
              <w:fldChar w:fldCharType="end"/>
            </w:r>
          </w:hyperlink>
        </w:p>
        <w:p w14:paraId="712C5F3A" w14:textId="77777777" w:rsidR="00453ECA" w:rsidRDefault="00000000">
          <w:pPr>
            <w:pStyle w:val="TOC1"/>
            <w:rPr>
              <w:kern w:val="2"/>
              <w:sz w:val="21"/>
              <w:lang w:val="zh-CN"/>
            </w:rPr>
          </w:pPr>
          <w:r>
            <w:rPr>
              <w:lang w:val="zh-CN"/>
            </w:rPr>
            <w:fldChar w:fldCharType="end"/>
          </w:r>
        </w:p>
      </w:sdtContent>
    </w:sdt>
    <w:p w14:paraId="4E4E19E6" w14:textId="77777777" w:rsidR="00453ECA" w:rsidRDefault="00453ECA">
      <w:pPr>
        <w:pStyle w:val="1"/>
        <w:spacing w:beforeLines="50" w:before="156" w:afterLines="50" w:after="156" w:line="240" w:lineRule="auto"/>
        <w:rPr>
          <w:rFonts w:ascii="黑体" w:eastAsia="黑体" w:hAnsi="黑体"/>
          <w:b w:val="0"/>
          <w:sz w:val="30"/>
          <w:szCs w:val="30"/>
        </w:rPr>
        <w:sectPr w:rsidR="00453ECA">
          <w:footerReference w:type="default" r:id="rId8"/>
          <w:pgSz w:w="11906" w:h="16838"/>
          <w:pgMar w:top="1440" w:right="1800" w:bottom="1440" w:left="1800" w:header="851" w:footer="992" w:gutter="0"/>
          <w:pgNumType w:start="1"/>
          <w:cols w:space="425"/>
          <w:docGrid w:type="lines" w:linePitch="312"/>
        </w:sectPr>
      </w:pPr>
    </w:p>
    <w:p w14:paraId="254460B3" w14:textId="77777777" w:rsidR="00453ECA" w:rsidRDefault="00000000">
      <w:pPr>
        <w:pStyle w:val="1"/>
        <w:spacing w:beforeLines="50" w:before="156" w:afterLines="50" w:after="156" w:line="240" w:lineRule="auto"/>
        <w:rPr>
          <w:rFonts w:ascii="黑体" w:eastAsia="黑体" w:hAnsi="黑体"/>
          <w:b w:val="0"/>
          <w:sz w:val="30"/>
          <w:szCs w:val="30"/>
        </w:rPr>
      </w:pPr>
      <w:bookmarkStart w:id="0" w:name="_Toc137627266"/>
      <w:r>
        <w:rPr>
          <w:rFonts w:ascii="黑体" w:eastAsia="黑体" w:hAnsi="黑体" w:hint="eastAsia"/>
          <w:b w:val="0"/>
          <w:sz w:val="30"/>
          <w:szCs w:val="30"/>
        </w:rPr>
        <w:lastRenderedPageBreak/>
        <w:t>1.工作简况</w:t>
      </w:r>
      <w:bookmarkEnd w:id="0"/>
    </w:p>
    <w:p w14:paraId="4B3E8C31" w14:textId="77777777" w:rsidR="00453ECA" w:rsidRDefault="00000000">
      <w:pPr>
        <w:rPr>
          <w:rFonts w:ascii="楷体" w:eastAsia="楷体" w:hAnsi="楷体"/>
          <w:b/>
          <w:sz w:val="28"/>
          <w:szCs w:val="28"/>
        </w:rPr>
      </w:pPr>
      <w:r>
        <w:rPr>
          <w:rFonts w:ascii="楷体" w:eastAsia="楷体" w:hAnsi="楷体" w:hint="eastAsia"/>
          <w:b/>
          <w:sz w:val="28"/>
          <w:szCs w:val="28"/>
        </w:rPr>
        <w:t>1.1任务来源</w:t>
      </w:r>
    </w:p>
    <w:p w14:paraId="3995137C"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自2020年9月我国宣布2030年前碳达峰目标和2060年前碳中和愿景之后，全国不同行业企业因受政策和市场因素驱动纷纷响应，相关企业启动碳中和战略研究，加快探索碳达峰碳中和路径。国家相关部委相继出台相关的政策法规，加大对企业温室气体排放和碳排放管理的力度，不断推进碳市场的建设，对企业的低碳发展和碳排放管理提出新的要求。</w:t>
      </w:r>
    </w:p>
    <w:p w14:paraId="2719542A"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企业作为承担节能减排任务的关键主体，是确保我国2060年前实现碳中和目标的最重要的一环。不同类型企业（传统高耗能行业、制造业企业、科技与服务企业）均面临不同程度的碳约束，当前全球碳中和背景下，政府、银行、投资者、供应链上下游品牌及终端消费者都对企业提出了低碳甚至是零碳发展的要求。随着具有重要影响力的跨国企业启动碳中和计划，将会对其整个产业链上相关企业产生深刻影响，尤其是欧盟碳边境调节机制带来的市场压力及供应链减碳压力将迫使部分企业要提前实现碳中和，未来企业碳管理将成为新常态。</w:t>
      </w:r>
    </w:p>
    <w:p w14:paraId="11BE9A1D"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目前，我国双碳领域标准化工作已全面启动，2021年10月，中共中央 国务院印发《国家标准化发展纲要》，要求建立健全碳达峰、碳中和标准，2022年3月，国家成立国家碳达峰碳中和标准化总体组，科学、高效地推进“双碳”标准化工作。2022年7月，国家发展改革委、市场监管总局等16部门联合发布《贯彻实施〈国家标准化发展纲要〉行动计划》，提出“实施碳达峰碳中和标准化提升工程”。</w:t>
      </w:r>
    </w:p>
    <w:p w14:paraId="582B0F9E"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lastRenderedPageBreak/>
        <w:t>标准将是未来碳中和国际市场竞争的重要游戏规则，标准将是企业和产品通行于零碳产业链、供应链的重要技术保障。尤其是碳中和愿景的提出对标准化工作提出了新的重大需求。当前形势下，企业开展碳管理所面临的迫切需求则是需要统一的标准规范引领。但由于缺乏统一的碳排放管理体系标准，国内企业开展碳排放管理体系建设的水平参差不齐。其中，电力行业因已被纳入全国碳市场，所以较早开始关注并布局碳排放管理，尤其是碳排放数据管理（核算、核查）、碳资产管理（配额核算、清缴履约、托管等）；而未受国家政策、市场传导等外部因素影响的行业企业，即便有绿色低碳转型理念并采取相关节能降碳措施，但对碳排放管理体系关注较少，并未形成整体、系统化的碳排放管理体系，部分开展的更多注重为碳排放数据管理体系。</w:t>
      </w:r>
    </w:p>
    <w:p w14:paraId="07030C60" w14:textId="77777777" w:rsidR="00453ECA" w:rsidRDefault="00000000">
      <w:pPr>
        <w:ind w:firstLineChars="200" w:firstLine="560"/>
        <w:rPr>
          <w:rFonts w:ascii="仿宋_GB2312" w:eastAsia="仿宋_GB2312"/>
          <w:sz w:val="28"/>
          <w:szCs w:val="28"/>
        </w:rPr>
      </w:pPr>
      <w:r>
        <w:rPr>
          <w:rFonts w:ascii="仿宋_GB2312" w:eastAsia="仿宋_GB2312"/>
          <w:sz w:val="28"/>
          <w:szCs w:val="28"/>
        </w:rPr>
        <w:t>为助力实现国家</w:t>
      </w:r>
      <w:r>
        <w:rPr>
          <w:rFonts w:ascii="仿宋_GB2312" w:eastAsia="仿宋_GB2312" w:hint="eastAsia"/>
          <w:sz w:val="28"/>
          <w:szCs w:val="28"/>
        </w:rPr>
        <w:t>“</w:t>
      </w:r>
      <w:r>
        <w:rPr>
          <w:rFonts w:ascii="仿宋_GB2312" w:eastAsia="仿宋_GB2312"/>
          <w:sz w:val="28"/>
          <w:szCs w:val="28"/>
        </w:rPr>
        <w:t>碳达峰、碳中和</w:t>
      </w:r>
      <w:r>
        <w:rPr>
          <w:rFonts w:ascii="仿宋_GB2312" w:eastAsia="仿宋_GB2312" w:hint="eastAsia"/>
          <w:sz w:val="28"/>
          <w:szCs w:val="28"/>
        </w:rPr>
        <w:t>”</w:t>
      </w:r>
      <w:r>
        <w:rPr>
          <w:rFonts w:ascii="仿宋_GB2312" w:eastAsia="仿宋_GB2312"/>
          <w:sz w:val="28"/>
          <w:szCs w:val="28"/>
        </w:rPr>
        <w:t>目标，根据《中国环境科学学会标准管理办法（试行）》</w:t>
      </w:r>
      <w:r>
        <w:rPr>
          <w:rFonts w:ascii="仿宋_GB2312" w:eastAsia="仿宋_GB2312" w:hint="eastAsia"/>
          <w:sz w:val="28"/>
          <w:szCs w:val="28"/>
        </w:rPr>
        <w:t>，中国环境科学学会于2022年8月提出新标准立项建议，并于2</w:t>
      </w:r>
      <w:r>
        <w:rPr>
          <w:rFonts w:ascii="仿宋_GB2312" w:eastAsia="仿宋_GB2312"/>
          <w:sz w:val="28"/>
          <w:szCs w:val="28"/>
        </w:rPr>
        <w:t>022</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月正式通过标准立项计划。</w:t>
      </w:r>
    </w:p>
    <w:p w14:paraId="1AFE688A" w14:textId="77777777" w:rsidR="00453ECA" w:rsidRDefault="00000000">
      <w:pPr>
        <w:rPr>
          <w:rFonts w:ascii="楷体" w:eastAsia="楷体" w:hAnsi="楷体"/>
          <w:b/>
          <w:sz w:val="28"/>
          <w:szCs w:val="28"/>
        </w:rPr>
      </w:pPr>
      <w:r>
        <w:rPr>
          <w:rFonts w:ascii="楷体" w:eastAsia="楷体" w:hAnsi="楷体" w:hint="eastAsia"/>
          <w:b/>
          <w:sz w:val="28"/>
          <w:szCs w:val="28"/>
        </w:rPr>
        <w:t>1</w:t>
      </w:r>
      <w:r>
        <w:rPr>
          <w:rFonts w:ascii="楷体" w:eastAsia="楷体" w:hAnsi="楷体"/>
          <w:b/>
          <w:sz w:val="28"/>
          <w:szCs w:val="28"/>
        </w:rPr>
        <w:t>.2</w:t>
      </w:r>
      <w:r>
        <w:rPr>
          <w:rFonts w:ascii="楷体" w:eastAsia="楷体" w:hAnsi="楷体" w:hint="eastAsia"/>
          <w:b/>
          <w:sz w:val="28"/>
          <w:szCs w:val="28"/>
        </w:rPr>
        <w:t xml:space="preserve"> 主要目的</w:t>
      </w:r>
    </w:p>
    <w:p w14:paraId="2CFD294F"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企业作为生产的主要单元主体，面临国家、区域乃至城市和行业等不同层级的碳减排要求。企业实现碳达峰碳中和面临诸多挑战，其中关键、迫切挑战之一则是缺乏标准引领，企业双碳标准化是其开展双碳工作的先行基石。本标准的制定，可解决目前暂无通用性的企业碳管理标准的问题，并为</w:t>
      </w:r>
      <w:bookmarkStart w:id="1" w:name="_Hlk138238786"/>
      <w:r>
        <w:rPr>
          <w:rFonts w:ascii="仿宋_GB2312" w:eastAsia="仿宋_GB2312" w:hint="eastAsia"/>
          <w:sz w:val="28"/>
          <w:szCs w:val="28"/>
        </w:rPr>
        <w:t>企业建立碳排放管理体系提供规范化指导，企业按照本标准有效实施碳排放管理体系可以实现碳排放管理的预</w:t>
      </w:r>
      <w:r>
        <w:rPr>
          <w:rFonts w:ascii="仿宋_GB2312" w:eastAsia="仿宋_GB2312" w:hint="eastAsia"/>
          <w:sz w:val="28"/>
          <w:szCs w:val="28"/>
        </w:rPr>
        <w:lastRenderedPageBreak/>
        <w:t>期结果，降低碳排放量或碳排放强度，实现精细化碳管理。</w:t>
      </w:r>
      <w:bookmarkEnd w:id="1"/>
    </w:p>
    <w:p w14:paraId="072697DD" w14:textId="77777777" w:rsidR="00453ECA" w:rsidRDefault="00000000">
      <w:pPr>
        <w:rPr>
          <w:rFonts w:ascii="楷体" w:eastAsia="楷体" w:hAnsi="楷体"/>
          <w:b/>
          <w:sz w:val="28"/>
          <w:szCs w:val="28"/>
        </w:rPr>
      </w:pPr>
      <w:r>
        <w:rPr>
          <w:rFonts w:ascii="楷体" w:eastAsia="楷体" w:hAnsi="楷体" w:hint="eastAsia"/>
          <w:b/>
          <w:sz w:val="28"/>
          <w:szCs w:val="28"/>
        </w:rPr>
        <w:t>1.</w:t>
      </w:r>
      <w:r>
        <w:rPr>
          <w:rFonts w:ascii="楷体" w:eastAsia="楷体" w:hAnsi="楷体"/>
          <w:b/>
          <w:sz w:val="28"/>
          <w:szCs w:val="28"/>
        </w:rPr>
        <w:t>3</w:t>
      </w:r>
      <w:r>
        <w:rPr>
          <w:rFonts w:ascii="楷体" w:eastAsia="楷体" w:hAnsi="楷体" w:hint="eastAsia"/>
          <w:b/>
          <w:sz w:val="28"/>
          <w:szCs w:val="28"/>
        </w:rPr>
        <w:t>编制过程</w:t>
      </w:r>
    </w:p>
    <w:p w14:paraId="6E9CBCCB"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（1）成立编制组</w:t>
      </w:r>
    </w:p>
    <w:p w14:paraId="0E03AAD7"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按照新标准立项计划，中国环境科学学会组织成立了标准编制组，并由北京师范大学中国绿色发展协同创新中心牵头标准的起草工作。</w:t>
      </w:r>
    </w:p>
    <w:p w14:paraId="3DBDAD95"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（2）编制调研</w:t>
      </w:r>
    </w:p>
    <w:p w14:paraId="30B8FECD"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工作组搜集了国内外相关的政策、法规、标准或技术资料，通过会谈座谈、走访、查阅资料等多种方式开展调研，在此基础上确立标准框架和思路，编制形成《企业碳排放管理体系 建设指南》草案。</w:t>
      </w:r>
    </w:p>
    <w:p w14:paraId="4413D7DD"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（3）标准立项</w:t>
      </w:r>
    </w:p>
    <w:p w14:paraId="484D0783"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2022年</w:t>
      </w:r>
      <w:r>
        <w:rPr>
          <w:rFonts w:ascii="仿宋_GB2312" w:eastAsia="仿宋_GB2312"/>
          <w:sz w:val="28"/>
          <w:szCs w:val="28"/>
        </w:rPr>
        <w:t>9月16日</w:t>
      </w:r>
      <w:r>
        <w:rPr>
          <w:rFonts w:ascii="仿宋_GB2312" w:eastAsia="仿宋_GB2312" w:hint="eastAsia"/>
          <w:sz w:val="28"/>
          <w:szCs w:val="28"/>
        </w:rPr>
        <w:t>，中国环境科学学会组织召开标准立项评审会，对立项材料进行技术审查，经过专家论证，同意以《企业碳排放管理体系 建设指南》的名称立项，并对标准下一步的研编工作提供了指导和明确了方向。</w:t>
      </w:r>
    </w:p>
    <w:p w14:paraId="4E25F858"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（4）标准编制</w:t>
      </w:r>
    </w:p>
    <w:p w14:paraId="75C10F97" w14:textId="3B4C2CAD" w:rsidR="008A5616" w:rsidRDefault="00000000">
      <w:pPr>
        <w:ind w:firstLineChars="200" w:firstLine="560"/>
        <w:rPr>
          <w:rFonts w:ascii="仿宋_GB2312" w:eastAsia="仿宋_GB2312"/>
          <w:sz w:val="28"/>
          <w:szCs w:val="28"/>
        </w:rPr>
      </w:pPr>
      <w:r>
        <w:rPr>
          <w:rFonts w:ascii="仿宋_GB2312" w:eastAsia="仿宋_GB2312" w:hint="eastAsia"/>
          <w:sz w:val="28"/>
          <w:szCs w:val="28"/>
        </w:rPr>
        <w:t>2022年</w:t>
      </w:r>
      <w:r>
        <w:rPr>
          <w:rFonts w:ascii="仿宋_GB2312" w:eastAsia="仿宋_GB2312"/>
          <w:sz w:val="28"/>
          <w:szCs w:val="28"/>
        </w:rPr>
        <w:t>10月21日</w:t>
      </w:r>
      <w:r>
        <w:rPr>
          <w:rFonts w:ascii="仿宋_GB2312" w:eastAsia="仿宋_GB2312" w:hint="eastAsia"/>
          <w:sz w:val="28"/>
          <w:szCs w:val="28"/>
        </w:rPr>
        <w:t>，标准编制组</w:t>
      </w:r>
      <w:r w:rsidR="008A5616">
        <w:rPr>
          <w:rFonts w:ascii="仿宋_GB2312" w:eastAsia="仿宋_GB2312" w:hint="eastAsia"/>
          <w:sz w:val="28"/>
          <w:szCs w:val="28"/>
        </w:rPr>
        <w:t>形成</w:t>
      </w:r>
      <w:r w:rsidR="008A5616" w:rsidRPr="008A5616">
        <w:rPr>
          <w:rFonts w:ascii="仿宋_GB2312" w:eastAsia="仿宋_GB2312" w:hint="eastAsia"/>
          <w:sz w:val="28"/>
          <w:szCs w:val="28"/>
        </w:rPr>
        <w:t>标准草案稿</w:t>
      </w:r>
      <w:r w:rsidR="008A5616">
        <w:rPr>
          <w:rFonts w:ascii="仿宋_GB2312" w:eastAsia="仿宋_GB2312" w:hint="eastAsia"/>
          <w:sz w:val="28"/>
          <w:szCs w:val="28"/>
        </w:rPr>
        <w:t>，并</w:t>
      </w:r>
      <w:r>
        <w:rPr>
          <w:rFonts w:ascii="仿宋_GB2312" w:eastAsia="仿宋_GB2312" w:hint="eastAsia"/>
          <w:sz w:val="28"/>
          <w:szCs w:val="28"/>
        </w:rPr>
        <w:t>召开团体标准编制工作启动会，制定了标准研制计划，部署了工作任务及任务分工</w:t>
      </w:r>
      <w:r w:rsidR="008A5616">
        <w:rPr>
          <w:rFonts w:ascii="仿宋_GB2312" w:eastAsia="仿宋_GB2312" w:hint="eastAsia"/>
          <w:sz w:val="28"/>
          <w:szCs w:val="28"/>
        </w:rPr>
        <w:t>；</w:t>
      </w:r>
    </w:p>
    <w:p w14:paraId="2194BB9F" w14:textId="57AF79D6" w:rsidR="008A5616" w:rsidRDefault="00000000">
      <w:pPr>
        <w:ind w:firstLineChars="200" w:firstLine="560"/>
        <w:rPr>
          <w:rFonts w:ascii="仿宋_GB2312" w:eastAsia="仿宋_GB2312"/>
          <w:sz w:val="28"/>
          <w:szCs w:val="28"/>
        </w:rPr>
      </w:pPr>
      <w:r>
        <w:rPr>
          <w:rFonts w:ascii="仿宋_GB2312" w:eastAsia="仿宋_GB2312" w:hint="eastAsia"/>
          <w:sz w:val="28"/>
          <w:szCs w:val="28"/>
        </w:rPr>
        <w:t>2022年</w:t>
      </w:r>
      <w:r>
        <w:rPr>
          <w:rFonts w:ascii="仿宋_GB2312" w:eastAsia="仿宋_GB2312"/>
          <w:sz w:val="28"/>
          <w:szCs w:val="28"/>
        </w:rPr>
        <w:t>11</w:t>
      </w:r>
      <w:r>
        <w:rPr>
          <w:rFonts w:ascii="仿宋_GB2312" w:eastAsia="仿宋_GB2312" w:hint="eastAsia"/>
          <w:sz w:val="28"/>
          <w:szCs w:val="28"/>
        </w:rPr>
        <w:t>月-2023年7月，编制组多次召开编制内部讨论会以及征求外部专家的意见，对标准草案稿进行深度研讨、修订，</w:t>
      </w:r>
      <w:r>
        <w:rPr>
          <w:rFonts w:ascii="仿宋_GB2312" w:eastAsia="仿宋_GB2312"/>
          <w:sz w:val="28"/>
          <w:szCs w:val="28"/>
        </w:rPr>
        <w:t>形成标准征求意见</w:t>
      </w:r>
      <w:r w:rsidR="0077483F">
        <w:rPr>
          <w:rFonts w:ascii="仿宋_GB2312" w:eastAsia="仿宋_GB2312" w:hint="eastAsia"/>
          <w:sz w:val="28"/>
          <w:szCs w:val="28"/>
        </w:rPr>
        <w:t>第一</w:t>
      </w:r>
      <w:r>
        <w:rPr>
          <w:rFonts w:ascii="仿宋_GB2312" w:eastAsia="仿宋_GB2312"/>
          <w:sz w:val="28"/>
          <w:szCs w:val="28"/>
        </w:rPr>
        <w:t>稿</w:t>
      </w:r>
      <w:r w:rsidR="008A5616">
        <w:rPr>
          <w:rFonts w:ascii="仿宋_GB2312" w:eastAsia="仿宋_GB2312" w:hint="eastAsia"/>
          <w:sz w:val="28"/>
          <w:szCs w:val="28"/>
        </w:rPr>
        <w:t>；</w:t>
      </w:r>
    </w:p>
    <w:p w14:paraId="21B513F3" w14:textId="505212BC" w:rsidR="00453ECA" w:rsidRDefault="00000000">
      <w:pPr>
        <w:ind w:firstLineChars="200" w:firstLine="560"/>
        <w:rPr>
          <w:rFonts w:ascii="仿宋_GB2312" w:eastAsia="仿宋_GB2312"/>
          <w:sz w:val="28"/>
          <w:szCs w:val="28"/>
        </w:rPr>
      </w:pPr>
      <w:r>
        <w:rPr>
          <w:rFonts w:ascii="仿宋_GB2312" w:eastAsia="仿宋_GB2312" w:hint="eastAsia"/>
          <w:sz w:val="28"/>
          <w:szCs w:val="28"/>
        </w:rPr>
        <w:t>2023年8月-11月，编制组再次征集外部专家意见，对征求意见</w:t>
      </w:r>
      <w:r>
        <w:rPr>
          <w:rFonts w:ascii="仿宋_GB2312" w:eastAsia="仿宋_GB2312" w:hint="eastAsia"/>
          <w:sz w:val="28"/>
          <w:szCs w:val="28"/>
        </w:rPr>
        <w:lastRenderedPageBreak/>
        <w:t>稿做进一步的修改完善</w:t>
      </w:r>
      <w:r w:rsidR="008A5616">
        <w:rPr>
          <w:rFonts w:ascii="仿宋_GB2312" w:eastAsia="仿宋_GB2312" w:hint="eastAsia"/>
          <w:sz w:val="28"/>
          <w:szCs w:val="28"/>
        </w:rPr>
        <w:t>，形成</w:t>
      </w:r>
      <w:r w:rsidR="008A5616" w:rsidRPr="008A5616">
        <w:rPr>
          <w:rFonts w:ascii="仿宋_GB2312" w:eastAsia="仿宋_GB2312" w:hint="eastAsia"/>
          <w:sz w:val="28"/>
          <w:szCs w:val="28"/>
        </w:rPr>
        <w:t>标准征求意见</w:t>
      </w:r>
      <w:r w:rsidR="008A5616">
        <w:rPr>
          <w:rFonts w:ascii="仿宋_GB2312" w:eastAsia="仿宋_GB2312" w:hint="eastAsia"/>
          <w:sz w:val="28"/>
          <w:szCs w:val="28"/>
        </w:rPr>
        <w:t>第二稿；</w:t>
      </w:r>
    </w:p>
    <w:p w14:paraId="240AC93D" w14:textId="0E008E31" w:rsidR="008A5616" w:rsidRDefault="008A5616">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023</w:t>
      </w:r>
      <w:r>
        <w:rPr>
          <w:rFonts w:ascii="仿宋_GB2312" w:eastAsia="仿宋_GB2312" w:hint="eastAsia"/>
          <w:sz w:val="28"/>
          <w:szCs w:val="28"/>
        </w:rPr>
        <w:t>年1</w:t>
      </w:r>
      <w:r w:rsidR="002E5293">
        <w:rPr>
          <w:rFonts w:ascii="仿宋_GB2312" w:eastAsia="仿宋_GB2312"/>
          <w:sz w:val="28"/>
          <w:szCs w:val="28"/>
        </w:rPr>
        <w:t>2</w:t>
      </w:r>
      <w:r>
        <w:rPr>
          <w:rFonts w:ascii="仿宋_GB2312" w:eastAsia="仿宋_GB2312" w:hint="eastAsia"/>
          <w:sz w:val="28"/>
          <w:szCs w:val="28"/>
        </w:rPr>
        <w:t>月</w:t>
      </w:r>
      <w:r w:rsidR="002E5293">
        <w:rPr>
          <w:rFonts w:ascii="仿宋_GB2312" w:eastAsia="仿宋_GB2312" w:hint="eastAsia"/>
          <w:sz w:val="28"/>
          <w:szCs w:val="28"/>
        </w:rPr>
        <w:t>，编制组召开标准技术审查会，外部专家及参编单位就标准</w:t>
      </w:r>
      <w:r w:rsidR="002E5293" w:rsidRPr="008A5616">
        <w:rPr>
          <w:rFonts w:ascii="仿宋_GB2312" w:eastAsia="仿宋_GB2312" w:hint="eastAsia"/>
          <w:sz w:val="28"/>
          <w:szCs w:val="28"/>
        </w:rPr>
        <w:t>征求意见</w:t>
      </w:r>
      <w:r w:rsidR="002E5293">
        <w:rPr>
          <w:rFonts w:ascii="仿宋_GB2312" w:eastAsia="仿宋_GB2312" w:hint="eastAsia"/>
          <w:sz w:val="28"/>
          <w:szCs w:val="28"/>
        </w:rPr>
        <w:t>第二稿展开</w:t>
      </w:r>
      <w:r w:rsidR="00667D2E">
        <w:rPr>
          <w:rFonts w:ascii="仿宋_GB2312" w:eastAsia="仿宋_GB2312" w:hint="eastAsia"/>
          <w:sz w:val="28"/>
          <w:szCs w:val="28"/>
        </w:rPr>
        <w:t>深入</w:t>
      </w:r>
      <w:r w:rsidR="002E5293">
        <w:rPr>
          <w:rFonts w:ascii="仿宋_GB2312" w:eastAsia="仿宋_GB2312" w:hint="eastAsia"/>
          <w:sz w:val="28"/>
          <w:szCs w:val="28"/>
        </w:rPr>
        <w:t>研讨，</w:t>
      </w:r>
      <w:r w:rsidR="008606F7">
        <w:rPr>
          <w:rFonts w:ascii="仿宋_GB2312" w:eastAsia="仿宋_GB2312" w:hint="eastAsia"/>
          <w:sz w:val="28"/>
          <w:szCs w:val="28"/>
        </w:rPr>
        <w:t>编制组针对</w:t>
      </w:r>
      <w:r w:rsidR="00667D2E">
        <w:rPr>
          <w:rFonts w:ascii="仿宋_GB2312" w:eastAsia="仿宋_GB2312" w:hint="eastAsia"/>
          <w:sz w:val="28"/>
          <w:szCs w:val="28"/>
        </w:rPr>
        <w:t>建议进行修改，形成标准</w:t>
      </w:r>
      <w:r w:rsidR="00667D2E" w:rsidRPr="008A5616">
        <w:rPr>
          <w:rFonts w:ascii="仿宋_GB2312" w:eastAsia="仿宋_GB2312" w:hint="eastAsia"/>
          <w:sz w:val="28"/>
          <w:szCs w:val="28"/>
        </w:rPr>
        <w:t>征求意见</w:t>
      </w:r>
      <w:r w:rsidR="00667D2E">
        <w:rPr>
          <w:rFonts w:ascii="仿宋_GB2312" w:eastAsia="仿宋_GB2312" w:hint="eastAsia"/>
          <w:sz w:val="28"/>
          <w:szCs w:val="28"/>
        </w:rPr>
        <w:t>最终稿。</w:t>
      </w:r>
    </w:p>
    <w:p w14:paraId="3ACB0BCC" w14:textId="77777777" w:rsidR="00453ECA" w:rsidRDefault="00000000">
      <w:pPr>
        <w:pStyle w:val="1"/>
        <w:spacing w:beforeLines="50" w:before="156" w:afterLines="50" w:after="156" w:line="240" w:lineRule="auto"/>
        <w:rPr>
          <w:rFonts w:ascii="黑体" w:eastAsia="黑体" w:hAnsi="黑体"/>
          <w:b w:val="0"/>
          <w:sz w:val="30"/>
          <w:szCs w:val="30"/>
        </w:rPr>
      </w:pPr>
      <w:bookmarkStart w:id="2" w:name="_Toc137627267"/>
      <w:r>
        <w:rPr>
          <w:rFonts w:ascii="黑体" w:eastAsia="黑体" w:hAnsi="黑体" w:hint="eastAsia"/>
          <w:b w:val="0"/>
          <w:sz w:val="30"/>
          <w:szCs w:val="30"/>
        </w:rPr>
        <w:t>2.标准编制原则</w:t>
      </w:r>
      <w:bookmarkEnd w:id="2"/>
    </w:p>
    <w:p w14:paraId="1A9065A2"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本文件在编制过程中充分考虑以下原则：</w:t>
      </w:r>
    </w:p>
    <w:p w14:paraId="3097A722"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创新性：充分考虑了国家双碳目标提出之后企业所面临的政策监管（碳市场）、市场准入（欧盟碳边境调节机制）、供应链脱碳、消费者偏好、金融监管（气候信息披露）等内外部新形势、新要求，突出企业碳排放管理体系的全面性及创新性。</w:t>
      </w:r>
    </w:p>
    <w:p w14:paraId="44F38E6E"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通用性：兼顾不同类型企业，如传统高耗能行业、制造业企业、科技与服务企业等所面临的碳约束各有侧重，建立相对统一的碳管理核心框架，旨在扩大本文件的适用范围。</w:t>
      </w:r>
    </w:p>
    <w:p w14:paraId="4EABEBF3"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实用性：通过界定企业碳管理边界、系统边界、确定企业碳管理核心内容，以及明确使用要求等方式，提高本文件的可操作性。</w:t>
      </w:r>
    </w:p>
    <w:p w14:paraId="3487A8E3" w14:textId="77777777" w:rsidR="00453ECA" w:rsidRDefault="00000000">
      <w:pPr>
        <w:pStyle w:val="1"/>
        <w:spacing w:beforeLines="50" w:before="156" w:afterLines="50" w:after="156" w:line="240" w:lineRule="auto"/>
        <w:rPr>
          <w:rFonts w:ascii="黑体" w:eastAsia="黑体" w:hAnsi="黑体"/>
          <w:b w:val="0"/>
          <w:sz w:val="30"/>
          <w:szCs w:val="30"/>
        </w:rPr>
      </w:pPr>
      <w:bookmarkStart w:id="3" w:name="_Toc137627268"/>
      <w:r>
        <w:rPr>
          <w:rFonts w:ascii="黑体" w:eastAsia="黑体" w:hAnsi="黑体" w:hint="eastAsia"/>
          <w:b w:val="0"/>
          <w:sz w:val="30"/>
          <w:szCs w:val="30"/>
        </w:rPr>
        <w:t>3</w:t>
      </w:r>
      <w:r>
        <w:rPr>
          <w:rFonts w:ascii="黑体" w:eastAsia="黑体" w:hAnsi="黑体"/>
          <w:b w:val="0"/>
          <w:sz w:val="30"/>
          <w:szCs w:val="30"/>
        </w:rPr>
        <w:t>.</w:t>
      </w:r>
      <w:r>
        <w:rPr>
          <w:rFonts w:ascii="黑体" w:eastAsia="黑体" w:hAnsi="黑体" w:hint="eastAsia"/>
          <w:b w:val="0"/>
          <w:sz w:val="30"/>
          <w:szCs w:val="30"/>
        </w:rPr>
        <w:t>标准编制方法论</w:t>
      </w:r>
      <w:bookmarkEnd w:id="3"/>
    </w:p>
    <w:p w14:paraId="5366DD9C"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本文件遵循</w:t>
      </w:r>
      <w:bookmarkStart w:id="4" w:name="_Hlk137542616"/>
      <w:r>
        <w:rPr>
          <w:rFonts w:ascii="仿宋_GB2312" w:eastAsia="仿宋_GB2312" w:hint="eastAsia"/>
          <w:sz w:val="28"/>
          <w:szCs w:val="28"/>
        </w:rPr>
        <w:t>“策划—实施—检查—行动”（</w:t>
      </w:r>
      <w:r>
        <w:rPr>
          <w:rFonts w:ascii="仿宋_GB2312" w:eastAsia="仿宋_GB2312"/>
          <w:sz w:val="28"/>
          <w:szCs w:val="28"/>
        </w:rPr>
        <w:t>PDCA</w:t>
      </w:r>
      <w:r>
        <w:rPr>
          <w:rFonts w:ascii="仿宋_GB2312" w:eastAsia="仿宋_GB2312" w:hint="eastAsia"/>
          <w:sz w:val="28"/>
          <w:szCs w:val="28"/>
        </w:rPr>
        <w:t>）</w:t>
      </w:r>
      <w:bookmarkEnd w:id="4"/>
      <w:r>
        <w:rPr>
          <w:rFonts w:ascii="仿宋_GB2312" w:eastAsia="仿宋_GB2312" w:hint="eastAsia"/>
          <w:sz w:val="28"/>
          <w:szCs w:val="28"/>
        </w:rPr>
        <w:t>的基本逻辑和持续改进的管理原则。将</w:t>
      </w:r>
      <w:r>
        <w:rPr>
          <w:rFonts w:ascii="仿宋_GB2312" w:eastAsia="仿宋_GB2312"/>
          <w:sz w:val="28"/>
          <w:szCs w:val="28"/>
        </w:rPr>
        <w:t>PDCA</w:t>
      </w:r>
      <w:r>
        <w:rPr>
          <w:rFonts w:ascii="仿宋_GB2312" w:eastAsia="仿宋_GB2312" w:hint="eastAsia"/>
          <w:sz w:val="28"/>
          <w:szCs w:val="28"/>
        </w:rPr>
        <w:t>模式融于整个碳排放管理体系及其每个单独的要素，以实现持续改进碳排放管理的预期结果。</w:t>
      </w:r>
    </w:p>
    <w:p w14:paraId="2C509F03"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——策划（</w:t>
      </w:r>
      <w:r>
        <w:rPr>
          <w:rFonts w:ascii="仿宋_GB2312" w:eastAsia="仿宋_GB2312"/>
          <w:sz w:val="28"/>
          <w:szCs w:val="28"/>
        </w:rPr>
        <w:t>Plan</w:t>
      </w:r>
      <w:r>
        <w:rPr>
          <w:rFonts w:ascii="仿宋_GB2312" w:eastAsia="仿宋_GB2312" w:hint="eastAsia"/>
          <w:sz w:val="28"/>
          <w:szCs w:val="28"/>
        </w:rPr>
        <w:t>）：建立所需的碳排放管理目标及方针。</w:t>
      </w:r>
    </w:p>
    <w:p w14:paraId="2BF0FACD"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——实施（</w:t>
      </w:r>
      <w:r>
        <w:rPr>
          <w:rFonts w:ascii="仿宋_GB2312" w:eastAsia="仿宋_GB2312"/>
          <w:sz w:val="28"/>
          <w:szCs w:val="28"/>
        </w:rPr>
        <w:t>Do</w:t>
      </w:r>
      <w:r>
        <w:rPr>
          <w:rFonts w:ascii="仿宋_GB2312" w:eastAsia="仿宋_GB2312" w:hint="eastAsia"/>
          <w:sz w:val="28"/>
          <w:szCs w:val="28"/>
        </w:rPr>
        <w:t>）：实施所策划的碳排放管理过程。</w:t>
      </w:r>
    </w:p>
    <w:p w14:paraId="56D2539A"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lastRenderedPageBreak/>
        <w:t>——检查（</w:t>
      </w:r>
      <w:r>
        <w:rPr>
          <w:rFonts w:ascii="仿宋_GB2312" w:eastAsia="仿宋_GB2312"/>
          <w:sz w:val="28"/>
          <w:szCs w:val="28"/>
        </w:rPr>
        <w:t>Check</w:t>
      </w:r>
      <w:r>
        <w:rPr>
          <w:rFonts w:ascii="仿宋_GB2312" w:eastAsia="仿宋_GB2312" w:hint="eastAsia"/>
          <w:sz w:val="28"/>
          <w:szCs w:val="28"/>
        </w:rPr>
        <w:t>）：根据碳排放管理方针，包括其承诺、碳排放管理目标和运行准则，对过程</w:t>
      </w:r>
    </w:p>
    <w:p w14:paraId="5DDE1F93"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进行监视和测量，并报告结果。</w:t>
      </w:r>
    </w:p>
    <w:p w14:paraId="2D6E2212" w14:textId="77777777" w:rsidR="00453ECA" w:rsidRDefault="00000000">
      <w:pPr>
        <w:spacing w:beforeLines="50" w:before="156" w:afterLines="50" w:after="156"/>
        <w:ind w:firstLineChars="200" w:firstLine="560"/>
        <w:rPr>
          <w:rFonts w:ascii="仿宋_GB2312" w:eastAsia="仿宋_GB2312" w:hAnsi="黑体"/>
          <w:b/>
          <w:sz w:val="28"/>
          <w:szCs w:val="28"/>
        </w:rPr>
      </w:pPr>
      <w:r>
        <w:rPr>
          <w:rFonts w:ascii="仿宋_GB2312" w:eastAsia="仿宋_GB2312" w:hint="eastAsia"/>
          <w:sz w:val="28"/>
          <w:szCs w:val="28"/>
        </w:rPr>
        <w:t>——行动（</w:t>
      </w:r>
      <w:r>
        <w:rPr>
          <w:rFonts w:ascii="仿宋_GB2312" w:eastAsia="仿宋_GB2312"/>
          <w:sz w:val="28"/>
          <w:szCs w:val="28"/>
        </w:rPr>
        <w:t>Act</w:t>
      </w:r>
      <w:r>
        <w:rPr>
          <w:rFonts w:ascii="仿宋_GB2312" w:eastAsia="仿宋_GB2312" w:hint="eastAsia"/>
          <w:sz w:val="28"/>
          <w:szCs w:val="28"/>
        </w:rPr>
        <w:t>）：采取措施以持续改进。</w:t>
      </w:r>
    </w:p>
    <w:p w14:paraId="751DD3F1" w14:textId="77777777" w:rsidR="00453ECA" w:rsidRDefault="00000000">
      <w:pPr>
        <w:pStyle w:val="1"/>
        <w:spacing w:beforeLines="50" w:before="156" w:afterLines="50" w:after="156" w:line="240" w:lineRule="auto"/>
        <w:rPr>
          <w:rFonts w:ascii="黑体" w:eastAsia="黑体" w:hAnsi="黑体"/>
          <w:b w:val="0"/>
          <w:sz w:val="30"/>
          <w:szCs w:val="30"/>
        </w:rPr>
      </w:pPr>
      <w:bookmarkStart w:id="5" w:name="_Toc137627269"/>
      <w:r>
        <w:rPr>
          <w:rFonts w:ascii="黑体" w:eastAsia="黑体" w:hAnsi="黑体"/>
          <w:b w:val="0"/>
          <w:sz w:val="30"/>
          <w:szCs w:val="30"/>
        </w:rPr>
        <w:t>4</w:t>
      </w:r>
      <w:r>
        <w:rPr>
          <w:rFonts w:ascii="黑体" w:eastAsia="黑体" w:hAnsi="黑体" w:hint="eastAsia"/>
          <w:b w:val="0"/>
          <w:sz w:val="30"/>
          <w:szCs w:val="30"/>
        </w:rPr>
        <w:t>.标准主要技术内容</w:t>
      </w:r>
      <w:bookmarkEnd w:id="5"/>
    </w:p>
    <w:p w14:paraId="1458C8BA" w14:textId="4B95208A" w:rsidR="00453ECA" w:rsidRDefault="00000000">
      <w:pPr>
        <w:ind w:firstLineChars="200" w:firstLine="560"/>
        <w:rPr>
          <w:rFonts w:ascii="仿宋_GB2312" w:eastAsia="仿宋_GB2312"/>
          <w:sz w:val="28"/>
          <w:szCs w:val="28"/>
        </w:rPr>
      </w:pPr>
      <w:r>
        <w:rPr>
          <w:rFonts w:ascii="仿宋_GB2312" w:eastAsia="仿宋_GB2312" w:hint="eastAsia"/>
          <w:sz w:val="28"/>
          <w:szCs w:val="28"/>
        </w:rPr>
        <w:t>本文件主要包括</w:t>
      </w:r>
      <w:r w:rsidR="00FF3460">
        <w:rPr>
          <w:rFonts w:ascii="仿宋_GB2312" w:eastAsia="仿宋_GB2312" w:hint="eastAsia"/>
          <w:sz w:val="28"/>
          <w:szCs w:val="28"/>
        </w:rPr>
        <w:t>前言、</w:t>
      </w:r>
      <w:r>
        <w:rPr>
          <w:rFonts w:ascii="仿宋_GB2312" w:eastAsia="仿宋_GB2312" w:hint="eastAsia"/>
          <w:sz w:val="28"/>
          <w:szCs w:val="28"/>
        </w:rPr>
        <w:t>引言及正文内容：</w:t>
      </w:r>
    </w:p>
    <w:p w14:paraId="43E984CE" w14:textId="77777777" w:rsidR="004A2D36" w:rsidRDefault="004A2D36">
      <w:pPr>
        <w:ind w:firstLineChars="200" w:firstLine="560"/>
        <w:rPr>
          <w:rFonts w:ascii="仿宋_GB2312" w:eastAsia="仿宋_GB2312"/>
          <w:sz w:val="28"/>
          <w:szCs w:val="28"/>
        </w:rPr>
      </w:pPr>
      <w:r>
        <w:rPr>
          <w:rFonts w:ascii="仿宋_GB2312" w:eastAsia="仿宋_GB2312" w:hint="eastAsia"/>
          <w:sz w:val="28"/>
          <w:szCs w:val="28"/>
        </w:rPr>
        <w:t>其中：</w:t>
      </w:r>
    </w:p>
    <w:p w14:paraId="319EBA1C" w14:textId="77777777" w:rsidR="004A2D36" w:rsidRDefault="004A2D36">
      <w:pPr>
        <w:ind w:firstLineChars="200" w:firstLine="560"/>
        <w:rPr>
          <w:rFonts w:ascii="仿宋_GB2312" w:eastAsia="仿宋_GB2312"/>
          <w:sz w:val="28"/>
          <w:szCs w:val="28"/>
        </w:rPr>
      </w:pPr>
      <w:r>
        <w:rPr>
          <w:rFonts w:ascii="仿宋_GB2312" w:eastAsia="仿宋_GB2312" w:hint="eastAsia"/>
          <w:sz w:val="28"/>
          <w:szCs w:val="28"/>
        </w:rPr>
        <w:t>前言部分主要介绍本文件的提出及归口单位以及编制组；</w:t>
      </w:r>
    </w:p>
    <w:p w14:paraId="2D194AEF" w14:textId="63BC21F7" w:rsidR="00453ECA" w:rsidRDefault="00000000">
      <w:pPr>
        <w:ind w:firstLineChars="200" w:firstLine="560"/>
        <w:rPr>
          <w:rFonts w:ascii="仿宋_GB2312" w:eastAsia="仿宋_GB2312"/>
          <w:sz w:val="28"/>
          <w:szCs w:val="28"/>
        </w:rPr>
      </w:pPr>
      <w:r>
        <w:rPr>
          <w:rFonts w:ascii="仿宋_GB2312" w:eastAsia="仿宋_GB2312" w:hint="eastAsia"/>
          <w:sz w:val="28"/>
          <w:szCs w:val="28"/>
        </w:rPr>
        <w:t>引言部分主要介绍标准编制的背景、意义及目的等内容</w:t>
      </w:r>
      <w:r w:rsidR="004A2D36">
        <w:rPr>
          <w:rFonts w:ascii="仿宋_GB2312" w:eastAsia="仿宋_GB2312" w:hint="eastAsia"/>
          <w:sz w:val="28"/>
          <w:szCs w:val="28"/>
        </w:rPr>
        <w:t>；</w:t>
      </w:r>
    </w:p>
    <w:p w14:paraId="3E5C719D" w14:textId="0D90729D" w:rsidR="00453ECA" w:rsidRDefault="00000000">
      <w:pPr>
        <w:ind w:firstLineChars="200" w:firstLine="560"/>
        <w:rPr>
          <w:rFonts w:ascii="仿宋_GB2312" w:eastAsia="仿宋_GB2312" w:hint="eastAsia"/>
          <w:sz w:val="28"/>
          <w:szCs w:val="28"/>
        </w:rPr>
      </w:pPr>
      <w:r>
        <w:rPr>
          <w:rFonts w:ascii="仿宋_GB2312" w:eastAsia="仿宋_GB2312" w:hint="eastAsia"/>
          <w:sz w:val="28"/>
          <w:szCs w:val="28"/>
        </w:rPr>
        <w:t>正文内容包括范围、规范性引用文件、术语和定义、企业所处的环境、管理职责、策划、支持、实施和运行、绩效评价以及改进等10章节内容。</w:t>
      </w:r>
      <w:r w:rsidR="00AE0C42">
        <w:rPr>
          <w:rFonts w:ascii="仿宋_GB2312" w:eastAsia="仿宋_GB2312" w:hint="eastAsia"/>
          <w:sz w:val="28"/>
          <w:szCs w:val="28"/>
        </w:rPr>
        <w:t>第1章</w:t>
      </w:r>
      <w:r w:rsidR="00AE3B3C">
        <w:rPr>
          <w:rFonts w:ascii="仿宋_GB2312" w:eastAsia="仿宋_GB2312" w:hint="eastAsia"/>
          <w:sz w:val="28"/>
          <w:szCs w:val="28"/>
        </w:rPr>
        <w:t>规定了</w:t>
      </w:r>
      <w:r w:rsidR="00AE3B3C" w:rsidRPr="00AE3B3C">
        <w:rPr>
          <w:rFonts w:ascii="仿宋_GB2312" w:eastAsia="仿宋_GB2312" w:hint="eastAsia"/>
          <w:sz w:val="28"/>
          <w:szCs w:val="28"/>
        </w:rPr>
        <w:t>企业碳排放管理体系的建立、实施、保持和改进等建设全过程的要求和方法</w:t>
      </w:r>
      <w:r w:rsidR="00AE3B3C">
        <w:rPr>
          <w:rFonts w:ascii="仿宋_GB2312" w:eastAsia="仿宋_GB2312" w:hint="eastAsia"/>
          <w:sz w:val="28"/>
          <w:szCs w:val="28"/>
        </w:rPr>
        <w:t>，适用于</w:t>
      </w:r>
      <w:r w:rsidR="00AE3B3C" w:rsidRPr="00AE3B3C">
        <w:rPr>
          <w:rFonts w:ascii="仿宋_GB2312" w:eastAsia="仿宋_GB2312" w:hint="eastAsia"/>
          <w:sz w:val="28"/>
          <w:szCs w:val="28"/>
        </w:rPr>
        <w:t>企业碳排放管理体系的建设和运行</w:t>
      </w:r>
      <w:r w:rsidR="00AE3B3C">
        <w:rPr>
          <w:rFonts w:ascii="仿宋_GB2312" w:eastAsia="仿宋_GB2312" w:hint="eastAsia"/>
          <w:sz w:val="28"/>
          <w:szCs w:val="28"/>
        </w:rPr>
        <w:t>；</w:t>
      </w:r>
      <w:r w:rsidR="00AE0C42">
        <w:rPr>
          <w:rFonts w:ascii="仿宋_GB2312" w:eastAsia="仿宋_GB2312" w:hint="eastAsia"/>
          <w:sz w:val="28"/>
          <w:szCs w:val="28"/>
        </w:rPr>
        <w:t>第</w:t>
      </w:r>
      <w:r w:rsidR="001A281B">
        <w:rPr>
          <w:rFonts w:ascii="仿宋_GB2312" w:eastAsia="仿宋_GB2312"/>
          <w:sz w:val="28"/>
          <w:szCs w:val="28"/>
        </w:rPr>
        <w:t>3</w:t>
      </w:r>
      <w:r w:rsidR="00AE0C42">
        <w:rPr>
          <w:rFonts w:ascii="仿宋_GB2312" w:eastAsia="仿宋_GB2312" w:hint="eastAsia"/>
          <w:sz w:val="28"/>
          <w:szCs w:val="28"/>
        </w:rPr>
        <w:t>章</w:t>
      </w:r>
      <w:r w:rsidR="00AE3B3C">
        <w:rPr>
          <w:rFonts w:ascii="仿宋_GB2312" w:eastAsia="仿宋_GB2312" w:hint="eastAsia"/>
          <w:sz w:val="28"/>
          <w:szCs w:val="28"/>
        </w:rPr>
        <w:t>规范与碳、管理体系相关的</w:t>
      </w:r>
      <w:r w:rsidR="00A70E71">
        <w:rPr>
          <w:rFonts w:ascii="仿宋_GB2312" w:eastAsia="仿宋_GB2312" w:hint="eastAsia"/>
          <w:sz w:val="28"/>
          <w:szCs w:val="28"/>
        </w:rPr>
        <w:t>专业术语，</w:t>
      </w:r>
      <w:r w:rsidR="005C597B">
        <w:rPr>
          <w:rFonts w:ascii="仿宋_GB2312" w:eastAsia="仿宋_GB2312" w:hint="eastAsia"/>
          <w:sz w:val="28"/>
          <w:szCs w:val="28"/>
        </w:rPr>
        <w:t>助于企业</w:t>
      </w:r>
      <w:r w:rsidR="00AE0C42">
        <w:rPr>
          <w:rFonts w:ascii="仿宋_GB2312" w:eastAsia="仿宋_GB2312" w:hint="eastAsia"/>
          <w:sz w:val="28"/>
          <w:szCs w:val="28"/>
        </w:rPr>
        <w:t>理解碳排放管理体系的相关要素；第</w:t>
      </w:r>
      <w:r w:rsidR="001A281B">
        <w:rPr>
          <w:rFonts w:ascii="仿宋_GB2312" w:eastAsia="仿宋_GB2312"/>
          <w:sz w:val="28"/>
          <w:szCs w:val="28"/>
        </w:rPr>
        <w:t>4</w:t>
      </w:r>
      <w:r w:rsidR="00AE0C42">
        <w:rPr>
          <w:rFonts w:ascii="仿宋_GB2312" w:eastAsia="仿宋_GB2312" w:hint="eastAsia"/>
          <w:sz w:val="28"/>
          <w:szCs w:val="28"/>
        </w:rPr>
        <w:t>章</w:t>
      </w:r>
      <w:r w:rsidR="00131C01">
        <w:rPr>
          <w:rFonts w:ascii="仿宋_GB2312" w:eastAsia="仿宋_GB2312" w:hint="eastAsia"/>
          <w:sz w:val="28"/>
          <w:szCs w:val="28"/>
        </w:rPr>
        <w:t>介绍了</w:t>
      </w:r>
      <w:r w:rsidR="001A281B">
        <w:rPr>
          <w:rFonts w:ascii="仿宋_GB2312" w:eastAsia="仿宋_GB2312" w:hint="eastAsia"/>
          <w:sz w:val="28"/>
          <w:szCs w:val="28"/>
        </w:rPr>
        <w:t>企业在双碳背景下所面临的的内外部约束</w:t>
      </w:r>
      <w:r w:rsidR="00131C01">
        <w:rPr>
          <w:rFonts w:ascii="仿宋_GB2312" w:eastAsia="仿宋_GB2312" w:hint="eastAsia"/>
          <w:sz w:val="28"/>
          <w:szCs w:val="28"/>
        </w:rPr>
        <w:t>、相关方期望，明确企业</w:t>
      </w:r>
      <w:r w:rsidR="001A281B">
        <w:rPr>
          <w:rFonts w:ascii="仿宋_GB2312" w:eastAsia="仿宋_GB2312" w:hint="eastAsia"/>
          <w:sz w:val="28"/>
          <w:szCs w:val="28"/>
        </w:rPr>
        <w:t>碳</w:t>
      </w:r>
      <w:r w:rsidR="00C83152">
        <w:rPr>
          <w:rFonts w:ascii="仿宋_GB2312" w:eastAsia="仿宋_GB2312" w:hint="eastAsia"/>
          <w:sz w:val="28"/>
          <w:szCs w:val="28"/>
        </w:rPr>
        <w:t>排放管理</w:t>
      </w:r>
      <w:r w:rsidR="00131C01">
        <w:rPr>
          <w:rFonts w:ascii="仿宋_GB2312" w:eastAsia="仿宋_GB2312" w:hint="eastAsia"/>
          <w:sz w:val="28"/>
          <w:szCs w:val="28"/>
        </w:rPr>
        <w:t>体系的范围及</w:t>
      </w:r>
      <w:r w:rsidR="00AC2942">
        <w:rPr>
          <w:rFonts w:ascii="仿宋_GB2312" w:eastAsia="仿宋_GB2312" w:hint="eastAsia"/>
          <w:sz w:val="28"/>
          <w:szCs w:val="28"/>
        </w:rPr>
        <w:t>过程中关键考虑；第5章则明确了企业最高管理者、碳排放管理机构的</w:t>
      </w:r>
      <w:r w:rsidR="00060CB5">
        <w:rPr>
          <w:rFonts w:ascii="仿宋_GB2312" w:eastAsia="仿宋_GB2312" w:hint="eastAsia"/>
          <w:sz w:val="28"/>
          <w:szCs w:val="28"/>
        </w:rPr>
        <w:t>职责</w:t>
      </w:r>
      <w:r w:rsidR="00AC2942">
        <w:rPr>
          <w:rFonts w:ascii="仿宋_GB2312" w:eastAsia="仿宋_GB2312" w:hint="eastAsia"/>
          <w:sz w:val="28"/>
          <w:szCs w:val="28"/>
        </w:rPr>
        <w:t>边界、碳排放管理方针的主要内容</w:t>
      </w:r>
      <w:r w:rsidR="00060CB5">
        <w:rPr>
          <w:rFonts w:ascii="仿宋_GB2312" w:eastAsia="仿宋_GB2312" w:hint="eastAsia"/>
          <w:sz w:val="28"/>
          <w:szCs w:val="28"/>
        </w:rPr>
        <w:t>；第6章-</w:t>
      </w:r>
      <w:r w:rsidR="00060CB5">
        <w:rPr>
          <w:rFonts w:ascii="仿宋_GB2312" w:eastAsia="仿宋_GB2312"/>
          <w:sz w:val="28"/>
          <w:szCs w:val="28"/>
        </w:rPr>
        <w:t>10</w:t>
      </w:r>
      <w:r w:rsidR="00060CB5">
        <w:rPr>
          <w:rFonts w:ascii="仿宋_GB2312" w:eastAsia="仿宋_GB2312" w:hint="eastAsia"/>
          <w:sz w:val="28"/>
          <w:szCs w:val="28"/>
        </w:rPr>
        <w:t>章则是从PDCA</w:t>
      </w:r>
      <w:r w:rsidR="00060CB5" w:rsidRPr="00060CB5">
        <w:rPr>
          <w:rFonts w:ascii="仿宋_GB2312" w:eastAsia="仿宋_GB2312" w:hint="eastAsia"/>
          <w:sz w:val="28"/>
          <w:szCs w:val="28"/>
        </w:rPr>
        <w:t>“策划—实施—检查—行动”</w:t>
      </w:r>
      <w:r w:rsidR="00060CB5">
        <w:rPr>
          <w:rFonts w:ascii="仿宋_GB2312" w:eastAsia="仿宋_GB2312" w:hint="eastAsia"/>
          <w:sz w:val="28"/>
          <w:szCs w:val="28"/>
        </w:rPr>
        <w:t>的基本逻辑出发，</w:t>
      </w:r>
      <w:r w:rsidR="000E0E5F">
        <w:rPr>
          <w:rFonts w:ascii="仿宋_GB2312" w:eastAsia="仿宋_GB2312" w:hint="eastAsia"/>
          <w:sz w:val="28"/>
          <w:szCs w:val="28"/>
        </w:rPr>
        <w:t>明确企业建立实施碳排放管理体系的步骤及如何持续改进碳排放管理绩效，标准框架遵循</w:t>
      </w:r>
      <w:r w:rsidR="000E0E5F">
        <w:rPr>
          <w:rFonts w:ascii="仿宋_GB2312" w:eastAsia="仿宋_GB2312" w:hint="eastAsia"/>
          <w:sz w:val="28"/>
          <w:szCs w:val="28"/>
        </w:rPr>
        <w:t>PDCA</w:t>
      </w:r>
      <w:r w:rsidR="003C1FD0">
        <w:rPr>
          <w:rFonts w:ascii="仿宋_GB2312" w:eastAsia="仿宋_GB2312" w:hint="eastAsia"/>
          <w:sz w:val="28"/>
          <w:szCs w:val="28"/>
        </w:rPr>
        <w:t>管理原则，</w:t>
      </w:r>
      <w:r w:rsidR="00F607D5">
        <w:rPr>
          <w:rFonts w:ascii="仿宋_GB2312" w:eastAsia="仿宋_GB2312" w:hint="eastAsia"/>
          <w:sz w:val="28"/>
          <w:szCs w:val="28"/>
        </w:rPr>
        <w:t>大大提升</w:t>
      </w:r>
      <w:r w:rsidR="003C1FD0">
        <w:rPr>
          <w:rFonts w:ascii="仿宋_GB2312" w:eastAsia="仿宋_GB2312" w:hint="eastAsia"/>
          <w:sz w:val="28"/>
          <w:szCs w:val="28"/>
        </w:rPr>
        <w:t>碳排放管理体系与其他企业在建的、已成熟</w:t>
      </w:r>
      <w:r w:rsidR="003C1FD0">
        <w:rPr>
          <w:rFonts w:ascii="仿宋_GB2312" w:eastAsia="仿宋_GB2312" w:hint="eastAsia"/>
          <w:sz w:val="28"/>
          <w:szCs w:val="28"/>
        </w:rPr>
        <w:lastRenderedPageBreak/>
        <w:t>能源管理体系、</w:t>
      </w:r>
      <w:r w:rsidR="00F607D5">
        <w:rPr>
          <w:rFonts w:ascii="仿宋_GB2312" w:eastAsia="仿宋_GB2312" w:hint="eastAsia"/>
          <w:sz w:val="28"/>
          <w:szCs w:val="28"/>
        </w:rPr>
        <w:t>环境管理体系的融合度，使碳排放管理体更具实操性</w:t>
      </w:r>
      <w:r w:rsidR="000E0E5F">
        <w:rPr>
          <w:rFonts w:ascii="仿宋_GB2312" w:eastAsia="仿宋_GB2312" w:hint="eastAsia"/>
          <w:sz w:val="28"/>
          <w:szCs w:val="28"/>
        </w:rPr>
        <w:t>。</w:t>
      </w:r>
    </w:p>
    <w:p w14:paraId="7B7F761D" w14:textId="77777777" w:rsidR="00453ECA" w:rsidRDefault="00000000">
      <w:pPr>
        <w:pStyle w:val="1"/>
        <w:spacing w:beforeLines="50" w:before="156" w:afterLines="50" w:after="156" w:line="240" w:lineRule="auto"/>
        <w:rPr>
          <w:rFonts w:ascii="黑体" w:eastAsia="黑体" w:hAnsi="黑体"/>
          <w:b w:val="0"/>
          <w:sz w:val="30"/>
          <w:szCs w:val="30"/>
        </w:rPr>
      </w:pPr>
      <w:bookmarkStart w:id="6" w:name="_Toc137627270"/>
      <w:r>
        <w:rPr>
          <w:rFonts w:ascii="黑体" w:eastAsia="黑体" w:hAnsi="黑体"/>
          <w:b w:val="0"/>
          <w:sz w:val="30"/>
          <w:szCs w:val="30"/>
        </w:rPr>
        <w:t>5</w:t>
      </w:r>
      <w:r>
        <w:rPr>
          <w:rFonts w:ascii="黑体" w:eastAsia="黑体" w:hAnsi="黑体" w:hint="eastAsia"/>
          <w:b w:val="0"/>
          <w:sz w:val="30"/>
          <w:szCs w:val="30"/>
        </w:rPr>
        <w:t>.主要试验、验证及试行结果</w:t>
      </w:r>
      <w:bookmarkEnd w:id="6"/>
    </w:p>
    <w:p w14:paraId="0F5927DF" w14:textId="579AE818" w:rsidR="007F2155" w:rsidRDefault="0080691D">
      <w:pPr>
        <w:ind w:firstLineChars="200" w:firstLine="560"/>
        <w:rPr>
          <w:rFonts w:ascii="仿宋_GB2312" w:eastAsia="仿宋_GB2312"/>
          <w:sz w:val="28"/>
          <w:szCs w:val="28"/>
        </w:rPr>
      </w:pPr>
      <w:r>
        <w:rPr>
          <w:rFonts w:ascii="仿宋_GB2312" w:eastAsia="仿宋_GB2312" w:hint="eastAsia"/>
          <w:sz w:val="28"/>
          <w:szCs w:val="28"/>
        </w:rPr>
        <w:t>本标准在征求意见稿编制完成后，分别选取高耗能</w:t>
      </w:r>
      <w:r w:rsidR="00A41E05">
        <w:rPr>
          <w:rFonts w:ascii="仿宋_GB2312" w:eastAsia="仿宋_GB2312" w:hint="eastAsia"/>
          <w:sz w:val="28"/>
          <w:szCs w:val="28"/>
        </w:rPr>
        <w:t>行业</w:t>
      </w:r>
      <w:r>
        <w:rPr>
          <w:rFonts w:ascii="仿宋_GB2312" w:eastAsia="仿宋_GB2312" w:hint="eastAsia"/>
          <w:sz w:val="28"/>
          <w:szCs w:val="28"/>
        </w:rPr>
        <w:t>、</w:t>
      </w:r>
      <w:r w:rsidR="00A41E05">
        <w:rPr>
          <w:rFonts w:ascii="仿宋_GB2312" w:eastAsia="仿宋_GB2312" w:hint="eastAsia"/>
          <w:sz w:val="28"/>
          <w:szCs w:val="28"/>
        </w:rPr>
        <w:t>制造业、科技与服务业等三大类</w:t>
      </w:r>
      <w:r w:rsidR="007F2155">
        <w:rPr>
          <w:rFonts w:ascii="仿宋_GB2312" w:eastAsia="仿宋_GB2312" w:hint="eastAsia"/>
          <w:sz w:val="28"/>
          <w:szCs w:val="28"/>
        </w:rPr>
        <w:t>不同类型企业</w:t>
      </w:r>
      <w:r w:rsidR="00A41E05">
        <w:rPr>
          <w:rFonts w:ascii="仿宋_GB2312" w:eastAsia="仿宋_GB2312" w:hint="eastAsia"/>
          <w:sz w:val="28"/>
          <w:szCs w:val="28"/>
        </w:rPr>
        <w:t>进行了内部性实验，并取得较</w:t>
      </w:r>
      <w:r w:rsidR="000A66CF">
        <w:rPr>
          <w:rFonts w:ascii="仿宋_GB2312" w:eastAsia="仿宋_GB2312" w:hint="eastAsia"/>
          <w:sz w:val="28"/>
          <w:szCs w:val="28"/>
        </w:rPr>
        <w:t>好的成果，有效提升了企业的碳排放管理水平。</w:t>
      </w:r>
    </w:p>
    <w:p w14:paraId="1D61B1B9" w14:textId="77777777" w:rsidR="00453ECA" w:rsidRDefault="00000000">
      <w:pPr>
        <w:pStyle w:val="1"/>
        <w:spacing w:beforeLines="50" w:before="156" w:afterLines="50" w:after="156" w:line="240" w:lineRule="auto"/>
        <w:rPr>
          <w:rFonts w:ascii="黑体" w:eastAsia="黑体" w:hAnsi="黑体"/>
          <w:b w:val="0"/>
          <w:sz w:val="30"/>
          <w:szCs w:val="30"/>
        </w:rPr>
      </w:pPr>
      <w:bookmarkStart w:id="7" w:name="_Toc137627271"/>
      <w:r>
        <w:rPr>
          <w:rFonts w:ascii="黑体" w:eastAsia="黑体" w:hAnsi="黑体"/>
          <w:b w:val="0"/>
          <w:sz w:val="30"/>
          <w:szCs w:val="30"/>
        </w:rPr>
        <w:t>6</w:t>
      </w:r>
      <w:r>
        <w:rPr>
          <w:rFonts w:ascii="黑体" w:eastAsia="黑体" w:hAnsi="黑体" w:hint="eastAsia"/>
          <w:b w:val="0"/>
          <w:sz w:val="30"/>
          <w:szCs w:val="30"/>
        </w:rPr>
        <w:t>.与相关标准的关系分析</w:t>
      </w:r>
      <w:bookmarkEnd w:id="7"/>
    </w:p>
    <w:p w14:paraId="47EBD747" w14:textId="77777777" w:rsidR="00453ECA" w:rsidRDefault="00000000">
      <w:pPr>
        <w:ind w:firstLineChars="200" w:firstLine="560"/>
        <w:rPr>
          <w:rFonts w:ascii="仿宋_GB2312" w:eastAsia="仿宋_GB2312"/>
          <w:sz w:val="28"/>
          <w:szCs w:val="28"/>
        </w:rPr>
      </w:pPr>
      <w:r>
        <w:rPr>
          <w:rFonts w:ascii="仿宋_GB2312" w:eastAsia="仿宋_GB2312"/>
          <w:sz w:val="28"/>
          <w:szCs w:val="28"/>
        </w:rPr>
        <w:t>本</w:t>
      </w:r>
      <w:r>
        <w:rPr>
          <w:rFonts w:ascii="仿宋_GB2312" w:eastAsia="仿宋_GB2312" w:hint="eastAsia"/>
          <w:sz w:val="28"/>
          <w:szCs w:val="28"/>
        </w:rPr>
        <w:t>文件</w:t>
      </w:r>
      <w:r>
        <w:rPr>
          <w:rFonts w:ascii="仿宋_GB2312" w:eastAsia="仿宋_GB2312"/>
          <w:sz w:val="28"/>
          <w:szCs w:val="28"/>
        </w:rPr>
        <w:t>的内容不涉及专利</w:t>
      </w:r>
      <w:r>
        <w:rPr>
          <w:rFonts w:ascii="仿宋_GB2312" w:eastAsia="仿宋_GB2312" w:hint="eastAsia"/>
          <w:sz w:val="28"/>
          <w:szCs w:val="28"/>
        </w:rPr>
        <w:t>。</w:t>
      </w:r>
    </w:p>
    <w:p w14:paraId="3DAEAD2A"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本文件参考了如下规范性文件。</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86"/>
      </w:tblGrid>
      <w:tr w:rsidR="00453ECA" w14:paraId="5F089E65" w14:textId="77777777">
        <w:tc>
          <w:tcPr>
            <w:tcW w:w="2410" w:type="dxa"/>
          </w:tcPr>
          <w:p w14:paraId="7135ED16"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kern w:val="0"/>
                <w:szCs w:val="21"/>
              </w:rPr>
              <w:t>GB 17167</w:t>
            </w:r>
          </w:p>
        </w:tc>
        <w:tc>
          <w:tcPr>
            <w:tcW w:w="5886" w:type="dxa"/>
          </w:tcPr>
          <w:p w14:paraId="3CD5541D"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用能单位能源计量器具配备和管理通则</w:t>
            </w:r>
          </w:p>
        </w:tc>
      </w:tr>
      <w:tr w:rsidR="00453ECA" w14:paraId="318F8A97" w14:textId="77777777">
        <w:tc>
          <w:tcPr>
            <w:tcW w:w="2410" w:type="dxa"/>
          </w:tcPr>
          <w:p w14:paraId="68B17BEE" w14:textId="77777777" w:rsidR="00453ECA" w:rsidRDefault="00000000">
            <w:pPr>
              <w:spacing w:line="400" w:lineRule="exact"/>
              <w:ind w:leftChars="150" w:left="315"/>
              <w:rPr>
                <w:rFonts w:ascii="仿宋_GB2312" w:eastAsia="仿宋_GB2312" w:hAnsi="仿宋" w:cs="Times New Roman"/>
                <w:kern w:val="0"/>
                <w:szCs w:val="21"/>
              </w:rPr>
            </w:pPr>
            <w:bookmarkStart w:id="8" w:name="_Hlk115705393"/>
            <w:r>
              <w:rPr>
                <w:rFonts w:ascii="仿宋_GB2312" w:eastAsia="仿宋_GB2312" w:hAnsi="仿宋" w:cs="Times New Roman" w:hint="eastAsia"/>
                <w:kern w:val="0"/>
                <w:szCs w:val="21"/>
              </w:rPr>
              <w:t>GB/T 23331</w:t>
            </w:r>
            <w:bookmarkEnd w:id="8"/>
          </w:p>
        </w:tc>
        <w:tc>
          <w:tcPr>
            <w:tcW w:w="5886" w:type="dxa"/>
          </w:tcPr>
          <w:p w14:paraId="7BEC413C"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能源管理体系 要求及使用指南</w:t>
            </w:r>
          </w:p>
        </w:tc>
      </w:tr>
      <w:tr w:rsidR="00453ECA" w14:paraId="6DCAA631" w14:textId="77777777">
        <w:tc>
          <w:tcPr>
            <w:tcW w:w="2410" w:type="dxa"/>
          </w:tcPr>
          <w:p w14:paraId="6AC49CFE" w14:textId="77777777" w:rsidR="00453ECA" w:rsidRDefault="00000000">
            <w:pPr>
              <w:spacing w:line="400" w:lineRule="exact"/>
              <w:ind w:leftChars="150" w:left="315"/>
              <w:rPr>
                <w:rFonts w:ascii="仿宋_GB2312" w:eastAsia="仿宋_GB2312" w:hAnsi="仿宋" w:cs="Times New Roman"/>
                <w:kern w:val="0"/>
                <w:szCs w:val="21"/>
              </w:rPr>
            </w:pPr>
            <w:bookmarkStart w:id="9" w:name="_Hlk115705408"/>
            <w:r>
              <w:rPr>
                <w:rFonts w:ascii="仿宋_GB2312" w:eastAsia="仿宋_GB2312" w:hAnsi="仿宋" w:cs="Times New Roman" w:hint="eastAsia"/>
                <w:kern w:val="0"/>
                <w:szCs w:val="21"/>
              </w:rPr>
              <w:t>GB/T 24001</w:t>
            </w:r>
            <w:bookmarkEnd w:id="9"/>
          </w:p>
        </w:tc>
        <w:tc>
          <w:tcPr>
            <w:tcW w:w="5886" w:type="dxa"/>
          </w:tcPr>
          <w:p w14:paraId="13C7A9D2"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环境管理体系 要求及使用指南</w:t>
            </w:r>
          </w:p>
        </w:tc>
      </w:tr>
      <w:tr w:rsidR="00453ECA" w14:paraId="6D08C96B" w14:textId="77777777">
        <w:tc>
          <w:tcPr>
            <w:tcW w:w="2410" w:type="dxa"/>
          </w:tcPr>
          <w:p w14:paraId="12569BE4" w14:textId="77777777" w:rsidR="00453ECA" w:rsidRDefault="00000000">
            <w:pPr>
              <w:spacing w:line="400" w:lineRule="exact"/>
              <w:ind w:leftChars="150" w:left="315"/>
              <w:rPr>
                <w:rFonts w:ascii="仿宋_GB2312" w:eastAsia="仿宋_GB2312" w:hAnsi="仿宋" w:cs="Times New Roman"/>
                <w:kern w:val="0"/>
                <w:szCs w:val="21"/>
              </w:rPr>
            </w:pPr>
            <w:bookmarkStart w:id="10" w:name="_Hlk115705433"/>
            <w:r>
              <w:rPr>
                <w:rFonts w:ascii="仿宋_GB2312" w:eastAsia="仿宋_GB2312" w:hAnsi="仿宋" w:cs="Times New Roman" w:hint="eastAsia"/>
                <w:kern w:val="0"/>
                <w:szCs w:val="21"/>
              </w:rPr>
              <w:t>GB/T 33173</w:t>
            </w:r>
            <w:bookmarkEnd w:id="10"/>
          </w:p>
        </w:tc>
        <w:tc>
          <w:tcPr>
            <w:tcW w:w="5886" w:type="dxa"/>
          </w:tcPr>
          <w:p w14:paraId="1FA7377F"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资产管理 管理体系 要求</w:t>
            </w:r>
          </w:p>
        </w:tc>
      </w:tr>
      <w:tr w:rsidR="00453ECA" w14:paraId="613FF76E" w14:textId="77777777">
        <w:tc>
          <w:tcPr>
            <w:tcW w:w="2410" w:type="dxa"/>
          </w:tcPr>
          <w:p w14:paraId="0523F640"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GB/T 32150</w:t>
            </w:r>
          </w:p>
        </w:tc>
        <w:tc>
          <w:tcPr>
            <w:tcW w:w="5886" w:type="dxa"/>
          </w:tcPr>
          <w:p w14:paraId="4FAAA9C6"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工业企业温室气体排放核算和报告通则</w:t>
            </w:r>
          </w:p>
        </w:tc>
      </w:tr>
      <w:tr w:rsidR="00453ECA" w14:paraId="1596ABDE" w14:textId="77777777">
        <w:tc>
          <w:tcPr>
            <w:tcW w:w="2410" w:type="dxa"/>
          </w:tcPr>
          <w:p w14:paraId="6E042361"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DB11/T 1559</w:t>
            </w:r>
          </w:p>
        </w:tc>
        <w:tc>
          <w:tcPr>
            <w:tcW w:w="5886" w:type="dxa"/>
          </w:tcPr>
          <w:p w14:paraId="2FCE3A13"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碳排放管理体系实施指南</w:t>
            </w:r>
          </w:p>
        </w:tc>
      </w:tr>
      <w:tr w:rsidR="00453ECA" w14:paraId="55757FFE" w14:textId="77777777">
        <w:tc>
          <w:tcPr>
            <w:tcW w:w="2410" w:type="dxa"/>
          </w:tcPr>
          <w:p w14:paraId="504C29A1"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DB11/T 1370</w:t>
            </w:r>
          </w:p>
        </w:tc>
        <w:tc>
          <w:tcPr>
            <w:tcW w:w="5886" w:type="dxa"/>
          </w:tcPr>
          <w:p w14:paraId="14E5F85B"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低碳企业评价技术导则</w:t>
            </w:r>
          </w:p>
        </w:tc>
      </w:tr>
      <w:tr w:rsidR="00453ECA" w14:paraId="47336B85" w14:textId="77777777">
        <w:tc>
          <w:tcPr>
            <w:tcW w:w="2410" w:type="dxa"/>
          </w:tcPr>
          <w:p w14:paraId="17BC1150"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ISO 14064-1</w:t>
            </w:r>
          </w:p>
        </w:tc>
        <w:tc>
          <w:tcPr>
            <w:tcW w:w="5886" w:type="dxa"/>
          </w:tcPr>
          <w:p w14:paraId="24F0DBF7"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温室气体 第1部分 项目层面对温室气体减排和清除增加的量化和报告规范及指南 (Greenhouse gases -Part 1：Specification with guidance at the organization level for quantification and reporting of greenhouse gas emissions and removals)</w:t>
            </w:r>
          </w:p>
        </w:tc>
      </w:tr>
      <w:tr w:rsidR="00453ECA" w14:paraId="0D2A079E" w14:textId="77777777">
        <w:tc>
          <w:tcPr>
            <w:tcW w:w="2410" w:type="dxa"/>
          </w:tcPr>
          <w:p w14:paraId="1AB0B086"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ISO 14064-2</w:t>
            </w:r>
          </w:p>
        </w:tc>
        <w:tc>
          <w:tcPr>
            <w:tcW w:w="5886" w:type="dxa"/>
          </w:tcPr>
          <w:p w14:paraId="0770CB0B"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温室气体 第2部分 项目层面对温室气体减排和清除增加的量化、监测和报告规范及指南 (Greenhouse gases-Part 2：Specification with guidance at the project level for quantification, monitoring and reporting of greenhouse gas emission reductions or removal enhancements)</w:t>
            </w:r>
          </w:p>
        </w:tc>
      </w:tr>
      <w:tr w:rsidR="00453ECA" w14:paraId="6CC6C057" w14:textId="77777777">
        <w:tc>
          <w:tcPr>
            <w:tcW w:w="2410" w:type="dxa"/>
          </w:tcPr>
          <w:p w14:paraId="2072E8BB" w14:textId="77777777" w:rsidR="00453ECA" w:rsidRDefault="00000000">
            <w:pPr>
              <w:spacing w:line="400" w:lineRule="exact"/>
              <w:ind w:leftChars="150" w:left="315"/>
              <w:rPr>
                <w:rFonts w:ascii="仿宋_GB2312" w:eastAsia="仿宋_GB2312" w:hAnsi="仿宋" w:cs="Times New Roman"/>
                <w:kern w:val="0"/>
                <w:szCs w:val="21"/>
              </w:rPr>
            </w:pPr>
            <w:r>
              <w:rPr>
                <w:rFonts w:ascii="仿宋_GB2312" w:eastAsia="仿宋_GB2312" w:hAnsi="仿宋" w:cs="Times New Roman" w:hint="eastAsia"/>
                <w:kern w:val="0"/>
                <w:szCs w:val="21"/>
              </w:rPr>
              <w:t>ISO 14064-3</w:t>
            </w:r>
          </w:p>
        </w:tc>
        <w:tc>
          <w:tcPr>
            <w:tcW w:w="5886" w:type="dxa"/>
          </w:tcPr>
          <w:p w14:paraId="7357077A" w14:textId="77777777" w:rsidR="00453ECA" w:rsidRDefault="00000000">
            <w:pPr>
              <w:spacing w:line="400" w:lineRule="exact"/>
              <w:rPr>
                <w:rFonts w:ascii="仿宋_GB2312" w:eastAsia="仿宋_GB2312" w:hAnsi="仿宋" w:cs="Times New Roman"/>
                <w:kern w:val="0"/>
                <w:szCs w:val="21"/>
              </w:rPr>
            </w:pPr>
            <w:r>
              <w:rPr>
                <w:rFonts w:ascii="仿宋_GB2312" w:eastAsia="仿宋_GB2312" w:hAnsi="仿宋" w:cs="Times New Roman" w:hint="eastAsia"/>
                <w:kern w:val="0"/>
                <w:szCs w:val="21"/>
              </w:rPr>
              <w:t xml:space="preserve">温室气体 第3部分 温室气体声明审定与核查的规范及指南（Greenhouse gases-Part 3：Specification with guidance for the validation and verification of greenhouse gas </w:t>
            </w:r>
            <w:r>
              <w:rPr>
                <w:rFonts w:ascii="仿宋_GB2312" w:eastAsia="仿宋_GB2312" w:hAnsi="仿宋" w:cs="Times New Roman" w:hint="eastAsia"/>
                <w:kern w:val="0"/>
                <w:szCs w:val="21"/>
              </w:rPr>
              <w:lastRenderedPageBreak/>
              <w:t>assertions）</w:t>
            </w:r>
          </w:p>
        </w:tc>
      </w:tr>
    </w:tbl>
    <w:p w14:paraId="1FCDAE89"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lastRenderedPageBreak/>
        <w:t>本文件在编制过程中，尤其是标准框架结构主要参考了国家标准：</w:t>
      </w:r>
      <w:r>
        <w:rPr>
          <w:rFonts w:ascii="仿宋_GB2312" w:eastAsia="仿宋_GB2312"/>
          <w:sz w:val="28"/>
          <w:szCs w:val="28"/>
        </w:rPr>
        <w:t>GB/T 23331</w:t>
      </w:r>
      <w:r>
        <w:rPr>
          <w:rFonts w:ascii="仿宋_GB2312" w:eastAsia="仿宋_GB2312" w:hint="eastAsia"/>
          <w:sz w:val="28"/>
          <w:szCs w:val="28"/>
        </w:rPr>
        <w:t>《能源管理体系 要求及使用指南》、</w:t>
      </w:r>
      <w:r>
        <w:rPr>
          <w:rFonts w:ascii="仿宋_GB2312" w:eastAsia="仿宋_GB2312"/>
          <w:sz w:val="28"/>
          <w:szCs w:val="28"/>
        </w:rPr>
        <w:t>GB/T 24001</w:t>
      </w:r>
      <w:r>
        <w:rPr>
          <w:rFonts w:ascii="仿宋_GB2312" w:eastAsia="仿宋_GB2312" w:hint="eastAsia"/>
          <w:sz w:val="28"/>
          <w:szCs w:val="28"/>
        </w:rPr>
        <w:t>《能源管理体系 要求及使用指南》及</w:t>
      </w:r>
      <w:r>
        <w:rPr>
          <w:rFonts w:ascii="仿宋_GB2312" w:eastAsia="仿宋_GB2312"/>
          <w:sz w:val="28"/>
          <w:szCs w:val="28"/>
        </w:rPr>
        <w:t>GB/T 33173</w:t>
      </w:r>
      <w:r>
        <w:rPr>
          <w:rFonts w:ascii="仿宋_GB2312" w:eastAsia="仿宋_GB2312" w:hint="eastAsia"/>
          <w:sz w:val="28"/>
          <w:szCs w:val="28"/>
        </w:rPr>
        <w:t>《资产管理 管理体系 要求》等内容。</w:t>
      </w:r>
    </w:p>
    <w:p w14:paraId="30AD8B06" w14:textId="77777777" w:rsidR="00453ECA" w:rsidRDefault="00000000">
      <w:pPr>
        <w:pStyle w:val="1"/>
        <w:spacing w:beforeLines="50" w:before="156" w:afterLines="50" w:after="156" w:line="240" w:lineRule="auto"/>
        <w:rPr>
          <w:rFonts w:ascii="黑体" w:eastAsia="黑体" w:hAnsi="黑体"/>
          <w:b w:val="0"/>
          <w:sz w:val="30"/>
          <w:szCs w:val="30"/>
        </w:rPr>
      </w:pPr>
      <w:bookmarkStart w:id="11" w:name="_Toc137627272"/>
      <w:r>
        <w:rPr>
          <w:rFonts w:ascii="黑体" w:eastAsia="黑体" w:hAnsi="黑体"/>
          <w:b w:val="0"/>
          <w:sz w:val="30"/>
          <w:szCs w:val="30"/>
        </w:rPr>
        <w:t>7</w:t>
      </w:r>
      <w:r>
        <w:rPr>
          <w:rFonts w:ascii="黑体" w:eastAsia="黑体" w:hAnsi="黑体" w:hint="eastAsia"/>
          <w:b w:val="0"/>
          <w:sz w:val="30"/>
          <w:szCs w:val="30"/>
        </w:rPr>
        <w:t>.采用国际标准的程度及水平说明</w:t>
      </w:r>
      <w:bookmarkEnd w:id="11"/>
    </w:p>
    <w:p w14:paraId="0CBB2313"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本文件主要采用的国际标准为</w:t>
      </w:r>
      <w:r>
        <w:rPr>
          <w:rFonts w:ascii="仿宋_GB2312" w:eastAsia="仿宋_GB2312"/>
          <w:sz w:val="28"/>
          <w:szCs w:val="28"/>
        </w:rPr>
        <w:t>ISO 14064</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《组织层面上对温室气体排放和清除的量化和报告的规范及指南》、</w:t>
      </w:r>
      <w:r>
        <w:rPr>
          <w:rFonts w:ascii="仿宋_GB2312" w:eastAsia="仿宋_GB2312"/>
          <w:sz w:val="28"/>
          <w:szCs w:val="28"/>
        </w:rPr>
        <w:t>ISO 14064</w:t>
      </w:r>
      <w:r>
        <w:rPr>
          <w:rFonts w:ascii="仿宋_GB2312" w:eastAsia="仿宋_GB2312" w:hint="eastAsia"/>
          <w:sz w:val="28"/>
          <w:szCs w:val="28"/>
        </w:rPr>
        <w:t>-</w:t>
      </w:r>
      <w:r>
        <w:rPr>
          <w:rFonts w:ascii="仿宋_GB2312" w:eastAsia="仿宋_GB2312"/>
          <w:sz w:val="28"/>
          <w:szCs w:val="28"/>
        </w:rPr>
        <w:t xml:space="preserve">2 </w:t>
      </w:r>
      <w:r>
        <w:rPr>
          <w:rFonts w:ascii="仿宋_GB2312" w:eastAsia="仿宋_GB2312" w:hint="eastAsia"/>
          <w:sz w:val="28"/>
          <w:szCs w:val="28"/>
        </w:rPr>
        <w:t>《项目层面对温室气体减排和清除增加的量化、监测和报告规范及指南》以及ISO</w:t>
      </w:r>
      <w:r>
        <w:rPr>
          <w:rFonts w:ascii="仿宋_GB2312" w:eastAsia="仿宋_GB2312"/>
          <w:sz w:val="28"/>
          <w:szCs w:val="28"/>
        </w:rPr>
        <w:t xml:space="preserve"> 14064</w:t>
      </w:r>
      <w:r>
        <w:rPr>
          <w:rFonts w:ascii="仿宋_GB2312" w:eastAsia="仿宋_GB2312" w:hint="eastAsia"/>
          <w:sz w:val="28"/>
          <w:szCs w:val="28"/>
        </w:rPr>
        <w:t>-</w:t>
      </w:r>
      <w:r>
        <w:rPr>
          <w:rFonts w:ascii="仿宋_GB2312" w:eastAsia="仿宋_GB2312"/>
          <w:sz w:val="28"/>
          <w:szCs w:val="28"/>
        </w:rPr>
        <w:t xml:space="preserve">3 </w:t>
      </w:r>
      <w:r>
        <w:rPr>
          <w:rFonts w:ascii="仿宋_GB2312" w:eastAsia="仿宋_GB2312" w:hint="eastAsia"/>
          <w:sz w:val="28"/>
          <w:szCs w:val="28"/>
        </w:rPr>
        <w:t>《温室气体声明审定与核查的规范及指南》。主要引用了组织边界及温室气体核算、核查等相关术语及方法。</w:t>
      </w:r>
    </w:p>
    <w:p w14:paraId="023D44BB" w14:textId="77777777" w:rsidR="00453ECA" w:rsidRDefault="00000000">
      <w:pPr>
        <w:pStyle w:val="1"/>
        <w:spacing w:beforeLines="50" w:before="156" w:afterLines="50" w:after="156" w:line="240" w:lineRule="auto"/>
        <w:rPr>
          <w:rFonts w:ascii="黑体" w:eastAsia="黑体" w:hAnsi="黑体"/>
          <w:b w:val="0"/>
          <w:sz w:val="30"/>
          <w:szCs w:val="30"/>
        </w:rPr>
      </w:pPr>
      <w:bookmarkStart w:id="12" w:name="_Toc137627273"/>
      <w:r>
        <w:rPr>
          <w:rFonts w:ascii="黑体" w:eastAsia="黑体" w:hAnsi="黑体"/>
          <w:b w:val="0"/>
          <w:sz w:val="30"/>
          <w:szCs w:val="30"/>
        </w:rPr>
        <w:t>8</w:t>
      </w:r>
      <w:r>
        <w:rPr>
          <w:rFonts w:ascii="黑体" w:eastAsia="黑体" w:hAnsi="黑体" w:hint="eastAsia"/>
          <w:b w:val="0"/>
          <w:sz w:val="30"/>
          <w:szCs w:val="30"/>
        </w:rPr>
        <w:t>.重大分歧或重难点的处理经过和依据</w:t>
      </w:r>
      <w:bookmarkEnd w:id="12"/>
    </w:p>
    <w:p w14:paraId="03826F96" w14:textId="77777777" w:rsidR="00453ECA" w:rsidRDefault="00000000">
      <w:pPr>
        <w:ind w:firstLineChars="200" w:firstLine="560"/>
        <w:rPr>
          <w:rFonts w:ascii="仿宋_GB2312" w:eastAsia="仿宋_GB2312"/>
          <w:sz w:val="28"/>
          <w:szCs w:val="28"/>
        </w:rPr>
      </w:pPr>
      <w:r>
        <w:rPr>
          <w:rFonts w:ascii="仿宋_GB2312" w:eastAsia="仿宋_GB2312"/>
          <w:sz w:val="28"/>
          <w:szCs w:val="28"/>
        </w:rPr>
        <w:t>本</w:t>
      </w:r>
      <w:r>
        <w:rPr>
          <w:rFonts w:ascii="仿宋_GB2312" w:eastAsia="仿宋_GB2312" w:hint="eastAsia"/>
          <w:sz w:val="28"/>
          <w:szCs w:val="28"/>
        </w:rPr>
        <w:t>文件</w:t>
      </w:r>
      <w:r>
        <w:rPr>
          <w:rFonts w:ascii="仿宋_GB2312" w:eastAsia="仿宋_GB2312"/>
          <w:sz w:val="28"/>
          <w:szCs w:val="28"/>
        </w:rPr>
        <w:t>无重大意见分歧。</w:t>
      </w:r>
    </w:p>
    <w:p w14:paraId="3DFF8312" w14:textId="77777777" w:rsidR="00453ECA" w:rsidRDefault="00000000">
      <w:pPr>
        <w:pStyle w:val="1"/>
        <w:spacing w:beforeLines="50" w:before="156" w:afterLines="50" w:after="156" w:line="240" w:lineRule="auto"/>
        <w:rPr>
          <w:rFonts w:ascii="黑体" w:eastAsia="黑体" w:hAnsi="黑体"/>
          <w:b w:val="0"/>
          <w:sz w:val="30"/>
          <w:szCs w:val="30"/>
        </w:rPr>
      </w:pPr>
      <w:bookmarkStart w:id="13" w:name="_Toc137627274"/>
      <w:r>
        <w:rPr>
          <w:rFonts w:ascii="黑体" w:eastAsia="黑体" w:hAnsi="黑体"/>
          <w:b w:val="0"/>
          <w:sz w:val="30"/>
          <w:szCs w:val="30"/>
        </w:rPr>
        <w:t>9</w:t>
      </w:r>
      <w:r>
        <w:rPr>
          <w:rFonts w:ascii="黑体" w:eastAsia="黑体" w:hAnsi="黑体" w:hint="eastAsia"/>
          <w:b w:val="0"/>
          <w:sz w:val="30"/>
          <w:szCs w:val="30"/>
        </w:rPr>
        <w:t>.标准推广应用措施及预期效果</w:t>
      </w:r>
      <w:bookmarkEnd w:id="13"/>
    </w:p>
    <w:p w14:paraId="0E540F24"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sz w:val="28"/>
          <w:szCs w:val="28"/>
        </w:rPr>
        <w:t>组织标准宣贯培训，争取标准颁布实施后尽快在行业推广。</w:t>
      </w:r>
    </w:p>
    <w:p w14:paraId="49D598D1"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（2）采取循序渐进的原则，开展标准的应用试点，有重点、有计划的推行本文件。</w:t>
      </w:r>
    </w:p>
    <w:p w14:paraId="2254615F"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定期对本</w:t>
      </w:r>
      <w:r>
        <w:rPr>
          <w:rFonts w:ascii="仿宋_GB2312" w:eastAsia="仿宋_GB2312" w:hint="eastAsia"/>
          <w:sz w:val="28"/>
          <w:szCs w:val="28"/>
        </w:rPr>
        <w:t>文件</w:t>
      </w:r>
      <w:r>
        <w:rPr>
          <w:rFonts w:ascii="仿宋_GB2312" w:eastAsia="仿宋_GB2312"/>
          <w:sz w:val="28"/>
          <w:szCs w:val="28"/>
        </w:rPr>
        <w:t>实施情况进行调查，掌握动态，并对实施效果进行跟踪评估，及时解决实施中的问题，不断修改完善，提升标准水平，提高标准的科学性、合理性、协调性和可操作性。</w:t>
      </w:r>
    </w:p>
    <w:p w14:paraId="1A282C04" w14:textId="77777777" w:rsidR="00453ECA" w:rsidRDefault="00000000">
      <w:pPr>
        <w:ind w:firstLineChars="200" w:firstLine="560"/>
        <w:rPr>
          <w:rFonts w:ascii="仿宋_GB2312" w:eastAsia="仿宋_GB2312"/>
          <w:sz w:val="28"/>
          <w:szCs w:val="28"/>
        </w:rPr>
      </w:pPr>
      <w:r>
        <w:rPr>
          <w:rFonts w:ascii="仿宋_GB2312" w:eastAsia="仿宋_GB2312" w:hint="eastAsia"/>
          <w:sz w:val="28"/>
          <w:szCs w:val="28"/>
        </w:rPr>
        <w:t>（4）本标准将为企业建立、实施、运行碳排放管理体系提供规</w:t>
      </w:r>
      <w:r>
        <w:rPr>
          <w:rFonts w:ascii="仿宋_GB2312" w:eastAsia="仿宋_GB2312" w:hint="eastAsia"/>
          <w:sz w:val="28"/>
          <w:szCs w:val="28"/>
        </w:rPr>
        <w:lastRenderedPageBreak/>
        <w:t>范化指引，通过标准的有效实施，将显著提升企业的碳管理能力水平，实现企业精细化碳管理，助力企业层面碳达峰碳中和。</w:t>
      </w:r>
    </w:p>
    <w:p w14:paraId="122D5944" w14:textId="77777777" w:rsidR="00453ECA" w:rsidRDefault="00000000">
      <w:pPr>
        <w:pStyle w:val="1"/>
        <w:spacing w:beforeLines="50" w:before="156" w:afterLines="50" w:after="156" w:line="240" w:lineRule="auto"/>
        <w:rPr>
          <w:rFonts w:ascii="黑体" w:eastAsia="黑体" w:hAnsi="黑体"/>
          <w:b w:val="0"/>
          <w:sz w:val="30"/>
          <w:szCs w:val="30"/>
        </w:rPr>
      </w:pPr>
      <w:bookmarkStart w:id="14" w:name="_Toc137627275"/>
      <w:r>
        <w:rPr>
          <w:rFonts w:ascii="黑体" w:eastAsia="黑体" w:hAnsi="黑体"/>
          <w:b w:val="0"/>
          <w:sz w:val="30"/>
          <w:szCs w:val="30"/>
        </w:rPr>
        <w:t>10</w:t>
      </w:r>
      <w:r>
        <w:rPr>
          <w:rFonts w:ascii="黑体" w:eastAsia="黑体" w:hAnsi="黑体" w:hint="eastAsia"/>
          <w:b w:val="0"/>
          <w:sz w:val="30"/>
          <w:szCs w:val="30"/>
        </w:rPr>
        <w:t>.其他应说明的事项</w:t>
      </w:r>
      <w:bookmarkEnd w:id="14"/>
    </w:p>
    <w:p w14:paraId="70C647F0" w14:textId="77777777" w:rsidR="00453ECA" w:rsidRDefault="00000000">
      <w:pPr>
        <w:ind w:firstLineChars="200" w:firstLine="560"/>
        <w:rPr>
          <w:rFonts w:ascii="仿宋_GB2312" w:eastAsia="仿宋_GB2312"/>
          <w:sz w:val="28"/>
          <w:szCs w:val="28"/>
        </w:rPr>
      </w:pPr>
      <w:r>
        <w:rPr>
          <w:rFonts w:ascii="仿宋_GB2312" w:eastAsia="仿宋_GB2312"/>
          <w:sz w:val="28"/>
          <w:szCs w:val="28"/>
        </w:rPr>
        <w:t>无</w:t>
      </w:r>
      <w:r>
        <w:rPr>
          <w:rFonts w:ascii="仿宋_GB2312" w:eastAsia="仿宋_GB2312" w:hint="eastAsia"/>
          <w:sz w:val="28"/>
          <w:szCs w:val="28"/>
        </w:rPr>
        <w:t>。</w:t>
      </w:r>
    </w:p>
    <w:sectPr w:rsidR="00453EC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09F8" w14:textId="77777777" w:rsidR="0005062C" w:rsidRDefault="0005062C">
      <w:r>
        <w:separator/>
      </w:r>
    </w:p>
  </w:endnote>
  <w:endnote w:type="continuationSeparator" w:id="0">
    <w:p w14:paraId="35E2300F" w14:textId="77777777" w:rsidR="0005062C" w:rsidRDefault="0005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光隶书_CNKI">
    <w:altName w:val="微软雅黑"/>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D2FE" w14:textId="77777777" w:rsidR="00453ECA" w:rsidRDefault="00453E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A05E" w14:textId="77777777" w:rsidR="00453ECA" w:rsidRDefault="00000000">
    <w:pPr>
      <w:pStyle w:val="a7"/>
    </w:pPr>
    <w:r>
      <w:rPr>
        <w:noProof/>
      </w:rPr>
      <mc:AlternateContent>
        <mc:Choice Requires="wps">
          <w:drawing>
            <wp:anchor distT="0" distB="0" distL="114300" distR="114300" simplePos="0" relativeHeight="251659264" behindDoc="0" locked="0" layoutInCell="1" allowOverlap="1" wp14:anchorId="2D80F3C0" wp14:editId="4713C70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D6F9" w14:textId="77777777" w:rsidR="00453ECA"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80F3C0"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C7D6F9" w14:textId="77777777" w:rsidR="00453ECA"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98BA" w14:textId="77777777" w:rsidR="0005062C" w:rsidRDefault="0005062C">
      <w:r>
        <w:separator/>
      </w:r>
    </w:p>
  </w:footnote>
  <w:footnote w:type="continuationSeparator" w:id="0">
    <w:p w14:paraId="3C822412" w14:textId="77777777" w:rsidR="0005062C" w:rsidRDefault="00050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JhNzUzNjFmMGYxNjJiN2Y0YTE4NjgyMzJiZTljYjEifQ=="/>
    <w:docVar w:name="KSO_WPS_MARK_KEY" w:val="b6d043d8-c956-401b-abb9-8eb7a8db0caf"/>
  </w:docVars>
  <w:rsids>
    <w:rsidRoot w:val="003921E7"/>
    <w:rsid w:val="00013E64"/>
    <w:rsid w:val="000275EC"/>
    <w:rsid w:val="000376E5"/>
    <w:rsid w:val="0005062C"/>
    <w:rsid w:val="00060CB5"/>
    <w:rsid w:val="0009153E"/>
    <w:rsid w:val="000A00BA"/>
    <w:rsid w:val="000A66CF"/>
    <w:rsid w:val="000B42A9"/>
    <w:rsid w:val="000E0E5F"/>
    <w:rsid w:val="000E51E3"/>
    <w:rsid w:val="000E7FD8"/>
    <w:rsid w:val="000E7FF5"/>
    <w:rsid w:val="000F5970"/>
    <w:rsid w:val="00103A1D"/>
    <w:rsid w:val="00113B28"/>
    <w:rsid w:val="001268B7"/>
    <w:rsid w:val="00131C01"/>
    <w:rsid w:val="00170322"/>
    <w:rsid w:val="0018428E"/>
    <w:rsid w:val="0019703F"/>
    <w:rsid w:val="001A281B"/>
    <w:rsid w:val="001A354D"/>
    <w:rsid w:val="001A5A18"/>
    <w:rsid w:val="001B7F88"/>
    <w:rsid w:val="001C4B77"/>
    <w:rsid w:val="001D0150"/>
    <w:rsid w:val="001F0FD3"/>
    <w:rsid w:val="001F76B4"/>
    <w:rsid w:val="002060A8"/>
    <w:rsid w:val="00210C41"/>
    <w:rsid w:val="0022368C"/>
    <w:rsid w:val="00254A0F"/>
    <w:rsid w:val="00254CF3"/>
    <w:rsid w:val="00276438"/>
    <w:rsid w:val="00287FC4"/>
    <w:rsid w:val="002B33BF"/>
    <w:rsid w:val="002D3201"/>
    <w:rsid w:val="002D5DB2"/>
    <w:rsid w:val="002E143C"/>
    <w:rsid w:val="002E5293"/>
    <w:rsid w:val="002F1995"/>
    <w:rsid w:val="003413E9"/>
    <w:rsid w:val="00361BE8"/>
    <w:rsid w:val="00362304"/>
    <w:rsid w:val="003673FA"/>
    <w:rsid w:val="00372438"/>
    <w:rsid w:val="003921E7"/>
    <w:rsid w:val="003C1FD0"/>
    <w:rsid w:val="003D5F49"/>
    <w:rsid w:val="004110B6"/>
    <w:rsid w:val="00413684"/>
    <w:rsid w:val="00442D37"/>
    <w:rsid w:val="00453ECA"/>
    <w:rsid w:val="00462D9B"/>
    <w:rsid w:val="00483CC9"/>
    <w:rsid w:val="004A2D36"/>
    <w:rsid w:val="004C623B"/>
    <w:rsid w:val="004C6909"/>
    <w:rsid w:val="004E03D2"/>
    <w:rsid w:val="004F0E7E"/>
    <w:rsid w:val="004F1D53"/>
    <w:rsid w:val="004F6074"/>
    <w:rsid w:val="004F6335"/>
    <w:rsid w:val="005026E6"/>
    <w:rsid w:val="005310C2"/>
    <w:rsid w:val="005652E5"/>
    <w:rsid w:val="00575DAC"/>
    <w:rsid w:val="0058520C"/>
    <w:rsid w:val="00587086"/>
    <w:rsid w:val="00587636"/>
    <w:rsid w:val="0059590F"/>
    <w:rsid w:val="005C2EA3"/>
    <w:rsid w:val="005C597B"/>
    <w:rsid w:val="005C63EC"/>
    <w:rsid w:val="006109ED"/>
    <w:rsid w:val="00622CF5"/>
    <w:rsid w:val="006511D1"/>
    <w:rsid w:val="006528BD"/>
    <w:rsid w:val="006605BB"/>
    <w:rsid w:val="0066066B"/>
    <w:rsid w:val="00667D2E"/>
    <w:rsid w:val="00674604"/>
    <w:rsid w:val="00683921"/>
    <w:rsid w:val="006A24E8"/>
    <w:rsid w:val="006B4F27"/>
    <w:rsid w:val="006C2BC3"/>
    <w:rsid w:val="006D67FA"/>
    <w:rsid w:val="00703DFB"/>
    <w:rsid w:val="00710FBB"/>
    <w:rsid w:val="00722446"/>
    <w:rsid w:val="007473B8"/>
    <w:rsid w:val="007574B6"/>
    <w:rsid w:val="00760A69"/>
    <w:rsid w:val="0077483F"/>
    <w:rsid w:val="00785A89"/>
    <w:rsid w:val="007B6DEF"/>
    <w:rsid w:val="007B75D0"/>
    <w:rsid w:val="007C757F"/>
    <w:rsid w:val="007E796E"/>
    <w:rsid w:val="007F2155"/>
    <w:rsid w:val="00805656"/>
    <w:rsid w:val="00806155"/>
    <w:rsid w:val="0080691D"/>
    <w:rsid w:val="00816A6D"/>
    <w:rsid w:val="00834BE7"/>
    <w:rsid w:val="008428B5"/>
    <w:rsid w:val="008606F7"/>
    <w:rsid w:val="00864C6C"/>
    <w:rsid w:val="00870CDC"/>
    <w:rsid w:val="00880275"/>
    <w:rsid w:val="00881FAD"/>
    <w:rsid w:val="008A5616"/>
    <w:rsid w:val="008A7D28"/>
    <w:rsid w:val="008B4D10"/>
    <w:rsid w:val="008C25F2"/>
    <w:rsid w:val="008C55AA"/>
    <w:rsid w:val="008F1D2B"/>
    <w:rsid w:val="00927031"/>
    <w:rsid w:val="009A2F39"/>
    <w:rsid w:val="00A16EB6"/>
    <w:rsid w:val="00A41E05"/>
    <w:rsid w:val="00A54659"/>
    <w:rsid w:val="00A70E71"/>
    <w:rsid w:val="00A95EE2"/>
    <w:rsid w:val="00AC2942"/>
    <w:rsid w:val="00AE0C42"/>
    <w:rsid w:val="00AE3B3C"/>
    <w:rsid w:val="00AF3FE0"/>
    <w:rsid w:val="00B163EA"/>
    <w:rsid w:val="00B4364F"/>
    <w:rsid w:val="00B57067"/>
    <w:rsid w:val="00B96E00"/>
    <w:rsid w:val="00BB3BF1"/>
    <w:rsid w:val="00BC0537"/>
    <w:rsid w:val="00C11D28"/>
    <w:rsid w:val="00C156BE"/>
    <w:rsid w:val="00C24613"/>
    <w:rsid w:val="00C41B3F"/>
    <w:rsid w:val="00C61FB4"/>
    <w:rsid w:val="00C70A6A"/>
    <w:rsid w:val="00C70AFB"/>
    <w:rsid w:val="00C815DF"/>
    <w:rsid w:val="00C83152"/>
    <w:rsid w:val="00C9033F"/>
    <w:rsid w:val="00CA1938"/>
    <w:rsid w:val="00CA730D"/>
    <w:rsid w:val="00CB57A4"/>
    <w:rsid w:val="00CB677A"/>
    <w:rsid w:val="00CD2859"/>
    <w:rsid w:val="00D0291B"/>
    <w:rsid w:val="00D05DF8"/>
    <w:rsid w:val="00D34678"/>
    <w:rsid w:val="00D36297"/>
    <w:rsid w:val="00D61772"/>
    <w:rsid w:val="00D75F3F"/>
    <w:rsid w:val="00DA0B25"/>
    <w:rsid w:val="00DA2817"/>
    <w:rsid w:val="00DA350B"/>
    <w:rsid w:val="00DF32F8"/>
    <w:rsid w:val="00DF655B"/>
    <w:rsid w:val="00E123E5"/>
    <w:rsid w:val="00E170EF"/>
    <w:rsid w:val="00E30F68"/>
    <w:rsid w:val="00E458A9"/>
    <w:rsid w:val="00E46B3A"/>
    <w:rsid w:val="00E559F3"/>
    <w:rsid w:val="00E649AC"/>
    <w:rsid w:val="00E91994"/>
    <w:rsid w:val="00E96BBB"/>
    <w:rsid w:val="00EB54AC"/>
    <w:rsid w:val="00EC5719"/>
    <w:rsid w:val="00ED468D"/>
    <w:rsid w:val="00EE4FC8"/>
    <w:rsid w:val="00EE5DD4"/>
    <w:rsid w:val="00EF12C0"/>
    <w:rsid w:val="00F04E74"/>
    <w:rsid w:val="00F141A5"/>
    <w:rsid w:val="00F31A9C"/>
    <w:rsid w:val="00F52562"/>
    <w:rsid w:val="00F567F1"/>
    <w:rsid w:val="00F607D5"/>
    <w:rsid w:val="00F731AA"/>
    <w:rsid w:val="00F7474C"/>
    <w:rsid w:val="00F93894"/>
    <w:rsid w:val="00F94C01"/>
    <w:rsid w:val="00FB7881"/>
    <w:rsid w:val="00FE0634"/>
    <w:rsid w:val="00FF3460"/>
    <w:rsid w:val="06542070"/>
    <w:rsid w:val="07005A0C"/>
    <w:rsid w:val="08296773"/>
    <w:rsid w:val="0A82564E"/>
    <w:rsid w:val="0D157CA1"/>
    <w:rsid w:val="0D621CEF"/>
    <w:rsid w:val="15697051"/>
    <w:rsid w:val="163564E8"/>
    <w:rsid w:val="1823550A"/>
    <w:rsid w:val="19075F1D"/>
    <w:rsid w:val="1C741DBA"/>
    <w:rsid w:val="1EC668E1"/>
    <w:rsid w:val="1FED0C18"/>
    <w:rsid w:val="2024414B"/>
    <w:rsid w:val="20D57D11"/>
    <w:rsid w:val="26526558"/>
    <w:rsid w:val="2B761502"/>
    <w:rsid w:val="2CCD0343"/>
    <w:rsid w:val="2D262BC9"/>
    <w:rsid w:val="2FA33E7D"/>
    <w:rsid w:val="36314876"/>
    <w:rsid w:val="375D2AA5"/>
    <w:rsid w:val="3810730B"/>
    <w:rsid w:val="3C196E25"/>
    <w:rsid w:val="3C387E0D"/>
    <w:rsid w:val="3CA11FCF"/>
    <w:rsid w:val="3E035057"/>
    <w:rsid w:val="45262398"/>
    <w:rsid w:val="4537412C"/>
    <w:rsid w:val="46E81BE2"/>
    <w:rsid w:val="4A691BA3"/>
    <w:rsid w:val="4CC20A7E"/>
    <w:rsid w:val="4D4A3543"/>
    <w:rsid w:val="5459613F"/>
    <w:rsid w:val="55423582"/>
    <w:rsid w:val="5A426071"/>
    <w:rsid w:val="5B323C9E"/>
    <w:rsid w:val="5B483AEC"/>
    <w:rsid w:val="5B4E1DC7"/>
    <w:rsid w:val="5D353AE9"/>
    <w:rsid w:val="5E1A7052"/>
    <w:rsid w:val="68C617F4"/>
    <w:rsid w:val="6F8D1BCA"/>
    <w:rsid w:val="6FD537E9"/>
    <w:rsid w:val="704C034C"/>
    <w:rsid w:val="74027162"/>
    <w:rsid w:val="751A6357"/>
    <w:rsid w:val="7565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2B22"/>
  <w15:docId w15:val="{DE8B8D50-8282-4F13-BB9A-C53BA715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beforeLines="100" w:before="312" w:after="24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f1">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paragraph" w:customStyle="1" w:styleId="TOC11">
    <w:name w:val="TOC 标题1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unhideWhenUsed/>
    <w:rPr>
      <w:rFonts w:asciiTheme="minorHAnsi" w:eastAsiaTheme="minorEastAsia" w:hAnsiTheme="minorHAnsi" w:cstheme="minorBidi"/>
      <w:kern w:val="2"/>
      <w:sz w:val="21"/>
      <w:szCs w:val="22"/>
    </w:rPr>
  </w:style>
  <w:style w:type="paragraph" w:styleId="af2">
    <w:name w:val="Revision"/>
    <w:hidden/>
    <w:uiPriority w:val="99"/>
    <w:unhideWhenUsed/>
    <w:rsid w:val="007F215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5189C-545E-4C6A-BEFA-0211A9C5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changy</dc:creator>
  <cp:lastModifiedBy>xn s</cp:lastModifiedBy>
  <cp:revision>18</cp:revision>
  <dcterms:created xsi:type="dcterms:W3CDTF">2023-03-27T06:48:00Z</dcterms:created>
  <dcterms:modified xsi:type="dcterms:W3CDTF">2023-12-05T02:12:00Z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111A470EB3CD40B584CF00B1AB1F4D99_13</vt:lpwstr>
  </property>
</Properties>
</file>