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216C"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37890074"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1DE34247" w14:textId="77777777" w:rsidR="00535026" w:rsidRDefault="00000000">
      <w:pPr>
        <w:widowControl/>
        <w:adjustRightInd w:val="0"/>
        <w:snapToGrid w:val="0"/>
        <w:spacing w:line="360" w:lineRule="auto"/>
        <w:jc w:val="center"/>
        <w:rPr>
          <w:rFonts w:ascii="黑体" w:eastAsia="黑体" w:hAnsi="黑体"/>
          <w:snapToGrid w:val="0"/>
          <w:kern w:val="0"/>
          <w:sz w:val="32"/>
          <w:szCs w:val="32"/>
        </w:rPr>
      </w:pPr>
      <w:r>
        <w:rPr>
          <w:rFonts w:ascii="黑体" w:eastAsia="黑体" w:hAnsi="黑体" w:hint="eastAsia"/>
          <w:snapToGrid w:val="0"/>
          <w:kern w:val="0"/>
          <w:sz w:val="32"/>
          <w:szCs w:val="32"/>
        </w:rPr>
        <w:t>团体标准</w:t>
      </w:r>
      <w:r>
        <w:rPr>
          <w:rFonts w:ascii="黑体" w:eastAsia="黑体" w:hAnsi="黑体" w:hint="eastAsia"/>
          <w:snapToGrid w:val="0"/>
          <w:kern w:val="0"/>
          <w:sz w:val="32"/>
          <w:szCs w:val="32"/>
        </w:rPr>
        <w:br/>
        <w:t>《企业气候与环境信息披露指南》</w:t>
      </w:r>
    </w:p>
    <w:p w14:paraId="327252FE" w14:textId="77777777" w:rsidR="00535026" w:rsidRDefault="00000000">
      <w:pPr>
        <w:widowControl/>
        <w:adjustRightInd w:val="0"/>
        <w:snapToGrid w:val="0"/>
        <w:spacing w:line="360" w:lineRule="auto"/>
        <w:jc w:val="center"/>
        <w:rPr>
          <w:rFonts w:ascii="黑体" w:eastAsia="黑体" w:hAnsi="黑体"/>
          <w:snapToGrid w:val="0"/>
          <w:kern w:val="0"/>
          <w:sz w:val="32"/>
          <w:szCs w:val="32"/>
        </w:rPr>
      </w:pPr>
      <w:r>
        <w:rPr>
          <w:rFonts w:ascii="黑体" w:eastAsia="黑体" w:hAnsi="黑体" w:hint="eastAsia"/>
          <w:snapToGrid w:val="0"/>
          <w:kern w:val="0"/>
          <w:sz w:val="32"/>
          <w:szCs w:val="32"/>
        </w:rPr>
        <w:t>（征求意见稿）</w:t>
      </w:r>
    </w:p>
    <w:p w14:paraId="66E6B2C3" w14:textId="77777777" w:rsidR="00535026" w:rsidRDefault="00000000">
      <w:pPr>
        <w:widowControl/>
        <w:adjustRightInd w:val="0"/>
        <w:snapToGrid w:val="0"/>
        <w:spacing w:beforeLines="100" w:before="312" w:afterLines="100" w:after="312" w:line="600" w:lineRule="auto"/>
        <w:jc w:val="center"/>
        <w:rPr>
          <w:rFonts w:ascii="华光隶书_CNKI" w:eastAsia="华光隶书_CNKI" w:hAnsi="华光隶书_CNKI"/>
          <w:snapToGrid w:val="0"/>
          <w:kern w:val="0"/>
          <w:sz w:val="44"/>
          <w:szCs w:val="44"/>
        </w:rPr>
      </w:pPr>
      <w:r>
        <w:rPr>
          <w:rFonts w:ascii="华光隶书_CNKI" w:eastAsia="华光隶书_CNKI" w:hAnsi="华光隶书_CNKI" w:hint="eastAsia"/>
          <w:snapToGrid w:val="0"/>
          <w:kern w:val="0"/>
          <w:sz w:val="44"/>
          <w:szCs w:val="44"/>
        </w:rPr>
        <w:t>编制说明</w:t>
      </w:r>
    </w:p>
    <w:p w14:paraId="3B64D089"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25A0EE9D"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29EEC485"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47F5E0BB"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3EBB4B89" w14:textId="77777777" w:rsidR="00535026" w:rsidRDefault="00535026">
      <w:pPr>
        <w:widowControl/>
        <w:adjustRightInd w:val="0"/>
        <w:snapToGrid w:val="0"/>
        <w:spacing w:beforeLines="100" w:before="312" w:afterLines="100" w:after="312"/>
        <w:jc w:val="center"/>
        <w:rPr>
          <w:rFonts w:ascii="黑体" w:eastAsia="黑体" w:hAnsi="黑体"/>
          <w:snapToGrid w:val="0"/>
          <w:kern w:val="0"/>
          <w:sz w:val="44"/>
          <w:szCs w:val="44"/>
        </w:rPr>
      </w:pPr>
    </w:p>
    <w:p w14:paraId="324DAC4C" w14:textId="77777777" w:rsidR="00535026" w:rsidRDefault="00000000">
      <w:pPr>
        <w:widowControl/>
        <w:adjustRightInd w:val="0"/>
        <w:snapToGrid w:val="0"/>
        <w:spacing w:beforeLines="100" w:before="312" w:afterLines="100" w:after="312"/>
        <w:jc w:val="center"/>
        <w:rPr>
          <w:rFonts w:ascii="黑体" w:eastAsia="黑体" w:hAnsi="黑体"/>
          <w:snapToGrid w:val="0"/>
          <w:kern w:val="0"/>
          <w:sz w:val="32"/>
          <w:szCs w:val="32"/>
        </w:rPr>
      </w:pPr>
      <w:r>
        <w:rPr>
          <w:rFonts w:ascii="黑体" w:eastAsia="黑体" w:hAnsi="黑体" w:hint="eastAsia"/>
          <w:snapToGrid w:val="0"/>
          <w:kern w:val="0"/>
          <w:sz w:val="32"/>
          <w:szCs w:val="32"/>
        </w:rPr>
        <w:t>标准编制工作组</w:t>
      </w:r>
    </w:p>
    <w:p w14:paraId="68D7BE2B" w14:textId="77777777" w:rsidR="00535026" w:rsidRDefault="00000000">
      <w:pPr>
        <w:widowControl/>
        <w:adjustRightInd w:val="0"/>
        <w:snapToGrid w:val="0"/>
        <w:spacing w:beforeLines="100" w:before="312" w:afterLines="100" w:after="312"/>
        <w:jc w:val="center"/>
        <w:rPr>
          <w:rFonts w:ascii="黑体" w:eastAsia="黑体" w:hAnsi="黑体"/>
          <w:snapToGrid w:val="0"/>
          <w:kern w:val="0"/>
          <w:sz w:val="32"/>
          <w:szCs w:val="32"/>
        </w:rPr>
      </w:pPr>
      <w:r>
        <w:rPr>
          <w:rFonts w:ascii="黑体" w:eastAsia="黑体" w:hAnsi="黑体" w:hint="eastAsia"/>
          <w:snapToGrid w:val="0"/>
          <w:kern w:val="0"/>
          <w:sz w:val="32"/>
          <w:szCs w:val="32"/>
        </w:rPr>
        <w:t>2023年12月</w:t>
      </w:r>
    </w:p>
    <w:p w14:paraId="37A75A4D" w14:textId="77777777" w:rsidR="00535026" w:rsidRDefault="00535026">
      <w:pPr>
        <w:pStyle w:val="TOC11"/>
        <w:keepNext w:val="0"/>
        <w:keepLines w:val="0"/>
        <w:widowControl w:val="0"/>
        <w:jc w:val="center"/>
        <w:rPr>
          <w:rFonts w:asciiTheme="minorHAnsi" w:eastAsiaTheme="minorEastAsia" w:hAnsiTheme="minorHAnsi" w:cstheme="minorBidi"/>
          <w:color w:val="auto"/>
          <w:kern w:val="2"/>
          <w:sz w:val="21"/>
          <w:szCs w:val="22"/>
          <w:lang w:val="zh-CN"/>
        </w:rPr>
        <w:sectPr w:rsidR="00535026" w:rsidSect="00E54813">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527789223"/>
      </w:sdtPr>
      <w:sdtEndPr>
        <w:rPr>
          <w:b/>
          <w:kern w:val="0"/>
          <w:sz w:val="22"/>
        </w:rPr>
      </w:sdtEndPr>
      <w:sdtContent>
        <w:p w14:paraId="2A401E48" w14:textId="77777777" w:rsidR="00535026" w:rsidRDefault="00000000">
          <w:pPr>
            <w:pStyle w:val="TOC11"/>
            <w:keepNext w:val="0"/>
            <w:keepLines w:val="0"/>
            <w:widowControl w:val="0"/>
            <w:jc w:val="center"/>
            <w:rPr>
              <w:rFonts w:ascii="黑体" w:eastAsia="黑体" w:hAnsi="黑体"/>
              <w:color w:val="auto"/>
            </w:rPr>
          </w:pPr>
          <w:r>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hint="eastAsia"/>
              <w:color w:val="auto"/>
            </w:rPr>
            <w:t>录</w:t>
          </w:r>
        </w:p>
        <w:p w14:paraId="78D66F9E" w14:textId="666A7897" w:rsidR="00535026" w:rsidRDefault="00000000">
          <w:pPr>
            <w:pStyle w:val="TOC1"/>
            <w:tabs>
              <w:tab w:val="clear" w:pos="8296"/>
              <w:tab w:val="right" w:leader="dot" w:pos="8306"/>
            </w:tabs>
          </w:pPr>
          <w:r>
            <w:fldChar w:fldCharType="begin"/>
          </w:r>
          <w:r>
            <w:instrText xml:space="preserve"> TOC \o "1-3" \h \z \u </w:instrText>
          </w:r>
          <w:r>
            <w:fldChar w:fldCharType="separate"/>
          </w:r>
          <w:hyperlink w:anchor="_Toc5146" w:history="1">
            <w:r>
              <w:rPr>
                <w:rFonts w:ascii="黑体" w:eastAsia="黑体" w:hAnsi="黑体" w:hint="eastAsia"/>
                <w:szCs w:val="30"/>
              </w:rPr>
              <w:t>1.工作简况</w:t>
            </w:r>
            <w:r>
              <w:tab/>
            </w:r>
            <w:r>
              <w:fldChar w:fldCharType="begin"/>
            </w:r>
            <w:r>
              <w:instrText xml:space="preserve"> PAGEREF _Toc5146 \h </w:instrText>
            </w:r>
            <w:r>
              <w:fldChar w:fldCharType="separate"/>
            </w:r>
            <w:r w:rsidR="008F16CF">
              <w:rPr>
                <w:noProof/>
              </w:rPr>
              <w:t>1</w:t>
            </w:r>
            <w:r>
              <w:fldChar w:fldCharType="end"/>
            </w:r>
          </w:hyperlink>
        </w:p>
        <w:p w14:paraId="5584FAD5" w14:textId="185FEBB7" w:rsidR="00535026" w:rsidRDefault="00000000">
          <w:pPr>
            <w:pStyle w:val="TOC1"/>
            <w:tabs>
              <w:tab w:val="clear" w:pos="8296"/>
              <w:tab w:val="right" w:leader="dot" w:pos="8306"/>
            </w:tabs>
          </w:pPr>
          <w:hyperlink w:anchor="_Toc25908" w:history="1">
            <w:r>
              <w:rPr>
                <w:rFonts w:ascii="黑体" w:eastAsia="黑体" w:hAnsi="黑体" w:hint="eastAsia"/>
                <w:szCs w:val="30"/>
              </w:rPr>
              <w:t>2.标准编制原则</w:t>
            </w:r>
            <w:r>
              <w:tab/>
            </w:r>
            <w:r>
              <w:fldChar w:fldCharType="begin"/>
            </w:r>
            <w:r>
              <w:instrText xml:space="preserve"> PAGEREF _Toc25908 \h </w:instrText>
            </w:r>
            <w:r>
              <w:fldChar w:fldCharType="separate"/>
            </w:r>
            <w:r w:rsidR="008F16CF">
              <w:rPr>
                <w:noProof/>
              </w:rPr>
              <w:t>3</w:t>
            </w:r>
            <w:r>
              <w:fldChar w:fldCharType="end"/>
            </w:r>
          </w:hyperlink>
        </w:p>
        <w:p w14:paraId="69978FB9" w14:textId="35305A0F" w:rsidR="00535026" w:rsidRDefault="00000000">
          <w:pPr>
            <w:pStyle w:val="TOC1"/>
            <w:tabs>
              <w:tab w:val="clear" w:pos="8296"/>
              <w:tab w:val="right" w:leader="dot" w:pos="8306"/>
            </w:tabs>
          </w:pPr>
          <w:hyperlink w:anchor="_Toc13444" w:history="1">
            <w:r>
              <w:rPr>
                <w:rFonts w:ascii="黑体" w:eastAsia="黑体" w:hAnsi="黑体" w:hint="eastAsia"/>
                <w:szCs w:val="30"/>
              </w:rPr>
              <w:t>3.标准主要技术内容</w:t>
            </w:r>
            <w:r>
              <w:tab/>
            </w:r>
            <w:r>
              <w:fldChar w:fldCharType="begin"/>
            </w:r>
            <w:r>
              <w:instrText xml:space="preserve"> PAGEREF _Toc13444 \h </w:instrText>
            </w:r>
            <w:r>
              <w:fldChar w:fldCharType="separate"/>
            </w:r>
            <w:r w:rsidR="008F16CF">
              <w:rPr>
                <w:noProof/>
              </w:rPr>
              <w:t>4</w:t>
            </w:r>
            <w:r>
              <w:fldChar w:fldCharType="end"/>
            </w:r>
          </w:hyperlink>
        </w:p>
        <w:p w14:paraId="76719DF2" w14:textId="457C8C8B" w:rsidR="00535026" w:rsidRDefault="00000000">
          <w:pPr>
            <w:pStyle w:val="TOC1"/>
            <w:tabs>
              <w:tab w:val="clear" w:pos="8296"/>
              <w:tab w:val="right" w:leader="dot" w:pos="8306"/>
            </w:tabs>
          </w:pPr>
          <w:hyperlink w:anchor="_Toc17005" w:history="1">
            <w:r>
              <w:rPr>
                <w:rFonts w:ascii="黑体" w:eastAsia="黑体" w:hAnsi="黑体" w:hint="eastAsia"/>
                <w:szCs w:val="30"/>
              </w:rPr>
              <w:t>4.主要试验、验证及试行结果</w:t>
            </w:r>
            <w:r>
              <w:tab/>
            </w:r>
            <w:r>
              <w:fldChar w:fldCharType="begin"/>
            </w:r>
            <w:r>
              <w:instrText xml:space="preserve"> PAGEREF _Toc17005 \h </w:instrText>
            </w:r>
            <w:r>
              <w:fldChar w:fldCharType="separate"/>
            </w:r>
            <w:r w:rsidR="008F16CF">
              <w:rPr>
                <w:noProof/>
              </w:rPr>
              <w:t>6</w:t>
            </w:r>
            <w:r>
              <w:fldChar w:fldCharType="end"/>
            </w:r>
          </w:hyperlink>
        </w:p>
        <w:p w14:paraId="7FC542C6" w14:textId="6AA66A0D" w:rsidR="00535026" w:rsidRDefault="00000000">
          <w:pPr>
            <w:pStyle w:val="TOC1"/>
            <w:tabs>
              <w:tab w:val="clear" w:pos="8296"/>
              <w:tab w:val="right" w:leader="dot" w:pos="8306"/>
            </w:tabs>
          </w:pPr>
          <w:hyperlink w:anchor="_Toc6680" w:history="1">
            <w:r>
              <w:rPr>
                <w:rFonts w:ascii="黑体" w:eastAsia="黑体" w:hAnsi="黑体" w:hint="eastAsia"/>
                <w:szCs w:val="30"/>
              </w:rPr>
              <w:t>5.与相关标准的关系分析</w:t>
            </w:r>
            <w:r>
              <w:tab/>
            </w:r>
            <w:r>
              <w:fldChar w:fldCharType="begin"/>
            </w:r>
            <w:r>
              <w:instrText xml:space="preserve"> PAGEREF _Toc6680 \h </w:instrText>
            </w:r>
            <w:r>
              <w:fldChar w:fldCharType="separate"/>
            </w:r>
            <w:r w:rsidR="008F16CF">
              <w:rPr>
                <w:noProof/>
              </w:rPr>
              <w:t>6</w:t>
            </w:r>
            <w:r>
              <w:fldChar w:fldCharType="end"/>
            </w:r>
          </w:hyperlink>
        </w:p>
        <w:p w14:paraId="4D9F9B7E" w14:textId="55CEC145" w:rsidR="00535026" w:rsidRDefault="00000000">
          <w:pPr>
            <w:pStyle w:val="TOC1"/>
            <w:tabs>
              <w:tab w:val="clear" w:pos="8296"/>
              <w:tab w:val="right" w:leader="dot" w:pos="8306"/>
            </w:tabs>
          </w:pPr>
          <w:hyperlink w:anchor="_Toc28691" w:history="1">
            <w:r>
              <w:rPr>
                <w:rFonts w:ascii="黑体" w:eastAsia="黑体" w:hAnsi="黑体" w:hint="eastAsia"/>
                <w:szCs w:val="30"/>
              </w:rPr>
              <w:t>6.采用国际标准的程度及水平说明</w:t>
            </w:r>
            <w:r>
              <w:tab/>
            </w:r>
            <w:r>
              <w:fldChar w:fldCharType="begin"/>
            </w:r>
            <w:r>
              <w:instrText xml:space="preserve"> PAGEREF _Toc28691 \h </w:instrText>
            </w:r>
            <w:r>
              <w:fldChar w:fldCharType="separate"/>
            </w:r>
            <w:r w:rsidR="008F16CF">
              <w:rPr>
                <w:noProof/>
              </w:rPr>
              <w:t>7</w:t>
            </w:r>
            <w:r>
              <w:fldChar w:fldCharType="end"/>
            </w:r>
          </w:hyperlink>
        </w:p>
        <w:p w14:paraId="7F1D0A76" w14:textId="67D08077" w:rsidR="00535026" w:rsidRDefault="00000000">
          <w:pPr>
            <w:pStyle w:val="TOC1"/>
            <w:tabs>
              <w:tab w:val="clear" w:pos="8296"/>
              <w:tab w:val="right" w:leader="dot" w:pos="8306"/>
            </w:tabs>
          </w:pPr>
          <w:hyperlink w:anchor="_Toc29596" w:history="1">
            <w:r>
              <w:rPr>
                <w:rFonts w:ascii="黑体" w:eastAsia="黑体" w:hAnsi="黑体" w:hint="eastAsia"/>
                <w:szCs w:val="30"/>
              </w:rPr>
              <w:t>7.重大分歧或重难点的处理经过和依据</w:t>
            </w:r>
            <w:r>
              <w:tab/>
            </w:r>
            <w:r>
              <w:fldChar w:fldCharType="begin"/>
            </w:r>
            <w:r>
              <w:instrText xml:space="preserve"> PAGEREF _Toc29596 \h </w:instrText>
            </w:r>
            <w:r>
              <w:fldChar w:fldCharType="separate"/>
            </w:r>
            <w:r w:rsidR="008F16CF">
              <w:rPr>
                <w:noProof/>
              </w:rPr>
              <w:t>8</w:t>
            </w:r>
            <w:r>
              <w:fldChar w:fldCharType="end"/>
            </w:r>
          </w:hyperlink>
        </w:p>
        <w:p w14:paraId="18273AF8" w14:textId="79E9D794" w:rsidR="00535026" w:rsidRDefault="00000000">
          <w:pPr>
            <w:pStyle w:val="TOC1"/>
            <w:tabs>
              <w:tab w:val="clear" w:pos="8296"/>
              <w:tab w:val="right" w:leader="dot" w:pos="8306"/>
            </w:tabs>
          </w:pPr>
          <w:hyperlink w:anchor="_Toc17217" w:history="1">
            <w:r>
              <w:rPr>
                <w:rFonts w:ascii="黑体" w:eastAsia="黑体" w:hAnsi="黑体" w:hint="eastAsia"/>
                <w:szCs w:val="30"/>
              </w:rPr>
              <w:t>8.标准推广应用措施及预期效果</w:t>
            </w:r>
            <w:r>
              <w:tab/>
            </w:r>
            <w:r>
              <w:fldChar w:fldCharType="begin"/>
            </w:r>
            <w:r>
              <w:instrText xml:space="preserve"> PAGEREF _Toc17217 \h </w:instrText>
            </w:r>
            <w:r>
              <w:fldChar w:fldCharType="separate"/>
            </w:r>
            <w:r w:rsidR="008F16CF">
              <w:rPr>
                <w:noProof/>
              </w:rPr>
              <w:t>8</w:t>
            </w:r>
            <w:r>
              <w:fldChar w:fldCharType="end"/>
            </w:r>
          </w:hyperlink>
        </w:p>
        <w:p w14:paraId="340DF75D" w14:textId="75C55AC9" w:rsidR="00535026" w:rsidRDefault="00000000">
          <w:pPr>
            <w:pStyle w:val="TOC1"/>
            <w:tabs>
              <w:tab w:val="clear" w:pos="8296"/>
              <w:tab w:val="right" w:leader="dot" w:pos="8306"/>
            </w:tabs>
          </w:pPr>
          <w:hyperlink w:anchor="_Toc17796" w:history="1">
            <w:r>
              <w:rPr>
                <w:rFonts w:ascii="黑体" w:eastAsia="黑体" w:hAnsi="黑体" w:hint="eastAsia"/>
                <w:szCs w:val="30"/>
              </w:rPr>
              <w:t>9.其他应说明的事项</w:t>
            </w:r>
            <w:r>
              <w:tab/>
            </w:r>
            <w:r>
              <w:fldChar w:fldCharType="begin"/>
            </w:r>
            <w:r>
              <w:instrText xml:space="preserve"> PAGEREF _Toc17796 \h </w:instrText>
            </w:r>
            <w:r>
              <w:fldChar w:fldCharType="separate"/>
            </w:r>
            <w:r w:rsidR="008F16CF">
              <w:rPr>
                <w:noProof/>
              </w:rPr>
              <w:t>9</w:t>
            </w:r>
            <w:r>
              <w:fldChar w:fldCharType="end"/>
            </w:r>
          </w:hyperlink>
        </w:p>
        <w:p w14:paraId="16D77844" w14:textId="77777777" w:rsidR="00535026" w:rsidRDefault="00000000">
          <w:pPr>
            <w:pStyle w:val="TOC1"/>
            <w:rPr>
              <w:kern w:val="2"/>
              <w:sz w:val="21"/>
              <w:lang w:val="zh-CN"/>
            </w:rPr>
          </w:pPr>
          <w:r>
            <w:rPr>
              <w:lang w:val="zh-CN"/>
            </w:rPr>
            <w:fldChar w:fldCharType="end"/>
          </w:r>
        </w:p>
      </w:sdtContent>
    </w:sdt>
    <w:p w14:paraId="632D7522" w14:textId="77777777" w:rsidR="00535026" w:rsidRDefault="00535026">
      <w:pPr>
        <w:pStyle w:val="1"/>
        <w:spacing w:beforeLines="50" w:before="156" w:afterLines="50" w:after="156" w:line="240" w:lineRule="auto"/>
        <w:rPr>
          <w:rFonts w:ascii="黑体" w:eastAsia="黑体" w:hAnsi="黑体"/>
          <w:b w:val="0"/>
          <w:sz w:val="30"/>
          <w:szCs w:val="30"/>
        </w:rPr>
        <w:sectPr w:rsidR="00535026" w:rsidSect="00E54813">
          <w:footerReference w:type="default" r:id="rId9"/>
          <w:pgSz w:w="11906" w:h="16838"/>
          <w:pgMar w:top="1440" w:right="1800" w:bottom="1440" w:left="1800" w:header="851" w:footer="992" w:gutter="0"/>
          <w:pgNumType w:start="1"/>
          <w:cols w:space="425"/>
          <w:docGrid w:type="lines" w:linePitch="312"/>
        </w:sectPr>
      </w:pPr>
    </w:p>
    <w:p w14:paraId="61F38E8A" w14:textId="77777777" w:rsidR="00535026" w:rsidRDefault="00000000">
      <w:pPr>
        <w:pStyle w:val="1"/>
        <w:spacing w:beforeLines="50" w:before="156" w:afterLines="50" w:after="156" w:line="240" w:lineRule="auto"/>
        <w:rPr>
          <w:rFonts w:ascii="黑体" w:eastAsia="黑体" w:hAnsi="黑体"/>
          <w:b w:val="0"/>
          <w:sz w:val="30"/>
          <w:szCs w:val="30"/>
        </w:rPr>
      </w:pPr>
      <w:bookmarkStart w:id="0" w:name="_Toc5146"/>
      <w:r>
        <w:rPr>
          <w:rFonts w:ascii="黑体" w:eastAsia="黑体" w:hAnsi="黑体" w:hint="eastAsia"/>
          <w:b w:val="0"/>
          <w:sz w:val="30"/>
          <w:szCs w:val="30"/>
        </w:rPr>
        <w:lastRenderedPageBreak/>
        <w:t>1.工作简况</w:t>
      </w:r>
      <w:bookmarkEnd w:id="0"/>
    </w:p>
    <w:p w14:paraId="57B02144" w14:textId="77777777" w:rsidR="00535026" w:rsidRDefault="00000000">
      <w:pPr>
        <w:rPr>
          <w:rFonts w:ascii="楷体" w:eastAsia="楷体" w:hAnsi="楷体"/>
          <w:b/>
          <w:sz w:val="28"/>
          <w:szCs w:val="28"/>
        </w:rPr>
      </w:pPr>
      <w:r>
        <w:rPr>
          <w:rFonts w:ascii="楷体" w:eastAsia="楷体" w:hAnsi="楷体" w:hint="eastAsia"/>
          <w:b/>
          <w:sz w:val="28"/>
          <w:szCs w:val="28"/>
        </w:rPr>
        <w:t>1.1任务来源</w:t>
      </w:r>
    </w:p>
    <w:p w14:paraId="1AF92571"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随着全球气候变化在各个地区日趋明显，由此引发的气候风险对诸多行业、企业发展造成了影响。行业、企业亟待关注物理风险、转型风险两大类的气候风险。其中，物理风险主要是由气候变化的物理影响引起的风险，包括风暴、洪水、火灾、热浪、海平面上升、生物多样性锐减、水资源减少等。转型风险是行业、企业在向低碳和气候适应性经济转型过程中产生的风险，涉及政策风险、法律风险、技术风险、市场情绪风险、信誉风险等。</w:t>
      </w:r>
    </w:p>
    <w:p w14:paraId="631E1D91"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出于上述考虑，为增强气候风险管控的意识与能力，企业有必要开展气候与环境信息披露工作，识别气候相关风险，确定适合自身情况的气候风险管理策略，积极响应重大气候转型风险，制定目标和行动计划并落实，同时体现企业的社会责任、清洁/低碳竞争力。同时，企业气候与环境信息披露还能够支撑政府部门监管、资本市场投资、供应链低碳管理等多方面的需求。</w:t>
      </w:r>
    </w:p>
    <w:p w14:paraId="15612263" w14:textId="49105B5A" w:rsidR="00535026" w:rsidRDefault="00000000">
      <w:pPr>
        <w:ind w:firstLineChars="200" w:firstLine="560"/>
        <w:rPr>
          <w:rFonts w:ascii="仿宋_GB2312" w:eastAsia="仿宋_GB2312"/>
          <w:sz w:val="28"/>
          <w:szCs w:val="28"/>
        </w:rPr>
      </w:pPr>
      <w:r>
        <w:rPr>
          <w:rFonts w:ascii="仿宋_GB2312" w:eastAsia="仿宋_GB2312" w:hint="eastAsia"/>
          <w:sz w:val="28"/>
          <w:szCs w:val="28"/>
        </w:rPr>
        <w:t>目前，企业气候与环境信息披露已成为国际性趋势。作为企业环保/</w:t>
      </w:r>
      <w:proofErr w:type="gramStart"/>
      <w:r>
        <w:rPr>
          <w:rFonts w:ascii="仿宋_GB2312" w:eastAsia="仿宋_GB2312" w:hint="eastAsia"/>
          <w:sz w:val="28"/>
          <w:szCs w:val="28"/>
        </w:rPr>
        <w:t>碳管理</w:t>
      </w:r>
      <w:proofErr w:type="gramEnd"/>
      <w:r>
        <w:rPr>
          <w:rFonts w:ascii="仿宋_GB2312" w:eastAsia="仿宋_GB2312" w:hint="eastAsia"/>
          <w:sz w:val="28"/>
          <w:szCs w:val="28"/>
        </w:rPr>
        <w:t>的基础、政府碳监管的依据、</w:t>
      </w:r>
      <w:proofErr w:type="gramStart"/>
      <w:r>
        <w:rPr>
          <w:rFonts w:ascii="仿宋_GB2312" w:eastAsia="仿宋_GB2312" w:hint="eastAsia"/>
          <w:sz w:val="28"/>
          <w:szCs w:val="28"/>
        </w:rPr>
        <w:t>碳交易</w:t>
      </w:r>
      <w:proofErr w:type="gramEnd"/>
      <w:r>
        <w:rPr>
          <w:rFonts w:ascii="仿宋_GB2312" w:eastAsia="仿宋_GB2312" w:hint="eastAsia"/>
          <w:sz w:val="28"/>
          <w:szCs w:val="28"/>
        </w:rPr>
        <w:t>市场建设的规范，国内外都对企业气候与环境信息披露在推动低碳经济发展的进程中的作用予以高度重视。国外机构如气候相关财务披露工作小组（TCFD）、全球倡议组织（GRI）、气候披露标准委员会（CDSB）、可持续发展会计准则委员会（SASB）等都率先开发了气候披露标准/工具。我国这一领域处在前期起步阶段，正在从政策层面推动开展，例如由生态环</w:t>
      </w:r>
      <w:r>
        <w:rPr>
          <w:rFonts w:ascii="仿宋_GB2312" w:eastAsia="仿宋_GB2312" w:hint="eastAsia"/>
          <w:sz w:val="28"/>
          <w:szCs w:val="28"/>
        </w:rPr>
        <w:lastRenderedPageBreak/>
        <w:t>境部等印发的《碳排放权交易管理办法》《企业环境信息披露管理办法》《关于促进应对气候变化投融资的指导意见》《国家适应气候变化战略2035》等文件都有提出要完善气候信息披露制度、标准的表述。我国也发布了少数气候与环境信息披露指南/指引，但其适用的行业领域相对聚焦，披露指标未能兼顾环境和气候的所有关键要素，在系统性、通用性方面较难满足我国更多行业的急迫需求。</w:t>
      </w:r>
    </w:p>
    <w:p w14:paraId="4A70FA38" w14:textId="77777777" w:rsidR="00535026" w:rsidRDefault="00000000">
      <w:pPr>
        <w:ind w:firstLineChars="200" w:firstLine="560"/>
        <w:rPr>
          <w:rFonts w:ascii="仿宋_GB2312" w:eastAsia="仿宋_GB2312"/>
          <w:sz w:val="28"/>
          <w:szCs w:val="28"/>
        </w:rPr>
      </w:pPr>
      <w:r>
        <w:rPr>
          <w:rFonts w:ascii="仿宋_GB2312" w:eastAsia="仿宋_GB2312"/>
          <w:sz w:val="28"/>
          <w:szCs w:val="28"/>
        </w:rPr>
        <w:t>为助力实现国家</w:t>
      </w:r>
      <w:r>
        <w:rPr>
          <w:rFonts w:ascii="仿宋_GB2312" w:eastAsia="仿宋_GB2312" w:hint="eastAsia"/>
          <w:sz w:val="28"/>
          <w:szCs w:val="28"/>
        </w:rPr>
        <w:t>“</w:t>
      </w:r>
      <w:r>
        <w:rPr>
          <w:rFonts w:ascii="仿宋_GB2312" w:eastAsia="仿宋_GB2312"/>
          <w:sz w:val="28"/>
          <w:szCs w:val="28"/>
        </w:rPr>
        <w:t>碳达峰、碳中和</w:t>
      </w:r>
      <w:r>
        <w:rPr>
          <w:rFonts w:ascii="仿宋_GB2312" w:eastAsia="仿宋_GB2312" w:hint="eastAsia"/>
          <w:sz w:val="28"/>
          <w:szCs w:val="28"/>
        </w:rPr>
        <w:t>”</w:t>
      </w:r>
      <w:r>
        <w:rPr>
          <w:rFonts w:ascii="仿宋_GB2312" w:eastAsia="仿宋_GB2312"/>
          <w:sz w:val="28"/>
          <w:szCs w:val="28"/>
        </w:rPr>
        <w:t>目标</w:t>
      </w:r>
      <w:r>
        <w:rPr>
          <w:rFonts w:ascii="仿宋_GB2312" w:eastAsia="仿宋_GB2312" w:hint="eastAsia"/>
          <w:sz w:val="28"/>
          <w:szCs w:val="28"/>
        </w:rPr>
        <w:t>，推动减</w:t>
      </w:r>
      <w:proofErr w:type="gramStart"/>
      <w:r>
        <w:rPr>
          <w:rFonts w:ascii="仿宋_GB2312" w:eastAsia="仿宋_GB2312" w:hint="eastAsia"/>
          <w:sz w:val="28"/>
          <w:szCs w:val="28"/>
        </w:rPr>
        <w:t>污降碳</w:t>
      </w:r>
      <w:proofErr w:type="gramEnd"/>
      <w:r>
        <w:rPr>
          <w:rFonts w:ascii="仿宋_GB2312" w:eastAsia="仿宋_GB2312" w:hint="eastAsia"/>
          <w:sz w:val="28"/>
          <w:szCs w:val="28"/>
        </w:rPr>
        <w:t>协同增效，推动更多企业强化气候与环境信息披露工作，</w:t>
      </w:r>
      <w:r>
        <w:rPr>
          <w:rFonts w:ascii="仿宋_GB2312" w:eastAsia="仿宋_GB2312"/>
          <w:sz w:val="28"/>
          <w:szCs w:val="28"/>
        </w:rPr>
        <w:t>根据《中国环境科学学会标准管理办法（试行）》</w:t>
      </w:r>
      <w:r>
        <w:rPr>
          <w:rFonts w:ascii="仿宋_GB2312" w:eastAsia="仿宋_GB2312" w:hint="eastAsia"/>
          <w:sz w:val="28"/>
          <w:szCs w:val="28"/>
        </w:rPr>
        <w:t>，中国环境科学学会于2022年8月提出新标准立项建议，并于2</w:t>
      </w:r>
      <w:r>
        <w:rPr>
          <w:rFonts w:ascii="仿宋_GB2312" w:eastAsia="仿宋_GB2312"/>
          <w:sz w:val="28"/>
          <w:szCs w:val="28"/>
        </w:rPr>
        <w:t>022</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月正式通过标准立项计划。</w:t>
      </w:r>
    </w:p>
    <w:p w14:paraId="6B3C1068" w14:textId="77777777" w:rsidR="00535026" w:rsidRDefault="00000000">
      <w:pPr>
        <w:rPr>
          <w:rFonts w:ascii="楷体" w:eastAsia="楷体" w:hAnsi="楷体"/>
          <w:b/>
          <w:sz w:val="28"/>
          <w:szCs w:val="28"/>
        </w:rPr>
      </w:pPr>
      <w:r>
        <w:rPr>
          <w:rFonts w:ascii="楷体" w:eastAsia="楷体" w:hAnsi="楷体" w:hint="eastAsia"/>
          <w:b/>
          <w:sz w:val="28"/>
          <w:szCs w:val="28"/>
        </w:rPr>
        <w:t>1</w:t>
      </w:r>
      <w:r>
        <w:rPr>
          <w:rFonts w:ascii="楷体" w:eastAsia="楷体" w:hAnsi="楷体"/>
          <w:b/>
          <w:sz w:val="28"/>
          <w:szCs w:val="28"/>
        </w:rPr>
        <w:t>.2</w:t>
      </w:r>
      <w:r>
        <w:rPr>
          <w:rFonts w:ascii="楷体" w:eastAsia="楷体" w:hAnsi="楷体" w:hint="eastAsia"/>
          <w:b/>
          <w:sz w:val="28"/>
          <w:szCs w:val="28"/>
        </w:rPr>
        <w:t xml:space="preserve"> 主要目的</w:t>
      </w:r>
    </w:p>
    <w:p w14:paraId="7A4E4C5B" w14:textId="67BD8504" w:rsidR="00535026" w:rsidRDefault="00000000">
      <w:pPr>
        <w:ind w:firstLineChars="200" w:firstLine="560"/>
        <w:rPr>
          <w:rFonts w:ascii="仿宋_GB2312" w:eastAsia="仿宋_GB2312"/>
          <w:sz w:val="28"/>
          <w:szCs w:val="28"/>
        </w:rPr>
      </w:pPr>
      <w:r>
        <w:rPr>
          <w:rFonts w:ascii="仿宋_GB2312" w:eastAsia="仿宋_GB2312" w:hint="eastAsia"/>
          <w:sz w:val="28"/>
          <w:szCs w:val="28"/>
        </w:rPr>
        <w:t>鉴于我国气候与环境信息披露处在前期起步阶段，缺乏普适性标准明确披露的相关要求，</w:t>
      </w:r>
      <w:r w:rsidR="008F16CF">
        <w:rPr>
          <w:rFonts w:ascii="仿宋_GB2312" w:eastAsia="仿宋_GB2312" w:hint="eastAsia"/>
          <w:sz w:val="28"/>
          <w:szCs w:val="28"/>
        </w:rPr>
        <w:t>本文件</w:t>
      </w:r>
      <w:r>
        <w:rPr>
          <w:rFonts w:ascii="仿宋_GB2312" w:eastAsia="仿宋_GB2312" w:hint="eastAsia"/>
          <w:sz w:val="28"/>
          <w:szCs w:val="28"/>
        </w:rPr>
        <w:t>旨在搭建普适性、系统性框架，规定了企业气候与环境信息披露的披露原则、披露方式、披露内容、披露指标、披露形式、披露要求与应用等，积极推动我国气候披露工作发展。编制过程中，以符合中国本土实际为重心，适当借鉴国外已有的披露标准，兼顾国际与国内的双重需要顺应国际潮流和趋势。</w:t>
      </w:r>
      <w:r w:rsidR="008F16CF">
        <w:rPr>
          <w:rFonts w:ascii="仿宋_GB2312" w:eastAsia="仿宋_GB2312" w:hint="eastAsia"/>
          <w:sz w:val="28"/>
          <w:szCs w:val="28"/>
        </w:rPr>
        <w:t>本文件</w:t>
      </w:r>
      <w:r>
        <w:rPr>
          <w:rFonts w:ascii="仿宋_GB2312" w:eastAsia="仿宋_GB2312" w:hint="eastAsia"/>
          <w:sz w:val="28"/>
          <w:szCs w:val="28"/>
        </w:rPr>
        <w:t>还强调对气候风险与机遇的统筹考虑，推动企业主动、积极地围绕气候风险管理提升能力。</w:t>
      </w:r>
    </w:p>
    <w:p w14:paraId="28D43286" w14:textId="09B4AFC8" w:rsidR="00535026" w:rsidRDefault="00000000">
      <w:pPr>
        <w:ind w:firstLineChars="200" w:firstLine="560"/>
        <w:rPr>
          <w:rFonts w:ascii="仿宋_GB2312" w:eastAsia="仿宋_GB2312"/>
          <w:sz w:val="28"/>
          <w:szCs w:val="28"/>
        </w:rPr>
      </w:pPr>
      <w:r>
        <w:rPr>
          <w:rFonts w:ascii="仿宋_GB2312" w:eastAsia="仿宋_GB2312" w:hint="eastAsia"/>
          <w:sz w:val="28"/>
          <w:szCs w:val="28"/>
        </w:rPr>
        <w:t>通过</w:t>
      </w:r>
      <w:r w:rsidR="008F16CF">
        <w:rPr>
          <w:rFonts w:ascii="仿宋_GB2312" w:eastAsia="仿宋_GB2312" w:hint="eastAsia"/>
          <w:sz w:val="28"/>
          <w:szCs w:val="28"/>
        </w:rPr>
        <w:t>本文件</w:t>
      </w:r>
      <w:r>
        <w:rPr>
          <w:rFonts w:ascii="仿宋_GB2312" w:eastAsia="仿宋_GB2312" w:hint="eastAsia"/>
          <w:sz w:val="28"/>
          <w:szCs w:val="28"/>
        </w:rPr>
        <w:t>的制定，将促进我国企业气候与环境信息披露提高至战略性、全局性、系统性高度；指导企业有效实施气候与环境信息披露，助力企业在低碳经济</w:t>
      </w:r>
      <w:proofErr w:type="gramStart"/>
      <w:r>
        <w:rPr>
          <w:rFonts w:ascii="仿宋_GB2312" w:eastAsia="仿宋_GB2312" w:hint="eastAsia"/>
          <w:sz w:val="28"/>
          <w:szCs w:val="28"/>
        </w:rPr>
        <w:t>转型进程</w:t>
      </w:r>
      <w:proofErr w:type="gramEnd"/>
      <w:r>
        <w:rPr>
          <w:rFonts w:ascii="仿宋_GB2312" w:eastAsia="仿宋_GB2312" w:hint="eastAsia"/>
          <w:sz w:val="28"/>
          <w:szCs w:val="28"/>
        </w:rPr>
        <w:t>中找到自身战略方向与应对之策；</w:t>
      </w:r>
      <w:r>
        <w:rPr>
          <w:rFonts w:ascii="仿宋_GB2312" w:eastAsia="仿宋_GB2312" w:hint="eastAsia"/>
          <w:sz w:val="28"/>
          <w:szCs w:val="28"/>
        </w:rPr>
        <w:lastRenderedPageBreak/>
        <w:t>更加广泛地满足利益相关者的需求，帮助投资者充分了解有效的信息辅助决策，进而做出细致的数据分析和科学的资本配置；支撑监管部门依靠信息量化风险，精准施策，推进经济向低碳模式平稳过渡，确保金融市场稳健运行，推动绿色金融高质量发展。</w:t>
      </w:r>
    </w:p>
    <w:p w14:paraId="6FA31512" w14:textId="77777777" w:rsidR="00535026" w:rsidRDefault="00000000">
      <w:pPr>
        <w:rPr>
          <w:rFonts w:ascii="楷体" w:eastAsia="楷体" w:hAnsi="楷体"/>
          <w:b/>
          <w:sz w:val="28"/>
          <w:szCs w:val="28"/>
        </w:rPr>
      </w:pPr>
      <w:r>
        <w:rPr>
          <w:rFonts w:ascii="楷体" w:eastAsia="楷体" w:hAnsi="楷体" w:hint="eastAsia"/>
          <w:b/>
          <w:sz w:val="28"/>
          <w:szCs w:val="28"/>
        </w:rPr>
        <w:t>1.</w:t>
      </w:r>
      <w:r>
        <w:rPr>
          <w:rFonts w:ascii="楷体" w:eastAsia="楷体" w:hAnsi="楷体"/>
          <w:b/>
          <w:sz w:val="28"/>
          <w:szCs w:val="28"/>
        </w:rPr>
        <w:t>3</w:t>
      </w:r>
      <w:r>
        <w:rPr>
          <w:rFonts w:ascii="楷体" w:eastAsia="楷体" w:hAnsi="楷体" w:hint="eastAsia"/>
          <w:b/>
          <w:sz w:val="28"/>
          <w:szCs w:val="28"/>
        </w:rPr>
        <w:t>编制过程</w:t>
      </w:r>
    </w:p>
    <w:p w14:paraId="5E6C3DF0"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（1）成立编制组</w:t>
      </w:r>
    </w:p>
    <w:p w14:paraId="7990F753"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按照新标准立项计划，中国环境科学学会组织成立了标准编制组，并由北京师范大学中国绿色发展协同创新中心牵头标准的起草工作。</w:t>
      </w:r>
    </w:p>
    <w:p w14:paraId="496D34DF"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（2）编制调研</w:t>
      </w:r>
    </w:p>
    <w:p w14:paraId="7D922374"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工作组搜集了国内外相关的政策、法规、标准或技术资料，通过会谈座谈、走访、查阅资料等多种方式开展调研，在此基础上确立标准框架和思路，编制形成《企业气候与环境信息披露指南》草案。</w:t>
      </w:r>
    </w:p>
    <w:p w14:paraId="6A670E2D"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（3）标准立项</w:t>
      </w:r>
    </w:p>
    <w:p w14:paraId="0E97CA10"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2022年</w:t>
      </w:r>
      <w:r>
        <w:rPr>
          <w:rFonts w:ascii="仿宋_GB2312" w:eastAsia="仿宋_GB2312"/>
          <w:sz w:val="28"/>
          <w:szCs w:val="28"/>
        </w:rPr>
        <w:t>9月16日</w:t>
      </w:r>
      <w:r>
        <w:rPr>
          <w:rFonts w:ascii="仿宋_GB2312" w:eastAsia="仿宋_GB2312" w:hint="eastAsia"/>
          <w:sz w:val="28"/>
          <w:szCs w:val="28"/>
        </w:rPr>
        <w:t>，中国环境科学学会组织召开标准立项评审会，对立项材料进行技术审查，经过专家论证，同意以《企业气候与环境信息披露指南》的名称立项，并对标准下一步的</w:t>
      </w:r>
      <w:proofErr w:type="gramStart"/>
      <w:r>
        <w:rPr>
          <w:rFonts w:ascii="仿宋_GB2312" w:eastAsia="仿宋_GB2312" w:hint="eastAsia"/>
          <w:sz w:val="28"/>
          <w:szCs w:val="28"/>
        </w:rPr>
        <w:t>研</w:t>
      </w:r>
      <w:proofErr w:type="gramEnd"/>
      <w:r>
        <w:rPr>
          <w:rFonts w:ascii="仿宋_GB2312" w:eastAsia="仿宋_GB2312" w:hint="eastAsia"/>
          <w:sz w:val="28"/>
          <w:szCs w:val="28"/>
        </w:rPr>
        <w:t>编工作提供了指导和明确了方向。</w:t>
      </w:r>
    </w:p>
    <w:p w14:paraId="702F88FF"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（4）标准编制</w:t>
      </w:r>
    </w:p>
    <w:p w14:paraId="6AA79FE3" w14:textId="77777777" w:rsidR="00535026" w:rsidRDefault="00000000">
      <w:pPr>
        <w:ind w:firstLineChars="200" w:firstLine="560"/>
        <w:rPr>
          <w:rFonts w:ascii="仿宋_GB2312" w:eastAsia="仿宋_GB2312"/>
          <w:sz w:val="28"/>
          <w:szCs w:val="28"/>
        </w:rPr>
      </w:pPr>
      <w:bookmarkStart w:id="1" w:name="_Toc25908"/>
      <w:r>
        <w:rPr>
          <w:rFonts w:ascii="仿宋_GB2312" w:eastAsia="仿宋_GB2312" w:hint="eastAsia"/>
          <w:sz w:val="28"/>
          <w:szCs w:val="28"/>
        </w:rPr>
        <w:t>2022年</w:t>
      </w:r>
      <w:r>
        <w:rPr>
          <w:rFonts w:ascii="仿宋_GB2312" w:eastAsia="仿宋_GB2312"/>
          <w:sz w:val="28"/>
          <w:szCs w:val="28"/>
        </w:rPr>
        <w:t>10月21日</w:t>
      </w:r>
      <w:r>
        <w:rPr>
          <w:rFonts w:ascii="仿宋_GB2312" w:eastAsia="仿宋_GB2312" w:hint="eastAsia"/>
          <w:sz w:val="28"/>
          <w:szCs w:val="28"/>
        </w:rPr>
        <w:t>，标准编制组召开团体标准编制工作启动会，制定了标准研制计划，部署了工作任务及任务分工。2022年</w:t>
      </w:r>
      <w:r>
        <w:rPr>
          <w:rFonts w:ascii="仿宋_GB2312" w:eastAsia="仿宋_GB2312"/>
          <w:sz w:val="28"/>
          <w:szCs w:val="28"/>
        </w:rPr>
        <w:t>11</w:t>
      </w:r>
      <w:r>
        <w:rPr>
          <w:rFonts w:ascii="仿宋_GB2312" w:eastAsia="仿宋_GB2312" w:hint="eastAsia"/>
          <w:sz w:val="28"/>
          <w:szCs w:val="28"/>
        </w:rPr>
        <w:t>月-2023年7月，编制组多次召开编制内部讨论会以及征求外部专家的意见，对标准草案稿进行深度研讨、修订，</w:t>
      </w:r>
      <w:r>
        <w:rPr>
          <w:rFonts w:ascii="仿宋_GB2312" w:eastAsia="仿宋_GB2312"/>
          <w:sz w:val="28"/>
          <w:szCs w:val="28"/>
        </w:rPr>
        <w:t>形成标准征求意见稿。</w:t>
      </w:r>
      <w:r>
        <w:rPr>
          <w:rFonts w:ascii="仿宋_GB2312" w:eastAsia="仿宋_GB2312" w:hint="eastAsia"/>
          <w:sz w:val="28"/>
          <w:szCs w:val="28"/>
        </w:rPr>
        <w:t>2023</w:t>
      </w:r>
      <w:r>
        <w:rPr>
          <w:rFonts w:ascii="仿宋_GB2312" w:eastAsia="仿宋_GB2312" w:hint="eastAsia"/>
          <w:sz w:val="28"/>
          <w:szCs w:val="28"/>
        </w:rPr>
        <w:lastRenderedPageBreak/>
        <w:t>年8月-11月，编制组再次征集外部专家意见，对征求</w:t>
      </w:r>
      <w:proofErr w:type="gramStart"/>
      <w:r>
        <w:rPr>
          <w:rFonts w:ascii="仿宋_GB2312" w:eastAsia="仿宋_GB2312" w:hint="eastAsia"/>
          <w:sz w:val="28"/>
          <w:szCs w:val="28"/>
        </w:rPr>
        <w:t>意见稿做进一步</w:t>
      </w:r>
      <w:proofErr w:type="gramEnd"/>
      <w:r>
        <w:rPr>
          <w:rFonts w:ascii="仿宋_GB2312" w:eastAsia="仿宋_GB2312" w:hint="eastAsia"/>
          <w:sz w:val="28"/>
          <w:szCs w:val="28"/>
        </w:rPr>
        <w:t>的修改完善。</w:t>
      </w:r>
    </w:p>
    <w:p w14:paraId="3BADAE0B" w14:textId="77777777" w:rsidR="00535026" w:rsidRDefault="00000000">
      <w:pPr>
        <w:pStyle w:val="1"/>
        <w:spacing w:beforeLines="50" w:before="156" w:afterLines="50" w:after="156" w:line="240" w:lineRule="auto"/>
        <w:rPr>
          <w:rFonts w:ascii="黑体" w:eastAsia="黑体" w:hAnsi="黑体"/>
          <w:b w:val="0"/>
          <w:sz w:val="30"/>
          <w:szCs w:val="30"/>
        </w:rPr>
      </w:pPr>
      <w:r>
        <w:rPr>
          <w:rFonts w:ascii="黑体" w:eastAsia="黑体" w:hAnsi="黑体" w:hint="eastAsia"/>
          <w:b w:val="0"/>
          <w:sz w:val="30"/>
          <w:szCs w:val="30"/>
        </w:rPr>
        <w:t>2.标准编制原则</w:t>
      </w:r>
      <w:bookmarkEnd w:id="1"/>
    </w:p>
    <w:p w14:paraId="10FAA907" w14:textId="64B4C6D0"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hint="eastAsia"/>
          <w:sz w:val="28"/>
          <w:szCs w:val="28"/>
        </w:rPr>
        <w:t>在编制过程中充分考虑以下原则：</w:t>
      </w:r>
    </w:p>
    <w:p w14:paraId="7B331A87" w14:textId="77777777" w:rsidR="00535026" w:rsidRDefault="00000000">
      <w:pPr>
        <w:ind w:firstLineChars="200" w:firstLine="562"/>
        <w:rPr>
          <w:rFonts w:ascii="仿宋_GB2312" w:eastAsia="仿宋_GB2312"/>
          <w:sz w:val="28"/>
          <w:szCs w:val="28"/>
        </w:rPr>
      </w:pPr>
      <w:r>
        <w:rPr>
          <w:rFonts w:ascii="仿宋_GB2312" w:eastAsia="仿宋_GB2312" w:hint="eastAsia"/>
          <w:b/>
          <w:bCs/>
          <w:sz w:val="28"/>
          <w:szCs w:val="28"/>
        </w:rPr>
        <w:t>通用性和灵活性：</w:t>
      </w:r>
      <w:r>
        <w:rPr>
          <w:rFonts w:ascii="仿宋_GB2312" w:eastAsia="仿宋_GB2312" w:hint="eastAsia"/>
          <w:sz w:val="28"/>
          <w:szCs w:val="28"/>
        </w:rPr>
        <w:t>具备普适性、全面的披露标准框架，适用于各行业企业的披露内容、披露要求和度量标准；企业可依据实际，选择全套使用本指南，也可部分使用。</w:t>
      </w:r>
    </w:p>
    <w:p w14:paraId="728D9497" w14:textId="77777777" w:rsidR="00535026" w:rsidRDefault="00000000">
      <w:pPr>
        <w:ind w:firstLineChars="200" w:firstLine="562"/>
        <w:rPr>
          <w:rFonts w:ascii="仿宋_GB2312" w:eastAsia="仿宋_GB2312"/>
          <w:sz w:val="28"/>
          <w:szCs w:val="28"/>
        </w:rPr>
      </w:pPr>
      <w:r>
        <w:rPr>
          <w:rFonts w:ascii="仿宋_GB2312" w:eastAsia="仿宋_GB2312" w:hint="eastAsia"/>
          <w:b/>
          <w:bCs/>
          <w:sz w:val="28"/>
          <w:szCs w:val="28"/>
        </w:rPr>
        <w:t>前瞻性和针对性：</w:t>
      </w:r>
      <w:r>
        <w:rPr>
          <w:rFonts w:ascii="仿宋_GB2312" w:eastAsia="仿宋_GB2312" w:hint="eastAsia"/>
          <w:sz w:val="28"/>
          <w:szCs w:val="28"/>
        </w:rPr>
        <w:t>既披露相关风险也披露机遇，除企业自身外，还包括上下游价值链；以气候相关信息为主，涵盖了减缓和适应两个方面，同时遴选了环境中与气候密切相关的内容。</w:t>
      </w:r>
    </w:p>
    <w:p w14:paraId="3C8A6642" w14:textId="77777777" w:rsidR="00535026" w:rsidRDefault="00000000">
      <w:pPr>
        <w:ind w:firstLineChars="200" w:firstLine="562"/>
        <w:rPr>
          <w:rFonts w:ascii="仿宋_GB2312" w:eastAsia="仿宋_GB2312"/>
          <w:sz w:val="28"/>
          <w:szCs w:val="28"/>
        </w:rPr>
      </w:pPr>
      <w:r>
        <w:rPr>
          <w:rFonts w:ascii="仿宋_GB2312" w:eastAsia="仿宋_GB2312" w:hint="eastAsia"/>
          <w:b/>
          <w:bCs/>
          <w:sz w:val="28"/>
          <w:szCs w:val="28"/>
        </w:rPr>
        <w:t>立足实际、兼容并蓄：</w:t>
      </w:r>
      <w:r>
        <w:rPr>
          <w:rFonts w:ascii="仿宋_GB2312" w:eastAsia="仿宋_GB2312" w:hint="eastAsia"/>
          <w:sz w:val="28"/>
          <w:szCs w:val="28"/>
        </w:rPr>
        <w:t>立足我国目前发展阶段、市场情况、投融资平衡及法治诚信环境，制定符合我国国情的披露标准，同时吸收借鉴国际信息披露框架和要求，顺应全球趋势，促进与全球的链接，减低企业披露成本。</w:t>
      </w:r>
    </w:p>
    <w:p w14:paraId="2481C021" w14:textId="77777777" w:rsidR="00535026" w:rsidRDefault="00000000">
      <w:pPr>
        <w:pStyle w:val="1"/>
        <w:spacing w:beforeLines="50" w:before="156" w:afterLines="50" w:after="156" w:line="240" w:lineRule="auto"/>
        <w:rPr>
          <w:rFonts w:ascii="黑体" w:eastAsia="黑体" w:hAnsi="黑体"/>
          <w:b w:val="0"/>
          <w:sz w:val="30"/>
          <w:szCs w:val="30"/>
        </w:rPr>
      </w:pPr>
      <w:bookmarkStart w:id="2" w:name="_Toc13444"/>
      <w:r>
        <w:rPr>
          <w:rFonts w:ascii="黑体" w:eastAsia="黑体" w:hAnsi="黑体" w:hint="eastAsia"/>
          <w:b w:val="0"/>
          <w:sz w:val="30"/>
          <w:szCs w:val="30"/>
        </w:rPr>
        <w:t>3.标准主要技术内容</w:t>
      </w:r>
      <w:bookmarkEnd w:id="2"/>
    </w:p>
    <w:p w14:paraId="20B476C6" w14:textId="338481C0"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hint="eastAsia"/>
          <w:sz w:val="28"/>
          <w:szCs w:val="28"/>
        </w:rPr>
        <w:t>主要包括前言、正文两大部分：</w:t>
      </w:r>
    </w:p>
    <w:p w14:paraId="463D5A07"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前言部分，主要包括标准编制所遵循的相关规定、标准涉及专利的情况、标准提出和归口单位、起草单位、主要起草人等。</w:t>
      </w:r>
    </w:p>
    <w:p w14:paraId="3AB39F0D"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正文部分，主要包括范围、规范性引用文件、术语和定义、披露原则、披露内容、披露指标、披露形式、披露要求与应用等8个章节的内容。</w:t>
      </w:r>
    </w:p>
    <w:p w14:paraId="17E98DC4"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bookmarkStart w:id="3" w:name="_Toc115689597"/>
      <w:r>
        <w:rPr>
          <w:rFonts w:ascii="仿宋_GB2312" w:eastAsia="仿宋_GB2312" w:hAnsi="仿宋_GB2312" w:hint="eastAsia"/>
          <w:b/>
          <w:bCs/>
          <w:sz w:val="28"/>
        </w:rPr>
        <w:lastRenderedPageBreak/>
        <w:t>1范围</w:t>
      </w:r>
    </w:p>
    <w:p w14:paraId="75F05C16"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企业气候与环境信息披露指南的主体内容和适用对象。充分体现通用性与普适性。</w:t>
      </w:r>
    </w:p>
    <w:p w14:paraId="2109A790"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2规范性引用文件</w:t>
      </w:r>
    </w:p>
    <w:p w14:paraId="0A6E04A0" w14:textId="28488AE3"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说明了</w:t>
      </w:r>
      <w:r w:rsidR="008F16CF">
        <w:rPr>
          <w:rFonts w:ascii="仿宋_GB2312" w:eastAsia="仿宋_GB2312" w:hAnsi="仿宋_GB2312" w:hint="eastAsia"/>
          <w:sz w:val="28"/>
        </w:rPr>
        <w:t>本文件</w:t>
      </w:r>
      <w:r>
        <w:rPr>
          <w:rFonts w:ascii="仿宋_GB2312" w:eastAsia="仿宋_GB2312" w:hAnsi="仿宋_GB2312" w:hint="eastAsia"/>
          <w:sz w:val="28"/>
        </w:rPr>
        <w:t>引用或参考的文件。</w:t>
      </w:r>
    </w:p>
    <w:p w14:paraId="39B42247"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3术语和定义</w:t>
      </w:r>
    </w:p>
    <w:p w14:paraId="4E93C174"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标准中需要解释的术语和定义，涵盖气候变化、运营管理和</w:t>
      </w:r>
      <w:proofErr w:type="gramStart"/>
      <w:r>
        <w:rPr>
          <w:rFonts w:ascii="仿宋_GB2312" w:eastAsia="仿宋_GB2312" w:hAnsi="仿宋_GB2312" w:hint="eastAsia"/>
          <w:sz w:val="28"/>
        </w:rPr>
        <w:t>碳排放</w:t>
      </w:r>
      <w:proofErr w:type="gramEnd"/>
      <w:r>
        <w:rPr>
          <w:rFonts w:ascii="仿宋_GB2312" w:eastAsia="仿宋_GB2312" w:hAnsi="仿宋_GB2312" w:hint="eastAsia"/>
          <w:sz w:val="28"/>
        </w:rPr>
        <w:t>等方面相关术语。</w:t>
      </w:r>
    </w:p>
    <w:p w14:paraId="157159CF"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4披露原则</w:t>
      </w:r>
    </w:p>
    <w:p w14:paraId="388F056F"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企业开展气候与环境信息披露应遵循的原则，包括顺应发展趋势、回应各方关切、信息全面完整、信息真实可信、信息对照可比等。</w:t>
      </w:r>
    </w:p>
    <w:p w14:paraId="61D045BE"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5披露内容</w:t>
      </w:r>
    </w:p>
    <w:p w14:paraId="0E1082BC"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企业气候与环境信息披露应涵盖的框架内容，包括企业概况、披露范围、管理和职责、风险与机遇、战略和目标、行动和计划等。与国际已有的信息披露框架保持兼容。</w:t>
      </w:r>
    </w:p>
    <w:p w14:paraId="2A7431AD"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6披露指标</w:t>
      </w:r>
    </w:p>
    <w:p w14:paraId="46A28959"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提供了企业气候与环境信息披露应涵盖的、可供选择的定量和定性指标。在实际披露时，企业应结合政策法规、利益相关方需求、自身情况选取指标。披露指标覆盖气候、环境、绿色三个部分，具有较强的前瞻性和针对性。披露指标</w:t>
      </w:r>
      <w:r>
        <w:rPr>
          <w:rFonts w:ascii="仿宋_GB2312" w:eastAsia="仿宋_GB2312" w:hint="eastAsia"/>
          <w:sz w:val="28"/>
          <w:szCs w:val="28"/>
        </w:rPr>
        <w:t>符合我国国情，并与国外信息披露工具相兼容</w:t>
      </w:r>
      <w:r>
        <w:rPr>
          <w:rFonts w:ascii="仿宋_GB2312" w:eastAsia="仿宋_GB2312" w:hAnsi="仿宋_GB2312" w:hint="eastAsia"/>
          <w:sz w:val="28"/>
        </w:rPr>
        <w:t>。</w:t>
      </w:r>
    </w:p>
    <w:p w14:paraId="647BEA74" w14:textId="77777777" w:rsidR="00535026" w:rsidRDefault="00000000">
      <w:pPr>
        <w:numPr>
          <w:ilvl w:val="0"/>
          <w:numId w:val="1"/>
        </w:num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气候：主要包括温室气体排放、能耗及结构、</w:t>
      </w:r>
      <w:proofErr w:type="gramStart"/>
      <w:r>
        <w:rPr>
          <w:rFonts w:ascii="仿宋_GB2312" w:eastAsia="仿宋_GB2312" w:hAnsi="仿宋_GB2312" w:hint="eastAsia"/>
          <w:sz w:val="28"/>
        </w:rPr>
        <w:t>碳资产</w:t>
      </w:r>
      <w:proofErr w:type="gramEnd"/>
      <w:r>
        <w:rPr>
          <w:rFonts w:ascii="仿宋_GB2312" w:eastAsia="仿宋_GB2312" w:hAnsi="仿宋_GB2312" w:hint="eastAsia"/>
          <w:sz w:val="28"/>
        </w:rPr>
        <w:t>与碳</w:t>
      </w:r>
      <w:r>
        <w:rPr>
          <w:rFonts w:ascii="仿宋_GB2312" w:eastAsia="仿宋_GB2312" w:hAnsi="仿宋_GB2312" w:hint="eastAsia"/>
          <w:sz w:val="28"/>
        </w:rPr>
        <w:lastRenderedPageBreak/>
        <w:t>交易、温室气体减排、基础设施相关的定量指标。较适用于我国从“能耗双控”向“碳排放双控”转变，以及更加强调适应气候变化的实际情况。</w:t>
      </w:r>
    </w:p>
    <w:p w14:paraId="00DE5D27" w14:textId="77777777" w:rsidR="00535026" w:rsidRDefault="00000000">
      <w:pPr>
        <w:numPr>
          <w:ilvl w:val="0"/>
          <w:numId w:val="1"/>
        </w:num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环境：主要包括污染物排放、水资源、合</w:t>
      </w:r>
      <w:proofErr w:type="gramStart"/>
      <w:r>
        <w:rPr>
          <w:rFonts w:ascii="仿宋_GB2312" w:eastAsia="仿宋_GB2312" w:hAnsi="仿宋_GB2312" w:hint="eastAsia"/>
          <w:sz w:val="28"/>
        </w:rPr>
        <w:t>规</w:t>
      </w:r>
      <w:proofErr w:type="gramEnd"/>
      <w:r>
        <w:rPr>
          <w:rFonts w:ascii="仿宋_GB2312" w:eastAsia="仿宋_GB2312" w:hAnsi="仿宋_GB2312" w:hint="eastAsia"/>
          <w:sz w:val="28"/>
        </w:rPr>
        <w:t>性相关的定量和定性指标等。适用于我国“减污降碳”协同发展。</w:t>
      </w:r>
    </w:p>
    <w:p w14:paraId="6DA8620E" w14:textId="77777777" w:rsidR="00535026" w:rsidRDefault="00000000">
      <w:pPr>
        <w:numPr>
          <w:ilvl w:val="0"/>
          <w:numId w:val="1"/>
        </w:num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绿色：主要包括绿色投融资、绿色供应链。</w:t>
      </w:r>
    </w:p>
    <w:p w14:paraId="6FC69876"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7披露周期与形式</w:t>
      </w:r>
    </w:p>
    <w:p w14:paraId="30D3E978"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说明企业气候与环境信息披露的披露周期、披露方式。</w:t>
      </w:r>
    </w:p>
    <w:p w14:paraId="4CB06B26" w14:textId="77777777" w:rsidR="00535026" w:rsidRDefault="00000000">
      <w:pPr>
        <w:pBdr>
          <w:top w:val="single" w:sz="4" w:space="0" w:color="auto"/>
          <w:left w:val="single" w:sz="4" w:space="0" w:color="auto"/>
          <w:bottom w:val="single" w:sz="4" w:space="0" w:color="auto"/>
          <w:right w:val="single" w:sz="4" w:space="0" w:color="auto"/>
        </w:pBdr>
        <w:ind w:firstLineChars="200" w:firstLine="562"/>
        <w:rPr>
          <w:rFonts w:ascii="仿宋_GB2312" w:eastAsia="仿宋_GB2312" w:hAnsi="仿宋_GB2312"/>
          <w:b/>
          <w:bCs/>
          <w:sz w:val="28"/>
        </w:rPr>
      </w:pPr>
      <w:r>
        <w:rPr>
          <w:rFonts w:ascii="仿宋_GB2312" w:eastAsia="仿宋_GB2312" w:hAnsi="仿宋_GB2312" w:hint="eastAsia"/>
          <w:b/>
          <w:bCs/>
          <w:sz w:val="28"/>
        </w:rPr>
        <w:t>8披露要求与应用</w:t>
      </w:r>
    </w:p>
    <w:p w14:paraId="270B6061" w14:textId="77777777" w:rsidR="00535026" w:rsidRDefault="00000000">
      <w:pPr>
        <w:pBdr>
          <w:top w:val="single" w:sz="4" w:space="0" w:color="auto"/>
          <w:left w:val="single" w:sz="4" w:space="0" w:color="auto"/>
          <w:bottom w:val="single" w:sz="4" w:space="0" w:color="auto"/>
          <w:right w:val="single" w:sz="4" w:space="0" w:color="auto"/>
        </w:pBdr>
        <w:ind w:firstLineChars="200" w:firstLine="560"/>
        <w:rPr>
          <w:rFonts w:ascii="仿宋_GB2312" w:eastAsia="仿宋_GB2312" w:hAnsi="仿宋_GB2312"/>
          <w:sz w:val="28"/>
        </w:rPr>
      </w:pPr>
      <w:r>
        <w:rPr>
          <w:rFonts w:ascii="仿宋_GB2312" w:eastAsia="仿宋_GB2312" w:hAnsi="仿宋_GB2312" w:hint="eastAsia"/>
          <w:sz w:val="28"/>
        </w:rPr>
        <w:t>企业应遵循政府监管要求、相关机构的指引开展信息披露工作。披露的信息应向社会面公开。</w:t>
      </w:r>
    </w:p>
    <w:p w14:paraId="7A7D3F54" w14:textId="77777777" w:rsidR="00535026" w:rsidRDefault="00000000">
      <w:pPr>
        <w:pStyle w:val="1"/>
        <w:spacing w:beforeLines="50" w:before="156" w:afterLines="50" w:after="156" w:line="240" w:lineRule="auto"/>
        <w:rPr>
          <w:rFonts w:ascii="黑体" w:eastAsia="黑体" w:hAnsi="黑体"/>
          <w:b w:val="0"/>
          <w:sz w:val="30"/>
          <w:szCs w:val="30"/>
        </w:rPr>
      </w:pPr>
      <w:bookmarkStart w:id="4" w:name="_Toc17005"/>
      <w:bookmarkEnd w:id="3"/>
      <w:r>
        <w:rPr>
          <w:rFonts w:ascii="黑体" w:eastAsia="黑体" w:hAnsi="黑体" w:hint="eastAsia"/>
          <w:b w:val="0"/>
          <w:sz w:val="30"/>
          <w:szCs w:val="30"/>
        </w:rPr>
        <w:t>4.主要试验、验证及试行结果</w:t>
      </w:r>
      <w:bookmarkEnd w:id="4"/>
    </w:p>
    <w:p w14:paraId="31F36E68" w14:textId="20F4BDAE"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hint="eastAsia"/>
          <w:sz w:val="28"/>
          <w:szCs w:val="28"/>
        </w:rPr>
        <w:t>不涉及试验、验证及试行。</w:t>
      </w:r>
    </w:p>
    <w:p w14:paraId="62DF4D0B" w14:textId="77777777" w:rsidR="00535026" w:rsidRDefault="00000000">
      <w:pPr>
        <w:pStyle w:val="1"/>
        <w:spacing w:beforeLines="50" w:before="156" w:afterLines="50" w:after="156" w:line="240" w:lineRule="auto"/>
        <w:rPr>
          <w:rFonts w:ascii="黑体" w:eastAsia="黑体" w:hAnsi="黑体"/>
          <w:b w:val="0"/>
          <w:sz w:val="30"/>
          <w:szCs w:val="30"/>
        </w:rPr>
      </w:pPr>
      <w:bookmarkStart w:id="5" w:name="_Toc6680"/>
      <w:r>
        <w:rPr>
          <w:rFonts w:ascii="黑体" w:eastAsia="黑体" w:hAnsi="黑体" w:hint="eastAsia"/>
          <w:b w:val="0"/>
          <w:sz w:val="30"/>
          <w:szCs w:val="30"/>
        </w:rPr>
        <w:t>5.与相关标准的关系分析</w:t>
      </w:r>
      <w:bookmarkEnd w:id="5"/>
    </w:p>
    <w:p w14:paraId="2B9B80DB" w14:textId="50CA9123"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sz w:val="28"/>
          <w:szCs w:val="28"/>
        </w:rPr>
        <w:t>的内容不涉及专利</w:t>
      </w:r>
      <w:r w:rsidR="00000000">
        <w:rPr>
          <w:rFonts w:ascii="仿宋_GB2312" w:eastAsia="仿宋_GB2312" w:hint="eastAsia"/>
          <w:sz w:val="28"/>
          <w:szCs w:val="28"/>
        </w:rPr>
        <w:t>。</w:t>
      </w:r>
    </w:p>
    <w:p w14:paraId="07AB0D94" w14:textId="4CB69ABD"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hint="eastAsia"/>
          <w:sz w:val="28"/>
          <w:szCs w:val="28"/>
        </w:rPr>
        <w:t>主要参考了如下规范性文件。</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86"/>
      </w:tblGrid>
      <w:tr w:rsidR="00535026" w14:paraId="22DA13E5" w14:textId="77777777">
        <w:tc>
          <w:tcPr>
            <w:tcW w:w="2410" w:type="dxa"/>
          </w:tcPr>
          <w:p w14:paraId="4834AD33"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kern w:val="0"/>
                <w:szCs w:val="21"/>
                <w:lang w:eastAsia="zh-Hans"/>
              </w:rPr>
              <w:t>GB/T 26450-2010</w:t>
            </w:r>
          </w:p>
        </w:tc>
        <w:tc>
          <w:tcPr>
            <w:tcW w:w="5886" w:type="dxa"/>
          </w:tcPr>
          <w:p w14:paraId="27E54D7A"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lang w:eastAsia="zh-Hans"/>
              </w:rPr>
              <w:t>环境管理 环境信息交流 指南和示例</w:t>
            </w:r>
          </w:p>
        </w:tc>
      </w:tr>
      <w:tr w:rsidR="00535026" w14:paraId="788867BB" w14:textId="77777777">
        <w:tc>
          <w:tcPr>
            <w:tcW w:w="2410" w:type="dxa"/>
          </w:tcPr>
          <w:p w14:paraId="2339F21D"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GB/T 32150-2015</w:t>
            </w:r>
          </w:p>
        </w:tc>
        <w:tc>
          <w:tcPr>
            <w:tcW w:w="5886" w:type="dxa"/>
          </w:tcPr>
          <w:p w14:paraId="010A05AD"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工业企业温室气体排放核算和报告通则</w:t>
            </w:r>
          </w:p>
        </w:tc>
      </w:tr>
      <w:tr w:rsidR="00535026" w14:paraId="705BDC59" w14:textId="77777777">
        <w:tc>
          <w:tcPr>
            <w:tcW w:w="2410" w:type="dxa"/>
            <w:vAlign w:val="center"/>
          </w:tcPr>
          <w:p w14:paraId="24005F62" w14:textId="77777777" w:rsidR="00535026" w:rsidRDefault="00000000">
            <w:pPr>
              <w:pStyle w:val="af2"/>
              <w:ind w:firstLine="420"/>
              <w:rPr>
                <w:rFonts w:ascii="仿宋_GB2312" w:eastAsia="仿宋_GB2312" w:hAnsi="仿宋"/>
                <w:szCs w:val="21"/>
              </w:rPr>
            </w:pPr>
            <w:r>
              <w:rPr>
                <w:rFonts w:ascii="仿宋_GB2312" w:eastAsia="仿宋_GB2312" w:hAnsi="仿宋" w:hint="eastAsia"/>
                <w:szCs w:val="21"/>
              </w:rPr>
              <w:t>ISO 14064-1</w:t>
            </w:r>
          </w:p>
        </w:tc>
        <w:tc>
          <w:tcPr>
            <w:tcW w:w="5886" w:type="dxa"/>
          </w:tcPr>
          <w:p w14:paraId="3D57E794" w14:textId="77777777" w:rsidR="00535026" w:rsidRDefault="00000000">
            <w:pPr>
              <w:pStyle w:val="af2"/>
              <w:ind w:firstLineChars="0" w:firstLine="0"/>
              <w:rPr>
                <w:rFonts w:ascii="仿宋_GB2312" w:eastAsia="仿宋_GB2312" w:hAnsi="仿宋"/>
                <w:szCs w:val="21"/>
              </w:rPr>
            </w:pPr>
            <w:r>
              <w:rPr>
                <w:rFonts w:ascii="仿宋_GB2312" w:eastAsia="仿宋_GB2312" w:hAnsi="仿宋" w:hint="eastAsia"/>
                <w:szCs w:val="21"/>
              </w:rPr>
              <w:t>温室气体 第一部分 组织层次上对温室气体排放和清除的量化和报告的规范及指南</w:t>
            </w:r>
          </w:p>
        </w:tc>
      </w:tr>
      <w:tr w:rsidR="00535026" w14:paraId="43BCE447" w14:textId="77777777">
        <w:tc>
          <w:tcPr>
            <w:tcW w:w="2410" w:type="dxa"/>
          </w:tcPr>
          <w:p w14:paraId="0F213C65"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lang w:eastAsia="zh-Hans"/>
              </w:rPr>
              <w:t>JRT 0227</w:t>
            </w:r>
            <w:r>
              <w:rPr>
                <w:rFonts w:ascii="仿宋_GB2312" w:eastAsia="仿宋_GB2312" w:hAnsi="仿宋" w:cs="Times New Roman" w:hint="eastAsia"/>
                <w:kern w:val="0"/>
                <w:szCs w:val="21"/>
              </w:rPr>
              <w:t>-</w:t>
            </w:r>
            <w:r>
              <w:rPr>
                <w:rFonts w:ascii="仿宋_GB2312" w:eastAsia="仿宋_GB2312" w:hAnsi="仿宋" w:cs="Times New Roman" w:hint="eastAsia"/>
                <w:kern w:val="0"/>
                <w:szCs w:val="21"/>
                <w:lang w:eastAsia="zh-Hans"/>
              </w:rPr>
              <w:t>2021</w:t>
            </w:r>
          </w:p>
        </w:tc>
        <w:tc>
          <w:tcPr>
            <w:tcW w:w="5886" w:type="dxa"/>
          </w:tcPr>
          <w:p w14:paraId="09169E20"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lang w:eastAsia="zh-Hans"/>
              </w:rPr>
              <w:t>金融机构环境信息披露指南</w:t>
            </w:r>
          </w:p>
        </w:tc>
      </w:tr>
    </w:tbl>
    <w:p w14:paraId="408E498A" w14:textId="073D9FB6" w:rsidR="00535026" w:rsidRDefault="00000000">
      <w:pPr>
        <w:ind w:firstLineChars="200" w:firstLine="560"/>
        <w:rPr>
          <w:rFonts w:ascii="仿宋_GB2312" w:eastAsia="仿宋_GB2312"/>
          <w:sz w:val="28"/>
          <w:szCs w:val="28"/>
        </w:rPr>
      </w:pPr>
      <w:r>
        <w:rPr>
          <w:rFonts w:ascii="仿宋_GB2312" w:eastAsia="仿宋_GB2312" w:hint="eastAsia"/>
          <w:sz w:val="28"/>
          <w:szCs w:val="28"/>
        </w:rPr>
        <w:t>除上述规范性文件以外，</w:t>
      </w:r>
      <w:r w:rsidR="008F16CF">
        <w:rPr>
          <w:rFonts w:ascii="仿宋_GB2312" w:eastAsia="仿宋_GB2312" w:hint="eastAsia"/>
          <w:sz w:val="28"/>
          <w:szCs w:val="28"/>
        </w:rPr>
        <w:t>本文件</w:t>
      </w:r>
      <w:r>
        <w:rPr>
          <w:rFonts w:ascii="仿宋_GB2312" w:eastAsia="仿宋_GB2312" w:hint="eastAsia"/>
          <w:sz w:val="28"/>
          <w:szCs w:val="28"/>
        </w:rPr>
        <w:t>在编制过程中还遵循了我国政府主管部门制定的政策规划、管理办法和规范标准，使标准更加符合我</w:t>
      </w:r>
      <w:r>
        <w:rPr>
          <w:rFonts w:ascii="仿宋_GB2312" w:eastAsia="仿宋_GB2312" w:hint="eastAsia"/>
          <w:sz w:val="28"/>
          <w:szCs w:val="28"/>
        </w:rPr>
        <w:lastRenderedPageBreak/>
        <w:t>国实际情况，以具有较强的可操作性。</w:t>
      </w:r>
    </w:p>
    <w:p w14:paraId="2DA8137E"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其中，政策规划层面主要包括：</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5893"/>
      </w:tblGrid>
      <w:tr w:rsidR="00535026" w14:paraId="00C2461C" w14:textId="77777777">
        <w:tc>
          <w:tcPr>
            <w:tcW w:w="2403" w:type="dxa"/>
            <w:vAlign w:val="center"/>
          </w:tcPr>
          <w:p w14:paraId="240092E1"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kern w:val="0"/>
                <w:szCs w:val="21"/>
                <w:lang w:eastAsia="zh-Hans"/>
              </w:rPr>
              <w:t>《关于构建绿色金融体系的指导意见》</w:t>
            </w:r>
          </w:p>
        </w:tc>
        <w:tc>
          <w:tcPr>
            <w:tcW w:w="5893" w:type="dxa"/>
          </w:tcPr>
          <w:p w14:paraId="450F8DDE"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中国人民银行、财政部、发展改革委、环境保护部、银监会、证监会、保监会</w:t>
            </w:r>
          </w:p>
        </w:tc>
      </w:tr>
      <w:tr w:rsidR="00535026" w14:paraId="2930F577" w14:textId="77777777">
        <w:tc>
          <w:tcPr>
            <w:tcW w:w="2403" w:type="dxa"/>
            <w:vAlign w:val="center"/>
          </w:tcPr>
          <w:p w14:paraId="38084616"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《国家适应气候变化战略2035》</w:t>
            </w:r>
          </w:p>
        </w:tc>
        <w:tc>
          <w:tcPr>
            <w:tcW w:w="5893" w:type="dxa"/>
          </w:tcPr>
          <w:p w14:paraId="30759063"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生态环境部、国家发展和改革委员会、科学技术部、财政部、自然资源部、住房和城乡建设部、交通运输部、水利部、农业农村部、文化和旅游部、国家卫生健康委员会、应急管理部、中国人民银行、中国科学院、中国气象局、国家能源局、国家林业和草原局。</w:t>
            </w:r>
          </w:p>
        </w:tc>
      </w:tr>
    </w:tbl>
    <w:p w14:paraId="5645A55B"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管理办法、规范标准层面主要包括：</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86"/>
      </w:tblGrid>
      <w:tr w:rsidR="00535026" w14:paraId="164CEEF5" w14:textId="77777777">
        <w:tc>
          <w:tcPr>
            <w:tcW w:w="2410" w:type="dxa"/>
          </w:tcPr>
          <w:p w14:paraId="48E566B4"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w:t>
            </w:r>
            <w:r>
              <w:rPr>
                <w:rFonts w:ascii="仿宋_GB2312" w:eastAsia="仿宋_GB2312" w:hAnsi="仿宋" w:cs="Times New Roman"/>
                <w:kern w:val="0"/>
                <w:szCs w:val="21"/>
              </w:rPr>
              <w:t>企业环境信息依法披露格式准则</w:t>
            </w:r>
            <w:r>
              <w:rPr>
                <w:rFonts w:ascii="仿宋_GB2312" w:eastAsia="仿宋_GB2312" w:hAnsi="仿宋" w:cs="Times New Roman" w:hint="eastAsia"/>
                <w:kern w:val="0"/>
                <w:szCs w:val="21"/>
              </w:rPr>
              <w:t>》</w:t>
            </w:r>
          </w:p>
        </w:tc>
        <w:tc>
          <w:tcPr>
            <w:tcW w:w="5886" w:type="dxa"/>
          </w:tcPr>
          <w:p w14:paraId="23A1EEA5"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生态环境部</w:t>
            </w:r>
          </w:p>
        </w:tc>
      </w:tr>
      <w:tr w:rsidR="00535026" w14:paraId="487283EA" w14:textId="77777777">
        <w:tc>
          <w:tcPr>
            <w:tcW w:w="2410" w:type="dxa"/>
          </w:tcPr>
          <w:p w14:paraId="2077FDA1"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《碳排放权交易管理暂行条例》</w:t>
            </w:r>
          </w:p>
        </w:tc>
        <w:tc>
          <w:tcPr>
            <w:tcW w:w="5886" w:type="dxa"/>
          </w:tcPr>
          <w:p w14:paraId="3649CE0C"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生态环境部</w:t>
            </w:r>
          </w:p>
        </w:tc>
      </w:tr>
      <w:tr w:rsidR="00535026" w14:paraId="472EC57B" w14:textId="77777777">
        <w:tc>
          <w:tcPr>
            <w:tcW w:w="2410" w:type="dxa"/>
          </w:tcPr>
          <w:p w14:paraId="6C3B94E0"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《企业温室气体排放核算与报告指南 发电设施》</w:t>
            </w:r>
          </w:p>
        </w:tc>
        <w:tc>
          <w:tcPr>
            <w:tcW w:w="5886" w:type="dxa"/>
          </w:tcPr>
          <w:p w14:paraId="44CB52A8"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生态环境部</w:t>
            </w:r>
          </w:p>
        </w:tc>
      </w:tr>
      <w:tr w:rsidR="00535026" w14:paraId="73C2E922" w14:textId="77777777">
        <w:tc>
          <w:tcPr>
            <w:tcW w:w="2410" w:type="dxa"/>
          </w:tcPr>
          <w:p w14:paraId="685AE057"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w:t>
            </w:r>
            <w:hyperlink r:id="rId10" w:tgtFrame="https://www.baidu.com/_blank" w:history="1">
              <w:r>
                <w:rPr>
                  <w:rFonts w:ascii="仿宋_GB2312" w:eastAsia="仿宋_GB2312" w:hAnsi="仿宋" w:cs="Times New Roman" w:hint="eastAsia"/>
                  <w:kern w:val="0"/>
                  <w:szCs w:val="21"/>
                </w:rPr>
                <w:t>中央企业节约能源与生态环境保护监督管理办法</w:t>
              </w:r>
            </w:hyperlink>
            <w:r>
              <w:rPr>
                <w:rFonts w:ascii="仿宋_GB2312" w:eastAsia="仿宋_GB2312" w:hAnsi="仿宋" w:cs="Times New Roman" w:hint="eastAsia"/>
                <w:kern w:val="0"/>
                <w:szCs w:val="21"/>
              </w:rPr>
              <w:t>》</w:t>
            </w:r>
          </w:p>
        </w:tc>
        <w:tc>
          <w:tcPr>
            <w:tcW w:w="5886" w:type="dxa"/>
          </w:tcPr>
          <w:p w14:paraId="015D4F96"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国务院国有资产管理委员会</w:t>
            </w:r>
          </w:p>
        </w:tc>
      </w:tr>
      <w:tr w:rsidR="00535026" w14:paraId="4E611280" w14:textId="77777777">
        <w:tc>
          <w:tcPr>
            <w:tcW w:w="2410" w:type="dxa"/>
          </w:tcPr>
          <w:p w14:paraId="1776ADAC" w14:textId="77777777" w:rsidR="00535026"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《绿色金融债券存续期信息披露规范》</w:t>
            </w:r>
          </w:p>
        </w:tc>
        <w:tc>
          <w:tcPr>
            <w:tcW w:w="5886" w:type="dxa"/>
          </w:tcPr>
          <w:p w14:paraId="3EF1694A"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中国人民银行</w:t>
            </w:r>
          </w:p>
        </w:tc>
      </w:tr>
      <w:tr w:rsidR="00535026" w14:paraId="3CB4B7A5" w14:textId="77777777">
        <w:tc>
          <w:tcPr>
            <w:tcW w:w="2410" w:type="dxa"/>
          </w:tcPr>
          <w:p w14:paraId="7D0F9170" w14:textId="77777777" w:rsidR="00535026" w:rsidRDefault="00000000">
            <w:pPr>
              <w:spacing w:line="400" w:lineRule="exact"/>
              <w:ind w:leftChars="150" w:left="315"/>
              <w:rPr>
                <w:rFonts w:ascii="仿宋_GB2312" w:eastAsia="仿宋_GB2312" w:hAnsi="仿宋" w:cs="Times New Roman"/>
                <w:kern w:val="0"/>
                <w:szCs w:val="21"/>
                <w:lang w:eastAsia="zh-Hans"/>
              </w:rPr>
            </w:pPr>
            <w:bookmarkStart w:id="6" w:name="_Toc28691"/>
            <w:r>
              <w:rPr>
                <w:rFonts w:ascii="仿宋_GB2312" w:eastAsia="仿宋_GB2312" w:hAnsi="仿宋" w:cs="Times New Roman" w:hint="eastAsia"/>
                <w:kern w:val="0"/>
                <w:szCs w:val="21"/>
                <w:lang w:eastAsia="zh-Hans"/>
              </w:rPr>
              <w:t>GB/T 23331—2020</w:t>
            </w:r>
          </w:p>
        </w:tc>
        <w:tc>
          <w:tcPr>
            <w:tcW w:w="5886" w:type="dxa"/>
          </w:tcPr>
          <w:p w14:paraId="594B66D4"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能源管理体系 要求及使用指南</w:t>
            </w:r>
          </w:p>
        </w:tc>
      </w:tr>
      <w:tr w:rsidR="00535026" w14:paraId="442DD127" w14:textId="77777777">
        <w:tc>
          <w:tcPr>
            <w:tcW w:w="2410" w:type="dxa"/>
          </w:tcPr>
          <w:p w14:paraId="7BF60C9B" w14:textId="77777777" w:rsidR="00535026" w:rsidRDefault="00000000">
            <w:pPr>
              <w:spacing w:line="400" w:lineRule="exact"/>
              <w:ind w:leftChars="150" w:left="315"/>
              <w:rPr>
                <w:rFonts w:ascii="仿宋_GB2312" w:eastAsia="仿宋_GB2312" w:hAnsi="仿宋" w:cs="Times New Roman"/>
                <w:kern w:val="0"/>
                <w:szCs w:val="21"/>
                <w:lang w:eastAsia="zh-Hans"/>
              </w:rPr>
            </w:pPr>
            <w:r>
              <w:rPr>
                <w:rFonts w:ascii="仿宋_GB2312" w:eastAsia="仿宋_GB2312" w:hAnsi="仿宋" w:cs="Times New Roman" w:hint="eastAsia"/>
                <w:kern w:val="0"/>
                <w:szCs w:val="21"/>
              </w:rPr>
              <w:t>GB/T 24001-2016</w:t>
            </w:r>
          </w:p>
        </w:tc>
        <w:tc>
          <w:tcPr>
            <w:tcW w:w="5886" w:type="dxa"/>
          </w:tcPr>
          <w:p w14:paraId="294E8415"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环境管理体系 要求及使用指南</w:t>
            </w:r>
          </w:p>
        </w:tc>
      </w:tr>
      <w:tr w:rsidR="00535026" w14:paraId="76A94013" w14:textId="77777777">
        <w:tc>
          <w:tcPr>
            <w:tcW w:w="2410" w:type="dxa"/>
          </w:tcPr>
          <w:p w14:paraId="2CBD8F80" w14:textId="77777777" w:rsidR="00535026" w:rsidRDefault="00000000">
            <w:pPr>
              <w:spacing w:line="400" w:lineRule="exact"/>
              <w:ind w:leftChars="150" w:left="315"/>
              <w:rPr>
                <w:rFonts w:ascii="仿宋_GB2312" w:eastAsia="仿宋_GB2312" w:hAnsi="仿宋" w:cs="Times New Roman"/>
                <w:kern w:val="0"/>
                <w:szCs w:val="21"/>
                <w:lang w:eastAsia="zh-Hans"/>
              </w:rPr>
            </w:pPr>
            <w:r>
              <w:rPr>
                <w:rFonts w:ascii="仿宋_GB2312" w:eastAsia="仿宋_GB2312" w:hAnsi="仿宋" w:cs="Times New Roman" w:hint="eastAsia"/>
                <w:kern w:val="0"/>
                <w:szCs w:val="21"/>
              </w:rPr>
              <w:t>DB11/T 1862-2021</w:t>
            </w:r>
          </w:p>
        </w:tc>
        <w:tc>
          <w:tcPr>
            <w:tcW w:w="5886" w:type="dxa"/>
          </w:tcPr>
          <w:p w14:paraId="7F36DC2A"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大型活动碳中和实施指南</w:t>
            </w:r>
          </w:p>
        </w:tc>
      </w:tr>
      <w:tr w:rsidR="00535026" w14:paraId="70E93BDF" w14:textId="77777777">
        <w:tc>
          <w:tcPr>
            <w:tcW w:w="2410" w:type="dxa"/>
          </w:tcPr>
          <w:p w14:paraId="560C0CD1" w14:textId="77777777" w:rsidR="00535026" w:rsidRDefault="00000000">
            <w:pPr>
              <w:spacing w:line="400" w:lineRule="exact"/>
              <w:ind w:leftChars="150" w:left="315"/>
              <w:rPr>
                <w:rFonts w:ascii="仿宋_GB2312" w:eastAsia="仿宋_GB2312" w:hAnsi="仿宋" w:cs="Times New Roman"/>
                <w:kern w:val="0"/>
                <w:szCs w:val="21"/>
                <w:lang w:eastAsia="zh-Hans"/>
              </w:rPr>
            </w:pPr>
            <w:r>
              <w:rPr>
                <w:rFonts w:ascii="仿宋_GB2312" w:eastAsia="仿宋_GB2312" w:hAnsi="仿宋" w:cs="Times New Roman" w:hint="eastAsia"/>
                <w:kern w:val="0"/>
                <w:szCs w:val="21"/>
              </w:rPr>
              <w:t>DB44/T 1944-2016</w:t>
            </w:r>
          </w:p>
        </w:tc>
        <w:tc>
          <w:tcPr>
            <w:tcW w:w="5886" w:type="dxa"/>
          </w:tcPr>
          <w:p w14:paraId="275487C4" w14:textId="77777777" w:rsidR="00535026"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碳排放管理体系 要求及使用指南</w:t>
            </w:r>
          </w:p>
        </w:tc>
      </w:tr>
    </w:tbl>
    <w:p w14:paraId="3EAAD9C4" w14:textId="77777777" w:rsidR="00535026" w:rsidRDefault="00000000">
      <w:pPr>
        <w:pStyle w:val="1"/>
        <w:spacing w:beforeLines="50" w:before="156" w:afterLines="50" w:after="156" w:line="240" w:lineRule="auto"/>
        <w:rPr>
          <w:rFonts w:ascii="黑体" w:eastAsia="黑体" w:hAnsi="黑体"/>
          <w:b w:val="0"/>
          <w:sz w:val="30"/>
          <w:szCs w:val="30"/>
        </w:rPr>
      </w:pPr>
      <w:r>
        <w:rPr>
          <w:rFonts w:ascii="黑体" w:eastAsia="黑体" w:hAnsi="黑体" w:hint="eastAsia"/>
          <w:b w:val="0"/>
          <w:sz w:val="30"/>
          <w:szCs w:val="30"/>
        </w:rPr>
        <w:t>6.采用国际标准的程度及水平说明</w:t>
      </w:r>
      <w:bookmarkEnd w:id="6"/>
    </w:p>
    <w:p w14:paraId="3B710281" w14:textId="34307E3D"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hint="eastAsia"/>
          <w:sz w:val="28"/>
          <w:szCs w:val="28"/>
        </w:rPr>
        <w:t>在编制过程中参考了气候相关财务信息披露工作组（TCFD）的信息披露建议、全球倡议组织（GRI）的GRI标准、国际财务报告可持续披露准则（IFRS）等文件的要求、指标和要素。通过积极借鉴</w:t>
      </w:r>
      <w:r w:rsidR="00000000">
        <w:rPr>
          <w:rFonts w:ascii="仿宋_GB2312" w:eastAsia="仿宋_GB2312" w:hint="eastAsia"/>
          <w:sz w:val="28"/>
          <w:szCs w:val="28"/>
        </w:rPr>
        <w:lastRenderedPageBreak/>
        <w:t>国际信息披露框架和要求，顺应全球趋势，促进与全球的链接，减低企业披露成本。</w:t>
      </w:r>
    </w:p>
    <w:p w14:paraId="7979E195" w14:textId="77777777" w:rsidR="00535026" w:rsidRDefault="00000000">
      <w:pPr>
        <w:pStyle w:val="1"/>
        <w:spacing w:beforeLines="50" w:before="156" w:afterLines="50" w:after="156" w:line="240" w:lineRule="auto"/>
        <w:rPr>
          <w:rFonts w:ascii="黑体" w:eastAsia="黑体" w:hAnsi="黑体"/>
          <w:b w:val="0"/>
          <w:sz w:val="30"/>
          <w:szCs w:val="30"/>
        </w:rPr>
      </w:pPr>
      <w:bookmarkStart w:id="7" w:name="_Toc29596"/>
      <w:r>
        <w:rPr>
          <w:rFonts w:ascii="黑体" w:eastAsia="黑体" w:hAnsi="黑体" w:hint="eastAsia"/>
          <w:b w:val="0"/>
          <w:sz w:val="30"/>
          <w:szCs w:val="30"/>
        </w:rPr>
        <w:t>7.重大分歧或重难点的处理经过和依据</w:t>
      </w:r>
      <w:bookmarkEnd w:id="7"/>
    </w:p>
    <w:p w14:paraId="53CFFF59" w14:textId="7F1642D3" w:rsidR="00535026" w:rsidRDefault="008F16CF">
      <w:pPr>
        <w:ind w:firstLineChars="200" w:firstLine="560"/>
        <w:rPr>
          <w:rFonts w:ascii="仿宋_GB2312" w:eastAsia="仿宋_GB2312"/>
          <w:sz w:val="28"/>
          <w:szCs w:val="28"/>
        </w:rPr>
      </w:pPr>
      <w:r>
        <w:rPr>
          <w:rFonts w:ascii="仿宋_GB2312" w:eastAsia="仿宋_GB2312" w:hint="eastAsia"/>
          <w:sz w:val="28"/>
          <w:szCs w:val="28"/>
        </w:rPr>
        <w:t>本文件</w:t>
      </w:r>
      <w:r w:rsidR="00000000">
        <w:rPr>
          <w:rFonts w:ascii="仿宋_GB2312" w:eastAsia="仿宋_GB2312"/>
          <w:sz w:val="28"/>
          <w:szCs w:val="28"/>
        </w:rPr>
        <w:t>无重大意见分歧。</w:t>
      </w:r>
    </w:p>
    <w:p w14:paraId="6D83DAA9" w14:textId="77777777" w:rsidR="00535026" w:rsidRDefault="00000000">
      <w:pPr>
        <w:pStyle w:val="1"/>
        <w:spacing w:beforeLines="50" w:before="156" w:afterLines="50" w:after="156" w:line="240" w:lineRule="auto"/>
        <w:rPr>
          <w:rFonts w:ascii="黑体" w:eastAsia="黑体" w:hAnsi="黑体"/>
          <w:b w:val="0"/>
          <w:sz w:val="30"/>
          <w:szCs w:val="30"/>
        </w:rPr>
      </w:pPr>
      <w:bookmarkStart w:id="8" w:name="_Toc17217"/>
      <w:r>
        <w:rPr>
          <w:rFonts w:ascii="黑体" w:eastAsia="黑体" w:hAnsi="黑体" w:hint="eastAsia"/>
          <w:b w:val="0"/>
          <w:sz w:val="30"/>
          <w:szCs w:val="30"/>
        </w:rPr>
        <w:t>8.标准推广应用措施及预期效果</w:t>
      </w:r>
      <w:bookmarkEnd w:id="8"/>
    </w:p>
    <w:p w14:paraId="766883B8" w14:textId="77777777" w:rsidR="00535026" w:rsidRDefault="00000000">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组织标准宣贯培训，争取标准颁布实施后尽快在</w:t>
      </w:r>
      <w:r>
        <w:rPr>
          <w:rFonts w:ascii="仿宋_GB2312" w:eastAsia="仿宋_GB2312" w:hint="eastAsia"/>
          <w:sz w:val="28"/>
          <w:szCs w:val="28"/>
        </w:rPr>
        <w:t>我国相关重点行业优先使用，满足其相对急迫的披露需求。另外，还将扩大标准的知悉度，促进更多企业关注和参与气候与环境披露。</w:t>
      </w:r>
    </w:p>
    <w:p w14:paraId="229233A4" w14:textId="0CE2F424" w:rsidR="00535026" w:rsidRDefault="00000000">
      <w:pPr>
        <w:ind w:firstLineChars="200" w:firstLine="560"/>
        <w:rPr>
          <w:rFonts w:ascii="仿宋_GB2312" w:eastAsia="仿宋_GB2312"/>
          <w:sz w:val="28"/>
          <w:szCs w:val="28"/>
        </w:rPr>
      </w:pPr>
      <w:r>
        <w:rPr>
          <w:rFonts w:ascii="仿宋_GB2312" w:eastAsia="仿宋_GB2312" w:hint="eastAsia"/>
          <w:sz w:val="28"/>
          <w:szCs w:val="28"/>
        </w:rPr>
        <w:t>（2）积极推动依托信息披露带动绿色金融发展。</w:t>
      </w:r>
      <w:r w:rsidR="008F16CF">
        <w:rPr>
          <w:rFonts w:ascii="仿宋_GB2312" w:eastAsia="仿宋_GB2312" w:hint="eastAsia"/>
          <w:sz w:val="28"/>
          <w:szCs w:val="28"/>
        </w:rPr>
        <w:t>本文件</w:t>
      </w:r>
      <w:r>
        <w:rPr>
          <w:rFonts w:ascii="仿宋_GB2312" w:eastAsia="仿宋_GB2312" w:hint="eastAsia"/>
          <w:sz w:val="28"/>
          <w:szCs w:val="28"/>
        </w:rPr>
        <w:t>促进利益相关方依托规范性的、高质量的气候与环境信息披露，对相关金融活动予以更多支持。</w:t>
      </w:r>
    </w:p>
    <w:p w14:paraId="5DD3CF8D" w14:textId="576C92D6" w:rsidR="00535026" w:rsidRDefault="00000000">
      <w:pPr>
        <w:ind w:firstLineChars="200" w:firstLine="560"/>
        <w:rPr>
          <w:rFonts w:ascii="仿宋_GB2312" w:eastAsia="仿宋_GB2312"/>
          <w:sz w:val="28"/>
          <w:szCs w:val="28"/>
        </w:rPr>
      </w:pPr>
      <w:r>
        <w:rPr>
          <w:rFonts w:ascii="仿宋_GB2312" w:eastAsia="仿宋_GB2312" w:hint="eastAsia"/>
          <w:sz w:val="28"/>
          <w:szCs w:val="28"/>
        </w:rPr>
        <w:t>（3）积极推动依托信息披露提升企业气候风险管控能力、低碳竞争力。</w:t>
      </w:r>
      <w:r w:rsidR="008F16CF">
        <w:rPr>
          <w:rFonts w:ascii="仿宋_GB2312" w:eastAsia="仿宋_GB2312" w:hint="eastAsia"/>
          <w:sz w:val="28"/>
          <w:szCs w:val="28"/>
        </w:rPr>
        <w:t>本文件</w:t>
      </w:r>
      <w:r>
        <w:rPr>
          <w:rFonts w:ascii="仿宋_GB2312" w:eastAsia="仿宋_GB2312" w:hint="eastAsia"/>
          <w:sz w:val="28"/>
          <w:szCs w:val="28"/>
        </w:rPr>
        <w:t>促进企业自身基于高质量的气候与环境信息披露，不断强化自身业务与低碳发展竞争力，强化企业社会责任。</w:t>
      </w:r>
    </w:p>
    <w:p w14:paraId="21CE3E2C" w14:textId="336DAB7E" w:rsidR="00535026" w:rsidRDefault="00000000">
      <w:pPr>
        <w:ind w:firstLineChars="200" w:firstLine="560"/>
        <w:rPr>
          <w:rFonts w:ascii="仿宋_GB2312" w:eastAsia="仿宋_GB2312"/>
          <w:sz w:val="28"/>
          <w:szCs w:val="28"/>
        </w:rPr>
      </w:pPr>
      <w:r>
        <w:rPr>
          <w:rFonts w:ascii="仿宋_GB2312" w:eastAsia="仿宋_GB2312" w:hint="eastAsia"/>
          <w:sz w:val="28"/>
          <w:szCs w:val="28"/>
        </w:rPr>
        <w:t>（4）后续工作层面。鼓励国内不同行业基于</w:t>
      </w:r>
      <w:r w:rsidR="008F16CF">
        <w:rPr>
          <w:rFonts w:ascii="仿宋_GB2312" w:eastAsia="仿宋_GB2312" w:hint="eastAsia"/>
          <w:sz w:val="28"/>
          <w:szCs w:val="28"/>
        </w:rPr>
        <w:t>本文件</w:t>
      </w:r>
      <w:r>
        <w:rPr>
          <w:rFonts w:ascii="仿宋_GB2312" w:eastAsia="仿宋_GB2312" w:hint="eastAsia"/>
          <w:sz w:val="28"/>
          <w:szCs w:val="28"/>
        </w:rPr>
        <w:t>的信息披露框架提出意见反馈，不断丰富标准/指南内容，推动形成信息披露体系，支撑我国未来相关行业开展更严格的流程控制，确保高质量的气候与环境信息披露。</w:t>
      </w:r>
      <w:r>
        <w:rPr>
          <w:rFonts w:ascii="仿宋_GB2312" w:eastAsia="仿宋_GB2312"/>
          <w:sz w:val="28"/>
          <w:szCs w:val="28"/>
        </w:rPr>
        <w:t>定期对</w:t>
      </w:r>
      <w:r w:rsidR="008F16CF">
        <w:rPr>
          <w:rFonts w:ascii="仿宋_GB2312" w:eastAsia="仿宋_GB2312" w:hint="eastAsia"/>
          <w:sz w:val="28"/>
          <w:szCs w:val="28"/>
        </w:rPr>
        <w:t>本文件</w:t>
      </w:r>
      <w:r>
        <w:rPr>
          <w:rFonts w:ascii="仿宋_GB2312" w:eastAsia="仿宋_GB2312"/>
          <w:sz w:val="28"/>
          <w:szCs w:val="28"/>
        </w:rPr>
        <w:t>实施情况进行调查，掌握动态，并对实施效果进行跟踪评估，及时解决实施中的问题，不断修改完善，提升标准水平，提高标准的科学性、合理性、协调性和可操作性。</w:t>
      </w:r>
    </w:p>
    <w:p w14:paraId="0033F1AF" w14:textId="77777777" w:rsidR="00535026" w:rsidRDefault="00000000">
      <w:pPr>
        <w:pStyle w:val="1"/>
        <w:spacing w:beforeLines="50" w:before="156" w:afterLines="50" w:after="156" w:line="240" w:lineRule="auto"/>
        <w:rPr>
          <w:rFonts w:ascii="黑体" w:eastAsia="黑体" w:hAnsi="黑体"/>
          <w:b w:val="0"/>
          <w:sz w:val="30"/>
          <w:szCs w:val="30"/>
        </w:rPr>
      </w:pPr>
      <w:bookmarkStart w:id="9" w:name="_Toc17796"/>
      <w:r>
        <w:rPr>
          <w:rFonts w:ascii="黑体" w:eastAsia="黑体" w:hAnsi="黑体" w:hint="eastAsia"/>
          <w:b w:val="0"/>
          <w:sz w:val="30"/>
          <w:szCs w:val="30"/>
        </w:rPr>
        <w:lastRenderedPageBreak/>
        <w:t>9.其他应说明的事项</w:t>
      </w:r>
      <w:bookmarkEnd w:id="9"/>
    </w:p>
    <w:p w14:paraId="63CB75ED" w14:textId="77777777" w:rsidR="00535026" w:rsidRDefault="00000000">
      <w:pPr>
        <w:ind w:firstLineChars="200" w:firstLine="560"/>
        <w:rPr>
          <w:rFonts w:ascii="仿宋_GB2312" w:eastAsia="仿宋_GB2312"/>
          <w:sz w:val="28"/>
          <w:szCs w:val="28"/>
        </w:rPr>
      </w:pPr>
      <w:r>
        <w:rPr>
          <w:rFonts w:ascii="仿宋_GB2312" w:eastAsia="仿宋_GB2312"/>
          <w:sz w:val="28"/>
          <w:szCs w:val="28"/>
        </w:rPr>
        <w:t>无</w:t>
      </w:r>
      <w:r>
        <w:rPr>
          <w:rFonts w:ascii="仿宋_GB2312" w:eastAsia="仿宋_GB2312" w:hint="eastAsia"/>
          <w:sz w:val="28"/>
          <w:szCs w:val="28"/>
        </w:rPr>
        <w:t>。</w:t>
      </w:r>
    </w:p>
    <w:sectPr w:rsidR="00535026">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B198" w14:textId="77777777" w:rsidR="00E54813" w:rsidRDefault="00E54813">
      <w:r>
        <w:separator/>
      </w:r>
    </w:p>
  </w:endnote>
  <w:endnote w:type="continuationSeparator" w:id="0">
    <w:p w14:paraId="6F0EB9ED" w14:textId="77777777" w:rsidR="00E54813" w:rsidRDefault="00E5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光隶书_CNKI">
    <w:altName w:val="微软雅黑"/>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EB18" w14:textId="77777777" w:rsidR="00535026" w:rsidRDefault="005350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806D" w14:textId="77777777" w:rsidR="00535026" w:rsidRDefault="00000000">
    <w:pPr>
      <w:pStyle w:val="a7"/>
    </w:pPr>
    <w:r>
      <w:rPr>
        <w:noProof/>
      </w:rPr>
      <mc:AlternateContent>
        <mc:Choice Requires="wps">
          <w:drawing>
            <wp:anchor distT="0" distB="0" distL="114300" distR="114300" simplePos="0" relativeHeight="251659264" behindDoc="0" locked="0" layoutInCell="1" allowOverlap="1" wp14:anchorId="24BBC656" wp14:editId="52B49F0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54B1F" w14:textId="77777777" w:rsidR="00535026"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BBC656"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6454B1F" w14:textId="77777777" w:rsidR="00535026"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4F57" w14:textId="77777777" w:rsidR="00E54813" w:rsidRDefault="00E54813">
      <w:r>
        <w:separator/>
      </w:r>
    </w:p>
  </w:footnote>
  <w:footnote w:type="continuationSeparator" w:id="0">
    <w:p w14:paraId="0FE71015" w14:textId="77777777" w:rsidR="00E54813" w:rsidRDefault="00E5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B6E6"/>
    <w:multiLevelType w:val="singleLevel"/>
    <w:tmpl w:val="0025B6E6"/>
    <w:lvl w:ilvl="0">
      <w:start w:val="1"/>
      <w:numFmt w:val="decimal"/>
      <w:suff w:val="nothing"/>
      <w:lvlText w:val="（%1）"/>
      <w:lvlJc w:val="left"/>
    </w:lvl>
  </w:abstractNum>
  <w:num w:numId="1" w16cid:durableId="133700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JhNzUzNjFmMGYxNjJiN2Y0YTE4NjgyMzJiZTljYjEifQ=="/>
    <w:docVar w:name="KSO_WPS_MARK_KEY" w:val="b6d043d8-c956-401b-abb9-8eb7a8db0caf"/>
  </w:docVars>
  <w:rsids>
    <w:rsidRoot w:val="003921E7"/>
    <w:rsid w:val="00013E64"/>
    <w:rsid w:val="000275EC"/>
    <w:rsid w:val="000376E5"/>
    <w:rsid w:val="0009153E"/>
    <w:rsid w:val="000A00BA"/>
    <w:rsid w:val="000B42A9"/>
    <w:rsid w:val="000E51E3"/>
    <w:rsid w:val="000E7FD8"/>
    <w:rsid w:val="000E7FF5"/>
    <w:rsid w:val="000F5970"/>
    <w:rsid w:val="00103A1D"/>
    <w:rsid w:val="00113B28"/>
    <w:rsid w:val="001268B7"/>
    <w:rsid w:val="00170322"/>
    <w:rsid w:val="0018428E"/>
    <w:rsid w:val="001A354D"/>
    <w:rsid w:val="001A5A18"/>
    <w:rsid w:val="001B7F88"/>
    <w:rsid w:val="001C4B77"/>
    <w:rsid w:val="001D0150"/>
    <w:rsid w:val="001F0FD3"/>
    <w:rsid w:val="001F76B4"/>
    <w:rsid w:val="002060A8"/>
    <w:rsid w:val="00210C41"/>
    <w:rsid w:val="0022368C"/>
    <w:rsid w:val="00254A0F"/>
    <w:rsid w:val="00254CF3"/>
    <w:rsid w:val="00276438"/>
    <w:rsid w:val="00287FC4"/>
    <w:rsid w:val="002D3201"/>
    <w:rsid w:val="002D5DB2"/>
    <w:rsid w:val="002E143C"/>
    <w:rsid w:val="002F1995"/>
    <w:rsid w:val="003413E9"/>
    <w:rsid w:val="00361BE8"/>
    <w:rsid w:val="00362304"/>
    <w:rsid w:val="003673FA"/>
    <w:rsid w:val="00372438"/>
    <w:rsid w:val="003921E7"/>
    <w:rsid w:val="003D5F49"/>
    <w:rsid w:val="004110B6"/>
    <w:rsid w:val="00413684"/>
    <w:rsid w:val="00442D37"/>
    <w:rsid w:val="00462D9B"/>
    <w:rsid w:val="00483CC9"/>
    <w:rsid w:val="004B3D0A"/>
    <w:rsid w:val="004C623B"/>
    <w:rsid w:val="004C6909"/>
    <w:rsid w:val="004E03D2"/>
    <w:rsid w:val="004F0E7E"/>
    <w:rsid w:val="004F1D53"/>
    <w:rsid w:val="004F6074"/>
    <w:rsid w:val="004F6335"/>
    <w:rsid w:val="005310C2"/>
    <w:rsid w:val="00535026"/>
    <w:rsid w:val="005652E5"/>
    <w:rsid w:val="00575DAC"/>
    <w:rsid w:val="0058520C"/>
    <w:rsid w:val="00587086"/>
    <w:rsid w:val="00587636"/>
    <w:rsid w:val="0059590F"/>
    <w:rsid w:val="005C2EA3"/>
    <w:rsid w:val="005C63EC"/>
    <w:rsid w:val="006109ED"/>
    <w:rsid w:val="00622CF5"/>
    <w:rsid w:val="00641030"/>
    <w:rsid w:val="006511D1"/>
    <w:rsid w:val="006528BD"/>
    <w:rsid w:val="006605BB"/>
    <w:rsid w:val="0066066B"/>
    <w:rsid w:val="00674604"/>
    <w:rsid w:val="00683921"/>
    <w:rsid w:val="006A24E8"/>
    <w:rsid w:val="006B4F27"/>
    <w:rsid w:val="006C2BC3"/>
    <w:rsid w:val="006D67FA"/>
    <w:rsid w:val="00703DFB"/>
    <w:rsid w:val="00710FBB"/>
    <w:rsid w:val="00722446"/>
    <w:rsid w:val="007473B8"/>
    <w:rsid w:val="007574B6"/>
    <w:rsid w:val="00760A69"/>
    <w:rsid w:val="00785A89"/>
    <w:rsid w:val="007B6DEF"/>
    <w:rsid w:val="007B75D0"/>
    <w:rsid w:val="007C757F"/>
    <w:rsid w:val="007E796E"/>
    <w:rsid w:val="00805656"/>
    <w:rsid w:val="00806155"/>
    <w:rsid w:val="00816A6D"/>
    <w:rsid w:val="00834BE7"/>
    <w:rsid w:val="008428B5"/>
    <w:rsid w:val="00864C6C"/>
    <w:rsid w:val="00870CDC"/>
    <w:rsid w:val="00880275"/>
    <w:rsid w:val="00881FAD"/>
    <w:rsid w:val="008A7D28"/>
    <w:rsid w:val="008B4D10"/>
    <w:rsid w:val="008C25F2"/>
    <w:rsid w:val="008C55AA"/>
    <w:rsid w:val="008F16CF"/>
    <w:rsid w:val="008F1D2B"/>
    <w:rsid w:val="00927031"/>
    <w:rsid w:val="009A2F39"/>
    <w:rsid w:val="00A16EB6"/>
    <w:rsid w:val="00A54659"/>
    <w:rsid w:val="00A95EE2"/>
    <w:rsid w:val="00AF3FE0"/>
    <w:rsid w:val="00B163EA"/>
    <w:rsid w:val="00B4364F"/>
    <w:rsid w:val="00B57067"/>
    <w:rsid w:val="00B96E00"/>
    <w:rsid w:val="00BB3BF1"/>
    <w:rsid w:val="00BC0537"/>
    <w:rsid w:val="00C11D28"/>
    <w:rsid w:val="00C156BE"/>
    <w:rsid w:val="00C24613"/>
    <w:rsid w:val="00C41B3F"/>
    <w:rsid w:val="00C70A6A"/>
    <w:rsid w:val="00C70AFB"/>
    <w:rsid w:val="00C815DF"/>
    <w:rsid w:val="00C9033F"/>
    <w:rsid w:val="00CA1938"/>
    <w:rsid w:val="00CA730D"/>
    <w:rsid w:val="00CB1CD9"/>
    <w:rsid w:val="00CB4D29"/>
    <w:rsid w:val="00CB57A4"/>
    <w:rsid w:val="00CB677A"/>
    <w:rsid w:val="00CD2859"/>
    <w:rsid w:val="00D05DF8"/>
    <w:rsid w:val="00D34678"/>
    <w:rsid w:val="00D36297"/>
    <w:rsid w:val="00D61772"/>
    <w:rsid w:val="00D75F3F"/>
    <w:rsid w:val="00DA0B25"/>
    <w:rsid w:val="00DA2817"/>
    <w:rsid w:val="00DA350B"/>
    <w:rsid w:val="00DF32F8"/>
    <w:rsid w:val="00DF655B"/>
    <w:rsid w:val="00E123E5"/>
    <w:rsid w:val="00E170EF"/>
    <w:rsid w:val="00E30F68"/>
    <w:rsid w:val="00E458A9"/>
    <w:rsid w:val="00E46B3A"/>
    <w:rsid w:val="00E54813"/>
    <w:rsid w:val="00E559F3"/>
    <w:rsid w:val="00E649AC"/>
    <w:rsid w:val="00E91994"/>
    <w:rsid w:val="00E96BBB"/>
    <w:rsid w:val="00EB54AC"/>
    <w:rsid w:val="00EC5719"/>
    <w:rsid w:val="00ED468D"/>
    <w:rsid w:val="00EE4FC8"/>
    <w:rsid w:val="00EE5DD4"/>
    <w:rsid w:val="00EF12C0"/>
    <w:rsid w:val="00F04E74"/>
    <w:rsid w:val="00F141A5"/>
    <w:rsid w:val="00F31A9C"/>
    <w:rsid w:val="00F52562"/>
    <w:rsid w:val="00F567F1"/>
    <w:rsid w:val="00F731AA"/>
    <w:rsid w:val="00F7474C"/>
    <w:rsid w:val="00F93894"/>
    <w:rsid w:val="00F94C01"/>
    <w:rsid w:val="00FB7881"/>
    <w:rsid w:val="00FE0634"/>
    <w:rsid w:val="01254BA3"/>
    <w:rsid w:val="0436765D"/>
    <w:rsid w:val="05132F89"/>
    <w:rsid w:val="06542070"/>
    <w:rsid w:val="07005A0C"/>
    <w:rsid w:val="07F74CA0"/>
    <w:rsid w:val="098C4D36"/>
    <w:rsid w:val="0993056B"/>
    <w:rsid w:val="0A8E3FF5"/>
    <w:rsid w:val="0C560A4C"/>
    <w:rsid w:val="0C5C2956"/>
    <w:rsid w:val="0D020A0B"/>
    <w:rsid w:val="0D621CEF"/>
    <w:rsid w:val="0D6B08BA"/>
    <w:rsid w:val="0F2365E1"/>
    <w:rsid w:val="0F8C278D"/>
    <w:rsid w:val="0FC16545"/>
    <w:rsid w:val="103667F1"/>
    <w:rsid w:val="11652FAA"/>
    <w:rsid w:val="12FF5637"/>
    <w:rsid w:val="14E25776"/>
    <w:rsid w:val="15697051"/>
    <w:rsid w:val="163564E8"/>
    <w:rsid w:val="178715CD"/>
    <w:rsid w:val="1823550A"/>
    <w:rsid w:val="182665B8"/>
    <w:rsid w:val="183C74C7"/>
    <w:rsid w:val="1A0566E0"/>
    <w:rsid w:val="1BEF38CA"/>
    <w:rsid w:val="1C4A4D75"/>
    <w:rsid w:val="1C741DBA"/>
    <w:rsid w:val="1E511BD9"/>
    <w:rsid w:val="1EC668E1"/>
    <w:rsid w:val="20D57D11"/>
    <w:rsid w:val="21C57FF4"/>
    <w:rsid w:val="229628CB"/>
    <w:rsid w:val="23872A73"/>
    <w:rsid w:val="24735236"/>
    <w:rsid w:val="24D06004"/>
    <w:rsid w:val="25412B17"/>
    <w:rsid w:val="2603166E"/>
    <w:rsid w:val="26526558"/>
    <w:rsid w:val="265C4760"/>
    <w:rsid w:val="26CF77C1"/>
    <w:rsid w:val="28005C30"/>
    <w:rsid w:val="294E7954"/>
    <w:rsid w:val="29B50E26"/>
    <w:rsid w:val="2B761502"/>
    <w:rsid w:val="2BA00AF9"/>
    <w:rsid w:val="2BB86FCA"/>
    <w:rsid w:val="2C0B44D1"/>
    <w:rsid w:val="2C5C51D5"/>
    <w:rsid w:val="2CCD0343"/>
    <w:rsid w:val="2D262BC9"/>
    <w:rsid w:val="2EB958E9"/>
    <w:rsid w:val="2EFF35B6"/>
    <w:rsid w:val="2FA33E7D"/>
    <w:rsid w:val="30D07923"/>
    <w:rsid w:val="32923106"/>
    <w:rsid w:val="32F335E4"/>
    <w:rsid w:val="34060B4D"/>
    <w:rsid w:val="343A43BC"/>
    <w:rsid w:val="369532DC"/>
    <w:rsid w:val="375D2AA5"/>
    <w:rsid w:val="3C387E0D"/>
    <w:rsid w:val="3C5A0F14"/>
    <w:rsid w:val="3CA11FCF"/>
    <w:rsid w:val="3E035057"/>
    <w:rsid w:val="3F0433B4"/>
    <w:rsid w:val="3FD72A26"/>
    <w:rsid w:val="40826D65"/>
    <w:rsid w:val="42194473"/>
    <w:rsid w:val="441B2D48"/>
    <w:rsid w:val="45037E7C"/>
    <w:rsid w:val="45262398"/>
    <w:rsid w:val="452B6409"/>
    <w:rsid w:val="4537412C"/>
    <w:rsid w:val="486523D3"/>
    <w:rsid w:val="48EA551D"/>
    <w:rsid w:val="4AFF645C"/>
    <w:rsid w:val="4D4A3543"/>
    <w:rsid w:val="4F9D6C2D"/>
    <w:rsid w:val="51E52F6E"/>
    <w:rsid w:val="5459613F"/>
    <w:rsid w:val="54972149"/>
    <w:rsid w:val="54EF3267"/>
    <w:rsid w:val="55423582"/>
    <w:rsid w:val="57B97E77"/>
    <w:rsid w:val="5A426071"/>
    <w:rsid w:val="5A4B5DB5"/>
    <w:rsid w:val="5B1D0508"/>
    <w:rsid w:val="5B323C9E"/>
    <w:rsid w:val="5B483AEC"/>
    <w:rsid w:val="5B4E1DC7"/>
    <w:rsid w:val="5CA23B87"/>
    <w:rsid w:val="5D353AE9"/>
    <w:rsid w:val="5E1A7052"/>
    <w:rsid w:val="5E3929A4"/>
    <w:rsid w:val="5F67724A"/>
    <w:rsid w:val="60C10E4A"/>
    <w:rsid w:val="626D4608"/>
    <w:rsid w:val="634877EE"/>
    <w:rsid w:val="63514089"/>
    <w:rsid w:val="65833AF0"/>
    <w:rsid w:val="65FC171D"/>
    <w:rsid w:val="66531D6F"/>
    <w:rsid w:val="667444A2"/>
    <w:rsid w:val="6A9A4BF2"/>
    <w:rsid w:val="6B427D9F"/>
    <w:rsid w:val="6C5C22D4"/>
    <w:rsid w:val="6E41530E"/>
    <w:rsid w:val="6E9A12BD"/>
    <w:rsid w:val="6F8D1BCA"/>
    <w:rsid w:val="6FD537E9"/>
    <w:rsid w:val="74027162"/>
    <w:rsid w:val="751A6357"/>
    <w:rsid w:val="756523BF"/>
    <w:rsid w:val="76805946"/>
    <w:rsid w:val="7C6B7F67"/>
    <w:rsid w:val="7E63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AF83"/>
  <w15:docId w15:val="{C7A0E769-D81E-4833-ACC4-D71C165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beforeLines="100" w:before="312" w:after="24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f1">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paragraph" w:customStyle="1" w:styleId="TOC11">
    <w:name w:val="TOC 标题1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0">
    <w:name w:val="修订3"/>
    <w:hidden/>
    <w:uiPriority w:val="99"/>
    <w:unhideWhenUsed/>
    <w:qFormat/>
    <w:rPr>
      <w:rFonts w:asciiTheme="minorHAnsi" w:eastAsiaTheme="minorEastAsia" w:hAnsiTheme="minorHAnsi" w:cstheme="minorBidi"/>
      <w:kern w:val="2"/>
      <w:sz w:val="21"/>
      <w:szCs w:val="22"/>
    </w:rPr>
  </w:style>
  <w:style w:type="paragraph" w:customStyle="1" w:styleId="af2">
    <w:name w:val="标准文件_段"/>
    <w:qFormat/>
    <w:pPr>
      <w:autoSpaceDE w:val="0"/>
      <w:autoSpaceDN w:val="0"/>
      <w:ind w:firstLineChars="200" w:firstLine="200"/>
      <w:jc w:val="both"/>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baidu.com/link?url=YW83vYx2-IyJypjZHbDXVDxwmlT_8ysJLaLJnwoo6gS_xj7a7Ls7tQTTYXMY7jbJDN337Ycfjmz441QWdg4C0HHxFNEl-CcsdSaJez4alaPNRrwr5jeqAUDRz35GLL86"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5189C-545E-4C6A-BEFA-0211A9C5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changy</dc:creator>
  <cp:lastModifiedBy>Lenovo</cp:lastModifiedBy>
  <cp:revision>16</cp:revision>
  <cp:lastPrinted>2023-12-12T08:50:00Z</cp:lastPrinted>
  <dcterms:created xsi:type="dcterms:W3CDTF">2023-03-27T06:48:00Z</dcterms:created>
  <dcterms:modified xsi:type="dcterms:W3CDTF">2023-12-12T08:51:00Z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4FCB5ADD609045BAAEF58CE4508D3531</vt:lpwstr>
  </property>
</Properties>
</file>