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044C6">
      <w:bookmarkStart w:id="145" w:name="_GoBack"/>
      <w:bookmarkEnd w:id="145"/>
    </w:p>
    <w:p w14:paraId="0FAB308E">
      <w:pPr>
        <w:pStyle w:val="5"/>
        <w:kinsoku w:val="0"/>
        <w:overflowPunct w:val="0"/>
        <w:rPr>
          <w:rFonts w:ascii="黑体" w:eastAsia="黑体" w:cs="黑体"/>
          <w:sz w:val="32"/>
          <w:szCs w:val="32"/>
        </w:rPr>
      </w:pPr>
    </w:p>
    <w:p w14:paraId="35727C25">
      <w:pPr>
        <w:pStyle w:val="5"/>
        <w:kinsoku w:val="0"/>
        <w:overflowPunct w:val="0"/>
        <w:rPr>
          <w:rFonts w:ascii="黑体" w:eastAsia="黑体" w:cs="黑体"/>
          <w:sz w:val="32"/>
          <w:szCs w:val="32"/>
        </w:rPr>
      </w:pPr>
    </w:p>
    <w:p w14:paraId="04117901">
      <w:pPr>
        <w:pStyle w:val="5"/>
        <w:kinsoku w:val="0"/>
        <w:overflowPunct w:val="0"/>
        <w:rPr>
          <w:rFonts w:ascii="黑体" w:eastAsia="黑体" w:cs="黑体"/>
          <w:sz w:val="32"/>
          <w:szCs w:val="32"/>
        </w:rPr>
      </w:pPr>
    </w:p>
    <w:p w14:paraId="2D5BBB82">
      <w:pPr>
        <w:pStyle w:val="5"/>
        <w:kinsoku w:val="0"/>
        <w:overflowPunct w:val="0"/>
        <w:rPr>
          <w:rFonts w:ascii="黑体" w:eastAsia="黑体" w:cs="黑体"/>
          <w:sz w:val="32"/>
          <w:szCs w:val="32"/>
        </w:rPr>
      </w:pPr>
    </w:p>
    <w:p w14:paraId="33354125">
      <w:pPr>
        <w:pStyle w:val="5"/>
        <w:kinsoku w:val="0"/>
        <w:overflowPunct w:val="0"/>
        <w:rPr>
          <w:rFonts w:ascii="黑体" w:eastAsia="黑体" w:cs="黑体"/>
          <w:sz w:val="32"/>
          <w:szCs w:val="32"/>
        </w:rPr>
      </w:pPr>
    </w:p>
    <w:p w14:paraId="1D10F6E5">
      <w:pPr>
        <w:pStyle w:val="5"/>
        <w:kinsoku w:val="0"/>
        <w:overflowPunct w:val="0"/>
        <w:rPr>
          <w:rFonts w:ascii="黑体" w:eastAsia="黑体" w:cs="黑体"/>
          <w:sz w:val="32"/>
          <w:szCs w:val="32"/>
        </w:rPr>
      </w:pPr>
    </w:p>
    <w:p w14:paraId="2EDC697D">
      <w:pPr>
        <w:pStyle w:val="5"/>
        <w:kinsoku w:val="0"/>
        <w:overflowPunct w:val="0"/>
        <w:spacing w:before="10"/>
        <w:rPr>
          <w:rFonts w:ascii="黑体" w:eastAsia="黑体" w:cs="黑体"/>
          <w:sz w:val="31"/>
          <w:szCs w:val="31"/>
        </w:rPr>
      </w:pPr>
    </w:p>
    <w:p w14:paraId="58C7A006">
      <w:pPr>
        <w:pStyle w:val="11"/>
        <w:kinsoku w:val="0"/>
        <w:overflowPunct w:val="0"/>
        <w:spacing w:line="266" w:lineRule="auto"/>
      </w:pPr>
      <w:r>
        <w:rPr>
          <w:rFonts w:hint="eastAsia"/>
        </w:rPr>
        <w:t>《电子电路制造业挥发性有机物排放清单编制技术指南》</w:t>
      </w:r>
    </w:p>
    <w:p w14:paraId="7D52E82F">
      <w:pPr>
        <w:pStyle w:val="11"/>
        <w:kinsoku w:val="0"/>
        <w:overflowPunct w:val="0"/>
        <w:spacing w:line="530" w:lineRule="auto"/>
        <w:ind w:left="3093" w:right="3090"/>
        <w:rPr>
          <w:spacing w:val="-217"/>
        </w:rPr>
      </w:pPr>
      <w:r>
        <w:rPr>
          <w:spacing w:val="-217"/>
        </w:rPr>
        <w:t xml:space="preserve"> </w:t>
      </w:r>
    </w:p>
    <w:p w14:paraId="70A24364">
      <w:pPr>
        <w:pStyle w:val="11"/>
        <w:kinsoku w:val="0"/>
        <w:overflowPunct w:val="0"/>
        <w:spacing w:line="530" w:lineRule="auto"/>
        <w:ind w:left="3093" w:right="3090"/>
      </w:pPr>
      <w:r>
        <w:rPr>
          <w:rFonts w:hint="eastAsia"/>
        </w:rPr>
        <w:t>编制说明</w:t>
      </w:r>
    </w:p>
    <w:p w14:paraId="1C0037F6">
      <w:pPr>
        <w:pStyle w:val="11"/>
        <w:kinsoku w:val="0"/>
        <w:overflowPunct w:val="0"/>
        <w:spacing w:line="530" w:lineRule="auto"/>
        <w:ind w:left="3093" w:right="3090"/>
      </w:pPr>
    </w:p>
    <w:p w14:paraId="4F6F89BF"/>
    <w:p w14:paraId="050432C4"/>
    <w:p w14:paraId="0D1C3C88"/>
    <w:p w14:paraId="0F4AF125"/>
    <w:p w14:paraId="4911D3B6"/>
    <w:p w14:paraId="4BF3BA98"/>
    <w:p w14:paraId="604A2C03"/>
    <w:p w14:paraId="18876448"/>
    <w:p w14:paraId="1D1ED4EE"/>
    <w:p w14:paraId="42DB7FD5"/>
    <w:p w14:paraId="79C3F241"/>
    <w:p w14:paraId="6D31ACAF"/>
    <w:p w14:paraId="25BAA632"/>
    <w:p w14:paraId="04867FF2"/>
    <w:p w14:paraId="36E707BC"/>
    <w:p w14:paraId="58208033"/>
    <w:p w14:paraId="71E31A9D">
      <w:pPr>
        <w:jc w:val="center"/>
      </w:pPr>
      <w:r>
        <w:rPr>
          <w:rFonts w:hint="eastAsia"/>
        </w:rPr>
        <w:t>《电子电路制造业挥发性有机物排放清单编制技术指南》标准编制组</w:t>
      </w:r>
    </w:p>
    <w:p w14:paraId="3080DD11"/>
    <w:p w14:paraId="5AAD9B88"/>
    <w:p w14:paraId="6D6D00FD">
      <w:pPr>
        <w:jc w:val="center"/>
        <w:sectPr>
          <w:footerReference r:id="rId3" w:type="default"/>
          <w:type w:val="continuous"/>
          <w:pgSz w:w="11910" w:h="16840"/>
          <w:pgMar w:top="1520" w:right="1320" w:bottom="280" w:left="1320" w:header="720" w:footer="720" w:gutter="0"/>
          <w:cols w:space="720" w:num="1"/>
        </w:sectPr>
      </w:pPr>
      <w:r>
        <w:rPr>
          <w:rFonts w:hint="eastAsia"/>
        </w:rPr>
        <w:t>二零二四年六月</w:t>
      </w:r>
    </w:p>
    <w:p w14:paraId="6AE15F71">
      <w:pPr>
        <w:pStyle w:val="5"/>
        <w:kinsoku w:val="0"/>
        <w:overflowPunct w:val="0"/>
        <w:spacing w:before="10"/>
        <w:rPr>
          <w:rFonts w:ascii="黑体" w:eastAsia="黑体" w:cs="黑体"/>
        </w:rPr>
      </w:pPr>
    </w:p>
    <w:p w14:paraId="631751F5">
      <w:pPr>
        <w:pStyle w:val="5"/>
        <w:kinsoku w:val="0"/>
        <w:overflowPunct w:val="0"/>
        <w:spacing w:before="7" w:line="360" w:lineRule="auto"/>
        <w:rPr>
          <w:rFonts w:hAnsi="宋体" w:cs="黑体"/>
          <w:sz w:val="28"/>
          <w:szCs w:val="28"/>
        </w:rPr>
      </w:pPr>
      <w:r>
        <w:rPr>
          <w:rFonts w:hint="eastAsia" w:hAnsi="宋体" w:cs="黑体"/>
          <w:b/>
          <w:bCs/>
          <w:sz w:val="28"/>
          <w:szCs w:val="28"/>
        </w:rPr>
        <w:t>项目名称：</w:t>
      </w:r>
      <w:r>
        <w:rPr>
          <w:rFonts w:hint="eastAsia" w:hAnsi="宋体" w:cs="黑体"/>
          <w:sz w:val="28"/>
          <w:szCs w:val="28"/>
        </w:rPr>
        <w:t>电子电路制造业挥发性有机物排放清单编制技术指南</w:t>
      </w:r>
      <w:r>
        <w:rPr>
          <w:rFonts w:hAnsi="宋体" w:cs="黑体"/>
          <w:sz w:val="28"/>
          <w:szCs w:val="28"/>
        </w:rPr>
        <w:t xml:space="preserve"> </w:t>
      </w:r>
    </w:p>
    <w:p w14:paraId="10B01107">
      <w:pPr>
        <w:pStyle w:val="5"/>
        <w:kinsoku w:val="0"/>
        <w:overflowPunct w:val="0"/>
        <w:spacing w:before="7" w:line="360" w:lineRule="auto"/>
        <w:rPr>
          <w:rFonts w:hAnsi="宋体" w:cs="黑体"/>
          <w:b/>
          <w:bCs/>
          <w:sz w:val="28"/>
          <w:szCs w:val="28"/>
        </w:rPr>
      </w:pPr>
      <w:r>
        <w:rPr>
          <w:rFonts w:hint="eastAsia" w:hAnsi="宋体" w:cs="黑体"/>
          <w:b/>
          <w:bCs/>
          <w:sz w:val="28"/>
          <w:szCs w:val="28"/>
        </w:rPr>
        <w:t>项目统一编号：</w:t>
      </w:r>
    </w:p>
    <w:p w14:paraId="4D89F808">
      <w:pPr>
        <w:pStyle w:val="5"/>
        <w:kinsoku w:val="0"/>
        <w:overflowPunct w:val="0"/>
        <w:spacing w:before="7" w:line="360" w:lineRule="auto"/>
        <w:rPr>
          <w:rFonts w:hAnsi="宋体" w:cs="黑体"/>
          <w:sz w:val="28"/>
          <w:szCs w:val="28"/>
        </w:rPr>
      </w:pPr>
      <w:r>
        <w:rPr>
          <w:rFonts w:hint="eastAsia" w:hAnsi="宋体" w:cs="黑体"/>
          <w:b/>
          <w:bCs/>
          <w:sz w:val="28"/>
          <w:szCs w:val="28"/>
        </w:rPr>
        <w:t>起草单位：</w:t>
      </w:r>
      <w:r>
        <w:rPr>
          <w:rFonts w:hint="eastAsia" w:hAnsi="宋体" w:cs="黑体"/>
          <w:sz w:val="28"/>
          <w:szCs w:val="28"/>
        </w:rPr>
        <w:t>暨南大学（主编单位）；</w:t>
      </w:r>
      <w:bookmarkStart w:id="0" w:name="_Hlk168408022"/>
      <w:r>
        <w:rPr>
          <w:rFonts w:hint="eastAsia" w:hAnsi="宋体" w:cs="黑体"/>
          <w:sz w:val="28"/>
          <w:szCs w:val="28"/>
        </w:rPr>
        <w:t>广东工业大学，广东环境保护工程职业学院</w:t>
      </w:r>
      <w:bookmarkEnd w:id="0"/>
      <w:r>
        <w:rPr>
          <w:rFonts w:hint="eastAsia" w:hAnsi="宋体" w:cs="黑体"/>
          <w:sz w:val="28"/>
          <w:szCs w:val="28"/>
        </w:rPr>
        <w:t>，广州紫科环保科技股份有限公司，暨测（广东）仪器有限公司（参编单位）</w:t>
      </w:r>
      <w:r>
        <w:rPr>
          <w:rFonts w:hAnsi="宋体" w:cs="黑体"/>
          <w:sz w:val="28"/>
          <w:szCs w:val="28"/>
        </w:rPr>
        <w:t xml:space="preserve"> </w:t>
      </w:r>
    </w:p>
    <w:p w14:paraId="40FD377A">
      <w:pPr>
        <w:pStyle w:val="5"/>
        <w:kinsoku w:val="0"/>
        <w:overflowPunct w:val="0"/>
        <w:spacing w:before="7" w:line="360" w:lineRule="auto"/>
        <w:rPr>
          <w:rFonts w:hAnsi="宋体" w:cs="黑体"/>
          <w:sz w:val="28"/>
          <w:szCs w:val="28"/>
        </w:rPr>
      </w:pPr>
      <w:r>
        <w:rPr>
          <w:rFonts w:hint="eastAsia" w:hAnsi="宋体" w:cs="黑体"/>
          <w:b/>
          <w:bCs/>
          <w:sz w:val="28"/>
          <w:szCs w:val="28"/>
        </w:rPr>
        <w:t>项目管理人：</w:t>
      </w:r>
      <w:r>
        <w:rPr>
          <w:rFonts w:hint="eastAsia" w:hAnsi="宋体" w:cs="黑体"/>
          <w:sz w:val="28"/>
          <w:szCs w:val="28"/>
        </w:rPr>
        <w:t>王伯光</w:t>
      </w:r>
    </w:p>
    <w:p w14:paraId="4D4624BA">
      <w:pPr>
        <w:pStyle w:val="5"/>
        <w:kinsoku w:val="0"/>
        <w:overflowPunct w:val="0"/>
        <w:spacing w:before="7" w:line="360" w:lineRule="auto"/>
        <w:outlineLvl w:val="0"/>
        <w:rPr>
          <w:rFonts w:hAnsi="宋体" w:cs="黑体"/>
          <w:sz w:val="28"/>
          <w:szCs w:val="28"/>
        </w:rPr>
      </w:pPr>
      <w:bookmarkStart w:id="1" w:name="_Toc170504317"/>
      <w:bookmarkStart w:id="2" w:name="_Toc170504473"/>
      <w:bookmarkStart w:id="3" w:name="_Toc170504514"/>
      <w:bookmarkStart w:id="4" w:name="_Toc12076"/>
      <w:bookmarkStart w:id="5" w:name="_Toc170504739"/>
      <w:r>
        <w:rPr>
          <w:rFonts w:hint="eastAsia" w:hAnsi="宋体" w:cs="黑体"/>
          <w:b/>
          <w:bCs/>
          <w:sz w:val="28"/>
          <w:szCs w:val="28"/>
        </w:rPr>
        <w:t>环保部科技标准司项目管理人</w:t>
      </w:r>
      <w:r>
        <w:rPr>
          <w:rFonts w:hint="eastAsia" w:hAnsi="宋体" w:cs="黑体"/>
          <w:sz w:val="28"/>
          <w:szCs w:val="28"/>
        </w:rPr>
        <w:t>：</w:t>
      </w:r>
      <w:r>
        <w:rPr>
          <w:rFonts w:hAnsi="宋体" w:cs="黑体"/>
          <w:sz w:val="28"/>
          <w:szCs w:val="28"/>
        </w:rPr>
        <w:t>XXX</w:t>
      </w:r>
      <w:bookmarkEnd w:id="1"/>
      <w:bookmarkEnd w:id="2"/>
      <w:bookmarkEnd w:id="3"/>
      <w:bookmarkEnd w:id="4"/>
      <w:bookmarkEnd w:id="5"/>
    </w:p>
    <w:p w14:paraId="16FBD282">
      <w:pPr>
        <w:pStyle w:val="5"/>
        <w:kinsoku w:val="0"/>
        <w:overflowPunct w:val="0"/>
        <w:spacing w:before="1"/>
        <w:ind w:left="480"/>
        <w:rPr>
          <w:w w:val="95"/>
          <w:sz w:val="28"/>
          <w:szCs w:val="28"/>
        </w:rPr>
      </w:pPr>
    </w:p>
    <w:p w14:paraId="55C77E05">
      <w:pPr>
        <w:pStyle w:val="5"/>
        <w:kinsoku w:val="0"/>
        <w:overflowPunct w:val="0"/>
        <w:spacing w:before="1"/>
        <w:ind w:left="480"/>
        <w:rPr>
          <w:w w:val="95"/>
          <w:sz w:val="28"/>
          <w:szCs w:val="28"/>
        </w:rPr>
      </w:pPr>
    </w:p>
    <w:p w14:paraId="613A79E1">
      <w:pPr>
        <w:pStyle w:val="5"/>
        <w:kinsoku w:val="0"/>
        <w:overflowPunct w:val="0"/>
        <w:spacing w:before="1"/>
        <w:ind w:left="480"/>
        <w:rPr>
          <w:w w:val="95"/>
          <w:sz w:val="28"/>
          <w:szCs w:val="28"/>
        </w:rPr>
      </w:pPr>
    </w:p>
    <w:p w14:paraId="1B629471">
      <w:pPr>
        <w:pStyle w:val="5"/>
        <w:kinsoku w:val="0"/>
        <w:overflowPunct w:val="0"/>
        <w:spacing w:before="1"/>
        <w:ind w:left="480"/>
        <w:rPr>
          <w:w w:val="95"/>
          <w:sz w:val="28"/>
          <w:szCs w:val="28"/>
        </w:rPr>
      </w:pPr>
    </w:p>
    <w:p w14:paraId="4F3245D8">
      <w:pPr>
        <w:pStyle w:val="5"/>
        <w:kinsoku w:val="0"/>
        <w:overflowPunct w:val="0"/>
        <w:spacing w:before="1"/>
        <w:ind w:left="480"/>
        <w:rPr>
          <w:w w:val="95"/>
          <w:sz w:val="28"/>
          <w:szCs w:val="28"/>
        </w:rPr>
        <w:sectPr>
          <w:pgSz w:w="11910" w:h="16840"/>
          <w:pgMar w:top="1600" w:right="1320" w:bottom="280" w:left="1320" w:header="720" w:footer="720" w:gutter="0"/>
          <w:cols w:space="720" w:num="1"/>
        </w:sectPr>
      </w:pPr>
    </w:p>
    <w:sdt>
      <w:sdtPr>
        <w:rPr>
          <w:b/>
          <w:bCs/>
          <w:color w:val="000000" w:themeColor="text1"/>
          <w:lang w:val="zh-CN"/>
          <w14:textFill>
            <w14:solidFill>
              <w14:schemeClr w14:val="tx1"/>
            </w14:solidFill>
          </w14:textFill>
        </w:rPr>
        <w:id w:val="-2127531912"/>
        <w:docPartObj>
          <w:docPartGallery w:val="Table of Contents"/>
          <w:docPartUnique/>
        </w:docPartObj>
      </w:sdtPr>
      <w:sdtEndPr>
        <w:rPr>
          <w:rFonts w:ascii="宋体" w:hAnsi="Times New Roman" w:eastAsia="宋体" w:cs="宋体"/>
          <w:b/>
          <w:bCs/>
          <w:color w:val="auto"/>
          <w:sz w:val="22"/>
          <w:szCs w:val="22"/>
          <w:lang w:val="zh-CN"/>
        </w:rPr>
      </w:sdtEndPr>
      <w:sdtContent>
        <w:p w14:paraId="3EC5B0B0">
          <w:pPr>
            <w:pStyle w:val="36"/>
            <w:spacing w:line="240" w:lineRule="auto"/>
            <w:jc w:val="center"/>
            <w:rPr>
              <w:b/>
              <w:bCs/>
              <w:color w:val="000000" w:themeColor="text1"/>
              <w14:textFill>
                <w14:solidFill>
                  <w14:schemeClr w14:val="tx1"/>
                </w14:solidFill>
              </w14:textFill>
            </w:rPr>
          </w:pPr>
          <w:r>
            <w:rPr>
              <w:b/>
              <w:bCs/>
              <w:color w:val="000000" w:themeColor="text1"/>
              <w:lang w:val="zh-CN"/>
              <w14:textFill>
                <w14:solidFill>
                  <w14:schemeClr w14:val="tx1"/>
                </w14:solidFill>
              </w14:textFill>
            </w:rPr>
            <w:t>目</w:t>
          </w:r>
          <w:r>
            <w:rPr>
              <w:rFonts w:hint="eastAsia"/>
              <w:b/>
              <w:bCs/>
              <w:color w:val="000000" w:themeColor="text1"/>
              <w:lang w:val="zh-CN"/>
              <w14:textFill>
                <w14:solidFill>
                  <w14:schemeClr w14:val="tx1"/>
                </w14:solidFill>
              </w14:textFill>
            </w:rPr>
            <w:t>次</w:t>
          </w:r>
          <w:r>
            <w:fldChar w:fldCharType="begin"/>
          </w:r>
          <w:r>
            <w:instrText xml:space="preserve"> TOC \o "1-3" \h \z \u </w:instrText>
          </w:r>
          <w:r>
            <w:fldChar w:fldCharType="separate"/>
          </w:r>
        </w:p>
        <w:p w14:paraId="411828E1">
          <w:pPr>
            <w:pStyle w:val="9"/>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"_Toc170504740" </w:instrText>
          </w:r>
          <w:r>
            <w:fldChar w:fldCharType="separate"/>
          </w:r>
          <w:r>
            <w:rPr>
              <w:rStyle w:val="15"/>
            </w:rPr>
            <w:t>1 任务来源</w:t>
          </w:r>
          <w:r>
            <w:tab/>
          </w:r>
          <w:r>
            <w:fldChar w:fldCharType="begin"/>
          </w:r>
          <w:r>
            <w:instrText xml:space="preserve"> PAGEREF _Toc170504740 \h </w:instrText>
          </w:r>
          <w:r>
            <w:fldChar w:fldCharType="separate"/>
          </w:r>
          <w:r>
            <w:t>1</w:t>
          </w:r>
          <w:r>
            <w:fldChar w:fldCharType="end"/>
          </w:r>
          <w:r>
            <w:fldChar w:fldCharType="end"/>
          </w:r>
        </w:p>
        <w:p w14:paraId="56E50A84">
          <w:pPr>
            <w:pStyle w:val="9"/>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"_Toc170504741" </w:instrText>
          </w:r>
          <w:r>
            <w:fldChar w:fldCharType="separate"/>
          </w:r>
          <w:r>
            <w:rPr>
              <w:rStyle w:val="15"/>
            </w:rPr>
            <w:t>2 行业现状</w:t>
          </w:r>
          <w:r>
            <w:tab/>
          </w:r>
          <w:r>
            <w:fldChar w:fldCharType="begin"/>
          </w:r>
          <w:r>
            <w:instrText xml:space="preserve"> PAGEREF _Toc170504741 \h </w:instrText>
          </w:r>
          <w:r>
            <w:fldChar w:fldCharType="separate"/>
          </w:r>
          <w:r>
            <w:t>1</w:t>
          </w:r>
          <w:r>
            <w:fldChar w:fldCharType="end"/>
          </w:r>
          <w:r>
            <w:fldChar w:fldCharType="end"/>
          </w:r>
        </w:p>
        <w:p w14:paraId="2BD14E6F">
          <w:pPr>
            <w:pStyle w:val="9"/>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"_Toc170504742" </w:instrText>
          </w:r>
          <w:r>
            <w:fldChar w:fldCharType="separate"/>
          </w:r>
          <w:r>
            <w:rPr>
              <w:rStyle w:val="15"/>
            </w:rPr>
            <w:t>3 指南编制的意义</w:t>
          </w:r>
          <w:r>
            <w:tab/>
          </w:r>
          <w:r>
            <w:fldChar w:fldCharType="begin"/>
          </w:r>
          <w:r>
            <w:instrText xml:space="preserve"> PAGEREF _Toc170504742 \h </w:instrText>
          </w:r>
          <w:r>
            <w:fldChar w:fldCharType="separate"/>
          </w:r>
          <w:r>
            <w:t>2</w:t>
          </w:r>
          <w:r>
            <w:fldChar w:fldCharType="end"/>
          </w:r>
          <w:r>
            <w:fldChar w:fldCharType="end"/>
          </w:r>
        </w:p>
        <w:p w14:paraId="17BAC20E">
          <w:pPr>
            <w:pStyle w:val="9"/>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"_Toc170504743" </w:instrText>
          </w:r>
          <w:r>
            <w:fldChar w:fldCharType="separate"/>
          </w:r>
          <w:r>
            <w:rPr>
              <w:rStyle w:val="15"/>
            </w:rPr>
            <w:t>4 指南编制原则与技术依据</w:t>
          </w:r>
          <w:r>
            <w:tab/>
          </w:r>
          <w:r>
            <w:fldChar w:fldCharType="begin"/>
          </w:r>
          <w:r>
            <w:instrText xml:space="preserve"> PAGEREF _Toc170504743 \h </w:instrText>
          </w:r>
          <w:r>
            <w:fldChar w:fldCharType="separate"/>
          </w:r>
          <w:r>
            <w:t>2</w:t>
          </w:r>
          <w:r>
            <w:fldChar w:fldCharType="end"/>
          </w:r>
          <w:r>
            <w:fldChar w:fldCharType="end"/>
          </w:r>
        </w:p>
        <w:p w14:paraId="72B362BB">
          <w:pPr>
            <w:pStyle w:val="10"/>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"_Toc170504744" </w:instrText>
          </w:r>
          <w:r>
            <w:fldChar w:fldCharType="separate"/>
          </w:r>
          <w:r>
            <w:rPr>
              <w:rStyle w:val="15"/>
            </w:rPr>
            <w:t>4.1 编制原则</w:t>
          </w:r>
          <w:r>
            <w:tab/>
          </w:r>
          <w:r>
            <w:fldChar w:fldCharType="begin"/>
          </w:r>
          <w:r>
            <w:instrText xml:space="preserve"> PAGEREF _Toc170504744 \h </w:instrText>
          </w:r>
          <w:r>
            <w:fldChar w:fldCharType="separate"/>
          </w:r>
          <w:r>
            <w:t>2</w:t>
          </w:r>
          <w:r>
            <w:fldChar w:fldCharType="end"/>
          </w:r>
          <w:r>
            <w:fldChar w:fldCharType="end"/>
          </w:r>
        </w:p>
        <w:p w14:paraId="66DFA35B">
          <w:pPr>
            <w:pStyle w:val="10"/>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"_Toc170504745" </w:instrText>
          </w:r>
          <w:r>
            <w:fldChar w:fldCharType="separate"/>
          </w:r>
          <w:r>
            <w:rPr>
              <w:rStyle w:val="15"/>
            </w:rPr>
            <w:t>4.2 技术依据</w:t>
          </w:r>
          <w:r>
            <w:tab/>
          </w:r>
          <w:r>
            <w:fldChar w:fldCharType="begin"/>
          </w:r>
          <w:r>
            <w:instrText xml:space="preserve"> PAGEREF _Toc170504745 \h </w:instrText>
          </w:r>
          <w:r>
            <w:fldChar w:fldCharType="separate"/>
          </w:r>
          <w:r>
            <w:t>3</w:t>
          </w:r>
          <w:r>
            <w:fldChar w:fldCharType="end"/>
          </w:r>
          <w:r>
            <w:fldChar w:fldCharType="end"/>
          </w:r>
        </w:p>
        <w:p w14:paraId="2C8ACAFA">
          <w:pPr>
            <w:pStyle w:val="9"/>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"_Toc170504746" </w:instrText>
          </w:r>
          <w:r>
            <w:fldChar w:fldCharType="separate"/>
          </w:r>
          <w:r>
            <w:rPr>
              <w:rStyle w:val="15"/>
            </w:rPr>
            <w:t>5 主要编制工作过程</w:t>
          </w:r>
          <w:r>
            <w:tab/>
          </w:r>
          <w:r>
            <w:fldChar w:fldCharType="begin"/>
          </w:r>
          <w:r>
            <w:instrText xml:space="preserve"> PAGEREF _Toc170504746 \h </w:instrText>
          </w:r>
          <w:r>
            <w:fldChar w:fldCharType="separate"/>
          </w:r>
          <w:r>
            <w:t>3</w:t>
          </w:r>
          <w:r>
            <w:fldChar w:fldCharType="end"/>
          </w:r>
          <w:r>
            <w:fldChar w:fldCharType="end"/>
          </w:r>
        </w:p>
        <w:p w14:paraId="6399A864">
          <w:pPr>
            <w:pStyle w:val="9"/>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"_Toc170504747" </w:instrText>
          </w:r>
          <w:r>
            <w:fldChar w:fldCharType="separate"/>
          </w:r>
          <w:r>
            <w:rPr>
              <w:rStyle w:val="15"/>
            </w:rPr>
            <w:t>6 指南主要技术内容及说明</w:t>
          </w:r>
          <w:r>
            <w:tab/>
          </w:r>
          <w:r>
            <w:fldChar w:fldCharType="begin"/>
          </w:r>
          <w:r>
            <w:instrText xml:space="preserve"> PAGEREF _Toc170504747 \h </w:instrText>
          </w:r>
          <w:r>
            <w:fldChar w:fldCharType="separate"/>
          </w:r>
          <w:r>
            <w:t>4</w:t>
          </w:r>
          <w:r>
            <w:fldChar w:fldCharType="end"/>
          </w:r>
          <w:r>
            <w:fldChar w:fldCharType="end"/>
          </w:r>
        </w:p>
        <w:p w14:paraId="18DE00C9">
          <w:pPr>
            <w:pStyle w:val="10"/>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"_Toc170504748" </w:instrText>
          </w:r>
          <w:r>
            <w:fldChar w:fldCharType="separate"/>
          </w:r>
          <w:r>
            <w:rPr>
              <w:rStyle w:val="15"/>
            </w:rPr>
            <w:t>6.1 本指南适用范围</w:t>
          </w:r>
          <w:r>
            <w:tab/>
          </w:r>
          <w:r>
            <w:fldChar w:fldCharType="begin"/>
          </w:r>
          <w:r>
            <w:instrText xml:space="preserve"> PAGEREF _Toc170504748 \h </w:instrText>
          </w:r>
          <w:r>
            <w:fldChar w:fldCharType="separate"/>
          </w:r>
          <w:r>
            <w:t>4</w:t>
          </w:r>
          <w:r>
            <w:fldChar w:fldCharType="end"/>
          </w:r>
          <w:r>
            <w:fldChar w:fldCharType="end"/>
          </w:r>
        </w:p>
        <w:p w14:paraId="17D0ED8C">
          <w:pPr>
            <w:pStyle w:val="10"/>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"_Toc170504749" </w:instrText>
          </w:r>
          <w:r>
            <w:fldChar w:fldCharType="separate"/>
          </w:r>
          <w:r>
            <w:rPr>
              <w:rStyle w:val="15"/>
            </w:rPr>
            <w:t>6.2 主要术语的定义</w:t>
          </w:r>
          <w:r>
            <w:tab/>
          </w:r>
          <w:r>
            <w:fldChar w:fldCharType="begin"/>
          </w:r>
          <w:r>
            <w:instrText xml:space="preserve"> PAGEREF _Toc170504749 \h </w:instrText>
          </w:r>
          <w:r>
            <w:fldChar w:fldCharType="separate"/>
          </w:r>
          <w:r>
            <w:t>4</w:t>
          </w:r>
          <w:r>
            <w:fldChar w:fldCharType="end"/>
          </w:r>
          <w:r>
            <w:fldChar w:fldCharType="end"/>
          </w:r>
        </w:p>
        <w:p w14:paraId="4A7CBE68">
          <w:pPr>
            <w:pStyle w:val="10"/>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"_Toc170504755" </w:instrText>
          </w:r>
          <w:r>
            <w:fldChar w:fldCharType="separate"/>
          </w:r>
          <w:r>
            <w:rPr>
              <w:rStyle w:val="15"/>
            </w:rPr>
            <w:t>6.3 大气挥发性有机污染物排放清单编制的技术流程和方法</w:t>
          </w:r>
          <w:r>
            <w:tab/>
          </w:r>
          <w:r>
            <w:fldChar w:fldCharType="begin"/>
          </w:r>
          <w:r>
            <w:instrText xml:space="preserve"> PAGEREF _Toc170504755 \h </w:instrText>
          </w:r>
          <w:r>
            <w:fldChar w:fldCharType="separate"/>
          </w:r>
          <w:r>
            <w:t>5</w:t>
          </w:r>
          <w:r>
            <w:fldChar w:fldCharType="end"/>
          </w:r>
          <w:r>
            <w:fldChar w:fldCharType="end"/>
          </w:r>
        </w:p>
        <w:p w14:paraId="2EA17C11">
          <w:pPr>
            <w:pStyle w:val="6"/>
            <w:tabs>
              <w:tab w:val="right" w:leader="dot" w:pos="9260"/>
            </w:tabs>
            <w:rPr>
              <w:rFonts w:asciiTheme="minorHAnsi" w:hAnsiTheme="minorHAnsi" w:eastAsiaTheme="minorEastAsia" w:cstheme="minorBidi"/>
              <w:kern w:val="2"/>
              <w:sz w:val="21"/>
            </w:rPr>
          </w:pPr>
          <w:r>
            <w:fldChar w:fldCharType="begin"/>
          </w:r>
          <w:r>
            <w:instrText xml:space="preserve"> HYPERLINK \l "_Toc170504756" </w:instrText>
          </w:r>
          <w:r>
            <w:fldChar w:fldCharType="separate"/>
          </w:r>
          <w:r>
            <w:rPr>
              <w:rStyle w:val="15"/>
            </w:rPr>
            <w:t>6.3.1 大气挥发性有机污染物排放总量计算方法</w:t>
          </w:r>
          <w:r>
            <w:tab/>
          </w:r>
          <w:r>
            <w:fldChar w:fldCharType="begin"/>
          </w:r>
          <w:r>
            <w:instrText xml:space="preserve"> PAGEREF _Toc170504756 \h </w:instrText>
          </w:r>
          <w:r>
            <w:fldChar w:fldCharType="separate"/>
          </w:r>
          <w:r>
            <w:t>6</w:t>
          </w:r>
          <w:r>
            <w:fldChar w:fldCharType="end"/>
          </w:r>
          <w:r>
            <w:fldChar w:fldCharType="end"/>
          </w:r>
        </w:p>
        <w:p w14:paraId="04215B51">
          <w:pPr>
            <w:pStyle w:val="6"/>
            <w:tabs>
              <w:tab w:val="right" w:leader="dot" w:pos="9260"/>
            </w:tabs>
            <w:rPr>
              <w:rFonts w:asciiTheme="minorHAnsi" w:hAnsiTheme="minorHAnsi" w:eastAsiaTheme="minorEastAsia" w:cstheme="minorBidi"/>
              <w:kern w:val="2"/>
              <w:sz w:val="21"/>
            </w:rPr>
          </w:pPr>
          <w:r>
            <w:fldChar w:fldCharType="begin"/>
          </w:r>
          <w:r>
            <w:instrText xml:space="preserve"> HYPERLINK \l "_Toc170504757" </w:instrText>
          </w:r>
          <w:r>
            <w:fldChar w:fldCharType="separate"/>
          </w:r>
          <w:r>
            <w:rPr>
              <w:rStyle w:val="15"/>
            </w:rPr>
            <w:t>6.3.2 设备动静密封点泄漏</w:t>
          </w:r>
          <w:r>
            <w:tab/>
          </w:r>
          <w:r>
            <w:fldChar w:fldCharType="begin"/>
          </w:r>
          <w:r>
            <w:instrText xml:space="preserve"> PAGEREF _Toc170504757 \h </w:instrText>
          </w:r>
          <w:r>
            <w:fldChar w:fldCharType="separate"/>
          </w:r>
          <w:r>
            <w:t>6</w:t>
          </w:r>
          <w:r>
            <w:fldChar w:fldCharType="end"/>
          </w:r>
          <w:r>
            <w:fldChar w:fldCharType="end"/>
          </w:r>
        </w:p>
        <w:p w14:paraId="0EB8DC50">
          <w:pPr>
            <w:pStyle w:val="6"/>
            <w:tabs>
              <w:tab w:val="right" w:leader="dot" w:pos="9260"/>
            </w:tabs>
            <w:rPr>
              <w:rFonts w:asciiTheme="minorHAnsi" w:hAnsiTheme="minorHAnsi" w:eastAsiaTheme="minorEastAsia" w:cstheme="minorBidi"/>
              <w:kern w:val="2"/>
              <w:sz w:val="21"/>
            </w:rPr>
          </w:pPr>
          <w:r>
            <w:fldChar w:fldCharType="begin"/>
          </w:r>
          <w:r>
            <w:instrText xml:space="preserve"> HYPERLINK \l "_Toc170504758" </w:instrText>
          </w:r>
          <w:r>
            <w:fldChar w:fldCharType="separate"/>
          </w:r>
          <w:r>
            <w:rPr>
              <w:rStyle w:val="15"/>
            </w:rPr>
            <w:t>6.3.3 有机液体储存与调和挥发损失</w:t>
          </w:r>
          <w:r>
            <w:tab/>
          </w:r>
          <w:r>
            <w:fldChar w:fldCharType="begin"/>
          </w:r>
          <w:r>
            <w:instrText xml:space="preserve"> PAGEREF _Toc170504758 \h </w:instrText>
          </w:r>
          <w:r>
            <w:fldChar w:fldCharType="separate"/>
          </w:r>
          <w:r>
            <w:t>6</w:t>
          </w:r>
          <w:r>
            <w:fldChar w:fldCharType="end"/>
          </w:r>
          <w:r>
            <w:fldChar w:fldCharType="end"/>
          </w:r>
        </w:p>
        <w:p w14:paraId="64E8B124">
          <w:pPr>
            <w:pStyle w:val="6"/>
            <w:tabs>
              <w:tab w:val="right" w:leader="dot" w:pos="9260"/>
            </w:tabs>
            <w:rPr>
              <w:rFonts w:asciiTheme="minorHAnsi" w:hAnsiTheme="minorHAnsi" w:eastAsiaTheme="minorEastAsia" w:cstheme="minorBidi"/>
              <w:kern w:val="2"/>
              <w:sz w:val="21"/>
            </w:rPr>
          </w:pPr>
          <w:r>
            <w:fldChar w:fldCharType="begin"/>
          </w:r>
          <w:r>
            <w:instrText xml:space="preserve"> HYPERLINK \l "_Toc170504759" </w:instrText>
          </w:r>
          <w:r>
            <w:fldChar w:fldCharType="separate"/>
          </w:r>
          <w:r>
            <w:rPr>
              <w:rStyle w:val="15"/>
            </w:rPr>
            <w:t>6.3.4 废水集输、储存、处理处置过程逸散</w:t>
          </w:r>
          <w:r>
            <w:tab/>
          </w:r>
          <w:r>
            <w:fldChar w:fldCharType="begin"/>
          </w:r>
          <w:r>
            <w:instrText xml:space="preserve"> PAGEREF _Toc170504759 \h </w:instrText>
          </w:r>
          <w:r>
            <w:fldChar w:fldCharType="separate"/>
          </w:r>
          <w:r>
            <w:t>6</w:t>
          </w:r>
          <w:r>
            <w:fldChar w:fldCharType="end"/>
          </w:r>
          <w:r>
            <w:fldChar w:fldCharType="end"/>
          </w:r>
        </w:p>
        <w:p w14:paraId="4DE0A83D">
          <w:pPr>
            <w:pStyle w:val="6"/>
            <w:tabs>
              <w:tab w:val="right" w:leader="dot" w:pos="9260"/>
            </w:tabs>
            <w:rPr>
              <w:rFonts w:asciiTheme="minorHAnsi" w:hAnsiTheme="minorHAnsi" w:eastAsiaTheme="minorEastAsia" w:cstheme="minorBidi"/>
              <w:kern w:val="2"/>
              <w:sz w:val="21"/>
            </w:rPr>
          </w:pPr>
          <w:r>
            <w:fldChar w:fldCharType="begin"/>
          </w:r>
          <w:r>
            <w:instrText xml:space="preserve"> HYPERLINK \l "_Toc170504760" </w:instrText>
          </w:r>
          <w:r>
            <w:fldChar w:fldCharType="separate"/>
          </w:r>
          <w:r>
            <w:rPr>
              <w:rStyle w:val="15"/>
            </w:rPr>
            <w:t>6.3.5 工艺废气排放</w:t>
          </w:r>
          <w:r>
            <w:tab/>
          </w:r>
          <w:r>
            <w:fldChar w:fldCharType="begin"/>
          </w:r>
          <w:r>
            <w:instrText xml:space="preserve"> PAGEREF _Toc170504760 \h </w:instrText>
          </w:r>
          <w:r>
            <w:fldChar w:fldCharType="separate"/>
          </w:r>
          <w:r>
            <w:t>7</w:t>
          </w:r>
          <w:r>
            <w:fldChar w:fldCharType="end"/>
          </w:r>
          <w:r>
            <w:fldChar w:fldCharType="end"/>
          </w:r>
        </w:p>
        <w:p w14:paraId="3EA31728">
          <w:pPr>
            <w:pStyle w:val="6"/>
            <w:tabs>
              <w:tab w:val="right" w:leader="dot" w:pos="9260"/>
            </w:tabs>
            <w:rPr>
              <w:rFonts w:asciiTheme="minorHAnsi" w:hAnsiTheme="minorHAnsi" w:eastAsiaTheme="minorEastAsia" w:cstheme="minorBidi"/>
              <w:kern w:val="2"/>
              <w:sz w:val="21"/>
            </w:rPr>
          </w:pPr>
          <w:r>
            <w:fldChar w:fldCharType="begin"/>
          </w:r>
          <w:r>
            <w:instrText xml:space="preserve"> HYPERLINK \l "_Toc170504761" </w:instrText>
          </w:r>
          <w:r>
            <w:fldChar w:fldCharType="separate"/>
          </w:r>
          <w:r>
            <w:rPr>
              <w:rStyle w:val="15"/>
            </w:rPr>
            <w:t>6.3.6 溶剂再生挥发损失</w:t>
          </w:r>
          <w:r>
            <w:tab/>
          </w:r>
          <w:r>
            <w:fldChar w:fldCharType="begin"/>
          </w:r>
          <w:r>
            <w:instrText xml:space="preserve"> PAGEREF _Toc170504761 \h </w:instrText>
          </w:r>
          <w:r>
            <w:fldChar w:fldCharType="separate"/>
          </w:r>
          <w:r>
            <w:t>7</w:t>
          </w:r>
          <w:r>
            <w:fldChar w:fldCharType="end"/>
          </w:r>
          <w:r>
            <w:fldChar w:fldCharType="end"/>
          </w:r>
        </w:p>
        <w:p w14:paraId="11BC420F">
          <w:pPr>
            <w:pStyle w:val="6"/>
            <w:tabs>
              <w:tab w:val="right" w:leader="dot" w:pos="9260"/>
            </w:tabs>
            <w:rPr>
              <w:rFonts w:asciiTheme="minorHAnsi" w:hAnsiTheme="minorHAnsi" w:eastAsiaTheme="minorEastAsia" w:cstheme="minorBidi"/>
              <w:kern w:val="2"/>
              <w:sz w:val="21"/>
            </w:rPr>
          </w:pPr>
          <w:r>
            <w:fldChar w:fldCharType="begin"/>
          </w:r>
          <w:r>
            <w:instrText xml:space="preserve"> HYPERLINK \l "_Toc170504762" </w:instrText>
          </w:r>
          <w:r>
            <w:fldChar w:fldCharType="separate"/>
          </w:r>
          <w:r>
            <w:rPr>
              <w:rStyle w:val="15"/>
            </w:rPr>
            <w:t>6.3.7 实验室废气排放</w:t>
          </w:r>
          <w:r>
            <w:tab/>
          </w:r>
          <w:r>
            <w:fldChar w:fldCharType="begin"/>
          </w:r>
          <w:r>
            <w:instrText xml:space="preserve"> PAGEREF _Toc170504762 \h </w:instrText>
          </w:r>
          <w:r>
            <w:fldChar w:fldCharType="separate"/>
          </w:r>
          <w:r>
            <w:t>7</w:t>
          </w:r>
          <w:r>
            <w:fldChar w:fldCharType="end"/>
          </w:r>
          <w:r>
            <w:fldChar w:fldCharType="end"/>
          </w:r>
        </w:p>
        <w:p w14:paraId="7E3EFBD5">
          <w:pPr>
            <w:pStyle w:val="6"/>
            <w:tabs>
              <w:tab w:val="right" w:leader="dot" w:pos="9260"/>
            </w:tabs>
            <w:rPr>
              <w:rFonts w:asciiTheme="minorHAnsi" w:hAnsiTheme="minorHAnsi" w:eastAsiaTheme="minorEastAsia" w:cstheme="minorBidi"/>
              <w:kern w:val="2"/>
              <w:sz w:val="21"/>
            </w:rPr>
          </w:pPr>
          <w:r>
            <w:fldChar w:fldCharType="begin"/>
          </w:r>
          <w:r>
            <w:instrText xml:space="preserve"> HYPERLINK \l "_Toc170504763" </w:instrText>
          </w:r>
          <w:r>
            <w:fldChar w:fldCharType="separate"/>
          </w:r>
          <w:r>
            <w:rPr>
              <w:rStyle w:val="15"/>
            </w:rPr>
            <w:t>6.3.8 排放系数获取方法</w:t>
          </w:r>
          <w:r>
            <w:tab/>
          </w:r>
          <w:r>
            <w:fldChar w:fldCharType="begin"/>
          </w:r>
          <w:r>
            <w:instrText xml:space="preserve"> PAGEREF _Toc170504763 \h </w:instrText>
          </w:r>
          <w:r>
            <w:fldChar w:fldCharType="separate"/>
          </w:r>
          <w:r>
            <w:t>7</w:t>
          </w:r>
          <w:r>
            <w:fldChar w:fldCharType="end"/>
          </w:r>
          <w:r>
            <w:fldChar w:fldCharType="end"/>
          </w:r>
        </w:p>
        <w:p w14:paraId="51501808">
          <w:pPr>
            <w:pStyle w:val="6"/>
            <w:tabs>
              <w:tab w:val="right" w:leader="dot" w:pos="9260"/>
            </w:tabs>
            <w:rPr>
              <w:rFonts w:asciiTheme="minorHAnsi" w:hAnsiTheme="minorHAnsi" w:eastAsiaTheme="minorEastAsia" w:cstheme="minorBidi"/>
              <w:kern w:val="2"/>
              <w:sz w:val="21"/>
            </w:rPr>
          </w:pPr>
          <w:r>
            <w:fldChar w:fldCharType="begin"/>
          </w:r>
          <w:r>
            <w:instrText xml:space="preserve"> HYPERLINK \l "_Toc170504764" </w:instrText>
          </w:r>
          <w:r>
            <w:fldChar w:fldCharType="separate"/>
          </w:r>
          <w:r>
            <w:rPr>
              <w:rStyle w:val="15"/>
            </w:rPr>
            <w:t>6.3.9 不确定性分析</w:t>
          </w:r>
          <w:r>
            <w:tab/>
          </w:r>
          <w:r>
            <w:fldChar w:fldCharType="begin"/>
          </w:r>
          <w:r>
            <w:instrText xml:space="preserve"> PAGEREF _Toc170504764 \h </w:instrText>
          </w:r>
          <w:r>
            <w:fldChar w:fldCharType="separate"/>
          </w:r>
          <w:r>
            <w:t>8</w:t>
          </w:r>
          <w:r>
            <w:fldChar w:fldCharType="end"/>
          </w:r>
          <w:r>
            <w:fldChar w:fldCharType="end"/>
          </w:r>
        </w:p>
        <w:p w14:paraId="08B6DC47">
          <w:pPr>
            <w:pStyle w:val="10"/>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"_Toc170504765" </w:instrText>
          </w:r>
          <w:r>
            <w:fldChar w:fldCharType="separate"/>
          </w:r>
          <w:r>
            <w:rPr>
              <w:rStyle w:val="15"/>
            </w:rPr>
            <w:t>6.4 清单编制流程</w:t>
          </w:r>
          <w:r>
            <w:tab/>
          </w:r>
          <w:r>
            <w:fldChar w:fldCharType="begin"/>
          </w:r>
          <w:r>
            <w:instrText xml:space="preserve"> PAGEREF _Toc170504765 \h </w:instrText>
          </w:r>
          <w:r>
            <w:fldChar w:fldCharType="separate"/>
          </w:r>
          <w:r>
            <w:t>8</w:t>
          </w:r>
          <w:r>
            <w:fldChar w:fldCharType="end"/>
          </w:r>
          <w:r>
            <w:fldChar w:fldCharType="end"/>
          </w:r>
        </w:p>
        <w:p w14:paraId="6A2D3C73">
          <w:pPr>
            <w:pStyle w:val="9"/>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"_Toc170504766" </w:instrText>
          </w:r>
          <w:r>
            <w:fldChar w:fldCharType="separate"/>
          </w:r>
          <w:r>
            <w:rPr>
              <w:rStyle w:val="15"/>
            </w:rPr>
            <w:t>7.质量控制</w:t>
          </w:r>
          <w:r>
            <w:tab/>
          </w:r>
          <w:r>
            <w:fldChar w:fldCharType="begin"/>
          </w:r>
          <w:r>
            <w:instrText xml:space="preserve"> PAGEREF _Toc170504766 \h </w:instrText>
          </w:r>
          <w:r>
            <w:fldChar w:fldCharType="separate"/>
          </w:r>
          <w:r>
            <w:t>10</w:t>
          </w:r>
          <w:r>
            <w:fldChar w:fldCharType="end"/>
          </w:r>
          <w:r>
            <w:fldChar w:fldCharType="end"/>
          </w:r>
        </w:p>
        <w:p w14:paraId="6474EB81">
          <w:pPr>
            <w:pStyle w:val="10"/>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"_Toc170504767" </w:instrText>
          </w:r>
          <w:r>
            <w:fldChar w:fldCharType="separate"/>
          </w:r>
          <w:r>
            <w:rPr>
              <w:rStyle w:val="15"/>
            </w:rPr>
            <w:t>7.1 一般质量控制程序</w:t>
          </w:r>
          <w:r>
            <w:tab/>
          </w:r>
          <w:r>
            <w:fldChar w:fldCharType="begin"/>
          </w:r>
          <w:r>
            <w:instrText xml:space="preserve"> PAGEREF _Toc170504767 \h </w:instrText>
          </w:r>
          <w:r>
            <w:fldChar w:fldCharType="separate"/>
          </w:r>
          <w:r>
            <w:t>10</w:t>
          </w:r>
          <w:r>
            <w:fldChar w:fldCharType="end"/>
          </w:r>
          <w:r>
            <w:fldChar w:fldCharType="end"/>
          </w:r>
        </w:p>
        <w:p w14:paraId="747BAAFF">
          <w:pPr>
            <w:pStyle w:val="10"/>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"_Toc170504768" </w:instrText>
          </w:r>
          <w:r>
            <w:fldChar w:fldCharType="separate"/>
          </w:r>
          <w:r>
            <w:rPr>
              <w:rStyle w:val="15"/>
            </w:rPr>
            <w:t>7.2.2 特别类别质量控制程序</w:t>
          </w:r>
          <w:r>
            <w:tab/>
          </w:r>
          <w:r>
            <w:fldChar w:fldCharType="begin"/>
          </w:r>
          <w:r>
            <w:instrText xml:space="preserve"> PAGEREF _Toc170504768 \h </w:instrText>
          </w:r>
          <w:r>
            <w:fldChar w:fldCharType="separate"/>
          </w:r>
          <w:r>
            <w:t>11</w:t>
          </w:r>
          <w:r>
            <w:fldChar w:fldCharType="end"/>
          </w:r>
          <w:r>
            <w:fldChar w:fldCharType="end"/>
          </w:r>
        </w:p>
        <w:p w14:paraId="475BF17F">
          <w:pPr>
            <w:pStyle w:val="9"/>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"_Toc170504769" </w:instrText>
          </w:r>
          <w:r>
            <w:fldChar w:fldCharType="separate"/>
          </w:r>
          <w:r>
            <w:rPr>
              <w:rStyle w:val="15"/>
            </w:rPr>
            <w:t>8 验证、归类、存档和报告</w:t>
          </w:r>
          <w:r>
            <w:tab/>
          </w:r>
          <w:r>
            <w:fldChar w:fldCharType="begin"/>
          </w:r>
          <w:r>
            <w:instrText xml:space="preserve"> PAGEREF _Toc170504769 \h </w:instrText>
          </w:r>
          <w:r>
            <w:fldChar w:fldCharType="separate"/>
          </w:r>
          <w:r>
            <w:t>11</w:t>
          </w:r>
          <w:r>
            <w:fldChar w:fldCharType="end"/>
          </w:r>
          <w:r>
            <w:fldChar w:fldCharType="end"/>
          </w:r>
        </w:p>
        <w:p w14:paraId="2D4C6E87">
          <w:pPr>
            <w:pStyle w:val="9"/>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"_Toc170504770" </w:instrText>
          </w:r>
          <w:r>
            <w:fldChar w:fldCharType="separate"/>
          </w:r>
          <w:r>
            <w:rPr>
              <w:rStyle w:val="15"/>
            </w:rPr>
            <w:t>9 意见采纳情况</w:t>
          </w:r>
          <w:r>
            <w:tab/>
          </w:r>
          <w:r>
            <w:fldChar w:fldCharType="begin"/>
          </w:r>
          <w:r>
            <w:instrText xml:space="preserve"> PAGEREF _Toc170504770 \h </w:instrText>
          </w:r>
          <w:r>
            <w:fldChar w:fldCharType="separate"/>
          </w:r>
          <w:r>
            <w:t>11</w:t>
          </w:r>
          <w:r>
            <w:fldChar w:fldCharType="end"/>
          </w:r>
          <w:r>
            <w:fldChar w:fldCharType="end"/>
          </w:r>
        </w:p>
        <w:p w14:paraId="6838FF44">
          <w:pPr>
            <w:pStyle w:val="9"/>
            <w:tabs>
              <w:tab w:val="right" w:leader="dot" w:pos="9260"/>
            </w:tabs>
            <w:spacing w:line="240" w:lineRule="auto"/>
            <w:rPr>
              <w:rFonts w:asciiTheme="minorHAnsi" w:hAnsiTheme="minorHAnsi" w:eastAsiaTheme="minorEastAsia" w:cstheme="minorBidi"/>
              <w:kern w:val="2"/>
              <w:sz w:val="21"/>
            </w:rPr>
          </w:pPr>
          <w:r>
            <w:fldChar w:fldCharType="begin"/>
          </w:r>
          <w:r>
            <w:instrText xml:space="preserve"> HYPERLINK \l "_Toc170504771" </w:instrText>
          </w:r>
          <w:r>
            <w:fldChar w:fldCharType="separate"/>
          </w:r>
          <w:r>
            <w:rPr>
              <w:rStyle w:val="15"/>
            </w:rPr>
            <w:t>10 指南实施建议</w:t>
          </w:r>
          <w:r>
            <w:tab/>
          </w:r>
          <w:r>
            <w:fldChar w:fldCharType="begin"/>
          </w:r>
          <w:r>
            <w:instrText xml:space="preserve"> PAGEREF _Toc170504771 \h </w:instrText>
          </w:r>
          <w:r>
            <w:fldChar w:fldCharType="separate"/>
          </w:r>
          <w:r>
            <w:t>12</w:t>
          </w:r>
          <w:r>
            <w:fldChar w:fldCharType="end"/>
          </w:r>
          <w:r>
            <w:fldChar w:fldCharType="end"/>
          </w:r>
        </w:p>
        <w:p w14:paraId="3862C860">
          <w:r>
            <w:rPr>
              <w:b/>
              <w:bCs/>
              <w:lang w:val="zh-CN"/>
            </w:rPr>
            <w:fldChar w:fldCharType="end"/>
          </w:r>
        </w:p>
      </w:sdtContent>
    </w:sdt>
    <w:p w14:paraId="01E50B16">
      <w:pPr>
        <w:pStyle w:val="9"/>
      </w:pPr>
      <w:r>
        <w:rPr>
          <w:b/>
        </w:rPr>
        <w:fldChar w:fldCharType="begin"/>
      </w:r>
      <w:r>
        <w:instrText xml:space="preserve"> TOC \o "1-3" \h \z \u </w:instrText>
      </w:r>
      <w:r>
        <w:rPr>
          <w:b/>
        </w:rPr>
        <w:fldChar w:fldCharType="separate"/>
      </w:r>
    </w:p>
    <w:p w14:paraId="62EBE474">
      <w:pPr>
        <w:sectPr>
          <w:pgSz w:w="11910" w:h="16840"/>
          <w:pgMar w:top="1600" w:right="1320" w:bottom="280" w:left="1320" w:header="720" w:footer="720" w:gutter="0"/>
          <w:cols w:space="720" w:num="1"/>
        </w:sectPr>
      </w:pPr>
      <w:r>
        <w:rPr>
          <w:rFonts w:ascii="黑体" w:hAnsi="等线" w:eastAsia="黑体" w:cs="黑体"/>
          <w:sz w:val="28"/>
          <w:szCs w:val="32"/>
        </w:rPr>
        <w:fldChar w:fldCharType="end"/>
      </w:r>
    </w:p>
    <w:p w14:paraId="49FCC3F7">
      <w:pPr>
        <w:pStyle w:val="2"/>
        <w:spacing w:line="360" w:lineRule="auto"/>
        <w:rPr>
          <w:sz w:val="24"/>
          <w:szCs w:val="24"/>
        </w:rPr>
      </w:pPr>
      <w:bookmarkStart w:id="6" w:name="_Toc168656048"/>
      <w:bookmarkStart w:id="7" w:name="_Toc170504516"/>
      <w:bookmarkStart w:id="8" w:name="_Toc170504740"/>
      <w:bookmarkStart w:id="9" w:name="_Toc170504476"/>
      <w:bookmarkStart w:id="10" w:name="_Toc20376"/>
      <w:r>
        <w:rPr>
          <w:rFonts w:hint="eastAsia"/>
          <w:szCs w:val="28"/>
        </w:rPr>
        <w:t>1</w:t>
      </w:r>
      <w:r>
        <w:rPr>
          <w:szCs w:val="28"/>
        </w:rPr>
        <w:t xml:space="preserve"> </w:t>
      </w:r>
      <w:r>
        <w:rPr>
          <w:rFonts w:hint="eastAsia"/>
          <w:szCs w:val="28"/>
        </w:rPr>
        <w:t>任务来源</w:t>
      </w:r>
      <w:bookmarkEnd w:id="6"/>
      <w:bookmarkEnd w:id="7"/>
      <w:bookmarkEnd w:id="8"/>
      <w:bookmarkEnd w:id="9"/>
      <w:bookmarkEnd w:id="10"/>
    </w:p>
    <w:p w14:paraId="00F6B7CC">
      <w:pPr>
        <w:pStyle w:val="5"/>
        <w:kinsoku w:val="0"/>
        <w:overflowPunct w:val="0"/>
        <w:spacing w:line="360" w:lineRule="auto"/>
        <w:ind w:right="476" w:firstLine="420" w:firstLineChars="200"/>
        <w:jc w:val="both"/>
        <w:rPr>
          <w:rFonts w:ascii="Times New Roman"/>
        </w:rPr>
      </w:pPr>
      <w:r>
        <w:rPr>
          <w:rFonts w:hint="eastAsia" w:ascii="Times New Roman"/>
        </w:rPr>
        <w:t>电子电路技术是现代工业中的重要技术，广泛应用于通讯、计算机、消费电子等领域。电子电路设计和制造是电子电路技术的核心。电子电路制造包括PCB制造、元件安装和电路测试。其中，PCB制造是整个电路制造过程中最关键的步骤之一。随着现代电子设备制造行业的飞速发展，电子元件需求巨大，废气污染源与主要污染物随之产生。在单面、双面和多面印制电路板制作中，产生的VOCs工艺环节相对较集中，主要来源于贴膜、烘干、沉铜、印刷等工序。VOCs不仅本身具有毒性和致癌性，而且在大气中参与光化学反应，生成臭氧（O</w:t>
      </w:r>
      <w:r>
        <w:rPr>
          <w:rFonts w:ascii="Times New Roman"/>
          <w:vertAlign w:val="subscript"/>
        </w:rPr>
        <w:t>3</w:t>
      </w:r>
      <w:r>
        <w:rPr>
          <w:rFonts w:hint="eastAsia" w:ascii="Times New Roman"/>
        </w:rPr>
        <w:t>）、PM</w:t>
      </w:r>
      <w:r>
        <w:rPr>
          <w:rFonts w:hint="eastAsia" w:ascii="Times New Roman"/>
          <w:vertAlign w:val="subscript"/>
        </w:rPr>
        <w:t>2.5</w:t>
      </w:r>
      <w:r>
        <w:rPr>
          <w:rFonts w:hint="eastAsia" w:ascii="Times New Roman"/>
        </w:rPr>
        <w:t>等二次污染物，对环境和人体健康造成严重危害。</w:t>
      </w:r>
    </w:p>
    <w:p w14:paraId="13F5B127">
      <w:pPr>
        <w:pStyle w:val="5"/>
        <w:kinsoku w:val="0"/>
        <w:overflowPunct w:val="0"/>
        <w:spacing w:line="360" w:lineRule="auto"/>
        <w:ind w:right="476" w:firstLine="420" w:firstLineChars="200"/>
        <w:jc w:val="both"/>
        <w:rPr>
          <w:rFonts w:ascii="Times New Roman"/>
        </w:rPr>
      </w:pPr>
      <w:r>
        <w:rPr>
          <w:rFonts w:hint="eastAsia" w:ascii="Times New Roman"/>
        </w:rPr>
        <w:t>为摸清我国电子电路制造业 VOCs 排放基本情况，评估其减排技术潜力，研究 VOCs 源排放控制和管理方法。本项目着手编制了《电子电路制造业挥发性有机物排放清单编制技术指南》，本标准由中国环境科学学会提出并归口，2023年申请立项，由广东工业大学牵头，暨南大学起草。本文件将为我国电子电路制造业挥发性有机物排放清单编制提供基础技术支持。</w:t>
      </w:r>
    </w:p>
    <w:p w14:paraId="5399E6CE">
      <w:pPr>
        <w:pStyle w:val="2"/>
        <w:spacing w:line="360" w:lineRule="auto"/>
        <w:rPr>
          <w:szCs w:val="28"/>
        </w:rPr>
      </w:pPr>
      <w:bookmarkStart w:id="11" w:name="_Toc31986"/>
      <w:bookmarkStart w:id="12" w:name="_Toc170504741"/>
      <w:bookmarkStart w:id="13" w:name="_Toc170504477"/>
      <w:bookmarkStart w:id="14" w:name="_Toc170504517"/>
      <w:r>
        <w:rPr>
          <w:rFonts w:hint="eastAsia"/>
          <w:szCs w:val="28"/>
        </w:rPr>
        <w:t>2 行业现状</w:t>
      </w:r>
      <w:bookmarkEnd w:id="11"/>
      <w:bookmarkEnd w:id="12"/>
      <w:bookmarkEnd w:id="13"/>
      <w:bookmarkEnd w:id="14"/>
    </w:p>
    <w:p w14:paraId="523856AC">
      <w:pPr>
        <w:spacing w:line="360" w:lineRule="auto"/>
        <w:ind w:firstLine="440" w:firstLineChars="200"/>
        <w:rPr>
          <w:rFonts w:ascii="ˎ̥" w:hAnsi="ˎ̥"/>
          <w:color w:val="000000"/>
          <w:szCs w:val="21"/>
        </w:rPr>
      </w:pPr>
      <w:r>
        <w:rPr>
          <w:rFonts w:hint="eastAsia" w:ascii="ˎ̥" w:hAnsi="ˎ̥"/>
          <w:color w:val="000000"/>
          <w:szCs w:val="21"/>
        </w:rPr>
        <w:t>电子电路制造行业</w:t>
      </w:r>
      <w:r>
        <w:rPr>
          <w:rFonts w:hint="eastAsia"/>
        </w:rPr>
        <w:t>，</w:t>
      </w:r>
      <w:bookmarkStart w:id="15" w:name="_Hlk168319658"/>
      <w:r>
        <w:rPr>
          <w:rFonts w:hint="eastAsia"/>
        </w:rPr>
        <w:t>英文名称：</w:t>
      </w:r>
      <w:bookmarkEnd w:id="15"/>
      <w:r>
        <w:t>Electronic Circuits Manufacturing Industry</w:t>
      </w:r>
      <w:bookmarkStart w:id="16" w:name="OLE_LINK22"/>
      <w:r>
        <w:rPr>
          <w:rFonts w:hint="eastAsia" w:ascii="ˎ̥" w:hAnsi="ˎ̥"/>
          <w:color w:val="000000"/>
          <w:szCs w:val="21"/>
        </w:rPr>
        <w:t>电子电路制造行业</w:t>
      </w:r>
      <w:bookmarkEnd w:id="16"/>
      <w:r>
        <w:rPr>
          <w:rFonts w:hint="eastAsia" w:ascii="ˎ̥" w:hAnsi="ˎ̥"/>
          <w:color w:val="000000"/>
          <w:szCs w:val="21"/>
        </w:rPr>
        <w:t>（行业代码 3982）指在绝缘基材上采用印制工艺形成电气电子连接电路，以及附有无源与有源元件的制造，包括印刷电路板及附有元器件构成电子电路功能组合件。</w:t>
      </w:r>
    </w:p>
    <w:p w14:paraId="5661E0F2">
      <w:pPr>
        <w:spacing w:line="360" w:lineRule="auto"/>
        <w:ind w:firstLine="440" w:firstLineChars="200"/>
      </w:pPr>
      <w:r>
        <w:rPr>
          <w:rFonts w:hint="eastAsia"/>
        </w:rPr>
        <w:t>P</w:t>
      </w:r>
      <w:r>
        <w:t>CB</w:t>
      </w:r>
      <w:r>
        <w:rPr>
          <w:rFonts w:hint="eastAsia"/>
        </w:rPr>
        <w:t>是电子制造行业中的核心部分，主要生产各种电子设备的基板，如计算机、通信、航空航天、医疗设备等。PCB行业的特点在于其高精度和高技术要求，要求极高的制造工艺和质量控制能力。同时，PCB行业还具有复杂性，涉及多种材料和工艺的组合，生产流程需要严格控制。</w:t>
      </w:r>
      <w:r>
        <w:t xml:space="preserve"> </w:t>
      </w:r>
      <w:r>
        <w:rPr>
          <w:rFonts w:hint="eastAsia"/>
        </w:rPr>
        <w:t>在PCB行业中，主要的材料包括基板、导电金属层和绝缘层。基板通常由绝缘材料制成，其上可印制导电图形和蚀刻线路，作为导体连接各个元器件。导电金属层则是由铜、银等导电性能良好的金属制成，用于连接各个元器件。绝缘层则通常由聚酰亚胺、聚酯、纸张等材料制成，用于隔绝不同金属层之间的短路现象。PCB行业上游原材料主要包括各类金属、电子元器件、玻璃纤维和塑料等。这些原材料的品质和价格直接影响到PCB产品的质量和成本。在制作电路板时需要工具及材料大致有：双面敷铜板、热转印纸、油性笔、盐酸、双氧水、电钻、烙铁、双绞线、焊锡、松香、溶剂等。其中，锡膏的成份主要是由焊锡粉与助焊剂等化学元素的混合物，助焊剂通常是由松香；树脂；活性剂；抗氧化剂等化学元素构成。稀释剂大致有烃类、酯类、酮类、醇醚类等溶剂。</w:t>
      </w:r>
    </w:p>
    <w:p w14:paraId="7C5CDD36">
      <w:pPr>
        <w:spacing w:line="360" w:lineRule="auto"/>
        <w:ind w:firstLine="440" w:firstLineChars="200"/>
        <w:rPr>
          <w:rFonts w:hint="eastAsia"/>
        </w:rPr>
      </w:pPr>
      <w:r>
        <w:rPr>
          <w:rFonts w:hint="eastAsia"/>
        </w:rPr>
        <w:t>目前，全球PCB行业正处于一个快速发展和转型升级的关键阶段。全球PCB市场主要分为三大类：单/双面板、多层板和HDI板。根据市场规模和增长速度的不同，还可细分为成熟期、成长期和导入期三个阶段。目前，全球PCB市场正处于成长期向成熟期过渡的阶段，市场规模稳步增长。由于印制电路板的制作处于电子设备制造的后半程，因此被称为电子工业的下游产业几乎所有的电子设备都需要印制电路板的支持，印制电路板是全球电子元件产品中市场份额占有率最高的产品，因此印刷电路板在电子工业中已经占据了统治的地位。日本、中国大陆、台湾、西欧和美国为主要的印制电路板制造基地。根据相关数据，全球PCB市场规模预计将在2024年达到500亿美元以上，而中国PCB市场规模在2021年已经超过300亿美元，预计未来几年内仍将保持稳定增长。</w:t>
      </w:r>
    </w:p>
    <w:p w14:paraId="2A8BA773">
      <w:pPr>
        <w:pStyle w:val="2"/>
        <w:spacing w:line="360" w:lineRule="auto"/>
        <w:rPr>
          <w:rFonts w:hint="eastAsia"/>
        </w:rPr>
      </w:pPr>
      <w:bookmarkStart w:id="17" w:name="_Toc168656049"/>
      <w:bookmarkStart w:id="18" w:name="_Toc15590"/>
      <w:bookmarkStart w:id="19" w:name="_Toc170504478"/>
      <w:bookmarkStart w:id="20" w:name="_Toc170504518"/>
      <w:bookmarkStart w:id="21" w:name="_Toc170504742"/>
      <w:r>
        <w:rPr>
          <w:rFonts w:hint="eastAsia"/>
        </w:rPr>
        <w:t>3</w:t>
      </w:r>
      <w:r>
        <w:t xml:space="preserve"> </w:t>
      </w:r>
      <w:r>
        <w:rPr>
          <w:rFonts w:hint="eastAsia"/>
        </w:rPr>
        <w:t>指南编制的意义</w:t>
      </w:r>
      <w:bookmarkEnd w:id="17"/>
      <w:bookmarkEnd w:id="18"/>
      <w:bookmarkEnd w:id="19"/>
      <w:bookmarkEnd w:id="20"/>
      <w:bookmarkEnd w:id="21"/>
    </w:p>
    <w:p w14:paraId="4AA3C171">
      <w:pPr>
        <w:numPr>
          <w:ilvl w:val="0"/>
          <w:numId w:val="2"/>
        </w:numPr>
        <w:spacing w:line="360" w:lineRule="auto"/>
        <w:ind w:firstLine="0"/>
        <w:rPr>
          <w:sz w:val="21"/>
          <w:szCs w:val="21"/>
        </w:rPr>
      </w:pPr>
      <w:bookmarkStart w:id="22" w:name="OLE_LINK6"/>
      <w:r>
        <w:rPr>
          <w:rFonts w:hint="eastAsia"/>
        </w:rPr>
        <w:t>摸清电子电路制造业</w:t>
      </w:r>
      <w:r>
        <w:t xml:space="preserve"> VOCs </w:t>
      </w:r>
      <w:r>
        <w:rPr>
          <w:rFonts w:hint="eastAsia"/>
        </w:rPr>
        <w:t>源排放基本情况</w:t>
      </w:r>
    </w:p>
    <w:bookmarkEnd w:id="22"/>
    <w:p w14:paraId="0740DDA7">
      <w:pPr>
        <w:pStyle w:val="5"/>
        <w:kinsoku w:val="0"/>
        <w:overflowPunct w:val="0"/>
        <w:spacing w:before="140" w:line="360" w:lineRule="auto"/>
        <w:ind w:right="371" w:firstLine="416" w:firstLineChars="200"/>
        <w:rPr>
          <w:spacing w:val="-19"/>
        </w:rPr>
      </w:pPr>
      <w:r>
        <w:rPr>
          <w:rFonts w:hint="eastAsia"/>
          <w:spacing w:val="-1"/>
        </w:rPr>
        <w:t>大气挥发性有机物来源复杂，排放物种多，清单编制的难度较大</w:t>
      </w:r>
      <w:r>
        <w:rPr>
          <w:rFonts w:hint="eastAsia"/>
          <w:spacing w:val="-19"/>
        </w:rPr>
        <w:t xml:space="preserve">。《电子电路制造业挥发性有机污染物排放清单编制技术指南》有助于指导区域环境保护科研或和企业管理部门以统一的方法学和数据计算 </w:t>
      </w:r>
      <w:r>
        <w:rPr>
          <w:spacing w:val="-19"/>
        </w:rPr>
        <w:t xml:space="preserve">VOCs </w:t>
      </w:r>
      <w:r>
        <w:rPr>
          <w:rFonts w:hint="eastAsia"/>
          <w:spacing w:val="-19"/>
        </w:rPr>
        <w:t>排放量。填补我国针对电子电路制造企业的挥发性有机物排放清单编制技术空白，鼓励和引导相关从业人员使用统一规范的方法开展清单编制工作。</w:t>
      </w:r>
    </w:p>
    <w:p w14:paraId="5E83FBB9">
      <w:pPr>
        <w:numPr>
          <w:ilvl w:val="0"/>
          <w:numId w:val="2"/>
        </w:numPr>
        <w:spacing w:line="360" w:lineRule="auto"/>
        <w:ind w:firstLine="0"/>
        <w:rPr>
          <w:sz w:val="21"/>
          <w:szCs w:val="21"/>
        </w:rPr>
      </w:pPr>
      <w:r>
        <w:rPr>
          <w:rFonts w:hint="eastAsia"/>
        </w:rPr>
        <w:t>促进</w:t>
      </w:r>
      <w:r>
        <w:t xml:space="preserve"> VOCs </w:t>
      </w:r>
      <w:r>
        <w:rPr>
          <w:rFonts w:hint="eastAsia"/>
        </w:rPr>
        <w:t>源排放控制和管理</w:t>
      </w:r>
    </w:p>
    <w:p w14:paraId="085CE0EC">
      <w:pPr>
        <w:pStyle w:val="5"/>
        <w:kinsoku w:val="0"/>
        <w:overflowPunct w:val="0"/>
        <w:spacing w:before="140" w:line="360" w:lineRule="auto"/>
        <w:ind w:right="371" w:firstLine="344" w:firstLineChars="200"/>
        <w:jc w:val="both"/>
        <w:rPr>
          <w:spacing w:val="-14"/>
        </w:rPr>
      </w:pPr>
      <w:r>
        <w:rPr>
          <w:rFonts w:hint="eastAsia"/>
          <w:spacing w:val="-19"/>
        </w:rPr>
        <w:t>熟悉</w:t>
      </w:r>
      <w:r>
        <w:rPr>
          <w:spacing w:val="-19"/>
        </w:rPr>
        <w:t xml:space="preserve"> </w:t>
      </w:r>
      <w:r>
        <w:rPr>
          <w:spacing w:val="-1"/>
        </w:rPr>
        <w:t>VOCs</w:t>
      </w:r>
      <w:r>
        <w:rPr>
          <w:spacing w:val="-12"/>
        </w:rPr>
        <w:t xml:space="preserve"> </w:t>
      </w:r>
      <w:r>
        <w:rPr>
          <w:rFonts w:hint="eastAsia"/>
          <w:spacing w:val="-12"/>
        </w:rPr>
        <w:t>排放的部门分布和地域分布是开展</w:t>
      </w:r>
      <w:r>
        <w:rPr>
          <w:spacing w:val="-12"/>
        </w:rPr>
        <w:t xml:space="preserve"> </w:t>
      </w:r>
      <w:r>
        <w:rPr>
          <w:spacing w:val="-1"/>
        </w:rPr>
        <w:t>VOCs</w:t>
      </w:r>
      <w:r>
        <w:rPr>
          <w:spacing w:val="-15"/>
        </w:rPr>
        <w:t xml:space="preserve"> </w:t>
      </w:r>
      <w:r>
        <w:rPr>
          <w:rFonts w:hint="eastAsia"/>
          <w:spacing w:val="-15"/>
        </w:rPr>
        <w:t>源排放控制的前提和重要支撑。本指</w:t>
      </w:r>
      <w:r>
        <w:rPr>
          <w:rFonts w:hint="eastAsia"/>
          <w:spacing w:val="-3"/>
        </w:rPr>
        <w:t>南指导企业在仔细梳理排放源分类的基础上开展大气</w:t>
      </w:r>
      <w:r>
        <w:rPr>
          <w:spacing w:val="-3"/>
        </w:rPr>
        <w:t xml:space="preserve"> </w:t>
      </w:r>
      <w:r>
        <w:t>VOCs</w:t>
      </w:r>
      <w:r>
        <w:rPr>
          <w:spacing w:val="-7"/>
        </w:rPr>
        <w:t xml:space="preserve"> </w:t>
      </w:r>
      <w:r>
        <w:rPr>
          <w:rFonts w:hint="eastAsia"/>
          <w:spacing w:val="-7"/>
        </w:rPr>
        <w:t>源排放清单编制</w:t>
      </w:r>
      <w:r>
        <w:rPr>
          <w:rFonts w:hint="eastAsia"/>
          <w:spacing w:val="-13"/>
        </w:rPr>
        <w:t>工作，有助于加强对</w:t>
      </w:r>
      <w:r>
        <w:rPr>
          <w:spacing w:val="-13"/>
        </w:rPr>
        <w:t xml:space="preserve"> </w:t>
      </w:r>
      <w:r>
        <w:rPr>
          <w:spacing w:val="-1"/>
        </w:rPr>
        <w:t>VOCs</w:t>
      </w:r>
      <w:r>
        <w:rPr>
          <w:spacing w:val="-15"/>
        </w:rPr>
        <w:t xml:space="preserve"> </w:t>
      </w:r>
      <w:r>
        <w:rPr>
          <w:rFonts w:hint="eastAsia"/>
          <w:spacing w:val="-15"/>
        </w:rPr>
        <w:t>源排放特征的认识，促进对</w:t>
      </w:r>
      <w:r>
        <w:rPr>
          <w:spacing w:val="-15"/>
        </w:rPr>
        <w:t xml:space="preserve"> </w:t>
      </w:r>
      <w:r>
        <w:rPr>
          <w:spacing w:val="-1"/>
        </w:rPr>
        <w:t>VOCs</w:t>
      </w:r>
      <w:r>
        <w:rPr>
          <w:spacing w:val="-14"/>
        </w:rPr>
        <w:t xml:space="preserve"> </w:t>
      </w:r>
      <w:r>
        <w:rPr>
          <w:rFonts w:hint="eastAsia"/>
          <w:spacing w:val="-14"/>
        </w:rPr>
        <w:t>源排放的科学、实用、高效管理。</w:t>
      </w:r>
    </w:p>
    <w:p w14:paraId="6E2D62BF">
      <w:pPr>
        <w:numPr>
          <w:ilvl w:val="0"/>
          <w:numId w:val="2"/>
        </w:numPr>
        <w:spacing w:line="360" w:lineRule="auto"/>
        <w:ind w:firstLine="0"/>
        <w:rPr>
          <w:rFonts w:ascii="Times New Roman" w:cs="Times New Roman"/>
          <w:color w:val="000000"/>
          <w:sz w:val="19"/>
          <w:szCs w:val="19"/>
        </w:rPr>
      </w:pPr>
      <w:r>
        <w:rPr>
          <w:rFonts w:hint="eastAsia"/>
        </w:rPr>
        <w:t>协助大气挥发性有机物污染防治工作</w:t>
      </w:r>
    </w:p>
    <w:p w14:paraId="464B7973">
      <w:pPr>
        <w:pStyle w:val="5"/>
        <w:kinsoku w:val="0"/>
        <w:overflowPunct w:val="0"/>
        <w:spacing w:before="139" w:line="360" w:lineRule="auto"/>
        <w:ind w:right="475" w:firstLine="352" w:firstLineChars="200"/>
        <w:jc w:val="both"/>
        <w:rPr>
          <w:rFonts w:hint="eastAsia"/>
          <w:spacing w:val="-5"/>
        </w:rPr>
      </w:pPr>
      <w:r>
        <w:rPr>
          <w:rFonts w:hint="eastAsia"/>
          <w:spacing w:val="-17"/>
        </w:rPr>
        <w:t>建立</w:t>
      </w:r>
      <w:r>
        <w:rPr>
          <w:spacing w:val="-17"/>
        </w:rPr>
        <w:t xml:space="preserve"> </w:t>
      </w:r>
      <w:r>
        <w:rPr>
          <w:spacing w:val="-1"/>
        </w:rPr>
        <w:t>VOCs</w:t>
      </w:r>
      <w:r>
        <w:rPr>
          <w:spacing w:val="-8"/>
        </w:rPr>
        <w:t xml:space="preserve"> </w:t>
      </w:r>
      <w:r>
        <w:rPr>
          <w:rFonts w:hint="eastAsia"/>
          <w:spacing w:val="-8"/>
        </w:rPr>
        <w:t>源排放清单是了解城市或区域臭氧和灰霾的形成及其分布等的基础之一。本</w:t>
      </w:r>
      <w:r>
        <w:rPr>
          <w:rFonts w:hint="eastAsia"/>
          <w:spacing w:val="-5"/>
        </w:rPr>
        <w:t>指南旨在推动我国针对电子电路制造企业的挥发性有机物排放评估技术的发展，为电子电路制造企业的挥发性有机物污染精准防控政策和措施的制定提供基础数据和理论支撑。</w:t>
      </w:r>
      <w:bookmarkStart w:id="23" w:name="_Hlk168406919"/>
      <w:r>
        <w:rPr>
          <w:rFonts w:hint="eastAsia"/>
          <w:spacing w:val="-5"/>
        </w:rPr>
        <w:t>增强大气挥发性有机物污染防治工作</w:t>
      </w:r>
      <w:bookmarkEnd w:id="23"/>
      <w:r>
        <w:rPr>
          <w:rFonts w:hint="eastAsia"/>
          <w:spacing w:val="-5"/>
        </w:rPr>
        <w:t>的科学性、针对性和有效性，加强对我国各电子电路制造业企业工作指导。</w:t>
      </w:r>
    </w:p>
    <w:p w14:paraId="1CBE8176">
      <w:pPr>
        <w:pStyle w:val="2"/>
        <w:spacing w:line="360" w:lineRule="auto"/>
      </w:pPr>
      <w:bookmarkStart w:id="24" w:name="_Toc168656050"/>
      <w:bookmarkStart w:id="25" w:name="_Toc12210"/>
      <w:bookmarkStart w:id="26" w:name="_Toc170504743"/>
      <w:bookmarkStart w:id="27" w:name="_Toc170504479"/>
      <w:bookmarkStart w:id="28" w:name="_Toc170504519"/>
      <w:r>
        <w:rPr>
          <w:rFonts w:hint="eastAsia"/>
        </w:rPr>
        <w:t>4</w:t>
      </w:r>
      <w:r>
        <w:t xml:space="preserve"> </w:t>
      </w:r>
      <w:r>
        <w:rPr>
          <w:rFonts w:hint="eastAsia"/>
        </w:rPr>
        <w:t>指南编制原则与技术依据</w:t>
      </w:r>
      <w:bookmarkEnd w:id="24"/>
      <w:bookmarkEnd w:id="25"/>
      <w:bookmarkEnd w:id="26"/>
      <w:bookmarkEnd w:id="27"/>
      <w:bookmarkEnd w:id="28"/>
    </w:p>
    <w:p w14:paraId="53794B41">
      <w:pPr>
        <w:pStyle w:val="3"/>
        <w:spacing w:line="360" w:lineRule="auto"/>
        <w:ind w:left="0" w:firstLine="0"/>
      </w:pPr>
      <w:bookmarkStart w:id="29" w:name="_Toc170504480"/>
      <w:bookmarkStart w:id="30" w:name="_Toc170504744"/>
      <w:bookmarkStart w:id="31" w:name="_Toc170504520"/>
      <w:bookmarkStart w:id="32" w:name="_Toc168656051"/>
      <w:r>
        <w:rPr>
          <w:rFonts w:hint="eastAsia"/>
        </w:rPr>
        <w:t>4</w:t>
      </w:r>
      <w:r>
        <w:t xml:space="preserve">.1 </w:t>
      </w:r>
      <w:r>
        <w:rPr>
          <w:rFonts w:hint="eastAsia"/>
        </w:rPr>
        <w:t>编制原则</w:t>
      </w:r>
      <w:bookmarkEnd w:id="29"/>
      <w:bookmarkEnd w:id="30"/>
      <w:bookmarkEnd w:id="31"/>
      <w:bookmarkEnd w:id="32"/>
    </w:p>
    <w:p w14:paraId="6F48F013">
      <w:pPr>
        <w:numPr>
          <w:ilvl w:val="0"/>
          <w:numId w:val="3"/>
        </w:numPr>
        <w:spacing w:line="360" w:lineRule="auto"/>
        <w:ind w:firstLine="0"/>
      </w:pPr>
      <w:bookmarkStart w:id="33" w:name="_Hlk168577690"/>
      <w:r>
        <w:rPr>
          <w:rFonts w:hint="eastAsia"/>
        </w:rPr>
        <w:t>科学规范原则</w:t>
      </w:r>
    </w:p>
    <w:bookmarkEnd w:id="33"/>
    <w:p w14:paraId="5C2F0595">
      <w:pPr>
        <w:pStyle w:val="5"/>
        <w:kinsoku w:val="0"/>
        <w:overflowPunct w:val="0"/>
        <w:spacing w:before="41" w:line="360" w:lineRule="auto"/>
        <w:ind w:right="477" w:firstLine="404" w:firstLineChars="200"/>
      </w:pPr>
      <w:r>
        <w:rPr>
          <w:rFonts w:hint="eastAsia"/>
          <w:spacing w:val="-4"/>
        </w:rPr>
        <w:t>在确保大气挥发性有机物源排放清单编制工作的科学性与规范性的同时，应注重挥发性</w:t>
      </w:r>
      <w:r>
        <w:rPr>
          <w:rFonts w:hint="eastAsia"/>
        </w:rPr>
        <w:t>有机物污染来源的诊断，增强为污染防治决策服务的针对性和可操作性。</w:t>
      </w:r>
    </w:p>
    <w:p w14:paraId="12F60890">
      <w:pPr>
        <w:numPr>
          <w:ilvl w:val="0"/>
          <w:numId w:val="3"/>
        </w:numPr>
        <w:spacing w:line="360" w:lineRule="auto"/>
        <w:ind w:firstLine="0"/>
      </w:pPr>
      <w:bookmarkStart w:id="34" w:name="_Hlk168577785"/>
      <w:r>
        <w:rPr>
          <w:rFonts w:hint="eastAsia"/>
        </w:rPr>
        <w:t>分类指导原则</w:t>
      </w:r>
      <w:bookmarkEnd w:id="34"/>
    </w:p>
    <w:p w14:paraId="03B33137">
      <w:pPr>
        <w:pStyle w:val="5"/>
        <w:kinsoku w:val="0"/>
        <w:overflowPunct w:val="0"/>
        <w:spacing w:before="139" w:line="360" w:lineRule="auto"/>
        <w:ind w:right="476" w:firstLine="420" w:firstLineChars="200"/>
        <w:jc w:val="both"/>
      </w:pPr>
      <w:r>
        <w:rPr>
          <w:rFonts w:hint="eastAsia"/>
        </w:rPr>
        <w:t>在规范统一的技术体系下，结合城市工作基础和管理需求以及企业自身实际状况，选择适合的清单编制方法。工作基础较好、技术储备充足、对精细化管理需求高的城市宜采取准确性高实测法等的计算法编制源VOCs排放清单，工作基础较薄弱的城市可采用本指南中系数法等简化方法编制排放清单。各地要结合本地排放源特征、管理需求和工作基础，选择适宜的融合清单编制方法。鼓励有条件的地区选用更能精准量化排放特征的计算方法和本地化参数，提升清单的准确性和时空精度。</w:t>
      </w:r>
    </w:p>
    <w:p w14:paraId="0C73C79A">
      <w:pPr>
        <w:numPr>
          <w:ilvl w:val="0"/>
          <w:numId w:val="3"/>
        </w:numPr>
        <w:spacing w:line="360" w:lineRule="auto"/>
        <w:ind w:firstLine="0"/>
      </w:pPr>
      <w:bookmarkStart w:id="35" w:name="_Hlk168577822"/>
      <w:r>
        <w:rPr>
          <w:rFonts w:hint="eastAsia"/>
        </w:rPr>
        <w:t>因地制宜与循序渐进原则</w:t>
      </w:r>
    </w:p>
    <w:bookmarkEnd w:id="35"/>
    <w:p w14:paraId="75931A79">
      <w:pPr>
        <w:pStyle w:val="5"/>
        <w:kinsoku w:val="0"/>
        <w:overflowPunct w:val="0"/>
        <w:spacing w:before="139" w:line="360" w:lineRule="auto"/>
        <w:ind w:right="382" w:firstLine="416" w:firstLineChars="200"/>
      </w:pPr>
      <w:bookmarkStart w:id="36" w:name="OLE_LINK3"/>
      <w:r>
        <w:rPr>
          <w:rFonts w:hint="eastAsia"/>
          <w:spacing w:val="-1"/>
        </w:rPr>
        <w:t>各地根据自身污染特征、基本条件和污染防治目标，结合社会发展水平与技术可行性，</w:t>
      </w:r>
      <w:r>
        <w:rPr>
          <w:spacing w:val="-102"/>
        </w:rPr>
        <w:t xml:space="preserve"> </w:t>
      </w:r>
      <w:r>
        <w:rPr>
          <w:rFonts w:hint="eastAsia"/>
          <w:spacing w:val="-5"/>
        </w:rPr>
        <w:t>科学选择适合当地实际的源排放清单编制技术方法；随着源解析技术进步与环境信息资料的</w:t>
      </w:r>
      <w:r>
        <w:rPr>
          <w:rFonts w:hint="eastAsia"/>
        </w:rPr>
        <w:t>完备，不断完善和更新源清单结果</w:t>
      </w:r>
      <w:bookmarkEnd w:id="36"/>
      <w:r>
        <w:rPr>
          <w:rFonts w:hint="eastAsia"/>
        </w:rPr>
        <w:t>。</w:t>
      </w:r>
      <w:bookmarkStart w:id="37" w:name="_Toc170504745"/>
      <w:bookmarkStart w:id="38" w:name="_Toc170504521"/>
      <w:bookmarkStart w:id="39" w:name="_Toc170504481"/>
    </w:p>
    <w:p w14:paraId="0A0894A0">
      <w:pPr>
        <w:pStyle w:val="3"/>
        <w:spacing w:line="360" w:lineRule="auto"/>
        <w:ind w:left="0" w:firstLine="0"/>
        <w:rPr>
          <w:rFonts w:hint="eastAsia"/>
        </w:rPr>
      </w:pPr>
      <w:r>
        <w:rPr>
          <w:rFonts w:hint="eastAsia"/>
        </w:rPr>
        <w:t>4</w:t>
      </w:r>
      <w:r>
        <w:t xml:space="preserve">.2 </w:t>
      </w:r>
      <w:r>
        <w:rPr>
          <w:rFonts w:hint="eastAsia"/>
        </w:rPr>
        <w:t>技术依据</w:t>
      </w:r>
      <w:bookmarkEnd w:id="37"/>
      <w:bookmarkEnd w:id="38"/>
      <w:bookmarkEnd w:id="39"/>
    </w:p>
    <w:p w14:paraId="063A823D">
      <w:pPr>
        <w:pStyle w:val="5"/>
        <w:kinsoku w:val="0"/>
        <w:overflowPunct w:val="0"/>
        <w:spacing w:line="360" w:lineRule="auto"/>
        <w:ind w:firstLine="420" w:firstLineChars="200"/>
      </w:pPr>
      <w:r>
        <w:rPr>
          <w:rFonts w:hint="eastAsia"/>
        </w:rPr>
        <w:t>本指南编制过程中，参考了如下法律、法规、相关政策、标准等文件，具体包括：</w:t>
      </w:r>
    </w:p>
    <w:p w14:paraId="0DA32449">
      <w:pPr>
        <w:pStyle w:val="5"/>
        <w:kinsoku w:val="0"/>
        <w:overflowPunct w:val="0"/>
        <w:spacing w:line="360" w:lineRule="auto"/>
        <w:ind w:right="475" w:firstLine="408" w:firstLineChars="200"/>
        <w:rPr>
          <w:spacing w:val="-3"/>
        </w:rPr>
      </w:pPr>
      <w:r>
        <w:rPr>
          <w:rFonts w:hint="eastAsia"/>
          <w:spacing w:val="-3"/>
        </w:rPr>
        <w:t>《</w:t>
      </w:r>
      <w:bookmarkStart w:id="40" w:name="_Hlk168325603"/>
      <w:r>
        <w:rPr>
          <w:rFonts w:hint="eastAsia"/>
          <w:spacing w:val="-3"/>
        </w:rPr>
        <w:t>环境空气质量标准</w:t>
      </w:r>
      <w:bookmarkEnd w:id="40"/>
      <w:r>
        <w:rPr>
          <w:rFonts w:hint="eastAsia"/>
          <w:spacing w:val="-3"/>
        </w:rPr>
        <w:t>》（</w:t>
      </w:r>
      <w:bookmarkStart w:id="41" w:name="_Hlk168325568"/>
      <w:r>
        <w:rPr>
          <w:rFonts w:hint="eastAsia"/>
          <w:spacing w:val="-3"/>
        </w:rPr>
        <w:t>GB 3095—2012</w:t>
      </w:r>
      <w:bookmarkEnd w:id="41"/>
      <w:r>
        <w:rPr>
          <w:rFonts w:hint="eastAsia"/>
          <w:spacing w:val="-3"/>
        </w:rPr>
        <w:t>）；</w:t>
      </w:r>
    </w:p>
    <w:p w14:paraId="46B3CFB3">
      <w:pPr>
        <w:pStyle w:val="5"/>
        <w:kinsoku w:val="0"/>
        <w:overflowPunct w:val="0"/>
        <w:spacing w:line="360" w:lineRule="auto"/>
        <w:ind w:right="475" w:firstLine="408" w:firstLineChars="200"/>
        <w:rPr>
          <w:spacing w:val="-3"/>
        </w:rPr>
      </w:pPr>
      <w:r>
        <w:rPr>
          <w:rFonts w:hint="eastAsia"/>
          <w:spacing w:val="-3"/>
        </w:rPr>
        <w:t>《</w:t>
      </w:r>
      <w:bookmarkStart w:id="42" w:name="_Hlk168325629"/>
      <w:r>
        <w:rPr>
          <w:rFonts w:hint="eastAsia"/>
          <w:spacing w:val="-3"/>
        </w:rPr>
        <w:t>大气污染物综合排放标准</w:t>
      </w:r>
      <w:bookmarkEnd w:id="42"/>
      <w:r>
        <w:rPr>
          <w:rFonts w:hint="eastAsia"/>
          <w:spacing w:val="-3"/>
        </w:rPr>
        <w:t>》（</w:t>
      </w:r>
      <w:bookmarkStart w:id="43" w:name="_Hlk168325615"/>
      <w:r>
        <w:rPr>
          <w:rFonts w:hint="eastAsia"/>
          <w:spacing w:val="-3"/>
        </w:rPr>
        <w:t>GB 16297—1996</w:t>
      </w:r>
      <w:bookmarkEnd w:id="43"/>
      <w:r>
        <w:rPr>
          <w:rFonts w:hint="eastAsia"/>
          <w:spacing w:val="-3"/>
        </w:rPr>
        <w:t>）；</w:t>
      </w:r>
    </w:p>
    <w:p w14:paraId="7B33EE66">
      <w:pPr>
        <w:pStyle w:val="5"/>
        <w:kinsoku w:val="0"/>
        <w:overflowPunct w:val="0"/>
        <w:spacing w:line="360" w:lineRule="auto"/>
        <w:ind w:right="475" w:firstLine="408" w:firstLineChars="200"/>
        <w:rPr>
          <w:spacing w:val="-3"/>
        </w:rPr>
      </w:pPr>
      <w:r>
        <w:rPr>
          <w:rFonts w:hint="eastAsia"/>
          <w:spacing w:val="-3"/>
        </w:rPr>
        <w:t>《挥发性有机物无组织排放控制标准》（GB 37822—2019）</w:t>
      </w:r>
    </w:p>
    <w:p w14:paraId="124DC03C">
      <w:pPr>
        <w:pStyle w:val="5"/>
        <w:kinsoku w:val="0"/>
        <w:overflowPunct w:val="0"/>
        <w:spacing w:line="360" w:lineRule="auto"/>
        <w:ind w:right="475" w:firstLine="408" w:firstLineChars="200"/>
        <w:rPr>
          <w:spacing w:val="-3"/>
        </w:rPr>
      </w:pPr>
      <w:r>
        <w:rPr>
          <w:rFonts w:hint="eastAsia"/>
          <w:spacing w:val="-3"/>
        </w:rPr>
        <w:t>《固定污染源废气 挥发性有机物的采样 气袋法》 （HJ 732-2014）</w:t>
      </w:r>
    </w:p>
    <w:p w14:paraId="4BD476F7">
      <w:pPr>
        <w:pStyle w:val="5"/>
        <w:kinsoku w:val="0"/>
        <w:overflowPunct w:val="0"/>
        <w:spacing w:line="360" w:lineRule="auto"/>
        <w:ind w:right="475" w:firstLine="408" w:firstLineChars="200"/>
        <w:rPr>
          <w:spacing w:val="-3"/>
        </w:rPr>
      </w:pPr>
      <w:r>
        <w:rPr>
          <w:rFonts w:hint="eastAsia"/>
          <w:spacing w:val="-3"/>
        </w:rPr>
        <w:t>《泄漏和敞开液面排放的挥发性有机物检测技术导则》（HJ 733-2014）</w:t>
      </w:r>
    </w:p>
    <w:p w14:paraId="30E4D246">
      <w:pPr>
        <w:pStyle w:val="5"/>
        <w:kinsoku w:val="0"/>
        <w:overflowPunct w:val="0"/>
        <w:spacing w:line="360" w:lineRule="auto"/>
        <w:ind w:right="475" w:firstLine="408" w:firstLineChars="200"/>
        <w:rPr>
          <w:spacing w:val="-3"/>
        </w:rPr>
      </w:pPr>
      <w:r>
        <w:rPr>
          <w:rFonts w:hint="eastAsia"/>
          <w:spacing w:val="-3"/>
        </w:rPr>
        <w:t>《固定污染源废气 挥发性有机物的测定 固相吸附-热脱附／气相色谱-质谱法》（HJ 734—2014）</w:t>
      </w:r>
    </w:p>
    <w:p w14:paraId="55639A86">
      <w:pPr>
        <w:pStyle w:val="5"/>
        <w:kinsoku w:val="0"/>
        <w:overflowPunct w:val="0"/>
        <w:spacing w:line="360" w:lineRule="auto"/>
        <w:ind w:right="475" w:firstLine="408" w:firstLineChars="200"/>
        <w:rPr>
          <w:spacing w:val="-3"/>
        </w:rPr>
      </w:pPr>
      <w:r>
        <w:rPr>
          <w:rFonts w:hint="eastAsia"/>
          <w:spacing w:val="-3"/>
        </w:rPr>
        <w:t>《环境空气挥发性有机物的测定 吸附管采样-热脱附/气相色谱-质谱法》（HJ 644-2013）</w:t>
      </w:r>
    </w:p>
    <w:p w14:paraId="692BF160">
      <w:pPr>
        <w:pStyle w:val="5"/>
        <w:kinsoku w:val="0"/>
        <w:overflowPunct w:val="0"/>
        <w:spacing w:line="360" w:lineRule="auto"/>
        <w:ind w:right="475" w:firstLine="408" w:firstLineChars="200"/>
        <w:rPr>
          <w:spacing w:val="-3"/>
        </w:rPr>
      </w:pPr>
      <w:r>
        <w:rPr>
          <w:rFonts w:hint="eastAsia"/>
          <w:spacing w:val="-3"/>
        </w:rPr>
        <w:t>《电子工业大气污染物排放标准 电子终端产品（征求意见稿）》</w:t>
      </w:r>
    </w:p>
    <w:p w14:paraId="55D7E2E4">
      <w:pPr>
        <w:pStyle w:val="5"/>
        <w:kinsoku w:val="0"/>
        <w:overflowPunct w:val="0"/>
        <w:spacing w:line="360" w:lineRule="auto"/>
        <w:ind w:right="475" w:firstLine="408" w:firstLineChars="200"/>
        <w:rPr>
          <w:spacing w:val="-3"/>
        </w:rPr>
      </w:pPr>
      <w:r>
        <w:rPr>
          <w:rFonts w:hint="eastAsia"/>
          <w:spacing w:val="-3"/>
        </w:rPr>
        <w:t>《电子工业污染物排放标准 平板显示器、电真空及光电子器件（征求意见稿）》</w:t>
      </w:r>
    </w:p>
    <w:p w14:paraId="562817B3">
      <w:pPr>
        <w:pStyle w:val="5"/>
        <w:kinsoku w:val="0"/>
        <w:overflowPunct w:val="0"/>
        <w:spacing w:line="360" w:lineRule="auto"/>
        <w:ind w:right="475" w:firstLine="408" w:firstLineChars="200"/>
        <w:rPr>
          <w:spacing w:val="-3"/>
        </w:rPr>
      </w:pPr>
      <w:r>
        <w:rPr>
          <w:rFonts w:hint="eastAsia"/>
          <w:spacing w:val="-3"/>
        </w:rPr>
        <w:t>《电子工业污染物排放标准 半导体器件（征求意见稿）》</w:t>
      </w:r>
    </w:p>
    <w:p w14:paraId="5B2203D2">
      <w:pPr>
        <w:pStyle w:val="5"/>
        <w:kinsoku w:val="0"/>
        <w:overflowPunct w:val="0"/>
        <w:spacing w:line="360" w:lineRule="auto"/>
        <w:ind w:right="475" w:firstLine="408" w:firstLineChars="200"/>
        <w:rPr>
          <w:spacing w:val="-3"/>
        </w:rPr>
      </w:pPr>
      <w:r>
        <w:rPr>
          <w:rFonts w:hint="eastAsia"/>
          <w:spacing w:val="-3"/>
        </w:rPr>
        <w:t>《电子工业污染物排放标准 电子元件（征求意见稿）》</w:t>
      </w:r>
    </w:p>
    <w:p w14:paraId="42F9684E">
      <w:pPr>
        <w:pStyle w:val="5"/>
        <w:kinsoku w:val="0"/>
        <w:overflowPunct w:val="0"/>
        <w:spacing w:line="360" w:lineRule="auto"/>
        <w:ind w:right="475" w:firstLine="408" w:firstLineChars="200"/>
        <w:rPr>
          <w:spacing w:val="-3"/>
        </w:rPr>
      </w:pPr>
      <w:r>
        <w:rPr>
          <w:rFonts w:hint="eastAsia"/>
          <w:spacing w:val="-3"/>
        </w:rPr>
        <w:t>《大气挥发性有机物源排放清单编制技术指南（试行）》</w:t>
      </w:r>
    </w:p>
    <w:p w14:paraId="75234A14">
      <w:pPr>
        <w:pStyle w:val="5"/>
        <w:kinsoku w:val="0"/>
        <w:overflowPunct w:val="0"/>
        <w:spacing w:line="360" w:lineRule="auto"/>
        <w:ind w:right="475" w:firstLine="408" w:firstLineChars="200"/>
        <w:rPr>
          <w:spacing w:val="-3"/>
        </w:rPr>
      </w:pPr>
      <w:r>
        <w:rPr>
          <w:rFonts w:hint="eastAsia"/>
          <w:spacing w:val="-3"/>
        </w:rPr>
        <w:t>《石化行业大气污染物排放清单编制技术指南 (试行)征求意见稿》</w:t>
      </w:r>
    </w:p>
    <w:p w14:paraId="65DDE7FC">
      <w:pPr>
        <w:pStyle w:val="5"/>
        <w:kinsoku w:val="0"/>
        <w:overflowPunct w:val="0"/>
        <w:spacing w:line="360" w:lineRule="auto"/>
        <w:ind w:right="475" w:firstLine="408" w:firstLineChars="200"/>
        <w:rPr>
          <w:spacing w:val="-3"/>
        </w:rPr>
      </w:pPr>
      <w:r>
        <w:rPr>
          <w:rFonts w:hint="eastAsia"/>
          <w:spacing w:val="-3"/>
        </w:rPr>
        <w:t>《生物质燃烧源大气污染物排放清单编制技术指南 (试行)征求意见稿》</w:t>
      </w:r>
    </w:p>
    <w:p w14:paraId="0D199F2B">
      <w:pPr>
        <w:pStyle w:val="5"/>
        <w:kinsoku w:val="0"/>
        <w:overflowPunct w:val="0"/>
        <w:spacing w:line="360" w:lineRule="auto"/>
        <w:ind w:right="475" w:firstLine="408" w:firstLineChars="200"/>
        <w:rPr>
          <w:spacing w:val="-3"/>
        </w:rPr>
      </w:pPr>
      <w:r>
        <w:rPr>
          <w:rFonts w:hint="eastAsia"/>
          <w:spacing w:val="-3"/>
        </w:rPr>
        <w:t>《广东省涂料油墨制造行业VOCs排放量计算方法（试行）》</w:t>
      </w:r>
    </w:p>
    <w:p w14:paraId="2AFBE853">
      <w:pPr>
        <w:pStyle w:val="5"/>
        <w:kinsoku w:val="0"/>
        <w:overflowPunct w:val="0"/>
        <w:spacing w:line="360" w:lineRule="auto"/>
        <w:ind w:right="475" w:firstLine="408" w:firstLineChars="200"/>
        <w:rPr>
          <w:spacing w:val="-3"/>
        </w:rPr>
      </w:pPr>
      <w:r>
        <w:rPr>
          <w:rFonts w:hint="eastAsia"/>
          <w:spacing w:val="-3"/>
        </w:rPr>
        <w:t>《广东省电子工业挥发性有机物排放标准（征求意见稿）》</w:t>
      </w:r>
    </w:p>
    <w:p w14:paraId="1D0C785E">
      <w:pPr>
        <w:pStyle w:val="5"/>
        <w:kinsoku w:val="0"/>
        <w:overflowPunct w:val="0"/>
        <w:spacing w:line="360" w:lineRule="auto"/>
        <w:ind w:right="475" w:firstLine="408" w:firstLineChars="200"/>
        <w:rPr>
          <w:spacing w:val="-3"/>
        </w:rPr>
      </w:pPr>
      <w:r>
        <w:rPr>
          <w:rFonts w:hint="eastAsia"/>
          <w:spacing w:val="-3"/>
        </w:rPr>
        <w:t>《广东省电子设备制造业挥发性有机化合物排放标准（征求意见稿）》</w:t>
      </w:r>
    </w:p>
    <w:p w14:paraId="02727B2E">
      <w:pPr>
        <w:pStyle w:val="5"/>
        <w:kinsoku w:val="0"/>
        <w:overflowPunct w:val="0"/>
        <w:spacing w:line="360" w:lineRule="auto"/>
        <w:ind w:right="475" w:firstLine="408" w:firstLineChars="200"/>
        <w:rPr>
          <w:spacing w:val="-3"/>
        </w:rPr>
      </w:pPr>
      <w:r>
        <w:rPr>
          <w:rFonts w:hint="eastAsia"/>
          <w:spacing w:val="-3"/>
        </w:rPr>
        <w:t>《广东省印刷行业VOCs排放量计算方法（试行）》</w:t>
      </w:r>
    </w:p>
    <w:p w14:paraId="7CEC3CB1">
      <w:pPr>
        <w:pStyle w:val="5"/>
        <w:kinsoku w:val="0"/>
        <w:overflowPunct w:val="0"/>
        <w:spacing w:line="360" w:lineRule="auto"/>
        <w:ind w:right="475" w:firstLine="408" w:firstLineChars="200"/>
        <w:rPr>
          <w:spacing w:val="-3"/>
        </w:rPr>
      </w:pPr>
      <w:r>
        <w:rPr>
          <w:rFonts w:hint="eastAsia"/>
          <w:spacing w:val="-3"/>
        </w:rPr>
        <w:t>《广东省涂料油墨制造行业 VOCs 排放量计算方法（试行）》</w:t>
      </w:r>
    </w:p>
    <w:p w14:paraId="1A350FF3">
      <w:pPr>
        <w:pStyle w:val="2"/>
        <w:spacing w:line="360" w:lineRule="auto"/>
        <w:rPr>
          <w:rFonts w:hint="eastAsia"/>
        </w:rPr>
      </w:pPr>
      <w:bookmarkStart w:id="44" w:name="_Toc170504522"/>
      <w:bookmarkStart w:id="45" w:name="_Toc170504746"/>
      <w:bookmarkStart w:id="46" w:name="_Toc24392"/>
      <w:bookmarkStart w:id="47" w:name="_Toc170504482"/>
      <w:r>
        <w:rPr>
          <w:rFonts w:hint="eastAsia"/>
        </w:rPr>
        <w:t>5</w:t>
      </w:r>
      <w:r>
        <w:t xml:space="preserve"> </w:t>
      </w:r>
      <w:r>
        <w:rPr>
          <w:rFonts w:hint="eastAsia"/>
        </w:rPr>
        <w:t>主要编制工作过程</w:t>
      </w:r>
      <w:bookmarkEnd w:id="44"/>
      <w:bookmarkEnd w:id="45"/>
      <w:bookmarkEnd w:id="46"/>
      <w:bookmarkEnd w:id="47"/>
    </w:p>
    <w:p w14:paraId="00B19B52">
      <w:pPr>
        <w:pStyle w:val="5"/>
        <w:kinsoku w:val="0"/>
        <w:overflowPunct w:val="0"/>
        <w:spacing w:line="360" w:lineRule="auto"/>
        <w:ind w:right="475" w:firstLine="408" w:firstLineChars="200"/>
      </w:pPr>
      <w:r>
        <w:rPr>
          <w:spacing w:val="-3"/>
        </w:rPr>
        <w:t>1</w:t>
      </w:r>
      <w:r>
        <w:rPr>
          <w:rFonts w:hint="eastAsia"/>
          <w:spacing w:val="-3"/>
        </w:rPr>
        <w:t>）</w:t>
      </w:r>
      <w:r>
        <w:rPr>
          <w:spacing w:val="-3"/>
        </w:rPr>
        <w:t>2023</w:t>
      </w:r>
      <w:r>
        <w:rPr>
          <w:spacing w:val="-37"/>
        </w:rPr>
        <w:t xml:space="preserve"> </w:t>
      </w:r>
      <w:r>
        <w:rPr>
          <w:rFonts w:hint="eastAsia"/>
          <w:spacing w:val="-37"/>
        </w:rPr>
        <w:t>年</w:t>
      </w:r>
      <w:r>
        <w:rPr>
          <w:spacing w:val="-37"/>
        </w:rPr>
        <w:t xml:space="preserve"> </w:t>
      </w:r>
      <w:r>
        <w:rPr>
          <w:spacing w:val="-3"/>
        </w:rPr>
        <w:t>1</w:t>
      </w:r>
      <w:r>
        <w:rPr>
          <w:rFonts w:hint="eastAsia"/>
          <w:spacing w:val="-11"/>
        </w:rPr>
        <w:t>月成立编制组：依托暨南大学</w:t>
      </w:r>
      <w:r>
        <w:rPr>
          <w:rFonts w:hint="eastAsia"/>
        </w:rPr>
        <w:t>、广东工业大学，广东环境保护工程职业学院等科研团队，成立了《电子电路制造业挥发性有机污染物企业级排放清单编制技术指南》编制组。</w:t>
      </w:r>
    </w:p>
    <w:p w14:paraId="38A05B8D">
      <w:pPr>
        <w:pStyle w:val="5"/>
        <w:kinsoku w:val="0"/>
        <w:overflowPunct w:val="0"/>
        <w:spacing w:line="360" w:lineRule="auto"/>
        <w:ind w:right="476" w:firstLine="412" w:firstLineChars="200"/>
      </w:pPr>
      <w:r>
        <w:rPr>
          <w:spacing w:val="-2"/>
        </w:rPr>
        <w:t>2</w:t>
      </w:r>
      <w:r>
        <w:rPr>
          <w:rFonts w:hint="eastAsia"/>
          <w:spacing w:val="-2"/>
        </w:rPr>
        <w:t>）</w:t>
      </w:r>
      <w:r>
        <w:rPr>
          <w:spacing w:val="-2"/>
        </w:rPr>
        <w:t>2023</w:t>
      </w:r>
      <w:r>
        <w:rPr>
          <w:spacing w:val="-37"/>
        </w:rPr>
        <w:t xml:space="preserve"> </w:t>
      </w:r>
      <w:r>
        <w:rPr>
          <w:rFonts w:hint="eastAsia"/>
          <w:spacing w:val="-37"/>
        </w:rPr>
        <w:t>年</w:t>
      </w:r>
      <w:r>
        <w:rPr>
          <w:spacing w:val="-37"/>
        </w:rPr>
        <w:t xml:space="preserve"> </w:t>
      </w:r>
      <w:r>
        <w:rPr>
          <w:spacing w:val="-2"/>
        </w:rPr>
        <w:t>4</w:t>
      </w:r>
      <w:r>
        <w:rPr>
          <w:rFonts w:hint="eastAsia"/>
          <w:spacing w:val="-10"/>
        </w:rPr>
        <w:t>月召开大纲讨论会：</w:t>
      </w:r>
      <w:r>
        <w:rPr>
          <w:rFonts w:hint="eastAsia"/>
        </w:rPr>
        <w:t>收集整理了国内医药制造行业的生产工艺、挥发性有机物的产排特征和处理工艺等技术研究成果及规范标准资料，明确项目主持单位及各协作单位的具体分工，并组织优势力量和团队学术骨干制定了详细的工作计划，编写了标准大纲，启动标准的编制工作。</w:t>
      </w:r>
    </w:p>
    <w:p w14:paraId="7AE503FE">
      <w:pPr>
        <w:pStyle w:val="5"/>
        <w:kinsoku w:val="0"/>
        <w:overflowPunct w:val="0"/>
        <w:spacing w:line="360" w:lineRule="auto"/>
        <w:ind w:right="476" w:firstLine="412" w:firstLineChars="200"/>
        <w:rPr>
          <w:spacing w:val="-2"/>
        </w:rPr>
      </w:pPr>
      <w:r>
        <w:rPr>
          <w:spacing w:val="-2"/>
        </w:rPr>
        <w:t>3</w:t>
      </w:r>
      <w:r>
        <w:rPr>
          <w:rFonts w:hint="eastAsia"/>
          <w:spacing w:val="-2"/>
        </w:rPr>
        <w:t>）</w:t>
      </w:r>
      <w:r>
        <w:rPr>
          <w:spacing w:val="-2"/>
        </w:rPr>
        <w:t xml:space="preserve">2023 </w:t>
      </w:r>
      <w:r>
        <w:rPr>
          <w:rFonts w:hint="eastAsia"/>
          <w:spacing w:val="-2"/>
        </w:rPr>
        <w:t>年</w:t>
      </w:r>
      <w:r>
        <w:rPr>
          <w:spacing w:val="-2"/>
        </w:rPr>
        <w:t xml:space="preserve"> 9</w:t>
      </w:r>
      <w:r>
        <w:rPr>
          <w:rFonts w:hint="eastAsia"/>
          <w:spacing w:val="-2"/>
        </w:rPr>
        <w:t>月，经过编制组内部多次研讨，编写标准《电子电路制造业挥发性有机物排放清单编制技术指南》初稿。</w:t>
      </w:r>
    </w:p>
    <w:p w14:paraId="3ED70F6D">
      <w:pPr>
        <w:pStyle w:val="5"/>
        <w:kinsoku w:val="0"/>
        <w:overflowPunct w:val="0"/>
        <w:spacing w:line="360" w:lineRule="auto"/>
        <w:ind w:right="476" w:firstLine="412" w:firstLineChars="200"/>
        <w:rPr>
          <w:spacing w:val="-2"/>
        </w:rPr>
      </w:pPr>
      <w:r>
        <w:rPr>
          <w:spacing w:val="-2"/>
        </w:rPr>
        <w:t>4</w:t>
      </w:r>
      <w:r>
        <w:rPr>
          <w:rFonts w:hint="eastAsia"/>
          <w:spacing w:val="-2"/>
        </w:rPr>
        <w:t>）2023年11月：编制组向中国环境科学学会提交制修订立项申请书，并召开立项论证会，根据专家组意见对标准内容进行补充及修改。</w:t>
      </w:r>
    </w:p>
    <w:p w14:paraId="14A89681">
      <w:pPr>
        <w:pStyle w:val="2"/>
        <w:spacing w:line="360" w:lineRule="auto"/>
        <w:rPr>
          <w:rFonts w:hint="eastAsia"/>
        </w:rPr>
      </w:pPr>
      <w:bookmarkStart w:id="48" w:name="_Toc170504523"/>
      <w:bookmarkStart w:id="49" w:name="_Toc170504747"/>
      <w:bookmarkStart w:id="50" w:name="_Toc6344"/>
      <w:bookmarkStart w:id="51" w:name="_Toc170504483"/>
      <w:r>
        <w:rPr>
          <w:rFonts w:hint="eastAsia"/>
        </w:rPr>
        <w:t>6</w:t>
      </w:r>
      <w:r>
        <w:t xml:space="preserve"> </w:t>
      </w:r>
      <w:r>
        <w:rPr>
          <w:rFonts w:hint="eastAsia"/>
        </w:rPr>
        <w:t>指南主要技术内容及说明</w:t>
      </w:r>
      <w:bookmarkEnd w:id="48"/>
      <w:bookmarkEnd w:id="49"/>
      <w:bookmarkEnd w:id="50"/>
      <w:bookmarkEnd w:id="51"/>
    </w:p>
    <w:p w14:paraId="1F7CE2B9">
      <w:pPr>
        <w:spacing w:line="360" w:lineRule="auto"/>
        <w:ind w:firstLine="440" w:firstLineChars="200"/>
        <w:rPr>
          <w:rFonts w:hAnsi="宋体"/>
          <w:color w:val="000000"/>
        </w:rPr>
      </w:pPr>
      <w:r>
        <w:rPr>
          <w:rFonts w:hint="eastAsia" w:hAnsi="宋体"/>
          <w:color w:val="000000"/>
        </w:rPr>
        <w:t>本指南对从事电子电路制造各企业的大气挥发性有机物清单编制工作提出了规范的技术流程及方法，各企业大气挥发性有机污染物排放清单编制的具体流程如下：</w:t>
      </w:r>
    </w:p>
    <w:p w14:paraId="155AFE10">
      <w:pPr>
        <w:spacing w:line="360" w:lineRule="auto"/>
        <w:ind w:firstLine="440" w:firstLineChars="200"/>
        <w:rPr>
          <w:rFonts w:hAnsi="宋体"/>
          <w:color w:val="000000"/>
        </w:rPr>
      </w:pPr>
      <w:r>
        <w:rPr>
          <w:rFonts w:hint="eastAsia" w:hAnsi="宋体"/>
          <w:color w:val="000000"/>
        </w:rPr>
        <w:t>1. 组织和筹划；</w:t>
      </w:r>
    </w:p>
    <w:p w14:paraId="24AE241D">
      <w:pPr>
        <w:spacing w:line="360" w:lineRule="auto"/>
        <w:ind w:firstLine="440" w:firstLineChars="200"/>
        <w:rPr>
          <w:rFonts w:hAnsi="宋体"/>
          <w:color w:val="000000"/>
        </w:rPr>
      </w:pPr>
      <w:r>
        <w:rPr>
          <w:rFonts w:hint="eastAsia" w:hAnsi="宋体"/>
          <w:color w:val="000000"/>
        </w:rPr>
        <w:t>2. 前期信息收集；</w:t>
      </w:r>
    </w:p>
    <w:p w14:paraId="329F75E4">
      <w:pPr>
        <w:spacing w:line="360" w:lineRule="auto"/>
        <w:ind w:firstLine="440" w:firstLineChars="200"/>
        <w:rPr>
          <w:rFonts w:hAnsi="宋体"/>
          <w:color w:val="000000"/>
        </w:rPr>
      </w:pPr>
      <w:r>
        <w:rPr>
          <w:rFonts w:hint="eastAsia" w:hAnsi="宋体"/>
          <w:color w:val="000000"/>
        </w:rPr>
        <w:t>3. 数据核算；</w:t>
      </w:r>
    </w:p>
    <w:p w14:paraId="15129765">
      <w:pPr>
        <w:spacing w:line="360" w:lineRule="auto"/>
        <w:ind w:firstLine="440" w:firstLineChars="200"/>
        <w:rPr>
          <w:rFonts w:hAnsi="宋体"/>
          <w:color w:val="000000"/>
        </w:rPr>
      </w:pPr>
      <w:r>
        <w:rPr>
          <w:rFonts w:hint="eastAsia" w:hAnsi="宋体"/>
          <w:color w:val="000000"/>
        </w:rPr>
        <w:t xml:space="preserve">4. 清单编制和内部审核。 </w:t>
      </w:r>
    </w:p>
    <w:p w14:paraId="0546BC69">
      <w:pPr>
        <w:spacing w:line="360" w:lineRule="auto"/>
        <w:ind w:firstLine="440" w:firstLineChars="200"/>
      </w:pPr>
      <w:r>
        <w:rPr>
          <w:rFonts w:hint="eastAsia" w:hAnsi="宋体"/>
          <w:color w:val="000000"/>
        </w:rPr>
        <w:t>另外，本指南对还对从事电子电路制造各企业的大气挥发性有机物清单的各章节设置、清单编制过程中各环节的质量控制及清单编制完成后的验证、归类、存档和报告进行了规范。</w:t>
      </w:r>
    </w:p>
    <w:p w14:paraId="05B6BCE6">
      <w:pPr>
        <w:pStyle w:val="3"/>
        <w:spacing w:line="360" w:lineRule="auto"/>
        <w:ind w:left="0" w:firstLine="0"/>
      </w:pPr>
      <w:bookmarkStart w:id="52" w:name="_Toc170504484"/>
      <w:bookmarkStart w:id="53" w:name="_Toc170504748"/>
      <w:bookmarkStart w:id="54" w:name="_Toc170504524"/>
      <w:r>
        <w:rPr>
          <w:rFonts w:hint="eastAsia"/>
        </w:rPr>
        <w:t>6</w:t>
      </w:r>
      <w:r>
        <w:t xml:space="preserve">.1 </w:t>
      </w:r>
      <w:r>
        <w:rPr>
          <w:rFonts w:hint="eastAsia"/>
        </w:rPr>
        <w:t>本指南适用范围</w:t>
      </w:r>
      <w:bookmarkEnd w:id="52"/>
      <w:bookmarkEnd w:id="53"/>
      <w:bookmarkEnd w:id="54"/>
    </w:p>
    <w:p w14:paraId="4E79723C">
      <w:pPr>
        <w:spacing w:line="360" w:lineRule="auto"/>
        <w:ind w:firstLine="440" w:firstLineChars="200"/>
      </w:pPr>
      <w:r>
        <w:rPr>
          <w:rFonts w:hint="eastAsia"/>
        </w:rPr>
        <w:t>本指南内容包括开展大气挥发性有机物清单编制工作的主要技术方法、技术流程、工作内容、技术要求、质量管理等方面。</w:t>
      </w:r>
    </w:p>
    <w:p w14:paraId="242047DB">
      <w:pPr>
        <w:spacing w:line="360" w:lineRule="auto"/>
        <w:ind w:firstLine="440" w:firstLineChars="200"/>
      </w:pPr>
      <w:r>
        <w:rPr>
          <w:rFonts w:hint="eastAsia"/>
        </w:rPr>
        <w:t>本指南适用于指导及规范各电子电路制造企业挥发性有机物排放清单的编制工作并确定各企业的挥发性有机物防控重点。</w:t>
      </w:r>
    </w:p>
    <w:p w14:paraId="6C0EC1C7">
      <w:pPr>
        <w:pStyle w:val="3"/>
        <w:spacing w:line="360" w:lineRule="auto"/>
        <w:ind w:left="0" w:firstLine="0"/>
        <w:rPr>
          <w:rFonts w:hint="eastAsia"/>
        </w:rPr>
      </w:pPr>
      <w:bookmarkStart w:id="55" w:name="_Toc170504485"/>
      <w:bookmarkStart w:id="56" w:name="_Toc170504525"/>
      <w:bookmarkStart w:id="57" w:name="_Toc170504749"/>
      <w:r>
        <w:rPr>
          <w:rFonts w:hint="eastAsia"/>
        </w:rPr>
        <w:t>6</w:t>
      </w:r>
      <w:r>
        <w:t xml:space="preserve">.2 </w:t>
      </w:r>
      <w:r>
        <w:rPr>
          <w:rFonts w:hint="eastAsia"/>
        </w:rPr>
        <w:t>主要术语的定义</w:t>
      </w:r>
      <w:bookmarkEnd w:id="55"/>
      <w:bookmarkEnd w:id="56"/>
      <w:bookmarkEnd w:id="57"/>
    </w:p>
    <w:p w14:paraId="0D2CDC9E">
      <w:pPr>
        <w:pStyle w:val="4"/>
        <w:spacing w:line="360" w:lineRule="auto"/>
        <w:ind w:left="0" w:firstLine="0"/>
      </w:pPr>
      <w:bookmarkStart w:id="58" w:name="_Toc170504486"/>
      <w:bookmarkStart w:id="59" w:name="_Toc170504526"/>
      <w:bookmarkStart w:id="60" w:name="_Toc170504750"/>
      <w:r>
        <w:rPr>
          <w:rFonts w:hint="eastAsia"/>
        </w:rPr>
        <w:t>6</w:t>
      </w:r>
      <w:r>
        <w:t xml:space="preserve">.2.1 </w:t>
      </w:r>
      <w:r>
        <w:rPr>
          <w:rFonts w:hint="eastAsia"/>
        </w:rPr>
        <w:t>电子电路制造行业</w:t>
      </w:r>
      <w:bookmarkEnd w:id="58"/>
      <w:bookmarkEnd w:id="59"/>
      <w:bookmarkEnd w:id="60"/>
    </w:p>
    <w:p w14:paraId="0D184D7A">
      <w:pPr>
        <w:pStyle w:val="5"/>
        <w:kinsoku w:val="0"/>
        <w:overflowPunct w:val="0"/>
        <w:spacing w:line="360" w:lineRule="auto"/>
        <w:ind w:right="476" w:firstLine="420" w:firstLineChars="200"/>
      </w:pPr>
      <w:r>
        <w:rPr>
          <w:rFonts w:hint="eastAsia"/>
        </w:rPr>
        <w:t>根据《国民经济行业分类与代码》（GB/4754-2017），电子电路制造行业（行业代码 3982）指在绝缘基材上采用印制工艺形成电气电子连接电路，以及附有无源与有源元件的制造，包括印刷电路板及附有元器件构成电子电路功能组合件。</w:t>
      </w:r>
    </w:p>
    <w:p w14:paraId="7860FE02">
      <w:pPr>
        <w:pStyle w:val="4"/>
        <w:spacing w:line="360" w:lineRule="auto"/>
        <w:ind w:left="0" w:firstLine="0"/>
      </w:pPr>
      <w:bookmarkStart w:id="61" w:name="_Toc170504487"/>
      <w:bookmarkStart w:id="62" w:name="_Toc170504527"/>
      <w:bookmarkStart w:id="63" w:name="_Toc170504751"/>
      <w:r>
        <w:rPr>
          <w:rFonts w:hint="eastAsia"/>
        </w:rPr>
        <w:t>6</w:t>
      </w:r>
      <w:r>
        <w:t>.2.</w:t>
      </w:r>
      <w:r>
        <w:rPr>
          <w:rFonts w:hint="eastAsia"/>
        </w:rPr>
        <w:t>2</w:t>
      </w:r>
      <w:r>
        <w:t xml:space="preserve"> </w:t>
      </w:r>
      <w:r>
        <w:rPr>
          <w:rFonts w:hint="eastAsia"/>
        </w:rPr>
        <w:t>挥发性有机物</w:t>
      </w:r>
      <w:bookmarkEnd w:id="61"/>
      <w:bookmarkEnd w:id="62"/>
      <w:bookmarkEnd w:id="63"/>
    </w:p>
    <w:p w14:paraId="3BFD97E0">
      <w:pPr>
        <w:pStyle w:val="5"/>
        <w:kinsoku w:val="0"/>
        <w:overflowPunct w:val="0"/>
        <w:spacing w:line="360" w:lineRule="auto"/>
        <w:ind w:right="476" w:firstLine="420" w:firstLineChars="200"/>
      </w:pPr>
      <w:r>
        <w:rPr>
          <w:rFonts w:hint="eastAsia"/>
        </w:rPr>
        <w:t>指在标准状态下饱和蒸气压较高（标准状态下大于13.33Pa）、沸点较低、分子量小、常温状态下易挥发的有机化合物。本指南适用的挥发性有机物包括烷烃、烯烃、芳香烃、炔烃的C2~C12非甲烷碳氢化合物，醛、酮、醇、醚、酯、酚等C1~C10 含氧有机物，卤代烃，含氮有机化合物，含硫有机化合物等几类152 种化合物。</w:t>
      </w:r>
    </w:p>
    <w:p w14:paraId="0AB83DAD">
      <w:pPr>
        <w:pStyle w:val="4"/>
        <w:spacing w:line="360" w:lineRule="auto"/>
        <w:ind w:left="0" w:firstLine="0"/>
      </w:pPr>
      <w:bookmarkStart w:id="64" w:name="_Toc170504528"/>
      <w:bookmarkStart w:id="65" w:name="_Toc170504488"/>
      <w:bookmarkStart w:id="66" w:name="_Toc170504752"/>
      <w:r>
        <w:rPr>
          <w:rFonts w:hint="eastAsia"/>
        </w:rPr>
        <w:t>6.2.3 挥发性有机物污染源</w:t>
      </w:r>
      <w:bookmarkEnd w:id="64"/>
      <w:bookmarkEnd w:id="65"/>
      <w:bookmarkEnd w:id="66"/>
    </w:p>
    <w:p w14:paraId="5922CC65">
      <w:pPr>
        <w:pStyle w:val="25"/>
        <w:spacing w:line="360" w:lineRule="auto"/>
        <w:ind w:firstLine="420"/>
      </w:pPr>
      <w:r>
        <w:rPr>
          <w:rFonts w:hint="eastAsia"/>
        </w:rPr>
        <w:t>向大气环境排放挥发性有机污染物的排放源统称为挥发性有机污染物污染源。</w:t>
      </w:r>
    </w:p>
    <w:p w14:paraId="27082186">
      <w:pPr>
        <w:pStyle w:val="4"/>
        <w:spacing w:line="360" w:lineRule="auto"/>
        <w:ind w:left="0" w:firstLine="0"/>
      </w:pPr>
      <w:bookmarkStart w:id="67" w:name="_Toc170504489"/>
      <w:bookmarkStart w:id="68" w:name="_Toc170504753"/>
      <w:bookmarkStart w:id="69" w:name="_Toc170504529"/>
      <w:r>
        <w:rPr>
          <w:rFonts w:hint="eastAsia"/>
        </w:rPr>
        <w:t>6.2.4 排放清单</w:t>
      </w:r>
      <w:bookmarkEnd w:id="67"/>
      <w:bookmarkEnd w:id="68"/>
      <w:bookmarkEnd w:id="69"/>
    </w:p>
    <w:p w14:paraId="7DFADB8E">
      <w:pPr>
        <w:pStyle w:val="5"/>
        <w:kinsoku w:val="0"/>
        <w:overflowPunct w:val="0"/>
        <w:spacing w:line="360" w:lineRule="auto"/>
        <w:ind w:right="476" w:firstLine="420" w:firstLineChars="200"/>
      </w:pPr>
      <w:r>
        <w:rPr>
          <w:rFonts w:hint="eastAsia"/>
        </w:rPr>
        <w:t>各种排放源在一定的时间跨度和空间区域内向大气中排放的大气污染物的量的集合。</w:t>
      </w:r>
    </w:p>
    <w:p w14:paraId="1BC5DA8A">
      <w:pPr>
        <w:pStyle w:val="4"/>
        <w:spacing w:line="360" w:lineRule="auto"/>
        <w:ind w:left="0" w:firstLine="0"/>
      </w:pPr>
      <w:bookmarkStart w:id="70" w:name="_Toc170504754"/>
      <w:bookmarkStart w:id="71" w:name="_Toc170504490"/>
      <w:bookmarkStart w:id="72" w:name="_Toc170504530"/>
      <w:bookmarkStart w:id="73" w:name="_Toc137109097"/>
      <w:bookmarkStart w:id="74" w:name="_Toc137108834"/>
      <w:bookmarkStart w:id="75" w:name="_Toc170496991"/>
      <w:bookmarkStart w:id="76" w:name="_Toc168578059"/>
      <w:bookmarkStart w:id="77" w:name="_Toc170496910"/>
      <w:r>
        <w:rPr>
          <w:rFonts w:hint="eastAsia"/>
        </w:rPr>
        <w:t>6.2.5 设备密封点泄漏</w:t>
      </w:r>
      <w:bookmarkEnd w:id="70"/>
      <w:bookmarkEnd w:id="71"/>
      <w:bookmarkEnd w:id="72"/>
      <w:r>
        <w:rPr>
          <w:rFonts w:hint="eastAsia"/>
        </w:rPr>
        <w:t xml:space="preserve"> </w:t>
      </w:r>
      <w:bookmarkEnd w:id="73"/>
      <w:bookmarkEnd w:id="74"/>
      <w:bookmarkEnd w:id="75"/>
      <w:bookmarkEnd w:id="76"/>
      <w:bookmarkEnd w:id="77"/>
    </w:p>
    <w:p w14:paraId="105D8EAB">
      <w:pPr>
        <w:pStyle w:val="25"/>
        <w:spacing w:line="360" w:lineRule="auto"/>
        <w:ind w:firstLine="420"/>
      </w:pPr>
      <w:r>
        <w:rPr>
          <w:rFonts w:hint="eastAsia"/>
        </w:rPr>
        <w:t>指各种工艺管线和设备密封点的密封失效致使内部蕴含VOCs物料逸散至大气中的现象。</w:t>
      </w:r>
    </w:p>
    <w:p w14:paraId="7036E1E0">
      <w:pPr>
        <w:pStyle w:val="5"/>
        <w:kinsoku w:val="0"/>
        <w:overflowPunct w:val="0"/>
        <w:spacing w:line="360" w:lineRule="auto"/>
        <w:ind w:right="476" w:firstLine="420" w:firstLineChars="200"/>
      </w:pPr>
    </w:p>
    <w:p w14:paraId="04845194">
      <w:pPr>
        <w:pStyle w:val="3"/>
        <w:ind w:left="0" w:firstLine="0"/>
      </w:pPr>
      <w:bookmarkStart w:id="78" w:name="_Toc170504531"/>
      <w:bookmarkStart w:id="79" w:name="_Toc170504491"/>
      <w:bookmarkStart w:id="80" w:name="_Toc170504755"/>
      <w:r>
        <w:rPr>
          <w:rFonts w:hint="eastAsia"/>
        </w:rPr>
        <w:t>6</w:t>
      </w:r>
      <w:r>
        <w:t xml:space="preserve">.3 </w:t>
      </w:r>
      <w:r>
        <w:rPr>
          <w:rFonts w:hint="eastAsia"/>
        </w:rPr>
        <w:t>大气挥发性有机污染物排放清单编制的技术流程和方法</w:t>
      </w:r>
      <w:bookmarkEnd w:id="78"/>
      <w:bookmarkEnd w:id="79"/>
      <w:bookmarkEnd w:id="80"/>
    </w:p>
    <w:p w14:paraId="633A5056">
      <w:pPr>
        <w:pStyle w:val="25"/>
        <w:spacing w:line="360" w:lineRule="auto"/>
        <w:ind w:firstLine="420"/>
      </w:pPr>
      <w:r>
        <w:rPr>
          <w:rFonts w:hint="eastAsia"/>
        </w:rPr>
        <w:t>编制大气挥发性有机污染物排放清单时应当首先确定排放源的分类分级体系。电子电路制造业的大气挥发性有机污染物排放主要来自物料储存、转移和加工等过程。主要挥发性有机污染物污染源项包括：</w:t>
      </w:r>
    </w:p>
    <w:p w14:paraId="4F28EE93">
      <w:pPr>
        <w:pStyle w:val="25"/>
        <w:spacing w:line="360" w:lineRule="auto"/>
        <w:ind w:firstLine="420"/>
      </w:pPr>
      <w:r>
        <w:rPr>
          <w:rFonts w:hint="eastAsia"/>
        </w:rPr>
        <w:t>a）设备动静密封点泄漏；</w:t>
      </w:r>
    </w:p>
    <w:p w14:paraId="7055567D">
      <w:pPr>
        <w:pStyle w:val="25"/>
        <w:spacing w:line="360" w:lineRule="auto"/>
        <w:ind w:firstLine="420"/>
      </w:pPr>
      <w:r>
        <w:rPr>
          <w:rFonts w:hint="eastAsia"/>
        </w:rPr>
        <w:t>b）有机液体储存与调和挥发损失；</w:t>
      </w:r>
    </w:p>
    <w:p w14:paraId="14E3F87E">
      <w:pPr>
        <w:pStyle w:val="25"/>
        <w:spacing w:line="360" w:lineRule="auto"/>
        <w:ind w:firstLine="420"/>
      </w:pPr>
      <w:r>
        <w:rPr>
          <w:rFonts w:hint="eastAsia"/>
        </w:rPr>
        <w:t>c）废水集输、储存、处理处置过程逸散；</w:t>
      </w:r>
    </w:p>
    <w:p w14:paraId="08C0AFA7">
      <w:pPr>
        <w:pStyle w:val="25"/>
        <w:spacing w:line="360" w:lineRule="auto"/>
        <w:ind w:firstLine="420"/>
      </w:pPr>
      <w:r>
        <w:rPr>
          <w:rFonts w:hint="eastAsia"/>
        </w:rPr>
        <w:t>d）工艺废气排放；</w:t>
      </w:r>
    </w:p>
    <w:p w14:paraId="631F3DC8">
      <w:pPr>
        <w:pStyle w:val="25"/>
        <w:spacing w:line="360" w:lineRule="auto"/>
        <w:ind w:firstLine="420"/>
      </w:pPr>
      <w:r>
        <w:rPr>
          <w:rFonts w:hint="eastAsia"/>
        </w:rPr>
        <w:t>e）溶剂再生挥发损失；</w:t>
      </w:r>
    </w:p>
    <w:p w14:paraId="409210A0">
      <w:pPr>
        <w:pStyle w:val="25"/>
        <w:spacing w:line="360" w:lineRule="auto"/>
        <w:ind w:firstLine="420"/>
      </w:pPr>
      <w:r>
        <w:rPr>
          <w:rFonts w:hint="eastAsia"/>
        </w:rPr>
        <w:t>f）实验室废气排放。</w:t>
      </w:r>
    </w:p>
    <w:p w14:paraId="3E94A457">
      <w:pPr>
        <w:pStyle w:val="25"/>
        <w:spacing w:line="360" w:lineRule="auto"/>
        <w:ind w:firstLine="420"/>
      </w:pPr>
      <w:r>
        <w:rPr>
          <w:rFonts w:hint="eastAsia"/>
        </w:rPr>
        <w:t>其中，电子电路制造生产工艺包括清洗、机械加工、棕化/氧化、去膜（脱模）、喷锡、退锡、除油、蚀刻、印刷、贴膜/压膜/显影、表面处理、涂漆。对于印刷电路板，其典型生产工艺流程和产污环节如图6.3.1所示。</w:t>
      </w:r>
    </w:p>
    <w:p w14:paraId="67716BC1">
      <w:pPr>
        <w:pStyle w:val="25"/>
        <w:ind w:firstLine="420"/>
        <w:rPr>
          <w:rFonts w:ascii="Times New Roman"/>
        </w:rPr>
      </w:pPr>
      <w:r>
        <w:rPr>
          <w:rFonts w:ascii="Times New Roman"/>
        </w:rPr>
        <w:drawing>
          <wp:inline distT="0" distB="0" distL="0" distR="0">
            <wp:extent cx="5274310" cy="3917950"/>
            <wp:effectExtent l="0" t="0" r="2540" b="635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7"/>
                    <a:srcRect t="905"/>
                    <a:stretch>
                      <a:fillRect/>
                    </a:stretch>
                  </pic:blipFill>
                  <pic:spPr>
                    <a:xfrm>
                      <a:off x="0" y="0"/>
                      <a:ext cx="5274310" cy="3918364"/>
                    </a:xfrm>
                    <a:prstGeom prst="rect">
                      <a:avLst/>
                    </a:prstGeom>
                    <a:ln>
                      <a:noFill/>
                    </a:ln>
                  </pic:spPr>
                </pic:pic>
              </a:graphicData>
            </a:graphic>
          </wp:inline>
        </w:drawing>
      </w:r>
    </w:p>
    <w:p w14:paraId="053FB644">
      <w:pPr>
        <w:pStyle w:val="25"/>
        <w:spacing w:line="360" w:lineRule="auto"/>
        <w:ind w:firstLine="420"/>
        <w:jc w:val="center"/>
        <w:rPr>
          <w:rFonts w:ascii="Times New Roman"/>
        </w:rPr>
      </w:pPr>
      <w:r>
        <w:rPr>
          <w:rFonts w:hint="eastAsia" w:ascii="Times New Roman"/>
        </w:rPr>
        <w:t xml:space="preserve">图6.3.1 </w:t>
      </w:r>
      <w:r>
        <w:rPr>
          <w:rFonts w:hint="eastAsia"/>
        </w:rPr>
        <w:t>电子电路制造典型生产工艺流程</w:t>
      </w:r>
    </w:p>
    <w:p w14:paraId="783FF86F">
      <w:pPr>
        <w:pStyle w:val="25"/>
        <w:spacing w:line="360" w:lineRule="auto"/>
        <w:ind w:firstLine="420"/>
      </w:pPr>
      <w:r>
        <w:rPr>
          <w:rFonts w:hint="eastAsia"/>
        </w:rPr>
        <w:t>根据电子电路制造业的大气挥发性有机污染物排放特点，采用源项归类解析法计算大气挥发性有机污染物排放量。各企业编制大气挥发性有机污染物排放清单时，应首先对企业内的排放源进行初步摸底调查，明确排放源的主要构成。随后根据自身生产实际，选择相应的污染源项进行大气挥发性有机污染物排放量计算。</w:t>
      </w:r>
    </w:p>
    <w:p w14:paraId="784A7C23">
      <w:pPr>
        <w:pStyle w:val="25"/>
        <w:spacing w:line="360" w:lineRule="auto"/>
        <w:ind w:firstLine="0" w:firstLineChars="0"/>
        <w:jc w:val="center"/>
      </w:pPr>
    </w:p>
    <w:p w14:paraId="5C893A48">
      <w:pPr>
        <w:pStyle w:val="25"/>
        <w:ind w:firstLine="420"/>
      </w:pPr>
    </w:p>
    <w:p w14:paraId="178DC7D5">
      <w:pPr>
        <w:pStyle w:val="4"/>
        <w:ind w:left="0" w:firstLine="0"/>
      </w:pPr>
      <w:bookmarkStart w:id="81" w:name="_Toc170504492"/>
      <w:bookmarkStart w:id="82" w:name="_Toc170504756"/>
      <w:bookmarkStart w:id="83" w:name="_Toc170504532"/>
      <w:r>
        <w:rPr>
          <w:rFonts w:hint="eastAsia"/>
        </w:rPr>
        <w:t>6</w:t>
      </w:r>
      <w:r>
        <w:t xml:space="preserve">.3.1 </w:t>
      </w:r>
      <w:r>
        <w:rPr>
          <w:rFonts w:hint="eastAsia"/>
        </w:rPr>
        <w:t>大气挥发性有机污染物排放总量计算方法</w:t>
      </w:r>
      <w:bookmarkEnd w:id="81"/>
      <w:bookmarkEnd w:id="82"/>
      <w:bookmarkEnd w:id="83"/>
    </w:p>
    <w:p w14:paraId="3537EA88">
      <w:pPr>
        <w:pStyle w:val="25"/>
        <w:spacing w:line="360" w:lineRule="auto"/>
        <w:ind w:firstLine="420"/>
      </w:pPr>
      <w:bookmarkStart w:id="84" w:name="_Hlk168408711"/>
      <w:r>
        <w:rPr>
          <w:rFonts w:hint="eastAsia"/>
        </w:rPr>
        <w:t>电子电路制造企业大气挥发性有机污染物源项归类解析法，排放总量计算方法见公式</w:t>
      </w:r>
      <w:bookmarkEnd w:id="84"/>
      <w:r>
        <w:rPr>
          <w:rFonts w:ascii="Times New Roman"/>
        </w:rPr>
        <w:t>（</w:t>
      </w:r>
      <w:r>
        <w:rPr>
          <w:rFonts w:hint="eastAsia" w:hAnsi="宋体"/>
        </w:rPr>
        <w:t>1</w:t>
      </w:r>
      <w:r>
        <w:rPr>
          <w:rFonts w:ascii="Times New Roman"/>
        </w:rPr>
        <w:t>）</w:t>
      </w:r>
      <w:r>
        <w:rPr>
          <w:rFonts w:hint="eastAsia"/>
        </w:rPr>
        <w:t>：</w:t>
      </w:r>
    </w:p>
    <w:p w14:paraId="3D2D2711">
      <w:pPr>
        <w:spacing w:line="360" w:lineRule="auto"/>
        <w:ind w:firstLine="440" w:firstLineChars="200"/>
        <w:jc w:val="center"/>
        <w:rPr>
          <w:rFonts w:ascii="Times New Roman"/>
        </w:rPr>
      </w:pPr>
      <m:oMath>
        <m:sSub>
          <w:bookmarkStart w:id="85" w:name="OLE_LINK17"/>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电子电路</m:t>
            </m:r>
            <m:ctrlPr>
              <w:rPr>
                <w:rFonts w:ascii="Cambria Math" w:hAnsi="Cambria Math"/>
                <w:i/>
              </w:rPr>
            </m:ctrlPr>
          </m:sub>
        </m:sSub>
        <m:r>
          <m:rPr/>
          <w:rPr>
            <w:rFonts w:ascii="Cambria Math" w:hAnsi="Cambria Math"/>
          </w:rPr>
          <m:t>=</m:t>
        </m:r>
        <m:nary>
          <m:naryPr>
            <m:chr m:val="∑"/>
            <m:ctrlPr>
              <w:rPr>
                <w:rFonts w:ascii="Cambria Math" w:hAnsi="Cambria Math"/>
                <w:i/>
              </w:rPr>
            </m:ctrlPr>
          </m:naryPr>
          <m:sub>
            <m:r>
              <m:rPr/>
              <w:rPr>
                <w:rFonts w:ascii="Cambria Math" w:hAnsi="Cambria Math"/>
              </w:rPr>
              <m:t>m=1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nary>
        <m:r>
          <m:rPr/>
          <w:rPr>
            <w:rFonts w:ascii="Cambria Math" w:hAnsi="Cambria Math"/>
          </w:rPr>
          <m:t>−</m:t>
        </m:r>
        <m:nary>
          <m:naryPr>
            <m:chr m:val="∑"/>
            <m:ctrlPr>
              <w:rPr>
                <w:rFonts w:ascii="Cambria Math" w:hAnsi="Cambria Math"/>
                <w:i/>
              </w:rPr>
            </m:ctrlPr>
          </m:naryPr>
          <m:sub>
            <m:r>
              <m:rPr/>
              <w:rPr>
                <w:rFonts w:ascii="Cambria Math" w:hAnsi="Cambria Math"/>
              </w:rPr>
              <m:t>m=1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nary>
      </m:oMath>
      <w:bookmarkEnd w:id="85"/>
      <w:r>
        <w:rPr>
          <w:rFonts w:hint="eastAsia" w:ascii="Times New Roman"/>
        </w:rPr>
        <w:t xml:space="preserve"> </w:t>
      </w:r>
      <w:r>
        <w:rPr>
          <w:rFonts w:ascii="Times New Roman"/>
          <w:sz w:val="28"/>
          <w:szCs w:val="28"/>
        </w:rPr>
        <w:t xml:space="preserve">   </w:t>
      </w:r>
      <w:r>
        <w:rPr>
          <w:rFonts w:ascii="Times New Roman"/>
        </w:rPr>
        <w:t>（</w:t>
      </w:r>
      <w:r>
        <w:rPr>
          <w:rFonts w:hint="eastAsia" w:hAnsi="宋体"/>
        </w:rPr>
        <w:t>1</w:t>
      </w:r>
      <w:r>
        <w:rPr>
          <w:rFonts w:ascii="Times New Roman"/>
        </w:rPr>
        <w:t>）</w:t>
      </w:r>
    </w:p>
    <w:p w14:paraId="084091D8">
      <w:pPr>
        <w:pStyle w:val="25"/>
        <w:spacing w:line="360" w:lineRule="auto"/>
        <w:ind w:firstLine="420"/>
      </w:pPr>
      <w:bookmarkStart w:id="86" w:name="OLE_LINK18"/>
      <w:r>
        <w:rPr>
          <w:rFonts w:hint="eastAsia"/>
        </w:rPr>
        <w:t>式中，E</w:t>
      </w:r>
      <w:r>
        <w:rPr>
          <w:rFonts w:hint="eastAsia"/>
          <w:vertAlign w:val="subscript"/>
        </w:rPr>
        <w:t>电子电路</w:t>
      </w:r>
      <w:r>
        <w:rPr>
          <w:rFonts w:hint="eastAsia"/>
        </w:rPr>
        <w:t>为统计期内VOCs排放量，千克；E</w:t>
      </w:r>
      <w:r>
        <w:rPr>
          <w:rFonts w:hint="eastAsia"/>
          <w:vertAlign w:val="subscript"/>
        </w:rPr>
        <w:t>m</w:t>
      </w:r>
      <w:r>
        <w:rPr>
          <w:rFonts w:hint="eastAsia"/>
        </w:rPr>
        <w:t>为统计期内第m个源项VOCs的产生量，千克；D</w:t>
      </w:r>
      <w:r>
        <w:rPr>
          <w:rFonts w:hint="eastAsia"/>
          <w:vertAlign w:val="subscript"/>
        </w:rPr>
        <w:t>m</w:t>
      </w:r>
      <w:r>
        <w:rPr>
          <w:rFonts w:hint="eastAsia"/>
        </w:rPr>
        <w:t>为统计期内第m个源项污染控制设施VOCs的去除量，千克；N为污染源总数</w:t>
      </w:r>
      <w:bookmarkEnd w:id="86"/>
      <w:r>
        <w:rPr>
          <w:rFonts w:hint="eastAsia"/>
        </w:rPr>
        <w:t>。</w:t>
      </w:r>
    </w:p>
    <w:p w14:paraId="3027B6B4">
      <w:pPr>
        <w:pStyle w:val="25"/>
        <w:spacing w:line="360" w:lineRule="auto"/>
        <w:ind w:firstLine="420"/>
      </w:pPr>
      <w:r>
        <w:rPr>
          <w:rFonts w:hint="eastAsia"/>
        </w:rPr>
        <w:t>各源项VOCs产生量为该源项每一种VOCs组份产生量的加和，见公式</w:t>
      </w:r>
      <w:r>
        <w:rPr>
          <w:rFonts w:hint="eastAsia" w:hAnsi="宋体"/>
        </w:rPr>
        <w:t>2</w:t>
      </w:r>
      <w:r>
        <w:rPr>
          <w:rFonts w:ascii="Times New Roman"/>
        </w:rPr>
        <w:t>）</w:t>
      </w:r>
      <w:r>
        <w:rPr>
          <w:rFonts w:hint="eastAsia"/>
        </w:rPr>
        <w:t>：</w:t>
      </w:r>
    </w:p>
    <w:p w14:paraId="7E98E9CF">
      <w:pPr>
        <w:spacing w:line="360" w:lineRule="auto"/>
        <w:ind w:firstLine="440" w:firstLineChars="200"/>
        <w:jc w:val="center"/>
        <w:rPr>
          <w:rFonts w:ascii="Times New Roman"/>
        </w:rPr>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m</m:t>
            </m:r>
            <m:ctrlPr>
              <w:rPr>
                <w:rFonts w:ascii="Cambria Math" w:hAnsi="Cambria Math"/>
                <w:i/>
              </w:rPr>
            </m:ctrlPr>
          </m:sub>
        </m:sSub>
        <m:r>
          <m:rPr/>
          <w:rPr>
            <w:rFonts w:ascii="Cambria Math"/>
          </w:rPr>
          <m:t>=</m:t>
        </m:r>
        <m:nary>
          <m:naryPr>
            <m:chr m:val="∑"/>
            <m:ctrlPr>
              <w:rPr>
                <w:rFonts w:ascii="Cambria Math" w:hAnsi="Cambria Math"/>
                <w:i/>
              </w:rPr>
            </m:ctrlPr>
          </m:naryPr>
          <m:sub>
            <m:r>
              <m:rPr/>
              <w:rPr>
                <w:rFonts w:ascii="Cambria Math"/>
              </w:rPr>
              <m:t>i=1</m:t>
            </m:r>
            <m:ctrlPr>
              <w:rPr>
                <w:rFonts w:ascii="Cambria Math" w:hAnsi="Cambria Math"/>
                <w:i/>
              </w:rPr>
            </m:ctrlPr>
          </m:sub>
          <m:sup>
            <m:r>
              <m:rPr/>
              <w:rPr>
                <w:rFonts w:ascii="Cambria Math"/>
              </w:rPr>
              <m:t>n</m:t>
            </m:r>
            <m:ctrlPr>
              <w:rPr>
                <w:rFonts w:ascii="Cambria Math" w:hAnsi="Cambria Math"/>
                <w:i/>
              </w:rPr>
            </m:ctrlPr>
          </m:sup>
          <m:e>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i</m:t>
                </m:r>
                <m:ctrlPr>
                  <w:rPr>
                    <w:rFonts w:ascii="Cambria Math" w:hAnsi="Cambria Math"/>
                    <w:i/>
                  </w:rPr>
                </m:ctrlPr>
              </m:sub>
            </m:sSub>
            <m:ctrlPr>
              <w:rPr>
                <w:rFonts w:ascii="Cambria Math" w:hAnsi="Cambria Math"/>
                <w:i/>
              </w:rPr>
            </m:ctrlPr>
          </m:e>
        </m:nary>
      </m:oMath>
      <w:r>
        <w:rPr>
          <w:rFonts w:ascii="Times New Roman"/>
        </w:rPr>
        <w:t xml:space="preserve">    （</w:t>
      </w:r>
      <w:r>
        <w:rPr>
          <w:rFonts w:hint="eastAsia" w:hAnsi="宋体"/>
        </w:rPr>
        <w:t>2</w:t>
      </w:r>
      <w:r>
        <w:rPr>
          <w:rFonts w:ascii="Times New Roman"/>
        </w:rPr>
        <w:t>）</w:t>
      </w:r>
    </w:p>
    <w:p w14:paraId="4B4EA2E9">
      <w:pPr>
        <w:pStyle w:val="25"/>
        <w:spacing w:line="360" w:lineRule="auto"/>
        <w:ind w:firstLine="420"/>
      </w:pPr>
      <w:r>
        <w:rPr>
          <w:rFonts w:hint="eastAsia"/>
        </w:rPr>
        <w:t>式中，E</w:t>
      </w:r>
      <w:r>
        <w:rPr>
          <w:rFonts w:hint="eastAsia"/>
          <w:vertAlign w:val="subscript"/>
        </w:rPr>
        <w:t>i</w:t>
      </w:r>
      <w:r>
        <w:rPr>
          <w:rFonts w:hint="eastAsia"/>
        </w:rPr>
        <w:t>为统计期内某个源项排放的VOCs组分i的产生量，见公式3：</w:t>
      </w:r>
    </w:p>
    <w:p w14:paraId="22CC9019">
      <w:pPr>
        <w:spacing w:line="360" w:lineRule="auto"/>
        <w:ind w:firstLine="440" w:firstLineChars="200"/>
        <w:jc w:val="center"/>
        <w:rPr>
          <w:rFonts w:ascii="Times New Roman"/>
        </w:rPr>
      </w:pPr>
      <w:bookmarkStart w:id="87" w:name="OLE_LINK19"/>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i</m:t>
            </m:r>
            <m:ctrlPr>
              <w:rPr>
                <w:rFonts w:ascii="Cambria Math" w:hAnsi="Cambria Math"/>
                <w:i/>
              </w:rPr>
            </m:ctrlPr>
          </m:sub>
        </m:sSub>
        <m:r>
          <m:rPr/>
          <w:rPr>
            <w:rFonts w:ascii="Cambria Math"/>
          </w:rPr>
          <m:t>=</m:t>
        </m:r>
        <m:nary>
          <m:naryPr>
            <m:chr m:val="∑"/>
            <m:ctrlPr>
              <w:rPr>
                <w:rFonts w:ascii="Cambria Math" w:hAnsi="Cambria Math"/>
                <w:i/>
              </w:rPr>
            </m:ctrlPr>
          </m:naryPr>
          <m:sub>
            <m:r>
              <m:rPr/>
              <w:rPr>
                <w:rFonts w:ascii="Cambria Math"/>
              </w:rPr>
              <m:t>i=1</m:t>
            </m:r>
            <m:ctrlPr>
              <w:rPr>
                <w:rFonts w:ascii="Cambria Math" w:hAnsi="Cambria Math"/>
                <w:i/>
              </w:rPr>
            </m:ctrlPr>
          </m:sub>
          <m:sup>
            <m:r>
              <m:rPr/>
              <w:rPr>
                <w:rFonts w:ascii="Cambria Math"/>
              </w:rPr>
              <m:t>M</m:t>
            </m:r>
            <m:ctrlPr>
              <w:rPr>
                <w:rFonts w:ascii="Cambria Math" w:hAnsi="Cambria Math"/>
                <w:i/>
              </w:rPr>
            </m:ctrlPr>
          </m:sup>
          <m:e>
            <m:d>
              <m:dPr>
                <m:ctrlPr>
                  <w:rPr>
                    <w:rFonts w:ascii="Cambria Math" w:hAnsi="Cambria Math"/>
                    <w:i/>
                  </w:rPr>
                </m:ctrlPr>
              </m:dPr>
              <m:e>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排放源n,i</m:t>
                    </m:r>
                    <m:ctrlPr>
                      <w:rPr>
                        <w:rFonts w:ascii="Cambria Math" w:hAnsi="Cambria Math"/>
                        <w:i/>
                      </w:rPr>
                    </m:ctrlPr>
                  </m:sub>
                </m:sSub>
                <m:r>
                  <m:rPr/>
                  <w:rPr>
                    <w:rFonts w:ascii="Cambria Math"/>
                  </w:rPr>
                  <m:t>×</m:t>
                </m:r>
                <m:f>
                  <m:fPr>
                    <m:ctrlPr>
                      <w:rPr>
                        <w:rFonts w:ascii="Cambria Math" w:hAnsi="Cambria Math"/>
                        <w:i/>
                      </w:rPr>
                    </m:ctrlPr>
                  </m:fPr>
                  <m:num>
                    <m:r>
                      <m:rPr/>
                      <w:rPr>
                        <w:rFonts w:ascii="Cambria Math"/>
                      </w:rPr>
                      <m:t>W</m:t>
                    </m:r>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i</m:t>
                        </m:r>
                        <m:ctrlPr>
                          <w:rPr>
                            <w:rFonts w:ascii="Cambria Math" w:hAnsi="Cambria Math"/>
                            <w:i/>
                          </w:rPr>
                        </m:ctrlPr>
                      </m:sub>
                    </m:sSub>
                    <m:ctrlPr>
                      <w:rPr>
                        <w:rFonts w:ascii="Cambria Math" w:hAnsi="Cambria Math"/>
                        <w:i/>
                      </w:rPr>
                    </m:ctrlPr>
                  </m:num>
                  <m:den>
                    <m:r>
                      <m:rPr/>
                      <w:rPr>
                        <w:rFonts w:ascii="Cambria Math"/>
                      </w:rPr>
                      <m:t>W</m:t>
                    </m:r>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VOCs</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nary>
      </m:oMath>
      <w:bookmarkEnd w:id="87"/>
      <w:r>
        <w:rPr>
          <w:rFonts w:hint="eastAsia" w:ascii="Times New Roman"/>
        </w:rPr>
        <w:t xml:space="preserve">  </w:t>
      </w:r>
      <w:r>
        <w:rPr>
          <w:rFonts w:ascii="Times New Roman"/>
        </w:rPr>
        <w:t xml:space="preserve">   </w:t>
      </w:r>
      <w:r>
        <w:rPr>
          <w:rFonts w:hint="eastAsia" w:ascii="Times New Roman"/>
        </w:rPr>
        <w:t>（</w:t>
      </w:r>
      <w:r>
        <w:rPr>
          <w:szCs w:val="20"/>
        </w:rPr>
        <w:t>3</w:t>
      </w:r>
      <w:r>
        <w:rPr>
          <w:rFonts w:hint="eastAsia" w:ascii="Times New Roman"/>
        </w:rPr>
        <w:t>）</w:t>
      </w:r>
    </w:p>
    <w:p w14:paraId="1CC0E58D">
      <w:pPr>
        <w:pStyle w:val="25"/>
        <w:spacing w:line="360" w:lineRule="auto"/>
        <w:ind w:firstLine="420"/>
      </w:pPr>
      <w:r>
        <w:rPr>
          <w:rFonts w:hint="eastAsia"/>
        </w:rPr>
        <w:t>式中，E</w:t>
      </w:r>
      <w:r>
        <w:rPr>
          <w:rFonts w:hint="eastAsia"/>
          <w:vertAlign w:val="subscript"/>
        </w:rPr>
        <w:t>i</w:t>
      </w:r>
      <w:r>
        <w:rPr>
          <w:rFonts w:hint="eastAsia"/>
        </w:rPr>
        <w:t>为统计期内含VOCs组份i的排放量，千克；E</w:t>
      </w:r>
      <w:r>
        <w:rPr>
          <w:rFonts w:hint="eastAsia"/>
          <w:vertAlign w:val="subscript"/>
        </w:rPr>
        <w:t>排放源n,i</w:t>
      </w:r>
      <w:r>
        <w:rPr>
          <w:rFonts w:hint="eastAsia"/>
        </w:rPr>
        <w:t>为统计期内含VOCs组份i的第n个排放源的VOCs产生量，千克；M为含VOCs组份i的污染源总数；W</w:t>
      </w:r>
      <w:r>
        <w:rPr>
          <w:rFonts w:hint="eastAsia"/>
          <w:vertAlign w:val="subscript"/>
        </w:rPr>
        <w:t>Fi</w:t>
      </w:r>
      <w:r>
        <w:rPr>
          <w:rFonts w:hint="eastAsia"/>
        </w:rPr>
        <w:t>为流经或储存于污染源的物料中VOCs组份i的平均质量分数；WF</w:t>
      </w:r>
      <w:r>
        <w:rPr>
          <w:rFonts w:hint="eastAsia"/>
          <w:vertAlign w:val="subscript"/>
        </w:rPr>
        <w:t>VOCs</w:t>
      </w:r>
      <w:r>
        <w:rPr>
          <w:rFonts w:hint="eastAsia"/>
        </w:rPr>
        <w:t>为流经或储存于污染源的物料中VOCs的平均质量分数。</w:t>
      </w:r>
    </w:p>
    <w:p w14:paraId="2F331D3A">
      <w:pPr>
        <w:pStyle w:val="4"/>
        <w:ind w:left="0" w:firstLine="0"/>
      </w:pPr>
      <w:bookmarkStart w:id="88" w:name="_Toc170504757"/>
      <w:bookmarkStart w:id="89" w:name="_Toc170504493"/>
      <w:bookmarkStart w:id="90" w:name="_Toc170504533"/>
      <w:r>
        <w:rPr>
          <w:rFonts w:hint="eastAsia"/>
        </w:rPr>
        <w:t>6</w:t>
      </w:r>
      <w:r>
        <w:t xml:space="preserve">.3.2 </w:t>
      </w:r>
      <w:r>
        <w:rPr>
          <w:rFonts w:hint="eastAsia"/>
        </w:rPr>
        <w:t>设备动静密封点泄漏</w:t>
      </w:r>
      <w:bookmarkEnd w:id="88"/>
      <w:bookmarkEnd w:id="89"/>
      <w:bookmarkEnd w:id="90"/>
    </w:p>
    <w:p w14:paraId="56F50D17">
      <w:pPr>
        <w:pStyle w:val="25"/>
        <w:spacing w:line="360" w:lineRule="auto"/>
        <w:ind w:firstLine="420"/>
      </w:pPr>
      <w:r>
        <w:rPr>
          <w:rFonts w:hint="eastAsia"/>
        </w:rPr>
        <w:t>工艺管线和设备动静密封点一般包括泵、搅拌器、压缩机、阀门、连接件、法兰、开口阀或开口管线、泄压设备、取样连接系统等。设备密封点泄漏的VOCs产生量计算公式如下：</w:t>
      </w:r>
    </w:p>
    <w:p w14:paraId="12040F17">
      <w:pPr>
        <w:spacing w:line="360" w:lineRule="auto"/>
        <w:jc w:val="center"/>
        <w:rPr>
          <w:rFonts w:ascii="Times New Roman"/>
        </w:rPr>
      </w:pPr>
      <m:oMath>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设备</m:t>
            </m:r>
            <m:ctrlPr>
              <w:rPr>
                <w:rFonts w:ascii="Cambria Math" w:hAnsi="Cambria Math"/>
                <w:i/>
              </w:rPr>
            </m:ctrlPr>
          </m:sub>
        </m:sSub>
        <m:r>
          <m:rPr/>
          <w:rPr>
            <w:rFonts w:ascii="Cambria Math"/>
          </w:rPr>
          <m:t>=</m:t>
        </m:r>
        <m:nary>
          <m:naryPr>
            <m:chr m:val="∑"/>
            <m:ctrlPr>
              <w:rPr>
                <w:rFonts w:ascii="Cambria Math" w:hAnsi="Cambria Math"/>
                <w:i/>
              </w:rPr>
            </m:ctrlPr>
          </m:naryPr>
          <m:sub>
            <m:r>
              <m:rPr/>
              <w:rPr>
                <w:rFonts w:ascii="Cambria Math"/>
              </w:rPr>
              <m:t>i=1</m:t>
            </m:r>
            <m:ctrlPr>
              <w:rPr>
                <w:rFonts w:ascii="Cambria Math" w:hAnsi="Cambria Math"/>
                <w:i/>
              </w:rPr>
            </m:ctrlPr>
          </m:sub>
          <m:sup>
            <m:r>
              <m:rPr/>
              <w:rPr>
                <w:rFonts w:ascii="Cambria Math"/>
              </w:rPr>
              <m:t>n</m:t>
            </m:r>
            <m:ctrlPr>
              <w:rPr>
                <w:rFonts w:ascii="Cambria Math" w:hAnsi="Cambria Math"/>
                <w:i/>
              </w:rPr>
            </m:ctrlPr>
          </m:sup>
          <m:e>
            <m:d>
              <m:dPr>
                <m:ctrlPr>
                  <w:rPr>
                    <w:rFonts w:ascii="Cambria Math" w:hAnsi="Cambria Math"/>
                    <w:i/>
                  </w:rPr>
                </m:ctrlPr>
              </m:dPr>
              <m:e>
                <m:sSub>
                  <m:sSubPr>
                    <m:ctrlPr>
                      <w:rPr>
                        <w:rFonts w:ascii="Cambria Math" w:hAnsi="Cambria Math"/>
                        <w:i/>
                      </w:rPr>
                    </m:ctrlPr>
                  </m:sSubPr>
                  <m:e>
                    <m:r>
                      <m:rPr/>
                      <w:rPr>
                        <w:rFonts w:ascii="Cambria Math"/>
                      </w:rPr>
                      <m:t>e</m:t>
                    </m:r>
                    <m:ctrlPr>
                      <w:rPr>
                        <w:rFonts w:ascii="Cambria Math" w:hAnsi="Cambria Math"/>
                        <w:i/>
                      </w:rPr>
                    </m:ctrlPr>
                  </m:e>
                  <m:sub>
                    <m:r>
                      <m:rPr/>
                      <w:rPr>
                        <w:rFonts w:ascii="Cambria Math"/>
                      </w:rPr>
                      <m:t>TOC,i</m:t>
                    </m:r>
                    <m:ctrlPr>
                      <w:rPr>
                        <w:rFonts w:ascii="Cambria Math" w:hAnsi="Cambria Math"/>
                        <w:i/>
                      </w:rPr>
                    </m:ctrlPr>
                  </m:sub>
                </m:sSub>
                <m:r>
                  <m:rPr/>
                  <w:rPr>
                    <w:rFonts w:ascii="Cambria Math"/>
                  </w:rPr>
                  <m:t>×</m:t>
                </m:r>
                <m:f>
                  <m:fPr>
                    <m:ctrlPr>
                      <w:rPr>
                        <w:rFonts w:ascii="Cambria Math" w:hAnsi="Cambria Math"/>
                        <w:i/>
                      </w:rPr>
                    </m:ctrlPr>
                  </m:fPr>
                  <m:num>
                    <m:r>
                      <m:rPr/>
                      <w:rPr>
                        <w:rFonts w:ascii="Cambria Math"/>
                      </w:rPr>
                      <m:t>W</m:t>
                    </m:r>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voc,i</m:t>
                        </m:r>
                        <m:ctrlPr>
                          <w:rPr>
                            <w:rFonts w:ascii="Cambria Math" w:hAnsi="Cambria Math"/>
                            <w:i/>
                          </w:rPr>
                        </m:ctrlPr>
                      </m:sub>
                    </m:sSub>
                    <m:ctrlPr>
                      <w:rPr>
                        <w:rFonts w:ascii="Cambria Math" w:hAnsi="Cambria Math"/>
                        <w:i/>
                      </w:rPr>
                    </m:ctrlPr>
                  </m:num>
                  <m:den>
                    <m:r>
                      <m:rPr/>
                      <w:rPr>
                        <w:rFonts w:ascii="Cambria Math"/>
                      </w:rPr>
                      <m:t>W</m:t>
                    </m:r>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TOC,i</m:t>
                        </m:r>
                        <m:ctrlPr>
                          <w:rPr>
                            <w:rFonts w:ascii="Cambria Math" w:hAnsi="Cambria Math"/>
                            <w:i/>
                          </w:rPr>
                        </m:ctrlPr>
                      </m:sub>
                    </m:sSub>
                    <m:ctrlPr>
                      <w:rPr>
                        <w:rFonts w:ascii="Cambria Math" w:hAnsi="Cambria Math"/>
                        <w:i/>
                      </w:rPr>
                    </m:ctrlPr>
                  </m:den>
                </m:f>
                <m:r>
                  <m:rPr/>
                  <w:rPr>
                    <w:rFonts w:ascii="Cambria Math"/>
                  </w:rPr>
                  <m:t>×</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I</m:t>
                    </m:r>
                    <m:ctrlPr>
                      <w:rPr>
                        <w:rFonts w:ascii="Cambria Math" w:hAnsi="Cambria Math"/>
                        <w:i/>
                      </w:rPr>
                    </m:ctrlPr>
                  </m:sub>
                </m:sSub>
                <m:ctrlPr>
                  <w:rPr>
                    <w:rFonts w:ascii="Cambria Math" w:hAnsi="Cambria Math"/>
                    <w:i/>
                  </w:rPr>
                </m:ctrlPr>
              </m:e>
            </m:d>
            <m:ctrlPr>
              <w:rPr>
                <w:rFonts w:ascii="Cambria Math" w:hAnsi="Cambria Math"/>
                <w:i/>
              </w:rPr>
            </m:ctrlPr>
          </m:e>
        </m:nary>
      </m:oMath>
      <w:r>
        <w:rPr>
          <w:rFonts w:ascii="Times New Roman"/>
        </w:rPr>
        <w:t xml:space="preserve">  </w:t>
      </w:r>
      <w:r>
        <w:rPr>
          <w:rFonts w:hint="eastAsia" w:ascii="Times New Roman"/>
        </w:rPr>
        <w:t xml:space="preserve"> </w:t>
      </w:r>
      <w:r>
        <w:rPr>
          <w:rFonts w:ascii="Times New Roman"/>
        </w:rPr>
        <w:t xml:space="preserve">   （</w:t>
      </w:r>
      <w:r>
        <w:rPr>
          <w:szCs w:val="20"/>
        </w:rPr>
        <w:t>4</w:t>
      </w:r>
      <w:r>
        <w:rPr>
          <w:rFonts w:ascii="Times New Roman"/>
        </w:rPr>
        <w:t>）</w:t>
      </w:r>
    </w:p>
    <w:p w14:paraId="40C38FC4">
      <w:pPr>
        <w:pStyle w:val="25"/>
        <w:spacing w:line="360" w:lineRule="auto"/>
        <w:ind w:firstLine="420"/>
      </w:pPr>
      <w:r>
        <w:rPr>
          <w:rFonts w:hint="eastAsia"/>
        </w:rPr>
        <w:t>式中，E设备为统计期内动静设备密封点的VOCs产生量，千克；t</w:t>
      </w:r>
      <w:r>
        <w:rPr>
          <w:rFonts w:hint="eastAsia"/>
          <w:vertAlign w:val="subscript"/>
        </w:rPr>
        <w:t>i</w:t>
      </w:r>
      <w:r>
        <w:rPr>
          <w:rFonts w:hint="eastAsia"/>
        </w:rPr>
        <w:t>为统计期内密封点i的运行时间，小时；e</w:t>
      </w:r>
      <w:r>
        <w:rPr>
          <w:rFonts w:hint="eastAsia"/>
          <w:vertAlign w:val="subscript"/>
        </w:rPr>
        <w:t>TOCs,i</w:t>
      </w:r>
      <w:r>
        <w:rPr>
          <w:rFonts w:hint="eastAsia"/>
        </w:rPr>
        <w:t>为密封点i的TOCs泄漏速率，千克/小时；WF</w:t>
      </w:r>
      <w:r>
        <w:rPr>
          <w:rFonts w:hint="eastAsia"/>
          <w:vertAlign w:val="subscript"/>
        </w:rPr>
        <w:t>VOCs,i</w:t>
      </w:r>
      <w:r>
        <w:rPr>
          <w:rFonts w:hint="eastAsia"/>
        </w:rPr>
        <w:t>为运行时间段内流经密封点i的物料中VOCs的平均质量分数；WF</w:t>
      </w:r>
      <w:r>
        <w:rPr>
          <w:rFonts w:hint="eastAsia"/>
          <w:vertAlign w:val="subscript"/>
        </w:rPr>
        <w:t>TOC,i</w:t>
      </w:r>
      <w:r>
        <w:rPr>
          <w:rFonts w:hint="eastAsia"/>
        </w:rPr>
        <w:t>为运行时间段内流经密封点i的物料中TOC的平均质量分数；如未提供物料中VOCs的平均质量分数，则按</w:t>
      </w:r>
      <m:oMath>
        <m:f>
          <m:fPr>
            <m:ctrlPr>
              <w:rPr>
                <w:rFonts w:ascii="Cambria Math" w:hAnsi="Cambria Math"/>
                <w:i/>
                <w:szCs w:val="21"/>
              </w:rPr>
            </m:ctrlPr>
          </m:fPr>
          <m:num>
            <m:r>
              <m:rPr/>
              <w:rPr>
                <w:rFonts w:ascii="Cambria Math"/>
                <w:szCs w:val="21"/>
              </w:rPr>
              <m:t>W</m:t>
            </m:r>
            <m:sSub>
              <m:sSubPr>
                <m:ctrlPr>
                  <w:rPr>
                    <w:rFonts w:ascii="Cambria Math" w:hAnsi="Cambria Math"/>
                    <w:i/>
                    <w:szCs w:val="21"/>
                  </w:rPr>
                </m:ctrlPr>
              </m:sSubPr>
              <m:e>
                <m:r>
                  <m:rPr/>
                  <w:rPr>
                    <w:rFonts w:ascii="Cambria Math"/>
                    <w:szCs w:val="21"/>
                  </w:rPr>
                  <m:t>F</m:t>
                </m:r>
                <m:ctrlPr>
                  <w:rPr>
                    <w:rFonts w:ascii="Cambria Math" w:hAnsi="Cambria Math"/>
                    <w:i/>
                    <w:szCs w:val="21"/>
                  </w:rPr>
                </m:ctrlPr>
              </m:e>
              <m:sub>
                <m:r>
                  <m:rPr/>
                  <w:rPr>
                    <w:rFonts w:ascii="Cambria Math"/>
                    <w:szCs w:val="21"/>
                  </w:rPr>
                  <m:t>voc,i</m:t>
                </m:r>
                <m:ctrlPr>
                  <w:rPr>
                    <w:rFonts w:ascii="Cambria Math" w:hAnsi="Cambria Math"/>
                    <w:i/>
                    <w:szCs w:val="21"/>
                  </w:rPr>
                </m:ctrlPr>
              </m:sub>
            </m:sSub>
            <m:ctrlPr>
              <w:rPr>
                <w:rFonts w:ascii="Cambria Math" w:hAnsi="Cambria Math"/>
                <w:i/>
                <w:szCs w:val="21"/>
              </w:rPr>
            </m:ctrlPr>
          </m:num>
          <m:den>
            <m:r>
              <m:rPr/>
              <w:rPr>
                <w:rFonts w:ascii="Cambria Math"/>
                <w:szCs w:val="21"/>
              </w:rPr>
              <m:t>W</m:t>
            </m:r>
            <m:sSub>
              <m:sSubPr>
                <m:ctrlPr>
                  <w:rPr>
                    <w:rFonts w:ascii="Cambria Math" w:hAnsi="Cambria Math"/>
                    <w:i/>
                    <w:szCs w:val="21"/>
                  </w:rPr>
                </m:ctrlPr>
              </m:sSubPr>
              <m:e>
                <m:r>
                  <m:rPr/>
                  <w:rPr>
                    <w:rFonts w:ascii="Cambria Math"/>
                    <w:szCs w:val="21"/>
                  </w:rPr>
                  <m:t>F</m:t>
                </m:r>
                <m:ctrlPr>
                  <w:rPr>
                    <w:rFonts w:ascii="Cambria Math" w:hAnsi="Cambria Math"/>
                    <w:i/>
                    <w:szCs w:val="21"/>
                  </w:rPr>
                </m:ctrlPr>
              </m:e>
              <m:sub>
                <m:r>
                  <m:rPr/>
                  <w:rPr>
                    <w:rFonts w:ascii="Cambria Math"/>
                    <w:szCs w:val="21"/>
                  </w:rPr>
                  <m:t>TOC,i</m:t>
                </m:r>
                <m:ctrlPr>
                  <w:rPr>
                    <w:rFonts w:ascii="Cambria Math" w:hAnsi="Cambria Math"/>
                    <w:i/>
                    <w:szCs w:val="21"/>
                  </w:rPr>
                </m:ctrlPr>
              </m:sub>
            </m:sSub>
            <m:ctrlPr>
              <w:rPr>
                <w:rFonts w:ascii="Cambria Math" w:hAnsi="Cambria Math"/>
                <w:i/>
                <w:szCs w:val="21"/>
              </w:rPr>
            </m:ctrlPr>
          </m:den>
        </m:f>
        <m:r>
          <m:rPr/>
          <w:rPr>
            <w:rFonts w:ascii="Cambria Math"/>
            <w:szCs w:val="21"/>
          </w:rPr>
          <m:t>=1</m:t>
        </m:r>
      </m:oMath>
      <w:r>
        <w:rPr>
          <w:rFonts w:hint="eastAsia"/>
        </w:rPr>
        <w:t>计。</w:t>
      </w:r>
    </w:p>
    <w:p w14:paraId="296F24B3">
      <w:pPr>
        <w:pStyle w:val="4"/>
        <w:ind w:left="0" w:firstLine="0"/>
      </w:pPr>
      <w:bookmarkStart w:id="91" w:name="_Toc170504758"/>
      <w:bookmarkStart w:id="92" w:name="_Toc170504534"/>
      <w:bookmarkStart w:id="93" w:name="_Toc170504494"/>
      <w:r>
        <w:rPr>
          <w:rFonts w:hint="eastAsia"/>
        </w:rPr>
        <w:t>6</w:t>
      </w:r>
      <w:r>
        <w:t xml:space="preserve">.3.3 </w:t>
      </w:r>
      <w:r>
        <w:rPr>
          <w:rFonts w:hint="eastAsia"/>
        </w:rPr>
        <w:t>有机液体储存与调和挥发损失</w:t>
      </w:r>
      <w:bookmarkEnd w:id="91"/>
      <w:bookmarkEnd w:id="92"/>
      <w:bookmarkEnd w:id="93"/>
    </w:p>
    <w:p w14:paraId="27DFC058">
      <w:pPr>
        <w:pStyle w:val="25"/>
        <w:spacing w:line="360" w:lineRule="auto"/>
        <w:ind w:firstLine="420"/>
      </w:pPr>
      <w:r>
        <w:rPr>
          <w:rFonts w:hint="eastAsia"/>
        </w:rPr>
        <w:t>采用公式法应用于固定顶罐和浮顶罐。不适用于以下情况：所储物料组分不稳定或真实蒸汽压高于大气压、蒸气压未知或无法测量的；储罐浮盘设施失效的；其他不符合相关环保要求的。</w:t>
      </w:r>
    </w:p>
    <w:p w14:paraId="4DE2B73A">
      <w:pPr>
        <w:spacing w:line="360" w:lineRule="auto"/>
        <w:jc w:val="center"/>
        <w:rPr>
          <w:rFonts w:hAnsi="宋体"/>
        </w:rPr>
      </w:pPr>
      <w:bookmarkStart w:id="94" w:name="OLE_LINK8"/>
      <w:r>
        <w:rPr>
          <w:rFonts w:ascii="Times New Roman"/>
          <w:position w:val="-28"/>
        </w:rPr>
        <w:object>
          <v:shape id="_x0000_i1025" o:spt="75" type="#_x0000_t75" style="height:36pt;width:129.7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bookmarkEnd w:id="94"/>
      <w:r>
        <w:rPr>
          <w:rFonts w:hint="eastAsia" w:ascii="Times New Roman"/>
        </w:rPr>
        <w:t xml:space="preserve"> </w:t>
      </w:r>
      <w:r>
        <w:rPr>
          <w:rFonts w:ascii="Times New Roman"/>
        </w:rPr>
        <w:t xml:space="preserve">  </w:t>
      </w:r>
      <w:r>
        <w:rPr>
          <w:rFonts w:hAnsi="宋体"/>
        </w:rPr>
        <w:t xml:space="preserve"> (</w:t>
      </w:r>
      <w:r>
        <w:rPr>
          <w:rFonts w:hint="eastAsia" w:hAnsi="宋体"/>
        </w:rPr>
        <w:t>5</w:t>
      </w:r>
      <w:r>
        <w:rPr>
          <w:rFonts w:hAnsi="宋体"/>
        </w:rPr>
        <w:t>)</w:t>
      </w:r>
    </w:p>
    <w:p w14:paraId="0D9BFBF3">
      <w:pPr>
        <w:pStyle w:val="25"/>
        <w:spacing w:line="360" w:lineRule="auto"/>
        <w:ind w:firstLine="420"/>
      </w:pPr>
      <w:r>
        <w:rPr>
          <w:rFonts w:hint="eastAsia"/>
        </w:rPr>
        <w:t>式中，E</w:t>
      </w:r>
      <w:r>
        <w:rPr>
          <w:rFonts w:hint="eastAsia"/>
          <w:vertAlign w:val="subscript"/>
        </w:rPr>
        <w:t>储罐</w:t>
      </w:r>
      <w:r>
        <w:rPr>
          <w:rFonts w:hint="eastAsia"/>
        </w:rPr>
        <w:t>为统计期内储罐的VOCs产生量，千克；E</w:t>
      </w:r>
      <w:r>
        <w:rPr>
          <w:rFonts w:hint="eastAsia"/>
          <w:vertAlign w:val="subscript"/>
        </w:rPr>
        <w:t>固,i</w:t>
      </w:r>
      <w:r>
        <w:rPr>
          <w:rFonts w:hint="eastAsia"/>
        </w:rPr>
        <w:t>为统计期内固定顶罐i的VOCs产生量，千克；n为固定顶罐的数量，个；E</w:t>
      </w:r>
      <w:r>
        <w:rPr>
          <w:rFonts w:hint="eastAsia"/>
          <w:vertAlign w:val="subscript"/>
        </w:rPr>
        <w:t>浮,i</w:t>
      </w:r>
      <w:r>
        <w:rPr>
          <w:rFonts w:hint="eastAsia"/>
        </w:rPr>
        <w:t>为统计期内浮顶罐i的VOCs产生量，千克；m为浮顶罐的数量，个。</w:t>
      </w:r>
    </w:p>
    <w:p w14:paraId="341D3E85">
      <w:pPr>
        <w:pStyle w:val="4"/>
        <w:ind w:left="0" w:firstLine="0"/>
      </w:pPr>
      <w:bookmarkStart w:id="95" w:name="_Toc170504495"/>
      <w:bookmarkStart w:id="96" w:name="_Toc170504535"/>
      <w:bookmarkStart w:id="97" w:name="_Toc170504759"/>
      <w:r>
        <w:rPr>
          <w:rFonts w:hint="eastAsia"/>
        </w:rPr>
        <w:t>6</w:t>
      </w:r>
      <w:r>
        <w:t xml:space="preserve">.3.4 </w:t>
      </w:r>
      <w:r>
        <w:rPr>
          <w:rFonts w:hint="eastAsia"/>
        </w:rPr>
        <w:t>废水集输、储存、处理处置过程逸散</w:t>
      </w:r>
      <w:bookmarkEnd w:id="95"/>
      <w:bookmarkEnd w:id="96"/>
      <w:bookmarkEnd w:id="97"/>
    </w:p>
    <w:p w14:paraId="60F4325B">
      <w:pPr>
        <w:pStyle w:val="25"/>
        <w:spacing w:line="360" w:lineRule="auto"/>
        <w:ind w:firstLine="420"/>
      </w:pPr>
      <w:r>
        <w:t>废水环节的VOCs产生量为水面油层中和水中VOCs产生量的加和，见</w:t>
      </w:r>
      <w:r>
        <w:rPr>
          <w:rFonts w:hint="eastAsia"/>
        </w:rPr>
        <w:t>如下</w:t>
      </w:r>
      <w:r>
        <w:t>公式</w:t>
      </w:r>
      <w:r>
        <w:rPr>
          <w:rFonts w:hint="eastAsia"/>
        </w:rPr>
        <w:t>：</w:t>
      </w:r>
    </w:p>
    <w:p w14:paraId="133CB630">
      <w:pPr>
        <w:pStyle w:val="25"/>
        <w:spacing w:line="360" w:lineRule="auto"/>
        <w:ind w:firstLine="422"/>
        <w:jc w:val="center"/>
      </w:pPr>
      <w:r>
        <w:rPr>
          <w:b/>
        </w:rPr>
        <w:object>
          <v:shape id="_x0000_i1026" o:spt="75" type="#_x0000_t75" style="height:21pt;width:101.2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tab/>
      </w:r>
      <w:r>
        <w:t xml:space="preserve">      (</w:t>
      </w:r>
      <w:r>
        <w:rPr>
          <w:rFonts w:hint="eastAsia"/>
        </w:rPr>
        <w:t>6</w:t>
      </w:r>
      <w:r>
        <w:t>)</w:t>
      </w:r>
    </w:p>
    <w:p w14:paraId="1B25FCD9">
      <w:pPr>
        <w:pStyle w:val="25"/>
        <w:spacing w:line="360" w:lineRule="auto"/>
        <w:ind w:firstLine="420"/>
      </w:pPr>
      <w:r>
        <w:t>式中</w:t>
      </w:r>
      <w:r>
        <w:rPr>
          <w:rFonts w:hint="eastAsia"/>
        </w:rPr>
        <w:t>，</w:t>
      </w:r>
      <w:r>
        <w:t>E</w:t>
      </w:r>
      <w:r>
        <w:rPr>
          <w:vertAlign w:val="subscript"/>
        </w:rPr>
        <w:t>废水</w:t>
      </w:r>
      <w:r>
        <w:rPr>
          <w:rFonts w:hint="eastAsia"/>
        </w:rPr>
        <w:t>为</w:t>
      </w:r>
      <w:r>
        <w:t>统计期内废水的VOCs产生量，千克；E</w:t>
      </w:r>
      <w:r>
        <w:rPr>
          <w:vertAlign w:val="subscript"/>
        </w:rPr>
        <w:t>油相</w:t>
      </w:r>
      <w:r>
        <w:rPr>
          <w:rFonts w:hint="eastAsia"/>
        </w:rPr>
        <w:t>为</w:t>
      </w:r>
      <w:r>
        <w:t>统计期内收集系统集水井、处理系统浮选池和隔油池中油层的VOCs产生量，千克，按固定顶罐</w:t>
      </w:r>
      <w:r>
        <w:rPr>
          <w:rFonts w:hint="eastAsia"/>
        </w:rPr>
        <w:t>的公式</w:t>
      </w:r>
      <w:r>
        <w:t>法计算，详见公式4.4-2，其中浮油真实蒸汽压需要实测，如无实测，按85千帕计算；E</w:t>
      </w:r>
      <w:r>
        <w:rPr>
          <w:vertAlign w:val="subscript"/>
        </w:rPr>
        <w:t>水相</w:t>
      </w:r>
      <w:r>
        <w:rPr>
          <w:rFonts w:hint="eastAsia"/>
        </w:rPr>
        <w:t>为</w:t>
      </w:r>
      <w:r>
        <w:t>统计期内废水收集支线和废水处理厂水相中VOCs产生量，千克，按</w:t>
      </w:r>
      <w:r>
        <w:rPr>
          <w:rFonts w:hint="eastAsia"/>
        </w:rPr>
        <w:t>如下</w:t>
      </w:r>
      <w:r>
        <w:t>公式计算；</w:t>
      </w:r>
    </w:p>
    <w:p w14:paraId="1B61C728">
      <w:pPr>
        <w:pStyle w:val="25"/>
        <w:spacing w:line="360" w:lineRule="auto"/>
        <w:ind w:firstLine="422"/>
        <w:jc w:val="center"/>
      </w:pPr>
      <w:r>
        <w:rPr>
          <w:b/>
        </w:rPr>
        <w:object>
          <v:shape id="_x0000_i1027" o:spt="75" type="#_x0000_t75" style="height:35.25pt;width:276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t xml:space="preserve">     (</w:t>
      </w:r>
      <w:r>
        <w:rPr>
          <w:rFonts w:hint="eastAsia"/>
        </w:rPr>
        <w:t>7</w:t>
      </w:r>
      <w:r>
        <w:t>)</w:t>
      </w:r>
    </w:p>
    <w:p w14:paraId="11221776">
      <w:pPr>
        <w:pStyle w:val="25"/>
        <w:spacing w:line="360" w:lineRule="auto"/>
        <w:ind w:firstLine="420"/>
      </w:pPr>
      <w:r>
        <w:t>式中：E</w:t>
      </w:r>
      <w:r>
        <w:rPr>
          <w:vertAlign w:val="subscript"/>
        </w:rPr>
        <w:t>水相</w:t>
      </w:r>
      <w:r>
        <w:rPr>
          <w:rFonts w:hint="eastAsia"/>
        </w:rPr>
        <w:t>为</w:t>
      </w:r>
      <w:r>
        <w:t>统计期内废水的VOCs产生量，千克；Q</w:t>
      </w:r>
      <w:r>
        <w:rPr>
          <w:vertAlign w:val="subscript"/>
        </w:rPr>
        <w:t>i</w:t>
      </w:r>
      <w:r>
        <w:rPr>
          <w:rFonts w:hint="eastAsia"/>
        </w:rPr>
        <w:t>为</w:t>
      </w:r>
      <w:r>
        <w:t>废水收集或处理设施的废水流量，立方米/小时；EVOCs</w:t>
      </w:r>
      <w:r>
        <w:rPr>
          <w:vertAlign w:val="subscript"/>
        </w:rPr>
        <w:t>进水</w:t>
      </w:r>
      <w:r>
        <w:t>，i</w:t>
      </w:r>
      <w:r>
        <w:rPr>
          <w:rFonts w:hint="eastAsia"/>
        </w:rPr>
        <w:t>为</w:t>
      </w:r>
      <w:r>
        <w:t>废水收集、处理设施i进水中的逸散性挥发性有机物浓度，毫克/升；EVOCs</w:t>
      </w:r>
      <w:r>
        <w:rPr>
          <w:vertAlign w:val="subscript"/>
        </w:rPr>
        <w:t>出水</w:t>
      </w:r>
      <w:r>
        <w:t>，i</w:t>
      </w:r>
      <w:r>
        <w:rPr>
          <w:rFonts w:hint="eastAsia"/>
        </w:rPr>
        <w:t>为</w:t>
      </w:r>
      <w:r>
        <w:t>废水收集或处理设施i出水中的逸散性挥发性有机物浓度，毫克/升；t</w:t>
      </w:r>
      <w:r>
        <w:rPr>
          <w:vertAlign w:val="subscript"/>
        </w:rPr>
        <w:t>i</w:t>
      </w:r>
      <w:r>
        <w:rPr>
          <w:rFonts w:hint="eastAsia"/>
        </w:rPr>
        <w:t>为统计</w:t>
      </w:r>
      <w:r>
        <w:t>期内废气处理设施i的运行时间，小时。</w:t>
      </w:r>
    </w:p>
    <w:p w14:paraId="63EAB9BF">
      <w:pPr>
        <w:pStyle w:val="4"/>
        <w:ind w:left="0" w:firstLine="0"/>
      </w:pPr>
      <w:bookmarkStart w:id="98" w:name="_Toc170504496"/>
      <w:bookmarkStart w:id="99" w:name="_Toc170504536"/>
      <w:bookmarkStart w:id="100" w:name="_Toc170504760"/>
      <w:r>
        <w:rPr>
          <w:rFonts w:hint="eastAsia"/>
        </w:rPr>
        <w:t>6</w:t>
      </w:r>
      <w:r>
        <w:t xml:space="preserve">.3.5 </w:t>
      </w:r>
      <w:r>
        <w:rPr>
          <w:rFonts w:hint="eastAsia"/>
        </w:rPr>
        <w:t>工艺废气排放</w:t>
      </w:r>
      <w:bookmarkEnd w:id="98"/>
      <w:bookmarkEnd w:id="99"/>
      <w:bookmarkEnd w:id="100"/>
    </w:p>
    <w:p w14:paraId="3EE4B0D9">
      <w:pPr>
        <w:pStyle w:val="25"/>
        <w:spacing w:line="360" w:lineRule="auto"/>
        <w:ind w:firstLine="420"/>
      </w:pPr>
      <w:bookmarkStart w:id="101" w:name="OLE_LINK21"/>
      <w:r>
        <w:rPr>
          <w:rFonts w:hint="eastAsia"/>
        </w:rPr>
        <w:t>通过对工艺废气排气筒出口的气体流量和污染物浓度以及污染控制设施的治理效率进行实测，计算工艺废气VOCs的排放量</w:t>
      </w:r>
      <w:bookmarkEnd w:id="101"/>
      <w:r>
        <w:rPr>
          <w:rFonts w:hint="eastAsia"/>
        </w:rPr>
        <w:t>，计算方法见公式：</w:t>
      </w:r>
    </w:p>
    <w:p w14:paraId="66615437">
      <w:pPr>
        <w:pStyle w:val="25"/>
        <w:spacing w:line="360" w:lineRule="auto"/>
        <w:ind w:firstLine="422"/>
        <w:jc w:val="center"/>
      </w:pPr>
      <w:r>
        <w:rPr>
          <w:b/>
        </w:rPr>
        <w:object>
          <v:shape id="_x0000_i1028" o:spt="75" type="#_x0000_t75" style="height:48pt;width:227.9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b/>
        </w:rPr>
        <w:t xml:space="preserve">  </w:t>
      </w:r>
      <w:r>
        <w:rPr>
          <w:rFonts w:hint="eastAsia"/>
          <w:b/>
        </w:rPr>
        <w:t xml:space="preserve">  </w:t>
      </w:r>
      <w:r>
        <w:t xml:space="preserve"> (8)</w:t>
      </w:r>
    </w:p>
    <w:p w14:paraId="3EE8A496">
      <w:pPr>
        <w:pStyle w:val="25"/>
        <w:spacing w:line="360" w:lineRule="auto"/>
        <w:ind w:firstLine="420"/>
      </w:pPr>
      <w:r>
        <w:rPr>
          <w:rFonts w:hint="eastAsia"/>
        </w:rPr>
        <w:t>式中，</w:t>
      </w:r>
      <w:r>
        <w:t>E</w:t>
      </w:r>
      <w:r>
        <w:rPr>
          <w:vertAlign w:val="subscript"/>
        </w:rPr>
        <w:t>工艺</w:t>
      </w:r>
      <w:r>
        <w:rPr>
          <w:rFonts w:hint="eastAsia"/>
        </w:rPr>
        <w:t>为</w:t>
      </w:r>
      <w:r>
        <w:t>工艺废气的VOCs产生量，千克/年；Q</w:t>
      </w:r>
      <w:r>
        <w:rPr>
          <w:vertAlign w:val="subscript"/>
        </w:rPr>
        <w:t>i</w:t>
      </w:r>
      <w:r>
        <w:rPr>
          <w:rFonts w:hint="eastAsia"/>
        </w:rPr>
        <w:t>为</w:t>
      </w:r>
      <w:r>
        <w:t>工艺废气污染控制设施i出口实测气体流量，立方米/小时；C</w:t>
      </w:r>
      <w:r>
        <w:rPr>
          <w:vertAlign w:val="subscript"/>
        </w:rPr>
        <w:t>i</w:t>
      </w:r>
      <w:r>
        <w:rPr>
          <w:rFonts w:hint="eastAsia"/>
        </w:rPr>
        <w:t>为</w:t>
      </w:r>
      <w:r>
        <w:t>工艺废气污染控制设施i出口实测VOCs平均浓度，毫克/立方米；Q</w:t>
      </w:r>
      <w:r>
        <w:rPr>
          <w:vertAlign w:val="subscript"/>
        </w:rPr>
        <w:t>i</w:t>
      </w:r>
      <w:r>
        <w:t>×C</w:t>
      </w:r>
      <w:r>
        <w:rPr>
          <w:vertAlign w:val="subscript"/>
        </w:rPr>
        <w:t>i</w:t>
      </w:r>
      <w:r>
        <w:t>×10</w:t>
      </w:r>
      <w:r>
        <w:rPr>
          <w:vertAlign w:val="superscript"/>
        </w:rPr>
        <w:t>-6</w:t>
      </w:r>
      <w:r>
        <w:rPr>
          <w:rFonts w:hint="eastAsia"/>
        </w:rPr>
        <w:t>为</w:t>
      </w:r>
      <w:r>
        <w:t>工艺废气污染控制设施i的VOCs实测排放速率平均值，千克/小时；t</w:t>
      </w:r>
      <w:r>
        <w:rPr>
          <w:rFonts w:hint="eastAsia"/>
        </w:rPr>
        <w:t>为</w:t>
      </w:r>
      <w:r>
        <w:t>计算时段内该工艺废气污染控制设施的运行小时数，小时/年；η</w:t>
      </w:r>
      <w:r>
        <w:rPr>
          <w:vertAlign w:val="subscript"/>
        </w:rPr>
        <w:t>捕</w:t>
      </w:r>
      <w:r>
        <w:rPr>
          <w:rFonts w:hint="eastAsia"/>
        </w:rPr>
        <w:t>为</w:t>
      </w:r>
      <w:r>
        <w:t>工艺废气污染控制设施i的捕集效率；η</w:t>
      </w:r>
      <w:r>
        <w:rPr>
          <w:vertAlign w:val="subscript"/>
        </w:rPr>
        <w:t>去</w:t>
      </w:r>
      <w:r>
        <w:rPr>
          <w:rFonts w:hint="eastAsia"/>
        </w:rPr>
        <w:t>为</w:t>
      </w:r>
      <w:r>
        <w:t>工艺废气污染控制设施i的VOCs去除效率。</w:t>
      </w:r>
      <w:bookmarkStart w:id="102" w:name="_Toc137109117"/>
      <w:bookmarkStart w:id="103" w:name="_Toc137108844"/>
      <w:bookmarkStart w:id="104" w:name="_Toc168578073"/>
    </w:p>
    <w:p w14:paraId="7DFEE9D4">
      <w:pPr>
        <w:pStyle w:val="4"/>
        <w:ind w:left="0" w:firstLine="0"/>
      </w:pPr>
      <w:bookmarkStart w:id="105" w:name="_Toc170504537"/>
      <w:bookmarkStart w:id="106" w:name="_Toc170504497"/>
      <w:bookmarkStart w:id="107" w:name="_Toc170504761"/>
      <w:r>
        <w:rPr>
          <w:rFonts w:hint="eastAsia"/>
        </w:rPr>
        <w:t>6</w:t>
      </w:r>
      <w:r>
        <w:t>.3.6 溶剂再生</w:t>
      </w:r>
      <w:r>
        <w:rPr>
          <w:rFonts w:hint="eastAsia"/>
        </w:rPr>
        <w:t>挥发损失</w:t>
      </w:r>
      <w:bookmarkEnd w:id="102"/>
      <w:bookmarkEnd w:id="103"/>
      <w:bookmarkEnd w:id="104"/>
      <w:bookmarkEnd w:id="105"/>
      <w:bookmarkEnd w:id="106"/>
      <w:bookmarkEnd w:id="107"/>
    </w:p>
    <w:p w14:paraId="375D53F7">
      <w:pPr>
        <w:pStyle w:val="25"/>
        <w:ind w:firstLine="420"/>
      </w:pPr>
      <w:r>
        <w:rPr>
          <w:rFonts w:hint="eastAsia"/>
        </w:rPr>
        <w:t>主要指对清洗等环节产生的废溶剂进行再生利用的过程。在电子电路制造生产中，废的清洗溶剂可以被纯化和再使用。</w:t>
      </w:r>
    </w:p>
    <w:p w14:paraId="126AFE94">
      <w:pPr>
        <w:pStyle w:val="25"/>
        <w:ind w:firstLine="420"/>
      </w:pPr>
      <w:r>
        <w:rPr>
          <w:rFonts w:hint="eastAsia"/>
        </w:rPr>
        <w:t>蒸馏是最常用的纯化溶剂的方法之一。间歇蒸馏的过程至少包括三个独立的操作单元：（1）投入废溶剂，（2）加热至接近溶剂沸点，（3）将蒸馏液收集到接收器中，其（1）和（3）操作按照公式</w:t>
      </w:r>
      <w:r>
        <w:t>4</w:t>
      </w:r>
      <w:r>
        <w:rPr>
          <w:rFonts w:hint="eastAsia"/>
        </w:rPr>
        <w:t>.</w:t>
      </w:r>
      <w:r>
        <w:t>7</w:t>
      </w:r>
      <w:r>
        <w:rPr>
          <w:rFonts w:hint="eastAsia"/>
        </w:rPr>
        <w:t>-3计算VOCs产生量，（2）按照公式9计算VOCs产生量。</w:t>
      </w:r>
    </w:p>
    <w:p w14:paraId="2DB5310F">
      <w:pPr>
        <w:pStyle w:val="25"/>
        <w:ind w:firstLine="422"/>
        <w:jc w:val="center"/>
      </w:pPr>
      <w:r>
        <w:rPr>
          <w:b/>
        </w:rPr>
        <w:object>
          <v:shape id="_x0000_i1029" o:spt="75" type="#_x0000_t75" style="height:36.45pt;width:119.7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b/>
        </w:rPr>
        <w:t xml:space="preserve">     </w:t>
      </w:r>
      <w:r>
        <w:rPr>
          <w:rFonts w:hint="eastAsia"/>
          <w:b/>
        </w:rPr>
        <w:t xml:space="preserve">  </w:t>
      </w:r>
      <w:r>
        <w:t>(9)</w:t>
      </w:r>
    </w:p>
    <w:p w14:paraId="1B27D642">
      <w:pPr>
        <w:pStyle w:val="25"/>
        <w:ind w:firstLine="420"/>
      </w:pPr>
      <w:r>
        <w:t>式中</w:t>
      </w:r>
      <w:r>
        <w:rPr>
          <w:rFonts w:hint="eastAsia"/>
        </w:rPr>
        <w:t>,</w:t>
      </w:r>
      <w:r>
        <w:t>E</w:t>
      </w:r>
      <w:r>
        <w:rPr>
          <w:vertAlign w:val="subscript"/>
        </w:rPr>
        <w:t>溶剂</w:t>
      </w:r>
      <w:r>
        <w:rPr>
          <w:rFonts w:hint="eastAsia"/>
        </w:rPr>
        <w:t>为</w:t>
      </w:r>
      <w:r>
        <w:t>统计期内溶剂再生环节的VOCs产生量；(P</w:t>
      </w:r>
      <w:r>
        <w:rPr>
          <w:vertAlign w:val="subscript"/>
        </w:rPr>
        <w:t>x</w:t>
      </w:r>
      <w:r>
        <w:t>)O</w:t>
      </w:r>
      <w:r>
        <w:rPr>
          <w:rFonts w:hint="eastAsia"/>
        </w:rPr>
        <w:t>为</w:t>
      </w:r>
      <w:r>
        <w:t>VOCs中物质x在冷凝室出口温度下的分压（当只有一种化合物时，也指纯化合物的蒸汽压），帕（绝压）；</w:t>
      </w:r>
      <w:r>
        <w:rPr>
          <w:rFonts w:hint="eastAsia"/>
        </w:rPr>
        <w:t>△n为在容器初始温度下的摩尔数，摩尔；M</w:t>
      </w:r>
      <w:r>
        <w:rPr>
          <w:rFonts w:hint="eastAsia"/>
          <w:vertAlign w:val="subscript"/>
        </w:rPr>
        <w:t>x</w:t>
      </w:r>
      <w:r>
        <w:rPr>
          <w:rFonts w:hint="eastAsia"/>
        </w:rPr>
        <w:t>为物质x的摩尔质量，克/摩尔；</w:t>
      </w:r>
      <w:r>
        <w:t>P</w:t>
      </w:r>
      <w:r>
        <w:rPr>
          <w:vertAlign w:val="subscript"/>
        </w:rPr>
        <w:t>a1</w:t>
      </w:r>
      <w:r>
        <w:rPr>
          <w:rFonts w:hint="eastAsia"/>
        </w:rPr>
        <w:t>为</w:t>
      </w:r>
      <w:r>
        <w:t>空气在泠凝室出口温度下的分压，帕（绝压）</w:t>
      </w:r>
      <w:r>
        <w:rPr>
          <w:rFonts w:hint="eastAsia"/>
        </w:rPr>
        <w:t>。</w:t>
      </w:r>
    </w:p>
    <w:p w14:paraId="6253523B">
      <w:pPr>
        <w:pStyle w:val="4"/>
        <w:ind w:left="0" w:firstLine="0"/>
      </w:pPr>
      <w:bookmarkStart w:id="108" w:name="_Toc170504538"/>
      <w:bookmarkStart w:id="109" w:name="_Toc170504498"/>
      <w:bookmarkStart w:id="110" w:name="_Toc170504762"/>
      <w:r>
        <w:rPr>
          <w:rFonts w:hint="eastAsia"/>
        </w:rPr>
        <w:t>6</w:t>
      </w:r>
      <w:r>
        <w:t xml:space="preserve">.3.7 </w:t>
      </w:r>
      <w:r>
        <w:rPr>
          <w:rFonts w:hint="eastAsia"/>
        </w:rPr>
        <w:t>实验室废气排放</w:t>
      </w:r>
      <w:bookmarkEnd w:id="108"/>
      <w:bookmarkEnd w:id="109"/>
      <w:bookmarkEnd w:id="110"/>
    </w:p>
    <w:p w14:paraId="31867A60">
      <w:pPr>
        <w:pStyle w:val="25"/>
        <w:spacing w:line="360" w:lineRule="auto"/>
        <w:ind w:firstLine="420"/>
      </w:pPr>
      <w:r>
        <w:rPr>
          <w:rFonts w:hint="eastAsia"/>
        </w:rPr>
        <w:t>实验室废气排放过程中VOCs产生来源于VOCs使用。含VOCs物料包括但不限于：主剂、固化剂、稀释剂、清洗剂、树脂、助剂等。</w:t>
      </w:r>
    </w:p>
    <w:p w14:paraId="0F117FA8">
      <w:pPr>
        <w:pStyle w:val="25"/>
        <w:spacing w:line="360" w:lineRule="auto"/>
        <w:ind w:firstLine="420"/>
      </w:pPr>
      <w:r>
        <w:rPr>
          <w:rFonts w:hint="eastAsia"/>
        </w:rPr>
        <w:t>根据产品小样实验VOCs排放特点，采用公式法计算VOCs产生量，见公式</w:t>
      </w:r>
      <w:r>
        <w:t>10</w:t>
      </w:r>
      <w:r>
        <w:rPr>
          <w:rFonts w:hint="eastAsia"/>
        </w:rPr>
        <w:t>。</w:t>
      </w:r>
    </w:p>
    <w:p w14:paraId="2D5B0E26">
      <w:pPr>
        <w:pStyle w:val="25"/>
        <w:spacing w:line="360" w:lineRule="auto"/>
        <w:ind w:firstLine="422"/>
        <w:jc w:val="center"/>
      </w:pPr>
      <w:r>
        <w:rPr>
          <w:b/>
        </w:rPr>
        <w:object>
          <v:shape id="_x0000_i1030" o:spt="75" type="#_x0000_t75" style="height:20.55pt;width:93.5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hint="eastAsia"/>
        </w:rPr>
        <w:t xml:space="preserve">        (1</w:t>
      </w:r>
      <w:r>
        <w:t>0</w:t>
      </w:r>
      <w:r>
        <w:rPr>
          <w:rFonts w:hint="eastAsia"/>
        </w:rPr>
        <w:t>)</w:t>
      </w:r>
    </w:p>
    <w:p w14:paraId="193A9189">
      <w:pPr>
        <w:pStyle w:val="25"/>
        <w:spacing w:line="360" w:lineRule="auto"/>
        <w:ind w:firstLine="420"/>
      </w:pPr>
      <w:r>
        <w:rPr>
          <w:rFonts w:hint="eastAsia"/>
        </w:rPr>
        <w:t>式中：E物料为统计期内使用物料中VOCs量之和，千克；E回收为统计期内各种VOCs溶剂与废弃物（含固体和液体）回收物中VOCs量之和，千克。</w:t>
      </w:r>
    </w:p>
    <w:p w14:paraId="76EE046A">
      <w:pPr>
        <w:pStyle w:val="4"/>
        <w:ind w:left="0" w:firstLine="0"/>
      </w:pPr>
      <w:bookmarkStart w:id="111" w:name="_Toc170504763"/>
      <w:bookmarkStart w:id="112" w:name="_Toc170504499"/>
      <w:bookmarkStart w:id="113" w:name="_Toc170504539"/>
      <w:r>
        <w:rPr>
          <w:rFonts w:hint="eastAsia"/>
        </w:rPr>
        <w:t>6</w:t>
      </w:r>
      <w:r>
        <w:t xml:space="preserve">.3.8 </w:t>
      </w:r>
      <w:r>
        <w:rPr>
          <w:rFonts w:hint="eastAsia"/>
        </w:rPr>
        <w:t>排放系数获取方法</w:t>
      </w:r>
      <w:bookmarkEnd w:id="111"/>
      <w:bookmarkEnd w:id="112"/>
      <w:bookmarkEnd w:id="113"/>
    </w:p>
    <w:p w14:paraId="242C59EF">
      <w:pPr>
        <w:pStyle w:val="5"/>
        <w:kinsoku w:val="0"/>
        <w:overflowPunct w:val="0"/>
        <w:spacing w:line="360" w:lineRule="auto"/>
        <w:ind w:right="476" w:firstLine="420" w:firstLineChars="200"/>
        <w:jc w:val="both"/>
      </w:pPr>
      <w:r>
        <w:rPr>
          <w:rFonts w:hint="eastAsia"/>
        </w:rPr>
        <w:t>本指南 VOCs 排放系数来源主要有两个方面：文献调研数据和估算数据。文献调研数据包括国内外科技文献、国外排放系数库、行业报告等来源数据，估算数据包括模型估算和物料衡算方法计算数据。根据排放系数来源可靠性及国内外差异性本研究制定排放系数的确定原则：</w:t>
      </w:r>
    </w:p>
    <w:p w14:paraId="5482F060">
      <w:pPr>
        <w:pStyle w:val="5"/>
        <w:kinsoku w:val="0"/>
        <w:overflowPunct w:val="0"/>
        <w:spacing w:line="360" w:lineRule="auto"/>
        <w:ind w:right="476" w:firstLine="420" w:firstLineChars="200"/>
        <w:jc w:val="both"/>
      </w:pPr>
      <w:r>
        <w:rPr>
          <w:rFonts w:hint="eastAsia"/>
        </w:rPr>
        <w:t>（1）优先本土实测并验证可信的排放系数以及国家制定的排放标准限值；</w:t>
      </w:r>
    </w:p>
    <w:p w14:paraId="3E4C88D0">
      <w:pPr>
        <w:pStyle w:val="5"/>
        <w:kinsoku w:val="0"/>
        <w:overflowPunct w:val="0"/>
        <w:spacing w:line="360" w:lineRule="auto"/>
        <w:ind w:right="476" w:firstLine="420" w:firstLineChars="200"/>
        <w:jc w:val="both"/>
      </w:pPr>
      <w:r>
        <w:rPr>
          <w:rFonts w:hint="eastAsia"/>
        </w:rPr>
        <w:t>（2）无本土数据或排放标准限值的情况下参考国外参考文献或排放系数数据库数据，需要考虑与我国技术水平是否吻合，如不吻合，参考《工业污染源产排污系数手册》提供的我国相应部门工艺、规模等信息对其进行修正；</w:t>
      </w:r>
    </w:p>
    <w:p w14:paraId="192969A8">
      <w:pPr>
        <w:pStyle w:val="5"/>
        <w:kinsoku w:val="0"/>
        <w:overflowPunct w:val="0"/>
        <w:spacing w:line="360" w:lineRule="auto"/>
        <w:ind w:right="476" w:firstLine="420" w:firstLineChars="200"/>
        <w:jc w:val="both"/>
      </w:pPr>
      <w:r>
        <w:rPr>
          <w:rFonts w:hint="eastAsia"/>
        </w:rPr>
        <w:t>（3）以上方法均不可采用的情况下应用模型估算或物料衡算法。</w:t>
      </w:r>
    </w:p>
    <w:p w14:paraId="64C7208E">
      <w:pPr>
        <w:pStyle w:val="4"/>
        <w:ind w:left="0" w:firstLine="0"/>
      </w:pPr>
      <w:bookmarkStart w:id="114" w:name="_Toc170504500"/>
      <w:bookmarkStart w:id="115" w:name="_Toc170504540"/>
      <w:bookmarkStart w:id="116" w:name="_Toc170504764"/>
      <w:r>
        <w:rPr>
          <w:rFonts w:hint="eastAsia"/>
        </w:rPr>
        <w:t>6</w:t>
      </w:r>
      <w:r>
        <w:t xml:space="preserve">.3.9 </w:t>
      </w:r>
      <w:r>
        <w:rPr>
          <w:rFonts w:hint="eastAsia"/>
        </w:rPr>
        <w:t>不确定性分析</w:t>
      </w:r>
      <w:bookmarkEnd w:id="114"/>
      <w:bookmarkEnd w:id="115"/>
      <w:bookmarkEnd w:id="116"/>
    </w:p>
    <w:p w14:paraId="4638CF36">
      <w:pPr>
        <w:pStyle w:val="5"/>
        <w:kinsoku w:val="0"/>
        <w:overflowPunct w:val="0"/>
        <w:spacing w:line="360" w:lineRule="auto"/>
        <w:ind w:right="476" w:firstLine="420" w:firstLineChars="200"/>
        <w:jc w:val="both"/>
      </w:pPr>
      <w:r>
        <w:rPr>
          <w:rFonts w:hint="eastAsia"/>
        </w:rPr>
        <w:t>在编制挥发性有机物污染物排放源清单过程中，必须尽可能地降低不确定性，尤其要确保使用的模型和收集到的数据能够代表实际情况。在降低不确定性时，应该优先考虑对整个清单不确定性有重大影响的部分。确定降低不确定性优先顺序的工具包括关键类别分析和评估特定类别的不确定性对清单总不确定性的贡献。根据出现的不确定性原因，可从以下几个方面降低不确定性：一是改进模型：改进模型结构和参数，以更好地了解和描述系统性误差和随机误差，从而降低这些不确定性；二是提高数据的代表性：如使用连续排放监测系统来监测排放数据，可得到不同生产阶段的数据，从而可以更加准确地描述源的排放属性；三是使用更精确的测量方法：包括提高测量方法的准确度以及使用一些校准技术；四是大量收集测量数据：增加样本大小可以降低与随机取样误差相关的不确定性。填补数据漏缺可以减少偏差和随机误差，这对测量和调查均适用；五是消除已知的偏差：方法有确保仪器仪表准确地定位和校准，模型或其他估算过程准确且具有代表性，以及系统性地使用专家判断；六是提高清单编制人员的能力：包括增加对排放源类别和过程的了解，从而可以发现以及纠正不完整问题。</w:t>
      </w:r>
    </w:p>
    <w:p w14:paraId="0C722C7A">
      <w:pPr>
        <w:pStyle w:val="3"/>
        <w:ind w:left="0" w:firstLine="0"/>
      </w:pPr>
      <w:bookmarkStart w:id="117" w:name="_Toc170504765"/>
      <w:bookmarkStart w:id="118" w:name="_Toc170504541"/>
      <w:bookmarkStart w:id="119" w:name="_Toc170504501"/>
      <w:r>
        <w:rPr>
          <w:rFonts w:hint="eastAsia"/>
        </w:rPr>
        <w:t>6</w:t>
      </w:r>
      <w:r>
        <w:t xml:space="preserve">.4 </w:t>
      </w:r>
      <w:r>
        <w:rPr>
          <w:rFonts w:hint="eastAsia"/>
        </w:rPr>
        <w:t>清单编制流程</w:t>
      </w:r>
      <w:bookmarkEnd w:id="117"/>
      <w:bookmarkEnd w:id="118"/>
      <w:bookmarkEnd w:id="119"/>
    </w:p>
    <w:p w14:paraId="13210057">
      <w:pPr>
        <w:numPr>
          <w:ilvl w:val="0"/>
          <w:numId w:val="4"/>
        </w:numPr>
        <w:spacing w:line="360" w:lineRule="auto"/>
        <w:ind w:left="0" w:firstLine="440" w:firstLineChars="200"/>
      </w:pPr>
      <w:r>
        <w:rPr>
          <w:rFonts w:hint="eastAsia"/>
        </w:rPr>
        <w:t>落实企业内大气挥发性有机污染物排放清单报告工作负责人。组织相关人员参加培训，制定工作计划，编制企业排放年度监测计划.</w:t>
      </w:r>
    </w:p>
    <w:p w14:paraId="7416D009">
      <w:pPr>
        <w:pStyle w:val="25"/>
        <w:numPr>
          <w:ilvl w:val="0"/>
          <w:numId w:val="4"/>
        </w:numPr>
        <w:spacing w:line="360" w:lineRule="auto"/>
        <w:ind w:left="0" w:firstLine="420"/>
      </w:pPr>
      <w:r>
        <w:rPr>
          <w:rFonts w:hint="eastAsia"/>
        </w:rPr>
        <w:t>收集本企业组织结构设置、运营管理、产能产量、能源消费等信息，确定清单范围内的排放单元和相关核算数据的来源，为核算大气挥发性有机污染物提供依据。</w:t>
      </w:r>
    </w:p>
    <w:p w14:paraId="2A37DF95">
      <w:pPr>
        <w:pStyle w:val="25"/>
        <w:numPr>
          <w:ilvl w:val="0"/>
          <w:numId w:val="4"/>
        </w:numPr>
        <w:spacing w:line="360" w:lineRule="auto"/>
        <w:ind w:left="0" w:firstLine="420"/>
      </w:pPr>
      <w:bookmarkStart w:id="120" w:name="_Toc137108852"/>
      <w:r>
        <w:rPr>
          <w:rFonts w:hint="eastAsia"/>
        </w:rPr>
        <w:t>根据指南和企业的具体情况，收集相关的活动数据和支持性资料，计算和汇总大气挥发性有机污染物排放量。通过核算过程对监测数据的需求，进一步修改和完善企业大气挥发性有机污染物排放监测计划。</w:t>
      </w:r>
      <w:bookmarkEnd w:id="120"/>
    </w:p>
    <w:p w14:paraId="3C8929C6">
      <w:pPr>
        <w:pStyle w:val="25"/>
        <w:numPr>
          <w:ilvl w:val="0"/>
          <w:numId w:val="4"/>
        </w:numPr>
        <w:spacing w:line="360" w:lineRule="auto"/>
        <w:ind w:left="0" w:firstLine="420"/>
        <w:rPr>
          <w:rFonts w:hAnsi="宋体"/>
        </w:rPr>
      </w:pPr>
      <w:bookmarkStart w:id="121" w:name="_Toc137108854"/>
      <w:r>
        <w:rPr>
          <w:rFonts w:hint="eastAsia"/>
        </w:rPr>
        <w:t>根据本指南中清单章节设置及编制要求，编制企业级挥发性有机物污染物排放源清单。成立内部审核小组，对企业挥发性有机物污染物排放核算结果进行审核，修改并完善排放源清单。</w:t>
      </w:r>
      <w:bookmarkEnd w:id="121"/>
    </w:p>
    <w:p w14:paraId="62FEC7C8">
      <w:pPr>
        <w:jc w:val="center"/>
      </w:pPr>
      <w:r>
        <mc:AlternateContent>
          <mc:Choice Requires="wpc">
            <w:drawing>
              <wp:inline distT="0" distB="0" distL="0" distR="0">
                <wp:extent cx="4666615" cy="5986145"/>
                <wp:effectExtent l="0" t="0" r="0" b="14605"/>
                <wp:docPr id="628826503" name="画布 1"/>
                <wp:cNvGraphicFramePr/>
                <a:graphic xmlns:a="http://schemas.openxmlformats.org/drawingml/2006/main">
                  <a:graphicData uri="http://schemas.microsoft.com/office/word/2010/wordprocessingCanvas">
                    <wpc:wpc>
                      <wpc:bg/>
                      <wpc:whole/>
                      <wps:wsp>
                        <wps:cNvPr id="922646965" name="直接箭头连接符 922646965"/>
                        <wps:cNvCnPr/>
                        <wps:spPr>
                          <a:xfrm>
                            <a:off x="2323790" y="519528"/>
                            <a:ext cx="0" cy="349737"/>
                          </a:xfrm>
                          <a:prstGeom prst="straightConnector1">
                            <a:avLst/>
                          </a:prstGeom>
                          <a:noFill/>
                          <a:ln w="9525">
                            <a:solidFill>
                              <a:srgbClr val="000000"/>
                            </a:solidFill>
                            <a:round/>
                            <a:tailEnd type="triangle"/>
                          </a:ln>
                        </wps:spPr>
                        <wps:bodyPr/>
                      </wps:wsp>
                      <wps:wsp>
                        <wps:cNvPr id="512546139" name="矩形 512546139"/>
                        <wps:cNvSpPr/>
                        <wps:spPr>
                          <a:xfrm>
                            <a:off x="1501170" y="869144"/>
                            <a:ext cx="1694694" cy="357301"/>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7CAE63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识别污染源构成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25630999" name="流程图: 终止 1925630999"/>
                        <wps:cNvSpPr/>
                        <wps:spPr>
                          <a:xfrm>
                            <a:off x="1454530" y="36000"/>
                            <a:ext cx="1796993" cy="483528"/>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ED97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前期准备，资料收集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2058310" name="直接箭头连接符 172058310"/>
                        <wps:cNvCnPr/>
                        <wps:spPr>
                          <a:xfrm>
                            <a:off x="2324644" y="1229087"/>
                            <a:ext cx="0" cy="349250"/>
                          </a:xfrm>
                          <a:prstGeom prst="straightConnector1">
                            <a:avLst/>
                          </a:prstGeom>
                          <a:noFill/>
                          <a:ln w="9525">
                            <a:solidFill>
                              <a:srgbClr val="000000"/>
                            </a:solidFill>
                            <a:round/>
                            <a:tailEnd type="triangle"/>
                          </a:ln>
                        </wps:spPr>
                        <wps:bodyPr/>
                      </wps:wsp>
                      <wps:wsp>
                        <wps:cNvPr id="776502778" name="矩形 776502778"/>
                        <wps:cNvSpPr/>
                        <wps:spPr>
                          <a:xfrm>
                            <a:off x="1501684" y="1578972"/>
                            <a:ext cx="1694180" cy="35687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F18C1DB">
                              <w:pPr>
                                <w:jc w:val="center"/>
                                <w:rPr>
                                  <w:color w:val="000000"/>
                                </w:rPr>
                              </w:pPr>
                              <w:r>
                                <w:rPr>
                                  <w:rFonts w:hint="eastAsia"/>
                                  <w:color w:val="000000"/>
                                </w:rPr>
                                <w:t>确定排放量计算方法</w:t>
                              </w:r>
                            </w:p>
                          </w:txbxContent>
                        </wps:txbx>
                        <wps:bodyPr rot="0" spcFirstLastPara="0" vert="horz" wrap="square" lIns="91440" tIns="45720" rIns="91440" bIns="45720" numCol="1" spcCol="0" rtlCol="0" fromWordArt="0" anchor="ctr" anchorCtr="0" forceAA="0" compatLnSpc="1">
                          <a:noAutofit/>
                        </wps:bodyPr>
                      </wps:wsp>
                      <wps:wsp>
                        <wps:cNvPr id="1948247247" name="连接符: 肘形 1948247247"/>
                        <wps:cNvCnPr/>
                        <wps:spPr bwMode="auto">
                          <a:xfrm rot="16200000" flipH="1">
                            <a:off x="2881243" y="1378363"/>
                            <a:ext cx="525461" cy="1640381"/>
                          </a:xfrm>
                          <a:prstGeom prst="bentConnector3">
                            <a:avLst>
                              <a:gd name="adj1" fmla="val 50001"/>
                            </a:avLst>
                          </a:prstGeom>
                          <a:noFill/>
                          <a:ln w="9525">
                            <a:solidFill>
                              <a:srgbClr val="000000"/>
                            </a:solidFill>
                            <a:round/>
                            <a:tailEnd type="triangle"/>
                          </a:ln>
                        </wps:spPr>
                        <wps:bodyPr/>
                      </wps:wsp>
                      <wps:wsp>
                        <wps:cNvPr id="514353866" name="矩形 514353866"/>
                        <wps:cNvSpPr/>
                        <wps:spPr>
                          <a:xfrm>
                            <a:off x="3504437" y="2461308"/>
                            <a:ext cx="969435" cy="41619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3D1C76C">
                              <w:pPr>
                                <w:jc w:val="center"/>
                                <w:rPr>
                                  <w:color w:val="000000"/>
                                </w:rPr>
                              </w:pPr>
                              <w:r>
                                <w:rPr>
                                  <w:rFonts w:hint="eastAsia"/>
                                  <w:color w:val="000000"/>
                                </w:rPr>
                                <w:t>系数法</w:t>
                              </w:r>
                            </w:p>
                          </w:txbxContent>
                        </wps:txbx>
                        <wps:bodyPr rot="0" spcFirstLastPara="0" vert="horz" wrap="square" lIns="91440" tIns="45720" rIns="91440" bIns="45720" numCol="1" spcCol="0" rtlCol="0" fromWordArt="0" anchor="ctr" anchorCtr="0" forceAA="0" compatLnSpc="1">
                          <a:noAutofit/>
                        </wps:bodyPr>
                      </wps:wsp>
                      <wps:wsp>
                        <wps:cNvPr id="68076799" name="矩形 68076799"/>
                        <wps:cNvSpPr/>
                        <wps:spPr>
                          <a:xfrm>
                            <a:off x="1820909" y="2461266"/>
                            <a:ext cx="969010" cy="41592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1DC6469">
                              <w:pPr>
                                <w:jc w:val="center"/>
                                <w:rPr>
                                  <w:color w:val="000000"/>
                                </w:rPr>
                              </w:pPr>
                              <w:r>
                                <w:rPr>
                                  <w:rFonts w:hint="eastAsia"/>
                                  <w:color w:val="000000"/>
                                </w:rPr>
                                <w:t>公式法</w:t>
                              </w:r>
                            </w:p>
                          </w:txbxContent>
                        </wps:txbx>
                        <wps:bodyPr rot="0" spcFirstLastPara="0" vert="horz" wrap="square" lIns="91440" tIns="45720" rIns="91440" bIns="45720" numCol="1" spcCol="0" rtlCol="0" fromWordArt="0" anchor="ctr" anchorCtr="0" forceAA="0" compatLnSpc="1">
                          <a:noAutofit/>
                        </wps:bodyPr>
                      </wps:wsp>
                      <wps:wsp>
                        <wps:cNvPr id="1282534946" name="矩形 1282534946"/>
                        <wps:cNvSpPr/>
                        <wps:spPr>
                          <a:xfrm>
                            <a:off x="36000" y="2478629"/>
                            <a:ext cx="969010" cy="41529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F04D261">
                              <w:pPr>
                                <w:jc w:val="center"/>
                                <w:rPr>
                                  <w:color w:val="000000"/>
                                </w:rPr>
                              </w:pPr>
                              <w:r>
                                <w:rPr>
                                  <w:rFonts w:hint="eastAsia"/>
                                  <w:color w:val="000000"/>
                                </w:rPr>
                                <w:t>实测法</w:t>
                              </w:r>
                            </w:p>
                          </w:txbxContent>
                        </wps:txbx>
                        <wps:bodyPr rot="0" spcFirstLastPara="0" vert="horz" wrap="square" lIns="91440" tIns="45720" rIns="91440" bIns="45720" numCol="1" spcCol="0" rtlCol="0" fromWordArt="0" anchor="ctr" anchorCtr="0" forceAA="0" compatLnSpc="1">
                          <a:noAutofit/>
                        </wps:bodyPr>
                      </wps:wsp>
                      <wps:wsp>
                        <wps:cNvPr id="699276833" name="连接符: 肘形 699276833"/>
                        <wps:cNvCnPr/>
                        <wps:spPr bwMode="auto">
                          <a:xfrm rot="10800000" flipV="1">
                            <a:off x="520506" y="2201209"/>
                            <a:ext cx="1803285" cy="277398"/>
                          </a:xfrm>
                          <a:prstGeom prst="bentConnector2">
                            <a:avLst/>
                          </a:prstGeom>
                          <a:noFill/>
                          <a:ln w="9525">
                            <a:solidFill>
                              <a:srgbClr val="000000"/>
                            </a:solidFill>
                            <a:round/>
                            <a:tailEnd type="triangle"/>
                          </a:ln>
                        </wps:spPr>
                        <wps:bodyPr/>
                      </wps:wsp>
                      <wps:wsp>
                        <wps:cNvPr id="943607889" name="直接箭头连接符 943607889"/>
                        <wps:cNvCnPr/>
                        <wps:spPr>
                          <a:xfrm flipH="1">
                            <a:off x="2323790" y="2184084"/>
                            <a:ext cx="854" cy="268583"/>
                          </a:xfrm>
                          <a:prstGeom prst="straightConnector1">
                            <a:avLst/>
                          </a:prstGeom>
                          <a:noFill/>
                          <a:ln w="9525">
                            <a:solidFill>
                              <a:srgbClr val="000000"/>
                            </a:solidFill>
                            <a:round/>
                            <a:tailEnd type="triangle"/>
                          </a:ln>
                        </wps:spPr>
                        <wps:bodyPr/>
                      </wps:wsp>
                      <wps:wsp>
                        <wps:cNvPr id="2100248750" name="矩形 2100248750"/>
                        <wps:cNvSpPr/>
                        <wps:spPr>
                          <a:xfrm>
                            <a:off x="1501684" y="3390879"/>
                            <a:ext cx="1694180" cy="35623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707C2F5">
                              <w:pPr>
                                <w:rPr>
                                  <w:color w:val="000000"/>
                                </w:rPr>
                              </w:pPr>
                              <w:r>
                                <w:rPr>
                                  <w:rFonts w:hint="eastAsia"/>
                                  <w:color w:val="000000"/>
                                </w:rPr>
                                <w:t>获取源的数据信息</w:t>
                              </w:r>
                            </w:p>
                          </w:txbxContent>
                        </wps:txbx>
                        <wps:bodyPr rot="0" spcFirstLastPara="0" vert="horz" wrap="square" lIns="91440" tIns="45720" rIns="91440" bIns="45720" numCol="1" spcCol="0" rtlCol="0" fromWordArt="0" anchor="ctr" anchorCtr="0" forceAA="0" compatLnSpc="1">
                          <a:noAutofit/>
                        </wps:bodyPr>
                      </wps:wsp>
                      <wps:wsp>
                        <wps:cNvPr id="370005093" name="矩形 370005093"/>
                        <wps:cNvSpPr/>
                        <wps:spPr>
                          <a:xfrm>
                            <a:off x="1502262" y="4094725"/>
                            <a:ext cx="1694180" cy="3556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FCF1B2C">
                              <w:pPr>
                                <w:jc w:val="center"/>
                                <w:rPr>
                                  <w:color w:val="000000"/>
                                </w:rPr>
                              </w:pPr>
                              <w:r>
                                <w:rPr>
                                  <w:rFonts w:hint="eastAsia"/>
                                  <w:color w:val="000000"/>
                                </w:rPr>
                                <w:t>清单数据结果</w:t>
                              </w:r>
                            </w:p>
                          </w:txbxContent>
                        </wps:txbx>
                        <wps:bodyPr rot="0" spcFirstLastPara="0" vert="horz" wrap="square" lIns="91440" tIns="45720" rIns="91440" bIns="45720" numCol="1" spcCol="0" rtlCol="0" fromWordArt="0" anchor="ctr" anchorCtr="0" forceAA="0" compatLnSpc="1">
                          <a:noAutofit/>
                        </wps:bodyPr>
                      </wps:wsp>
                      <wps:wsp>
                        <wps:cNvPr id="627580425" name="矩形 627580425"/>
                        <wps:cNvSpPr/>
                        <wps:spPr>
                          <a:xfrm>
                            <a:off x="1501748" y="4799575"/>
                            <a:ext cx="1694180" cy="35496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7527606">
                              <w:pPr>
                                <w:jc w:val="center"/>
                                <w:rPr>
                                  <w:color w:val="000000"/>
                                </w:rPr>
                              </w:pPr>
                              <w:r>
                                <w:rPr>
                                  <w:rFonts w:hint="eastAsia"/>
                                  <w:color w:val="000000"/>
                                </w:rPr>
                                <w:t>不确定性分析</w:t>
                              </w:r>
                            </w:p>
                          </w:txbxContent>
                        </wps:txbx>
                        <wps:bodyPr rot="0" spcFirstLastPara="0" vert="horz" wrap="square" lIns="91440" tIns="45720" rIns="91440" bIns="45720" numCol="1" spcCol="0" rtlCol="0" fromWordArt="0" anchor="ctr" anchorCtr="0" forceAA="0" compatLnSpc="1">
                          <a:noAutofit/>
                        </wps:bodyPr>
                      </wps:wsp>
                      <wps:wsp>
                        <wps:cNvPr id="1741982741" name="流程图: 终止 1741982741"/>
                        <wps:cNvSpPr/>
                        <wps:spPr>
                          <a:xfrm>
                            <a:off x="1455108" y="5503752"/>
                            <a:ext cx="1796415" cy="483235"/>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69494">
                              <w:pPr>
                                <w:jc w:val="center"/>
                                <w:rPr>
                                  <w:color w:val="000000"/>
                                </w:rPr>
                              </w:pPr>
                              <w:r>
                                <w:rPr>
                                  <w:rFonts w:hint="eastAsia"/>
                                  <w:color w:val="000000"/>
                                </w:rPr>
                                <w:t>编制与审核</w:t>
                              </w:r>
                            </w:p>
                          </w:txbxContent>
                        </wps:txbx>
                        <wps:bodyPr rot="0" spcFirstLastPara="0" vert="horz" wrap="square" lIns="91440" tIns="45720" rIns="91440" bIns="45720" numCol="1" spcCol="0" rtlCol="0" fromWordArt="0" anchor="t" anchorCtr="0" forceAA="0" compatLnSpc="1">
                          <a:noAutofit/>
                        </wps:bodyPr>
                      </wps:wsp>
                      <wps:wsp>
                        <wps:cNvPr id="864280652" name="直接箭头连接符 864280652"/>
                        <wps:cNvCnPr/>
                        <wps:spPr>
                          <a:xfrm>
                            <a:off x="2324368" y="5154501"/>
                            <a:ext cx="0" cy="349250"/>
                          </a:xfrm>
                          <a:prstGeom prst="straightConnector1">
                            <a:avLst/>
                          </a:prstGeom>
                          <a:noFill/>
                          <a:ln w="9525">
                            <a:solidFill>
                              <a:srgbClr val="000000"/>
                            </a:solidFill>
                            <a:round/>
                            <a:tailEnd type="triangle"/>
                          </a:ln>
                        </wps:spPr>
                        <wps:bodyPr/>
                      </wps:wsp>
                      <wps:wsp>
                        <wps:cNvPr id="2020890755" name="直接箭头连接符 2020890755"/>
                        <wps:cNvCnPr/>
                        <wps:spPr>
                          <a:xfrm>
                            <a:off x="2324368" y="4450968"/>
                            <a:ext cx="0" cy="348615"/>
                          </a:xfrm>
                          <a:prstGeom prst="straightConnector1">
                            <a:avLst/>
                          </a:prstGeom>
                          <a:noFill/>
                          <a:ln w="9525">
                            <a:solidFill>
                              <a:srgbClr val="000000"/>
                            </a:solidFill>
                            <a:round/>
                            <a:tailEnd type="triangle"/>
                          </a:ln>
                        </wps:spPr>
                        <wps:bodyPr/>
                      </wps:wsp>
                      <wps:wsp>
                        <wps:cNvPr id="1595299855" name="直接箭头连接符 1595299855"/>
                        <wps:cNvCnPr/>
                        <wps:spPr>
                          <a:xfrm>
                            <a:off x="2324368" y="3746753"/>
                            <a:ext cx="0" cy="347980"/>
                          </a:xfrm>
                          <a:prstGeom prst="straightConnector1">
                            <a:avLst/>
                          </a:prstGeom>
                          <a:noFill/>
                          <a:ln w="9525">
                            <a:solidFill>
                              <a:srgbClr val="000000"/>
                            </a:solidFill>
                            <a:round/>
                            <a:tailEnd type="triangle"/>
                          </a:ln>
                        </wps:spPr>
                        <wps:bodyPr/>
                      </wps:wsp>
                      <wps:wsp>
                        <wps:cNvPr id="88178409" name="连接符: 肘形 88178409"/>
                        <wps:cNvCnPr/>
                        <wps:spPr bwMode="auto">
                          <a:xfrm rot="16200000" flipH="1">
                            <a:off x="1304058" y="2110339"/>
                            <a:ext cx="275175" cy="1842281"/>
                          </a:xfrm>
                          <a:prstGeom prst="bentConnector2">
                            <a:avLst/>
                          </a:prstGeom>
                          <a:noFill/>
                          <a:ln w="9525">
                            <a:solidFill>
                              <a:srgbClr val="000000"/>
                            </a:solidFill>
                            <a:round/>
                            <a:tailEnd type="none"/>
                          </a:ln>
                        </wps:spPr>
                        <wps:bodyPr/>
                      </wps:wsp>
                      <wps:wsp>
                        <wps:cNvPr id="2109105553" name="连接符: 肘形 2109105553"/>
                        <wps:cNvCnPr/>
                        <wps:spPr bwMode="auto">
                          <a:xfrm rot="5400000">
                            <a:off x="3030202" y="2210056"/>
                            <a:ext cx="291533" cy="1626375"/>
                          </a:xfrm>
                          <a:prstGeom prst="bentConnector2">
                            <a:avLst/>
                          </a:prstGeom>
                          <a:noFill/>
                          <a:ln w="9525">
                            <a:solidFill>
                              <a:srgbClr val="000000"/>
                            </a:solidFill>
                            <a:round/>
                            <a:tailEnd type="none"/>
                          </a:ln>
                        </wps:spPr>
                        <wps:bodyPr/>
                      </wps:wsp>
                      <wps:wsp>
                        <wps:cNvPr id="574084906" name="直接箭头连接符 574084906"/>
                        <wps:cNvCnPr/>
                        <wps:spPr>
                          <a:xfrm>
                            <a:off x="2323790" y="2877141"/>
                            <a:ext cx="854" cy="513708"/>
                          </a:xfrm>
                          <a:prstGeom prst="straightConnector1">
                            <a:avLst/>
                          </a:prstGeom>
                          <a:noFill/>
                          <a:ln w="9525">
                            <a:solidFill>
                              <a:srgbClr val="000000"/>
                            </a:solidFill>
                            <a:round/>
                            <a:tailEnd type="triangle"/>
                          </a:ln>
                        </wps:spPr>
                        <wps:bodyPr/>
                      </wps:wsp>
                    </wpc:wpc>
                  </a:graphicData>
                </a:graphic>
              </wp:inline>
            </w:drawing>
          </mc:Choice>
          <mc:Fallback>
            <w:pict>
              <v:group id="画布 1" o:spid="_x0000_s1026" o:spt="203" style="height:471.35pt;width:367.45pt;" coordsize="4666615,5986145" editas="canvas" o:gfxdata="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">
                <o:lock v:ext="edit" aspectratio="f"/>
                <v:shape id="画布 1" o:spid="_x0000_s1026" style="position:absolute;left:0;top:0;height:5986145;width:4666615;" filled="f" stroked="f" coordsize="21600,21600" o:gfxdata="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">
                  <v:fill on="f" focussize="0,0"/>
                  <v:stroke on="f"/>
                  <v:imagedata o:title=""/>
                  <o:lock v:ext="edit" aspectratio="f"/>
                </v:shape>
                <v:shape id="_x0000_s1026" o:spid="_x0000_s1026" o:spt="32" type="#_x0000_t32" style="position:absolute;left:2323790;top:519528;height:349737;width:0;" filled="f" stroked="t" coordsize="21600,21600" o:gfxdata="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1NHfXAAAABQEAAA8AAAAAAAAAAQAgAAAAIgAAAGRycy9kb3ducmV2LnhtbFBLAQIU&#10;ABQAAAAIAIdO4kACdSWN9AEAALQDAAAOAAAAAAAAAAEAIAAAACYBAABkcnMvZTJvRG9jLnhtbFBL&#10;BQYAAAAABgAGAFkBAACMBQAAAAA=&#10;">
                  <v:fill on="f" focussize="0,0"/>
                  <v:stroke color="#000000" joinstyle="round" endarrow="block"/>
                  <v:imagedata o:title=""/>
                  <o:lock v:ext="edit" aspectratio="f"/>
                </v:shape>
                <v:rect id="_x0000_s1026" o:spid="_x0000_s1026" o:spt="1" style="position:absolute;left:1501170;top:869144;height:357301;width:1694694;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Zgk20tQAAAAFAQAADwAAAAAAAAAB&#10;ACAAAAAiAAAAZHJzL2Rvd25yZXYueG1sUEsBAhQAFAAAAAgAh07iQGNPlLyGAgAAGgUAAA4AAAAA&#10;AAAAAQAgAAAAIwEAAGRycy9lMm9Eb2MueG1sUEsFBgAAAAAGAAYAWQEAABsGAAAAAA==&#10;">
                  <v:fill on="t" focussize="0,0"/>
                  <v:stroke weight="1pt" color="#000000 [3213]" miterlimit="8" joinstyle="miter"/>
                  <v:imagedata o:title=""/>
                  <o:lock v:ext="edit" aspectratio="f"/>
                  <v:textbox>
                    <w:txbxContent>
                      <w:p w14:paraId="17CAE63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识别污染源构成</w:t>
                        </w:r>
                      </w:p>
                    </w:txbxContent>
                  </v:textbox>
                </v:rect>
                <v:shape id="_x0000_s1026" o:spid="_x0000_s1026" o:spt="116" type="#_x0000_t116" style="position:absolute;left:1454530;top:36000;height:483528;width:1796993;" fillcolor="#FFFFFF [3212]" filled="t" stroked="t" coordsize="21600,21600" o:gfxdata="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LFrKL1gAAAAUBAAAPAAAAAAAAAAEAIAAAACIAAABkcnMvZG93bnJldi54&#10;bWxQSwECFAAUAAAACACHTuJAJGZkT6cCAAAzBQAADgAAAAAAAAABACAAAAAlAQAAZHJzL2Uyb0Rv&#10;Yy54bWxQSwUGAAAAAAYABgBZAQAAPgYAAAAA&#10;">
                  <v:fill on="t" focussize="0,0"/>
                  <v:stroke weight="1pt" color="#000000 [3213]" miterlimit="8" joinstyle="miter"/>
                  <v:imagedata o:title=""/>
                  <o:lock v:ext="edit" aspectratio="f"/>
                  <v:textbox>
                    <w:txbxContent>
                      <w:p w14:paraId="5DEED97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前期准备，资料收集</w:t>
                        </w:r>
                      </w:p>
                    </w:txbxContent>
                  </v:textbox>
                </v:shape>
                <v:shape id="_x0000_s1026" o:spid="_x0000_s1026" o:spt="32" type="#_x0000_t32" style="position:absolute;left:2324644;top:1229087;height:349250;width:0;" filled="f" stroked="t" coordsize="21600,21600" o:gfxdata="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bU0d9cAAAAFAQAADwAAAAAAAAABACAAAAAiAAAAZHJzL2Rvd25yZXYueG1sUEsB&#10;AhQAFAAAAAgAh07iQLg2BeD2AQAAtQMAAA4AAAAAAAAAAQAgAAAAJgEAAGRycy9lMm9Eb2MueG1s&#10;UEsFBgAAAAAGAAYAWQEAAI4FAAAAAA==&#10;">
                  <v:fill on="f" focussize="0,0"/>
                  <v:stroke color="#000000" joinstyle="round" endarrow="block"/>
                  <v:imagedata o:title=""/>
                  <o:lock v:ext="edit" aspectratio="f"/>
                </v:shape>
                <v:rect id="_x0000_s1026" o:spid="_x0000_s1026" o:spt="1" style="position:absolute;left:1501684;top:1578972;height:356870;width:1694180;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mCTbS1AAAAAUBAAAPAAAAAAAAAAEAIAAAACIAAABkcnMv&#10;ZG93bnJldi54bWxQSwECFAAUAAAACACHTuJALJnFG3kCAADrBAAADgAAAAAAAAABACAAAAAjAQAA&#10;ZHJzL2Uyb0RvYy54bWxQSwUGAAAAAAYABgBZAQAADgYAAAAA&#10;">
                  <v:fill on="t" focussize="0,0"/>
                  <v:stroke weight="1pt" color="#000000 [3213]" miterlimit="8" joinstyle="miter"/>
                  <v:imagedata o:title=""/>
                  <o:lock v:ext="edit" aspectratio="f"/>
                  <v:textbox>
                    <w:txbxContent>
                      <w:p w14:paraId="2F18C1DB">
                        <w:pPr>
                          <w:jc w:val="center"/>
                          <w:rPr>
                            <w:color w:val="000000"/>
                          </w:rPr>
                        </w:pPr>
                        <w:r>
                          <w:rPr>
                            <w:rFonts w:hint="eastAsia"/>
                            <w:color w:val="000000"/>
                          </w:rPr>
                          <w:t>确定排放量计算方法</w:t>
                        </w:r>
                      </w:p>
                    </w:txbxContent>
                  </v:textbox>
                </v:rect>
                <v:shape id="连接符: 肘形 1948247247" o:spid="_x0000_s1026" o:spt="34" type="#_x0000_t34" style="position:absolute;left:2881243;top:1378363;flip:x;height:1640381;width:525461;rotation:5898240f;" filled="f" stroked="t" coordsize="21600,21600" o:gfxdata="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k&#10;hObK1QAAAAUBAAAPAAAAAAAAAAEAIAAAACIAAABkcnMvZG93bnJldi54bWxQSwECFAAUAAAACACH&#10;TuJAVnPwICcCAAAJBAAADgAAAAAAAAABACAAAAAkAQAAZHJzL2Uyb0RvYy54bWxQSwUGAAAAAAYA&#10;BgBZAQAAvQUAAAAA&#10;" adj="10800">
                  <v:fill on="f" focussize="0,0"/>
                  <v:stroke color="#000000" joinstyle="round" endarrow="block"/>
                  <v:imagedata o:title=""/>
                  <o:lock v:ext="edit" aspectratio="f"/>
                </v:shape>
                <v:rect id="_x0000_s1026" o:spid="_x0000_s1026" o:spt="1" style="position:absolute;left:3504437;top:2461308;height:416195;width:969435;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mCTbS1AAAAAUBAAAPAAAAAAAAAAEAIAAAACIAAABkcnMv&#10;ZG93bnJldi54bWxQSwECFAAUAAAACACHTuJArnXJ4HkCAADqBAAADgAAAAAAAAABACAAAAAjAQAA&#10;ZHJzL2Uyb0RvYy54bWxQSwUGAAAAAAYABgBZAQAADgYAAAAA&#10;">
                  <v:fill on="t" focussize="0,0"/>
                  <v:stroke weight="1pt" color="#000000 [3213]" miterlimit="8" joinstyle="miter"/>
                  <v:imagedata o:title=""/>
                  <o:lock v:ext="edit" aspectratio="f"/>
                  <v:textbox>
                    <w:txbxContent>
                      <w:p w14:paraId="63D1C76C">
                        <w:pPr>
                          <w:jc w:val="center"/>
                          <w:rPr>
                            <w:color w:val="000000"/>
                          </w:rPr>
                        </w:pPr>
                        <w:r>
                          <w:rPr>
                            <w:rFonts w:hint="eastAsia"/>
                            <w:color w:val="000000"/>
                          </w:rPr>
                          <w:t>系数法</w:t>
                        </w:r>
                      </w:p>
                    </w:txbxContent>
                  </v:textbox>
                </v:rect>
                <v:rect id="_x0000_s1026" o:spid="_x0000_s1026" o:spt="1" style="position:absolute;left:1820909;top:2461266;height:415925;width:969010;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mCTbS1AAAAAUBAAAPAAAAAAAAAAEAIAAAACIAAABkcnMvZG93&#10;bnJldi54bWxQSwECFAAUAAAACACHTuJAYRxlG3YCAADoBAAADgAAAAAAAAABACAAAAAjAQAAZHJz&#10;L2Uyb0RvYy54bWxQSwUGAAAAAAYABgBZAQAACwYAAAAA&#10;">
                  <v:fill on="t" focussize="0,0"/>
                  <v:stroke weight="1pt" color="#000000 [3213]" miterlimit="8" joinstyle="miter"/>
                  <v:imagedata o:title=""/>
                  <o:lock v:ext="edit" aspectratio="f"/>
                  <v:textbox>
                    <w:txbxContent>
                      <w:p w14:paraId="01DC6469">
                        <w:pPr>
                          <w:jc w:val="center"/>
                          <w:rPr>
                            <w:color w:val="000000"/>
                          </w:rPr>
                        </w:pPr>
                        <w:r>
                          <w:rPr>
                            <w:rFonts w:hint="eastAsia"/>
                            <w:color w:val="000000"/>
                          </w:rPr>
                          <w:t>公式法</w:t>
                        </w:r>
                      </w:p>
                    </w:txbxContent>
                  </v:textbox>
                </v:rect>
                <v:rect id="_x0000_s1026" o:spid="_x0000_s1026" o:spt="1" style="position:absolute;left:36000;top:2478629;height:415290;width:969010;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mCTbS1AAAAAUBAAAPAAAAAAAAAAEAIAAAACIAAABkcnMv&#10;ZG93bnJldi54bWxQSwECFAAUAAAACACHTuJArnNme3kCAADqBAAADgAAAAAAAAABACAAAAAjAQAA&#10;ZHJzL2Uyb0RvYy54bWxQSwUGAAAAAAYABgBZAQAADgYAAAAA&#10;">
                  <v:fill on="t" focussize="0,0"/>
                  <v:stroke weight="1pt" color="#000000 [3213]" miterlimit="8" joinstyle="miter"/>
                  <v:imagedata o:title=""/>
                  <o:lock v:ext="edit" aspectratio="f"/>
                  <v:textbox>
                    <w:txbxContent>
                      <w:p w14:paraId="7F04D261">
                        <w:pPr>
                          <w:jc w:val="center"/>
                          <w:rPr>
                            <w:color w:val="000000"/>
                          </w:rPr>
                        </w:pPr>
                        <w:r>
                          <w:rPr>
                            <w:rFonts w:hint="eastAsia"/>
                            <w:color w:val="000000"/>
                          </w:rPr>
                          <w:t>实测法</w:t>
                        </w:r>
                      </w:p>
                    </w:txbxContent>
                  </v:textbox>
                </v:rect>
                <v:shape id="连接符: 肘形 699276833" o:spid="_x0000_s1026" o:spt="33" type="#_x0000_t33" style="position:absolute;left:520506;top:2201209;flip:y;height:277398;width:1803285;rotation:11796480f;" filled="f" stroked="t" coordsize="21600,21600" o:gfxdata="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hyjVrXAAAABQEAAA8AAAAAAAAAAQAg&#10;AAAAIgAAAGRycy9kb3ducmV2LnhtbFBLAQIUABQAAAAIAIdO4kB5k52RDwIAANkDAAAOAAAAAAAA&#10;AAEAIAAAACYBAABkcnMvZTJvRG9jLnhtbFBLBQYAAAAABgAGAFkBAACnBQAAAAA=&#10;">
                  <v:fill on="f" focussize="0,0"/>
                  <v:stroke color="#000000" joinstyle="round" endarrow="block"/>
                  <v:imagedata o:title=""/>
                  <o:lock v:ext="edit" aspectratio="f"/>
                </v:shape>
                <v:shape id="_x0000_s1026" o:spid="_x0000_s1026" o:spt="32" type="#_x0000_t32" style="position:absolute;left:2323790;top:2184084;flip:x;height:268583;width:854;" filled="f" stroked="t" coordsize="21600,21600" o:gfxdata="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0pHAnXAAAABQEAAA8AAAAAAAAAAQAgAAAAIgAAAGRycy9kb3ducmV2&#10;LnhtbFBLAQIUABQAAAAIAIdO4kCuDs7N/QEAAMEDAAAOAAAAAAAAAAEAIAAAACYBAABkcnMvZTJv&#10;RG9jLnhtbFBLBQYAAAAABgAGAFkBAACVBQAAAAA=&#10;">
                  <v:fill on="f" focussize="0,0"/>
                  <v:stroke color="#000000" joinstyle="round" endarrow="block"/>
                  <v:imagedata o:title=""/>
                  <o:lock v:ext="edit" aspectratio="f"/>
                </v:shape>
                <v:rect id="_x0000_s1026" o:spid="_x0000_s1026" o:spt="1" style="position:absolute;left:1501684;top:3390879;height:356235;width:1694180;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gk20tQAAAAFAQAADwAAAAAAAAABACAAAAAiAAAAZHJzL2Rv&#10;d25yZXYueG1sUEsBAhQAFAAAAAgAh07iQBqaIX93AgAA7QQAAA4AAAAAAAAAAQAgAAAAIwEAAGRy&#10;cy9lMm9Eb2MueG1sUEsFBgAAAAAGAAYAWQEAAAwGAAAAAA==&#10;">
                  <v:fill on="t" focussize="0,0"/>
                  <v:stroke weight="1pt" color="#000000 [3213]" miterlimit="8" joinstyle="miter"/>
                  <v:imagedata o:title=""/>
                  <o:lock v:ext="edit" aspectratio="f"/>
                  <v:textbox>
                    <w:txbxContent>
                      <w:p w14:paraId="7707C2F5">
                        <w:pPr>
                          <w:rPr>
                            <w:color w:val="000000"/>
                          </w:rPr>
                        </w:pPr>
                        <w:r>
                          <w:rPr>
                            <w:rFonts w:hint="eastAsia"/>
                            <w:color w:val="000000"/>
                          </w:rPr>
                          <w:t>获取源的数据信息</w:t>
                        </w:r>
                      </w:p>
                    </w:txbxContent>
                  </v:textbox>
                </v:rect>
                <v:rect id="_x0000_s1026" o:spid="_x0000_s1026" o:spt="1" style="position:absolute;left:1502262;top:4094725;height:355600;width:1694180;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&#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YJNtLUAAAABQEAAA8AAAAAAAAAAQAgAAAAIgAAAGRy&#10;cy9kb3ducmV2LnhtbFBLAQIUABQAAAAIAIdO4kAzxDc+ewIAAOsEAAAOAAAAAAAAAAEAIAAAACMB&#10;AABkcnMvZTJvRG9jLnhtbFBLBQYAAAAABgAGAFkBAAAQBgAAAAA=&#10;">
                  <v:fill on="t" focussize="0,0"/>
                  <v:stroke weight="1pt" color="#000000 [3213]" miterlimit="8" joinstyle="miter"/>
                  <v:imagedata o:title=""/>
                  <o:lock v:ext="edit" aspectratio="f"/>
                  <v:textbox>
                    <w:txbxContent>
                      <w:p w14:paraId="7FCF1B2C">
                        <w:pPr>
                          <w:jc w:val="center"/>
                          <w:rPr>
                            <w:color w:val="000000"/>
                          </w:rPr>
                        </w:pPr>
                        <w:r>
                          <w:rPr>
                            <w:rFonts w:hint="eastAsia"/>
                            <w:color w:val="000000"/>
                          </w:rPr>
                          <w:t>清单数据结果</w:t>
                        </w:r>
                      </w:p>
                    </w:txbxContent>
                  </v:textbox>
                </v:rect>
                <v:rect id="_x0000_s1026" o:spid="_x0000_s1026" o:spt="1" style="position:absolute;left:1501748;top:4799575;height:354965;width:1694180;v-text-anchor:middle;" fillcolor="#FFFFFF [3212]" filled="t" stroked="t" coordsize="21600,21600" o:gfxdata="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gk20tQAAAAFAQAADwAAAAAAAAABACAAAAAiAAAAZHJz&#10;L2Rvd25yZXYueG1sUEsBAhQAFAAAAAgAh07iQLs4acJ6AgAA6wQAAA4AAAAAAAAAAQAgAAAAIwEA&#10;AGRycy9lMm9Eb2MueG1sUEsFBgAAAAAGAAYAWQEAAA8GAAAAAA==&#10;">
                  <v:fill on="t" focussize="0,0"/>
                  <v:stroke weight="1pt" color="#000000 [3213]" miterlimit="8" joinstyle="miter"/>
                  <v:imagedata o:title=""/>
                  <o:lock v:ext="edit" aspectratio="f"/>
                  <v:textbox>
                    <w:txbxContent>
                      <w:p w14:paraId="47527606">
                        <w:pPr>
                          <w:jc w:val="center"/>
                          <w:rPr>
                            <w:color w:val="000000"/>
                          </w:rPr>
                        </w:pPr>
                        <w:r>
                          <w:rPr>
                            <w:rFonts w:hint="eastAsia"/>
                            <w:color w:val="000000"/>
                          </w:rPr>
                          <w:t>不确定性分析</w:t>
                        </w:r>
                      </w:p>
                    </w:txbxContent>
                  </v:textbox>
                </v:rect>
                <v:shape id="_x0000_s1026" o:spid="_x0000_s1026" o:spt="116" type="#_x0000_t116" style="position:absolute;left:1455108;top:5503752;height:483235;width:1796415;" fillcolor="#FFFFFF [3212]" filled="t" stroked="t" coordsize="21600,21600" o:gfxdata="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Cxay&#10;i9YAAAAFAQAADwAAAAAAAAABACAAAAAiAAAAZHJzL2Rvd25yZXYueG1sUEsBAhQAFAAAAAgAh07i&#10;QMVkRy6WAgAABQUAAA4AAAAAAAAAAQAgAAAAJQEAAGRycy9lMm9Eb2MueG1sUEsFBgAAAAAGAAYA&#10;WQEAAC0GAAAAAA==&#10;">
                  <v:fill on="t" focussize="0,0"/>
                  <v:stroke weight="1pt" color="#000000 [3213]" miterlimit="8" joinstyle="miter"/>
                  <v:imagedata o:title=""/>
                  <o:lock v:ext="edit" aspectratio="f"/>
                  <v:textbox>
                    <w:txbxContent>
                      <w:p w14:paraId="41869494">
                        <w:pPr>
                          <w:jc w:val="center"/>
                          <w:rPr>
                            <w:color w:val="000000"/>
                          </w:rPr>
                        </w:pPr>
                        <w:r>
                          <w:rPr>
                            <w:rFonts w:hint="eastAsia"/>
                            <w:color w:val="000000"/>
                          </w:rPr>
                          <w:t>编制与审核</w:t>
                        </w:r>
                      </w:p>
                    </w:txbxContent>
                  </v:textbox>
                </v:shape>
                <v:shape id="_x0000_s1026" o:spid="_x0000_s1026" o:spt="32" type="#_x0000_t32" style="position:absolute;left:2324368;top:5154501;height:349250;width:0;" filled="f" stroked="t" coordsize="21600,21600" o:gfxdata="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1NHfXAAAABQEAAA8AAAAAAAAAAQAgAAAAIgAAAGRycy9kb3ducmV2LnhtbFBL&#10;AQIUABQAAAAIAIdO4kAv6/Yz9wEAALUDAAAOAAAAAAAAAAEAIAAAACYBAABkcnMvZTJvRG9jLnht&#10;bFBLBQYAAAAABgAGAFkBAACPBQAAAAA=&#10;">
                  <v:fill on="f" focussize="0,0"/>
                  <v:stroke color="#000000" joinstyle="round" endarrow="block"/>
                  <v:imagedata o:title=""/>
                  <o:lock v:ext="edit" aspectratio="f"/>
                </v:shape>
                <v:shape id="_x0000_s1026" o:spid="_x0000_s1026" o:spt="32" type="#_x0000_t32" style="position:absolute;left:2324368;top:4450968;height:348615;width:0;" filled="f" stroked="t" coordsize="21600,21600" o:gfxdata="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tTR31wAAAAUBAAAPAAAAAAAAAAEAIAAAACIAAABkcnMvZG93bnJldi54bWxQSwEC&#10;FAAUAAAACACHTuJAi28cofUBAAC3AwAADgAAAAAAAAABACAAAAAmAQAAZHJzL2Uyb0RvYy54bWxQ&#10;SwUGAAAAAAYABgBZAQAAjQUAAAAA&#10;">
                  <v:fill on="f" focussize="0,0"/>
                  <v:stroke color="#000000" joinstyle="round" endarrow="block"/>
                  <v:imagedata o:title=""/>
                  <o:lock v:ext="edit" aspectratio="f"/>
                </v:shape>
                <v:shape id="_x0000_s1026" o:spid="_x0000_s1026" o:spt="32" type="#_x0000_t32" style="position:absolute;left:2324368;top:3746753;height:347980;width:0;" filled="f" stroked="t" coordsize="21600,21600" o:gfxdata="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1NHfXAAAABQEAAA8AAAAAAAAAAQAgAAAAIgAAAGRycy9kb3ducmV2LnhtbFBL&#10;AQIUABQAAAAIAIdO4kDXs6yU9wEAALcDAAAOAAAAAAAAAAEAIAAAACYBAABkcnMvZTJvRG9jLnht&#10;bFBLBQYAAAAABgAGAFkBAACPBQAAAAA=&#10;">
                  <v:fill on="f" focussize="0,0"/>
                  <v:stroke color="#000000" joinstyle="round" endarrow="block"/>
                  <v:imagedata o:title=""/>
                  <o:lock v:ext="edit" aspectratio="f"/>
                </v:shape>
                <v:shape id="连接符: 肘形 88178409" o:spid="_x0000_s1026" o:spt="33" type="#_x0000_t33" style="position:absolute;left:1304058;top:2110339;flip:x;height:1842281;width:275175;rotation:5898240f;" filled="f" stroked="t" coordsize="21600,21600" o:gfxdata="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uQK5tcAAAAFAQAADwAAAAAAAAABACAA&#10;AAAiAAAAZHJzL2Rvd25yZXYueG1sUEsBAhQAFAAAAAgAh07iQDyORzUOAgAA1AMAAA4AAAAAAAAA&#10;AQAgAAAAJgEAAGRycy9lMm9Eb2MueG1sUEsFBgAAAAAGAAYAWQEAAKYFAAAAAA==&#10;">
                  <v:fill on="f" focussize="0,0"/>
                  <v:stroke color="#000000" joinstyle="round"/>
                  <v:imagedata o:title=""/>
                  <o:lock v:ext="edit" aspectratio="f"/>
                </v:shape>
                <v:shape id="连接符: 肘形 2109105553" o:spid="_x0000_s1026" o:spt="33" type="#_x0000_t33" style="position:absolute;left:3030202;top:2210056;height:1626375;width:291533;rotation:5898240f;" filled="f" stroked="t" coordsize="21600,21600" o:gfxdata="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Gu5X1wAAAAUBAAAPAAAAAAAAAAEAIAAAACIAAABk&#10;cnMvZG93bnJldi54bWxQSwECFAAUAAAACACHTuJA3heRQQcCAADNAwAADgAAAAAAAAABACAAAAAm&#10;AQAAZHJzL2Uyb0RvYy54bWxQSwUGAAAAAAYABgBZAQAAnwUAAAAA&#10;">
                  <v:fill on="f" focussize="0,0"/>
                  <v:stroke color="#000000" joinstyle="round"/>
                  <v:imagedata o:title=""/>
                  <o:lock v:ext="edit" aspectratio="f"/>
                </v:shape>
                <v:shape id="_x0000_s1026" o:spid="_x0000_s1026" o:spt="32" type="#_x0000_t32" style="position:absolute;left:2323790;top:2877141;height:513708;width:854;" filled="f" stroked="t" coordsize="21600,21600" o:gfxdata="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tTR31wAAAAUBAAAPAAAAAAAAAAEAIAAAACIAAABkcnMvZG93bnJldi54bWxQ&#10;SwECFAAUAAAACACHTuJA3u+Yi/gBAAC3AwAADgAAAAAAAAABACAAAAAmAQAAZHJzL2Uyb0RvYy54&#10;bWxQSwUGAAAAAAYABgBZAQAAkAUAAAAA&#10;">
                  <v:fill on="f" focussize="0,0"/>
                  <v:stroke color="#000000" joinstyle="round" endarrow="block"/>
                  <v:imagedata o:title=""/>
                  <o:lock v:ext="edit" aspectratio="f"/>
                </v:shape>
                <w10:wrap type="none"/>
                <w10:anchorlock/>
              </v:group>
            </w:pict>
          </mc:Fallback>
        </mc:AlternateContent>
      </w:r>
    </w:p>
    <w:p w14:paraId="50774FCC">
      <w:pPr>
        <w:pStyle w:val="25"/>
        <w:spacing w:line="360" w:lineRule="auto"/>
        <w:ind w:firstLine="0" w:firstLineChars="0"/>
        <w:jc w:val="center"/>
        <w:sectPr>
          <w:footerReference r:id="rId4" w:type="default"/>
          <w:pgSz w:w="11910" w:h="16840"/>
          <w:pgMar w:top="1400" w:right="1320" w:bottom="1160" w:left="1320" w:header="0" w:footer="977" w:gutter="0"/>
          <w:pgNumType w:start="1"/>
          <w:cols w:space="720" w:num="1"/>
        </w:sectPr>
      </w:pPr>
      <w:r>
        <w:rPr>
          <w:rFonts w:hint="eastAsia"/>
        </w:rPr>
        <w:t>图6.</w:t>
      </w:r>
      <w:r>
        <w:t>4</w:t>
      </w:r>
      <w:r>
        <w:rPr>
          <w:rFonts w:hint="eastAsia"/>
        </w:rPr>
        <w:t>.</w:t>
      </w:r>
      <w:r>
        <w:t>1</w:t>
      </w:r>
      <w:r>
        <w:rPr>
          <w:rFonts w:hint="eastAsia"/>
        </w:rPr>
        <w:t xml:space="preserve"> 清单编制流程</w:t>
      </w:r>
    </w:p>
    <w:p w14:paraId="0FADC0D2">
      <w:pPr>
        <w:pStyle w:val="25"/>
        <w:spacing w:line="360" w:lineRule="auto"/>
        <w:ind w:left="420" w:firstLine="0" w:firstLineChars="0"/>
        <w:rPr>
          <w:rFonts w:hint="eastAsia" w:hAnsi="宋体"/>
        </w:rPr>
      </w:pPr>
    </w:p>
    <w:p w14:paraId="7514782E">
      <w:pPr>
        <w:pStyle w:val="2"/>
      </w:pPr>
      <w:bookmarkStart w:id="122" w:name="_Toc170504542"/>
      <w:bookmarkStart w:id="123" w:name="_Toc170504502"/>
      <w:bookmarkStart w:id="124" w:name="_Toc170504766"/>
      <w:bookmarkStart w:id="125" w:name="_Toc13043"/>
      <w:r>
        <w:rPr>
          <w:rFonts w:hint="eastAsia"/>
        </w:rPr>
        <w:t>7</w:t>
      </w:r>
      <w:r>
        <w:t>.</w:t>
      </w:r>
      <w:r>
        <w:rPr>
          <w:rFonts w:hint="eastAsia"/>
        </w:rPr>
        <w:t>质量控制</w:t>
      </w:r>
      <w:bookmarkEnd w:id="122"/>
      <w:bookmarkEnd w:id="123"/>
      <w:bookmarkEnd w:id="124"/>
      <w:bookmarkEnd w:id="125"/>
    </w:p>
    <w:p w14:paraId="2D536217"/>
    <w:p w14:paraId="72E6DD0D">
      <w:pPr>
        <w:pStyle w:val="3"/>
        <w:ind w:left="0" w:firstLine="0"/>
      </w:pPr>
      <w:bookmarkStart w:id="126" w:name="_Toc170504503"/>
      <w:bookmarkStart w:id="127" w:name="_Toc170504543"/>
      <w:bookmarkStart w:id="128" w:name="_Toc170504767"/>
      <w:r>
        <w:rPr>
          <w:rFonts w:hint="eastAsia"/>
        </w:rPr>
        <w:t>7</w:t>
      </w:r>
      <w:r>
        <w:t xml:space="preserve">.1 </w:t>
      </w:r>
      <w:r>
        <w:rPr>
          <w:rFonts w:hint="eastAsia"/>
        </w:rPr>
        <w:t>一般质量控制程序</w:t>
      </w:r>
      <w:bookmarkEnd w:id="126"/>
      <w:bookmarkEnd w:id="127"/>
      <w:bookmarkEnd w:id="128"/>
    </w:p>
    <w:p w14:paraId="1DBB2D9E">
      <w:pPr>
        <w:pStyle w:val="25"/>
        <w:spacing w:line="360" w:lineRule="auto"/>
        <w:ind w:firstLine="420"/>
        <w:rPr>
          <w:rFonts w:ascii="Times New Roman" w:hAnsi="宋体"/>
        </w:rPr>
      </w:pPr>
      <w:r>
        <w:rPr>
          <w:rFonts w:hint="eastAsia" w:ascii="Times New Roman"/>
        </w:rPr>
        <w:t>一般质量控制程序包括适用于与计算、数据处理、完整性和归档相关的通用质量检查。表</w:t>
      </w:r>
      <w:r>
        <w:rPr>
          <w:rFonts w:ascii="Times New Roman"/>
        </w:rPr>
        <w:t>6.1</w:t>
      </w:r>
      <w:r>
        <w:rPr>
          <w:rFonts w:hint="eastAsia" w:ascii="Times New Roman"/>
        </w:rPr>
        <w:t>-1挥发性有机物污染物清单编制一般质量控制程序列举了清单编制企业在编制清单时应定期使用的一般质量控制检查。不管使用了哪种类型的数据编制清单，都应该使用表</w:t>
      </w:r>
      <w:r>
        <w:rPr>
          <w:rFonts w:ascii="Times New Roman"/>
        </w:rPr>
        <w:t>6.1</w:t>
      </w:r>
      <w:r>
        <w:rPr>
          <w:rFonts w:hint="eastAsia" w:ascii="Times New Roman"/>
        </w:rPr>
        <w:t>-1中的检查。这些检查同样适用于基于推荐值或国家数据进行估算的类别。</w:t>
      </w:r>
    </w:p>
    <w:p w14:paraId="30D1BD79">
      <w:pPr>
        <w:spacing w:line="240" w:lineRule="atLeast"/>
        <w:ind w:firstLine="440" w:firstLineChars="200"/>
        <w:jc w:val="center"/>
        <w:rPr>
          <w:rFonts w:ascii="Times New Roman"/>
          <w:bCs/>
          <w:sz w:val="24"/>
          <w:szCs w:val="24"/>
        </w:rPr>
      </w:pPr>
      <w:r>
        <w:rPr>
          <w:rFonts w:hint="eastAsia" w:ascii="Times New Roman"/>
          <w:bCs/>
        </w:rPr>
        <w:t>表7</w:t>
      </w:r>
      <w:r>
        <w:rPr>
          <w:rFonts w:ascii="Times New Roman"/>
          <w:bCs/>
        </w:rPr>
        <w:t xml:space="preserve">.1-1 </w:t>
      </w:r>
      <w:r>
        <w:rPr>
          <w:rFonts w:hint="eastAsia" w:ascii="Times New Roman"/>
          <w:bCs/>
        </w:rPr>
        <w:t xml:space="preserve"> 挥发性有机物污染物清单编制一般质量控制程序</w:t>
      </w:r>
    </w:p>
    <w:tbl>
      <w:tblPr>
        <w:tblStyle w:val="12"/>
        <w:tblW w:w="9072" w:type="dxa"/>
        <w:jc w:val="center"/>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4677"/>
      </w:tblGrid>
      <w:tr w14:paraId="756BE6C8">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shd w:val="clear" w:color="auto" w:fill="auto"/>
            <w:vAlign w:val="center"/>
          </w:tcPr>
          <w:p w14:paraId="795E91D6">
            <w:pPr>
              <w:spacing w:line="240" w:lineRule="atLeast"/>
              <w:jc w:val="center"/>
              <w:rPr>
                <w:rFonts w:ascii="Times New Roman"/>
                <w:sz w:val="18"/>
                <w:szCs w:val="18"/>
              </w:rPr>
            </w:pPr>
            <w:r>
              <w:rPr>
                <w:rFonts w:ascii="Times New Roman"/>
                <w:sz w:val="18"/>
                <w:szCs w:val="18"/>
              </w:rPr>
              <w:t>质量控制活动</w:t>
            </w:r>
          </w:p>
        </w:tc>
        <w:tc>
          <w:tcPr>
            <w:tcW w:w="4677" w:type="dxa"/>
            <w:tcBorders>
              <w:top w:val="single" w:color="auto" w:sz="12" w:space="0"/>
              <w:bottom w:val="single" w:color="auto" w:sz="12" w:space="0"/>
            </w:tcBorders>
            <w:shd w:val="clear" w:color="auto" w:fill="auto"/>
            <w:vAlign w:val="center"/>
          </w:tcPr>
          <w:p w14:paraId="3C0DB880">
            <w:pPr>
              <w:spacing w:line="240" w:lineRule="atLeast"/>
              <w:jc w:val="center"/>
              <w:rPr>
                <w:rFonts w:ascii="Times New Roman"/>
                <w:sz w:val="18"/>
                <w:szCs w:val="18"/>
              </w:rPr>
            </w:pPr>
            <w:r>
              <w:rPr>
                <w:rFonts w:ascii="Times New Roman"/>
                <w:sz w:val="18"/>
                <w:szCs w:val="18"/>
              </w:rPr>
              <w:t>程 序</w:t>
            </w:r>
          </w:p>
        </w:tc>
      </w:tr>
      <w:tr w14:paraId="7FE486BC">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shd w:val="clear" w:color="auto" w:fill="auto"/>
            <w:vAlign w:val="center"/>
          </w:tcPr>
          <w:p w14:paraId="47817028">
            <w:pPr>
              <w:jc w:val="center"/>
              <w:rPr>
                <w:rFonts w:ascii="Times New Roman"/>
                <w:sz w:val="18"/>
                <w:szCs w:val="18"/>
              </w:rPr>
            </w:pPr>
            <w:r>
              <w:rPr>
                <w:rFonts w:hint="eastAsia" w:ascii="Times New Roman"/>
                <w:sz w:val="18"/>
                <w:szCs w:val="18"/>
              </w:rPr>
              <w:t>检查主要并归档</w:t>
            </w:r>
          </w:p>
        </w:tc>
        <w:tc>
          <w:tcPr>
            <w:tcW w:w="4677" w:type="dxa"/>
            <w:tcBorders>
              <w:top w:val="single" w:color="auto" w:sz="12" w:space="0"/>
              <w:bottom w:val="single" w:color="auto" w:sz="12" w:space="0"/>
            </w:tcBorders>
            <w:shd w:val="clear" w:color="auto" w:fill="auto"/>
            <w:vAlign w:val="center"/>
          </w:tcPr>
          <w:p w14:paraId="4BB87EC7">
            <w:pPr>
              <w:rPr>
                <w:rFonts w:ascii="Times New Roman"/>
                <w:sz w:val="18"/>
                <w:szCs w:val="18"/>
              </w:rPr>
            </w:pPr>
            <w:r>
              <w:rPr>
                <w:rFonts w:ascii="Times New Roman"/>
                <w:sz w:val="18"/>
                <w:szCs w:val="18"/>
              </w:rPr>
              <w:t>对活动水平数据、排放因子和其他估算参数进行交叉检查，并确保其正确记 录和归档。</w:t>
            </w:r>
          </w:p>
        </w:tc>
      </w:tr>
      <w:tr w14:paraId="03D10DF9">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shd w:val="clear" w:color="auto" w:fill="auto"/>
            <w:vAlign w:val="center"/>
          </w:tcPr>
          <w:p w14:paraId="7D11D075">
            <w:pPr>
              <w:jc w:val="center"/>
              <w:rPr>
                <w:rFonts w:ascii="Times New Roman"/>
                <w:sz w:val="18"/>
                <w:szCs w:val="18"/>
              </w:rPr>
            </w:pPr>
            <w:r>
              <w:rPr>
                <w:rFonts w:ascii="Times New Roman"/>
                <w:sz w:val="18"/>
                <w:szCs w:val="18"/>
              </w:rPr>
              <w:t>检查数据输入和参考文献中的抄录误差</w:t>
            </w:r>
          </w:p>
        </w:tc>
        <w:tc>
          <w:tcPr>
            <w:tcW w:w="4677" w:type="dxa"/>
            <w:tcBorders>
              <w:top w:val="single" w:color="auto" w:sz="12" w:space="0"/>
              <w:bottom w:val="single" w:color="auto" w:sz="12" w:space="0"/>
            </w:tcBorders>
            <w:shd w:val="clear" w:color="auto" w:fill="auto"/>
            <w:vAlign w:val="center"/>
          </w:tcPr>
          <w:p w14:paraId="2F770394">
            <w:pPr>
              <w:rPr>
                <w:rFonts w:ascii="Times New Roman"/>
                <w:sz w:val="18"/>
                <w:szCs w:val="18"/>
              </w:rPr>
            </w:pPr>
            <w:r>
              <w:rPr>
                <w:rFonts w:ascii="Times New Roman"/>
                <w:sz w:val="18"/>
                <w:szCs w:val="18"/>
              </w:rPr>
              <w:t>确认内部文件是否正确引用了参考文献。 对各个类别的输入数据样本（计算中使用的测量值或参数）进行了抄录误差的交叉检查。</w:t>
            </w:r>
          </w:p>
        </w:tc>
      </w:tr>
      <w:tr w14:paraId="6ABF5F9C">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shd w:val="clear" w:color="auto" w:fill="auto"/>
            <w:vAlign w:val="center"/>
          </w:tcPr>
          <w:p w14:paraId="0611CEB2">
            <w:pPr>
              <w:jc w:val="center"/>
              <w:rPr>
                <w:rFonts w:ascii="Times New Roman"/>
                <w:sz w:val="18"/>
                <w:szCs w:val="18"/>
              </w:rPr>
            </w:pPr>
            <w:r>
              <w:rPr>
                <w:rFonts w:ascii="Times New Roman"/>
                <w:sz w:val="18"/>
                <w:szCs w:val="18"/>
              </w:rPr>
              <w:t>检查排放源计算的正确性</w:t>
            </w:r>
          </w:p>
        </w:tc>
        <w:tc>
          <w:tcPr>
            <w:tcW w:w="4677" w:type="dxa"/>
            <w:tcBorders>
              <w:top w:val="single" w:color="auto" w:sz="12" w:space="0"/>
              <w:bottom w:val="single" w:color="auto" w:sz="12" w:space="0"/>
            </w:tcBorders>
            <w:shd w:val="clear" w:color="auto" w:fill="auto"/>
            <w:vAlign w:val="center"/>
          </w:tcPr>
          <w:p w14:paraId="74332FD8">
            <w:pPr>
              <w:rPr>
                <w:rFonts w:ascii="Times New Roman"/>
                <w:sz w:val="18"/>
                <w:szCs w:val="18"/>
              </w:rPr>
            </w:pPr>
            <w:r>
              <w:rPr>
                <w:rFonts w:ascii="Times New Roman"/>
                <w:sz w:val="18"/>
                <w:szCs w:val="18"/>
              </w:rPr>
              <w:t>复制一组排放计算。使用简单近似的方法得到与原始和更复杂计算相似的结果，以确保不存在数据输入误差或计算误差。</w:t>
            </w:r>
          </w:p>
        </w:tc>
      </w:tr>
      <w:tr w14:paraId="7F3226DF">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shd w:val="clear" w:color="auto" w:fill="auto"/>
            <w:vAlign w:val="center"/>
          </w:tcPr>
          <w:p w14:paraId="4AC3E479">
            <w:pPr>
              <w:jc w:val="center"/>
              <w:rPr>
                <w:rFonts w:ascii="Times New Roman"/>
                <w:sz w:val="18"/>
                <w:szCs w:val="18"/>
              </w:rPr>
            </w:pPr>
            <w:r>
              <w:rPr>
                <w:rFonts w:ascii="Times New Roman"/>
                <w:sz w:val="18"/>
                <w:szCs w:val="18"/>
              </w:rPr>
              <w:t>检查是否正确记录了参数、单位</w:t>
            </w:r>
          </w:p>
        </w:tc>
        <w:tc>
          <w:tcPr>
            <w:tcW w:w="4677" w:type="dxa"/>
            <w:tcBorders>
              <w:top w:val="single" w:color="auto" w:sz="12" w:space="0"/>
              <w:bottom w:val="single" w:color="auto" w:sz="12" w:space="0"/>
            </w:tcBorders>
            <w:shd w:val="clear" w:color="auto" w:fill="auto"/>
            <w:vAlign w:val="center"/>
          </w:tcPr>
          <w:p w14:paraId="5820D903">
            <w:pPr>
              <w:rPr>
                <w:rFonts w:ascii="Times New Roman"/>
                <w:sz w:val="18"/>
                <w:szCs w:val="18"/>
              </w:rPr>
            </w:pPr>
            <w:r>
              <w:rPr>
                <w:rFonts w:ascii="Times New Roman"/>
                <w:sz w:val="18"/>
                <w:szCs w:val="18"/>
              </w:rPr>
              <w:t>检查在计算表中是否正确标记了单位；检查在计算前后使用的单位是否正确。</w:t>
            </w:r>
          </w:p>
        </w:tc>
      </w:tr>
      <w:tr w14:paraId="758082A1">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shd w:val="clear" w:color="auto" w:fill="auto"/>
            <w:vAlign w:val="center"/>
          </w:tcPr>
          <w:p w14:paraId="420A3099">
            <w:pPr>
              <w:jc w:val="center"/>
              <w:rPr>
                <w:rFonts w:ascii="Times New Roman"/>
                <w:sz w:val="18"/>
                <w:szCs w:val="18"/>
              </w:rPr>
            </w:pPr>
            <w:r>
              <w:rPr>
                <w:rFonts w:ascii="Times New Roman"/>
                <w:sz w:val="18"/>
                <w:szCs w:val="18"/>
              </w:rPr>
              <w:t>检查数据库文件的内在一致性</w:t>
            </w:r>
          </w:p>
        </w:tc>
        <w:tc>
          <w:tcPr>
            <w:tcW w:w="4677" w:type="dxa"/>
            <w:tcBorders>
              <w:top w:val="single" w:color="auto" w:sz="12" w:space="0"/>
              <w:bottom w:val="single" w:color="auto" w:sz="12" w:space="0"/>
            </w:tcBorders>
            <w:shd w:val="clear" w:color="auto" w:fill="auto"/>
            <w:vAlign w:val="center"/>
          </w:tcPr>
          <w:p w14:paraId="1BF73387">
            <w:pPr>
              <w:rPr>
                <w:rFonts w:ascii="Times New Roman"/>
                <w:sz w:val="18"/>
                <w:szCs w:val="18"/>
              </w:rPr>
            </w:pPr>
            <w:r>
              <w:rPr>
                <w:rFonts w:ascii="Times New Roman"/>
                <w:sz w:val="18"/>
                <w:szCs w:val="18"/>
              </w:rPr>
              <w:t>检验包括的内部文件以：确认数据库中正确描述了合适的数据处理步骤；确认数据库中正确描述了数据关系；确保数据域标记正确以及有正确的设计规范。</w:t>
            </w:r>
          </w:p>
        </w:tc>
      </w:tr>
      <w:tr w14:paraId="574C228D">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shd w:val="clear" w:color="auto" w:fill="auto"/>
            <w:vAlign w:val="center"/>
          </w:tcPr>
          <w:p w14:paraId="5E204A5B">
            <w:pPr>
              <w:jc w:val="center"/>
              <w:rPr>
                <w:rFonts w:ascii="Times New Roman"/>
                <w:sz w:val="18"/>
                <w:szCs w:val="18"/>
              </w:rPr>
            </w:pPr>
            <w:r>
              <w:rPr>
                <w:rFonts w:ascii="Times New Roman"/>
                <w:sz w:val="18"/>
                <w:szCs w:val="18"/>
              </w:rPr>
              <w:t>检查类别间数据的一致性</w:t>
            </w:r>
          </w:p>
        </w:tc>
        <w:tc>
          <w:tcPr>
            <w:tcW w:w="4677" w:type="dxa"/>
            <w:tcBorders>
              <w:top w:val="single" w:color="auto" w:sz="12" w:space="0"/>
              <w:bottom w:val="single" w:color="auto" w:sz="12" w:space="0"/>
            </w:tcBorders>
            <w:shd w:val="clear" w:color="auto" w:fill="auto"/>
            <w:vAlign w:val="center"/>
          </w:tcPr>
          <w:p w14:paraId="17D1663E">
            <w:pPr>
              <w:rPr>
                <w:rFonts w:ascii="Times New Roman"/>
                <w:sz w:val="18"/>
                <w:szCs w:val="18"/>
              </w:rPr>
            </w:pPr>
            <w:r>
              <w:rPr>
                <w:rFonts w:ascii="Times New Roman"/>
                <w:sz w:val="18"/>
                <w:szCs w:val="18"/>
              </w:rPr>
              <w:t>确定多种类别中的共同参数（如活动数据、常数）</w:t>
            </w:r>
            <w:r>
              <w:rPr>
                <w:rFonts w:hint="eastAsia" w:ascii="Times New Roman"/>
                <w:sz w:val="18"/>
                <w:szCs w:val="18"/>
              </w:rPr>
              <w:t>在</w:t>
            </w:r>
            <w:r>
              <w:rPr>
                <w:rFonts w:ascii="Times New Roman"/>
                <w:sz w:val="18"/>
                <w:szCs w:val="18"/>
              </w:rPr>
              <w:t>计算中使用了一致数值。</w:t>
            </w:r>
          </w:p>
        </w:tc>
      </w:tr>
      <w:tr w14:paraId="38C3C4A2">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shd w:val="clear" w:color="auto" w:fill="auto"/>
            <w:vAlign w:val="center"/>
          </w:tcPr>
          <w:p w14:paraId="1ED666BF">
            <w:pPr>
              <w:ind w:firstLine="360" w:firstLineChars="200"/>
              <w:jc w:val="center"/>
              <w:rPr>
                <w:rFonts w:ascii="Times New Roman"/>
                <w:sz w:val="18"/>
                <w:szCs w:val="18"/>
              </w:rPr>
            </w:pPr>
            <w:r>
              <w:rPr>
                <w:rFonts w:ascii="Times New Roman"/>
                <w:sz w:val="18"/>
                <w:szCs w:val="18"/>
              </w:rPr>
              <w:t>检查处理步骤中清单 数据移动的正确性</w:t>
            </w:r>
          </w:p>
        </w:tc>
        <w:tc>
          <w:tcPr>
            <w:tcW w:w="4677" w:type="dxa"/>
            <w:tcBorders>
              <w:top w:val="single" w:color="auto" w:sz="12" w:space="0"/>
              <w:bottom w:val="single" w:color="auto" w:sz="12" w:space="0"/>
            </w:tcBorders>
            <w:shd w:val="clear" w:color="auto" w:fill="auto"/>
            <w:vAlign w:val="center"/>
          </w:tcPr>
          <w:p w14:paraId="223079F7">
            <w:pPr>
              <w:rPr>
                <w:rFonts w:ascii="Times New Roman"/>
                <w:sz w:val="18"/>
                <w:szCs w:val="18"/>
              </w:rPr>
            </w:pPr>
            <w:r>
              <w:rPr>
                <w:rFonts w:ascii="Times New Roman"/>
                <w:sz w:val="18"/>
                <w:szCs w:val="18"/>
              </w:rPr>
              <w:t>排放数据从较低报告水平汇总时是否正确移动；检查不同的中间产物间排放数据是否正确转换。</w:t>
            </w:r>
          </w:p>
        </w:tc>
      </w:tr>
      <w:tr w14:paraId="6F6622BC">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shd w:val="clear" w:color="auto" w:fill="auto"/>
            <w:vAlign w:val="center"/>
          </w:tcPr>
          <w:p w14:paraId="495B54C4">
            <w:pPr>
              <w:jc w:val="center"/>
              <w:rPr>
                <w:rFonts w:ascii="Times New Roman"/>
                <w:sz w:val="18"/>
                <w:szCs w:val="18"/>
              </w:rPr>
            </w:pPr>
            <w:r>
              <w:rPr>
                <w:rFonts w:ascii="Times New Roman"/>
                <w:sz w:val="18"/>
                <w:szCs w:val="18"/>
              </w:rPr>
              <w:t>检查排放不确定性估算和计算的正确性</w:t>
            </w:r>
          </w:p>
        </w:tc>
        <w:tc>
          <w:tcPr>
            <w:tcW w:w="4677" w:type="dxa"/>
            <w:tcBorders>
              <w:top w:val="single" w:color="auto" w:sz="12" w:space="0"/>
              <w:bottom w:val="single" w:color="auto" w:sz="12" w:space="0"/>
            </w:tcBorders>
            <w:shd w:val="clear" w:color="auto" w:fill="auto"/>
            <w:vAlign w:val="center"/>
          </w:tcPr>
          <w:p w14:paraId="4FCFBBD8">
            <w:pPr>
              <w:rPr>
                <w:rFonts w:ascii="Times New Roman"/>
                <w:sz w:val="18"/>
                <w:szCs w:val="18"/>
              </w:rPr>
            </w:pPr>
            <w:r>
              <w:rPr>
                <w:rFonts w:ascii="Times New Roman"/>
                <w:sz w:val="18"/>
                <w:szCs w:val="18"/>
              </w:rPr>
              <w:t>检查为不确定性估算提供专家判断的个人是否具有适当资格；检查记录资格、 假设和专家判断；检查计算得到的不确定性是否完整且正确计算。</w:t>
            </w:r>
          </w:p>
        </w:tc>
      </w:tr>
      <w:tr w14:paraId="22D27BA6">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4395" w:type="dxa"/>
            <w:tcBorders>
              <w:top w:val="single" w:color="auto" w:sz="12" w:space="0"/>
              <w:bottom w:val="single" w:color="auto" w:sz="12" w:space="0"/>
            </w:tcBorders>
            <w:shd w:val="clear" w:color="auto" w:fill="auto"/>
            <w:vAlign w:val="center"/>
          </w:tcPr>
          <w:p w14:paraId="3C4F7B43">
            <w:pPr>
              <w:jc w:val="center"/>
              <w:rPr>
                <w:rFonts w:ascii="Times New Roman"/>
                <w:sz w:val="18"/>
                <w:szCs w:val="18"/>
              </w:rPr>
            </w:pPr>
            <w:r>
              <w:rPr>
                <w:rFonts w:ascii="Times New Roman"/>
                <w:sz w:val="18"/>
                <w:szCs w:val="18"/>
              </w:rPr>
              <w:t>检查时间序列一致性</w:t>
            </w:r>
          </w:p>
        </w:tc>
        <w:tc>
          <w:tcPr>
            <w:tcW w:w="4677" w:type="dxa"/>
            <w:tcBorders>
              <w:top w:val="single" w:color="auto" w:sz="12" w:space="0"/>
              <w:bottom w:val="single" w:color="auto" w:sz="12" w:space="0"/>
            </w:tcBorders>
            <w:shd w:val="clear" w:color="auto" w:fill="auto"/>
            <w:vAlign w:val="center"/>
          </w:tcPr>
          <w:p w14:paraId="503881A5">
            <w:pPr>
              <w:rPr>
                <w:rFonts w:ascii="Times New Roman"/>
                <w:sz w:val="18"/>
                <w:szCs w:val="18"/>
              </w:rPr>
            </w:pPr>
            <w:r>
              <w:rPr>
                <w:rFonts w:ascii="Times New Roman"/>
                <w:sz w:val="18"/>
                <w:szCs w:val="18"/>
              </w:rPr>
              <w:t>检查各个类别输入数据时间序列的一致性；检查整个时间序列中计算方法的一致性；检查引起重新计算的方法学和数据变化；检查时间序列计算适当地反映了减排活动的结果。</w:t>
            </w:r>
          </w:p>
        </w:tc>
      </w:tr>
      <w:tr w14:paraId="1F771D0F">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tcBorders>
            <w:shd w:val="clear" w:color="auto" w:fill="auto"/>
            <w:vAlign w:val="center"/>
          </w:tcPr>
          <w:p w14:paraId="7FDE4793">
            <w:pPr>
              <w:jc w:val="center"/>
              <w:rPr>
                <w:rFonts w:ascii="Times New Roman"/>
                <w:sz w:val="18"/>
                <w:szCs w:val="18"/>
              </w:rPr>
            </w:pPr>
            <w:r>
              <w:rPr>
                <w:rFonts w:ascii="Times New Roman"/>
                <w:sz w:val="18"/>
                <w:szCs w:val="18"/>
              </w:rPr>
              <w:t>检查完整性</w:t>
            </w:r>
          </w:p>
        </w:tc>
        <w:tc>
          <w:tcPr>
            <w:tcW w:w="4677" w:type="dxa"/>
            <w:tcBorders>
              <w:top w:val="single" w:color="auto" w:sz="12" w:space="0"/>
            </w:tcBorders>
            <w:shd w:val="clear" w:color="auto" w:fill="auto"/>
            <w:vAlign w:val="center"/>
          </w:tcPr>
          <w:p w14:paraId="0D6CBC0E">
            <w:pPr>
              <w:rPr>
                <w:rFonts w:ascii="Times New Roman"/>
                <w:sz w:val="18"/>
                <w:szCs w:val="18"/>
              </w:rPr>
            </w:pPr>
            <w:r>
              <w:rPr>
                <w:rFonts w:ascii="Times New Roman"/>
                <w:sz w:val="18"/>
                <w:szCs w:val="18"/>
              </w:rPr>
              <w:t>确认从基年到目前清单编制的所有年份中对所有类别的估算进行了报告；关于子类别，确认包括了整个类别；提供‘其他’类型的类别的明晰定义；检查是否归档了引起不完整估算的已知数据漏缺，包括估算对于整个排放的重要性的定性评估。</w:t>
            </w:r>
          </w:p>
        </w:tc>
      </w:tr>
      <w:tr w14:paraId="43440294">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shd w:val="clear" w:color="auto" w:fill="auto"/>
            <w:vAlign w:val="center"/>
          </w:tcPr>
          <w:p w14:paraId="37A2963A">
            <w:pPr>
              <w:jc w:val="center"/>
              <w:rPr>
                <w:rFonts w:ascii="Times New Roman"/>
                <w:sz w:val="18"/>
                <w:szCs w:val="18"/>
              </w:rPr>
            </w:pPr>
            <w:r>
              <w:rPr>
                <w:rFonts w:ascii="Times New Roman"/>
                <w:sz w:val="18"/>
                <w:szCs w:val="18"/>
              </w:rPr>
              <w:t>趋势检查</w:t>
            </w:r>
          </w:p>
        </w:tc>
        <w:tc>
          <w:tcPr>
            <w:tcW w:w="4677" w:type="dxa"/>
            <w:tcBorders>
              <w:top w:val="single" w:color="auto" w:sz="12" w:space="0"/>
              <w:bottom w:val="single" w:color="auto" w:sz="12" w:space="0"/>
            </w:tcBorders>
            <w:shd w:val="clear" w:color="auto" w:fill="auto"/>
            <w:vAlign w:val="center"/>
          </w:tcPr>
          <w:p w14:paraId="7369F760">
            <w:pPr>
              <w:rPr>
                <w:rFonts w:ascii="Times New Roman"/>
                <w:sz w:val="18"/>
                <w:szCs w:val="18"/>
              </w:rPr>
            </w:pPr>
            <w:r>
              <w:rPr>
                <w:rFonts w:ascii="Times New Roman"/>
                <w:sz w:val="18"/>
                <w:szCs w:val="18"/>
              </w:rPr>
              <w:t>对各个类别，目前的清单估算应该与先前的估算（如果可得）进行比较。如果趋势存在重大变化或偏离，重新检查估算并对任何差异做出解释。与以前年份的排放或清除有重大变化，可能说明出现了可能的输入或计算误差；检查时间序列的活动水平数据或其他参数中，是否存在任何异常和未解释的趋 势。</w:t>
            </w:r>
          </w:p>
        </w:tc>
      </w:tr>
      <w:tr w14:paraId="5E167793">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95" w:type="dxa"/>
            <w:tcBorders>
              <w:top w:val="single" w:color="auto" w:sz="12" w:space="0"/>
              <w:bottom w:val="single" w:color="auto" w:sz="12" w:space="0"/>
            </w:tcBorders>
            <w:shd w:val="clear" w:color="auto" w:fill="auto"/>
            <w:vAlign w:val="center"/>
          </w:tcPr>
          <w:p w14:paraId="2323C667">
            <w:pPr>
              <w:jc w:val="center"/>
              <w:rPr>
                <w:rFonts w:ascii="Times New Roman"/>
                <w:sz w:val="18"/>
                <w:szCs w:val="18"/>
              </w:rPr>
            </w:pPr>
            <w:r>
              <w:rPr>
                <w:rFonts w:ascii="Times New Roman"/>
                <w:sz w:val="18"/>
                <w:szCs w:val="18"/>
              </w:rPr>
              <w:t>评审内部文件和存档</w:t>
            </w:r>
          </w:p>
        </w:tc>
        <w:tc>
          <w:tcPr>
            <w:tcW w:w="4677" w:type="dxa"/>
            <w:tcBorders>
              <w:top w:val="single" w:color="auto" w:sz="12" w:space="0"/>
              <w:bottom w:val="single" w:color="auto" w:sz="12" w:space="0"/>
            </w:tcBorders>
            <w:shd w:val="clear" w:color="auto" w:fill="auto"/>
            <w:vAlign w:val="center"/>
          </w:tcPr>
          <w:p w14:paraId="2E7F20B4">
            <w:pPr>
              <w:rPr>
                <w:rFonts w:ascii="Times New Roman"/>
                <w:sz w:val="18"/>
                <w:szCs w:val="18"/>
              </w:rPr>
            </w:pPr>
            <w:r>
              <w:rPr>
                <w:rFonts w:ascii="Times New Roman"/>
                <w:sz w:val="18"/>
                <w:szCs w:val="18"/>
              </w:rPr>
              <w:t>检查是否有详细的内部文档记录，可支持估算并能够复制排放、清除和不确定性估算；检查清单数据、支持数据以及清单记录已经归档和储存，以便于详细评审；检查在清单完成后，存档密闭并保管在安全场所；检查参与清单编制的外部组织任何数据存档安排的内在一致性。</w:t>
            </w:r>
          </w:p>
        </w:tc>
      </w:tr>
    </w:tbl>
    <w:p w14:paraId="1EF6289B"/>
    <w:p w14:paraId="648092DB">
      <w:pPr>
        <w:pStyle w:val="3"/>
        <w:ind w:left="0" w:firstLine="0"/>
      </w:pPr>
      <w:bookmarkStart w:id="129" w:name="_Toc170504504"/>
      <w:bookmarkStart w:id="130" w:name="_Toc170504544"/>
      <w:bookmarkStart w:id="131" w:name="_Toc170504768"/>
      <w:r>
        <w:rPr>
          <w:rFonts w:hint="eastAsia"/>
        </w:rPr>
        <w:t>7</w:t>
      </w:r>
      <w:r>
        <w:t xml:space="preserve">.2.2 </w:t>
      </w:r>
      <w:r>
        <w:rPr>
          <w:rFonts w:hint="eastAsia"/>
        </w:rPr>
        <w:t>特别类别质量控制程序</w:t>
      </w:r>
      <w:bookmarkEnd w:id="129"/>
      <w:bookmarkEnd w:id="130"/>
      <w:bookmarkEnd w:id="131"/>
    </w:p>
    <w:p w14:paraId="338EBF84">
      <w:pPr>
        <w:pStyle w:val="25"/>
        <w:spacing w:line="360" w:lineRule="auto"/>
        <w:ind w:firstLine="420"/>
      </w:pPr>
      <w:r>
        <w:t>特定类别质量控制是一般清单质量控制程序的补充，是针对个别</w:t>
      </w:r>
      <w:r>
        <w:rPr>
          <w:rFonts w:hint="eastAsia"/>
        </w:rPr>
        <w:t>排放</w:t>
      </w:r>
      <w:r>
        <w:t>源类别方法中使用的特定类型的数据。这些程序要求了解特定类别、可用数据类型和排放或清除的相关参数，并且是表7.2-1所列一般质量控制检查的额外执行。特定类别程序的应用要视具体情况而定，重点放在关键类别和方法学及数据有重大修正的类别。相关的质量控制程序取决于给定类别排放估算使用的方法。如果由外部机构制定估算，清单编制者可以在评审后参考外部机构的质量控制活动作为质量保证/质量控制计划的一部分。如果清单编制者认为，外部机构实施的质量控制活动符合质量保证/质量控制计划的要求，就不需要重复质量控制活动。</w:t>
      </w:r>
    </w:p>
    <w:p w14:paraId="0655EA45">
      <w:pPr>
        <w:pStyle w:val="2"/>
      </w:pPr>
      <w:bookmarkStart w:id="132" w:name="_Toc170504545"/>
      <w:bookmarkStart w:id="133" w:name="_Toc170504769"/>
      <w:bookmarkStart w:id="134" w:name="_Toc29212"/>
      <w:bookmarkStart w:id="135" w:name="_Toc170504505"/>
      <w:r>
        <w:rPr>
          <w:rFonts w:hint="eastAsia"/>
        </w:rPr>
        <w:t>8</w:t>
      </w:r>
      <w:r>
        <w:t xml:space="preserve"> </w:t>
      </w:r>
      <w:r>
        <w:rPr>
          <w:rFonts w:hint="eastAsia"/>
        </w:rPr>
        <w:t>验证、归类、存档和报告</w:t>
      </w:r>
      <w:bookmarkEnd w:id="132"/>
      <w:bookmarkEnd w:id="133"/>
      <w:bookmarkEnd w:id="134"/>
      <w:bookmarkEnd w:id="135"/>
    </w:p>
    <w:p w14:paraId="29091F33"/>
    <w:p w14:paraId="5DFEC1F7">
      <w:pPr>
        <w:spacing w:line="360" w:lineRule="auto"/>
        <w:ind w:firstLine="440" w:firstLineChars="200"/>
      </w:pPr>
      <w:r>
        <w:rPr>
          <w:rFonts w:hint="eastAsia"/>
        </w:rPr>
        <w:t>验证活动包括：与其他企业编制的排放估算的比较，以及与完全独立评估（如大气浓度测量）推导的估算的比较。验证活动为企业级改进其清单提供信息，是质量保证/质量控制与验证总体系统的一部分。如果有明显差别可表明其中一个或两个数据库存在问题。如果不知道哪个数据库更好，需要重新评估清单。选择验证方法时需要考虑：数据的重要程度、验证成本、准确性和精度的期望水平、验证方法设计和实施的复杂性、数据可获得性以及实施要求的专业水平。如果使用了验证技术，就应反映在质量保证/质量控制程序中。与验证技术本身有关的局限性和不确定性在实施验证技术前必须经过充分调查，以正确对结果进行解释。</w:t>
      </w:r>
    </w:p>
    <w:p w14:paraId="116403CA">
      <w:pPr>
        <w:spacing w:line="360" w:lineRule="auto"/>
        <w:ind w:firstLine="440" w:firstLineChars="200"/>
      </w:pPr>
      <w:r>
        <w:rPr>
          <w:rFonts w:hint="eastAsia"/>
        </w:rPr>
        <w:t>清单编制者应该将重点放在以下活动：一是应该讨论参考质量保证/质量控制计划，其计划执行时间表以及执行的责任；二是描述企业内部实施的各种活动，以及对各个源类别和整个清单所进行的各种外部评审；三是给出关键结果，描述各个类别输入数据、方法、处理或估算质量相关的主要问题，并说明得到如何处理或者在未来计划如何处理；四是解释时间序列中的重要趋势。在该讨论中应该包括任何重新计算或减排计划可能带来的后果。</w:t>
      </w:r>
    </w:p>
    <w:p w14:paraId="44F214CE">
      <w:pPr>
        <w:pStyle w:val="2"/>
        <w:spacing w:line="360" w:lineRule="auto"/>
      </w:pPr>
      <w:bookmarkStart w:id="136" w:name="_Toc9875"/>
      <w:bookmarkStart w:id="137" w:name="_Toc170504506"/>
      <w:bookmarkStart w:id="138" w:name="_Toc170504546"/>
      <w:bookmarkStart w:id="139" w:name="_Toc170504770"/>
      <w:r>
        <w:rPr>
          <w:rFonts w:hint="eastAsia"/>
        </w:rPr>
        <w:t>9 意见采纳情况</w:t>
      </w:r>
      <w:bookmarkEnd w:id="136"/>
      <w:bookmarkEnd w:id="137"/>
      <w:bookmarkEnd w:id="138"/>
      <w:bookmarkEnd w:id="139"/>
    </w:p>
    <w:p w14:paraId="1614F410">
      <w:pPr>
        <w:spacing w:line="360" w:lineRule="auto"/>
        <w:ind w:firstLine="440" w:firstLineChars="200"/>
      </w:pPr>
      <w:r>
        <w:t>意见反馈自：中国环境监测总站、中国环境科学研究院、广东省生态环境监测中心、南京环境科学研究所、环境标准研究所</w:t>
      </w:r>
    </w:p>
    <w:p w14:paraId="3CE3B964">
      <w:pPr>
        <w:numPr>
          <w:ilvl w:val="0"/>
          <w:numId w:val="5"/>
        </w:numPr>
        <w:spacing w:line="360" w:lineRule="auto"/>
        <w:ind w:firstLine="0"/>
      </w:pPr>
      <w:r>
        <w:rPr>
          <w:rFonts w:hint="eastAsia"/>
        </w:rPr>
        <w:t>采纳意见：</w:t>
      </w:r>
    </w:p>
    <w:p w14:paraId="074C1849">
      <w:pPr>
        <w:numPr>
          <w:ilvl w:val="0"/>
          <w:numId w:val="6"/>
        </w:numPr>
        <w:spacing w:line="360" w:lineRule="auto"/>
        <w:ind w:firstLine="0"/>
      </w:pPr>
      <w:r>
        <w:t>建议将题目中的“企业级”删去；</w:t>
      </w:r>
    </w:p>
    <w:p w14:paraId="0D4C4BAA">
      <w:pPr>
        <w:numPr>
          <w:ilvl w:val="0"/>
          <w:numId w:val="6"/>
        </w:numPr>
        <w:spacing w:line="360" w:lineRule="auto"/>
        <w:ind w:firstLine="0"/>
      </w:pPr>
      <w:r>
        <w:t>增加编制原则；</w:t>
      </w:r>
    </w:p>
    <w:p w14:paraId="42FF7380">
      <w:pPr>
        <w:numPr>
          <w:ilvl w:val="0"/>
          <w:numId w:val="6"/>
        </w:numPr>
        <w:spacing w:line="360" w:lineRule="auto"/>
        <w:ind w:firstLine="0"/>
      </w:pPr>
      <w:r>
        <w:t>核心工艺、核心产排污环节要具有代表性；</w:t>
      </w:r>
    </w:p>
    <w:p w14:paraId="5CFEDEEC">
      <w:pPr>
        <w:numPr>
          <w:ilvl w:val="0"/>
          <w:numId w:val="6"/>
        </w:numPr>
        <w:spacing w:line="360" w:lineRule="auto"/>
        <w:ind w:firstLine="0"/>
      </w:pPr>
      <w:r>
        <w:t>明细不同核算方法适用的情况；</w:t>
      </w:r>
    </w:p>
    <w:p w14:paraId="38BAF361">
      <w:pPr>
        <w:numPr>
          <w:ilvl w:val="0"/>
          <w:numId w:val="6"/>
        </w:numPr>
        <w:spacing w:line="360" w:lineRule="auto"/>
        <w:ind w:firstLine="0"/>
      </w:pPr>
      <w:r>
        <w:t>考虑术语的必要性与衔接性；</w:t>
      </w:r>
    </w:p>
    <w:p w14:paraId="77179C70">
      <w:pPr>
        <w:numPr>
          <w:ilvl w:val="0"/>
          <w:numId w:val="6"/>
        </w:numPr>
        <w:spacing w:line="360" w:lineRule="auto"/>
        <w:ind w:firstLine="0"/>
      </w:pPr>
      <w:r>
        <w:t>建议加强与现行标准的衔接性，增强可行性可操作性，细化行业特色；</w:t>
      </w:r>
    </w:p>
    <w:p w14:paraId="5FD96A79">
      <w:pPr>
        <w:numPr>
          <w:ilvl w:val="0"/>
          <w:numId w:val="6"/>
        </w:numPr>
        <w:spacing w:line="360" w:lineRule="auto"/>
        <w:ind w:firstLine="0"/>
      </w:pPr>
      <w:r>
        <w:t>可增加特定环节的监测物质；</w:t>
      </w:r>
    </w:p>
    <w:p w14:paraId="32D6927A">
      <w:pPr>
        <w:numPr>
          <w:ilvl w:val="0"/>
          <w:numId w:val="6"/>
        </w:numPr>
        <w:spacing w:line="360" w:lineRule="auto"/>
        <w:ind w:firstLine="0"/>
      </w:pPr>
      <w:r>
        <w:t>保持与以往标准的一致性。</w:t>
      </w:r>
    </w:p>
    <w:p w14:paraId="6CBE2916">
      <w:pPr>
        <w:numPr>
          <w:ilvl w:val="0"/>
          <w:numId w:val="5"/>
        </w:numPr>
        <w:spacing w:line="360" w:lineRule="auto"/>
        <w:ind w:firstLine="0"/>
      </w:pPr>
      <w:r>
        <w:rPr>
          <w:rFonts w:hint="eastAsia"/>
        </w:rPr>
        <w:t>部分采纳意见：</w:t>
      </w:r>
    </w:p>
    <w:p w14:paraId="563B17DE">
      <w:pPr>
        <w:spacing w:line="360" w:lineRule="auto"/>
        <w:ind w:firstLine="425"/>
      </w:pPr>
      <w:bookmarkStart w:id="140" w:name="_Toc8839"/>
      <w:r>
        <w:rPr>
          <w:rFonts w:hint="eastAsia"/>
        </w:rPr>
        <w:t>1</w:t>
      </w:r>
      <w:r>
        <w:t>. 该标准的适用范围与电子工业，电子元件等是否冲突或不明确？</w:t>
      </w:r>
      <w:bookmarkEnd w:id="140"/>
    </w:p>
    <w:p w14:paraId="340F88A0">
      <w:pPr>
        <w:spacing w:line="360" w:lineRule="auto"/>
        <w:ind w:firstLine="440" w:firstLineChars="200"/>
      </w:pPr>
      <w:r>
        <w:rPr>
          <w:rFonts w:hint="eastAsia"/>
        </w:rPr>
        <w:t>回应：</w:t>
      </w:r>
      <w:r>
        <w:t>根据《国民经济行业分类与代码》，GB/4754-2017，电子电路制造行业单独分为一小类。指在绝缘基材上采用印制工艺形成电气电子连接电路，以及附有无源与有源元件的制造，包括印刷电路板及附有元器件构成电子电路功能组合件。本标准适用范围为电子电路制造行业，与电子工业，电子元件制造等类别不同。挥发性有机污染物（VOCs）排放源主要集中在挥发性有机溶剂的使用、载运、储存及废气治理过程。</w:t>
      </w:r>
    </w:p>
    <w:p w14:paraId="52F927F5">
      <w:pPr>
        <w:pStyle w:val="2"/>
      </w:pPr>
      <w:bookmarkStart w:id="141" w:name="_Toc170504547"/>
      <w:bookmarkStart w:id="142" w:name="_Toc170504771"/>
      <w:bookmarkStart w:id="143" w:name="_Toc21775"/>
      <w:bookmarkStart w:id="144" w:name="_Toc170504507"/>
      <w:r>
        <w:rPr>
          <w:rFonts w:hint="eastAsia"/>
        </w:rPr>
        <w:t>10</w:t>
      </w:r>
      <w:r>
        <w:t xml:space="preserve"> </w:t>
      </w:r>
      <w:r>
        <w:rPr>
          <w:rFonts w:hint="eastAsia"/>
        </w:rPr>
        <w:t>指南实施建议</w:t>
      </w:r>
      <w:bookmarkEnd w:id="141"/>
      <w:bookmarkEnd w:id="142"/>
      <w:bookmarkEnd w:id="143"/>
      <w:bookmarkEnd w:id="144"/>
    </w:p>
    <w:p w14:paraId="3B7EC6EF"/>
    <w:p w14:paraId="09A28C01">
      <w:pPr>
        <w:pStyle w:val="21"/>
        <w:tabs>
          <w:tab w:val="left" w:pos="1217"/>
        </w:tabs>
        <w:kinsoku w:val="0"/>
        <w:overflowPunct w:val="0"/>
        <w:spacing w:line="360" w:lineRule="auto"/>
        <w:ind w:left="0" w:right="369" w:firstLine="420" w:firstLineChars="200"/>
        <w:jc w:val="both"/>
        <w:rPr>
          <w:sz w:val="21"/>
          <w:szCs w:val="21"/>
        </w:rPr>
      </w:pPr>
      <w:r>
        <w:rPr>
          <w:rFonts w:hint="eastAsia"/>
          <w:sz w:val="21"/>
          <w:szCs w:val="21"/>
        </w:rPr>
        <w:t>1） VOCs 源排放清单编制技术指南应与各种污染防治政策 (包括地方标准)建立关联关系，并要具有一定的强制性，加强行政指导，促进大气挥发性有机物污染防治工作的开展。</w:t>
      </w:r>
    </w:p>
    <w:p w14:paraId="3BE1B949">
      <w:pPr>
        <w:pStyle w:val="21"/>
        <w:tabs>
          <w:tab w:val="left" w:pos="1217"/>
        </w:tabs>
        <w:kinsoku w:val="0"/>
        <w:overflowPunct w:val="0"/>
        <w:spacing w:line="360" w:lineRule="auto"/>
        <w:ind w:left="0" w:right="369" w:firstLine="420" w:firstLineChars="200"/>
        <w:jc w:val="both"/>
        <w:rPr>
          <w:sz w:val="21"/>
          <w:szCs w:val="21"/>
        </w:rPr>
      </w:pPr>
      <w:r>
        <w:rPr>
          <w:rFonts w:hint="eastAsia"/>
          <w:sz w:val="21"/>
          <w:szCs w:val="21"/>
        </w:rPr>
        <w:t>2）建议各地区依据本指南提出的技术路线，结合当地数据可获得性，确定一套完整的排放量计算参数的获取方案。 以后进行排放清单更新时采用统一的获取途径以确保多套排放清单的可比性，如获取途径发生改变应进行说明。</w:t>
      </w:r>
    </w:p>
    <w:p w14:paraId="5D8E04D4">
      <w:pPr>
        <w:pStyle w:val="21"/>
        <w:tabs>
          <w:tab w:val="left" w:pos="1217"/>
        </w:tabs>
        <w:kinsoku w:val="0"/>
        <w:overflowPunct w:val="0"/>
        <w:spacing w:line="360" w:lineRule="auto"/>
        <w:ind w:left="0" w:right="369" w:firstLine="420" w:firstLineChars="200"/>
        <w:jc w:val="both"/>
        <w:rPr>
          <w:sz w:val="21"/>
          <w:szCs w:val="21"/>
        </w:rPr>
      </w:pPr>
      <w:r>
        <w:rPr>
          <w:rFonts w:hint="eastAsia"/>
          <w:sz w:val="21"/>
          <w:szCs w:val="21"/>
        </w:rPr>
        <w:t>3）根据 VOCs 排放源的变化及工艺技术、污染控制技术的发展状况，适时修订本指南，吸纳各种新的排放源及新的技术，淘汰过时的技术。</w:t>
      </w:r>
    </w:p>
    <w:sectPr>
      <w:footerReference r:id="rId5" w:type="default"/>
      <w:pgSz w:w="11910" w:h="16840"/>
      <w:pgMar w:top="1400" w:right="1320" w:bottom="1160" w:left="1320" w:header="0" w:footer="97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D77A">
    <w:pPr>
      <w:pStyle w:val="7"/>
      <w:jc w:val="center"/>
    </w:pPr>
  </w:p>
  <w:p w14:paraId="0E5B4C7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79295">
    <w:pPr>
      <w:pStyle w:val="5"/>
      <w:kinsoku w:val="0"/>
      <w:overflowPunct w:val="0"/>
      <w:spacing w:line="14" w:lineRule="auto"/>
      <w:rPr>
        <w:rFonts w:ascii="Times New Roman" w:eastAsia="等线" w:cs="Times New Roman"/>
        <w:sz w:val="20"/>
        <w:szCs w:val="20"/>
      </w:rPr>
    </w:pPr>
    <w:r>
      <mc:AlternateContent>
        <mc:Choice Requires="wps">
          <w:drawing>
            <wp:anchor distT="0" distB="0" distL="114300" distR="114300" simplePos="0" relativeHeight="251661312" behindDoc="1" locked="0" layoutInCell="0" allowOverlap="1">
              <wp:simplePos x="0" y="0"/>
              <wp:positionH relativeFrom="page">
                <wp:posOffset>3713480</wp:posOffset>
              </wp:positionH>
              <wp:positionV relativeFrom="page">
                <wp:posOffset>9933305</wp:posOffset>
              </wp:positionV>
              <wp:extent cx="147320" cy="139700"/>
              <wp:effectExtent l="0" t="0" r="0" b="0"/>
              <wp:wrapNone/>
              <wp:docPr id="13491828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wps:spPr>
                    <wps:txbx>
                      <w:txbxContent>
                        <w:p w14:paraId="6D18FD6B">
                          <w:pPr>
                            <w:pStyle w:val="5"/>
                            <w:kinsoku w:val="0"/>
                            <w:overflowPunct w:val="0"/>
                            <w:spacing w:line="203" w:lineRule="exact"/>
                            <w:ind w:left="60"/>
                            <w:rPr>
                              <w:rFonts w:ascii="Calibri" w:hAnsi="Calibri" w:eastAsia="等线" w:cs="Calibri"/>
                              <w:sz w:val="18"/>
                              <w:szCs w:val="18"/>
                            </w:rPr>
                          </w:pPr>
                          <w:r>
                            <w:rPr>
                              <w:rFonts w:ascii="Calibri" w:hAnsi="Calibri" w:eastAsia="等线" w:cs="Calibri"/>
                              <w:sz w:val="18"/>
                              <w:szCs w:val="18"/>
                            </w:rPr>
                            <w:fldChar w:fldCharType="begin"/>
                          </w:r>
                          <w:r>
                            <w:rPr>
                              <w:rFonts w:ascii="Calibri" w:hAnsi="Calibri" w:eastAsia="等线" w:cs="Calibri"/>
                              <w:sz w:val="18"/>
                              <w:szCs w:val="18"/>
                            </w:rPr>
                            <w:instrText xml:space="preserve"> PAGE </w:instrText>
                          </w:r>
                          <w:r>
                            <w:rPr>
                              <w:rFonts w:ascii="Calibri" w:hAnsi="Calibri" w:eastAsia="等线" w:cs="Calibri"/>
                              <w:sz w:val="18"/>
                              <w:szCs w:val="18"/>
                            </w:rPr>
                            <w:fldChar w:fldCharType="separate"/>
                          </w:r>
                          <w:r>
                            <w:rPr>
                              <w:rFonts w:ascii="Calibri" w:hAnsi="Calibri" w:eastAsia="等线" w:cs="Calibri"/>
                              <w:sz w:val="18"/>
                              <w:szCs w:val="18"/>
                            </w:rPr>
                            <w:t>2</w:t>
                          </w:r>
                          <w:r>
                            <w:rPr>
                              <w:rFonts w:ascii="Calibri" w:hAnsi="Calibri" w:eastAsia="等线" w:cs="Calibri"/>
                              <w:sz w:val="18"/>
                              <w:szCs w:val="18"/>
                            </w:rP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292.4pt;margin-top:782.15pt;height:11pt;width:11.6pt;mso-position-horizontal-relative:page;mso-position-vertical-relative:page;z-index:-251655168;mso-width-relative:page;mso-height-relative:page;" filled="f" stroked="f" coordsize="21600,21600" o:allowincell="f" o:gfxdata="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uyno2gAAAA0BAAAPAAAA&#10;AAAAAAEAIAAAACIAAABkcnMvZG93bnJldi54bWxQSwECFAAUAAAACACHTuJAkTTikRMCAAAMBAAA&#10;DgAAAAAAAAABACAAAAApAQAAZHJzL2Uyb0RvYy54bWxQSwUGAAAAAAYABgBZAQAArgUAAAAA&#10;">
              <v:fill on="f" focussize="0,0"/>
              <v:stroke on="f"/>
              <v:imagedata o:title=""/>
              <o:lock v:ext="edit" aspectratio="f"/>
              <v:textbox inset="0mm,0mm,0mm,0mm">
                <w:txbxContent>
                  <w:p w14:paraId="6D18FD6B">
                    <w:pPr>
                      <w:pStyle w:val="5"/>
                      <w:kinsoku w:val="0"/>
                      <w:overflowPunct w:val="0"/>
                      <w:spacing w:line="203" w:lineRule="exact"/>
                      <w:ind w:left="60"/>
                      <w:rPr>
                        <w:rFonts w:ascii="Calibri" w:hAnsi="Calibri" w:eastAsia="等线" w:cs="Calibri"/>
                        <w:sz w:val="18"/>
                        <w:szCs w:val="18"/>
                      </w:rPr>
                    </w:pPr>
                    <w:r>
                      <w:rPr>
                        <w:rFonts w:ascii="Calibri" w:hAnsi="Calibri" w:eastAsia="等线" w:cs="Calibri"/>
                        <w:sz w:val="18"/>
                        <w:szCs w:val="18"/>
                      </w:rPr>
                      <w:fldChar w:fldCharType="begin"/>
                    </w:r>
                    <w:r>
                      <w:rPr>
                        <w:rFonts w:ascii="Calibri" w:hAnsi="Calibri" w:eastAsia="等线" w:cs="Calibri"/>
                        <w:sz w:val="18"/>
                        <w:szCs w:val="18"/>
                      </w:rPr>
                      <w:instrText xml:space="preserve"> PAGE </w:instrText>
                    </w:r>
                    <w:r>
                      <w:rPr>
                        <w:rFonts w:ascii="Calibri" w:hAnsi="Calibri" w:eastAsia="等线" w:cs="Calibri"/>
                        <w:sz w:val="18"/>
                        <w:szCs w:val="18"/>
                      </w:rPr>
                      <w:fldChar w:fldCharType="separate"/>
                    </w:r>
                    <w:r>
                      <w:rPr>
                        <w:rFonts w:ascii="Calibri" w:hAnsi="Calibri" w:eastAsia="等线" w:cs="Calibri"/>
                        <w:sz w:val="18"/>
                        <w:szCs w:val="18"/>
                      </w:rPr>
                      <w:t>2</w:t>
                    </w:r>
                    <w:r>
                      <w:rPr>
                        <w:rFonts w:ascii="Calibri" w:hAnsi="Calibri" w:eastAsia="等线" w:cs="Calibri"/>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900E0">
    <w:pPr>
      <w:pStyle w:val="5"/>
      <w:kinsoku w:val="0"/>
      <w:overflowPunct w:val="0"/>
      <w:spacing w:line="14" w:lineRule="auto"/>
      <w:rPr>
        <w:rFonts w:ascii="Times New Roman" w:eastAsia="等线" w:cs="Times New Roman"/>
        <w:sz w:val="20"/>
        <w:szCs w:val="20"/>
      </w:rPr>
    </w:pPr>
    <w:r>
      <mc:AlternateContent>
        <mc:Choice Requires="wps">
          <w:drawing>
            <wp:anchor distT="0" distB="0" distL="114300" distR="114300" simplePos="0" relativeHeight="251660288" behindDoc="1" locked="0" layoutInCell="0" allowOverlap="1">
              <wp:simplePos x="0" y="0"/>
              <wp:positionH relativeFrom="page">
                <wp:posOffset>3713480</wp:posOffset>
              </wp:positionH>
              <wp:positionV relativeFrom="page">
                <wp:posOffset>9933305</wp:posOffset>
              </wp:positionV>
              <wp:extent cx="147320" cy="139700"/>
              <wp:effectExtent l="0" t="0" r="0" b="0"/>
              <wp:wrapNone/>
              <wp:docPr id="101647871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wps:spPr>
                    <wps:txbx>
                      <w:txbxContent>
                        <w:p w14:paraId="75322700">
                          <w:pPr>
                            <w:pStyle w:val="5"/>
                            <w:kinsoku w:val="0"/>
                            <w:overflowPunct w:val="0"/>
                            <w:spacing w:line="203" w:lineRule="exact"/>
                            <w:ind w:left="60"/>
                            <w:rPr>
                              <w:rFonts w:ascii="Calibri" w:hAnsi="Calibri" w:eastAsia="等线" w:cs="Calibri"/>
                              <w:sz w:val="18"/>
                              <w:szCs w:val="18"/>
                            </w:rPr>
                          </w:pPr>
                          <w:r>
                            <w:rPr>
                              <w:rFonts w:ascii="Calibri" w:hAnsi="Calibri" w:eastAsia="等线" w:cs="Calibri"/>
                              <w:sz w:val="18"/>
                              <w:szCs w:val="18"/>
                            </w:rPr>
                            <w:fldChar w:fldCharType="begin"/>
                          </w:r>
                          <w:r>
                            <w:rPr>
                              <w:rFonts w:ascii="Calibri" w:hAnsi="Calibri" w:eastAsia="等线" w:cs="Calibri"/>
                              <w:sz w:val="18"/>
                              <w:szCs w:val="18"/>
                            </w:rPr>
                            <w:instrText xml:space="preserve"> PAGE </w:instrText>
                          </w:r>
                          <w:r>
                            <w:rPr>
                              <w:rFonts w:ascii="Calibri" w:hAnsi="Calibri" w:eastAsia="等线" w:cs="Calibri"/>
                              <w:sz w:val="18"/>
                              <w:szCs w:val="18"/>
                            </w:rPr>
                            <w:fldChar w:fldCharType="separate"/>
                          </w:r>
                          <w:r>
                            <w:rPr>
                              <w:rFonts w:ascii="Calibri" w:hAnsi="Calibri" w:eastAsia="等线" w:cs="Calibri"/>
                              <w:sz w:val="18"/>
                              <w:szCs w:val="18"/>
                            </w:rPr>
                            <w:t>2</w:t>
                          </w:r>
                          <w:r>
                            <w:rPr>
                              <w:rFonts w:ascii="Calibri" w:hAnsi="Calibri" w:eastAsia="等线" w:cs="Calibri"/>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2.4pt;margin-top:782.15pt;height:11pt;width:11.6pt;mso-position-horizontal-relative:page;mso-position-vertical-relative:page;z-index:-251656192;mso-width-relative:page;mso-height-relative:page;" filled="f" stroked="f" coordsize="21600,21600" o:allowincell="f" o:gfxdata="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G7KejaAAAADQEAAA8AAAAAAAAAAQAgAAAAIgAAAGRy&#10;cy9kb3ducmV2LnhtbFBLAQIUABQAAAAIAIdO4kAkz4yvAwIAAAwEAAAOAAAAAAAAAAEAIAAAACkB&#10;AABkcnMvZTJvRG9jLnhtbFBLBQYAAAAABgAGAFkBAACeBQAAAAA=&#10;">
              <v:fill on="f" focussize="0,0"/>
              <v:stroke on="f"/>
              <v:imagedata o:title=""/>
              <o:lock v:ext="edit" aspectratio="f"/>
              <v:textbox inset="0mm,0mm,0mm,0mm">
                <w:txbxContent>
                  <w:p w14:paraId="75322700">
                    <w:pPr>
                      <w:pStyle w:val="5"/>
                      <w:kinsoku w:val="0"/>
                      <w:overflowPunct w:val="0"/>
                      <w:spacing w:line="203" w:lineRule="exact"/>
                      <w:ind w:left="60"/>
                      <w:rPr>
                        <w:rFonts w:ascii="Calibri" w:hAnsi="Calibri" w:eastAsia="等线" w:cs="Calibri"/>
                        <w:sz w:val="18"/>
                        <w:szCs w:val="18"/>
                      </w:rPr>
                    </w:pPr>
                    <w:r>
                      <w:rPr>
                        <w:rFonts w:ascii="Calibri" w:hAnsi="Calibri" w:eastAsia="等线" w:cs="Calibri"/>
                        <w:sz w:val="18"/>
                        <w:szCs w:val="18"/>
                      </w:rPr>
                      <w:fldChar w:fldCharType="begin"/>
                    </w:r>
                    <w:r>
                      <w:rPr>
                        <w:rFonts w:ascii="Calibri" w:hAnsi="Calibri" w:eastAsia="等线" w:cs="Calibri"/>
                        <w:sz w:val="18"/>
                        <w:szCs w:val="18"/>
                      </w:rPr>
                      <w:instrText xml:space="preserve"> PAGE </w:instrText>
                    </w:r>
                    <w:r>
                      <w:rPr>
                        <w:rFonts w:ascii="Calibri" w:hAnsi="Calibri" w:eastAsia="等线" w:cs="Calibri"/>
                        <w:sz w:val="18"/>
                        <w:szCs w:val="18"/>
                      </w:rPr>
                      <w:fldChar w:fldCharType="separate"/>
                    </w:r>
                    <w:r>
                      <w:rPr>
                        <w:rFonts w:ascii="Calibri" w:hAnsi="Calibri" w:eastAsia="等线" w:cs="Calibri"/>
                        <w:sz w:val="18"/>
                        <w:szCs w:val="18"/>
                      </w:rPr>
                      <w:t>2</w:t>
                    </w:r>
                    <w:r>
                      <w:rPr>
                        <w:rFonts w:ascii="Calibri" w:hAnsi="Calibri" w:eastAsia="等线" w:cs="Calibri"/>
                        <w:sz w:val="1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480DA"/>
    <w:multiLevelType w:val="singleLevel"/>
    <w:tmpl w:val="E86480DA"/>
    <w:lvl w:ilvl="0" w:tentative="0">
      <w:start w:val="1"/>
      <w:numFmt w:val="decimal"/>
      <w:lvlText w:val="%1."/>
      <w:lvlJc w:val="left"/>
      <w:pPr>
        <w:ind w:left="425" w:hanging="425"/>
      </w:pPr>
      <w:rPr>
        <w:rFonts w:hint="default"/>
      </w:rPr>
    </w:lvl>
  </w:abstractNum>
  <w:abstractNum w:abstractNumId="1">
    <w:nsid w:val="10611E93"/>
    <w:multiLevelType w:val="multilevel"/>
    <w:tmpl w:val="10611E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FD4364"/>
    <w:multiLevelType w:val="singleLevel"/>
    <w:tmpl w:val="5BFD4364"/>
    <w:lvl w:ilvl="0" w:tentative="0">
      <w:start w:val="1"/>
      <w:numFmt w:val="decimal"/>
      <w:lvlText w:val="%1)"/>
      <w:lvlJc w:val="left"/>
      <w:pPr>
        <w:ind w:left="425" w:hanging="425"/>
      </w:pPr>
      <w:rPr>
        <w:rFonts w:hint="default"/>
      </w:rPr>
    </w:lvl>
  </w:abstractNum>
  <w:abstractNum w:abstractNumId="3">
    <w:nsid w:val="6B3059E0"/>
    <w:multiLevelType w:val="multilevel"/>
    <w:tmpl w:val="6B3059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EA2025"/>
    <w:multiLevelType w:val="multilevel"/>
    <w:tmpl w:val="6CEA2025"/>
    <w:lvl w:ilvl="0" w:tentative="0">
      <w:start w:val="1"/>
      <w:numFmt w:val="none"/>
      <w:pStyle w:val="34"/>
      <w:suff w:val="nothing"/>
      <w:lvlText w:val="%1"/>
      <w:lvlJc w:val="left"/>
      <w:pPr>
        <w:ind w:left="0" w:firstLine="0"/>
      </w:pPr>
      <w:rPr>
        <w:rFonts w:hint="eastAsia"/>
      </w:rPr>
    </w:lvl>
    <w:lvl w:ilvl="1" w:tentative="0">
      <w:start w:val="1"/>
      <w:numFmt w:val="decimal"/>
      <w:pStyle w:val="32"/>
      <w:suff w:val="nothing"/>
      <w:lvlText w:val="%1%2　"/>
      <w:lvlJc w:val="left"/>
      <w:pPr>
        <w:ind w:left="0" w:firstLine="0"/>
      </w:pPr>
      <w:rPr>
        <w:rFonts w:hint="eastAsia" w:ascii="黑体" w:eastAsia="黑体"/>
        <w:b w:val="0"/>
        <w:i w:val="0"/>
        <w:sz w:val="21"/>
      </w:rPr>
    </w:lvl>
    <w:lvl w:ilvl="2" w:tentative="0">
      <w:start w:val="1"/>
      <w:numFmt w:val="decimal"/>
      <w:pStyle w:val="3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28"/>
      <w:suff w:val="nothing"/>
      <w:lvlText w:val="%1%2.%3.%4　"/>
      <w:lvlJc w:val="left"/>
      <w:pPr>
        <w:ind w:left="1276" w:firstLine="0"/>
      </w:pPr>
      <w:rPr>
        <w:rFonts w:hint="eastAsia" w:ascii="黑体" w:eastAsia="黑体"/>
        <w:b w:val="0"/>
        <w:i w:val="0"/>
        <w:sz w:val="21"/>
      </w:rPr>
    </w:lvl>
    <w:lvl w:ilvl="4" w:tentative="0">
      <w:start w:val="1"/>
      <w:numFmt w:val="decimal"/>
      <w:pStyle w:val="29"/>
      <w:suff w:val="nothing"/>
      <w:lvlText w:val="%1%2.%3.%4.%5　"/>
      <w:lvlJc w:val="left"/>
      <w:pPr>
        <w:ind w:left="0" w:firstLine="0"/>
      </w:pPr>
      <w:rPr>
        <w:rFonts w:hint="eastAsia" w:ascii="黑体" w:eastAsia="黑体"/>
        <w:b w:val="0"/>
        <w:i w:val="0"/>
        <w:sz w:val="21"/>
      </w:rPr>
    </w:lvl>
    <w:lvl w:ilvl="5" w:tentative="0">
      <w:start w:val="1"/>
      <w:numFmt w:val="decimal"/>
      <w:pStyle w:val="30"/>
      <w:suff w:val="nothing"/>
      <w:lvlText w:val="%1%2.%3.%4.%5.%6　"/>
      <w:lvlJc w:val="left"/>
      <w:pPr>
        <w:ind w:left="0" w:firstLine="0"/>
      </w:pPr>
      <w:rPr>
        <w:rFonts w:hint="eastAsia" w:ascii="黑体" w:eastAsia="黑体"/>
        <w:b w:val="0"/>
        <w:i w:val="0"/>
        <w:sz w:val="21"/>
      </w:rPr>
    </w:lvl>
    <w:lvl w:ilvl="6" w:tentative="0">
      <w:start w:val="1"/>
      <w:numFmt w:val="decimal"/>
      <w:pStyle w:val="3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AFB53A4"/>
    <w:multiLevelType w:val="multilevel"/>
    <w:tmpl w:val="7AFB53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19"/>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xY2UzNjY2Y2FiOTg4ZjM2YTRhYTE3NWJmYzczMjAifQ=="/>
  </w:docVars>
  <w:rsids>
    <w:rsidRoot w:val="000140EB"/>
    <w:rsid w:val="00000785"/>
    <w:rsid w:val="00002BB5"/>
    <w:rsid w:val="00007009"/>
    <w:rsid w:val="000140EB"/>
    <w:rsid w:val="0003023F"/>
    <w:rsid w:val="00066C6B"/>
    <w:rsid w:val="00071342"/>
    <w:rsid w:val="0009704A"/>
    <w:rsid w:val="000A7A9F"/>
    <w:rsid w:val="001030BA"/>
    <w:rsid w:val="00124DE9"/>
    <w:rsid w:val="00130F21"/>
    <w:rsid w:val="001F43ED"/>
    <w:rsid w:val="00200138"/>
    <w:rsid w:val="0022267C"/>
    <w:rsid w:val="002253C8"/>
    <w:rsid w:val="002307E6"/>
    <w:rsid w:val="00240D1E"/>
    <w:rsid w:val="0024318F"/>
    <w:rsid w:val="00254D3E"/>
    <w:rsid w:val="00266823"/>
    <w:rsid w:val="0029484D"/>
    <w:rsid w:val="00295341"/>
    <w:rsid w:val="002A4B09"/>
    <w:rsid w:val="002C6E97"/>
    <w:rsid w:val="002E3CD8"/>
    <w:rsid w:val="002F2DFB"/>
    <w:rsid w:val="002F58A4"/>
    <w:rsid w:val="0032165C"/>
    <w:rsid w:val="003374A9"/>
    <w:rsid w:val="00337A1A"/>
    <w:rsid w:val="0035680F"/>
    <w:rsid w:val="00394F65"/>
    <w:rsid w:val="003E7FDE"/>
    <w:rsid w:val="003F2E7C"/>
    <w:rsid w:val="00405387"/>
    <w:rsid w:val="004106A9"/>
    <w:rsid w:val="004575AD"/>
    <w:rsid w:val="00457D20"/>
    <w:rsid w:val="004634D7"/>
    <w:rsid w:val="00477C4E"/>
    <w:rsid w:val="00486968"/>
    <w:rsid w:val="004E2AFA"/>
    <w:rsid w:val="004E4360"/>
    <w:rsid w:val="004E7E2B"/>
    <w:rsid w:val="005012F6"/>
    <w:rsid w:val="00505620"/>
    <w:rsid w:val="00550D1F"/>
    <w:rsid w:val="00592478"/>
    <w:rsid w:val="00592FD9"/>
    <w:rsid w:val="00595090"/>
    <w:rsid w:val="005A2BA8"/>
    <w:rsid w:val="00611C5B"/>
    <w:rsid w:val="00627F19"/>
    <w:rsid w:val="006327DF"/>
    <w:rsid w:val="00674521"/>
    <w:rsid w:val="0068043A"/>
    <w:rsid w:val="00696C31"/>
    <w:rsid w:val="00697AA8"/>
    <w:rsid w:val="006D6D27"/>
    <w:rsid w:val="00705EB4"/>
    <w:rsid w:val="00707B26"/>
    <w:rsid w:val="0071555D"/>
    <w:rsid w:val="00730C1A"/>
    <w:rsid w:val="007462F7"/>
    <w:rsid w:val="00782D1D"/>
    <w:rsid w:val="007B0138"/>
    <w:rsid w:val="007B3AD4"/>
    <w:rsid w:val="007E1339"/>
    <w:rsid w:val="007F5144"/>
    <w:rsid w:val="008054B0"/>
    <w:rsid w:val="00832DA1"/>
    <w:rsid w:val="00845D5C"/>
    <w:rsid w:val="0085637F"/>
    <w:rsid w:val="008801E6"/>
    <w:rsid w:val="008A6161"/>
    <w:rsid w:val="008A683B"/>
    <w:rsid w:val="008D2E22"/>
    <w:rsid w:val="0091213A"/>
    <w:rsid w:val="00915E16"/>
    <w:rsid w:val="00920EA6"/>
    <w:rsid w:val="00956BEC"/>
    <w:rsid w:val="00960333"/>
    <w:rsid w:val="009706E7"/>
    <w:rsid w:val="00976491"/>
    <w:rsid w:val="00990E4F"/>
    <w:rsid w:val="009B1EAE"/>
    <w:rsid w:val="009D628D"/>
    <w:rsid w:val="009D7C06"/>
    <w:rsid w:val="009F3901"/>
    <w:rsid w:val="009F5FA3"/>
    <w:rsid w:val="00A10472"/>
    <w:rsid w:val="00A14E4A"/>
    <w:rsid w:val="00A33E18"/>
    <w:rsid w:val="00A646D5"/>
    <w:rsid w:val="00A93B47"/>
    <w:rsid w:val="00AC5D75"/>
    <w:rsid w:val="00AD07CB"/>
    <w:rsid w:val="00B10555"/>
    <w:rsid w:val="00B54FE3"/>
    <w:rsid w:val="00B74E2C"/>
    <w:rsid w:val="00B93518"/>
    <w:rsid w:val="00BA59B5"/>
    <w:rsid w:val="00BB0F04"/>
    <w:rsid w:val="00BB22D4"/>
    <w:rsid w:val="00BE5434"/>
    <w:rsid w:val="00BE6215"/>
    <w:rsid w:val="00C005E1"/>
    <w:rsid w:val="00C23C30"/>
    <w:rsid w:val="00C46D66"/>
    <w:rsid w:val="00C56EB2"/>
    <w:rsid w:val="00C84C43"/>
    <w:rsid w:val="00C97468"/>
    <w:rsid w:val="00CA3955"/>
    <w:rsid w:val="00CF398C"/>
    <w:rsid w:val="00CF63E8"/>
    <w:rsid w:val="00D138D1"/>
    <w:rsid w:val="00D1748B"/>
    <w:rsid w:val="00D34B06"/>
    <w:rsid w:val="00D35773"/>
    <w:rsid w:val="00D45CA3"/>
    <w:rsid w:val="00D70768"/>
    <w:rsid w:val="00DA4FBF"/>
    <w:rsid w:val="00DB369D"/>
    <w:rsid w:val="00DB3B3F"/>
    <w:rsid w:val="00E307A5"/>
    <w:rsid w:val="00E31575"/>
    <w:rsid w:val="00E80EC2"/>
    <w:rsid w:val="00E90AEC"/>
    <w:rsid w:val="00EA4131"/>
    <w:rsid w:val="00EA579C"/>
    <w:rsid w:val="00EC23B3"/>
    <w:rsid w:val="00EF23D2"/>
    <w:rsid w:val="00F07ED7"/>
    <w:rsid w:val="00F11A5C"/>
    <w:rsid w:val="00F22EB0"/>
    <w:rsid w:val="00F31B02"/>
    <w:rsid w:val="00F345D4"/>
    <w:rsid w:val="00F6642E"/>
    <w:rsid w:val="00F7737D"/>
    <w:rsid w:val="00F81D9E"/>
    <w:rsid w:val="00FA153A"/>
    <w:rsid w:val="00FA2715"/>
    <w:rsid w:val="00FA5779"/>
    <w:rsid w:val="00FA5DEA"/>
    <w:rsid w:val="00FD03EB"/>
    <w:rsid w:val="00FE25DE"/>
    <w:rsid w:val="00FF40DF"/>
    <w:rsid w:val="00FF52B2"/>
    <w:rsid w:val="0C966D41"/>
    <w:rsid w:val="5D6C1A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2">
    <w:name w:val="heading 1"/>
    <w:basedOn w:val="1"/>
    <w:next w:val="1"/>
    <w:link w:val="17"/>
    <w:qFormat/>
    <w:uiPriority w:val="1"/>
    <w:pPr>
      <w:spacing w:before="26"/>
      <w:ind w:left="2"/>
      <w:outlineLvl w:val="0"/>
    </w:pPr>
    <w:rPr>
      <w:rFonts w:ascii="黑体" w:eastAsia="黑体" w:cs="黑体"/>
      <w:b/>
      <w:sz w:val="28"/>
      <w:szCs w:val="32"/>
    </w:rPr>
  </w:style>
  <w:style w:type="paragraph" w:styleId="3">
    <w:name w:val="heading 2"/>
    <w:basedOn w:val="1"/>
    <w:next w:val="1"/>
    <w:link w:val="18"/>
    <w:qFormat/>
    <w:uiPriority w:val="1"/>
    <w:pPr>
      <w:ind w:left="1200" w:hanging="720"/>
      <w:outlineLvl w:val="1"/>
    </w:pPr>
    <w:rPr>
      <w:rFonts w:ascii="黑体" w:eastAsia="黑体" w:cs="黑体"/>
      <w:b/>
      <w:sz w:val="24"/>
      <w:szCs w:val="24"/>
    </w:rPr>
  </w:style>
  <w:style w:type="paragraph" w:styleId="4">
    <w:name w:val="heading 3"/>
    <w:basedOn w:val="1"/>
    <w:next w:val="1"/>
    <w:link w:val="19"/>
    <w:qFormat/>
    <w:uiPriority w:val="1"/>
    <w:pPr>
      <w:ind w:left="1219" w:hanging="318"/>
      <w:outlineLvl w:val="2"/>
    </w:pPr>
    <w:rPr>
      <w:b/>
      <w:bCs/>
      <w:sz w:val="21"/>
      <w:szCs w:val="21"/>
    </w:rPr>
  </w:style>
  <w:style w:type="character" w:default="1" w:styleId="14">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16"/>
    <w:qFormat/>
    <w:uiPriority w:val="1"/>
    <w:rPr>
      <w:sz w:val="21"/>
      <w:szCs w:val="21"/>
    </w:rPr>
  </w:style>
  <w:style w:type="paragraph" w:styleId="6">
    <w:name w:val="toc 3"/>
    <w:basedOn w:val="1"/>
    <w:next w:val="1"/>
    <w:autoRedefine/>
    <w:unhideWhenUsed/>
    <w:qFormat/>
    <w:uiPriority w:val="39"/>
    <w:pPr>
      <w:widowControl/>
      <w:tabs>
        <w:tab w:val="right" w:pos="9260"/>
      </w:tabs>
      <w:autoSpaceDE/>
      <w:autoSpaceDN/>
      <w:adjustRightInd/>
      <w:spacing w:after="100"/>
      <w:ind w:left="442"/>
    </w:pPr>
    <w:rPr>
      <w:rFonts w:ascii="等线" w:hAnsi="等线" w:eastAsia="等线" w:cs="Times New Roman"/>
    </w:rPr>
  </w:style>
  <w:style w:type="paragraph" w:styleId="7">
    <w:name w:val="footer"/>
    <w:basedOn w:val="1"/>
    <w:link w:val="24"/>
    <w:unhideWhenUsed/>
    <w:uiPriority w:val="99"/>
    <w:pPr>
      <w:tabs>
        <w:tab w:val="center" w:pos="4153"/>
        <w:tab w:val="right" w:pos="8306"/>
      </w:tabs>
      <w:snapToGrid w:val="0"/>
    </w:pPr>
    <w:rPr>
      <w:sz w:val="18"/>
      <w:szCs w:val="18"/>
    </w:rPr>
  </w:style>
  <w:style w:type="paragraph" w:styleId="8">
    <w:name w:val="header"/>
    <w:basedOn w:val="1"/>
    <w:link w:val="23"/>
    <w:unhideWhenUsed/>
    <w:qFormat/>
    <w:uiPriority w:val="99"/>
    <w:pP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widowControl/>
      <w:tabs>
        <w:tab w:val="right" w:pos="9260"/>
      </w:tabs>
      <w:autoSpaceDE/>
      <w:autoSpaceDN/>
      <w:adjustRightInd/>
      <w:spacing w:after="100" w:line="259" w:lineRule="auto"/>
      <w:jc w:val="center"/>
      <w:textAlignment w:val="center"/>
    </w:pPr>
    <w:rPr>
      <w:rFonts w:ascii="等线" w:hAnsi="等线" w:eastAsia="等线" w:cs="Times New Roman"/>
    </w:rPr>
  </w:style>
  <w:style w:type="paragraph" w:styleId="10">
    <w:name w:val="toc 2"/>
    <w:basedOn w:val="1"/>
    <w:next w:val="1"/>
    <w:autoRedefine/>
    <w:unhideWhenUsed/>
    <w:uiPriority w:val="39"/>
    <w:pPr>
      <w:widowControl/>
      <w:autoSpaceDE/>
      <w:autoSpaceDN/>
      <w:adjustRightInd/>
      <w:spacing w:after="100" w:line="259" w:lineRule="auto"/>
      <w:ind w:left="220"/>
    </w:pPr>
    <w:rPr>
      <w:rFonts w:ascii="等线" w:hAnsi="等线" w:eastAsia="等线" w:cs="Times New Roman"/>
    </w:rPr>
  </w:style>
  <w:style w:type="paragraph" w:styleId="11">
    <w:name w:val="Title"/>
    <w:basedOn w:val="1"/>
    <w:next w:val="1"/>
    <w:link w:val="20"/>
    <w:qFormat/>
    <w:uiPriority w:val="1"/>
    <w:pPr>
      <w:ind w:left="674" w:right="670"/>
      <w:jc w:val="center"/>
    </w:pPr>
    <w:rPr>
      <w:rFonts w:ascii="黑体" w:eastAsia="黑体" w:cs="黑体"/>
      <w:sz w:val="44"/>
      <w:szCs w:val="44"/>
    </w:rPr>
  </w:style>
  <w:style w:type="table" w:styleId="13">
    <w:name w:val="Table Grid"/>
    <w:basedOn w:val="12"/>
    <w:qFormat/>
    <w:uiPriority w:val="0"/>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563C1"/>
      <w:u w:val="single"/>
    </w:rPr>
  </w:style>
  <w:style w:type="character" w:customStyle="1" w:styleId="16">
    <w:name w:val="正文文本 字符"/>
    <w:link w:val="5"/>
    <w:semiHidden/>
    <w:qFormat/>
    <w:uiPriority w:val="99"/>
    <w:rPr>
      <w:rFonts w:ascii="宋体" w:hAnsi="Times New Roman" w:eastAsia="宋体" w:cs="宋体"/>
      <w:kern w:val="0"/>
      <w:sz w:val="22"/>
    </w:rPr>
  </w:style>
  <w:style w:type="character" w:customStyle="1" w:styleId="17">
    <w:name w:val="标题 1 字符"/>
    <w:link w:val="2"/>
    <w:qFormat/>
    <w:uiPriority w:val="1"/>
    <w:rPr>
      <w:rFonts w:ascii="黑体" w:hAnsi="Times New Roman" w:eastAsia="黑体" w:cs="黑体"/>
      <w:b/>
      <w:kern w:val="0"/>
      <w:sz w:val="28"/>
      <w:szCs w:val="32"/>
    </w:rPr>
  </w:style>
  <w:style w:type="character" w:customStyle="1" w:styleId="18">
    <w:name w:val="标题 2 字符"/>
    <w:link w:val="3"/>
    <w:qFormat/>
    <w:uiPriority w:val="1"/>
    <w:rPr>
      <w:rFonts w:ascii="黑体" w:hAnsi="Times New Roman" w:eastAsia="黑体" w:cs="黑体"/>
      <w:b/>
      <w:kern w:val="0"/>
      <w:sz w:val="24"/>
      <w:szCs w:val="24"/>
    </w:rPr>
  </w:style>
  <w:style w:type="character" w:customStyle="1" w:styleId="19">
    <w:name w:val="标题 3 字符"/>
    <w:link w:val="4"/>
    <w:semiHidden/>
    <w:qFormat/>
    <w:uiPriority w:val="9"/>
    <w:rPr>
      <w:rFonts w:ascii="宋体" w:hAnsi="Times New Roman" w:eastAsia="宋体" w:cs="宋体"/>
      <w:b/>
      <w:bCs/>
      <w:kern w:val="0"/>
      <w:sz w:val="32"/>
      <w:szCs w:val="32"/>
    </w:rPr>
  </w:style>
  <w:style w:type="character" w:customStyle="1" w:styleId="20">
    <w:name w:val="标题 字符"/>
    <w:link w:val="11"/>
    <w:qFormat/>
    <w:uiPriority w:val="10"/>
    <w:rPr>
      <w:rFonts w:ascii="等线 Light" w:hAnsi="等线 Light" w:eastAsia="宋体" w:cs="Times New Roman"/>
      <w:b/>
      <w:bCs/>
      <w:kern w:val="0"/>
      <w:sz w:val="32"/>
      <w:szCs w:val="32"/>
    </w:rPr>
  </w:style>
  <w:style w:type="paragraph" w:styleId="21">
    <w:name w:val="List Paragraph"/>
    <w:basedOn w:val="1"/>
    <w:qFormat/>
    <w:uiPriority w:val="1"/>
    <w:pPr>
      <w:ind w:left="1200" w:hanging="720"/>
    </w:pPr>
    <w:rPr>
      <w:sz w:val="24"/>
      <w:szCs w:val="24"/>
    </w:rPr>
  </w:style>
  <w:style w:type="paragraph" w:customStyle="1" w:styleId="22">
    <w:name w:val="Table Paragraph"/>
    <w:basedOn w:val="1"/>
    <w:qFormat/>
    <w:uiPriority w:val="1"/>
    <w:pPr>
      <w:spacing w:before="1"/>
      <w:ind w:left="107"/>
    </w:pPr>
    <w:rPr>
      <w:sz w:val="24"/>
      <w:szCs w:val="24"/>
    </w:rPr>
  </w:style>
  <w:style w:type="character" w:customStyle="1" w:styleId="23">
    <w:name w:val="页眉 字符"/>
    <w:link w:val="8"/>
    <w:qFormat/>
    <w:uiPriority w:val="99"/>
    <w:rPr>
      <w:rFonts w:ascii="宋体" w:hAnsi="Times New Roman" w:eastAsia="宋体" w:cs="宋体"/>
      <w:kern w:val="0"/>
      <w:sz w:val="18"/>
      <w:szCs w:val="18"/>
    </w:rPr>
  </w:style>
  <w:style w:type="character" w:customStyle="1" w:styleId="24">
    <w:name w:val="页脚 字符"/>
    <w:link w:val="7"/>
    <w:qFormat/>
    <w:uiPriority w:val="99"/>
    <w:rPr>
      <w:rFonts w:ascii="宋体" w:hAnsi="Times New Roman" w:eastAsia="宋体" w:cs="宋体"/>
      <w:kern w:val="0"/>
      <w:sz w:val="18"/>
      <w:szCs w:val="18"/>
    </w:rPr>
  </w:style>
  <w:style w:type="paragraph" w:customStyle="1" w:styleId="25">
    <w:name w:val="标准文件_段"/>
    <w:link w:val="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标准文件_段 Char"/>
    <w:link w:val="25"/>
    <w:qFormat/>
    <w:uiPriority w:val="0"/>
    <w:rPr>
      <w:rFonts w:ascii="宋体" w:hAnsi="Times New Roman" w:eastAsia="宋体" w:cs="Times New Roman"/>
      <w:kern w:val="0"/>
      <w:szCs w:val="20"/>
    </w:rPr>
  </w:style>
  <w:style w:type="paragraph" w:customStyle="1" w:styleId="27">
    <w:name w:val="TOC 标题1"/>
    <w:basedOn w:val="2"/>
    <w:next w:val="1"/>
    <w:unhideWhenUsed/>
    <w:qFormat/>
    <w:uiPriority w:val="39"/>
    <w:pPr>
      <w:keepNext/>
      <w:keepLines/>
      <w:widowControl/>
      <w:autoSpaceDE/>
      <w:autoSpaceDN/>
      <w:adjustRightInd/>
      <w:spacing w:before="240" w:line="259" w:lineRule="auto"/>
      <w:ind w:left="0"/>
      <w:outlineLvl w:val="9"/>
    </w:pPr>
    <w:rPr>
      <w:rFonts w:ascii="等线 Light" w:hAnsi="等线 Light" w:eastAsia="等线 Light" w:cs="Times New Roman"/>
      <w:b w:val="0"/>
      <w:color w:val="2F5496"/>
      <w:sz w:val="32"/>
    </w:rPr>
  </w:style>
  <w:style w:type="paragraph" w:customStyle="1" w:styleId="28">
    <w:name w:val="标准文件_二级条标题"/>
    <w:next w:val="25"/>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29">
    <w:name w:val="标准文件_三级条标题"/>
    <w:basedOn w:val="28"/>
    <w:next w:val="25"/>
    <w:qFormat/>
    <w:uiPriority w:val="0"/>
    <w:pPr>
      <w:widowControl/>
      <w:numPr>
        <w:ilvl w:val="4"/>
      </w:numPr>
      <w:outlineLvl w:val="3"/>
    </w:pPr>
  </w:style>
  <w:style w:type="paragraph" w:customStyle="1" w:styleId="30">
    <w:name w:val="标准文件_四级条标题"/>
    <w:next w:val="25"/>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1">
    <w:name w:val="标准文件_五级条标题"/>
    <w:next w:val="25"/>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2">
    <w:name w:val="标准文件_章标题"/>
    <w:next w:val="25"/>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3">
    <w:name w:val="标准文件_一级条标题"/>
    <w:basedOn w:val="32"/>
    <w:next w:val="25"/>
    <w:qFormat/>
    <w:uiPriority w:val="0"/>
    <w:pPr>
      <w:numPr>
        <w:ilvl w:val="2"/>
      </w:numPr>
      <w:spacing w:before="50" w:beforeLines="50" w:after="50" w:afterLines="50"/>
      <w:outlineLvl w:val="1"/>
    </w:pPr>
  </w:style>
  <w:style w:type="paragraph" w:customStyle="1" w:styleId="34">
    <w:name w:val="前言标题"/>
    <w:next w:val="1"/>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5">
    <w:name w:val="WPSOffice手动目录 1"/>
    <w:qFormat/>
    <w:uiPriority w:val="0"/>
    <w:rPr>
      <w:rFonts w:ascii="等线" w:hAnsi="等线" w:eastAsia="等线" w:cs="Times New Roman"/>
      <w:lang w:val="en-US" w:eastAsia="zh-CN" w:bidi="ar-SA"/>
    </w:rPr>
  </w:style>
  <w:style w:type="paragraph" w:customStyle="1" w:styleId="36">
    <w:name w:val="TOC Heading"/>
    <w:basedOn w:val="2"/>
    <w:next w:val="1"/>
    <w:unhideWhenUsed/>
    <w:qFormat/>
    <w:uiPriority w:val="39"/>
    <w:pPr>
      <w:keepNext/>
      <w:keepLines/>
      <w:widowControl/>
      <w:autoSpaceDE/>
      <w:autoSpaceDN/>
      <w:adjustRightInd/>
      <w:spacing w:before="240" w:line="259" w:lineRule="auto"/>
      <w:ind w:left="0"/>
      <w:outlineLvl w:val="9"/>
    </w:pPr>
    <w:rPr>
      <w:rFonts w:asciiTheme="majorHAnsi" w:hAnsiTheme="majorHAnsi" w:eastAsiaTheme="majorEastAsia" w:cstheme="majorBidi"/>
      <w:b w:val="0"/>
      <w:color w:val="2F5597" w:themeColor="accent1" w:themeShade="BF"/>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A0EC1-1A3F-41AD-AA48-E2852238BD28}">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10249</Words>
  <Characters>10905</Characters>
  <Lines>95</Lines>
  <Paragraphs>26</Paragraphs>
  <TotalTime>23</TotalTime>
  <ScaleCrop>false</ScaleCrop>
  <LinksUpToDate>false</LinksUpToDate>
  <CharactersWithSpaces>11184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2024-06-06T07:24:00Z</dcterms:created>
  <dc:creator>tangjinlan</dc:creator>
  <cp:lastModifiedBy>磷味谅旁谅</cp:lastModifiedBy>
  <dcterms:modified xsi:type="dcterms:W3CDTF">2024-08-22T10:00:22Z</dcterms:modified>
  <dc:title>&lt;4D6963726F736F667420576F7264202D20BBB7B0ECBAAFA1B232303134A1B33636BAC5B8BDBCFE372E646F63&gt;</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y fmtid="{D5CDD505-2E9C-101B-9397-08002B2CF9AE}" pid="3" name="KSOProductBuildVer">
    <vt:lpwstr>2052-12.1.0.17857</vt:lpwstr>
  </property>
  <property fmtid="{D5CDD505-2E9C-101B-9397-08002B2CF9AE}" pid="4" name="ICV">
    <vt:lpwstr>C959BB9470B64D22B162AE4944FFFE40_13</vt:lpwstr>
  </property>
</Properties>
</file>