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DE5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674B321">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608E27C">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14:paraId="3541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E110C8C">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671F7F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F1B53FD">
                  <w:pPr>
                    <w:pStyle w:val="53"/>
                    <w:framePr w:wrap="notBeside" w:vAnchor="page" w:hAnchor="page" w:x="1372" w:y="568"/>
                    <w:spacing w:line="240" w:lineRule="auto"/>
                    <w:ind w:left="420" w:right="624"/>
                    <w:rPr>
                      <w:rFonts w:ascii="宋体" w:hAnsi="宋体"/>
                      <w:sz w:val="28"/>
                      <w:szCs w:val="28"/>
                    </w:rPr>
                  </w:pPr>
                  <w:r>
                    <w:rPr>
                      <w:sz w:val="21"/>
                      <w:szCs w:val="21"/>
                    </w:rPr>
                    <w:t xml:space="preserve"> </w:t>
                  </w:r>
                </w:p>
              </w:tc>
            </w:tr>
          </w:tbl>
          <w:p w14:paraId="5D4182BC">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14:paraId="24CA5EEE">
      <w:pPr>
        <w:pStyle w:val="54"/>
        <w:framePr w:w="9639" w:h="624" w:hRule="exact" w:hSpace="181" w:vSpace="181" w:wrap="around" w:hAnchor="page" w:x="1305" w:y="2269"/>
        <w:spacing w:line="240" w:lineRule="auto"/>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02A89699">
      <w:pPr>
        <w:pStyle w:val="199"/>
        <w:wordWrap/>
        <w:spacing w:line="240" w:lineRule="auto"/>
      </w:pPr>
      <w:r>
        <w:t>T/</w:t>
      </w:r>
      <w:r>
        <w:fldChar w:fldCharType="begin">
          <w:ffData>
            <w:name w:val="文字1"/>
            <w:enabled/>
            <w:calcOnExit w:val="0"/>
            <w:textInput>
              <w:default w:val="CSES"/>
            </w:textInput>
          </w:ffData>
        </w:fldChar>
      </w:r>
      <w:bookmarkStart w:id="3" w:name="文字1"/>
      <w:r>
        <w:instrText xml:space="preserve"> FORMTEXT </w:instrText>
      </w:r>
      <w:r>
        <w:fldChar w:fldCharType="separate"/>
      </w:r>
      <w:r>
        <w:t>CSES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18A61FA9">
      <w:pPr>
        <w:pStyle w:val="200"/>
        <w:wordWrap/>
        <w:spacing w:line="240" w:lineRule="auto"/>
        <w:rPr>
          <w:rFonts w:hAnsi="黑体"/>
        </w:rPr>
      </w:pPr>
    </w:p>
    <w:p w14:paraId="3819531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E9568C8">
      <w:pPr>
        <w:pStyle w:val="54"/>
        <w:framePr w:w="9639" w:h="6976" w:hRule="exact" w:hSpace="0" w:vSpace="0" w:wrap="around" w:hAnchor="page" w:y="6408"/>
        <w:spacing w:line="240" w:lineRule="auto"/>
        <w:jc w:val="center"/>
        <w:rPr>
          <w:rFonts w:ascii="黑体" w:hAnsi="黑体" w:eastAsia="黑体"/>
          <w:b w:val="0"/>
          <w:bCs w:val="0"/>
          <w:w w:val="100"/>
        </w:rPr>
      </w:pPr>
    </w:p>
    <w:p w14:paraId="04E188D1">
      <w:pPr>
        <w:pStyle w:val="201"/>
        <w:framePr w:h="6974" w:hRule="exact" w:wrap="around" w:x="1419" w:anchorLock="1"/>
        <w:spacing w:line="240" w:lineRule="auto"/>
      </w:pPr>
      <w:bookmarkStart w:id="6" w:name="_Hlk168308267"/>
      <w:bookmarkStart w:id="7" w:name="_Hlk168406088"/>
      <w:r>
        <w:rPr>
          <w:rFonts w:hint="eastAsia"/>
        </w:rPr>
        <w:t>电子电路制造业挥发性有机物排放清单编制技术指南</w:t>
      </w:r>
      <w:bookmarkEnd w:id="6"/>
    </w:p>
    <w:bookmarkEnd w:id="7"/>
    <w:p w14:paraId="5B4A6A54">
      <w:pPr>
        <w:framePr w:w="9639" w:h="6974" w:hRule="exact" w:wrap="around" w:vAnchor="page" w:hAnchor="page" w:x="1419" w:y="6408" w:anchorLock="1"/>
        <w:spacing w:line="240" w:lineRule="auto"/>
        <w:ind w:left="-1418"/>
      </w:pPr>
    </w:p>
    <w:p w14:paraId="50DDFF64">
      <w:pPr>
        <w:pStyle w:val="129"/>
        <w:framePr w:w="9639" w:h="6974" w:hRule="exact" w:wrap="around" w:vAnchor="page" w:hAnchor="page" w:x="1419" w:y="6408" w:anchorLock="1"/>
        <w:spacing w:line="240" w:lineRule="auto"/>
        <w:textAlignment w:val="bottom"/>
        <w:rPr>
          <w:rFonts w:eastAsia="黑体"/>
          <w:szCs w:val="28"/>
        </w:rPr>
      </w:pPr>
      <w:r>
        <w:rPr>
          <w:rFonts w:eastAsia="黑体"/>
          <w:szCs w:val="28"/>
        </w:rPr>
        <w:t>Technical guide for the enterprise-class emissions inventory compilation of volatile organic compounds of electronic circuits manufacturing industry</w:t>
      </w:r>
    </w:p>
    <w:p w14:paraId="6F9B883A">
      <w:pPr>
        <w:framePr w:w="9639" w:h="6974" w:hRule="exact" w:wrap="around" w:vAnchor="page" w:hAnchor="page" w:x="1419" w:y="6408" w:anchorLock="1"/>
        <w:spacing w:line="240" w:lineRule="auto"/>
        <w:ind w:left="-1418"/>
      </w:pPr>
    </w:p>
    <w:p w14:paraId="3CC5FE4D">
      <w:pPr>
        <w:pStyle w:val="129"/>
        <w:framePr w:w="9639" w:h="6974" w:hRule="exact" w:wrap="around" w:vAnchor="page" w:hAnchor="page" w:x="1419" w:y="6408" w:anchorLock="1"/>
        <w:spacing w:line="240" w:lineRule="auto"/>
        <w:textAlignment w:val="bottom"/>
        <w:rPr>
          <w:rFonts w:eastAsia="黑体"/>
          <w:szCs w:val="28"/>
        </w:rPr>
      </w:pPr>
    </w:p>
    <w:p w14:paraId="12B992BD">
      <w:pPr>
        <w:pStyle w:val="129"/>
        <w:framePr w:w="9639" w:h="6974" w:hRule="exact" w:wrap="around" w:vAnchor="page" w:hAnchor="page" w:x="1419" w:y="6408" w:anchorLock="1"/>
        <w:spacing w:before="440" w:after="160" w:line="240" w:lineRule="auto"/>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14:paraId="743F0A10">
      <w:pPr>
        <w:pStyle w:val="129"/>
        <w:framePr w:w="9639" w:h="6974" w:hRule="exact" w:wrap="around" w:vAnchor="page" w:hAnchor="page" w:x="1419" w:y="6408" w:anchorLock="1"/>
        <w:spacing w:before="180" w:line="240" w:lineRule="auto"/>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14:paraId="31720ADD">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7F178E48">
      <w:pPr>
        <w:pStyle w:val="197"/>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45BA63BB">
      <w:pPr>
        <w:pStyle w:val="198"/>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1A90D547">
      <w:pPr>
        <w:pStyle w:val="155"/>
        <w:framePr w:h="584" w:hRule="exact" w:hSpace="181" w:vSpace="181" w:wrap="around" w:y="14800"/>
        <w:spacing w:line="240" w:lineRule="auto"/>
        <w:rPr>
          <w:rFonts w:hAnsi="黑体"/>
        </w:rPr>
      </w:pPr>
      <w:r>
        <w:rPr>
          <w:rFonts w:hAnsi="黑体"/>
          <w:w w:val="100"/>
          <w:sz w:val="28"/>
        </w:rPr>
        <w:fldChar w:fldCharType="begin">
          <w:ffData>
            <w:name w:val="fm"/>
            <w:enabled/>
            <w:calcOnExit w:val="0"/>
            <w:textInput>
              <w:default w:val="中国环境科学学会"/>
            </w:textInput>
          </w:ffData>
        </w:fldChar>
      </w:r>
      <w:bookmarkStart w:id="17" w:name="fm"/>
      <w:r>
        <w:rPr>
          <w:rFonts w:hAnsi="黑体"/>
          <w:w w:val="100"/>
          <w:sz w:val="28"/>
        </w:rPr>
        <w:instrText xml:space="preserve"> FORMTEXT </w:instrText>
      </w:r>
      <w:r>
        <w:rPr>
          <w:rFonts w:hAnsi="黑体"/>
          <w:w w:val="100"/>
          <w:sz w:val="28"/>
        </w:rPr>
        <w:fldChar w:fldCharType="separate"/>
      </w:r>
      <w:r>
        <w:rPr>
          <w:rFonts w:hAnsi="黑体"/>
          <w:w w:val="100"/>
          <w:sz w:val="28"/>
        </w:rPr>
        <w:t>中国环境科学学会</w:t>
      </w:r>
      <w:r>
        <w:rPr>
          <w:rFonts w:hAnsi="黑体"/>
          <w:w w:val="100"/>
          <w:sz w:val="28"/>
        </w:rPr>
        <w:fldChar w:fldCharType="end"/>
      </w:r>
      <w:bookmarkEnd w:id="17"/>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3504D811">
      <w:pPr>
        <w:spacing w:line="240" w:lineRule="auto"/>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E571686">
      <w:pPr>
        <w:pStyle w:val="95"/>
        <w:spacing w:after="360"/>
      </w:pPr>
      <w:bookmarkStart w:id="18" w:name="BookMark1"/>
      <w:r>
        <w:rPr>
          <w:rFonts w:hint="eastAsia"/>
          <w:spacing w:val="320"/>
        </w:rPr>
        <w:t>目</w:t>
      </w:r>
      <w:r>
        <w:rPr>
          <w:rFonts w:hint="eastAsia"/>
        </w:rPr>
        <w:t>次</w:t>
      </w:r>
    </w:p>
    <w:p w14:paraId="4DDE0FC4">
      <w:pPr>
        <w:pStyle w:val="21"/>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"_Toc170496982" </w:instrText>
      </w:r>
      <w:r>
        <w:fldChar w:fldCharType="separate"/>
      </w:r>
      <w:r>
        <w:rPr>
          <w:rStyle w:val="35"/>
          <w:spacing w:val="320"/>
        </w:rPr>
        <w:t>前</w:t>
      </w:r>
      <w:r>
        <w:rPr>
          <w:rStyle w:val="35"/>
        </w:rPr>
        <w:t>言</w:t>
      </w:r>
      <w:r>
        <w:tab/>
      </w:r>
      <w:r>
        <w:fldChar w:fldCharType="begin"/>
      </w:r>
      <w:r>
        <w:instrText xml:space="preserve"> PAGEREF _Toc170496982 \h </w:instrText>
      </w:r>
      <w:r>
        <w:fldChar w:fldCharType="separate"/>
      </w:r>
      <w:r>
        <w:t>III</w:t>
      </w:r>
      <w:r>
        <w:fldChar w:fldCharType="end"/>
      </w:r>
      <w:r>
        <w:fldChar w:fldCharType="end"/>
      </w:r>
    </w:p>
    <w:p w14:paraId="5B0FA85F">
      <w:pPr>
        <w:pStyle w:val="21"/>
        <w:rPr>
          <w:rFonts w:asciiTheme="minorHAnsi" w:hAnsiTheme="minorHAnsi" w:eastAsiaTheme="minorEastAsia" w:cstheme="minorBidi"/>
          <w:szCs w:val="22"/>
        </w:rPr>
      </w:pPr>
      <w:r>
        <w:fldChar w:fldCharType="begin"/>
      </w:r>
      <w:r>
        <w:instrText xml:space="preserve"> HYPERLINK \l "_Toc170496983" </w:instrText>
      </w:r>
      <w:r>
        <w:fldChar w:fldCharType="separate"/>
      </w:r>
      <w:r>
        <w:rPr>
          <w:rStyle w:val="35"/>
          <w:spacing w:val="320"/>
        </w:rPr>
        <w:t>引</w:t>
      </w:r>
      <w:r>
        <w:rPr>
          <w:rStyle w:val="35"/>
        </w:rPr>
        <w:t>言</w:t>
      </w:r>
      <w:r>
        <w:tab/>
      </w:r>
      <w:r>
        <w:fldChar w:fldCharType="begin"/>
      </w:r>
      <w:r>
        <w:instrText xml:space="preserve"> PAGEREF _Toc170496983 \h </w:instrText>
      </w:r>
      <w:r>
        <w:fldChar w:fldCharType="separate"/>
      </w:r>
      <w:r>
        <w:t>IV</w:t>
      </w:r>
      <w:r>
        <w:fldChar w:fldCharType="end"/>
      </w:r>
      <w:r>
        <w:fldChar w:fldCharType="end"/>
      </w:r>
    </w:p>
    <w:p w14:paraId="02BB1A02">
      <w:pPr>
        <w:pStyle w:val="21"/>
        <w:rPr>
          <w:rFonts w:asciiTheme="minorHAnsi" w:hAnsiTheme="minorHAnsi" w:eastAsiaTheme="minorEastAsia" w:cstheme="minorBidi"/>
          <w:szCs w:val="22"/>
        </w:rPr>
      </w:pPr>
      <w:r>
        <w:fldChar w:fldCharType="begin"/>
      </w:r>
      <w:r>
        <w:instrText xml:space="preserve"> HYPERLINK \l "_Toc170496984" </w:instrText>
      </w:r>
      <w:r>
        <w:fldChar w:fldCharType="separate"/>
      </w:r>
      <w:r>
        <w:rPr>
          <w:rStyle w:val="35"/>
        </w:rPr>
        <w:t>1 范围</w:t>
      </w:r>
      <w:r>
        <w:tab/>
      </w:r>
      <w:r>
        <w:fldChar w:fldCharType="begin"/>
      </w:r>
      <w:r>
        <w:instrText xml:space="preserve"> PAGEREF _Toc170496984 \h </w:instrText>
      </w:r>
      <w:r>
        <w:fldChar w:fldCharType="separate"/>
      </w:r>
      <w:r>
        <w:t>1</w:t>
      </w:r>
      <w:r>
        <w:fldChar w:fldCharType="end"/>
      </w:r>
      <w:r>
        <w:fldChar w:fldCharType="end"/>
      </w:r>
    </w:p>
    <w:p w14:paraId="5EE17BDE">
      <w:pPr>
        <w:pStyle w:val="21"/>
        <w:rPr>
          <w:rFonts w:asciiTheme="minorHAnsi" w:hAnsiTheme="minorHAnsi" w:eastAsiaTheme="minorEastAsia" w:cstheme="minorBidi"/>
          <w:szCs w:val="22"/>
        </w:rPr>
      </w:pPr>
      <w:r>
        <w:fldChar w:fldCharType="begin"/>
      </w:r>
      <w:r>
        <w:instrText xml:space="preserve"> HYPERLINK \l "_Toc170496985" </w:instrText>
      </w:r>
      <w:r>
        <w:fldChar w:fldCharType="separate"/>
      </w:r>
      <w:r>
        <w:rPr>
          <w:rStyle w:val="35"/>
        </w:rPr>
        <w:t>2 规范性引用文件</w:t>
      </w:r>
      <w:r>
        <w:tab/>
      </w:r>
      <w:r>
        <w:fldChar w:fldCharType="begin"/>
      </w:r>
      <w:r>
        <w:instrText xml:space="preserve"> PAGEREF _Toc170496985 \h </w:instrText>
      </w:r>
      <w:r>
        <w:fldChar w:fldCharType="separate"/>
      </w:r>
      <w:r>
        <w:t>1</w:t>
      </w:r>
      <w:r>
        <w:fldChar w:fldCharType="end"/>
      </w:r>
      <w:r>
        <w:fldChar w:fldCharType="end"/>
      </w:r>
    </w:p>
    <w:p w14:paraId="0B59D5E3">
      <w:pPr>
        <w:pStyle w:val="21"/>
        <w:rPr>
          <w:rFonts w:asciiTheme="minorHAnsi" w:hAnsiTheme="minorHAnsi" w:eastAsiaTheme="minorEastAsia" w:cstheme="minorBidi"/>
          <w:szCs w:val="22"/>
        </w:rPr>
      </w:pPr>
      <w:r>
        <w:fldChar w:fldCharType="begin"/>
      </w:r>
      <w:r>
        <w:instrText xml:space="preserve"> HYPERLINK \l "_Toc170496986" </w:instrText>
      </w:r>
      <w:r>
        <w:fldChar w:fldCharType="separate"/>
      </w:r>
      <w:r>
        <w:rPr>
          <w:rStyle w:val="35"/>
        </w:rPr>
        <w:t>3 术语和定义</w:t>
      </w:r>
      <w:r>
        <w:tab/>
      </w:r>
      <w:r>
        <w:fldChar w:fldCharType="begin"/>
      </w:r>
      <w:r>
        <w:instrText xml:space="preserve"> PAGEREF _Toc170496986 \h </w:instrText>
      </w:r>
      <w:r>
        <w:fldChar w:fldCharType="separate"/>
      </w:r>
      <w:r>
        <w:t>1</w:t>
      </w:r>
      <w:r>
        <w:fldChar w:fldCharType="end"/>
      </w:r>
      <w:r>
        <w:fldChar w:fldCharType="end"/>
      </w:r>
    </w:p>
    <w:p w14:paraId="4834F707">
      <w:pPr>
        <w:pStyle w:val="21"/>
        <w:rPr>
          <w:rFonts w:asciiTheme="minorHAnsi" w:hAnsiTheme="minorHAnsi" w:eastAsiaTheme="minorEastAsia" w:cstheme="minorBidi"/>
          <w:szCs w:val="22"/>
        </w:rPr>
      </w:pPr>
      <w:r>
        <w:fldChar w:fldCharType="begin"/>
      </w:r>
      <w:r>
        <w:instrText xml:space="preserve"> HYPERLINK \l "_Toc170496992" </w:instrText>
      </w:r>
      <w:r>
        <w:fldChar w:fldCharType="separate"/>
      </w:r>
      <w:r>
        <w:rPr>
          <w:rStyle w:val="35"/>
        </w:rPr>
        <w:t>4 清单编制原则</w:t>
      </w:r>
      <w:r>
        <w:tab/>
      </w:r>
      <w:r>
        <w:fldChar w:fldCharType="begin"/>
      </w:r>
      <w:r>
        <w:instrText xml:space="preserve"> PAGEREF _Toc170496992 \h </w:instrText>
      </w:r>
      <w:r>
        <w:fldChar w:fldCharType="separate"/>
      </w:r>
      <w:r>
        <w:t>2</w:t>
      </w:r>
      <w:r>
        <w:fldChar w:fldCharType="end"/>
      </w:r>
      <w:r>
        <w:fldChar w:fldCharType="end"/>
      </w:r>
    </w:p>
    <w:p w14:paraId="32F5B277">
      <w:pPr>
        <w:pStyle w:val="26"/>
        <w:rPr>
          <w:rFonts w:asciiTheme="minorHAnsi" w:hAnsiTheme="minorHAnsi" w:eastAsiaTheme="minorEastAsia" w:cstheme="minorBidi"/>
          <w:szCs w:val="22"/>
        </w:rPr>
      </w:pPr>
      <w:r>
        <w:fldChar w:fldCharType="begin"/>
      </w:r>
      <w:r>
        <w:instrText xml:space="preserve"> HYPERLINK \l "_Toc170496993" </w:instrText>
      </w:r>
      <w:r>
        <w:fldChar w:fldCharType="separate"/>
      </w:r>
      <w:r>
        <w:rPr>
          <w:rStyle w:val="35"/>
          <w14:scene3d>
            <w14:lightRig w14:rig="threePt" w14:dir="t">
              <w14:rot w14:lat="0" w14:lon="0" w14:rev="0"/>
            </w14:lightRig>
          </w14:scene3d>
        </w:rPr>
        <w:t>4.1</w:t>
      </w:r>
      <w:r>
        <w:rPr>
          <w:rStyle w:val="35"/>
        </w:rPr>
        <w:t xml:space="preserve"> 科学规范原则</w:t>
      </w:r>
      <w:r>
        <w:tab/>
      </w:r>
      <w:r>
        <w:fldChar w:fldCharType="begin"/>
      </w:r>
      <w:r>
        <w:instrText xml:space="preserve"> PAGEREF _Toc170496993 \h </w:instrText>
      </w:r>
      <w:r>
        <w:fldChar w:fldCharType="separate"/>
      </w:r>
      <w:r>
        <w:t>2</w:t>
      </w:r>
      <w:r>
        <w:fldChar w:fldCharType="end"/>
      </w:r>
      <w:r>
        <w:fldChar w:fldCharType="end"/>
      </w:r>
    </w:p>
    <w:p w14:paraId="16CC60CA">
      <w:pPr>
        <w:pStyle w:val="26"/>
        <w:rPr>
          <w:rFonts w:asciiTheme="minorHAnsi" w:hAnsiTheme="minorHAnsi" w:eastAsiaTheme="minorEastAsia" w:cstheme="minorBidi"/>
          <w:szCs w:val="22"/>
        </w:rPr>
      </w:pPr>
      <w:r>
        <w:fldChar w:fldCharType="begin"/>
      </w:r>
      <w:r>
        <w:instrText xml:space="preserve"> HYPERLINK \l "_Toc170496994" </w:instrText>
      </w:r>
      <w:r>
        <w:fldChar w:fldCharType="separate"/>
      </w:r>
      <w:r>
        <w:rPr>
          <w:rStyle w:val="35"/>
          <w14:scene3d>
            <w14:lightRig w14:rig="threePt" w14:dir="t">
              <w14:rot w14:lat="0" w14:lon="0" w14:rev="0"/>
            </w14:lightRig>
          </w14:scene3d>
        </w:rPr>
        <w:t>4.2</w:t>
      </w:r>
      <w:r>
        <w:rPr>
          <w:rStyle w:val="35"/>
        </w:rPr>
        <w:t xml:space="preserve"> 分类指导原则</w:t>
      </w:r>
      <w:r>
        <w:tab/>
      </w:r>
      <w:r>
        <w:fldChar w:fldCharType="begin"/>
      </w:r>
      <w:r>
        <w:instrText xml:space="preserve"> PAGEREF _Toc170496994 \h </w:instrText>
      </w:r>
      <w:r>
        <w:fldChar w:fldCharType="separate"/>
      </w:r>
      <w:r>
        <w:t>2</w:t>
      </w:r>
      <w:r>
        <w:fldChar w:fldCharType="end"/>
      </w:r>
      <w:r>
        <w:fldChar w:fldCharType="end"/>
      </w:r>
    </w:p>
    <w:p w14:paraId="39A9EBE4">
      <w:pPr>
        <w:pStyle w:val="26"/>
        <w:rPr>
          <w:rFonts w:asciiTheme="minorHAnsi" w:hAnsiTheme="minorHAnsi" w:eastAsiaTheme="minorEastAsia" w:cstheme="minorBidi"/>
          <w:szCs w:val="22"/>
        </w:rPr>
      </w:pPr>
      <w:r>
        <w:fldChar w:fldCharType="begin"/>
      </w:r>
      <w:r>
        <w:instrText xml:space="preserve"> HYPERLINK \l "_Toc170496995" </w:instrText>
      </w:r>
      <w:r>
        <w:fldChar w:fldCharType="separate"/>
      </w:r>
      <w:r>
        <w:rPr>
          <w:rStyle w:val="35"/>
          <w14:scene3d>
            <w14:lightRig w14:rig="threePt" w14:dir="t">
              <w14:rot w14:lat="0" w14:lon="0" w14:rev="0"/>
            </w14:lightRig>
          </w14:scene3d>
        </w:rPr>
        <w:t>4.3</w:t>
      </w:r>
      <w:r>
        <w:rPr>
          <w:rStyle w:val="35"/>
        </w:rPr>
        <w:t xml:space="preserve"> 因地制宜与循序渐进原则</w:t>
      </w:r>
      <w:r>
        <w:tab/>
      </w:r>
      <w:r>
        <w:fldChar w:fldCharType="begin"/>
      </w:r>
      <w:r>
        <w:instrText xml:space="preserve"> PAGEREF _Toc170496995 \h </w:instrText>
      </w:r>
      <w:r>
        <w:fldChar w:fldCharType="separate"/>
      </w:r>
      <w:r>
        <w:t>2</w:t>
      </w:r>
      <w:r>
        <w:fldChar w:fldCharType="end"/>
      </w:r>
      <w:r>
        <w:fldChar w:fldCharType="end"/>
      </w:r>
    </w:p>
    <w:p w14:paraId="46CB60BF">
      <w:pPr>
        <w:pStyle w:val="21"/>
        <w:rPr>
          <w:rFonts w:asciiTheme="minorHAnsi" w:hAnsiTheme="minorHAnsi" w:eastAsiaTheme="minorEastAsia" w:cstheme="minorBidi"/>
          <w:szCs w:val="22"/>
        </w:rPr>
      </w:pPr>
      <w:r>
        <w:fldChar w:fldCharType="begin"/>
      </w:r>
      <w:r>
        <w:instrText xml:space="preserve"> HYPERLINK \l "_Toc170496996" </w:instrText>
      </w:r>
      <w:r>
        <w:fldChar w:fldCharType="separate"/>
      </w:r>
      <w:r>
        <w:rPr>
          <w:rStyle w:val="35"/>
        </w:rPr>
        <w:t>5 清单编制流程</w:t>
      </w:r>
      <w:r>
        <w:tab/>
      </w:r>
      <w:r>
        <w:fldChar w:fldCharType="begin"/>
      </w:r>
      <w:r>
        <w:instrText xml:space="preserve"> PAGEREF _Toc170496996 \h </w:instrText>
      </w:r>
      <w:r>
        <w:fldChar w:fldCharType="separate"/>
      </w:r>
      <w:r>
        <w:t>2</w:t>
      </w:r>
      <w:r>
        <w:fldChar w:fldCharType="end"/>
      </w:r>
      <w:r>
        <w:fldChar w:fldCharType="end"/>
      </w:r>
    </w:p>
    <w:p w14:paraId="034B4DD7">
      <w:pPr>
        <w:pStyle w:val="26"/>
        <w:rPr>
          <w:rFonts w:asciiTheme="minorHAnsi" w:hAnsiTheme="minorHAnsi" w:eastAsiaTheme="minorEastAsia" w:cstheme="minorBidi"/>
          <w:szCs w:val="22"/>
        </w:rPr>
      </w:pPr>
      <w:r>
        <w:fldChar w:fldCharType="begin"/>
      </w:r>
      <w:r>
        <w:instrText xml:space="preserve"> HYPERLINK \l "_Toc170496997" </w:instrText>
      </w:r>
      <w:r>
        <w:fldChar w:fldCharType="separate"/>
      </w:r>
      <w:r>
        <w:rPr>
          <w:rStyle w:val="35"/>
          <w14:scene3d>
            <w14:lightRig w14:rig="threePt" w14:dir="t">
              <w14:rot w14:lat="0" w14:lon="0" w14:rev="0"/>
            </w14:lightRig>
          </w14:scene3d>
        </w:rPr>
        <w:t>5.1</w:t>
      </w:r>
      <w:r>
        <w:rPr>
          <w:rStyle w:val="35"/>
        </w:rPr>
        <w:t xml:space="preserve"> 组织和筹划</w:t>
      </w:r>
      <w:r>
        <w:tab/>
      </w:r>
      <w:r>
        <w:fldChar w:fldCharType="begin"/>
      </w:r>
      <w:r>
        <w:instrText xml:space="preserve"> PAGEREF _Toc170496997 \h </w:instrText>
      </w:r>
      <w:r>
        <w:fldChar w:fldCharType="separate"/>
      </w:r>
      <w:r>
        <w:t>2</w:t>
      </w:r>
      <w:r>
        <w:fldChar w:fldCharType="end"/>
      </w:r>
      <w:r>
        <w:fldChar w:fldCharType="end"/>
      </w:r>
    </w:p>
    <w:p w14:paraId="7AF5EB65">
      <w:pPr>
        <w:pStyle w:val="26"/>
        <w:rPr>
          <w:rFonts w:asciiTheme="minorHAnsi" w:hAnsiTheme="minorHAnsi" w:eastAsiaTheme="minorEastAsia" w:cstheme="minorBidi"/>
          <w:szCs w:val="22"/>
        </w:rPr>
      </w:pPr>
      <w:r>
        <w:fldChar w:fldCharType="begin"/>
      </w:r>
      <w:r>
        <w:instrText xml:space="preserve"> HYPERLINK \l "_Toc170496998" </w:instrText>
      </w:r>
      <w:r>
        <w:fldChar w:fldCharType="separate"/>
      </w:r>
      <w:r>
        <w:rPr>
          <w:rStyle w:val="35"/>
          <w14:scene3d>
            <w14:lightRig w14:rig="threePt" w14:dir="t">
              <w14:rot w14:lat="0" w14:lon="0" w14:rev="0"/>
            </w14:lightRig>
          </w14:scene3d>
        </w:rPr>
        <w:t>5.2</w:t>
      </w:r>
      <w:r>
        <w:rPr>
          <w:rStyle w:val="35"/>
        </w:rPr>
        <w:t xml:space="preserve"> 前期信息收集</w:t>
      </w:r>
      <w:r>
        <w:tab/>
      </w:r>
      <w:r>
        <w:fldChar w:fldCharType="begin"/>
      </w:r>
      <w:r>
        <w:instrText xml:space="preserve"> PAGEREF _Toc170496998 \h </w:instrText>
      </w:r>
      <w:r>
        <w:fldChar w:fldCharType="separate"/>
      </w:r>
      <w:r>
        <w:t>2</w:t>
      </w:r>
      <w:r>
        <w:fldChar w:fldCharType="end"/>
      </w:r>
      <w:r>
        <w:fldChar w:fldCharType="end"/>
      </w:r>
    </w:p>
    <w:p w14:paraId="47548E09">
      <w:pPr>
        <w:pStyle w:val="26"/>
        <w:rPr>
          <w:rFonts w:asciiTheme="minorHAnsi" w:hAnsiTheme="minorHAnsi" w:eastAsiaTheme="minorEastAsia" w:cstheme="minorBidi"/>
          <w:szCs w:val="22"/>
        </w:rPr>
      </w:pPr>
      <w:r>
        <w:fldChar w:fldCharType="begin"/>
      </w:r>
      <w:r>
        <w:instrText xml:space="preserve"> HYPERLINK \l "_Toc170496999" </w:instrText>
      </w:r>
      <w:r>
        <w:fldChar w:fldCharType="separate"/>
      </w:r>
      <w:r>
        <w:rPr>
          <w:rStyle w:val="35"/>
          <w14:scene3d>
            <w14:lightRig w14:rig="threePt" w14:dir="t">
              <w14:rot w14:lat="0" w14:lon="0" w14:rev="0"/>
            </w14:lightRig>
          </w14:scene3d>
        </w:rPr>
        <w:t>5.3</w:t>
      </w:r>
      <w:r>
        <w:rPr>
          <w:rStyle w:val="35"/>
        </w:rPr>
        <w:t xml:space="preserve"> 数据核算</w:t>
      </w:r>
      <w:r>
        <w:tab/>
      </w:r>
      <w:r>
        <w:fldChar w:fldCharType="begin"/>
      </w:r>
      <w:r>
        <w:instrText xml:space="preserve"> PAGEREF _Toc170496999 \h </w:instrText>
      </w:r>
      <w:r>
        <w:fldChar w:fldCharType="separate"/>
      </w:r>
      <w:r>
        <w:t>2</w:t>
      </w:r>
      <w:r>
        <w:fldChar w:fldCharType="end"/>
      </w:r>
      <w:r>
        <w:fldChar w:fldCharType="end"/>
      </w:r>
    </w:p>
    <w:p w14:paraId="11D9C1EB">
      <w:pPr>
        <w:pStyle w:val="26"/>
        <w:rPr>
          <w:rFonts w:asciiTheme="minorHAnsi" w:hAnsiTheme="minorHAnsi" w:eastAsiaTheme="minorEastAsia" w:cstheme="minorBidi"/>
          <w:szCs w:val="22"/>
        </w:rPr>
      </w:pPr>
      <w:r>
        <w:fldChar w:fldCharType="begin"/>
      </w:r>
      <w:r>
        <w:instrText xml:space="preserve"> HYPERLINK \l "_Toc170497000" </w:instrText>
      </w:r>
      <w:r>
        <w:fldChar w:fldCharType="separate"/>
      </w:r>
      <w:r>
        <w:rPr>
          <w:rStyle w:val="35"/>
          <w14:scene3d>
            <w14:lightRig w14:rig="threePt" w14:dir="t">
              <w14:rot w14:lat="0" w14:lon="0" w14:rev="0"/>
            </w14:lightRig>
          </w14:scene3d>
        </w:rPr>
        <w:t>5.4</w:t>
      </w:r>
      <w:r>
        <w:rPr>
          <w:rStyle w:val="35"/>
        </w:rPr>
        <w:t xml:space="preserve"> 清单编制和内部审核</w:t>
      </w:r>
      <w:r>
        <w:tab/>
      </w:r>
      <w:r>
        <w:fldChar w:fldCharType="begin"/>
      </w:r>
      <w:r>
        <w:instrText xml:space="preserve"> PAGEREF _Toc170497000 \h </w:instrText>
      </w:r>
      <w:r>
        <w:fldChar w:fldCharType="separate"/>
      </w:r>
      <w:r>
        <w:t>2</w:t>
      </w:r>
      <w:r>
        <w:fldChar w:fldCharType="end"/>
      </w:r>
      <w:r>
        <w:fldChar w:fldCharType="end"/>
      </w:r>
    </w:p>
    <w:p w14:paraId="69F11542">
      <w:pPr>
        <w:pStyle w:val="21"/>
        <w:rPr>
          <w:rFonts w:asciiTheme="minorHAnsi" w:hAnsiTheme="minorHAnsi" w:eastAsiaTheme="minorEastAsia" w:cstheme="minorBidi"/>
          <w:szCs w:val="22"/>
        </w:rPr>
      </w:pPr>
      <w:r>
        <w:fldChar w:fldCharType="begin"/>
      </w:r>
      <w:r>
        <w:instrText xml:space="preserve"> HYPERLINK \l "_Toc170497001" </w:instrText>
      </w:r>
      <w:r>
        <w:fldChar w:fldCharType="separate"/>
      </w:r>
      <w:r>
        <w:rPr>
          <w:rStyle w:val="35"/>
        </w:rPr>
        <w:t>6 大气挥发性有机污染物排放清单编制的技术流程和方法</w:t>
      </w:r>
      <w:r>
        <w:tab/>
      </w:r>
      <w:r>
        <w:fldChar w:fldCharType="begin"/>
      </w:r>
      <w:r>
        <w:instrText xml:space="preserve"> PAGEREF _Toc170497001 \h </w:instrText>
      </w:r>
      <w:r>
        <w:fldChar w:fldCharType="separate"/>
      </w:r>
      <w:r>
        <w:t>2</w:t>
      </w:r>
      <w:r>
        <w:fldChar w:fldCharType="end"/>
      </w:r>
      <w:r>
        <w:fldChar w:fldCharType="end"/>
      </w:r>
    </w:p>
    <w:p w14:paraId="60C96A5A">
      <w:pPr>
        <w:pStyle w:val="26"/>
        <w:rPr>
          <w:rFonts w:asciiTheme="minorHAnsi" w:hAnsiTheme="minorHAnsi" w:eastAsiaTheme="minorEastAsia" w:cstheme="minorBidi"/>
          <w:szCs w:val="22"/>
        </w:rPr>
      </w:pPr>
      <w:r>
        <w:fldChar w:fldCharType="begin"/>
      </w:r>
      <w:r>
        <w:instrText xml:space="preserve"> HYPERLINK \l "_Toc170497002" </w:instrText>
      </w:r>
      <w:r>
        <w:fldChar w:fldCharType="separate"/>
      </w:r>
      <w:r>
        <w:rPr>
          <w:rStyle w:val="35"/>
          <w14:scene3d>
            <w14:lightRig w14:rig="threePt" w14:dir="t">
              <w14:rot w14:lat="0" w14:lon="0" w14:rev="0"/>
            </w14:lightRig>
          </w14:scene3d>
        </w:rPr>
        <w:t>6.1</w:t>
      </w:r>
      <w:r>
        <w:rPr>
          <w:rStyle w:val="35"/>
        </w:rPr>
        <w:t xml:space="preserve"> 大气挥发性有机污染物排放总量计算方法</w:t>
      </w:r>
      <w:r>
        <w:tab/>
      </w:r>
      <w:r>
        <w:fldChar w:fldCharType="begin"/>
      </w:r>
      <w:r>
        <w:instrText xml:space="preserve"> PAGEREF _Toc170497002 \h </w:instrText>
      </w:r>
      <w:r>
        <w:fldChar w:fldCharType="separate"/>
      </w:r>
      <w:r>
        <w:t>4</w:t>
      </w:r>
      <w:r>
        <w:fldChar w:fldCharType="end"/>
      </w:r>
      <w:r>
        <w:fldChar w:fldCharType="end"/>
      </w:r>
    </w:p>
    <w:p w14:paraId="2A01F5AF">
      <w:pPr>
        <w:pStyle w:val="26"/>
        <w:rPr>
          <w:rFonts w:asciiTheme="minorHAnsi" w:hAnsiTheme="minorHAnsi" w:eastAsiaTheme="minorEastAsia" w:cstheme="minorBidi"/>
          <w:szCs w:val="22"/>
        </w:rPr>
      </w:pPr>
      <w:r>
        <w:fldChar w:fldCharType="begin"/>
      </w:r>
      <w:r>
        <w:instrText xml:space="preserve"> HYPERLINK \l "_Toc170497003" </w:instrText>
      </w:r>
      <w:r>
        <w:fldChar w:fldCharType="separate"/>
      </w:r>
      <w:r>
        <w:rPr>
          <w:rStyle w:val="35"/>
          <w14:scene3d>
            <w14:lightRig w14:rig="threePt" w14:dir="t">
              <w14:rot w14:lat="0" w14:lon="0" w14:rev="0"/>
            </w14:lightRig>
          </w14:scene3d>
        </w:rPr>
        <w:t>6.2</w:t>
      </w:r>
      <w:r>
        <w:rPr>
          <w:rStyle w:val="35"/>
        </w:rPr>
        <w:t xml:space="preserve"> 设备动静密封点泄漏</w:t>
      </w:r>
      <w:r>
        <w:tab/>
      </w:r>
      <w:r>
        <w:fldChar w:fldCharType="begin"/>
      </w:r>
      <w:r>
        <w:instrText xml:space="preserve"> PAGEREF _Toc170497003 \h </w:instrText>
      </w:r>
      <w:r>
        <w:fldChar w:fldCharType="separate"/>
      </w:r>
      <w:r>
        <w:t>4</w:t>
      </w:r>
      <w:r>
        <w:fldChar w:fldCharType="end"/>
      </w:r>
      <w:r>
        <w:fldChar w:fldCharType="end"/>
      </w:r>
    </w:p>
    <w:p w14:paraId="283AFF23">
      <w:pPr>
        <w:pStyle w:val="26"/>
        <w:rPr>
          <w:rFonts w:asciiTheme="minorHAnsi" w:hAnsiTheme="minorHAnsi" w:eastAsiaTheme="minorEastAsia" w:cstheme="minorBidi"/>
          <w:szCs w:val="22"/>
        </w:rPr>
      </w:pPr>
      <w:r>
        <w:fldChar w:fldCharType="begin"/>
      </w:r>
      <w:r>
        <w:instrText xml:space="preserve"> HYPERLINK \l "_Toc170497004" </w:instrText>
      </w:r>
      <w:r>
        <w:fldChar w:fldCharType="separate"/>
      </w:r>
      <w:r>
        <w:rPr>
          <w:rStyle w:val="35"/>
          <w14:scene3d>
            <w14:lightRig w14:rig="threePt" w14:dir="t">
              <w14:rot w14:lat="0" w14:lon="0" w14:rev="0"/>
            </w14:lightRig>
          </w14:scene3d>
        </w:rPr>
        <w:t>6.3</w:t>
      </w:r>
      <w:r>
        <w:rPr>
          <w:rStyle w:val="35"/>
        </w:rPr>
        <w:t xml:space="preserve"> 有机液体储存与调和挥发损失</w:t>
      </w:r>
      <w:r>
        <w:tab/>
      </w:r>
      <w:r>
        <w:fldChar w:fldCharType="begin"/>
      </w:r>
      <w:r>
        <w:instrText xml:space="preserve"> PAGEREF _Toc170497004 \h </w:instrText>
      </w:r>
      <w:r>
        <w:fldChar w:fldCharType="separate"/>
      </w:r>
      <w:r>
        <w:t>5</w:t>
      </w:r>
      <w:r>
        <w:fldChar w:fldCharType="end"/>
      </w:r>
      <w:r>
        <w:fldChar w:fldCharType="end"/>
      </w:r>
    </w:p>
    <w:p w14:paraId="7A5A9CE8">
      <w:pPr>
        <w:pStyle w:val="26"/>
        <w:rPr>
          <w:rFonts w:asciiTheme="minorHAnsi" w:hAnsiTheme="minorHAnsi" w:eastAsiaTheme="minorEastAsia" w:cstheme="minorBidi"/>
          <w:szCs w:val="22"/>
        </w:rPr>
      </w:pPr>
      <w:r>
        <w:fldChar w:fldCharType="begin"/>
      </w:r>
      <w:r>
        <w:instrText xml:space="preserve"> HYPERLINK \l "_Toc170497005" </w:instrText>
      </w:r>
      <w:r>
        <w:fldChar w:fldCharType="separate"/>
      </w:r>
      <w:r>
        <w:rPr>
          <w:rStyle w:val="35"/>
          <w14:scene3d>
            <w14:lightRig w14:rig="threePt" w14:dir="t">
              <w14:rot w14:lat="0" w14:lon="0" w14:rev="0"/>
            </w14:lightRig>
          </w14:scene3d>
        </w:rPr>
        <w:t>6.4</w:t>
      </w:r>
      <w:r>
        <w:rPr>
          <w:rStyle w:val="35"/>
        </w:rPr>
        <w:t xml:space="preserve"> 废水集输、储存、处理处置过程逸散</w:t>
      </w:r>
      <w:r>
        <w:tab/>
      </w:r>
      <w:r>
        <w:fldChar w:fldCharType="begin"/>
      </w:r>
      <w:r>
        <w:instrText xml:space="preserve"> PAGEREF _Toc170497005 \h </w:instrText>
      </w:r>
      <w:r>
        <w:fldChar w:fldCharType="separate"/>
      </w:r>
      <w:r>
        <w:t>6</w:t>
      </w:r>
      <w:r>
        <w:fldChar w:fldCharType="end"/>
      </w:r>
      <w:r>
        <w:fldChar w:fldCharType="end"/>
      </w:r>
    </w:p>
    <w:p w14:paraId="01425D28">
      <w:pPr>
        <w:pStyle w:val="26"/>
        <w:rPr>
          <w:rFonts w:asciiTheme="minorHAnsi" w:hAnsiTheme="minorHAnsi" w:eastAsiaTheme="minorEastAsia" w:cstheme="minorBidi"/>
          <w:szCs w:val="22"/>
        </w:rPr>
      </w:pPr>
      <w:r>
        <w:fldChar w:fldCharType="begin"/>
      </w:r>
      <w:r>
        <w:instrText xml:space="preserve"> HYPERLINK \l "_Toc170497006" </w:instrText>
      </w:r>
      <w:r>
        <w:fldChar w:fldCharType="separate"/>
      </w:r>
      <w:r>
        <w:rPr>
          <w:rStyle w:val="35"/>
          <w14:scene3d>
            <w14:lightRig w14:rig="threePt" w14:dir="t">
              <w14:rot w14:lat="0" w14:lon="0" w14:rev="0"/>
            </w14:lightRig>
          </w14:scene3d>
        </w:rPr>
        <w:t>6.5</w:t>
      </w:r>
      <w:r>
        <w:rPr>
          <w:rStyle w:val="35"/>
        </w:rPr>
        <w:t xml:space="preserve"> 工艺废气排放</w:t>
      </w:r>
      <w:r>
        <w:tab/>
      </w:r>
      <w:r>
        <w:fldChar w:fldCharType="begin"/>
      </w:r>
      <w:r>
        <w:instrText xml:space="preserve"> PAGEREF _Toc170497006 \h </w:instrText>
      </w:r>
      <w:r>
        <w:fldChar w:fldCharType="separate"/>
      </w:r>
      <w:r>
        <w:t>6</w:t>
      </w:r>
      <w:r>
        <w:fldChar w:fldCharType="end"/>
      </w:r>
      <w:r>
        <w:fldChar w:fldCharType="end"/>
      </w:r>
    </w:p>
    <w:p w14:paraId="69FC7828">
      <w:pPr>
        <w:pStyle w:val="26"/>
        <w:rPr>
          <w:rFonts w:asciiTheme="minorHAnsi" w:hAnsiTheme="minorHAnsi" w:eastAsiaTheme="minorEastAsia" w:cstheme="minorBidi"/>
          <w:szCs w:val="22"/>
        </w:rPr>
      </w:pPr>
      <w:r>
        <w:fldChar w:fldCharType="begin"/>
      </w:r>
      <w:r>
        <w:instrText xml:space="preserve"> HYPERLINK \l "_Toc170497007" </w:instrText>
      </w:r>
      <w:r>
        <w:fldChar w:fldCharType="separate"/>
      </w:r>
      <w:r>
        <w:rPr>
          <w:rStyle w:val="35"/>
          <w14:scene3d>
            <w14:lightRig w14:rig="threePt" w14:dir="t">
              <w14:rot w14:lat="0" w14:lon="0" w14:rev="0"/>
            </w14:lightRig>
          </w14:scene3d>
        </w:rPr>
        <w:t>6.6</w:t>
      </w:r>
      <w:r>
        <w:rPr>
          <w:rStyle w:val="35"/>
        </w:rPr>
        <w:t xml:space="preserve"> 溶剂再生挥发损失</w:t>
      </w:r>
      <w:r>
        <w:tab/>
      </w:r>
      <w:r>
        <w:fldChar w:fldCharType="begin"/>
      </w:r>
      <w:r>
        <w:instrText xml:space="preserve"> PAGEREF _Toc170497007 \h </w:instrText>
      </w:r>
      <w:r>
        <w:fldChar w:fldCharType="separate"/>
      </w:r>
      <w:r>
        <w:t>7</w:t>
      </w:r>
      <w:r>
        <w:fldChar w:fldCharType="end"/>
      </w:r>
      <w:r>
        <w:fldChar w:fldCharType="end"/>
      </w:r>
    </w:p>
    <w:p w14:paraId="159A9251">
      <w:pPr>
        <w:pStyle w:val="26"/>
        <w:rPr>
          <w:rFonts w:asciiTheme="minorHAnsi" w:hAnsiTheme="minorHAnsi" w:eastAsiaTheme="minorEastAsia" w:cstheme="minorBidi"/>
          <w:szCs w:val="22"/>
        </w:rPr>
      </w:pPr>
      <w:r>
        <w:fldChar w:fldCharType="begin"/>
      </w:r>
      <w:r>
        <w:instrText xml:space="preserve"> HYPERLINK \l "_Toc170497008" </w:instrText>
      </w:r>
      <w:r>
        <w:fldChar w:fldCharType="separate"/>
      </w:r>
      <w:r>
        <w:rPr>
          <w:rStyle w:val="35"/>
          <w14:scene3d>
            <w14:lightRig w14:rig="threePt" w14:dir="t">
              <w14:rot w14:lat="0" w14:lon="0" w14:rev="0"/>
            </w14:lightRig>
          </w14:scene3d>
        </w:rPr>
        <w:t>6.7</w:t>
      </w:r>
      <w:r>
        <w:rPr>
          <w:rStyle w:val="35"/>
        </w:rPr>
        <w:t xml:space="preserve"> 实验室废气排放</w:t>
      </w:r>
      <w:r>
        <w:tab/>
      </w:r>
      <w:r>
        <w:fldChar w:fldCharType="begin"/>
      </w:r>
      <w:r>
        <w:instrText xml:space="preserve"> PAGEREF _Toc170497008 \h </w:instrText>
      </w:r>
      <w:r>
        <w:fldChar w:fldCharType="separate"/>
      </w:r>
      <w:r>
        <w:t>8</w:t>
      </w:r>
      <w:r>
        <w:fldChar w:fldCharType="end"/>
      </w:r>
      <w:r>
        <w:fldChar w:fldCharType="end"/>
      </w:r>
    </w:p>
    <w:p w14:paraId="65EBEF10">
      <w:pPr>
        <w:pStyle w:val="26"/>
        <w:rPr>
          <w:rFonts w:asciiTheme="minorHAnsi" w:hAnsiTheme="minorHAnsi" w:eastAsiaTheme="minorEastAsia" w:cstheme="minorBidi"/>
          <w:szCs w:val="22"/>
        </w:rPr>
      </w:pPr>
      <w:r>
        <w:fldChar w:fldCharType="begin"/>
      </w:r>
      <w:r>
        <w:instrText xml:space="preserve"> HYPERLINK \l "_Toc170497009" </w:instrText>
      </w:r>
      <w:r>
        <w:fldChar w:fldCharType="separate"/>
      </w:r>
      <w:r>
        <w:rPr>
          <w:rStyle w:val="35"/>
          <w14:scene3d>
            <w14:lightRig w14:rig="threePt" w14:dir="t">
              <w14:rot w14:lat="0" w14:lon="0" w14:rev="0"/>
            </w14:lightRig>
          </w14:scene3d>
        </w:rPr>
        <w:t>6.8</w:t>
      </w:r>
      <w:r>
        <w:rPr>
          <w:rStyle w:val="35"/>
        </w:rPr>
        <w:t xml:space="preserve"> 排放系数获取途径</w:t>
      </w:r>
      <w:r>
        <w:tab/>
      </w:r>
      <w:r>
        <w:fldChar w:fldCharType="begin"/>
      </w:r>
      <w:r>
        <w:instrText xml:space="preserve"> PAGEREF _Toc170497009 \h </w:instrText>
      </w:r>
      <w:r>
        <w:fldChar w:fldCharType="separate"/>
      </w:r>
      <w:r>
        <w:t>8</w:t>
      </w:r>
      <w:r>
        <w:fldChar w:fldCharType="end"/>
      </w:r>
      <w:r>
        <w:fldChar w:fldCharType="end"/>
      </w:r>
    </w:p>
    <w:p w14:paraId="273F1726">
      <w:pPr>
        <w:pStyle w:val="26"/>
        <w:rPr>
          <w:rFonts w:asciiTheme="minorHAnsi" w:hAnsiTheme="minorHAnsi" w:eastAsiaTheme="minorEastAsia" w:cstheme="minorBidi"/>
          <w:szCs w:val="22"/>
        </w:rPr>
      </w:pPr>
      <w:r>
        <w:fldChar w:fldCharType="begin"/>
      </w:r>
      <w:r>
        <w:instrText xml:space="preserve"> HYPERLINK \l "_Toc170497010" </w:instrText>
      </w:r>
      <w:r>
        <w:fldChar w:fldCharType="separate"/>
      </w:r>
      <w:r>
        <w:rPr>
          <w:rStyle w:val="35"/>
          <w14:scene3d>
            <w14:lightRig w14:rig="threePt" w14:dir="t">
              <w14:rot w14:lat="0" w14:lon="0" w14:rev="0"/>
            </w14:lightRig>
          </w14:scene3d>
        </w:rPr>
        <w:t>6.9</w:t>
      </w:r>
      <w:r>
        <w:rPr>
          <w:rStyle w:val="35"/>
        </w:rPr>
        <w:t xml:space="preserve"> 不确定性分析</w:t>
      </w:r>
      <w:r>
        <w:tab/>
      </w:r>
      <w:r>
        <w:fldChar w:fldCharType="begin"/>
      </w:r>
      <w:r>
        <w:instrText xml:space="preserve"> PAGEREF _Toc170497010 \h </w:instrText>
      </w:r>
      <w:r>
        <w:fldChar w:fldCharType="separate"/>
      </w:r>
      <w:r>
        <w:t>8</w:t>
      </w:r>
      <w:r>
        <w:fldChar w:fldCharType="end"/>
      </w:r>
      <w:r>
        <w:fldChar w:fldCharType="end"/>
      </w:r>
    </w:p>
    <w:p w14:paraId="3A67DA95">
      <w:pPr>
        <w:pStyle w:val="21"/>
        <w:rPr>
          <w:rFonts w:asciiTheme="minorHAnsi" w:hAnsiTheme="minorHAnsi" w:eastAsiaTheme="minorEastAsia" w:cstheme="minorBidi"/>
          <w:szCs w:val="22"/>
        </w:rPr>
      </w:pPr>
      <w:r>
        <w:fldChar w:fldCharType="begin"/>
      </w:r>
      <w:r>
        <w:instrText xml:space="preserve"> HYPERLINK \l "_Toc170497011" </w:instrText>
      </w:r>
      <w:r>
        <w:fldChar w:fldCharType="separate"/>
      </w:r>
      <w:r>
        <w:rPr>
          <w:rStyle w:val="35"/>
        </w:rPr>
        <w:t>7 清单章节设置</w:t>
      </w:r>
      <w:r>
        <w:tab/>
      </w:r>
      <w:r>
        <w:fldChar w:fldCharType="begin"/>
      </w:r>
      <w:r>
        <w:instrText xml:space="preserve"> PAGEREF _Toc170497011 \h </w:instrText>
      </w:r>
      <w:r>
        <w:fldChar w:fldCharType="separate"/>
      </w:r>
      <w:r>
        <w:t>9</w:t>
      </w:r>
      <w:r>
        <w:fldChar w:fldCharType="end"/>
      </w:r>
      <w:r>
        <w:fldChar w:fldCharType="end"/>
      </w:r>
    </w:p>
    <w:p w14:paraId="3D394E6F">
      <w:pPr>
        <w:pStyle w:val="26"/>
        <w:rPr>
          <w:rFonts w:asciiTheme="minorHAnsi" w:hAnsiTheme="minorHAnsi" w:eastAsiaTheme="minorEastAsia" w:cstheme="minorBidi"/>
          <w:szCs w:val="22"/>
        </w:rPr>
      </w:pPr>
      <w:r>
        <w:fldChar w:fldCharType="begin"/>
      </w:r>
      <w:r>
        <w:instrText xml:space="preserve"> HYPERLINK \l "_Toc170497012" </w:instrText>
      </w:r>
      <w:r>
        <w:fldChar w:fldCharType="separate"/>
      </w:r>
      <w:r>
        <w:rPr>
          <w:rStyle w:val="35"/>
          <w14:scene3d>
            <w14:lightRig w14:rig="threePt" w14:dir="t">
              <w14:rot w14:lat="0" w14:lon="0" w14:rev="0"/>
            </w14:lightRig>
          </w14:scene3d>
        </w:rPr>
        <w:t>7.1</w:t>
      </w:r>
      <w:r>
        <w:rPr>
          <w:rStyle w:val="35"/>
        </w:rPr>
        <w:t xml:space="preserve"> 企业概况</w:t>
      </w:r>
      <w:r>
        <w:tab/>
      </w:r>
      <w:r>
        <w:fldChar w:fldCharType="begin"/>
      </w:r>
      <w:r>
        <w:instrText xml:space="preserve"> PAGEREF _Toc170497012 \h </w:instrText>
      </w:r>
      <w:r>
        <w:fldChar w:fldCharType="separate"/>
      </w:r>
      <w:r>
        <w:t>9</w:t>
      </w:r>
      <w:r>
        <w:fldChar w:fldCharType="end"/>
      </w:r>
      <w:r>
        <w:fldChar w:fldCharType="end"/>
      </w:r>
    </w:p>
    <w:p w14:paraId="5A82DD07">
      <w:pPr>
        <w:pStyle w:val="26"/>
        <w:rPr>
          <w:rFonts w:asciiTheme="minorHAnsi" w:hAnsiTheme="minorHAnsi" w:eastAsiaTheme="minorEastAsia" w:cstheme="minorBidi"/>
          <w:szCs w:val="22"/>
        </w:rPr>
      </w:pPr>
      <w:r>
        <w:fldChar w:fldCharType="begin"/>
      </w:r>
      <w:r>
        <w:instrText xml:space="preserve"> HYPERLINK \l "_Toc170497013" </w:instrText>
      </w:r>
      <w:r>
        <w:fldChar w:fldCharType="separate"/>
      </w:r>
      <w:r>
        <w:rPr>
          <w:rStyle w:val="35"/>
          <w14:scene3d>
            <w14:lightRig w14:rig="threePt" w14:dir="t">
              <w14:rot w14:lat="0" w14:lon="0" w14:rev="0"/>
            </w14:lightRig>
          </w14:scene3d>
        </w:rPr>
        <w:t>7.2</w:t>
      </w:r>
      <w:r>
        <w:rPr>
          <w:rStyle w:val="35"/>
        </w:rPr>
        <w:t xml:space="preserve"> 排放单元与排放源识别</w:t>
      </w:r>
      <w:r>
        <w:tab/>
      </w:r>
      <w:r>
        <w:fldChar w:fldCharType="begin"/>
      </w:r>
      <w:r>
        <w:instrText xml:space="preserve"> PAGEREF _Toc170497013 \h </w:instrText>
      </w:r>
      <w:r>
        <w:fldChar w:fldCharType="separate"/>
      </w:r>
      <w:r>
        <w:t>9</w:t>
      </w:r>
      <w:r>
        <w:fldChar w:fldCharType="end"/>
      </w:r>
      <w:r>
        <w:fldChar w:fldCharType="end"/>
      </w:r>
    </w:p>
    <w:p w14:paraId="6966342D">
      <w:pPr>
        <w:pStyle w:val="26"/>
        <w:rPr>
          <w:rFonts w:asciiTheme="minorHAnsi" w:hAnsiTheme="minorHAnsi" w:eastAsiaTheme="minorEastAsia" w:cstheme="minorBidi"/>
          <w:szCs w:val="22"/>
        </w:rPr>
      </w:pPr>
      <w:r>
        <w:fldChar w:fldCharType="begin"/>
      </w:r>
      <w:r>
        <w:instrText xml:space="preserve"> HYPERLINK \l "_Toc170497014" </w:instrText>
      </w:r>
      <w:r>
        <w:fldChar w:fldCharType="separate"/>
      </w:r>
      <w:r>
        <w:rPr>
          <w:rStyle w:val="35"/>
          <w14:scene3d>
            <w14:lightRig w14:rig="threePt" w14:dir="t">
              <w14:rot w14:lat="0" w14:lon="0" w14:rev="0"/>
            </w14:lightRig>
          </w14:scene3d>
        </w:rPr>
        <w:t>7.3</w:t>
      </w:r>
      <w:r>
        <w:rPr>
          <w:rStyle w:val="35"/>
        </w:rPr>
        <w:t xml:space="preserve"> 排放量核算</w:t>
      </w:r>
      <w:r>
        <w:tab/>
      </w:r>
      <w:r>
        <w:fldChar w:fldCharType="begin"/>
      </w:r>
      <w:r>
        <w:instrText xml:space="preserve"> PAGEREF _Toc170497014 \h </w:instrText>
      </w:r>
      <w:r>
        <w:fldChar w:fldCharType="separate"/>
      </w:r>
      <w:r>
        <w:t>10</w:t>
      </w:r>
      <w:r>
        <w:fldChar w:fldCharType="end"/>
      </w:r>
      <w:r>
        <w:fldChar w:fldCharType="end"/>
      </w:r>
    </w:p>
    <w:p w14:paraId="10EC8C00">
      <w:pPr>
        <w:pStyle w:val="21"/>
        <w:rPr>
          <w:rFonts w:asciiTheme="minorHAnsi" w:hAnsiTheme="minorHAnsi" w:eastAsiaTheme="minorEastAsia" w:cstheme="minorBidi"/>
          <w:szCs w:val="22"/>
        </w:rPr>
      </w:pPr>
      <w:r>
        <w:fldChar w:fldCharType="begin"/>
      </w:r>
      <w:r>
        <w:instrText xml:space="preserve"> HYPERLINK \l "_Toc170497015" </w:instrText>
      </w:r>
      <w:r>
        <w:fldChar w:fldCharType="separate"/>
      </w:r>
      <w:r>
        <w:rPr>
          <w:rStyle w:val="35"/>
        </w:rPr>
        <w:t>8 质量控制</w:t>
      </w:r>
      <w:r>
        <w:tab/>
      </w:r>
      <w:r>
        <w:fldChar w:fldCharType="begin"/>
      </w:r>
      <w:r>
        <w:instrText xml:space="preserve"> PAGEREF _Toc170497015 \h </w:instrText>
      </w:r>
      <w:r>
        <w:fldChar w:fldCharType="separate"/>
      </w:r>
      <w:r>
        <w:t>10</w:t>
      </w:r>
      <w:r>
        <w:fldChar w:fldCharType="end"/>
      </w:r>
      <w:r>
        <w:fldChar w:fldCharType="end"/>
      </w:r>
    </w:p>
    <w:p w14:paraId="5DC393D2">
      <w:pPr>
        <w:pStyle w:val="26"/>
        <w:rPr>
          <w:rFonts w:asciiTheme="minorHAnsi" w:hAnsiTheme="minorHAnsi" w:eastAsiaTheme="minorEastAsia" w:cstheme="minorBidi"/>
          <w:szCs w:val="22"/>
        </w:rPr>
      </w:pPr>
      <w:r>
        <w:fldChar w:fldCharType="begin"/>
      </w:r>
      <w:r>
        <w:instrText xml:space="preserve"> HYPERLINK \l "_Toc170497016" </w:instrText>
      </w:r>
      <w:r>
        <w:fldChar w:fldCharType="separate"/>
      </w:r>
      <w:r>
        <w:rPr>
          <w:rStyle w:val="35"/>
          <w14:scene3d>
            <w14:lightRig w14:rig="threePt" w14:dir="t">
              <w14:rot w14:lat="0" w14:lon="0" w14:rev="0"/>
            </w14:lightRig>
          </w14:scene3d>
        </w:rPr>
        <w:t>8.1</w:t>
      </w:r>
      <w:r>
        <w:rPr>
          <w:rStyle w:val="35"/>
        </w:rPr>
        <w:t xml:space="preserve"> 概述</w:t>
      </w:r>
      <w:r>
        <w:tab/>
      </w:r>
      <w:r>
        <w:fldChar w:fldCharType="begin"/>
      </w:r>
      <w:r>
        <w:instrText xml:space="preserve"> PAGEREF _Toc170497016 \h </w:instrText>
      </w:r>
      <w:r>
        <w:fldChar w:fldCharType="separate"/>
      </w:r>
      <w:r>
        <w:t>10</w:t>
      </w:r>
      <w:r>
        <w:fldChar w:fldCharType="end"/>
      </w:r>
      <w:r>
        <w:fldChar w:fldCharType="end"/>
      </w:r>
    </w:p>
    <w:p w14:paraId="330AC57E">
      <w:pPr>
        <w:pStyle w:val="26"/>
        <w:rPr>
          <w:rFonts w:asciiTheme="minorHAnsi" w:hAnsiTheme="minorHAnsi" w:eastAsiaTheme="minorEastAsia" w:cstheme="minorBidi"/>
          <w:szCs w:val="22"/>
        </w:rPr>
      </w:pPr>
      <w:r>
        <w:fldChar w:fldCharType="begin"/>
      </w:r>
      <w:r>
        <w:instrText xml:space="preserve"> HYPERLINK \l "_Toc170497017" </w:instrText>
      </w:r>
      <w:r>
        <w:fldChar w:fldCharType="separate"/>
      </w:r>
      <w:r>
        <w:rPr>
          <w:rStyle w:val="35"/>
          <w14:scene3d>
            <w14:lightRig w14:rig="threePt" w14:dir="t">
              <w14:rot w14:lat="0" w14:lon="0" w14:rev="0"/>
            </w14:lightRig>
          </w14:scene3d>
        </w:rPr>
        <w:t>8.2</w:t>
      </w:r>
      <w:r>
        <w:rPr>
          <w:rStyle w:val="35"/>
        </w:rPr>
        <w:t xml:space="preserve"> 质量控制程序</w:t>
      </w:r>
      <w:r>
        <w:tab/>
      </w:r>
      <w:r>
        <w:fldChar w:fldCharType="begin"/>
      </w:r>
      <w:r>
        <w:instrText xml:space="preserve"> PAGEREF _Toc170497017 \h </w:instrText>
      </w:r>
      <w:r>
        <w:fldChar w:fldCharType="separate"/>
      </w:r>
      <w:r>
        <w:t>10</w:t>
      </w:r>
      <w:r>
        <w:fldChar w:fldCharType="end"/>
      </w:r>
      <w:r>
        <w:fldChar w:fldCharType="end"/>
      </w:r>
    </w:p>
    <w:p w14:paraId="3F474352">
      <w:pPr>
        <w:pStyle w:val="26"/>
        <w:rPr>
          <w:rFonts w:asciiTheme="minorHAnsi" w:hAnsiTheme="minorHAnsi" w:eastAsiaTheme="minorEastAsia" w:cstheme="minorBidi"/>
          <w:szCs w:val="22"/>
        </w:rPr>
      </w:pPr>
      <w:r>
        <w:fldChar w:fldCharType="begin"/>
      </w:r>
      <w:r>
        <w:instrText xml:space="preserve"> HYPERLINK \l "_Toc170497018" </w:instrText>
      </w:r>
      <w:r>
        <w:fldChar w:fldCharType="separate"/>
      </w:r>
      <w:r>
        <w:rPr>
          <w:rStyle w:val="35"/>
          <w14:scene3d>
            <w14:lightRig w14:rig="threePt" w14:dir="t">
              <w14:rot w14:lat="0" w14:lon="0" w14:rev="0"/>
            </w14:lightRig>
          </w14:scene3d>
        </w:rPr>
        <w:t>8.3</w:t>
      </w:r>
      <w:r>
        <w:rPr>
          <w:rStyle w:val="35"/>
        </w:rPr>
        <w:t xml:space="preserve"> 清单评审和审计</w:t>
      </w:r>
      <w:r>
        <w:tab/>
      </w:r>
      <w:r>
        <w:fldChar w:fldCharType="begin"/>
      </w:r>
      <w:r>
        <w:instrText xml:space="preserve"> PAGEREF _Toc170497018 \h </w:instrText>
      </w:r>
      <w:r>
        <w:fldChar w:fldCharType="separate"/>
      </w:r>
      <w:r>
        <w:t>11</w:t>
      </w:r>
      <w:r>
        <w:fldChar w:fldCharType="end"/>
      </w:r>
      <w:r>
        <w:fldChar w:fldCharType="end"/>
      </w:r>
    </w:p>
    <w:p w14:paraId="2BEE84BF">
      <w:pPr>
        <w:pStyle w:val="21"/>
        <w:rPr>
          <w:rFonts w:asciiTheme="minorHAnsi" w:hAnsiTheme="minorHAnsi" w:eastAsiaTheme="minorEastAsia" w:cstheme="minorBidi"/>
          <w:szCs w:val="22"/>
        </w:rPr>
      </w:pPr>
      <w:r>
        <w:fldChar w:fldCharType="begin"/>
      </w:r>
      <w:r>
        <w:instrText xml:space="preserve"> HYPERLINK \l "_Toc170497019" </w:instrText>
      </w:r>
      <w:r>
        <w:fldChar w:fldCharType="separate"/>
      </w:r>
      <w:r>
        <w:rPr>
          <w:rStyle w:val="35"/>
        </w:rPr>
        <w:t>9 验证、归类、存档和报告</w:t>
      </w:r>
      <w:r>
        <w:tab/>
      </w:r>
      <w:r>
        <w:fldChar w:fldCharType="begin"/>
      </w:r>
      <w:r>
        <w:instrText xml:space="preserve"> PAGEREF _Toc170497019 \h </w:instrText>
      </w:r>
      <w:r>
        <w:fldChar w:fldCharType="separate"/>
      </w:r>
      <w:r>
        <w:t>11</w:t>
      </w:r>
      <w:r>
        <w:fldChar w:fldCharType="end"/>
      </w:r>
      <w:r>
        <w:fldChar w:fldCharType="end"/>
      </w:r>
    </w:p>
    <w:p w14:paraId="786752B3">
      <w:pPr>
        <w:pStyle w:val="26"/>
        <w:rPr>
          <w:rFonts w:asciiTheme="minorHAnsi" w:hAnsiTheme="minorHAnsi" w:eastAsiaTheme="minorEastAsia" w:cstheme="minorBidi"/>
          <w:szCs w:val="22"/>
        </w:rPr>
      </w:pPr>
      <w:r>
        <w:fldChar w:fldCharType="begin"/>
      </w:r>
      <w:r>
        <w:instrText xml:space="preserve"> HYPERLINK \l "_Toc170497020" </w:instrText>
      </w:r>
      <w:r>
        <w:fldChar w:fldCharType="separate"/>
      </w:r>
      <w:r>
        <w:rPr>
          <w:rStyle w:val="35"/>
          <w14:scene3d>
            <w14:lightRig w14:rig="threePt" w14:dir="t">
              <w14:rot w14:lat="0" w14:lon="0" w14:rev="0"/>
            </w14:lightRig>
          </w14:scene3d>
        </w:rPr>
        <w:t>9.1</w:t>
      </w:r>
      <w:r>
        <w:rPr>
          <w:rStyle w:val="35"/>
        </w:rPr>
        <w:t xml:space="preserve"> 验证</w:t>
      </w:r>
      <w:r>
        <w:tab/>
      </w:r>
      <w:r>
        <w:fldChar w:fldCharType="begin"/>
      </w:r>
      <w:r>
        <w:instrText xml:space="preserve"> PAGEREF _Toc170497020 \h </w:instrText>
      </w:r>
      <w:r>
        <w:fldChar w:fldCharType="separate"/>
      </w:r>
      <w:r>
        <w:t>11</w:t>
      </w:r>
      <w:r>
        <w:fldChar w:fldCharType="end"/>
      </w:r>
      <w:r>
        <w:fldChar w:fldCharType="end"/>
      </w:r>
    </w:p>
    <w:p w14:paraId="2EDC8986">
      <w:pPr>
        <w:pStyle w:val="26"/>
        <w:rPr>
          <w:rFonts w:asciiTheme="minorHAnsi" w:hAnsiTheme="minorHAnsi" w:eastAsiaTheme="minorEastAsia" w:cstheme="minorBidi"/>
          <w:szCs w:val="22"/>
        </w:rPr>
      </w:pPr>
      <w:r>
        <w:fldChar w:fldCharType="begin"/>
      </w:r>
      <w:r>
        <w:instrText xml:space="preserve"> HYPERLINK \l "_Toc170497021" </w:instrText>
      </w:r>
      <w:r>
        <w:fldChar w:fldCharType="separate"/>
      </w:r>
      <w:r>
        <w:rPr>
          <w:rStyle w:val="35"/>
          <w14:scene3d>
            <w14:lightRig w14:rig="threePt" w14:dir="t">
              <w14:rot w14:lat="0" w14:lon="0" w14:rev="0"/>
            </w14:lightRig>
          </w14:scene3d>
        </w:rPr>
        <w:t>9.2</w:t>
      </w:r>
      <w:r>
        <w:rPr>
          <w:rStyle w:val="35"/>
        </w:rPr>
        <w:t xml:space="preserve"> 归档和存档</w:t>
      </w:r>
      <w:r>
        <w:tab/>
      </w:r>
      <w:r>
        <w:fldChar w:fldCharType="begin"/>
      </w:r>
      <w:r>
        <w:instrText xml:space="preserve"> PAGEREF _Toc170497021 \h </w:instrText>
      </w:r>
      <w:r>
        <w:fldChar w:fldCharType="separate"/>
      </w:r>
      <w:r>
        <w:t>11</w:t>
      </w:r>
      <w:r>
        <w:fldChar w:fldCharType="end"/>
      </w:r>
      <w:r>
        <w:fldChar w:fldCharType="end"/>
      </w:r>
    </w:p>
    <w:p w14:paraId="5D94B41E">
      <w:pPr>
        <w:pStyle w:val="26"/>
        <w:rPr>
          <w:rFonts w:asciiTheme="minorHAnsi" w:hAnsiTheme="minorHAnsi" w:eastAsiaTheme="minorEastAsia" w:cstheme="minorBidi"/>
          <w:szCs w:val="22"/>
        </w:rPr>
      </w:pPr>
      <w:r>
        <w:fldChar w:fldCharType="begin"/>
      </w:r>
      <w:r>
        <w:instrText xml:space="preserve"> HYPERLINK \l "_Toc170497022" </w:instrText>
      </w:r>
      <w:r>
        <w:fldChar w:fldCharType="separate"/>
      </w:r>
      <w:r>
        <w:rPr>
          <w:rStyle w:val="35"/>
          <w14:scene3d>
            <w14:lightRig w14:rig="threePt" w14:dir="t">
              <w14:rot w14:lat="0" w14:lon="0" w14:rev="0"/>
            </w14:lightRig>
          </w14:scene3d>
        </w:rPr>
        <w:t>9.3</w:t>
      </w:r>
      <w:r>
        <w:rPr>
          <w:rStyle w:val="35"/>
        </w:rPr>
        <w:t xml:space="preserve"> 报告</w:t>
      </w:r>
      <w:r>
        <w:tab/>
      </w:r>
      <w:r>
        <w:fldChar w:fldCharType="begin"/>
      </w:r>
      <w:r>
        <w:instrText xml:space="preserve"> PAGEREF _Toc170497022 \h </w:instrText>
      </w:r>
      <w:r>
        <w:fldChar w:fldCharType="separate"/>
      </w:r>
      <w:r>
        <w:t>12</w:t>
      </w:r>
      <w:r>
        <w:fldChar w:fldCharType="end"/>
      </w:r>
      <w:r>
        <w:fldChar w:fldCharType="end"/>
      </w:r>
    </w:p>
    <w:p w14:paraId="2CCEC5F5">
      <w:pPr>
        <w:pStyle w:val="21"/>
        <w:rPr>
          <w:rFonts w:asciiTheme="minorHAnsi" w:hAnsiTheme="minorHAnsi" w:eastAsiaTheme="minorEastAsia" w:cstheme="minorBidi"/>
          <w:szCs w:val="22"/>
        </w:rPr>
      </w:pPr>
      <w:r>
        <w:fldChar w:fldCharType="begin"/>
      </w:r>
      <w:r>
        <w:instrText xml:space="preserve"> HYPERLINK \l "_Toc170497023" </w:instrText>
      </w:r>
      <w:r>
        <w:fldChar w:fldCharType="separate"/>
      </w:r>
      <w:r>
        <w:rPr>
          <w:rStyle w:val="35"/>
          <w:spacing w:val="100"/>
        </w:rPr>
        <w:t>附录A</w:t>
      </w:r>
      <w:r>
        <w:rPr>
          <w:rStyle w:val="35"/>
        </w:rPr>
        <w:t xml:space="preserve"> 企业大气挥发性有机污染物排放监测计划</w:t>
      </w:r>
      <w:r>
        <w:tab/>
      </w:r>
      <w:r>
        <w:fldChar w:fldCharType="begin"/>
      </w:r>
      <w:r>
        <w:instrText xml:space="preserve"> PAGEREF _Toc170497023 \h </w:instrText>
      </w:r>
      <w:r>
        <w:fldChar w:fldCharType="separate"/>
      </w:r>
      <w:r>
        <w:t>13</w:t>
      </w:r>
      <w:r>
        <w:fldChar w:fldCharType="end"/>
      </w:r>
      <w:r>
        <w:fldChar w:fldCharType="end"/>
      </w:r>
    </w:p>
    <w:p w14:paraId="138D006E">
      <w:pPr>
        <w:pStyle w:val="21"/>
        <w:rPr>
          <w:rFonts w:asciiTheme="minorHAnsi" w:hAnsiTheme="minorHAnsi" w:eastAsiaTheme="minorEastAsia" w:cstheme="minorBidi"/>
          <w:szCs w:val="22"/>
        </w:rPr>
      </w:pPr>
      <w:r>
        <w:fldChar w:fldCharType="begin"/>
      </w:r>
      <w:r>
        <w:instrText xml:space="preserve"> HYPERLINK \l "_Toc170497024" </w:instrText>
      </w:r>
      <w:r>
        <w:fldChar w:fldCharType="separate"/>
      </w:r>
      <w:r>
        <w:rPr>
          <w:rStyle w:val="35"/>
          <w:spacing w:val="100"/>
        </w:rPr>
        <w:t>附录B</w:t>
      </w:r>
      <w:r>
        <w:rPr>
          <w:rStyle w:val="35"/>
        </w:rPr>
        <w:t xml:space="preserve"> （资料性）企业排放单元与排放源信息收集</w:t>
      </w:r>
      <w:r>
        <w:tab/>
      </w:r>
      <w:r>
        <w:fldChar w:fldCharType="begin"/>
      </w:r>
      <w:r>
        <w:instrText xml:space="preserve"> PAGEREF _Toc170497024 \h </w:instrText>
      </w:r>
      <w:r>
        <w:fldChar w:fldCharType="separate"/>
      </w:r>
      <w:r>
        <w:t>14</w:t>
      </w:r>
      <w:r>
        <w:fldChar w:fldCharType="end"/>
      </w:r>
      <w:r>
        <w:fldChar w:fldCharType="end"/>
      </w:r>
    </w:p>
    <w:p w14:paraId="235626D2">
      <w:pPr>
        <w:pStyle w:val="26"/>
        <w:rPr>
          <w:rFonts w:asciiTheme="minorHAnsi" w:hAnsiTheme="minorHAnsi" w:eastAsiaTheme="minorEastAsia" w:cstheme="minorBidi"/>
          <w:szCs w:val="22"/>
        </w:rPr>
      </w:pPr>
      <w:r>
        <w:fldChar w:fldCharType="begin"/>
      </w:r>
      <w:r>
        <w:instrText xml:space="preserve"> HYPERLINK \l "_Toc170497025" </w:instrText>
      </w:r>
      <w:r>
        <w:fldChar w:fldCharType="separate"/>
      </w:r>
      <w:r>
        <w:rPr>
          <w:rStyle w:val="35"/>
        </w:rPr>
        <w:t>B.1 排放单元与排放源编码规则</w:t>
      </w:r>
      <w:r>
        <w:tab/>
      </w:r>
      <w:r>
        <w:fldChar w:fldCharType="begin"/>
      </w:r>
      <w:r>
        <w:instrText xml:space="preserve"> PAGEREF _Toc170497025 \h </w:instrText>
      </w:r>
      <w:r>
        <w:fldChar w:fldCharType="separate"/>
      </w:r>
      <w:r>
        <w:t>15</w:t>
      </w:r>
      <w:r>
        <w:fldChar w:fldCharType="end"/>
      </w:r>
      <w:r>
        <w:fldChar w:fldCharType="end"/>
      </w:r>
    </w:p>
    <w:p w14:paraId="3B1C1C3C">
      <w:pPr>
        <w:pStyle w:val="21"/>
        <w:rPr>
          <w:rFonts w:asciiTheme="minorHAnsi" w:hAnsiTheme="minorHAnsi" w:eastAsiaTheme="minorEastAsia" w:cstheme="minorBidi"/>
          <w:szCs w:val="22"/>
        </w:rPr>
      </w:pPr>
      <w:r>
        <w:fldChar w:fldCharType="begin"/>
      </w:r>
      <w:r>
        <w:instrText xml:space="preserve"> HYPERLINK \l "_Toc170497026" </w:instrText>
      </w:r>
      <w:r>
        <w:fldChar w:fldCharType="separate"/>
      </w:r>
      <w:r>
        <w:rPr>
          <w:rStyle w:val="35"/>
          <w:spacing w:val="100"/>
        </w:rPr>
        <w:t>附录C</w:t>
      </w:r>
      <w:r>
        <w:rPr>
          <w:rStyle w:val="35"/>
        </w:rPr>
        <w:t xml:space="preserve"> （资料性）设备动静密封点泄漏速率的参考</w:t>
      </w:r>
      <w:r>
        <w:tab/>
      </w:r>
      <w:r>
        <w:fldChar w:fldCharType="begin"/>
      </w:r>
      <w:r>
        <w:instrText xml:space="preserve"> PAGEREF _Toc170497026 \h </w:instrText>
      </w:r>
      <w:r>
        <w:fldChar w:fldCharType="separate"/>
      </w:r>
      <w:r>
        <w:t>20</w:t>
      </w:r>
      <w:r>
        <w:fldChar w:fldCharType="end"/>
      </w:r>
      <w:r>
        <w:fldChar w:fldCharType="end"/>
      </w:r>
    </w:p>
    <w:p w14:paraId="4073EA63">
      <w:pPr>
        <w:pStyle w:val="21"/>
        <w:rPr>
          <w:rFonts w:asciiTheme="minorHAnsi" w:hAnsiTheme="minorHAnsi" w:eastAsiaTheme="minorEastAsia" w:cstheme="minorBidi"/>
          <w:szCs w:val="22"/>
        </w:rPr>
      </w:pPr>
      <w:r>
        <w:fldChar w:fldCharType="begin"/>
      </w:r>
      <w:r>
        <w:instrText xml:space="preserve"> HYPERLINK \l "_Toc170497027" </w:instrText>
      </w:r>
      <w:r>
        <w:fldChar w:fldCharType="separate"/>
      </w:r>
      <w:r>
        <w:rPr>
          <w:rStyle w:val="35"/>
          <w:spacing w:val="100"/>
        </w:rPr>
        <w:t>附录D</w:t>
      </w:r>
      <w:r>
        <w:rPr>
          <w:rStyle w:val="35"/>
        </w:rPr>
        <w:t xml:space="preserve"> （规范性）单位换算表</w:t>
      </w:r>
      <w:r>
        <w:tab/>
      </w:r>
      <w:r>
        <w:fldChar w:fldCharType="begin"/>
      </w:r>
      <w:r>
        <w:instrText xml:space="preserve"> PAGEREF _Toc170497027 \h </w:instrText>
      </w:r>
      <w:r>
        <w:fldChar w:fldCharType="separate"/>
      </w:r>
      <w:r>
        <w:t>22</w:t>
      </w:r>
      <w:r>
        <w:fldChar w:fldCharType="end"/>
      </w:r>
      <w:r>
        <w:fldChar w:fldCharType="end"/>
      </w:r>
    </w:p>
    <w:p w14:paraId="39F3A178">
      <w:pPr>
        <w:pStyle w:val="21"/>
        <w:rPr>
          <w:rFonts w:asciiTheme="minorHAnsi" w:hAnsiTheme="minorHAnsi" w:eastAsiaTheme="minorEastAsia" w:cstheme="minorBidi"/>
          <w:szCs w:val="22"/>
        </w:rPr>
      </w:pPr>
      <w:r>
        <w:fldChar w:fldCharType="begin"/>
      </w:r>
      <w:r>
        <w:instrText xml:space="preserve"> HYPERLINK \l "_Toc170497028" </w:instrText>
      </w:r>
      <w:r>
        <w:fldChar w:fldCharType="separate"/>
      </w:r>
      <w:r>
        <w:rPr>
          <w:rStyle w:val="35"/>
          <w:spacing w:val="100"/>
        </w:rPr>
        <w:t>附录E</w:t>
      </w:r>
      <w:r>
        <w:rPr>
          <w:rStyle w:val="35"/>
        </w:rPr>
        <w:t xml:space="preserve"> （资料性）固定罐与浮顶罐VOCs产生量的计算</w:t>
      </w:r>
      <w:r>
        <w:tab/>
      </w:r>
      <w:r>
        <w:fldChar w:fldCharType="begin"/>
      </w:r>
      <w:r>
        <w:instrText xml:space="preserve"> PAGEREF _Toc170497028 \h </w:instrText>
      </w:r>
      <w:r>
        <w:fldChar w:fldCharType="separate"/>
      </w:r>
      <w:r>
        <w:t>23</w:t>
      </w:r>
      <w:r>
        <w:fldChar w:fldCharType="end"/>
      </w:r>
      <w:r>
        <w:fldChar w:fldCharType="end"/>
      </w:r>
    </w:p>
    <w:p w14:paraId="528659B3">
      <w:pPr>
        <w:pStyle w:val="26"/>
        <w:rPr>
          <w:rFonts w:asciiTheme="minorHAnsi" w:hAnsiTheme="minorHAnsi" w:eastAsiaTheme="minorEastAsia" w:cstheme="minorBidi"/>
          <w:szCs w:val="22"/>
        </w:rPr>
      </w:pPr>
      <w:r>
        <w:fldChar w:fldCharType="begin"/>
      </w:r>
      <w:r>
        <w:instrText xml:space="preserve"> HYPERLINK \l "_Toc170497029" </w:instrText>
      </w:r>
      <w:r>
        <w:fldChar w:fldCharType="separate"/>
      </w:r>
      <w:r>
        <w:rPr>
          <w:rStyle w:val="35"/>
        </w:rPr>
        <w:t>E.1 固定罐VOCs产生量的计算</w:t>
      </w:r>
      <w:r>
        <w:tab/>
      </w:r>
      <w:r>
        <w:fldChar w:fldCharType="begin"/>
      </w:r>
      <w:r>
        <w:instrText xml:space="preserve"> PAGEREF _Toc170497029 \h </w:instrText>
      </w:r>
      <w:r>
        <w:fldChar w:fldCharType="separate"/>
      </w:r>
      <w:r>
        <w:t>23</w:t>
      </w:r>
      <w:r>
        <w:fldChar w:fldCharType="end"/>
      </w:r>
      <w:r>
        <w:fldChar w:fldCharType="end"/>
      </w:r>
    </w:p>
    <w:p w14:paraId="072C1175">
      <w:pPr>
        <w:pStyle w:val="26"/>
        <w:rPr>
          <w:rFonts w:asciiTheme="minorHAnsi" w:hAnsiTheme="minorHAnsi" w:eastAsiaTheme="minorEastAsia" w:cstheme="minorBidi"/>
          <w:szCs w:val="22"/>
        </w:rPr>
      </w:pPr>
      <w:r>
        <w:fldChar w:fldCharType="begin"/>
      </w:r>
      <w:r>
        <w:instrText xml:space="preserve"> HYPERLINK \l "_Toc170497030" </w:instrText>
      </w:r>
      <w:r>
        <w:fldChar w:fldCharType="separate"/>
      </w:r>
      <w:r>
        <w:rPr>
          <w:rStyle w:val="35"/>
        </w:rPr>
        <w:t>E.2 浮顶罐VOCs产生量的计算</w:t>
      </w:r>
      <w:r>
        <w:tab/>
      </w:r>
      <w:r>
        <w:fldChar w:fldCharType="begin"/>
      </w:r>
      <w:r>
        <w:instrText xml:space="preserve"> PAGEREF _Toc170497030 \h </w:instrText>
      </w:r>
      <w:r>
        <w:fldChar w:fldCharType="separate"/>
      </w:r>
      <w:r>
        <w:t>27</w:t>
      </w:r>
      <w:r>
        <w:fldChar w:fldCharType="end"/>
      </w:r>
      <w:r>
        <w:fldChar w:fldCharType="end"/>
      </w:r>
    </w:p>
    <w:p w14:paraId="40A6586C">
      <w:pPr>
        <w:pStyle w:val="21"/>
        <w:rPr>
          <w:rFonts w:asciiTheme="minorHAnsi" w:hAnsiTheme="minorHAnsi" w:eastAsiaTheme="minorEastAsia" w:cstheme="minorBidi"/>
          <w:szCs w:val="22"/>
        </w:rPr>
      </w:pPr>
      <w:r>
        <w:fldChar w:fldCharType="begin"/>
      </w:r>
      <w:r>
        <w:instrText xml:space="preserve"> HYPERLINK \l "_Toc170497031" </w:instrText>
      </w:r>
      <w:r>
        <w:fldChar w:fldCharType="separate"/>
      </w:r>
      <w:r>
        <w:rPr>
          <w:rStyle w:val="35"/>
          <w:spacing w:val="100"/>
        </w:rPr>
        <w:t>附录F</w:t>
      </w:r>
      <w:r>
        <w:rPr>
          <w:rStyle w:val="35"/>
        </w:rPr>
        <w:t xml:space="preserve"> (资料性)工艺废气排放VOCs排放量计算</w:t>
      </w:r>
      <w:r>
        <w:tab/>
      </w:r>
      <w:r>
        <w:fldChar w:fldCharType="begin"/>
      </w:r>
      <w:r>
        <w:instrText xml:space="preserve"> PAGEREF _Toc170497031 \h </w:instrText>
      </w:r>
      <w:r>
        <w:fldChar w:fldCharType="separate"/>
      </w:r>
      <w:r>
        <w:t>33</w:t>
      </w:r>
      <w:r>
        <w:fldChar w:fldCharType="end"/>
      </w:r>
      <w:r>
        <w:fldChar w:fldCharType="end"/>
      </w:r>
    </w:p>
    <w:p w14:paraId="489AF370">
      <w:pPr>
        <w:pStyle w:val="26"/>
        <w:rPr>
          <w:rFonts w:asciiTheme="minorHAnsi" w:hAnsiTheme="minorHAnsi" w:eastAsiaTheme="minorEastAsia" w:cstheme="minorBidi"/>
          <w:szCs w:val="22"/>
        </w:rPr>
      </w:pPr>
      <w:r>
        <w:fldChar w:fldCharType="begin"/>
      </w:r>
      <w:r>
        <w:instrText xml:space="preserve"> HYPERLINK \l "_Toc170497032" </w:instrText>
      </w:r>
      <w:r>
        <w:fldChar w:fldCharType="separate"/>
      </w:r>
      <w:r>
        <w:rPr>
          <w:rStyle w:val="35"/>
        </w:rPr>
        <w:t>F.1 实测法</w:t>
      </w:r>
      <w:r>
        <w:tab/>
      </w:r>
      <w:r>
        <w:fldChar w:fldCharType="begin"/>
      </w:r>
      <w:r>
        <w:instrText xml:space="preserve"> PAGEREF _Toc170497032 \h </w:instrText>
      </w:r>
      <w:r>
        <w:fldChar w:fldCharType="separate"/>
      </w:r>
      <w:r>
        <w:t>33</w:t>
      </w:r>
      <w:r>
        <w:fldChar w:fldCharType="end"/>
      </w:r>
      <w:r>
        <w:fldChar w:fldCharType="end"/>
      </w:r>
    </w:p>
    <w:p w14:paraId="7B79DF1C">
      <w:pPr>
        <w:pStyle w:val="26"/>
        <w:rPr>
          <w:rFonts w:asciiTheme="minorHAnsi" w:hAnsiTheme="minorHAnsi" w:eastAsiaTheme="minorEastAsia" w:cstheme="minorBidi"/>
          <w:szCs w:val="22"/>
        </w:rPr>
      </w:pPr>
      <w:r>
        <w:fldChar w:fldCharType="begin"/>
      </w:r>
      <w:r>
        <w:instrText xml:space="preserve"> HYPERLINK \l "_Toc170497033" </w:instrText>
      </w:r>
      <w:r>
        <w:fldChar w:fldCharType="separate"/>
      </w:r>
      <w:r>
        <w:rPr>
          <w:rStyle w:val="35"/>
        </w:rPr>
        <w:t>F.2 公式法</w:t>
      </w:r>
      <w:r>
        <w:tab/>
      </w:r>
      <w:r>
        <w:fldChar w:fldCharType="begin"/>
      </w:r>
      <w:r>
        <w:instrText xml:space="preserve"> PAGEREF _Toc170497033 \h </w:instrText>
      </w:r>
      <w:r>
        <w:fldChar w:fldCharType="separate"/>
      </w:r>
      <w:r>
        <w:t>33</w:t>
      </w:r>
      <w:r>
        <w:fldChar w:fldCharType="end"/>
      </w:r>
      <w:r>
        <w:fldChar w:fldCharType="end"/>
      </w:r>
    </w:p>
    <w:p w14:paraId="0D7123B2">
      <w:pPr>
        <w:pStyle w:val="26"/>
        <w:rPr>
          <w:rFonts w:asciiTheme="minorHAnsi" w:hAnsiTheme="minorHAnsi" w:eastAsiaTheme="minorEastAsia" w:cstheme="minorBidi"/>
          <w:szCs w:val="22"/>
        </w:rPr>
      </w:pPr>
      <w:r>
        <w:fldChar w:fldCharType="begin"/>
      </w:r>
      <w:r>
        <w:instrText xml:space="preserve"> HYPERLINK \l "_Toc170497034" </w:instrText>
      </w:r>
      <w:r>
        <w:fldChar w:fldCharType="separate"/>
      </w:r>
      <w:r>
        <w:rPr>
          <w:rStyle w:val="35"/>
        </w:rPr>
        <w:t>F.3 系数法</w:t>
      </w:r>
      <w:r>
        <w:tab/>
      </w:r>
      <w:r>
        <w:fldChar w:fldCharType="begin"/>
      </w:r>
      <w:r>
        <w:instrText xml:space="preserve"> PAGEREF _Toc170497034 \h </w:instrText>
      </w:r>
      <w:r>
        <w:fldChar w:fldCharType="separate"/>
      </w:r>
      <w:r>
        <w:t>36</w:t>
      </w:r>
      <w:r>
        <w:fldChar w:fldCharType="end"/>
      </w:r>
      <w:r>
        <w:fldChar w:fldCharType="end"/>
      </w:r>
    </w:p>
    <w:p w14:paraId="48731424">
      <w:pPr>
        <w:pStyle w:val="21"/>
        <w:rPr>
          <w:rFonts w:asciiTheme="minorHAnsi" w:hAnsiTheme="minorHAnsi" w:eastAsiaTheme="minorEastAsia" w:cstheme="minorBidi"/>
          <w:szCs w:val="22"/>
        </w:rPr>
      </w:pPr>
      <w:r>
        <w:fldChar w:fldCharType="begin"/>
      </w:r>
      <w:r>
        <w:instrText xml:space="preserve"> HYPERLINK \l "_Toc170497035" </w:instrText>
      </w:r>
      <w:r>
        <w:fldChar w:fldCharType="separate"/>
      </w:r>
      <w:r>
        <w:rPr>
          <w:rStyle w:val="35"/>
          <w:spacing w:val="100"/>
        </w:rPr>
        <w:t>附录G</w:t>
      </w:r>
      <w:r>
        <w:rPr>
          <w:rStyle w:val="35"/>
        </w:rPr>
        <w:t xml:space="preserve"> 不确定性的计算</w:t>
      </w:r>
      <w:r>
        <w:tab/>
      </w:r>
      <w:r>
        <w:fldChar w:fldCharType="begin"/>
      </w:r>
      <w:r>
        <w:instrText xml:space="preserve"> PAGEREF _Toc170497035 \h </w:instrText>
      </w:r>
      <w:r>
        <w:fldChar w:fldCharType="separate"/>
      </w:r>
      <w:r>
        <w:t>38</w:t>
      </w:r>
      <w:r>
        <w:fldChar w:fldCharType="end"/>
      </w:r>
      <w:r>
        <w:fldChar w:fldCharType="end"/>
      </w:r>
    </w:p>
    <w:p w14:paraId="5A7FF1F5">
      <w:pPr>
        <w:pStyle w:val="95"/>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8"/>
    <w:p w14:paraId="7D7C2E26">
      <w:pPr>
        <w:pStyle w:val="93"/>
        <w:spacing w:after="360"/>
      </w:pPr>
      <w:bookmarkStart w:id="19" w:name="_Toc137108813"/>
      <w:bookmarkStart w:id="20" w:name="_Toc137109076"/>
      <w:bookmarkStart w:id="21" w:name="_Toc170496982"/>
      <w:bookmarkStart w:id="22" w:name="BookMark2"/>
      <w:r>
        <w:rPr>
          <w:spacing w:val="320"/>
        </w:rPr>
        <w:t>前</w:t>
      </w:r>
      <w:r>
        <w:t>言</w:t>
      </w:r>
      <w:bookmarkEnd w:id="19"/>
      <w:bookmarkEnd w:id="20"/>
      <w:bookmarkEnd w:id="21"/>
    </w:p>
    <w:p w14:paraId="200363AA">
      <w:pPr>
        <w:pStyle w:val="60"/>
        <w:ind w:firstLine="420"/>
      </w:pPr>
      <w:r>
        <w:rPr>
          <w:rFonts w:hint="eastAsia"/>
        </w:rPr>
        <w:t>本文件按照GB/T 1.1—2020《标准化工作导则  第1部分：标准化文件的结构和起草规则》的规定起草。</w:t>
      </w:r>
    </w:p>
    <w:p w14:paraId="3D132DFA">
      <w:pPr>
        <w:pStyle w:val="60"/>
        <w:ind w:firstLine="420"/>
      </w:pPr>
      <w:r>
        <w:rPr>
          <w:rFonts w:hint="eastAsia"/>
        </w:rPr>
        <w:t>请注意本文件的某些内容可能涉及专利。本文件的发布机构不承担识别专利的责任。</w:t>
      </w:r>
    </w:p>
    <w:p w14:paraId="23D792A9">
      <w:pPr>
        <w:pStyle w:val="60"/>
        <w:ind w:firstLine="420"/>
      </w:pPr>
      <w:r>
        <w:rPr>
          <w:rFonts w:hint="eastAsia"/>
          <w:color w:val="FF0000"/>
        </w:rPr>
        <w:t>本文件由××××提出。</w:t>
      </w:r>
    </w:p>
    <w:p w14:paraId="202211C6">
      <w:pPr>
        <w:pStyle w:val="60"/>
        <w:ind w:firstLine="420"/>
      </w:pPr>
      <w:r>
        <w:rPr>
          <w:rFonts w:hint="eastAsia"/>
        </w:rPr>
        <w:t>本文件由中国环境科学学会归口。</w:t>
      </w:r>
    </w:p>
    <w:p w14:paraId="56108B21">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w:t>
      </w:r>
      <w:bookmarkStart w:id="23" w:name="_Hlk168406329"/>
      <w:r>
        <w:rPr>
          <w:rFonts w:hint="eastAsia"/>
          <w:color w:val="000000" w:themeColor="text1"/>
          <w14:textFill>
            <w14:solidFill>
              <w14:schemeClr w14:val="tx1"/>
            </w14:solidFill>
          </w14:textFill>
        </w:rPr>
        <w:t>暨南大学（主编单位）；广东工业大学，广东环境保护工程职业学院，广州紫科环保科技股份有限公司，暨测（广东）仪器有限公司（参编单位）</w:t>
      </w:r>
      <w:bookmarkEnd w:id="23"/>
      <w:r>
        <w:rPr>
          <w:rFonts w:hint="eastAsia"/>
          <w:color w:val="000000" w:themeColor="text1"/>
          <w14:textFill>
            <w14:solidFill>
              <w14:schemeClr w14:val="tx1"/>
            </w14:solidFill>
          </w14:textFill>
        </w:rPr>
        <w:t>。</w:t>
      </w:r>
    </w:p>
    <w:p w14:paraId="53B665A7">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本文件主要起草人：王伯光，张成亮，安太成，张春林，温美成，</w:t>
      </w:r>
      <w:r>
        <w:rPr>
          <w:rFonts w:hint="eastAsia"/>
        </w:rPr>
        <w:t>周咪</w:t>
      </w:r>
      <w:r>
        <w:rPr>
          <w:rFonts w:hint="eastAsia"/>
          <w:color w:val="000000" w:themeColor="text1"/>
          <w14:textFill>
            <w14:solidFill>
              <w14:schemeClr w14:val="tx1"/>
            </w14:solidFill>
          </w14:textFill>
        </w:rPr>
        <w:t>，</w:t>
      </w:r>
      <w:r>
        <w:rPr>
          <w:rFonts w:hint="eastAsia"/>
        </w:rPr>
        <w:t>郭云龙，陈江耀，王瑞文，李云飞（董事长），王晓武。</w:t>
      </w:r>
    </w:p>
    <w:p w14:paraId="17668A64">
      <w:pPr>
        <w:pStyle w:val="60"/>
        <w:ind w:firstLine="420"/>
      </w:pPr>
    </w:p>
    <w:p w14:paraId="53D7E62F">
      <w:pPr>
        <w:pStyle w:val="60"/>
        <w:ind w:firstLine="420"/>
      </w:pPr>
    </w:p>
    <w:p w14:paraId="7AE19FC6">
      <w:pPr>
        <w:pStyle w:val="60"/>
        <w:ind w:firstLine="199" w:firstLineChars="95"/>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cols w:space="425" w:num="1"/>
          <w:formProt w:val="0"/>
          <w:docGrid w:linePitch="312" w:charSpace="0"/>
        </w:sectPr>
      </w:pPr>
    </w:p>
    <w:bookmarkEnd w:id="22"/>
    <w:p w14:paraId="39AFDFE1">
      <w:pPr>
        <w:pStyle w:val="93"/>
        <w:spacing w:after="360"/>
      </w:pPr>
      <w:bookmarkStart w:id="24" w:name="_Toc170496983"/>
      <w:bookmarkStart w:id="25" w:name="_Toc137109077"/>
      <w:bookmarkStart w:id="26" w:name="_Toc137108814"/>
      <w:bookmarkStart w:id="27" w:name="BookMark3"/>
      <w:r>
        <w:rPr>
          <w:spacing w:val="320"/>
        </w:rPr>
        <w:t>引</w:t>
      </w:r>
      <w:r>
        <w:t>言</w:t>
      </w:r>
      <w:bookmarkEnd w:id="24"/>
      <w:bookmarkEnd w:id="25"/>
      <w:bookmarkEnd w:id="26"/>
    </w:p>
    <w:p w14:paraId="2B2C7BC7">
      <w:pPr>
        <w:pStyle w:val="60"/>
        <w:ind w:firstLine="420"/>
      </w:pPr>
      <w:bookmarkStart w:id="28" w:name="_Hlk168405463"/>
      <w:r>
        <w:rPr>
          <w:rFonts w:hint="eastAsia"/>
        </w:rPr>
        <w:t>为贯彻落实国务院《关于加强环境保护重点工作的意见》、《大气污染防治行动计划》和《国务院关于印发打赢蓝天保卫战三年行动计划的通知》有关要求，深入实施《“十三五”挥发性有机物污染防治工作方案》，并在“十四五”期间持续推进我国大气污染防治工作的进程，增强大气挥发性有机物污染防治工作的科学性、针对性和有效性，加强对我国各电子电路制造业企业工作指导，根据《中华人民共和国环境保护法》、《中华人民共和国大气污染防治法》、《环境空气质量标准（GB 3095-2012）》、《大气污染物综合排放标准（GB16297-1996）》及相关法律、法规、标准、文件，参考环保部《电子工业大气污染物排放标准 电子终端产品》、《电子工业污染物排放标准 平板显示器、电真空及光电子器件》、《电子工业污染物排放标准 半导体器件》和《电子工业污染物排放标准 电子元件》、《电子工业污染物排放标准》，广东省《电子工业挥发性有机物排放标准》、《电子设备制造业挥发性有机化合物排放标准》等征求意见稿，北京市《电子工业大气污染物排放标准(DB11/ 1631-2019)》，江苏省《半导体行业污染物排放标准（DB32/3747-2020）》两地地标；以及《广东省环境保护厅关于重点行业挥发性有机物综合整治的实施方案（2014-2017年）》等编制《电子电路制造业挥发性有机物排放清单编制技术指南》(以下简称“指南”)。</w:t>
      </w:r>
    </w:p>
    <w:bookmarkEnd w:id="28"/>
    <w:p w14:paraId="64954E3E">
      <w:pPr>
        <w:pStyle w:val="60"/>
        <w:ind w:firstLine="420"/>
      </w:pPr>
    </w:p>
    <w:p w14:paraId="406A4FD5">
      <w:pPr>
        <w:pStyle w:val="60"/>
        <w:ind w:firstLine="420"/>
        <w:sectPr>
          <w:headerReference r:id="rId17" w:type="default"/>
          <w:footerReference r:id="rId19" w:type="default"/>
          <w:headerReference r:id="rId18" w:type="even"/>
          <w:footerReference r:id="rId20" w:type="even"/>
          <w:pgSz w:w="11906" w:h="16838"/>
          <w:pgMar w:top="2410" w:right="1134" w:bottom="1134" w:left="1134" w:header="1418" w:footer="1134" w:gutter="284"/>
          <w:pgNumType w:fmt="upperRoman"/>
          <w:cols w:space="425" w:num="1"/>
          <w:formProt w:val="0"/>
          <w:docGrid w:linePitch="312" w:charSpace="0"/>
        </w:sectPr>
      </w:pPr>
    </w:p>
    <w:bookmarkEnd w:id="27"/>
    <w:sdt>
      <w:sdtPr>
        <w:tag w:val="NEW_STAND_NAME"/>
        <w:id w:val="595910757"/>
        <w:lock w:val="sdtLocked"/>
        <w:placeholder>
          <w:docPart w:val="1372F4FE3A5242C98876936A4D5A7CDD"/>
        </w:placeholder>
      </w:sdtPr>
      <w:sdtContent>
        <w:p w14:paraId="24700F61">
          <w:pPr>
            <w:pStyle w:val="181"/>
            <w:spacing w:after="528" w:afterLines="220" w:line="240" w:lineRule="auto"/>
          </w:pPr>
          <w:bookmarkStart w:id="29" w:name="NEW_STAND_NAME"/>
          <w:bookmarkStart w:id="30" w:name="BookMark4"/>
          <w:r>
            <w:rPr>
              <w:rFonts w:hint="eastAsia"/>
            </w:rPr>
            <w:t>电子电路制造业挥发性有机物排放清单编制技术指南</w:t>
          </w:r>
        </w:p>
      </w:sdtContent>
    </w:sdt>
    <w:bookmarkEnd w:id="29"/>
    <w:p w14:paraId="7A0AB063">
      <w:pPr>
        <w:pStyle w:val="108"/>
        <w:spacing w:before="240" w:after="240"/>
      </w:pPr>
      <w:bookmarkStart w:id="31" w:name="_Toc26648465"/>
      <w:bookmarkStart w:id="32" w:name="_Toc17233325"/>
      <w:bookmarkStart w:id="33" w:name="_Toc26718930"/>
      <w:bookmarkStart w:id="34" w:name="_Toc170496984"/>
      <w:bookmarkStart w:id="35" w:name="_Toc137108815"/>
      <w:bookmarkStart w:id="36" w:name="_Toc17233333"/>
      <w:bookmarkStart w:id="37" w:name="_Toc26986530"/>
      <w:bookmarkStart w:id="38" w:name="_Toc77262523"/>
      <w:bookmarkStart w:id="39" w:name="_Toc26986771"/>
      <w:bookmarkStart w:id="40" w:name="_Toc24884218"/>
      <w:bookmarkStart w:id="41" w:name="_Toc24884211"/>
      <w:bookmarkStart w:id="42" w:name="_Toc137109078"/>
      <w:r>
        <w:rPr>
          <w:rFonts w:hint="eastAsia"/>
        </w:rPr>
        <w:t>范围</w:t>
      </w:r>
      <w:bookmarkEnd w:id="31"/>
      <w:bookmarkEnd w:id="32"/>
      <w:bookmarkEnd w:id="33"/>
      <w:bookmarkEnd w:id="34"/>
      <w:bookmarkEnd w:id="35"/>
      <w:bookmarkEnd w:id="36"/>
      <w:bookmarkEnd w:id="37"/>
      <w:bookmarkEnd w:id="38"/>
      <w:bookmarkEnd w:id="39"/>
      <w:bookmarkEnd w:id="40"/>
      <w:bookmarkEnd w:id="41"/>
      <w:bookmarkEnd w:id="42"/>
    </w:p>
    <w:p w14:paraId="071DAFFE">
      <w:pPr>
        <w:pStyle w:val="60"/>
        <w:ind w:firstLine="420"/>
      </w:pPr>
      <w:bookmarkStart w:id="43" w:name="_Toc24884219"/>
      <w:bookmarkStart w:id="44" w:name="_Toc17233334"/>
      <w:bookmarkStart w:id="45" w:name="_Toc24884212"/>
      <w:bookmarkStart w:id="46" w:name="_Toc17233326"/>
      <w:bookmarkStart w:id="47" w:name="_Toc26648466"/>
      <w:r>
        <w:rPr>
          <w:rFonts w:hint="eastAsia"/>
        </w:rPr>
        <w:t>本文件内容包括开展大气挥发性有机物清单编制工作的主要技术方法、技术流程、工作内容、技术要求、质量管理等方面。</w:t>
      </w:r>
    </w:p>
    <w:p w14:paraId="18F557A7">
      <w:pPr>
        <w:pStyle w:val="60"/>
        <w:ind w:firstLine="420"/>
      </w:pPr>
      <w:r>
        <w:rPr>
          <w:rFonts w:hint="eastAsia"/>
        </w:rPr>
        <w:t>本文件适用于指导及规范各电子电路制造企业挥发性有机物排放清单的编制工作并确定各企业的挥发性有机物防控重点。</w:t>
      </w:r>
    </w:p>
    <w:p w14:paraId="173053DF">
      <w:pPr>
        <w:pStyle w:val="108"/>
        <w:spacing w:before="240" w:after="240"/>
      </w:pPr>
      <w:bookmarkStart w:id="48" w:name="_Toc26986531"/>
      <w:bookmarkStart w:id="49" w:name="_Toc137108816"/>
      <w:bookmarkStart w:id="50" w:name="_Toc26986772"/>
      <w:bookmarkStart w:id="51" w:name="_Toc170496985"/>
      <w:bookmarkStart w:id="52" w:name="_Toc77262524"/>
      <w:bookmarkStart w:id="53" w:name="_Toc137109079"/>
      <w:bookmarkStart w:id="54" w:name="_Toc26718931"/>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DC964944E7AE40958021BBAF2621156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40E6050">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691AFC9">
      <w:pPr>
        <w:pStyle w:val="60"/>
        <w:ind w:firstLine="420"/>
      </w:pPr>
      <w:r>
        <w:rPr>
          <w:rFonts w:hint="eastAsia"/>
        </w:rPr>
        <w:t>《</w:t>
      </w:r>
      <w:bookmarkStart w:id="55" w:name="_Hlk168325603"/>
      <w:r>
        <w:rPr>
          <w:rFonts w:hint="eastAsia"/>
        </w:rPr>
        <w:t>环境空气质量标准</w:t>
      </w:r>
      <w:bookmarkEnd w:id="55"/>
      <w:r>
        <w:rPr>
          <w:rFonts w:hint="eastAsia"/>
        </w:rPr>
        <w:t>》（</w:t>
      </w:r>
      <w:bookmarkStart w:id="56" w:name="_Hlk168325568"/>
      <w:r>
        <w:rPr>
          <w:rFonts w:hint="eastAsia"/>
        </w:rPr>
        <w:t>GB 3095—2012</w:t>
      </w:r>
      <w:bookmarkEnd w:id="56"/>
      <w:r>
        <w:rPr>
          <w:rFonts w:hint="eastAsia"/>
        </w:rPr>
        <w:t>）；</w:t>
      </w:r>
    </w:p>
    <w:p w14:paraId="3E1179E0">
      <w:pPr>
        <w:pStyle w:val="60"/>
        <w:ind w:firstLine="420"/>
      </w:pPr>
      <w:r>
        <w:rPr>
          <w:rFonts w:hint="eastAsia"/>
        </w:rPr>
        <w:t>《</w:t>
      </w:r>
      <w:bookmarkStart w:id="57" w:name="_Hlk168325629"/>
      <w:r>
        <w:rPr>
          <w:rFonts w:hint="eastAsia"/>
        </w:rPr>
        <w:t>大气污染物综合排放标准</w:t>
      </w:r>
      <w:bookmarkEnd w:id="57"/>
      <w:r>
        <w:rPr>
          <w:rFonts w:hint="eastAsia"/>
        </w:rPr>
        <w:t>》（</w:t>
      </w:r>
      <w:bookmarkStart w:id="58" w:name="_Hlk168325615"/>
      <w:r>
        <w:rPr>
          <w:rFonts w:hint="eastAsia"/>
        </w:rPr>
        <w:t>GB 16297—1996</w:t>
      </w:r>
      <w:bookmarkEnd w:id="58"/>
      <w:r>
        <w:rPr>
          <w:rFonts w:hint="eastAsia"/>
        </w:rPr>
        <w:t>）；</w:t>
      </w:r>
    </w:p>
    <w:p w14:paraId="1A69B024">
      <w:pPr>
        <w:pStyle w:val="60"/>
        <w:ind w:firstLine="420"/>
      </w:pPr>
      <w:r>
        <w:rPr>
          <w:rFonts w:hint="eastAsia"/>
        </w:rPr>
        <w:t>《挥发性有机物无组织排放控制标准》（</w:t>
      </w:r>
      <w:r>
        <w:t>GB 37822—2019</w:t>
      </w:r>
      <w:r>
        <w:rPr>
          <w:rFonts w:hint="eastAsia"/>
        </w:rPr>
        <w:t>）</w:t>
      </w:r>
    </w:p>
    <w:p w14:paraId="3F7D67A2">
      <w:pPr>
        <w:pStyle w:val="60"/>
        <w:ind w:firstLine="420"/>
      </w:pPr>
      <w:r>
        <w:rPr>
          <w:rFonts w:hint="eastAsia"/>
        </w:rPr>
        <w:t>《固定污染源废气 挥发性有机物的采样 气袋法》 （</w:t>
      </w:r>
      <w:r>
        <w:t>HJ 732-2014</w:t>
      </w:r>
      <w:r>
        <w:rPr>
          <w:rFonts w:hint="eastAsia"/>
        </w:rPr>
        <w:t>）</w:t>
      </w:r>
    </w:p>
    <w:p w14:paraId="48FD82D9">
      <w:pPr>
        <w:pStyle w:val="60"/>
        <w:ind w:firstLine="420"/>
      </w:pPr>
      <w:r>
        <w:rPr>
          <w:rFonts w:hint="eastAsia"/>
        </w:rPr>
        <w:t>《泄漏和敞开液面排放的挥发性有机物检测技术导则》（</w:t>
      </w:r>
      <w:r>
        <w:t>HJ 733-2014</w:t>
      </w:r>
      <w:r>
        <w:rPr>
          <w:rFonts w:hint="eastAsia"/>
        </w:rPr>
        <w:t>）</w:t>
      </w:r>
    </w:p>
    <w:p w14:paraId="49A06A06">
      <w:pPr>
        <w:pStyle w:val="60"/>
        <w:ind w:firstLine="420"/>
      </w:pPr>
      <w:r>
        <w:rPr>
          <w:rFonts w:hint="eastAsia"/>
        </w:rPr>
        <w:t>《固定污染源废气 挥发性有机物的测定 固相吸附-热脱附／气相色谱-质谱法》（</w:t>
      </w:r>
      <w:r>
        <w:t>HJ 734—2014</w:t>
      </w:r>
      <w:r>
        <w:rPr>
          <w:rFonts w:hint="eastAsia"/>
        </w:rPr>
        <w:t>）</w:t>
      </w:r>
    </w:p>
    <w:p w14:paraId="13FDF92D">
      <w:pPr>
        <w:pStyle w:val="60"/>
        <w:ind w:firstLine="420"/>
        <w:rPr>
          <w:rFonts w:hint="eastAsia"/>
        </w:rPr>
      </w:pPr>
      <w:r>
        <w:rPr>
          <w:rFonts w:hint="eastAsia"/>
        </w:rPr>
        <w:t>《环境空气 挥发性有机物的测定 吸附管采样-热脱附/气相色谱-质谱法》（</w:t>
      </w:r>
      <w:r>
        <w:t>HJ 644-2013</w:t>
      </w:r>
      <w:r>
        <w:rPr>
          <w:rFonts w:hint="eastAsia"/>
        </w:rPr>
        <w:t>）</w:t>
      </w:r>
    </w:p>
    <w:p w14:paraId="4091A63C">
      <w:pPr>
        <w:pStyle w:val="108"/>
        <w:spacing w:before="240" w:after="240"/>
      </w:pPr>
      <w:bookmarkStart w:id="59" w:name="_Toc77262525"/>
      <w:bookmarkStart w:id="60" w:name="_Toc137109080"/>
      <w:bookmarkStart w:id="61" w:name="_Toc170496986"/>
      <w:bookmarkStart w:id="62" w:name="_Toc137108817"/>
      <w:r>
        <w:rPr>
          <w:rFonts w:hint="eastAsia"/>
        </w:rPr>
        <w:t>术语和定义</w:t>
      </w:r>
      <w:bookmarkEnd w:id="59"/>
      <w:bookmarkEnd w:id="60"/>
      <w:bookmarkEnd w:id="61"/>
      <w:bookmarkEnd w:id="62"/>
    </w:p>
    <w:sdt>
      <w:sdtPr>
        <w:id w:val="-1909835108"/>
        <w:placeholder>
          <w:docPart w:val="A454B307285A4DAEA22E8E1D89E19A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EA318C0">
          <w:pPr>
            <w:pStyle w:val="60"/>
            <w:ind w:firstLine="420"/>
          </w:pPr>
          <w:bookmarkStart w:id="63" w:name="_Toc26986532"/>
          <w:bookmarkEnd w:id="63"/>
          <w:r>
            <w:t>下列术语和定义适用于本文件。</w:t>
          </w:r>
        </w:p>
      </w:sdtContent>
    </w:sdt>
    <w:p w14:paraId="41F94622">
      <w:pPr>
        <w:pStyle w:val="109"/>
        <w:spacing w:before="120" w:after="120"/>
      </w:pPr>
      <w:bookmarkStart w:id="64" w:name="_Toc137108819"/>
      <w:bookmarkStart w:id="65" w:name="_Toc170496987"/>
      <w:bookmarkStart w:id="66" w:name="_Toc137109082"/>
      <w:bookmarkStart w:id="67" w:name="_Toc170496906"/>
      <w:bookmarkStart w:id="68" w:name="_Toc168578044"/>
      <w:r>
        <w:rPr>
          <w:rFonts w:hint="eastAsia"/>
        </w:rPr>
        <w:t xml:space="preserve">电子电路制造行业 </w:t>
      </w:r>
      <w:r>
        <w:t>e</w:t>
      </w:r>
      <w:r>
        <w:rPr>
          <w:rFonts w:hint="eastAsia"/>
        </w:rPr>
        <w:t>lectronic Circuits Manufacturing Industry</w:t>
      </w:r>
      <w:bookmarkEnd w:id="64"/>
      <w:bookmarkEnd w:id="65"/>
      <w:bookmarkEnd w:id="66"/>
      <w:bookmarkEnd w:id="67"/>
      <w:bookmarkEnd w:id="68"/>
    </w:p>
    <w:p w14:paraId="23AC189D">
      <w:pPr>
        <w:pStyle w:val="60"/>
        <w:ind w:firstLine="420"/>
        <w:rPr>
          <w:rFonts w:hint="eastAsia"/>
        </w:rPr>
      </w:pPr>
      <w:bookmarkStart w:id="69" w:name="_Hlk168308607"/>
      <w:r>
        <w:rPr>
          <w:rFonts w:hint="eastAsia"/>
        </w:rPr>
        <w:t>电子电路制造行业（行业代码 3982）指在绝缘基材上采用印制工艺形成电气电子连接电路，以及附有无源与有源元件的制造，包括印刷电路板及附有元器件构成电子电路功能组合件。</w:t>
      </w:r>
      <w:bookmarkEnd w:id="69"/>
    </w:p>
    <w:p w14:paraId="03E76202">
      <w:pPr>
        <w:pStyle w:val="109"/>
        <w:spacing w:before="120" w:after="120"/>
      </w:pPr>
      <w:bookmarkStart w:id="70" w:name="_Hlk168408464"/>
      <w:bookmarkStart w:id="71" w:name="_Toc137108822"/>
      <w:bookmarkStart w:id="72" w:name="_Toc168578047"/>
      <w:bookmarkStart w:id="73" w:name="_Toc137109085"/>
      <w:bookmarkStart w:id="74" w:name="_Toc170496988"/>
      <w:bookmarkStart w:id="75" w:name="_Toc170496907"/>
      <w:r>
        <w:rPr>
          <w:rFonts w:hint="eastAsia"/>
        </w:rPr>
        <w:t>挥发性有机物</w:t>
      </w:r>
      <w:bookmarkEnd w:id="70"/>
      <w:r>
        <w:rPr>
          <w:rFonts w:hint="eastAsia"/>
        </w:rPr>
        <w:t xml:space="preserve"> </w:t>
      </w:r>
      <w:r>
        <w:t>v</w:t>
      </w:r>
      <w:r>
        <w:rPr>
          <w:rFonts w:hint="eastAsia"/>
        </w:rPr>
        <w:t>olatile Organic Compounds,</w:t>
      </w:r>
      <w:r>
        <w:t>(</w:t>
      </w:r>
      <w:r>
        <w:rPr>
          <w:rFonts w:hint="eastAsia"/>
        </w:rPr>
        <w:t>VOCs</w:t>
      </w:r>
      <w:bookmarkEnd w:id="71"/>
      <w:bookmarkEnd w:id="72"/>
      <w:bookmarkEnd w:id="73"/>
      <w:r>
        <w:t>)</w:t>
      </w:r>
      <w:bookmarkEnd w:id="74"/>
      <w:bookmarkEnd w:id="75"/>
    </w:p>
    <w:p w14:paraId="5EA792B5">
      <w:pPr>
        <w:pStyle w:val="60"/>
        <w:ind w:firstLine="420"/>
      </w:pPr>
      <w:r>
        <w:rPr>
          <w:rFonts w:hint="eastAsia"/>
        </w:rPr>
        <w:t>指在标准状态下饱和蒸气压较高（标准状态下大于13.33Pa）、沸点较低、分子量小、常温状态下易挥发的有机化合物。本指南适用的挥发性有机物包括烷烃、烯烃、芳香烃、炔烃的C</w:t>
      </w:r>
      <w:r>
        <w:rPr>
          <w:rFonts w:hint="eastAsia"/>
          <w:vertAlign w:val="subscript"/>
        </w:rPr>
        <w:t>2</w:t>
      </w:r>
      <w:r>
        <w:t>-</w:t>
      </w:r>
      <w:r>
        <w:rPr>
          <w:rFonts w:hint="eastAsia"/>
        </w:rPr>
        <w:t>C</w:t>
      </w:r>
      <w:r>
        <w:rPr>
          <w:rFonts w:hint="eastAsia"/>
          <w:vertAlign w:val="subscript"/>
        </w:rPr>
        <w:t>12</w:t>
      </w:r>
      <w:r>
        <w:rPr>
          <w:rFonts w:hint="eastAsia"/>
        </w:rPr>
        <w:t>非甲烷碳氢化合物（Nonmethane hydrocarbons, NMHCs），醛、酮、醇、醚、酯、酚等C</w:t>
      </w:r>
      <w:r>
        <w:rPr>
          <w:rFonts w:hint="eastAsia"/>
          <w:vertAlign w:val="subscript"/>
        </w:rPr>
        <w:t>1</w:t>
      </w:r>
      <w:r>
        <w:t>-</w:t>
      </w:r>
      <w:r>
        <w:rPr>
          <w:rFonts w:hint="eastAsia"/>
        </w:rPr>
        <w:t>C</w:t>
      </w:r>
      <w:r>
        <w:rPr>
          <w:rFonts w:hint="eastAsia"/>
          <w:vertAlign w:val="subscript"/>
        </w:rPr>
        <w:t>10</w:t>
      </w:r>
      <w:r>
        <w:rPr>
          <w:rFonts w:hint="eastAsia"/>
        </w:rPr>
        <w:t>含氧有机物（Oxygenated Volatile Organic Compounds，OVOCs），卤代烃（Halogenated hydrocarbons），含氮有机化合物（Organic nitrates），含硫有机化合物（Organic sulfur）等几类152种化合物。</w:t>
      </w:r>
    </w:p>
    <w:p w14:paraId="5DB41B7E">
      <w:pPr>
        <w:pStyle w:val="109"/>
        <w:spacing w:before="120" w:after="120"/>
      </w:pPr>
      <w:bookmarkStart w:id="76" w:name="_Toc137109086"/>
      <w:bookmarkStart w:id="77" w:name="_Toc170496908"/>
      <w:bookmarkStart w:id="78" w:name="_Toc137108823"/>
      <w:bookmarkStart w:id="79" w:name="_Toc168578048"/>
      <w:bookmarkStart w:id="80" w:name="_Toc170496989"/>
      <w:r>
        <w:rPr>
          <w:rFonts w:hint="eastAsia"/>
        </w:rPr>
        <w:t xml:space="preserve">挥发性有机物污染源 </w:t>
      </w:r>
      <w:r>
        <w:t>p</w:t>
      </w:r>
      <w:r>
        <w:rPr>
          <w:rFonts w:hint="eastAsia"/>
        </w:rPr>
        <w:t>ollution source of VOCs</w:t>
      </w:r>
      <w:bookmarkEnd w:id="76"/>
      <w:bookmarkEnd w:id="77"/>
      <w:bookmarkEnd w:id="78"/>
      <w:bookmarkEnd w:id="79"/>
      <w:bookmarkEnd w:id="80"/>
    </w:p>
    <w:p w14:paraId="618FA6A2">
      <w:pPr>
        <w:pStyle w:val="60"/>
        <w:ind w:firstLine="420"/>
      </w:pPr>
      <w:r>
        <w:rPr>
          <w:rFonts w:hint="eastAsia"/>
        </w:rPr>
        <w:t>向大气环境排放挥发性有机污染物的排放源统称为挥发性有机污染物污染源。</w:t>
      </w:r>
    </w:p>
    <w:p w14:paraId="722C131A">
      <w:pPr>
        <w:pStyle w:val="109"/>
        <w:spacing w:before="120" w:after="120"/>
      </w:pPr>
      <w:bookmarkStart w:id="81" w:name="_Toc168578051"/>
      <w:bookmarkStart w:id="82" w:name="_Toc137109089"/>
      <w:bookmarkStart w:id="83" w:name="_Toc137108826"/>
      <w:bookmarkStart w:id="84" w:name="_Toc170496909"/>
      <w:bookmarkStart w:id="85" w:name="_Toc170496990"/>
      <w:r>
        <w:rPr>
          <w:rFonts w:hint="eastAsia"/>
        </w:rPr>
        <w:t xml:space="preserve">排放清单 </w:t>
      </w:r>
      <w:r>
        <w:t>e</w:t>
      </w:r>
      <w:r>
        <w:rPr>
          <w:rFonts w:hint="eastAsia"/>
        </w:rPr>
        <w:t>missions Inventory</w:t>
      </w:r>
      <w:bookmarkEnd w:id="81"/>
      <w:bookmarkEnd w:id="82"/>
      <w:bookmarkEnd w:id="83"/>
      <w:bookmarkEnd w:id="84"/>
      <w:bookmarkEnd w:id="85"/>
    </w:p>
    <w:p w14:paraId="1FE5AF21">
      <w:pPr>
        <w:pStyle w:val="60"/>
        <w:ind w:firstLine="420"/>
      </w:pPr>
      <w:bookmarkStart w:id="86" w:name="_Hlk168408550"/>
      <w:r>
        <w:rPr>
          <w:rFonts w:hint="eastAsia"/>
        </w:rPr>
        <w:t>指各种排放源在一定的时间跨度和空间区域内向大气中排放的大气污染物的量的集合。</w:t>
      </w:r>
      <w:bookmarkEnd w:id="86"/>
    </w:p>
    <w:p w14:paraId="014194E7">
      <w:pPr>
        <w:pStyle w:val="109"/>
        <w:spacing w:before="120" w:after="120"/>
      </w:pPr>
      <w:bookmarkStart w:id="87" w:name="_Toc170496991"/>
      <w:bookmarkStart w:id="88" w:name="_Toc137108834"/>
      <w:bookmarkStart w:id="89" w:name="_Toc137109097"/>
      <w:bookmarkStart w:id="90" w:name="_Toc168578059"/>
      <w:bookmarkStart w:id="91" w:name="_Toc170496910"/>
      <w:r>
        <w:rPr>
          <w:rFonts w:hint="eastAsia"/>
        </w:rPr>
        <w:t>设备密封点泄漏 Leakage of Equipment Sealing Point</w:t>
      </w:r>
      <w:bookmarkEnd w:id="87"/>
      <w:bookmarkEnd w:id="88"/>
      <w:bookmarkEnd w:id="89"/>
      <w:bookmarkEnd w:id="90"/>
      <w:bookmarkEnd w:id="91"/>
    </w:p>
    <w:p w14:paraId="4BFA0210">
      <w:pPr>
        <w:pStyle w:val="60"/>
        <w:ind w:firstLine="420"/>
      </w:pPr>
      <w:r>
        <w:rPr>
          <w:rFonts w:hint="eastAsia"/>
        </w:rPr>
        <w:t>指各种工艺管线和设备密封点的密封失效致使内部蕴含VOCs物料逸散至大气中的现象。</w:t>
      </w:r>
    </w:p>
    <w:p w14:paraId="43849C0E">
      <w:pPr>
        <w:pStyle w:val="60"/>
        <w:ind w:firstLine="420"/>
        <w:rPr>
          <w:rFonts w:hint="eastAsia"/>
        </w:rPr>
      </w:pPr>
    </w:p>
    <w:p w14:paraId="442C206B">
      <w:pPr>
        <w:pStyle w:val="108"/>
        <w:spacing w:before="240" w:after="240"/>
      </w:pPr>
      <w:bookmarkStart w:id="92" w:name="_Toc170496992"/>
      <w:r>
        <w:rPr>
          <w:rFonts w:hint="eastAsia"/>
        </w:rPr>
        <w:t>清单编制原则</w:t>
      </w:r>
      <w:bookmarkEnd w:id="92"/>
    </w:p>
    <w:p w14:paraId="6BE4881A">
      <w:pPr>
        <w:pStyle w:val="109"/>
        <w:spacing w:before="120" w:after="120"/>
      </w:pPr>
      <w:bookmarkStart w:id="93" w:name="_Toc170496993"/>
      <w:r>
        <w:rPr>
          <w:rFonts w:hint="eastAsia"/>
        </w:rPr>
        <w:t>科学规范原则</w:t>
      </w:r>
      <w:bookmarkEnd w:id="93"/>
    </w:p>
    <w:p w14:paraId="3946487A">
      <w:pPr>
        <w:pStyle w:val="60"/>
        <w:ind w:firstLine="420"/>
      </w:pPr>
      <w:r>
        <w:rPr>
          <w:rFonts w:hint="eastAsia"/>
        </w:rPr>
        <w:t>在确保大气挥发性有机物源排放清单编制工作的科学性与规范性的同时，应注重挥发性有机物污染来源的诊断，增强为污染防治决策服务的针对性和可操作性。</w:t>
      </w:r>
    </w:p>
    <w:p w14:paraId="5857540C">
      <w:pPr>
        <w:pStyle w:val="109"/>
        <w:spacing w:before="120" w:after="120"/>
      </w:pPr>
      <w:bookmarkStart w:id="94" w:name="_Toc170496994"/>
      <w:r>
        <w:rPr>
          <w:rFonts w:hint="eastAsia"/>
        </w:rPr>
        <w:t>分类指导原则</w:t>
      </w:r>
      <w:bookmarkEnd w:id="94"/>
    </w:p>
    <w:p w14:paraId="2940477F">
      <w:pPr>
        <w:pStyle w:val="60"/>
        <w:ind w:firstLine="420"/>
      </w:pPr>
      <w:r>
        <w:rPr>
          <w:rFonts w:hint="eastAsia"/>
        </w:rPr>
        <w:t>在规范统一的技术体系下，结合城市工作基础和管理需求以及企业自身实际状况，选择适合的清单编制方法。工作基础较好、技术储备充足、对精细化管理需求高的城市宜采取准确性高实测法等的计算法编制源VOCs排放清单，工作基础较薄弱的城市可采用简化方法编制排放清单。各地要结合本地排放源特征、管理需求和工作基础，选择适宜的融合清单编制方法。鼓励有条件的地区选用更能精准量化排放特征的计算方法和本地化参数，提升清单的准确性和时空精度。</w:t>
      </w:r>
    </w:p>
    <w:p w14:paraId="2203A5A3">
      <w:pPr>
        <w:pStyle w:val="109"/>
        <w:spacing w:before="120" w:after="120"/>
      </w:pPr>
      <w:bookmarkStart w:id="95" w:name="_Toc170496995"/>
      <w:r>
        <w:rPr>
          <w:rFonts w:hint="eastAsia"/>
        </w:rPr>
        <w:t>因地制宜与循序渐进原则</w:t>
      </w:r>
      <w:bookmarkEnd w:id="95"/>
    </w:p>
    <w:p w14:paraId="00F6112C">
      <w:pPr>
        <w:pStyle w:val="60"/>
        <w:ind w:firstLine="420"/>
      </w:pPr>
      <w:r>
        <w:rPr>
          <w:rFonts w:hint="eastAsia"/>
        </w:rPr>
        <w:t>各地根据自身污染特征、基本条件和污染防治目标，结合社会发展水平与技术可行性， 科学选择适合当地实际的源排放清单编制技术方法；随着源解析技术进步与环境信息资料的完备，不断完善和更新源清单结果。</w:t>
      </w:r>
    </w:p>
    <w:p w14:paraId="04612B8D">
      <w:pPr>
        <w:pStyle w:val="108"/>
        <w:spacing w:before="240" w:after="240"/>
      </w:pPr>
      <w:bookmarkStart w:id="96" w:name="_Toc137108848"/>
      <w:bookmarkStart w:id="97" w:name="_Toc170496996"/>
      <w:bookmarkStart w:id="98" w:name="_Toc137109126"/>
      <w:r>
        <w:rPr>
          <w:rFonts w:hint="eastAsia"/>
        </w:rPr>
        <w:t>清单编制流程</w:t>
      </w:r>
      <w:bookmarkEnd w:id="96"/>
      <w:bookmarkEnd w:id="97"/>
      <w:bookmarkEnd w:id="98"/>
    </w:p>
    <w:p w14:paraId="1ED067CA">
      <w:pPr>
        <w:pStyle w:val="109"/>
        <w:spacing w:before="120" w:after="120"/>
      </w:pPr>
      <w:bookmarkStart w:id="99" w:name="_Toc137109127"/>
      <w:bookmarkStart w:id="100" w:name="_Toc137108849"/>
      <w:bookmarkStart w:id="101" w:name="_Toc170496997"/>
      <w:r>
        <w:rPr>
          <w:rFonts w:hint="eastAsia"/>
        </w:rPr>
        <w:t>组织和筹划</w:t>
      </w:r>
      <w:bookmarkEnd w:id="99"/>
      <w:bookmarkEnd w:id="100"/>
      <w:bookmarkEnd w:id="101"/>
    </w:p>
    <w:p w14:paraId="3C2A6043">
      <w:pPr>
        <w:pStyle w:val="60"/>
        <w:ind w:firstLine="420"/>
      </w:pPr>
      <w:r>
        <w:rPr>
          <w:rFonts w:hint="eastAsia"/>
        </w:rPr>
        <w:t>落实企业内大气挥发性有机污染物排放清单报告工作负责人。组织相关人员参加培训，制定工作计划，编制企业排放年度监测计划，见附录</w:t>
      </w:r>
      <w:r>
        <w:t>A</w:t>
      </w:r>
      <w:r>
        <w:rPr>
          <w:rFonts w:hint="eastAsia"/>
        </w:rPr>
        <w:t>。</w:t>
      </w:r>
    </w:p>
    <w:p w14:paraId="40BBC6CD">
      <w:pPr>
        <w:pStyle w:val="109"/>
        <w:spacing w:before="120" w:after="120"/>
      </w:pPr>
      <w:bookmarkStart w:id="102" w:name="_Toc137108850"/>
      <w:bookmarkStart w:id="103" w:name="_Toc137109128"/>
      <w:bookmarkStart w:id="104" w:name="_Toc170496998"/>
      <w:r>
        <w:rPr>
          <w:rFonts w:hint="eastAsia"/>
        </w:rPr>
        <w:t>前期信息收集</w:t>
      </w:r>
      <w:bookmarkEnd w:id="102"/>
      <w:bookmarkEnd w:id="103"/>
      <w:bookmarkEnd w:id="104"/>
    </w:p>
    <w:p w14:paraId="7EC685DA">
      <w:pPr>
        <w:pStyle w:val="60"/>
        <w:ind w:firstLine="420"/>
      </w:pPr>
      <w:r>
        <w:rPr>
          <w:rFonts w:hint="eastAsia"/>
        </w:rPr>
        <w:t>收集本企业组织结构设置、运营管理、产能产量、能源消费等信息，可参考附录</w:t>
      </w:r>
      <w:r>
        <w:t>B</w:t>
      </w:r>
      <w:r>
        <w:rPr>
          <w:rFonts w:hint="eastAsia"/>
        </w:rPr>
        <w:t>收集排放单元和污染源信息，确定清单范围内的排放单元和相关核算数据的来源，为核算大气挥发性有机污染物提供依据。</w:t>
      </w:r>
    </w:p>
    <w:p w14:paraId="210A052B">
      <w:pPr>
        <w:pStyle w:val="109"/>
        <w:spacing w:before="120" w:after="120"/>
      </w:pPr>
      <w:bookmarkStart w:id="105" w:name="_Toc137108851"/>
      <w:bookmarkStart w:id="106" w:name="_Toc170496999"/>
      <w:bookmarkStart w:id="107" w:name="_Toc137109129"/>
      <w:r>
        <w:rPr>
          <w:rFonts w:hint="eastAsia"/>
        </w:rPr>
        <w:t>数据核算</w:t>
      </w:r>
      <w:bookmarkEnd w:id="105"/>
      <w:bookmarkEnd w:id="106"/>
      <w:bookmarkEnd w:id="107"/>
    </w:p>
    <w:p w14:paraId="1874F799">
      <w:pPr>
        <w:pStyle w:val="60"/>
        <w:ind w:firstLine="420"/>
      </w:pPr>
      <w:bookmarkStart w:id="108" w:name="_Toc137108852"/>
      <w:r>
        <w:rPr>
          <w:rFonts w:hint="eastAsia"/>
        </w:rPr>
        <w:t>根据指南和企业的具体情况，收集相关的活动数据和支持性资料，计算和汇总大气挥发性有机污染物排放量。通过核算过程对监测数据的需求，进一步修改和完善企业大气挥发性有机污染物排放监测计划。</w:t>
      </w:r>
      <w:bookmarkEnd w:id="108"/>
    </w:p>
    <w:p w14:paraId="5A4B6C2B">
      <w:pPr>
        <w:pStyle w:val="109"/>
        <w:spacing w:before="120" w:after="120"/>
      </w:pPr>
      <w:bookmarkStart w:id="109" w:name="_Toc170497000"/>
      <w:bookmarkStart w:id="110" w:name="_Toc137108853"/>
      <w:bookmarkStart w:id="111" w:name="_Toc137109130"/>
      <w:r>
        <w:rPr>
          <w:rFonts w:hint="eastAsia"/>
        </w:rPr>
        <w:t>清单编制和内部审核</w:t>
      </w:r>
      <w:bookmarkEnd w:id="109"/>
      <w:bookmarkEnd w:id="110"/>
      <w:bookmarkEnd w:id="111"/>
    </w:p>
    <w:p w14:paraId="1C815FE6">
      <w:pPr>
        <w:pStyle w:val="60"/>
        <w:ind w:firstLine="420"/>
        <w:rPr>
          <w:rFonts w:hint="eastAsia"/>
        </w:rPr>
      </w:pPr>
      <w:bookmarkStart w:id="112" w:name="_Toc137108854"/>
      <w:r>
        <w:rPr>
          <w:rFonts w:hint="eastAsia"/>
        </w:rPr>
        <w:t>根据本指南中清单章节设置及编制要求，编制企业级挥发性有机物污染物排放源清单。成立内部审核小组，对企业挥发性有机物污染物排放核算结果进行审核，修改并完善排放源清单。</w:t>
      </w:r>
      <w:bookmarkEnd w:id="112"/>
    </w:p>
    <w:p w14:paraId="7AFD65E0">
      <w:pPr>
        <w:pStyle w:val="108"/>
        <w:spacing w:before="240" w:after="240"/>
      </w:pPr>
      <w:bookmarkStart w:id="113" w:name="_Toc170497001"/>
      <w:bookmarkStart w:id="114" w:name="_Toc137108838"/>
      <w:bookmarkStart w:id="115" w:name="_Toc137109101"/>
      <w:bookmarkStart w:id="116" w:name="_Hlk168578728"/>
      <w:r>
        <w:rPr>
          <w:rFonts w:hint="eastAsia"/>
        </w:rPr>
        <w:t>大气挥发性有机污染物排放清单编制的技术流程和方法</w:t>
      </w:r>
      <w:bookmarkEnd w:id="113"/>
      <w:bookmarkEnd w:id="114"/>
      <w:bookmarkEnd w:id="115"/>
    </w:p>
    <w:bookmarkEnd w:id="116"/>
    <w:p w14:paraId="663A389C">
      <w:pPr>
        <w:pStyle w:val="60"/>
        <w:ind w:firstLine="420"/>
      </w:pPr>
      <w:bookmarkStart w:id="117" w:name="_Hlk168578534"/>
      <w:r>
        <w:rPr>
          <w:rFonts w:hint="eastAsia"/>
        </w:rPr>
        <w:t>编制大气挥发性有机污染物排放清单时应当首先确定排放源的分类分级体系。电子电路制造业的大气挥发性有机污染物排放主要来自物料储存、转移和加工等过程。主要挥发性有机污染物污染源项包括：</w:t>
      </w:r>
    </w:p>
    <w:p w14:paraId="629AB62D">
      <w:pPr>
        <w:pStyle w:val="60"/>
        <w:ind w:firstLine="420"/>
      </w:pPr>
      <w:r>
        <w:rPr>
          <w:rFonts w:hint="eastAsia"/>
        </w:rPr>
        <w:t>a）设备动静密封点泄漏；</w:t>
      </w:r>
    </w:p>
    <w:p w14:paraId="644BBFB3">
      <w:pPr>
        <w:pStyle w:val="60"/>
        <w:ind w:firstLine="420"/>
      </w:pPr>
      <w:r>
        <w:rPr>
          <w:rFonts w:hint="eastAsia"/>
        </w:rPr>
        <w:t>b）有机液体储存与调和挥发损失；</w:t>
      </w:r>
    </w:p>
    <w:p w14:paraId="490630AF">
      <w:pPr>
        <w:pStyle w:val="60"/>
        <w:ind w:firstLine="420"/>
      </w:pPr>
      <w:r>
        <w:rPr>
          <w:rFonts w:hint="eastAsia"/>
        </w:rPr>
        <w:t>c）废水集输、储存、处理处置过程逸散；</w:t>
      </w:r>
    </w:p>
    <w:p w14:paraId="0D8690AE">
      <w:pPr>
        <w:pStyle w:val="60"/>
        <w:ind w:firstLine="420"/>
      </w:pPr>
      <w:r>
        <w:rPr>
          <w:rFonts w:hint="eastAsia"/>
        </w:rPr>
        <w:t>d）工艺废气排放；</w:t>
      </w:r>
    </w:p>
    <w:p w14:paraId="7E691449">
      <w:pPr>
        <w:pStyle w:val="60"/>
        <w:ind w:firstLine="420"/>
      </w:pPr>
      <w:r>
        <w:rPr>
          <w:rFonts w:hint="eastAsia"/>
        </w:rPr>
        <w:t>e）溶剂再生挥发损失；</w:t>
      </w:r>
    </w:p>
    <w:p w14:paraId="203C33C0">
      <w:pPr>
        <w:pStyle w:val="60"/>
        <w:ind w:firstLine="420"/>
      </w:pPr>
      <w:r>
        <w:rPr>
          <w:rFonts w:hint="eastAsia"/>
        </w:rPr>
        <w:t>f）实验室废气排放。</w:t>
      </w:r>
    </w:p>
    <w:bookmarkEnd w:id="117"/>
    <w:p w14:paraId="409A10B6">
      <w:pPr>
        <w:pStyle w:val="60"/>
        <w:ind w:firstLine="420"/>
      </w:pPr>
      <w:r>
        <w:rPr>
          <w:rFonts w:hint="eastAsia"/>
        </w:rPr>
        <w:t>其中，电子电路制造生产工艺包括清洗、机械加工、棕化/氧化、去膜（脱模）、喷锡、退锡、除油、蚀刻、印刷、贴膜/压膜/显影、表面处理、涂漆。</w:t>
      </w:r>
      <w:r>
        <w:t xml:space="preserve"> </w:t>
      </w:r>
    </w:p>
    <w:p w14:paraId="26BF796B">
      <w:pPr>
        <w:pStyle w:val="60"/>
        <w:ind w:firstLine="420"/>
        <w:rPr>
          <w:rFonts w:hint="eastAsia"/>
        </w:rPr>
      </w:pPr>
      <w:r>
        <w:rPr>
          <w:rFonts w:hint="eastAsia"/>
        </w:rPr>
        <w:t>根据电子电路制造业的大气挥发性有机污染物排放特点，采用源项归类解析法计算大气挥发性有机污染物排放量。各企业编制大气挥发性有机污染物排放清单时，应首先对企业内的排放源进行初步摸底调查，明确排放源的主要构成。随后根据自身生产实际，选择相应的污染源项进行大气挥发性有机污染物排放量计算。</w:t>
      </w:r>
    </w:p>
    <w:p w14:paraId="787F1449">
      <w:pPr>
        <w:pStyle w:val="60"/>
        <w:spacing w:line="360" w:lineRule="auto"/>
        <w:ind w:firstLine="0" w:firstLineChars="0"/>
        <w:jc w:val="center"/>
        <w:rPr>
          <w:rFonts w:hint="eastAsia"/>
        </w:rPr>
      </w:pPr>
      <w:r>
        <mc:AlternateContent>
          <mc:Choice Requires="wpc">
            <w:drawing>
              <wp:inline distT="0" distB="0" distL="0" distR="0">
                <wp:extent cx="4666615" cy="5986145"/>
                <wp:effectExtent l="0" t="0" r="0" b="14605"/>
                <wp:docPr id="628826503" name="画布 1"/>
                <wp:cNvGraphicFramePr/>
                <a:graphic xmlns:a="http://schemas.openxmlformats.org/drawingml/2006/main">
                  <a:graphicData uri="http://schemas.microsoft.com/office/word/2010/wordprocessingCanvas">
                    <wpc:wpc>
                      <wpc:bg/>
                      <wpc:whole/>
                      <wps:wsp>
                        <wps:cNvPr id="922646965" name="直接箭头连接符 922646965"/>
                        <wps:cNvCnPr/>
                        <wps:spPr>
                          <a:xfrm>
                            <a:off x="2323790" y="519528"/>
                            <a:ext cx="0" cy="349737"/>
                          </a:xfrm>
                          <a:prstGeom prst="straightConnector1">
                            <a:avLst/>
                          </a:prstGeom>
                          <a:noFill/>
                          <a:ln w="9525">
                            <a:solidFill>
                              <a:srgbClr val="000000"/>
                            </a:solidFill>
                            <a:round/>
                            <a:tailEnd type="triangle"/>
                          </a:ln>
                        </wps:spPr>
                        <wps:bodyPr/>
                      </wps:wsp>
                      <wps:wsp>
                        <wps:cNvPr id="512546139" name="矩形 512546139"/>
                        <wps:cNvSpPr/>
                        <wps:spPr>
                          <a:xfrm>
                            <a:off x="1501170" y="869144"/>
                            <a:ext cx="1694694" cy="357301"/>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EE3533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识别污染源构成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25630999" name="流程图: 终止 1925630999"/>
                        <wps:cNvSpPr/>
                        <wps:spPr>
                          <a:xfrm>
                            <a:off x="1454530" y="36000"/>
                            <a:ext cx="1796993" cy="483528"/>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EE65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前期准备，资料收集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2058310" name="直接箭头连接符 172058310"/>
                        <wps:cNvCnPr/>
                        <wps:spPr>
                          <a:xfrm>
                            <a:off x="2324644" y="1229087"/>
                            <a:ext cx="0" cy="349250"/>
                          </a:xfrm>
                          <a:prstGeom prst="straightConnector1">
                            <a:avLst/>
                          </a:prstGeom>
                          <a:noFill/>
                          <a:ln w="9525">
                            <a:solidFill>
                              <a:srgbClr val="000000"/>
                            </a:solidFill>
                            <a:round/>
                            <a:tailEnd type="triangle"/>
                          </a:ln>
                        </wps:spPr>
                        <wps:bodyPr/>
                      </wps:wsp>
                      <wps:wsp>
                        <wps:cNvPr id="776502778" name="矩形 776502778"/>
                        <wps:cNvSpPr/>
                        <wps:spPr>
                          <a:xfrm>
                            <a:off x="1501684" y="1578972"/>
                            <a:ext cx="1694180" cy="35687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563B36E">
                              <w:pPr>
                                <w:jc w:val="center"/>
                                <w:rPr>
                                  <w:color w:val="000000"/>
                                </w:rPr>
                              </w:pPr>
                              <w:r>
                                <w:rPr>
                                  <w:rFonts w:hint="eastAsia"/>
                                  <w:color w:val="000000"/>
                                </w:rPr>
                                <w:t>确定排放量计算方法</w:t>
                              </w:r>
                            </w:p>
                          </w:txbxContent>
                        </wps:txbx>
                        <wps:bodyPr rot="0" spcFirstLastPara="0" vert="horz" wrap="square" lIns="91440" tIns="45720" rIns="91440" bIns="45720" numCol="1" spcCol="0" rtlCol="0" fromWordArt="0" anchor="ctr" anchorCtr="0" forceAA="0" compatLnSpc="1">
                          <a:noAutofit/>
                        </wps:bodyPr>
                      </wps:wsp>
                      <wps:wsp>
                        <wps:cNvPr id="1948247247" name="连接符: 肘形 1948247247"/>
                        <wps:cNvCnPr/>
                        <wps:spPr bwMode="auto">
                          <a:xfrm rot="16200000" flipH="1">
                            <a:off x="2881243" y="1378363"/>
                            <a:ext cx="525461" cy="1640381"/>
                          </a:xfrm>
                          <a:prstGeom prst="bentConnector3">
                            <a:avLst>
                              <a:gd name="adj1" fmla="val 50001"/>
                            </a:avLst>
                          </a:prstGeom>
                          <a:noFill/>
                          <a:ln w="9525">
                            <a:solidFill>
                              <a:srgbClr val="000000"/>
                            </a:solidFill>
                            <a:round/>
                            <a:tailEnd type="triangle"/>
                          </a:ln>
                        </wps:spPr>
                        <wps:bodyPr/>
                      </wps:wsp>
                      <wps:wsp>
                        <wps:cNvPr id="514353866" name="矩形 514353866"/>
                        <wps:cNvSpPr/>
                        <wps:spPr>
                          <a:xfrm>
                            <a:off x="3504437" y="2461308"/>
                            <a:ext cx="969435" cy="41619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5C874CD">
                              <w:pPr>
                                <w:jc w:val="center"/>
                                <w:rPr>
                                  <w:color w:val="000000"/>
                                </w:rPr>
                              </w:pPr>
                              <w:r>
                                <w:rPr>
                                  <w:rFonts w:hint="eastAsia"/>
                                  <w:color w:val="000000"/>
                                </w:rPr>
                                <w:t>系数法</w:t>
                              </w:r>
                            </w:p>
                          </w:txbxContent>
                        </wps:txbx>
                        <wps:bodyPr rot="0" spcFirstLastPara="0" vert="horz" wrap="square" lIns="91440" tIns="45720" rIns="91440" bIns="45720" numCol="1" spcCol="0" rtlCol="0" fromWordArt="0" anchor="ctr" anchorCtr="0" forceAA="0" compatLnSpc="1">
                          <a:noAutofit/>
                        </wps:bodyPr>
                      </wps:wsp>
                      <wps:wsp>
                        <wps:cNvPr id="68076799" name="矩形 68076799"/>
                        <wps:cNvSpPr/>
                        <wps:spPr>
                          <a:xfrm>
                            <a:off x="1820909" y="2461266"/>
                            <a:ext cx="969010" cy="41592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2EB2BE7">
                              <w:pPr>
                                <w:jc w:val="center"/>
                                <w:rPr>
                                  <w:color w:val="000000"/>
                                </w:rPr>
                              </w:pPr>
                              <w:r>
                                <w:rPr>
                                  <w:rFonts w:hint="eastAsia"/>
                                  <w:color w:val="000000"/>
                                </w:rPr>
                                <w:t>公式法</w:t>
                              </w:r>
                            </w:p>
                          </w:txbxContent>
                        </wps:txbx>
                        <wps:bodyPr rot="0" spcFirstLastPara="0" vert="horz" wrap="square" lIns="91440" tIns="45720" rIns="91440" bIns="45720" numCol="1" spcCol="0" rtlCol="0" fromWordArt="0" anchor="ctr" anchorCtr="0" forceAA="0" compatLnSpc="1">
                          <a:noAutofit/>
                        </wps:bodyPr>
                      </wps:wsp>
                      <wps:wsp>
                        <wps:cNvPr id="1282534946" name="矩形 1282534946"/>
                        <wps:cNvSpPr/>
                        <wps:spPr>
                          <a:xfrm>
                            <a:off x="36000" y="2478629"/>
                            <a:ext cx="969010" cy="41529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4C0CA4C">
                              <w:pPr>
                                <w:jc w:val="center"/>
                                <w:rPr>
                                  <w:color w:val="000000"/>
                                </w:rPr>
                              </w:pPr>
                              <w:r>
                                <w:rPr>
                                  <w:rFonts w:hint="eastAsia"/>
                                  <w:color w:val="000000"/>
                                </w:rPr>
                                <w:t>实测法</w:t>
                              </w:r>
                            </w:p>
                          </w:txbxContent>
                        </wps:txbx>
                        <wps:bodyPr rot="0" spcFirstLastPara="0" vert="horz" wrap="square" lIns="91440" tIns="45720" rIns="91440" bIns="45720" numCol="1" spcCol="0" rtlCol="0" fromWordArt="0" anchor="ctr" anchorCtr="0" forceAA="0" compatLnSpc="1">
                          <a:noAutofit/>
                        </wps:bodyPr>
                      </wps:wsp>
                      <wps:wsp>
                        <wps:cNvPr id="699276833" name="连接符: 肘形 699276833"/>
                        <wps:cNvCnPr/>
                        <wps:spPr bwMode="auto">
                          <a:xfrm rot="10800000" flipV="1">
                            <a:off x="520506" y="2201209"/>
                            <a:ext cx="1803285" cy="277398"/>
                          </a:xfrm>
                          <a:prstGeom prst="bentConnector2">
                            <a:avLst/>
                          </a:prstGeom>
                          <a:noFill/>
                          <a:ln w="9525">
                            <a:solidFill>
                              <a:srgbClr val="000000"/>
                            </a:solidFill>
                            <a:round/>
                            <a:tailEnd type="triangle"/>
                          </a:ln>
                        </wps:spPr>
                        <wps:bodyPr/>
                      </wps:wsp>
                      <wps:wsp>
                        <wps:cNvPr id="943607889" name="直接箭头连接符 943607889"/>
                        <wps:cNvCnPr/>
                        <wps:spPr>
                          <a:xfrm flipH="1">
                            <a:off x="2323790" y="2184084"/>
                            <a:ext cx="854" cy="268583"/>
                          </a:xfrm>
                          <a:prstGeom prst="straightConnector1">
                            <a:avLst/>
                          </a:prstGeom>
                          <a:noFill/>
                          <a:ln w="9525">
                            <a:solidFill>
                              <a:srgbClr val="000000"/>
                            </a:solidFill>
                            <a:round/>
                            <a:tailEnd type="triangle"/>
                          </a:ln>
                        </wps:spPr>
                        <wps:bodyPr/>
                      </wps:wsp>
                      <wps:wsp>
                        <wps:cNvPr id="2100248750" name="矩形 2100248750"/>
                        <wps:cNvSpPr/>
                        <wps:spPr>
                          <a:xfrm>
                            <a:off x="1501684" y="3390879"/>
                            <a:ext cx="1694180" cy="35623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113809D">
                              <w:pPr>
                                <w:jc w:val="center"/>
                                <w:rPr>
                                  <w:color w:val="000000"/>
                                </w:rPr>
                              </w:pPr>
                              <w:r>
                                <w:rPr>
                                  <w:rFonts w:hint="eastAsia"/>
                                  <w:color w:val="000000"/>
                                </w:rPr>
                                <w:t>获取源的数据信息</w:t>
                              </w:r>
                            </w:p>
                          </w:txbxContent>
                        </wps:txbx>
                        <wps:bodyPr rot="0" spcFirstLastPara="0" vert="horz" wrap="square" lIns="91440" tIns="45720" rIns="91440" bIns="45720" numCol="1" spcCol="0" rtlCol="0" fromWordArt="0" anchor="ctr" anchorCtr="0" forceAA="0" compatLnSpc="1">
                          <a:noAutofit/>
                        </wps:bodyPr>
                      </wps:wsp>
                      <wps:wsp>
                        <wps:cNvPr id="370005093" name="矩形 370005093"/>
                        <wps:cNvSpPr/>
                        <wps:spPr>
                          <a:xfrm>
                            <a:off x="1502262" y="4094725"/>
                            <a:ext cx="1694180" cy="3556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DD90781">
                              <w:pPr>
                                <w:jc w:val="center"/>
                                <w:rPr>
                                  <w:color w:val="000000"/>
                                </w:rPr>
                              </w:pPr>
                              <w:r>
                                <w:rPr>
                                  <w:rFonts w:hint="eastAsia"/>
                                  <w:color w:val="000000"/>
                                </w:rPr>
                                <w:t>清单数据结果</w:t>
                              </w:r>
                            </w:p>
                          </w:txbxContent>
                        </wps:txbx>
                        <wps:bodyPr rot="0" spcFirstLastPara="0" vert="horz" wrap="square" lIns="91440" tIns="45720" rIns="91440" bIns="45720" numCol="1" spcCol="0" rtlCol="0" fromWordArt="0" anchor="ctr" anchorCtr="0" forceAA="0" compatLnSpc="1">
                          <a:noAutofit/>
                        </wps:bodyPr>
                      </wps:wsp>
                      <wps:wsp>
                        <wps:cNvPr id="627580425" name="矩形 627580425"/>
                        <wps:cNvSpPr/>
                        <wps:spPr>
                          <a:xfrm>
                            <a:off x="1501748" y="4799575"/>
                            <a:ext cx="1694180" cy="35496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A1C5B2B">
                              <w:pPr>
                                <w:jc w:val="center"/>
                                <w:rPr>
                                  <w:color w:val="000000"/>
                                </w:rPr>
                              </w:pPr>
                              <w:r>
                                <w:rPr>
                                  <w:rFonts w:hint="eastAsia"/>
                                  <w:color w:val="000000"/>
                                </w:rPr>
                                <w:t>不确定性分析</w:t>
                              </w:r>
                            </w:p>
                          </w:txbxContent>
                        </wps:txbx>
                        <wps:bodyPr rot="0" spcFirstLastPara="0" vert="horz" wrap="square" lIns="91440" tIns="45720" rIns="91440" bIns="45720" numCol="1" spcCol="0" rtlCol="0" fromWordArt="0" anchor="ctr" anchorCtr="0" forceAA="0" compatLnSpc="1">
                          <a:noAutofit/>
                        </wps:bodyPr>
                      </wps:wsp>
                      <wps:wsp>
                        <wps:cNvPr id="1741982741" name="流程图: 终止 1741982741"/>
                        <wps:cNvSpPr/>
                        <wps:spPr>
                          <a:xfrm>
                            <a:off x="1455108" y="5503752"/>
                            <a:ext cx="1796415" cy="483235"/>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6B4F74">
                              <w:pPr>
                                <w:jc w:val="center"/>
                                <w:rPr>
                                  <w:color w:val="000000"/>
                                </w:rPr>
                              </w:pPr>
                              <w:r>
                                <w:rPr>
                                  <w:rFonts w:hint="eastAsia"/>
                                  <w:color w:val="000000"/>
                                </w:rPr>
                                <w:t>编制与审核</w:t>
                              </w:r>
                            </w:p>
                          </w:txbxContent>
                        </wps:txbx>
                        <wps:bodyPr rot="0" spcFirstLastPara="0" vert="horz" wrap="square" lIns="91440" tIns="45720" rIns="91440" bIns="45720" numCol="1" spcCol="0" rtlCol="0" fromWordArt="0" anchor="t" anchorCtr="0" forceAA="0" compatLnSpc="1">
                          <a:noAutofit/>
                        </wps:bodyPr>
                      </wps:wsp>
                      <wps:wsp>
                        <wps:cNvPr id="864280652" name="直接箭头连接符 864280652"/>
                        <wps:cNvCnPr/>
                        <wps:spPr>
                          <a:xfrm>
                            <a:off x="2324368" y="5154501"/>
                            <a:ext cx="0" cy="349250"/>
                          </a:xfrm>
                          <a:prstGeom prst="straightConnector1">
                            <a:avLst/>
                          </a:prstGeom>
                          <a:noFill/>
                          <a:ln w="9525">
                            <a:solidFill>
                              <a:srgbClr val="000000"/>
                            </a:solidFill>
                            <a:round/>
                            <a:tailEnd type="triangle"/>
                          </a:ln>
                        </wps:spPr>
                        <wps:bodyPr/>
                      </wps:wsp>
                      <wps:wsp>
                        <wps:cNvPr id="2020890755" name="直接箭头连接符 2020890755"/>
                        <wps:cNvCnPr/>
                        <wps:spPr>
                          <a:xfrm>
                            <a:off x="2324368" y="4450968"/>
                            <a:ext cx="0" cy="348615"/>
                          </a:xfrm>
                          <a:prstGeom prst="straightConnector1">
                            <a:avLst/>
                          </a:prstGeom>
                          <a:noFill/>
                          <a:ln w="9525">
                            <a:solidFill>
                              <a:srgbClr val="000000"/>
                            </a:solidFill>
                            <a:round/>
                            <a:tailEnd type="triangle"/>
                          </a:ln>
                        </wps:spPr>
                        <wps:bodyPr/>
                      </wps:wsp>
                      <wps:wsp>
                        <wps:cNvPr id="1595299855" name="直接箭头连接符 1595299855"/>
                        <wps:cNvCnPr/>
                        <wps:spPr>
                          <a:xfrm>
                            <a:off x="2324368" y="3746753"/>
                            <a:ext cx="0" cy="347980"/>
                          </a:xfrm>
                          <a:prstGeom prst="straightConnector1">
                            <a:avLst/>
                          </a:prstGeom>
                          <a:noFill/>
                          <a:ln w="9525">
                            <a:solidFill>
                              <a:srgbClr val="000000"/>
                            </a:solidFill>
                            <a:round/>
                            <a:tailEnd type="triangle"/>
                          </a:ln>
                        </wps:spPr>
                        <wps:bodyPr/>
                      </wps:wsp>
                      <wps:wsp>
                        <wps:cNvPr id="88178409" name="连接符: 肘形 88178409"/>
                        <wps:cNvCnPr/>
                        <wps:spPr bwMode="auto">
                          <a:xfrm rot="16200000" flipH="1">
                            <a:off x="1304058" y="2110339"/>
                            <a:ext cx="275175" cy="1842281"/>
                          </a:xfrm>
                          <a:prstGeom prst="bentConnector2">
                            <a:avLst/>
                          </a:prstGeom>
                          <a:noFill/>
                          <a:ln w="9525">
                            <a:solidFill>
                              <a:srgbClr val="000000"/>
                            </a:solidFill>
                            <a:round/>
                            <a:tailEnd type="none"/>
                          </a:ln>
                        </wps:spPr>
                        <wps:bodyPr/>
                      </wps:wsp>
                      <wps:wsp>
                        <wps:cNvPr id="2109105553" name="连接符: 肘形 2109105553"/>
                        <wps:cNvCnPr/>
                        <wps:spPr bwMode="auto">
                          <a:xfrm rot="5400000">
                            <a:off x="3030202" y="2210056"/>
                            <a:ext cx="291533" cy="1626375"/>
                          </a:xfrm>
                          <a:prstGeom prst="bentConnector2">
                            <a:avLst/>
                          </a:prstGeom>
                          <a:noFill/>
                          <a:ln w="9525">
                            <a:solidFill>
                              <a:srgbClr val="000000"/>
                            </a:solidFill>
                            <a:round/>
                            <a:tailEnd type="none"/>
                          </a:ln>
                        </wps:spPr>
                        <wps:bodyPr/>
                      </wps:wsp>
                      <wps:wsp>
                        <wps:cNvPr id="574084906" name="直接箭头连接符 574084906"/>
                        <wps:cNvCnPr/>
                        <wps:spPr>
                          <a:xfrm>
                            <a:off x="2323790" y="2877141"/>
                            <a:ext cx="854" cy="513708"/>
                          </a:xfrm>
                          <a:prstGeom prst="straightConnector1">
                            <a:avLst/>
                          </a:prstGeom>
                          <a:noFill/>
                          <a:ln w="9525">
                            <a:solidFill>
                              <a:srgbClr val="000000"/>
                            </a:solidFill>
                            <a:round/>
                            <a:tailEnd type="triangle"/>
                          </a:ln>
                        </wps:spPr>
                        <wps:bodyPr/>
                      </wps:wsp>
                    </wpc:wpc>
                  </a:graphicData>
                </a:graphic>
              </wp:inline>
            </w:drawing>
          </mc:Choice>
          <mc:Fallback>
            <w:pict>
              <v:group id="画布 1" o:spid="_x0000_s1026" o:spt="203" style="height:471.35pt;width:367.45pt;" coordsize="4666615,5986145" editas="canvas" o:gfxdata="UEsDBAoAAAAAAIdO4kAAAAAAAAAAAAAAAAAEAAAAZHJzL1BLAwQUAAAACACHTuJAKqnTEtgAAAAF&#10;AQAADwAAAGRycy9kb3ducmV2LnhtbE2PT2vCQBDF7wW/wzJCL6VutFJrmokHoVRKQRr/nNfsmASz&#10;szG7Jvbbd+2lvQw83uO93ySLq6lFR62rLCOMRxEI4tzqiguE7ebt8QWE84q1qi0Twjc5WKSDu0TF&#10;2vb8RV3mCxFK2MUKofS+iaV0eUlGuZFtiIN3tK1RPsi2kLpVfSg3tZxE0bM0quKwUKqGliXlp+xi&#10;EPp83e03n+9y/bBfWT6vzsts94F4PxxHryA8Xf1fGG74AR3SwHSwF9ZO1AjhEf97gzd7ms5BHBDm&#10;08kMZJrI//TpD1BLAwQUAAAACACHTuJAajHqTAMIAAAkNwAADgAAAGRycy9lMm9Eb2MueG1s7VtN&#10;j9vGGb4X6H8geI/FGc4Mh4LlwFjHbgG3MeC0Oc9SlMSCXx1yrXVubS8FCvTUQ4EALRC0RQM0PSVA&#10;gCDJr7E3P6PPDL8krbS72hT2pqWw0FKc4ZDzvu/zfvP+u+dZ6ryIdZUU+cwl9zzXifOomCf5cub+&#10;4oPH70jXqWqVz1Va5PHMfRlX7rsPfvyj++tyGtNiVaTzWDtYJK+m63Lmruq6nE4mVbSKM1XdK8o4&#10;x+Ci0Jmq8VMvJ3Ot1lg9SyfU88RkXeh5qYsoriqcfdQMuu2K+iYLFotFEsWPiugsi/O6WVXHqaqx&#10;pWqVlJX7wD7tYhFH9fuLRRXXTjpzsdPafuMmOD4135MH99V0qVW5SqL2EdRNHmFnT5lKcty0X+qR&#10;qpVzppNLS2VJpIuqWNT3oiKbNBuxFMEuiLdDmye6OCvtXpbT9bLsiQ5G7VD91stGP3/xTDvJfOYK&#10;KiUV3PNdJ1cZGH/xp69effk7hxgarcvlFFOf6PJ5+Uy3J5bNL7Pt84XOzH9syDm31H3ZUzc+r50I&#10;J5nAh3DXiTDGQykI4w39oxWYdOm6aPXeNVdOuhtPzPP1j7MuIZnVQK7q+5Hr+UqVseVCZWjQkiuk&#10;VDARCuynJdfHn7/+498v/v3Zq799/t23fzHH//qHM0yzRLMrnOQtCatpBWruoR/1qR+EkFFDKRJy&#10;KhtCdaTEiCGiz8LAD8xQTwk1LXVVP4mLzDEHM7eqtUqWq/qkyHOgodDEyql68bSqmwu7C8xz5MXj&#10;JE1xXk3T3FnPXNyb2wuqIk3mZtCMVXp5epJq54UysLKf9im2pkF887ldrFZJ+l4+d+qXJSSr1onK&#10;l2ncXpPm2IBhWkMNc3RazF9aItnzYKYRwTfAVU4oZ4L4Yc/Vv3766utPnOE8tmOeBILQI6F78E4a&#10;exgQ7hESNGyUIiSMbbORiBAixFpm8sD3LNgOM1ODg1exb4v6W0x6bD/7mNTwmdDAM1KloNEX0KQ4&#10;zEpohSpfuo5KlzAVUa1vLQlGxh6patVIjH3MhhRZUsOapEk2c+WmHO2Rifr89LylfiMeji4afV6V&#10;0eMEd3iqqvqZ0lDg2ApMXP0+vhZpATku2iPXWRX6o33nzXwoCoy6zhoGAXv/9ZnSseukP82hQgz7&#10;sGxtfzAeUPzQmyOnmyP5WXZSABwExrSM7KGZX6fd4UIX2YewhA/NXTGk8gj3bqjc/jipG0MFWxrF&#10;Dx/aabAapaqf5s/LyCzeYPbhWV0sEgvnATwtpt4cdkhIufC9MOzB8/qL31z88w+vPv5m6lx89fvX&#10;n33ibMw5CkiMM+6DSkbpCcjJDo6CUIQhDJdRikz6rb48jCMjEycrpesPYp0luYJaHGHVad3/SVhB&#10;oTUI+6GBCnqGS59A9q9yM0g/bYDVjdwMJmCUDKwIpaEnrTOhppf9DMot5g5DavQz9HyfD7/fewwC&#10;eNo0CBBrtWxt/Izh/MDHm/kZQrZ85IEMA7qjIOFlEAkZsl4jFxJOCW5wmJujo9G4eTd1NEbH4UYB&#10;7X4wkJBJygL8dWjo46ep891v/2wc8I05AzJ2NJxzuv5ZMUd8oeAPWXtuwtLGnBGB3INxHJxFmpQ/&#10;6XynNl5F6EsogwNhFKEfSF/42wBCFISwoMEPEczz5TWe+ikSE33I5Q/OhXHYlvMW9Gr+K6y5yFJ4&#10;rAilHI4H7Na1AZqF6BifDVE3J8znvhSik5SLLj7rzg/Scb3e9LnHGAJow3Zqwj5vJ86GW4l1W7+S&#10;CETio9ps7MZ/Jz4b1eb3UJtCeoEIhmirhUJ/+hgkEEm90EPg1iKBAmG4fvAEgQTkJzskcIR6IxJG&#10;JBR3JPNAJeVIhrJds0CGgWPQ0KQYGiwEUtDwSiwgbhqxMGLhjmABiTAaCOn3ZZzLvvQwZQDFMa60&#10;12ZqrSv9yx1XmiNf4QGHxpCgpAWzsg0ehKE+la1PhQjYD63PdTgU3fKk6eBJNxI3OseDcwxfVXiB&#10;lH3+9WJ/SaqfdpD9xvLb2GlvsLRRnKJEMg+ZB6w0+AqSIxVhMg1USOSurlaOY97omLwRJZ5HmQyQ&#10;jdtOHG0MDFy9PgIyFaouc+T7JgG4C9edzBFFONQgryv5dghs641j5mjMHL2xcq2PoiXMjSn9bKVR&#10;h/NHggFFfWptF/NCZKSsrA+KzdRrN9KoHJWoEQyNNhjzAW+9/ipowKXHILTbYBjOHwkGEjDUJ2DH&#10;GbIMPLgaDMy0woyWwWZsRzC8dTBAdkkoKb47NOxpRhjmHIUMxjlBptggg6NfLuC71Ta0I7Cu0Q3t&#10;CNf6TGM7QmX74Ezzyi26fO5AFvmH2l4gBaPSE5DgzmbsDRmHaQNQdjIGXcho/ndVNR81NdEChaCD&#10;pyluDf5UV5BmSCdf40mNYeJRYaJHPRl6AR98gb18pcO82zKWga0hmIzr9zAWTb7XeAUjY49hLOFo&#10;yA1DeR1jN+bdlrF+wETAd+rgPWKDEO0kWPpw3m5k7DGMRQNCgFRan7q7nLXtZxxk6O37H1D5Zmgz&#10;a7K2hHhIBW0DGqEFQQBgs3pI+VF6VP/DHcja5niXpZXXPd7522o3R9YuJB7ngFlrfy/zfWPOrTjP&#10;mel78WzivDXMvudD8TeJDmoyh3yn2ktDwk0FwSRx0Tkj4ONeDfa7lqS/m+zmgUmWh6Y8clUz5zDt&#10;IMP3e1v9OyNUBgFB6IPrB6Pcp+U5WpyaTpf/A+1tXw3Cy1PWVLUvepm3szZ/43jz5bYH/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0CgAAW0Nv&#10;bnRlbnRfVHlwZXNdLnhtbFBLAQIUAAoAAAAAAIdO4kAAAAAAAAAAAAAAAAAGAAAAAAAAAAAAEAAA&#10;AFYJAABfcmVscy9QSwECFAAUAAAACACHTuJAihRmPNEAAACUAQAACwAAAAAAAAABACAAAAB6CQAA&#10;X3JlbHMvLnJlbHNQSwECFAAKAAAAAACHTuJAAAAAAAAAAAAAAAAABAAAAAAAAAAAABAAAAAAAAAA&#10;ZHJzL1BLAQIUABQAAAAIAIdO4kAqqdMS2AAAAAUBAAAPAAAAAAAAAAEAIAAAACIAAABkcnMvZG93&#10;bnJldi54bWxQSwECFAAUAAAACACHTuJAajHqTAMIAAAkNwAADgAAAAAAAAABACAAAAAnAQAAZHJz&#10;L2Uyb0RvYy54bWxQSwUGAAAAAAYABgBZAQAAnAsAAAAA&#10;">
                <o:lock v:ext="edit" aspectratio="f"/>
                <v:shape id="画布 1" o:spid="_x0000_s1026" style="position:absolute;left:0;top:0;height:5986145;width:4666615;" filled="f" stroked="f" coordsize="21600,21600" o:gfxdata="UEsDBAoAAAAAAIdO4kAAAAAAAAAAAAAAAAAEAAAAZHJzL1BLAwQUAAAACACHTuJAKqnTEtgAAAAF&#10;AQAADwAAAGRycy9kb3ducmV2LnhtbE2PT2vCQBDF7wW/wzJCL6VutFJrmokHoVRKQRr/nNfsmASz&#10;szG7Jvbbd+2lvQw83uO93ySLq6lFR62rLCOMRxEI4tzqiguE7ebt8QWE84q1qi0Twjc5WKSDu0TF&#10;2vb8RV3mCxFK2MUKofS+iaV0eUlGuZFtiIN3tK1RPsi2kLpVfSg3tZxE0bM0quKwUKqGliXlp+xi&#10;EPp83e03n+9y/bBfWT6vzsts94F4PxxHryA8Xf1fGG74AR3SwHSwF9ZO1AjhEf97gzd7ms5BHBDm&#10;08kMZJrI//TpD1BLAwQUAAAACACHTuJApLdDrLsHAABjNgAADgAAAGRycy9lMm9Eb2MueG1s7Vtd&#10;j9y0Gr5H4j9EuacbO3bsjDpF1fYUkHqgUvm49mYyM0H5Ok52Z3vu4AoJiWskJJAQIJCAK7hCwK9p&#10;l5/B4ziZzMzO7O5sEd1Cqmo2iR0n9vs+r5/3I7dfPc1S5yTWVVLkY5fc8lwnzqNikuSzsfvO2/df&#10;ka5T1SqfqLTI47H7OK7cV++8/NLtRTmKaTEv0kmsHQySV6NFOXbndV2ODg6qaB5nqrpVlHGOxmmh&#10;M1XjVM8OJlotMHqWHlDPCw4WhZ6UuojiqsLVe7bRbUfUVxmwmE6TKL5XRMdZnNd2VB2nqsaUqnlS&#10;Vu6d5m2n0ziq35pOq7h20rGLmdbNLx6C4yPze3DnthrNtCrnSdS+grrKK2zMKVNJjocuh7qnauUc&#10;6+TcUFkS6aIqpvWtqMgO7ESaFcEsiLexNocqP1F2MhHWuntBHP2F4x7NsAYYcrSAaOPmGIKtyqWI&#10;q2d72KO5KuNGINUoevPkoXaSydgNKQ1YEAbcdXKVQc3OPvvp6Sdfn/34w5Ovfvrj98/N8fffOH23&#10;9sUwwmH+ULdnVflQm1U/nerM/MV6Oqdjl/rUFyFE/HjschJyKq2c49PaidCOlghNPguFL0zTQT9E&#10;qav6tbjIHHMwdqtaq2Q2rw+LPIcyFZo0YlYnD6ra3tjdYJ6fF/eTNMV1NUpzZ4FpcsqbG6oiTSam&#10;0bRVenZ0mGrnRBmtbP61b7HWTRfH+aQZrFZJ+p984tSPSyxVrROVz9K4vSfNMYFFWY3sapijo2Ly&#10;uFmk5jqEaST8N0iVE8pZQPxwKdUvvnvy65dOfx3TMW8CMT6C7NqzHWIk3CNEWDHKICSMmRmrUSdG&#10;EoRQIdYKkwvfI+2SdPrQyaYVpoYELxLf2uqvCel+868dfa2blTOhwjNapWAQpzBEOMxKqHmVz1xH&#10;pTNY2qjW19YEM497qppbjWmeb5ciS2oY4zTJxq5c1aMtOlGfHp22623Vw9GFNYdVGd1P8IQHqqof&#10;Kg37h6lgh6jfws80LaDHRXvkOvNC/3/bddMfhgKtrrOAPcXc/3esdOw66Rs5TIgRH4atmxPGBcWJ&#10;Xm05Wm3Jj7PDAuAg2IvKqDk0/eu0O5zqInsPG8ld81Q0qTzCs+0qtyeHtbXz2Iqi+O5dC/siK1X9&#10;IH9kTKiFcl7cPa6LadLAuQdPi6m/DzskpDzwvTBcgufpzx+cffvxk89+Gzlnv3z09IcvnZU+ewGJ&#10;ccZ9rJIxegH0ZANHIgzC0Lc4YtJv7eVuo2h04nCudP12rLMkVzCLA6w6q/uPhBUMmkXYiwYq2Bku&#10;fQLdv4hmkGW3HlZXohkswKZkYEUoDT3ZkIl+g8JTW55BeYO53ZAaeIaebKPA29mjEAH3qBBwVVqx&#10;Wp7RX+/leDWeEchWjlzIUNANAwmWQWQnTR5IkBI8YLc0B6Jhad5VicZAHK7kD24HAwmZpEzgf4eG&#10;pf80cv748FNDwFf69MjYsHDO0eK/xQT+hQIfavZzQ6PtdkYCuO6GODjTNClf77hT529JSSgDgTCG&#10;0BfSD/x1AMELgltgrSEJmOfLS5j6Efz6pcvl9+TC0P/ZpAW9mryPMadZCsYKV8rheMFu3MZBayDa&#10;+QDm1sE/Yz73ZRB0mnLW+Wfd9V47LrebPvcYgwNtxE6N2+dt+NmglRi35ZUkgCc+mE27b/w1/tlg&#10;Np/BbAbSE4Hova0WCsvL+yCBSOqFHhy3FgkUCMP9PRMEEhDe65DA4eoNSBiQcFMiD1RSjmAo29wW&#10;SN+wDxpsiMFiQciAhhdiAX7TgIUBCzcECwiEURFIH2TWepbnuXTfpQfFPlTaayO1DZV+d4NKc8Qr&#10;PODQbCTICGFbWQcP3FCfypZTwQP2w4Zz7XZF15g07Zm01biBHK+kpBgMl5ByGX/dkZJadtspfrPz&#10;N77TVmdpJTlFiWQeIg8YqecKkiMUYeJGNJCIXV1sHIe40T5xI0o8jzIpEI1bDxytNPRSvdwDMhmq&#10;LnLk+yYAuAnXjcgRhTtkkTekqM6nLa+RohpcoGdwgXwkLbHdmNTPWhi1v74nGJDUp83exbwQEalG&#10;13vDZvK1K2FUjkzUAAZrDYZ4wHPPvwZUcOkxKO06GPrre4KBCIb8BPZxhigDFxeDgZlSmGFnaCK2&#10;AxieOxiguySUFL8dGrYUI/R99kIG45wgUmyQwbnnC76ZbUM5AiNd2FiCLl+CjKEcwRZQmeKVF5NC&#10;vajlBTJgVHoBNLjbM7ZWMfbdeqBsRAw6l9H87bJqPnJqQQsUggoem9zq+VSXkGYIJ1/CpAY3cS83&#10;0aOeDD3Bey6wVa6073ddwTKINYSQcf8WwcoAdhBNu8M7g2D3ESzhKMgNQ3mZYFf6XVewvmCB4Bt5&#10;8CViRYhykkGw9pOBvWrit9dAoABBIJS2DN2dj9oue+wU6PXrH5D5Zigzs1FbQjyEgtYBDdeCwAFo&#10;onoI+VG6V/3DDYja5vgUpNXXLez8eZWbI2oXEo9zwKzdf8/LfaXPtSTPmal78ZrAebsx+54Pw28D&#10;HdREDvlGtpeGhJsMggnionImAMe9GOw3LUh/M8XNhQmWhyY9clExZ99tp8C3s63lNyNUCkHg+uD+&#10;flNehuU5Spxspcu/YFvGByTNp0cNB2m/kzIfN62e43j127A7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sCgAAW0NvbnRlbnRfVHlwZXNdLnht&#10;bFBLAQIUAAoAAAAAAIdO4kAAAAAAAAAAAAAAAAAGAAAAAAAAAAAAEAAAAA4JAABfcmVscy9QSwEC&#10;FAAUAAAACACHTuJAihRmPNEAAACUAQAACwAAAAAAAAABACAAAAAyCQAAX3JlbHMvLnJlbHNQSwEC&#10;FAAKAAAAAACHTuJAAAAAAAAAAAAAAAAABAAAAAAAAAAAABAAAAAAAAAAZHJzL1BLAQIUABQAAAAI&#10;AIdO4kAqqdMS2AAAAAUBAAAPAAAAAAAAAAEAIAAAACIAAABkcnMvZG93bnJldi54bWxQSwECFAAU&#10;AAAACACHTuJApLdDrLsHAABjNgAADgAAAAAAAAABACAAAAAnAQAAZHJzL2Uyb0RvYy54bWxQSwUG&#10;AAAAAAYABgBZAQAAVAsAAAAA&#10;">
                  <v:fill on="f" focussize="0,0"/>
                  <v:stroke on="f"/>
                  <v:imagedata o:title=""/>
                  <o:lock v:ext="edit" aspectratio="f"/>
                </v:shape>
                <v:shape id="_x0000_s1026" o:spid="_x0000_s1026" o:spt="32" type="#_x0000_t32" style="position:absolute;left:2323790;top:519528;height:349737;width:0;" filled="f" stroked="t" coordsize="21600,21600" o:gfxdata="UEsDBAoAAAAAAIdO4kAAAAAAAAAAAAAAAAAEAAAAZHJzL1BLAwQUAAAACACHTuJAXbU0d9cAAAAF&#10;AQAADwAAAGRycy9kb3ducmV2LnhtbE2PzU7DMBCE70i8g7VI3KjTUqUkxKkEFSIXkGgR4ujGS2wR&#10;r6N4+8fTY7jAZaXRjGa+rZZH34s9jtEFUjCdZCCQ2mAcdQpeNw9XNyAiazK6D4QKThhhWZ+fVbo0&#10;4UAvuF9zJ1IJxVIrsMxDKWVsLXodJ2FASt5HGL3mJMdOmlEfUrnv5SzLcum1o7Rg9YD3FtvP9c4r&#10;4NX7yeZv7V3hnjePT7n7appmpdTlxTS7BcF45L8w/OAndKgT0zbsyETRK0iP8O9N3uJ6XoDYKijm&#10;swXIupL/6etvUEsDBBQAAAAIAIdO4kACdSWN9AEAALQDAAAOAAAAZHJzL2Uyb0RvYy54bWytU0GO&#10;0zAU3SNxB8t7mjadtpOo6Sxahg2CSsABXMdJLDm29e027SW4ABIrYAWsZs9pYDgG306YwrCZBVk4&#10;337+z/89fy+vjq0iBwFOGl3QyWhMidDclFLXBX3z+vrJJSXOM10yZbQo6Ek4erV6/GjZ2VykpjGq&#10;FECQRLu8swVtvLd5kjjeiJa5kbFCI1gZaJnHKdRJCaxD9lYl6Xg8TzoDpQXDhXO4uulBOjDCQwhN&#10;VUkuNobvW6F9zwpCMY+SXCOto6tYbVUJ7l9WlROeqIKiUh9HPATjXRiT1ZLlNTDbSD6UwB5Swj1N&#10;LZMaD72j2jDPyB7kP1St5GCcqfyImzbphURHUMVkfM+bVw2zImpBq529M939P1r+4rAFIsuCZmk6&#10;v5hn8xklmrV48bfvbn68/Xj79cv3Dzc/v70P8edP5LwNreusy5FhrbcwzJzdQvDhWEEb/qiQHAua&#10;TtPpIkPTTwWdTbJZetk7L46ecMQR4QhNL7LFdBGg5ExhwflnwrQkBAV1HpisG782WuP1GphE49nh&#10;ufN94u+EcL4211IpXGe50qRDmbN0FhOcUbIMYMAc1Lu1AnJgoU/iN1Tx1zYwe11GMs+keqpL4k8W&#10;rfIgma6VGHKURgHBm96NEO1MeYomxXW8zChxaLzQLX/OY/b5sa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1NHfXAAAABQEAAA8AAAAAAAAAAQAgAAAAIgAAAGRycy9kb3ducmV2LnhtbFBLAQIU&#10;ABQAAAAIAIdO4kACdSWN9AEAALQDAAAOAAAAAAAAAAEAIAAAACYBAABkcnMvZTJvRG9jLnhtbFBL&#10;BQYAAAAABgAGAFkBAACMBQAAAAA=&#10;">
                  <v:fill on="f" focussize="0,0"/>
                  <v:stroke color="#000000" joinstyle="round" endarrow="block"/>
                  <v:imagedata o:title=""/>
                  <o:lock v:ext="edit" aspectratio="f"/>
                </v:shape>
                <v:rect id="_x0000_s1026" o:spid="_x0000_s1026" o:spt="1" style="position:absolute;left:1501170;top:869144;height:357301;width:1694694;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BjT5S8hgIAABoFAAAOAAAAZHJzL2Uyb0RvYy54bWytVEtu2zAQ&#10;3RfoHQjuG0mOP4kROTBiuCgQNAbSomuaoiwB/JWkP+llCnTXQ/Q4Ra/RR0pJnDSLLCoY9Axn+Gbm&#10;cYYXlwclyU443xpd0uIkp0RobqpWb0r6+dPy3RklPjBdMWm0KOmd8PRy9vbNxd5OxcA0RlbCEYBo&#10;P93bkjYh2GmWed4IxfyJsULDWBunWIDqNlnl2B7oSmaDPB9ne+Mq6wwX3mN30Rlpj+heA2jquuVi&#10;YfhWCR06VCckCyjJN631dJayrWvBw01dexGILCkqDWlFEMjruGazCzbdOGablvcpsNek8KwmxVqN&#10;oA9QCxYY2br2HyjVcme8qcMJNyrrCkmMoIoif8bNbcOsSLWAam8fSPf/D5Z/3K0caauSjorBaDgu&#10;Ts8p0Uzh4v98//n71w/yuA+u9tZPceTWrlyveYix8EPtVPxHSeSAvhrlRTEBy3clPRufF8NhR7U4&#10;BMKjfXw+xI8SDofT0eQ0L6JD9ghknQ/vhVEkCiV1uMrEMNtd+9C53rvEuN7Itlq2UibFbdZX0pEd&#10;w7Uv09ejP3GTmuyRymCSI1HO0Mw1mgiisiDE6w0lTG4wJTy4FPvJaX8cJE/fS0Fikgvmmy6ZhNBR&#10;odqAQZKtAkPHp6UGD5HojtoohcP60PO9NtUdbsyZrpW95csWEa6ZDyvm0LsoBdMdbrDU0qA+00uU&#10;NMZ9e2k/+qOlYKVkj1lA7V+3zAlK5AeNZovXB9iQlOFoMoDiji3rY4veqisD3gu8I5YnMfoHeS/W&#10;zqgveATmMSpMTHPE7ljulavQzSieES7m8+SGgbEsXOtbyyN4vGdt5ttg6jb1QySqY6fnDyOTOqof&#10;7ziTx3ryenzSZ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Zgk20tQAAAAFAQAADwAAAAAAAAAB&#10;ACAAAAAiAAAAZHJzL2Rvd25yZXYueG1sUEsBAhQAFAAAAAgAh07iQGNPlLyGAgAAGgUAAA4AAAAA&#10;AAAAAQAgAAAAIwEAAGRycy9lMm9Eb2MueG1sUEsFBgAAAAAGAAYAWQEAABsGAAAAAA==&#10;">
                  <v:fill on="t" focussize="0,0"/>
                  <v:stroke weight="1pt" color="#000000 [3213]" miterlimit="8" joinstyle="miter"/>
                  <v:imagedata o:title=""/>
                  <o:lock v:ext="edit" aspectratio="f"/>
                  <v:textbox>
                    <w:txbxContent>
                      <w:p w14:paraId="3EE3533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识别污染源构成</w:t>
                        </w:r>
                      </w:p>
                    </w:txbxContent>
                  </v:textbox>
                </v:rect>
                <v:shape id="_x0000_s1026" o:spid="_x0000_s1026" o:spt="116" type="#_x0000_t116" style="position:absolute;left:1454530;top:36000;height:483528;width:1796993;" fillcolor="#FFFFFF [3212]" filled="t" stroked="t" coordsize="21600,21600" o:gfxdata="UEsDBAoAAAAAAIdO4kAAAAAAAAAAAAAAAAAEAAAAZHJzL1BLAwQUAAAACACHTuJACxayi9YAAAAF&#10;AQAADwAAAGRycy9kb3ducmV2LnhtbE2PQUvDQBCF74L/YRnBi9hNajE2ZlNQFMGDaFVynWbHJJid&#10;DdlNG/+9oxe9DDze471vis3serWnMXSeDaSLBBRx7W3HjYG31/vzK1AhIlvsPZOBLwqwKY+PCsyt&#10;P/AL7bexUVLCIUcDbYxDrnWoW3IYFn4gFu/Djw6jyLHRdsSDlLteL5PkUjvsWBZaHOi2pfpzOzkD&#10;VY3Z4/tkK3uTTvT81FR3Z/ODMacnaXINKtIc/8Lwgy/oUArTzk9sg+oNyCPx94qXXazWoHYG1qtl&#10;Bros9H/68htQSwMEFAAAAAgAh07iQCRmZE+nAgAAMwUAAA4AAABkcnMvZTJvRG9jLnhtbK1UzW4T&#10;MRC+I/EOlu90N7/NRt1UUaIgpAoqtYiz47WzlvyH7WRTbtyQeARunLhw5ITE29C+BmPvtk0Lhx7I&#10;wRnvjL+Z7/OMT073SqIdc14YXeLeUY4R09RUQm9K/PZy9WKCkQ9EV0QazUp8xTw+nT1/dtLYKeub&#10;2siKOQQg2k8bW+I6BDvNMk9rpog/MpZpcHLjFAmwdZuscqQBdCWzfp6Ps8a4yjpDmffwddk6cYfo&#10;ngJoOBeULQ3dKqZDi+qYJAEo+VpYj2epWs4ZDW849ywgWWJgGtIKScBexzWbnZDpxhFbC9qVQJ5S&#10;wiNOiggNSe+gliQQtHXiLyglqDPe8HBEjcpaIkkRYNHLH2lzURPLEheQ2ts70f3/g6Wvd+cOiQo6&#10;oeiPxoO8KAqMNFFw89c/Pt58+/z7y68puvn56fr7V3QQA8I11k/h/IU9d93OgxlV2HOn4j/wQ3uA&#10;Ho6GowFIflXiwTjPO9nZPiAa3cfFuCgGGFHwDyeDUX8S7yW7x7HOh5fMKBSNEnNpmkVNXLhkTglN&#10;gnFJfLI786E9eXsiVuGNFNVKSJk2brNeSId2BDpilX5dsgdhUqMGKusfQ7GIEuhzDv0FprKgldcb&#10;jIjcwADR0OZ+cNofJgG+HWVg9CAsFrkkvm6LSa62IZUIMGNSqBJPDk9LDbJE2VuhoxX2632n/tpU&#10;V3CZzrRd7i1dCchwRnw4Jw7aGqjA4Ic3sEQJS2w6C6PauA//+h7jodvAi1EDYwLc32+JYxjJVxr6&#10;sOgNhwAb0mY4Ou7Dxh161ocevVULA7r34ImxNJkxPshbkzuj3sH7MI9ZwUU0hdwlBuVbcxHa4YX3&#10;hbL5PAXBJFkSzvSFpRE63rI2820wXKRuiDK12nTqwSyl9urmPg7r4T5F3b91s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LFrKL1gAAAAUBAAAPAAAAAAAAAAEAIAAAACIAAABkcnMvZG93bnJldi54&#10;bWxQSwECFAAUAAAACACHTuJAJGZkT6cCAAAzBQAADgAAAAAAAAABACAAAAAlAQAAZHJzL2Uyb0Rv&#10;Yy54bWxQSwUGAAAAAAYABgBZAQAAPgYAAAAA&#10;">
                  <v:fill on="t" focussize="0,0"/>
                  <v:stroke weight="1pt" color="#000000 [3213]" miterlimit="8" joinstyle="miter"/>
                  <v:imagedata o:title=""/>
                  <o:lock v:ext="edit" aspectratio="f"/>
                  <v:textbox>
                    <w:txbxContent>
                      <w:p w14:paraId="1F9EE65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前期准备，资料收集</w:t>
                        </w:r>
                      </w:p>
                    </w:txbxContent>
                  </v:textbox>
                </v:shape>
                <v:shape id="_x0000_s1026" o:spid="_x0000_s1026" o:spt="32" type="#_x0000_t32" style="position:absolute;left:2324644;top:1229087;height:349250;width:0;" filled="f" stroked="t" coordsize="21600,21600" o:gfxdata="UEsDBAoAAAAAAIdO4kAAAAAAAAAAAAAAAAAEAAAAZHJzL1BLAwQUAAAACACHTuJAXbU0d9cAAAAF&#10;AQAADwAAAGRycy9kb3ducmV2LnhtbE2PzU7DMBCE70i8g7VI3KjTUqUkxKkEFSIXkGgR4ujGS2wR&#10;r6N4+8fTY7jAZaXRjGa+rZZH34s9jtEFUjCdZCCQ2mAcdQpeNw9XNyAiazK6D4QKThhhWZ+fVbo0&#10;4UAvuF9zJ1IJxVIrsMxDKWVsLXodJ2FASt5HGL3mJMdOmlEfUrnv5SzLcum1o7Rg9YD3FtvP9c4r&#10;4NX7yeZv7V3hnjePT7n7appmpdTlxTS7BcF45L8w/OAndKgT0zbsyETRK0iP8O9N3uJ6XoDYKijm&#10;swXIupL/6etvUEsDBBQAAAAIAIdO4kC4NgXg9gEAALUDAAAOAAAAZHJzL2Uyb0RvYy54bWytU82O&#10;0zAQviPxDpbvNGna7rZR0z20LBcElYAHcB0nseQ/jd2mfQleAIkTcAJOe+dpYHkMxm7ZwnLZAzk4&#10;48zMN/N9M5lf7bUiOwFeWlPR4SCnRBhua2nair55ff1kSokPzNRMWSMqehCeXi0eP5r3rhSF7ayq&#10;BRAEMb7sXUW7EFyZZZ53QjM/sE4YdDYWNAt4hTargfWIrlVW5PlF1luoHVguvMevq6OTnhDhIYC2&#10;aSQXK8u3WphwRAWhWEBKvpPO00XqtmkEDy+bxotAVEWRaUgnFkF7E89sMWdlC8x1kp9aYA9p4R4n&#10;zaTBondQKxYY2YL8B0pLDtbbJgy41dmRSFIEWQzze9q86pgTiQtK7d2d6P7/wfIXuzUQWeMmXBb5&#10;ZDoaojKGaRz87bubH28/3n798v3Dzc9v76P9+RM5h6F0vfMlIizNGk4379YQddg3oOMbGZJ9RYtR&#10;Mb4Yjyk5YKGimOXTy6P0Yh8IxwCsytE3Gs+KSZpKdsZw4MMzYTWJRkV9ACbbLiytMThfC8OkPNs9&#10;9wG7wMTfCbEBY6+lUmnMypC+orNJMUkJ3ipZR2cM89BulgrIjsVFSU9sEMH+CgO7NXUCC0yqp6Ym&#10;4eBQqwCSmVaJU44ymBrFOcoRrY2tD0ml9B2nmcBPmxfX5c97yj7/bY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bU0d9cAAAAFAQAADwAAAAAAAAABACAAAAAiAAAAZHJzL2Rvd25yZXYueG1sUEsB&#10;AhQAFAAAAAgAh07iQLg2BeD2AQAAtQMAAA4AAAAAAAAAAQAgAAAAJgEAAGRycy9lMm9Eb2MueG1s&#10;UEsFBgAAAAAGAAYAWQEAAI4FAAAAAA==&#10;">
                  <v:fill on="f" focussize="0,0"/>
                  <v:stroke color="#000000" joinstyle="round" endarrow="block"/>
                  <v:imagedata o:title=""/>
                  <o:lock v:ext="edit" aspectratio="f"/>
                </v:shape>
                <v:rect id="_x0000_s1026" o:spid="_x0000_s1026" o:spt="1" style="position:absolute;left:1501684;top:1578972;height:356870;width:1694180;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AsmcUbeQIAAOsEAAAOAAAAZHJzL2Uyb0RvYy54bWytVM1uEzEQ&#10;viPxDpbvdDchyaZRNyhqFIRUQaWCODteb9aS/7Cdn/IySNx4CB4H8Rp89qZtWjj0wB52Z3bGM/N9&#10;M+OLNwetyE74IK2p6eCspEQYbhtpNjX99HH1akpJiMw0TFkjanorAn0zf/niYu9mYmg7qxrhCYKY&#10;MNu7mnYxullRBN4JzcKZdcLA2FqvWYTqN0Xj2R7RtSqGZTkp9tY3zlsuQsDfZW+kx4j+OQFt20ou&#10;lpZvtTCxj+qFYhGQQiddoPNcbdsKHj+0bRCRqJoCacxvJIG8Tu9ifsFmG89cJ/mxBPacEp5g0kwa&#10;JL0PtWSRka2Xf4XSknsbbBvPuNVFDyQzAhSD8gk3Nx1zImMB1cHdkx7+X1j+fnftiWxqWlWTcTms&#10;KrTfMI3G//7249fP7+ThP7jauzDDkRt37Y9agJiAH1qv0xeQyAFzNS4Hk+mIktskV9PzathzLQ6R&#10;8OQwOR8NpmgDh8fr8WRa5WYUD5GcD/GtsJokoaYevcwUs91ViMgO1zuXlDhYJZuVVCorfrO+VJ7s&#10;GPq+yk9KjyOP3JQhe5QyrMpUCMM0t5giiNqBkWA2lDC1wZrw6HPuR6fDaZIyP/9KkopcstD1xeQI&#10;PRVaRmySkrqm09PTyqDSxHTPbZLiYX04Er62zS1a5m0/y8HxlUSGKxbiNfMYXkDBesPaWf+Vkj2G&#10;G1i+bJkXlKh3BtNzPhiN4BazMhpXQyj+1LI+tZitvrTgcYCLwfEsJv+o7sTWW/0ZW71IWWFihiN3&#10;z9pRuYz90uFe4GKxyG7YAMfilblxPAVPfTN2sY22lbm/CXiP9sgHdiD38LivaclO9ez1cEfN/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mCTbS1AAAAAUBAAAPAAAAAAAAAAEAIAAAACIAAABkcnMv&#10;ZG93bnJldi54bWxQSwECFAAUAAAACACHTuJALJnFG3kCAADrBAAADgAAAAAAAAABACAAAAAjAQAA&#10;ZHJzL2Uyb0RvYy54bWxQSwUGAAAAAAYABgBZAQAADgYAAAAA&#10;">
                  <v:fill on="t" focussize="0,0"/>
                  <v:stroke weight="1pt" color="#000000 [3213]" miterlimit="8" joinstyle="miter"/>
                  <v:imagedata o:title=""/>
                  <o:lock v:ext="edit" aspectratio="f"/>
                  <v:textbox>
                    <w:txbxContent>
                      <w:p w14:paraId="7563B36E">
                        <w:pPr>
                          <w:jc w:val="center"/>
                          <w:rPr>
                            <w:color w:val="000000"/>
                          </w:rPr>
                        </w:pPr>
                        <w:r>
                          <w:rPr>
                            <w:rFonts w:hint="eastAsia"/>
                            <w:color w:val="000000"/>
                          </w:rPr>
                          <w:t>确定排放量计算方法</w:t>
                        </w:r>
                      </w:p>
                    </w:txbxContent>
                  </v:textbox>
                </v:rect>
                <v:shape id="连接符: 肘形 1948247247" o:spid="_x0000_s1026" o:spt="34" type="#_x0000_t34" style="position:absolute;left:2881243;top:1378363;flip:x;height:1640381;width:525461;rotation:5898240f;" filled="f" stroked="t" coordsize="21600,21600" o:gfxdata="UEsDBAoAAAAAAIdO4kAAAAAAAAAAAAAAAAAEAAAAZHJzL1BLAwQUAAAACACHTuJA5ITmytUAAAAF&#10;AQAADwAAAGRycy9kb3ducmV2LnhtbE2PwU7DMBBE70j9B2srcUHUaaloG+L0gMSRSi35ADfeJlHj&#10;dZR1k8DXs3CBy0qjGc28zfaTb9WAPTeBDCwXCSikMriGKgPFx9vjFhRHS862gdDAJzLs89ldZlMX&#10;RjricIqVkhLi1BqoY+xSrbms0VtehA5JvEvovY0i+0q73o5S7lu9SpJn7W1DslDbDl9rLK+nmzdw&#10;rWLBU/HecDlc6OG4PYz+62DM/XyZvICKOMW/MPzgCzrkwnQON3KsWgPySPy94m2e1jtQZwO79WoD&#10;Os/0f/r8G1BLAwQUAAAACACHTuJAVnPwICcCAAAJBAAADgAAAGRycy9lMm9Eb2MueG1srVPNjtMw&#10;EL4j8Q6W7zRN0u12o6Z7aFk48LMS8ACu7TRGtsey3aa98gCcOXFAghOvgHgaYB+DiZtdluWyB6zI&#10;sj0z38x882V+vjea7KQPCmxN89GYEmk5CGU3NX3z+uLRjJIQmRVMg5U1PchAzxcPH8w7V8kCWtBC&#10;eoIgNlSdq2kbo6uyLPBWGhZG4KRFYwPesIhXv8mEZx2iG50V4/E068AL54HLEPB1dTTSAdHfBxCa&#10;RnG5Ar410sYjqpeaRWwptMoFukjVNo3k8WXTBBmJril2GtOOSfC87vdsMWfVxjPXKj6UwO5Twp2e&#10;DFMWk95ArVhkZOvVP1BGcQ8BmjjiYLJjI4kR7CIf3+HmVcucTL0g1cHdkB7+Hyx/sbv0RAlUwtlk&#10;VkxO8aPEMoOTv/r+8ef7z7++fqnI1bsPP759Ird8kLjOhQrjl/bSD7fgEGzdPQeB4WwbIXGyb7wh&#10;HpD7fIoKwEVJo5V7ig/JAWkg+5oWs1leTEpKDmgoT2fltDzOR+4j4ehwUpxMpjklvHeYTsblLO8d&#10;Mlb1KXr6nQ/xiQRD+kNN1yiPJViLMgBfplxs9yzENCkxtMnEW8RsjMbB75gmJ1jgNe7gjRmukftQ&#10;CxdK6yQdbUlX0zOsLKEH0Er0xt4t+M16qT1BUJRaWkO5f7l52FqRwCJT+rEVJB4c8he9Ynaj5RCj&#10;LXbaU96TfCR/DeKQuE/vqJDExaDmXoK37yn6zx+8+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k&#10;hObK1QAAAAUBAAAPAAAAAAAAAAEAIAAAACIAAABkcnMvZG93bnJldi54bWxQSwECFAAUAAAACACH&#10;TuJAVnPwICcCAAAJBAAADgAAAAAAAAABACAAAAAkAQAAZHJzL2Uyb0RvYy54bWxQSwUGAAAAAAYA&#10;BgBZAQAAvQUAAAAA&#10;" adj="10800">
                  <v:fill on="f" focussize="0,0"/>
                  <v:stroke color="#000000" joinstyle="round" endarrow="block"/>
                  <v:imagedata o:title=""/>
                  <o:lock v:ext="edit" aspectratio="f"/>
                </v:shape>
                <v:rect id="_x0000_s1026" o:spid="_x0000_s1026" o:spt="1" style="position:absolute;left:3504437;top:2461308;height:416195;width:969435;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CudcngeQIAAOoEAAAOAAAAZHJzL2Uyb0RvYy54bWytVEtu2zAQ&#10;3RfoHQjuG0m27NhG5MCI4aJA0AZIi65pirII8NchbTm9TIHueogep+g1OqSUxEm7yKJaSDOa4Ru+&#10;xxleXB61IgcBXlpT0eIsp0QYbmtpdhX99HHzZkaJD8zUTFkjKnonPL1cvn510bmFGNnWqloAQRDj&#10;F52raBuCW2SZ563QzJ9ZJwwGGwuaBXRhl9XAOkTXKhvl+TTrLNQOLBfe4991H6QDIrwE0DaN5GJt&#10;+V4LE3pUEIoFpORb6Txdpt02jeDhQ9N4EYiqKDIN6Y1F0N7Gd7a8YIsdMNdKPmyBvWQLzzhpJg0W&#10;fYBas8DIHuRfUFpysN424YxbnfVEkiLIosifaXPbMicSF5TauwfR/f+D5e8PN0BkXdFJUY4n49l0&#10;SolhGg/+97cfv35+J4//UavO+QUuuXU3MHgezUj82ICOX6REjhUdT/KyHJ9TclfRUTktxvms11oc&#10;A+GYMJ/OsR4lHBPKYlrMJzGePQI58OGtsJpEo6KAR5kUZodrH/rU+5RY11sl641UKjmw214pIAeG&#10;x75Jz4D+JE0Z0uEIjM5zbAfOsJkbbCI0tUNBvNlRwtQOp4QHSLWfrPanRfL0/KtI3OSa+bbfTELo&#10;ldAy4CApqSs6O12tDOoQhe6ljVY4bo+D3ltb3+GJge1b2Tu+kVjhmvlwwwB7F6ngdGO0tfCVkg57&#10;G7l82TMQlKh3BptnXpRlHIbklJPzETpwGtmeRsxeX1nUscB7wfFkxvyg7s0GrP6MQ72KVTHEDMfa&#10;vWqDcxX6mcNrgYvVKqXhADgWrs2t4xE8npuxq32wjUznG4n3bAc9cARShwzjGmfs1E9Zj1fU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mCTbS1AAAAAUBAAAPAAAAAAAAAAEAIAAAACIAAABkcnMv&#10;ZG93bnJldi54bWxQSwECFAAUAAAACACHTuJArnXJ4HkCAADqBAAADgAAAAAAAAABACAAAAAjAQAA&#10;ZHJzL2Uyb0RvYy54bWxQSwUGAAAAAAYABgBZAQAADgYAAAAA&#10;">
                  <v:fill on="t" focussize="0,0"/>
                  <v:stroke weight="1pt" color="#000000 [3213]" miterlimit="8" joinstyle="miter"/>
                  <v:imagedata o:title=""/>
                  <o:lock v:ext="edit" aspectratio="f"/>
                  <v:textbox>
                    <w:txbxContent>
                      <w:p w14:paraId="25C874CD">
                        <w:pPr>
                          <w:jc w:val="center"/>
                          <w:rPr>
                            <w:color w:val="000000"/>
                          </w:rPr>
                        </w:pPr>
                        <w:r>
                          <w:rPr>
                            <w:rFonts w:hint="eastAsia"/>
                            <w:color w:val="000000"/>
                          </w:rPr>
                          <w:t>系数法</w:t>
                        </w:r>
                      </w:p>
                    </w:txbxContent>
                  </v:textbox>
                </v:rect>
                <v:rect id="_x0000_s1026" o:spid="_x0000_s1026" o:spt="1" style="position:absolute;left:1820909;top:2461266;height:415925;width:969010;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BhHGUbdgIAAOgEAAAOAAAAZHJzL2Uyb0RvYy54bWytVM1u2zAM&#10;vg/YOwi6r3aM1ImDOkXQIMOAYivQDTsrshwL0N8oJU73MgN220PscYa9xijZbdNuhx7mg02a9Ed+&#10;n0hfXB61IgcBXlpT08lZTokw3DbS7Gr66ePmzZwSH5hpmLJG1PROeHq5fP3qoncLUdjOqkYAQRDj&#10;F72raReCW2SZ553QzJ9ZJwwGWwuaBXRhlzXAekTXKivyvMx6C40Dy4X3+HY9BOmICC8BtG0ruVhb&#10;vtfChAEVhGIBKflOOk+Xqdu2FTx8aFsvAlE1RaYh3bEI2tt4z5YXbLED5jrJxxbYS1p4xkkzabDo&#10;A9SaBUb2IP+C0pKD9bYNZ9zqbCCSFEEWk/yZNrcdcyJxQam9exDd/z9Y/v5wA0Q2NS3n+aycVRUl&#10;hmk899/ffvz6+Z08vEaleucX+MGtu4HR82hG2scWdHwiIXLEqZoXeZUj1F1Ni2k5KcpyUFocA+GY&#10;UJUV0qWEY8J0cl4V5zGePQI58OGtsJpEo6aAB5n0ZYdrH4bU+5RY11slm41UKjmw214pIAeGh75J&#10;14j+JE0Z0mOrxSyPjTAc5RZHCE3tUA5vdpQwtcMd4QFS7Sdf+9Miebr+VSQ2uWa+G5pJCIMSWgZc&#10;IyV1TeenXyuDOkShB2mjFY7b46j31jZ3eF5gh0H2jm8kVrhmPtwwwMlFKrjbGO0sfKWkx8lGLl/2&#10;DAQl6p3B0akm0ymmheRMz2cFOnAa2Z5GzF5fWdRxgn8Fx5MZ84O6N1uw+jOu9CpWxRAzHGsPqo3O&#10;VRg2Dn8KXKxWKQ3H37FwbW4dj+Dx3Ixd7YNtZTrfSHxgO+qBC5AmZFzWuGGnfsp6/EEt/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mCTbS1AAAAAUBAAAPAAAAAAAAAAEAIAAAACIAAABkcnMvZG93&#10;bnJldi54bWxQSwECFAAUAAAACACHTuJAYRxlG3YCAADoBAAADgAAAAAAAAABACAAAAAjAQAAZHJz&#10;L2Uyb0RvYy54bWxQSwUGAAAAAAYABgBZAQAACwYAAAAA&#10;">
                  <v:fill on="t" focussize="0,0"/>
                  <v:stroke weight="1pt" color="#000000 [3213]" miterlimit="8" joinstyle="miter"/>
                  <v:imagedata o:title=""/>
                  <o:lock v:ext="edit" aspectratio="f"/>
                  <v:textbox>
                    <w:txbxContent>
                      <w:p w14:paraId="22EB2BE7">
                        <w:pPr>
                          <w:jc w:val="center"/>
                          <w:rPr>
                            <w:color w:val="000000"/>
                          </w:rPr>
                        </w:pPr>
                        <w:r>
                          <w:rPr>
                            <w:rFonts w:hint="eastAsia"/>
                            <w:color w:val="000000"/>
                          </w:rPr>
                          <w:t>公式法</w:t>
                        </w:r>
                      </w:p>
                    </w:txbxContent>
                  </v:textbox>
                </v:rect>
                <v:rect id="_x0000_s1026" o:spid="_x0000_s1026" o:spt="1" style="position:absolute;left:36000;top:2478629;height:415290;width:969010;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Cuc2Z7eQIAAOoEAAAOAAAAZHJzL2Uyb0RvYy54bWytVEtu2zAQ&#10;3RfoHQjuG9mK4thG5MCI4aJA0AZIi65pirII8FeS/qSXKdBdD9HjFL1GHykncdIusqgW0oxmODPv&#10;zQwvLvdaka3wQVpT0+HJgBJhuG2kWdf008flmzElITLTMGWNqOmdCPRy9vrVxc5NRWk7qxrhCYKY&#10;MN25mnYxumlRBN4JzcKJdcLA2FqvWYTq10Xj2Q7RtSrKwWBU7KxvnLdchIC/i95IDxH9SwLatpVc&#10;LCzfaGFiH9ULxSIghU66QGe52rYVPH5o2yAiUTUF0pjfSAJ5ld7F7IJN1565TvJDCewlJTzDpJk0&#10;SPoQasEiIxsv/wqlJfc22DaecKuLHkhmBCiGg2fc3HbMiYwFVAf3QHr4f2H5++2NJ7LBJJTj8uy0&#10;mlQjSgzT6Pzvbz9+/fxOjgxga+fCFIdu3Y0/aAFigr5vvU5fgCL7mp6OBgOwfFfTsjofj8pJz7XY&#10;R8JhnowmAEwJh0M1PCsnuRfFYxjnQ3wrrCZJqKlHKzPDbHsdIlLD9d4lZQ1WyWYplcqKX6+ulCdb&#10;hrYv85Oy48gTN2XILgE/T4VyhmFuMUQQtQMhwawpYWqNLeHR59xPTofjJMCa4P4jSSpywULXF5Mj&#10;9ExoGbFISuqajo9PK4NKE809sUmK+9X+wPbKNnfomLf9KAfHlxIZrlmIN8xjdgEF2w1rZ/1XSnaY&#10;bWD5smFeUKLeGQzPZFhVcItZqc7OSyj+2LI6tpiNvrLgcYh7wfEsJv+o7sXWW/0ZSz1PWWFihiN3&#10;z9pBuYr9zuFa4GI+z25YAMfitbl1PAVPfTN2vom2lbm/CXiP9sAHViD38LCuaceO9ez1eEXN/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mCTbS1AAAAAUBAAAPAAAAAAAAAAEAIAAAACIAAABkcnMv&#10;ZG93bnJldi54bWxQSwECFAAUAAAACACHTuJArnNme3kCAADqBAAADgAAAAAAAAABACAAAAAjAQAA&#10;ZHJzL2Uyb0RvYy54bWxQSwUGAAAAAAYABgBZAQAADgYAAAAA&#10;">
                  <v:fill on="t" focussize="0,0"/>
                  <v:stroke weight="1pt" color="#000000 [3213]" miterlimit="8" joinstyle="miter"/>
                  <v:imagedata o:title=""/>
                  <o:lock v:ext="edit" aspectratio="f"/>
                  <v:textbox>
                    <w:txbxContent>
                      <w:p w14:paraId="24C0CA4C">
                        <w:pPr>
                          <w:jc w:val="center"/>
                          <w:rPr>
                            <w:color w:val="000000"/>
                          </w:rPr>
                        </w:pPr>
                        <w:r>
                          <w:rPr>
                            <w:rFonts w:hint="eastAsia"/>
                            <w:color w:val="000000"/>
                          </w:rPr>
                          <w:t>实测法</w:t>
                        </w:r>
                      </w:p>
                    </w:txbxContent>
                  </v:textbox>
                </v:rect>
                <v:shape id="连接符: 肘形 699276833" o:spid="_x0000_s1026" o:spt="33" type="#_x0000_t33" style="position:absolute;left:520506;top:2201209;flip:y;height:277398;width:1803285;rotation:11796480f;" filled="f" stroked="t" coordsize="21600,21600" o:gfxdata="UEsDBAoAAAAAAIdO4kAAAAAAAAAAAAAAAAAEAAAAZHJzL1BLAwQUAAAACACHTuJAKHKNWtcAAAAF&#10;AQAADwAAAGRycy9kb3ducmV2LnhtbE2PQUvDQBCF74L/YRnBm90kLamNmRQRRNSDGKXnbXZMgtnZ&#10;uLttY3+9ay96GXi8x3vflOvJDGJPzveWEdJZAoK4sbrnFuH97f7qGoQPirUaLBPCN3lYV+dnpSq0&#10;PfAr7evQiljCvlAIXQhjIaVvOjLKz+xIHL0P64wKUbpWaqcOsdwMMkuSXBrVc1zo1Eh3HTWf9c4g&#10;TPntS72Zf6XsnjfZeHzIH6f8CfHyIk1uQASawl8YfvEjOlSRaWt3rL0YEOIj4XSjt5wvViC2CKtF&#10;tgRZlfI/ffUDUEsDBBQAAAAIAIdO4kB5k52RDwIAANkDAAAOAAAAZHJzL2Uyb0RvYy54bWytU8uO&#10;0zAU3SPxD5b3NGmqtmnUdBYtw4bHSDz2ruM0lmxfy3abdssHsGbFAglW/ALia4D5DK6dMgPDZhZk&#10;Yfm+zr3n+GZ5cdSKHITzEkxNx6OcEmE4NNLsavr61eWjkhIfmGmYAiNqehKeXqwePlj2thIFdKAa&#10;4QiCGF/1tqZdCLbKMs87oZkfgRUGgy04zQKabpc1jvWIrlVW5Pks68E11gEX3qN3MwTpGdHdBxDa&#10;VnKxAb7XwoQB1QnFAlLynbSertK0bSt4eNG2XgSiaopMQzqxCd638cxWS1btHLOd5OcR2H1GuMNJ&#10;M2mw6Q3UhgVG9k7+A6Uld+ChDSMOOhuIJEWQxTi/o83LjlmRuKDU3t6I7v8fLH9+uHJENjWdLRbF&#10;fFZOJpQYpvHhr799+PHu088vnyty/fb9968fyW0KytZbX2H12ly5s+UtQm37Z9BgNdsHSIocW6eJ&#10;A1R+nJd5/ChplbRv0JESUARyrOm0yKf5jJJTTQvUosgXw+OIYyAc4+MynxTllBIeM+bzyaKMCRmr&#10;YoeovXU+PBGgSbzUdIu7sQZjcAfAFakVOzz1YSj6nRwLDVxKpdDPKmVIX9PFtJimAg9KNjEYY97t&#10;tmvlyIHFZRqoDGB/pTnYmyaBBSbVY9OQcLKoSHCSmZ0S56mVweGjiFG2Qc4tNKekZvLjiyd65+2M&#10;K/Wnnapv/8jV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hyjVrXAAAABQEAAA8AAAAAAAAAAQAg&#10;AAAAIgAAAGRycy9kb3ducmV2LnhtbFBLAQIUABQAAAAIAIdO4kB5k52RDwIAANkDAAAOAAAAAAAA&#10;AAEAIAAAACYBAABkcnMvZTJvRG9jLnhtbFBLBQYAAAAABgAGAFkBAACnBQAAAAA=&#10;">
                  <v:fill on="f" focussize="0,0"/>
                  <v:stroke color="#000000" joinstyle="round" endarrow="block"/>
                  <v:imagedata o:title=""/>
                  <o:lock v:ext="edit" aspectratio="f"/>
                </v:shape>
                <v:shape id="_x0000_s1026" o:spid="_x0000_s1026" o:spt="32" type="#_x0000_t32" style="position:absolute;left:2323790;top:2184084;flip:x;height:268583;width:854;" filled="f" stroked="t" coordsize="21600,21600" o:gfxdata="UEsDBAoAAAAAAIdO4kAAAAAAAAAAAAAAAAAEAAAAZHJzL1BLAwQUAAAACACHTuJAbSkcCdcAAAAF&#10;AQAADwAAAGRycy9kb3ducmV2LnhtbE2PQU/CQBCF7yb8h82QeDGypYJA7ZaDipwIseJ96I5tQ3e2&#10;6S7Q/ntXL3qZ5OW9vPdNuu5NIy7UudqygukkAkFcWF1zqeDwsblfgnAeWWNjmRQM5GCdjW5STLS9&#10;8jtdcl+KUMIuQQWV920ipSsqMugmtiUO3pftDPogu1LqDq+h3DQyjqJHabDmsFBhS88VFaf8bBS8&#10;5Pv55vPu0MdDsd3lb8vTnodXpW7H0+gJhKfe/4XhBz+gQxaYjvbM2olGQXjE/97gLR5mKxBHBatZ&#10;vACZpfI/ffYNUEsDBBQAAAAIAIdO4kCuDs7N/QEAAMEDAAAOAAAAZHJzL2Uyb0RvYy54bWytU82O&#10;0zAQviPxDpbvNOnvplHTPbQsHBCsBDyA6ziJJce2xm7TvgQvgMQJOC2c9s7TwPIYjJ2wC8tlD+Rg&#10;jefn83zfTFbnx1aRgwAnjS7oeJRSIjQ3pdR1Qd++uXiSUeI80yVTRouCnoSj5+vHj1adzcXENEaV&#10;AgiCaJd3tqCN9zZPEscb0TI3MlZoDFYGWubxCnVSAusQvVXJJE0XSWegtGC4cA692z5IB0R4CKCp&#10;KsnF1vB9K7TvUUEo5pGSa6R1dB27rSrB/auqcsITVVBk6uOJj6C9C2eyXrG8BmYbyYcW2ENauMep&#10;ZVLjo7dQW+YZ2YP8B6qVHIwzlR9x0yY9kagIshin97R53TArIheU2tlb0d3/g+UvD5dAZFnQ5Wy6&#10;SM+ybEmJZi0O/ub99Y93n26+fvn+8frntw/BvvpM7tJQus66HBE2+hKGm7OXEHQ4VtCSSkn7HHcs&#10;KoNcybGgk+lkerZE+U9oj7NZms36IYijJxwTsvmMEh6ii2yeTUMw6fECrgXnnwnTkmAU1Hlgsm78&#10;xmiNszbQv8UOL5zvC38XhGJtLqRS6Ge50qRDzvPJPDbnjJJlCIaYg3q3UUAOLCxN/IYu/koDs9dl&#10;BPNMqqe6JP5kUTcPkulaiaFGaSQQhOqlCdbOlKeoWPTjZCPFYQvD6vx5j9V3f9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0pHAnXAAAABQEAAA8AAAAAAAAAAQAgAAAAIgAAAGRycy9kb3ducmV2&#10;LnhtbFBLAQIUABQAAAAIAIdO4kCuDs7N/QEAAMEDAAAOAAAAAAAAAAEAIAAAACYBAABkcnMvZTJv&#10;RG9jLnhtbFBLBQYAAAAABgAGAFkBAACVBQAAAAA=&#10;">
                  <v:fill on="f" focussize="0,0"/>
                  <v:stroke color="#000000" joinstyle="round" endarrow="block"/>
                  <v:imagedata o:title=""/>
                  <o:lock v:ext="edit" aspectratio="f"/>
                </v:shape>
                <v:rect id="_x0000_s1026" o:spid="_x0000_s1026" o:spt="1" style="position:absolute;left:1501684;top:3390879;height:356235;width:1694180;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AamiF/dwIAAO0EAAAOAAAAZHJzL2Uyb0RvYy54bWytVEtu2zAQ&#10;3RfoHQjuG33iPyIHRgwXBYI2QFp0TVOURYC/DmnL6WUKdNdD9DhFr9EhpSRO2kUW1UKe8YzezHuc&#10;4cXlUStyEOClNRUtznJKhOG2lmZX0U8fN29mlPjATM2UNaKid8LTy+XrVxedW4jStlbVAgiCGL/o&#10;XEXbENwiyzxvhWb+zDphMNhY0CygC7usBtYhulZZmeeTrLNQO7BceI//rvsgHRDhJYC2aSQXa8v3&#10;WpjQo4JQLCAl30rn6TJ12zSChw9N40UgqqLINKQ3FkF7G9/Z8oItdsBcK/nQAntJC884aSYNFn2A&#10;WrPAyB7kX1BacrDeNuGMW531RJIiyKLIn2lz2zInEheU2rsH0f3/g+XvDzdAZF3RssjzcjSbjlEa&#10;wzSe/O9vP379/E5OAqhW5/wCP7p1NzB4Hs1I/diAjr9IihxxssZ5MZmNKLmr6Pn5PJ9N573a4hgI&#10;jwmT+aiYYTUeM8aT8nwcE7JHJAc+vBVWk2hUFPA0k8jscO1Dn3qfEgt7q2S9kUolB3bbKwXkwPDk&#10;N+kZ0J+kKUM6bKWc5rERhvPc4ByhqR1q4s2OEqZ2uCg8QKr95Gt/WiRPz7+KxCbXzLd9Mwmhl0LL&#10;gLukpK7o7PRrZVCHqHSvbbTCcXscBN/a+g4PDWw/zd7xjcQK18yHGwY4vkgFFxyjrYWvlHQ43sjl&#10;y56BoES9Mzg/82I0wrSQnNF4WqIDp5HtacTs9ZVFHQu8GhxPZswP6t5swOrPuNerWBVDzHCs3as2&#10;OFehXzu8GbhYrVIa7oBj4drcOh7B47kZu9oH28h0vpF4z3bQA7cgTciwsXHNTv2U9XhLL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gk20tQAAAAFAQAADwAAAAAAAAABACAAAAAiAAAAZHJzL2Rv&#10;d25yZXYueG1sUEsBAhQAFAAAAAgAh07iQBqaIX93AgAA7QQAAA4AAAAAAAAAAQAgAAAAIwEAAGRy&#10;cy9lMm9Eb2MueG1sUEsFBgAAAAAGAAYAWQEAAAwGAAAAAA==&#10;">
                  <v:fill on="t" focussize="0,0"/>
                  <v:stroke weight="1pt" color="#000000 [3213]" miterlimit="8" joinstyle="miter"/>
                  <v:imagedata o:title=""/>
                  <o:lock v:ext="edit" aspectratio="f"/>
                  <v:textbox>
                    <w:txbxContent>
                      <w:p w14:paraId="7113809D">
                        <w:pPr>
                          <w:jc w:val="center"/>
                          <w:rPr>
                            <w:color w:val="000000"/>
                          </w:rPr>
                        </w:pPr>
                        <w:r>
                          <w:rPr>
                            <w:rFonts w:hint="eastAsia"/>
                            <w:color w:val="000000"/>
                          </w:rPr>
                          <w:t>获取源的数据信息</w:t>
                        </w:r>
                      </w:p>
                    </w:txbxContent>
                  </v:textbox>
                </v:rect>
                <v:rect id="_x0000_s1026" o:spid="_x0000_s1026" o:spt="1" style="position:absolute;left:1502262;top:4094725;height:355600;width:1694180;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AzxDc+ewIAAOsEAAAOAAAAZHJzL2Uyb0RvYy54bWytVEtu2zAQ&#10;3RfoHQjuG8mK7cRG5MCI4aJA0AZIi65pirII8FeS/qSXKdBdD9HjFL1GHykncdIusqgW0oxmODPv&#10;zQwvLvdaka3wQVpT08FJSYkw3DbSrGv66ePyzTklITLTMGWNqOmdCPRy9vrVxc5NRWU7qxrhCYKY&#10;MN25mnYxumlRBN4JzcKJdcLA2FqvWYTq10Xj2Q7RtSqqshwXO+sb5y0XIeDvojfSQ0T/koC2bSUX&#10;C8s3WpjYR/VCsQhIoZMu0Fmutm0Fjx/aNohIVE2BNOY3kkBepXcxu2DTtWeuk/xQAntJCc8waSYN&#10;kj6EWrDIyMbLv0Jpyb0Nto0n3OqiB5IZAYpB+Yyb2445kbGA6uAeSA//Lyx/v73xRDY1PT0ry3JU&#10;Tk4pMUyj8b+//fj18zt5/A+udi5MceTW3fiDFiAm4PvW6/QFJLLHXI3KqhpXlNzVdFhOhmfVqOda&#10;7CPhyWE8GQ7O0QYOj9PRaFzmZhSPkZwP8a2wmiShph69zBSz7XWIyA7Xe5eUOFglm6VUKit+vbpS&#10;nmwZ+r7MT0qPI0/clCE7lFIBOgphmOYWUwRROzASzJoSptZYEx59zv3kdDhOAvLw/CtJKnLBQtcX&#10;kyP0VGgZsUlK6pqeH59WBpUmpntukxT3q/2B8JVt7tAyb/tZDo4vJTJcsxBvmMfwAgrWG9bO+q+U&#10;7DDcwPJlw7ygRL0zmJ7JYDiEW8zKcHRWQfHHltWxxWz0lQWPA1wMjmcx+Ud1L7be6s/Y6nnKChMz&#10;HLl71g7KVeyXDvcCF/N5dsMGOBavza3jKXjqm7HzTbStzP1NwHu0Bz6wA7mHh31NS3asZ6/HO2r2&#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YJNtLUAAAABQEAAA8AAAAAAAAAAQAgAAAAIgAAAGRy&#10;cy9kb3ducmV2LnhtbFBLAQIUABQAAAAIAIdO4kAzxDc+ewIAAOsEAAAOAAAAAAAAAAEAIAAAACMB&#10;AABkcnMvZTJvRG9jLnhtbFBLBQYAAAAABgAGAFkBAAAQBgAAAAA=&#10;">
                  <v:fill on="t" focussize="0,0"/>
                  <v:stroke weight="1pt" color="#000000 [3213]" miterlimit="8" joinstyle="miter"/>
                  <v:imagedata o:title=""/>
                  <o:lock v:ext="edit" aspectratio="f"/>
                  <v:textbox>
                    <w:txbxContent>
                      <w:p w14:paraId="0DD90781">
                        <w:pPr>
                          <w:jc w:val="center"/>
                          <w:rPr>
                            <w:color w:val="000000"/>
                          </w:rPr>
                        </w:pPr>
                        <w:r>
                          <w:rPr>
                            <w:rFonts w:hint="eastAsia"/>
                            <w:color w:val="000000"/>
                          </w:rPr>
                          <w:t>清单数据结果</w:t>
                        </w:r>
                      </w:p>
                    </w:txbxContent>
                  </v:textbox>
                </v:rect>
                <v:rect id="_x0000_s1026" o:spid="_x0000_s1026" o:spt="1" style="position:absolute;left:1501748;top:4799575;height:354965;width:1694180;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C7OGnCegIAAOsEAAAOAAAAZHJzL2Uyb0RvYy54bWytVM1u2zAM&#10;vg/YOwi6r3YyO3+oUwQNMgwotgLdsLMiy7EA/Y1S4nQvM2C3PUQfZ9hrjJLdNu126GE+2KRJkfw+&#10;kjq/OGpFDgK8tKaio7OcEmG4raXZVfTzp82bGSU+MFMzZY2o6K3w9GL5+tV55xZibFuragEEgxi/&#10;6FxF2xDcIss8b4Vm/sw6YdDYWNAsoAq7rAbWYXStsnGeT7LOQu3AcuE9/l33RjpEhJcEtE0juVhb&#10;vtfChD4qCMUCQvKtdJ4uU7VNI3j42DReBKIqikhDemMSlLfxnS3P2WIHzLWSDyWwl5TwDJNm0mDS&#10;h1BrFhjZg/wrlJYcrLdNOONWZz2QxAiiGOXPuLlpmRMJC1Lt3QPp/v+F5R8O10BkXdHJeFrO8mJc&#10;UmKYxsb//v7z190P8vgfueqcX+CRG3cNg+ZRjMCPDej4RUjkiHNV5qNpgaN0W9FiOp+X07LnWhwD&#10;4dFhMi9GM2wDR4+3ZTGfJIfsMZIDH94Jq0kUKgrYy0QxO1z5gNnR9d4lJvZWyXojlUoK7LaXCsiB&#10;Yd836Ynp8cgTN2VIh6WMp3kshOE0NzhFKGqHjHizo4SpHa4JD5ByPzntT5Pk6flXkljkmvm2LyZF&#10;6KnQMuAmKakrOjs9rQxWGpnuuY1SOG6PA+FbW99iy8D2s+wd30jMcMV8uGaAw4tQcL3R2lr4RkmH&#10;w41Yvu4ZCErUe4PTMx8VBbqFpBTldIwKnFq2pxaz15cWeRzhxeB4EqN/UPdiA1Z/wa1exaxoYoZj&#10;7p61QbkM/dLhvcDFapXccAMcC1fmxvEYPPbN2NU+2Eam/kbgPdqBD9yB1MNhX+OSnerJ6/GOW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gk20tQAAAAFAQAADwAAAAAAAAABACAAAAAiAAAAZHJz&#10;L2Rvd25yZXYueG1sUEsBAhQAFAAAAAgAh07iQLs4acJ6AgAA6wQAAA4AAAAAAAAAAQAgAAAAIwEA&#10;AGRycy9lMm9Eb2MueG1sUEsFBgAAAAAGAAYAWQEAAA8GAAAAAA==&#10;">
                  <v:fill on="t" focussize="0,0"/>
                  <v:stroke weight="1pt" color="#000000 [3213]" miterlimit="8" joinstyle="miter"/>
                  <v:imagedata o:title=""/>
                  <o:lock v:ext="edit" aspectratio="f"/>
                  <v:textbox>
                    <w:txbxContent>
                      <w:p w14:paraId="0A1C5B2B">
                        <w:pPr>
                          <w:jc w:val="center"/>
                          <w:rPr>
                            <w:color w:val="000000"/>
                          </w:rPr>
                        </w:pPr>
                        <w:r>
                          <w:rPr>
                            <w:rFonts w:hint="eastAsia"/>
                            <w:color w:val="000000"/>
                          </w:rPr>
                          <w:t>不确定性分析</w:t>
                        </w:r>
                      </w:p>
                    </w:txbxContent>
                  </v:textbox>
                </v:rect>
                <v:shape id="_x0000_s1026" o:spid="_x0000_s1026" o:spt="116" type="#_x0000_t116" style="position:absolute;left:1455108;top:5503752;height:483235;width:1796415;" fillcolor="#FFFFFF [3212]" filled="t" stroked="t" coordsize="21600,21600" o:gfxdata="UEsDBAoAAAAAAIdO4kAAAAAAAAAAAAAAAAAEAAAAZHJzL1BLAwQUAAAACACHTuJACxayi9YAAAAF&#10;AQAADwAAAGRycy9kb3ducmV2LnhtbE2PQUvDQBCF74L/YRnBi9hNajE2ZlNQFMGDaFVynWbHJJid&#10;DdlNG/+9oxe9DDze471vis3serWnMXSeDaSLBBRx7W3HjYG31/vzK1AhIlvsPZOBLwqwKY+PCsyt&#10;P/AL7bexUVLCIUcDbYxDrnWoW3IYFn4gFu/Djw6jyLHRdsSDlLteL5PkUjvsWBZaHOi2pfpzOzkD&#10;VY3Z4/tkK3uTTvT81FR3Z/ODMacnaXINKtIc/8Lwgy/oUArTzk9sg+oNyCPx94qXXazWoHYG1qtl&#10;Bros9H/68htQSwMEFAAAAAgAh07iQMVkRy6WAgAABQUAAA4AAABkcnMvZTJvRG9jLnhtbK1UvW7b&#10;MBDeC/QdCO61ZEWKHSNyYNhwUSBoAyRFZ5qiLAL8K0lbdrduBfoI3Tp16dipQN+myWv0SCmJk3bI&#10;UA3yne/43d3H73R6tpMCbZl1XKsSDwcpRkxRXXG1LvHbq+WLMUbOE1URoRUr8Z45fDZ9/uy0NROW&#10;6UaLilkEIMpNWlPixnszSRJHGyaJG2jDFARrbSXx4Np1UlnSAroUSZamx0mrbWWspsw5+HfRBXGP&#10;aJ8CqOuaU7bQdCOZ8h2qZYJ4GMk13Dg8jd3WNaP+TV075pEoMUzq4xuKgL0K72R6SiZrS0zDad8C&#10;eUoLj2aShCsoege1IJ6gjeV/QUlOrXa69gOqZdINEhmBKYbpI24uG2JYnAWoduaOdPf/YOnr7YVF&#10;vAIljPLhyTiDN0aKSLj56x8fb759/v3l1wTd/Px0/f0rOsgB4lrjJnD+0lzY3nNgBhZ2tZXhF+ZD&#10;O4DOi2KYgq72JS6K9GhUZB3xbOcRDQmjk+N8WGBEISMfH2VHRUhI7pGMdf4l0xIFo8S10O28IdZf&#10;MSu5Il7bSD/Znjvfnbw9EfpwWvBqyYWIjl2v5sKiLQFNLOPTF3uQJhRqobNslIJWKAGl16AwMKUB&#10;tpxaY0TEGlaI+q72g9PusEgan38VCU0uiGu6ZiJCx4zkHrZMcFni8eFpoYCWQHxHdbD8brXr+V/p&#10;ag/XaXWnc2fokkOFc+L8BbEgbBgFVh+ijbYfMGpB+DDL+w2xDCPxSoGyToZ5HjYlOnkxysCxh5HV&#10;YURt5FwDjyAaqBbNkO/FrVlbLd/Bxs9CVQgRRaF2iYHJzpz7bh3hi0HZbBaTYDcM8efq0tAAHW5N&#10;6dnG65rH2w1jd7P2bMB2RLn0mxzW79CPWfdfr+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Cxay&#10;i9YAAAAFAQAADwAAAAAAAAABACAAAAAiAAAAZHJzL2Rvd25yZXYueG1sUEsBAhQAFAAAAAgAh07i&#10;QMVkRy6WAgAABQUAAA4AAAAAAAAAAQAgAAAAJQEAAGRycy9lMm9Eb2MueG1sUEsFBgAAAAAGAAYA&#10;WQEAAC0GAAAAAA==&#10;">
                  <v:fill on="t" focussize="0,0"/>
                  <v:stroke weight="1pt" color="#000000 [3213]" miterlimit="8" joinstyle="miter"/>
                  <v:imagedata o:title=""/>
                  <o:lock v:ext="edit" aspectratio="f"/>
                  <v:textbox>
                    <w:txbxContent>
                      <w:p w14:paraId="0D6B4F74">
                        <w:pPr>
                          <w:jc w:val="center"/>
                          <w:rPr>
                            <w:color w:val="000000"/>
                          </w:rPr>
                        </w:pPr>
                        <w:r>
                          <w:rPr>
                            <w:rFonts w:hint="eastAsia"/>
                            <w:color w:val="000000"/>
                          </w:rPr>
                          <w:t>编制与审核</w:t>
                        </w:r>
                      </w:p>
                    </w:txbxContent>
                  </v:textbox>
                </v:shape>
                <v:shape id="_x0000_s1026" o:spid="_x0000_s1026" o:spt="32" type="#_x0000_t32" style="position:absolute;left:2324368;top:5154501;height:349250;width:0;" filled="f" stroked="t" coordsize="21600,21600" o:gfxdata="UEsDBAoAAAAAAIdO4kAAAAAAAAAAAAAAAAAEAAAAZHJzL1BLAwQUAAAACACHTuJAXbU0d9cAAAAF&#10;AQAADwAAAGRycy9kb3ducmV2LnhtbE2PzU7DMBCE70i8g7VI3KjTUqUkxKkEFSIXkGgR4ujGS2wR&#10;r6N4+8fTY7jAZaXRjGa+rZZH34s9jtEFUjCdZCCQ2mAcdQpeNw9XNyAiazK6D4QKThhhWZ+fVbo0&#10;4UAvuF9zJ1IJxVIrsMxDKWVsLXodJ2FASt5HGL3mJMdOmlEfUrnv5SzLcum1o7Rg9YD3FtvP9c4r&#10;4NX7yeZv7V3hnjePT7n7appmpdTlxTS7BcF45L8w/OAndKgT0zbsyETRK0iP8O9N3uJ6XoDYKijm&#10;swXIupL/6etvUEsDBBQAAAAIAIdO4kAv6/Yz9wEAALUDAAAOAAAAZHJzL2Uyb0RvYy54bWytU82O&#10;0zAQviPxDpbvNGnaVN2q6R5alguCSsADuI6TWPKfxm7TvgQvgMQJOAGnvfM0sPsYO3bLFpbLHsjB&#10;GXtmPs/3zXh+udeK7AR4aU1Fh4OcEmG4raVpK/ru7dWzKSU+MFMzZY2o6EF4erl4+mTeu5kobGdV&#10;LYAgiPGz3lW0C8HNsszzTmjmB9YJg87GgmYBt9BmNbAe0bXKijyfZL2F2oHlwns8XR2d9IQIjwG0&#10;TSO5WFm+1cKEIyoIxQJS8p10ni5StU0jeHjdNF4EoiqKTENa8RK0N3HNFnM2a4G5TvJTCewxJTzg&#10;pJk0eOk91IoFRrYg/4HSkoP1tgkDbnV2JJIUQRbD/IE2bzrmROKCUnt3L7r/f7D81W4NRNYVnU7G&#10;xTSflAUlhmls/M2H61/vP998//bz0/Xtj4/R/vqFnMNQut75GSIszRpOO+/WEHXYN6DjHxmSfUWL&#10;UTEeTXCyDhUth+W4zIdH6cU+EI4B2A+OvtH4oihTV7IzhgMfXgirSTQq6gMw2XZhaY3B/loYJuXZ&#10;7qUPWAUm/k6IBRh7JZVKbVaG9BW9KIsyJXirZB2dMcxDu1kqIDsWByV9sUAE+ysM7NbUCSwwqZ6b&#10;moSDQ60CSGZaJU45ymBqFOcoR7Q2tj4kldI5djOBnyYvjsuf+5R9fm2L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1NHfXAAAABQEAAA8AAAAAAAAAAQAgAAAAIgAAAGRycy9kb3ducmV2LnhtbFBL&#10;AQIUABQAAAAIAIdO4kAv6/Yz9wEAALUDAAAOAAAAAAAAAAEAIAAAACYBAABkcnMvZTJvRG9jLnht&#10;bFBLBQYAAAAABgAGAFkBAACPBQAAAAA=&#10;">
                  <v:fill on="f" focussize="0,0"/>
                  <v:stroke color="#000000" joinstyle="round" endarrow="block"/>
                  <v:imagedata o:title=""/>
                  <o:lock v:ext="edit" aspectratio="f"/>
                </v:shape>
                <v:shape id="_x0000_s1026" o:spid="_x0000_s1026" o:spt="32" type="#_x0000_t32" style="position:absolute;left:2324368;top:4450968;height:348615;width:0;" filled="f" stroked="t" coordsize="21600,21600" o:gfxdata="UEsDBAoAAAAAAIdO4kAAAAAAAAAAAAAAAAAEAAAAZHJzL1BLAwQUAAAACACHTuJAXbU0d9cAAAAF&#10;AQAADwAAAGRycy9kb3ducmV2LnhtbE2PzU7DMBCE70i8g7VI3KjTUqUkxKkEFSIXkGgR4ujGS2wR&#10;r6N4+8fTY7jAZaXRjGa+rZZH34s9jtEFUjCdZCCQ2mAcdQpeNw9XNyAiazK6D4QKThhhWZ+fVbo0&#10;4UAvuF9zJ1IJxVIrsMxDKWVsLXodJ2FASt5HGL3mJMdOmlEfUrnv5SzLcum1o7Rg9YD3FtvP9c4r&#10;4NX7yeZv7V3hnjePT7n7appmpdTlxTS7BcF45L8w/OAndKgT0zbsyETRK0iP8O9N3uJ6XoDYKijm&#10;swXIupL/6etvUEsDBBQAAAAIAIdO4kCLbxyh9QEAALcDAAAOAAAAZHJzL2Uyb0RvYy54bWytU8GO&#10;0zAQvSPxD5bvNGnalDZquoeW5YKgEvABruMklhzbGrtN+xP8ABIn4ASc9s7XwPIZjN2wuyyXPZCD&#10;M/bMPM97M15eHDtFDgKcNLqk41FKidDcVFI3JX375vLJnBLnma6YMlqU9CQcvVg9frTsbSEy0xpV&#10;CSAIol3R25K23tsiSRxvRcfcyFih0Vkb6JjHLTRJBaxH9E4lWZrOkt5AZcFw4Ryebs5OOiDCQwBN&#10;XUsuNobvO6H9GRWEYh4puVZaR1ex2roW3L+qayc8USVFpj6ueAnau7AmqyUrGmC2lXwogT2khHuc&#10;OiY1XnoDtWGekT3If6A6ycE4U/sRN11yJhIVQRbj9J42r1tmReSCUjt7I7r7f7D85WELRFYlzdIs&#10;nS/Sp3lOiWYddv76/dXPd5+uv3398fHq1/cPwf7ymdyJQ/F66wrEWOstDDtntxCUONbQhT9yJEeE&#10;n2TTyQxn61TS6TRPF2hH8cXRE44B2BGOvsl0PhvnwZXcYlhw/rkwHQlGSZ0HJpvWr43W2GED46g9&#10;O7xw/pz4JyEUoM2lVCrepTTpS7rIszwmOKNkFZwhzEGzWysgBxZGJX5DFX+FgdnrKoJ5JtUzXRF/&#10;siiWB8l0o8SQozQSCOKc5QjWzlSnqFI8x35GisPshYG5u4/Zt+9t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tTR31wAAAAUBAAAPAAAAAAAAAAEAIAAAACIAAABkcnMvZG93bnJldi54bWxQSwEC&#10;FAAUAAAACACHTuJAi28cofUBAAC3AwAADgAAAAAAAAABACAAAAAmAQAAZHJzL2Uyb0RvYy54bWxQ&#10;SwUGAAAAAAYABgBZAQAAjQUAAAAA&#10;">
                  <v:fill on="f" focussize="0,0"/>
                  <v:stroke color="#000000" joinstyle="round" endarrow="block"/>
                  <v:imagedata o:title=""/>
                  <o:lock v:ext="edit" aspectratio="f"/>
                </v:shape>
                <v:shape id="_x0000_s1026" o:spid="_x0000_s1026" o:spt="32" type="#_x0000_t32" style="position:absolute;left:2324368;top:3746753;height:347980;width:0;" filled="f" stroked="t" coordsize="21600,21600" o:gfxdata="UEsDBAoAAAAAAIdO4kAAAAAAAAAAAAAAAAAEAAAAZHJzL1BLAwQUAAAACACHTuJAXbU0d9cAAAAF&#10;AQAADwAAAGRycy9kb3ducmV2LnhtbE2PzU7DMBCE70i8g7VI3KjTUqUkxKkEFSIXkGgR4ujGS2wR&#10;r6N4+8fTY7jAZaXRjGa+rZZH34s9jtEFUjCdZCCQ2mAcdQpeNw9XNyAiazK6D4QKThhhWZ+fVbo0&#10;4UAvuF9zJ1IJxVIrsMxDKWVsLXodJ2FASt5HGL3mJMdOmlEfUrnv5SzLcum1o7Rg9YD3FtvP9c4r&#10;4NX7yeZv7V3hnjePT7n7appmpdTlxTS7BcF45L8w/OAndKgT0zbsyETRK0iP8O9N3uJ6XoDYKijm&#10;swXIupL/6etvUEsDBBQAAAAIAIdO4kDXs6yU9wEAALcDAAAOAAAAZHJzL2Uyb0RvYy54bWytU0uO&#10;EzEQ3SNxB8t70vl1Pq10ZpEwbBBEAg7guN3dlvxT2Uknl+ACSKyAFcNq9pwGhmNQdsLMMGxmQS/c&#10;ZVfVc71X5cXFQSuyF+ClNSUd9PqUCMNtJU1T0ndvL5/NKPGBmYopa0RJj8LTi+XTJ4vOFWJoW6sq&#10;AQRBjC86V9I2BFdkmeet0Mz3rBMGnbUFzQJuockqYB2ia5UN+/1J1lmoHFguvMfT9clJz4jwGEBb&#10;15KLteU7LUw4oYJQLCAl30rn6TJVW9eCh9d17UUgqqTINKQVL0F7G9dsuWBFA8y1kp9LYI8p4QEn&#10;zaTBS2+h1iwwsgP5D5SWHKy3dehxq7MTkaQIshj0H2jzpmVOJC4otXe3ovv/B8tf7TdAZIWTkM/z&#10;4Xw+y3NKDNPY+ZsP1z/ff775dvXj0/Wv7x+j/fULuReH4nXOF4ixMhs477zbQFTiUIOOf+RIDiUd&#10;jobj0QRn61jS0XQ8meajk/jiEAjHAOwIj77xdD5LfcnuMBz48EJYTaJRUh+AyaYNK2sMdtjCIGnP&#10;9i99wCow8U9CLMDYS6lUarQypCsp8sxTgrdKVtEZwzw025UCsmdxVNIXC0Swv8LA7kyVwAKT6rmp&#10;SDg6FCuAZKZR4pyjDKZGcU5yRGtrq2NSKZ1jPxP4efbiwNzfp+y797b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1NHfXAAAABQEAAA8AAAAAAAAAAQAgAAAAIgAAAGRycy9kb3ducmV2LnhtbFBL&#10;AQIUABQAAAAIAIdO4kDXs6yU9wEAALcDAAAOAAAAAAAAAAEAIAAAACYBAABkcnMvZTJvRG9jLnht&#10;bFBLBQYAAAAABgAGAFkBAACPBQAAAAA=&#10;">
                  <v:fill on="f" focussize="0,0"/>
                  <v:stroke color="#000000" joinstyle="round" endarrow="block"/>
                  <v:imagedata o:title=""/>
                  <o:lock v:ext="edit" aspectratio="f"/>
                </v:shape>
                <v:shape id="连接符: 肘形 88178409" o:spid="_x0000_s1026" o:spt="33" type="#_x0000_t33" style="position:absolute;left:1304058;top:2110339;flip:x;height:1842281;width:275175;rotation:5898240f;" filled="f" stroked="t" coordsize="21600,21600" o:gfxdata="UEsDBAoAAAAAAIdO4kAAAAAAAAAAAAAAAAAEAAAAZHJzL1BLAwQUAAAACACHTuJAOuQK5tcAAAAF&#10;AQAADwAAAGRycy9kb3ducmV2LnhtbE2PT08CMRDF7yR+h2ZMvEHLH0HW7XIgMfGACQLRa9mO2w3b&#10;6brtAn57Ry96meTNm7z3m3x19Y04YxfrQBrGIwUCqQy2pkrDYf80fAARkyFrmkCo4QsjrIqbQW4y&#10;Gy70iuddqgSHUMyMBpdSm0kZS4fexFFokdj7CJ03iWVXSduZC4f7Rk6UmktvauIGZ1pcOyxPu95r&#10;2J7W7n36qe731fPLpt9s38jxXt/djtUjiITX9HcMP/iMDgUzHUNPNopGAz+Sfid7i+lsCeKoYTmb&#10;LEAWufxPX3wDUEsDBBQAAAAIAIdO4kA8jkc1DgIAANQDAAAOAAAAZHJzL2Uyb0RvYy54bWytU0uO&#10;EzEQ3SNxB8t70p8kk04rnVkkDCz4jAQcwHG705bcLst20smWA7BmxQJpWHEFxGmAOQZldwgwbGZB&#10;L6yu36t6z+XF5aFTZC+sk6Armo1SSoTmUEu9reib11ePCkqcZ7pmCrSo6FE4erl8+GDRm1Lk0IKq&#10;hSUIol3Zm4q23psySRxvRcfcCIzQGGzAdsyjabdJbVmP6J1K8jS9SHqwtbHAhXPoXQ9BekK09wGE&#10;ppFcrIHvOqH9gGqFYh4puVYaR5dx2qYR3L9sGic8URVFpj6e2AT/N+FMlgtWbi0zreSnEdh9RrjD&#10;qWNSY9Mz1Jp5RnZW/gPVSW7BQeNHHLpkIBIVQRZZekebVy0zInJBqZ05i+7+Hyx/sb+2RNYVLYps&#10;VkzSOSWadXjvt18/fH938+Pzp5Lcvn3/7ctHcs5A0XrjSqxd6Wt7spxBoE3/HGosZjsPUY9DYzti&#10;AXXPLvD28aOkUdI8RUdMQAnIAY1xOkmnuHrHiuZZlo7H8+FuxMETjgn5bJrNppRwTMiKSZ4XWUhI&#10;WBlaBOmNdf6JgI6En4pucDVWoDWuANg89mL7Z84PRb+SQ6GGK6kU+lmpNOkrOp/m01jgQMk6BEPM&#10;2e1mpSzZs7BLA5cB7K80CztdRzDPpHqsa+KPBiXR+JpOEyuNgwcFg2aDlhuoj1HK6MfLjtROixm2&#10;6U87Vv9+jM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uQK5tcAAAAFAQAADwAAAAAAAAABACAA&#10;AAAiAAAAZHJzL2Rvd25yZXYueG1sUEsBAhQAFAAAAAgAh07iQDyORzUOAgAA1AMAAA4AAAAAAAAA&#10;AQAgAAAAJgEAAGRycy9lMm9Eb2MueG1sUEsFBgAAAAAGAAYAWQEAAKYFAAAAAA==&#10;">
                  <v:fill on="f" focussize="0,0"/>
                  <v:stroke color="#000000" joinstyle="round"/>
                  <v:imagedata o:title=""/>
                  <o:lock v:ext="edit" aspectratio="f"/>
                </v:shape>
                <v:shape id="连接符: 肘形 2109105553" o:spid="_x0000_s1026" o:spt="33" type="#_x0000_t33" style="position:absolute;left:3030202;top:2210056;height:1626375;width:291533;rotation:5898240f;" filled="f" stroked="t" coordsize="21600,21600" o:gfxdata="UEsDBAoAAAAAAIdO4kAAAAAAAAAAAAAAAAAEAAAAZHJzL1BLAwQUAAAACACHTuJArBruV9cAAAAF&#10;AQAADwAAAGRycy9kb3ducmV2LnhtbE2PwU7DMBBE70j8g7VI3KjTUlEasukBCYFEe2igB25uvCSh&#10;9jqy3bT5ewwXuKw0mtHM22J1tkYM5EPnGGE6yUAQ10533CC8vz3d3IMIUbFWxjEhjBRgVV5eFCrX&#10;7sRbGqrYiFTCIVcIbYx9LmWoW7IqTFxPnLxP562KSfpGaq9OqdwaOcuyO2lVx2mhVT09tlQfqqNF&#10;0OtDZdevz6PZfA3d5mW3+xi9Qby+mmYPICKd418YfvATOpSJae+OrIMwCOmR+HuTt7idL0HsEZbz&#10;2QJkWcj/9OU3UEsDBBQAAAAIAIdO4kDeF5FBBwIAAM0DAAAOAAAAZHJzL2Uyb0RvYy54bWytU02O&#10;0zAU3iNxB8t7GiclZRo1nUXLsOFnpIEDuI7TWHL8LNtt2i0HYM2KBRKsuALiNMAcg2enDMOwmQVe&#10;WPb7+fy+7z0vzg+9JnvpvAJT03zCKJFGQKPMtqZvXl88OqPEB24arsHImh6lp+fLhw8Wg61kAR3o&#10;RjqCIMZXg61pF4KtssyLTvbcT8BKg84WXM8DXt02axwfEL3XWcHYLBvANdaBkN6jdT066QnR3QcQ&#10;2lYJuQax66UJI6qTmgek5DtlPV2mattWivCqbb0MRNcUmYa04yN43sQ9Wy54tXXcdkqcSuD3KeEO&#10;p54rg4/eQK154GTn1D9QvRIOPLRhIqDPRiJJEWSRszvaXHXcysQFpfb2RnT//2DFy/2lI6qpaZGz&#10;ec7KspxSYniPnb/+9uHHu08/v3yuyPXb99+/fiS3YlC4wfoK81fm0p1u3iLYZngBDabzXYCkyaF1&#10;PXGA2pePWVzJitzJoaZTNmUFKyg5YgmIz8rZ2BR5CERgQDHPyynWJDAgnxWz6ZMyBmS8irhRc+t8&#10;eCahJ/FQ0w3OxAqMwd6DK9JbfP/chzHpd3BMNHChtEY7r7QhQ03nZVGmBA9aNdEZfd5tNyvtyJ7H&#10;IRoZjGB/hTnYmSaBBa70U9OQcLSog8FvdKpYGyw8yhaFGgXcQHNM+iU7djlRO01kHKPb95T95xc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Gu5X1wAAAAUBAAAPAAAAAAAAAAEAIAAAACIAAABk&#10;cnMvZG93bnJldi54bWxQSwECFAAUAAAACACHTuJA3heRQQcCAADNAwAADgAAAAAAAAABACAAAAAm&#10;AQAAZHJzL2Uyb0RvYy54bWxQSwUGAAAAAAYABgBZAQAAnwUAAAAA&#10;">
                  <v:fill on="f" focussize="0,0"/>
                  <v:stroke color="#000000" joinstyle="round"/>
                  <v:imagedata o:title=""/>
                  <o:lock v:ext="edit" aspectratio="f"/>
                </v:shape>
                <v:shape id="_x0000_s1026" o:spid="_x0000_s1026" o:spt="32" type="#_x0000_t32" style="position:absolute;left:2323790;top:2877141;height:513708;width:854;" filled="f" stroked="t" coordsize="21600,21600" o:gfxdata="UEsDBAoAAAAAAIdO4kAAAAAAAAAAAAAAAAAEAAAAZHJzL1BLAwQUAAAACACHTuJAXbU0d9cAAAAF&#10;AQAADwAAAGRycy9kb3ducmV2LnhtbE2PzU7DMBCE70i8g7VI3KjTUqUkxKkEFSIXkGgR4ujGS2wR&#10;r6N4+8fTY7jAZaXRjGa+rZZH34s9jtEFUjCdZCCQ2mAcdQpeNw9XNyAiazK6D4QKThhhWZ+fVbo0&#10;4UAvuF9zJ1IJxVIrsMxDKWVsLXodJ2FASt5HGL3mJMdOmlEfUrnv5SzLcum1o7Rg9YD3FtvP9c4r&#10;4NX7yeZv7V3hnjePT7n7appmpdTlxTS7BcF45L8w/OAndKgT0zbsyETRK0iP8O9N3uJ6XoDYKijm&#10;swXIupL/6etvUEsDBBQAAAAIAIdO4kDe75iL+AEAALcDAAAOAAAAZHJzL2Uyb0RvYy54bWytk8+O&#10;0zAQxu9IvIPlO03SP9s2arqHluWCYCXgAVzHSSw5tjV2m/YleAEkTsAJOO2dp4HlMRg7YQvLZQ/k&#10;4Iw9ni/z/eysLo+tIgcBThpd0GyUUiI0N6XUdUHfvL56sqDEeaZLpowWBT0JRy/Xjx+tOpuLsWmM&#10;KgUQFNEu72xBG+9tniSON6JlbmSs0JisDLTM4xTqpATWoXqrknGaXiSdgdKC4cI5XN32SToowkME&#10;TVVJLraG71uhfa8KQjGPllwjraPr2G1VCe5fVpUTnqiColMfR/wIxrswJusVy2tgtpF8aIE9pIV7&#10;nlomNX70TmrLPCN7kP9ItZKDcabyI27apDcSiaCLLL3H5lXDrIheELWzd9Dd/5PlLw7XQGRZ0Nl8&#10;mi6my/SCEs1aPPjbdzc/3n68/frl+4ebn9/eh/jzJ3Lehug663JU2OhrGGbOXkPgcKygDW90SI4F&#10;HU/Gk/kSoZ8wXszn2TTr0YujJxw3LGZTSjhmZ9lkni5CMjmrWHD+mTAtCUFBnQcm68ZvjNZ4wgay&#10;yJ4dnjvfF/4uCC1ocyWVwnWWK026gi5n41kscEbJMiRDzkG92yggBxauSnyGLv7aBmavyyjmmVRP&#10;dUn8ySItD5LpWomhRmk0EPD0QEK0M+UpcorreJ7R4nD3woX5cx6rz//b+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tTR31wAAAAUBAAAPAAAAAAAAAAEAIAAAACIAAABkcnMvZG93bnJldi54bWxQ&#10;SwECFAAUAAAACACHTuJA3u+Yi/gBAAC3AwAADgAAAAAAAAABACAAAAAmAQAAZHJzL2Uyb0RvYy54&#10;bWxQSwUGAAAAAAYABgBZAQAAkAUAAAAA&#10;">
                  <v:fill on="f" focussize="0,0"/>
                  <v:stroke color="#000000" joinstyle="round" endarrow="block"/>
                  <v:imagedata o:title=""/>
                  <o:lock v:ext="edit" aspectratio="f"/>
                </v:shape>
                <w10:wrap type="none"/>
                <w10:anchorlock/>
              </v:group>
            </w:pict>
          </mc:Fallback>
        </mc:AlternateContent>
      </w:r>
    </w:p>
    <w:p w14:paraId="2DE6F975">
      <w:pPr>
        <w:pStyle w:val="60"/>
        <w:spacing w:line="360" w:lineRule="auto"/>
        <w:ind w:firstLine="0" w:firstLineChars="0"/>
        <w:jc w:val="center"/>
      </w:pPr>
      <w:r>
        <w:rPr>
          <w:rFonts w:hint="eastAsia"/>
        </w:rPr>
        <w:t>图1 清单编制流程</w:t>
      </w:r>
    </w:p>
    <w:p w14:paraId="4D14C158">
      <w:pPr>
        <w:pStyle w:val="60"/>
        <w:spacing w:line="360" w:lineRule="auto"/>
        <w:ind w:firstLine="0" w:firstLineChars="0"/>
        <w:rPr>
          <w:rFonts w:hint="eastAsia"/>
        </w:rPr>
      </w:pPr>
      <w:r>
        <w:br w:type="page"/>
      </w:r>
    </w:p>
    <w:p w14:paraId="1AA1C91A">
      <w:pPr>
        <w:pStyle w:val="109"/>
        <w:spacing w:before="120" w:after="120"/>
      </w:pPr>
      <w:bookmarkStart w:id="118" w:name="_Toc137108839"/>
      <w:bookmarkStart w:id="119" w:name="_Toc170497002"/>
      <w:bookmarkStart w:id="120" w:name="_Toc137109102"/>
      <w:bookmarkStart w:id="121" w:name="_Hlk168324903"/>
      <w:bookmarkStart w:id="122" w:name="_Toc77263531"/>
      <w:r>
        <w:rPr>
          <w:rFonts w:hint="eastAsia"/>
        </w:rPr>
        <w:t>大气挥发性有机污染物排放总量计算方法</w:t>
      </w:r>
      <w:bookmarkEnd w:id="118"/>
      <w:bookmarkEnd w:id="119"/>
      <w:bookmarkEnd w:id="120"/>
    </w:p>
    <w:bookmarkEnd w:id="121"/>
    <w:p w14:paraId="5FF05D60">
      <w:pPr>
        <w:pStyle w:val="242"/>
        <w:ind w:left="420" w:firstLine="0" w:firstLineChars="0"/>
      </w:pPr>
      <w:bookmarkStart w:id="123" w:name="_Hlk168408711"/>
      <w:bookmarkStart w:id="124" w:name="_Hlk168409004"/>
      <w:r>
        <w:rPr>
          <w:rFonts w:hint="eastAsia"/>
        </w:rPr>
        <w:t>电子电路制造企业大气挥发性有机污染物源项归类解析法，排放总量计算方法见公式</w:t>
      </w:r>
      <w:bookmarkEnd w:id="123"/>
      <w:r>
        <w:t>(1)</w:t>
      </w:r>
      <w:r>
        <w:rPr>
          <w:rFonts w:hint="eastAsia"/>
        </w:rPr>
        <w:t>：</w:t>
      </w:r>
      <w:bookmarkStart w:id="125" w:name="OLE_LINK17"/>
    </w:p>
    <w:p w14:paraId="7B2E62E9">
      <w:pPr>
        <w:pStyle w:val="242"/>
        <w:ind w:left="420" w:firstLine="0" w:firstLineChars="0"/>
      </w:pPr>
    </w:p>
    <w:p w14:paraId="3A4FA018">
      <w:pPr>
        <w:pStyle w:val="242"/>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hint="eastAsia" w:ascii="Cambria Math" w:hAnsi="Cambria Math"/>
              </w:rPr>
              <m:t>电子电路</m:t>
            </m:r>
            <m:ctrlPr>
              <w:rPr>
                <w:rFonts w:ascii="Cambria Math" w:hAnsi="Cambria Math"/>
              </w:rPr>
            </m:ctrlPr>
          </m:sub>
        </m:sSub>
        <m:r>
          <m:rPr>
            <m:sty m:val="p"/>
          </m:rPr>
          <w:rPr>
            <w:rFonts w:ascii="Cambria Math" w:hAnsi="Cambria Math"/>
          </w:rPr>
          <m:t>=</m:t>
        </m:r>
        <m:nary>
          <m:naryPr>
            <m:chr m:val="∑"/>
            <m:ctrlPr>
              <w:rPr>
                <w:rFonts w:ascii="Cambria Math" w:hAnsi="Cambria Math"/>
              </w:rPr>
            </m:ctrlPr>
          </m:naryPr>
          <m:sub>
            <m:r>
              <m:rPr/>
              <w:rPr>
                <w:rFonts w:ascii="Cambria Math" w:hAnsi="Cambria Math"/>
              </w:rPr>
              <m:t>m</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m</m:t>
                </m:r>
                <m:ctrlPr>
                  <w:rPr>
                    <w:rFonts w:ascii="Cambria Math" w:hAnsi="Cambria Math"/>
                  </w:rPr>
                </m:ctrlPr>
              </m:sub>
            </m:sSub>
            <m:ctrlPr>
              <w:rPr>
                <w:rFonts w:ascii="Cambria Math" w:hAnsi="Cambria Math"/>
              </w:rPr>
            </m:ctrlPr>
          </m:e>
        </m:nary>
        <m:r>
          <m:rPr>
            <m:sty m:val="p"/>
          </m:rPr>
          <w:rPr>
            <w:rFonts w:ascii="Cambria Math" w:hAnsi="Cambria Math"/>
          </w:rPr>
          <m:t>−</m:t>
        </m:r>
        <m:nary>
          <m:naryPr>
            <m:chr m:val="∑"/>
            <m:ctrlPr>
              <w:rPr>
                <w:rFonts w:ascii="Cambria Math" w:hAnsi="Cambria Math"/>
              </w:rPr>
            </m:ctrlPr>
          </m:naryPr>
          <m:sub>
            <m:r>
              <m:rPr/>
              <w:rPr>
                <w:rFonts w:ascii="Cambria Math" w:hAnsi="Cambria Math"/>
              </w:rPr>
              <m:t>m</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m</m:t>
                </m:r>
                <m:ctrlPr>
                  <w:rPr>
                    <w:rFonts w:ascii="Cambria Math" w:hAnsi="Cambria Math"/>
                  </w:rPr>
                </m:ctrlPr>
                <w:bookmarkEnd w:id="125"/>
              </m:sub>
            </m:sSub>
            <m:ctrlPr>
              <w:rPr>
                <w:rFonts w:ascii="Cambria Math" w:hAnsi="Cambria Math"/>
              </w:rPr>
            </m:ctrlPr>
          </m:e>
        </m:nary>
      </m:oMath>
      <w:r>
        <w:tab/>
      </w:r>
      <w:r>
        <w:t>(1)</w:t>
      </w:r>
    </w:p>
    <w:p w14:paraId="1BBD8A9E">
      <w:pPr>
        <w:pStyle w:val="242"/>
      </w:pPr>
      <w:bookmarkStart w:id="126" w:name="OLE_LINK18"/>
      <w:r>
        <w:rPr>
          <w:rFonts w:hint="eastAsia"/>
        </w:rPr>
        <w:t>式中：</w:t>
      </w:r>
    </w:p>
    <w:p w14:paraId="517B9754">
      <w:pPr>
        <w:pStyle w:val="60"/>
        <w:ind w:firstLine="420"/>
      </w:pPr>
      <w:r>
        <w:rPr>
          <w:rFonts w:hint="eastAsia"/>
        </w:rPr>
        <w:t>E</w:t>
      </w:r>
      <w:r>
        <w:rPr>
          <w:rFonts w:hint="eastAsia"/>
          <w:vertAlign w:val="subscript"/>
        </w:rPr>
        <w:t>电子电路</w:t>
      </w:r>
      <w:bookmarkStart w:id="127" w:name="OLE_LINK9"/>
      <w:r>
        <w:rPr>
          <w:rFonts w:hint="eastAsia"/>
          <w:spacing w:val="-20"/>
        </w:rPr>
        <w:t>——</w:t>
      </w:r>
      <w:bookmarkEnd w:id="127"/>
      <w:r>
        <w:rPr>
          <w:rFonts w:hint="eastAsia"/>
        </w:rPr>
        <w:t>为统计期内VOCs排放量，千克；</w:t>
      </w:r>
    </w:p>
    <w:p w14:paraId="0D6959BF">
      <w:pPr>
        <w:pStyle w:val="60"/>
        <w:ind w:firstLine="420"/>
      </w:pPr>
      <w:r>
        <w:rPr>
          <w:rFonts w:hint="eastAsia"/>
        </w:rPr>
        <w:t>E</w:t>
      </w:r>
      <w:r>
        <w:rPr>
          <w:rFonts w:hint="eastAsia"/>
          <w:vertAlign w:val="subscript"/>
        </w:rPr>
        <w:t>m</w:t>
      </w:r>
      <w:r>
        <w:rPr>
          <w:rFonts w:hint="eastAsia"/>
          <w:spacing w:val="-20"/>
        </w:rPr>
        <w:t>——</w:t>
      </w:r>
      <w:r>
        <w:rPr>
          <w:rFonts w:hint="eastAsia"/>
        </w:rPr>
        <w:t>为统计期内第m个源项VOCs的产生量，千克；</w:t>
      </w:r>
    </w:p>
    <w:p w14:paraId="1DA49AE7">
      <w:pPr>
        <w:pStyle w:val="60"/>
        <w:ind w:firstLine="420"/>
      </w:pPr>
      <w:r>
        <w:rPr>
          <w:rFonts w:hint="eastAsia"/>
        </w:rPr>
        <w:t>D</w:t>
      </w:r>
      <w:r>
        <w:rPr>
          <w:rFonts w:hint="eastAsia"/>
          <w:vertAlign w:val="subscript"/>
        </w:rPr>
        <w:t>m</w:t>
      </w:r>
      <w:r>
        <w:rPr>
          <w:rFonts w:hint="eastAsia"/>
          <w:spacing w:val="-20"/>
        </w:rPr>
        <w:t>——</w:t>
      </w:r>
      <w:r>
        <w:rPr>
          <w:rFonts w:hint="eastAsia"/>
        </w:rPr>
        <w:t>为统计期内第m个源项污染控制设施VOCs的去除量，千克；</w:t>
      </w:r>
    </w:p>
    <w:p w14:paraId="4ED75154">
      <w:pPr>
        <w:pStyle w:val="60"/>
        <w:ind w:firstLine="420"/>
      </w:pPr>
      <w:r>
        <w:rPr>
          <w:rFonts w:hint="eastAsia"/>
        </w:rPr>
        <w:t>N</w:t>
      </w:r>
      <w:r>
        <w:rPr>
          <w:rFonts w:hint="eastAsia"/>
          <w:spacing w:val="-20"/>
        </w:rPr>
        <w:t>——</w:t>
      </w:r>
      <w:r>
        <w:rPr>
          <w:rFonts w:hint="eastAsia"/>
        </w:rPr>
        <w:t>为污染源总数</w:t>
      </w:r>
      <w:bookmarkEnd w:id="126"/>
      <w:r>
        <w:rPr>
          <w:rFonts w:hint="eastAsia"/>
        </w:rPr>
        <w:t>。</w:t>
      </w:r>
    </w:p>
    <w:p w14:paraId="3557F34F">
      <w:pPr>
        <w:pStyle w:val="60"/>
        <w:ind w:firstLine="420"/>
      </w:pPr>
      <w:r>
        <w:rPr>
          <w:rFonts w:hint="eastAsia"/>
        </w:rPr>
        <w:t>各源项VOCs产生量为该源项每一种VOCs组份产生量的加和，见公式</w:t>
      </w:r>
      <w:r>
        <w:rPr>
          <w:rFonts w:hint="eastAsia" w:ascii="Times New Roman"/>
        </w:rPr>
        <w:t>（2）</w:t>
      </w:r>
      <w:r>
        <w:rPr>
          <w:rFonts w:hint="eastAsia"/>
        </w:rPr>
        <w:t>：</w:t>
      </w:r>
    </w:p>
    <w:p w14:paraId="0A1DF7D7">
      <w:pPr>
        <w:pStyle w:val="242"/>
        <w:rPr>
          <w:rFonts w:hint="eastAsia" w:ascii="Times New Roman"/>
        </w:rPr>
      </w:pPr>
      <w:r>
        <w:tab/>
      </w:r>
      <w:r>
        <w:rPr>
          <w:rFonts w:hint="eastAsia"/>
        </w:rPr>
        <w:t xml:space="preserve"> </w:t>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m</m:t>
            </m:r>
            <m:ctrlPr>
              <w:rPr>
                <w:rFonts w:ascii="Cambria Math" w:hAnsi="Cambria Math"/>
              </w:rPr>
            </m:ctrlPr>
          </m:sub>
        </m:sSub>
        <m:r>
          <m:rPr>
            <m:sty m:val="p"/>
          </m:rPr>
          <w:rPr>
            <w:rFonts w:ascii="Cambria Math" w:hAnsi="Cambria Math"/>
          </w:rPr>
          <m:t>=</m:t>
        </m:r>
        <m:nary>
          <m:naryPr>
            <m:chr m:val="∑"/>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oMath>
      <w:r>
        <w:tab/>
      </w:r>
      <w:bookmarkStart w:id="128" w:name="OLE_LINK5"/>
      <w:r>
        <w:rPr>
          <w:rFonts w:hint="eastAsia" w:ascii="Times New Roman"/>
        </w:rPr>
        <w:t>（2）</w:t>
      </w:r>
      <w:bookmarkEnd w:id="128"/>
    </w:p>
    <w:p w14:paraId="3AB9BA4A">
      <w:pPr>
        <w:pStyle w:val="60"/>
        <w:ind w:firstLine="420"/>
      </w:pPr>
      <w:r>
        <w:rPr>
          <w:rFonts w:hint="eastAsia"/>
        </w:rPr>
        <w:t>式中：</w:t>
      </w:r>
    </w:p>
    <w:p w14:paraId="022C71CB">
      <w:pPr>
        <w:pStyle w:val="60"/>
        <w:ind w:firstLine="420"/>
      </w:pPr>
      <w:r>
        <w:rPr>
          <w:rFonts w:hint="eastAsia"/>
        </w:rPr>
        <w:t>E</w:t>
      </w:r>
      <w:r>
        <w:rPr>
          <w:rFonts w:hint="eastAsia"/>
          <w:vertAlign w:val="subscript"/>
        </w:rPr>
        <w:t>i</w:t>
      </w:r>
      <w:r>
        <w:rPr>
          <w:rFonts w:hint="eastAsia"/>
          <w:spacing w:val="-20"/>
        </w:rPr>
        <w:t>——</w:t>
      </w:r>
      <w:r>
        <w:rPr>
          <w:rFonts w:hint="eastAsia"/>
        </w:rPr>
        <w:t>为统计期内某个源项排放的VOCs组分i的产生量，见公式（</w:t>
      </w:r>
      <w:r>
        <w:t>3</w:t>
      </w:r>
      <w:r>
        <w:rPr>
          <w:rFonts w:hint="eastAsia"/>
        </w:rPr>
        <w:t>）：</w:t>
      </w:r>
    </w:p>
    <w:p w14:paraId="7E16221A">
      <w:pPr>
        <w:pStyle w:val="242"/>
        <w:ind w:firstLine="0" w:firstLineChars="0"/>
      </w:pPr>
      <w:r>
        <w:rPr>
          <w:rStyle w:val="243"/>
        </w:rPr>
        <w:tab/>
      </w:r>
      <w:r>
        <w:rPr>
          <w:rStyle w:val="243"/>
          <w:rFonts w:hint="eastAsia"/>
        </w:rPr>
        <w:t xml:space="preserve"> </w:t>
      </w:r>
      <w:bookmarkStart w:id="129" w:name="OLE_LINK19"/>
      <m:oMath>
        <m:sSub>
          <m:sSubPr>
            <m:ctrlPr>
              <w:rPr>
                <w:rStyle w:val="243"/>
                <w:rFonts w:ascii="Cambria Math" w:hAnsi="Cambria Math"/>
              </w:rPr>
            </m:ctrlPr>
          </m:sSubPr>
          <m:e>
            <m:r>
              <m:rPr/>
              <w:rPr>
                <w:rStyle w:val="243"/>
                <w:rFonts w:ascii="Cambria Math" w:hAnsi="Cambria Math"/>
              </w:rPr>
              <m:t>E</m:t>
            </m:r>
            <m:ctrlPr>
              <w:rPr>
                <w:rStyle w:val="243"/>
                <w:rFonts w:ascii="Cambria Math" w:hAnsi="Cambria Math"/>
              </w:rPr>
            </m:ctrlPr>
          </m:e>
          <m:sub>
            <m:r>
              <m:rPr/>
              <w:rPr>
                <w:rStyle w:val="243"/>
                <w:rFonts w:ascii="Cambria Math" w:hAnsi="Cambria Math"/>
              </w:rPr>
              <m:t>i</m:t>
            </m:r>
            <m:ctrlPr>
              <w:rPr>
                <w:rStyle w:val="243"/>
                <w:rFonts w:ascii="Cambria Math" w:hAnsi="Cambria Math"/>
              </w:rPr>
            </m:ctrlPr>
          </m:sub>
        </m:sSub>
        <m:r>
          <m:rPr>
            <m:sty m:val="p"/>
          </m:rPr>
          <w:rPr>
            <w:rStyle w:val="243"/>
            <w:rFonts w:ascii="Cambria Math" w:hAnsi="Cambria Math"/>
          </w:rPr>
          <m:t>=</m:t>
        </m:r>
        <m:nary>
          <m:naryPr>
            <m:chr m:val="∑"/>
            <m:ctrlPr>
              <w:rPr>
                <w:rStyle w:val="243"/>
                <w:rFonts w:ascii="Cambria Math" w:hAnsi="Cambria Math"/>
              </w:rPr>
            </m:ctrlPr>
          </m:naryPr>
          <m:sub>
            <m:r>
              <m:rPr/>
              <w:rPr>
                <w:rStyle w:val="243"/>
                <w:rFonts w:ascii="Cambria Math" w:hAnsi="Cambria Math"/>
              </w:rPr>
              <m:t>i</m:t>
            </m:r>
            <m:r>
              <m:rPr>
                <m:sty m:val="p"/>
              </m:rPr>
              <w:rPr>
                <w:rStyle w:val="243"/>
                <w:rFonts w:ascii="Cambria Math" w:hAnsi="Cambria Math"/>
              </w:rPr>
              <m:t>=1</m:t>
            </m:r>
            <m:ctrlPr>
              <w:rPr>
                <w:rStyle w:val="243"/>
                <w:rFonts w:ascii="Cambria Math" w:hAnsi="Cambria Math"/>
              </w:rPr>
            </m:ctrlPr>
          </m:sub>
          <m:sup>
            <m:r>
              <m:rPr/>
              <w:rPr>
                <w:rStyle w:val="243"/>
                <w:rFonts w:ascii="Cambria Math" w:hAnsi="Cambria Math"/>
              </w:rPr>
              <m:t>M</m:t>
            </m:r>
            <m:ctrlPr>
              <w:rPr>
                <w:rStyle w:val="243"/>
                <w:rFonts w:ascii="Cambria Math" w:hAnsi="Cambria Math"/>
              </w:rPr>
            </m:ctrlPr>
          </m:sup>
          <m:e>
            <m:d>
              <m:dPr>
                <m:ctrlPr>
                  <w:rPr>
                    <w:rStyle w:val="243"/>
                    <w:rFonts w:ascii="Cambria Math" w:hAnsi="Cambria Math"/>
                  </w:rPr>
                </m:ctrlPr>
              </m:dPr>
              <m:e>
                <m:sSub>
                  <m:sSubPr>
                    <m:ctrlPr>
                      <w:rPr>
                        <w:rStyle w:val="243"/>
                        <w:rFonts w:ascii="Cambria Math" w:hAnsi="Cambria Math"/>
                      </w:rPr>
                    </m:ctrlPr>
                  </m:sSubPr>
                  <m:e>
                    <m:r>
                      <m:rPr/>
                      <w:rPr>
                        <w:rStyle w:val="243"/>
                        <w:rFonts w:ascii="Cambria Math" w:hAnsi="Cambria Math"/>
                      </w:rPr>
                      <m:t>E</m:t>
                    </m:r>
                    <m:ctrlPr>
                      <w:rPr>
                        <w:rStyle w:val="243"/>
                        <w:rFonts w:ascii="Cambria Math" w:hAnsi="Cambria Math"/>
                      </w:rPr>
                    </m:ctrlPr>
                  </m:e>
                  <m:sub>
                    <m:r>
                      <m:rPr>
                        <m:sty m:val="p"/>
                      </m:rPr>
                      <w:rPr>
                        <w:rStyle w:val="243"/>
                        <w:rFonts w:ascii="Cambria Math" w:hAnsi="Cambria Math"/>
                      </w:rPr>
                      <m:t>排放源</m:t>
                    </m:r>
                    <m:r>
                      <m:rPr/>
                      <w:rPr>
                        <w:rStyle w:val="243"/>
                        <w:rFonts w:ascii="Cambria Math" w:hAnsi="Cambria Math"/>
                      </w:rPr>
                      <m:t>n</m:t>
                    </m:r>
                    <m:r>
                      <m:rPr>
                        <m:sty m:val="p"/>
                      </m:rPr>
                      <w:rPr>
                        <w:rStyle w:val="243"/>
                        <w:rFonts w:ascii="Cambria Math" w:hAnsi="Cambria Math"/>
                      </w:rPr>
                      <m:t>,</m:t>
                    </m:r>
                    <m:r>
                      <m:rPr/>
                      <w:rPr>
                        <w:rStyle w:val="243"/>
                        <w:rFonts w:ascii="Cambria Math" w:hAnsi="Cambria Math"/>
                      </w:rPr>
                      <m:t>i</m:t>
                    </m:r>
                    <m:ctrlPr>
                      <w:rPr>
                        <w:rStyle w:val="243"/>
                        <w:rFonts w:ascii="Cambria Math" w:hAnsi="Cambria Math"/>
                      </w:rPr>
                    </m:ctrlPr>
                  </m:sub>
                </m:sSub>
                <m:r>
                  <m:rPr>
                    <m:sty m:val="p"/>
                  </m:rPr>
                  <w:rPr>
                    <w:rStyle w:val="243"/>
                    <w:rFonts w:ascii="Cambria Math" w:hAnsi="Cambria Math"/>
                  </w:rPr>
                  <m:t>×</m:t>
                </m:r>
                <m:f>
                  <m:fPr>
                    <m:ctrlPr>
                      <w:rPr>
                        <w:rStyle w:val="243"/>
                        <w:rFonts w:ascii="Cambria Math" w:hAnsi="Cambria Math"/>
                      </w:rPr>
                    </m:ctrlPr>
                  </m:fPr>
                  <m:num>
                    <m:r>
                      <m:rPr/>
                      <w:rPr>
                        <w:rStyle w:val="243"/>
                        <w:rFonts w:ascii="Cambria Math" w:hAnsi="Cambria Math"/>
                      </w:rPr>
                      <m:t>W</m:t>
                    </m:r>
                    <m:sSub>
                      <m:sSubPr>
                        <m:ctrlPr>
                          <w:rPr>
                            <w:rStyle w:val="243"/>
                            <w:rFonts w:ascii="Cambria Math" w:hAnsi="Cambria Math"/>
                          </w:rPr>
                        </m:ctrlPr>
                      </m:sSubPr>
                      <m:e>
                        <m:r>
                          <m:rPr/>
                          <w:rPr>
                            <w:rStyle w:val="243"/>
                            <w:rFonts w:ascii="Cambria Math" w:hAnsi="Cambria Math"/>
                          </w:rPr>
                          <m:t>F</m:t>
                        </m:r>
                        <m:ctrlPr>
                          <w:rPr>
                            <w:rStyle w:val="243"/>
                            <w:rFonts w:ascii="Cambria Math" w:hAnsi="Cambria Math"/>
                          </w:rPr>
                        </m:ctrlPr>
                      </m:e>
                      <m:sub>
                        <m:r>
                          <m:rPr/>
                          <w:rPr>
                            <w:rStyle w:val="243"/>
                            <w:rFonts w:ascii="Cambria Math" w:hAnsi="Cambria Math"/>
                          </w:rPr>
                          <m:t>i</m:t>
                        </m:r>
                        <m:ctrlPr>
                          <w:rPr>
                            <w:rStyle w:val="243"/>
                            <w:rFonts w:ascii="Cambria Math" w:hAnsi="Cambria Math"/>
                          </w:rPr>
                        </m:ctrlPr>
                      </m:sub>
                    </m:sSub>
                    <m:ctrlPr>
                      <w:rPr>
                        <w:rStyle w:val="243"/>
                        <w:rFonts w:ascii="Cambria Math" w:hAnsi="Cambria Math"/>
                      </w:rPr>
                    </m:ctrlPr>
                  </m:num>
                  <m:den>
                    <m:r>
                      <m:rPr/>
                      <w:rPr>
                        <w:rStyle w:val="243"/>
                        <w:rFonts w:ascii="Cambria Math" w:hAnsi="Cambria Math"/>
                      </w:rPr>
                      <m:t>W</m:t>
                    </m:r>
                    <m:sSub>
                      <m:sSubPr>
                        <m:ctrlPr>
                          <w:rPr>
                            <w:rStyle w:val="243"/>
                            <w:rFonts w:ascii="Cambria Math" w:hAnsi="Cambria Math"/>
                          </w:rPr>
                        </m:ctrlPr>
                      </m:sSubPr>
                      <m:e>
                        <m:r>
                          <m:rPr/>
                          <w:rPr>
                            <w:rStyle w:val="243"/>
                            <w:rFonts w:ascii="Cambria Math" w:hAnsi="Cambria Math"/>
                          </w:rPr>
                          <m:t>F</m:t>
                        </m:r>
                        <m:ctrlPr>
                          <w:rPr>
                            <w:rStyle w:val="243"/>
                            <w:rFonts w:ascii="Cambria Math" w:hAnsi="Cambria Math"/>
                          </w:rPr>
                        </m:ctrlPr>
                      </m:e>
                      <m:sub>
                        <m:r>
                          <m:rPr/>
                          <w:rPr>
                            <w:rStyle w:val="243"/>
                            <w:rFonts w:ascii="Cambria Math" w:hAnsi="Cambria Math"/>
                          </w:rPr>
                          <m:t>VOCs</m:t>
                        </m:r>
                        <m:ctrlPr>
                          <w:rPr>
                            <w:rStyle w:val="243"/>
                            <w:rFonts w:ascii="Cambria Math" w:hAnsi="Cambria Math"/>
                          </w:rPr>
                        </m:ctrlPr>
                      </m:sub>
                    </m:sSub>
                    <m:ctrlPr>
                      <w:rPr>
                        <w:rStyle w:val="243"/>
                        <w:rFonts w:ascii="Cambria Math" w:hAnsi="Cambria Math"/>
                      </w:rPr>
                    </m:ctrlPr>
                  </m:den>
                </m:f>
                <m:ctrlPr>
                  <w:rPr>
                    <w:rStyle w:val="243"/>
                    <w:rFonts w:ascii="Cambria Math" w:hAnsi="Cambria Math"/>
                  </w:rPr>
                </m:ctrlPr>
              </m:e>
            </m:d>
            <w:bookmarkEnd w:id="129"/>
            <m:ctrlPr>
              <w:rPr>
                <w:rStyle w:val="243"/>
                <w:rFonts w:ascii="Cambria Math" w:hAnsi="Cambria Math"/>
              </w:rPr>
            </m:ctrlPr>
          </m:e>
        </m:nary>
      </m:oMath>
      <w:r>
        <w:rPr>
          <w:rStyle w:val="243"/>
        </w:rPr>
        <w:tab/>
      </w:r>
      <w:bookmarkStart w:id="130" w:name="OLE_LINK6"/>
      <w:r>
        <w:rPr>
          <w:rFonts w:hint="eastAsia"/>
        </w:rPr>
        <w:t>（</w:t>
      </w:r>
      <w:r>
        <w:t>3</w:t>
      </w:r>
      <w:r>
        <w:rPr>
          <w:rFonts w:hint="eastAsia"/>
        </w:rPr>
        <w:t>）</w:t>
      </w:r>
      <w:bookmarkEnd w:id="130"/>
    </w:p>
    <w:p w14:paraId="322749D7">
      <w:pPr>
        <w:pStyle w:val="60"/>
        <w:ind w:firstLine="420"/>
      </w:pPr>
      <w:r>
        <w:rPr>
          <w:rFonts w:hint="eastAsia"/>
        </w:rPr>
        <w:t>式中：</w:t>
      </w:r>
    </w:p>
    <w:p w14:paraId="28489A65">
      <w:pPr>
        <w:pStyle w:val="60"/>
        <w:ind w:firstLine="420"/>
      </w:pPr>
      <w:r>
        <w:rPr>
          <w:rFonts w:hint="eastAsia"/>
        </w:rPr>
        <w:t>E</w:t>
      </w:r>
      <w:r>
        <w:rPr>
          <w:rFonts w:hint="eastAsia"/>
          <w:vertAlign w:val="subscript"/>
        </w:rPr>
        <w:t>i</w:t>
      </w:r>
      <w:r>
        <w:rPr>
          <w:rFonts w:hint="eastAsia"/>
          <w:spacing w:val="-20"/>
        </w:rPr>
        <w:t>——</w:t>
      </w:r>
      <w:r>
        <w:rPr>
          <w:rFonts w:hint="eastAsia"/>
        </w:rPr>
        <w:t>为统计期内含VOCs组份i的排放量，千克；</w:t>
      </w:r>
    </w:p>
    <w:p w14:paraId="0457CDA4">
      <w:pPr>
        <w:pStyle w:val="60"/>
        <w:ind w:firstLine="420"/>
      </w:pPr>
      <w:r>
        <w:rPr>
          <w:rFonts w:hint="eastAsia"/>
        </w:rPr>
        <w:t>E</w:t>
      </w:r>
      <w:r>
        <w:rPr>
          <w:rFonts w:hint="eastAsia"/>
          <w:vertAlign w:val="subscript"/>
        </w:rPr>
        <w:t>排放源n,i</w:t>
      </w:r>
      <w:r>
        <w:rPr>
          <w:rFonts w:hint="eastAsia"/>
          <w:spacing w:val="-20"/>
        </w:rPr>
        <w:t>——</w:t>
      </w:r>
      <w:r>
        <w:rPr>
          <w:rFonts w:hint="eastAsia"/>
        </w:rPr>
        <w:t>为统计期内含VOCs组份i的第n个排放源的VOCs产生量，千克；</w:t>
      </w:r>
    </w:p>
    <w:p w14:paraId="3778C1DA">
      <w:pPr>
        <w:pStyle w:val="60"/>
        <w:ind w:firstLine="420"/>
      </w:pPr>
      <w:r>
        <w:rPr>
          <w:rFonts w:hint="eastAsia"/>
        </w:rPr>
        <w:t>M</w:t>
      </w:r>
      <w:r>
        <w:rPr>
          <w:rFonts w:hint="eastAsia"/>
          <w:spacing w:val="-20"/>
        </w:rPr>
        <w:t>——</w:t>
      </w:r>
      <w:r>
        <w:rPr>
          <w:rFonts w:hint="eastAsia"/>
        </w:rPr>
        <w:t>为含VOCs组份i的污染源总数；</w:t>
      </w:r>
    </w:p>
    <w:p w14:paraId="2EB1A7A8">
      <w:pPr>
        <w:pStyle w:val="60"/>
        <w:ind w:firstLine="420"/>
      </w:pPr>
      <w:r>
        <w:rPr>
          <w:rFonts w:hint="eastAsia"/>
        </w:rPr>
        <w:t>W</w:t>
      </w:r>
      <w:r>
        <w:rPr>
          <w:rFonts w:hint="eastAsia"/>
          <w:vertAlign w:val="subscript"/>
        </w:rPr>
        <w:t>Fi</w:t>
      </w:r>
      <w:r>
        <w:rPr>
          <w:rFonts w:hint="eastAsia"/>
          <w:spacing w:val="-20"/>
        </w:rPr>
        <w:t>——</w:t>
      </w:r>
      <w:r>
        <w:rPr>
          <w:rFonts w:hint="eastAsia"/>
        </w:rPr>
        <w:t>为流经或储存于污染源的物料中VOCs组份i的平均质量分数；</w:t>
      </w:r>
    </w:p>
    <w:p w14:paraId="70799B3D">
      <w:pPr>
        <w:pStyle w:val="60"/>
        <w:ind w:firstLine="420"/>
      </w:pPr>
      <w:r>
        <w:rPr>
          <w:rFonts w:hint="eastAsia"/>
        </w:rPr>
        <w:t>WF</w:t>
      </w:r>
      <w:r>
        <w:rPr>
          <w:rFonts w:hint="eastAsia"/>
          <w:vertAlign w:val="subscript"/>
        </w:rPr>
        <w:t>VOCs</w:t>
      </w:r>
      <w:r>
        <w:rPr>
          <w:rFonts w:hint="eastAsia"/>
          <w:spacing w:val="-20"/>
        </w:rPr>
        <w:t>——</w:t>
      </w:r>
      <w:r>
        <w:rPr>
          <w:rFonts w:hint="eastAsia"/>
        </w:rPr>
        <w:t>为流经或储存于污染源的物料中VOCs的平均质量分数。</w:t>
      </w:r>
    </w:p>
    <w:bookmarkEnd w:id="124"/>
    <w:p w14:paraId="044570BE">
      <w:pPr>
        <w:pStyle w:val="109"/>
        <w:spacing w:before="120" w:after="120"/>
      </w:pPr>
      <w:bookmarkStart w:id="131" w:name="_Toc170497003"/>
      <w:bookmarkStart w:id="132" w:name="_Toc137109103"/>
      <w:bookmarkStart w:id="133" w:name="_Toc137108840"/>
      <w:bookmarkStart w:id="134" w:name="_Hlk168324926"/>
      <w:r>
        <w:rPr>
          <w:rFonts w:hint="eastAsia"/>
        </w:rPr>
        <w:t>设备动静密封点泄漏</w:t>
      </w:r>
      <w:bookmarkEnd w:id="122"/>
      <w:bookmarkEnd w:id="131"/>
      <w:bookmarkEnd w:id="132"/>
      <w:bookmarkEnd w:id="133"/>
    </w:p>
    <w:bookmarkEnd w:id="134"/>
    <w:p w14:paraId="7702ECFB">
      <w:pPr>
        <w:pStyle w:val="69"/>
        <w:spacing w:before="120" w:after="120"/>
        <w:ind w:left="0"/>
      </w:pPr>
      <w:bookmarkStart w:id="135" w:name="_Toc137109104"/>
      <w:r>
        <w:rPr>
          <w:rFonts w:hint="eastAsia"/>
        </w:rPr>
        <w:t>泄漏速率</w:t>
      </w:r>
      <w:bookmarkEnd w:id="135"/>
    </w:p>
    <w:p w14:paraId="464A4FB8">
      <w:pPr>
        <w:pStyle w:val="60"/>
        <w:ind w:firstLine="420"/>
      </w:pPr>
      <w:r>
        <w:rPr>
          <w:rFonts w:hint="eastAsia"/>
        </w:rPr>
        <w:t>工艺管线和设备动静密封点一般包括泵、搅拌器、压缩机、阀门、连接件、法兰、开口阀或开口管线、泄压设备、取样连接系统等。设备密封点泄漏的VOCs产生量见公式</w:t>
      </w:r>
      <w:r>
        <w:rPr>
          <w:rFonts w:ascii="Times New Roman"/>
        </w:rPr>
        <w:t>（</w:t>
      </w:r>
      <w:r>
        <w:rPr>
          <w:rFonts w:hint="eastAsia" w:ascii="Times New Roman"/>
        </w:rPr>
        <w:t>4</w:t>
      </w:r>
      <w:r>
        <w:rPr>
          <w:rFonts w:ascii="Times New Roman"/>
        </w:rPr>
        <w:t>）</w:t>
      </w:r>
      <w:r>
        <w:rPr>
          <w:rFonts w:hint="eastAsia"/>
        </w:rPr>
        <w:t>：</w:t>
      </w:r>
    </w:p>
    <w:p w14:paraId="2BE12D79">
      <w:pPr>
        <w:pStyle w:val="242"/>
        <w:rPr>
          <w:rFonts w:ascii="Times New Roman"/>
        </w:rPr>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设备</m:t>
            </m:r>
            <m:ctrlPr>
              <w:rPr>
                <w:rFonts w:ascii="Cambria Math" w:hAnsi="Cambria Math"/>
              </w:rPr>
            </m:ctrlPr>
          </m:sub>
        </m:sSub>
        <m:r>
          <m:rPr>
            <m:sty m:val="p"/>
          </m:rPr>
          <w:rPr>
            <w:rFonts w:ascii="Cambria Math" w:hAnsi="Cambria Math"/>
          </w:rPr>
          <m:t>=</m:t>
        </m:r>
        <m:nary>
          <m:naryPr>
            <m:chr m:val="∑"/>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d>
              <m:dPr>
                <m:ctrlPr>
                  <w:rPr>
                    <w:rFonts w:ascii="Cambria Math" w:hAnsi="Cambria Math"/>
                  </w:rPr>
                </m:ctrlPr>
              </m:dPr>
              <m:e>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TOC</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m:t>
                </m:r>
                <m:f>
                  <m:fPr>
                    <m:ctrlPr>
                      <w:rPr>
                        <w:rFonts w:ascii="Cambria Math" w:hAnsi="Cambria Math"/>
                      </w:rPr>
                    </m:ctrlPr>
                  </m:fPr>
                  <m:num>
                    <m:r>
                      <m:rPr/>
                      <w:rPr>
                        <w:rFonts w:ascii="Cambria Math" w:hAnsi="Cambria Math"/>
                      </w:rPr>
                      <m:t>W</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voc</m:t>
                        </m:r>
                        <m:r>
                          <m:rPr>
                            <m:sty m:val="p"/>
                          </m:rPr>
                          <w:rPr>
                            <w:rFonts w:ascii="Cambria Math" w:hAnsi="Cambria Math"/>
                          </w:rPr>
                          <m:t>,</m:t>
                        </m:r>
                        <m:r>
                          <m:rPr/>
                          <w:rPr>
                            <w:rFonts w:ascii="Cambria Math" w:hAnsi="Cambria Math"/>
                          </w:rPr>
                          <m:t>i</m:t>
                        </m:r>
                        <m:ctrlPr>
                          <w:rPr>
                            <w:rFonts w:ascii="Cambria Math" w:hAnsi="Cambria Math"/>
                          </w:rPr>
                        </m:ctrlPr>
                      </m:sub>
                    </m:sSub>
                    <m:ctrlPr>
                      <w:rPr>
                        <w:rFonts w:ascii="Cambria Math" w:hAnsi="Cambria Math"/>
                      </w:rPr>
                    </m:ctrlPr>
                  </m:num>
                  <m:den>
                    <m:r>
                      <m:rPr/>
                      <w:rPr>
                        <w:rFonts w:ascii="Cambria Math" w:hAnsi="Cambria Math"/>
                      </w:rPr>
                      <m:t>W</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TOC</m:t>
                        </m:r>
                        <m:r>
                          <m:rPr>
                            <m:sty m:val="p"/>
                          </m:rPr>
                          <w:rPr>
                            <w:rFonts w:ascii="Cambria Math" w:hAnsi="Cambria Math"/>
                          </w:rPr>
                          <m:t>,</m:t>
                        </m:r>
                        <m:r>
                          <m:rPr/>
                          <w:rPr>
                            <w:rFonts w:ascii="Cambria Math" w:hAnsi="Cambria Math"/>
                          </w:rPr>
                          <m:t>i</m:t>
                        </m:r>
                        <m:ctrlPr>
                          <w:rPr>
                            <w:rFonts w:ascii="Cambria Math" w:hAnsi="Cambria Math"/>
                          </w:rPr>
                        </m:ctrlPr>
                      </m:sub>
                    </m:sSub>
                    <m:ctrlPr>
                      <w:rPr>
                        <w:rFonts w:ascii="Cambria Math" w:hAnsi="Cambria Math"/>
                      </w:rPr>
                    </m:ctrlPr>
                  </m:den>
                </m:f>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d>
            <m:ctrlPr>
              <w:rPr>
                <w:rFonts w:ascii="Cambria Math" w:hAnsi="Cambria Math"/>
              </w:rPr>
            </m:ctrlPr>
          </m:e>
        </m:nary>
      </m:oMath>
      <w:r>
        <w:tab/>
      </w:r>
      <w:r>
        <w:rPr>
          <w:rFonts w:ascii="Times New Roman"/>
        </w:rPr>
        <w:t>（</w:t>
      </w:r>
      <w:r>
        <w:rPr>
          <w:rFonts w:hint="eastAsia" w:ascii="Times New Roman"/>
        </w:rPr>
        <w:t>4</w:t>
      </w:r>
      <w:r>
        <w:rPr>
          <w:rFonts w:ascii="Times New Roman"/>
        </w:rPr>
        <w:t>）</w:t>
      </w:r>
    </w:p>
    <w:p w14:paraId="789A3672">
      <w:pPr>
        <w:pStyle w:val="60"/>
        <w:ind w:firstLine="420"/>
      </w:pPr>
      <w:r>
        <w:rPr>
          <w:rFonts w:hint="eastAsia"/>
        </w:rPr>
        <w:t>式中：</w:t>
      </w:r>
    </w:p>
    <w:p w14:paraId="4F27BC28">
      <w:pPr>
        <w:pStyle w:val="60"/>
        <w:ind w:firstLine="420"/>
      </w:pPr>
      <w:r>
        <w:rPr>
          <w:rFonts w:hint="eastAsia"/>
        </w:rPr>
        <w:t>E</w:t>
      </w:r>
      <w:r>
        <w:rPr>
          <w:rFonts w:hint="eastAsia"/>
          <w:vertAlign w:val="subscript"/>
        </w:rPr>
        <w:t>设备</w:t>
      </w:r>
      <w:r>
        <w:rPr>
          <w:rFonts w:hint="eastAsia"/>
          <w:spacing w:val="-20"/>
        </w:rPr>
        <w:t>——</w:t>
      </w:r>
      <w:r>
        <w:rPr>
          <w:rFonts w:hint="eastAsia"/>
        </w:rPr>
        <w:t>为统计期内动静设备密封点的VOCs产生量，千克；</w:t>
      </w:r>
    </w:p>
    <w:p w14:paraId="426A3767">
      <w:pPr>
        <w:pStyle w:val="60"/>
        <w:ind w:firstLine="420"/>
      </w:pPr>
      <w:r>
        <w:rPr>
          <w:rFonts w:hint="eastAsia"/>
        </w:rPr>
        <w:t>T</w:t>
      </w:r>
      <w:r>
        <w:rPr>
          <w:rFonts w:hint="eastAsia"/>
          <w:vertAlign w:val="subscript"/>
        </w:rPr>
        <w:t>i</w:t>
      </w:r>
      <w:r>
        <w:rPr>
          <w:rFonts w:hint="eastAsia"/>
          <w:spacing w:val="-20"/>
        </w:rPr>
        <w:t>——</w:t>
      </w:r>
      <w:r>
        <w:rPr>
          <w:rFonts w:hint="eastAsia"/>
        </w:rPr>
        <w:t>为统计期内密封点i的运行时间，小时；</w:t>
      </w:r>
    </w:p>
    <w:p w14:paraId="7FDC4155">
      <w:pPr>
        <w:pStyle w:val="60"/>
        <w:ind w:firstLine="420"/>
      </w:pPr>
      <w:r>
        <w:rPr>
          <w:rFonts w:hint="eastAsia"/>
        </w:rPr>
        <w:t>e</w:t>
      </w:r>
      <w:r>
        <w:rPr>
          <w:rFonts w:hint="eastAsia"/>
          <w:vertAlign w:val="subscript"/>
        </w:rPr>
        <w:t>TOCs,i</w:t>
      </w:r>
      <w:r>
        <w:rPr>
          <w:rFonts w:hint="eastAsia"/>
          <w:spacing w:val="-20"/>
        </w:rPr>
        <w:t>——</w:t>
      </w:r>
      <w:r>
        <w:rPr>
          <w:rFonts w:hint="eastAsia"/>
        </w:rPr>
        <w:t>为密封点i的TOCs泄漏速率，千克/小时；</w:t>
      </w:r>
    </w:p>
    <w:p w14:paraId="3FC34EB1">
      <w:pPr>
        <w:pStyle w:val="60"/>
        <w:ind w:firstLine="420"/>
      </w:pPr>
      <w:r>
        <w:rPr>
          <w:rFonts w:hint="eastAsia"/>
        </w:rPr>
        <w:t>WF</w:t>
      </w:r>
      <w:r>
        <w:rPr>
          <w:rFonts w:hint="eastAsia"/>
          <w:vertAlign w:val="subscript"/>
        </w:rPr>
        <w:t>VOCs,i</w:t>
      </w:r>
      <w:r>
        <w:rPr>
          <w:rFonts w:hint="eastAsia"/>
          <w:spacing w:val="-20"/>
        </w:rPr>
        <w:t>——</w:t>
      </w:r>
      <w:r>
        <w:rPr>
          <w:rFonts w:hint="eastAsia"/>
        </w:rPr>
        <w:t>为运行时间段内流经密封点i的物料中VOCs的平均质量分数；</w:t>
      </w:r>
    </w:p>
    <w:p w14:paraId="42AEBD09">
      <w:pPr>
        <w:pStyle w:val="60"/>
        <w:ind w:firstLine="420"/>
      </w:pPr>
      <w:r>
        <w:rPr>
          <w:rFonts w:hint="eastAsia"/>
        </w:rPr>
        <w:t>WF</w:t>
      </w:r>
      <w:r>
        <w:rPr>
          <w:rFonts w:hint="eastAsia"/>
          <w:vertAlign w:val="subscript"/>
        </w:rPr>
        <w:t>TOC,i</w:t>
      </w:r>
      <w:r>
        <w:rPr>
          <w:rFonts w:hint="eastAsia"/>
          <w:spacing w:val="-20"/>
        </w:rPr>
        <w:t>——</w:t>
      </w:r>
      <w:r>
        <w:rPr>
          <w:rFonts w:hint="eastAsia"/>
        </w:rPr>
        <w:t>为运行时间段内流经密封点i的物料中TOC的平均质量分数；</w:t>
      </w:r>
    </w:p>
    <w:p w14:paraId="4496C8DA">
      <w:pPr>
        <w:pStyle w:val="60"/>
        <w:ind w:firstLine="420"/>
      </w:pPr>
      <w:r>
        <w:rPr>
          <w:rFonts w:hint="eastAsia"/>
        </w:rPr>
        <w:t>如未提供物料中VOCs的平均质量分数，则按</w:t>
      </w:r>
      <m:oMath>
        <m:f>
          <m:fPr>
            <m:ctrlPr>
              <w:rPr>
                <w:rFonts w:ascii="Cambria Math" w:hAnsi="Cambria Math"/>
                <w:i/>
                <w:szCs w:val="21"/>
              </w:rPr>
            </m:ctrlPr>
          </m:fPr>
          <m:num>
            <m:r>
              <m:rPr/>
              <w:rPr>
                <w:rFonts w:ascii="Cambria Math"/>
                <w:szCs w:val="21"/>
              </w:rPr>
              <m:t>W</m:t>
            </m:r>
            <m:sSub>
              <m:sSubPr>
                <m:ctrlPr>
                  <w:rPr>
                    <w:rFonts w:ascii="Cambria Math" w:hAnsi="Cambria Math"/>
                    <w:i/>
                    <w:szCs w:val="21"/>
                  </w:rPr>
                </m:ctrlPr>
              </m:sSubPr>
              <m:e>
                <m:r>
                  <m:rPr/>
                  <w:rPr>
                    <w:rFonts w:ascii="Cambria Math"/>
                    <w:szCs w:val="21"/>
                  </w:rPr>
                  <m:t>F</m:t>
                </m:r>
                <m:ctrlPr>
                  <w:rPr>
                    <w:rFonts w:ascii="Cambria Math" w:hAnsi="Cambria Math"/>
                    <w:i/>
                    <w:szCs w:val="21"/>
                  </w:rPr>
                </m:ctrlPr>
              </m:e>
              <m:sub>
                <m:r>
                  <m:rPr/>
                  <w:rPr>
                    <w:rFonts w:ascii="Cambria Math"/>
                    <w:szCs w:val="21"/>
                  </w:rPr>
                  <m:t>voc,i</m:t>
                </m:r>
                <m:ctrlPr>
                  <w:rPr>
                    <w:rFonts w:ascii="Cambria Math" w:hAnsi="Cambria Math"/>
                    <w:i/>
                    <w:szCs w:val="21"/>
                  </w:rPr>
                </m:ctrlPr>
              </m:sub>
            </m:sSub>
            <m:ctrlPr>
              <w:rPr>
                <w:rFonts w:ascii="Cambria Math" w:hAnsi="Cambria Math"/>
                <w:i/>
                <w:szCs w:val="21"/>
              </w:rPr>
            </m:ctrlPr>
          </m:num>
          <m:den>
            <m:r>
              <m:rPr/>
              <w:rPr>
                <w:rFonts w:ascii="Cambria Math"/>
                <w:szCs w:val="21"/>
              </w:rPr>
              <m:t>W</m:t>
            </m:r>
            <m:sSub>
              <m:sSubPr>
                <m:ctrlPr>
                  <w:rPr>
                    <w:rFonts w:ascii="Cambria Math" w:hAnsi="Cambria Math"/>
                    <w:i/>
                    <w:szCs w:val="21"/>
                  </w:rPr>
                </m:ctrlPr>
              </m:sSubPr>
              <m:e>
                <m:r>
                  <m:rPr/>
                  <w:rPr>
                    <w:rFonts w:ascii="Cambria Math"/>
                    <w:szCs w:val="21"/>
                  </w:rPr>
                  <m:t>F</m:t>
                </m:r>
                <m:ctrlPr>
                  <w:rPr>
                    <w:rFonts w:ascii="Cambria Math" w:hAnsi="Cambria Math"/>
                    <w:i/>
                    <w:szCs w:val="21"/>
                  </w:rPr>
                </m:ctrlPr>
              </m:e>
              <m:sub>
                <m:r>
                  <m:rPr/>
                  <w:rPr>
                    <w:rFonts w:ascii="Cambria Math"/>
                    <w:szCs w:val="21"/>
                  </w:rPr>
                  <m:t>TOC,i</m:t>
                </m:r>
                <m:ctrlPr>
                  <w:rPr>
                    <w:rFonts w:ascii="Cambria Math" w:hAnsi="Cambria Math"/>
                    <w:i/>
                    <w:szCs w:val="21"/>
                  </w:rPr>
                </m:ctrlPr>
              </m:sub>
            </m:sSub>
            <m:ctrlPr>
              <w:rPr>
                <w:rFonts w:ascii="Cambria Math" w:hAnsi="Cambria Math"/>
                <w:i/>
                <w:szCs w:val="21"/>
              </w:rPr>
            </m:ctrlPr>
          </m:den>
        </m:f>
        <m:r>
          <m:rPr/>
          <w:rPr>
            <w:rFonts w:ascii="Cambria Math"/>
            <w:szCs w:val="21"/>
          </w:rPr>
          <m:t>=1</m:t>
        </m:r>
      </m:oMath>
      <w:r>
        <w:rPr>
          <w:rFonts w:hint="eastAsia"/>
        </w:rPr>
        <w:t>计。</w:t>
      </w:r>
    </w:p>
    <w:p w14:paraId="67A43114">
      <w:pPr>
        <w:pStyle w:val="60"/>
        <w:ind w:firstLine="420"/>
      </w:pPr>
      <w:r>
        <w:rPr>
          <w:rFonts w:hint="eastAsia"/>
        </w:rPr>
        <w:t>泄漏速率可采用多种方法进行计算，准确度从高到低排序为：实测法、相关方程法、筛选范围法、系数法，其中前三种方法是基于实测的计算方法，系数法不需要进行实测。</w:t>
      </w:r>
    </w:p>
    <w:p w14:paraId="20FBBCF6">
      <w:pPr>
        <w:pStyle w:val="60"/>
        <w:ind w:firstLine="420"/>
      </w:pPr>
      <w:r>
        <w:rPr>
          <w:rFonts w:hint="eastAsia"/>
        </w:rPr>
        <w:t>a）实测法</w:t>
      </w:r>
    </w:p>
    <w:p w14:paraId="748CE408">
      <w:pPr>
        <w:pStyle w:val="60"/>
        <w:ind w:firstLine="420"/>
      </w:pPr>
      <w:bookmarkStart w:id="136" w:name="OLE_LINK20"/>
      <w:r>
        <w:rPr>
          <w:rFonts w:hint="eastAsia"/>
        </w:rPr>
        <w:t>采用包袋法和大体积采样法对密封点进行实测</w:t>
      </w:r>
      <w:bookmarkEnd w:id="136"/>
      <w:r>
        <w:rPr>
          <w:rFonts w:hint="eastAsia"/>
        </w:rPr>
        <w:t>，所得泄漏速率最接近真实泄漏情况，企业可选用该方法对密封点泄漏速率进行检测。</w:t>
      </w:r>
    </w:p>
    <w:p w14:paraId="5C150FB9">
      <w:pPr>
        <w:pStyle w:val="60"/>
        <w:ind w:firstLine="420"/>
      </w:pPr>
      <w:r>
        <w:rPr>
          <w:rFonts w:hint="eastAsia"/>
        </w:rPr>
        <w:t>b）相关方程法</w:t>
      </w:r>
    </w:p>
    <w:p w14:paraId="2F09201F">
      <w:pPr>
        <w:pStyle w:val="60"/>
        <w:ind w:firstLine="420"/>
      </w:pPr>
      <w:r>
        <w:rPr>
          <w:rFonts w:hint="eastAsia"/>
        </w:rPr>
        <w:t>当密封点的净检测值小于1时，用默认零值泄漏速率作为该密封点泄漏速率；当净检测值大于50000 μmol/mol，用限定泄漏速率作为该密封点泄漏速率。当净检测值在两者之间，采用相关方程计算该密封点的泄漏速率，见公式</w:t>
      </w:r>
      <w:r>
        <w:rPr>
          <w:rFonts w:hint="eastAsia" w:ascii="Times New Roman"/>
        </w:rPr>
        <w:t>（5</w:t>
      </w:r>
      <w:r>
        <w:rPr>
          <w:rFonts w:ascii="Times New Roman"/>
        </w:rPr>
        <w:t>）</w:t>
      </w:r>
      <w:r>
        <w:rPr>
          <w:rFonts w:hint="eastAsia"/>
        </w:rPr>
        <w:t>：</w:t>
      </w:r>
    </w:p>
    <w:p w14:paraId="0C221F08">
      <w:pPr>
        <w:pStyle w:val="242"/>
        <w:ind w:firstLine="0" w:firstLineChars="0"/>
        <w:rPr>
          <w:rFonts w:ascii="Times New Roman"/>
        </w:rPr>
      </w:pPr>
      <w:r>
        <w:tab/>
      </w:r>
      <w:r>
        <w:rPr>
          <w:rFonts w:hint="eastAsia"/>
        </w:rPr>
        <w:t xml:space="preserve"> </w:t>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TOC</m:t>
            </m:r>
            <m:ctrlPr>
              <w:rPr>
                <w:rFonts w:ascii="Cambria Math" w:hAnsi="Cambria Math"/>
              </w:rPr>
            </m:ctrlPr>
          </m:sub>
        </m:sSub>
        <m:r>
          <m:rPr>
            <m:sty m:val="p"/>
          </m:rPr>
          <w:rPr>
            <w:rFonts w:ascii="Cambria Math" w:hAnsi="Cambria Math"/>
          </w:rPr>
          <m:t>=</m:t>
        </m:r>
        <m:nary>
          <m:naryPr>
            <m:chr m:val="∑"/>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0,</m:t>
                        </m:r>
                        <m:r>
                          <m:rPr/>
                          <w:rPr>
                            <w:rFonts w:ascii="Cambria Math" w:hAnsi="Cambria Math"/>
                          </w:rPr>
                          <m:t>i</m:t>
                        </m:r>
                        <m:ctrlPr>
                          <w:rPr>
                            <w:rFonts w:ascii="Cambria Math" w:hAnsi="Cambria Math"/>
                          </w:rPr>
                        </m:ctrlPr>
                      </m:sub>
                    </m:sSub>
                    <m:r>
                      <m:rPr>
                        <m:sty m:val="p"/>
                      </m:rPr>
                      <w:rPr>
                        <w:rFonts w:ascii="Cambria Math" w:hAnsi="Cambria Math"/>
                      </w:rPr>
                      <m:t>    </m:t>
                    </m:r>
                    <m:d>
                      <m:dPr>
                        <m:ctrlPr>
                          <w:rPr>
                            <w:rFonts w:ascii="Cambria Math" w:hAnsi="Cambria Math"/>
                          </w:rPr>
                        </m:ctrlPr>
                      </m:dPr>
                      <m:e>
                        <m:r>
                          <m:rPr>
                            <m:sty m:val="p"/>
                          </m:rPr>
                          <w:rPr>
                            <w:rFonts w:ascii="Cambria Math" w:hAnsi="Cambria Math"/>
                          </w:rPr>
                          <m:t>0≤</m:t>
                        </m:r>
                        <m:r>
                          <m:rPr/>
                          <w:rPr>
                            <w:rFonts w:ascii="Cambria Math" w:hAnsi="Cambria Math"/>
                          </w:rPr>
                          <m:t>SV</m:t>
                        </m:r>
                        <m:r>
                          <m:rPr>
                            <m:sty m:val="p"/>
                          </m:rPr>
                          <w:rPr>
                            <w:rFonts w:ascii="Cambria Math" w:hAnsi="Cambria Math"/>
                          </w:rPr>
                          <m:t>&lt;1</m:t>
                        </m:r>
                        <m:ctrlPr>
                          <w:rPr>
                            <w:rFonts w:ascii="Cambria Math" w:hAnsi="Cambria Math"/>
                          </w:rPr>
                        </m:ctrlPr>
                      </m:e>
                    </m:d>
                    <m:ctrlPr>
                      <w:rPr>
                        <w:rFonts w:ascii="Cambria Math" w:hAnsi="Cambria Math"/>
                      </w:rPr>
                    </m:ctrlPr>
                  </m:e>
                  <m:e>
                    <m:r>
                      <m:rPr>
                        <m:sty m:val="p"/>
                      </m:rPr>
                      <w:rPr>
                        <w:rFonts w:ascii="Cambria Math" w:hAnsi="Cambria Math"/>
                      </w:rPr>
                      <m:t>&amp;</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p</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    </m:t>
                    </m:r>
                    <m:d>
                      <m:dPr>
                        <m:ctrlPr>
                          <w:rPr>
                            <w:rFonts w:ascii="Cambria Math" w:hAnsi="Cambria Math"/>
                          </w:rPr>
                        </m:ctrlPr>
                      </m:dPr>
                      <m:e>
                        <m:r>
                          <m:rPr/>
                          <w:rPr>
                            <w:rFonts w:ascii="Cambria Math" w:hAnsi="Cambria Math"/>
                          </w:rPr>
                          <m:t>SV</m:t>
                        </m:r>
                        <m:r>
                          <m:rPr>
                            <m:sty m:val="p"/>
                          </m:rPr>
                          <w:rPr>
                            <w:rFonts w:ascii="Cambria Math" w:hAnsi="Cambria Math"/>
                          </w:rPr>
                          <m:t>≥50000</m:t>
                        </m:r>
                        <m:ctrlPr>
                          <w:rPr>
                            <w:rFonts w:ascii="Cambria Math" w:hAnsi="Cambria Math"/>
                          </w:rPr>
                        </m:ctrlPr>
                      </m:e>
                    </m:d>
                    <m:ctrlPr>
                      <w:rPr>
                        <w:rFonts w:ascii="Cambria Math" w:hAnsi="Cambria Math"/>
                      </w:rPr>
                    </m:ctrlPr>
                  </m:e>
                  <m:e>
                    <m:r>
                      <m:rPr>
                        <m:sty m:val="p"/>
                      </m:rPr>
                      <w:rPr>
                        <w:rFonts w:ascii="Cambria Math" w:hAnsi="Cambria Math"/>
                      </w:rPr>
                      <m:t>&amp;</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f</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rPr>
                      <m:t>    </m:t>
                    </m:r>
                    <m:d>
                      <m:dPr>
                        <m:ctrlPr>
                          <w:rPr>
                            <w:rFonts w:ascii="Cambria Math" w:hAnsi="Cambria Math"/>
                          </w:rPr>
                        </m:ctrlPr>
                      </m:dPr>
                      <m:e>
                        <m:r>
                          <m:rPr>
                            <m:sty m:val="p"/>
                          </m:rPr>
                          <w:rPr>
                            <w:rFonts w:ascii="Cambria Math" w:hAnsi="Cambria Math"/>
                          </w:rPr>
                          <m:t>1≤</m:t>
                        </m:r>
                        <m:r>
                          <m:rPr/>
                          <w:rPr>
                            <w:rFonts w:ascii="Cambria Math" w:hAnsi="Cambria Math"/>
                          </w:rPr>
                          <m:t>SV</m:t>
                        </m:r>
                        <m:r>
                          <m:rPr>
                            <m:sty m:val="p"/>
                          </m:rPr>
                          <w:rPr>
                            <w:rFonts w:ascii="Cambria Math" w:hAnsi="Cambria Math"/>
                          </w:rPr>
                          <m:t>&lt;50000</m:t>
                        </m:r>
                        <m:ctrlPr>
                          <w:rPr>
                            <w:rFonts w:ascii="Cambria Math" w:hAnsi="Cambria Math"/>
                          </w:rPr>
                        </m:ctrlPr>
                      </m:e>
                    </m:d>
                    <m:ctrlPr>
                      <w:rPr>
                        <w:rFonts w:ascii="Cambria Math" w:hAnsi="Cambria Math"/>
                      </w:rPr>
                    </m:ctrlPr>
                  </m:e>
                </m:eqArr>
                <m:ctrlPr>
                  <w:rPr>
                    <w:rFonts w:ascii="Cambria Math" w:hAnsi="Cambria Math"/>
                  </w:rPr>
                </m:ctrlPr>
              </m:e>
            </m:d>
            <m:ctrlPr>
              <w:rPr>
                <w:rFonts w:ascii="Cambria Math" w:hAnsi="Cambria Math"/>
              </w:rPr>
            </m:ctrlPr>
          </m:e>
        </m:nary>
      </m:oMath>
      <w:r>
        <w:tab/>
      </w:r>
      <w:bookmarkStart w:id="137" w:name="OLE_LINK10"/>
      <w:r>
        <w:rPr>
          <w:rFonts w:hint="eastAsia" w:ascii="Times New Roman"/>
        </w:rPr>
        <w:t>（5</w:t>
      </w:r>
      <w:r>
        <w:rPr>
          <w:rFonts w:ascii="Times New Roman"/>
        </w:rPr>
        <w:t>）</w:t>
      </w:r>
      <w:bookmarkEnd w:id="137"/>
    </w:p>
    <w:p w14:paraId="140D1A40">
      <w:pPr>
        <w:pStyle w:val="60"/>
        <w:ind w:firstLine="420"/>
      </w:pPr>
      <w:r>
        <w:rPr>
          <w:rFonts w:hint="eastAsia"/>
        </w:rPr>
        <w:t>式中：</w:t>
      </w:r>
    </w:p>
    <w:p w14:paraId="55B4C065">
      <w:pPr>
        <w:pStyle w:val="60"/>
        <w:ind w:firstLine="420"/>
      </w:pPr>
      <w:r>
        <w:rPr>
          <w:rFonts w:hint="eastAsia"/>
        </w:rPr>
        <w:t>e</w:t>
      </w:r>
      <w:r>
        <w:rPr>
          <w:rFonts w:hint="eastAsia"/>
          <w:vertAlign w:val="subscript"/>
        </w:rPr>
        <w:t>TOC</w:t>
      </w:r>
      <w:bookmarkStart w:id="138" w:name="OLE_LINK11"/>
      <w:r>
        <w:rPr>
          <w:rFonts w:hint="eastAsia"/>
          <w:spacing w:val="-20"/>
        </w:rPr>
        <w:t>——</w:t>
      </w:r>
      <w:bookmarkEnd w:id="138"/>
      <w:r>
        <w:rPr>
          <w:rFonts w:hint="eastAsia"/>
        </w:rPr>
        <w:t>为密封点的TOC泄漏速率，千克/小时；</w:t>
      </w:r>
    </w:p>
    <w:p w14:paraId="1245D6E9">
      <w:pPr>
        <w:pStyle w:val="60"/>
        <w:ind w:firstLine="420"/>
      </w:pPr>
      <w:r>
        <w:rPr>
          <w:rFonts w:hint="eastAsia"/>
        </w:rPr>
        <w:t>SV</w:t>
      </w:r>
      <w:r>
        <w:rPr>
          <w:rFonts w:hint="eastAsia"/>
          <w:spacing w:val="-20"/>
        </w:rPr>
        <w:t>——</w:t>
      </w:r>
      <w:r>
        <w:rPr>
          <w:rFonts w:hint="eastAsia"/>
        </w:rPr>
        <w:t>为修正后的净检测值，μmol/mol；</w:t>
      </w:r>
    </w:p>
    <w:p w14:paraId="1C52518F">
      <w:pPr>
        <w:pStyle w:val="60"/>
        <w:ind w:firstLine="420"/>
      </w:pPr>
      <w:r>
        <w:rPr>
          <w:rFonts w:hint="eastAsia"/>
        </w:rPr>
        <w:t>e</w:t>
      </w:r>
      <w:r>
        <w:rPr>
          <w:rFonts w:hint="eastAsia"/>
          <w:vertAlign w:val="subscript"/>
        </w:rPr>
        <w:t>0,i</w:t>
      </w:r>
      <w:r>
        <w:rPr>
          <w:rFonts w:hint="eastAsia"/>
          <w:spacing w:val="-20"/>
        </w:rPr>
        <w:t>——</w:t>
      </w:r>
      <w:r>
        <w:rPr>
          <w:rFonts w:hint="eastAsia"/>
        </w:rPr>
        <w:t>为密封点i的默认零值泄漏速率，千克/小时；</w:t>
      </w:r>
    </w:p>
    <w:p w14:paraId="1D0F952C">
      <w:pPr>
        <w:pStyle w:val="60"/>
        <w:ind w:firstLine="420"/>
      </w:pPr>
      <w:r>
        <w:rPr>
          <w:rFonts w:hint="eastAsia"/>
        </w:rPr>
        <w:t>e</w:t>
      </w:r>
      <w:r>
        <w:rPr>
          <w:rFonts w:hint="eastAsia"/>
          <w:vertAlign w:val="subscript"/>
        </w:rPr>
        <w:t>p,i</w:t>
      </w:r>
      <w:r>
        <w:rPr>
          <w:rFonts w:hint="eastAsia"/>
          <w:spacing w:val="-20"/>
        </w:rPr>
        <w:t>——</w:t>
      </w:r>
      <w:r>
        <w:rPr>
          <w:rFonts w:hint="eastAsia"/>
        </w:rPr>
        <w:t>为密封点i的限定泄漏速率，千克/小时；</w:t>
      </w:r>
    </w:p>
    <w:p w14:paraId="79DA71A1">
      <w:pPr>
        <w:pStyle w:val="60"/>
        <w:ind w:firstLine="420"/>
      </w:pPr>
      <w:r>
        <w:rPr>
          <w:rFonts w:hint="eastAsia"/>
        </w:rPr>
        <w:t>e</w:t>
      </w:r>
      <w:r>
        <w:rPr>
          <w:rFonts w:hint="eastAsia"/>
          <w:vertAlign w:val="subscript"/>
        </w:rPr>
        <w:t>f,i</w:t>
      </w:r>
      <w:bookmarkStart w:id="139" w:name="OLE_LINK13"/>
      <w:r>
        <w:rPr>
          <w:rFonts w:hint="eastAsia"/>
          <w:spacing w:val="-20"/>
        </w:rPr>
        <w:t>——</w:t>
      </w:r>
      <w:bookmarkEnd w:id="139"/>
      <w:r>
        <w:rPr>
          <w:rFonts w:hint="eastAsia"/>
        </w:rPr>
        <w:t>为密封点i的相关方程核算泄漏速率，千克/小时。</w:t>
      </w:r>
    </w:p>
    <w:p w14:paraId="4C46139D">
      <w:pPr>
        <w:pStyle w:val="60"/>
        <w:ind w:firstLine="420"/>
      </w:pPr>
      <w:r>
        <w:rPr>
          <w:rFonts w:hint="eastAsia"/>
        </w:rPr>
        <w:t>各类型密封点的泄漏速率见附录</w:t>
      </w:r>
      <w:r>
        <w:t>C</w:t>
      </w:r>
      <w:r>
        <w:rPr>
          <w:rFonts w:hint="eastAsia"/>
        </w:rPr>
        <w:t>表</w:t>
      </w:r>
      <w:r>
        <w:t>C.</w:t>
      </w:r>
      <w:r>
        <w:rPr>
          <w:rFonts w:hint="eastAsia"/>
        </w:rPr>
        <w:t>1。</w:t>
      </w:r>
    </w:p>
    <w:p w14:paraId="376B5E0E">
      <w:pPr>
        <w:pStyle w:val="60"/>
        <w:ind w:firstLine="420"/>
      </w:pPr>
      <w:r>
        <w:rPr>
          <w:rFonts w:hint="eastAsia"/>
        </w:rPr>
        <w:t>c）筛选范围法</w:t>
      </w:r>
    </w:p>
    <w:p w14:paraId="2D0407C5">
      <w:pPr>
        <w:pStyle w:val="60"/>
        <w:ind w:firstLine="420"/>
      </w:pPr>
      <w:r>
        <w:rPr>
          <w:rFonts w:hint="eastAsia"/>
        </w:rPr>
        <w:t>筛选范围法用于核算装置不可达法兰或连接件的VOCs泄漏速率时，需至少检测50%该装置的可达法兰或连接件，并且至少包含1个净检测值大于等于10000 µmol/mol的点，以10000 µmol/mol为界，分析已检测法兰或连接件净检测值可能≥10000 µmol/mol的数量比例，将该比例应用到同一装置的不可达法兰或连接件，且按比例计算的大于等于10000 µmol/mol的不可达点个数向上取整，可采用附录A中表A.2系数并按公式（6）计算泄漏速率。</w:t>
      </w:r>
    </w:p>
    <w:p w14:paraId="0EAACB63">
      <w:pPr>
        <w:pStyle w:val="242"/>
        <w:textAlignment w:val="center"/>
      </w:pPr>
      <w:r>
        <w:tab/>
      </w:r>
      <w:r>
        <w:object>
          <v:shape id="_x0000_i1025" o:spt="75" type="#_x0000_t75" style="height:35.55pt;width:146.85pt;" o:ole="t" filled="f" coordsize="21600,21600">
            <v:path/>
            <v:fill on="f" focussize="0,0"/>
            <v:stroke/>
            <v:imagedata r:id="rId40" o:title=""/>
            <o:lock v:ext="edit" aspectratio="t"/>
            <w10:wrap type="none"/>
            <w10:anchorlock/>
          </v:shape>
          <o:OLEObject Type="Embed" ProgID="Equation.DSMT4" ShapeID="_x0000_i1025" DrawAspect="Content" ObjectID="_1468075725" r:id="rId39">
            <o:LockedField>false</o:LockedField>
          </o:OLEObject>
        </w:object>
      </w:r>
      <w:r>
        <w:tab/>
      </w:r>
      <w:bookmarkStart w:id="140" w:name="OLE_LINK12"/>
      <w:r>
        <w:rPr>
          <w:rFonts w:hint="eastAsia"/>
        </w:rPr>
        <w:t>（6）</w:t>
      </w:r>
      <w:bookmarkEnd w:id="140"/>
    </w:p>
    <w:p w14:paraId="49495EFE">
      <w:pPr>
        <w:pStyle w:val="60"/>
        <w:ind w:firstLine="420"/>
      </w:pPr>
      <w:r>
        <w:rPr>
          <w:rFonts w:hint="eastAsia"/>
        </w:rPr>
        <w:t>式中：</w:t>
      </w:r>
    </w:p>
    <w:p w14:paraId="1ECE21CC">
      <w:pPr>
        <w:pStyle w:val="60"/>
        <w:ind w:firstLine="420"/>
      </w:pPr>
      <w:r>
        <w:rPr>
          <w:rFonts w:hint="eastAsia"/>
        </w:rPr>
        <w:t>e</w:t>
      </w:r>
      <w:r>
        <w:rPr>
          <w:rFonts w:hint="eastAsia"/>
          <w:vertAlign w:val="subscript"/>
        </w:rPr>
        <w:t>TOC</w:t>
      </w:r>
      <w:bookmarkStart w:id="141" w:name="OLE_LINK14"/>
      <w:r>
        <w:rPr>
          <w:rFonts w:hint="eastAsia"/>
          <w:spacing w:val="-20"/>
        </w:rPr>
        <w:t>——</w:t>
      </w:r>
      <w:bookmarkEnd w:id="141"/>
      <w:r>
        <w:rPr>
          <w:rFonts w:hint="eastAsia"/>
        </w:rPr>
        <w:t>为密封点的TOC泄漏速率，千克/小时；</w:t>
      </w:r>
    </w:p>
    <w:p w14:paraId="64F35BAF">
      <w:pPr>
        <w:pStyle w:val="60"/>
        <w:ind w:firstLine="420"/>
      </w:pPr>
      <w:r>
        <w:rPr>
          <w:rFonts w:hint="eastAsia"/>
        </w:rPr>
        <w:t>FA</w:t>
      </w:r>
      <w:r>
        <w:rPr>
          <w:rFonts w:hint="eastAsia"/>
          <w:vertAlign w:val="subscript"/>
        </w:rPr>
        <w:t>i</w:t>
      </w:r>
      <w:r>
        <w:rPr>
          <w:rFonts w:hint="eastAsia"/>
          <w:spacing w:val="-20"/>
        </w:rPr>
        <w:t>——</w:t>
      </w:r>
      <w:r>
        <w:rPr>
          <w:rFonts w:hint="eastAsia"/>
        </w:rPr>
        <w:t>为密封点i泄漏系数，见</w:t>
      </w:r>
      <w:bookmarkStart w:id="142" w:name="OLE_LINK40"/>
      <w:r>
        <w:rPr>
          <w:rFonts w:hint="eastAsia"/>
        </w:rPr>
        <w:t>附录</w:t>
      </w:r>
      <w:r>
        <w:t>C</w:t>
      </w:r>
      <w:r>
        <w:rPr>
          <w:rFonts w:hint="eastAsia"/>
        </w:rPr>
        <w:t>表</w:t>
      </w:r>
      <w:r>
        <w:t>C.2</w:t>
      </w:r>
      <w:bookmarkEnd w:id="142"/>
      <w:r>
        <w:rPr>
          <w:rFonts w:hint="eastAsia"/>
        </w:rPr>
        <w:t>；</w:t>
      </w:r>
    </w:p>
    <w:p w14:paraId="67113AD6">
      <w:pPr>
        <w:pStyle w:val="60"/>
        <w:ind w:firstLine="420"/>
      </w:pPr>
      <w:r>
        <w:rPr>
          <w:rFonts w:hint="eastAsia"/>
        </w:rPr>
        <w:t>WF</w:t>
      </w:r>
      <w:r>
        <w:rPr>
          <w:rFonts w:hint="eastAsia"/>
          <w:vertAlign w:val="subscript"/>
        </w:rPr>
        <w:t>TOC,i</w:t>
      </w:r>
      <w:bookmarkStart w:id="143" w:name="OLE_LINK16"/>
      <w:r>
        <w:rPr>
          <w:rFonts w:hint="eastAsia"/>
          <w:spacing w:val="-20"/>
        </w:rPr>
        <w:t>——</w:t>
      </w:r>
      <w:bookmarkEnd w:id="143"/>
      <w:r>
        <w:rPr>
          <w:rFonts w:hint="eastAsia"/>
        </w:rPr>
        <w:t>为流经密封点i的物料中TOC的平均质量分数；</w:t>
      </w:r>
    </w:p>
    <w:p w14:paraId="1571AC76">
      <w:pPr>
        <w:pStyle w:val="60"/>
        <w:ind w:firstLine="420"/>
        <w:rPr>
          <w:rFonts w:hint="eastAsia"/>
        </w:rPr>
      </w:pPr>
      <w:r>
        <w:rPr>
          <w:rFonts w:hint="eastAsia"/>
        </w:rPr>
        <w:t>N</w:t>
      </w:r>
      <w:r>
        <w:rPr>
          <w:rFonts w:hint="eastAsia"/>
          <w:vertAlign w:val="subscript"/>
        </w:rPr>
        <w:t>i</w:t>
      </w:r>
      <w:r>
        <w:rPr>
          <w:rFonts w:hint="eastAsia"/>
          <w:spacing w:val="-20"/>
        </w:rPr>
        <w:t>——</w:t>
      </w:r>
      <w:r>
        <w:rPr>
          <w:rFonts w:hint="eastAsia"/>
        </w:rPr>
        <w:t>为密封点的个数。</w:t>
      </w:r>
    </w:p>
    <w:p w14:paraId="44F1D9C6">
      <w:pPr>
        <w:pStyle w:val="60"/>
        <w:ind w:firstLine="420"/>
      </w:pPr>
      <w:r>
        <w:rPr>
          <w:rFonts w:hint="eastAsia"/>
        </w:rPr>
        <w:t>d）系数法</w:t>
      </w:r>
    </w:p>
    <w:p w14:paraId="0D3C4F88">
      <w:pPr>
        <w:pStyle w:val="60"/>
        <w:ind w:firstLine="420"/>
      </w:pPr>
      <w:r>
        <w:rPr>
          <w:rFonts w:hint="eastAsia"/>
        </w:rPr>
        <w:t>未进行测试的密封点，或不可达点（除符合筛选范围法适用范围的法兰和连接件外），应采用系数法进行计算，泄露速率表见附录</w:t>
      </w:r>
      <w:r>
        <w:t>C</w:t>
      </w:r>
      <w:r>
        <w:rPr>
          <w:rFonts w:hint="eastAsia"/>
        </w:rPr>
        <w:t>表</w:t>
      </w:r>
      <w:r>
        <w:t>C.3</w:t>
      </w:r>
      <w:r>
        <w:rPr>
          <w:rFonts w:hint="eastAsia"/>
        </w:rPr>
        <w:t>，并按公式（6）计算泄漏速率。</w:t>
      </w:r>
    </w:p>
    <w:p w14:paraId="5DC3DCA3">
      <w:pPr>
        <w:pStyle w:val="69"/>
        <w:spacing w:before="120" w:after="120"/>
        <w:ind w:left="0"/>
      </w:pPr>
      <w:bookmarkStart w:id="144" w:name="_Toc137109105"/>
      <w:r>
        <w:rPr>
          <w:rFonts w:hint="eastAsia"/>
        </w:rPr>
        <w:t>运行时间</w:t>
      </w:r>
      <w:bookmarkEnd w:id="144"/>
    </w:p>
    <w:p w14:paraId="3DF436F3">
      <w:pPr>
        <w:pStyle w:val="60"/>
        <w:ind w:firstLine="420"/>
      </w:pPr>
      <w:r>
        <w:rPr>
          <w:rFonts w:hint="eastAsia"/>
        </w:rPr>
        <w:t>采用中点法确定该密封点的排放时间，即第n次检测值代表时间段的起始点为第n-1次至第n次检测时间段的中点，终止点为第n次至第n+1次检测时间段的中点。发生泄漏修复的情况下，修复复测的时间点为泄漏时间段的终止点。</w:t>
      </w:r>
    </w:p>
    <w:p w14:paraId="5CECEB08">
      <w:pPr>
        <w:pStyle w:val="109"/>
        <w:spacing w:before="120" w:after="120"/>
      </w:pPr>
      <w:bookmarkStart w:id="145" w:name="_Toc137109106"/>
      <w:bookmarkStart w:id="146" w:name="_Toc77263532"/>
      <w:bookmarkStart w:id="147" w:name="_Toc137108841"/>
      <w:bookmarkStart w:id="148" w:name="_Toc170497004"/>
      <w:r>
        <w:rPr>
          <w:rFonts w:hint="eastAsia"/>
        </w:rPr>
        <w:t>有机液体储存与调和挥发损失</w:t>
      </w:r>
      <w:bookmarkEnd w:id="145"/>
      <w:bookmarkEnd w:id="146"/>
      <w:bookmarkEnd w:id="147"/>
      <w:bookmarkEnd w:id="148"/>
    </w:p>
    <w:p w14:paraId="08017B2F">
      <w:pPr>
        <w:pStyle w:val="60"/>
        <w:ind w:firstLine="420"/>
      </w:pPr>
      <w:r>
        <w:rPr>
          <w:rFonts w:hint="eastAsia"/>
        </w:rPr>
        <w:t>有机液体储存与调和通常采用储罐，常见的储罐类型有：固定顶罐（包括卧式罐和立式罐）与浮顶罐（包括内浮顶罐和外浮顶罐）。</w:t>
      </w:r>
    </w:p>
    <w:p w14:paraId="3BDF756B">
      <w:pPr>
        <w:pStyle w:val="60"/>
        <w:ind w:firstLine="420"/>
      </w:pPr>
      <w:r>
        <w:rPr>
          <w:rFonts w:hint="eastAsia"/>
        </w:rPr>
        <w:t>固定顶罐VOCs的产生主要来自于储存过程中蒸发静置损失（俗称小呼吸）和接受物料过程中产生的工作损失（俗称大呼吸）。</w:t>
      </w:r>
    </w:p>
    <w:p w14:paraId="06A85E52">
      <w:pPr>
        <w:pStyle w:val="60"/>
        <w:ind w:firstLine="420"/>
      </w:pPr>
      <w:r>
        <w:rPr>
          <w:rFonts w:hint="eastAsia"/>
        </w:rPr>
        <w:t>浮顶罐VOCs的产生主要包括边缘密封损失、浮盘附件损失、浮盘盘缝损失和挂壁损失。其中边缘密封损失、浮盘附件损失、浮盘盘缝损失属于静置损失，挂壁损失属于工作损失。</w:t>
      </w:r>
    </w:p>
    <w:p w14:paraId="0437181B">
      <w:pPr>
        <w:pStyle w:val="69"/>
        <w:spacing w:before="120" w:after="120"/>
        <w:ind w:left="0"/>
      </w:pPr>
      <w:bookmarkStart w:id="149" w:name="_Toc137109107"/>
      <w:r>
        <w:rPr>
          <w:rFonts w:hint="eastAsia"/>
        </w:rPr>
        <w:t>包袋法</w:t>
      </w:r>
      <w:bookmarkEnd w:id="149"/>
    </w:p>
    <w:p w14:paraId="50A46CA5">
      <w:pPr>
        <w:pStyle w:val="60"/>
        <w:ind w:firstLine="420"/>
      </w:pPr>
      <w:r>
        <w:rPr>
          <w:rFonts w:hint="eastAsia"/>
        </w:rPr>
        <w:t>采用包袋法和大体积采样法对固定顶罐进行实测，所得逸散速率最接近真实排放情况。</w:t>
      </w:r>
    </w:p>
    <w:p w14:paraId="4EE8CF8E">
      <w:pPr>
        <w:pStyle w:val="69"/>
        <w:spacing w:before="120" w:after="120"/>
        <w:ind w:left="0"/>
      </w:pPr>
      <w:bookmarkStart w:id="150" w:name="_Toc137109108"/>
      <w:r>
        <w:rPr>
          <w:rFonts w:hint="eastAsia"/>
        </w:rPr>
        <w:t>公式法</w:t>
      </w:r>
      <w:bookmarkEnd w:id="150"/>
    </w:p>
    <w:p w14:paraId="546F5DB7">
      <w:pPr>
        <w:pStyle w:val="60"/>
        <w:ind w:firstLine="420"/>
      </w:pPr>
      <w:r>
        <w:rPr>
          <w:rFonts w:hint="eastAsia"/>
        </w:rPr>
        <w:t>公式法可应用于固定顶罐和浮顶罐。不适用于以下情况：所储物料组分不稳定或真实蒸汽压高于大气压、蒸气压未知或无法测量的；储罐浮盘设施失效的；其他不符合相关环保要求的。</w:t>
      </w:r>
    </w:p>
    <w:p w14:paraId="4F6B1B3C">
      <w:pPr>
        <w:pStyle w:val="60"/>
        <w:ind w:firstLine="420"/>
      </w:pPr>
      <w:r>
        <w:rPr>
          <w:rFonts w:hint="eastAsia"/>
        </w:rPr>
        <w:t>公式法核算过程采用美制单位。完成核算后，可将排放量的美制单位（磅）转为国际单位制（千克）详细见附录</w:t>
      </w:r>
      <w:r>
        <w:t>D</w:t>
      </w:r>
      <w:r>
        <w:rPr>
          <w:rFonts w:hint="eastAsia"/>
        </w:rPr>
        <w:t>。</w:t>
      </w:r>
    </w:p>
    <w:p w14:paraId="5B0099E6">
      <w:pPr>
        <w:pStyle w:val="242"/>
        <w:textAlignment w:val="center"/>
        <w:rPr>
          <w:rFonts w:hAnsi="宋体"/>
        </w:rPr>
      </w:pPr>
      <w:bookmarkStart w:id="151" w:name="OLE_LINK15"/>
      <w:r>
        <w:tab/>
      </w:r>
      <w:r>
        <w:object>
          <v:shape id="_x0000_i1026" o:spt="75" type="#_x0000_t75" style="height:36.45pt;width:130pt;" o:ole="t" filled="f" coordsize="21600,21600">
            <v:path/>
            <v:fill on="f" focussize="0,0"/>
            <v:stroke/>
            <v:imagedata r:id="rId42" o:title=""/>
            <o:lock v:ext="edit" aspectratio="t"/>
            <w10:wrap type="none"/>
            <w10:anchorlock/>
          </v:shape>
          <o:OLEObject Type="Embed" ProgID="Equation.3" ShapeID="_x0000_i1026" DrawAspect="Content" ObjectID="_1468075726" r:id="rId41">
            <o:LockedField>false</o:LockedField>
          </o:OLEObject>
        </w:object>
      </w:r>
      <w:bookmarkEnd w:id="151"/>
      <w:r>
        <w:tab/>
      </w:r>
      <w:r>
        <w:rPr>
          <w:rFonts w:hAnsi="宋体"/>
        </w:rPr>
        <w:t>(</w:t>
      </w:r>
      <w:r>
        <w:rPr>
          <w:rFonts w:hint="eastAsia" w:hAnsi="宋体"/>
        </w:rPr>
        <w:t>7</w:t>
      </w:r>
      <w:r>
        <w:rPr>
          <w:rFonts w:hAnsi="宋体"/>
        </w:rPr>
        <w:t>)</w:t>
      </w:r>
    </w:p>
    <w:p w14:paraId="411CE2DF">
      <w:pPr>
        <w:pStyle w:val="60"/>
        <w:ind w:firstLine="420"/>
      </w:pPr>
      <w:r>
        <w:rPr>
          <w:rFonts w:hint="eastAsia"/>
        </w:rPr>
        <w:t>式中：</w:t>
      </w:r>
    </w:p>
    <w:p w14:paraId="0C386872">
      <w:pPr>
        <w:pStyle w:val="60"/>
        <w:ind w:firstLine="420"/>
      </w:pPr>
      <w:r>
        <w:rPr>
          <w:rFonts w:hint="eastAsia"/>
        </w:rPr>
        <w:t>E</w:t>
      </w:r>
      <w:r>
        <w:rPr>
          <w:rFonts w:hint="eastAsia"/>
          <w:vertAlign w:val="subscript"/>
        </w:rPr>
        <w:t>储罐</w:t>
      </w:r>
      <w:bookmarkStart w:id="152" w:name="OLE_LINK22"/>
      <w:r>
        <w:rPr>
          <w:rFonts w:hint="eastAsia"/>
          <w:spacing w:val="-20"/>
        </w:rPr>
        <w:t>——</w:t>
      </w:r>
      <w:bookmarkEnd w:id="152"/>
      <w:r>
        <w:rPr>
          <w:rFonts w:hint="eastAsia"/>
        </w:rPr>
        <w:t>为统计期内储罐的VOCs产生量，千克；</w:t>
      </w:r>
    </w:p>
    <w:p w14:paraId="6B0B9250">
      <w:pPr>
        <w:pStyle w:val="60"/>
        <w:ind w:firstLine="420"/>
      </w:pPr>
      <w:r>
        <w:rPr>
          <w:rFonts w:hint="eastAsia"/>
        </w:rPr>
        <w:t>E</w:t>
      </w:r>
      <w:r>
        <w:rPr>
          <w:rFonts w:hint="eastAsia"/>
          <w:vertAlign w:val="subscript"/>
        </w:rPr>
        <w:t>固,i</w:t>
      </w:r>
      <w:bookmarkStart w:id="153" w:name="OLE_LINK23"/>
      <w:r>
        <w:rPr>
          <w:rFonts w:hint="eastAsia"/>
          <w:spacing w:val="-20"/>
        </w:rPr>
        <w:t>——</w:t>
      </w:r>
      <w:bookmarkEnd w:id="153"/>
      <w:r>
        <w:rPr>
          <w:rFonts w:hint="eastAsia"/>
        </w:rPr>
        <w:t>为统计期内固定顶罐i的VOCs产生量，千克；</w:t>
      </w:r>
    </w:p>
    <w:p w14:paraId="35F8EA0B">
      <w:pPr>
        <w:pStyle w:val="60"/>
        <w:ind w:firstLine="420"/>
      </w:pPr>
      <w:r>
        <w:rPr>
          <w:rFonts w:hint="eastAsia"/>
        </w:rPr>
        <w:t>N</w:t>
      </w:r>
      <w:r>
        <w:rPr>
          <w:rFonts w:hint="eastAsia"/>
          <w:spacing w:val="-20"/>
        </w:rPr>
        <w:t>——</w:t>
      </w:r>
      <w:r>
        <w:rPr>
          <w:rFonts w:hint="eastAsia"/>
        </w:rPr>
        <w:t>为固定顶罐的数量，个；</w:t>
      </w:r>
    </w:p>
    <w:p w14:paraId="29377FE4">
      <w:pPr>
        <w:pStyle w:val="60"/>
        <w:ind w:firstLine="420"/>
      </w:pPr>
      <w:r>
        <w:rPr>
          <w:rFonts w:hint="eastAsia"/>
        </w:rPr>
        <w:t>E</w:t>
      </w:r>
      <w:r>
        <w:rPr>
          <w:rFonts w:hint="eastAsia"/>
          <w:vertAlign w:val="subscript"/>
        </w:rPr>
        <w:t>浮,i</w:t>
      </w:r>
      <w:bookmarkStart w:id="154" w:name="OLE_LINK24"/>
      <w:r>
        <w:rPr>
          <w:rFonts w:hint="eastAsia"/>
          <w:spacing w:val="-20"/>
        </w:rPr>
        <w:t>——</w:t>
      </w:r>
      <w:bookmarkEnd w:id="154"/>
      <w:r>
        <w:rPr>
          <w:rFonts w:hint="eastAsia"/>
        </w:rPr>
        <w:t>为统计期内浮顶罐i的VOCs产生量，千克；</w:t>
      </w:r>
    </w:p>
    <w:p w14:paraId="513203C7">
      <w:pPr>
        <w:pStyle w:val="60"/>
        <w:ind w:firstLine="420"/>
      </w:pPr>
      <w:r>
        <w:rPr>
          <w:rFonts w:hint="eastAsia"/>
        </w:rPr>
        <w:t>M</w:t>
      </w:r>
      <w:r>
        <w:rPr>
          <w:rFonts w:hint="eastAsia"/>
          <w:spacing w:val="-20"/>
        </w:rPr>
        <w:t>——</w:t>
      </w:r>
      <w:r>
        <w:rPr>
          <w:rFonts w:hint="eastAsia"/>
        </w:rPr>
        <w:t>为浮顶罐的数量，个。</w:t>
      </w:r>
    </w:p>
    <w:p w14:paraId="06C7BABE">
      <w:pPr>
        <w:pStyle w:val="60"/>
        <w:ind w:firstLine="420"/>
      </w:pPr>
      <w:r>
        <w:rPr>
          <w:rFonts w:hint="eastAsia"/>
        </w:rPr>
        <w:t>公式法可应用于计算</w:t>
      </w:r>
      <w:r>
        <w:rPr>
          <w:rFonts w:hint="eastAsia" w:hAnsi="黑体"/>
        </w:rPr>
        <w:t>固定顶罐总损失和浮顶罐总损失，固定罐与浮顶罐的VOCs产生量计算方法见附录</w:t>
      </w:r>
      <w:r>
        <w:rPr>
          <w:rFonts w:hAnsi="黑体"/>
        </w:rPr>
        <w:t>E</w:t>
      </w:r>
      <w:r>
        <w:rPr>
          <w:rFonts w:hint="eastAsia" w:hAnsi="黑体"/>
        </w:rPr>
        <w:t>。</w:t>
      </w:r>
    </w:p>
    <w:p w14:paraId="3753CF82">
      <w:pPr>
        <w:pStyle w:val="69"/>
        <w:spacing w:before="120" w:after="120"/>
        <w:ind w:left="0"/>
      </w:pPr>
      <w:bookmarkStart w:id="155" w:name="_Toc137109109"/>
      <w:r>
        <w:rPr>
          <w:rFonts w:hint="eastAsia"/>
        </w:rPr>
        <w:t>系数法</w:t>
      </w:r>
      <w:bookmarkEnd w:id="155"/>
    </w:p>
    <w:p w14:paraId="254C88D1">
      <w:pPr>
        <w:pStyle w:val="60"/>
        <w:ind w:firstLine="420"/>
      </w:pPr>
      <w:r>
        <w:rPr>
          <w:rFonts w:hint="eastAsia"/>
        </w:rPr>
        <w:t>在公式法使用条件无法满足时，采用系数法计算储罐的VOCs产生量，见公式(8)</w:t>
      </w:r>
    </w:p>
    <w:p w14:paraId="0429848F">
      <w:pPr>
        <w:pStyle w:val="242"/>
        <w:textAlignment w:val="center"/>
      </w:pPr>
      <w:r>
        <w:tab/>
      </w:r>
      <w:r>
        <w:object>
          <v:shape id="_x0000_i1027" o:spt="75" type="#_x0000_t75" style="height:20.55pt;width:75.75pt;" o:ole="t" filled="f" coordsize="21600,21600">
            <v:path/>
            <v:fill on="f" focussize="0,0"/>
            <v:stroke/>
            <v:imagedata r:id="rId44" o:title=""/>
            <o:lock v:ext="edit" aspectratio="t"/>
            <w10:wrap type="none"/>
            <w10:anchorlock/>
          </v:shape>
          <o:OLEObject Type="Embed" ProgID="Equation.DSMT4" ShapeID="_x0000_i1027" DrawAspect="Content" ObjectID="_1468075727" r:id="rId43">
            <o:LockedField>false</o:LockedField>
          </o:OLEObject>
        </w:object>
      </w:r>
      <w:r>
        <w:tab/>
      </w:r>
      <w:r>
        <w:rPr>
          <w:rFonts w:hint="eastAsia"/>
        </w:rPr>
        <w:t>(8)</w:t>
      </w:r>
    </w:p>
    <w:p w14:paraId="47CF1221">
      <w:pPr>
        <w:pStyle w:val="60"/>
        <w:ind w:firstLine="420"/>
      </w:pPr>
      <w:r>
        <w:rPr>
          <w:rFonts w:hint="eastAsia"/>
        </w:rPr>
        <w:t>式中：</w:t>
      </w:r>
    </w:p>
    <w:p w14:paraId="6DF74DF5">
      <w:pPr>
        <w:pStyle w:val="60"/>
        <w:ind w:firstLine="420"/>
      </w:pPr>
      <w:r>
        <w:rPr>
          <w:rFonts w:hint="eastAsia"/>
        </w:rPr>
        <w:t>E</w:t>
      </w:r>
      <w:r>
        <w:rPr>
          <w:rFonts w:hint="eastAsia"/>
          <w:vertAlign w:val="subscript"/>
        </w:rPr>
        <w:t>储罐</w:t>
      </w:r>
      <w:bookmarkStart w:id="156" w:name="OLE_LINK25"/>
      <w:r>
        <w:rPr>
          <w:rFonts w:hint="eastAsia"/>
          <w:spacing w:val="-20"/>
        </w:rPr>
        <w:t>——</w:t>
      </w:r>
      <w:bookmarkEnd w:id="156"/>
      <w:r>
        <w:rPr>
          <w:rFonts w:hint="eastAsia"/>
        </w:rPr>
        <w:t>为统计期内储罐的 VOCs 产生量，千克；</w:t>
      </w:r>
    </w:p>
    <w:p w14:paraId="4376A544">
      <w:pPr>
        <w:pStyle w:val="60"/>
        <w:ind w:firstLine="420"/>
      </w:pPr>
      <w:r>
        <w:rPr>
          <w:rFonts w:hint="eastAsia"/>
        </w:rPr>
        <w:t>EF</w:t>
      </w:r>
      <w:r>
        <w:rPr>
          <w:rFonts w:hint="eastAsia"/>
          <w:spacing w:val="-20"/>
        </w:rPr>
        <w:t>——</w:t>
      </w:r>
      <w:r>
        <w:rPr>
          <w:rFonts w:hint="eastAsia"/>
        </w:rPr>
        <w:t>为产污系数（单位体积周转物料的物料挥发损失），见附录</w:t>
      </w:r>
      <w:r>
        <w:t>E</w:t>
      </w:r>
      <w:r>
        <w:rPr>
          <w:rFonts w:hint="eastAsia"/>
        </w:rPr>
        <w:t>表</w:t>
      </w:r>
      <w:r>
        <w:t>E.7</w:t>
      </w:r>
      <w:r>
        <w:rPr>
          <w:rFonts w:hint="eastAsia"/>
        </w:rPr>
        <w:t>，千克/立方米；</w:t>
      </w:r>
    </w:p>
    <w:p w14:paraId="39AF05E2">
      <w:pPr>
        <w:pStyle w:val="60"/>
        <w:ind w:firstLine="420"/>
      </w:pPr>
      <w:r>
        <w:rPr>
          <w:rFonts w:hint="eastAsia"/>
        </w:rPr>
        <w:t>Q</w:t>
      </w:r>
      <w:bookmarkStart w:id="157" w:name="OLE_LINK26"/>
      <w:r>
        <w:rPr>
          <w:rFonts w:hint="eastAsia"/>
          <w:spacing w:val="-20"/>
        </w:rPr>
        <w:t>——</w:t>
      </w:r>
      <w:bookmarkEnd w:id="157"/>
      <w:r>
        <w:rPr>
          <w:rFonts w:hint="eastAsia"/>
        </w:rPr>
        <w:t>为统计期内物料周转量，立方米。</w:t>
      </w:r>
    </w:p>
    <w:p w14:paraId="0A818353">
      <w:pPr>
        <w:pStyle w:val="109"/>
        <w:spacing w:before="120" w:after="120"/>
      </w:pPr>
      <w:bookmarkStart w:id="158" w:name="_Toc137109110"/>
      <w:bookmarkStart w:id="159" w:name="_Toc170497005"/>
      <w:bookmarkStart w:id="160" w:name="_Toc137108842"/>
      <w:bookmarkStart w:id="161" w:name="_Hlk168324976"/>
      <w:r>
        <w:rPr>
          <w:rFonts w:hint="eastAsia"/>
        </w:rPr>
        <w:t>废水集输、储存、处理处置过程逸散</w:t>
      </w:r>
      <w:bookmarkEnd w:id="158"/>
      <w:bookmarkEnd w:id="159"/>
      <w:bookmarkEnd w:id="160"/>
    </w:p>
    <w:bookmarkEnd w:id="161"/>
    <w:p w14:paraId="2597C0ED">
      <w:pPr>
        <w:pStyle w:val="60"/>
        <w:ind w:firstLine="420"/>
      </w:pPr>
      <w:r>
        <w:t>废水集输、储存、处理处置过程VOCs产生量计算方法主要包括公式法和系数法。</w:t>
      </w:r>
    </w:p>
    <w:p w14:paraId="49D0F94C">
      <w:pPr>
        <w:pStyle w:val="69"/>
        <w:spacing w:before="120" w:after="120"/>
        <w:ind w:left="0"/>
      </w:pPr>
      <w:bookmarkStart w:id="162" w:name="_Toc137109111"/>
      <w:r>
        <w:rPr>
          <w:rFonts w:hint="eastAsia"/>
        </w:rPr>
        <w:t>公式法</w:t>
      </w:r>
      <w:bookmarkEnd w:id="162"/>
    </w:p>
    <w:p w14:paraId="70F8B119">
      <w:pPr>
        <w:pStyle w:val="60"/>
        <w:ind w:firstLine="420"/>
      </w:pPr>
      <w:r>
        <w:t>废水环节的VOCs产生量为水面油层中和水中VOCs产生量的加和，见公式(</w:t>
      </w:r>
      <w:r>
        <w:rPr>
          <w:rFonts w:hint="eastAsia"/>
        </w:rPr>
        <w:t>9</w:t>
      </w:r>
      <w:r>
        <w:t>)。</w:t>
      </w:r>
    </w:p>
    <w:p w14:paraId="0FAEF9C8">
      <w:pPr>
        <w:pStyle w:val="242"/>
        <w:textAlignment w:val="center"/>
      </w:pPr>
      <w:r>
        <w:tab/>
      </w:r>
      <m:oMath>
        <m:sSub>
          <m:sSubPr>
            <m:ctrlPr>
              <w:rPr>
                <w:rFonts w:ascii="Cambria Math"/>
                <w:i/>
              </w:rPr>
            </m:ctrlPr>
          </m:sSubPr>
          <m:e>
            <m:r>
              <m:rPr/>
              <w:rPr>
                <w:rFonts w:ascii="Cambria Math"/>
              </w:rPr>
              <m:t>E</m:t>
            </m:r>
            <m:ctrlPr>
              <w:rPr>
                <w:rFonts w:ascii="Cambria Math"/>
                <w:i/>
              </w:rPr>
            </m:ctrlPr>
          </m:e>
          <m:sub>
            <m:r>
              <m:rPr/>
              <w:rPr>
                <w:rFonts w:ascii="Cambria Math"/>
              </w:rPr>
              <m:t>废水</m:t>
            </m:r>
            <m:ctrlPr>
              <w:rPr>
                <w:rFonts w:ascii="Cambria Math" w:hAnsi="Cambria Math"/>
                <w:i/>
              </w:rPr>
            </m:ctrlPr>
          </m:sub>
        </m:sSub>
        <m:r>
          <m:rPr/>
          <w:rPr>
            <w:rFonts w:ascii="Cambria Math"/>
          </w:rPr>
          <m:t>=</m:t>
        </m:r>
        <m:sSub>
          <m:sSubPr>
            <m:ctrlPr>
              <w:rPr>
                <w:rFonts w:ascii="Cambria Math"/>
                <w:i/>
              </w:rPr>
            </m:ctrlPr>
          </m:sSubPr>
          <m:e>
            <m:r>
              <m:rPr/>
              <w:rPr>
                <w:rFonts w:ascii="Cambria Math"/>
              </w:rPr>
              <m:t>E</m:t>
            </m:r>
            <m:ctrlPr>
              <w:rPr>
                <w:rFonts w:ascii="Cambria Math"/>
                <w:i/>
              </w:rPr>
            </m:ctrlPr>
          </m:e>
          <m:sub>
            <m:r>
              <m:rPr/>
              <w:rPr>
                <w:rFonts w:ascii="Cambria Math"/>
              </w:rPr>
              <m:t>油相</m:t>
            </m:r>
            <m:ctrlPr>
              <w:rPr>
                <w:rFonts w:ascii="Cambria Math" w:hAnsi="Cambria Math"/>
                <w:i/>
              </w:rPr>
            </m:ctrlPr>
          </m:sub>
        </m:sSub>
        <m:r>
          <m:rPr/>
          <w:rPr>
            <w:rFonts w:ascii="Cambria Math"/>
          </w:rPr>
          <m:t>+</m:t>
        </m:r>
        <m:sSub>
          <m:sSubPr>
            <m:ctrlPr>
              <w:rPr>
                <w:rFonts w:ascii="Cambria Math"/>
                <w:i/>
              </w:rPr>
            </m:ctrlPr>
          </m:sSubPr>
          <m:e>
            <m:r>
              <m:rPr/>
              <w:rPr>
                <w:rFonts w:ascii="Cambria Math"/>
              </w:rPr>
              <m:t>E</m:t>
            </m:r>
            <m:ctrlPr>
              <w:rPr>
                <w:rFonts w:ascii="Cambria Math"/>
                <w:i/>
              </w:rPr>
            </m:ctrlPr>
          </m:e>
          <m:sub>
            <m:r>
              <m:rPr/>
              <w:rPr>
                <w:rFonts w:ascii="Cambria Math"/>
              </w:rPr>
              <m:t>水相</m:t>
            </m:r>
            <m:ctrlPr>
              <w:rPr>
                <w:rFonts w:ascii="Cambria Math" w:hAnsi="Cambria Math"/>
                <w:i/>
              </w:rPr>
            </m:ctrlPr>
          </m:sub>
        </m:sSub>
      </m:oMath>
      <w:r>
        <w:tab/>
      </w:r>
      <w:r>
        <w:t>(</w:t>
      </w:r>
      <w:r>
        <w:rPr>
          <w:rFonts w:hint="eastAsia"/>
        </w:rPr>
        <w:t>9</w:t>
      </w:r>
      <w:r>
        <w:t>)</w:t>
      </w:r>
    </w:p>
    <w:p w14:paraId="46B11E23">
      <w:pPr>
        <w:pStyle w:val="60"/>
        <w:ind w:firstLine="420"/>
      </w:pPr>
      <w:r>
        <w:t>式中</w:t>
      </w:r>
      <w:r>
        <w:rPr>
          <w:rFonts w:hint="eastAsia"/>
        </w:rPr>
        <w:t>:</w:t>
      </w:r>
    </w:p>
    <w:p w14:paraId="13DDEC33">
      <w:pPr>
        <w:pStyle w:val="60"/>
        <w:ind w:firstLine="420"/>
      </w:pPr>
      <w:r>
        <w:t>E</w:t>
      </w:r>
      <w:r>
        <w:rPr>
          <w:vertAlign w:val="subscript"/>
        </w:rPr>
        <w:t>废水</w:t>
      </w:r>
      <w:bookmarkStart w:id="163" w:name="OLE_LINK28"/>
      <w:r>
        <w:rPr>
          <w:rFonts w:hint="eastAsia"/>
          <w:spacing w:val="-20"/>
        </w:rPr>
        <w:t>——</w:t>
      </w:r>
      <w:bookmarkEnd w:id="163"/>
      <w:r>
        <w:rPr>
          <w:rFonts w:hint="eastAsia"/>
        </w:rPr>
        <w:t>为</w:t>
      </w:r>
      <w:r>
        <w:t>统计期内废水的VOCs产生量，千克；</w:t>
      </w:r>
    </w:p>
    <w:p w14:paraId="43BB1EF1">
      <w:pPr>
        <w:pStyle w:val="60"/>
        <w:ind w:firstLine="420"/>
      </w:pPr>
      <w:r>
        <w:t>E</w:t>
      </w:r>
      <w:r>
        <w:rPr>
          <w:vertAlign w:val="subscript"/>
        </w:rPr>
        <w:t>油相</w:t>
      </w:r>
      <w:r>
        <w:rPr>
          <w:rFonts w:hint="eastAsia"/>
          <w:spacing w:val="-20"/>
        </w:rPr>
        <w:t>——</w:t>
      </w:r>
      <w:r>
        <w:rPr>
          <w:rFonts w:hint="eastAsia"/>
        </w:rPr>
        <w:t>为</w:t>
      </w:r>
      <w:r>
        <w:t>统计期内收集系统集水井、处理系统浮选池和隔油池中油层的VOCs产生量，千克，按固定顶罐</w:t>
      </w:r>
      <w:r>
        <w:rPr>
          <w:rFonts w:hint="eastAsia"/>
        </w:rPr>
        <w:t>的公式</w:t>
      </w:r>
      <w:r>
        <w:t>法计算，见公式(</w:t>
      </w:r>
      <w:r>
        <w:rPr>
          <w:rFonts w:hint="eastAsia"/>
        </w:rPr>
        <w:t>1</w:t>
      </w:r>
      <w:r>
        <w:t>0)，其中浮油真实蒸汽压需要实测，如无实测，按85千帕计算；</w:t>
      </w:r>
    </w:p>
    <w:p w14:paraId="7C9EE926">
      <w:pPr>
        <w:pStyle w:val="60"/>
        <w:ind w:firstLine="420"/>
      </w:pPr>
      <w:r>
        <w:t>E</w:t>
      </w:r>
      <w:r>
        <w:rPr>
          <w:vertAlign w:val="subscript"/>
        </w:rPr>
        <w:t>水相</w:t>
      </w:r>
      <w:r>
        <w:rPr>
          <w:rFonts w:hint="eastAsia"/>
          <w:spacing w:val="-20"/>
        </w:rPr>
        <w:t>——</w:t>
      </w:r>
      <w:r>
        <w:rPr>
          <w:rFonts w:hint="eastAsia"/>
        </w:rPr>
        <w:t>为</w:t>
      </w:r>
      <w:r>
        <w:t>统计期内废水收集支线和废水处理厂水相中VOCs产生量，千克，按公式(</w:t>
      </w:r>
      <w:r>
        <w:rPr>
          <w:rFonts w:hint="eastAsia"/>
        </w:rPr>
        <w:t>1</w:t>
      </w:r>
      <w:r>
        <w:t>0)计算；</w:t>
      </w:r>
    </w:p>
    <w:p w14:paraId="776362B1">
      <w:pPr>
        <w:pStyle w:val="242"/>
        <w:textAlignment w:val="center"/>
      </w:pPr>
      <w:r>
        <w:tab/>
      </w:r>
      <m:oMath>
        <m:sSub>
          <w:bookmarkStart w:id="164" w:name="OLE_LINK27"/>
          <m:sSubPr>
            <m:ctrlPr>
              <w:rPr>
                <w:rFonts w:ascii="Cambria Math"/>
                <w:i/>
              </w:rPr>
            </m:ctrlPr>
          </m:sSubPr>
          <m:e>
            <m:r>
              <m:rPr/>
              <w:rPr>
                <w:rFonts w:ascii="Cambria Math"/>
              </w:rPr>
              <m:t>E</m:t>
            </m:r>
            <m:ctrlPr>
              <w:rPr>
                <w:rFonts w:ascii="Cambria Math"/>
                <w:i/>
              </w:rPr>
            </m:ctrlPr>
          </m:e>
          <m:sub>
            <m:r>
              <m:rPr/>
              <w:rPr>
                <w:rFonts w:hint="eastAsia" w:ascii="Cambria Math"/>
              </w:rPr>
              <m:t>油</m:t>
            </m:r>
            <m:r>
              <m:rPr/>
              <w:rPr>
                <w:rFonts w:ascii="Cambria Math"/>
              </w:rPr>
              <m:t>相/</m:t>
            </m:r>
            <m:r>
              <m:rPr/>
              <w:rPr>
                <w:rFonts w:hint="eastAsia" w:ascii="Cambria Math"/>
              </w:rPr>
              <m:t>水相</m:t>
            </m:r>
            <m:ctrlPr>
              <w:rPr>
                <w:rFonts w:ascii="Cambria Math" w:hAnsi="Cambria Math"/>
                <w:i/>
              </w:rPr>
            </m:ctrlPr>
          </m:sub>
        </m:sSub>
        <m:r>
          <m:rPr/>
          <w:rPr>
            <w:rFonts w:ascii="Cambria Math"/>
          </w:rPr>
          <m:t>=</m:t>
        </m:r>
        <m:nary>
          <m:naryPr>
            <m:chr m:val="∑"/>
            <m:ctrlPr>
              <w:rPr>
                <w:rFonts w:ascii="Cambria Math"/>
                <w:i/>
              </w:rPr>
            </m:ctrlPr>
          </m:naryPr>
          <m:sub>
            <m:r>
              <m:rPr/>
              <w:rPr>
                <w:rFonts w:ascii="Cambria Math"/>
              </w:rPr>
              <m:t>i=1</m:t>
            </m:r>
            <m:ctrlPr>
              <w:rPr>
                <w:rFonts w:ascii="Cambria Math"/>
                <w:i/>
              </w:rPr>
            </m:ctrlPr>
          </m:sub>
          <m:sup>
            <m:r>
              <m:rPr/>
              <w:rPr>
                <w:rFonts w:ascii="Cambria Math"/>
              </w:rPr>
              <m:t>n</m:t>
            </m:r>
            <m:ctrlPr>
              <w:rPr>
                <w:rFonts w:ascii="Cambria Math"/>
                <w:i/>
              </w:rPr>
            </m:ctrlPr>
          </m:sup>
          <m:e>
            <m:d>
              <m:dPr>
                <m:begChr m:val="["/>
                <m:endChr m:val="]"/>
                <m:ctrlPr>
                  <w:rPr>
                    <w:rFonts w:ascii="Cambria Math"/>
                    <w:i/>
                  </w:rPr>
                </m:ctrlPr>
              </m:dPr>
              <m:e>
                <m:r>
                  <m:rPr/>
                  <w:rPr>
                    <w:rFonts w:ascii="Cambria Math"/>
                  </w:rPr>
                  <m:t>1</m:t>
                </m:r>
                <m:sSup>
                  <m:sSupPr>
                    <m:ctrlPr>
                      <w:rPr>
                        <w:rFonts w:ascii="Cambria Math"/>
                        <w:i/>
                      </w:rPr>
                    </m:ctrlPr>
                  </m:sSupPr>
                  <m:e>
                    <m:r>
                      <m:rPr/>
                      <w:rPr>
                        <w:rFonts w:ascii="Cambria Math"/>
                      </w:rPr>
                      <m:t>0</m:t>
                    </m:r>
                    <m:ctrlPr>
                      <w:rPr>
                        <w:rFonts w:ascii="Cambria Math"/>
                        <w:i/>
                      </w:rPr>
                    </m:ctrlPr>
                  </m:e>
                  <m:sup>
                    <m:r>
                      <m:rPr/>
                      <w:rPr>
                        <w:rFonts w:ascii="Cambria Math"/>
                      </w:rPr>
                      <m:t>−3</m:t>
                    </m:r>
                    <m:ctrlPr>
                      <w:rPr>
                        <w:rFonts w:ascii="Cambria Math"/>
                        <w:i/>
                      </w:rPr>
                    </m:ctrlPr>
                  </m:sup>
                </m:sSup>
                <m:r>
                  <m:rPr/>
                  <w:rPr>
                    <w:rFonts w:ascii="Cambria Math"/>
                  </w:rPr>
                  <m:t>×</m:t>
                </m:r>
                <m:sSub>
                  <m:sSubPr>
                    <m:ctrlPr>
                      <w:rPr>
                        <w:rFonts w:ascii="Cambria Math"/>
                        <w:i/>
                      </w:rPr>
                    </m:ctrlPr>
                  </m:sSubPr>
                  <m:e>
                    <m:r>
                      <m:rPr/>
                      <w:rPr>
                        <w:rFonts w:ascii="Cambria Math"/>
                      </w:rPr>
                      <m:t>Q</m:t>
                    </m:r>
                    <m:ctrlPr>
                      <w:rPr>
                        <w:rFonts w:ascii="Cambria Math"/>
                        <w:i/>
                      </w:rPr>
                    </m:ctrlPr>
                  </m:e>
                  <m:sub>
                    <m:r>
                      <m:rPr/>
                      <w:rPr>
                        <w:rFonts w:ascii="Cambria Math"/>
                      </w:rPr>
                      <m:t>i</m:t>
                    </m:r>
                    <m:ctrlPr>
                      <w:rPr>
                        <w:rFonts w:ascii="Cambria Math"/>
                        <w:i/>
                      </w:rPr>
                    </m:ctrlPr>
                  </m:sub>
                </m:sSub>
                <m:r>
                  <m:rPr/>
                  <w:rPr>
                    <w:rFonts w:ascii="Cambria Math"/>
                  </w:rPr>
                  <m:t>×</m:t>
                </m:r>
                <m:d>
                  <m:dPr>
                    <m:ctrlPr>
                      <w:rPr>
                        <w:rFonts w:ascii="Cambria Math"/>
                        <w:i/>
                      </w:rPr>
                    </m:ctrlPr>
                  </m:dPr>
                  <m:e>
                    <m:r>
                      <m:rPr/>
                      <w:rPr>
                        <w:rFonts w:ascii="Cambria Math"/>
                      </w:rPr>
                      <m:t>EVOC</m:t>
                    </m:r>
                    <m:sSub>
                      <m:sSubPr>
                        <m:ctrlPr>
                          <w:rPr>
                            <w:rFonts w:ascii="Cambria Math"/>
                            <w:i/>
                          </w:rPr>
                        </m:ctrlPr>
                      </m:sSubPr>
                      <m:e>
                        <m:r>
                          <m:rPr/>
                          <w:rPr>
                            <w:rFonts w:ascii="Cambria Math"/>
                          </w:rPr>
                          <m:t>s</m:t>
                        </m:r>
                        <m:ctrlPr>
                          <w:rPr>
                            <w:rFonts w:ascii="Cambria Math"/>
                            <w:i/>
                          </w:rPr>
                        </m:ctrlPr>
                      </m:e>
                      <m:sub>
                        <m:r>
                          <m:rPr/>
                          <w:rPr>
                            <w:rFonts w:ascii="Cambria Math"/>
                          </w:rPr>
                          <m:t>进</m:t>
                        </m:r>
                        <m:r>
                          <m:rPr/>
                          <w:rPr>
                            <w:rFonts w:hint="eastAsia" w:ascii="Cambria Math"/>
                          </w:rPr>
                          <m:t>油</m:t>
                        </m:r>
                        <m:r>
                          <m:rPr/>
                          <w:rPr>
                            <w:rFonts w:ascii="Cambria Math"/>
                          </w:rPr>
                          <m:t>/水,i</m:t>
                        </m:r>
                        <m:ctrlPr>
                          <w:rPr>
                            <w:rFonts w:ascii="Cambria Math"/>
                            <w:i/>
                          </w:rPr>
                        </m:ctrlPr>
                      </m:sub>
                    </m:sSub>
                    <m:r>
                      <m:rPr/>
                      <w:rPr>
                        <w:rFonts w:ascii="Cambria Math"/>
                      </w:rPr>
                      <m:t>−EVOC</m:t>
                    </m:r>
                    <m:sSub>
                      <m:sSubPr>
                        <m:ctrlPr>
                          <w:rPr>
                            <w:rFonts w:ascii="Cambria Math"/>
                            <w:i/>
                          </w:rPr>
                        </m:ctrlPr>
                      </m:sSubPr>
                      <m:e>
                        <m:r>
                          <m:rPr/>
                          <w:rPr>
                            <w:rFonts w:ascii="Cambria Math"/>
                          </w:rPr>
                          <m:t>s</m:t>
                        </m:r>
                        <m:ctrlPr>
                          <w:rPr>
                            <w:rFonts w:ascii="Cambria Math"/>
                            <w:i/>
                          </w:rPr>
                        </m:ctrlPr>
                      </m:e>
                      <m:sub>
                        <m:r>
                          <m:rPr/>
                          <w:rPr>
                            <w:rFonts w:ascii="Cambria Math"/>
                          </w:rPr>
                          <m:t>出</m:t>
                        </m:r>
                        <m:r>
                          <m:rPr/>
                          <w:rPr>
                            <w:rFonts w:hint="eastAsia" w:ascii="Cambria Math"/>
                          </w:rPr>
                          <m:t>油</m:t>
                        </m:r>
                        <m:r>
                          <m:rPr/>
                          <w:rPr>
                            <w:rFonts w:ascii="Cambria Math"/>
                          </w:rPr>
                          <m:t>/水,i</m:t>
                        </m:r>
                        <m:ctrlPr>
                          <w:rPr>
                            <w:rFonts w:ascii="Cambria Math"/>
                            <w:i/>
                          </w:rPr>
                        </m:ctrlPr>
                      </m:sub>
                    </m:sSub>
                    <m:ctrlPr>
                      <w:rPr>
                        <w:rFonts w:ascii="Cambria Math" w:hAnsi="Cambria Math"/>
                        <w:i/>
                      </w:rPr>
                    </m:ctrlPr>
                  </m:e>
                </m:d>
                <m:r>
                  <m:rPr/>
                  <w:rPr>
                    <w:rFonts w:ascii="Cambria Math"/>
                  </w:rPr>
                  <m:t>×</m:t>
                </m:r>
                <m:sSub>
                  <m:sSubPr>
                    <m:ctrlPr>
                      <w:rPr>
                        <w:rFonts w:ascii="Cambria Math"/>
                        <w:i/>
                      </w:rPr>
                    </m:ctrlPr>
                  </m:sSubPr>
                  <m:e>
                    <m:r>
                      <m:rPr/>
                      <w:rPr>
                        <w:rFonts w:ascii="Cambria Math"/>
                      </w:rPr>
                      <m:t>t</m:t>
                    </m:r>
                    <m:ctrlPr>
                      <w:rPr>
                        <w:rFonts w:ascii="Cambria Math"/>
                        <w:i/>
                      </w:rPr>
                    </m:ctrlPr>
                  </m:e>
                  <m:sub>
                    <m:r>
                      <m:rPr/>
                      <w:rPr>
                        <w:rFonts w:ascii="Cambria Math"/>
                      </w:rPr>
                      <m:t>i</m:t>
                    </m:r>
                    <m:ctrlPr>
                      <w:rPr>
                        <w:rFonts w:ascii="Cambria Math"/>
                        <w:i/>
                      </w:rPr>
                    </m:ctrlPr>
                  </m:sub>
                </m:sSub>
                <m:ctrlPr>
                  <w:rPr>
                    <w:rFonts w:ascii="Cambria Math" w:hAnsi="Cambria Math"/>
                    <w:i/>
                  </w:rPr>
                </m:ctrlPr>
              </m:e>
            </m:d>
            <m:ctrlPr>
              <w:rPr>
                <w:rFonts w:ascii="Cambria Math" w:hAnsi="Cambria Math"/>
                <w:i/>
              </w:rPr>
            </m:ctrlPr>
          </m:e>
        </m:nary>
      </m:oMath>
      <w:r>
        <w:tab/>
      </w:r>
      <w:bookmarkStart w:id="165" w:name="OLE_LINK29"/>
      <w:r>
        <w:t>(</w:t>
      </w:r>
      <w:r>
        <w:rPr>
          <w:rFonts w:hint="eastAsia"/>
        </w:rPr>
        <w:t>1</w:t>
      </w:r>
      <w:r>
        <w:t>0)</w:t>
      </w:r>
      <w:bookmarkEnd w:id="164"/>
      <w:bookmarkEnd w:id="165"/>
    </w:p>
    <w:p w14:paraId="421F526A">
      <w:pPr>
        <w:pStyle w:val="60"/>
        <w:ind w:firstLine="420"/>
      </w:pPr>
      <w:r>
        <w:t>式中：</w:t>
      </w:r>
    </w:p>
    <w:p w14:paraId="60C21C75">
      <w:pPr>
        <w:pStyle w:val="60"/>
        <w:ind w:firstLine="420"/>
      </w:pPr>
      <w:r>
        <w:t>E</w:t>
      </w:r>
      <w:r>
        <w:rPr>
          <w:rFonts w:hint="eastAsia"/>
          <w:vertAlign w:val="subscript"/>
        </w:rPr>
        <w:t>油相/水相</w:t>
      </w:r>
      <w:r>
        <w:rPr>
          <w:rFonts w:hint="eastAsia"/>
          <w:spacing w:val="-20"/>
        </w:rPr>
        <w:t>——</w:t>
      </w:r>
      <w:r>
        <w:rPr>
          <w:rFonts w:hint="eastAsia"/>
        </w:rPr>
        <w:t>为</w:t>
      </w:r>
      <w:r>
        <w:t>统计期内废水</w:t>
      </w:r>
      <w:r>
        <w:rPr>
          <w:rFonts w:hint="eastAsia"/>
        </w:rPr>
        <w:t>油相或水相</w:t>
      </w:r>
      <w:r>
        <w:t>的VOCs产生量，千克；</w:t>
      </w:r>
    </w:p>
    <w:p w14:paraId="5597D32C">
      <w:pPr>
        <w:pStyle w:val="60"/>
        <w:ind w:firstLine="420"/>
      </w:pPr>
      <w:r>
        <w:t>Q</w:t>
      </w:r>
      <w:r>
        <w:rPr>
          <w:vertAlign w:val="subscript"/>
        </w:rPr>
        <w:t>i</w:t>
      </w:r>
      <w:r>
        <w:rPr>
          <w:rFonts w:hint="eastAsia"/>
          <w:spacing w:val="-20"/>
        </w:rPr>
        <w:t>——</w:t>
      </w:r>
      <w:r>
        <w:rPr>
          <w:rFonts w:hint="eastAsia"/>
        </w:rPr>
        <w:t>为</w:t>
      </w:r>
      <w:r>
        <w:t>废水收集或处理设施的废水流量，立方米/小时；</w:t>
      </w:r>
    </w:p>
    <w:p w14:paraId="442AEED5">
      <w:pPr>
        <w:pStyle w:val="60"/>
        <w:ind w:firstLine="420"/>
      </w:pPr>
      <w:r>
        <w:t>EVOCs</w:t>
      </w:r>
      <w:r>
        <w:rPr>
          <w:vertAlign w:val="subscript"/>
        </w:rPr>
        <w:t>进</w:t>
      </w:r>
      <w:r>
        <w:rPr>
          <w:rFonts w:hint="eastAsia"/>
          <w:vertAlign w:val="subscript"/>
        </w:rPr>
        <w:t>油/</w:t>
      </w:r>
      <w:r>
        <w:rPr>
          <w:vertAlign w:val="subscript"/>
        </w:rPr>
        <w:t>水，i</w:t>
      </w:r>
      <w:bookmarkStart w:id="166" w:name="OLE_LINK30"/>
      <w:r>
        <w:rPr>
          <w:rFonts w:hint="eastAsia"/>
          <w:spacing w:val="-20"/>
        </w:rPr>
        <w:t>——</w:t>
      </w:r>
      <w:bookmarkEnd w:id="166"/>
      <w:r>
        <w:rPr>
          <w:rFonts w:hint="eastAsia"/>
        </w:rPr>
        <w:t>为</w:t>
      </w:r>
      <w:r>
        <w:t>废水收集、处理设施i进</w:t>
      </w:r>
      <w:r>
        <w:rPr>
          <w:rFonts w:hint="eastAsia"/>
        </w:rPr>
        <w:t>油/</w:t>
      </w:r>
      <w:r>
        <w:t>水中的逸散性挥发性有机物浓度，毫克/升；</w:t>
      </w:r>
    </w:p>
    <w:p w14:paraId="19EADB8D">
      <w:pPr>
        <w:pStyle w:val="60"/>
        <w:ind w:firstLine="420"/>
      </w:pPr>
      <w:r>
        <w:t>EVOCs</w:t>
      </w:r>
      <w:r>
        <w:rPr>
          <w:vertAlign w:val="subscript"/>
        </w:rPr>
        <w:t>出</w:t>
      </w:r>
      <w:r>
        <w:rPr>
          <w:rFonts w:hint="eastAsia"/>
          <w:vertAlign w:val="subscript"/>
        </w:rPr>
        <w:t>油/</w:t>
      </w:r>
      <w:r>
        <w:rPr>
          <w:vertAlign w:val="subscript"/>
        </w:rPr>
        <w:t>水，i</w:t>
      </w:r>
      <w:r>
        <w:rPr>
          <w:rFonts w:hint="eastAsia"/>
          <w:spacing w:val="-20"/>
        </w:rPr>
        <w:t>——</w:t>
      </w:r>
      <w:r>
        <w:rPr>
          <w:rFonts w:hint="eastAsia"/>
        </w:rPr>
        <w:t>为</w:t>
      </w:r>
      <w:r>
        <w:t>废水收集或处理设施i出</w:t>
      </w:r>
      <w:r>
        <w:rPr>
          <w:rFonts w:hint="eastAsia"/>
        </w:rPr>
        <w:t>油/</w:t>
      </w:r>
      <w:r>
        <w:t>水中的逸散性挥发性有机物浓度，毫克/升；</w:t>
      </w:r>
    </w:p>
    <w:p w14:paraId="3ACE254D">
      <w:pPr>
        <w:pStyle w:val="60"/>
        <w:ind w:firstLine="420"/>
      </w:pPr>
      <w:r>
        <w:t>t</w:t>
      </w:r>
      <w:r>
        <w:rPr>
          <w:vertAlign w:val="subscript"/>
        </w:rPr>
        <w:t>i</w:t>
      </w:r>
      <w:r>
        <w:rPr>
          <w:rFonts w:hint="eastAsia"/>
          <w:spacing w:val="-20"/>
        </w:rPr>
        <w:t>——</w:t>
      </w:r>
      <w:r>
        <w:rPr>
          <w:rFonts w:hint="eastAsia"/>
        </w:rPr>
        <w:t>为统计</w:t>
      </w:r>
      <w:r>
        <w:t>期内废气处理设施i的运行时间，小时。</w:t>
      </w:r>
    </w:p>
    <w:p w14:paraId="1179BE56">
      <w:pPr>
        <w:pStyle w:val="69"/>
        <w:spacing w:before="120" w:after="120"/>
        <w:ind w:left="0"/>
      </w:pPr>
      <w:bookmarkStart w:id="167" w:name="_Toc137109112"/>
      <w:r>
        <w:rPr>
          <w:rFonts w:hint="eastAsia"/>
        </w:rPr>
        <w:t>系数法</w:t>
      </w:r>
      <w:bookmarkEnd w:id="167"/>
    </w:p>
    <w:p w14:paraId="0687A809">
      <w:pPr>
        <w:pStyle w:val="60"/>
        <w:ind w:firstLine="420"/>
      </w:pPr>
      <w:r>
        <w:rPr>
          <w:rFonts w:hint="eastAsia"/>
        </w:rPr>
        <w:t>废水VOCs可采用如下排放系数法计算：</w:t>
      </w:r>
    </w:p>
    <w:p w14:paraId="1D461CFD">
      <w:pPr>
        <w:pStyle w:val="242"/>
        <w:textAlignment w:val="center"/>
      </w:pPr>
      <w:r>
        <w:tab/>
      </w:r>
      <m:oMath>
        <m:sSub>
          <m:sSubPr>
            <m:ctrlPr>
              <w:rPr>
                <w:rFonts w:ascii="Cambria Math"/>
                <w:i/>
              </w:rPr>
            </m:ctrlPr>
          </m:sSubPr>
          <m:e>
            <m:r>
              <m:rPr/>
              <w:rPr>
                <w:rFonts w:ascii="Cambria Math"/>
              </w:rPr>
              <m:t>E</m:t>
            </m:r>
            <m:ctrlPr>
              <w:rPr>
                <w:rFonts w:ascii="Cambria Math"/>
                <w:i/>
              </w:rPr>
            </m:ctrlPr>
          </m:e>
          <m:sub>
            <m:r>
              <m:rPr/>
              <w:rPr>
                <w:rFonts w:ascii="Cambria Math"/>
              </w:rPr>
              <m:t>废水</m:t>
            </m:r>
            <m:ctrlPr>
              <w:rPr>
                <w:rFonts w:ascii="Cambria Math" w:hAnsi="Cambria Math"/>
                <w:i/>
              </w:rPr>
            </m:ctrlPr>
          </m:sub>
        </m:sSub>
        <m:r>
          <m:rPr/>
          <w:rPr>
            <w:rFonts w:ascii="Cambria Math"/>
          </w:rPr>
          <m:t>=</m:t>
        </m:r>
        <m:nary>
          <m:naryPr>
            <m:chr m:val="∑"/>
            <m:ctrlPr>
              <w:rPr>
                <w:rFonts w:ascii="Cambria Math"/>
                <w:i/>
              </w:rPr>
            </m:ctrlPr>
          </m:naryPr>
          <m:sub>
            <m:r>
              <m:rPr/>
              <w:rPr>
                <w:rFonts w:ascii="Cambria Math"/>
              </w:rPr>
              <m:t>i=1</m:t>
            </m:r>
            <m:ctrlPr>
              <w:rPr>
                <w:rFonts w:ascii="Cambria Math"/>
                <w:i/>
              </w:rPr>
            </m:ctrlPr>
          </m:sub>
          <m:sup>
            <m:r>
              <m:rPr/>
              <w:rPr>
                <w:rFonts w:ascii="Cambria Math"/>
              </w:rPr>
              <m:t>n</m:t>
            </m:r>
            <m:ctrlPr>
              <w:rPr>
                <w:rFonts w:ascii="Cambria Math"/>
                <w:i/>
              </w:rPr>
            </m:ctrlPr>
          </m:sup>
          <m:e>
            <m:d>
              <m:dPr>
                <m:ctrlPr>
                  <w:rPr>
                    <w:rFonts w:ascii="Cambria Math"/>
                    <w:i/>
                  </w:rPr>
                </m:ctrlPr>
              </m:dPr>
              <m:e>
                <m:r>
                  <m:rPr/>
                  <w:rPr>
                    <w:rFonts w:ascii="Cambria Math"/>
                  </w:rPr>
                  <m:t>EF×</m:t>
                </m:r>
                <m:sSub>
                  <m:sSubPr>
                    <m:ctrlPr>
                      <w:rPr>
                        <w:rFonts w:ascii="Cambria Math"/>
                        <w:i/>
                      </w:rPr>
                    </m:ctrlPr>
                  </m:sSubPr>
                  <m:e>
                    <m:r>
                      <m:rPr/>
                      <w:rPr>
                        <w:rFonts w:ascii="Cambria Math"/>
                      </w:rPr>
                      <m:t>Q</m:t>
                    </m:r>
                    <m:ctrlPr>
                      <w:rPr>
                        <w:rFonts w:ascii="Cambria Math"/>
                        <w:i/>
                      </w:rPr>
                    </m:ctrlPr>
                  </m:e>
                  <m:sub>
                    <m:r>
                      <m:rPr/>
                      <w:rPr>
                        <w:rFonts w:ascii="Cambria Math"/>
                      </w:rPr>
                      <m:t>i</m:t>
                    </m:r>
                    <m:ctrlPr>
                      <w:rPr>
                        <w:rFonts w:ascii="Cambria Math"/>
                        <w:i/>
                      </w:rPr>
                    </m:ctrlPr>
                  </m:sub>
                </m:sSub>
                <m:r>
                  <m:rPr/>
                  <w:rPr>
                    <w:rFonts w:ascii="Cambria Math"/>
                  </w:rPr>
                  <m:t>×</m:t>
                </m:r>
                <m:sSub>
                  <m:sSubPr>
                    <m:ctrlPr>
                      <w:rPr>
                        <w:rFonts w:ascii="Cambria Math"/>
                        <w:i/>
                      </w:rPr>
                    </m:ctrlPr>
                  </m:sSubPr>
                  <m:e>
                    <m:r>
                      <m:rPr/>
                      <w:rPr>
                        <w:rFonts w:ascii="Cambria Math"/>
                      </w:rPr>
                      <m:t>t</m:t>
                    </m:r>
                    <m:ctrlPr>
                      <w:rPr>
                        <w:rFonts w:ascii="Cambria Math"/>
                        <w:i/>
                      </w:rPr>
                    </m:ctrlPr>
                  </m:e>
                  <m:sub>
                    <m:r>
                      <m:rPr/>
                      <w:rPr>
                        <w:rFonts w:ascii="Cambria Math"/>
                      </w:rPr>
                      <m:t>i</m:t>
                    </m:r>
                    <m:ctrlPr>
                      <w:rPr>
                        <w:rFonts w:ascii="Cambria Math"/>
                        <w:i/>
                      </w:rPr>
                    </m:ctrlPr>
                  </m:sub>
                </m:sSub>
                <m:ctrlPr>
                  <w:rPr>
                    <w:rFonts w:ascii="Cambria Math" w:hAnsi="Cambria Math"/>
                    <w:i/>
                  </w:rPr>
                </m:ctrlPr>
              </m:e>
            </m:d>
            <m:ctrlPr>
              <w:rPr>
                <w:rFonts w:ascii="Cambria Math" w:hAnsi="Cambria Math"/>
                <w:i/>
              </w:rPr>
            </m:ctrlPr>
          </m:e>
        </m:nary>
      </m:oMath>
      <w:r>
        <w:tab/>
      </w:r>
      <w:r>
        <w:t>(</w:t>
      </w:r>
      <w:r>
        <w:rPr>
          <w:rFonts w:hint="eastAsia"/>
        </w:rPr>
        <w:t>1</w:t>
      </w:r>
      <w:r>
        <w:t>1)</w:t>
      </w:r>
    </w:p>
    <w:p w14:paraId="25D2E6D6">
      <w:pPr>
        <w:pStyle w:val="60"/>
        <w:ind w:firstLine="420"/>
      </w:pPr>
      <w:r>
        <w:t>式中</w:t>
      </w:r>
      <w:r>
        <w:rPr>
          <w:rFonts w:hint="eastAsia"/>
        </w:rPr>
        <w:t>:</w:t>
      </w:r>
    </w:p>
    <w:p w14:paraId="26EE59D0">
      <w:pPr>
        <w:pStyle w:val="60"/>
        <w:ind w:firstLine="420"/>
      </w:pPr>
      <w:r>
        <w:t>E</w:t>
      </w:r>
      <w:r>
        <w:rPr>
          <w:vertAlign w:val="subscript"/>
        </w:rPr>
        <w:t>废水</w:t>
      </w:r>
      <w:r>
        <w:rPr>
          <w:rFonts w:hint="eastAsia"/>
          <w:spacing w:val="-20"/>
        </w:rPr>
        <w:t>——</w:t>
      </w:r>
      <w:r>
        <w:rPr>
          <w:rFonts w:hint="eastAsia"/>
        </w:rPr>
        <w:t>为</w:t>
      </w:r>
      <w:r>
        <w:t>统计期内废水的VOCs产生量，千克；</w:t>
      </w:r>
    </w:p>
    <w:p w14:paraId="20F851A3">
      <w:pPr>
        <w:pStyle w:val="60"/>
        <w:ind w:firstLine="420"/>
      </w:pPr>
      <w:r>
        <w:t>EF</w:t>
      </w:r>
      <w:r>
        <w:rPr>
          <w:rFonts w:hint="eastAsia"/>
          <w:spacing w:val="-20"/>
        </w:rPr>
        <w:t>——</w:t>
      </w:r>
      <w:r>
        <w:rPr>
          <w:rFonts w:hint="eastAsia"/>
        </w:rPr>
        <w:t>为</w:t>
      </w:r>
      <w:r>
        <w:t>废水收集/处理设施i的</w:t>
      </w:r>
      <w:r>
        <w:rPr>
          <w:rFonts w:hint="eastAsia"/>
        </w:rPr>
        <w:t>产污</w:t>
      </w:r>
      <w:r>
        <w:t>系数，千克/立方米，</w:t>
      </w:r>
      <w:r>
        <w:rPr>
          <w:rFonts w:hint="eastAsia"/>
        </w:rPr>
        <w:t>废水处理厂处理设施取0.005；</w:t>
      </w:r>
    </w:p>
    <w:p w14:paraId="7160A238">
      <w:pPr>
        <w:pStyle w:val="60"/>
        <w:ind w:firstLine="420"/>
      </w:pPr>
      <w:r>
        <w:t>Q</w:t>
      </w:r>
      <w:r>
        <w:rPr>
          <w:vertAlign w:val="subscript"/>
        </w:rPr>
        <w:t>i</w:t>
      </w:r>
      <w:r>
        <w:rPr>
          <w:rFonts w:hint="eastAsia"/>
          <w:spacing w:val="-20"/>
        </w:rPr>
        <w:t>——</w:t>
      </w:r>
      <w:r>
        <w:rPr>
          <w:rFonts w:hint="eastAsia"/>
        </w:rPr>
        <w:t>为</w:t>
      </w:r>
      <w:r>
        <w:t>废水收集/处理设施i的废水处理量，立方米/小时</w:t>
      </w:r>
      <w:r>
        <w:rPr>
          <w:rFonts w:hint="eastAsia"/>
        </w:rPr>
        <w:t>；</w:t>
      </w:r>
    </w:p>
    <w:p w14:paraId="233C2D8A">
      <w:pPr>
        <w:pStyle w:val="60"/>
        <w:ind w:firstLine="420"/>
      </w:pPr>
      <w:r>
        <w:t>t</w:t>
      </w:r>
      <w:r>
        <w:rPr>
          <w:vertAlign w:val="subscript"/>
        </w:rPr>
        <w:t>i</w:t>
      </w:r>
      <w:bookmarkStart w:id="168" w:name="OLE_LINK32"/>
      <w:r>
        <w:rPr>
          <w:rFonts w:hint="eastAsia"/>
          <w:spacing w:val="-20"/>
        </w:rPr>
        <w:t>——</w:t>
      </w:r>
      <w:bookmarkEnd w:id="168"/>
      <w:r>
        <w:rPr>
          <w:rFonts w:hint="eastAsia"/>
        </w:rPr>
        <w:t>为统计</w:t>
      </w:r>
      <w:r>
        <w:t>期内废气处理设施i的运行时间，小时。</w:t>
      </w:r>
    </w:p>
    <w:p w14:paraId="56ABCFE3">
      <w:pPr>
        <w:pStyle w:val="109"/>
        <w:spacing w:before="120" w:after="120"/>
      </w:pPr>
      <w:bookmarkStart w:id="169" w:name="_Toc137109113"/>
      <w:bookmarkStart w:id="170" w:name="_Toc137108843"/>
      <w:bookmarkStart w:id="171" w:name="_Toc170497006"/>
      <w:bookmarkStart w:id="172" w:name="_Hlk168325012"/>
      <w:r>
        <w:t>工艺废气排放</w:t>
      </w:r>
      <w:bookmarkEnd w:id="169"/>
      <w:bookmarkEnd w:id="170"/>
      <w:bookmarkEnd w:id="171"/>
    </w:p>
    <w:bookmarkEnd w:id="172"/>
    <w:p w14:paraId="18531F9E">
      <w:pPr>
        <w:pStyle w:val="60"/>
        <w:ind w:firstLine="420"/>
      </w:pPr>
      <w:r>
        <w:rPr>
          <w:rFonts w:hint="eastAsia"/>
        </w:rPr>
        <w:t>电子电路生产过程中的工艺废气来源于电子清洗、感光成像、表面涂层等工序大量使用的有机溶剂的挥发。</w:t>
      </w:r>
    </w:p>
    <w:p w14:paraId="47F0B64E">
      <w:pPr>
        <w:pStyle w:val="69"/>
        <w:spacing w:before="120" w:after="120"/>
        <w:ind w:left="0"/>
      </w:pPr>
      <w:bookmarkStart w:id="173" w:name="_Toc137109114"/>
      <w:r>
        <w:rPr>
          <w:rFonts w:hint="eastAsia"/>
        </w:rPr>
        <w:t>实测法</w:t>
      </w:r>
      <w:bookmarkEnd w:id="173"/>
    </w:p>
    <w:p w14:paraId="788EBA3B">
      <w:pPr>
        <w:pStyle w:val="60"/>
        <w:ind w:firstLine="420"/>
      </w:pPr>
      <w:bookmarkStart w:id="174" w:name="OLE_LINK21"/>
      <w:r>
        <w:rPr>
          <w:rFonts w:hint="eastAsia"/>
        </w:rPr>
        <w:t>通过对工艺废气排气筒出口的气体流量和污染物浓度以及污染控制设施的治理效率进行实测，计算工艺废气VOCs的排放量</w:t>
      </w:r>
      <w:bookmarkEnd w:id="174"/>
      <w:r>
        <w:rPr>
          <w:rFonts w:hint="eastAsia"/>
        </w:rPr>
        <w:t>，计算方法见公式</w:t>
      </w:r>
      <w:r>
        <w:t>(12)</w:t>
      </w:r>
      <w:r>
        <w:rPr>
          <w:rFonts w:hint="eastAsia"/>
        </w:rPr>
        <w:t>：</w:t>
      </w:r>
    </w:p>
    <w:p w14:paraId="168B58DB">
      <w:pPr>
        <w:pStyle w:val="242"/>
        <w:textAlignment w:val="center"/>
      </w:pPr>
      <w:r>
        <w:tab/>
      </w:r>
      <w:bookmarkStart w:id="175" w:name="OLE_LINK31"/>
      <m:oMath>
        <m:sSub>
          <m:sSubPr>
            <m:ctrlPr>
              <w:rPr>
                <w:rFonts w:ascii="Cambria Math"/>
                <w:i/>
              </w:rPr>
            </m:ctrlPr>
          </m:sSubPr>
          <m:e>
            <m:r>
              <m:rPr/>
              <w:rPr>
                <w:rFonts w:ascii="Cambria Math"/>
              </w:rPr>
              <m:t>E</m:t>
            </m:r>
            <m:ctrlPr>
              <w:rPr>
                <w:rFonts w:ascii="Cambria Math"/>
                <w:i/>
              </w:rPr>
            </m:ctrlPr>
          </m:e>
          <m:sub>
            <m:r>
              <m:rPr/>
              <w:rPr>
                <w:rFonts w:ascii="Cambria Math"/>
              </w:rPr>
              <m:t>工艺</m:t>
            </m:r>
            <m:ctrlPr>
              <w:rPr>
                <w:rFonts w:ascii="Cambria Math" w:hAnsi="Cambria Math"/>
                <w:i/>
              </w:rPr>
            </m:ctrlPr>
          </m:sub>
        </m:sSub>
        <m:r>
          <m:rPr/>
          <w:rPr>
            <w:rFonts w:ascii="Cambria Math"/>
          </w:rPr>
          <m:t>=</m:t>
        </m:r>
        <m:nary>
          <m:naryPr>
            <m:chr m:val="∑"/>
            <m:ctrlPr>
              <w:rPr>
                <w:rFonts w:ascii="Cambria Math"/>
                <w:i/>
              </w:rPr>
            </m:ctrlPr>
          </m:naryPr>
          <m:sub>
            <m:r>
              <m:rPr/>
              <w:rPr>
                <w:rFonts w:ascii="Cambria Math"/>
              </w:rPr>
              <m:t>i=1</m:t>
            </m:r>
            <m:ctrlPr>
              <w:rPr>
                <w:rFonts w:ascii="Cambria Math"/>
                <w:i/>
              </w:rPr>
            </m:ctrlPr>
          </m:sub>
          <m:sup>
            <m:r>
              <m:rPr/>
              <w:rPr>
                <w:rFonts w:ascii="Cambria Math"/>
              </w:rPr>
              <m:t>n</m:t>
            </m:r>
            <m:ctrlPr>
              <w:rPr>
                <w:rFonts w:ascii="Cambria Math"/>
                <w:i/>
              </w:rPr>
            </m:ctrlPr>
          </m:sup>
          <m:e>
            <m:d>
              <m:dPr>
                <m:ctrlPr>
                  <w:rPr>
                    <w:rFonts w:ascii="Cambria Math"/>
                    <w:i/>
                  </w:rPr>
                </m:ctrlPr>
              </m:dPr>
              <m:e>
                <m:r>
                  <m:rPr/>
                  <w:rPr>
                    <w:rFonts w:ascii="Cambria Math"/>
                  </w:rPr>
                  <m:t>1</m:t>
                </m:r>
                <m:sSup>
                  <m:sSupPr>
                    <m:ctrlPr>
                      <w:rPr>
                        <w:rFonts w:ascii="Cambria Math"/>
                        <w:i/>
                      </w:rPr>
                    </m:ctrlPr>
                  </m:sSupPr>
                  <m:e>
                    <m:r>
                      <m:rPr/>
                      <w:rPr>
                        <w:rFonts w:ascii="Cambria Math"/>
                      </w:rPr>
                      <m:t>0</m:t>
                    </m:r>
                    <m:ctrlPr>
                      <w:rPr>
                        <w:rFonts w:ascii="Cambria Math"/>
                        <w:i/>
                      </w:rPr>
                    </m:ctrlPr>
                  </m:e>
                  <m:sup>
                    <m:r>
                      <m:rPr/>
                      <w:rPr>
                        <w:rFonts w:ascii="Cambria Math"/>
                      </w:rPr>
                      <m:t>−6</m:t>
                    </m:r>
                    <m:ctrlPr>
                      <w:rPr>
                        <w:rFonts w:ascii="Cambria Math"/>
                        <w:i/>
                      </w:rPr>
                    </m:ctrlPr>
                  </m:sup>
                </m:sSup>
                <m:r>
                  <m:rPr/>
                  <w:rPr>
                    <w:rFonts w:ascii="Cambria Math"/>
                  </w:rPr>
                  <m:t>×</m:t>
                </m:r>
                <m:sSub>
                  <m:sSubPr>
                    <m:ctrlPr>
                      <w:rPr>
                        <w:rFonts w:ascii="Cambria Math"/>
                        <w:i/>
                      </w:rPr>
                    </m:ctrlPr>
                  </m:sSubPr>
                  <m:e>
                    <m:r>
                      <m:rPr/>
                      <w:rPr>
                        <w:rFonts w:ascii="Cambria Math"/>
                      </w:rPr>
                      <m:t>Q</m:t>
                    </m:r>
                    <m:ctrlPr>
                      <w:rPr>
                        <w:rFonts w:ascii="Cambria Math"/>
                        <w:i/>
                      </w:rPr>
                    </m:ctrlPr>
                  </m:e>
                  <m:sub>
                    <m:r>
                      <m:rPr/>
                      <w:rPr>
                        <w:rFonts w:ascii="Cambria Math"/>
                      </w:rPr>
                      <m:t>i</m:t>
                    </m:r>
                    <m:ctrlPr>
                      <w:rPr>
                        <w:rFonts w:ascii="Cambria Math"/>
                        <w:i/>
                      </w:rPr>
                    </m:ctrlPr>
                  </m:sub>
                </m:sSub>
                <m:r>
                  <m:rPr/>
                  <w:rPr>
                    <w:rFonts w:ascii="Cambria Math"/>
                  </w:rPr>
                  <m:t>×</m:t>
                </m:r>
                <m:sSub>
                  <m:sSubPr>
                    <m:ctrlPr>
                      <w:rPr>
                        <w:rFonts w:ascii="Cambria Math"/>
                        <w:i/>
                      </w:rPr>
                    </m:ctrlPr>
                  </m:sSubPr>
                  <m:e>
                    <m:r>
                      <m:rPr/>
                      <w:rPr>
                        <w:rFonts w:ascii="Cambria Math"/>
                      </w:rPr>
                      <m:t>C</m:t>
                    </m:r>
                    <m:ctrlPr>
                      <w:rPr>
                        <w:rFonts w:ascii="Cambria Math"/>
                        <w:i/>
                      </w:rPr>
                    </m:ctrlPr>
                  </m:e>
                  <m:sub>
                    <m:r>
                      <m:rPr/>
                      <w:rPr>
                        <w:rFonts w:ascii="Cambria Math"/>
                      </w:rPr>
                      <m:t>i</m:t>
                    </m:r>
                    <m:ctrlPr>
                      <w:rPr>
                        <w:rFonts w:ascii="Cambria Math"/>
                        <w:i/>
                      </w:rPr>
                    </m:ctrlPr>
                  </m:sub>
                </m:sSub>
                <m:r>
                  <m:rPr/>
                  <w:rPr>
                    <w:rFonts w:ascii="Cambria Math"/>
                  </w:rPr>
                  <m:t>×</m:t>
                </m:r>
                <m:sSub>
                  <m:sSubPr>
                    <m:ctrlPr>
                      <w:rPr>
                        <w:rFonts w:ascii="Cambria Math"/>
                        <w:i/>
                      </w:rPr>
                    </m:ctrlPr>
                  </m:sSubPr>
                  <m:e>
                    <m:r>
                      <m:rPr/>
                      <w:rPr>
                        <w:rFonts w:ascii="Cambria Math"/>
                      </w:rPr>
                      <m:t>t</m:t>
                    </m:r>
                    <m:ctrlPr>
                      <w:rPr>
                        <w:rFonts w:ascii="Cambria Math"/>
                        <w:i/>
                      </w:rPr>
                    </m:ctrlPr>
                  </m:e>
                  <m:sub>
                    <m:r>
                      <m:rPr/>
                      <w:rPr>
                        <w:rFonts w:ascii="Cambria Math"/>
                      </w:rPr>
                      <m:t>i</m:t>
                    </m:r>
                    <m:ctrlPr>
                      <w:rPr>
                        <w:rFonts w:ascii="Cambria Math"/>
                        <w:i/>
                      </w:rPr>
                    </m:ctrlPr>
                  </m:sub>
                </m:sSub>
                <m:ctrlPr>
                  <w:rPr>
                    <w:rFonts w:ascii="Cambria Math" w:hAnsi="Cambria Math"/>
                    <w:i/>
                  </w:rPr>
                </m:ctrlPr>
              </m:e>
            </m:d>
            <m:ctrlPr>
              <w:rPr>
                <w:rFonts w:ascii="Cambria Math" w:hAnsi="Cambria Math"/>
                <w:i/>
              </w:rPr>
            </m:ctrlPr>
          </m:e>
        </m:nary>
        <m:r>
          <m:rPr/>
          <w:rPr>
            <w:rFonts w:ascii="Cambria Math"/>
          </w:rPr>
          <m:t>×</m:t>
        </m:r>
        <m:d>
          <m:dPr>
            <m:begChr m:val="["/>
            <m:endChr m:val="]"/>
            <m:ctrlPr>
              <w:rPr>
                <w:rFonts w:ascii="Cambria Math"/>
                <w:i/>
              </w:rPr>
            </m:ctrlPr>
          </m:dPr>
          <m:e>
            <m:f>
              <m:fPr>
                <m:ctrlPr>
                  <w:rPr>
                    <w:rFonts w:ascii="Cambria Math"/>
                    <w:i/>
                  </w:rPr>
                </m:ctrlPr>
              </m:fPr>
              <m:num>
                <m:r>
                  <m:rPr/>
                  <w:rPr>
                    <w:rFonts w:ascii="Cambria Math"/>
                  </w:rPr>
                  <m:t>1</m:t>
                </m:r>
                <m:ctrlPr>
                  <w:rPr>
                    <w:rFonts w:ascii="Cambria Math"/>
                    <w:i/>
                  </w:rPr>
                </m:ctrlPr>
              </m:num>
              <m:den>
                <m:sSub>
                  <m:sSubPr>
                    <m:ctrlPr>
                      <w:rPr>
                        <w:rFonts w:ascii="Cambria Math"/>
                        <w:i/>
                      </w:rPr>
                    </m:ctrlPr>
                  </m:sSubPr>
                  <m:e>
                    <m:r>
                      <m:rPr/>
                      <w:rPr>
                        <w:rFonts w:ascii="Cambria Math"/>
                      </w:rPr>
                      <m:t>η</m:t>
                    </m:r>
                    <m:ctrlPr>
                      <w:rPr>
                        <w:rFonts w:ascii="Cambria Math"/>
                        <w:i/>
                      </w:rPr>
                    </m:ctrlPr>
                  </m:e>
                  <m:sub>
                    <m:r>
                      <m:rPr/>
                      <w:rPr>
                        <w:rFonts w:ascii="Cambria Math"/>
                      </w:rPr>
                      <m:t>捕</m:t>
                    </m:r>
                    <m:ctrlPr>
                      <w:rPr>
                        <w:rFonts w:ascii="Cambria Math" w:hAnsi="Cambria Math"/>
                        <w:i/>
                      </w:rPr>
                    </m:ctrlPr>
                  </m:sub>
                </m:sSub>
                <m:r>
                  <m:rPr/>
                  <w:rPr>
                    <w:rFonts w:ascii="Cambria Math"/>
                  </w:rPr>
                  <m:t>×</m:t>
                </m:r>
                <m:d>
                  <m:dPr>
                    <m:ctrlPr>
                      <w:rPr>
                        <w:rFonts w:ascii="Cambria Math"/>
                        <w:i/>
                      </w:rPr>
                    </m:ctrlPr>
                  </m:dPr>
                  <m:e>
                    <m:r>
                      <m:rPr/>
                      <w:rPr>
                        <w:rFonts w:ascii="Cambria Math"/>
                      </w:rPr>
                      <m:t>1−</m:t>
                    </m:r>
                    <m:sSub>
                      <m:sSubPr>
                        <m:ctrlPr>
                          <w:rPr>
                            <w:rFonts w:ascii="Cambria Math"/>
                            <w:i/>
                          </w:rPr>
                        </m:ctrlPr>
                      </m:sSubPr>
                      <m:e>
                        <m:r>
                          <m:rPr/>
                          <w:rPr>
                            <w:rFonts w:ascii="Cambria Math"/>
                          </w:rPr>
                          <m:t>η</m:t>
                        </m:r>
                        <m:ctrlPr>
                          <w:rPr>
                            <w:rFonts w:ascii="Cambria Math"/>
                            <w:i/>
                          </w:rPr>
                        </m:ctrlPr>
                      </m:e>
                      <m:sub>
                        <m:r>
                          <m:rPr/>
                          <w:rPr>
                            <w:rFonts w:ascii="Cambria Math"/>
                          </w:rPr>
                          <m:t>去</m:t>
                        </m:r>
                        <m:ctrlPr>
                          <w:rPr>
                            <w:rFonts w:ascii="Cambria Math" w:hAnsi="Cambria Math"/>
                            <w:i/>
                          </w:rPr>
                        </m:ctrlPr>
                      </m:sub>
                    </m:sSub>
                    <m:ctrlPr>
                      <w:rPr>
                        <w:rFonts w:ascii="Cambria Math" w:hAnsi="Cambria Math"/>
                        <w:i/>
                      </w:rPr>
                    </m:ctrlPr>
                  </m:e>
                </m:d>
                <m:ctrlPr>
                  <w:rPr>
                    <w:rFonts w:ascii="Cambria Math" w:hAnsi="Cambria Math"/>
                    <w:i/>
                  </w:rPr>
                </m:ctrlPr>
              </m:den>
            </m:f>
            <m:ctrlPr>
              <w:rPr>
                <w:rFonts w:ascii="Cambria Math" w:hAnsi="Cambria Math"/>
                <w:i/>
              </w:rPr>
            </m:ctrlPr>
          </m:e>
        </m:d>
      </m:oMath>
      <w:r>
        <w:tab/>
      </w:r>
      <w:r>
        <w:t>(</w:t>
      </w:r>
      <w:r>
        <w:rPr>
          <w:rFonts w:hint="eastAsia"/>
        </w:rPr>
        <w:t>1</w:t>
      </w:r>
      <w:r>
        <w:t>2)</w:t>
      </w:r>
      <w:bookmarkEnd w:id="175"/>
    </w:p>
    <w:p w14:paraId="7ADC80ED">
      <w:pPr>
        <w:pStyle w:val="60"/>
        <w:ind w:firstLine="420"/>
      </w:pPr>
      <w:r>
        <w:rPr>
          <w:rFonts w:hint="eastAsia"/>
        </w:rPr>
        <w:t>式中:</w:t>
      </w:r>
    </w:p>
    <w:p w14:paraId="784B0D37">
      <w:pPr>
        <w:pStyle w:val="60"/>
        <w:ind w:firstLine="420"/>
      </w:pPr>
      <w:r>
        <w:t>E</w:t>
      </w:r>
      <w:r>
        <w:rPr>
          <w:vertAlign w:val="subscript"/>
        </w:rPr>
        <w:t>工艺</w:t>
      </w:r>
      <w:r>
        <w:rPr>
          <w:rFonts w:hint="eastAsia"/>
          <w:spacing w:val="-20"/>
        </w:rPr>
        <w:t>——</w:t>
      </w:r>
      <w:r>
        <w:rPr>
          <w:rFonts w:hint="eastAsia"/>
        </w:rPr>
        <w:t>为</w:t>
      </w:r>
      <w:r>
        <w:t>工艺废气的VOCs产生量，千克/年；</w:t>
      </w:r>
    </w:p>
    <w:p w14:paraId="7246E067">
      <w:pPr>
        <w:pStyle w:val="60"/>
        <w:ind w:firstLine="420"/>
      </w:pPr>
      <w:r>
        <w:t>Q</w:t>
      </w:r>
      <w:r>
        <w:rPr>
          <w:vertAlign w:val="subscript"/>
        </w:rPr>
        <w:t>i</w:t>
      </w:r>
      <w:r>
        <w:rPr>
          <w:rFonts w:hint="eastAsia"/>
          <w:spacing w:val="-20"/>
        </w:rPr>
        <w:t>——</w:t>
      </w:r>
      <w:r>
        <w:rPr>
          <w:rFonts w:hint="eastAsia"/>
        </w:rPr>
        <w:t>为</w:t>
      </w:r>
      <w:r>
        <w:t>工艺废气污染控制设施i出口实测气体流量，立方米/小时；</w:t>
      </w:r>
    </w:p>
    <w:p w14:paraId="241BBF23">
      <w:pPr>
        <w:pStyle w:val="60"/>
        <w:ind w:firstLine="420"/>
      </w:pPr>
      <w:r>
        <w:t>C</w:t>
      </w:r>
      <w:r>
        <w:rPr>
          <w:vertAlign w:val="subscript"/>
        </w:rPr>
        <w:t>i</w:t>
      </w:r>
      <w:r>
        <w:rPr>
          <w:rFonts w:hint="eastAsia"/>
          <w:spacing w:val="-20"/>
        </w:rPr>
        <w:t>——</w:t>
      </w:r>
      <w:r>
        <w:rPr>
          <w:rFonts w:hint="eastAsia"/>
        </w:rPr>
        <w:t>为</w:t>
      </w:r>
      <w:r>
        <w:t>工艺废气污染控制设施i出口实测VOCs平均浓度，毫克/立方米；</w:t>
      </w:r>
    </w:p>
    <w:p w14:paraId="578074F6">
      <w:pPr>
        <w:pStyle w:val="60"/>
        <w:ind w:firstLine="420"/>
      </w:pPr>
      <w:r>
        <w:t>Q</w:t>
      </w:r>
      <w:r>
        <w:rPr>
          <w:vertAlign w:val="subscript"/>
        </w:rPr>
        <w:t>i</w:t>
      </w:r>
      <w:r>
        <w:t>×C</w:t>
      </w:r>
      <w:r>
        <w:rPr>
          <w:vertAlign w:val="subscript"/>
        </w:rPr>
        <w:t>i</w:t>
      </w:r>
      <w:r>
        <w:t>×10</w:t>
      </w:r>
      <w:r>
        <w:rPr>
          <w:vertAlign w:val="superscript"/>
        </w:rPr>
        <w:t>-6</w:t>
      </w:r>
      <w:r>
        <w:rPr>
          <w:rFonts w:hint="eastAsia"/>
          <w:spacing w:val="-20"/>
        </w:rPr>
        <w:t>——</w:t>
      </w:r>
      <w:r>
        <w:rPr>
          <w:rFonts w:hint="eastAsia"/>
        </w:rPr>
        <w:t>为</w:t>
      </w:r>
      <w:r>
        <w:t>工艺废气污染控制设施i的VOCs实测排放速率平均值，千克/小时；</w:t>
      </w:r>
    </w:p>
    <w:p w14:paraId="7613D3A3">
      <w:pPr>
        <w:pStyle w:val="60"/>
        <w:ind w:firstLine="420"/>
      </w:pPr>
      <w:r>
        <w:t>t</w:t>
      </w:r>
      <w:r>
        <w:rPr>
          <w:rFonts w:hint="eastAsia"/>
          <w:spacing w:val="-20"/>
        </w:rPr>
        <w:t>——</w:t>
      </w:r>
      <w:r>
        <w:rPr>
          <w:rFonts w:hint="eastAsia"/>
        </w:rPr>
        <w:t>为</w:t>
      </w:r>
      <w:r>
        <w:t>计算时段内该工艺废气污染控制设施的运行小时数，小时/年；</w:t>
      </w:r>
    </w:p>
    <w:p w14:paraId="71AAFEFC">
      <w:pPr>
        <w:pStyle w:val="60"/>
        <w:ind w:firstLine="420"/>
      </w:pPr>
      <w:r>
        <w:t>η</w:t>
      </w:r>
      <w:r>
        <w:rPr>
          <w:vertAlign w:val="subscript"/>
        </w:rPr>
        <w:t>捕</w:t>
      </w:r>
      <w:r>
        <w:rPr>
          <w:rFonts w:hint="eastAsia"/>
          <w:spacing w:val="-20"/>
        </w:rPr>
        <w:t>——</w:t>
      </w:r>
      <w:r>
        <w:rPr>
          <w:rFonts w:hint="eastAsia"/>
        </w:rPr>
        <w:t>为</w:t>
      </w:r>
      <w:r>
        <w:t>工艺废气污染控制设施i的捕集效率</w:t>
      </w:r>
      <w:r>
        <w:rPr>
          <w:rFonts w:hint="eastAsia"/>
        </w:rPr>
        <w:t>，参照表</w:t>
      </w:r>
      <w:r>
        <w:t>F.1</w:t>
      </w:r>
      <w:r>
        <w:rPr>
          <w:rFonts w:hint="eastAsia"/>
        </w:rPr>
        <w:t>选取</w:t>
      </w:r>
      <w:r>
        <w:t>；</w:t>
      </w:r>
    </w:p>
    <w:p w14:paraId="4805039B">
      <w:pPr>
        <w:pStyle w:val="60"/>
        <w:ind w:firstLine="420"/>
      </w:pPr>
      <w:r>
        <w:t>η</w:t>
      </w:r>
      <w:r>
        <w:rPr>
          <w:vertAlign w:val="subscript"/>
        </w:rPr>
        <w:t>去</w:t>
      </w:r>
      <w:bookmarkStart w:id="176" w:name="OLE_LINK33"/>
      <w:r>
        <w:rPr>
          <w:rFonts w:hint="eastAsia"/>
          <w:spacing w:val="-20"/>
        </w:rPr>
        <w:t>——</w:t>
      </w:r>
      <w:bookmarkEnd w:id="176"/>
      <w:r>
        <w:rPr>
          <w:rFonts w:hint="eastAsia"/>
        </w:rPr>
        <w:t>为</w:t>
      </w:r>
      <w:r>
        <w:t>工艺废气污染控制设施i的VOCs去除效率，</w:t>
      </w:r>
      <w:r>
        <w:rPr>
          <w:rFonts w:hint="eastAsia"/>
        </w:rPr>
        <w:t>以实测数据或相关规定计</w:t>
      </w:r>
      <w:r>
        <w:t>。</w:t>
      </w:r>
    </w:p>
    <w:p w14:paraId="0368271B">
      <w:pPr>
        <w:pStyle w:val="69"/>
        <w:spacing w:before="120" w:after="120"/>
        <w:ind w:left="0"/>
      </w:pPr>
      <w:bookmarkStart w:id="177" w:name="_Toc137109115"/>
      <w:r>
        <w:rPr>
          <w:rFonts w:hint="eastAsia"/>
        </w:rPr>
        <w:t>公式法</w:t>
      </w:r>
      <w:bookmarkEnd w:id="177"/>
    </w:p>
    <w:p w14:paraId="4DB0E976">
      <w:pPr>
        <w:pStyle w:val="60"/>
        <w:ind w:firstLine="420"/>
      </w:pPr>
      <w:r>
        <w:rPr>
          <w:rFonts w:hint="eastAsia"/>
        </w:rPr>
        <w:t>生产工艺过程中，VOCs产生量也可使用公式法按各工艺环节进行计算。电子电路的主要生产工序有：电子清洗、感光成像、表面涂层等，生产工艺的排放量为工序排放量之和。各生产工序的VOCs产生量由加料损失、升温损失、表面蒸发损失、气体吹扫排放等组成，见公式（1</w:t>
      </w:r>
      <w:r>
        <w:t>3</w:t>
      </w:r>
      <w:r>
        <w:rPr>
          <w:rFonts w:hint="eastAsia"/>
        </w:rPr>
        <w:t>）和表F</w:t>
      </w:r>
      <w:r>
        <w:t>.2</w:t>
      </w:r>
      <w:r>
        <w:rPr>
          <w:rFonts w:hint="eastAsia"/>
        </w:rPr>
        <w:t>，公式法仅适用于无捕集、排风设施情况下的工艺废气排放计算。</w:t>
      </w:r>
    </w:p>
    <w:p w14:paraId="16F9259E">
      <w:pPr>
        <w:pStyle w:val="242"/>
        <w:textAlignment w:val="center"/>
      </w:pPr>
      <w:r>
        <w:tab/>
      </w:r>
      <m:oMath>
        <m:sSub>
          <m:sSubPr>
            <m:ctrlPr>
              <w:rPr>
                <w:rFonts w:ascii="Cambria Math"/>
                <w:i/>
              </w:rPr>
            </m:ctrlPr>
          </m:sSubPr>
          <m:e>
            <m:r>
              <m:rPr/>
              <w:rPr>
                <w:rFonts w:ascii="Cambria Math"/>
              </w:rPr>
              <m:t>E</m:t>
            </m:r>
            <m:ctrlPr>
              <w:rPr>
                <w:rFonts w:ascii="Cambria Math"/>
                <w:i/>
              </w:rPr>
            </m:ctrlPr>
          </m:e>
          <m:sub>
            <m:r>
              <m:rPr/>
              <w:rPr>
                <w:rFonts w:ascii="Cambria Math"/>
              </w:rPr>
              <m:t>工艺</m:t>
            </m:r>
            <m:ctrlPr>
              <w:rPr>
                <w:rFonts w:ascii="Cambria Math" w:hAnsi="Cambria Math"/>
                <w:i/>
              </w:rPr>
            </m:ctrlPr>
          </m:sub>
        </m:sSub>
        <m:r>
          <m:rPr/>
          <w:rPr>
            <w:rFonts w:ascii="Cambria Math"/>
          </w:rPr>
          <m:t>=</m:t>
        </m:r>
        <m:nary>
          <m:naryPr>
            <m:chr m:val="∑"/>
            <m:ctrlPr>
              <w:rPr>
                <w:rFonts w:ascii="Cambria Math"/>
                <w:i/>
              </w:rPr>
            </m:ctrlPr>
          </m:naryPr>
          <m:sub>
            <m:r>
              <m:rPr/>
              <w:rPr>
                <w:rFonts w:ascii="Cambria Math"/>
              </w:rPr>
              <m:t>i=1</m:t>
            </m:r>
            <m:ctrlPr>
              <w:rPr>
                <w:rFonts w:ascii="Cambria Math"/>
                <w:i/>
              </w:rPr>
            </m:ctrlPr>
          </m:sub>
          <m:sup>
            <m:r>
              <m:rPr/>
              <w:rPr>
                <w:rFonts w:ascii="Cambria Math"/>
              </w:rPr>
              <m:t>n</m:t>
            </m:r>
            <m:ctrlPr>
              <w:rPr>
                <w:rFonts w:ascii="Cambria Math"/>
                <w:i/>
              </w:rPr>
            </m:ctrlPr>
          </m:sup>
          <m:e>
            <m:sSub>
              <m:sSubPr>
                <m:ctrlPr>
                  <w:rPr>
                    <w:rFonts w:ascii="Cambria Math"/>
                    <w:i/>
                  </w:rPr>
                </m:ctrlPr>
              </m:sSubPr>
              <m:e>
                <m:r>
                  <m:rPr/>
                  <w:rPr>
                    <w:rFonts w:ascii="Cambria Math"/>
                  </w:rPr>
                  <m:t>E</m:t>
                </m:r>
                <m:ctrlPr>
                  <w:rPr>
                    <w:rFonts w:ascii="Cambria Math"/>
                    <w:i/>
                  </w:rPr>
                </m:ctrlPr>
              </m:e>
              <m:sub>
                <m:r>
                  <m:rPr/>
                  <w:rPr>
                    <w:rFonts w:ascii="Cambria Math"/>
                  </w:rPr>
                  <m:t>工序</m:t>
                </m:r>
                <m:ctrlPr>
                  <w:rPr>
                    <w:rFonts w:ascii="Cambria Math" w:hAnsi="Cambria Math"/>
                    <w:i/>
                  </w:rPr>
                </m:ctrlPr>
              </m:sub>
            </m:sSub>
            <m:ctrlPr>
              <w:rPr>
                <w:rFonts w:ascii="Cambria Math" w:hAnsi="Cambria Math"/>
                <w:i/>
              </w:rPr>
            </m:ctrlPr>
          </m:e>
        </m:nary>
      </m:oMath>
      <w:r>
        <w:tab/>
      </w:r>
      <w:r>
        <w:t>(</w:t>
      </w:r>
      <w:r>
        <w:rPr>
          <w:rFonts w:hint="eastAsia"/>
        </w:rPr>
        <w:t>1</w:t>
      </w:r>
      <w:r>
        <w:t>3)</w:t>
      </w:r>
    </w:p>
    <w:p w14:paraId="4644B51D">
      <w:pPr>
        <w:pStyle w:val="60"/>
        <w:ind w:firstLine="420"/>
      </w:pPr>
      <w:r>
        <w:rPr>
          <w:rFonts w:hint="eastAsia"/>
        </w:rPr>
        <w:t>式中：</w:t>
      </w:r>
    </w:p>
    <w:p w14:paraId="59338928">
      <w:pPr>
        <w:pStyle w:val="60"/>
        <w:ind w:firstLine="420"/>
      </w:pPr>
      <w:r>
        <w:rPr>
          <w:rFonts w:hint="eastAsia"/>
        </w:rPr>
        <w:t>E</w:t>
      </w:r>
      <w:r>
        <w:rPr>
          <w:rFonts w:hint="eastAsia"/>
          <w:vertAlign w:val="subscript"/>
        </w:rPr>
        <w:t>工艺</w:t>
      </w:r>
      <w:r>
        <w:rPr>
          <w:rFonts w:hint="eastAsia"/>
          <w:spacing w:val="-20"/>
        </w:rPr>
        <w:t>——</w:t>
      </w:r>
      <w:r>
        <w:rPr>
          <w:rFonts w:hint="eastAsia"/>
        </w:rPr>
        <w:t>为统计</w:t>
      </w:r>
      <w:r>
        <w:t>期内工艺</w:t>
      </w:r>
      <w:r>
        <w:rPr>
          <w:rFonts w:hint="eastAsia"/>
        </w:rPr>
        <w:t>废气的</w:t>
      </w:r>
      <w:r>
        <w:t>VOCs产生量，</w:t>
      </w:r>
      <w:r>
        <w:rPr>
          <w:rFonts w:hint="eastAsia"/>
        </w:rPr>
        <w:t>千克；</w:t>
      </w:r>
    </w:p>
    <w:p w14:paraId="6F24D864">
      <w:pPr>
        <w:pStyle w:val="60"/>
        <w:ind w:firstLine="420"/>
      </w:pPr>
      <w:r>
        <w:rPr>
          <w:rFonts w:hint="eastAsia"/>
        </w:rPr>
        <w:t>E</w:t>
      </w:r>
      <w:r>
        <w:rPr>
          <w:rFonts w:hint="eastAsia"/>
          <w:vertAlign w:val="subscript"/>
        </w:rPr>
        <w:t>工序</w:t>
      </w:r>
      <w:bookmarkStart w:id="178" w:name="OLE_LINK34"/>
      <w:r>
        <w:rPr>
          <w:rFonts w:hint="eastAsia"/>
          <w:spacing w:val="-20"/>
        </w:rPr>
        <w:t>——</w:t>
      </w:r>
      <w:bookmarkEnd w:id="178"/>
      <w:r>
        <w:rPr>
          <w:rFonts w:hint="eastAsia"/>
        </w:rPr>
        <w:t>为统计</w:t>
      </w:r>
      <w:r>
        <w:t>期内工艺</w:t>
      </w:r>
      <w:r>
        <w:rPr>
          <w:rFonts w:hint="eastAsia"/>
        </w:rPr>
        <w:t>废气各</w:t>
      </w:r>
      <w:r>
        <w:t>工序</w:t>
      </w:r>
      <w:r>
        <w:rPr>
          <w:rFonts w:hint="eastAsia"/>
        </w:rPr>
        <w:t>的</w:t>
      </w:r>
      <w:r>
        <w:t>VOCs产生量，</w:t>
      </w:r>
      <w:r>
        <w:rPr>
          <w:rFonts w:hint="eastAsia"/>
        </w:rPr>
        <w:t>千克。</w:t>
      </w:r>
    </w:p>
    <w:p w14:paraId="738E64CB">
      <w:pPr>
        <w:pStyle w:val="60"/>
        <w:ind w:firstLine="420"/>
      </w:pPr>
      <w:r>
        <w:rPr>
          <w:rFonts w:hint="eastAsia"/>
        </w:rPr>
        <w:t>详细计算方法见附录F</w:t>
      </w:r>
      <w:r>
        <w:t>.2</w:t>
      </w:r>
    </w:p>
    <w:p w14:paraId="38BDB250">
      <w:pPr>
        <w:pStyle w:val="69"/>
        <w:spacing w:before="120" w:after="120"/>
        <w:ind w:left="0"/>
      </w:pPr>
      <w:bookmarkStart w:id="179" w:name="_Toc137109116"/>
      <w:r>
        <w:rPr>
          <w:rFonts w:hint="eastAsia"/>
        </w:rPr>
        <w:t>系数法</w:t>
      </w:r>
      <w:bookmarkEnd w:id="179"/>
    </w:p>
    <w:p w14:paraId="606E768F">
      <w:pPr>
        <w:pStyle w:val="60"/>
        <w:ind w:firstLine="420"/>
      </w:pPr>
      <w:r>
        <w:rPr>
          <w:rFonts w:hint="eastAsia"/>
        </w:rPr>
        <w:t>在实测法和公式法使用条件均无法满足时，采用系数法计算VOCs排放量，此处产污系数为除设备动静密封点泄漏、有机液体储存与调和挥发损失和废水集输、储存、处理过程逸散之外，包含工艺废气排放、溶剂再生挥发损失和实验室废气排放三个源项VOCs产生量，见公式（1</w:t>
      </w:r>
      <w:r>
        <w:t>4</w:t>
      </w:r>
      <w:r>
        <w:rPr>
          <w:rFonts w:hint="eastAsia"/>
        </w:rPr>
        <w:t>）。</w:t>
      </w:r>
    </w:p>
    <w:p w14:paraId="08C74171">
      <w:pPr>
        <w:pStyle w:val="242"/>
        <w:ind w:firstLine="422"/>
      </w:pPr>
      <w:r>
        <w:rPr>
          <w:b/>
          <w:bCs/>
          <w:iCs/>
        </w:rPr>
        <w:tab/>
      </w:r>
      <m:oMath>
        <m:r>
          <m:rPr/>
          <w:rPr>
            <w:rFonts w:ascii="Cambria Math" w:hAnsi="Cambria Math"/>
          </w:rPr>
          <m:t>E</m:t>
        </m:r>
        <m:r>
          <m:rPr>
            <m:sty m:val="p"/>
          </m:rPr>
          <w:rPr>
            <w:rFonts w:ascii="Cambria Math" w:hAnsi="Cambria Math"/>
          </w:rPr>
          <m:t>=</m:t>
        </m:r>
        <m:nary>
          <m:naryPr>
            <m:chr m:val="∑"/>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d>
              <m:dPr>
                <m:ctrlPr>
                  <w:rPr>
                    <w:rFonts w:ascii="Cambria Math" w:hAnsi="Cambria Math"/>
                  </w:rPr>
                </m:ctrlPr>
              </m:dPr>
              <m:e>
                <m:r>
                  <m:rPr/>
                  <w:rPr>
                    <w:rFonts w:ascii="Cambria Math" w:hAnsi="Cambria Math"/>
                  </w:rPr>
                  <m:t>E</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d>
            <m:ctrlPr>
              <w:rPr>
                <w:rFonts w:ascii="Cambria Math" w:hAnsi="Cambria Math"/>
              </w:rPr>
            </m:ctrlPr>
          </m:e>
        </m:nary>
      </m:oMath>
      <w:r>
        <w:tab/>
      </w:r>
      <w:r>
        <w:t>(</w:t>
      </w:r>
      <w:r>
        <w:rPr>
          <w:rFonts w:hint="eastAsia"/>
        </w:rPr>
        <w:t>1</w:t>
      </w:r>
      <w:r>
        <w:t>4)</w:t>
      </w:r>
    </w:p>
    <w:p w14:paraId="6ACCCC3E">
      <w:pPr>
        <w:pStyle w:val="60"/>
        <w:ind w:firstLine="420"/>
      </w:pPr>
      <w:r>
        <w:rPr>
          <w:rFonts w:hint="eastAsia"/>
        </w:rPr>
        <w:t>式中：</w:t>
      </w:r>
    </w:p>
    <w:p w14:paraId="7740E0C4">
      <w:pPr>
        <w:pStyle w:val="60"/>
        <w:ind w:firstLine="420"/>
      </w:pPr>
      <w:r>
        <w:rPr>
          <w:rFonts w:hint="eastAsia"/>
        </w:rPr>
        <w:t>EF</w:t>
      </w:r>
      <w:r>
        <w:rPr>
          <w:i/>
          <w:vertAlign w:val="subscript"/>
        </w:rPr>
        <w:t>i</w:t>
      </w:r>
      <w:r>
        <w:rPr>
          <w:rFonts w:hint="eastAsia"/>
          <w:spacing w:val="-20"/>
        </w:rPr>
        <w:t>——</w:t>
      </w:r>
      <w:r>
        <w:rPr>
          <w:rFonts w:hint="eastAsia"/>
        </w:rPr>
        <w:t>为物料</w:t>
      </w:r>
      <w:r>
        <w:rPr>
          <w:i/>
        </w:rPr>
        <w:t>i</w:t>
      </w:r>
      <w:r>
        <w:t>的</w:t>
      </w:r>
      <w:r>
        <w:rPr>
          <w:rFonts w:hint="eastAsia"/>
        </w:rPr>
        <w:t>排放</w:t>
      </w:r>
      <w:r>
        <w:t>系数，见</w:t>
      </w:r>
      <w:r>
        <w:rPr>
          <w:rFonts w:hint="eastAsia"/>
        </w:rPr>
        <w:t>附录F表F</w:t>
      </w:r>
      <w:r>
        <w:t>.3</w:t>
      </w:r>
      <w:r>
        <w:rPr>
          <w:rFonts w:hint="eastAsia"/>
        </w:rPr>
        <w:t>；</w:t>
      </w:r>
    </w:p>
    <w:p w14:paraId="5F263855">
      <w:pPr>
        <w:pStyle w:val="60"/>
        <w:ind w:firstLine="420"/>
      </w:pPr>
      <w:r>
        <w:t>Q</w:t>
      </w:r>
      <w:r>
        <w:rPr>
          <w:i/>
          <w:vertAlign w:val="subscript"/>
        </w:rPr>
        <w:t>i</w:t>
      </w:r>
      <w:bookmarkStart w:id="180" w:name="OLE_LINK36"/>
      <w:r>
        <w:rPr>
          <w:rFonts w:hint="eastAsia"/>
          <w:spacing w:val="-20"/>
        </w:rPr>
        <w:t>——</w:t>
      </w:r>
      <w:bookmarkEnd w:id="180"/>
      <w:r>
        <w:rPr>
          <w:rFonts w:hint="eastAsia"/>
        </w:rPr>
        <w:t>为统计期</w:t>
      </w:r>
      <w:r>
        <w:t>内</w:t>
      </w:r>
      <w:r>
        <w:rPr>
          <w:rFonts w:hint="eastAsia"/>
        </w:rPr>
        <w:t>物料</w:t>
      </w:r>
      <w:r>
        <w:rPr>
          <w:i/>
        </w:rPr>
        <w:t>i</w:t>
      </w:r>
      <w:r>
        <w:rPr>
          <w:rFonts w:hint="eastAsia"/>
        </w:rPr>
        <w:t>的生</w:t>
      </w:r>
      <w:r>
        <w:t>产量</w:t>
      </w:r>
      <w:r>
        <w:rPr>
          <w:rFonts w:hint="eastAsia"/>
        </w:rPr>
        <w:t>。</w:t>
      </w:r>
    </w:p>
    <w:p w14:paraId="584BFC21">
      <w:pPr>
        <w:pStyle w:val="109"/>
        <w:spacing w:before="120" w:after="120"/>
      </w:pPr>
      <w:bookmarkStart w:id="181" w:name="_Toc137108844"/>
      <w:bookmarkStart w:id="182" w:name="_Toc137109117"/>
      <w:bookmarkStart w:id="183" w:name="_Toc170497007"/>
      <w:bookmarkStart w:id="184" w:name="_Hlk168579434"/>
      <w:r>
        <w:t>溶剂再生</w:t>
      </w:r>
      <w:r>
        <w:rPr>
          <w:rFonts w:hint="eastAsia"/>
        </w:rPr>
        <w:t>挥发损失</w:t>
      </w:r>
      <w:bookmarkEnd w:id="181"/>
      <w:bookmarkEnd w:id="182"/>
      <w:bookmarkEnd w:id="183"/>
    </w:p>
    <w:p w14:paraId="7614635D">
      <w:pPr>
        <w:pStyle w:val="60"/>
        <w:ind w:firstLine="420"/>
      </w:pPr>
      <w:r>
        <w:rPr>
          <w:rFonts w:hint="eastAsia"/>
        </w:rPr>
        <w:t>主要指对清洗等环节产生的废溶剂进行再生利用的过程。在电子电路制造生产中，废的清洗溶剂可以被纯化和再使用。</w:t>
      </w:r>
    </w:p>
    <w:p w14:paraId="0734DDC6">
      <w:pPr>
        <w:pStyle w:val="60"/>
        <w:ind w:firstLine="420"/>
      </w:pPr>
      <w:r>
        <w:rPr>
          <w:rFonts w:hint="eastAsia"/>
        </w:rPr>
        <w:t>蒸馏是最常用的纯化溶剂的方法之一。间歇蒸馏的过程至少包括三个独立的操作单元：（</w:t>
      </w:r>
      <w:r>
        <w:t>a</w:t>
      </w:r>
      <w:r>
        <w:rPr>
          <w:rFonts w:hint="eastAsia"/>
        </w:rPr>
        <w:t>）投入废溶剂，（</w:t>
      </w:r>
      <w:r>
        <w:t>b</w:t>
      </w:r>
      <w:r>
        <w:rPr>
          <w:rFonts w:hint="eastAsia"/>
        </w:rPr>
        <w:t>）加热至接近溶剂沸点，（</w:t>
      </w:r>
      <w:r>
        <w:t>c</w:t>
      </w:r>
      <w:r>
        <w:rPr>
          <w:rFonts w:hint="eastAsia"/>
        </w:rPr>
        <w:t>）将蒸馏液收集到接收器中，其（</w:t>
      </w:r>
      <w:r>
        <w:t>a</w:t>
      </w:r>
      <w:r>
        <w:rPr>
          <w:rFonts w:hint="eastAsia"/>
        </w:rPr>
        <w:t>）和（</w:t>
      </w:r>
      <w:r>
        <w:t>c</w:t>
      </w:r>
      <w:r>
        <w:rPr>
          <w:rFonts w:hint="eastAsia"/>
        </w:rPr>
        <w:t>）操作按照公式（1</w:t>
      </w:r>
      <w:r>
        <w:t>8</w:t>
      </w:r>
      <w:r>
        <w:rPr>
          <w:rFonts w:hint="eastAsia"/>
        </w:rPr>
        <w:t>）计算VOCs产生量，（</w:t>
      </w:r>
      <w:r>
        <w:t>b</w:t>
      </w:r>
      <w:r>
        <w:rPr>
          <w:rFonts w:hint="eastAsia"/>
        </w:rPr>
        <w:t>）按照公式</w:t>
      </w:r>
      <w:bookmarkStart w:id="185" w:name="OLE_LINK35"/>
      <w:r>
        <w:rPr>
          <w:rFonts w:hint="eastAsia"/>
        </w:rPr>
        <w:t>（1</w:t>
      </w:r>
      <w:r>
        <w:t>5</w:t>
      </w:r>
      <w:r>
        <w:rPr>
          <w:rFonts w:hint="eastAsia"/>
        </w:rPr>
        <w:t>）</w:t>
      </w:r>
      <w:bookmarkEnd w:id="185"/>
      <w:r>
        <w:rPr>
          <w:rFonts w:hint="eastAsia"/>
        </w:rPr>
        <w:t>计算VOCs产生量。</w:t>
      </w:r>
    </w:p>
    <w:p w14:paraId="122CB97E">
      <w:pPr>
        <w:pStyle w:val="242"/>
        <w:textAlignment w:val="center"/>
      </w:pPr>
      <w:r>
        <w:tab/>
      </w:r>
      <m:oMath>
        <m:sSub>
          <m:sSubPr>
            <m:ctrlPr>
              <w:rPr>
                <w:rFonts w:ascii="Cambria Math"/>
                <w:i/>
              </w:rPr>
            </m:ctrlPr>
          </m:sSubPr>
          <m:e>
            <m:r>
              <m:rPr/>
              <w:rPr>
                <w:rFonts w:ascii="Cambria Math"/>
              </w:rPr>
              <m:t>E</m:t>
            </m:r>
            <m:ctrlPr>
              <w:rPr>
                <w:rFonts w:ascii="Cambria Math"/>
                <w:i/>
              </w:rPr>
            </m:ctrlPr>
          </m:e>
          <m:sub>
            <m:r>
              <m:rPr/>
              <w:rPr>
                <w:rFonts w:ascii="Cambria Math"/>
              </w:rPr>
              <m:t>溶剂</m:t>
            </m:r>
            <m:ctrlPr>
              <w:rPr>
                <w:rFonts w:ascii="Cambria Math" w:hAnsi="Cambria Math"/>
                <w:i/>
              </w:rPr>
            </m:ctrlPr>
          </m:sub>
        </m:sSub>
        <m:r>
          <m:rPr/>
          <w:rPr>
            <w:rFonts w:ascii="Cambria Math"/>
          </w:rPr>
          <m:t>=</m:t>
        </m:r>
        <m:f>
          <m:fPr>
            <m:ctrlPr>
              <w:rPr>
                <w:rFonts w:ascii="Cambria Math"/>
                <w:i/>
              </w:rPr>
            </m:ctrlPr>
          </m:fPr>
          <m:num>
            <m:sSub>
              <m:sSubPr>
                <m:ctrlPr>
                  <w:rPr>
                    <w:rFonts w:ascii="Cambria Math"/>
                    <w:i/>
                  </w:rPr>
                </m:ctrlPr>
              </m:sSubPr>
              <m:e>
                <m:d>
                  <m:dPr>
                    <m:ctrlPr>
                      <w:rPr>
                        <w:rFonts w:ascii="Cambria Math"/>
                        <w:i/>
                      </w:rPr>
                    </m:ctrlPr>
                  </m:dPr>
                  <m:e>
                    <m:sSub>
                      <m:sSubPr>
                        <m:ctrlPr>
                          <w:rPr>
                            <w:rFonts w:ascii="Cambria Math"/>
                            <w:i/>
                          </w:rPr>
                        </m:ctrlPr>
                      </m:sSubPr>
                      <m:e>
                        <m:r>
                          <m:rPr/>
                          <w:rPr>
                            <w:rFonts w:ascii="Cambria Math"/>
                          </w:rPr>
                          <m:t>P</m:t>
                        </m:r>
                        <m:ctrlPr>
                          <w:rPr>
                            <w:rFonts w:ascii="Cambria Math"/>
                            <w:i/>
                          </w:rPr>
                        </m:ctrlPr>
                      </m:e>
                      <m:sub>
                        <m:r>
                          <m:rPr/>
                          <w:rPr>
                            <w:rFonts w:ascii="Cambria Math"/>
                          </w:rPr>
                          <m:t>x</m:t>
                        </m:r>
                        <m:ctrlPr>
                          <w:rPr>
                            <w:rFonts w:ascii="Cambria Math"/>
                            <w:i/>
                          </w:rPr>
                        </m:ctrlPr>
                      </m:sub>
                    </m:sSub>
                    <m:ctrlPr>
                      <w:rPr>
                        <w:rFonts w:ascii="Cambria Math" w:hAnsi="Cambria Math"/>
                        <w:i/>
                      </w:rPr>
                    </m:ctrlPr>
                  </m:e>
                </m:d>
                <m:ctrlPr>
                  <w:rPr>
                    <w:rFonts w:ascii="Cambria Math"/>
                    <w:i/>
                  </w:rPr>
                </m:ctrlPr>
              </m:e>
              <m:sub>
                <m:r>
                  <m:rPr/>
                  <w:rPr>
                    <w:rFonts w:ascii="Cambria Math"/>
                  </w:rPr>
                  <m:t>o</m:t>
                </m:r>
                <m:ctrlPr>
                  <w:rPr>
                    <w:rFonts w:ascii="Cambria Math"/>
                    <w:i/>
                  </w:rPr>
                </m:ctrlPr>
              </m:sub>
            </m:sSub>
            <m:ctrlPr>
              <w:rPr>
                <w:rFonts w:ascii="Cambria Math"/>
                <w:i/>
              </w:rPr>
            </m:ctrlPr>
          </m:num>
          <m:den>
            <m:sSub>
              <m:sSubPr>
                <m:ctrlPr>
                  <w:rPr>
                    <w:rFonts w:ascii="Cambria Math"/>
                    <w:i/>
                  </w:rPr>
                </m:ctrlPr>
              </m:sSubPr>
              <m:e>
                <m:r>
                  <m:rPr/>
                  <w:rPr>
                    <w:rFonts w:ascii="Cambria Math"/>
                  </w:rPr>
                  <m:t>P</m:t>
                </m:r>
                <m:ctrlPr>
                  <w:rPr>
                    <w:rFonts w:ascii="Cambria Math"/>
                    <w:i/>
                  </w:rPr>
                </m:ctrlPr>
              </m:e>
              <m:sub>
                <m:r>
                  <m:rPr/>
                  <w:rPr>
                    <w:rFonts w:ascii="Cambria Math"/>
                  </w:rPr>
                  <m:t>a1</m:t>
                </m:r>
                <m:ctrlPr>
                  <w:rPr>
                    <w:rFonts w:ascii="Cambria Math"/>
                    <w:i/>
                  </w:rPr>
                </m:ctrlPr>
              </m:sub>
            </m:sSub>
            <m:ctrlPr>
              <w:rPr>
                <w:rFonts w:ascii="Cambria Math" w:hAnsi="Cambria Math"/>
                <w:i/>
              </w:rPr>
            </m:ctrlPr>
          </m:den>
        </m:f>
        <m:r>
          <m:rPr/>
          <w:rPr>
            <w:rFonts w:ascii="Cambria Math"/>
          </w:rPr>
          <m:t>×Δn×</m:t>
        </m:r>
        <m:sSub>
          <m:sSubPr>
            <m:ctrlPr>
              <w:rPr>
                <w:rFonts w:ascii="Cambria Math"/>
                <w:i/>
              </w:rPr>
            </m:ctrlPr>
          </m:sSubPr>
          <m:e>
            <m:r>
              <m:rPr/>
              <w:rPr>
                <w:rFonts w:ascii="Cambria Math"/>
              </w:rPr>
              <m:t>M</m:t>
            </m:r>
            <m:ctrlPr>
              <w:rPr>
                <w:rFonts w:ascii="Cambria Math"/>
                <w:i/>
              </w:rPr>
            </m:ctrlPr>
          </m:e>
          <m:sub>
            <m:r>
              <m:rPr/>
              <w:rPr>
                <w:rFonts w:ascii="Cambria Math"/>
              </w:rPr>
              <m:t>x</m:t>
            </m:r>
            <m:ctrlPr>
              <w:rPr>
                <w:rFonts w:ascii="Cambria Math"/>
                <w:i/>
              </w:rPr>
            </m:ctrlPr>
          </m:sub>
        </m:sSub>
      </m:oMath>
      <w:r>
        <w:tab/>
      </w:r>
      <w:r>
        <w:t>(</w:t>
      </w:r>
      <w:r>
        <w:rPr>
          <w:rFonts w:hint="eastAsia"/>
        </w:rPr>
        <w:t>1</w:t>
      </w:r>
      <w:r>
        <w:t>5)</w:t>
      </w:r>
    </w:p>
    <w:p w14:paraId="1E5CE505">
      <w:pPr>
        <w:pStyle w:val="60"/>
        <w:ind w:firstLine="420"/>
      </w:pPr>
      <w:r>
        <w:t>式中:</w:t>
      </w:r>
    </w:p>
    <w:p w14:paraId="565A8146">
      <w:pPr>
        <w:pStyle w:val="60"/>
        <w:ind w:firstLine="420"/>
      </w:pPr>
      <w:r>
        <w:t>E</w:t>
      </w:r>
      <w:r>
        <w:rPr>
          <w:vertAlign w:val="subscript"/>
        </w:rPr>
        <w:t>溶剂</w:t>
      </w:r>
      <w:r>
        <w:rPr>
          <w:rFonts w:hint="eastAsia"/>
          <w:spacing w:val="-20"/>
        </w:rPr>
        <w:t>——</w:t>
      </w:r>
      <w:r>
        <w:rPr>
          <w:rFonts w:hint="eastAsia"/>
        </w:rPr>
        <w:t>为</w:t>
      </w:r>
      <w:r>
        <w:t>统计期内溶剂再生环节的VOCs产生量；</w:t>
      </w:r>
    </w:p>
    <w:p w14:paraId="6B5C3748">
      <w:pPr>
        <w:pStyle w:val="60"/>
        <w:ind w:firstLine="420"/>
      </w:pPr>
      <w:r>
        <w:t>(P</w:t>
      </w:r>
      <w:r>
        <w:rPr>
          <w:vertAlign w:val="subscript"/>
        </w:rPr>
        <w:t>x</w:t>
      </w:r>
      <w:r>
        <w:t>)</w:t>
      </w:r>
      <w:r>
        <w:rPr>
          <w:vertAlign w:val="subscript"/>
        </w:rPr>
        <w:t>O</w:t>
      </w:r>
      <w:r>
        <w:rPr>
          <w:rFonts w:hint="eastAsia"/>
          <w:spacing w:val="-20"/>
        </w:rPr>
        <w:t>——</w:t>
      </w:r>
      <w:r>
        <w:rPr>
          <w:rFonts w:hint="eastAsia"/>
        </w:rPr>
        <w:t>为</w:t>
      </w:r>
      <w:r>
        <w:t>VOCs中物质x在冷凝室出口温度下的分压（当只有一种化合物时，也指纯化合物的蒸汽压），帕（绝压）；</w:t>
      </w:r>
      <w:r>
        <w:rPr>
          <w:rFonts w:hint="eastAsia"/>
        </w:rPr>
        <w:t>△n为在容器初始温度下的摩尔数，摩尔；</w:t>
      </w:r>
    </w:p>
    <w:p w14:paraId="723328D3">
      <w:pPr>
        <w:pStyle w:val="60"/>
        <w:ind w:firstLine="420"/>
      </w:pPr>
      <w:r>
        <w:rPr>
          <w:rFonts w:hint="eastAsia"/>
        </w:rPr>
        <w:t>M</w:t>
      </w:r>
      <w:r>
        <w:rPr>
          <w:rFonts w:hint="eastAsia"/>
          <w:vertAlign w:val="subscript"/>
        </w:rPr>
        <w:t>x</w:t>
      </w:r>
      <w:r>
        <w:rPr>
          <w:rFonts w:hint="eastAsia"/>
          <w:spacing w:val="-20"/>
        </w:rPr>
        <w:t>——</w:t>
      </w:r>
      <w:r>
        <w:rPr>
          <w:rFonts w:hint="eastAsia"/>
        </w:rPr>
        <w:t>为物质x的摩尔质量，克/摩尔；</w:t>
      </w:r>
    </w:p>
    <w:p w14:paraId="58D4D1F7">
      <w:pPr>
        <w:pStyle w:val="60"/>
        <w:ind w:firstLine="420"/>
      </w:pPr>
      <w:r>
        <w:t>P</w:t>
      </w:r>
      <w:r>
        <w:rPr>
          <w:vertAlign w:val="subscript"/>
        </w:rPr>
        <w:t>a1</w:t>
      </w:r>
      <w:r>
        <w:rPr>
          <w:rFonts w:hint="eastAsia"/>
          <w:spacing w:val="-20"/>
        </w:rPr>
        <w:t>——</w:t>
      </w:r>
      <w:r>
        <w:rPr>
          <w:rFonts w:hint="eastAsia"/>
        </w:rPr>
        <w:t>为</w:t>
      </w:r>
      <w:r>
        <w:t>空气在泠凝室出口温度下的分压，帕（绝压）</w:t>
      </w:r>
      <w:r>
        <w:rPr>
          <w:rFonts w:hint="eastAsia"/>
        </w:rPr>
        <w:t>。</w:t>
      </w:r>
    </w:p>
    <w:bookmarkEnd w:id="184"/>
    <w:p w14:paraId="7787DD99">
      <w:pPr>
        <w:pStyle w:val="60"/>
        <w:ind w:firstLine="420"/>
      </w:pPr>
      <w:r>
        <w:rPr>
          <w:rFonts w:hint="eastAsia"/>
        </w:rPr>
        <w:t>在使用公式（1</w:t>
      </w:r>
      <w:r>
        <w:t>5</w:t>
      </w:r>
      <w:r>
        <w:rPr>
          <w:rFonts w:hint="eastAsia"/>
        </w:rPr>
        <w:t>）时需满足以下条件：①当液体达到沸点时，设备顶部的所有气体被排出；②热蒸汽通过冷凝室离开蒸馏室；③冷凝室排出的气体是在同一温度下的饱和VOCs。</w:t>
      </w:r>
    </w:p>
    <w:p w14:paraId="324D33DD">
      <w:pPr>
        <w:pStyle w:val="109"/>
        <w:spacing w:before="120" w:after="120"/>
      </w:pPr>
      <w:bookmarkStart w:id="186" w:name="_Toc137108845"/>
      <w:bookmarkStart w:id="187" w:name="_Toc137109118"/>
      <w:bookmarkStart w:id="188" w:name="_Toc170497008"/>
      <w:r>
        <w:t>实验室废气排放</w:t>
      </w:r>
      <w:bookmarkEnd w:id="186"/>
      <w:bookmarkEnd w:id="187"/>
      <w:bookmarkEnd w:id="188"/>
    </w:p>
    <w:p w14:paraId="56CB73BC">
      <w:pPr>
        <w:pStyle w:val="60"/>
        <w:ind w:firstLine="420"/>
      </w:pPr>
      <w:r>
        <w:rPr>
          <w:rFonts w:hint="eastAsia"/>
        </w:rPr>
        <w:t>实验室废气排放过程中VOCs产生来源于VOCs使用。含VOCs物料包括但不限于：主剂、固化剂、稀释剂、清洗剂、树脂、助剂等。</w:t>
      </w:r>
    </w:p>
    <w:p w14:paraId="5623D3F4">
      <w:pPr>
        <w:pStyle w:val="60"/>
        <w:ind w:firstLine="420"/>
      </w:pPr>
      <w:r>
        <w:rPr>
          <w:rFonts w:hint="eastAsia"/>
        </w:rPr>
        <w:t>根据产品小样实验VOCs排放特点，采用公式法计算VOCs产生量，见公式</w:t>
      </w:r>
      <w:r>
        <w:t>(16)</w:t>
      </w:r>
      <w:r>
        <w:rPr>
          <w:rFonts w:hint="eastAsia"/>
        </w:rPr>
        <w:t>。</w:t>
      </w:r>
    </w:p>
    <w:p w14:paraId="37871D9E">
      <w:pPr>
        <w:pStyle w:val="242"/>
        <w:textAlignment w:val="center"/>
      </w:pPr>
      <w:bookmarkStart w:id="189" w:name="_Hlk168579585"/>
      <w:r>
        <w:tab/>
      </w:r>
      <w:bookmarkEnd w:id="189"/>
      <m:oMath>
        <m:sSub>
          <m:sSubPr>
            <m:ctrlPr>
              <w:rPr>
                <w:rFonts w:ascii="Cambria Math"/>
                <w:i/>
              </w:rPr>
            </m:ctrlPr>
          </m:sSubPr>
          <m:e>
            <m:r>
              <m:rPr/>
              <w:rPr>
                <w:rFonts w:ascii="Cambria Math"/>
              </w:rPr>
              <m:t>E</m:t>
            </m:r>
            <m:ctrlPr>
              <w:rPr>
                <w:rFonts w:ascii="Cambria Math"/>
                <w:i/>
              </w:rPr>
            </m:ctrlPr>
          </m:e>
          <m:sub>
            <m:r>
              <m:rPr/>
              <w:rPr>
                <w:rFonts w:ascii="Cambria Math"/>
              </w:rPr>
              <m:t>实验</m:t>
            </m:r>
            <m:ctrlPr>
              <w:rPr>
                <w:rFonts w:ascii="Cambria Math" w:hAnsi="Cambria Math"/>
                <w:i/>
              </w:rPr>
            </m:ctrlPr>
          </m:sub>
        </m:sSub>
        <m:r>
          <m:rPr/>
          <w:rPr>
            <w:rFonts w:ascii="Cambria Math"/>
          </w:rPr>
          <m:t>=</m:t>
        </m:r>
        <m:sSub>
          <m:sSubPr>
            <m:ctrlPr>
              <w:rPr>
                <w:rFonts w:ascii="Cambria Math"/>
                <w:i/>
              </w:rPr>
            </m:ctrlPr>
          </m:sSubPr>
          <m:e>
            <m:r>
              <m:rPr/>
              <w:rPr>
                <w:rFonts w:ascii="Cambria Math"/>
              </w:rPr>
              <m:t>E</m:t>
            </m:r>
            <m:ctrlPr>
              <w:rPr>
                <w:rFonts w:ascii="Cambria Math"/>
                <w:i/>
              </w:rPr>
            </m:ctrlPr>
          </m:e>
          <m:sub>
            <m:r>
              <m:rPr/>
              <w:rPr>
                <w:rFonts w:ascii="Cambria Math"/>
              </w:rPr>
              <m:t>物料</m:t>
            </m:r>
            <m:ctrlPr>
              <w:rPr>
                <w:rFonts w:ascii="Cambria Math" w:hAnsi="Cambria Math"/>
                <w:i/>
              </w:rPr>
            </m:ctrlPr>
          </m:sub>
        </m:sSub>
        <m:r>
          <m:rPr/>
          <w:rPr>
            <w:rFonts w:ascii="Cambria Math"/>
          </w:rPr>
          <m:t>−</m:t>
        </m:r>
        <m:sSub>
          <m:sSubPr>
            <m:ctrlPr>
              <w:rPr>
                <w:rFonts w:ascii="Cambria Math"/>
                <w:i/>
              </w:rPr>
            </m:ctrlPr>
          </m:sSubPr>
          <m:e>
            <m:r>
              <m:rPr/>
              <w:rPr>
                <w:rFonts w:ascii="Cambria Math"/>
              </w:rPr>
              <m:t>E</m:t>
            </m:r>
            <m:ctrlPr>
              <w:rPr>
                <w:rFonts w:ascii="Cambria Math"/>
                <w:i/>
              </w:rPr>
            </m:ctrlPr>
          </m:e>
          <m:sub>
            <m:r>
              <m:rPr/>
              <w:rPr>
                <w:rFonts w:ascii="Cambria Math"/>
              </w:rPr>
              <m:t>回收</m:t>
            </m:r>
            <m:ctrlPr>
              <w:rPr>
                <w:rFonts w:ascii="Cambria Math" w:hAnsi="Cambria Math"/>
                <w:i/>
              </w:rPr>
            </m:ctrlPr>
          </m:sub>
        </m:sSub>
      </m:oMath>
      <w:r>
        <w:tab/>
      </w:r>
      <w:r>
        <w:t>(</w:t>
      </w:r>
      <w:r>
        <w:rPr>
          <w:rFonts w:hint="eastAsia"/>
        </w:rPr>
        <w:t>1</w:t>
      </w:r>
      <w:r>
        <w:t>6)</w:t>
      </w:r>
    </w:p>
    <w:p w14:paraId="43B46F35">
      <w:pPr>
        <w:pStyle w:val="60"/>
        <w:ind w:firstLine="420"/>
      </w:pPr>
      <w:r>
        <w:rPr>
          <w:rFonts w:hint="eastAsia"/>
        </w:rPr>
        <w:t>式中：</w:t>
      </w:r>
    </w:p>
    <w:p w14:paraId="7BAA7D51">
      <w:pPr>
        <w:pStyle w:val="60"/>
        <w:ind w:firstLine="420"/>
      </w:pPr>
      <w:r>
        <w:rPr>
          <w:rFonts w:hint="eastAsia"/>
        </w:rPr>
        <w:t>E</w:t>
      </w:r>
      <w:r>
        <w:rPr>
          <w:rFonts w:hint="eastAsia"/>
          <w:vertAlign w:val="subscript"/>
        </w:rPr>
        <w:t>物料</w:t>
      </w:r>
      <w:r>
        <w:rPr>
          <w:rFonts w:hint="eastAsia"/>
          <w:spacing w:val="-20"/>
        </w:rPr>
        <w:t>——</w:t>
      </w:r>
      <w:r>
        <w:rPr>
          <w:rFonts w:hint="eastAsia"/>
        </w:rPr>
        <w:t>为统计期内使用物料中VOCs量之和，千克；</w:t>
      </w:r>
    </w:p>
    <w:p w14:paraId="55881867">
      <w:pPr>
        <w:pStyle w:val="60"/>
        <w:ind w:firstLine="420"/>
      </w:pPr>
      <w:r>
        <w:rPr>
          <w:rFonts w:hint="eastAsia"/>
        </w:rPr>
        <w:t>E</w:t>
      </w:r>
      <w:r>
        <w:rPr>
          <w:rFonts w:hint="eastAsia"/>
          <w:vertAlign w:val="subscript"/>
        </w:rPr>
        <w:t>回收</w:t>
      </w:r>
      <w:r>
        <w:rPr>
          <w:rFonts w:hint="eastAsia"/>
          <w:spacing w:val="-20"/>
        </w:rPr>
        <w:t>——</w:t>
      </w:r>
      <w:r>
        <w:rPr>
          <w:rFonts w:hint="eastAsia"/>
        </w:rPr>
        <w:t>为统计期内各种VOCs溶剂与废弃物（含固体和液体）回收物中VOCs量之和，千克。</w:t>
      </w:r>
    </w:p>
    <w:p w14:paraId="611D17BC">
      <w:pPr>
        <w:pStyle w:val="242"/>
        <w:textAlignment w:val="center"/>
      </w:pPr>
      <w:r>
        <w:tab/>
      </w:r>
      <m:oMath>
        <m:sSub>
          <m:sSubPr>
            <m:ctrlPr>
              <w:rPr>
                <w:rFonts w:ascii="Cambria Math"/>
                <w:i/>
              </w:rPr>
            </m:ctrlPr>
          </m:sSubPr>
          <m:e>
            <m:r>
              <m:rPr/>
              <w:rPr>
                <w:rFonts w:ascii="Cambria Math"/>
              </w:rPr>
              <m:t>E</m:t>
            </m:r>
            <m:ctrlPr>
              <w:rPr>
                <w:rFonts w:ascii="Cambria Math"/>
                <w:i/>
              </w:rPr>
            </m:ctrlPr>
          </m:e>
          <m:sub>
            <m:r>
              <m:rPr/>
              <w:rPr>
                <w:rFonts w:ascii="Cambria Math"/>
              </w:rPr>
              <m:t>物料</m:t>
            </m:r>
            <m:ctrlPr>
              <w:rPr>
                <w:rFonts w:ascii="Cambria Math" w:hAnsi="Cambria Math"/>
                <w:i/>
              </w:rPr>
            </m:ctrlPr>
          </m:sub>
        </m:sSub>
        <m:r>
          <m:rPr/>
          <w:rPr>
            <w:rFonts w:ascii="Cambria Math"/>
          </w:rPr>
          <m:t>=</m:t>
        </m:r>
        <m:nary>
          <m:naryPr>
            <m:chr m:val="∑"/>
            <m:ctrlPr>
              <w:rPr>
                <w:rFonts w:ascii="Cambria Math"/>
                <w:i/>
              </w:rPr>
            </m:ctrlPr>
          </m:naryPr>
          <m:sub>
            <m:r>
              <m:rPr/>
              <w:rPr>
                <w:rFonts w:ascii="Cambria Math"/>
              </w:rPr>
              <m:t>i=1</m:t>
            </m:r>
            <m:ctrlPr>
              <w:rPr>
                <w:rFonts w:ascii="Cambria Math"/>
                <w:i/>
              </w:rPr>
            </m:ctrlPr>
          </m:sub>
          <m:sup>
            <m:r>
              <m:rPr/>
              <w:rPr>
                <w:rFonts w:ascii="Cambria Math"/>
              </w:rPr>
              <m:t>n</m:t>
            </m:r>
            <m:ctrlPr>
              <w:rPr>
                <w:rFonts w:ascii="Cambria Math"/>
                <w:i/>
              </w:rPr>
            </m:ctrlPr>
          </m:sup>
          <m:e>
            <m:sSub>
              <m:sSubPr>
                <m:ctrlPr>
                  <w:rPr>
                    <w:rFonts w:ascii="Cambria Math"/>
                    <w:i/>
                  </w:rPr>
                </m:ctrlPr>
              </m:sSubPr>
              <m:e>
                <m:r>
                  <m:rPr/>
                  <w:rPr>
                    <w:rFonts w:ascii="Cambria Math"/>
                  </w:rPr>
                  <m:t>W</m:t>
                </m:r>
                <m:ctrlPr>
                  <w:rPr>
                    <w:rFonts w:ascii="Cambria Math"/>
                    <w:i/>
                  </w:rPr>
                </m:ctrlPr>
              </m:e>
              <m:sub>
                <m:r>
                  <m:rPr/>
                  <w:rPr>
                    <w:rFonts w:ascii="Cambria Math"/>
                  </w:rPr>
                  <m:t>i</m:t>
                </m:r>
                <m:ctrlPr>
                  <w:rPr>
                    <w:rFonts w:ascii="Cambria Math"/>
                    <w:i/>
                  </w:rPr>
                </m:ctrlPr>
              </m:sub>
            </m:sSub>
            <m:r>
              <m:rPr/>
              <w:rPr>
                <w:rFonts w:ascii="Cambria Math"/>
              </w:rPr>
              <m:t>×W</m:t>
            </m:r>
            <m:sSub>
              <m:sSubPr>
                <m:ctrlPr>
                  <w:rPr>
                    <w:rFonts w:ascii="Cambria Math"/>
                    <w:i/>
                  </w:rPr>
                </m:ctrlPr>
              </m:sSubPr>
              <m:e>
                <m:r>
                  <m:rPr/>
                  <w:rPr>
                    <w:rFonts w:ascii="Cambria Math"/>
                  </w:rPr>
                  <m:t>F</m:t>
                </m:r>
                <m:ctrlPr>
                  <w:rPr>
                    <w:rFonts w:ascii="Cambria Math"/>
                    <w:i/>
                  </w:rPr>
                </m:ctrlPr>
              </m:e>
              <m:sub>
                <m:r>
                  <m:rPr/>
                  <w:rPr>
                    <w:rFonts w:ascii="Cambria Math"/>
                  </w:rPr>
                  <m:t>i</m:t>
                </m:r>
                <m:ctrlPr>
                  <w:rPr>
                    <w:rFonts w:ascii="Cambria Math"/>
                    <w:i/>
                  </w:rPr>
                </m:ctrlPr>
              </m:sub>
            </m:sSub>
            <m:ctrlPr>
              <w:rPr>
                <w:rFonts w:ascii="Cambria Math" w:hAnsi="Cambria Math"/>
                <w:i/>
              </w:rPr>
            </m:ctrlPr>
          </m:e>
        </m:nary>
      </m:oMath>
      <w:r>
        <w:tab/>
      </w:r>
      <w:r>
        <w:t>(</w:t>
      </w:r>
      <w:r>
        <w:rPr>
          <w:rFonts w:hint="eastAsia"/>
        </w:rPr>
        <w:t>1</w:t>
      </w:r>
      <w:r>
        <w:t>7)</w:t>
      </w:r>
    </w:p>
    <w:p w14:paraId="4B548A87">
      <w:pPr>
        <w:pStyle w:val="60"/>
        <w:ind w:firstLine="420"/>
      </w:pPr>
      <w:r>
        <w:rPr>
          <w:rFonts w:hint="eastAsia"/>
        </w:rPr>
        <w:t>式中:</w:t>
      </w:r>
    </w:p>
    <w:p w14:paraId="04074400">
      <w:pPr>
        <w:pStyle w:val="60"/>
        <w:ind w:firstLine="420"/>
      </w:pPr>
      <w:r>
        <w:rPr>
          <w:rFonts w:hint="eastAsia"/>
        </w:rPr>
        <w:t>W</w:t>
      </w:r>
      <w:r>
        <w:rPr>
          <w:rFonts w:hint="eastAsia"/>
          <w:vertAlign w:val="subscript"/>
        </w:rPr>
        <w:t>i</w:t>
      </w:r>
      <w:r>
        <w:rPr>
          <w:rFonts w:hint="eastAsia"/>
          <w:spacing w:val="-20"/>
        </w:rPr>
        <w:t>——</w:t>
      </w:r>
      <w:r>
        <w:rPr>
          <w:rFonts w:hint="eastAsia"/>
        </w:rPr>
        <w:t>为统计期内含有VOCs的物料i投用量，千克/年，以库存单据等凭证为计算依据；</w:t>
      </w:r>
    </w:p>
    <w:p w14:paraId="34246BDA">
      <w:pPr>
        <w:pStyle w:val="60"/>
        <w:ind w:firstLine="420"/>
      </w:pPr>
      <w:r>
        <w:rPr>
          <w:rFonts w:hint="eastAsia"/>
        </w:rPr>
        <w:t>WF</w:t>
      </w:r>
      <w:r>
        <w:rPr>
          <w:rFonts w:hint="eastAsia"/>
          <w:vertAlign w:val="subscript"/>
        </w:rPr>
        <w:t>i</w:t>
      </w:r>
      <w:r>
        <w:rPr>
          <w:rFonts w:hint="eastAsia"/>
          <w:spacing w:val="-20"/>
        </w:rPr>
        <w:t>——</w:t>
      </w:r>
      <w:r>
        <w:rPr>
          <w:rFonts w:hint="eastAsia"/>
        </w:rPr>
        <w:t>为统计期内物料i的VOCs质量百分含量，%，以产品质检报告等为依据。</w:t>
      </w:r>
    </w:p>
    <w:p w14:paraId="744A5AE4">
      <w:pPr>
        <w:pStyle w:val="242"/>
        <w:textAlignment w:val="center"/>
      </w:pPr>
      <w:r>
        <w:tab/>
      </w:r>
      <m:oMath>
        <m:sSub>
          <m:sSubPr>
            <m:ctrlPr>
              <w:rPr>
                <w:rFonts w:ascii="Cambria Math"/>
                <w:i/>
              </w:rPr>
            </m:ctrlPr>
          </m:sSubPr>
          <m:e>
            <m:r>
              <m:rPr/>
              <w:rPr>
                <w:rFonts w:ascii="Cambria Math"/>
              </w:rPr>
              <m:t>E</m:t>
            </m:r>
            <m:ctrlPr>
              <w:rPr>
                <w:rFonts w:ascii="Cambria Math"/>
                <w:i/>
              </w:rPr>
            </m:ctrlPr>
          </m:e>
          <m:sub>
            <m:r>
              <m:rPr/>
              <w:rPr>
                <w:rFonts w:ascii="Cambria Math"/>
              </w:rPr>
              <m:t>回收</m:t>
            </m:r>
            <m:ctrlPr>
              <w:rPr>
                <w:rFonts w:ascii="Cambria Math" w:hAnsi="Cambria Math"/>
                <w:i/>
              </w:rPr>
            </m:ctrlPr>
          </m:sub>
        </m:sSub>
        <m:r>
          <m:rPr/>
          <w:rPr>
            <w:rFonts w:ascii="Cambria Math"/>
          </w:rPr>
          <m:t>=</m:t>
        </m:r>
        <m:nary>
          <m:naryPr>
            <m:chr m:val="∑"/>
            <m:ctrlPr>
              <w:rPr>
                <w:rFonts w:ascii="Cambria Math"/>
                <w:i/>
              </w:rPr>
            </m:ctrlPr>
          </m:naryPr>
          <m:sub>
            <m:r>
              <m:rPr/>
              <w:rPr>
                <w:rFonts w:ascii="Cambria Math"/>
              </w:rPr>
              <m:t>j=1</m:t>
            </m:r>
            <m:ctrlPr>
              <w:rPr>
                <w:rFonts w:ascii="Cambria Math"/>
                <w:i/>
              </w:rPr>
            </m:ctrlPr>
          </m:sub>
          <m:sup>
            <m:r>
              <m:rPr/>
              <w:rPr>
                <w:rFonts w:ascii="Cambria Math"/>
              </w:rPr>
              <m:t>n</m:t>
            </m:r>
            <m:ctrlPr>
              <w:rPr>
                <w:rFonts w:ascii="Cambria Math"/>
                <w:i/>
              </w:rPr>
            </m:ctrlPr>
          </m:sup>
          <m:e>
            <m:sSub>
              <m:sSubPr>
                <m:ctrlPr>
                  <w:rPr>
                    <w:rFonts w:ascii="Cambria Math"/>
                    <w:i/>
                  </w:rPr>
                </m:ctrlPr>
              </m:sSubPr>
              <m:e>
                <m:r>
                  <m:rPr/>
                  <w:rPr>
                    <w:rFonts w:ascii="Cambria Math"/>
                  </w:rPr>
                  <m:t>W</m:t>
                </m:r>
                <m:ctrlPr>
                  <w:rPr>
                    <w:rFonts w:ascii="Cambria Math"/>
                    <w:i/>
                  </w:rPr>
                </m:ctrlPr>
              </m:e>
              <m:sub>
                <m:r>
                  <m:rPr/>
                  <w:rPr>
                    <w:rFonts w:ascii="Cambria Math"/>
                  </w:rPr>
                  <m:t>j</m:t>
                </m:r>
                <m:ctrlPr>
                  <w:rPr>
                    <w:rFonts w:ascii="Cambria Math"/>
                    <w:i/>
                  </w:rPr>
                </m:ctrlPr>
              </m:sub>
            </m:sSub>
            <m:r>
              <m:rPr/>
              <w:rPr>
                <w:rFonts w:ascii="Cambria Math"/>
              </w:rPr>
              <m:t>×W</m:t>
            </m:r>
            <m:sSub>
              <m:sSubPr>
                <m:ctrlPr>
                  <w:rPr>
                    <w:rFonts w:ascii="Cambria Math"/>
                    <w:i/>
                  </w:rPr>
                </m:ctrlPr>
              </m:sSubPr>
              <m:e>
                <m:r>
                  <m:rPr/>
                  <w:rPr>
                    <w:rFonts w:ascii="Cambria Math"/>
                  </w:rPr>
                  <m:t>F</m:t>
                </m:r>
                <m:ctrlPr>
                  <w:rPr>
                    <w:rFonts w:ascii="Cambria Math"/>
                    <w:i/>
                  </w:rPr>
                </m:ctrlPr>
              </m:e>
              <m:sub>
                <m:r>
                  <m:rPr/>
                  <w:rPr>
                    <w:rFonts w:ascii="Cambria Math"/>
                  </w:rPr>
                  <m:t>j</m:t>
                </m:r>
                <m:ctrlPr>
                  <w:rPr>
                    <w:rFonts w:ascii="Cambria Math"/>
                    <w:i/>
                  </w:rPr>
                </m:ctrlPr>
              </m:sub>
            </m:sSub>
            <m:ctrlPr>
              <w:rPr>
                <w:rFonts w:ascii="Cambria Math" w:hAnsi="Cambria Math"/>
                <w:i/>
              </w:rPr>
            </m:ctrlPr>
          </m:e>
        </m:nary>
      </m:oMath>
      <w:r>
        <w:tab/>
      </w:r>
      <w:r>
        <w:t>(</w:t>
      </w:r>
      <w:r>
        <w:rPr>
          <w:rFonts w:hint="eastAsia"/>
        </w:rPr>
        <w:t>1</w:t>
      </w:r>
      <w:r>
        <w:t>8)</w:t>
      </w:r>
    </w:p>
    <w:p w14:paraId="4492E2F9">
      <w:pPr>
        <w:pStyle w:val="60"/>
        <w:ind w:firstLine="420"/>
      </w:pPr>
      <w:r>
        <w:rPr>
          <w:rFonts w:hint="eastAsia"/>
        </w:rPr>
        <w:t>式中：</w:t>
      </w:r>
    </w:p>
    <w:p w14:paraId="5F324BB8">
      <w:pPr>
        <w:pStyle w:val="60"/>
        <w:ind w:firstLine="420"/>
      </w:pPr>
      <w:r>
        <w:rPr>
          <w:rFonts w:hint="eastAsia"/>
        </w:rPr>
        <w:t>W</w:t>
      </w:r>
      <w:r>
        <w:rPr>
          <w:rFonts w:hint="eastAsia"/>
          <w:vertAlign w:val="subscript"/>
        </w:rPr>
        <w:t>j</w:t>
      </w:r>
      <w:r>
        <w:rPr>
          <w:rFonts w:hint="eastAsia"/>
          <w:spacing w:val="-20"/>
        </w:rPr>
        <w:t>——</w:t>
      </w:r>
      <w:r>
        <w:rPr>
          <w:rFonts w:hint="eastAsia"/>
        </w:rPr>
        <w:t>为统计期内溶剂或废弃物j的回收量，千克，以接受单位出具发票等凭证为计算依据；</w:t>
      </w:r>
    </w:p>
    <w:p w14:paraId="638DCEB8">
      <w:pPr>
        <w:pStyle w:val="60"/>
        <w:ind w:firstLine="420"/>
      </w:pPr>
      <w:r>
        <w:rPr>
          <w:rFonts w:hint="eastAsia"/>
        </w:rPr>
        <w:t>WF</w:t>
      </w:r>
      <w:r>
        <w:rPr>
          <w:rFonts w:hint="eastAsia"/>
          <w:vertAlign w:val="subscript"/>
        </w:rPr>
        <w:t>j</w:t>
      </w:r>
      <w:r>
        <w:rPr>
          <w:rFonts w:hint="eastAsia"/>
          <w:spacing w:val="-20"/>
        </w:rPr>
        <w:t>——</w:t>
      </w:r>
      <w:r>
        <w:rPr>
          <w:rFonts w:hint="eastAsia"/>
        </w:rPr>
        <w:t>为统计期内溶剂或废弃物j的VOCs质量百分含量，%；以接受单位出具的成分报告等资料为依据。</w:t>
      </w:r>
    </w:p>
    <w:p w14:paraId="52404647">
      <w:pPr>
        <w:pStyle w:val="109"/>
        <w:spacing w:before="120" w:after="120"/>
      </w:pPr>
      <w:bookmarkStart w:id="190" w:name="_Toc137108846"/>
      <w:bookmarkStart w:id="191" w:name="_Toc137109119"/>
      <w:bookmarkStart w:id="192" w:name="_Toc170497009"/>
      <w:r>
        <w:rPr>
          <w:rFonts w:hint="eastAsia"/>
        </w:rPr>
        <w:t>排放系数获取途径</w:t>
      </w:r>
      <w:bookmarkEnd w:id="190"/>
      <w:bookmarkEnd w:id="191"/>
      <w:bookmarkEnd w:id="192"/>
    </w:p>
    <w:p w14:paraId="06D4FF0B">
      <w:pPr>
        <w:pStyle w:val="60"/>
        <w:ind w:firstLine="420"/>
      </w:pPr>
      <w:r>
        <w:rPr>
          <w:rFonts w:hint="eastAsia"/>
        </w:rPr>
        <w:t>本指南 VOCs 排放系数来源主要有两个方面：文献调研数据和估算数据。文献调研数据包括国内外科技文献、国外排放系数库、行业报告等来源数据，估算数据包括模型估算和物料衡算方法计算数据。根据排放系数来源可靠性及国内外差异性本研究制定排放系数的确定原则：</w:t>
      </w:r>
    </w:p>
    <w:p w14:paraId="3448F607">
      <w:pPr>
        <w:pStyle w:val="60"/>
        <w:ind w:firstLine="420"/>
      </w:pPr>
      <w:r>
        <w:rPr>
          <w:rFonts w:hint="eastAsia"/>
        </w:rPr>
        <w:t>（1）优先本土实测并验证可信的排放系数以及国家制定的排放标准限值；</w:t>
      </w:r>
    </w:p>
    <w:p w14:paraId="6E134AC0">
      <w:pPr>
        <w:pStyle w:val="60"/>
        <w:ind w:firstLine="420"/>
      </w:pPr>
      <w:r>
        <w:rPr>
          <w:rFonts w:hint="eastAsia"/>
        </w:rPr>
        <w:t>（2）无本土数据或排放标准限值的情况下参考国外参考文献或排放系数数据库数据，需要考虑与我国技术水平是否吻合，如不吻合，参考《工业污染源产排污系数手册》提供的我国相应部门工艺、规模等信息对其进行修正；</w:t>
      </w:r>
    </w:p>
    <w:p w14:paraId="75278A47">
      <w:pPr>
        <w:pStyle w:val="60"/>
        <w:ind w:firstLine="420"/>
      </w:pPr>
      <w:r>
        <w:rPr>
          <w:rFonts w:hint="eastAsia"/>
        </w:rPr>
        <w:t>（3）以上方法均不可采用的情况下应用模型估算或物料衡算法。</w:t>
      </w:r>
    </w:p>
    <w:p w14:paraId="08F0C09B">
      <w:pPr>
        <w:pStyle w:val="109"/>
        <w:spacing w:before="120" w:after="120"/>
        <w:rPr>
          <w:rFonts w:hAnsi="黑体"/>
        </w:rPr>
      </w:pPr>
      <w:bookmarkStart w:id="193" w:name="_Toc170497010"/>
      <w:bookmarkStart w:id="194" w:name="_Toc137109120"/>
      <w:bookmarkStart w:id="195" w:name="_Toc137108847"/>
      <w:r>
        <w:rPr>
          <w:rFonts w:hint="eastAsia"/>
        </w:rPr>
        <w:t>不确定性分析</w:t>
      </w:r>
      <w:bookmarkEnd w:id="193"/>
      <w:bookmarkEnd w:id="194"/>
      <w:bookmarkEnd w:id="195"/>
    </w:p>
    <w:p w14:paraId="1719A2B3">
      <w:pPr>
        <w:pStyle w:val="69"/>
        <w:spacing w:before="120" w:after="120"/>
        <w:ind w:left="0"/>
      </w:pPr>
      <w:bookmarkStart w:id="196" w:name="_Toc137109121"/>
      <w:r>
        <w:rPr>
          <w:rFonts w:hint="eastAsia"/>
        </w:rPr>
        <w:t>概述</w:t>
      </w:r>
      <w:bookmarkEnd w:id="196"/>
    </w:p>
    <w:p w14:paraId="4D835CD5">
      <w:pPr>
        <w:pStyle w:val="60"/>
        <w:ind w:firstLine="420"/>
      </w:pPr>
      <w:r>
        <w:rPr>
          <w:rFonts w:hint="eastAsia"/>
        </w:rPr>
        <w:t>不确定性分析是一个完整挥发性有机物污染物排放源清单的基本组成之一。估算挥发性有机物污染物清单不确定性的流程包括：确定清单中单个变量的不确定性（如排放因子数据等的不确定性）；将单个变量的不确定性合并为清单的总不确定性；识别清单不确定性的主要来源，以帮助确定清单数据收集和清单质量改进的优先顺序。同时还要认识到统计方面也可能会存在不确定性，如漏算、重复计算、概念偏差及模型估算偏差等。</w:t>
      </w:r>
    </w:p>
    <w:p w14:paraId="438D2CDF">
      <w:pPr>
        <w:pStyle w:val="60"/>
        <w:ind w:firstLine="420"/>
      </w:pPr>
      <w:r>
        <w:rPr>
          <w:rFonts w:hint="eastAsia"/>
        </w:rPr>
        <w:t>应将不确定分析视为一种帮助确定降低未来清单不确定性工作优先且可应用于不同类别的源排放顺序的方法。因此用来分析不确定性值得方法必须实用、科学和完善，并且可应用于不同类别的源排放。</w:t>
      </w:r>
    </w:p>
    <w:p w14:paraId="19FF4A85">
      <w:pPr>
        <w:pStyle w:val="69"/>
        <w:spacing w:before="120" w:after="120"/>
        <w:ind w:left="0"/>
      </w:pPr>
      <w:bookmarkStart w:id="197" w:name="_Toc137109122"/>
      <w:r>
        <w:rPr>
          <w:rFonts w:hint="eastAsia"/>
        </w:rPr>
        <w:t>不确定性产生的原因</w:t>
      </w:r>
      <w:bookmarkEnd w:id="197"/>
    </w:p>
    <w:p w14:paraId="71DA8C2E">
      <w:pPr>
        <w:pStyle w:val="60"/>
        <w:ind w:firstLine="420"/>
      </w:pPr>
      <w:r>
        <w:rPr>
          <w:rFonts w:hint="eastAsia"/>
        </w:rPr>
        <w:t>很多原因会导致清单估算结果与真实值不同。一些不确定性原因（如取样误差或仪器准确性的局限性）可能产生界定明确的、容易描述特性的潜在不确定性范围。其他不确定性原因可能更难识别和量化。优良做法是在不确定性分析中尽可能解释所有不确定性原因，并且明确记录包括哪些不确定性原因。</w:t>
      </w:r>
    </w:p>
    <w:p w14:paraId="6840C5EE">
      <w:pPr>
        <w:pStyle w:val="60"/>
        <w:ind w:firstLine="420"/>
      </w:pPr>
      <w:r>
        <w:rPr>
          <w:rFonts w:hint="eastAsia"/>
        </w:rPr>
        <w:t>清单编制企业应当特别注意的几大类不确定性原因，一是缺乏完整性：由于排放机理未被识别或者该排放测量方法还不存在，无法获得测量结果及其他相关数据；二是模型：模型是真实系统的简化，因而不很精确；三是缺乏数据：在现有条件下无法获得或者非常难于获得某排放所必须的数据。在这种情况下，常用的方法是使用类似类别的替代数据，以及使用内插法或外推法作为估算基础；四是数据缺乏代表性；例如已有的排放数据是在生产线满负荷运行时获得的，而缺少生产线启动和负荷变化时的数据；五是样品随机误差：如测量标准和推导资料的不精确等；七是错误报告或错误分类：由于排放源的定义不完整、不清晰或有错误；八是丢失数据：如低于检测限度的测量数值。</w:t>
      </w:r>
    </w:p>
    <w:p w14:paraId="17F63A2B">
      <w:pPr>
        <w:pStyle w:val="69"/>
        <w:spacing w:before="120" w:after="120"/>
        <w:ind w:left="0"/>
      </w:pPr>
      <w:bookmarkStart w:id="198" w:name="_Toc137109123"/>
      <w:r>
        <w:rPr>
          <w:rFonts w:hint="eastAsia"/>
        </w:rPr>
        <w:t>降低不确定性的方法</w:t>
      </w:r>
      <w:bookmarkEnd w:id="198"/>
    </w:p>
    <w:p w14:paraId="5C223D04">
      <w:pPr>
        <w:pStyle w:val="60"/>
        <w:ind w:firstLine="420"/>
      </w:pPr>
      <w:r>
        <w:rPr>
          <w:rFonts w:hint="eastAsia"/>
        </w:rPr>
        <w:t>在编制挥发性有机物污染物排放源清单过程中，必须尽可能地降低不确定性，尤其要确保使用的模型和收集到的数据能够代表实际情况。在降低不确定性时，应该优先考虑对整个清单不确定性有重大影响的部分。确定降低不确定性优先顺序的工具包括关键类别分析和评估特定类别的不确定性对清单总不确定性的贡献。根据出现的不确定性原因，可从以下几个方面降低不确定性：一是改进模型：改进模型结构和参数，以更好地了解和描述系统性误差和随机误差，从而降低这些不确定性；二是提高数据的代表性：如使用连续排放监测系统来监测排放数据，可得到不同生产阶段的数据，从而可以更加准确地描述源的排放属性；三是使用更精确的测量方法：包括提高测量方法的准确度以及使用一些校准技术；四是大量收集测量数据：增加样本大小可以降低与随机取样误差相关的不确定性。填补数据漏缺可以减少偏差和随机误差，这对测量和调查均适用；五是消除已知的偏差：方法有确保仪器仪表准确地定位和校准，模型或其他估算过程准确且具有代表性，以及系统性地使用专家判断；六是提高清单编制人员的能力：包括增加对排放源类别和过程的了解，从而可以发现以及纠正不完整问题。</w:t>
      </w:r>
    </w:p>
    <w:p w14:paraId="288BA18A">
      <w:pPr>
        <w:pStyle w:val="69"/>
        <w:spacing w:before="120" w:after="120"/>
        <w:ind w:left="0"/>
      </w:pPr>
      <w:bookmarkStart w:id="199" w:name="_Toc137109124"/>
      <w:r>
        <w:rPr>
          <w:rFonts w:hint="eastAsia"/>
        </w:rPr>
        <w:t>量化不确定性的方法</w:t>
      </w:r>
      <w:bookmarkEnd w:id="199"/>
    </w:p>
    <w:p w14:paraId="5C981BC7">
      <w:pPr>
        <w:pStyle w:val="69"/>
        <w:numPr>
          <w:ilvl w:val="0"/>
          <w:numId w:val="0"/>
        </w:numPr>
        <w:spacing w:before="120" w:after="120"/>
        <w:ind w:firstLine="420" w:firstLineChars="200"/>
        <w:outlineLvl w:val="9"/>
        <w:rPr>
          <w:rFonts w:hint="eastAsia"/>
        </w:rPr>
      </w:pPr>
      <w:r>
        <w:rPr>
          <w:rFonts w:hint="eastAsia" w:ascii="宋体" w:hAnsi="宋体" w:eastAsia="宋体"/>
        </w:rPr>
        <w:t>通常量化不确定性是通过估算统计学上的置信区间方式，将数据平均值以±百分比的区间来表示。计算步骤如下：第一，选择置信度：通常选择的置信度介于95.00-99.73（本文件建议使用95的置信度）；第二，确定t值。具体计算方法见附录G。</w:t>
      </w:r>
    </w:p>
    <w:p w14:paraId="7AD27AB5">
      <w:pPr>
        <w:pStyle w:val="69"/>
        <w:spacing w:before="120" w:after="120"/>
        <w:ind w:left="0"/>
      </w:pPr>
      <w:bookmarkStart w:id="200" w:name="_Toc137109125"/>
      <w:r>
        <w:rPr>
          <w:rFonts w:hint="eastAsia"/>
        </w:rPr>
        <w:t>合并不确定性的方法</w:t>
      </w:r>
      <w:bookmarkEnd w:id="200"/>
    </w:p>
    <w:p w14:paraId="0BE8DA74">
      <w:pPr>
        <w:pStyle w:val="60"/>
        <w:ind w:firstLine="420"/>
        <w:rPr>
          <w:rFonts w:hint="eastAsia"/>
        </w:rPr>
      </w:pPr>
      <w:r>
        <w:rPr>
          <w:rFonts w:hint="eastAsia"/>
        </w:rPr>
        <w:t>合并不确定性采用误差传递公式，一是加减运算的误差传递公式，二是</w:t>
      </w:r>
      <w:bookmarkStart w:id="201" w:name="OLE_LINK37"/>
      <w:r>
        <w:rPr>
          <w:rFonts w:hint="eastAsia"/>
        </w:rPr>
        <w:t>乘除运算的误差传递公式。</w:t>
      </w:r>
      <w:bookmarkEnd w:id="201"/>
      <w:r>
        <w:rPr>
          <w:rFonts w:hint="eastAsia"/>
        </w:rPr>
        <w:t>当某一估计值为n个估计值之和或差时，使用加减运算的误差传递公式。当某一估计值为n个估计值之积时，使用乘除运算的误差传递公式。</w:t>
      </w:r>
    </w:p>
    <w:p w14:paraId="7F114571">
      <w:pPr>
        <w:pStyle w:val="108"/>
        <w:spacing w:before="240" w:after="240"/>
      </w:pPr>
      <w:bookmarkStart w:id="202" w:name="_Toc137109131"/>
      <w:bookmarkStart w:id="203" w:name="_Toc137108855"/>
      <w:bookmarkStart w:id="204" w:name="_Toc170497011"/>
      <w:r>
        <w:rPr>
          <w:rFonts w:hint="eastAsia"/>
        </w:rPr>
        <w:t>清单章节设置</w:t>
      </w:r>
      <w:bookmarkEnd w:id="202"/>
      <w:bookmarkEnd w:id="203"/>
      <w:bookmarkEnd w:id="204"/>
    </w:p>
    <w:p w14:paraId="54A1EDD2">
      <w:pPr>
        <w:pStyle w:val="60"/>
        <w:ind w:firstLine="420"/>
      </w:pPr>
      <w:bookmarkStart w:id="205" w:name="_Toc137108856"/>
      <w:r>
        <w:rPr>
          <w:rFonts w:hint="eastAsia"/>
        </w:rPr>
        <w:t>企业挥发性有机物污染物排放源清单分为正文和附件两部分，其中报告正文包括企业概况、排放单元与排放源识别、排放量核算三部分内容。</w:t>
      </w:r>
      <w:bookmarkEnd w:id="205"/>
    </w:p>
    <w:p w14:paraId="632D6F2C">
      <w:pPr>
        <w:pStyle w:val="109"/>
        <w:spacing w:before="120" w:after="120"/>
      </w:pPr>
      <w:bookmarkStart w:id="206" w:name="_Toc137108857"/>
      <w:bookmarkStart w:id="207" w:name="_Toc137109132"/>
      <w:bookmarkStart w:id="208" w:name="_Toc170497012"/>
      <w:r>
        <w:rPr>
          <w:rFonts w:hint="eastAsia"/>
        </w:rPr>
        <w:t>企业概况</w:t>
      </w:r>
      <w:bookmarkEnd w:id="206"/>
      <w:bookmarkEnd w:id="207"/>
      <w:bookmarkEnd w:id="208"/>
    </w:p>
    <w:p w14:paraId="610EDBAD">
      <w:pPr>
        <w:pStyle w:val="60"/>
        <w:ind w:firstLine="420"/>
      </w:pPr>
      <w:bookmarkStart w:id="209" w:name="_Toc137108858"/>
      <w:r>
        <w:rPr>
          <w:rFonts w:hint="eastAsia"/>
        </w:rPr>
        <w:t>明确企业名称、成立时间、法人性质、组织机构设置（包括部门设置、分公司的数量和名称等）、分公司情况（需在附图中给出各公司地理位置图及厂区平面图）、经营范围、产品方案、工业总产值及增加值等企业基本情况，以及生产工艺、能源消费情况、企业概况与上一年的变化情况等基本信息。</w:t>
      </w:r>
      <w:bookmarkEnd w:id="209"/>
    </w:p>
    <w:p w14:paraId="120E5CE2">
      <w:pPr>
        <w:pStyle w:val="109"/>
        <w:spacing w:before="120" w:after="120"/>
      </w:pPr>
      <w:bookmarkStart w:id="210" w:name="_Toc137108859"/>
      <w:bookmarkStart w:id="211" w:name="_Toc137109133"/>
      <w:bookmarkStart w:id="212" w:name="_Toc170497013"/>
      <w:r>
        <w:rPr>
          <w:rFonts w:hint="eastAsia"/>
        </w:rPr>
        <w:t>排放单元与排放源识别</w:t>
      </w:r>
      <w:bookmarkEnd w:id="210"/>
      <w:bookmarkEnd w:id="211"/>
      <w:bookmarkEnd w:id="212"/>
    </w:p>
    <w:p w14:paraId="4C0E0632">
      <w:pPr>
        <w:pStyle w:val="60"/>
        <w:ind w:firstLine="420"/>
      </w:pPr>
      <w:bookmarkStart w:id="213" w:name="_Toc137108860"/>
      <w:r>
        <w:rPr>
          <w:rFonts w:hint="eastAsia"/>
        </w:rPr>
        <w:t>为进一步明确各企业大气挥发性有机污染物排放量范围，进行排放单元和排放源的识别。在清单范围内，按组织机构设置，厂房建筑分布或工艺流程，有顺序的确定排放单元和排放源，需绘制企业排放单元或排放源识别图（附录</w:t>
      </w:r>
      <w:r>
        <w:t>C</w:t>
      </w:r>
      <w:r>
        <w:rPr>
          <w:rFonts w:hint="eastAsia"/>
        </w:rPr>
        <w:t>）。当企业有多个分公司或多个厂区位置时，首先按分公司运营范围，再按分公司下属厂区位置进行排放单元划分。若公司下辖分公司数量众多，为方便后期V</w:t>
      </w:r>
      <w:r>
        <w:t>OC</w:t>
      </w:r>
      <w:r>
        <w:rPr>
          <w:rFonts w:hint="eastAsia"/>
        </w:rPr>
        <w:t>s排放量核算时引用，也可参照附录</w:t>
      </w:r>
      <w:r>
        <w:t>D</w:t>
      </w:r>
      <w:r>
        <w:rPr>
          <w:rFonts w:hint="eastAsia"/>
        </w:rPr>
        <w:t>对排放单元和排放源进行编码，并标记于排放单元和排放源识别图中。</w:t>
      </w:r>
      <w:bookmarkEnd w:id="213"/>
    </w:p>
    <w:p w14:paraId="51107990">
      <w:pPr>
        <w:pStyle w:val="109"/>
        <w:spacing w:before="120" w:after="120"/>
      </w:pPr>
      <w:bookmarkStart w:id="214" w:name="_Toc137108861"/>
      <w:bookmarkStart w:id="215" w:name="_Toc170497014"/>
      <w:bookmarkStart w:id="216" w:name="_Toc137109134"/>
      <w:r>
        <w:rPr>
          <w:rFonts w:hint="eastAsia"/>
        </w:rPr>
        <w:t>排放量核算</w:t>
      </w:r>
      <w:bookmarkEnd w:id="214"/>
      <w:bookmarkEnd w:id="215"/>
      <w:bookmarkEnd w:id="216"/>
    </w:p>
    <w:p w14:paraId="00147B82">
      <w:pPr>
        <w:pStyle w:val="60"/>
        <w:ind w:firstLine="420"/>
      </w:pPr>
      <w:bookmarkStart w:id="217" w:name="_Toc137108862"/>
      <w:r>
        <w:rPr>
          <w:rFonts w:hint="eastAsia"/>
        </w:rPr>
        <w:t>核算流程：企业可按照下列步骤核算大气挥发性有机污染物排放量：</w:t>
      </w:r>
      <w:bookmarkEnd w:id="217"/>
    </w:p>
    <w:p w14:paraId="2CD2D6CF">
      <w:pPr>
        <w:pStyle w:val="60"/>
        <w:ind w:firstLine="420"/>
      </w:pPr>
      <w:r>
        <w:rPr>
          <w:rFonts w:hint="eastAsia"/>
        </w:rPr>
        <w:t>a）确定计算公式：</w:t>
      </w:r>
    </w:p>
    <w:p w14:paraId="2F879FF7">
      <w:pPr>
        <w:pStyle w:val="60"/>
        <w:ind w:firstLine="420"/>
      </w:pPr>
      <w:r>
        <w:rPr>
          <w:rFonts w:hint="eastAsia"/>
        </w:rPr>
        <w:t>企业根据源清单范围内不同大气挥发性有机污染物排放方式，选择相对性的核算公式计算排放量。若指南中未给出相应的计算公式，企业应及时向相关主管部门反馈信息，以便于指南的修订与完善；</w:t>
      </w:r>
    </w:p>
    <w:p w14:paraId="011082E7">
      <w:pPr>
        <w:pStyle w:val="60"/>
        <w:ind w:firstLine="420"/>
      </w:pPr>
      <w:r>
        <w:rPr>
          <w:rFonts w:hint="eastAsia"/>
        </w:rPr>
        <w:t>b）收集数据：</w:t>
      </w:r>
    </w:p>
    <w:p w14:paraId="717A85EC">
      <w:pPr>
        <w:pStyle w:val="60"/>
        <w:ind w:firstLine="420"/>
      </w:pPr>
      <w:r>
        <w:rPr>
          <w:rFonts w:hint="eastAsia"/>
        </w:rPr>
        <w:t>企业应根据计算公式所需的数据，进行活动数据、计算参数及排放因子等数据的收集与确定，并在报告中写明各数据的来源；</w:t>
      </w:r>
    </w:p>
    <w:p w14:paraId="04709CCF">
      <w:pPr>
        <w:pStyle w:val="60"/>
        <w:ind w:firstLine="420"/>
      </w:pPr>
      <w:r>
        <w:t>c</w:t>
      </w:r>
      <w:r>
        <w:rPr>
          <w:rFonts w:hint="eastAsia"/>
        </w:rPr>
        <w:t>）计算与汇总排放量：</w:t>
      </w:r>
    </w:p>
    <w:p w14:paraId="6F3C69C4">
      <w:pPr>
        <w:pStyle w:val="60"/>
        <w:ind w:firstLine="420"/>
      </w:pPr>
      <w:r>
        <w:rPr>
          <w:rFonts w:hint="eastAsia"/>
        </w:rPr>
        <w:t>企业应分别核算有组织排放和无组织排放，企业大气挥发性有机污染物总量为有组织排放和无组织排放之和。若公司旗下有多个分公司，则需逐一核算各分公司的大气挥发性有机污染物排放量，企业应按照指南要求，编制核算排放量核算过程表和汇总表；</w:t>
      </w:r>
    </w:p>
    <w:p w14:paraId="7BB289B9">
      <w:pPr>
        <w:pStyle w:val="60"/>
        <w:ind w:firstLine="420"/>
      </w:pPr>
      <w:r>
        <w:rPr>
          <w:rFonts w:hint="eastAsia"/>
        </w:rPr>
        <w:t>d）其他应说明的情况：</w:t>
      </w:r>
    </w:p>
    <w:p w14:paraId="0B5A726D">
      <w:pPr>
        <w:pStyle w:val="60"/>
        <w:ind w:firstLine="420"/>
      </w:pPr>
      <w:r>
        <w:rPr>
          <w:rFonts w:hint="eastAsia"/>
        </w:rPr>
        <w:t>包括企业排放量核算和报告过程中需要补充说明的情况，如大气挥发性有机污染物清除等，以及国家自愿减排项目备案情况等内容；</w:t>
      </w:r>
    </w:p>
    <w:p w14:paraId="27E46896">
      <w:pPr>
        <w:pStyle w:val="60"/>
        <w:ind w:firstLine="420"/>
      </w:pPr>
      <w:r>
        <w:rPr>
          <w:rFonts w:hint="eastAsia"/>
        </w:rPr>
        <w:t>e）监测计划执行情况：</w:t>
      </w:r>
    </w:p>
    <w:p w14:paraId="008D03AF">
      <w:pPr>
        <w:pStyle w:val="60"/>
        <w:ind w:firstLine="420"/>
      </w:pPr>
      <w:r>
        <w:rPr>
          <w:rFonts w:hint="eastAsia"/>
        </w:rPr>
        <w:t>企业应制定一套配合大气挥发性有机污染物排放量核算的监测计划，在每个报告期前提交至当地行政主管部门。报告期内企业按照监测计划内容，实施相关数据的监测工作，并在报告中写明监测计划执行情况，包括各数据项的监测方案执行情况，以及监测计划需要进一步修改和完善的内容。</w:t>
      </w:r>
    </w:p>
    <w:p w14:paraId="3CD30519">
      <w:pPr>
        <w:pStyle w:val="60"/>
        <w:ind w:firstLine="420"/>
      </w:pPr>
      <w:r>
        <w:rPr>
          <w:rFonts w:hint="eastAsia"/>
        </w:rPr>
        <w:t>f）附件</w:t>
      </w:r>
    </w:p>
    <w:p w14:paraId="06777697">
      <w:pPr>
        <w:pStyle w:val="60"/>
        <w:ind w:firstLine="420"/>
        <w:rPr>
          <w:rFonts w:hAnsi="宋体"/>
        </w:rPr>
      </w:pPr>
      <w:r>
        <w:rPr>
          <w:rFonts w:hint="eastAsia"/>
        </w:rPr>
        <w:t>报告附件应包括营业执照副本（复印件）、组织机构代码证副本（复印件）、工业企业能源购进、消费及库存表、工业企业能源购进、消费及库存附表、总公司和各分公司的地理位置图和总平面图、企业大气挥发性有机污染物排放监测计划等。其他相关资料如监测报告、能源审计报告等，企业可根据具体情况提交。</w:t>
      </w:r>
    </w:p>
    <w:p w14:paraId="300D2A04">
      <w:pPr>
        <w:pStyle w:val="108"/>
        <w:spacing w:before="240" w:after="240"/>
      </w:pPr>
      <w:bookmarkStart w:id="218" w:name="_Toc137108863"/>
      <w:bookmarkStart w:id="219" w:name="_Toc137109135"/>
      <w:bookmarkStart w:id="220" w:name="_Toc170497015"/>
      <w:r>
        <w:rPr>
          <w:rFonts w:hint="eastAsia"/>
        </w:rPr>
        <w:t>质量控制</w:t>
      </w:r>
      <w:bookmarkEnd w:id="218"/>
      <w:bookmarkEnd w:id="219"/>
      <w:bookmarkEnd w:id="220"/>
    </w:p>
    <w:p w14:paraId="0411A6E9">
      <w:pPr>
        <w:pStyle w:val="109"/>
        <w:spacing w:before="120" w:after="120"/>
      </w:pPr>
      <w:bookmarkStart w:id="221" w:name="_Toc137108864"/>
      <w:bookmarkStart w:id="222" w:name="_Toc170497016"/>
      <w:bookmarkStart w:id="223" w:name="_Toc137109136"/>
      <w:r>
        <w:rPr>
          <w:rFonts w:hint="eastAsia"/>
        </w:rPr>
        <w:t>概述</w:t>
      </w:r>
      <w:bookmarkEnd w:id="221"/>
      <w:bookmarkEnd w:id="222"/>
      <w:bookmarkEnd w:id="223"/>
    </w:p>
    <w:p w14:paraId="343CE8C0">
      <w:pPr>
        <w:pStyle w:val="60"/>
        <w:ind w:firstLine="420"/>
      </w:pPr>
      <w:bookmarkStart w:id="224" w:name="_Toc137108865"/>
      <w:r>
        <w:rPr>
          <w:rFonts w:hint="eastAsia"/>
        </w:rPr>
        <w:t>质量控制是一个常规技术活动，用于评估和保证挥发性有机物污染物清单质量，由清单编制企业组织人员执行。质量控制系统旨在：一是提供定期和一致检验来确保数据的内在一致性、正确性和完整性；二是确认和解决误差及疏漏问题；三是将清单材料归档并存档，记录所有质量控制活动。质量保证是一套规划好的评审规则系统，由未直接涉及清单编制过程的人员进行。在执行质量控制程序后，最好由独立的第三方对完成的清单进行评审。评审确认可测量目标已实现；确保清单代表在目前科学知识水平和数据获取情况下排放和清除的最佳估算；而且支持质量控制计划的有效性。质量保证/质量控制过程和不确定性分析彼此间提供了有价值的反馈信息。参加质量保证/质量控制和不确定性分析的人员可以确定，对不确定性水平和清单质量做出贡献的清单估算和数据来源的关键部分，这些应成为清单改进的工作重点。在提高估算使用的方法和数据来源中，以上信息是非常有用的。</w:t>
      </w:r>
      <w:bookmarkEnd w:id="224"/>
    </w:p>
    <w:p w14:paraId="1FB9D8C1">
      <w:pPr>
        <w:pStyle w:val="109"/>
        <w:spacing w:before="120" w:after="120"/>
      </w:pPr>
      <w:bookmarkStart w:id="225" w:name="_Toc137109137"/>
      <w:bookmarkStart w:id="226" w:name="_Toc170497017"/>
      <w:bookmarkStart w:id="227" w:name="_Toc137108866"/>
      <w:r>
        <w:rPr>
          <w:rFonts w:hint="eastAsia"/>
        </w:rPr>
        <w:t>质量控制程序</w:t>
      </w:r>
      <w:bookmarkEnd w:id="225"/>
      <w:bookmarkEnd w:id="226"/>
      <w:bookmarkEnd w:id="227"/>
    </w:p>
    <w:p w14:paraId="37BD3722">
      <w:pPr>
        <w:pStyle w:val="69"/>
        <w:spacing w:before="120" w:after="120"/>
        <w:ind w:left="0"/>
      </w:pPr>
      <w:bookmarkStart w:id="228" w:name="_Toc137109138"/>
      <w:r>
        <w:rPr>
          <w:rFonts w:hint="eastAsia"/>
        </w:rPr>
        <w:t>一般质量控制程序</w:t>
      </w:r>
      <w:bookmarkEnd w:id="228"/>
    </w:p>
    <w:p w14:paraId="70F8F714">
      <w:pPr>
        <w:pStyle w:val="60"/>
        <w:ind w:firstLine="420"/>
        <w:rPr>
          <w:rFonts w:hAnsi="宋体"/>
        </w:rPr>
      </w:pPr>
      <w:r>
        <w:rPr>
          <w:rFonts w:hint="eastAsia"/>
        </w:rPr>
        <w:t>一般质量控制程序包括适用于与计算、数据处理、完整性和归档相关的通用质量检查。附录中表G</w:t>
      </w:r>
      <w:r>
        <w:t>.2</w:t>
      </w:r>
      <w:r>
        <w:rPr>
          <w:rFonts w:hint="eastAsia"/>
        </w:rPr>
        <w:t>挥发性有机物污染物清单编制一般质量控制程序列举了清单编制企业在编制清单时应定期使用的一般质量控制检查程序。不管使用了哪种类型的数据编制清单，都应该使用附录中表</w:t>
      </w:r>
      <w:r>
        <w:t>G.2</w:t>
      </w:r>
      <w:r>
        <w:rPr>
          <w:rFonts w:hint="eastAsia"/>
        </w:rPr>
        <w:t>中的检查。这些检查同样适用于基于推荐值或国家数据进行估算的类别。</w:t>
      </w:r>
    </w:p>
    <w:p w14:paraId="1A2BB167">
      <w:pPr>
        <w:pStyle w:val="69"/>
        <w:spacing w:before="120" w:after="120"/>
        <w:ind w:left="0"/>
      </w:pPr>
      <w:bookmarkStart w:id="229" w:name="_Toc137109139"/>
      <w:r>
        <w:rPr>
          <w:rFonts w:hint="eastAsia"/>
        </w:rPr>
        <w:t>特定类别质量控制程序</w:t>
      </w:r>
      <w:bookmarkEnd w:id="229"/>
    </w:p>
    <w:p w14:paraId="19418F11">
      <w:pPr>
        <w:pStyle w:val="60"/>
        <w:ind w:firstLine="420"/>
      </w:pPr>
      <w:r>
        <w:t>特定类别质量控制是一般清单质量控制程序的补充，是针对个别</w:t>
      </w:r>
      <w:r>
        <w:rPr>
          <w:rFonts w:hint="eastAsia"/>
        </w:rPr>
        <w:t>排放</w:t>
      </w:r>
      <w:r>
        <w:t>源类别方法中使用的特定类型的数据。这些程序要求了解特定类别、可用数据类型和排放或清除的相关参数，并且是表7.2-1所列一般质量控制检查的额外执行。特定类别程序的应用要视具体情况而定，重点放在关键类别和方法学及数据有重大修正的类别。相关的质量控制程序取决于给定类别排放估算使用的方法。如果由外部机构制定估算，清单编制者可以在评审后参考外部机构的质量控制活动作为质量保证/质量控制计划的一部分。如果清单编制者认为，外部机构实施的质量控制活动符合质量保证/质量控制计划的要求，就不需要重复质量控制活动。</w:t>
      </w:r>
    </w:p>
    <w:p w14:paraId="031A4011">
      <w:pPr>
        <w:pStyle w:val="109"/>
        <w:spacing w:before="120" w:after="120"/>
      </w:pPr>
      <w:bookmarkStart w:id="230" w:name="_Toc170497018"/>
      <w:bookmarkStart w:id="231" w:name="_Toc137109140"/>
      <w:bookmarkStart w:id="232" w:name="_Toc137108867"/>
      <w:r>
        <w:rPr>
          <w:rFonts w:hint="eastAsia"/>
        </w:rPr>
        <w:t>清单评审和审计</w:t>
      </w:r>
      <w:bookmarkEnd w:id="230"/>
      <w:bookmarkEnd w:id="231"/>
      <w:bookmarkEnd w:id="232"/>
    </w:p>
    <w:p w14:paraId="21188B31">
      <w:pPr>
        <w:pStyle w:val="60"/>
        <w:ind w:firstLine="420"/>
      </w:pPr>
      <w:r>
        <w:rPr>
          <w:rFonts w:hint="eastAsia"/>
        </w:rPr>
        <w:t>评审可以针对整个清单或优先考虑清单关键类别、方法或数据发生重大变化的类别部分，评审人应未参加清单编制且来自其他机构的独立专家、国内或国际专家，或与清单编制关系不紧密的群体，如无法找到独立于清单编制者以外的第三方评审人，企业内部未参加被评审部分的人员也可以实行质量保证。清单编制者在完成清单前对应予以专家评审，专家同行评审包括相关技术领域的专家对计算和假设进行评审，确保通过熟悉具体领域专业的专家所判断的清单结果﹑假设和方法都是合理的。该程序一般对与方法和结果相关的文档记录进行评审，但是通常不包括对数据或参考可能进行的严格认证。对于挥发性有机物污染物清单的专家同行评审，不存在标准方法，应该视情况而定。如果某类别的相关估算有高度的不确定性，专家同行评审有可能能够提供信息以改进估算，或者至少更好地量化不确定性。所有的专家同行评审应该具有良好的文档记录，在显示结果和改进建议的报告或检查表格中进行记录。</w:t>
      </w:r>
    </w:p>
    <w:p w14:paraId="45A0A76D">
      <w:pPr>
        <w:pStyle w:val="60"/>
        <w:ind w:firstLine="420"/>
      </w:pPr>
      <w:r>
        <w:rPr>
          <w:rFonts w:hint="eastAsia"/>
        </w:rPr>
        <w:t>使用审计可以针对评估清单编制者运用质量控制程序中所列的最低质量控制规范进行编制的有效性，审计师要尽可能地独立于清单编制者，以便能够对估算过程和数据提供客观评估。在清单编制中、清单编制后或在上一份清单完成后可以进行审计，对原始数据收集、测量工作、抄录、计算和归档进行审计。</w:t>
      </w:r>
    </w:p>
    <w:p w14:paraId="3F43DC29">
      <w:pPr>
        <w:pStyle w:val="108"/>
        <w:spacing w:before="240" w:after="240"/>
      </w:pPr>
      <w:bookmarkStart w:id="233" w:name="_Toc137109141"/>
      <w:bookmarkStart w:id="234" w:name="_Toc137108868"/>
      <w:bookmarkStart w:id="235" w:name="_Toc170497019"/>
      <w:r>
        <w:rPr>
          <w:rFonts w:hint="eastAsia"/>
        </w:rPr>
        <w:t>验证、归类、存档和报告</w:t>
      </w:r>
      <w:bookmarkEnd w:id="233"/>
      <w:bookmarkEnd w:id="234"/>
      <w:bookmarkEnd w:id="235"/>
    </w:p>
    <w:p w14:paraId="2961E963">
      <w:pPr>
        <w:pStyle w:val="109"/>
        <w:spacing w:before="120" w:after="120"/>
      </w:pPr>
      <w:bookmarkStart w:id="236" w:name="_Toc137108869"/>
      <w:bookmarkStart w:id="237" w:name="_Toc137109142"/>
      <w:bookmarkStart w:id="238" w:name="_Toc170497020"/>
      <w:r>
        <w:rPr>
          <w:rFonts w:hint="eastAsia"/>
        </w:rPr>
        <w:t>验证</w:t>
      </w:r>
      <w:bookmarkEnd w:id="236"/>
      <w:bookmarkEnd w:id="237"/>
      <w:bookmarkEnd w:id="238"/>
    </w:p>
    <w:p w14:paraId="2C43424C">
      <w:pPr>
        <w:pStyle w:val="60"/>
        <w:ind w:firstLine="420"/>
      </w:pPr>
      <w:bookmarkStart w:id="239" w:name="_Toc137108870"/>
      <w:r>
        <w:rPr>
          <w:rFonts w:hint="eastAsia"/>
        </w:rPr>
        <w:t>验证活动包括：与其他企业编制的排放估算的比较，以及与完全独立评估（如大气浓度测量）推导的估算的比较。验证活动为企业级改进其清单提供信息，是质量保证/质量控制与验证总体系统的一部分。如果有明显差别可表明其中一个或两个数据库存在问题。如果不知道哪个数据库更好，需要重新评估清单。选择验证方法时需要考虑：数据的重要程度、验证成本、准确性和精度的期望水平、验证方法设计和实施的复杂性、数据可获得性以及实施要求的专业水平。如果使用了验证技术，就应反映在质量保证/质量控制程序中。与验证技术本身有关的局限性和不确定性在实施验证技术前必须经过充分调查，以正确对结果进行解释。</w:t>
      </w:r>
      <w:bookmarkEnd w:id="239"/>
    </w:p>
    <w:p w14:paraId="2B533474">
      <w:pPr>
        <w:pStyle w:val="109"/>
        <w:spacing w:before="120" w:after="120"/>
      </w:pPr>
      <w:bookmarkStart w:id="240" w:name="_Toc137109143"/>
      <w:bookmarkStart w:id="241" w:name="_Toc137108871"/>
      <w:bookmarkStart w:id="242" w:name="_Toc170497021"/>
      <w:r>
        <w:t>归档和存档</w:t>
      </w:r>
      <w:bookmarkEnd w:id="240"/>
      <w:bookmarkEnd w:id="241"/>
      <w:bookmarkEnd w:id="242"/>
    </w:p>
    <w:p w14:paraId="32100DA0">
      <w:pPr>
        <w:pStyle w:val="60"/>
        <w:ind w:firstLine="420"/>
      </w:pPr>
      <w:bookmarkStart w:id="243" w:name="_Toc137108872"/>
      <w:r>
        <w:rPr>
          <w:rFonts w:hint="eastAsia"/>
        </w:rPr>
        <w:t>优良作法是对与清单活动的计划、编制过程和管理有关的所有信息成文和存档，主要包括：一是清单编制过程的责任、企业内部人员安排以及计划、编制和管理程序；二是选择活动水平数据和排放因子的假设和标准；三是使用的排放因子和其他估算参数；四是可以从活动水平数据追踪到排放源的活动水平数据或其他相关信息；五是与活动水平数据和排放因子相关的不确定性信息；六是选择编制方法的理由；七是使用的方法，包括那些用于估算不确定性和重新计算的方法；八是以前清单（重新计算）中数据输入或方法的变化；九是为不确定性估算提供专家判断的个人及其资格；十是用于清单编制的电子数据库或软件的详细信息，包括版本、操作手册、硬件要求和供其日后使用的任何其他信息。其他还包括：类别估算、累积估算和任何以前估算的重新计算的工作表和临时计算；最终清单报告和以前年份的任何趋势分析；质量保证/质量控制计划和质量保证/质量控制程序的结果；对完整数据集的安全存档，包括清单编制中使用的共享数据库。优良作法是清单编制者保存每个清单编制的文档记录，并为评审提供文件。质量保证/质量控制程序的记录是清单估算可持续改进的重要信息。优良作法是在质量保证/质量控制活动记录中包括实施的检查/审计/评审、实施时间、实施人员以及质量保证/质量控制活动对清单的纠正和修改。</w:t>
      </w:r>
      <w:bookmarkEnd w:id="243"/>
    </w:p>
    <w:p w14:paraId="2CE7718B">
      <w:pPr>
        <w:pStyle w:val="109"/>
        <w:spacing w:before="120" w:after="120"/>
      </w:pPr>
      <w:bookmarkStart w:id="244" w:name="_Toc137109144"/>
      <w:bookmarkStart w:id="245" w:name="_Toc170497022"/>
      <w:bookmarkStart w:id="246" w:name="_Toc137108873"/>
      <w:r>
        <w:rPr>
          <w:rFonts w:hint="eastAsia"/>
        </w:rPr>
        <w:t>报告</w:t>
      </w:r>
      <w:bookmarkEnd w:id="244"/>
      <w:bookmarkEnd w:id="245"/>
      <w:bookmarkEnd w:id="246"/>
    </w:p>
    <w:p w14:paraId="45FBA0BC">
      <w:pPr>
        <w:pStyle w:val="60"/>
        <w:ind w:firstLine="420"/>
      </w:pPr>
      <w:bookmarkStart w:id="247" w:name="_Toc137108874"/>
      <w:r>
        <w:rPr>
          <w:rFonts w:hint="eastAsia"/>
        </w:rPr>
        <w:t>清单编制者应该将重点放在以下活动：一是应该讨论参考质量保证/质量控制计划，其计划执行时间表以及执行的责任；二是描述企业内部实施的各种活动，以及对各个源类别和整个清单所进行的各种外部评审；三是给出关键结果，描述各个类别输入数据、方法、处理或估算质量相关的主要问题，并说明得到如何处理或者在未来计划如何处理；四是解释时间序列中的重要趋势。在该讨论中应该包括任何重新计算或减排计划可能带来的后果。</w:t>
      </w:r>
      <w:bookmarkEnd w:id="247"/>
    </w:p>
    <w:p w14:paraId="615231D3">
      <w:pPr>
        <w:pStyle w:val="60"/>
        <w:ind w:firstLine="0" w:firstLineChars="0"/>
      </w:pPr>
    </w:p>
    <w:p w14:paraId="1FBB1394">
      <w:pPr>
        <w:pStyle w:val="80"/>
        <w:spacing w:before="60" w:after="120"/>
        <w:ind w:left="0"/>
      </w:pPr>
      <w:r>
        <w:br w:type="page"/>
      </w:r>
      <w:bookmarkStart w:id="248" w:name="_Toc170497023"/>
      <w:r>
        <w:rPr>
          <w:rFonts w:hint="eastAsia"/>
        </w:rPr>
        <w:t>企业大气挥发性有机污染物排放监测计划</w:t>
      </w:r>
      <w:bookmarkEnd w:id="248"/>
    </w:p>
    <w:p w14:paraId="66EAD6DA">
      <w:pPr>
        <w:spacing w:before="120" w:after="120" w:line="240" w:lineRule="auto"/>
        <w:jc w:val="center"/>
        <w:rPr>
          <w:rFonts w:ascii="宋体" w:hAnsi="宋体"/>
          <w:bCs/>
        </w:rPr>
      </w:pPr>
      <w:r>
        <w:rPr>
          <w:rFonts w:ascii="宋体" w:hAnsi="宋体"/>
          <w:bCs/>
        </w:rPr>
        <w:t>XX</w:t>
      </w:r>
      <w:r>
        <w:rPr>
          <w:rFonts w:hint="eastAsia" w:ascii="宋体" w:hAnsi="宋体"/>
          <w:bCs/>
        </w:rPr>
        <w:t>年</w:t>
      </w:r>
      <w:r>
        <w:rPr>
          <w:rFonts w:ascii="宋体" w:hAnsi="宋体"/>
          <w:bCs/>
        </w:rPr>
        <w:t>XX</w:t>
      </w:r>
      <w:r>
        <w:rPr>
          <w:rFonts w:hint="eastAsia" w:ascii="宋体" w:hAnsi="宋体"/>
          <w:bCs/>
        </w:rPr>
        <w:t>企业大气挥发性有机污染物排放监测计划</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478"/>
        <w:gridCol w:w="1137"/>
        <w:gridCol w:w="184"/>
        <w:gridCol w:w="813"/>
        <w:gridCol w:w="343"/>
        <w:gridCol w:w="771"/>
        <w:gridCol w:w="220"/>
        <w:gridCol w:w="1321"/>
        <w:gridCol w:w="1026"/>
        <w:gridCol w:w="572"/>
        <w:gridCol w:w="264"/>
        <w:gridCol w:w="1441"/>
      </w:tblGrid>
      <w:tr w14:paraId="15E6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5000" w:type="pct"/>
            <w:gridSpan w:val="12"/>
            <w:shd w:val="clear" w:color="auto" w:fill="auto"/>
            <w:vAlign w:val="center"/>
          </w:tcPr>
          <w:p w14:paraId="5A414AFA">
            <w:pPr>
              <w:spacing w:line="240" w:lineRule="auto"/>
              <w:rPr>
                <w:rFonts w:ascii="Times New Roman" w:hAnsi="Times New Roman"/>
                <w:b/>
              </w:rPr>
            </w:pPr>
            <w:r>
              <w:rPr>
                <w:rFonts w:ascii="Times New Roman" w:hAnsi="Times New Roman"/>
                <w:b/>
                <w:kern w:val="0"/>
              </w:rPr>
              <w:t>一、企业基本情况</w:t>
            </w:r>
          </w:p>
        </w:tc>
      </w:tr>
      <w:tr w14:paraId="78EE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3B6EAC5A">
            <w:pPr>
              <w:spacing w:line="240" w:lineRule="auto"/>
              <w:jc w:val="center"/>
              <w:rPr>
                <w:rFonts w:ascii="Times New Roman" w:hAnsi="Times New Roman"/>
              </w:rPr>
            </w:pPr>
            <w:r>
              <w:rPr>
                <w:rFonts w:ascii="Times New Roman" w:hAnsi="Times New Roman"/>
              </w:rPr>
              <w:t>企业名称</w:t>
            </w:r>
          </w:p>
        </w:tc>
        <w:tc>
          <w:tcPr>
            <w:tcW w:w="2502" w:type="pct"/>
            <w:gridSpan w:val="7"/>
            <w:shd w:val="clear" w:color="auto" w:fill="auto"/>
            <w:vAlign w:val="center"/>
          </w:tcPr>
          <w:p w14:paraId="1FD6C845">
            <w:pPr>
              <w:spacing w:line="240" w:lineRule="auto"/>
              <w:rPr>
                <w:rFonts w:ascii="Times New Roman" w:hAnsi="Times New Roman"/>
              </w:rPr>
            </w:pPr>
            <w:r>
              <w:rPr>
                <w:rFonts w:ascii="Times New Roman" w:hAnsi="Times New Roman"/>
              </w:rPr>
              <w:t>（加盖公章）</w:t>
            </w:r>
          </w:p>
        </w:tc>
        <w:tc>
          <w:tcPr>
            <w:tcW w:w="973" w:type="pct"/>
            <w:gridSpan w:val="3"/>
            <w:shd w:val="clear" w:color="auto" w:fill="auto"/>
            <w:vAlign w:val="center"/>
          </w:tcPr>
          <w:p w14:paraId="0DCDD52A">
            <w:pPr>
              <w:spacing w:line="240" w:lineRule="auto"/>
              <w:jc w:val="center"/>
              <w:rPr>
                <w:rFonts w:ascii="Times New Roman" w:hAnsi="Times New Roman"/>
              </w:rPr>
            </w:pPr>
            <w:r>
              <w:rPr>
                <w:rFonts w:ascii="Times New Roman" w:hAnsi="Times New Roman"/>
              </w:rPr>
              <w:t>组织机构代码</w:t>
            </w:r>
          </w:p>
        </w:tc>
        <w:tc>
          <w:tcPr>
            <w:tcW w:w="753" w:type="pct"/>
            <w:shd w:val="clear" w:color="auto" w:fill="auto"/>
            <w:vAlign w:val="center"/>
          </w:tcPr>
          <w:p w14:paraId="2C77546C">
            <w:pPr>
              <w:spacing w:line="240" w:lineRule="auto"/>
              <w:rPr>
                <w:rFonts w:ascii="Times New Roman" w:hAnsi="Times New Roman"/>
              </w:rPr>
            </w:pPr>
          </w:p>
        </w:tc>
      </w:tr>
      <w:tr w14:paraId="6991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6EF80DFE">
            <w:pPr>
              <w:spacing w:line="240" w:lineRule="auto"/>
              <w:jc w:val="center"/>
              <w:rPr>
                <w:rFonts w:ascii="Times New Roman" w:hAnsi="Times New Roman"/>
              </w:rPr>
            </w:pPr>
            <w:r>
              <w:rPr>
                <w:rFonts w:ascii="Times New Roman" w:hAnsi="Times New Roman"/>
              </w:rPr>
              <w:t>所属行业</w:t>
            </w:r>
          </w:p>
        </w:tc>
        <w:tc>
          <w:tcPr>
            <w:tcW w:w="2502" w:type="pct"/>
            <w:gridSpan w:val="7"/>
            <w:shd w:val="clear" w:color="auto" w:fill="auto"/>
            <w:vAlign w:val="center"/>
          </w:tcPr>
          <w:p w14:paraId="3D3DABCE">
            <w:pPr>
              <w:spacing w:line="240" w:lineRule="auto"/>
              <w:rPr>
                <w:rFonts w:ascii="Times New Roman" w:hAnsi="Times New Roman"/>
              </w:rPr>
            </w:pPr>
          </w:p>
        </w:tc>
        <w:tc>
          <w:tcPr>
            <w:tcW w:w="973" w:type="pct"/>
            <w:gridSpan w:val="3"/>
            <w:shd w:val="clear" w:color="auto" w:fill="auto"/>
            <w:vAlign w:val="center"/>
          </w:tcPr>
          <w:p w14:paraId="01F4D249">
            <w:pPr>
              <w:spacing w:line="240" w:lineRule="auto"/>
              <w:jc w:val="center"/>
              <w:rPr>
                <w:rFonts w:ascii="Times New Roman" w:hAnsi="Times New Roman"/>
              </w:rPr>
            </w:pPr>
            <w:r>
              <w:rPr>
                <w:rFonts w:ascii="Times New Roman" w:hAnsi="Times New Roman"/>
              </w:rPr>
              <w:t>法人代表</w:t>
            </w:r>
          </w:p>
        </w:tc>
        <w:tc>
          <w:tcPr>
            <w:tcW w:w="753" w:type="pct"/>
            <w:shd w:val="clear" w:color="auto" w:fill="auto"/>
            <w:vAlign w:val="center"/>
          </w:tcPr>
          <w:p w14:paraId="2833E2D5">
            <w:pPr>
              <w:spacing w:line="240" w:lineRule="auto"/>
              <w:rPr>
                <w:rFonts w:ascii="Times New Roman" w:hAnsi="Times New Roman"/>
              </w:rPr>
            </w:pPr>
          </w:p>
        </w:tc>
      </w:tr>
      <w:tr w14:paraId="738D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1A952263">
            <w:pPr>
              <w:spacing w:line="240" w:lineRule="auto"/>
              <w:jc w:val="center"/>
              <w:rPr>
                <w:rFonts w:ascii="Times New Roman" w:hAnsi="Times New Roman"/>
              </w:rPr>
            </w:pPr>
            <w:r>
              <w:rPr>
                <w:rFonts w:hint="eastAsia" w:ascii="Times New Roman" w:hAnsi="Times New Roman"/>
              </w:rPr>
              <w:t>厂</w:t>
            </w:r>
            <w:r>
              <w:rPr>
                <w:rFonts w:ascii="Times New Roman" w:hAnsi="Times New Roman"/>
              </w:rPr>
              <w:t xml:space="preserve">  址</w:t>
            </w:r>
          </w:p>
        </w:tc>
        <w:tc>
          <w:tcPr>
            <w:tcW w:w="1812" w:type="pct"/>
            <w:gridSpan w:val="6"/>
            <w:shd w:val="clear" w:color="auto" w:fill="auto"/>
            <w:vAlign w:val="center"/>
          </w:tcPr>
          <w:p w14:paraId="6654E3AA">
            <w:pPr>
              <w:spacing w:line="240" w:lineRule="auto"/>
              <w:rPr>
                <w:rFonts w:ascii="Times New Roman" w:hAnsi="Times New Roman"/>
              </w:rPr>
            </w:pPr>
          </w:p>
        </w:tc>
        <w:tc>
          <w:tcPr>
            <w:tcW w:w="690" w:type="pct"/>
            <w:shd w:val="clear" w:color="auto" w:fill="auto"/>
            <w:vAlign w:val="center"/>
          </w:tcPr>
          <w:p w14:paraId="61AED755">
            <w:pPr>
              <w:spacing w:line="240" w:lineRule="auto"/>
              <w:jc w:val="center"/>
              <w:rPr>
                <w:rFonts w:ascii="Times New Roman" w:hAnsi="Times New Roman"/>
              </w:rPr>
            </w:pPr>
            <w:r>
              <w:rPr>
                <w:rFonts w:ascii="Times New Roman" w:hAnsi="Times New Roman"/>
              </w:rPr>
              <w:t>注册地</w:t>
            </w:r>
          </w:p>
        </w:tc>
        <w:tc>
          <w:tcPr>
            <w:tcW w:w="1726" w:type="pct"/>
            <w:gridSpan w:val="4"/>
            <w:shd w:val="clear" w:color="auto" w:fill="auto"/>
            <w:vAlign w:val="center"/>
          </w:tcPr>
          <w:p w14:paraId="0B87CB46">
            <w:pPr>
              <w:spacing w:line="240" w:lineRule="auto"/>
              <w:rPr>
                <w:rFonts w:ascii="Times New Roman" w:hAnsi="Times New Roman"/>
              </w:rPr>
            </w:pPr>
          </w:p>
        </w:tc>
      </w:tr>
      <w:tr w14:paraId="0381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vMerge w:val="restart"/>
            <w:shd w:val="clear" w:color="auto" w:fill="auto"/>
            <w:vAlign w:val="center"/>
          </w:tcPr>
          <w:p w14:paraId="25A6FB10">
            <w:pPr>
              <w:spacing w:line="240" w:lineRule="auto"/>
              <w:jc w:val="center"/>
              <w:rPr>
                <w:rFonts w:ascii="Times New Roman" w:hAnsi="Times New Roman"/>
              </w:rPr>
            </w:pPr>
            <w:r>
              <w:rPr>
                <w:rFonts w:ascii="Times New Roman" w:hAnsi="Times New Roman"/>
              </w:rPr>
              <w:t>排放</w:t>
            </w:r>
            <w:r>
              <w:rPr>
                <w:rFonts w:hint="eastAsia" w:ascii="Times New Roman" w:hAnsi="Times New Roman"/>
              </w:rPr>
              <w:t>信息</w:t>
            </w:r>
          </w:p>
          <w:p w14:paraId="11FA497D">
            <w:pPr>
              <w:spacing w:line="240" w:lineRule="auto"/>
              <w:jc w:val="center"/>
              <w:rPr>
                <w:rFonts w:ascii="Times New Roman" w:hAnsi="Times New Roman"/>
              </w:rPr>
            </w:pPr>
            <w:r>
              <w:rPr>
                <w:rFonts w:ascii="Times New Roman" w:hAnsi="Times New Roman"/>
              </w:rPr>
              <w:t>责任人</w:t>
            </w:r>
          </w:p>
          <w:p w14:paraId="49E20E7C">
            <w:pPr>
              <w:spacing w:line="240" w:lineRule="auto"/>
              <w:jc w:val="center"/>
              <w:rPr>
                <w:rFonts w:ascii="Times New Roman" w:hAnsi="Times New Roman"/>
              </w:rPr>
            </w:pPr>
            <w:r>
              <w:rPr>
                <w:rFonts w:ascii="Times New Roman" w:hAnsi="Times New Roman"/>
              </w:rPr>
              <w:t>联系方式</w:t>
            </w:r>
          </w:p>
        </w:tc>
        <w:tc>
          <w:tcPr>
            <w:tcW w:w="690" w:type="pct"/>
            <w:gridSpan w:val="2"/>
            <w:shd w:val="clear" w:color="auto" w:fill="auto"/>
            <w:vAlign w:val="center"/>
          </w:tcPr>
          <w:p w14:paraId="00528F3B">
            <w:pPr>
              <w:spacing w:line="240" w:lineRule="auto"/>
              <w:jc w:val="center"/>
              <w:rPr>
                <w:rFonts w:ascii="Times New Roman" w:hAnsi="Times New Roman"/>
              </w:rPr>
            </w:pPr>
            <w:r>
              <w:rPr>
                <w:rFonts w:ascii="Times New Roman" w:hAnsi="Times New Roman"/>
              </w:rPr>
              <w:t>负责人</w:t>
            </w:r>
          </w:p>
        </w:tc>
        <w:tc>
          <w:tcPr>
            <w:tcW w:w="604" w:type="pct"/>
            <w:gridSpan w:val="2"/>
            <w:shd w:val="clear" w:color="auto" w:fill="auto"/>
            <w:vAlign w:val="center"/>
          </w:tcPr>
          <w:p w14:paraId="7A4D7849">
            <w:pPr>
              <w:spacing w:line="240" w:lineRule="auto"/>
              <w:rPr>
                <w:rFonts w:ascii="Times New Roman" w:hAnsi="Times New Roman"/>
              </w:rPr>
            </w:pPr>
          </w:p>
        </w:tc>
        <w:tc>
          <w:tcPr>
            <w:tcW w:w="518" w:type="pct"/>
            <w:gridSpan w:val="2"/>
            <w:shd w:val="clear" w:color="auto" w:fill="auto"/>
            <w:vAlign w:val="center"/>
          </w:tcPr>
          <w:p w14:paraId="090C8F05">
            <w:pPr>
              <w:spacing w:line="240" w:lineRule="auto"/>
              <w:jc w:val="center"/>
              <w:rPr>
                <w:rFonts w:ascii="Times New Roman" w:hAnsi="Times New Roman"/>
              </w:rPr>
            </w:pPr>
            <w:r>
              <w:rPr>
                <w:rFonts w:ascii="Times New Roman" w:hAnsi="Times New Roman"/>
              </w:rPr>
              <w:t>职 务</w:t>
            </w:r>
          </w:p>
        </w:tc>
        <w:tc>
          <w:tcPr>
            <w:tcW w:w="690" w:type="pct"/>
            <w:shd w:val="clear" w:color="auto" w:fill="auto"/>
            <w:vAlign w:val="center"/>
          </w:tcPr>
          <w:p w14:paraId="41D7767A">
            <w:pPr>
              <w:spacing w:line="240" w:lineRule="auto"/>
              <w:rPr>
                <w:rFonts w:ascii="Times New Roman" w:hAnsi="Times New Roman"/>
              </w:rPr>
            </w:pPr>
          </w:p>
        </w:tc>
        <w:tc>
          <w:tcPr>
            <w:tcW w:w="536" w:type="pct"/>
            <w:shd w:val="clear" w:color="auto" w:fill="auto"/>
            <w:vAlign w:val="center"/>
          </w:tcPr>
          <w:p w14:paraId="01E900FD">
            <w:pPr>
              <w:spacing w:line="240" w:lineRule="auto"/>
              <w:jc w:val="center"/>
              <w:rPr>
                <w:rFonts w:ascii="Times New Roman" w:hAnsi="Times New Roman"/>
              </w:rPr>
            </w:pPr>
            <w:r>
              <w:rPr>
                <w:rFonts w:ascii="Times New Roman" w:hAnsi="Times New Roman"/>
              </w:rPr>
              <w:t>电 话</w:t>
            </w:r>
          </w:p>
        </w:tc>
        <w:tc>
          <w:tcPr>
            <w:tcW w:w="1190" w:type="pct"/>
            <w:gridSpan w:val="3"/>
            <w:shd w:val="clear" w:color="auto" w:fill="auto"/>
            <w:vAlign w:val="center"/>
          </w:tcPr>
          <w:p w14:paraId="62D79524">
            <w:pPr>
              <w:spacing w:line="240" w:lineRule="auto"/>
              <w:rPr>
                <w:rFonts w:ascii="Times New Roman" w:hAnsi="Times New Roman"/>
              </w:rPr>
            </w:pPr>
          </w:p>
        </w:tc>
      </w:tr>
      <w:tr w14:paraId="6AB4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vMerge w:val="continue"/>
            <w:shd w:val="clear" w:color="auto" w:fill="auto"/>
            <w:vAlign w:val="center"/>
          </w:tcPr>
          <w:p w14:paraId="19ECCDA3">
            <w:pPr>
              <w:spacing w:line="240" w:lineRule="auto"/>
              <w:rPr>
                <w:rFonts w:ascii="Times New Roman" w:hAnsi="Times New Roman"/>
              </w:rPr>
            </w:pPr>
          </w:p>
        </w:tc>
        <w:tc>
          <w:tcPr>
            <w:tcW w:w="690" w:type="pct"/>
            <w:gridSpan w:val="2"/>
            <w:shd w:val="clear" w:color="auto" w:fill="auto"/>
            <w:vAlign w:val="center"/>
          </w:tcPr>
          <w:p w14:paraId="2C99A887">
            <w:pPr>
              <w:spacing w:line="240" w:lineRule="auto"/>
              <w:jc w:val="center"/>
              <w:rPr>
                <w:rFonts w:ascii="Times New Roman" w:hAnsi="Times New Roman"/>
              </w:rPr>
            </w:pPr>
            <w:r>
              <w:rPr>
                <w:rFonts w:ascii="Times New Roman" w:hAnsi="Times New Roman"/>
              </w:rPr>
              <w:t>传  真</w:t>
            </w:r>
          </w:p>
        </w:tc>
        <w:tc>
          <w:tcPr>
            <w:tcW w:w="604" w:type="pct"/>
            <w:gridSpan w:val="2"/>
            <w:shd w:val="clear" w:color="auto" w:fill="auto"/>
            <w:vAlign w:val="center"/>
          </w:tcPr>
          <w:p w14:paraId="1DE3135E">
            <w:pPr>
              <w:spacing w:line="240" w:lineRule="auto"/>
              <w:rPr>
                <w:rFonts w:ascii="Times New Roman" w:hAnsi="Times New Roman"/>
              </w:rPr>
            </w:pPr>
          </w:p>
        </w:tc>
        <w:tc>
          <w:tcPr>
            <w:tcW w:w="518" w:type="pct"/>
            <w:gridSpan w:val="2"/>
            <w:shd w:val="clear" w:color="auto" w:fill="auto"/>
            <w:vAlign w:val="center"/>
          </w:tcPr>
          <w:p w14:paraId="2B6ACC33">
            <w:pPr>
              <w:spacing w:line="240" w:lineRule="auto"/>
              <w:jc w:val="center"/>
              <w:rPr>
                <w:rFonts w:ascii="Times New Roman" w:hAnsi="Times New Roman"/>
              </w:rPr>
            </w:pPr>
            <w:r>
              <w:rPr>
                <w:rFonts w:ascii="Times New Roman" w:hAnsi="Times New Roman"/>
              </w:rPr>
              <w:t>手 机</w:t>
            </w:r>
          </w:p>
        </w:tc>
        <w:tc>
          <w:tcPr>
            <w:tcW w:w="690" w:type="pct"/>
            <w:shd w:val="clear" w:color="auto" w:fill="auto"/>
            <w:vAlign w:val="center"/>
          </w:tcPr>
          <w:p w14:paraId="3B288C35">
            <w:pPr>
              <w:spacing w:line="240" w:lineRule="auto"/>
              <w:rPr>
                <w:rFonts w:ascii="Times New Roman" w:hAnsi="Times New Roman"/>
              </w:rPr>
            </w:pPr>
          </w:p>
        </w:tc>
        <w:tc>
          <w:tcPr>
            <w:tcW w:w="536" w:type="pct"/>
            <w:shd w:val="clear" w:color="auto" w:fill="auto"/>
            <w:vAlign w:val="center"/>
          </w:tcPr>
          <w:p w14:paraId="1D979244">
            <w:pPr>
              <w:spacing w:line="240" w:lineRule="auto"/>
              <w:jc w:val="center"/>
              <w:rPr>
                <w:rFonts w:ascii="Times New Roman" w:hAnsi="Times New Roman"/>
              </w:rPr>
            </w:pPr>
            <w:r>
              <w:rPr>
                <w:rFonts w:ascii="Times New Roman" w:hAnsi="Times New Roman"/>
              </w:rPr>
              <w:t>邮 箱</w:t>
            </w:r>
          </w:p>
        </w:tc>
        <w:tc>
          <w:tcPr>
            <w:tcW w:w="1190" w:type="pct"/>
            <w:gridSpan w:val="3"/>
            <w:shd w:val="clear" w:color="auto" w:fill="auto"/>
            <w:vAlign w:val="center"/>
          </w:tcPr>
          <w:p w14:paraId="5AD2F958">
            <w:pPr>
              <w:spacing w:line="240" w:lineRule="auto"/>
              <w:rPr>
                <w:rFonts w:ascii="Times New Roman" w:hAnsi="Times New Roman"/>
              </w:rPr>
            </w:pPr>
          </w:p>
        </w:tc>
      </w:tr>
      <w:tr w14:paraId="09DD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vMerge w:val="continue"/>
            <w:shd w:val="clear" w:color="auto" w:fill="auto"/>
            <w:vAlign w:val="center"/>
          </w:tcPr>
          <w:p w14:paraId="289726B4">
            <w:pPr>
              <w:spacing w:line="240" w:lineRule="auto"/>
              <w:rPr>
                <w:rFonts w:ascii="Times New Roman" w:hAnsi="Times New Roman"/>
              </w:rPr>
            </w:pPr>
          </w:p>
        </w:tc>
        <w:tc>
          <w:tcPr>
            <w:tcW w:w="690" w:type="pct"/>
            <w:gridSpan w:val="2"/>
            <w:shd w:val="clear" w:color="auto" w:fill="auto"/>
            <w:vAlign w:val="center"/>
          </w:tcPr>
          <w:p w14:paraId="49B480B6">
            <w:pPr>
              <w:spacing w:line="240" w:lineRule="auto"/>
              <w:jc w:val="center"/>
              <w:rPr>
                <w:rFonts w:ascii="Times New Roman" w:hAnsi="Times New Roman"/>
              </w:rPr>
            </w:pPr>
            <w:r>
              <w:rPr>
                <w:rFonts w:ascii="Times New Roman" w:hAnsi="Times New Roman"/>
              </w:rPr>
              <w:t>通信地址</w:t>
            </w:r>
          </w:p>
        </w:tc>
        <w:tc>
          <w:tcPr>
            <w:tcW w:w="1812" w:type="pct"/>
            <w:gridSpan w:val="5"/>
            <w:shd w:val="clear" w:color="auto" w:fill="auto"/>
            <w:vAlign w:val="center"/>
          </w:tcPr>
          <w:p w14:paraId="2CBA9E3C">
            <w:pPr>
              <w:spacing w:line="240" w:lineRule="auto"/>
              <w:rPr>
                <w:rFonts w:ascii="Times New Roman" w:hAnsi="Times New Roman"/>
              </w:rPr>
            </w:pPr>
          </w:p>
        </w:tc>
        <w:tc>
          <w:tcPr>
            <w:tcW w:w="536" w:type="pct"/>
            <w:shd w:val="clear" w:color="auto" w:fill="auto"/>
            <w:vAlign w:val="center"/>
          </w:tcPr>
          <w:p w14:paraId="0E552EA7">
            <w:pPr>
              <w:spacing w:line="240" w:lineRule="auto"/>
              <w:jc w:val="center"/>
              <w:rPr>
                <w:rFonts w:ascii="Times New Roman" w:hAnsi="Times New Roman"/>
              </w:rPr>
            </w:pPr>
            <w:r>
              <w:rPr>
                <w:rFonts w:ascii="Times New Roman" w:hAnsi="Times New Roman"/>
              </w:rPr>
              <w:t>邮 编</w:t>
            </w:r>
          </w:p>
        </w:tc>
        <w:tc>
          <w:tcPr>
            <w:tcW w:w="1190" w:type="pct"/>
            <w:gridSpan w:val="3"/>
            <w:shd w:val="clear" w:color="auto" w:fill="auto"/>
            <w:vAlign w:val="center"/>
          </w:tcPr>
          <w:p w14:paraId="74EB81C0">
            <w:pPr>
              <w:spacing w:line="240" w:lineRule="auto"/>
              <w:rPr>
                <w:rFonts w:ascii="Times New Roman" w:hAnsi="Times New Roman"/>
              </w:rPr>
            </w:pPr>
          </w:p>
        </w:tc>
      </w:tr>
      <w:tr w14:paraId="3FF2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5000" w:type="pct"/>
            <w:gridSpan w:val="12"/>
            <w:shd w:val="clear" w:color="auto" w:fill="auto"/>
            <w:vAlign w:val="center"/>
          </w:tcPr>
          <w:p w14:paraId="13B91F4F">
            <w:pPr>
              <w:spacing w:line="240" w:lineRule="auto"/>
              <w:rPr>
                <w:rFonts w:ascii="Times New Roman" w:hAnsi="Times New Roman"/>
              </w:rPr>
            </w:pPr>
            <w:r>
              <w:rPr>
                <w:rFonts w:ascii="Times New Roman" w:hAnsi="Times New Roman"/>
                <w:b/>
                <w:kern w:val="0"/>
              </w:rPr>
              <w:t>二、监测小组成员</w:t>
            </w:r>
          </w:p>
        </w:tc>
      </w:tr>
      <w:tr w14:paraId="6FD5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61B5DD82">
            <w:pPr>
              <w:spacing w:line="240" w:lineRule="auto"/>
              <w:jc w:val="center"/>
              <w:rPr>
                <w:rFonts w:ascii="Times New Roman" w:hAnsi="Times New Roman"/>
                <w:kern w:val="0"/>
              </w:rPr>
            </w:pPr>
            <w:r>
              <w:rPr>
                <w:rFonts w:ascii="Times New Roman" w:hAnsi="Times New Roman"/>
                <w:kern w:val="0"/>
              </w:rPr>
              <w:t>姓  名</w:t>
            </w:r>
          </w:p>
        </w:tc>
        <w:tc>
          <w:tcPr>
            <w:tcW w:w="594" w:type="pct"/>
            <w:shd w:val="clear" w:color="auto" w:fill="auto"/>
            <w:vAlign w:val="center"/>
          </w:tcPr>
          <w:p w14:paraId="18FFAE7A">
            <w:pPr>
              <w:spacing w:line="240" w:lineRule="auto"/>
              <w:jc w:val="center"/>
              <w:rPr>
                <w:rFonts w:ascii="Times New Roman" w:hAnsi="Times New Roman"/>
                <w:kern w:val="0"/>
              </w:rPr>
            </w:pPr>
            <w:r>
              <w:rPr>
                <w:rFonts w:ascii="Times New Roman" w:hAnsi="Times New Roman"/>
                <w:kern w:val="0"/>
              </w:rPr>
              <w:t>职务/职称</w:t>
            </w:r>
          </w:p>
        </w:tc>
        <w:tc>
          <w:tcPr>
            <w:tcW w:w="700" w:type="pct"/>
            <w:gridSpan w:val="3"/>
            <w:shd w:val="clear" w:color="auto" w:fill="auto"/>
            <w:vAlign w:val="center"/>
          </w:tcPr>
          <w:p w14:paraId="23D54787">
            <w:pPr>
              <w:spacing w:line="240" w:lineRule="auto"/>
              <w:jc w:val="center"/>
              <w:rPr>
                <w:rFonts w:ascii="Times New Roman" w:hAnsi="Times New Roman"/>
                <w:kern w:val="0"/>
              </w:rPr>
            </w:pPr>
            <w:r>
              <w:rPr>
                <w:rFonts w:ascii="Times New Roman" w:hAnsi="Times New Roman"/>
                <w:kern w:val="0"/>
              </w:rPr>
              <w:t>部  门</w:t>
            </w:r>
          </w:p>
        </w:tc>
        <w:tc>
          <w:tcPr>
            <w:tcW w:w="1744" w:type="pct"/>
            <w:gridSpan w:val="4"/>
            <w:shd w:val="clear" w:color="auto" w:fill="auto"/>
            <w:vAlign w:val="center"/>
          </w:tcPr>
          <w:p w14:paraId="4825CB47">
            <w:pPr>
              <w:spacing w:line="240" w:lineRule="auto"/>
              <w:jc w:val="center"/>
              <w:rPr>
                <w:rFonts w:ascii="Times New Roman" w:hAnsi="Times New Roman"/>
              </w:rPr>
            </w:pPr>
            <w:r>
              <w:rPr>
                <w:rFonts w:ascii="Times New Roman" w:hAnsi="Times New Roman"/>
                <w:kern w:val="0"/>
              </w:rPr>
              <w:t>负责内容</w:t>
            </w:r>
          </w:p>
        </w:tc>
        <w:tc>
          <w:tcPr>
            <w:tcW w:w="1190" w:type="pct"/>
            <w:gridSpan w:val="3"/>
            <w:shd w:val="clear" w:color="auto" w:fill="auto"/>
            <w:vAlign w:val="center"/>
          </w:tcPr>
          <w:p w14:paraId="6CF43656">
            <w:pPr>
              <w:spacing w:line="240" w:lineRule="auto"/>
              <w:jc w:val="center"/>
              <w:rPr>
                <w:rFonts w:ascii="Times New Roman" w:hAnsi="Times New Roman"/>
              </w:rPr>
            </w:pPr>
            <w:r>
              <w:rPr>
                <w:rFonts w:ascii="Times New Roman" w:hAnsi="Times New Roman"/>
              </w:rPr>
              <w:t>电  话</w:t>
            </w:r>
          </w:p>
        </w:tc>
      </w:tr>
      <w:tr w14:paraId="61F7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6A1F0367">
            <w:pPr>
              <w:spacing w:line="240" w:lineRule="auto"/>
              <w:rPr>
                <w:rFonts w:ascii="Times New Roman" w:hAnsi="Times New Roman"/>
                <w:kern w:val="0"/>
              </w:rPr>
            </w:pPr>
          </w:p>
        </w:tc>
        <w:tc>
          <w:tcPr>
            <w:tcW w:w="594" w:type="pct"/>
            <w:shd w:val="clear" w:color="auto" w:fill="auto"/>
            <w:vAlign w:val="center"/>
          </w:tcPr>
          <w:p w14:paraId="42D2698C">
            <w:pPr>
              <w:spacing w:line="240" w:lineRule="auto"/>
              <w:rPr>
                <w:rFonts w:ascii="Times New Roman" w:hAnsi="Times New Roman"/>
                <w:kern w:val="0"/>
              </w:rPr>
            </w:pPr>
          </w:p>
        </w:tc>
        <w:tc>
          <w:tcPr>
            <w:tcW w:w="700" w:type="pct"/>
            <w:gridSpan w:val="3"/>
            <w:shd w:val="clear" w:color="auto" w:fill="auto"/>
            <w:vAlign w:val="center"/>
          </w:tcPr>
          <w:p w14:paraId="1D28059D">
            <w:pPr>
              <w:spacing w:line="240" w:lineRule="auto"/>
              <w:rPr>
                <w:rFonts w:ascii="Times New Roman" w:hAnsi="Times New Roman"/>
                <w:kern w:val="0"/>
              </w:rPr>
            </w:pPr>
          </w:p>
        </w:tc>
        <w:tc>
          <w:tcPr>
            <w:tcW w:w="1744" w:type="pct"/>
            <w:gridSpan w:val="4"/>
            <w:shd w:val="clear" w:color="auto" w:fill="auto"/>
            <w:vAlign w:val="center"/>
          </w:tcPr>
          <w:p w14:paraId="236C2523">
            <w:pPr>
              <w:spacing w:line="240" w:lineRule="auto"/>
              <w:rPr>
                <w:rFonts w:ascii="Times New Roman" w:hAnsi="Times New Roman"/>
              </w:rPr>
            </w:pPr>
            <w:r>
              <w:rPr>
                <w:rFonts w:ascii="Times New Roman" w:hAnsi="Times New Roman"/>
              </w:rPr>
              <w:t>（可增行，下同）</w:t>
            </w:r>
          </w:p>
        </w:tc>
        <w:tc>
          <w:tcPr>
            <w:tcW w:w="1190" w:type="pct"/>
            <w:gridSpan w:val="3"/>
            <w:shd w:val="clear" w:color="auto" w:fill="auto"/>
            <w:vAlign w:val="center"/>
          </w:tcPr>
          <w:p w14:paraId="06D98609">
            <w:pPr>
              <w:spacing w:line="240" w:lineRule="auto"/>
              <w:rPr>
                <w:rFonts w:ascii="Times New Roman" w:hAnsi="Times New Roman"/>
              </w:rPr>
            </w:pPr>
          </w:p>
        </w:tc>
      </w:tr>
      <w:tr w14:paraId="4BA6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7933F280">
            <w:pPr>
              <w:spacing w:line="240" w:lineRule="auto"/>
              <w:rPr>
                <w:rFonts w:ascii="Times New Roman" w:hAnsi="Times New Roman"/>
                <w:kern w:val="0"/>
              </w:rPr>
            </w:pPr>
          </w:p>
        </w:tc>
        <w:tc>
          <w:tcPr>
            <w:tcW w:w="594" w:type="pct"/>
            <w:shd w:val="clear" w:color="auto" w:fill="auto"/>
            <w:vAlign w:val="center"/>
          </w:tcPr>
          <w:p w14:paraId="58EB21D8">
            <w:pPr>
              <w:spacing w:line="240" w:lineRule="auto"/>
              <w:rPr>
                <w:rFonts w:ascii="Times New Roman" w:hAnsi="Times New Roman"/>
                <w:kern w:val="0"/>
              </w:rPr>
            </w:pPr>
          </w:p>
        </w:tc>
        <w:tc>
          <w:tcPr>
            <w:tcW w:w="700" w:type="pct"/>
            <w:gridSpan w:val="3"/>
            <w:shd w:val="clear" w:color="auto" w:fill="auto"/>
            <w:vAlign w:val="center"/>
          </w:tcPr>
          <w:p w14:paraId="4F7E335C">
            <w:pPr>
              <w:spacing w:line="240" w:lineRule="auto"/>
              <w:rPr>
                <w:rFonts w:ascii="Times New Roman" w:hAnsi="Times New Roman"/>
                <w:kern w:val="0"/>
              </w:rPr>
            </w:pPr>
          </w:p>
        </w:tc>
        <w:tc>
          <w:tcPr>
            <w:tcW w:w="1744" w:type="pct"/>
            <w:gridSpan w:val="4"/>
            <w:shd w:val="clear" w:color="auto" w:fill="auto"/>
            <w:vAlign w:val="center"/>
          </w:tcPr>
          <w:p w14:paraId="37852CBC">
            <w:pPr>
              <w:spacing w:line="240" w:lineRule="auto"/>
              <w:rPr>
                <w:rFonts w:ascii="Times New Roman" w:hAnsi="Times New Roman"/>
              </w:rPr>
            </w:pPr>
          </w:p>
        </w:tc>
        <w:tc>
          <w:tcPr>
            <w:tcW w:w="1190" w:type="pct"/>
            <w:gridSpan w:val="3"/>
            <w:shd w:val="clear" w:color="auto" w:fill="auto"/>
            <w:vAlign w:val="center"/>
          </w:tcPr>
          <w:p w14:paraId="0B11F9BF">
            <w:pPr>
              <w:spacing w:line="240" w:lineRule="auto"/>
              <w:rPr>
                <w:rFonts w:ascii="Times New Roman" w:hAnsi="Times New Roman"/>
              </w:rPr>
            </w:pPr>
          </w:p>
        </w:tc>
      </w:tr>
      <w:tr w14:paraId="26B7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5ADABD99">
            <w:pPr>
              <w:spacing w:line="240" w:lineRule="auto"/>
              <w:rPr>
                <w:rFonts w:ascii="Times New Roman" w:hAnsi="Times New Roman"/>
                <w:kern w:val="0"/>
              </w:rPr>
            </w:pPr>
          </w:p>
        </w:tc>
        <w:tc>
          <w:tcPr>
            <w:tcW w:w="594" w:type="pct"/>
            <w:shd w:val="clear" w:color="auto" w:fill="auto"/>
            <w:vAlign w:val="center"/>
          </w:tcPr>
          <w:p w14:paraId="14A88794">
            <w:pPr>
              <w:spacing w:line="240" w:lineRule="auto"/>
              <w:rPr>
                <w:rFonts w:ascii="Times New Roman" w:hAnsi="Times New Roman"/>
                <w:kern w:val="0"/>
              </w:rPr>
            </w:pPr>
          </w:p>
        </w:tc>
        <w:tc>
          <w:tcPr>
            <w:tcW w:w="700" w:type="pct"/>
            <w:gridSpan w:val="3"/>
            <w:shd w:val="clear" w:color="auto" w:fill="auto"/>
            <w:vAlign w:val="center"/>
          </w:tcPr>
          <w:p w14:paraId="2065E8F2">
            <w:pPr>
              <w:spacing w:line="240" w:lineRule="auto"/>
              <w:rPr>
                <w:rFonts w:ascii="Times New Roman" w:hAnsi="Times New Roman"/>
                <w:kern w:val="0"/>
              </w:rPr>
            </w:pPr>
          </w:p>
        </w:tc>
        <w:tc>
          <w:tcPr>
            <w:tcW w:w="1744" w:type="pct"/>
            <w:gridSpan w:val="4"/>
            <w:shd w:val="clear" w:color="auto" w:fill="auto"/>
            <w:vAlign w:val="center"/>
          </w:tcPr>
          <w:p w14:paraId="00A65DE4">
            <w:pPr>
              <w:spacing w:line="240" w:lineRule="auto"/>
              <w:rPr>
                <w:rFonts w:ascii="Times New Roman" w:hAnsi="Times New Roman"/>
              </w:rPr>
            </w:pPr>
          </w:p>
        </w:tc>
        <w:tc>
          <w:tcPr>
            <w:tcW w:w="1190" w:type="pct"/>
            <w:gridSpan w:val="3"/>
            <w:shd w:val="clear" w:color="auto" w:fill="auto"/>
            <w:vAlign w:val="center"/>
          </w:tcPr>
          <w:p w14:paraId="096C9C5E">
            <w:pPr>
              <w:spacing w:line="240" w:lineRule="auto"/>
              <w:rPr>
                <w:rFonts w:ascii="Times New Roman" w:hAnsi="Times New Roman"/>
              </w:rPr>
            </w:pPr>
          </w:p>
        </w:tc>
      </w:tr>
      <w:tr w14:paraId="2535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68B22694">
            <w:pPr>
              <w:spacing w:line="240" w:lineRule="auto"/>
              <w:rPr>
                <w:rFonts w:ascii="Times New Roman" w:hAnsi="Times New Roman"/>
                <w:kern w:val="0"/>
              </w:rPr>
            </w:pPr>
          </w:p>
        </w:tc>
        <w:tc>
          <w:tcPr>
            <w:tcW w:w="594" w:type="pct"/>
            <w:shd w:val="clear" w:color="auto" w:fill="auto"/>
            <w:vAlign w:val="center"/>
          </w:tcPr>
          <w:p w14:paraId="157EEEAC">
            <w:pPr>
              <w:spacing w:line="240" w:lineRule="auto"/>
              <w:rPr>
                <w:rFonts w:ascii="Times New Roman" w:hAnsi="Times New Roman"/>
                <w:kern w:val="0"/>
              </w:rPr>
            </w:pPr>
          </w:p>
        </w:tc>
        <w:tc>
          <w:tcPr>
            <w:tcW w:w="700" w:type="pct"/>
            <w:gridSpan w:val="3"/>
            <w:shd w:val="clear" w:color="auto" w:fill="auto"/>
            <w:vAlign w:val="center"/>
          </w:tcPr>
          <w:p w14:paraId="4196F1AF">
            <w:pPr>
              <w:spacing w:line="240" w:lineRule="auto"/>
              <w:rPr>
                <w:rFonts w:ascii="Times New Roman" w:hAnsi="Times New Roman"/>
                <w:kern w:val="0"/>
              </w:rPr>
            </w:pPr>
          </w:p>
        </w:tc>
        <w:tc>
          <w:tcPr>
            <w:tcW w:w="1744" w:type="pct"/>
            <w:gridSpan w:val="4"/>
            <w:shd w:val="clear" w:color="auto" w:fill="auto"/>
            <w:vAlign w:val="center"/>
          </w:tcPr>
          <w:p w14:paraId="56C29F10">
            <w:pPr>
              <w:spacing w:line="240" w:lineRule="auto"/>
              <w:rPr>
                <w:rFonts w:ascii="Times New Roman" w:hAnsi="Times New Roman"/>
              </w:rPr>
            </w:pPr>
          </w:p>
        </w:tc>
        <w:tc>
          <w:tcPr>
            <w:tcW w:w="1190" w:type="pct"/>
            <w:gridSpan w:val="3"/>
            <w:shd w:val="clear" w:color="auto" w:fill="auto"/>
            <w:vAlign w:val="center"/>
          </w:tcPr>
          <w:p w14:paraId="035D1683">
            <w:pPr>
              <w:spacing w:line="240" w:lineRule="auto"/>
              <w:rPr>
                <w:rFonts w:ascii="Times New Roman" w:hAnsi="Times New Roman"/>
              </w:rPr>
            </w:pPr>
          </w:p>
        </w:tc>
      </w:tr>
      <w:tr w14:paraId="1A1F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094D8A06">
            <w:pPr>
              <w:spacing w:line="240" w:lineRule="auto"/>
              <w:rPr>
                <w:rFonts w:ascii="Times New Roman" w:hAnsi="Times New Roman"/>
                <w:kern w:val="0"/>
              </w:rPr>
            </w:pPr>
          </w:p>
        </w:tc>
        <w:tc>
          <w:tcPr>
            <w:tcW w:w="594" w:type="pct"/>
            <w:shd w:val="clear" w:color="auto" w:fill="auto"/>
            <w:vAlign w:val="center"/>
          </w:tcPr>
          <w:p w14:paraId="7EB4C697">
            <w:pPr>
              <w:spacing w:line="240" w:lineRule="auto"/>
              <w:rPr>
                <w:rFonts w:ascii="Times New Roman" w:hAnsi="Times New Roman"/>
                <w:kern w:val="0"/>
              </w:rPr>
            </w:pPr>
          </w:p>
        </w:tc>
        <w:tc>
          <w:tcPr>
            <w:tcW w:w="700" w:type="pct"/>
            <w:gridSpan w:val="3"/>
            <w:shd w:val="clear" w:color="auto" w:fill="auto"/>
            <w:vAlign w:val="center"/>
          </w:tcPr>
          <w:p w14:paraId="78339AD2">
            <w:pPr>
              <w:spacing w:line="240" w:lineRule="auto"/>
              <w:rPr>
                <w:rFonts w:ascii="Times New Roman" w:hAnsi="Times New Roman"/>
                <w:kern w:val="0"/>
              </w:rPr>
            </w:pPr>
          </w:p>
        </w:tc>
        <w:tc>
          <w:tcPr>
            <w:tcW w:w="1744" w:type="pct"/>
            <w:gridSpan w:val="4"/>
            <w:shd w:val="clear" w:color="auto" w:fill="auto"/>
            <w:vAlign w:val="center"/>
          </w:tcPr>
          <w:p w14:paraId="6EC74FD0">
            <w:pPr>
              <w:spacing w:line="240" w:lineRule="auto"/>
              <w:rPr>
                <w:rFonts w:ascii="Times New Roman" w:hAnsi="Times New Roman"/>
              </w:rPr>
            </w:pPr>
          </w:p>
        </w:tc>
        <w:tc>
          <w:tcPr>
            <w:tcW w:w="1190" w:type="pct"/>
            <w:gridSpan w:val="3"/>
            <w:shd w:val="clear" w:color="auto" w:fill="auto"/>
            <w:vAlign w:val="center"/>
          </w:tcPr>
          <w:p w14:paraId="6F4DE38F">
            <w:pPr>
              <w:spacing w:line="240" w:lineRule="auto"/>
              <w:rPr>
                <w:rFonts w:ascii="Times New Roman" w:hAnsi="Times New Roman"/>
              </w:rPr>
            </w:pPr>
          </w:p>
        </w:tc>
      </w:tr>
      <w:tr w14:paraId="65A5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5000" w:type="pct"/>
            <w:gridSpan w:val="12"/>
            <w:shd w:val="clear" w:color="auto" w:fill="auto"/>
            <w:vAlign w:val="center"/>
          </w:tcPr>
          <w:p w14:paraId="514881B6">
            <w:pPr>
              <w:spacing w:line="240" w:lineRule="auto"/>
              <w:rPr>
                <w:rFonts w:ascii="Times New Roman" w:hAnsi="Times New Roman"/>
                <w:kern w:val="0"/>
                <w:u w:val="single"/>
              </w:rPr>
            </w:pPr>
            <w:r>
              <w:rPr>
                <w:rFonts w:hint="eastAsia" w:ascii="Times New Roman" w:hAnsi="Times New Roman"/>
                <w:b/>
                <w:kern w:val="0"/>
              </w:rPr>
              <w:t>三</w:t>
            </w:r>
            <w:r>
              <w:rPr>
                <w:rFonts w:ascii="Times New Roman" w:hAnsi="Times New Roman"/>
                <w:b/>
                <w:kern w:val="0"/>
              </w:rPr>
              <w:t>、监测方案</w:t>
            </w:r>
          </w:p>
        </w:tc>
      </w:tr>
      <w:tr w14:paraId="6734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07D09A6D">
            <w:pPr>
              <w:spacing w:line="240" w:lineRule="auto"/>
              <w:jc w:val="center"/>
              <w:rPr>
                <w:rFonts w:ascii="Times New Roman" w:hAnsi="Times New Roman"/>
                <w:kern w:val="0"/>
              </w:rPr>
            </w:pPr>
            <w:r>
              <w:rPr>
                <w:rFonts w:ascii="Times New Roman" w:hAnsi="Times New Roman"/>
                <w:kern w:val="0"/>
              </w:rPr>
              <w:t>序  号</w:t>
            </w:r>
          </w:p>
        </w:tc>
        <w:tc>
          <w:tcPr>
            <w:tcW w:w="594" w:type="pct"/>
            <w:shd w:val="clear" w:color="auto" w:fill="auto"/>
            <w:vAlign w:val="center"/>
          </w:tcPr>
          <w:p w14:paraId="68C1020A">
            <w:pPr>
              <w:spacing w:line="240" w:lineRule="auto"/>
              <w:jc w:val="center"/>
              <w:rPr>
                <w:rFonts w:ascii="Times New Roman" w:hAnsi="Times New Roman"/>
                <w:kern w:val="0"/>
              </w:rPr>
            </w:pPr>
            <w:r>
              <w:rPr>
                <w:rFonts w:ascii="Times New Roman" w:hAnsi="Times New Roman"/>
                <w:kern w:val="0"/>
              </w:rPr>
              <w:t>数据项</w:t>
            </w:r>
          </w:p>
        </w:tc>
        <w:tc>
          <w:tcPr>
            <w:tcW w:w="700" w:type="pct"/>
            <w:gridSpan w:val="3"/>
            <w:shd w:val="clear" w:color="auto" w:fill="auto"/>
            <w:vAlign w:val="center"/>
          </w:tcPr>
          <w:p w14:paraId="4F782D8C">
            <w:pPr>
              <w:spacing w:line="240" w:lineRule="auto"/>
              <w:jc w:val="center"/>
              <w:rPr>
                <w:rFonts w:ascii="Times New Roman" w:hAnsi="Times New Roman"/>
                <w:kern w:val="0"/>
              </w:rPr>
            </w:pPr>
            <w:r>
              <w:rPr>
                <w:rFonts w:ascii="Times New Roman" w:hAnsi="Times New Roman"/>
                <w:kern w:val="0"/>
              </w:rPr>
              <w:t>监测频次</w:t>
            </w:r>
          </w:p>
        </w:tc>
        <w:tc>
          <w:tcPr>
            <w:tcW w:w="2043" w:type="pct"/>
            <w:gridSpan w:val="5"/>
            <w:shd w:val="clear" w:color="auto" w:fill="auto"/>
            <w:vAlign w:val="center"/>
          </w:tcPr>
          <w:p w14:paraId="50782D9F">
            <w:pPr>
              <w:spacing w:line="240" w:lineRule="auto"/>
              <w:jc w:val="center"/>
              <w:rPr>
                <w:rFonts w:ascii="Times New Roman" w:hAnsi="Times New Roman"/>
                <w:kern w:val="0"/>
              </w:rPr>
            </w:pPr>
            <w:r>
              <w:rPr>
                <w:rFonts w:ascii="Times New Roman" w:hAnsi="Times New Roman"/>
                <w:kern w:val="0"/>
              </w:rPr>
              <w:t>监测方式及依据</w:t>
            </w:r>
            <w:r>
              <w:rPr>
                <w:rFonts w:ascii="Times New Roman" w:hAnsi="Times New Roman"/>
                <w:kern w:val="0"/>
                <w:vertAlign w:val="superscript"/>
              </w:rPr>
              <w:t>1</w:t>
            </w:r>
          </w:p>
        </w:tc>
        <w:tc>
          <w:tcPr>
            <w:tcW w:w="891" w:type="pct"/>
            <w:gridSpan w:val="2"/>
            <w:shd w:val="clear" w:color="auto" w:fill="auto"/>
            <w:vAlign w:val="center"/>
          </w:tcPr>
          <w:p w14:paraId="2D7B1DD4">
            <w:pPr>
              <w:spacing w:line="240" w:lineRule="auto"/>
              <w:jc w:val="center"/>
              <w:rPr>
                <w:rFonts w:ascii="Times New Roman" w:hAnsi="Times New Roman"/>
                <w:kern w:val="0"/>
              </w:rPr>
            </w:pPr>
            <w:r>
              <w:rPr>
                <w:rFonts w:ascii="Times New Roman" w:hAnsi="Times New Roman"/>
                <w:kern w:val="0"/>
              </w:rPr>
              <w:t>监测部门</w:t>
            </w:r>
          </w:p>
        </w:tc>
      </w:tr>
      <w:tr w14:paraId="5653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5776A7E4">
            <w:pPr>
              <w:spacing w:line="240" w:lineRule="auto"/>
              <w:rPr>
                <w:rFonts w:ascii="Times New Roman" w:hAnsi="Times New Roman"/>
                <w:kern w:val="0"/>
              </w:rPr>
            </w:pPr>
          </w:p>
        </w:tc>
        <w:tc>
          <w:tcPr>
            <w:tcW w:w="594" w:type="pct"/>
            <w:shd w:val="clear" w:color="auto" w:fill="auto"/>
            <w:vAlign w:val="center"/>
          </w:tcPr>
          <w:p w14:paraId="7E13CB76">
            <w:pPr>
              <w:spacing w:line="240" w:lineRule="auto"/>
              <w:rPr>
                <w:rFonts w:ascii="Times New Roman" w:hAnsi="Times New Roman"/>
                <w:kern w:val="0"/>
              </w:rPr>
            </w:pPr>
          </w:p>
        </w:tc>
        <w:tc>
          <w:tcPr>
            <w:tcW w:w="700" w:type="pct"/>
            <w:gridSpan w:val="3"/>
            <w:shd w:val="clear" w:color="auto" w:fill="auto"/>
            <w:vAlign w:val="center"/>
          </w:tcPr>
          <w:p w14:paraId="587174D0">
            <w:pPr>
              <w:spacing w:line="240" w:lineRule="auto"/>
              <w:rPr>
                <w:rFonts w:ascii="Times New Roman" w:hAnsi="Times New Roman"/>
                <w:kern w:val="0"/>
                <w:u w:val="single"/>
              </w:rPr>
            </w:pPr>
          </w:p>
        </w:tc>
        <w:tc>
          <w:tcPr>
            <w:tcW w:w="2043" w:type="pct"/>
            <w:gridSpan w:val="5"/>
            <w:shd w:val="clear" w:color="auto" w:fill="auto"/>
            <w:vAlign w:val="center"/>
          </w:tcPr>
          <w:p w14:paraId="139B2EA6">
            <w:pPr>
              <w:spacing w:line="240" w:lineRule="auto"/>
              <w:rPr>
                <w:rFonts w:ascii="Times New Roman" w:hAnsi="Times New Roman"/>
                <w:kern w:val="0"/>
                <w:u w:val="single"/>
              </w:rPr>
            </w:pPr>
          </w:p>
        </w:tc>
        <w:tc>
          <w:tcPr>
            <w:tcW w:w="891" w:type="pct"/>
            <w:gridSpan w:val="2"/>
            <w:shd w:val="clear" w:color="auto" w:fill="auto"/>
            <w:vAlign w:val="center"/>
          </w:tcPr>
          <w:p w14:paraId="43595D0A">
            <w:pPr>
              <w:spacing w:line="240" w:lineRule="auto"/>
              <w:rPr>
                <w:rFonts w:ascii="Times New Roman" w:hAnsi="Times New Roman"/>
                <w:kern w:val="0"/>
                <w:u w:val="single"/>
              </w:rPr>
            </w:pPr>
          </w:p>
        </w:tc>
      </w:tr>
      <w:tr w14:paraId="34C4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4B5070CE">
            <w:pPr>
              <w:spacing w:line="240" w:lineRule="auto"/>
              <w:rPr>
                <w:rFonts w:ascii="Times New Roman" w:hAnsi="Times New Roman"/>
                <w:kern w:val="0"/>
              </w:rPr>
            </w:pPr>
          </w:p>
        </w:tc>
        <w:tc>
          <w:tcPr>
            <w:tcW w:w="594" w:type="pct"/>
            <w:shd w:val="clear" w:color="auto" w:fill="auto"/>
            <w:vAlign w:val="center"/>
          </w:tcPr>
          <w:p w14:paraId="6804709E">
            <w:pPr>
              <w:spacing w:line="240" w:lineRule="auto"/>
              <w:rPr>
                <w:rFonts w:ascii="Times New Roman" w:hAnsi="Times New Roman"/>
                <w:kern w:val="0"/>
              </w:rPr>
            </w:pPr>
          </w:p>
        </w:tc>
        <w:tc>
          <w:tcPr>
            <w:tcW w:w="700" w:type="pct"/>
            <w:gridSpan w:val="3"/>
            <w:shd w:val="clear" w:color="auto" w:fill="auto"/>
            <w:vAlign w:val="center"/>
          </w:tcPr>
          <w:p w14:paraId="0D6138D0">
            <w:pPr>
              <w:spacing w:line="240" w:lineRule="auto"/>
              <w:rPr>
                <w:rFonts w:ascii="Times New Roman" w:hAnsi="Times New Roman"/>
                <w:kern w:val="0"/>
                <w:u w:val="single"/>
              </w:rPr>
            </w:pPr>
          </w:p>
        </w:tc>
        <w:tc>
          <w:tcPr>
            <w:tcW w:w="2043" w:type="pct"/>
            <w:gridSpan w:val="5"/>
            <w:shd w:val="clear" w:color="auto" w:fill="auto"/>
            <w:vAlign w:val="center"/>
          </w:tcPr>
          <w:p w14:paraId="65CD4E1D">
            <w:pPr>
              <w:spacing w:line="240" w:lineRule="auto"/>
              <w:rPr>
                <w:rFonts w:ascii="Times New Roman" w:hAnsi="Times New Roman"/>
                <w:kern w:val="0"/>
                <w:u w:val="single"/>
              </w:rPr>
            </w:pPr>
          </w:p>
        </w:tc>
        <w:tc>
          <w:tcPr>
            <w:tcW w:w="891" w:type="pct"/>
            <w:gridSpan w:val="2"/>
            <w:shd w:val="clear" w:color="auto" w:fill="auto"/>
            <w:vAlign w:val="center"/>
          </w:tcPr>
          <w:p w14:paraId="103AA47A">
            <w:pPr>
              <w:spacing w:line="240" w:lineRule="auto"/>
              <w:rPr>
                <w:rFonts w:ascii="Times New Roman" w:hAnsi="Times New Roman"/>
                <w:kern w:val="0"/>
                <w:u w:val="single"/>
              </w:rPr>
            </w:pPr>
          </w:p>
        </w:tc>
      </w:tr>
      <w:tr w14:paraId="4615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733D9D3F">
            <w:pPr>
              <w:spacing w:line="240" w:lineRule="auto"/>
              <w:rPr>
                <w:rFonts w:ascii="Times New Roman" w:hAnsi="Times New Roman"/>
                <w:kern w:val="0"/>
              </w:rPr>
            </w:pPr>
          </w:p>
        </w:tc>
        <w:tc>
          <w:tcPr>
            <w:tcW w:w="594" w:type="pct"/>
            <w:shd w:val="clear" w:color="auto" w:fill="auto"/>
            <w:vAlign w:val="center"/>
          </w:tcPr>
          <w:p w14:paraId="1DC66184">
            <w:pPr>
              <w:spacing w:line="240" w:lineRule="auto"/>
              <w:rPr>
                <w:rFonts w:ascii="Times New Roman" w:hAnsi="Times New Roman"/>
                <w:kern w:val="0"/>
              </w:rPr>
            </w:pPr>
          </w:p>
        </w:tc>
        <w:tc>
          <w:tcPr>
            <w:tcW w:w="700" w:type="pct"/>
            <w:gridSpan w:val="3"/>
            <w:shd w:val="clear" w:color="auto" w:fill="auto"/>
            <w:vAlign w:val="center"/>
          </w:tcPr>
          <w:p w14:paraId="5E97C085">
            <w:pPr>
              <w:spacing w:line="240" w:lineRule="auto"/>
              <w:rPr>
                <w:rFonts w:ascii="Times New Roman" w:hAnsi="Times New Roman"/>
                <w:kern w:val="0"/>
                <w:u w:val="single"/>
              </w:rPr>
            </w:pPr>
          </w:p>
        </w:tc>
        <w:tc>
          <w:tcPr>
            <w:tcW w:w="2043" w:type="pct"/>
            <w:gridSpan w:val="5"/>
            <w:shd w:val="clear" w:color="auto" w:fill="auto"/>
            <w:vAlign w:val="center"/>
          </w:tcPr>
          <w:p w14:paraId="7EC197A9">
            <w:pPr>
              <w:spacing w:line="240" w:lineRule="auto"/>
              <w:rPr>
                <w:rFonts w:ascii="Times New Roman" w:hAnsi="Times New Roman"/>
                <w:kern w:val="0"/>
                <w:u w:val="single"/>
              </w:rPr>
            </w:pPr>
          </w:p>
        </w:tc>
        <w:tc>
          <w:tcPr>
            <w:tcW w:w="891" w:type="pct"/>
            <w:gridSpan w:val="2"/>
            <w:shd w:val="clear" w:color="auto" w:fill="auto"/>
            <w:vAlign w:val="center"/>
          </w:tcPr>
          <w:p w14:paraId="63E43D6E">
            <w:pPr>
              <w:spacing w:line="240" w:lineRule="auto"/>
              <w:rPr>
                <w:rFonts w:ascii="Times New Roman" w:hAnsi="Times New Roman"/>
                <w:kern w:val="0"/>
                <w:u w:val="single"/>
              </w:rPr>
            </w:pPr>
          </w:p>
        </w:tc>
      </w:tr>
      <w:tr w14:paraId="4CBD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4603DE3A">
            <w:pPr>
              <w:spacing w:line="240" w:lineRule="auto"/>
              <w:rPr>
                <w:rFonts w:ascii="Times New Roman" w:hAnsi="Times New Roman"/>
                <w:kern w:val="0"/>
              </w:rPr>
            </w:pPr>
          </w:p>
        </w:tc>
        <w:tc>
          <w:tcPr>
            <w:tcW w:w="594" w:type="pct"/>
            <w:shd w:val="clear" w:color="auto" w:fill="auto"/>
            <w:vAlign w:val="center"/>
          </w:tcPr>
          <w:p w14:paraId="1D711EA1">
            <w:pPr>
              <w:spacing w:line="240" w:lineRule="auto"/>
              <w:rPr>
                <w:rFonts w:ascii="Times New Roman" w:hAnsi="Times New Roman"/>
                <w:kern w:val="0"/>
              </w:rPr>
            </w:pPr>
          </w:p>
        </w:tc>
        <w:tc>
          <w:tcPr>
            <w:tcW w:w="700" w:type="pct"/>
            <w:gridSpan w:val="3"/>
            <w:shd w:val="clear" w:color="auto" w:fill="auto"/>
            <w:vAlign w:val="center"/>
          </w:tcPr>
          <w:p w14:paraId="17B0CBE0">
            <w:pPr>
              <w:spacing w:line="240" w:lineRule="auto"/>
              <w:rPr>
                <w:rFonts w:ascii="Times New Roman" w:hAnsi="Times New Roman"/>
                <w:kern w:val="0"/>
                <w:u w:val="single"/>
              </w:rPr>
            </w:pPr>
          </w:p>
        </w:tc>
        <w:tc>
          <w:tcPr>
            <w:tcW w:w="2043" w:type="pct"/>
            <w:gridSpan w:val="5"/>
            <w:shd w:val="clear" w:color="auto" w:fill="auto"/>
            <w:vAlign w:val="center"/>
          </w:tcPr>
          <w:p w14:paraId="748A0B7E">
            <w:pPr>
              <w:spacing w:line="240" w:lineRule="auto"/>
              <w:rPr>
                <w:rFonts w:ascii="Times New Roman" w:hAnsi="Times New Roman"/>
                <w:kern w:val="0"/>
                <w:u w:val="single"/>
              </w:rPr>
            </w:pPr>
          </w:p>
        </w:tc>
        <w:tc>
          <w:tcPr>
            <w:tcW w:w="891" w:type="pct"/>
            <w:gridSpan w:val="2"/>
            <w:shd w:val="clear" w:color="auto" w:fill="auto"/>
            <w:vAlign w:val="center"/>
          </w:tcPr>
          <w:p w14:paraId="6EE7C6AC">
            <w:pPr>
              <w:spacing w:line="240" w:lineRule="auto"/>
              <w:rPr>
                <w:rFonts w:ascii="Times New Roman" w:hAnsi="Times New Roman"/>
                <w:kern w:val="0"/>
                <w:u w:val="single"/>
              </w:rPr>
            </w:pPr>
          </w:p>
        </w:tc>
      </w:tr>
      <w:tr w14:paraId="664A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24F7939E">
            <w:pPr>
              <w:spacing w:line="240" w:lineRule="auto"/>
              <w:rPr>
                <w:rFonts w:ascii="Times New Roman" w:hAnsi="Times New Roman"/>
                <w:kern w:val="0"/>
              </w:rPr>
            </w:pPr>
          </w:p>
        </w:tc>
        <w:tc>
          <w:tcPr>
            <w:tcW w:w="594" w:type="pct"/>
            <w:shd w:val="clear" w:color="auto" w:fill="auto"/>
            <w:vAlign w:val="center"/>
          </w:tcPr>
          <w:p w14:paraId="48E6D92F">
            <w:pPr>
              <w:spacing w:line="240" w:lineRule="auto"/>
              <w:rPr>
                <w:rFonts w:ascii="Times New Roman" w:hAnsi="Times New Roman"/>
                <w:kern w:val="0"/>
              </w:rPr>
            </w:pPr>
          </w:p>
        </w:tc>
        <w:tc>
          <w:tcPr>
            <w:tcW w:w="700" w:type="pct"/>
            <w:gridSpan w:val="3"/>
            <w:shd w:val="clear" w:color="auto" w:fill="auto"/>
            <w:vAlign w:val="center"/>
          </w:tcPr>
          <w:p w14:paraId="5B26B02C">
            <w:pPr>
              <w:spacing w:line="240" w:lineRule="auto"/>
              <w:rPr>
                <w:rFonts w:ascii="Times New Roman" w:hAnsi="Times New Roman"/>
                <w:kern w:val="0"/>
                <w:u w:val="single"/>
              </w:rPr>
            </w:pPr>
          </w:p>
        </w:tc>
        <w:tc>
          <w:tcPr>
            <w:tcW w:w="2043" w:type="pct"/>
            <w:gridSpan w:val="5"/>
            <w:shd w:val="clear" w:color="auto" w:fill="auto"/>
            <w:vAlign w:val="center"/>
          </w:tcPr>
          <w:p w14:paraId="7641687D">
            <w:pPr>
              <w:spacing w:line="240" w:lineRule="auto"/>
              <w:rPr>
                <w:rFonts w:ascii="Times New Roman" w:hAnsi="Times New Roman"/>
                <w:kern w:val="0"/>
                <w:u w:val="single"/>
              </w:rPr>
            </w:pPr>
          </w:p>
        </w:tc>
        <w:tc>
          <w:tcPr>
            <w:tcW w:w="891" w:type="pct"/>
            <w:gridSpan w:val="2"/>
            <w:shd w:val="clear" w:color="auto" w:fill="auto"/>
            <w:vAlign w:val="center"/>
          </w:tcPr>
          <w:p w14:paraId="465281D0">
            <w:pPr>
              <w:spacing w:line="240" w:lineRule="auto"/>
              <w:rPr>
                <w:rFonts w:ascii="Times New Roman" w:hAnsi="Times New Roman"/>
                <w:kern w:val="0"/>
                <w:u w:val="single"/>
              </w:rPr>
            </w:pPr>
          </w:p>
        </w:tc>
      </w:tr>
      <w:tr w14:paraId="1AFE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6454BEA3">
            <w:pPr>
              <w:spacing w:line="240" w:lineRule="auto"/>
              <w:rPr>
                <w:rFonts w:ascii="Times New Roman" w:hAnsi="Times New Roman"/>
                <w:kern w:val="0"/>
              </w:rPr>
            </w:pPr>
            <w:r>
              <w:rPr>
                <w:rFonts w:ascii="Times New Roman" w:hAnsi="Times New Roman"/>
                <w:kern w:val="0"/>
              </w:rPr>
              <w:t>备  注</w:t>
            </w:r>
          </w:p>
        </w:tc>
        <w:tc>
          <w:tcPr>
            <w:tcW w:w="4228" w:type="pct"/>
            <w:gridSpan w:val="11"/>
            <w:shd w:val="clear" w:color="auto" w:fill="auto"/>
            <w:vAlign w:val="center"/>
          </w:tcPr>
          <w:p w14:paraId="22225AB1">
            <w:pPr>
              <w:spacing w:line="240" w:lineRule="auto"/>
              <w:rPr>
                <w:rFonts w:ascii="Times New Roman" w:hAnsi="Times New Roman"/>
                <w:kern w:val="0"/>
                <w:u w:val="single"/>
              </w:rPr>
            </w:pPr>
          </w:p>
        </w:tc>
      </w:tr>
      <w:tr w14:paraId="4FD6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5000" w:type="pct"/>
            <w:gridSpan w:val="12"/>
            <w:shd w:val="clear" w:color="auto" w:fill="auto"/>
            <w:vAlign w:val="center"/>
          </w:tcPr>
          <w:p w14:paraId="1F27AAF8">
            <w:pPr>
              <w:spacing w:line="240" w:lineRule="auto"/>
              <w:rPr>
                <w:rFonts w:ascii="Times New Roman" w:hAnsi="Times New Roman"/>
                <w:kern w:val="0"/>
                <w:u w:val="single"/>
              </w:rPr>
            </w:pPr>
            <w:r>
              <w:rPr>
                <w:rFonts w:hint="eastAsia" w:ascii="Times New Roman" w:hAnsi="Times New Roman"/>
                <w:b/>
                <w:kern w:val="0"/>
              </w:rPr>
              <w:t>四</w:t>
            </w:r>
            <w:r>
              <w:rPr>
                <w:rFonts w:ascii="Times New Roman" w:hAnsi="Times New Roman"/>
                <w:b/>
                <w:kern w:val="0"/>
              </w:rPr>
              <w:t>、监测报告管理</w:t>
            </w:r>
          </w:p>
        </w:tc>
      </w:tr>
      <w:tr w14:paraId="248A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7" w:hRule="atLeast"/>
          <w:jc w:val="center"/>
        </w:trPr>
        <w:tc>
          <w:tcPr>
            <w:tcW w:w="772" w:type="pct"/>
            <w:shd w:val="clear" w:color="auto" w:fill="auto"/>
            <w:vAlign w:val="center"/>
          </w:tcPr>
          <w:p w14:paraId="7A6EF648">
            <w:pPr>
              <w:spacing w:line="240" w:lineRule="auto"/>
              <w:jc w:val="center"/>
              <w:rPr>
                <w:rFonts w:ascii="Times New Roman" w:hAnsi="Times New Roman"/>
                <w:kern w:val="0"/>
              </w:rPr>
            </w:pPr>
            <w:r>
              <w:rPr>
                <w:rFonts w:ascii="Times New Roman" w:hAnsi="Times New Roman"/>
                <w:kern w:val="0"/>
              </w:rPr>
              <w:t>报告性质</w:t>
            </w:r>
          </w:p>
        </w:tc>
        <w:tc>
          <w:tcPr>
            <w:tcW w:w="1115" w:type="pct"/>
            <w:gridSpan w:val="3"/>
            <w:shd w:val="clear" w:color="auto" w:fill="auto"/>
            <w:vAlign w:val="center"/>
          </w:tcPr>
          <w:p w14:paraId="0DEB23F1">
            <w:pPr>
              <w:spacing w:line="240" w:lineRule="auto"/>
              <w:rPr>
                <w:rFonts w:ascii="Times New Roman" w:hAnsi="Times New Roman"/>
                <w:kern w:val="0"/>
                <w:u w:val="single"/>
              </w:rPr>
            </w:pPr>
            <w:r>
              <w:rPr>
                <w:rFonts w:ascii="Times New Roman" w:hAnsi="Times New Roman"/>
              </w:rPr>
              <w:t>□纸版 □电子版</w:t>
            </w:r>
          </w:p>
        </w:tc>
        <w:tc>
          <w:tcPr>
            <w:tcW w:w="582" w:type="pct"/>
            <w:gridSpan w:val="2"/>
            <w:shd w:val="clear" w:color="auto" w:fill="auto"/>
            <w:vAlign w:val="center"/>
          </w:tcPr>
          <w:p w14:paraId="10CE8ABA">
            <w:pPr>
              <w:spacing w:line="240" w:lineRule="auto"/>
              <w:rPr>
                <w:rFonts w:ascii="Times New Roman" w:hAnsi="Times New Roman"/>
                <w:kern w:val="0"/>
                <w:u w:val="single"/>
              </w:rPr>
            </w:pPr>
            <w:r>
              <w:rPr>
                <w:rFonts w:ascii="Times New Roman" w:hAnsi="Times New Roman"/>
                <w:kern w:val="0"/>
              </w:rPr>
              <w:t>保存时间</w:t>
            </w:r>
          </w:p>
        </w:tc>
        <w:tc>
          <w:tcPr>
            <w:tcW w:w="2531" w:type="pct"/>
            <w:gridSpan w:val="6"/>
            <w:shd w:val="clear" w:color="auto" w:fill="auto"/>
            <w:vAlign w:val="center"/>
          </w:tcPr>
          <w:p w14:paraId="5EACC18F">
            <w:pPr>
              <w:spacing w:line="240" w:lineRule="auto"/>
              <w:ind w:left="420" w:hanging="420" w:hangingChars="200"/>
              <w:rPr>
                <w:rFonts w:ascii="Times New Roman" w:hAnsi="Times New Roman"/>
                <w:kern w:val="0"/>
                <w:u w:val="single"/>
              </w:rPr>
            </w:pPr>
            <w:r>
              <w:rPr>
                <w:rFonts w:ascii="Times New Roman" w:hAnsi="Times New Roman"/>
              </w:rPr>
              <w:t>□10年</w:t>
            </w:r>
            <w:r>
              <w:rPr>
                <w:rFonts w:hint="eastAsia" w:ascii="Times New Roman" w:hAnsi="Times New Roman"/>
              </w:rPr>
              <w:t xml:space="preserve"> </w:t>
            </w:r>
            <w:r>
              <w:rPr>
                <w:rFonts w:ascii="Times New Roman" w:hAnsi="Times New Roman"/>
              </w:rPr>
              <w:t>□</w:t>
            </w:r>
            <w:r>
              <w:rPr>
                <w:rFonts w:hint="eastAsia" w:ascii="Times New Roman" w:hAnsi="Times New Roman"/>
              </w:rPr>
              <w:t>3</w:t>
            </w:r>
            <w:r>
              <w:rPr>
                <w:rFonts w:ascii="Times New Roman" w:hAnsi="Times New Roman"/>
              </w:rPr>
              <w:t>0年</w:t>
            </w:r>
            <w:r>
              <w:rPr>
                <w:rFonts w:hint="eastAsia" w:ascii="Times New Roman" w:hAnsi="Times New Roman"/>
              </w:rPr>
              <w:t xml:space="preserve"> </w:t>
            </w:r>
            <w:r>
              <w:rPr>
                <w:rFonts w:ascii="Times New Roman" w:hAnsi="Times New Roman"/>
              </w:rPr>
              <w:t>□永久</w:t>
            </w:r>
            <w:r>
              <w:rPr>
                <w:rFonts w:hint="eastAsia" w:ascii="Times New Roman" w:hAnsi="Times New Roman"/>
              </w:rPr>
              <w:t xml:space="preserve"> </w:t>
            </w:r>
            <w:r>
              <w:rPr>
                <w:rFonts w:ascii="Times New Roman" w:hAnsi="Times New Roman"/>
              </w:rPr>
              <w:t>□其他</w:t>
            </w:r>
            <w:r>
              <w:rPr>
                <w:rFonts w:ascii="Times New Roman" w:hAnsi="Times New Roman"/>
                <w:u w:val="single"/>
              </w:rPr>
              <w:t xml:space="preserve">      </w:t>
            </w:r>
            <w:r>
              <w:rPr>
                <w:rFonts w:ascii="Times New Roman" w:hAnsi="Times New Roman"/>
              </w:rPr>
              <w:t>年</w:t>
            </w:r>
          </w:p>
        </w:tc>
      </w:tr>
    </w:tbl>
    <w:p w14:paraId="6CFBA309">
      <w:pPr>
        <w:spacing w:before="160" w:line="240" w:lineRule="auto"/>
        <w:rPr>
          <w:rFonts w:ascii="宋体" w:hAnsi="宋体"/>
        </w:rPr>
      </w:pPr>
      <w:r>
        <w:rPr>
          <w:rFonts w:hint="eastAsia" w:ascii="宋体" w:hAnsi="宋体"/>
        </w:rPr>
        <w:t>注：监测方式包括记录、计量、监测等，监测依据一般为相关标准或技术规范。</w:t>
      </w:r>
    </w:p>
    <w:p w14:paraId="01F1DDAC">
      <w:pPr>
        <w:widowControl/>
        <w:adjustRightInd/>
        <w:spacing w:line="240" w:lineRule="auto"/>
        <w:jc w:val="left"/>
        <w:rPr>
          <w:rFonts w:ascii="宋体" w:hAnsi="宋体"/>
        </w:rPr>
      </w:pPr>
      <w:r>
        <w:rPr>
          <w:rFonts w:ascii="宋体" w:hAnsi="宋体"/>
        </w:rPr>
        <w:br w:type="page"/>
      </w:r>
    </w:p>
    <w:p w14:paraId="105342D9">
      <w:pPr>
        <w:spacing w:before="160" w:line="240" w:lineRule="auto"/>
        <w:rPr>
          <w:rFonts w:ascii="宋体" w:hAnsi="宋体"/>
        </w:rPr>
        <w:sectPr>
          <w:headerReference r:id="rId21" w:type="default"/>
          <w:footerReference r:id="rId23" w:type="default"/>
          <w:headerReference r:id="rId22" w:type="even"/>
          <w:footerReference r:id="rId24" w:type="even"/>
          <w:pgSz w:w="11906" w:h="16838"/>
          <w:pgMar w:top="2410" w:right="1134" w:bottom="1134" w:left="1134" w:header="1418" w:footer="1134" w:gutter="284"/>
          <w:pgNumType w:start="1"/>
          <w:cols w:space="425" w:num="1"/>
          <w:formProt w:val="0"/>
          <w:docGrid w:linePitch="312" w:charSpace="0"/>
        </w:sectPr>
      </w:pPr>
    </w:p>
    <w:p w14:paraId="2D40AA67">
      <w:pPr>
        <w:pStyle w:val="80"/>
        <w:spacing w:before="60" w:after="120"/>
        <w:ind w:left="0"/>
      </w:pPr>
      <w:bookmarkStart w:id="249" w:name="_Toc170497024"/>
      <w:bookmarkStart w:id="250" w:name="_Hlk170465466"/>
      <w:r>
        <w:rPr>
          <w:rFonts w:hint="eastAsia"/>
        </w:rPr>
        <w:t>（资料性）企业排放单元与排放源信息收集</w:t>
      </w:r>
      <w:bookmarkEnd w:id="249"/>
    </w:p>
    <w:bookmarkEnd w:id="250"/>
    <w:p w14:paraId="30BA454E">
      <w:pPr>
        <w:pStyle w:val="60"/>
        <w:ind w:firstLine="420"/>
        <w:jc w:val="center"/>
      </w:pPr>
      <w:r>
        <w:drawing>
          <wp:inline distT="0" distB="0" distL="0" distR="0">
            <wp:extent cx="7479665" cy="4409440"/>
            <wp:effectExtent l="0" t="0" r="6985" b="0"/>
            <wp:docPr id="885459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5919" name="图片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7481168" cy="4410666"/>
                    </a:xfrm>
                    <a:prstGeom prst="rect">
                      <a:avLst/>
                    </a:prstGeom>
                    <a:noFill/>
                    <a:ln>
                      <a:noFill/>
                    </a:ln>
                  </pic:spPr>
                </pic:pic>
              </a:graphicData>
            </a:graphic>
          </wp:inline>
        </w:drawing>
      </w:r>
    </w:p>
    <w:p w14:paraId="6A439C58">
      <w:pPr>
        <w:pStyle w:val="60"/>
        <w:ind w:firstLine="420"/>
        <w:jc w:val="center"/>
      </w:pPr>
      <w:r>
        <w:rPr>
          <w:rFonts w:hint="eastAsia"/>
        </w:rPr>
        <w:t>图B.1</w:t>
      </w:r>
      <w:r>
        <w:t xml:space="preserve"> </w:t>
      </w:r>
      <w:r>
        <w:rPr>
          <w:rFonts w:hint="eastAsia"/>
        </w:rPr>
        <w:t>企业排放单元与排放源识别图示例</w:t>
      </w:r>
    </w:p>
    <w:p w14:paraId="2BD0E950">
      <w:pPr>
        <w:widowControl/>
        <w:adjustRightInd/>
        <w:spacing w:line="240" w:lineRule="auto"/>
        <w:jc w:val="left"/>
        <w:rPr>
          <w:rFonts w:ascii="宋体" w:hAnsi="Times New Roman"/>
          <w:kern w:val="0"/>
          <w:szCs w:val="20"/>
        </w:rPr>
      </w:pPr>
      <w:r>
        <w:br w:type="page"/>
      </w:r>
    </w:p>
    <w:p w14:paraId="20179AA5">
      <w:pPr>
        <w:pStyle w:val="60"/>
        <w:ind w:firstLine="420"/>
        <w:jc w:val="center"/>
        <w:rPr>
          <w:rFonts w:hint="eastAsia"/>
        </w:rPr>
        <w:sectPr>
          <w:headerReference r:id="rId25" w:type="default"/>
          <w:footerReference r:id="rId27" w:type="default"/>
          <w:headerReference r:id="rId26" w:type="even"/>
          <w:footerReference r:id="rId28" w:type="even"/>
          <w:pgSz w:w="16838" w:h="11906" w:orient="landscape"/>
          <w:pgMar w:top="1134" w:right="2410" w:bottom="1134" w:left="1134" w:header="1418" w:footer="1134" w:gutter="284"/>
          <w:cols w:space="425" w:num="1"/>
          <w:formProt w:val="0"/>
          <w:docGrid w:linePitch="312" w:charSpace="0"/>
        </w:sectPr>
      </w:pPr>
    </w:p>
    <w:p w14:paraId="766D1A63">
      <w:pPr>
        <w:pStyle w:val="82"/>
        <w:numPr>
          <w:ilvl w:val="0"/>
          <w:numId w:val="0"/>
        </w:numPr>
        <w:spacing w:before="120" w:after="120"/>
        <w:jc w:val="left"/>
      </w:pPr>
      <w:bookmarkStart w:id="251" w:name="_Toc170497025"/>
      <w:bookmarkStart w:id="252" w:name="OLE_LINK38"/>
      <w:bookmarkStart w:id="253" w:name="_Toc137109149"/>
      <w:bookmarkStart w:id="254" w:name="_Toc137108879"/>
      <w:r>
        <w:t xml:space="preserve">B.1 </w:t>
      </w:r>
      <w:r>
        <w:rPr>
          <w:rFonts w:hint="eastAsia"/>
        </w:rPr>
        <w:t>排放单元与排放源编码规则</w:t>
      </w:r>
      <w:bookmarkEnd w:id="251"/>
      <w:bookmarkEnd w:id="252"/>
    </w:p>
    <w:p w14:paraId="1BC8E0C9">
      <w:pPr>
        <w:pStyle w:val="133"/>
      </w:pPr>
      <w:r>
        <w:t>B.1.1 排放单元</w:t>
      </w:r>
      <w:r>
        <w:rPr>
          <w:rFonts w:hint="eastAsia"/>
        </w:rPr>
        <w:t>编码</w:t>
      </w:r>
      <w:r>
        <w:t>规则</w:t>
      </w:r>
      <w:bookmarkEnd w:id="253"/>
      <w:bookmarkEnd w:id="254"/>
    </w:p>
    <w:p w14:paraId="046441B6">
      <w:pPr>
        <w:pStyle w:val="60"/>
        <w:ind w:firstLine="420"/>
      </w:pPr>
      <w:r>
        <w:rPr>
          <w:u w:val="single"/>
        </w:rPr>
        <w:t>A</w:t>
      </w:r>
      <w:r>
        <w:t xml:space="preserve"> </w:t>
      </w:r>
      <w:r>
        <w:rPr>
          <w:u w:val="single"/>
        </w:rPr>
        <w:t>I</w:t>
      </w:r>
      <w:r>
        <w:t xml:space="preserve"> </w:t>
      </w:r>
      <w:r>
        <w:rPr>
          <w:u w:val="single"/>
        </w:rPr>
        <w:t>01</w:t>
      </w:r>
    </w:p>
    <w:p w14:paraId="1539898F">
      <w:pPr>
        <w:pStyle w:val="60"/>
        <w:ind w:firstLine="420"/>
      </w:pPr>
      <w:r>
        <w:rPr>
          <w:rFonts w:hint="eastAsia"/>
        </w:rPr>
        <w:t>①②③</w:t>
      </w:r>
    </w:p>
    <w:p w14:paraId="5B5EED64">
      <w:pPr>
        <w:pStyle w:val="60"/>
        <w:ind w:firstLine="420"/>
      </w:pPr>
      <w:r>
        <w:rPr>
          <w:rFonts w:hint="eastAsia"/>
        </w:rPr>
        <w:t>①字母A为公司编码，若企业有多个分公司则按字母顺序排列，范围为B~Z；</w:t>
      </w:r>
    </w:p>
    <w:p w14:paraId="63C6093E">
      <w:pPr>
        <w:pStyle w:val="60"/>
        <w:ind w:firstLine="420"/>
      </w:pPr>
      <w:r>
        <w:rPr>
          <w:rFonts w:hint="eastAsia"/>
        </w:rPr>
        <w:t>②大写罗马数字I为厂区位置编码，若企业有多个厂区则按罗马顺组排列，范围为I~IXIX；</w:t>
      </w:r>
    </w:p>
    <w:p w14:paraId="3F5D694A">
      <w:pPr>
        <w:pStyle w:val="60"/>
        <w:ind w:firstLine="420"/>
      </w:pPr>
      <w:r>
        <w:rPr>
          <w:rFonts w:hint="eastAsia"/>
        </w:rPr>
        <w:t>③数字01为排放单元编码，若有多个排放单元则按数字顺序排列，范围为01~99；</w:t>
      </w:r>
    </w:p>
    <w:p w14:paraId="7D9D0695">
      <w:pPr>
        <w:pStyle w:val="133"/>
      </w:pPr>
      <w:bookmarkStart w:id="255" w:name="_Toc137109150"/>
      <w:bookmarkStart w:id="256" w:name="_Toc137108880"/>
      <w:r>
        <w:rPr>
          <w:rFonts w:hint="eastAsia"/>
        </w:rPr>
        <w:t>B</w:t>
      </w:r>
      <w:r>
        <w:t xml:space="preserve">.1.2 </w:t>
      </w:r>
      <w:r>
        <w:rPr>
          <w:rFonts w:hint="eastAsia"/>
        </w:rPr>
        <w:t>排放源编码规则</w:t>
      </w:r>
      <w:bookmarkEnd w:id="255"/>
      <w:bookmarkEnd w:id="256"/>
    </w:p>
    <w:p w14:paraId="0C128602">
      <w:pPr>
        <w:pStyle w:val="60"/>
        <w:ind w:firstLine="420"/>
      </w:pPr>
      <w:r>
        <w:rPr>
          <w:u w:val="single"/>
        </w:rPr>
        <w:t>AI 01</w:t>
      </w:r>
      <w:r>
        <w:t xml:space="preserve">   </w:t>
      </w:r>
      <w:r>
        <w:rPr>
          <w:u w:val="single"/>
        </w:rPr>
        <w:t>Z</w:t>
      </w:r>
      <w:r>
        <w:t xml:space="preserve">    </w:t>
      </w:r>
      <w:r>
        <w:rPr>
          <w:u w:val="single"/>
        </w:rPr>
        <w:t>001</w:t>
      </w:r>
    </w:p>
    <w:p w14:paraId="3DABA237">
      <w:pPr>
        <w:pStyle w:val="60"/>
        <w:ind w:firstLine="420"/>
      </w:pPr>
      <w:r>
        <w:rPr>
          <w:rFonts w:hint="eastAsia"/>
        </w:rPr>
        <w:t xml:space="preserve"> </w:t>
      </w:r>
      <w:r>
        <w:t xml:space="preserve"> </w:t>
      </w:r>
      <w:r>
        <w:rPr>
          <w:rFonts w:hint="eastAsia"/>
        </w:rPr>
        <w:t xml:space="preserve">①   </w:t>
      </w:r>
      <w:r>
        <w:t xml:space="preserve"> </w:t>
      </w:r>
      <w:r>
        <w:rPr>
          <w:rFonts w:hint="eastAsia"/>
        </w:rPr>
        <w:t xml:space="preserve">②   </w:t>
      </w:r>
      <w:r>
        <w:t xml:space="preserve"> </w:t>
      </w:r>
      <w:r>
        <w:rPr>
          <w:rFonts w:hint="eastAsia"/>
        </w:rPr>
        <w:t>③</w:t>
      </w:r>
    </w:p>
    <w:p w14:paraId="7C7AE740">
      <w:pPr>
        <w:pStyle w:val="60"/>
        <w:ind w:firstLine="420"/>
      </w:pPr>
      <w:r>
        <w:rPr>
          <w:rFonts w:hint="eastAsia"/>
        </w:rPr>
        <w:t xml:space="preserve">①为排放单元编码； </w:t>
      </w:r>
    </w:p>
    <w:p w14:paraId="12068933">
      <w:pPr>
        <w:pStyle w:val="60"/>
        <w:ind w:firstLine="420"/>
      </w:pPr>
      <w:r>
        <w:rPr>
          <w:rFonts w:hint="eastAsia"/>
        </w:rPr>
        <w:t>②字母Z为排放源性质编码，直接排放源用字母Z，间接排放源用字母J；</w:t>
      </w:r>
    </w:p>
    <w:p w14:paraId="1FCA2240">
      <w:pPr>
        <w:pStyle w:val="60"/>
        <w:ind w:firstLine="420"/>
      </w:pPr>
      <w:r>
        <w:rPr>
          <w:rFonts w:hint="eastAsia"/>
        </w:rPr>
        <w:t>③数字001为排放源编码，若有多个排放源则按数据顺序排列，范围为001~999。</w:t>
      </w:r>
    </w:p>
    <w:p w14:paraId="13804280">
      <w:pPr>
        <w:pStyle w:val="60"/>
        <w:ind w:firstLine="420"/>
        <w:rPr>
          <w:rFonts w:hint="eastAsia"/>
        </w:rPr>
      </w:pPr>
    </w:p>
    <w:p w14:paraId="0EEF7925">
      <w:pPr>
        <w:pStyle w:val="60"/>
        <w:ind w:firstLine="420"/>
        <w:jc w:val="center"/>
        <w:sectPr>
          <w:pgSz w:w="11906" w:h="16838"/>
          <w:pgMar w:top="2410" w:right="1134" w:bottom="1134" w:left="1134" w:header="1418" w:footer="1134" w:gutter="284"/>
          <w:cols w:space="425" w:num="1"/>
          <w:formProt w:val="0"/>
          <w:docGrid w:linePitch="312" w:charSpace="0"/>
        </w:sectPr>
      </w:pPr>
    </w:p>
    <w:p w14:paraId="58377E0D">
      <w:pPr>
        <w:pStyle w:val="60"/>
        <w:ind w:firstLine="420"/>
        <w:jc w:val="center"/>
      </w:pPr>
    </w:p>
    <w:p w14:paraId="46BEE83B">
      <w:pPr>
        <w:pStyle w:val="60"/>
        <w:ind w:firstLine="420"/>
        <w:jc w:val="center"/>
      </w:pPr>
      <w:r>
        <w:rPr>
          <w:rFonts w:hint="eastAsia"/>
        </w:rPr>
        <w:t>表</w:t>
      </w:r>
      <w:r>
        <w:t xml:space="preserve">B.1 </w:t>
      </w:r>
      <w:r>
        <w:rPr>
          <w:rFonts w:hint="eastAsia"/>
        </w:rPr>
        <w:t>VOC臭氧生成潜势最大增量反应活性系数MIR估算参考值</w:t>
      </w:r>
      <w:bookmarkStart w:id="257" w:name="OLE_LINK39"/>
    </w:p>
    <w:bookmarkEnd w:id="257"/>
    <w:tbl>
      <w:tblPr>
        <w:tblStyle w:val="30"/>
        <w:tblW w:w="1417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701"/>
        <w:gridCol w:w="851"/>
        <w:gridCol w:w="708"/>
        <w:gridCol w:w="2694"/>
        <w:gridCol w:w="850"/>
        <w:gridCol w:w="709"/>
        <w:gridCol w:w="1838"/>
        <w:gridCol w:w="850"/>
        <w:gridCol w:w="709"/>
        <w:gridCol w:w="1701"/>
        <w:gridCol w:w="850"/>
      </w:tblGrid>
      <w:tr w14:paraId="43FDDB9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bottom w:val="single" w:color="auto" w:sz="12" w:space="0"/>
            </w:tcBorders>
          </w:tcPr>
          <w:p w14:paraId="2DE52CFD">
            <w:pPr>
              <w:spacing w:line="240" w:lineRule="auto"/>
              <w:jc w:val="center"/>
              <w:rPr>
                <w:rFonts w:hint="eastAsia" w:ascii="宋体" w:hAnsi="宋体"/>
              </w:rPr>
            </w:pPr>
            <w:r>
              <w:rPr>
                <w:rFonts w:hint="eastAsia" w:ascii="宋体" w:hAnsi="宋体"/>
              </w:rPr>
              <w:t>序号</w:t>
            </w:r>
          </w:p>
        </w:tc>
        <w:tc>
          <w:tcPr>
            <w:tcW w:w="1701" w:type="dxa"/>
            <w:tcBorders>
              <w:bottom w:val="single" w:color="auto" w:sz="12" w:space="0"/>
            </w:tcBorders>
            <w:vAlign w:val="center"/>
          </w:tcPr>
          <w:p w14:paraId="4BFBB974">
            <w:pPr>
              <w:spacing w:line="240" w:lineRule="auto"/>
              <w:jc w:val="center"/>
              <w:rPr>
                <w:rFonts w:ascii="宋体" w:hAnsi="宋体"/>
              </w:rPr>
            </w:pPr>
            <w:r>
              <w:rPr>
                <w:rFonts w:hint="eastAsia" w:ascii="宋体" w:hAnsi="宋体"/>
              </w:rPr>
              <w:t>物种</w:t>
            </w:r>
          </w:p>
        </w:tc>
        <w:tc>
          <w:tcPr>
            <w:tcW w:w="851" w:type="dxa"/>
            <w:tcBorders>
              <w:bottom w:val="single" w:color="auto" w:sz="12" w:space="0"/>
            </w:tcBorders>
            <w:vAlign w:val="center"/>
          </w:tcPr>
          <w:p w14:paraId="1306854A">
            <w:pPr>
              <w:spacing w:line="240" w:lineRule="auto"/>
              <w:jc w:val="center"/>
              <w:rPr>
                <w:rFonts w:ascii="宋体" w:hAnsi="宋体"/>
              </w:rPr>
            </w:pPr>
            <w:r>
              <w:rPr>
                <w:rFonts w:ascii="宋体" w:hAnsi="宋体"/>
              </w:rPr>
              <w:t>MIR</w:t>
            </w:r>
          </w:p>
        </w:tc>
        <w:tc>
          <w:tcPr>
            <w:tcW w:w="708" w:type="dxa"/>
            <w:tcBorders>
              <w:bottom w:val="single" w:color="auto" w:sz="12" w:space="0"/>
            </w:tcBorders>
          </w:tcPr>
          <w:p w14:paraId="7C341BCE">
            <w:pPr>
              <w:spacing w:line="240" w:lineRule="auto"/>
              <w:jc w:val="center"/>
              <w:rPr>
                <w:rFonts w:ascii="宋体" w:hAnsi="宋体"/>
              </w:rPr>
            </w:pPr>
            <w:r>
              <w:rPr>
                <w:rFonts w:hint="eastAsia" w:ascii="宋体" w:hAnsi="宋体"/>
              </w:rPr>
              <w:t>序号</w:t>
            </w:r>
          </w:p>
        </w:tc>
        <w:tc>
          <w:tcPr>
            <w:tcW w:w="2694" w:type="dxa"/>
            <w:tcBorders>
              <w:bottom w:val="single" w:color="auto" w:sz="12" w:space="0"/>
            </w:tcBorders>
            <w:vAlign w:val="center"/>
          </w:tcPr>
          <w:p w14:paraId="761BA951">
            <w:pPr>
              <w:spacing w:line="240" w:lineRule="auto"/>
              <w:jc w:val="center"/>
              <w:rPr>
                <w:rFonts w:ascii="宋体" w:hAnsi="宋体"/>
              </w:rPr>
            </w:pPr>
            <w:r>
              <w:rPr>
                <w:rFonts w:hint="eastAsia" w:ascii="宋体" w:hAnsi="宋体"/>
              </w:rPr>
              <w:t>物种</w:t>
            </w:r>
          </w:p>
        </w:tc>
        <w:tc>
          <w:tcPr>
            <w:tcW w:w="850" w:type="dxa"/>
            <w:tcBorders>
              <w:bottom w:val="single" w:color="auto" w:sz="12" w:space="0"/>
            </w:tcBorders>
            <w:vAlign w:val="center"/>
          </w:tcPr>
          <w:p w14:paraId="1E3B6F74">
            <w:pPr>
              <w:spacing w:line="240" w:lineRule="auto"/>
              <w:jc w:val="center"/>
              <w:rPr>
                <w:rFonts w:ascii="宋体" w:hAnsi="宋体"/>
              </w:rPr>
            </w:pPr>
            <w:r>
              <w:rPr>
                <w:rFonts w:ascii="宋体" w:hAnsi="宋体"/>
              </w:rPr>
              <w:t>MIR</w:t>
            </w:r>
          </w:p>
        </w:tc>
        <w:tc>
          <w:tcPr>
            <w:tcW w:w="709" w:type="dxa"/>
            <w:tcBorders>
              <w:bottom w:val="single" w:color="auto" w:sz="12" w:space="0"/>
            </w:tcBorders>
          </w:tcPr>
          <w:p w14:paraId="692F85B0">
            <w:pPr>
              <w:spacing w:line="240" w:lineRule="auto"/>
              <w:jc w:val="center"/>
              <w:rPr>
                <w:rFonts w:ascii="宋体" w:hAnsi="宋体"/>
              </w:rPr>
            </w:pPr>
            <w:r>
              <w:rPr>
                <w:rFonts w:hint="eastAsia" w:ascii="宋体" w:hAnsi="宋体"/>
              </w:rPr>
              <w:t>序号</w:t>
            </w:r>
          </w:p>
        </w:tc>
        <w:tc>
          <w:tcPr>
            <w:tcW w:w="1838" w:type="dxa"/>
            <w:tcBorders>
              <w:bottom w:val="single" w:color="auto" w:sz="12" w:space="0"/>
            </w:tcBorders>
            <w:vAlign w:val="center"/>
          </w:tcPr>
          <w:p w14:paraId="5F2894E4">
            <w:pPr>
              <w:spacing w:line="240" w:lineRule="auto"/>
              <w:jc w:val="center"/>
              <w:rPr>
                <w:rFonts w:ascii="宋体" w:hAnsi="宋体"/>
              </w:rPr>
            </w:pPr>
            <w:r>
              <w:rPr>
                <w:rFonts w:hint="eastAsia" w:ascii="宋体" w:hAnsi="宋体"/>
              </w:rPr>
              <w:t>物种</w:t>
            </w:r>
          </w:p>
        </w:tc>
        <w:tc>
          <w:tcPr>
            <w:tcW w:w="850" w:type="dxa"/>
            <w:tcBorders>
              <w:bottom w:val="single" w:color="auto" w:sz="12" w:space="0"/>
            </w:tcBorders>
            <w:vAlign w:val="center"/>
          </w:tcPr>
          <w:p w14:paraId="32E4D482">
            <w:pPr>
              <w:spacing w:line="240" w:lineRule="auto"/>
              <w:jc w:val="center"/>
              <w:rPr>
                <w:rFonts w:ascii="宋体" w:hAnsi="宋体"/>
              </w:rPr>
            </w:pPr>
            <w:r>
              <w:rPr>
                <w:rFonts w:ascii="宋体" w:hAnsi="宋体"/>
              </w:rPr>
              <w:t>MIR</w:t>
            </w:r>
          </w:p>
        </w:tc>
        <w:tc>
          <w:tcPr>
            <w:tcW w:w="709" w:type="dxa"/>
            <w:tcBorders>
              <w:bottom w:val="single" w:color="auto" w:sz="12" w:space="0"/>
            </w:tcBorders>
          </w:tcPr>
          <w:p w14:paraId="0FB9455D">
            <w:pPr>
              <w:spacing w:line="240" w:lineRule="auto"/>
              <w:jc w:val="center"/>
              <w:rPr>
                <w:rFonts w:ascii="宋体" w:hAnsi="宋体"/>
              </w:rPr>
            </w:pPr>
            <w:r>
              <w:rPr>
                <w:rFonts w:hint="eastAsia" w:ascii="宋体" w:hAnsi="宋体"/>
              </w:rPr>
              <w:t>序号</w:t>
            </w:r>
          </w:p>
        </w:tc>
        <w:tc>
          <w:tcPr>
            <w:tcW w:w="1701" w:type="dxa"/>
            <w:tcBorders>
              <w:bottom w:val="single" w:color="auto" w:sz="12" w:space="0"/>
            </w:tcBorders>
            <w:vAlign w:val="center"/>
          </w:tcPr>
          <w:p w14:paraId="51A6B4DC">
            <w:pPr>
              <w:spacing w:line="240" w:lineRule="auto"/>
              <w:jc w:val="center"/>
              <w:rPr>
                <w:rFonts w:ascii="宋体" w:hAnsi="宋体"/>
              </w:rPr>
            </w:pPr>
            <w:r>
              <w:rPr>
                <w:rFonts w:hint="eastAsia" w:ascii="宋体" w:hAnsi="宋体"/>
              </w:rPr>
              <w:t>物种</w:t>
            </w:r>
          </w:p>
        </w:tc>
        <w:tc>
          <w:tcPr>
            <w:tcW w:w="850" w:type="dxa"/>
            <w:tcBorders>
              <w:bottom w:val="single" w:color="auto" w:sz="12" w:space="0"/>
            </w:tcBorders>
            <w:vAlign w:val="center"/>
          </w:tcPr>
          <w:p w14:paraId="03753EFB">
            <w:pPr>
              <w:spacing w:line="240" w:lineRule="auto"/>
              <w:jc w:val="center"/>
              <w:rPr>
                <w:rFonts w:ascii="宋体" w:hAnsi="宋体"/>
              </w:rPr>
            </w:pPr>
            <w:r>
              <w:rPr>
                <w:rFonts w:ascii="宋体" w:hAnsi="宋体"/>
              </w:rPr>
              <w:t>MIR</w:t>
            </w:r>
          </w:p>
        </w:tc>
      </w:tr>
      <w:tr w14:paraId="0246196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12" w:space="0"/>
            </w:tcBorders>
          </w:tcPr>
          <w:p w14:paraId="7CDE9A87">
            <w:pPr>
              <w:spacing w:line="240" w:lineRule="auto"/>
              <w:jc w:val="center"/>
              <w:rPr>
                <w:rFonts w:ascii="宋体" w:hAnsi="宋体"/>
              </w:rPr>
            </w:pPr>
            <w:r>
              <w:rPr>
                <w:rFonts w:hint="eastAsia" w:ascii="宋体" w:hAnsi="宋体"/>
              </w:rPr>
              <w:t>1</w:t>
            </w:r>
          </w:p>
        </w:tc>
        <w:tc>
          <w:tcPr>
            <w:tcW w:w="1701" w:type="dxa"/>
            <w:tcBorders>
              <w:top w:val="single" w:color="auto" w:sz="12" w:space="0"/>
            </w:tcBorders>
          </w:tcPr>
          <w:p w14:paraId="02DB295A">
            <w:pPr>
              <w:spacing w:line="240" w:lineRule="auto"/>
              <w:jc w:val="center"/>
              <w:rPr>
                <w:rFonts w:ascii="宋体" w:hAnsi="宋体"/>
              </w:rPr>
            </w:pPr>
            <w:r>
              <w:rPr>
                <w:rFonts w:hint="eastAsia" w:ascii="宋体" w:hAnsi="宋体"/>
              </w:rPr>
              <w:t>乙烷</w:t>
            </w:r>
          </w:p>
        </w:tc>
        <w:tc>
          <w:tcPr>
            <w:tcW w:w="851" w:type="dxa"/>
            <w:tcBorders>
              <w:top w:val="single" w:color="auto" w:sz="12" w:space="0"/>
            </w:tcBorders>
          </w:tcPr>
          <w:p w14:paraId="2CCE225C">
            <w:pPr>
              <w:spacing w:line="240" w:lineRule="auto"/>
              <w:jc w:val="center"/>
              <w:rPr>
                <w:rFonts w:ascii="宋体" w:hAnsi="宋体"/>
              </w:rPr>
            </w:pPr>
            <w:r>
              <w:rPr>
                <w:rFonts w:ascii="宋体" w:hAnsi="宋体"/>
              </w:rPr>
              <w:t>0.14</w:t>
            </w:r>
          </w:p>
        </w:tc>
        <w:tc>
          <w:tcPr>
            <w:tcW w:w="708" w:type="dxa"/>
            <w:tcBorders>
              <w:top w:val="single" w:color="auto" w:sz="12" w:space="0"/>
            </w:tcBorders>
          </w:tcPr>
          <w:p w14:paraId="7B08F3E5">
            <w:pPr>
              <w:spacing w:line="240" w:lineRule="auto"/>
              <w:jc w:val="center"/>
              <w:rPr>
                <w:rFonts w:ascii="宋体" w:hAnsi="宋体"/>
              </w:rPr>
            </w:pPr>
            <w:r>
              <w:rPr>
                <w:rFonts w:hint="eastAsia" w:ascii="宋体" w:hAnsi="宋体"/>
              </w:rPr>
              <w:t>3</w:t>
            </w:r>
            <w:r>
              <w:rPr>
                <w:rFonts w:ascii="宋体" w:hAnsi="宋体"/>
              </w:rPr>
              <w:t>4</w:t>
            </w:r>
          </w:p>
        </w:tc>
        <w:tc>
          <w:tcPr>
            <w:tcW w:w="2694" w:type="dxa"/>
            <w:tcBorders>
              <w:top w:val="single" w:color="auto" w:sz="12" w:space="0"/>
            </w:tcBorders>
          </w:tcPr>
          <w:p w14:paraId="21818C2F">
            <w:pPr>
              <w:spacing w:line="240" w:lineRule="auto"/>
              <w:jc w:val="center"/>
              <w:rPr>
                <w:rFonts w:ascii="宋体" w:hAnsi="宋体"/>
              </w:rPr>
            </w:pPr>
            <w:r>
              <w:rPr>
                <w:rFonts w:hint="eastAsia" w:ascii="宋体" w:hAnsi="宋体"/>
              </w:rPr>
              <w:t>异戊二烯</w:t>
            </w:r>
          </w:p>
        </w:tc>
        <w:tc>
          <w:tcPr>
            <w:tcW w:w="850" w:type="dxa"/>
            <w:tcBorders>
              <w:top w:val="single" w:color="auto" w:sz="12" w:space="0"/>
            </w:tcBorders>
          </w:tcPr>
          <w:p w14:paraId="01EBA173">
            <w:pPr>
              <w:spacing w:line="240" w:lineRule="auto"/>
              <w:jc w:val="center"/>
              <w:rPr>
                <w:rFonts w:ascii="宋体" w:hAnsi="宋体"/>
              </w:rPr>
            </w:pPr>
            <w:r>
              <w:rPr>
                <w:rFonts w:ascii="宋体" w:hAnsi="宋体"/>
              </w:rPr>
              <w:t>7.89</w:t>
            </w:r>
          </w:p>
        </w:tc>
        <w:tc>
          <w:tcPr>
            <w:tcW w:w="709" w:type="dxa"/>
            <w:tcBorders>
              <w:top w:val="single" w:color="auto" w:sz="12" w:space="0"/>
            </w:tcBorders>
          </w:tcPr>
          <w:p w14:paraId="479D58FF">
            <w:pPr>
              <w:spacing w:line="240" w:lineRule="auto"/>
              <w:jc w:val="center"/>
              <w:rPr>
                <w:rFonts w:ascii="宋体" w:hAnsi="宋体"/>
              </w:rPr>
            </w:pPr>
            <w:r>
              <w:rPr>
                <w:rFonts w:ascii="宋体" w:hAnsi="宋体"/>
              </w:rPr>
              <w:t>67</w:t>
            </w:r>
          </w:p>
        </w:tc>
        <w:tc>
          <w:tcPr>
            <w:tcW w:w="1838" w:type="dxa"/>
            <w:tcBorders>
              <w:top w:val="single" w:color="auto" w:sz="12" w:space="0"/>
            </w:tcBorders>
          </w:tcPr>
          <w:p w14:paraId="7A6C0C85">
            <w:pPr>
              <w:spacing w:line="240" w:lineRule="auto"/>
              <w:jc w:val="center"/>
              <w:rPr>
                <w:rFonts w:ascii="宋体" w:hAnsi="宋体"/>
              </w:rPr>
            </w:pPr>
            <w:r>
              <w:rPr>
                <w:rFonts w:hint="eastAsia" w:ascii="宋体" w:hAnsi="宋体"/>
              </w:rPr>
              <w:t>丙酮</w:t>
            </w:r>
          </w:p>
        </w:tc>
        <w:tc>
          <w:tcPr>
            <w:tcW w:w="850" w:type="dxa"/>
            <w:tcBorders>
              <w:top w:val="single" w:color="auto" w:sz="12" w:space="0"/>
            </w:tcBorders>
          </w:tcPr>
          <w:p w14:paraId="1E295204">
            <w:pPr>
              <w:spacing w:line="240" w:lineRule="auto"/>
              <w:jc w:val="center"/>
              <w:rPr>
                <w:rFonts w:ascii="宋体" w:hAnsi="宋体"/>
              </w:rPr>
            </w:pPr>
            <w:r>
              <w:rPr>
                <w:rFonts w:ascii="宋体" w:hAnsi="宋体"/>
              </w:rPr>
              <w:t>0.22</w:t>
            </w:r>
          </w:p>
        </w:tc>
        <w:tc>
          <w:tcPr>
            <w:tcW w:w="709" w:type="dxa"/>
            <w:tcBorders>
              <w:top w:val="single" w:color="auto" w:sz="12" w:space="0"/>
            </w:tcBorders>
          </w:tcPr>
          <w:p w14:paraId="323C1522">
            <w:pPr>
              <w:spacing w:line="240" w:lineRule="auto"/>
              <w:jc w:val="center"/>
              <w:rPr>
                <w:rFonts w:ascii="宋体" w:hAnsi="宋体"/>
              </w:rPr>
            </w:pPr>
            <w:r>
              <w:rPr>
                <w:rFonts w:ascii="宋体" w:hAnsi="宋体"/>
              </w:rPr>
              <w:t>100</w:t>
            </w:r>
          </w:p>
        </w:tc>
        <w:tc>
          <w:tcPr>
            <w:tcW w:w="1701" w:type="dxa"/>
            <w:tcBorders>
              <w:top w:val="single" w:color="auto" w:sz="12" w:space="0"/>
            </w:tcBorders>
          </w:tcPr>
          <w:p w14:paraId="46037D3D">
            <w:pPr>
              <w:spacing w:line="240" w:lineRule="auto"/>
              <w:jc w:val="center"/>
              <w:rPr>
                <w:rFonts w:ascii="宋体" w:hAnsi="宋体"/>
              </w:rPr>
            </w:pPr>
            <w:r>
              <w:rPr>
                <w:rFonts w:hint="eastAsia" w:ascii="宋体" w:hAnsi="宋体"/>
              </w:rPr>
              <w:t>乙酸正丁酯</w:t>
            </w:r>
          </w:p>
        </w:tc>
        <w:tc>
          <w:tcPr>
            <w:tcW w:w="850" w:type="dxa"/>
            <w:tcBorders>
              <w:top w:val="single" w:color="auto" w:sz="12" w:space="0"/>
            </w:tcBorders>
          </w:tcPr>
          <w:p w14:paraId="0EE8565E">
            <w:pPr>
              <w:spacing w:line="240" w:lineRule="auto"/>
              <w:jc w:val="center"/>
              <w:rPr>
                <w:rFonts w:ascii="宋体" w:hAnsi="宋体"/>
              </w:rPr>
            </w:pPr>
            <w:r>
              <w:rPr>
                <w:rFonts w:ascii="宋体" w:hAnsi="宋体"/>
              </w:rPr>
              <w:t>0.50</w:t>
            </w:r>
          </w:p>
        </w:tc>
      </w:tr>
      <w:tr w14:paraId="5F870D7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56489825">
            <w:pPr>
              <w:spacing w:line="240" w:lineRule="auto"/>
              <w:jc w:val="center"/>
              <w:rPr>
                <w:rFonts w:ascii="宋体" w:hAnsi="宋体"/>
              </w:rPr>
            </w:pPr>
            <w:r>
              <w:rPr>
                <w:rFonts w:hint="eastAsia" w:ascii="宋体" w:hAnsi="宋体"/>
              </w:rPr>
              <w:t>2</w:t>
            </w:r>
          </w:p>
        </w:tc>
        <w:tc>
          <w:tcPr>
            <w:tcW w:w="1701" w:type="dxa"/>
          </w:tcPr>
          <w:p w14:paraId="3A01B197">
            <w:pPr>
              <w:spacing w:line="240" w:lineRule="auto"/>
              <w:jc w:val="center"/>
              <w:rPr>
                <w:rFonts w:ascii="宋体" w:hAnsi="宋体"/>
              </w:rPr>
            </w:pPr>
            <w:r>
              <w:rPr>
                <w:rFonts w:hint="eastAsia" w:ascii="宋体" w:hAnsi="宋体"/>
              </w:rPr>
              <w:t>丙烷</w:t>
            </w:r>
          </w:p>
        </w:tc>
        <w:tc>
          <w:tcPr>
            <w:tcW w:w="851" w:type="dxa"/>
          </w:tcPr>
          <w:p w14:paraId="6E06B8C8">
            <w:pPr>
              <w:spacing w:line="240" w:lineRule="auto"/>
              <w:jc w:val="center"/>
              <w:rPr>
                <w:rFonts w:ascii="宋体" w:hAnsi="宋体"/>
              </w:rPr>
            </w:pPr>
            <w:r>
              <w:rPr>
                <w:rFonts w:ascii="宋体" w:hAnsi="宋体"/>
              </w:rPr>
              <w:t>0.25</w:t>
            </w:r>
          </w:p>
        </w:tc>
        <w:tc>
          <w:tcPr>
            <w:tcW w:w="708" w:type="dxa"/>
          </w:tcPr>
          <w:p w14:paraId="12EBC313">
            <w:pPr>
              <w:spacing w:line="240" w:lineRule="auto"/>
              <w:jc w:val="center"/>
              <w:rPr>
                <w:rFonts w:ascii="宋体" w:hAnsi="宋体"/>
              </w:rPr>
            </w:pPr>
            <w:r>
              <w:rPr>
                <w:rFonts w:hint="eastAsia" w:ascii="宋体" w:hAnsi="宋体"/>
              </w:rPr>
              <w:t>3</w:t>
            </w:r>
            <w:r>
              <w:rPr>
                <w:rFonts w:ascii="宋体" w:hAnsi="宋体"/>
              </w:rPr>
              <w:t>5</w:t>
            </w:r>
          </w:p>
        </w:tc>
        <w:tc>
          <w:tcPr>
            <w:tcW w:w="2694" w:type="dxa"/>
          </w:tcPr>
          <w:p w14:paraId="79A77176">
            <w:pPr>
              <w:spacing w:line="240" w:lineRule="auto"/>
              <w:jc w:val="center"/>
              <w:rPr>
                <w:rFonts w:ascii="宋体" w:hAnsi="宋体"/>
              </w:rPr>
            </w:pPr>
            <w:r>
              <w:rPr>
                <w:rFonts w:ascii="宋体" w:hAnsi="宋体"/>
              </w:rPr>
              <w:t>1-己烯</w:t>
            </w:r>
          </w:p>
        </w:tc>
        <w:tc>
          <w:tcPr>
            <w:tcW w:w="850" w:type="dxa"/>
          </w:tcPr>
          <w:p w14:paraId="27B8B999">
            <w:pPr>
              <w:spacing w:line="240" w:lineRule="auto"/>
              <w:jc w:val="center"/>
              <w:rPr>
                <w:rFonts w:ascii="宋体" w:hAnsi="宋体"/>
              </w:rPr>
            </w:pPr>
            <w:r>
              <w:rPr>
                <w:rFonts w:ascii="宋体" w:hAnsi="宋体"/>
              </w:rPr>
              <w:t>5.69</w:t>
            </w:r>
          </w:p>
        </w:tc>
        <w:tc>
          <w:tcPr>
            <w:tcW w:w="709" w:type="dxa"/>
          </w:tcPr>
          <w:p w14:paraId="74B4F4A0">
            <w:pPr>
              <w:spacing w:line="240" w:lineRule="auto"/>
              <w:jc w:val="center"/>
              <w:rPr>
                <w:rFonts w:ascii="宋体" w:hAnsi="宋体"/>
              </w:rPr>
            </w:pPr>
            <w:r>
              <w:rPr>
                <w:rFonts w:ascii="宋体" w:hAnsi="宋体"/>
              </w:rPr>
              <w:t>68</w:t>
            </w:r>
          </w:p>
        </w:tc>
        <w:tc>
          <w:tcPr>
            <w:tcW w:w="1838" w:type="dxa"/>
          </w:tcPr>
          <w:p w14:paraId="5D199A5B">
            <w:pPr>
              <w:spacing w:line="240" w:lineRule="auto"/>
              <w:jc w:val="center"/>
              <w:rPr>
                <w:rFonts w:ascii="宋体" w:hAnsi="宋体"/>
              </w:rPr>
            </w:pPr>
            <w:r>
              <w:rPr>
                <w:rFonts w:hint="eastAsia" w:ascii="宋体" w:hAnsi="宋体"/>
              </w:rPr>
              <w:t>异</w:t>
            </w:r>
            <w:r>
              <w:rPr>
                <w:rFonts w:ascii="宋体" w:hAnsi="宋体"/>
              </w:rPr>
              <w:t>丙醇</w:t>
            </w:r>
          </w:p>
        </w:tc>
        <w:tc>
          <w:tcPr>
            <w:tcW w:w="850" w:type="dxa"/>
          </w:tcPr>
          <w:p w14:paraId="3A437531">
            <w:pPr>
              <w:spacing w:line="240" w:lineRule="auto"/>
              <w:jc w:val="center"/>
              <w:rPr>
                <w:rFonts w:ascii="宋体" w:hAnsi="宋体"/>
              </w:rPr>
            </w:pPr>
            <w:r>
              <w:rPr>
                <w:rFonts w:ascii="宋体" w:hAnsi="宋体"/>
              </w:rPr>
              <w:t>0.49</w:t>
            </w:r>
          </w:p>
        </w:tc>
        <w:tc>
          <w:tcPr>
            <w:tcW w:w="709" w:type="dxa"/>
          </w:tcPr>
          <w:p w14:paraId="48F3B45D">
            <w:pPr>
              <w:spacing w:line="240" w:lineRule="auto"/>
              <w:jc w:val="center"/>
              <w:rPr>
                <w:rFonts w:ascii="宋体" w:hAnsi="宋体"/>
              </w:rPr>
            </w:pPr>
            <w:r>
              <w:rPr>
                <w:rFonts w:ascii="宋体" w:hAnsi="宋体"/>
              </w:rPr>
              <w:t>101</w:t>
            </w:r>
          </w:p>
        </w:tc>
        <w:tc>
          <w:tcPr>
            <w:tcW w:w="1701" w:type="dxa"/>
          </w:tcPr>
          <w:p w14:paraId="485B2C46">
            <w:pPr>
              <w:spacing w:line="240" w:lineRule="auto"/>
              <w:jc w:val="center"/>
              <w:rPr>
                <w:rFonts w:ascii="宋体" w:hAnsi="宋体"/>
              </w:rPr>
            </w:pPr>
            <w:r>
              <w:rPr>
                <w:rFonts w:ascii="宋体" w:hAnsi="宋体"/>
              </w:rPr>
              <w:t>2-丁氧基乙醇</w:t>
            </w:r>
          </w:p>
        </w:tc>
        <w:tc>
          <w:tcPr>
            <w:tcW w:w="850" w:type="dxa"/>
          </w:tcPr>
          <w:p w14:paraId="6CBE671F">
            <w:pPr>
              <w:spacing w:line="240" w:lineRule="auto"/>
              <w:jc w:val="center"/>
              <w:rPr>
                <w:rFonts w:ascii="宋体" w:hAnsi="宋体"/>
              </w:rPr>
            </w:pPr>
            <w:r>
              <w:rPr>
                <w:rFonts w:ascii="宋体" w:hAnsi="宋体"/>
              </w:rPr>
              <w:t>1.08</w:t>
            </w:r>
          </w:p>
        </w:tc>
      </w:tr>
      <w:tr w14:paraId="0AE7FBE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5B1C7C26">
            <w:pPr>
              <w:spacing w:line="240" w:lineRule="auto"/>
              <w:jc w:val="center"/>
              <w:rPr>
                <w:rFonts w:ascii="宋体" w:hAnsi="宋体"/>
              </w:rPr>
            </w:pPr>
            <w:r>
              <w:rPr>
                <w:rFonts w:hint="eastAsia" w:ascii="宋体" w:hAnsi="宋体"/>
              </w:rPr>
              <w:t>3</w:t>
            </w:r>
          </w:p>
        </w:tc>
        <w:tc>
          <w:tcPr>
            <w:tcW w:w="1701" w:type="dxa"/>
          </w:tcPr>
          <w:p w14:paraId="6ED3A98D">
            <w:pPr>
              <w:spacing w:line="240" w:lineRule="auto"/>
              <w:jc w:val="center"/>
              <w:rPr>
                <w:rFonts w:ascii="宋体" w:hAnsi="宋体"/>
              </w:rPr>
            </w:pPr>
            <w:r>
              <w:rPr>
                <w:rFonts w:hint="eastAsia" w:ascii="宋体" w:hAnsi="宋体"/>
              </w:rPr>
              <w:t>正丁烷</w:t>
            </w:r>
          </w:p>
        </w:tc>
        <w:tc>
          <w:tcPr>
            <w:tcW w:w="851" w:type="dxa"/>
          </w:tcPr>
          <w:p w14:paraId="491C67B4">
            <w:pPr>
              <w:spacing w:line="240" w:lineRule="auto"/>
              <w:jc w:val="center"/>
              <w:rPr>
                <w:rFonts w:ascii="宋体" w:hAnsi="宋体"/>
              </w:rPr>
            </w:pPr>
            <w:r>
              <w:rPr>
                <w:rFonts w:ascii="宋体" w:hAnsi="宋体"/>
              </w:rPr>
              <w:t>0.75</w:t>
            </w:r>
          </w:p>
        </w:tc>
        <w:tc>
          <w:tcPr>
            <w:tcW w:w="708" w:type="dxa"/>
          </w:tcPr>
          <w:p w14:paraId="61C34A5E">
            <w:pPr>
              <w:spacing w:line="240" w:lineRule="auto"/>
              <w:jc w:val="center"/>
              <w:rPr>
                <w:rFonts w:ascii="宋体" w:hAnsi="宋体"/>
              </w:rPr>
            </w:pPr>
            <w:r>
              <w:rPr>
                <w:rFonts w:hint="eastAsia" w:ascii="宋体" w:hAnsi="宋体"/>
              </w:rPr>
              <w:t>3</w:t>
            </w:r>
            <w:r>
              <w:rPr>
                <w:rFonts w:ascii="宋体" w:hAnsi="宋体"/>
              </w:rPr>
              <w:t>6</w:t>
            </w:r>
          </w:p>
        </w:tc>
        <w:tc>
          <w:tcPr>
            <w:tcW w:w="2694" w:type="dxa"/>
          </w:tcPr>
          <w:p w14:paraId="1C08DA28">
            <w:pPr>
              <w:spacing w:line="240" w:lineRule="auto"/>
              <w:jc w:val="center"/>
              <w:rPr>
                <w:rFonts w:ascii="宋体" w:hAnsi="宋体"/>
              </w:rPr>
            </w:pPr>
            <w:r>
              <w:rPr>
                <w:rFonts w:hint="eastAsia" w:ascii="宋体" w:hAnsi="宋体"/>
              </w:rPr>
              <w:t>顺</w:t>
            </w:r>
            <w:r>
              <w:rPr>
                <w:rFonts w:ascii="宋体" w:hAnsi="宋体"/>
              </w:rPr>
              <w:t>-2-己烯</w:t>
            </w:r>
          </w:p>
        </w:tc>
        <w:tc>
          <w:tcPr>
            <w:tcW w:w="850" w:type="dxa"/>
          </w:tcPr>
          <w:p w14:paraId="1AA5FA7D">
            <w:pPr>
              <w:spacing w:line="240" w:lineRule="auto"/>
              <w:jc w:val="center"/>
              <w:rPr>
                <w:rFonts w:ascii="宋体" w:hAnsi="宋体"/>
              </w:rPr>
            </w:pPr>
            <w:r>
              <w:rPr>
                <w:rFonts w:ascii="宋体" w:hAnsi="宋体"/>
              </w:rPr>
              <w:t>9.83</w:t>
            </w:r>
          </w:p>
        </w:tc>
        <w:tc>
          <w:tcPr>
            <w:tcW w:w="709" w:type="dxa"/>
          </w:tcPr>
          <w:p w14:paraId="6C874B99">
            <w:pPr>
              <w:spacing w:line="240" w:lineRule="auto"/>
              <w:jc w:val="center"/>
              <w:rPr>
                <w:rFonts w:ascii="宋体" w:hAnsi="宋体"/>
              </w:rPr>
            </w:pPr>
            <w:r>
              <w:rPr>
                <w:rFonts w:ascii="宋体" w:hAnsi="宋体"/>
              </w:rPr>
              <w:t>69</w:t>
            </w:r>
          </w:p>
        </w:tc>
        <w:tc>
          <w:tcPr>
            <w:tcW w:w="1838" w:type="dxa"/>
          </w:tcPr>
          <w:p w14:paraId="1D6C23A5">
            <w:pPr>
              <w:spacing w:line="240" w:lineRule="auto"/>
              <w:jc w:val="center"/>
              <w:rPr>
                <w:rFonts w:ascii="宋体" w:hAnsi="宋体"/>
              </w:rPr>
            </w:pPr>
            <w:r>
              <w:rPr>
                <w:rFonts w:hint="eastAsia" w:ascii="宋体" w:hAnsi="宋体"/>
              </w:rPr>
              <w:t>正丙醇</w:t>
            </w:r>
          </w:p>
        </w:tc>
        <w:tc>
          <w:tcPr>
            <w:tcW w:w="850" w:type="dxa"/>
          </w:tcPr>
          <w:p w14:paraId="58A03C8B">
            <w:pPr>
              <w:spacing w:line="240" w:lineRule="auto"/>
              <w:jc w:val="center"/>
              <w:rPr>
                <w:rFonts w:ascii="宋体" w:hAnsi="宋体"/>
              </w:rPr>
            </w:pPr>
            <w:r>
              <w:rPr>
                <w:rFonts w:ascii="宋体" w:hAnsi="宋体"/>
              </w:rPr>
              <w:t>1.86</w:t>
            </w:r>
          </w:p>
        </w:tc>
        <w:tc>
          <w:tcPr>
            <w:tcW w:w="709" w:type="dxa"/>
          </w:tcPr>
          <w:p w14:paraId="163F84E7">
            <w:pPr>
              <w:spacing w:line="240" w:lineRule="auto"/>
              <w:jc w:val="center"/>
              <w:rPr>
                <w:rFonts w:ascii="宋体" w:hAnsi="宋体"/>
              </w:rPr>
            </w:pPr>
            <w:r>
              <w:rPr>
                <w:rFonts w:ascii="宋体" w:hAnsi="宋体"/>
              </w:rPr>
              <w:t>102</w:t>
            </w:r>
          </w:p>
        </w:tc>
        <w:tc>
          <w:tcPr>
            <w:tcW w:w="1701" w:type="dxa"/>
          </w:tcPr>
          <w:p w14:paraId="1DDA54AE">
            <w:pPr>
              <w:spacing w:line="240" w:lineRule="auto"/>
              <w:jc w:val="center"/>
              <w:rPr>
                <w:rFonts w:ascii="宋体" w:hAnsi="宋体"/>
              </w:rPr>
            </w:pPr>
            <w:r>
              <w:rPr>
                <w:rFonts w:hint="eastAsia" w:ascii="宋体" w:hAnsi="宋体"/>
              </w:rPr>
              <w:t>苯乙醛</w:t>
            </w:r>
          </w:p>
        </w:tc>
        <w:tc>
          <w:tcPr>
            <w:tcW w:w="850" w:type="dxa"/>
          </w:tcPr>
          <w:p w14:paraId="5BEF6AFB">
            <w:pPr>
              <w:spacing w:line="240" w:lineRule="auto"/>
              <w:jc w:val="center"/>
              <w:rPr>
                <w:rFonts w:ascii="宋体" w:hAnsi="宋体"/>
              </w:rPr>
            </w:pPr>
            <w:r>
              <w:rPr>
                <w:rFonts w:ascii="宋体" w:hAnsi="宋体"/>
              </w:rPr>
              <w:t>-1.02</w:t>
            </w:r>
          </w:p>
        </w:tc>
      </w:tr>
      <w:tr w14:paraId="2D6CE8D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00B667F1">
            <w:pPr>
              <w:spacing w:line="240" w:lineRule="auto"/>
              <w:jc w:val="center"/>
              <w:rPr>
                <w:rFonts w:ascii="宋体" w:hAnsi="宋体"/>
              </w:rPr>
            </w:pPr>
            <w:r>
              <w:rPr>
                <w:rFonts w:hint="eastAsia" w:ascii="宋体" w:hAnsi="宋体"/>
              </w:rPr>
              <w:t>4</w:t>
            </w:r>
          </w:p>
        </w:tc>
        <w:tc>
          <w:tcPr>
            <w:tcW w:w="1701" w:type="dxa"/>
          </w:tcPr>
          <w:p w14:paraId="70BE386D">
            <w:pPr>
              <w:spacing w:line="240" w:lineRule="auto"/>
              <w:jc w:val="center"/>
              <w:rPr>
                <w:rFonts w:ascii="宋体" w:hAnsi="宋体"/>
              </w:rPr>
            </w:pPr>
            <w:r>
              <w:rPr>
                <w:rFonts w:hint="eastAsia" w:ascii="宋体" w:hAnsi="宋体"/>
              </w:rPr>
              <w:t>异丁烷</w:t>
            </w:r>
          </w:p>
        </w:tc>
        <w:tc>
          <w:tcPr>
            <w:tcW w:w="851" w:type="dxa"/>
          </w:tcPr>
          <w:p w14:paraId="4C87B06C">
            <w:pPr>
              <w:spacing w:line="240" w:lineRule="auto"/>
              <w:jc w:val="center"/>
              <w:rPr>
                <w:rFonts w:ascii="宋体" w:hAnsi="宋体"/>
              </w:rPr>
            </w:pPr>
            <w:r>
              <w:rPr>
                <w:rFonts w:ascii="宋体" w:hAnsi="宋体"/>
              </w:rPr>
              <w:t>0.83</w:t>
            </w:r>
          </w:p>
        </w:tc>
        <w:tc>
          <w:tcPr>
            <w:tcW w:w="708" w:type="dxa"/>
          </w:tcPr>
          <w:p w14:paraId="0C880A29">
            <w:pPr>
              <w:spacing w:line="240" w:lineRule="auto"/>
              <w:jc w:val="center"/>
              <w:rPr>
                <w:rFonts w:ascii="宋体" w:hAnsi="宋体"/>
              </w:rPr>
            </w:pPr>
            <w:r>
              <w:rPr>
                <w:rFonts w:hint="eastAsia" w:ascii="宋体" w:hAnsi="宋体"/>
              </w:rPr>
              <w:t>3</w:t>
            </w:r>
            <w:r>
              <w:rPr>
                <w:rFonts w:ascii="宋体" w:hAnsi="宋体"/>
              </w:rPr>
              <w:t>7</w:t>
            </w:r>
          </w:p>
        </w:tc>
        <w:tc>
          <w:tcPr>
            <w:tcW w:w="2694" w:type="dxa"/>
          </w:tcPr>
          <w:p w14:paraId="59FA8216">
            <w:pPr>
              <w:spacing w:line="240" w:lineRule="auto"/>
              <w:jc w:val="center"/>
              <w:rPr>
                <w:rFonts w:ascii="宋体" w:hAnsi="宋体"/>
              </w:rPr>
            </w:pPr>
            <w:r>
              <w:rPr>
                <w:rFonts w:hint="eastAsia" w:ascii="宋体" w:hAnsi="宋体"/>
              </w:rPr>
              <w:t>反</w:t>
            </w:r>
            <w:r>
              <w:rPr>
                <w:rFonts w:ascii="宋体" w:hAnsi="宋体"/>
              </w:rPr>
              <w:t>-2-己烯</w:t>
            </w:r>
          </w:p>
        </w:tc>
        <w:tc>
          <w:tcPr>
            <w:tcW w:w="850" w:type="dxa"/>
          </w:tcPr>
          <w:p w14:paraId="7A5D72DC">
            <w:pPr>
              <w:spacing w:line="240" w:lineRule="auto"/>
              <w:jc w:val="center"/>
              <w:rPr>
                <w:rFonts w:ascii="宋体" w:hAnsi="宋体"/>
              </w:rPr>
            </w:pPr>
            <w:r>
              <w:rPr>
                <w:rFonts w:ascii="宋体" w:hAnsi="宋体"/>
              </w:rPr>
              <w:t>5.44</w:t>
            </w:r>
          </w:p>
        </w:tc>
        <w:tc>
          <w:tcPr>
            <w:tcW w:w="709" w:type="dxa"/>
          </w:tcPr>
          <w:p w14:paraId="6E0C5F33">
            <w:pPr>
              <w:spacing w:line="240" w:lineRule="auto"/>
              <w:jc w:val="center"/>
              <w:rPr>
                <w:rFonts w:ascii="宋体" w:hAnsi="宋体"/>
              </w:rPr>
            </w:pPr>
            <w:r>
              <w:rPr>
                <w:rFonts w:ascii="宋体" w:hAnsi="宋体"/>
              </w:rPr>
              <w:t>70</w:t>
            </w:r>
          </w:p>
        </w:tc>
        <w:tc>
          <w:tcPr>
            <w:tcW w:w="1838" w:type="dxa"/>
          </w:tcPr>
          <w:p w14:paraId="6BAD1C57">
            <w:pPr>
              <w:spacing w:line="240" w:lineRule="auto"/>
              <w:jc w:val="center"/>
              <w:rPr>
                <w:rFonts w:ascii="宋体" w:hAnsi="宋体"/>
              </w:rPr>
            </w:pPr>
            <w:r>
              <w:rPr>
                <w:rFonts w:hint="eastAsia" w:ascii="宋体" w:hAnsi="宋体"/>
              </w:rPr>
              <w:t>甲基乙二醛</w:t>
            </w:r>
          </w:p>
        </w:tc>
        <w:tc>
          <w:tcPr>
            <w:tcW w:w="850" w:type="dxa"/>
          </w:tcPr>
          <w:p w14:paraId="6B251656">
            <w:pPr>
              <w:spacing w:line="240" w:lineRule="auto"/>
              <w:jc w:val="center"/>
              <w:rPr>
                <w:rFonts w:ascii="宋体" w:hAnsi="宋体"/>
              </w:rPr>
            </w:pPr>
            <w:r>
              <w:rPr>
                <w:rFonts w:ascii="宋体" w:hAnsi="宋体"/>
              </w:rPr>
              <w:t>15.27</w:t>
            </w:r>
          </w:p>
        </w:tc>
        <w:tc>
          <w:tcPr>
            <w:tcW w:w="709" w:type="dxa"/>
          </w:tcPr>
          <w:p w14:paraId="08D6CE44">
            <w:pPr>
              <w:spacing w:line="240" w:lineRule="auto"/>
              <w:jc w:val="center"/>
              <w:rPr>
                <w:rFonts w:ascii="宋体" w:hAnsi="宋体"/>
              </w:rPr>
            </w:pPr>
            <w:r>
              <w:rPr>
                <w:rFonts w:ascii="宋体" w:hAnsi="宋体"/>
              </w:rPr>
              <w:t>103</w:t>
            </w:r>
          </w:p>
        </w:tc>
        <w:tc>
          <w:tcPr>
            <w:tcW w:w="1701" w:type="dxa"/>
          </w:tcPr>
          <w:p w14:paraId="33B3C545">
            <w:pPr>
              <w:spacing w:line="240" w:lineRule="auto"/>
              <w:jc w:val="center"/>
              <w:rPr>
                <w:rFonts w:ascii="宋体" w:hAnsi="宋体"/>
              </w:rPr>
            </w:pPr>
            <w:r>
              <w:rPr>
                <w:rFonts w:hint="eastAsia" w:ascii="宋体" w:hAnsi="宋体"/>
              </w:rPr>
              <w:t>苯乙酮</w:t>
            </w:r>
          </w:p>
        </w:tc>
        <w:tc>
          <w:tcPr>
            <w:tcW w:w="850" w:type="dxa"/>
          </w:tcPr>
          <w:p w14:paraId="12A3B53F">
            <w:pPr>
              <w:spacing w:line="240" w:lineRule="auto"/>
              <w:jc w:val="center"/>
              <w:rPr>
                <w:rFonts w:ascii="宋体" w:hAnsi="宋体"/>
              </w:rPr>
            </w:pPr>
            <w:r>
              <w:rPr>
                <w:rFonts w:ascii="宋体" w:hAnsi="宋体"/>
              </w:rPr>
              <w:t>0.35</w:t>
            </w:r>
          </w:p>
        </w:tc>
      </w:tr>
      <w:tr w14:paraId="42E1E33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462C2C82">
            <w:pPr>
              <w:spacing w:line="240" w:lineRule="auto"/>
              <w:jc w:val="center"/>
              <w:rPr>
                <w:rFonts w:ascii="宋体" w:hAnsi="宋体"/>
              </w:rPr>
            </w:pPr>
            <w:r>
              <w:rPr>
                <w:rFonts w:hint="eastAsia" w:ascii="宋体" w:hAnsi="宋体"/>
              </w:rPr>
              <w:t>5</w:t>
            </w:r>
          </w:p>
        </w:tc>
        <w:tc>
          <w:tcPr>
            <w:tcW w:w="1701" w:type="dxa"/>
          </w:tcPr>
          <w:p w14:paraId="27B452DE">
            <w:pPr>
              <w:spacing w:line="240" w:lineRule="auto"/>
              <w:jc w:val="center"/>
              <w:rPr>
                <w:rFonts w:ascii="宋体" w:hAnsi="宋体"/>
              </w:rPr>
            </w:pPr>
            <w:r>
              <w:rPr>
                <w:rFonts w:hint="eastAsia" w:ascii="宋体" w:hAnsi="宋体"/>
              </w:rPr>
              <w:t>正戊烷</w:t>
            </w:r>
          </w:p>
        </w:tc>
        <w:tc>
          <w:tcPr>
            <w:tcW w:w="851" w:type="dxa"/>
          </w:tcPr>
          <w:p w14:paraId="4BDBC7BE">
            <w:pPr>
              <w:spacing w:line="240" w:lineRule="auto"/>
              <w:jc w:val="center"/>
              <w:rPr>
                <w:rFonts w:ascii="宋体" w:hAnsi="宋体"/>
              </w:rPr>
            </w:pPr>
            <w:r>
              <w:rPr>
                <w:rFonts w:ascii="宋体" w:hAnsi="宋体"/>
              </w:rPr>
              <w:t>0.87</w:t>
            </w:r>
          </w:p>
        </w:tc>
        <w:tc>
          <w:tcPr>
            <w:tcW w:w="708" w:type="dxa"/>
          </w:tcPr>
          <w:p w14:paraId="498AAD99">
            <w:pPr>
              <w:spacing w:line="240" w:lineRule="auto"/>
              <w:jc w:val="center"/>
              <w:rPr>
                <w:rFonts w:ascii="宋体" w:hAnsi="宋体"/>
              </w:rPr>
            </w:pPr>
            <w:r>
              <w:rPr>
                <w:rFonts w:hint="eastAsia" w:ascii="宋体" w:hAnsi="宋体"/>
              </w:rPr>
              <w:t>3</w:t>
            </w:r>
            <w:r>
              <w:rPr>
                <w:rFonts w:ascii="宋体" w:hAnsi="宋体"/>
              </w:rPr>
              <w:t>8</w:t>
            </w:r>
          </w:p>
        </w:tc>
        <w:tc>
          <w:tcPr>
            <w:tcW w:w="2694" w:type="dxa"/>
          </w:tcPr>
          <w:p w14:paraId="68329DCC">
            <w:pPr>
              <w:spacing w:line="240" w:lineRule="auto"/>
              <w:jc w:val="center"/>
              <w:rPr>
                <w:rFonts w:ascii="宋体" w:hAnsi="宋体"/>
              </w:rPr>
            </w:pPr>
            <w:r>
              <w:rPr>
                <w:rFonts w:hint="eastAsia" w:ascii="宋体" w:hAnsi="宋体"/>
              </w:rPr>
              <w:t>β-蒎烯</w:t>
            </w:r>
          </w:p>
        </w:tc>
        <w:tc>
          <w:tcPr>
            <w:tcW w:w="850" w:type="dxa"/>
          </w:tcPr>
          <w:p w14:paraId="78DC856E">
            <w:pPr>
              <w:spacing w:line="240" w:lineRule="auto"/>
              <w:jc w:val="center"/>
              <w:rPr>
                <w:rFonts w:ascii="宋体" w:hAnsi="宋体"/>
              </w:rPr>
            </w:pPr>
            <w:r>
              <w:rPr>
                <w:rFonts w:ascii="宋体" w:hAnsi="宋体"/>
              </w:rPr>
              <w:t>2.46</w:t>
            </w:r>
          </w:p>
        </w:tc>
        <w:tc>
          <w:tcPr>
            <w:tcW w:w="709" w:type="dxa"/>
          </w:tcPr>
          <w:p w14:paraId="3EF7C37F">
            <w:pPr>
              <w:spacing w:line="240" w:lineRule="auto"/>
              <w:jc w:val="center"/>
              <w:rPr>
                <w:rFonts w:ascii="宋体" w:hAnsi="宋体"/>
              </w:rPr>
            </w:pPr>
            <w:r>
              <w:rPr>
                <w:rFonts w:ascii="宋体" w:hAnsi="宋体"/>
              </w:rPr>
              <w:t>71</w:t>
            </w:r>
          </w:p>
        </w:tc>
        <w:tc>
          <w:tcPr>
            <w:tcW w:w="1838" w:type="dxa"/>
          </w:tcPr>
          <w:p w14:paraId="4213C6C3">
            <w:pPr>
              <w:spacing w:line="240" w:lineRule="auto"/>
              <w:jc w:val="center"/>
              <w:rPr>
                <w:rFonts w:ascii="宋体" w:hAnsi="宋体"/>
              </w:rPr>
            </w:pPr>
            <w:r>
              <w:rPr>
                <w:rFonts w:hint="eastAsia" w:ascii="宋体" w:hAnsi="宋体"/>
              </w:rPr>
              <w:t>乙酸甲酯</w:t>
            </w:r>
          </w:p>
        </w:tc>
        <w:tc>
          <w:tcPr>
            <w:tcW w:w="850" w:type="dxa"/>
          </w:tcPr>
          <w:p w14:paraId="0BBD08B3">
            <w:pPr>
              <w:spacing w:line="240" w:lineRule="auto"/>
              <w:jc w:val="center"/>
              <w:rPr>
                <w:rFonts w:ascii="宋体" w:hAnsi="宋体"/>
              </w:rPr>
            </w:pPr>
            <w:r>
              <w:rPr>
                <w:rFonts w:ascii="宋体" w:hAnsi="宋体"/>
              </w:rPr>
              <w:t>0.18</w:t>
            </w:r>
          </w:p>
        </w:tc>
        <w:tc>
          <w:tcPr>
            <w:tcW w:w="709" w:type="dxa"/>
          </w:tcPr>
          <w:p w14:paraId="6E03770B">
            <w:pPr>
              <w:spacing w:line="240" w:lineRule="auto"/>
              <w:jc w:val="center"/>
              <w:rPr>
                <w:rFonts w:ascii="宋体" w:hAnsi="宋体"/>
              </w:rPr>
            </w:pPr>
            <w:r>
              <w:rPr>
                <w:rFonts w:ascii="宋体" w:hAnsi="宋体"/>
              </w:rPr>
              <w:t>104</w:t>
            </w:r>
          </w:p>
        </w:tc>
        <w:tc>
          <w:tcPr>
            <w:tcW w:w="1701" w:type="dxa"/>
          </w:tcPr>
          <w:p w14:paraId="15FACDCB">
            <w:pPr>
              <w:spacing w:line="240" w:lineRule="auto"/>
              <w:jc w:val="center"/>
              <w:rPr>
                <w:rFonts w:ascii="宋体" w:hAnsi="宋体"/>
              </w:rPr>
            </w:pPr>
            <w:r>
              <w:rPr>
                <w:rFonts w:hint="eastAsia" w:ascii="宋体" w:hAnsi="宋体"/>
              </w:rPr>
              <w:t>苯甲醇</w:t>
            </w:r>
          </w:p>
        </w:tc>
        <w:tc>
          <w:tcPr>
            <w:tcW w:w="850" w:type="dxa"/>
          </w:tcPr>
          <w:p w14:paraId="51B5B4B2">
            <w:pPr>
              <w:spacing w:line="240" w:lineRule="auto"/>
              <w:jc w:val="center"/>
              <w:rPr>
                <w:rFonts w:ascii="宋体" w:hAnsi="宋体"/>
              </w:rPr>
            </w:pPr>
            <w:r>
              <w:rPr>
                <w:rFonts w:ascii="宋体" w:hAnsi="宋体"/>
              </w:rPr>
              <w:t>-0.33</w:t>
            </w:r>
          </w:p>
        </w:tc>
      </w:tr>
      <w:tr w14:paraId="1AD0AD9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6ED75514">
            <w:pPr>
              <w:spacing w:line="240" w:lineRule="auto"/>
              <w:jc w:val="center"/>
              <w:rPr>
                <w:rFonts w:ascii="宋体" w:hAnsi="宋体"/>
              </w:rPr>
            </w:pPr>
            <w:r>
              <w:rPr>
                <w:rFonts w:hint="eastAsia" w:ascii="宋体" w:hAnsi="宋体"/>
              </w:rPr>
              <w:t>6</w:t>
            </w:r>
          </w:p>
        </w:tc>
        <w:tc>
          <w:tcPr>
            <w:tcW w:w="1701" w:type="dxa"/>
          </w:tcPr>
          <w:p w14:paraId="55E7C9C3">
            <w:pPr>
              <w:spacing w:line="240" w:lineRule="auto"/>
              <w:jc w:val="center"/>
              <w:rPr>
                <w:rFonts w:ascii="宋体" w:hAnsi="宋体"/>
              </w:rPr>
            </w:pPr>
            <w:r>
              <w:rPr>
                <w:rFonts w:hint="eastAsia" w:ascii="宋体" w:hAnsi="宋体"/>
              </w:rPr>
              <w:t>异</w:t>
            </w:r>
            <w:r>
              <w:rPr>
                <w:rFonts w:ascii="宋体" w:hAnsi="宋体"/>
              </w:rPr>
              <w:t>戊烷</w:t>
            </w:r>
          </w:p>
        </w:tc>
        <w:tc>
          <w:tcPr>
            <w:tcW w:w="851" w:type="dxa"/>
          </w:tcPr>
          <w:p w14:paraId="38343474">
            <w:pPr>
              <w:spacing w:line="240" w:lineRule="auto"/>
              <w:jc w:val="center"/>
              <w:rPr>
                <w:rFonts w:ascii="宋体" w:hAnsi="宋体"/>
              </w:rPr>
            </w:pPr>
            <w:r>
              <w:rPr>
                <w:rFonts w:ascii="宋体" w:hAnsi="宋体"/>
              </w:rPr>
              <w:t>0.91</w:t>
            </w:r>
          </w:p>
        </w:tc>
        <w:tc>
          <w:tcPr>
            <w:tcW w:w="708" w:type="dxa"/>
          </w:tcPr>
          <w:p w14:paraId="45CD0E39">
            <w:pPr>
              <w:spacing w:line="240" w:lineRule="auto"/>
              <w:jc w:val="center"/>
              <w:rPr>
                <w:rFonts w:ascii="宋体" w:hAnsi="宋体"/>
              </w:rPr>
            </w:pPr>
            <w:r>
              <w:rPr>
                <w:rFonts w:hint="eastAsia" w:ascii="宋体" w:hAnsi="宋体"/>
              </w:rPr>
              <w:t>3</w:t>
            </w:r>
            <w:r>
              <w:rPr>
                <w:rFonts w:ascii="宋体" w:hAnsi="宋体"/>
              </w:rPr>
              <w:t>9</w:t>
            </w:r>
          </w:p>
        </w:tc>
        <w:tc>
          <w:tcPr>
            <w:tcW w:w="2694" w:type="dxa"/>
          </w:tcPr>
          <w:p w14:paraId="66A77081">
            <w:pPr>
              <w:spacing w:line="240" w:lineRule="auto"/>
              <w:jc w:val="center"/>
              <w:rPr>
                <w:rFonts w:ascii="宋体" w:hAnsi="宋体"/>
              </w:rPr>
            </w:pPr>
            <w:r>
              <w:rPr>
                <w:rFonts w:hint="eastAsia" w:ascii="宋体" w:hAnsi="宋体"/>
              </w:rPr>
              <w:t>柠檬烯</w:t>
            </w:r>
          </w:p>
        </w:tc>
        <w:tc>
          <w:tcPr>
            <w:tcW w:w="850" w:type="dxa"/>
          </w:tcPr>
          <w:p w14:paraId="4093EFDC">
            <w:pPr>
              <w:spacing w:line="240" w:lineRule="auto"/>
              <w:jc w:val="center"/>
              <w:rPr>
                <w:rFonts w:ascii="宋体" w:hAnsi="宋体"/>
              </w:rPr>
            </w:pPr>
            <w:r>
              <w:rPr>
                <w:rFonts w:ascii="宋体" w:hAnsi="宋体"/>
              </w:rPr>
              <w:t>7.36</w:t>
            </w:r>
          </w:p>
        </w:tc>
        <w:tc>
          <w:tcPr>
            <w:tcW w:w="709" w:type="dxa"/>
          </w:tcPr>
          <w:p w14:paraId="0665B373">
            <w:pPr>
              <w:spacing w:line="240" w:lineRule="auto"/>
              <w:jc w:val="center"/>
              <w:rPr>
                <w:rFonts w:ascii="宋体" w:hAnsi="宋体"/>
              </w:rPr>
            </w:pPr>
            <w:r>
              <w:rPr>
                <w:rFonts w:ascii="宋体" w:hAnsi="宋体"/>
              </w:rPr>
              <w:t>72</w:t>
            </w:r>
          </w:p>
        </w:tc>
        <w:tc>
          <w:tcPr>
            <w:tcW w:w="1838" w:type="dxa"/>
          </w:tcPr>
          <w:p w14:paraId="06A2052B">
            <w:pPr>
              <w:spacing w:line="240" w:lineRule="auto"/>
              <w:jc w:val="center"/>
              <w:rPr>
                <w:rFonts w:ascii="宋体" w:hAnsi="宋体"/>
              </w:rPr>
            </w:pPr>
            <w:r>
              <w:rPr>
                <w:rFonts w:hint="eastAsia" w:ascii="宋体" w:hAnsi="宋体"/>
              </w:rPr>
              <w:t>丙二醇</w:t>
            </w:r>
          </w:p>
        </w:tc>
        <w:tc>
          <w:tcPr>
            <w:tcW w:w="850" w:type="dxa"/>
          </w:tcPr>
          <w:p w14:paraId="10ACF38D">
            <w:pPr>
              <w:spacing w:line="240" w:lineRule="auto"/>
              <w:jc w:val="center"/>
              <w:rPr>
                <w:rFonts w:ascii="宋体" w:hAnsi="宋体"/>
              </w:rPr>
            </w:pPr>
            <w:r>
              <w:rPr>
                <w:rFonts w:ascii="宋体" w:hAnsi="宋体"/>
              </w:rPr>
              <w:t>2.45</w:t>
            </w:r>
          </w:p>
        </w:tc>
        <w:tc>
          <w:tcPr>
            <w:tcW w:w="709" w:type="dxa"/>
          </w:tcPr>
          <w:p w14:paraId="56083326">
            <w:pPr>
              <w:spacing w:line="240" w:lineRule="auto"/>
              <w:jc w:val="center"/>
              <w:rPr>
                <w:rFonts w:ascii="宋体" w:hAnsi="宋体"/>
              </w:rPr>
            </w:pPr>
            <w:r>
              <w:rPr>
                <w:rFonts w:ascii="宋体" w:hAnsi="宋体"/>
              </w:rPr>
              <w:t>105</w:t>
            </w:r>
          </w:p>
        </w:tc>
        <w:tc>
          <w:tcPr>
            <w:tcW w:w="1701" w:type="dxa"/>
          </w:tcPr>
          <w:p w14:paraId="139F2B39">
            <w:pPr>
              <w:spacing w:line="240" w:lineRule="auto"/>
              <w:jc w:val="center"/>
              <w:rPr>
                <w:rFonts w:ascii="宋体" w:hAnsi="宋体"/>
              </w:rPr>
            </w:pPr>
            <w:r>
              <w:rPr>
                <w:rFonts w:ascii="宋体" w:hAnsi="宋体"/>
              </w:rPr>
              <w:t>2-甲基苯甲醛</w:t>
            </w:r>
          </w:p>
        </w:tc>
        <w:tc>
          <w:tcPr>
            <w:tcW w:w="850" w:type="dxa"/>
          </w:tcPr>
          <w:p w14:paraId="5C49EB31">
            <w:pPr>
              <w:spacing w:line="240" w:lineRule="auto"/>
              <w:jc w:val="center"/>
              <w:rPr>
                <w:rFonts w:ascii="宋体" w:hAnsi="宋体"/>
              </w:rPr>
            </w:pPr>
            <w:r>
              <w:rPr>
                <w:rFonts w:ascii="宋体" w:hAnsi="宋体"/>
              </w:rPr>
              <w:t>-1.19</w:t>
            </w:r>
          </w:p>
        </w:tc>
      </w:tr>
      <w:tr w14:paraId="717A95A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529F4354">
            <w:pPr>
              <w:spacing w:line="240" w:lineRule="auto"/>
              <w:jc w:val="center"/>
              <w:rPr>
                <w:rFonts w:ascii="宋体" w:hAnsi="宋体"/>
              </w:rPr>
            </w:pPr>
            <w:r>
              <w:rPr>
                <w:rFonts w:hint="eastAsia" w:ascii="宋体" w:hAnsi="宋体"/>
              </w:rPr>
              <w:t>7</w:t>
            </w:r>
          </w:p>
        </w:tc>
        <w:tc>
          <w:tcPr>
            <w:tcW w:w="1701" w:type="dxa"/>
          </w:tcPr>
          <w:p w14:paraId="42E6DB70">
            <w:pPr>
              <w:spacing w:line="240" w:lineRule="auto"/>
              <w:jc w:val="center"/>
              <w:rPr>
                <w:rFonts w:ascii="宋体" w:hAnsi="宋体"/>
              </w:rPr>
            </w:pPr>
            <w:r>
              <w:rPr>
                <w:rFonts w:hint="eastAsia" w:ascii="宋体" w:hAnsi="宋体"/>
              </w:rPr>
              <w:t>正己烷</w:t>
            </w:r>
          </w:p>
        </w:tc>
        <w:tc>
          <w:tcPr>
            <w:tcW w:w="851" w:type="dxa"/>
          </w:tcPr>
          <w:p w14:paraId="2D7D1D13">
            <w:pPr>
              <w:spacing w:line="240" w:lineRule="auto"/>
              <w:jc w:val="center"/>
              <w:rPr>
                <w:rFonts w:ascii="宋体" w:hAnsi="宋体"/>
              </w:rPr>
            </w:pPr>
            <w:r>
              <w:rPr>
                <w:rFonts w:ascii="宋体" w:hAnsi="宋体"/>
              </w:rPr>
              <w:t>0.62</w:t>
            </w:r>
          </w:p>
        </w:tc>
        <w:tc>
          <w:tcPr>
            <w:tcW w:w="708" w:type="dxa"/>
          </w:tcPr>
          <w:p w14:paraId="33D11D06">
            <w:pPr>
              <w:spacing w:line="240" w:lineRule="auto"/>
              <w:jc w:val="center"/>
              <w:rPr>
                <w:rFonts w:ascii="宋体" w:hAnsi="宋体"/>
              </w:rPr>
            </w:pPr>
            <w:r>
              <w:rPr>
                <w:rFonts w:hint="eastAsia" w:ascii="宋体" w:hAnsi="宋体"/>
              </w:rPr>
              <w:t>4</w:t>
            </w:r>
            <w:r>
              <w:rPr>
                <w:rFonts w:ascii="宋体" w:hAnsi="宋体"/>
              </w:rPr>
              <w:t>0</w:t>
            </w:r>
          </w:p>
        </w:tc>
        <w:tc>
          <w:tcPr>
            <w:tcW w:w="2694" w:type="dxa"/>
          </w:tcPr>
          <w:p w14:paraId="78532EB7">
            <w:pPr>
              <w:spacing w:line="240" w:lineRule="auto"/>
              <w:jc w:val="center"/>
              <w:rPr>
                <w:rFonts w:ascii="宋体" w:hAnsi="宋体"/>
              </w:rPr>
            </w:pPr>
            <w:r>
              <w:rPr>
                <w:rFonts w:hint="eastAsia" w:ascii="宋体" w:hAnsi="宋体"/>
              </w:rPr>
              <w:t>苯</w:t>
            </w:r>
          </w:p>
        </w:tc>
        <w:tc>
          <w:tcPr>
            <w:tcW w:w="850" w:type="dxa"/>
          </w:tcPr>
          <w:p w14:paraId="2A3423E2">
            <w:pPr>
              <w:spacing w:line="240" w:lineRule="auto"/>
              <w:jc w:val="center"/>
              <w:rPr>
                <w:rFonts w:ascii="宋体" w:hAnsi="宋体"/>
              </w:rPr>
            </w:pPr>
            <w:r>
              <w:rPr>
                <w:rFonts w:ascii="宋体" w:hAnsi="宋体"/>
              </w:rPr>
              <w:t>0.38</w:t>
            </w:r>
          </w:p>
        </w:tc>
        <w:tc>
          <w:tcPr>
            <w:tcW w:w="709" w:type="dxa"/>
          </w:tcPr>
          <w:p w14:paraId="2D516341">
            <w:pPr>
              <w:spacing w:line="240" w:lineRule="auto"/>
              <w:jc w:val="center"/>
              <w:rPr>
                <w:rFonts w:ascii="宋体" w:hAnsi="宋体"/>
              </w:rPr>
            </w:pPr>
            <w:r>
              <w:rPr>
                <w:rFonts w:ascii="宋体" w:hAnsi="宋体"/>
              </w:rPr>
              <w:t>73</w:t>
            </w:r>
          </w:p>
        </w:tc>
        <w:tc>
          <w:tcPr>
            <w:tcW w:w="1838" w:type="dxa"/>
          </w:tcPr>
          <w:p w14:paraId="26597966">
            <w:pPr>
              <w:spacing w:line="240" w:lineRule="auto"/>
              <w:jc w:val="center"/>
              <w:rPr>
                <w:rFonts w:ascii="宋体" w:hAnsi="宋体"/>
              </w:rPr>
            </w:pPr>
            <w:r>
              <w:rPr>
                <w:rFonts w:hint="eastAsia" w:ascii="宋体" w:hAnsi="宋体"/>
              </w:rPr>
              <w:t>二甲氧基甲烷</w:t>
            </w:r>
          </w:p>
        </w:tc>
        <w:tc>
          <w:tcPr>
            <w:tcW w:w="850" w:type="dxa"/>
          </w:tcPr>
          <w:p w14:paraId="51930E27">
            <w:pPr>
              <w:spacing w:line="240" w:lineRule="auto"/>
              <w:jc w:val="center"/>
              <w:rPr>
                <w:rFonts w:ascii="宋体" w:hAnsi="宋体"/>
              </w:rPr>
            </w:pPr>
            <w:r>
              <w:rPr>
                <w:rFonts w:ascii="宋体" w:hAnsi="宋体"/>
              </w:rPr>
              <w:t>0.41</w:t>
            </w:r>
          </w:p>
        </w:tc>
        <w:tc>
          <w:tcPr>
            <w:tcW w:w="709" w:type="dxa"/>
          </w:tcPr>
          <w:p w14:paraId="1192CEAE">
            <w:pPr>
              <w:spacing w:line="240" w:lineRule="auto"/>
              <w:jc w:val="center"/>
              <w:rPr>
                <w:rFonts w:ascii="宋体" w:hAnsi="宋体"/>
              </w:rPr>
            </w:pPr>
            <w:r>
              <w:rPr>
                <w:rFonts w:ascii="宋体" w:hAnsi="宋体"/>
              </w:rPr>
              <w:t>106</w:t>
            </w:r>
          </w:p>
        </w:tc>
        <w:tc>
          <w:tcPr>
            <w:tcW w:w="1701" w:type="dxa"/>
          </w:tcPr>
          <w:p w14:paraId="480F9AE3">
            <w:pPr>
              <w:spacing w:line="240" w:lineRule="auto"/>
              <w:jc w:val="center"/>
              <w:rPr>
                <w:rFonts w:ascii="宋体" w:hAnsi="宋体"/>
              </w:rPr>
            </w:pPr>
            <w:r>
              <w:rPr>
                <w:rFonts w:ascii="宋体" w:hAnsi="宋体"/>
              </w:rPr>
              <w:t>3-甲基苯甲醛</w:t>
            </w:r>
          </w:p>
        </w:tc>
        <w:tc>
          <w:tcPr>
            <w:tcW w:w="850" w:type="dxa"/>
          </w:tcPr>
          <w:p w14:paraId="19B5E0B7">
            <w:pPr>
              <w:spacing w:line="240" w:lineRule="auto"/>
              <w:jc w:val="center"/>
              <w:rPr>
                <w:rFonts w:ascii="宋体" w:hAnsi="宋体"/>
              </w:rPr>
            </w:pPr>
            <w:r>
              <w:rPr>
                <w:rFonts w:ascii="宋体" w:hAnsi="宋体"/>
              </w:rPr>
              <w:t>-1.16</w:t>
            </w:r>
          </w:p>
        </w:tc>
      </w:tr>
      <w:tr w14:paraId="5E2E72A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06CD462D">
            <w:pPr>
              <w:spacing w:line="240" w:lineRule="auto"/>
              <w:jc w:val="center"/>
              <w:rPr>
                <w:rFonts w:ascii="宋体" w:hAnsi="宋体"/>
              </w:rPr>
            </w:pPr>
            <w:r>
              <w:rPr>
                <w:rFonts w:hint="eastAsia" w:ascii="宋体" w:hAnsi="宋体"/>
              </w:rPr>
              <w:t>8</w:t>
            </w:r>
          </w:p>
        </w:tc>
        <w:tc>
          <w:tcPr>
            <w:tcW w:w="1701" w:type="dxa"/>
          </w:tcPr>
          <w:p w14:paraId="0C09D988">
            <w:pPr>
              <w:spacing w:line="240" w:lineRule="auto"/>
              <w:jc w:val="center"/>
              <w:rPr>
                <w:rFonts w:ascii="宋体" w:hAnsi="宋体"/>
              </w:rPr>
            </w:pPr>
            <w:r>
              <w:rPr>
                <w:rFonts w:ascii="宋体" w:hAnsi="宋体"/>
              </w:rPr>
              <w:t>2</w:t>
            </w:r>
            <w:r>
              <w:rPr>
                <w:rFonts w:hint="eastAsia" w:ascii="宋体" w:hAnsi="宋体"/>
              </w:rPr>
              <w:t>,</w:t>
            </w:r>
            <w:r>
              <w:rPr>
                <w:rFonts w:ascii="宋体" w:hAnsi="宋体"/>
              </w:rPr>
              <w:t>2-二甲基丁烷</w:t>
            </w:r>
          </w:p>
        </w:tc>
        <w:tc>
          <w:tcPr>
            <w:tcW w:w="851" w:type="dxa"/>
          </w:tcPr>
          <w:p w14:paraId="70EAFE2F">
            <w:pPr>
              <w:spacing w:line="240" w:lineRule="auto"/>
              <w:jc w:val="center"/>
              <w:rPr>
                <w:rFonts w:ascii="宋体" w:hAnsi="宋体"/>
              </w:rPr>
            </w:pPr>
            <w:r>
              <w:rPr>
                <w:rFonts w:ascii="宋体" w:hAnsi="宋体"/>
              </w:rPr>
              <w:t>0.74</w:t>
            </w:r>
          </w:p>
        </w:tc>
        <w:tc>
          <w:tcPr>
            <w:tcW w:w="708" w:type="dxa"/>
          </w:tcPr>
          <w:p w14:paraId="022651BB">
            <w:pPr>
              <w:spacing w:line="240" w:lineRule="auto"/>
              <w:jc w:val="center"/>
              <w:rPr>
                <w:rFonts w:ascii="宋体" w:hAnsi="宋体"/>
              </w:rPr>
            </w:pPr>
            <w:r>
              <w:rPr>
                <w:rFonts w:hint="eastAsia" w:ascii="宋体" w:hAnsi="宋体"/>
              </w:rPr>
              <w:t>4</w:t>
            </w:r>
            <w:r>
              <w:rPr>
                <w:rFonts w:ascii="宋体" w:hAnsi="宋体"/>
              </w:rPr>
              <w:t>1</w:t>
            </w:r>
          </w:p>
        </w:tc>
        <w:tc>
          <w:tcPr>
            <w:tcW w:w="2694" w:type="dxa"/>
          </w:tcPr>
          <w:p w14:paraId="131A21C4">
            <w:pPr>
              <w:spacing w:line="240" w:lineRule="auto"/>
              <w:jc w:val="center"/>
              <w:rPr>
                <w:rFonts w:ascii="宋体" w:hAnsi="宋体"/>
              </w:rPr>
            </w:pPr>
            <w:r>
              <w:rPr>
                <w:rFonts w:hint="eastAsia" w:ascii="宋体" w:hAnsi="宋体"/>
              </w:rPr>
              <w:t>甲苯</w:t>
            </w:r>
          </w:p>
        </w:tc>
        <w:tc>
          <w:tcPr>
            <w:tcW w:w="850" w:type="dxa"/>
          </w:tcPr>
          <w:p w14:paraId="6C8E23D6">
            <w:pPr>
              <w:spacing w:line="240" w:lineRule="auto"/>
              <w:jc w:val="center"/>
              <w:rPr>
                <w:rFonts w:ascii="宋体" w:hAnsi="宋体"/>
              </w:rPr>
            </w:pPr>
            <w:r>
              <w:rPr>
                <w:rFonts w:ascii="宋体" w:hAnsi="宋体"/>
              </w:rPr>
              <w:t>2.12</w:t>
            </w:r>
          </w:p>
        </w:tc>
        <w:tc>
          <w:tcPr>
            <w:tcW w:w="709" w:type="dxa"/>
          </w:tcPr>
          <w:p w14:paraId="2401AC19">
            <w:pPr>
              <w:spacing w:line="240" w:lineRule="auto"/>
              <w:jc w:val="center"/>
              <w:rPr>
                <w:rFonts w:ascii="宋体" w:hAnsi="宋体"/>
              </w:rPr>
            </w:pPr>
            <w:r>
              <w:rPr>
                <w:rFonts w:ascii="宋体" w:hAnsi="宋体"/>
              </w:rPr>
              <w:t>74</w:t>
            </w:r>
          </w:p>
        </w:tc>
        <w:tc>
          <w:tcPr>
            <w:tcW w:w="1838" w:type="dxa"/>
          </w:tcPr>
          <w:p w14:paraId="6F340F86">
            <w:pPr>
              <w:spacing w:line="240" w:lineRule="auto"/>
              <w:jc w:val="center"/>
              <w:rPr>
                <w:rFonts w:ascii="宋体" w:hAnsi="宋体"/>
              </w:rPr>
            </w:pPr>
            <w:r>
              <w:rPr>
                <w:rFonts w:hint="eastAsia" w:ascii="宋体" w:hAnsi="宋体"/>
              </w:rPr>
              <w:t>巴豆醛</w:t>
            </w:r>
          </w:p>
        </w:tc>
        <w:tc>
          <w:tcPr>
            <w:tcW w:w="850" w:type="dxa"/>
          </w:tcPr>
          <w:p w14:paraId="3B447CB8">
            <w:pPr>
              <w:spacing w:line="240" w:lineRule="auto"/>
              <w:jc w:val="center"/>
              <w:rPr>
                <w:rFonts w:ascii="宋体" w:hAnsi="宋体"/>
              </w:rPr>
            </w:pPr>
            <w:r>
              <w:rPr>
                <w:rFonts w:ascii="宋体" w:hAnsi="宋体"/>
              </w:rPr>
              <w:t>3.97</w:t>
            </w:r>
          </w:p>
        </w:tc>
        <w:tc>
          <w:tcPr>
            <w:tcW w:w="709" w:type="dxa"/>
          </w:tcPr>
          <w:p w14:paraId="4D716E31">
            <w:pPr>
              <w:spacing w:line="240" w:lineRule="auto"/>
              <w:jc w:val="center"/>
              <w:rPr>
                <w:rFonts w:ascii="宋体" w:hAnsi="宋体"/>
              </w:rPr>
            </w:pPr>
            <w:r>
              <w:rPr>
                <w:rFonts w:ascii="宋体" w:hAnsi="宋体"/>
              </w:rPr>
              <w:t>107</w:t>
            </w:r>
          </w:p>
        </w:tc>
        <w:tc>
          <w:tcPr>
            <w:tcW w:w="1701" w:type="dxa"/>
          </w:tcPr>
          <w:p w14:paraId="139D355B">
            <w:pPr>
              <w:spacing w:line="240" w:lineRule="auto"/>
              <w:jc w:val="center"/>
              <w:rPr>
                <w:rFonts w:ascii="宋体" w:hAnsi="宋体"/>
              </w:rPr>
            </w:pPr>
            <w:r>
              <w:rPr>
                <w:rFonts w:ascii="宋体" w:hAnsi="宋体"/>
              </w:rPr>
              <w:t>4-甲基苯甲醛</w:t>
            </w:r>
          </w:p>
        </w:tc>
        <w:tc>
          <w:tcPr>
            <w:tcW w:w="850" w:type="dxa"/>
          </w:tcPr>
          <w:p w14:paraId="11149896">
            <w:pPr>
              <w:spacing w:line="240" w:lineRule="auto"/>
              <w:jc w:val="center"/>
              <w:rPr>
                <w:rFonts w:ascii="宋体" w:hAnsi="宋体"/>
              </w:rPr>
            </w:pPr>
            <w:r>
              <w:rPr>
                <w:rFonts w:ascii="宋体" w:hAnsi="宋体"/>
              </w:rPr>
              <w:t>-0.65</w:t>
            </w:r>
          </w:p>
        </w:tc>
      </w:tr>
      <w:tr w14:paraId="7AD3301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36F076E9">
            <w:pPr>
              <w:spacing w:line="240" w:lineRule="auto"/>
              <w:jc w:val="center"/>
              <w:rPr>
                <w:rFonts w:ascii="宋体" w:hAnsi="宋体"/>
              </w:rPr>
            </w:pPr>
            <w:r>
              <w:rPr>
                <w:rFonts w:hint="eastAsia" w:ascii="宋体" w:hAnsi="宋体"/>
              </w:rPr>
              <w:t>9</w:t>
            </w:r>
          </w:p>
        </w:tc>
        <w:tc>
          <w:tcPr>
            <w:tcW w:w="1701" w:type="dxa"/>
          </w:tcPr>
          <w:p w14:paraId="420E9C1D">
            <w:pPr>
              <w:spacing w:line="240" w:lineRule="auto"/>
              <w:jc w:val="center"/>
              <w:rPr>
                <w:rFonts w:ascii="宋体" w:hAnsi="宋体"/>
              </w:rPr>
            </w:pPr>
            <w:r>
              <w:rPr>
                <w:rFonts w:ascii="宋体" w:hAnsi="宋体"/>
              </w:rPr>
              <w:t>2</w:t>
            </w:r>
            <w:r>
              <w:rPr>
                <w:rFonts w:hint="eastAsia" w:ascii="宋体" w:hAnsi="宋体"/>
              </w:rPr>
              <w:t>,</w:t>
            </w:r>
            <w:r>
              <w:rPr>
                <w:rFonts w:ascii="宋体" w:hAnsi="宋体"/>
              </w:rPr>
              <w:t>3-二甲基丁烷</w:t>
            </w:r>
          </w:p>
        </w:tc>
        <w:tc>
          <w:tcPr>
            <w:tcW w:w="851" w:type="dxa"/>
          </w:tcPr>
          <w:p w14:paraId="4587EBB6">
            <w:pPr>
              <w:spacing w:line="240" w:lineRule="auto"/>
              <w:jc w:val="center"/>
              <w:rPr>
                <w:rFonts w:ascii="宋体" w:hAnsi="宋体"/>
              </w:rPr>
            </w:pPr>
            <w:r>
              <w:rPr>
                <w:rFonts w:ascii="宋体" w:hAnsi="宋体"/>
              </w:rPr>
              <w:t>0.81</w:t>
            </w:r>
          </w:p>
        </w:tc>
        <w:tc>
          <w:tcPr>
            <w:tcW w:w="708" w:type="dxa"/>
          </w:tcPr>
          <w:p w14:paraId="0A6A8388">
            <w:pPr>
              <w:spacing w:line="240" w:lineRule="auto"/>
              <w:jc w:val="center"/>
              <w:rPr>
                <w:rFonts w:ascii="宋体" w:hAnsi="宋体"/>
              </w:rPr>
            </w:pPr>
            <w:r>
              <w:rPr>
                <w:rFonts w:hint="eastAsia" w:ascii="宋体" w:hAnsi="宋体"/>
              </w:rPr>
              <w:t>4</w:t>
            </w:r>
            <w:r>
              <w:rPr>
                <w:rFonts w:ascii="宋体" w:hAnsi="宋体"/>
              </w:rPr>
              <w:t>2</w:t>
            </w:r>
          </w:p>
        </w:tc>
        <w:tc>
          <w:tcPr>
            <w:tcW w:w="2694" w:type="dxa"/>
          </w:tcPr>
          <w:p w14:paraId="3344A6CA">
            <w:pPr>
              <w:spacing w:line="240" w:lineRule="auto"/>
              <w:jc w:val="center"/>
              <w:rPr>
                <w:rFonts w:ascii="宋体" w:hAnsi="宋体"/>
              </w:rPr>
            </w:pPr>
            <w:r>
              <w:rPr>
                <w:rFonts w:hint="eastAsia" w:ascii="宋体" w:hAnsi="宋体"/>
              </w:rPr>
              <w:t>乙苯</w:t>
            </w:r>
          </w:p>
        </w:tc>
        <w:tc>
          <w:tcPr>
            <w:tcW w:w="850" w:type="dxa"/>
          </w:tcPr>
          <w:p w14:paraId="6BBF5791">
            <w:pPr>
              <w:spacing w:line="240" w:lineRule="auto"/>
              <w:jc w:val="center"/>
              <w:rPr>
                <w:rFonts w:ascii="宋体" w:hAnsi="宋体"/>
              </w:rPr>
            </w:pPr>
            <w:r>
              <w:rPr>
                <w:rFonts w:ascii="宋体" w:hAnsi="宋体"/>
              </w:rPr>
              <w:t>2.02</w:t>
            </w:r>
          </w:p>
        </w:tc>
        <w:tc>
          <w:tcPr>
            <w:tcW w:w="709" w:type="dxa"/>
          </w:tcPr>
          <w:p w14:paraId="268F3AC2">
            <w:pPr>
              <w:spacing w:line="240" w:lineRule="auto"/>
              <w:jc w:val="center"/>
              <w:rPr>
                <w:rFonts w:ascii="宋体" w:hAnsi="宋体"/>
              </w:rPr>
            </w:pPr>
            <w:r>
              <w:rPr>
                <w:rFonts w:ascii="宋体" w:hAnsi="宋体"/>
              </w:rPr>
              <w:t>75</w:t>
            </w:r>
          </w:p>
        </w:tc>
        <w:tc>
          <w:tcPr>
            <w:tcW w:w="1838" w:type="dxa"/>
          </w:tcPr>
          <w:p w14:paraId="5FCDD94D">
            <w:pPr>
              <w:spacing w:line="240" w:lineRule="auto"/>
              <w:jc w:val="center"/>
              <w:rPr>
                <w:rFonts w:ascii="宋体" w:hAnsi="宋体"/>
              </w:rPr>
            </w:pPr>
            <w:r>
              <w:rPr>
                <w:rFonts w:hint="eastAsia" w:ascii="宋体" w:hAnsi="宋体"/>
              </w:rPr>
              <w:t>甲基丙烯醛</w:t>
            </w:r>
          </w:p>
        </w:tc>
        <w:tc>
          <w:tcPr>
            <w:tcW w:w="850" w:type="dxa"/>
          </w:tcPr>
          <w:p w14:paraId="77163AFB">
            <w:pPr>
              <w:spacing w:line="240" w:lineRule="auto"/>
              <w:jc w:val="center"/>
              <w:rPr>
                <w:rFonts w:ascii="宋体" w:hAnsi="宋体"/>
              </w:rPr>
            </w:pPr>
            <w:r>
              <w:rPr>
                <w:rFonts w:ascii="宋体" w:hAnsi="宋体"/>
              </w:rPr>
              <w:t>5.23</w:t>
            </w:r>
          </w:p>
        </w:tc>
        <w:tc>
          <w:tcPr>
            <w:tcW w:w="709" w:type="dxa"/>
          </w:tcPr>
          <w:p w14:paraId="2AE1B17C">
            <w:pPr>
              <w:spacing w:line="240" w:lineRule="auto"/>
              <w:jc w:val="center"/>
              <w:rPr>
                <w:rFonts w:ascii="宋体" w:hAnsi="宋体"/>
              </w:rPr>
            </w:pPr>
            <w:r>
              <w:rPr>
                <w:rFonts w:ascii="宋体" w:hAnsi="宋体"/>
              </w:rPr>
              <w:t>108</w:t>
            </w:r>
          </w:p>
        </w:tc>
        <w:tc>
          <w:tcPr>
            <w:tcW w:w="1701" w:type="dxa"/>
          </w:tcPr>
          <w:p w14:paraId="2F62B718">
            <w:pPr>
              <w:spacing w:line="240" w:lineRule="auto"/>
              <w:jc w:val="center"/>
              <w:rPr>
                <w:rFonts w:ascii="宋体" w:hAnsi="宋体"/>
              </w:rPr>
            </w:pPr>
            <w:r>
              <w:rPr>
                <w:rFonts w:hint="eastAsia" w:ascii="宋体" w:hAnsi="宋体"/>
              </w:rPr>
              <w:t>庚醛</w:t>
            </w:r>
          </w:p>
        </w:tc>
        <w:tc>
          <w:tcPr>
            <w:tcW w:w="850" w:type="dxa"/>
          </w:tcPr>
          <w:p w14:paraId="7916CD69">
            <w:pPr>
              <w:spacing w:line="240" w:lineRule="auto"/>
              <w:jc w:val="center"/>
              <w:rPr>
                <w:rFonts w:ascii="宋体" w:hAnsi="宋体"/>
              </w:rPr>
            </w:pPr>
            <w:r>
              <w:rPr>
                <w:rFonts w:ascii="宋体" w:hAnsi="宋体"/>
              </w:rPr>
              <w:t>4.63</w:t>
            </w:r>
          </w:p>
        </w:tc>
      </w:tr>
      <w:tr w14:paraId="48CEC94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12E93222">
            <w:pPr>
              <w:spacing w:line="240" w:lineRule="auto"/>
              <w:jc w:val="center"/>
              <w:rPr>
                <w:rFonts w:ascii="宋体" w:hAnsi="宋体"/>
              </w:rPr>
            </w:pPr>
            <w:r>
              <w:rPr>
                <w:rFonts w:hint="eastAsia" w:ascii="宋体" w:hAnsi="宋体"/>
              </w:rPr>
              <w:t>1</w:t>
            </w:r>
            <w:r>
              <w:rPr>
                <w:rFonts w:ascii="宋体" w:hAnsi="宋体"/>
              </w:rPr>
              <w:t>0</w:t>
            </w:r>
          </w:p>
        </w:tc>
        <w:tc>
          <w:tcPr>
            <w:tcW w:w="1701" w:type="dxa"/>
          </w:tcPr>
          <w:p w14:paraId="1735105B">
            <w:pPr>
              <w:spacing w:line="240" w:lineRule="auto"/>
              <w:jc w:val="center"/>
              <w:rPr>
                <w:rFonts w:ascii="宋体" w:hAnsi="宋体"/>
              </w:rPr>
            </w:pPr>
            <w:r>
              <w:rPr>
                <w:rFonts w:ascii="宋体" w:hAnsi="宋体"/>
              </w:rPr>
              <w:t>2-甲基戊烷</w:t>
            </w:r>
          </w:p>
        </w:tc>
        <w:tc>
          <w:tcPr>
            <w:tcW w:w="851" w:type="dxa"/>
          </w:tcPr>
          <w:p w14:paraId="69C129E7">
            <w:pPr>
              <w:spacing w:line="240" w:lineRule="auto"/>
              <w:jc w:val="center"/>
              <w:rPr>
                <w:rFonts w:ascii="宋体" w:hAnsi="宋体"/>
              </w:rPr>
            </w:pPr>
            <w:r>
              <w:rPr>
                <w:rFonts w:ascii="宋体" w:hAnsi="宋体"/>
              </w:rPr>
              <w:t>1.12</w:t>
            </w:r>
          </w:p>
        </w:tc>
        <w:tc>
          <w:tcPr>
            <w:tcW w:w="708" w:type="dxa"/>
          </w:tcPr>
          <w:p w14:paraId="3271819F">
            <w:pPr>
              <w:spacing w:line="240" w:lineRule="auto"/>
              <w:jc w:val="center"/>
              <w:rPr>
                <w:rFonts w:ascii="宋体" w:hAnsi="宋体"/>
              </w:rPr>
            </w:pPr>
            <w:r>
              <w:rPr>
                <w:rFonts w:hint="eastAsia" w:ascii="宋体" w:hAnsi="宋体"/>
              </w:rPr>
              <w:t>4</w:t>
            </w:r>
            <w:r>
              <w:rPr>
                <w:rFonts w:ascii="宋体" w:hAnsi="宋体"/>
              </w:rPr>
              <w:t>3</w:t>
            </w:r>
          </w:p>
        </w:tc>
        <w:tc>
          <w:tcPr>
            <w:tcW w:w="2694" w:type="dxa"/>
          </w:tcPr>
          <w:p w14:paraId="47869085">
            <w:pPr>
              <w:spacing w:line="240" w:lineRule="auto"/>
              <w:jc w:val="center"/>
              <w:rPr>
                <w:rFonts w:ascii="宋体" w:hAnsi="宋体"/>
              </w:rPr>
            </w:pPr>
            <w:r>
              <w:rPr>
                <w:rFonts w:hint="eastAsia" w:ascii="宋体" w:hAnsi="宋体"/>
              </w:rPr>
              <w:t>间二甲苯</w:t>
            </w:r>
          </w:p>
        </w:tc>
        <w:tc>
          <w:tcPr>
            <w:tcW w:w="850" w:type="dxa"/>
          </w:tcPr>
          <w:p w14:paraId="10631D67">
            <w:pPr>
              <w:spacing w:line="240" w:lineRule="auto"/>
              <w:jc w:val="center"/>
              <w:rPr>
                <w:rFonts w:ascii="宋体" w:hAnsi="宋体"/>
              </w:rPr>
            </w:pPr>
            <w:r>
              <w:rPr>
                <w:rFonts w:ascii="宋体" w:hAnsi="宋体"/>
              </w:rPr>
              <w:t>6.41</w:t>
            </w:r>
          </w:p>
        </w:tc>
        <w:tc>
          <w:tcPr>
            <w:tcW w:w="709" w:type="dxa"/>
          </w:tcPr>
          <w:p w14:paraId="456BBF26">
            <w:pPr>
              <w:spacing w:line="240" w:lineRule="auto"/>
              <w:jc w:val="center"/>
              <w:rPr>
                <w:rFonts w:ascii="宋体" w:hAnsi="宋体"/>
              </w:rPr>
            </w:pPr>
            <w:r>
              <w:rPr>
                <w:rFonts w:ascii="宋体" w:hAnsi="宋体"/>
              </w:rPr>
              <w:t>76</w:t>
            </w:r>
          </w:p>
        </w:tc>
        <w:tc>
          <w:tcPr>
            <w:tcW w:w="1838" w:type="dxa"/>
          </w:tcPr>
          <w:p w14:paraId="519100A0">
            <w:pPr>
              <w:spacing w:line="240" w:lineRule="auto"/>
              <w:jc w:val="center"/>
              <w:rPr>
                <w:rFonts w:ascii="宋体" w:hAnsi="宋体"/>
              </w:rPr>
            </w:pPr>
            <w:r>
              <w:rPr>
                <w:rFonts w:ascii="宋体" w:hAnsi="宋体"/>
              </w:rPr>
              <w:t>2-甲基丙醛</w:t>
            </w:r>
          </w:p>
        </w:tc>
        <w:tc>
          <w:tcPr>
            <w:tcW w:w="850" w:type="dxa"/>
          </w:tcPr>
          <w:p w14:paraId="42D1E293">
            <w:pPr>
              <w:spacing w:line="240" w:lineRule="auto"/>
              <w:jc w:val="center"/>
              <w:rPr>
                <w:rFonts w:ascii="宋体" w:hAnsi="宋体"/>
              </w:rPr>
            </w:pPr>
            <w:r>
              <w:rPr>
                <w:rFonts w:ascii="宋体" w:hAnsi="宋体"/>
              </w:rPr>
              <w:t>6.29</w:t>
            </w:r>
          </w:p>
        </w:tc>
        <w:tc>
          <w:tcPr>
            <w:tcW w:w="709" w:type="dxa"/>
          </w:tcPr>
          <w:p w14:paraId="08EE0330">
            <w:pPr>
              <w:spacing w:line="240" w:lineRule="auto"/>
              <w:jc w:val="center"/>
              <w:rPr>
                <w:rFonts w:ascii="宋体" w:hAnsi="宋体"/>
              </w:rPr>
            </w:pPr>
            <w:r>
              <w:rPr>
                <w:rFonts w:ascii="宋体" w:hAnsi="宋体"/>
              </w:rPr>
              <w:t>109</w:t>
            </w:r>
          </w:p>
        </w:tc>
        <w:tc>
          <w:tcPr>
            <w:tcW w:w="1701" w:type="dxa"/>
          </w:tcPr>
          <w:p w14:paraId="2DFCFD7D">
            <w:pPr>
              <w:spacing w:line="240" w:lineRule="auto"/>
              <w:jc w:val="center"/>
              <w:rPr>
                <w:rFonts w:ascii="宋体" w:hAnsi="宋体"/>
              </w:rPr>
            </w:pPr>
            <w:r>
              <w:rPr>
                <w:rFonts w:ascii="宋体" w:hAnsi="宋体"/>
              </w:rPr>
              <w:t>5-甲基-2-己酮</w:t>
            </w:r>
          </w:p>
        </w:tc>
        <w:tc>
          <w:tcPr>
            <w:tcW w:w="850" w:type="dxa"/>
          </w:tcPr>
          <w:p w14:paraId="5D956EF6">
            <w:pPr>
              <w:spacing w:line="240" w:lineRule="auto"/>
              <w:jc w:val="center"/>
              <w:rPr>
                <w:rFonts w:ascii="宋体" w:hAnsi="宋体"/>
              </w:rPr>
            </w:pPr>
            <w:r>
              <w:rPr>
                <w:rFonts w:ascii="宋体" w:hAnsi="宋体"/>
              </w:rPr>
              <w:t>3.60</w:t>
            </w:r>
          </w:p>
        </w:tc>
      </w:tr>
      <w:tr w14:paraId="23CF954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400D8B6E">
            <w:pPr>
              <w:spacing w:line="240" w:lineRule="auto"/>
              <w:jc w:val="center"/>
              <w:rPr>
                <w:rFonts w:ascii="宋体" w:hAnsi="宋体"/>
              </w:rPr>
            </w:pPr>
            <w:r>
              <w:rPr>
                <w:rFonts w:hint="eastAsia" w:ascii="宋体" w:hAnsi="宋体"/>
              </w:rPr>
              <w:t>1</w:t>
            </w:r>
            <w:r>
              <w:rPr>
                <w:rFonts w:ascii="宋体" w:hAnsi="宋体"/>
              </w:rPr>
              <w:t>1</w:t>
            </w:r>
          </w:p>
        </w:tc>
        <w:tc>
          <w:tcPr>
            <w:tcW w:w="1701" w:type="dxa"/>
          </w:tcPr>
          <w:p w14:paraId="62AAC97C">
            <w:pPr>
              <w:spacing w:line="240" w:lineRule="auto"/>
              <w:jc w:val="center"/>
              <w:rPr>
                <w:rFonts w:ascii="宋体" w:hAnsi="宋体"/>
              </w:rPr>
            </w:pPr>
            <w:r>
              <w:rPr>
                <w:rFonts w:ascii="宋体" w:hAnsi="宋体"/>
              </w:rPr>
              <w:t>3-甲基戊烷</w:t>
            </w:r>
          </w:p>
        </w:tc>
        <w:tc>
          <w:tcPr>
            <w:tcW w:w="851" w:type="dxa"/>
          </w:tcPr>
          <w:p w14:paraId="4D0081AC">
            <w:pPr>
              <w:spacing w:line="240" w:lineRule="auto"/>
              <w:jc w:val="center"/>
              <w:rPr>
                <w:rFonts w:ascii="宋体" w:hAnsi="宋体"/>
              </w:rPr>
            </w:pPr>
            <w:r>
              <w:rPr>
                <w:rFonts w:ascii="宋体" w:hAnsi="宋体"/>
              </w:rPr>
              <w:t>1.19</w:t>
            </w:r>
          </w:p>
        </w:tc>
        <w:tc>
          <w:tcPr>
            <w:tcW w:w="708" w:type="dxa"/>
          </w:tcPr>
          <w:p w14:paraId="277B8558">
            <w:pPr>
              <w:spacing w:line="240" w:lineRule="auto"/>
              <w:jc w:val="center"/>
              <w:rPr>
                <w:rFonts w:ascii="宋体" w:hAnsi="宋体"/>
              </w:rPr>
            </w:pPr>
            <w:r>
              <w:rPr>
                <w:rFonts w:hint="eastAsia" w:ascii="宋体" w:hAnsi="宋体"/>
              </w:rPr>
              <w:t>4</w:t>
            </w:r>
            <w:r>
              <w:rPr>
                <w:rFonts w:ascii="宋体" w:hAnsi="宋体"/>
              </w:rPr>
              <w:t>4</w:t>
            </w:r>
          </w:p>
        </w:tc>
        <w:tc>
          <w:tcPr>
            <w:tcW w:w="2694" w:type="dxa"/>
          </w:tcPr>
          <w:p w14:paraId="48B73CFC">
            <w:pPr>
              <w:spacing w:line="240" w:lineRule="auto"/>
              <w:jc w:val="center"/>
              <w:rPr>
                <w:rFonts w:ascii="宋体" w:hAnsi="宋体"/>
              </w:rPr>
            </w:pPr>
            <w:r>
              <w:rPr>
                <w:rFonts w:hint="eastAsia" w:ascii="宋体" w:hAnsi="宋体"/>
              </w:rPr>
              <w:t>邻</w:t>
            </w:r>
            <w:r>
              <w:rPr>
                <w:rFonts w:ascii="宋体" w:hAnsi="宋体"/>
              </w:rPr>
              <w:t>二甲苯</w:t>
            </w:r>
          </w:p>
        </w:tc>
        <w:tc>
          <w:tcPr>
            <w:tcW w:w="850" w:type="dxa"/>
          </w:tcPr>
          <w:p w14:paraId="38AB7C58">
            <w:pPr>
              <w:spacing w:line="240" w:lineRule="auto"/>
              <w:jc w:val="center"/>
              <w:rPr>
                <w:rFonts w:ascii="宋体" w:hAnsi="宋体"/>
              </w:rPr>
            </w:pPr>
            <w:r>
              <w:rPr>
                <w:rFonts w:ascii="宋体" w:hAnsi="宋体"/>
              </w:rPr>
              <w:t>5.41</w:t>
            </w:r>
          </w:p>
        </w:tc>
        <w:tc>
          <w:tcPr>
            <w:tcW w:w="709" w:type="dxa"/>
          </w:tcPr>
          <w:p w14:paraId="25CE0BEB">
            <w:pPr>
              <w:spacing w:line="240" w:lineRule="auto"/>
              <w:jc w:val="center"/>
              <w:rPr>
                <w:rFonts w:ascii="宋体" w:hAnsi="宋体"/>
              </w:rPr>
            </w:pPr>
            <w:r>
              <w:rPr>
                <w:rFonts w:ascii="宋体" w:hAnsi="宋体"/>
              </w:rPr>
              <w:t>77</w:t>
            </w:r>
          </w:p>
        </w:tc>
        <w:tc>
          <w:tcPr>
            <w:tcW w:w="1838" w:type="dxa"/>
          </w:tcPr>
          <w:p w14:paraId="6CAC08F1">
            <w:pPr>
              <w:spacing w:line="240" w:lineRule="auto"/>
              <w:jc w:val="center"/>
              <w:rPr>
                <w:rFonts w:ascii="宋体" w:hAnsi="宋体"/>
              </w:rPr>
            </w:pPr>
            <w:r>
              <w:rPr>
                <w:rFonts w:hint="eastAsia" w:ascii="宋体" w:hAnsi="宋体"/>
              </w:rPr>
              <w:t>丁醛</w:t>
            </w:r>
          </w:p>
        </w:tc>
        <w:tc>
          <w:tcPr>
            <w:tcW w:w="850" w:type="dxa"/>
          </w:tcPr>
          <w:p w14:paraId="1EDFE5D6">
            <w:pPr>
              <w:spacing w:line="240" w:lineRule="auto"/>
              <w:jc w:val="center"/>
              <w:rPr>
                <w:rFonts w:ascii="宋体" w:hAnsi="宋体"/>
              </w:rPr>
            </w:pPr>
            <w:r>
              <w:rPr>
                <w:rFonts w:ascii="宋体" w:hAnsi="宋体"/>
              </w:rPr>
              <w:t>4.54</w:t>
            </w:r>
          </w:p>
        </w:tc>
        <w:tc>
          <w:tcPr>
            <w:tcW w:w="709" w:type="dxa"/>
          </w:tcPr>
          <w:p w14:paraId="0E8105F5">
            <w:pPr>
              <w:spacing w:line="240" w:lineRule="auto"/>
              <w:jc w:val="center"/>
              <w:rPr>
                <w:rFonts w:ascii="宋体" w:hAnsi="宋体"/>
              </w:rPr>
            </w:pPr>
            <w:r>
              <w:rPr>
                <w:rFonts w:ascii="宋体" w:hAnsi="宋体"/>
              </w:rPr>
              <w:t>110</w:t>
            </w:r>
          </w:p>
        </w:tc>
        <w:tc>
          <w:tcPr>
            <w:tcW w:w="1701" w:type="dxa"/>
          </w:tcPr>
          <w:p w14:paraId="06CE38DC">
            <w:pPr>
              <w:spacing w:line="240" w:lineRule="auto"/>
              <w:jc w:val="center"/>
              <w:rPr>
                <w:rFonts w:ascii="宋体" w:hAnsi="宋体"/>
              </w:rPr>
            </w:pPr>
            <w:r>
              <w:rPr>
                <w:rFonts w:ascii="宋体" w:hAnsi="宋体"/>
              </w:rPr>
              <w:t>2,3-二甲基苯酚</w:t>
            </w:r>
          </w:p>
        </w:tc>
        <w:tc>
          <w:tcPr>
            <w:tcW w:w="850" w:type="dxa"/>
          </w:tcPr>
          <w:p w14:paraId="306813E2">
            <w:pPr>
              <w:spacing w:line="240" w:lineRule="auto"/>
              <w:jc w:val="center"/>
              <w:rPr>
                <w:rFonts w:ascii="宋体" w:hAnsi="宋体"/>
              </w:rPr>
            </w:pPr>
            <w:r>
              <w:rPr>
                <w:rFonts w:ascii="宋体" w:hAnsi="宋体"/>
              </w:rPr>
              <w:t>6.08</w:t>
            </w:r>
          </w:p>
        </w:tc>
      </w:tr>
      <w:tr w14:paraId="36830E1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6D9E85E7">
            <w:pPr>
              <w:spacing w:line="240" w:lineRule="auto"/>
              <w:jc w:val="center"/>
              <w:rPr>
                <w:rFonts w:ascii="宋体" w:hAnsi="宋体"/>
              </w:rPr>
            </w:pPr>
            <w:r>
              <w:rPr>
                <w:rFonts w:hint="eastAsia" w:ascii="宋体" w:hAnsi="宋体"/>
              </w:rPr>
              <w:t>1</w:t>
            </w:r>
            <w:r>
              <w:rPr>
                <w:rFonts w:ascii="宋体" w:hAnsi="宋体"/>
              </w:rPr>
              <w:t>2</w:t>
            </w:r>
          </w:p>
        </w:tc>
        <w:tc>
          <w:tcPr>
            <w:tcW w:w="1701" w:type="dxa"/>
          </w:tcPr>
          <w:p w14:paraId="7583E933">
            <w:pPr>
              <w:spacing w:line="240" w:lineRule="auto"/>
              <w:jc w:val="center"/>
              <w:rPr>
                <w:rFonts w:ascii="宋体" w:hAnsi="宋体"/>
              </w:rPr>
            </w:pPr>
            <w:r>
              <w:rPr>
                <w:rFonts w:hint="eastAsia" w:ascii="宋体" w:hAnsi="宋体"/>
              </w:rPr>
              <w:t>环</w:t>
            </w:r>
            <w:r>
              <w:rPr>
                <w:rFonts w:ascii="宋体" w:hAnsi="宋体"/>
              </w:rPr>
              <w:t>己烷</w:t>
            </w:r>
          </w:p>
        </w:tc>
        <w:tc>
          <w:tcPr>
            <w:tcW w:w="851" w:type="dxa"/>
          </w:tcPr>
          <w:p w14:paraId="60963426">
            <w:pPr>
              <w:spacing w:line="240" w:lineRule="auto"/>
              <w:jc w:val="center"/>
              <w:rPr>
                <w:rFonts w:ascii="宋体" w:hAnsi="宋体"/>
              </w:rPr>
            </w:pPr>
            <w:r>
              <w:rPr>
                <w:rFonts w:ascii="宋体" w:hAnsi="宋体"/>
              </w:rPr>
              <w:t>1.29</w:t>
            </w:r>
          </w:p>
        </w:tc>
        <w:tc>
          <w:tcPr>
            <w:tcW w:w="708" w:type="dxa"/>
          </w:tcPr>
          <w:p w14:paraId="7D5B81EC">
            <w:pPr>
              <w:spacing w:line="240" w:lineRule="auto"/>
              <w:jc w:val="center"/>
              <w:rPr>
                <w:rFonts w:ascii="宋体" w:hAnsi="宋体"/>
              </w:rPr>
            </w:pPr>
            <w:r>
              <w:rPr>
                <w:rFonts w:hint="eastAsia" w:ascii="宋体" w:hAnsi="宋体"/>
              </w:rPr>
              <w:t>4</w:t>
            </w:r>
            <w:r>
              <w:rPr>
                <w:rFonts w:ascii="宋体" w:hAnsi="宋体"/>
              </w:rPr>
              <w:t>5</w:t>
            </w:r>
          </w:p>
        </w:tc>
        <w:tc>
          <w:tcPr>
            <w:tcW w:w="2694" w:type="dxa"/>
          </w:tcPr>
          <w:p w14:paraId="3A943F0F">
            <w:pPr>
              <w:spacing w:line="240" w:lineRule="auto"/>
              <w:jc w:val="center"/>
              <w:rPr>
                <w:rFonts w:ascii="宋体" w:hAnsi="宋体"/>
              </w:rPr>
            </w:pPr>
            <w:r>
              <w:rPr>
                <w:rFonts w:hint="eastAsia" w:ascii="宋体" w:hAnsi="宋体"/>
              </w:rPr>
              <w:t>对二甲苯</w:t>
            </w:r>
          </w:p>
        </w:tc>
        <w:tc>
          <w:tcPr>
            <w:tcW w:w="850" w:type="dxa"/>
          </w:tcPr>
          <w:p w14:paraId="6443F3E5">
            <w:pPr>
              <w:spacing w:line="240" w:lineRule="auto"/>
              <w:jc w:val="center"/>
              <w:rPr>
                <w:rFonts w:ascii="宋体" w:hAnsi="宋体"/>
              </w:rPr>
            </w:pPr>
            <w:r>
              <w:rPr>
                <w:rFonts w:ascii="宋体" w:hAnsi="宋体"/>
              </w:rPr>
              <w:t>4.17</w:t>
            </w:r>
          </w:p>
        </w:tc>
        <w:tc>
          <w:tcPr>
            <w:tcW w:w="709" w:type="dxa"/>
          </w:tcPr>
          <w:p w14:paraId="1DF0830B">
            <w:pPr>
              <w:spacing w:line="240" w:lineRule="auto"/>
              <w:jc w:val="center"/>
              <w:rPr>
                <w:rFonts w:ascii="宋体" w:hAnsi="宋体"/>
              </w:rPr>
            </w:pPr>
            <w:r>
              <w:rPr>
                <w:rFonts w:ascii="宋体" w:hAnsi="宋体"/>
              </w:rPr>
              <w:t>78</w:t>
            </w:r>
          </w:p>
        </w:tc>
        <w:tc>
          <w:tcPr>
            <w:tcW w:w="1838" w:type="dxa"/>
          </w:tcPr>
          <w:p w14:paraId="2EDFF139">
            <w:pPr>
              <w:spacing w:line="240" w:lineRule="auto"/>
              <w:jc w:val="center"/>
              <w:rPr>
                <w:rFonts w:ascii="宋体" w:hAnsi="宋体"/>
              </w:rPr>
            </w:pPr>
            <w:r>
              <w:rPr>
                <w:rFonts w:hint="eastAsia" w:ascii="宋体" w:hAnsi="宋体"/>
              </w:rPr>
              <w:t>甲基乙基酮</w:t>
            </w:r>
          </w:p>
        </w:tc>
        <w:tc>
          <w:tcPr>
            <w:tcW w:w="850" w:type="dxa"/>
          </w:tcPr>
          <w:p w14:paraId="6035E255">
            <w:pPr>
              <w:spacing w:line="240" w:lineRule="auto"/>
              <w:jc w:val="center"/>
              <w:rPr>
                <w:rFonts w:ascii="宋体" w:hAnsi="宋体"/>
              </w:rPr>
            </w:pPr>
            <w:r>
              <w:rPr>
                <w:rFonts w:ascii="宋体" w:hAnsi="宋体"/>
              </w:rPr>
              <w:t>1.18</w:t>
            </w:r>
          </w:p>
        </w:tc>
        <w:tc>
          <w:tcPr>
            <w:tcW w:w="709" w:type="dxa"/>
          </w:tcPr>
          <w:p w14:paraId="0E38D3CA">
            <w:pPr>
              <w:spacing w:line="240" w:lineRule="auto"/>
              <w:jc w:val="center"/>
              <w:rPr>
                <w:rFonts w:ascii="宋体" w:hAnsi="宋体"/>
              </w:rPr>
            </w:pPr>
            <w:r>
              <w:rPr>
                <w:rFonts w:ascii="宋体" w:hAnsi="宋体"/>
              </w:rPr>
              <w:t>111</w:t>
            </w:r>
          </w:p>
        </w:tc>
        <w:tc>
          <w:tcPr>
            <w:tcW w:w="1701" w:type="dxa"/>
          </w:tcPr>
          <w:p w14:paraId="352197FE">
            <w:pPr>
              <w:spacing w:line="240" w:lineRule="auto"/>
              <w:jc w:val="center"/>
              <w:rPr>
                <w:rFonts w:ascii="宋体" w:hAnsi="宋体"/>
              </w:rPr>
            </w:pPr>
            <w:r>
              <w:rPr>
                <w:rFonts w:ascii="宋体" w:hAnsi="宋体"/>
              </w:rPr>
              <w:t>3-辛醇</w:t>
            </w:r>
          </w:p>
        </w:tc>
        <w:tc>
          <w:tcPr>
            <w:tcW w:w="850" w:type="dxa"/>
          </w:tcPr>
          <w:p w14:paraId="64D0BA2C">
            <w:pPr>
              <w:spacing w:line="240" w:lineRule="auto"/>
              <w:jc w:val="center"/>
              <w:rPr>
                <w:rFonts w:ascii="宋体" w:hAnsi="宋体"/>
              </w:rPr>
            </w:pPr>
            <w:r>
              <w:rPr>
                <w:rFonts w:ascii="宋体" w:hAnsi="宋体"/>
              </w:rPr>
              <w:t>1.65</w:t>
            </w:r>
          </w:p>
        </w:tc>
      </w:tr>
      <w:tr w14:paraId="19E75E2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5CC0559B">
            <w:pPr>
              <w:spacing w:line="240" w:lineRule="auto"/>
              <w:jc w:val="center"/>
              <w:rPr>
                <w:rFonts w:ascii="宋体" w:hAnsi="宋体"/>
              </w:rPr>
            </w:pPr>
            <w:r>
              <w:rPr>
                <w:rFonts w:hint="eastAsia" w:ascii="宋体" w:hAnsi="宋体"/>
              </w:rPr>
              <w:t>1</w:t>
            </w:r>
            <w:r>
              <w:rPr>
                <w:rFonts w:ascii="宋体" w:hAnsi="宋体"/>
              </w:rPr>
              <w:t>3</w:t>
            </w:r>
          </w:p>
        </w:tc>
        <w:tc>
          <w:tcPr>
            <w:tcW w:w="1701" w:type="dxa"/>
          </w:tcPr>
          <w:p w14:paraId="59A0FF90">
            <w:pPr>
              <w:spacing w:line="240" w:lineRule="auto"/>
              <w:jc w:val="center"/>
              <w:rPr>
                <w:rFonts w:ascii="宋体" w:hAnsi="宋体"/>
              </w:rPr>
            </w:pPr>
            <w:r>
              <w:rPr>
                <w:rFonts w:hint="eastAsia" w:ascii="宋体" w:hAnsi="宋体"/>
              </w:rPr>
              <w:t>正庚烷</w:t>
            </w:r>
          </w:p>
        </w:tc>
        <w:tc>
          <w:tcPr>
            <w:tcW w:w="851" w:type="dxa"/>
          </w:tcPr>
          <w:p w14:paraId="10791281">
            <w:pPr>
              <w:spacing w:line="240" w:lineRule="auto"/>
              <w:jc w:val="center"/>
              <w:rPr>
                <w:rFonts w:ascii="宋体" w:hAnsi="宋体"/>
              </w:rPr>
            </w:pPr>
            <w:r>
              <w:rPr>
                <w:rFonts w:ascii="宋体" w:hAnsi="宋体"/>
              </w:rPr>
              <w:t>0.28</w:t>
            </w:r>
          </w:p>
        </w:tc>
        <w:tc>
          <w:tcPr>
            <w:tcW w:w="708" w:type="dxa"/>
            <w:vAlign w:val="bottom"/>
          </w:tcPr>
          <w:p w14:paraId="0FC79484">
            <w:pPr>
              <w:spacing w:line="240" w:lineRule="auto"/>
              <w:jc w:val="center"/>
              <w:rPr>
                <w:rFonts w:ascii="宋体" w:hAnsi="宋体"/>
              </w:rPr>
            </w:pPr>
            <w:r>
              <w:rPr>
                <w:rFonts w:hint="eastAsia" w:ascii="宋体" w:hAnsi="宋体"/>
                <w:color w:val="000000"/>
              </w:rPr>
              <w:t>46</w:t>
            </w:r>
          </w:p>
        </w:tc>
        <w:tc>
          <w:tcPr>
            <w:tcW w:w="2694" w:type="dxa"/>
          </w:tcPr>
          <w:p w14:paraId="76994186">
            <w:pPr>
              <w:spacing w:line="240" w:lineRule="auto"/>
              <w:jc w:val="center"/>
              <w:rPr>
                <w:rFonts w:ascii="宋体" w:hAnsi="宋体"/>
              </w:rPr>
            </w:pPr>
            <w:r>
              <w:rPr>
                <w:rFonts w:hint="eastAsia" w:ascii="宋体" w:hAnsi="宋体"/>
              </w:rPr>
              <w:t>苯乙烯</w:t>
            </w:r>
          </w:p>
        </w:tc>
        <w:tc>
          <w:tcPr>
            <w:tcW w:w="850" w:type="dxa"/>
          </w:tcPr>
          <w:p w14:paraId="7073AD02">
            <w:pPr>
              <w:spacing w:line="240" w:lineRule="auto"/>
              <w:jc w:val="center"/>
              <w:rPr>
                <w:rFonts w:ascii="宋体" w:hAnsi="宋体"/>
              </w:rPr>
            </w:pPr>
            <w:r>
              <w:rPr>
                <w:rFonts w:ascii="宋体" w:hAnsi="宋体"/>
              </w:rPr>
              <w:t>1.45</w:t>
            </w:r>
          </w:p>
        </w:tc>
        <w:tc>
          <w:tcPr>
            <w:tcW w:w="709" w:type="dxa"/>
          </w:tcPr>
          <w:p w14:paraId="20C12555">
            <w:pPr>
              <w:spacing w:line="240" w:lineRule="auto"/>
              <w:jc w:val="center"/>
              <w:rPr>
                <w:rFonts w:ascii="宋体" w:hAnsi="宋体"/>
              </w:rPr>
            </w:pPr>
            <w:r>
              <w:rPr>
                <w:rFonts w:ascii="宋体" w:hAnsi="宋体"/>
              </w:rPr>
              <w:t>79</w:t>
            </w:r>
          </w:p>
        </w:tc>
        <w:tc>
          <w:tcPr>
            <w:tcW w:w="1838" w:type="dxa"/>
          </w:tcPr>
          <w:p w14:paraId="2CC1EE3E">
            <w:pPr>
              <w:spacing w:line="240" w:lineRule="auto"/>
              <w:jc w:val="center"/>
              <w:rPr>
                <w:rFonts w:ascii="宋体" w:hAnsi="宋体"/>
              </w:rPr>
            </w:pPr>
            <w:r>
              <w:rPr>
                <w:rFonts w:hint="eastAsia" w:ascii="宋体" w:hAnsi="宋体"/>
              </w:rPr>
              <w:t>异</w:t>
            </w:r>
            <w:r>
              <w:rPr>
                <w:rFonts w:ascii="宋体" w:hAnsi="宋体"/>
              </w:rPr>
              <w:t>丁醇</w:t>
            </w:r>
          </w:p>
        </w:tc>
        <w:tc>
          <w:tcPr>
            <w:tcW w:w="850" w:type="dxa"/>
          </w:tcPr>
          <w:p w14:paraId="26DD9B7D">
            <w:pPr>
              <w:spacing w:line="240" w:lineRule="auto"/>
              <w:jc w:val="center"/>
              <w:rPr>
                <w:rFonts w:ascii="宋体" w:hAnsi="宋体"/>
              </w:rPr>
            </w:pPr>
            <w:r>
              <w:rPr>
                <w:rFonts w:ascii="宋体" w:hAnsi="宋体"/>
              </w:rPr>
              <w:t>2.28</w:t>
            </w:r>
          </w:p>
        </w:tc>
        <w:tc>
          <w:tcPr>
            <w:tcW w:w="709" w:type="dxa"/>
          </w:tcPr>
          <w:p w14:paraId="1EA2D185">
            <w:pPr>
              <w:spacing w:line="240" w:lineRule="auto"/>
              <w:jc w:val="center"/>
              <w:rPr>
                <w:rFonts w:ascii="宋体" w:hAnsi="宋体"/>
              </w:rPr>
            </w:pPr>
            <w:r>
              <w:rPr>
                <w:rFonts w:ascii="宋体" w:hAnsi="宋体"/>
              </w:rPr>
              <w:t>112</w:t>
            </w:r>
          </w:p>
        </w:tc>
        <w:tc>
          <w:tcPr>
            <w:tcW w:w="1701" w:type="dxa"/>
          </w:tcPr>
          <w:p w14:paraId="674C9D40">
            <w:pPr>
              <w:spacing w:line="240" w:lineRule="auto"/>
              <w:jc w:val="center"/>
              <w:rPr>
                <w:rFonts w:ascii="宋体" w:hAnsi="宋体"/>
              </w:rPr>
            </w:pPr>
            <w:r>
              <w:rPr>
                <w:rFonts w:hint="eastAsia" w:ascii="宋体" w:hAnsi="宋体"/>
              </w:rPr>
              <w:t>二氯甲烷</w:t>
            </w:r>
          </w:p>
        </w:tc>
        <w:tc>
          <w:tcPr>
            <w:tcW w:w="850" w:type="dxa"/>
          </w:tcPr>
          <w:p w14:paraId="01399A76">
            <w:pPr>
              <w:spacing w:line="240" w:lineRule="auto"/>
              <w:jc w:val="center"/>
              <w:rPr>
                <w:rFonts w:ascii="宋体" w:hAnsi="宋体"/>
              </w:rPr>
            </w:pPr>
            <w:r>
              <w:rPr>
                <w:rFonts w:ascii="宋体" w:hAnsi="宋体"/>
              </w:rPr>
              <w:t>0.07</w:t>
            </w:r>
          </w:p>
        </w:tc>
      </w:tr>
      <w:tr w14:paraId="02359FB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5C1414B3">
            <w:pPr>
              <w:spacing w:line="240" w:lineRule="auto"/>
              <w:jc w:val="center"/>
              <w:rPr>
                <w:rFonts w:ascii="宋体" w:hAnsi="宋体"/>
              </w:rPr>
            </w:pPr>
            <w:r>
              <w:rPr>
                <w:rFonts w:hint="eastAsia" w:ascii="宋体" w:hAnsi="宋体"/>
              </w:rPr>
              <w:t>1</w:t>
            </w:r>
            <w:r>
              <w:rPr>
                <w:rFonts w:ascii="宋体" w:hAnsi="宋体"/>
              </w:rPr>
              <w:t>4</w:t>
            </w:r>
          </w:p>
        </w:tc>
        <w:tc>
          <w:tcPr>
            <w:tcW w:w="1701" w:type="dxa"/>
          </w:tcPr>
          <w:p w14:paraId="096AF926">
            <w:pPr>
              <w:spacing w:line="240" w:lineRule="auto"/>
              <w:jc w:val="center"/>
              <w:rPr>
                <w:rFonts w:ascii="宋体" w:hAnsi="宋体"/>
              </w:rPr>
            </w:pPr>
            <w:r>
              <w:rPr>
                <w:rFonts w:hint="eastAsia" w:ascii="宋体" w:hAnsi="宋体"/>
              </w:rPr>
              <w:t>正</w:t>
            </w:r>
            <w:r>
              <w:rPr>
                <w:rFonts w:ascii="宋体" w:hAnsi="宋体"/>
              </w:rPr>
              <w:t>辛烷</w:t>
            </w:r>
          </w:p>
        </w:tc>
        <w:tc>
          <w:tcPr>
            <w:tcW w:w="851" w:type="dxa"/>
          </w:tcPr>
          <w:p w14:paraId="67E4E7FD">
            <w:pPr>
              <w:spacing w:line="240" w:lineRule="auto"/>
              <w:jc w:val="center"/>
              <w:rPr>
                <w:rFonts w:ascii="宋体" w:hAnsi="宋体"/>
              </w:rPr>
            </w:pPr>
            <w:r>
              <w:rPr>
                <w:rFonts w:ascii="宋体" w:hAnsi="宋体"/>
              </w:rPr>
              <w:t>0.07</w:t>
            </w:r>
          </w:p>
        </w:tc>
        <w:tc>
          <w:tcPr>
            <w:tcW w:w="708" w:type="dxa"/>
            <w:vAlign w:val="bottom"/>
          </w:tcPr>
          <w:p w14:paraId="53A4D629">
            <w:pPr>
              <w:spacing w:line="240" w:lineRule="auto"/>
              <w:jc w:val="center"/>
              <w:rPr>
                <w:rFonts w:ascii="宋体" w:hAnsi="宋体"/>
              </w:rPr>
            </w:pPr>
            <w:r>
              <w:rPr>
                <w:rFonts w:hint="eastAsia" w:ascii="宋体" w:hAnsi="宋体"/>
                <w:color w:val="000000"/>
              </w:rPr>
              <w:t>47</w:t>
            </w:r>
          </w:p>
        </w:tc>
        <w:tc>
          <w:tcPr>
            <w:tcW w:w="2694" w:type="dxa"/>
          </w:tcPr>
          <w:p w14:paraId="75B8C965">
            <w:pPr>
              <w:spacing w:line="240" w:lineRule="auto"/>
              <w:jc w:val="center"/>
              <w:rPr>
                <w:rFonts w:ascii="宋体" w:hAnsi="宋体"/>
              </w:rPr>
            </w:pPr>
            <w:r>
              <w:rPr>
                <w:rFonts w:hint="eastAsia" w:ascii="宋体" w:hAnsi="宋体"/>
              </w:rPr>
              <w:t>正丙基苯</w:t>
            </w:r>
          </w:p>
        </w:tc>
        <w:tc>
          <w:tcPr>
            <w:tcW w:w="850" w:type="dxa"/>
          </w:tcPr>
          <w:p w14:paraId="4D13141D">
            <w:pPr>
              <w:spacing w:line="240" w:lineRule="auto"/>
              <w:jc w:val="center"/>
              <w:rPr>
                <w:rFonts w:ascii="宋体" w:hAnsi="宋体"/>
              </w:rPr>
            </w:pPr>
            <w:r>
              <w:rPr>
                <w:rFonts w:ascii="宋体" w:hAnsi="宋体"/>
              </w:rPr>
              <w:t>1.79</w:t>
            </w:r>
          </w:p>
        </w:tc>
        <w:tc>
          <w:tcPr>
            <w:tcW w:w="709" w:type="dxa"/>
          </w:tcPr>
          <w:p w14:paraId="6FF77014">
            <w:pPr>
              <w:spacing w:line="240" w:lineRule="auto"/>
              <w:jc w:val="center"/>
              <w:rPr>
                <w:rFonts w:ascii="宋体" w:hAnsi="宋体"/>
              </w:rPr>
            </w:pPr>
            <w:r>
              <w:rPr>
                <w:rFonts w:ascii="宋体" w:hAnsi="宋体"/>
              </w:rPr>
              <w:t>80</w:t>
            </w:r>
          </w:p>
        </w:tc>
        <w:tc>
          <w:tcPr>
            <w:tcW w:w="1838" w:type="dxa"/>
          </w:tcPr>
          <w:p w14:paraId="02939D6A">
            <w:pPr>
              <w:spacing w:line="240" w:lineRule="auto"/>
              <w:jc w:val="center"/>
              <w:rPr>
                <w:rFonts w:ascii="宋体" w:hAnsi="宋体"/>
              </w:rPr>
            </w:pPr>
            <w:r>
              <w:rPr>
                <w:rFonts w:hint="eastAsia" w:ascii="宋体" w:hAnsi="宋体"/>
              </w:rPr>
              <w:t>正丁醇</w:t>
            </w:r>
          </w:p>
        </w:tc>
        <w:tc>
          <w:tcPr>
            <w:tcW w:w="850" w:type="dxa"/>
          </w:tcPr>
          <w:p w14:paraId="740A9F95">
            <w:pPr>
              <w:spacing w:line="240" w:lineRule="auto"/>
              <w:jc w:val="center"/>
              <w:rPr>
                <w:rFonts w:ascii="宋体" w:hAnsi="宋体"/>
              </w:rPr>
            </w:pPr>
            <w:r>
              <w:rPr>
                <w:rFonts w:ascii="宋体" w:hAnsi="宋体"/>
              </w:rPr>
              <w:t>1.27</w:t>
            </w:r>
          </w:p>
        </w:tc>
        <w:tc>
          <w:tcPr>
            <w:tcW w:w="709" w:type="dxa"/>
          </w:tcPr>
          <w:p w14:paraId="5698FA2F">
            <w:pPr>
              <w:spacing w:line="240" w:lineRule="auto"/>
              <w:jc w:val="center"/>
              <w:rPr>
                <w:rFonts w:ascii="宋体" w:hAnsi="宋体"/>
              </w:rPr>
            </w:pPr>
            <w:r>
              <w:rPr>
                <w:rFonts w:ascii="宋体" w:hAnsi="宋体"/>
              </w:rPr>
              <w:t>113</w:t>
            </w:r>
          </w:p>
        </w:tc>
        <w:tc>
          <w:tcPr>
            <w:tcW w:w="1701" w:type="dxa"/>
          </w:tcPr>
          <w:p w14:paraId="45C2D2F0">
            <w:pPr>
              <w:spacing w:line="240" w:lineRule="auto"/>
              <w:jc w:val="center"/>
              <w:rPr>
                <w:rFonts w:ascii="宋体" w:hAnsi="宋体"/>
              </w:rPr>
            </w:pPr>
            <w:r>
              <w:rPr>
                <w:rFonts w:hint="eastAsia" w:ascii="宋体" w:hAnsi="宋体"/>
              </w:rPr>
              <w:t>乙炔</w:t>
            </w:r>
          </w:p>
        </w:tc>
        <w:tc>
          <w:tcPr>
            <w:tcW w:w="850" w:type="dxa"/>
          </w:tcPr>
          <w:p w14:paraId="5E23104F">
            <w:pPr>
              <w:spacing w:line="240" w:lineRule="auto"/>
              <w:jc w:val="center"/>
              <w:rPr>
                <w:rFonts w:ascii="宋体" w:hAnsi="宋体"/>
              </w:rPr>
            </w:pPr>
            <w:r>
              <w:rPr>
                <w:rFonts w:ascii="宋体" w:hAnsi="宋体"/>
              </w:rPr>
              <w:t>0.20</w:t>
            </w:r>
          </w:p>
        </w:tc>
      </w:tr>
      <w:tr w14:paraId="56EE14A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5E3CCA01">
            <w:pPr>
              <w:spacing w:line="240" w:lineRule="auto"/>
              <w:jc w:val="center"/>
              <w:rPr>
                <w:rFonts w:ascii="宋体" w:hAnsi="宋体"/>
              </w:rPr>
            </w:pPr>
            <w:r>
              <w:rPr>
                <w:rFonts w:hint="eastAsia" w:ascii="宋体" w:hAnsi="宋体"/>
              </w:rPr>
              <w:t>1</w:t>
            </w:r>
            <w:r>
              <w:rPr>
                <w:rFonts w:ascii="宋体" w:hAnsi="宋体"/>
              </w:rPr>
              <w:t>5</w:t>
            </w:r>
          </w:p>
        </w:tc>
        <w:tc>
          <w:tcPr>
            <w:tcW w:w="1701" w:type="dxa"/>
          </w:tcPr>
          <w:p w14:paraId="5D1E6DBE">
            <w:pPr>
              <w:spacing w:line="240" w:lineRule="auto"/>
              <w:jc w:val="center"/>
              <w:rPr>
                <w:rFonts w:ascii="宋体" w:hAnsi="宋体"/>
              </w:rPr>
            </w:pPr>
            <w:r>
              <w:rPr>
                <w:rFonts w:hint="eastAsia" w:ascii="宋体" w:hAnsi="宋体"/>
              </w:rPr>
              <w:t>正壬烷</w:t>
            </w:r>
          </w:p>
        </w:tc>
        <w:tc>
          <w:tcPr>
            <w:tcW w:w="851" w:type="dxa"/>
          </w:tcPr>
          <w:p w14:paraId="7364F9A5">
            <w:pPr>
              <w:spacing w:line="240" w:lineRule="auto"/>
              <w:jc w:val="center"/>
              <w:rPr>
                <w:rFonts w:ascii="宋体" w:hAnsi="宋体"/>
              </w:rPr>
            </w:pPr>
            <w:r>
              <w:rPr>
                <w:rFonts w:ascii="宋体" w:hAnsi="宋体"/>
              </w:rPr>
              <w:t>0.01</w:t>
            </w:r>
          </w:p>
        </w:tc>
        <w:tc>
          <w:tcPr>
            <w:tcW w:w="708" w:type="dxa"/>
            <w:vAlign w:val="bottom"/>
          </w:tcPr>
          <w:p w14:paraId="03CA372A">
            <w:pPr>
              <w:spacing w:line="240" w:lineRule="auto"/>
              <w:jc w:val="center"/>
              <w:rPr>
                <w:rFonts w:ascii="宋体" w:hAnsi="宋体"/>
              </w:rPr>
            </w:pPr>
            <w:r>
              <w:rPr>
                <w:rFonts w:hint="eastAsia" w:ascii="宋体" w:hAnsi="宋体"/>
                <w:color w:val="000000"/>
              </w:rPr>
              <w:t>48</w:t>
            </w:r>
          </w:p>
        </w:tc>
        <w:tc>
          <w:tcPr>
            <w:tcW w:w="2694" w:type="dxa"/>
          </w:tcPr>
          <w:p w14:paraId="7FB3026C">
            <w:pPr>
              <w:spacing w:line="240" w:lineRule="auto"/>
              <w:jc w:val="center"/>
              <w:rPr>
                <w:rFonts w:ascii="宋体" w:hAnsi="宋体"/>
              </w:rPr>
            </w:pPr>
            <w:r>
              <w:rPr>
                <w:rFonts w:hint="eastAsia" w:ascii="宋体" w:hAnsi="宋体"/>
              </w:rPr>
              <w:t>异丙基苯</w:t>
            </w:r>
          </w:p>
        </w:tc>
        <w:tc>
          <w:tcPr>
            <w:tcW w:w="850" w:type="dxa"/>
          </w:tcPr>
          <w:p w14:paraId="1170E3F8">
            <w:pPr>
              <w:spacing w:line="240" w:lineRule="auto"/>
              <w:jc w:val="center"/>
              <w:rPr>
                <w:rFonts w:ascii="宋体" w:hAnsi="宋体"/>
              </w:rPr>
            </w:pPr>
            <w:r>
              <w:rPr>
                <w:rFonts w:ascii="宋体" w:hAnsi="宋体"/>
              </w:rPr>
              <w:t>2.41</w:t>
            </w:r>
          </w:p>
        </w:tc>
        <w:tc>
          <w:tcPr>
            <w:tcW w:w="709" w:type="dxa"/>
          </w:tcPr>
          <w:p w14:paraId="32E668F3">
            <w:pPr>
              <w:spacing w:line="240" w:lineRule="auto"/>
              <w:jc w:val="center"/>
              <w:rPr>
                <w:rFonts w:ascii="宋体" w:hAnsi="宋体"/>
              </w:rPr>
            </w:pPr>
            <w:r>
              <w:rPr>
                <w:rFonts w:ascii="宋体" w:hAnsi="宋体"/>
              </w:rPr>
              <w:t>81</w:t>
            </w:r>
          </w:p>
        </w:tc>
        <w:tc>
          <w:tcPr>
            <w:tcW w:w="1838" w:type="dxa"/>
          </w:tcPr>
          <w:p w14:paraId="4C551389">
            <w:pPr>
              <w:spacing w:line="240" w:lineRule="auto"/>
              <w:jc w:val="center"/>
              <w:rPr>
                <w:rFonts w:ascii="宋体" w:hAnsi="宋体"/>
              </w:rPr>
            </w:pPr>
            <w:r>
              <w:rPr>
                <w:rFonts w:hint="eastAsia" w:ascii="宋体" w:hAnsi="宋体"/>
              </w:rPr>
              <w:t>仲丁醇</w:t>
            </w:r>
          </w:p>
        </w:tc>
        <w:tc>
          <w:tcPr>
            <w:tcW w:w="850" w:type="dxa"/>
          </w:tcPr>
          <w:p w14:paraId="76DB3FC4">
            <w:pPr>
              <w:spacing w:line="240" w:lineRule="auto"/>
              <w:jc w:val="center"/>
              <w:rPr>
                <w:rFonts w:ascii="宋体" w:hAnsi="宋体"/>
              </w:rPr>
            </w:pPr>
            <w:r>
              <w:rPr>
                <w:rFonts w:ascii="宋体" w:hAnsi="宋体"/>
              </w:rPr>
              <w:t>1.40</w:t>
            </w:r>
          </w:p>
        </w:tc>
        <w:tc>
          <w:tcPr>
            <w:tcW w:w="709" w:type="dxa"/>
          </w:tcPr>
          <w:p w14:paraId="542A299A">
            <w:pPr>
              <w:spacing w:line="240" w:lineRule="auto"/>
              <w:jc w:val="center"/>
              <w:rPr>
                <w:rFonts w:ascii="宋体" w:hAnsi="宋体"/>
              </w:rPr>
            </w:pPr>
            <w:r>
              <w:rPr>
                <w:rFonts w:ascii="宋体" w:hAnsi="宋体"/>
              </w:rPr>
              <w:t>114</w:t>
            </w:r>
          </w:p>
        </w:tc>
        <w:tc>
          <w:tcPr>
            <w:tcW w:w="1701" w:type="dxa"/>
          </w:tcPr>
          <w:p w14:paraId="708AEC42">
            <w:pPr>
              <w:spacing w:line="240" w:lineRule="auto"/>
              <w:jc w:val="center"/>
              <w:rPr>
                <w:rFonts w:ascii="宋体" w:hAnsi="宋体"/>
              </w:rPr>
            </w:pPr>
            <w:r>
              <w:rPr>
                <w:rFonts w:hint="eastAsia" w:ascii="宋体" w:hAnsi="宋体"/>
              </w:rPr>
              <w:t>氯乙烯</w:t>
            </w:r>
          </w:p>
        </w:tc>
        <w:tc>
          <w:tcPr>
            <w:tcW w:w="850" w:type="dxa"/>
          </w:tcPr>
          <w:p w14:paraId="1C968EB9">
            <w:pPr>
              <w:spacing w:line="240" w:lineRule="auto"/>
              <w:jc w:val="center"/>
              <w:rPr>
                <w:rFonts w:ascii="宋体" w:hAnsi="宋体"/>
              </w:rPr>
            </w:pPr>
            <w:r>
              <w:rPr>
                <w:rFonts w:ascii="宋体" w:hAnsi="宋体"/>
              </w:rPr>
              <w:t>3.03</w:t>
            </w:r>
          </w:p>
        </w:tc>
      </w:tr>
      <w:tr w14:paraId="7068CD3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069BA636">
            <w:pPr>
              <w:spacing w:line="240" w:lineRule="auto"/>
              <w:jc w:val="center"/>
              <w:rPr>
                <w:rFonts w:ascii="宋体" w:hAnsi="宋体"/>
              </w:rPr>
            </w:pPr>
            <w:r>
              <w:rPr>
                <w:rFonts w:hint="eastAsia" w:ascii="宋体" w:hAnsi="宋体"/>
              </w:rPr>
              <w:t>1</w:t>
            </w:r>
            <w:r>
              <w:rPr>
                <w:rFonts w:ascii="宋体" w:hAnsi="宋体"/>
              </w:rPr>
              <w:t>6</w:t>
            </w:r>
          </w:p>
        </w:tc>
        <w:tc>
          <w:tcPr>
            <w:tcW w:w="1701" w:type="dxa"/>
          </w:tcPr>
          <w:p w14:paraId="1C44210A">
            <w:pPr>
              <w:spacing w:line="240" w:lineRule="auto"/>
              <w:jc w:val="center"/>
              <w:rPr>
                <w:rFonts w:ascii="宋体" w:hAnsi="宋体"/>
              </w:rPr>
            </w:pPr>
            <w:r>
              <w:rPr>
                <w:rFonts w:hint="eastAsia" w:ascii="宋体" w:hAnsi="宋体"/>
              </w:rPr>
              <w:t>正癸烷</w:t>
            </w:r>
          </w:p>
        </w:tc>
        <w:tc>
          <w:tcPr>
            <w:tcW w:w="851" w:type="dxa"/>
          </w:tcPr>
          <w:p w14:paraId="7CB431AE">
            <w:pPr>
              <w:spacing w:line="240" w:lineRule="auto"/>
              <w:jc w:val="center"/>
              <w:rPr>
                <w:rFonts w:ascii="宋体" w:hAnsi="宋体"/>
              </w:rPr>
            </w:pPr>
            <w:r>
              <w:rPr>
                <w:rFonts w:ascii="宋体" w:hAnsi="宋体"/>
              </w:rPr>
              <w:t>0.02</w:t>
            </w:r>
          </w:p>
        </w:tc>
        <w:tc>
          <w:tcPr>
            <w:tcW w:w="708" w:type="dxa"/>
            <w:vAlign w:val="bottom"/>
          </w:tcPr>
          <w:p w14:paraId="27E2D121">
            <w:pPr>
              <w:spacing w:line="240" w:lineRule="auto"/>
              <w:jc w:val="center"/>
              <w:rPr>
                <w:rFonts w:ascii="宋体" w:hAnsi="宋体"/>
              </w:rPr>
            </w:pPr>
            <w:r>
              <w:rPr>
                <w:rFonts w:hint="eastAsia" w:ascii="宋体" w:hAnsi="宋体"/>
                <w:color w:val="000000"/>
              </w:rPr>
              <w:t>49</w:t>
            </w:r>
          </w:p>
        </w:tc>
        <w:tc>
          <w:tcPr>
            <w:tcW w:w="2694" w:type="dxa"/>
          </w:tcPr>
          <w:p w14:paraId="437DAEA3">
            <w:pPr>
              <w:spacing w:line="240" w:lineRule="auto"/>
              <w:jc w:val="center"/>
              <w:rPr>
                <w:rFonts w:ascii="宋体" w:hAnsi="宋体"/>
              </w:rPr>
            </w:pPr>
            <w:r>
              <w:rPr>
                <w:rFonts w:hint="eastAsia" w:ascii="宋体" w:hAnsi="宋体"/>
              </w:rPr>
              <w:t>间</w:t>
            </w:r>
            <w:r>
              <w:rPr>
                <w:rFonts w:ascii="宋体" w:hAnsi="宋体"/>
              </w:rPr>
              <w:t>乙基甲苯</w:t>
            </w:r>
          </w:p>
        </w:tc>
        <w:tc>
          <w:tcPr>
            <w:tcW w:w="850" w:type="dxa"/>
          </w:tcPr>
          <w:p w14:paraId="47A18047">
            <w:pPr>
              <w:spacing w:line="240" w:lineRule="auto"/>
              <w:jc w:val="center"/>
              <w:rPr>
                <w:rFonts w:ascii="宋体" w:hAnsi="宋体"/>
              </w:rPr>
            </w:pPr>
            <w:r>
              <w:rPr>
                <w:rFonts w:ascii="宋体" w:hAnsi="宋体"/>
              </w:rPr>
              <w:t>5.83</w:t>
            </w:r>
          </w:p>
        </w:tc>
        <w:tc>
          <w:tcPr>
            <w:tcW w:w="709" w:type="dxa"/>
          </w:tcPr>
          <w:p w14:paraId="19C2EE33">
            <w:pPr>
              <w:spacing w:line="240" w:lineRule="auto"/>
              <w:jc w:val="center"/>
              <w:rPr>
                <w:rFonts w:ascii="宋体" w:hAnsi="宋体"/>
              </w:rPr>
            </w:pPr>
            <w:r>
              <w:rPr>
                <w:rFonts w:ascii="宋体" w:hAnsi="宋体"/>
              </w:rPr>
              <w:t>82</w:t>
            </w:r>
          </w:p>
        </w:tc>
        <w:tc>
          <w:tcPr>
            <w:tcW w:w="1838" w:type="dxa"/>
          </w:tcPr>
          <w:p w14:paraId="6638DC2A">
            <w:pPr>
              <w:spacing w:line="240" w:lineRule="auto"/>
              <w:jc w:val="center"/>
              <w:rPr>
                <w:rFonts w:ascii="宋体" w:hAnsi="宋体"/>
              </w:rPr>
            </w:pPr>
            <w:r>
              <w:rPr>
                <w:rFonts w:hint="eastAsia" w:ascii="宋体" w:hAnsi="宋体"/>
              </w:rPr>
              <w:t>乙醚</w:t>
            </w:r>
          </w:p>
        </w:tc>
        <w:tc>
          <w:tcPr>
            <w:tcW w:w="850" w:type="dxa"/>
          </w:tcPr>
          <w:p w14:paraId="2E631598">
            <w:pPr>
              <w:spacing w:line="240" w:lineRule="auto"/>
              <w:jc w:val="center"/>
              <w:rPr>
                <w:rFonts w:ascii="宋体" w:hAnsi="宋体"/>
              </w:rPr>
            </w:pPr>
            <w:r>
              <w:rPr>
                <w:rFonts w:ascii="宋体" w:hAnsi="宋体"/>
              </w:rPr>
              <w:t>2.42</w:t>
            </w:r>
          </w:p>
        </w:tc>
        <w:tc>
          <w:tcPr>
            <w:tcW w:w="709" w:type="dxa"/>
          </w:tcPr>
          <w:p w14:paraId="2A4035FF">
            <w:pPr>
              <w:spacing w:line="240" w:lineRule="auto"/>
              <w:jc w:val="center"/>
              <w:rPr>
                <w:rFonts w:ascii="宋体" w:hAnsi="宋体"/>
              </w:rPr>
            </w:pPr>
            <w:r>
              <w:rPr>
                <w:rFonts w:ascii="宋体" w:hAnsi="宋体"/>
              </w:rPr>
              <w:t>115</w:t>
            </w:r>
          </w:p>
        </w:tc>
        <w:tc>
          <w:tcPr>
            <w:tcW w:w="1701" w:type="dxa"/>
          </w:tcPr>
          <w:p w14:paraId="7C643FF0">
            <w:pPr>
              <w:spacing w:line="240" w:lineRule="auto"/>
              <w:jc w:val="center"/>
              <w:rPr>
                <w:rFonts w:ascii="宋体" w:hAnsi="宋体"/>
              </w:rPr>
            </w:pPr>
            <w:r>
              <w:rPr>
                <w:rFonts w:ascii="宋体" w:hAnsi="宋体"/>
              </w:rPr>
              <w:t>1,1-二氯乙烷</w:t>
            </w:r>
          </w:p>
        </w:tc>
        <w:tc>
          <w:tcPr>
            <w:tcW w:w="850" w:type="dxa"/>
          </w:tcPr>
          <w:p w14:paraId="2CF5E542">
            <w:pPr>
              <w:spacing w:line="240" w:lineRule="auto"/>
              <w:jc w:val="center"/>
              <w:rPr>
                <w:rFonts w:ascii="宋体" w:hAnsi="宋体"/>
              </w:rPr>
            </w:pPr>
            <w:r>
              <w:rPr>
                <w:rFonts w:ascii="宋体" w:hAnsi="宋体"/>
              </w:rPr>
              <w:t>0.08</w:t>
            </w:r>
          </w:p>
        </w:tc>
      </w:tr>
      <w:tr w14:paraId="0A254DF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bottom w:val="nil"/>
            </w:tcBorders>
          </w:tcPr>
          <w:p w14:paraId="7F96D388">
            <w:pPr>
              <w:spacing w:line="240" w:lineRule="auto"/>
              <w:jc w:val="center"/>
              <w:rPr>
                <w:rFonts w:ascii="宋体" w:hAnsi="宋体"/>
              </w:rPr>
            </w:pPr>
            <w:r>
              <w:rPr>
                <w:rFonts w:hint="eastAsia" w:ascii="宋体" w:hAnsi="宋体"/>
              </w:rPr>
              <w:t>1</w:t>
            </w:r>
            <w:r>
              <w:rPr>
                <w:rFonts w:ascii="宋体" w:hAnsi="宋体"/>
              </w:rPr>
              <w:t>7</w:t>
            </w:r>
          </w:p>
        </w:tc>
        <w:tc>
          <w:tcPr>
            <w:tcW w:w="1701" w:type="dxa"/>
            <w:tcBorders>
              <w:bottom w:val="nil"/>
            </w:tcBorders>
          </w:tcPr>
          <w:p w14:paraId="583E0D1A">
            <w:pPr>
              <w:spacing w:line="240" w:lineRule="auto"/>
              <w:jc w:val="center"/>
              <w:rPr>
                <w:rFonts w:ascii="宋体" w:hAnsi="宋体"/>
              </w:rPr>
            </w:pPr>
            <w:r>
              <w:rPr>
                <w:rFonts w:hint="eastAsia" w:ascii="宋体" w:hAnsi="宋体"/>
              </w:rPr>
              <w:t>正十一烷</w:t>
            </w:r>
          </w:p>
        </w:tc>
        <w:tc>
          <w:tcPr>
            <w:tcW w:w="851" w:type="dxa"/>
            <w:tcBorders>
              <w:bottom w:val="nil"/>
            </w:tcBorders>
          </w:tcPr>
          <w:p w14:paraId="5F8992A8">
            <w:pPr>
              <w:spacing w:line="240" w:lineRule="auto"/>
              <w:jc w:val="center"/>
              <w:rPr>
                <w:rFonts w:ascii="宋体" w:hAnsi="宋体"/>
              </w:rPr>
            </w:pPr>
            <w:r>
              <w:rPr>
                <w:rFonts w:ascii="宋体" w:hAnsi="宋体"/>
              </w:rPr>
              <w:t>-0.03</w:t>
            </w:r>
          </w:p>
        </w:tc>
        <w:tc>
          <w:tcPr>
            <w:tcW w:w="708" w:type="dxa"/>
            <w:tcBorders>
              <w:bottom w:val="nil"/>
            </w:tcBorders>
            <w:vAlign w:val="bottom"/>
          </w:tcPr>
          <w:p w14:paraId="3BCC2CAB">
            <w:pPr>
              <w:spacing w:line="240" w:lineRule="auto"/>
              <w:jc w:val="center"/>
              <w:rPr>
                <w:rFonts w:ascii="宋体" w:hAnsi="宋体"/>
              </w:rPr>
            </w:pPr>
            <w:r>
              <w:rPr>
                <w:rFonts w:hint="eastAsia" w:ascii="宋体" w:hAnsi="宋体"/>
                <w:color w:val="000000"/>
              </w:rPr>
              <w:t>50</w:t>
            </w:r>
          </w:p>
        </w:tc>
        <w:tc>
          <w:tcPr>
            <w:tcW w:w="2694" w:type="dxa"/>
            <w:tcBorders>
              <w:bottom w:val="nil"/>
            </w:tcBorders>
          </w:tcPr>
          <w:p w14:paraId="22DA7CB5">
            <w:pPr>
              <w:spacing w:line="240" w:lineRule="auto"/>
              <w:jc w:val="center"/>
              <w:rPr>
                <w:rFonts w:ascii="宋体" w:hAnsi="宋体"/>
              </w:rPr>
            </w:pPr>
            <w:r>
              <w:rPr>
                <w:rFonts w:hint="eastAsia" w:ascii="宋体" w:hAnsi="宋体"/>
              </w:rPr>
              <w:t>邻乙基甲苯</w:t>
            </w:r>
          </w:p>
        </w:tc>
        <w:tc>
          <w:tcPr>
            <w:tcW w:w="850" w:type="dxa"/>
            <w:tcBorders>
              <w:bottom w:val="nil"/>
            </w:tcBorders>
          </w:tcPr>
          <w:p w14:paraId="32EEE467">
            <w:pPr>
              <w:spacing w:line="240" w:lineRule="auto"/>
              <w:jc w:val="center"/>
              <w:rPr>
                <w:rFonts w:ascii="宋体" w:hAnsi="宋体"/>
              </w:rPr>
            </w:pPr>
            <w:r>
              <w:rPr>
                <w:rFonts w:ascii="宋体" w:hAnsi="宋体"/>
              </w:rPr>
              <w:t>4.47</w:t>
            </w:r>
          </w:p>
        </w:tc>
        <w:tc>
          <w:tcPr>
            <w:tcW w:w="709" w:type="dxa"/>
            <w:tcBorders>
              <w:bottom w:val="nil"/>
            </w:tcBorders>
          </w:tcPr>
          <w:p w14:paraId="11BD032F">
            <w:pPr>
              <w:spacing w:line="240" w:lineRule="auto"/>
              <w:jc w:val="center"/>
              <w:rPr>
                <w:rFonts w:ascii="宋体" w:hAnsi="宋体"/>
              </w:rPr>
            </w:pPr>
            <w:r>
              <w:rPr>
                <w:rFonts w:ascii="宋体" w:hAnsi="宋体"/>
              </w:rPr>
              <w:t>83</w:t>
            </w:r>
          </w:p>
        </w:tc>
        <w:tc>
          <w:tcPr>
            <w:tcW w:w="1838" w:type="dxa"/>
            <w:tcBorders>
              <w:bottom w:val="nil"/>
            </w:tcBorders>
          </w:tcPr>
          <w:p w14:paraId="1B2FEBA8">
            <w:pPr>
              <w:spacing w:line="240" w:lineRule="auto"/>
              <w:jc w:val="center"/>
              <w:rPr>
                <w:rFonts w:ascii="宋体" w:hAnsi="宋体"/>
              </w:rPr>
            </w:pPr>
            <w:r>
              <w:rPr>
                <w:rFonts w:hint="eastAsia" w:ascii="宋体" w:hAnsi="宋体"/>
              </w:rPr>
              <w:t>联乙酰</w:t>
            </w:r>
          </w:p>
        </w:tc>
        <w:tc>
          <w:tcPr>
            <w:tcW w:w="850" w:type="dxa"/>
            <w:tcBorders>
              <w:bottom w:val="nil"/>
            </w:tcBorders>
          </w:tcPr>
          <w:p w14:paraId="18704DBF">
            <w:pPr>
              <w:spacing w:line="240" w:lineRule="auto"/>
              <w:jc w:val="center"/>
              <w:rPr>
                <w:rFonts w:ascii="宋体" w:hAnsi="宋体"/>
              </w:rPr>
            </w:pPr>
            <w:r>
              <w:rPr>
                <w:rFonts w:ascii="宋体" w:hAnsi="宋体"/>
              </w:rPr>
              <w:t>20.42</w:t>
            </w:r>
          </w:p>
        </w:tc>
        <w:tc>
          <w:tcPr>
            <w:tcW w:w="709" w:type="dxa"/>
            <w:tcBorders>
              <w:bottom w:val="single" w:color="auto" w:sz="12" w:space="0"/>
            </w:tcBorders>
          </w:tcPr>
          <w:p w14:paraId="27635754">
            <w:pPr>
              <w:spacing w:line="240" w:lineRule="auto"/>
              <w:jc w:val="center"/>
              <w:rPr>
                <w:rFonts w:ascii="宋体" w:hAnsi="宋体"/>
              </w:rPr>
            </w:pPr>
            <w:r>
              <w:rPr>
                <w:rFonts w:ascii="宋体" w:hAnsi="宋体"/>
              </w:rPr>
              <w:t>116</w:t>
            </w:r>
          </w:p>
        </w:tc>
        <w:tc>
          <w:tcPr>
            <w:tcW w:w="1701" w:type="dxa"/>
            <w:tcBorders>
              <w:bottom w:val="single" w:color="auto" w:sz="12" w:space="0"/>
            </w:tcBorders>
          </w:tcPr>
          <w:p w14:paraId="2919FB2C">
            <w:pPr>
              <w:spacing w:line="240" w:lineRule="auto"/>
              <w:jc w:val="center"/>
              <w:rPr>
                <w:rFonts w:ascii="宋体" w:hAnsi="宋体"/>
              </w:rPr>
            </w:pPr>
            <w:r>
              <w:rPr>
                <w:rFonts w:ascii="宋体" w:hAnsi="宋体"/>
              </w:rPr>
              <w:t>1,1,1-三氯乙烷</w:t>
            </w:r>
          </w:p>
        </w:tc>
        <w:tc>
          <w:tcPr>
            <w:tcW w:w="850" w:type="dxa"/>
            <w:tcBorders>
              <w:bottom w:val="single" w:color="auto" w:sz="12" w:space="0"/>
            </w:tcBorders>
          </w:tcPr>
          <w:p w14:paraId="64C58FAA">
            <w:pPr>
              <w:spacing w:line="240" w:lineRule="auto"/>
              <w:jc w:val="center"/>
              <w:rPr>
                <w:rFonts w:ascii="宋体" w:hAnsi="宋体"/>
              </w:rPr>
            </w:pPr>
            <w:r>
              <w:rPr>
                <w:rFonts w:ascii="宋体" w:hAnsi="宋体"/>
              </w:rPr>
              <w:t>0.002</w:t>
            </w:r>
          </w:p>
        </w:tc>
      </w:tr>
      <w:tr w14:paraId="27C794B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op w:val="nil"/>
              <w:bottom w:val="single" w:color="FFFFFF" w:themeColor="background1" w:sz="12" w:space="0"/>
            </w:tcBorders>
          </w:tcPr>
          <w:p w14:paraId="542BE094">
            <w:pPr>
              <w:spacing w:line="240" w:lineRule="auto"/>
              <w:jc w:val="center"/>
              <w:rPr>
                <w:rFonts w:ascii="宋体" w:hAnsi="宋体"/>
              </w:rPr>
            </w:pPr>
            <w:r>
              <w:rPr>
                <w:rFonts w:hint="eastAsia" w:ascii="宋体" w:hAnsi="宋体"/>
              </w:rPr>
              <w:t>1</w:t>
            </w:r>
            <w:r>
              <w:rPr>
                <w:rFonts w:ascii="宋体" w:hAnsi="宋体"/>
              </w:rPr>
              <w:t>8</w:t>
            </w:r>
          </w:p>
        </w:tc>
        <w:tc>
          <w:tcPr>
            <w:tcW w:w="1701" w:type="dxa"/>
            <w:tcBorders>
              <w:top w:val="nil"/>
              <w:bottom w:val="single" w:color="FFFFFF" w:themeColor="background1" w:sz="12" w:space="0"/>
            </w:tcBorders>
          </w:tcPr>
          <w:p w14:paraId="3253794A">
            <w:pPr>
              <w:spacing w:line="240" w:lineRule="auto"/>
              <w:jc w:val="center"/>
              <w:rPr>
                <w:rFonts w:ascii="宋体" w:hAnsi="宋体"/>
              </w:rPr>
            </w:pPr>
            <w:r>
              <w:rPr>
                <w:rFonts w:hint="eastAsia" w:ascii="宋体" w:hAnsi="宋体"/>
              </w:rPr>
              <w:t>正十二烷</w:t>
            </w:r>
          </w:p>
        </w:tc>
        <w:tc>
          <w:tcPr>
            <w:tcW w:w="851" w:type="dxa"/>
            <w:tcBorders>
              <w:top w:val="nil"/>
              <w:bottom w:val="single" w:color="FFFFFF" w:themeColor="background1" w:sz="12" w:space="0"/>
            </w:tcBorders>
          </w:tcPr>
          <w:p w14:paraId="4760D876">
            <w:pPr>
              <w:spacing w:line="240" w:lineRule="auto"/>
              <w:jc w:val="center"/>
              <w:rPr>
                <w:rFonts w:ascii="宋体" w:hAnsi="宋体"/>
              </w:rPr>
            </w:pPr>
            <w:r>
              <w:rPr>
                <w:rFonts w:ascii="宋体" w:hAnsi="宋体"/>
              </w:rPr>
              <w:t>-0.10</w:t>
            </w:r>
          </w:p>
        </w:tc>
        <w:tc>
          <w:tcPr>
            <w:tcW w:w="708" w:type="dxa"/>
            <w:tcBorders>
              <w:top w:val="nil"/>
              <w:bottom w:val="single" w:color="FFFFFF" w:themeColor="background1" w:sz="12" w:space="0"/>
            </w:tcBorders>
            <w:vAlign w:val="bottom"/>
          </w:tcPr>
          <w:p w14:paraId="695CF2C4">
            <w:pPr>
              <w:spacing w:line="240" w:lineRule="auto"/>
              <w:jc w:val="center"/>
              <w:rPr>
                <w:rFonts w:ascii="宋体" w:hAnsi="宋体"/>
              </w:rPr>
            </w:pPr>
            <w:r>
              <w:rPr>
                <w:rFonts w:hint="eastAsia" w:ascii="宋体" w:hAnsi="宋体"/>
                <w:color w:val="000000"/>
              </w:rPr>
              <w:t>51</w:t>
            </w:r>
          </w:p>
        </w:tc>
        <w:tc>
          <w:tcPr>
            <w:tcW w:w="2694" w:type="dxa"/>
            <w:tcBorders>
              <w:top w:val="nil"/>
              <w:bottom w:val="single" w:color="FFFFFF" w:themeColor="background1" w:sz="12" w:space="0"/>
            </w:tcBorders>
          </w:tcPr>
          <w:p w14:paraId="2DDA497B">
            <w:pPr>
              <w:spacing w:line="240" w:lineRule="auto"/>
              <w:jc w:val="center"/>
              <w:rPr>
                <w:rFonts w:ascii="宋体" w:hAnsi="宋体"/>
              </w:rPr>
            </w:pPr>
            <w:r>
              <w:rPr>
                <w:rFonts w:hint="eastAsia" w:ascii="宋体" w:hAnsi="宋体"/>
              </w:rPr>
              <w:t>对乙基甲苯</w:t>
            </w:r>
          </w:p>
        </w:tc>
        <w:tc>
          <w:tcPr>
            <w:tcW w:w="850" w:type="dxa"/>
            <w:tcBorders>
              <w:top w:val="nil"/>
              <w:bottom w:val="single" w:color="FFFFFF" w:themeColor="background1" w:sz="12" w:space="0"/>
            </w:tcBorders>
          </w:tcPr>
          <w:p w14:paraId="2A41CC53">
            <w:pPr>
              <w:spacing w:line="240" w:lineRule="auto"/>
              <w:jc w:val="center"/>
              <w:rPr>
                <w:rFonts w:ascii="宋体" w:hAnsi="宋体"/>
              </w:rPr>
            </w:pPr>
            <w:r>
              <w:rPr>
                <w:rFonts w:ascii="宋体" w:hAnsi="宋体"/>
              </w:rPr>
              <w:t>3.87</w:t>
            </w:r>
          </w:p>
        </w:tc>
        <w:tc>
          <w:tcPr>
            <w:tcW w:w="709" w:type="dxa"/>
            <w:tcBorders>
              <w:top w:val="nil"/>
              <w:bottom w:val="single" w:color="FFFFFF" w:themeColor="background1" w:sz="12" w:space="0"/>
            </w:tcBorders>
          </w:tcPr>
          <w:p w14:paraId="3948616C">
            <w:pPr>
              <w:spacing w:line="240" w:lineRule="auto"/>
              <w:jc w:val="center"/>
              <w:rPr>
                <w:rFonts w:ascii="宋体" w:hAnsi="宋体"/>
              </w:rPr>
            </w:pPr>
            <w:r>
              <w:rPr>
                <w:rFonts w:ascii="宋体" w:hAnsi="宋体"/>
              </w:rPr>
              <w:t>84</w:t>
            </w:r>
          </w:p>
        </w:tc>
        <w:tc>
          <w:tcPr>
            <w:tcW w:w="1838" w:type="dxa"/>
            <w:tcBorders>
              <w:top w:val="nil"/>
              <w:bottom w:val="single" w:color="FFFFFF" w:themeColor="background1" w:sz="12" w:space="0"/>
            </w:tcBorders>
          </w:tcPr>
          <w:p w14:paraId="28CE3AD6">
            <w:pPr>
              <w:spacing w:line="240" w:lineRule="auto"/>
              <w:jc w:val="center"/>
              <w:rPr>
                <w:rFonts w:ascii="宋体" w:hAnsi="宋体"/>
              </w:rPr>
            </w:pPr>
            <w:r>
              <w:rPr>
                <w:rFonts w:hint="eastAsia" w:ascii="宋体" w:hAnsi="宋体"/>
              </w:rPr>
              <w:t>乙酸乙酯</w:t>
            </w:r>
          </w:p>
        </w:tc>
        <w:tc>
          <w:tcPr>
            <w:tcW w:w="850" w:type="dxa"/>
            <w:tcBorders>
              <w:top w:val="nil"/>
              <w:bottom w:val="single" w:color="FFFFFF" w:themeColor="background1" w:sz="12" w:space="0"/>
            </w:tcBorders>
          </w:tcPr>
          <w:p w14:paraId="0AB3EBFA">
            <w:pPr>
              <w:spacing w:line="240" w:lineRule="auto"/>
              <w:jc w:val="center"/>
              <w:rPr>
                <w:rFonts w:ascii="宋体" w:hAnsi="宋体"/>
              </w:rPr>
            </w:pPr>
            <w:r>
              <w:rPr>
                <w:rFonts w:ascii="宋体" w:hAnsi="宋体"/>
              </w:rPr>
              <w:t>0.54</w:t>
            </w:r>
          </w:p>
        </w:tc>
        <w:tc>
          <w:tcPr>
            <w:tcW w:w="709" w:type="dxa"/>
            <w:tcBorders>
              <w:top w:val="single" w:color="auto" w:sz="12" w:space="0"/>
            </w:tcBorders>
          </w:tcPr>
          <w:p w14:paraId="33708D32">
            <w:pPr>
              <w:spacing w:line="240" w:lineRule="auto"/>
              <w:jc w:val="center"/>
              <w:rPr>
                <w:rFonts w:ascii="宋体" w:hAnsi="宋体"/>
              </w:rPr>
            </w:pPr>
          </w:p>
        </w:tc>
        <w:tc>
          <w:tcPr>
            <w:tcW w:w="1701" w:type="dxa"/>
            <w:tcBorders>
              <w:top w:val="single" w:color="auto" w:sz="12" w:space="0"/>
            </w:tcBorders>
          </w:tcPr>
          <w:p w14:paraId="7FE5738D">
            <w:pPr>
              <w:spacing w:line="240" w:lineRule="auto"/>
              <w:jc w:val="center"/>
              <w:rPr>
                <w:rFonts w:ascii="宋体" w:hAnsi="宋体"/>
              </w:rPr>
            </w:pPr>
          </w:p>
        </w:tc>
        <w:tc>
          <w:tcPr>
            <w:tcW w:w="850" w:type="dxa"/>
            <w:tcBorders>
              <w:top w:val="single" w:color="auto" w:sz="12" w:space="0"/>
            </w:tcBorders>
          </w:tcPr>
          <w:p w14:paraId="208EF7DD">
            <w:pPr>
              <w:spacing w:line="240" w:lineRule="auto"/>
              <w:jc w:val="center"/>
              <w:rPr>
                <w:rFonts w:ascii="宋体" w:hAnsi="宋体"/>
              </w:rPr>
            </w:pPr>
          </w:p>
        </w:tc>
      </w:tr>
      <w:tr w14:paraId="190A408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FFFFFF" w:themeColor="background1" w:sz="12" w:space="0"/>
            </w:tcBorders>
          </w:tcPr>
          <w:p w14:paraId="2EA098CE">
            <w:pPr>
              <w:spacing w:line="240" w:lineRule="auto"/>
              <w:jc w:val="center"/>
              <w:rPr>
                <w:rFonts w:ascii="宋体" w:hAnsi="宋体"/>
              </w:rPr>
            </w:pPr>
            <w:r>
              <w:rPr>
                <w:rFonts w:hint="eastAsia" w:ascii="宋体" w:hAnsi="宋体"/>
              </w:rPr>
              <w:t>1</w:t>
            </w:r>
            <w:r>
              <w:rPr>
                <w:rFonts w:ascii="宋体" w:hAnsi="宋体"/>
              </w:rPr>
              <w:t>9</w:t>
            </w:r>
          </w:p>
        </w:tc>
        <w:tc>
          <w:tcPr>
            <w:tcW w:w="1701" w:type="dxa"/>
            <w:tcBorders>
              <w:top w:val="single" w:color="FFFFFF" w:themeColor="background1" w:sz="12" w:space="0"/>
            </w:tcBorders>
          </w:tcPr>
          <w:p w14:paraId="6212E163">
            <w:pPr>
              <w:spacing w:line="240" w:lineRule="auto"/>
              <w:jc w:val="center"/>
              <w:rPr>
                <w:rFonts w:ascii="宋体" w:hAnsi="宋体"/>
              </w:rPr>
            </w:pPr>
            <w:r>
              <w:rPr>
                <w:rFonts w:ascii="宋体" w:hAnsi="宋体"/>
              </w:rPr>
              <w:t>2-甲基己烷</w:t>
            </w:r>
          </w:p>
        </w:tc>
        <w:tc>
          <w:tcPr>
            <w:tcW w:w="851" w:type="dxa"/>
            <w:tcBorders>
              <w:top w:val="single" w:color="FFFFFF" w:themeColor="background1" w:sz="12" w:space="0"/>
            </w:tcBorders>
          </w:tcPr>
          <w:p w14:paraId="095D88E8">
            <w:pPr>
              <w:spacing w:line="240" w:lineRule="auto"/>
              <w:jc w:val="center"/>
              <w:rPr>
                <w:rFonts w:ascii="宋体" w:hAnsi="宋体"/>
              </w:rPr>
            </w:pPr>
            <w:r>
              <w:rPr>
                <w:rFonts w:ascii="宋体" w:hAnsi="宋体"/>
              </w:rPr>
              <w:t>0.73</w:t>
            </w:r>
          </w:p>
        </w:tc>
        <w:tc>
          <w:tcPr>
            <w:tcW w:w="708" w:type="dxa"/>
            <w:tcBorders>
              <w:top w:val="single" w:color="FFFFFF" w:themeColor="background1" w:sz="12" w:space="0"/>
            </w:tcBorders>
            <w:vAlign w:val="bottom"/>
          </w:tcPr>
          <w:p w14:paraId="6459DC02">
            <w:pPr>
              <w:spacing w:line="240" w:lineRule="auto"/>
              <w:jc w:val="center"/>
              <w:rPr>
                <w:rFonts w:ascii="宋体" w:hAnsi="宋体"/>
              </w:rPr>
            </w:pPr>
            <w:r>
              <w:rPr>
                <w:rFonts w:hint="eastAsia" w:ascii="宋体" w:hAnsi="宋体"/>
                <w:color w:val="000000"/>
              </w:rPr>
              <w:t>52</w:t>
            </w:r>
          </w:p>
        </w:tc>
        <w:tc>
          <w:tcPr>
            <w:tcW w:w="2694" w:type="dxa"/>
            <w:tcBorders>
              <w:top w:val="single" w:color="FFFFFF" w:themeColor="background1" w:sz="12" w:space="0"/>
            </w:tcBorders>
          </w:tcPr>
          <w:p w14:paraId="665A2D9D">
            <w:pPr>
              <w:spacing w:line="240" w:lineRule="auto"/>
              <w:jc w:val="center"/>
              <w:rPr>
                <w:rFonts w:ascii="宋体" w:hAnsi="宋体"/>
              </w:rPr>
            </w:pPr>
            <w:r>
              <w:rPr>
                <w:rFonts w:ascii="宋体" w:hAnsi="宋体"/>
              </w:rPr>
              <w:t>1</w:t>
            </w:r>
            <w:r>
              <w:rPr>
                <w:rFonts w:hint="eastAsia" w:ascii="宋体" w:hAnsi="宋体"/>
              </w:rPr>
              <w:t>,</w:t>
            </w:r>
            <w:r>
              <w:rPr>
                <w:rFonts w:ascii="宋体" w:hAnsi="宋体"/>
              </w:rPr>
              <w:t>2</w:t>
            </w:r>
            <w:r>
              <w:rPr>
                <w:rFonts w:hint="eastAsia" w:ascii="宋体" w:hAnsi="宋体"/>
              </w:rPr>
              <w:t>,</w:t>
            </w:r>
            <w:r>
              <w:rPr>
                <w:rFonts w:ascii="宋体" w:hAnsi="宋体"/>
              </w:rPr>
              <w:t>3-三甲基苯</w:t>
            </w:r>
          </w:p>
        </w:tc>
        <w:tc>
          <w:tcPr>
            <w:tcW w:w="850" w:type="dxa"/>
            <w:tcBorders>
              <w:top w:val="single" w:color="FFFFFF" w:themeColor="background1" w:sz="12" w:space="0"/>
            </w:tcBorders>
          </w:tcPr>
          <w:p w14:paraId="2C94C7AA">
            <w:pPr>
              <w:spacing w:line="240" w:lineRule="auto"/>
              <w:jc w:val="center"/>
              <w:rPr>
                <w:rFonts w:ascii="宋体" w:hAnsi="宋体"/>
              </w:rPr>
            </w:pPr>
            <w:r>
              <w:rPr>
                <w:rFonts w:ascii="宋体" w:hAnsi="宋体"/>
              </w:rPr>
              <w:t>8.57</w:t>
            </w:r>
          </w:p>
        </w:tc>
        <w:tc>
          <w:tcPr>
            <w:tcW w:w="709" w:type="dxa"/>
            <w:tcBorders>
              <w:top w:val="single" w:color="FFFFFF" w:themeColor="background1" w:sz="12" w:space="0"/>
            </w:tcBorders>
          </w:tcPr>
          <w:p w14:paraId="62BC8040">
            <w:pPr>
              <w:spacing w:line="240" w:lineRule="auto"/>
              <w:jc w:val="center"/>
              <w:rPr>
                <w:rFonts w:ascii="宋体" w:hAnsi="宋体"/>
              </w:rPr>
            </w:pPr>
            <w:r>
              <w:rPr>
                <w:rFonts w:ascii="宋体" w:hAnsi="宋体"/>
              </w:rPr>
              <w:t>85</w:t>
            </w:r>
          </w:p>
        </w:tc>
        <w:tc>
          <w:tcPr>
            <w:tcW w:w="1838" w:type="dxa"/>
            <w:tcBorders>
              <w:top w:val="single" w:color="FFFFFF" w:themeColor="background1" w:sz="12" w:space="0"/>
            </w:tcBorders>
          </w:tcPr>
          <w:p w14:paraId="7490F9A1">
            <w:pPr>
              <w:spacing w:line="240" w:lineRule="auto"/>
              <w:jc w:val="center"/>
              <w:rPr>
                <w:rFonts w:ascii="宋体" w:hAnsi="宋体"/>
              </w:rPr>
            </w:pPr>
            <w:r>
              <w:rPr>
                <w:rFonts w:ascii="宋体" w:hAnsi="宋体"/>
              </w:rPr>
              <w:t>1-甲氧基-2-丙醇</w:t>
            </w:r>
          </w:p>
        </w:tc>
        <w:tc>
          <w:tcPr>
            <w:tcW w:w="850" w:type="dxa"/>
            <w:tcBorders>
              <w:top w:val="single" w:color="FFFFFF" w:themeColor="background1" w:sz="12" w:space="0"/>
            </w:tcBorders>
          </w:tcPr>
          <w:p w14:paraId="78C58248">
            <w:pPr>
              <w:spacing w:line="240" w:lineRule="auto"/>
              <w:jc w:val="center"/>
              <w:rPr>
                <w:rFonts w:ascii="宋体" w:hAnsi="宋体"/>
              </w:rPr>
            </w:pPr>
            <w:r>
              <w:rPr>
                <w:rFonts w:ascii="宋体" w:hAnsi="宋体"/>
              </w:rPr>
              <w:t>1.51</w:t>
            </w:r>
          </w:p>
        </w:tc>
        <w:tc>
          <w:tcPr>
            <w:tcW w:w="709" w:type="dxa"/>
          </w:tcPr>
          <w:p w14:paraId="4C23FA78">
            <w:pPr>
              <w:spacing w:line="240" w:lineRule="auto"/>
              <w:jc w:val="center"/>
              <w:rPr>
                <w:rFonts w:ascii="宋体" w:hAnsi="宋体"/>
              </w:rPr>
            </w:pPr>
          </w:p>
        </w:tc>
        <w:tc>
          <w:tcPr>
            <w:tcW w:w="1701" w:type="dxa"/>
          </w:tcPr>
          <w:p w14:paraId="1B4CA03E">
            <w:pPr>
              <w:spacing w:line="240" w:lineRule="auto"/>
              <w:jc w:val="center"/>
              <w:rPr>
                <w:rFonts w:ascii="宋体" w:hAnsi="宋体"/>
              </w:rPr>
            </w:pPr>
          </w:p>
        </w:tc>
        <w:tc>
          <w:tcPr>
            <w:tcW w:w="850" w:type="dxa"/>
          </w:tcPr>
          <w:p w14:paraId="65AC2B69">
            <w:pPr>
              <w:spacing w:line="240" w:lineRule="auto"/>
              <w:jc w:val="center"/>
              <w:rPr>
                <w:rFonts w:ascii="宋体" w:hAnsi="宋体"/>
              </w:rPr>
            </w:pPr>
          </w:p>
        </w:tc>
      </w:tr>
      <w:tr w14:paraId="75567D3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395A254E">
            <w:pPr>
              <w:spacing w:line="240" w:lineRule="auto"/>
              <w:jc w:val="center"/>
              <w:rPr>
                <w:rFonts w:ascii="宋体" w:hAnsi="宋体"/>
              </w:rPr>
            </w:pPr>
            <w:r>
              <w:rPr>
                <w:rFonts w:hint="eastAsia" w:ascii="宋体" w:hAnsi="宋体"/>
              </w:rPr>
              <w:t>2</w:t>
            </w:r>
            <w:r>
              <w:rPr>
                <w:rFonts w:ascii="宋体" w:hAnsi="宋体"/>
              </w:rPr>
              <w:t>0</w:t>
            </w:r>
          </w:p>
        </w:tc>
        <w:tc>
          <w:tcPr>
            <w:tcW w:w="1701" w:type="dxa"/>
          </w:tcPr>
          <w:p w14:paraId="5255E5E5">
            <w:pPr>
              <w:spacing w:line="240" w:lineRule="auto"/>
              <w:jc w:val="center"/>
              <w:rPr>
                <w:rFonts w:ascii="宋体" w:hAnsi="宋体"/>
              </w:rPr>
            </w:pPr>
            <w:r>
              <w:rPr>
                <w:rFonts w:ascii="宋体" w:hAnsi="宋体"/>
              </w:rPr>
              <w:t>3-甲基己烷</w:t>
            </w:r>
          </w:p>
        </w:tc>
        <w:tc>
          <w:tcPr>
            <w:tcW w:w="851" w:type="dxa"/>
          </w:tcPr>
          <w:p w14:paraId="446163C0">
            <w:pPr>
              <w:spacing w:line="240" w:lineRule="auto"/>
              <w:jc w:val="center"/>
              <w:rPr>
                <w:rFonts w:ascii="宋体" w:hAnsi="宋体"/>
              </w:rPr>
            </w:pPr>
            <w:r>
              <w:rPr>
                <w:rFonts w:ascii="宋体" w:hAnsi="宋体"/>
              </w:rPr>
              <w:t>1.06</w:t>
            </w:r>
          </w:p>
        </w:tc>
        <w:tc>
          <w:tcPr>
            <w:tcW w:w="708" w:type="dxa"/>
            <w:vAlign w:val="bottom"/>
          </w:tcPr>
          <w:p w14:paraId="673C8341">
            <w:pPr>
              <w:spacing w:line="240" w:lineRule="auto"/>
              <w:jc w:val="center"/>
              <w:rPr>
                <w:rFonts w:ascii="宋体" w:hAnsi="宋体"/>
              </w:rPr>
            </w:pPr>
            <w:r>
              <w:rPr>
                <w:rFonts w:hint="eastAsia" w:ascii="宋体" w:hAnsi="宋体"/>
                <w:color w:val="000000"/>
              </w:rPr>
              <w:t>53</w:t>
            </w:r>
          </w:p>
        </w:tc>
        <w:tc>
          <w:tcPr>
            <w:tcW w:w="2694" w:type="dxa"/>
          </w:tcPr>
          <w:p w14:paraId="178451E5">
            <w:pPr>
              <w:spacing w:line="240" w:lineRule="auto"/>
              <w:jc w:val="center"/>
              <w:rPr>
                <w:rFonts w:ascii="宋体" w:hAnsi="宋体"/>
              </w:rPr>
            </w:pPr>
            <w:r>
              <w:rPr>
                <w:rFonts w:ascii="宋体" w:hAnsi="宋体"/>
              </w:rPr>
              <w:t>1</w:t>
            </w:r>
            <w:r>
              <w:rPr>
                <w:rFonts w:hint="eastAsia" w:ascii="宋体" w:hAnsi="宋体"/>
              </w:rPr>
              <w:t>,</w:t>
            </w:r>
            <w:r>
              <w:rPr>
                <w:rFonts w:ascii="宋体" w:hAnsi="宋体"/>
              </w:rPr>
              <w:t>2</w:t>
            </w:r>
            <w:r>
              <w:rPr>
                <w:rFonts w:hint="eastAsia" w:ascii="宋体" w:hAnsi="宋体"/>
              </w:rPr>
              <w:t>,</w:t>
            </w:r>
            <w:r>
              <w:rPr>
                <w:rFonts w:ascii="宋体" w:hAnsi="宋体"/>
              </w:rPr>
              <w:t>4-三甲基苯</w:t>
            </w:r>
          </w:p>
        </w:tc>
        <w:tc>
          <w:tcPr>
            <w:tcW w:w="850" w:type="dxa"/>
          </w:tcPr>
          <w:p w14:paraId="4A468CA4">
            <w:pPr>
              <w:spacing w:line="240" w:lineRule="auto"/>
              <w:jc w:val="center"/>
              <w:rPr>
                <w:rFonts w:ascii="宋体" w:hAnsi="宋体"/>
              </w:rPr>
            </w:pPr>
            <w:r>
              <w:rPr>
                <w:rFonts w:ascii="宋体" w:hAnsi="宋体"/>
              </w:rPr>
              <w:t>9.54</w:t>
            </w:r>
          </w:p>
        </w:tc>
        <w:tc>
          <w:tcPr>
            <w:tcW w:w="709" w:type="dxa"/>
          </w:tcPr>
          <w:p w14:paraId="0F8E503D">
            <w:pPr>
              <w:spacing w:line="240" w:lineRule="auto"/>
              <w:jc w:val="center"/>
              <w:rPr>
                <w:rFonts w:ascii="宋体" w:hAnsi="宋体"/>
              </w:rPr>
            </w:pPr>
            <w:r>
              <w:rPr>
                <w:rFonts w:ascii="宋体" w:hAnsi="宋体"/>
              </w:rPr>
              <w:t>86</w:t>
            </w:r>
          </w:p>
        </w:tc>
        <w:tc>
          <w:tcPr>
            <w:tcW w:w="1838" w:type="dxa"/>
          </w:tcPr>
          <w:p w14:paraId="61A8F3C6">
            <w:pPr>
              <w:spacing w:line="240" w:lineRule="auto"/>
              <w:jc w:val="center"/>
              <w:rPr>
                <w:rFonts w:ascii="宋体" w:hAnsi="宋体"/>
              </w:rPr>
            </w:pPr>
            <w:r>
              <w:rPr>
                <w:rFonts w:ascii="宋体" w:hAnsi="宋体"/>
              </w:rPr>
              <w:t>2-乙氧基乙醇</w:t>
            </w:r>
          </w:p>
        </w:tc>
        <w:tc>
          <w:tcPr>
            <w:tcW w:w="850" w:type="dxa"/>
          </w:tcPr>
          <w:p w14:paraId="299CD4F0">
            <w:pPr>
              <w:spacing w:line="240" w:lineRule="auto"/>
              <w:jc w:val="center"/>
              <w:rPr>
                <w:rFonts w:ascii="宋体" w:hAnsi="宋体"/>
              </w:rPr>
            </w:pPr>
            <w:r>
              <w:rPr>
                <w:rFonts w:ascii="宋体" w:hAnsi="宋体"/>
              </w:rPr>
              <w:t>2.20</w:t>
            </w:r>
          </w:p>
        </w:tc>
        <w:tc>
          <w:tcPr>
            <w:tcW w:w="709" w:type="dxa"/>
          </w:tcPr>
          <w:p w14:paraId="00A1C525">
            <w:pPr>
              <w:spacing w:line="240" w:lineRule="auto"/>
              <w:jc w:val="center"/>
              <w:rPr>
                <w:rFonts w:ascii="宋体" w:hAnsi="宋体"/>
              </w:rPr>
            </w:pPr>
          </w:p>
        </w:tc>
        <w:tc>
          <w:tcPr>
            <w:tcW w:w="1701" w:type="dxa"/>
          </w:tcPr>
          <w:p w14:paraId="5914DAA1">
            <w:pPr>
              <w:spacing w:line="240" w:lineRule="auto"/>
              <w:jc w:val="center"/>
              <w:rPr>
                <w:rFonts w:ascii="宋体" w:hAnsi="宋体"/>
              </w:rPr>
            </w:pPr>
          </w:p>
        </w:tc>
        <w:tc>
          <w:tcPr>
            <w:tcW w:w="850" w:type="dxa"/>
          </w:tcPr>
          <w:p w14:paraId="1014498E">
            <w:pPr>
              <w:spacing w:line="240" w:lineRule="auto"/>
              <w:jc w:val="center"/>
              <w:rPr>
                <w:rFonts w:ascii="宋体" w:hAnsi="宋体"/>
              </w:rPr>
            </w:pPr>
          </w:p>
        </w:tc>
      </w:tr>
      <w:tr w14:paraId="7B003E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120E7C67">
            <w:pPr>
              <w:spacing w:line="240" w:lineRule="auto"/>
              <w:jc w:val="center"/>
              <w:rPr>
                <w:rFonts w:ascii="宋体" w:hAnsi="宋体"/>
              </w:rPr>
            </w:pPr>
            <w:r>
              <w:rPr>
                <w:rFonts w:hint="eastAsia" w:ascii="宋体" w:hAnsi="宋体"/>
              </w:rPr>
              <w:t>2</w:t>
            </w:r>
            <w:r>
              <w:rPr>
                <w:rFonts w:ascii="宋体" w:hAnsi="宋体"/>
              </w:rPr>
              <w:t>1</w:t>
            </w:r>
          </w:p>
        </w:tc>
        <w:tc>
          <w:tcPr>
            <w:tcW w:w="1701" w:type="dxa"/>
          </w:tcPr>
          <w:p w14:paraId="50C73197">
            <w:pPr>
              <w:spacing w:line="240" w:lineRule="auto"/>
              <w:jc w:val="center"/>
              <w:rPr>
                <w:rFonts w:ascii="宋体" w:hAnsi="宋体"/>
              </w:rPr>
            </w:pPr>
            <w:r>
              <w:rPr>
                <w:rFonts w:hint="eastAsia" w:ascii="宋体" w:hAnsi="宋体"/>
              </w:rPr>
              <w:t>乙烯</w:t>
            </w:r>
          </w:p>
        </w:tc>
        <w:tc>
          <w:tcPr>
            <w:tcW w:w="851" w:type="dxa"/>
          </w:tcPr>
          <w:p w14:paraId="04C65436">
            <w:pPr>
              <w:spacing w:line="240" w:lineRule="auto"/>
              <w:jc w:val="center"/>
              <w:rPr>
                <w:rFonts w:ascii="宋体" w:hAnsi="宋体"/>
              </w:rPr>
            </w:pPr>
            <w:r>
              <w:rPr>
                <w:rFonts w:ascii="宋体" w:hAnsi="宋体"/>
              </w:rPr>
              <w:t>4.71</w:t>
            </w:r>
          </w:p>
        </w:tc>
        <w:tc>
          <w:tcPr>
            <w:tcW w:w="708" w:type="dxa"/>
            <w:vAlign w:val="bottom"/>
          </w:tcPr>
          <w:p w14:paraId="479953BD">
            <w:pPr>
              <w:spacing w:line="240" w:lineRule="auto"/>
              <w:jc w:val="center"/>
              <w:rPr>
                <w:rFonts w:ascii="宋体" w:hAnsi="宋体"/>
              </w:rPr>
            </w:pPr>
            <w:r>
              <w:rPr>
                <w:rFonts w:hint="eastAsia" w:ascii="宋体" w:hAnsi="宋体"/>
                <w:color w:val="000000"/>
              </w:rPr>
              <w:t>54</w:t>
            </w:r>
          </w:p>
        </w:tc>
        <w:tc>
          <w:tcPr>
            <w:tcW w:w="2694" w:type="dxa"/>
          </w:tcPr>
          <w:p w14:paraId="602E555F">
            <w:pPr>
              <w:spacing w:line="240" w:lineRule="auto"/>
              <w:jc w:val="center"/>
              <w:rPr>
                <w:rFonts w:ascii="宋体" w:hAnsi="宋体"/>
              </w:rPr>
            </w:pPr>
            <w:r>
              <w:rPr>
                <w:rFonts w:ascii="宋体" w:hAnsi="宋体"/>
              </w:rPr>
              <w:t>1</w:t>
            </w:r>
            <w:r>
              <w:rPr>
                <w:rFonts w:hint="eastAsia" w:ascii="宋体" w:hAnsi="宋体"/>
              </w:rPr>
              <w:t>,</w:t>
            </w:r>
            <w:r>
              <w:rPr>
                <w:rFonts w:ascii="宋体" w:hAnsi="宋体"/>
              </w:rPr>
              <w:t>3</w:t>
            </w:r>
            <w:r>
              <w:rPr>
                <w:rFonts w:hint="eastAsia" w:ascii="宋体" w:hAnsi="宋体"/>
              </w:rPr>
              <w:t>,</w:t>
            </w:r>
            <w:r>
              <w:rPr>
                <w:rFonts w:ascii="宋体" w:hAnsi="宋体"/>
              </w:rPr>
              <w:t>5-三甲基苯</w:t>
            </w:r>
          </w:p>
        </w:tc>
        <w:tc>
          <w:tcPr>
            <w:tcW w:w="850" w:type="dxa"/>
          </w:tcPr>
          <w:p w14:paraId="6C8E03F0">
            <w:pPr>
              <w:spacing w:line="240" w:lineRule="auto"/>
              <w:jc w:val="center"/>
              <w:rPr>
                <w:rFonts w:ascii="宋体" w:hAnsi="宋体"/>
              </w:rPr>
            </w:pPr>
            <w:r>
              <w:rPr>
                <w:rFonts w:ascii="宋体" w:hAnsi="宋体"/>
              </w:rPr>
              <w:t>9.64</w:t>
            </w:r>
          </w:p>
        </w:tc>
        <w:tc>
          <w:tcPr>
            <w:tcW w:w="709" w:type="dxa"/>
          </w:tcPr>
          <w:p w14:paraId="1F39F3A5">
            <w:pPr>
              <w:spacing w:line="240" w:lineRule="auto"/>
              <w:jc w:val="center"/>
              <w:rPr>
                <w:rFonts w:ascii="宋体" w:hAnsi="宋体"/>
              </w:rPr>
            </w:pPr>
            <w:r>
              <w:rPr>
                <w:rFonts w:ascii="宋体" w:hAnsi="宋体"/>
              </w:rPr>
              <w:t>87</w:t>
            </w:r>
          </w:p>
        </w:tc>
        <w:tc>
          <w:tcPr>
            <w:tcW w:w="1838" w:type="dxa"/>
          </w:tcPr>
          <w:p w14:paraId="0D44B253">
            <w:pPr>
              <w:spacing w:line="240" w:lineRule="auto"/>
              <w:jc w:val="center"/>
              <w:rPr>
                <w:rFonts w:ascii="宋体" w:hAnsi="宋体"/>
              </w:rPr>
            </w:pPr>
            <w:r>
              <w:rPr>
                <w:rFonts w:hint="eastAsia" w:ascii="宋体" w:hAnsi="宋体"/>
              </w:rPr>
              <w:t>二乙二醇</w:t>
            </w:r>
          </w:p>
        </w:tc>
        <w:tc>
          <w:tcPr>
            <w:tcW w:w="850" w:type="dxa"/>
          </w:tcPr>
          <w:p w14:paraId="1F79C22B">
            <w:pPr>
              <w:spacing w:line="240" w:lineRule="auto"/>
              <w:jc w:val="center"/>
              <w:rPr>
                <w:rFonts w:ascii="宋体" w:hAnsi="宋体"/>
              </w:rPr>
            </w:pPr>
            <w:r>
              <w:rPr>
                <w:rFonts w:ascii="宋体" w:hAnsi="宋体"/>
              </w:rPr>
              <w:t>2.6</w:t>
            </w:r>
          </w:p>
        </w:tc>
        <w:tc>
          <w:tcPr>
            <w:tcW w:w="709" w:type="dxa"/>
          </w:tcPr>
          <w:p w14:paraId="1D1A9EF3">
            <w:pPr>
              <w:spacing w:line="240" w:lineRule="auto"/>
              <w:jc w:val="center"/>
              <w:rPr>
                <w:rFonts w:ascii="宋体" w:hAnsi="宋体"/>
              </w:rPr>
            </w:pPr>
          </w:p>
        </w:tc>
        <w:tc>
          <w:tcPr>
            <w:tcW w:w="1701" w:type="dxa"/>
          </w:tcPr>
          <w:p w14:paraId="21509404">
            <w:pPr>
              <w:spacing w:line="240" w:lineRule="auto"/>
              <w:jc w:val="center"/>
              <w:rPr>
                <w:rFonts w:ascii="宋体" w:hAnsi="宋体"/>
              </w:rPr>
            </w:pPr>
          </w:p>
        </w:tc>
        <w:tc>
          <w:tcPr>
            <w:tcW w:w="850" w:type="dxa"/>
          </w:tcPr>
          <w:p w14:paraId="2B4B18B9">
            <w:pPr>
              <w:spacing w:line="240" w:lineRule="auto"/>
              <w:jc w:val="center"/>
              <w:rPr>
                <w:rFonts w:ascii="宋体" w:hAnsi="宋体"/>
              </w:rPr>
            </w:pPr>
          </w:p>
        </w:tc>
      </w:tr>
      <w:tr w14:paraId="4364AE0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5371925E">
            <w:pPr>
              <w:spacing w:line="240" w:lineRule="auto"/>
              <w:jc w:val="center"/>
              <w:rPr>
                <w:rFonts w:ascii="宋体" w:hAnsi="宋体"/>
              </w:rPr>
            </w:pPr>
            <w:r>
              <w:rPr>
                <w:rFonts w:hint="eastAsia" w:ascii="宋体" w:hAnsi="宋体"/>
              </w:rPr>
              <w:t>2</w:t>
            </w:r>
            <w:r>
              <w:rPr>
                <w:rFonts w:ascii="宋体" w:hAnsi="宋体"/>
              </w:rPr>
              <w:t>2</w:t>
            </w:r>
          </w:p>
        </w:tc>
        <w:tc>
          <w:tcPr>
            <w:tcW w:w="1701" w:type="dxa"/>
          </w:tcPr>
          <w:p w14:paraId="47091569">
            <w:pPr>
              <w:spacing w:line="240" w:lineRule="auto"/>
              <w:jc w:val="center"/>
              <w:rPr>
                <w:rFonts w:ascii="宋体" w:hAnsi="宋体"/>
              </w:rPr>
            </w:pPr>
            <w:r>
              <w:rPr>
                <w:rFonts w:hint="eastAsia" w:ascii="宋体" w:hAnsi="宋体"/>
              </w:rPr>
              <w:t>丙烯</w:t>
            </w:r>
          </w:p>
        </w:tc>
        <w:tc>
          <w:tcPr>
            <w:tcW w:w="851" w:type="dxa"/>
          </w:tcPr>
          <w:p w14:paraId="42874140">
            <w:pPr>
              <w:spacing w:line="240" w:lineRule="auto"/>
              <w:jc w:val="center"/>
              <w:rPr>
                <w:rFonts w:ascii="宋体" w:hAnsi="宋体"/>
              </w:rPr>
            </w:pPr>
            <w:r>
              <w:rPr>
                <w:rFonts w:ascii="宋体" w:hAnsi="宋体"/>
              </w:rPr>
              <w:t>6.68</w:t>
            </w:r>
          </w:p>
        </w:tc>
        <w:tc>
          <w:tcPr>
            <w:tcW w:w="708" w:type="dxa"/>
            <w:vAlign w:val="bottom"/>
          </w:tcPr>
          <w:p w14:paraId="59DF0180">
            <w:pPr>
              <w:spacing w:line="240" w:lineRule="auto"/>
              <w:jc w:val="center"/>
              <w:rPr>
                <w:rFonts w:ascii="宋体" w:hAnsi="宋体"/>
              </w:rPr>
            </w:pPr>
            <w:r>
              <w:rPr>
                <w:rFonts w:hint="eastAsia" w:ascii="宋体" w:hAnsi="宋体"/>
                <w:color w:val="000000"/>
              </w:rPr>
              <w:t>55</w:t>
            </w:r>
          </w:p>
        </w:tc>
        <w:tc>
          <w:tcPr>
            <w:tcW w:w="2694" w:type="dxa"/>
          </w:tcPr>
          <w:p w14:paraId="5B496FC1">
            <w:pPr>
              <w:spacing w:line="240" w:lineRule="auto"/>
              <w:jc w:val="center"/>
              <w:rPr>
                <w:rFonts w:ascii="宋体" w:hAnsi="宋体"/>
              </w:rPr>
            </w:pPr>
            <w:r>
              <w:rPr>
                <w:rFonts w:ascii="宋体" w:hAnsi="宋体"/>
              </w:rPr>
              <w:t>1</w:t>
            </w:r>
            <w:r>
              <w:rPr>
                <w:rFonts w:hint="eastAsia" w:ascii="宋体" w:hAnsi="宋体"/>
              </w:rPr>
              <w:t>,</w:t>
            </w:r>
            <w:r>
              <w:rPr>
                <w:rFonts w:ascii="宋体" w:hAnsi="宋体"/>
              </w:rPr>
              <w:t>3-二甲基-5-</w:t>
            </w:r>
            <w:r>
              <w:rPr>
                <w:rFonts w:hint="eastAsia" w:ascii="宋体" w:hAnsi="宋体"/>
              </w:rPr>
              <w:t>乙</w:t>
            </w:r>
            <w:r>
              <w:rPr>
                <w:rFonts w:ascii="宋体" w:hAnsi="宋体"/>
              </w:rPr>
              <w:t>基苯</w:t>
            </w:r>
          </w:p>
        </w:tc>
        <w:tc>
          <w:tcPr>
            <w:tcW w:w="850" w:type="dxa"/>
          </w:tcPr>
          <w:p w14:paraId="2B511A4D">
            <w:pPr>
              <w:spacing w:line="240" w:lineRule="auto"/>
              <w:jc w:val="center"/>
              <w:rPr>
                <w:rFonts w:ascii="宋体" w:hAnsi="宋体"/>
              </w:rPr>
            </w:pPr>
            <w:r>
              <w:rPr>
                <w:rFonts w:ascii="宋体" w:hAnsi="宋体"/>
              </w:rPr>
              <w:t>8.64</w:t>
            </w:r>
          </w:p>
        </w:tc>
        <w:tc>
          <w:tcPr>
            <w:tcW w:w="709" w:type="dxa"/>
          </w:tcPr>
          <w:p w14:paraId="616AD7FC">
            <w:pPr>
              <w:spacing w:line="240" w:lineRule="auto"/>
              <w:jc w:val="center"/>
              <w:rPr>
                <w:rFonts w:ascii="宋体" w:hAnsi="宋体"/>
              </w:rPr>
            </w:pPr>
            <w:r>
              <w:rPr>
                <w:rFonts w:ascii="宋体" w:hAnsi="宋体"/>
              </w:rPr>
              <w:t>88</w:t>
            </w:r>
          </w:p>
        </w:tc>
        <w:tc>
          <w:tcPr>
            <w:tcW w:w="1838" w:type="dxa"/>
          </w:tcPr>
          <w:p w14:paraId="5AECBA7C">
            <w:pPr>
              <w:spacing w:line="240" w:lineRule="auto"/>
              <w:jc w:val="center"/>
              <w:rPr>
                <w:rFonts w:ascii="宋体" w:hAnsi="宋体"/>
              </w:rPr>
            </w:pPr>
            <w:r>
              <w:rPr>
                <w:rFonts w:ascii="宋体" w:hAnsi="宋体"/>
              </w:rPr>
              <w:t>3-甲基丁醛</w:t>
            </w:r>
          </w:p>
        </w:tc>
        <w:tc>
          <w:tcPr>
            <w:tcW w:w="850" w:type="dxa"/>
          </w:tcPr>
          <w:p w14:paraId="46BAFC04">
            <w:pPr>
              <w:spacing w:line="240" w:lineRule="auto"/>
              <w:jc w:val="center"/>
              <w:rPr>
                <w:rFonts w:ascii="宋体" w:hAnsi="宋体"/>
              </w:rPr>
            </w:pPr>
            <w:r>
              <w:rPr>
                <w:rFonts w:ascii="宋体" w:hAnsi="宋体"/>
              </w:rPr>
              <w:t>3.75</w:t>
            </w:r>
          </w:p>
        </w:tc>
        <w:tc>
          <w:tcPr>
            <w:tcW w:w="709" w:type="dxa"/>
          </w:tcPr>
          <w:p w14:paraId="0E62FE8C">
            <w:pPr>
              <w:spacing w:line="240" w:lineRule="auto"/>
              <w:jc w:val="center"/>
              <w:rPr>
                <w:rFonts w:ascii="宋体" w:hAnsi="宋体"/>
              </w:rPr>
            </w:pPr>
          </w:p>
        </w:tc>
        <w:tc>
          <w:tcPr>
            <w:tcW w:w="1701" w:type="dxa"/>
          </w:tcPr>
          <w:p w14:paraId="06CBF337">
            <w:pPr>
              <w:spacing w:line="240" w:lineRule="auto"/>
              <w:jc w:val="center"/>
              <w:rPr>
                <w:rFonts w:ascii="宋体" w:hAnsi="宋体"/>
              </w:rPr>
            </w:pPr>
          </w:p>
        </w:tc>
        <w:tc>
          <w:tcPr>
            <w:tcW w:w="850" w:type="dxa"/>
          </w:tcPr>
          <w:p w14:paraId="593E3ADA">
            <w:pPr>
              <w:spacing w:line="240" w:lineRule="auto"/>
              <w:jc w:val="center"/>
              <w:rPr>
                <w:rFonts w:ascii="宋体" w:hAnsi="宋体"/>
              </w:rPr>
            </w:pPr>
          </w:p>
        </w:tc>
      </w:tr>
      <w:tr w14:paraId="02CD867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08757E3E">
            <w:pPr>
              <w:spacing w:line="240" w:lineRule="auto"/>
              <w:jc w:val="center"/>
              <w:rPr>
                <w:rFonts w:ascii="宋体" w:hAnsi="宋体"/>
              </w:rPr>
            </w:pPr>
            <w:r>
              <w:rPr>
                <w:rFonts w:hint="eastAsia" w:ascii="宋体" w:hAnsi="宋体"/>
              </w:rPr>
              <w:t>2</w:t>
            </w:r>
            <w:r>
              <w:rPr>
                <w:rFonts w:ascii="宋体" w:hAnsi="宋体"/>
              </w:rPr>
              <w:t>3</w:t>
            </w:r>
          </w:p>
        </w:tc>
        <w:tc>
          <w:tcPr>
            <w:tcW w:w="1701" w:type="dxa"/>
          </w:tcPr>
          <w:p w14:paraId="1E78C460">
            <w:pPr>
              <w:spacing w:line="240" w:lineRule="auto"/>
              <w:jc w:val="center"/>
              <w:rPr>
                <w:rFonts w:ascii="宋体" w:hAnsi="宋体"/>
              </w:rPr>
            </w:pPr>
            <w:r>
              <w:rPr>
                <w:rFonts w:ascii="宋体" w:hAnsi="宋体"/>
              </w:rPr>
              <w:t>1-丁烯</w:t>
            </w:r>
          </w:p>
        </w:tc>
        <w:tc>
          <w:tcPr>
            <w:tcW w:w="851" w:type="dxa"/>
          </w:tcPr>
          <w:p w14:paraId="1A126507">
            <w:pPr>
              <w:spacing w:line="240" w:lineRule="auto"/>
              <w:jc w:val="center"/>
              <w:rPr>
                <w:rFonts w:ascii="宋体" w:hAnsi="宋体"/>
              </w:rPr>
            </w:pPr>
            <w:r>
              <w:rPr>
                <w:rFonts w:ascii="宋体" w:hAnsi="宋体"/>
              </w:rPr>
              <w:t>4.77</w:t>
            </w:r>
          </w:p>
        </w:tc>
        <w:tc>
          <w:tcPr>
            <w:tcW w:w="708" w:type="dxa"/>
            <w:vAlign w:val="bottom"/>
          </w:tcPr>
          <w:p w14:paraId="4EBA8254">
            <w:pPr>
              <w:spacing w:line="240" w:lineRule="auto"/>
              <w:jc w:val="center"/>
              <w:rPr>
                <w:rFonts w:ascii="宋体" w:hAnsi="宋体"/>
              </w:rPr>
            </w:pPr>
            <w:r>
              <w:rPr>
                <w:rFonts w:hint="eastAsia" w:ascii="宋体" w:hAnsi="宋体"/>
                <w:color w:val="000000"/>
              </w:rPr>
              <w:t>56</w:t>
            </w:r>
          </w:p>
        </w:tc>
        <w:tc>
          <w:tcPr>
            <w:tcW w:w="2694" w:type="dxa"/>
          </w:tcPr>
          <w:p w14:paraId="6426A09D">
            <w:pPr>
              <w:spacing w:line="240" w:lineRule="auto"/>
              <w:jc w:val="center"/>
              <w:rPr>
                <w:rFonts w:ascii="宋体" w:hAnsi="宋体"/>
              </w:rPr>
            </w:pPr>
            <w:r>
              <w:rPr>
                <w:rFonts w:hint="eastAsia" w:ascii="宋体" w:hAnsi="宋体"/>
              </w:rPr>
              <w:t>甲醛</w:t>
            </w:r>
          </w:p>
        </w:tc>
        <w:tc>
          <w:tcPr>
            <w:tcW w:w="850" w:type="dxa"/>
          </w:tcPr>
          <w:p w14:paraId="38EC878B">
            <w:pPr>
              <w:spacing w:line="240" w:lineRule="auto"/>
              <w:jc w:val="center"/>
              <w:rPr>
                <w:rFonts w:ascii="宋体" w:hAnsi="宋体"/>
              </w:rPr>
            </w:pPr>
            <w:r>
              <w:rPr>
                <w:rFonts w:ascii="宋体" w:hAnsi="宋体"/>
              </w:rPr>
              <w:t>6.71</w:t>
            </w:r>
          </w:p>
        </w:tc>
        <w:tc>
          <w:tcPr>
            <w:tcW w:w="709" w:type="dxa"/>
          </w:tcPr>
          <w:p w14:paraId="6518B789">
            <w:pPr>
              <w:spacing w:line="240" w:lineRule="auto"/>
              <w:jc w:val="center"/>
              <w:rPr>
                <w:rFonts w:ascii="宋体" w:hAnsi="宋体"/>
              </w:rPr>
            </w:pPr>
            <w:r>
              <w:rPr>
                <w:rFonts w:ascii="宋体" w:hAnsi="宋体"/>
              </w:rPr>
              <w:t>89</w:t>
            </w:r>
          </w:p>
        </w:tc>
        <w:tc>
          <w:tcPr>
            <w:tcW w:w="1838" w:type="dxa"/>
          </w:tcPr>
          <w:p w14:paraId="0045ED06">
            <w:pPr>
              <w:spacing w:line="240" w:lineRule="auto"/>
              <w:jc w:val="center"/>
              <w:rPr>
                <w:rFonts w:ascii="宋体" w:hAnsi="宋体"/>
              </w:rPr>
            </w:pPr>
            <w:r>
              <w:rPr>
                <w:rFonts w:hint="eastAsia" w:ascii="宋体" w:hAnsi="宋体"/>
              </w:rPr>
              <w:t>戊醛</w:t>
            </w:r>
          </w:p>
        </w:tc>
        <w:tc>
          <w:tcPr>
            <w:tcW w:w="850" w:type="dxa"/>
          </w:tcPr>
          <w:p w14:paraId="15A2A206">
            <w:pPr>
              <w:spacing w:line="240" w:lineRule="auto"/>
              <w:jc w:val="center"/>
              <w:rPr>
                <w:rFonts w:ascii="宋体" w:hAnsi="宋体"/>
              </w:rPr>
            </w:pPr>
            <w:r>
              <w:rPr>
                <w:rFonts w:ascii="宋体" w:hAnsi="宋体"/>
              </w:rPr>
              <w:t>6.27</w:t>
            </w:r>
          </w:p>
        </w:tc>
        <w:tc>
          <w:tcPr>
            <w:tcW w:w="709" w:type="dxa"/>
          </w:tcPr>
          <w:p w14:paraId="1B2E856B">
            <w:pPr>
              <w:spacing w:line="240" w:lineRule="auto"/>
              <w:jc w:val="center"/>
              <w:rPr>
                <w:rFonts w:ascii="宋体" w:hAnsi="宋体"/>
              </w:rPr>
            </w:pPr>
          </w:p>
        </w:tc>
        <w:tc>
          <w:tcPr>
            <w:tcW w:w="1701" w:type="dxa"/>
          </w:tcPr>
          <w:p w14:paraId="62C1156B">
            <w:pPr>
              <w:spacing w:line="240" w:lineRule="auto"/>
              <w:jc w:val="center"/>
              <w:rPr>
                <w:rFonts w:ascii="宋体" w:hAnsi="宋体"/>
              </w:rPr>
            </w:pPr>
          </w:p>
        </w:tc>
        <w:tc>
          <w:tcPr>
            <w:tcW w:w="850" w:type="dxa"/>
          </w:tcPr>
          <w:p w14:paraId="245F9B17">
            <w:pPr>
              <w:spacing w:line="240" w:lineRule="auto"/>
              <w:jc w:val="center"/>
              <w:rPr>
                <w:rFonts w:ascii="宋体" w:hAnsi="宋体"/>
              </w:rPr>
            </w:pPr>
          </w:p>
        </w:tc>
      </w:tr>
      <w:tr w14:paraId="0C1BB35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21AB62A9">
            <w:pPr>
              <w:spacing w:line="240" w:lineRule="auto"/>
              <w:jc w:val="center"/>
              <w:rPr>
                <w:rFonts w:ascii="宋体" w:hAnsi="宋体"/>
              </w:rPr>
            </w:pPr>
            <w:r>
              <w:rPr>
                <w:rFonts w:hint="eastAsia" w:ascii="宋体" w:hAnsi="宋体"/>
              </w:rPr>
              <w:t>2</w:t>
            </w:r>
            <w:r>
              <w:rPr>
                <w:rFonts w:ascii="宋体" w:hAnsi="宋体"/>
              </w:rPr>
              <w:t>4</w:t>
            </w:r>
          </w:p>
        </w:tc>
        <w:tc>
          <w:tcPr>
            <w:tcW w:w="1701" w:type="dxa"/>
          </w:tcPr>
          <w:p w14:paraId="46F4BD6C">
            <w:pPr>
              <w:spacing w:line="240" w:lineRule="auto"/>
              <w:jc w:val="center"/>
              <w:rPr>
                <w:rFonts w:ascii="宋体" w:hAnsi="宋体"/>
              </w:rPr>
            </w:pPr>
            <w:r>
              <w:rPr>
                <w:rFonts w:hint="eastAsia" w:ascii="宋体" w:hAnsi="宋体"/>
              </w:rPr>
              <w:t>异</w:t>
            </w:r>
            <w:r>
              <w:rPr>
                <w:rFonts w:ascii="宋体" w:hAnsi="宋体"/>
              </w:rPr>
              <w:t>丁烯</w:t>
            </w:r>
          </w:p>
        </w:tc>
        <w:tc>
          <w:tcPr>
            <w:tcW w:w="851" w:type="dxa"/>
          </w:tcPr>
          <w:p w14:paraId="3613A26A">
            <w:pPr>
              <w:spacing w:line="240" w:lineRule="auto"/>
              <w:jc w:val="center"/>
              <w:rPr>
                <w:rFonts w:ascii="宋体" w:hAnsi="宋体"/>
              </w:rPr>
            </w:pPr>
            <w:r>
              <w:rPr>
                <w:rFonts w:ascii="宋体" w:hAnsi="宋体"/>
              </w:rPr>
              <w:t>4.75</w:t>
            </w:r>
          </w:p>
        </w:tc>
        <w:tc>
          <w:tcPr>
            <w:tcW w:w="708" w:type="dxa"/>
            <w:vAlign w:val="bottom"/>
          </w:tcPr>
          <w:p w14:paraId="2A4A8F9B">
            <w:pPr>
              <w:spacing w:line="240" w:lineRule="auto"/>
              <w:jc w:val="center"/>
              <w:rPr>
                <w:rFonts w:ascii="宋体" w:hAnsi="宋体"/>
              </w:rPr>
            </w:pPr>
            <w:r>
              <w:rPr>
                <w:rFonts w:hint="eastAsia" w:ascii="宋体" w:hAnsi="宋体"/>
                <w:color w:val="000000"/>
              </w:rPr>
              <w:t>57</w:t>
            </w:r>
          </w:p>
        </w:tc>
        <w:tc>
          <w:tcPr>
            <w:tcW w:w="2694" w:type="dxa"/>
          </w:tcPr>
          <w:p w14:paraId="0973F1A6">
            <w:pPr>
              <w:spacing w:line="240" w:lineRule="auto"/>
              <w:jc w:val="center"/>
              <w:rPr>
                <w:rFonts w:ascii="宋体" w:hAnsi="宋体"/>
              </w:rPr>
            </w:pPr>
            <w:r>
              <w:rPr>
                <w:rFonts w:hint="eastAsia" w:ascii="宋体" w:hAnsi="宋体"/>
              </w:rPr>
              <w:t>甲醇</w:t>
            </w:r>
          </w:p>
        </w:tc>
        <w:tc>
          <w:tcPr>
            <w:tcW w:w="850" w:type="dxa"/>
          </w:tcPr>
          <w:p w14:paraId="400A1398">
            <w:pPr>
              <w:spacing w:line="240" w:lineRule="auto"/>
              <w:jc w:val="center"/>
              <w:rPr>
                <w:rFonts w:ascii="宋体" w:hAnsi="宋体"/>
              </w:rPr>
            </w:pPr>
            <w:r>
              <w:rPr>
                <w:rFonts w:ascii="宋体" w:hAnsi="宋体"/>
              </w:rPr>
              <w:t>0.38</w:t>
            </w:r>
          </w:p>
        </w:tc>
        <w:tc>
          <w:tcPr>
            <w:tcW w:w="709" w:type="dxa"/>
          </w:tcPr>
          <w:p w14:paraId="5D9E8117">
            <w:pPr>
              <w:spacing w:line="240" w:lineRule="auto"/>
              <w:jc w:val="center"/>
              <w:rPr>
                <w:rFonts w:ascii="宋体" w:hAnsi="宋体"/>
              </w:rPr>
            </w:pPr>
            <w:r>
              <w:rPr>
                <w:rFonts w:ascii="宋体" w:hAnsi="宋体"/>
              </w:rPr>
              <w:t>90</w:t>
            </w:r>
          </w:p>
        </w:tc>
        <w:tc>
          <w:tcPr>
            <w:tcW w:w="1838" w:type="dxa"/>
          </w:tcPr>
          <w:p w14:paraId="24CB2526">
            <w:pPr>
              <w:spacing w:line="240" w:lineRule="auto"/>
              <w:jc w:val="center"/>
              <w:rPr>
                <w:rFonts w:ascii="宋体" w:hAnsi="宋体"/>
              </w:rPr>
            </w:pPr>
            <w:r>
              <w:rPr>
                <w:rFonts w:hint="eastAsia" w:ascii="宋体" w:hAnsi="宋体"/>
              </w:rPr>
              <w:t>甲基叔丁基醚</w:t>
            </w:r>
          </w:p>
        </w:tc>
        <w:tc>
          <w:tcPr>
            <w:tcW w:w="850" w:type="dxa"/>
          </w:tcPr>
          <w:p w14:paraId="205CFBD2">
            <w:pPr>
              <w:spacing w:line="240" w:lineRule="auto"/>
              <w:jc w:val="center"/>
              <w:rPr>
                <w:rFonts w:ascii="宋体" w:hAnsi="宋体"/>
              </w:rPr>
            </w:pPr>
            <w:r>
              <w:rPr>
                <w:rFonts w:ascii="宋体" w:hAnsi="宋体"/>
              </w:rPr>
              <w:t>0.44</w:t>
            </w:r>
          </w:p>
        </w:tc>
        <w:tc>
          <w:tcPr>
            <w:tcW w:w="709" w:type="dxa"/>
          </w:tcPr>
          <w:p w14:paraId="2A35790A">
            <w:pPr>
              <w:spacing w:line="240" w:lineRule="auto"/>
              <w:jc w:val="center"/>
              <w:rPr>
                <w:rFonts w:ascii="宋体" w:hAnsi="宋体"/>
              </w:rPr>
            </w:pPr>
          </w:p>
        </w:tc>
        <w:tc>
          <w:tcPr>
            <w:tcW w:w="1701" w:type="dxa"/>
          </w:tcPr>
          <w:p w14:paraId="60712EA0">
            <w:pPr>
              <w:spacing w:line="240" w:lineRule="auto"/>
              <w:jc w:val="center"/>
              <w:rPr>
                <w:rFonts w:ascii="宋体" w:hAnsi="宋体"/>
              </w:rPr>
            </w:pPr>
          </w:p>
        </w:tc>
        <w:tc>
          <w:tcPr>
            <w:tcW w:w="850" w:type="dxa"/>
          </w:tcPr>
          <w:p w14:paraId="7116A097">
            <w:pPr>
              <w:spacing w:line="240" w:lineRule="auto"/>
              <w:jc w:val="center"/>
              <w:rPr>
                <w:rFonts w:ascii="宋体" w:hAnsi="宋体"/>
              </w:rPr>
            </w:pPr>
          </w:p>
        </w:tc>
      </w:tr>
      <w:tr w14:paraId="6B0567B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1DBC25CA">
            <w:pPr>
              <w:spacing w:line="240" w:lineRule="auto"/>
              <w:jc w:val="center"/>
              <w:rPr>
                <w:rFonts w:ascii="宋体" w:hAnsi="宋体"/>
              </w:rPr>
            </w:pPr>
            <w:r>
              <w:rPr>
                <w:rFonts w:hint="eastAsia" w:ascii="宋体" w:hAnsi="宋体"/>
              </w:rPr>
              <w:t>2</w:t>
            </w:r>
            <w:r>
              <w:rPr>
                <w:rFonts w:ascii="宋体" w:hAnsi="宋体"/>
              </w:rPr>
              <w:t>5</w:t>
            </w:r>
          </w:p>
        </w:tc>
        <w:tc>
          <w:tcPr>
            <w:tcW w:w="1701" w:type="dxa"/>
          </w:tcPr>
          <w:p w14:paraId="560282A9">
            <w:pPr>
              <w:spacing w:line="240" w:lineRule="auto"/>
              <w:jc w:val="center"/>
              <w:rPr>
                <w:rFonts w:ascii="宋体" w:hAnsi="宋体"/>
              </w:rPr>
            </w:pPr>
            <w:r>
              <w:rPr>
                <w:rFonts w:hint="eastAsia" w:ascii="宋体" w:hAnsi="宋体"/>
              </w:rPr>
              <w:t>顺</w:t>
            </w:r>
            <w:r>
              <w:rPr>
                <w:rFonts w:ascii="宋体" w:hAnsi="宋体"/>
              </w:rPr>
              <w:t>-2-丁烯</w:t>
            </w:r>
          </w:p>
        </w:tc>
        <w:tc>
          <w:tcPr>
            <w:tcW w:w="851" w:type="dxa"/>
          </w:tcPr>
          <w:p w14:paraId="395B63CA">
            <w:pPr>
              <w:spacing w:line="240" w:lineRule="auto"/>
              <w:jc w:val="center"/>
              <w:rPr>
                <w:rFonts w:ascii="宋体" w:hAnsi="宋体"/>
              </w:rPr>
            </w:pPr>
            <w:r>
              <w:rPr>
                <w:rFonts w:ascii="宋体" w:hAnsi="宋体"/>
              </w:rPr>
              <w:t>12.64</w:t>
            </w:r>
          </w:p>
        </w:tc>
        <w:tc>
          <w:tcPr>
            <w:tcW w:w="708" w:type="dxa"/>
            <w:vAlign w:val="bottom"/>
          </w:tcPr>
          <w:p w14:paraId="0210006C">
            <w:pPr>
              <w:spacing w:line="240" w:lineRule="auto"/>
              <w:jc w:val="center"/>
              <w:rPr>
                <w:rFonts w:ascii="宋体" w:hAnsi="宋体"/>
              </w:rPr>
            </w:pPr>
            <w:r>
              <w:rPr>
                <w:rFonts w:hint="eastAsia" w:ascii="宋体" w:hAnsi="宋体"/>
                <w:color w:val="000000"/>
              </w:rPr>
              <w:t>58</w:t>
            </w:r>
          </w:p>
        </w:tc>
        <w:tc>
          <w:tcPr>
            <w:tcW w:w="2694" w:type="dxa"/>
            <w:vAlign w:val="center"/>
          </w:tcPr>
          <w:p w14:paraId="3AECE003">
            <w:pPr>
              <w:spacing w:line="240" w:lineRule="auto"/>
              <w:jc w:val="center"/>
              <w:rPr>
                <w:rFonts w:ascii="宋体" w:hAnsi="宋体"/>
              </w:rPr>
            </w:pPr>
            <w:r>
              <w:rPr>
                <w:rFonts w:hint="eastAsia" w:ascii="宋体" w:hAnsi="宋体"/>
              </w:rPr>
              <w:t>甲酸</w:t>
            </w:r>
          </w:p>
        </w:tc>
        <w:tc>
          <w:tcPr>
            <w:tcW w:w="850" w:type="dxa"/>
          </w:tcPr>
          <w:p w14:paraId="2C5AB673">
            <w:pPr>
              <w:spacing w:line="240" w:lineRule="auto"/>
              <w:jc w:val="center"/>
              <w:rPr>
                <w:rFonts w:ascii="宋体" w:hAnsi="宋体"/>
              </w:rPr>
            </w:pPr>
            <w:r>
              <w:rPr>
                <w:rFonts w:ascii="宋体" w:hAnsi="宋体"/>
              </w:rPr>
              <w:t>0.06</w:t>
            </w:r>
          </w:p>
        </w:tc>
        <w:tc>
          <w:tcPr>
            <w:tcW w:w="709" w:type="dxa"/>
          </w:tcPr>
          <w:p w14:paraId="2F161EB6">
            <w:pPr>
              <w:spacing w:line="240" w:lineRule="auto"/>
              <w:jc w:val="center"/>
              <w:rPr>
                <w:rFonts w:ascii="宋体" w:hAnsi="宋体"/>
              </w:rPr>
            </w:pPr>
            <w:r>
              <w:rPr>
                <w:rFonts w:ascii="宋体" w:hAnsi="宋体"/>
              </w:rPr>
              <w:t>91</w:t>
            </w:r>
          </w:p>
        </w:tc>
        <w:tc>
          <w:tcPr>
            <w:tcW w:w="1838" w:type="dxa"/>
          </w:tcPr>
          <w:p w14:paraId="7EA50A26">
            <w:pPr>
              <w:spacing w:line="240" w:lineRule="auto"/>
              <w:jc w:val="center"/>
              <w:rPr>
                <w:rFonts w:ascii="宋体" w:hAnsi="宋体"/>
              </w:rPr>
            </w:pPr>
            <w:r>
              <w:rPr>
                <w:rFonts w:hint="eastAsia" w:ascii="宋体" w:hAnsi="宋体"/>
              </w:rPr>
              <w:t>乙酸乙丙酯</w:t>
            </w:r>
          </w:p>
        </w:tc>
        <w:tc>
          <w:tcPr>
            <w:tcW w:w="850" w:type="dxa"/>
          </w:tcPr>
          <w:p w14:paraId="1C835270">
            <w:pPr>
              <w:spacing w:line="240" w:lineRule="auto"/>
              <w:jc w:val="center"/>
              <w:rPr>
                <w:rFonts w:ascii="宋体" w:hAnsi="宋体"/>
              </w:rPr>
            </w:pPr>
            <w:r>
              <w:rPr>
                <w:rFonts w:ascii="宋体" w:hAnsi="宋体"/>
              </w:rPr>
              <w:t>0.80</w:t>
            </w:r>
          </w:p>
        </w:tc>
        <w:tc>
          <w:tcPr>
            <w:tcW w:w="709" w:type="dxa"/>
          </w:tcPr>
          <w:p w14:paraId="74FE4543">
            <w:pPr>
              <w:spacing w:line="240" w:lineRule="auto"/>
              <w:jc w:val="center"/>
              <w:rPr>
                <w:rFonts w:ascii="宋体" w:hAnsi="宋体"/>
              </w:rPr>
            </w:pPr>
          </w:p>
        </w:tc>
        <w:tc>
          <w:tcPr>
            <w:tcW w:w="1701" w:type="dxa"/>
          </w:tcPr>
          <w:p w14:paraId="59B40C7B">
            <w:pPr>
              <w:spacing w:line="240" w:lineRule="auto"/>
              <w:jc w:val="center"/>
              <w:rPr>
                <w:rFonts w:ascii="宋体" w:hAnsi="宋体"/>
              </w:rPr>
            </w:pPr>
          </w:p>
        </w:tc>
        <w:tc>
          <w:tcPr>
            <w:tcW w:w="850" w:type="dxa"/>
          </w:tcPr>
          <w:p w14:paraId="6B4FAF4F">
            <w:pPr>
              <w:spacing w:line="240" w:lineRule="auto"/>
              <w:jc w:val="center"/>
              <w:rPr>
                <w:rFonts w:ascii="宋体" w:hAnsi="宋体"/>
              </w:rPr>
            </w:pPr>
          </w:p>
        </w:tc>
      </w:tr>
      <w:tr w14:paraId="1385F11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4969387D">
            <w:pPr>
              <w:spacing w:line="240" w:lineRule="auto"/>
              <w:jc w:val="center"/>
              <w:rPr>
                <w:rFonts w:ascii="宋体" w:hAnsi="宋体"/>
              </w:rPr>
            </w:pPr>
            <w:r>
              <w:rPr>
                <w:rFonts w:hint="eastAsia" w:ascii="宋体" w:hAnsi="宋体"/>
              </w:rPr>
              <w:t>2</w:t>
            </w:r>
            <w:r>
              <w:rPr>
                <w:rFonts w:ascii="宋体" w:hAnsi="宋体"/>
              </w:rPr>
              <w:t>6</w:t>
            </w:r>
          </w:p>
        </w:tc>
        <w:tc>
          <w:tcPr>
            <w:tcW w:w="1701" w:type="dxa"/>
          </w:tcPr>
          <w:p w14:paraId="64A8FF3B">
            <w:pPr>
              <w:spacing w:line="240" w:lineRule="auto"/>
              <w:jc w:val="center"/>
              <w:rPr>
                <w:rFonts w:ascii="宋体" w:hAnsi="宋体"/>
              </w:rPr>
            </w:pPr>
            <w:r>
              <w:rPr>
                <w:rFonts w:hint="eastAsia" w:ascii="宋体" w:hAnsi="宋体"/>
              </w:rPr>
              <w:t>反</w:t>
            </w:r>
            <w:r>
              <w:rPr>
                <w:rFonts w:ascii="宋体" w:hAnsi="宋体"/>
              </w:rPr>
              <w:t>-2-丁烯</w:t>
            </w:r>
          </w:p>
        </w:tc>
        <w:tc>
          <w:tcPr>
            <w:tcW w:w="851" w:type="dxa"/>
          </w:tcPr>
          <w:p w14:paraId="425462E2">
            <w:pPr>
              <w:spacing w:line="240" w:lineRule="auto"/>
              <w:jc w:val="center"/>
              <w:rPr>
                <w:rFonts w:ascii="宋体" w:hAnsi="宋体"/>
              </w:rPr>
            </w:pPr>
            <w:r>
              <w:rPr>
                <w:rFonts w:ascii="宋体" w:hAnsi="宋体"/>
              </w:rPr>
              <w:t>14.11</w:t>
            </w:r>
          </w:p>
        </w:tc>
        <w:tc>
          <w:tcPr>
            <w:tcW w:w="708" w:type="dxa"/>
            <w:vAlign w:val="bottom"/>
          </w:tcPr>
          <w:p w14:paraId="3A6259E2">
            <w:pPr>
              <w:spacing w:line="240" w:lineRule="auto"/>
              <w:jc w:val="center"/>
              <w:rPr>
                <w:rFonts w:ascii="宋体" w:hAnsi="宋体"/>
              </w:rPr>
            </w:pPr>
            <w:r>
              <w:rPr>
                <w:rFonts w:hint="eastAsia" w:ascii="宋体" w:hAnsi="宋体"/>
                <w:color w:val="000000"/>
              </w:rPr>
              <w:t>59</w:t>
            </w:r>
          </w:p>
        </w:tc>
        <w:tc>
          <w:tcPr>
            <w:tcW w:w="2694" w:type="dxa"/>
          </w:tcPr>
          <w:p w14:paraId="6A1F0E83">
            <w:pPr>
              <w:spacing w:line="240" w:lineRule="auto"/>
              <w:jc w:val="center"/>
              <w:rPr>
                <w:rFonts w:ascii="宋体" w:hAnsi="宋体"/>
              </w:rPr>
            </w:pPr>
            <w:r>
              <w:rPr>
                <w:rFonts w:hint="eastAsia" w:ascii="宋体" w:hAnsi="宋体"/>
              </w:rPr>
              <w:t>环氧乙烷</w:t>
            </w:r>
          </w:p>
        </w:tc>
        <w:tc>
          <w:tcPr>
            <w:tcW w:w="850" w:type="dxa"/>
          </w:tcPr>
          <w:p w14:paraId="447CA882">
            <w:pPr>
              <w:spacing w:line="240" w:lineRule="auto"/>
              <w:jc w:val="center"/>
              <w:rPr>
                <w:rFonts w:ascii="宋体" w:hAnsi="宋体"/>
              </w:rPr>
            </w:pPr>
            <w:r>
              <w:rPr>
                <w:rFonts w:ascii="宋体" w:hAnsi="宋体"/>
              </w:rPr>
              <w:t>0.04</w:t>
            </w:r>
          </w:p>
        </w:tc>
        <w:tc>
          <w:tcPr>
            <w:tcW w:w="709" w:type="dxa"/>
          </w:tcPr>
          <w:p w14:paraId="7D5952CC">
            <w:pPr>
              <w:spacing w:line="240" w:lineRule="auto"/>
              <w:jc w:val="center"/>
              <w:rPr>
                <w:rFonts w:ascii="宋体" w:hAnsi="宋体"/>
              </w:rPr>
            </w:pPr>
            <w:r>
              <w:rPr>
                <w:rFonts w:ascii="宋体" w:hAnsi="宋体"/>
              </w:rPr>
              <w:t>92</w:t>
            </w:r>
          </w:p>
        </w:tc>
        <w:tc>
          <w:tcPr>
            <w:tcW w:w="1838" w:type="dxa"/>
          </w:tcPr>
          <w:p w14:paraId="66CA5890">
            <w:pPr>
              <w:spacing w:line="240" w:lineRule="auto"/>
              <w:jc w:val="center"/>
              <w:rPr>
                <w:rFonts w:ascii="宋体" w:hAnsi="宋体"/>
              </w:rPr>
            </w:pPr>
            <w:r>
              <w:rPr>
                <w:rFonts w:hint="eastAsia" w:ascii="宋体" w:hAnsi="宋体"/>
              </w:rPr>
              <w:t>乙酸丙酯</w:t>
            </w:r>
          </w:p>
        </w:tc>
        <w:tc>
          <w:tcPr>
            <w:tcW w:w="850" w:type="dxa"/>
          </w:tcPr>
          <w:p w14:paraId="7BB48146">
            <w:pPr>
              <w:spacing w:line="240" w:lineRule="auto"/>
              <w:jc w:val="center"/>
              <w:rPr>
                <w:rFonts w:ascii="宋体" w:hAnsi="宋体"/>
              </w:rPr>
            </w:pPr>
            <w:r>
              <w:rPr>
                <w:rFonts w:ascii="宋体" w:hAnsi="宋体"/>
              </w:rPr>
              <w:t>0.47</w:t>
            </w:r>
          </w:p>
        </w:tc>
        <w:tc>
          <w:tcPr>
            <w:tcW w:w="709" w:type="dxa"/>
          </w:tcPr>
          <w:p w14:paraId="56D04906">
            <w:pPr>
              <w:spacing w:line="240" w:lineRule="auto"/>
              <w:jc w:val="center"/>
              <w:rPr>
                <w:rFonts w:ascii="宋体" w:hAnsi="宋体"/>
              </w:rPr>
            </w:pPr>
          </w:p>
        </w:tc>
        <w:tc>
          <w:tcPr>
            <w:tcW w:w="1701" w:type="dxa"/>
          </w:tcPr>
          <w:p w14:paraId="0F8E48EB">
            <w:pPr>
              <w:spacing w:line="240" w:lineRule="auto"/>
              <w:jc w:val="center"/>
              <w:rPr>
                <w:rFonts w:ascii="宋体" w:hAnsi="宋体"/>
              </w:rPr>
            </w:pPr>
          </w:p>
        </w:tc>
        <w:tc>
          <w:tcPr>
            <w:tcW w:w="850" w:type="dxa"/>
          </w:tcPr>
          <w:p w14:paraId="60901BC3">
            <w:pPr>
              <w:spacing w:line="240" w:lineRule="auto"/>
              <w:jc w:val="center"/>
              <w:rPr>
                <w:rFonts w:ascii="宋体" w:hAnsi="宋体"/>
              </w:rPr>
            </w:pPr>
          </w:p>
        </w:tc>
      </w:tr>
      <w:tr w14:paraId="3AC923F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12" w:space="0"/>
              <w:bottom w:val="single" w:color="auto" w:sz="12" w:space="0"/>
            </w:tcBorders>
          </w:tcPr>
          <w:p w14:paraId="147FC73F">
            <w:pPr>
              <w:spacing w:line="240" w:lineRule="auto"/>
              <w:jc w:val="center"/>
              <w:rPr>
                <w:rFonts w:ascii="宋体" w:hAnsi="宋体"/>
              </w:rPr>
            </w:pPr>
            <w:r>
              <w:rPr>
                <w:rFonts w:hint="eastAsia" w:ascii="宋体" w:hAnsi="宋体"/>
              </w:rPr>
              <w:t>序号</w:t>
            </w:r>
          </w:p>
        </w:tc>
        <w:tc>
          <w:tcPr>
            <w:tcW w:w="1701" w:type="dxa"/>
            <w:tcBorders>
              <w:top w:val="single" w:color="auto" w:sz="12" w:space="0"/>
              <w:bottom w:val="single" w:color="auto" w:sz="12" w:space="0"/>
            </w:tcBorders>
            <w:vAlign w:val="center"/>
          </w:tcPr>
          <w:p w14:paraId="050B69F9">
            <w:pPr>
              <w:spacing w:line="240" w:lineRule="auto"/>
              <w:jc w:val="center"/>
              <w:rPr>
                <w:rFonts w:ascii="宋体" w:hAnsi="宋体"/>
              </w:rPr>
            </w:pPr>
            <w:r>
              <w:rPr>
                <w:rFonts w:hint="eastAsia" w:ascii="宋体" w:hAnsi="宋体"/>
              </w:rPr>
              <w:t>物种</w:t>
            </w:r>
          </w:p>
        </w:tc>
        <w:tc>
          <w:tcPr>
            <w:tcW w:w="851" w:type="dxa"/>
            <w:tcBorders>
              <w:top w:val="single" w:color="auto" w:sz="12" w:space="0"/>
              <w:bottom w:val="single" w:color="auto" w:sz="12" w:space="0"/>
            </w:tcBorders>
            <w:vAlign w:val="center"/>
          </w:tcPr>
          <w:p w14:paraId="21ED1DC5">
            <w:pPr>
              <w:spacing w:line="240" w:lineRule="auto"/>
              <w:jc w:val="center"/>
              <w:rPr>
                <w:rFonts w:ascii="宋体" w:hAnsi="宋体"/>
              </w:rPr>
            </w:pPr>
            <w:r>
              <w:rPr>
                <w:rFonts w:ascii="宋体" w:hAnsi="宋体"/>
              </w:rPr>
              <w:t>MIR</w:t>
            </w:r>
          </w:p>
        </w:tc>
        <w:tc>
          <w:tcPr>
            <w:tcW w:w="708" w:type="dxa"/>
            <w:tcBorders>
              <w:top w:val="single" w:color="auto" w:sz="12" w:space="0"/>
              <w:bottom w:val="single" w:color="auto" w:sz="12" w:space="0"/>
            </w:tcBorders>
          </w:tcPr>
          <w:p w14:paraId="209BDDC5">
            <w:pPr>
              <w:spacing w:line="240" w:lineRule="auto"/>
              <w:jc w:val="center"/>
              <w:rPr>
                <w:rFonts w:ascii="宋体" w:hAnsi="宋体"/>
                <w:color w:val="000000"/>
              </w:rPr>
            </w:pPr>
            <w:r>
              <w:rPr>
                <w:rFonts w:hint="eastAsia" w:ascii="宋体" w:hAnsi="宋体"/>
              </w:rPr>
              <w:t>序号</w:t>
            </w:r>
          </w:p>
        </w:tc>
        <w:tc>
          <w:tcPr>
            <w:tcW w:w="2694" w:type="dxa"/>
            <w:tcBorders>
              <w:top w:val="single" w:color="auto" w:sz="12" w:space="0"/>
              <w:bottom w:val="single" w:color="auto" w:sz="12" w:space="0"/>
            </w:tcBorders>
            <w:vAlign w:val="center"/>
          </w:tcPr>
          <w:p w14:paraId="169781D2">
            <w:pPr>
              <w:spacing w:line="240" w:lineRule="auto"/>
              <w:jc w:val="center"/>
              <w:rPr>
                <w:rFonts w:ascii="宋体" w:hAnsi="宋体"/>
              </w:rPr>
            </w:pPr>
            <w:r>
              <w:rPr>
                <w:rFonts w:hint="eastAsia" w:ascii="宋体" w:hAnsi="宋体"/>
              </w:rPr>
              <w:t>物种</w:t>
            </w:r>
          </w:p>
        </w:tc>
        <w:tc>
          <w:tcPr>
            <w:tcW w:w="850" w:type="dxa"/>
            <w:tcBorders>
              <w:top w:val="single" w:color="auto" w:sz="12" w:space="0"/>
              <w:bottom w:val="single" w:color="auto" w:sz="12" w:space="0"/>
            </w:tcBorders>
            <w:vAlign w:val="center"/>
          </w:tcPr>
          <w:p w14:paraId="4D5C120E">
            <w:pPr>
              <w:spacing w:line="240" w:lineRule="auto"/>
              <w:jc w:val="center"/>
              <w:rPr>
                <w:rFonts w:ascii="宋体" w:hAnsi="宋体"/>
              </w:rPr>
            </w:pPr>
            <w:r>
              <w:rPr>
                <w:rFonts w:ascii="宋体" w:hAnsi="宋体"/>
              </w:rPr>
              <w:t>MIR</w:t>
            </w:r>
          </w:p>
        </w:tc>
        <w:tc>
          <w:tcPr>
            <w:tcW w:w="709" w:type="dxa"/>
            <w:tcBorders>
              <w:top w:val="single" w:color="auto" w:sz="12" w:space="0"/>
              <w:bottom w:val="single" w:color="auto" w:sz="12" w:space="0"/>
            </w:tcBorders>
          </w:tcPr>
          <w:p w14:paraId="602D88D6">
            <w:pPr>
              <w:spacing w:line="240" w:lineRule="auto"/>
              <w:jc w:val="center"/>
              <w:rPr>
                <w:rFonts w:ascii="宋体" w:hAnsi="宋体"/>
              </w:rPr>
            </w:pPr>
            <w:r>
              <w:rPr>
                <w:rFonts w:hint="eastAsia" w:ascii="宋体" w:hAnsi="宋体"/>
              </w:rPr>
              <w:t>序号</w:t>
            </w:r>
          </w:p>
        </w:tc>
        <w:tc>
          <w:tcPr>
            <w:tcW w:w="1838" w:type="dxa"/>
            <w:tcBorders>
              <w:top w:val="single" w:color="auto" w:sz="12" w:space="0"/>
              <w:bottom w:val="single" w:color="auto" w:sz="12" w:space="0"/>
            </w:tcBorders>
            <w:vAlign w:val="center"/>
          </w:tcPr>
          <w:p w14:paraId="4DE76D35">
            <w:pPr>
              <w:spacing w:line="240" w:lineRule="auto"/>
              <w:jc w:val="center"/>
              <w:rPr>
                <w:rFonts w:ascii="宋体" w:hAnsi="宋体"/>
              </w:rPr>
            </w:pPr>
            <w:r>
              <w:rPr>
                <w:rFonts w:hint="eastAsia" w:ascii="宋体" w:hAnsi="宋体"/>
              </w:rPr>
              <w:t>物种</w:t>
            </w:r>
          </w:p>
        </w:tc>
        <w:tc>
          <w:tcPr>
            <w:tcW w:w="850" w:type="dxa"/>
            <w:tcBorders>
              <w:top w:val="single" w:color="auto" w:sz="12" w:space="0"/>
              <w:bottom w:val="single" w:color="auto" w:sz="12" w:space="0"/>
            </w:tcBorders>
            <w:vAlign w:val="center"/>
          </w:tcPr>
          <w:p w14:paraId="42556092">
            <w:pPr>
              <w:spacing w:line="240" w:lineRule="auto"/>
              <w:jc w:val="center"/>
              <w:rPr>
                <w:rFonts w:ascii="宋体" w:hAnsi="宋体"/>
              </w:rPr>
            </w:pPr>
            <w:r>
              <w:rPr>
                <w:rFonts w:ascii="宋体" w:hAnsi="宋体"/>
              </w:rPr>
              <w:t>MIR</w:t>
            </w:r>
          </w:p>
        </w:tc>
        <w:tc>
          <w:tcPr>
            <w:tcW w:w="709" w:type="dxa"/>
            <w:tcBorders>
              <w:top w:val="single" w:color="auto" w:sz="12" w:space="0"/>
            </w:tcBorders>
          </w:tcPr>
          <w:p w14:paraId="6066A478">
            <w:pPr>
              <w:spacing w:line="240" w:lineRule="auto"/>
              <w:jc w:val="center"/>
              <w:rPr>
                <w:rFonts w:ascii="宋体" w:hAnsi="宋体"/>
              </w:rPr>
            </w:pPr>
          </w:p>
        </w:tc>
        <w:tc>
          <w:tcPr>
            <w:tcW w:w="1701" w:type="dxa"/>
            <w:tcBorders>
              <w:top w:val="single" w:color="auto" w:sz="12" w:space="0"/>
            </w:tcBorders>
            <w:vAlign w:val="center"/>
          </w:tcPr>
          <w:p w14:paraId="5CC06ADB">
            <w:pPr>
              <w:spacing w:line="240" w:lineRule="auto"/>
              <w:jc w:val="center"/>
              <w:rPr>
                <w:rFonts w:ascii="宋体" w:hAnsi="宋体"/>
              </w:rPr>
            </w:pPr>
          </w:p>
        </w:tc>
        <w:tc>
          <w:tcPr>
            <w:tcW w:w="850" w:type="dxa"/>
            <w:tcBorders>
              <w:top w:val="single" w:color="auto" w:sz="12" w:space="0"/>
            </w:tcBorders>
            <w:vAlign w:val="center"/>
          </w:tcPr>
          <w:p w14:paraId="5CD0368A">
            <w:pPr>
              <w:spacing w:line="240" w:lineRule="auto"/>
              <w:jc w:val="center"/>
              <w:rPr>
                <w:rFonts w:ascii="宋体" w:hAnsi="宋体"/>
              </w:rPr>
            </w:pPr>
          </w:p>
        </w:tc>
      </w:tr>
      <w:tr w14:paraId="2CEBA08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5174F69F">
            <w:pPr>
              <w:spacing w:line="240" w:lineRule="auto"/>
              <w:jc w:val="center"/>
              <w:rPr>
                <w:rFonts w:ascii="宋体" w:hAnsi="宋体"/>
              </w:rPr>
            </w:pPr>
            <w:r>
              <w:rPr>
                <w:rFonts w:hint="eastAsia" w:ascii="宋体" w:hAnsi="宋体"/>
              </w:rPr>
              <w:t>2</w:t>
            </w:r>
            <w:r>
              <w:rPr>
                <w:rFonts w:ascii="宋体" w:hAnsi="宋体"/>
              </w:rPr>
              <w:t>7</w:t>
            </w:r>
          </w:p>
        </w:tc>
        <w:tc>
          <w:tcPr>
            <w:tcW w:w="1701" w:type="dxa"/>
          </w:tcPr>
          <w:p w14:paraId="0F260755">
            <w:pPr>
              <w:spacing w:line="240" w:lineRule="auto"/>
              <w:jc w:val="center"/>
              <w:rPr>
                <w:rFonts w:ascii="宋体" w:hAnsi="宋体"/>
              </w:rPr>
            </w:pPr>
            <w:r>
              <w:rPr>
                <w:rFonts w:ascii="宋体" w:hAnsi="宋体"/>
              </w:rPr>
              <w:t>1,3-丁二烯</w:t>
            </w:r>
          </w:p>
        </w:tc>
        <w:tc>
          <w:tcPr>
            <w:tcW w:w="851" w:type="dxa"/>
          </w:tcPr>
          <w:p w14:paraId="40F40BFD">
            <w:pPr>
              <w:spacing w:line="240" w:lineRule="auto"/>
              <w:jc w:val="center"/>
              <w:rPr>
                <w:rFonts w:ascii="宋体" w:hAnsi="宋体"/>
              </w:rPr>
            </w:pPr>
            <w:r>
              <w:rPr>
                <w:rFonts w:ascii="宋体" w:hAnsi="宋体"/>
              </w:rPr>
              <w:t>4.73</w:t>
            </w:r>
          </w:p>
        </w:tc>
        <w:tc>
          <w:tcPr>
            <w:tcW w:w="708" w:type="dxa"/>
            <w:vAlign w:val="bottom"/>
          </w:tcPr>
          <w:p w14:paraId="6D7CC705">
            <w:pPr>
              <w:spacing w:line="240" w:lineRule="auto"/>
              <w:jc w:val="center"/>
              <w:rPr>
                <w:rFonts w:ascii="宋体" w:hAnsi="宋体"/>
              </w:rPr>
            </w:pPr>
            <w:r>
              <w:rPr>
                <w:rFonts w:hint="eastAsia" w:ascii="宋体" w:hAnsi="宋体"/>
                <w:color w:val="000000"/>
              </w:rPr>
              <w:t>60</w:t>
            </w:r>
          </w:p>
        </w:tc>
        <w:tc>
          <w:tcPr>
            <w:tcW w:w="2694" w:type="dxa"/>
          </w:tcPr>
          <w:p w14:paraId="66EBEA0C">
            <w:pPr>
              <w:spacing w:line="240" w:lineRule="auto"/>
              <w:jc w:val="center"/>
              <w:rPr>
                <w:rFonts w:ascii="宋体" w:hAnsi="宋体"/>
              </w:rPr>
            </w:pPr>
            <w:r>
              <w:rPr>
                <w:rFonts w:hint="eastAsia" w:ascii="宋体" w:hAnsi="宋体"/>
              </w:rPr>
              <w:t>乙醛</w:t>
            </w:r>
          </w:p>
        </w:tc>
        <w:tc>
          <w:tcPr>
            <w:tcW w:w="850" w:type="dxa"/>
          </w:tcPr>
          <w:p w14:paraId="037EC978">
            <w:pPr>
              <w:spacing w:line="240" w:lineRule="auto"/>
              <w:jc w:val="center"/>
              <w:rPr>
                <w:rFonts w:ascii="宋体" w:hAnsi="宋体"/>
              </w:rPr>
            </w:pPr>
            <w:r>
              <w:rPr>
                <w:rFonts w:ascii="宋体" w:hAnsi="宋体"/>
              </w:rPr>
              <w:t>4.10</w:t>
            </w:r>
          </w:p>
        </w:tc>
        <w:tc>
          <w:tcPr>
            <w:tcW w:w="709" w:type="dxa"/>
          </w:tcPr>
          <w:p w14:paraId="3203C4C8">
            <w:pPr>
              <w:spacing w:line="240" w:lineRule="auto"/>
              <w:jc w:val="center"/>
              <w:rPr>
                <w:rFonts w:ascii="宋体" w:hAnsi="宋体"/>
              </w:rPr>
            </w:pPr>
            <w:r>
              <w:rPr>
                <w:rFonts w:ascii="宋体" w:hAnsi="宋体"/>
              </w:rPr>
              <w:t>93</w:t>
            </w:r>
          </w:p>
        </w:tc>
        <w:tc>
          <w:tcPr>
            <w:tcW w:w="1838" w:type="dxa"/>
          </w:tcPr>
          <w:p w14:paraId="55A0EB5F">
            <w:pPr>
              <w:spacing w:line="240" w:lineRule="auto"/>
              <w:jc w:val="center"/>
              <w:rPr>
                <w:rFonts w:ascii="宋体" w:hAnsi="宋体"/>
              </w:rPr>
            </w:pPr>
            <w:r>
              <w:rPr>
                <w:rFonts w:hint="eastAsia" w:ascii="宋体" w:hAnsi="宋体"/>
              </w:rPr>
              <w:t>苯酚</w:t>
            </w:r>
          </w:p>
        </w:tc>
        <w:tc>
          <w:tcPr>
            <w:tcW w:w="850" w:type="dxa"/>
          </w:tcPr>
          <w:p w14:paraId="197276A1">
            <w:pPr>
              <w:spacing w:line="240" w:lineRule="auto"/>
              <w:jc w:val="center"/>
              <w:rPr>
                <w:rFonts w:ascii="宋体" w:hAnsi="宋体"/>
              </w:rPr>
            </w:pPr>
            <w:r>
              <w:rPr>
                <w:rFonts w:ascii="宋体" w:hAnsi="宋体"/>
              </w:rPr>
              <w:t>1.80</w:t>
            </w:r>
          </w:p>
        </w:tc>
        <w:tc>
          <w:tcPr>
            <w:tcW w:w="709" w:type="dxa"/>
          </w:tcPr>
          <w:p w14:paraId="573DAD2B">
            <w:pPr>
              <w:spacing w:line="240" w:lineRule="auto"/>
              <w:jc w:val="center"/>
              <w:rPr>
                <w:rFonts w:ascii="宋体" w:hAnsi="宋体"/>
              </w:rPr>
            </w:pPr>
          </w:p>
        </w:tc>
        <w:tc>
          <w:tcPr>
            <w:tcW w:w="1701" w:type="dxa"/>
          </w:tcPr>
          <w:p w14:paraId="74292AAD">
            <w:pPr>
              <w:spacing w:line="240" w:lineRule="auto"/>
              <w:jc w:val="center"/>
              <w:rPr>
                <w:rFonts w:ascii="宋体" w:hAnsi="宋体"/>
              </w:rPr>
            </w:pPr>
          </w:p>
        </w:tc>
        <w:tc>
          <w:tcPr>
            <w:tcW w:w="850" w:type="dxa"/>
          </w:tcPr>
          <w:p w14:paraId="6A5729CD">
            <w:pPr>
              <w:spacing w:line="240" w:lineRule="auto"/>
              <w:jc w:val="center"/>
              <w:rPr>
                <w:rFonts w:ascii="宋体" w:hAnsi="宋体"/>
              </w:rPr>
            </w:pPr>
          </w:p>
        </w:tc>
      </w:tr>
      <w:tr w14:paraId="74D3213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667A029A">
            <w:pPr>
              <w:spacing w:line="240" w:lineRule="auto"/>
              <w:jc w:val="center"/>
              <w:rPr>
                <w:rFonts w:ascii="宋体" w:hAnsi="宋体"/>
              </w:rPr>
            </w:pPr>
            <w:r>
              <w:rPr>
                <w:rFonts w:hint="eastAsia" w:ascii="宋体" w:hAnsi="宋体"/>
              </w:rPr>
              <w:t>2</w:t>
            </w:r>
            <w:r>
              <w:rPr>
                <w:rFonts w:ascii="宋体" w:hAnsi="宋体"/>
              </w:rPr>
              <w:t>8</w:t>
            </w:r>
          </w:p>
        </w:tc>
        <w:tc>
          <w:tcPr>
            <w:tcW w:w="1701" w:type="dxa"/>
          </w:tcPr>
          <w:p w14:paraId="71C2CA8C">
            <w:pPr>
              <w:spacing w:line="240" w:lineRule="auto"/>
              <w:jc w:val="center"/>
              <w:rPr>
                <w:rFonts w:ascii="宋体" w:hAnsi="宋体"/>
              </w:rPr>
            </w:pPr>
            <w:r>
              <w:rPr>
                <w:rFonts w:ascii="宋体" w:hAnsi="宋体"/>
              </w:rPr>
              <w:t>1-戊烯</w:t>
            </w:r>
          </w:p>
        </w:tc>
        <w:tc>
          <w:tcPr>
            <w:tcW w:w="851" w:type="dxa"/>
          </w:tcPr>
          <w:p w14:paraId="58E15FAF">
            <w:pPr>
              <w:spacing w:line="240" w:lineRule="auto"/>
              <w:jc w:val="center"/>
              <w:rPr>
                <w:rFonts w:ascii="宋体" w:hAnsi="宋体"/>
              </w:rPr>
            </w:pPr>
            <w:r>
              <w:rPr>
                <w:rFonts w:ascii="宋体" w:hAnsi="宋体"/>
              </w:rPr>
              <w:t>6.18</w:t>
            </w:r>
          </w:p>
        </w:tc>
        <w:tc>
          <w:tcPr>
            <w:tcW w:w="708" w:type="dxa"/>
            <w:vAlign w:val="bottom"/>
          </w:tcPr>
          <w:p w14:paraId="59209C1B">
            <w:pPr>
              <w:spacing w:line="240" w:lineRule="auto"/>
              <w:jc w:val="center"/>
              <w:rPr>
                <w:rFonts w:ascii="宋体" w:hAnsi="宋体"/>
              </w:rPr>
            </w:pPr>
            <w:r>
              <w:rPr>
                <w:rFonts w:hint="eastAsia" w:ascii="宋体" w:hAnsi="宋体"/>
                <w:color w:val="000000"/>
              </w:rPr>
              <w:t>61</w:t>
            </w:r>
          </w:p>
        </w:tc>
        <w:tc>
          <w:tcPr>
            <w:tcW w:w="2694" w:type="dxa"/>
          </w:tcPr>
          <w:p w14:paraId="5311A85A">
            <w:pPr>
              <w:spacing w:line="240" w:lineRule="auto"/>
              <w:jc w:val="center"/>
              <w:rPr>
                <w:rFonts w:ascii="宋体" w:hAnsi="宋体"/>
              </w:rPr>
            </w:pPr>
            <w:r>
              <w:rPr>
                <w:rFonts w:hint="eastAsia" w:ascii="宋体" w:hAnsi="宋体"/>
              </w:rPr>
              <w:t>乙醇</w:t>
            </w:r>
          </w:p>
        </w:tc>
        <w:tc>
          <w:tcPr>
            <w:tcW w:w="850" w:type="dxa"/>
          </w:tcPr>
          <w:p w14:paraId="677457CA">
            <w:pPr>
              <w:spacing w:line="240" w:lineRule="auto"/>
              <w:jc w:val="center"/>
              <w:rPr>
                <w:rFonts w:ascii="宋体" w:hAnsi="宋体"/>
              </w:rPr>
            </w:pPr>
            <w:r>
              <w:rPr>
                <w:rFonts w:ascii="宋体" w:hAnsi="宋体"/>
              </w:rPr>
              <w:t>0.66</w:t>
            </w:r>
          </w:p>
        </w:tc>
        <w:tc>
          <w:tcPr>
            <w:tcW w:w="709" w:type="dxa"/>
          </w:tcPr>
          <w:p w14:paraId="7558CB14">
            <w:pPr>
              <w:spacing w:line="240" w:lineRule="auto"/>
              <w:jc w:val="center"/>
              <w:rPr>
                <w:rFonts w:ascii="宋体" w:hAnsi="宋体"/>
              </w:rPr>
            </w:pPr>
            <w:r>
              <w:rPr>
                <w:rFonts w:ascii="宋体" w:hAnsi="宋体"/>
              </w:rPr>
              <w:t>94</w:t>
            </w:r>
          </w:p>
        </w:tc>
        <w:tc>
          <w:tcPr>
            <w:tcW w:w="1838" w:type="dxa"/>
          </w:tcPr>
          <w:p w14:paraId="6A73B147">
            <w:pPr>
              <w:spacing w:line="240" w:lineRule="auto"/>
              <w:jc w:val="center"/>
              <w:rPr>
                <w:rFonts w:ascii="宋体" w:hAnsi="宋体"/>
              </w:rPr>
            </w:pPr>
            <w:r>
              <w:rPr>
                <w:rFonts w:ascii="宋体" w:hAnsi="宋体"/>
              </w:rPr>
              <w:t>2-己酮</w:t>
            </w:r>
          </w:p>
        </w:tc>
        <w:tc>
          <w:tcPr>
            <w:tcW w:w="850" w:type="dxa"/>
          </w:tcPr>
          <w:p w14:paraId="7364EA19">
            <w:pPr>
              <w:spacing w:line="240" w:lineRule="auto"/>
              <w:jc w:val="center"/>
              <w:rPr>
                <w:rFonts w:ascii="宋体" w:hAnsi="宋体"/>
              </w:rPr>
            </w:pPr>
            <w:r>
              <w:rPr>
                <w:rFonts w:ascii="宋体" w:hAnsi="宋体"/>
              </w:rPr>
              <w:t>2.71</w:t>
            </w:r>
          </w:p>
        </w:tc>
        <w:tc>
          <w:tcPr>
            <w:tcW w:w="709" w:type="dxa"/>
          </w:tcPr>
          <w:p w14:paraId="0175C436">
            <w:pPr>
              <w:spacing w:line="240" w:lineRule="auto"/>
              <w:jc w:val="center"/>
              <w:rPr>
                <w:rFonts w:ascii="宋体" w:hAnsi="宋体"/>
              </w:rPr>
            </w:pPr>
          </w:p>
        </w:tc>
        <w:tc>
          <w:tcPr>
            <w:tcW w:w="1701" w:type="dxa"/>
          </w:tcPr>
          <w:p w14:paraId="1DF4FA4D">
            <w:pPr>
              <w:spacing w:line="240" w:lineRule="auto"/>
              <w:jc w:val="center"/>
              <w:rPr>
                <w:rFonts w:ascii="宋体" w:hAnsi="宋体"/>
              </w:rPr>
            </w:pPr>
          </w:p>
        </w:tc>
        <w:tc>
          <w:tcPr>
            <w:tcW w:w="850" w:type="dxa"/>
          </w:tcPr>
          <w:p w14:paraId="5A3315AB">
            <w:pPr>
              <w:spacing w:line="240" w:lineRule="auto"/>
              <w:jc w:val="center"/>
              <w:rPr>
                <w:rFonts w:ascii="宋体" w:hAnsi="宋体"/>
              </w:rPr>
            </w:pPr>
          </w:p>
        </w:tc>
      </w:tr>
      <w:tr w14:paraId="007B4BF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62AE2647">
            <w:pPr>
              <w:spacing w:line="240" w:lineRule="auto"/>
              <w:jc w:val="center"/>
              <w:rPr>
                <w:rFonts w:ascii="宋体" w:hAnsi="宋体"/>
              </w:rPr>
            </w:pPr>
            <w:r>
              <w:rPr>
                <w:rFonts w:hint="eastAsia" w:ascii="宋体" w:hAnsi="宋体"/>
              </w:rPr>
              <w:t>2</w:t>
            </w:r>
            <w:r>
              <w:rPr>
                <w:rFonts w:ascii="宋体" w:hAnsi="宋体"/>
              </w:rPr>
              <w:t>9</w:t>
            </w:r>
          </w:p>
        </w:tc>
        <w:tc>
          <w:tcPr>
            <w:tcW w:w="1701" w:type="dxa"/>
          </w:tcPr>
          <w:p w14:paraId="4DFF4FD4">
            <w:pPr>
              <w:spacing w:line="240" w:lineRule="auto"/>
              <w:jc w:val="center"/>
              <w:rPr>
                <w:rFonts w:ascii="宋体" w:hAnsi="宋体"/>
              </w:rPr>
            </w:pPr>
            <w:r>
              <w:rPr>
                <w:rFonts w:ascii="宋体" w:hAnsi="宋体"/>
              </w:rPr>
              <w:t>3-甲基-1-丁烯</w:t>
            </w:r>
          </w:p>
        </w:tc>
        <w:tc>
          <w:tcPr>
            <w:tcW w:w="851" w:type="dxa"/>
          </w:tcPr>
          <w:p w14:paraId="56A65048">
            <w:pPr>
              <w:spacing w:line="240" w:lineRule="auto"/>
              <w:jc w:val="center"/>
              <w:rPr>
                <w:rFonts w:ascii="宋体" w:hAnsi="宋体"/>
              </w:rPr>
            </w:pPr>
            <w:r>
              <w:rPr>
                <w:rFonts w:ascii="宋体" w:hAnsi="宋体"/>
              </w:rPr>
              <w:t>6.93</w:t>
            </w:r>
          </w:p>
        </w:tc>
        <w:tc>
          <w:tcPr>
            <w:tcW w:w="708" w:type="dxa"/>
            <w:vAlign w:val="bottom"/>
          </w:tcPr>
          <w:p w14:paraId="4562B2F2">
            <w:pPr>
              <w:spacing w:line="240" w:lineRule="auto"/>
              <w:jc w:val="center"/>
              <w:rPr>
                <w:rFonts w:ascii="宋体" w:hAnsi="宋体"/>
              </w:rPr>
            </w:pPr>
            <w:r>
              <w:rPr>
                <w:rFonts w:hint="eastAsia" w:ascii="宋体" w:hAnsi="宋体"/>
                <w:color w:val="000000"/>
              </w:rPr>
              <w:t>62</w:t>
            </w:r>
          </w:p>
        </w:tc>
        <w:tc>
          <w:tcPr>
            <w:tcW w:w="2694" w:type="dxa"/>
          </w:tcPr>
          <w:p w14:paraId="7677D11E">
            <w:pPr>
              <w:spacing w:line="240" w:lineRule="auto"/>
              <w:jc w:val="center"/>
              <w:rPr>
                <w:rFonts w:ascii="宋体" w:hAnsi="宋体"/>
              </w:rPr>
            </w:pPr>
            <w:r>
              <w:rPr>
                <w:rFonts w:hint="eastAsia" w:ascii="宋体" w:hAnsi="宋体"/>
              </w:rPr>
              <w:t>二甲醚</w:t>
            </w:r>
          </w:p>
        </w:tc>
        <w:tc>
          <w:tcPr>
            <w:tcW w:w="850" w:type="dxa"/>
          </w:tcPr>
          <w:p w14:paraId="6D9E589E">
            <w:pPr>
              <w:spacing w:line="240" w:lineRule="auto"/>
              <w:jc w:val="center"/>
              <w:rPr>
                <w:rFonts w:ascii="宋体" w:hAnsi="宋体"/>
              </w:rPr>
            </w:pPr>
            <w:r>
              <w:rPr>
                <w:rFonts w:ascii="宋体" w:hAnsi="宋体"/>
              </w:rPr>
              <w:t>0.57</w:t>
            </w:r>
          </w:p>
        </w:tc>
        <w:tc>
          <w:tcPr>
            <w:tcW w:w="709" w:type="dxa"/>
          </w:tcPr>
          <w:p w14:paraId="6EBA94D0">
            <w:pPr>
              <w:spacing w:line="240" w:lineRule="auto"/>
              <w:jc w:val="center"/>
              <w:rPr>
                <w:rFonts w:ascii="宋体" w:hAnsi="宋体"/>
              </w:rPr>
            </w:pPr>
            <w:r>
              <w:rPr>
                <w:rFonts w:ascii="宋体" w:hAnsi="宋体"/>
              </w:rPr>
              <w:t>95</w:t>
            </w:r>
          </w:p>
        </w:tc>
        <w:tc>
          <w:tcPr>
            <w:tcW w:w="1838" w:type="dxa"/>
          </w:tcPr>
          <w:p w14:paraId="06EBF3AA">
            <w:pPr>
              <w:spacing w:line="240" w:lineRule="auto"/>
              <w:jc w:val="center"/>
              <w:rPr>
                <w:rFonts w:ascii="宋体" w:hAnsi="宋体"/>
              </w:rPr>
            </w:pPr>
            <w:r>
              <w:rPr>
                <w:rFonts w:hint="eastAsia" w:ascii="宋体" w:hAnsi="宋体"/>
              </w:rPr>
              <w:t>环</w:t>
            </w:r>
            <w:r>
              <w:rPr>
                <w:rFonts w:ascii="宋体" w:hAnsi="宋体"/>
              </w:rPr>
              <w:t>己酮</w:t>
            </w:r>
          </w:p>
        </w:tc>
        <w:tc>
          <w:tcPr>
            <w:tcW w:w="850" w:type="dxa"/>
          </w:tcPr>
          <w:p w14:paraId="24EF7D3A">
            <w:pPr>
              <w:spacing w:line="240" w:lineRule="auto"/>
              <w:jc w:val="center"/>
              <w:rPr>
                <w:rFonts w:ascii="宋体" w:hAnsi="宋体"/>
              </w:rPr>
            </w:pPr>
            <w:r>
              <w:rPr>
                <w:rFonts w:ascii="宋体" w:hAnsi="宋体"/>
              </w:rPr>
              <w:t>0.97</w:t>
            </w:r>
          </w:p>
        </w:tc>
        <w:tc>
          <w:tcPr>
            <w:tcW w:w="709" w:type="dxa"/>
          </w:tcPr>
          <w:p w14:paraId="12A3E3F4">
            <w:pPr>
              <w:spacing w:line="240" w:lineRule="auto"/>
              <w:jc w:val="center"/>
              <w:rPr>
                <w:rFonts w:ascii="宋体" w:hAnsi="宋体"/>
              </w:rPr>
            </w:pPr>
          </w:p>
        </w:tc>
        <w:tc>
          <w:tcPr>
            <w:tcW w:w="1701" w:type="dxa"/>
          </w:tcPr>
          <w:p w14:paraId="346CBEDD">
            <w:pPr>
              <w:spacing w:line="240" w:lineRule="auto"/>
              <w:jc w:val="center"/>
              <w:rPr>
                <w:rFonts w:ascii="宋体" w:hAnsi="宋体"/>
              </w:rPr>
            </w:pPr>
          </w:p>
        </w:tc>
        <w:tc>
          <w:tcPr>
            <w:tcW w:w="850" w:type="dxa"/>
          </w:tcPr>
          <w:p w14:paraId="4AE2F91B">
            <w:pPr>
              <w:spacing w:line="240" w:lineRule="auto"/>
              <w:jc w:val="center"/>
              <w:rPr>
                <w:rFonts w:ascii="宋体" w:hAnsi="宋体"/>
              </w:rPr>
            </w:pPr>
          </w:p>
        </w:tc>
      </w:tr>
      <w:tr w14:paraId="6D59A13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151DFD54">
            <w:pPr>
              <w:spacing w:line="240" w:lineRule="auto"/>
              <w:jc w:val="center"/>
              <w:rPr>
                <w:rFonts w:ascii="宋体" w:hAnsi="宋体"/>
              </w:rPr>
            </w:pPr>
            <w:r>
              <w:rPr>
                <w:rFonts w:hint="eastAsia" w:ascii="宋体" w:hAnsi="宋体"/>
              </w:rPr>
              <w:t>3</w:t>
            </w:r>
            <w:r>
              <w:rPr>
                <w:rFonts w:ascii="宋体" w:hAnsi="宋体"/>
              </w:rPr>
              <w:t>0</w:t>
            </w:r>
          </w:p>
        </w:tc>
        <w:tc>
          <w:tcPr>
            <w:tcW w:w="1701" w:type="dxa"/>
          </w:tcPr>
          <w:p w14:paraId="3A8C34A4">
            <w:pPr>
              <w:spacing w:line="240" w:lineRule="auto"/>
              <w:jc w:val="center"/>
              <w:rPr>
                <w:rFonts w:ascii="宋体" w:hAnsi="宋体"/>
              </w:rPr>
            </w:pPr>
            <w:r>
              <w:rPr>
                <w:rFonts w:ascii="宋体" w:hAnsi="宋体"/>
              </w:rPr>
              <w:t>2-甲基-1-丁烯</w:t>
            </w:r>
          </w:p>
        </w:tc>
        <w:tc>
          <w:tcPr>
            <w:tcW w:w="851" w:type="dxa"/>
          </w:tcPr>
          <w:p w14:paraId="2FCC549A">
            <w:pPr>
              <w:spacing w:line="240" w:lineRule="auto"/>
              <w:jc w:val="center"/>
              <w:rPr>
                <w:rFonts w:ascii="宋体" w:hAnsi="宋体"/>
              </w:rPr>
            </w:pPr>
            <w:r>
              <w:rPr>
                <w:rFonts w:ascii="宋体" w:hAnsi="宋体"/>
              </w:rPr>
              <w:t>6.08</w:t>
            </w:r>
          </w:p>
        </w:tc>
        <w:tc>
          <w:tcPr>
            <w:tcW w:w="708" w:type="dxa"/>
            <w:vAlign w:val="bottom"/>
          </w:tcPr>
          <w:p w14:paraId="4CD67202">
            <w:pPr>
              <w:spacing w:line="240" w:lineRule="auto"/>
              <w:jc w:val="center"/>
              <w:rPr>
                <w:rFonts w:ascii="宋体" w:hAnsi="宋体"/>
              </w:rPr>
            </w:pPr>
            <w:r>
              <w:rPr>
                <w:rFonts w:hint="eastAsia" w:ascii="宋体" w:hAnsi="宋体"/>
                <w:color w:val="000000"/>
              </w:rPr>
              <w:t>63</w:t>
            </w:r>
          </w:p>
        </w:tc>
        <w:tc>
          <w:tcPr>
            <w:tcW w:w="2694" w:type="dxa"/>
          </w:tcPr>
          <w:p w14:paraId="59E09D4D">
            <w:pPr>
              <w:spacing w:line="240" w:lineRule="auto"/>
              <w:jc w:val="center"/>
              <w:rPr>
                <w:rFonts w:ascii="宋体" w:hAnsi="宋体"/>
              </w:rPr>
            </w:pPr>
            <w:r>
              <w:rPr>
                <w:rFonts w:hint="eastAsia" w:ascii="宋体" w:hAnsi="宋体"/>
              </w:rPr>
              <w:t>乙</w:t>
            </w:r>
            <w:r>
              <w:rPr>
                <w:rFonts w:ascii="宋体" w:hAnsi="宋体"/>
              </w:rPr>
              <w:t>二醛</w:t>
            </w:r>
          </w:p>
        </w:tc>
        <w:tc>
          <w:tcPr>
            <w:tcW w:w="850" w:type="dxa"/>
          </w:tcPr>
          <w:p w14:paraId="18FF865D">
            <w:pPr>
              <w:spacing w:line="240" w:lineRule="auto"/>
              <w:jc w:val="center"/>
              <w:rPr>
                <w:rFonts w:ascii="宋体" w:hAnsi="宋体"/>
              </w:rPr>
            </w:pPr>
            <w:r>
              <w:rPr>
                <w:rFonts w:ascii="宋体" w:hAnsi="宋体"/>
              </w:rPr>
              <w:t>3.11</w:t>
            </w:r>
          </w:p>
        </w:tc>
        <w:tc>
          <w:tcPr>
            <w:tcW w:w="709" w:type="dxa"/>
          </w:tcPr>
          <w:p w14:paraId="1DD26D23">
            <w:pPr>
              <w:spacing w:line="240" w:lineRule="auto"/>
              <w:jc w:val="center"/>
              <w:rPr>
                <w:rFonts w:ascii="宋体" w:hAnsi="宋体"/>
              </w:rPr>
            </w:pPr>
            <w:r>
              <w:rPr>
                <w:rFonts w:ascii="宋体" w:hAnsi="宋体"/>
              </w:rPr>
              <w:t>96</w:t>
            </w:r>
          </w:p>
        </w:tc>
        <w:tc>
          <w:tcPr>
            <w:tcW w:w="1838" w:type="dxa"/>
          </w:tcPr>
          <w:p w14:paraId="2CB198E7">
            <w:pPr>
              <w:spacing w:line="240" w:lineRule="auto"/>
              <w:jc w:val="center"/>
              <w:rPr>
                <w:rFonts w:ascii="宋体" w:hAnsi="宋体"/>
              </w:rPr>
            </w:pPr>
            <w:r>
              <w:rPr>
                <w:rFonts w:hint="eastAsia" w:ascii="宋体" w:hAnsi="宋体"/>
              </w:rPr>
              <w:t>己醛</w:t>
            </w:r>
          </w:p>
        </w:tc>
        <w:tc>
          <w:tcPr>
            <w:tcW w:w="850" w:type="dxa"/>
          </w:tcPr>
          <w:p w14:paraId="3443B0CF">
            <w:pPr>
              <w:spacing w:line="240" w:lineRule="auto"/>
              <w:jc w:val="center"/>
              <w:rPr>
                <w:rFonts w:ascii="宋体" w:hAnsi="宋体"/>
              </w:rPr>
            </w:pPr>
            <w:r>
              <w:rPr>
                <w:rFonts w:ascii="宋体" w:hAnsi="宋体"/>
              </w:rPr>
              <w:t>5.72</w:t>
            </w:r>
          </w:p>
        </w:tc>
        <w:tc>
          <w:tcPr>
            <w:tcW w:w="709" w:type="dxa"/>
          </w:tcPr>
          <w:p w14:paraId="23E2B557">
            <w:pPr>
              <w:spacing w:line="240" w:lineRule="auto"/>
              <w:jc w:val="center"/>
              <w:rPr>
                <w:rFonts w:ascii="宋体" w:hAnsi="宋体"/>
              </w:rPr>
            </w:pPr>
          </w:p>
        </w:tc>
        <w:tc>
          <w:tcPr>
            <w:tcW w:w="1701" w:type="dxa"/>
          </w:tcPr>
          <w:p w14:paraId="4B5390AA">
            <w:pPr>
              <w:spacing w:line="240" w:lineRule="auto"/>
              <w:jc w:val="center"/>
              <w:rPr>
                <w:rFonts w:ascii="宋体" w:hAnsi="宋体"/>
              </w:rPr>
            </w:pPr>
          </w:p>
        </w:tc>
        <w:tc>
          <w:tcPr>
            <w:tcW w:w="850" w:type="dxa"/>
          </w:tcPr>
          <w:p w14:paraId="5FE19D3A">
            <w:pPr>
              <w:spacing w:line="240" w:lineRule="auto"/>
              <w:jc w:val="center"/>
              <w:rPr>
                <w:rFonts w:ascii="宋体" w:hAnsi="宋体"/>
              </w:rPr>
            </w:pPr>
          </w:p>
        </w:tc>
      </w:tr>
      <w:tr w14:paraId="693D57C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228BCC4C">
            <w:pPr>
              <w:spacing w:line="240" w:lineRule="auto"/>
              <w:jc w:val="center"/>
              <w:rPr>
                <w:rFonts w:ascii="宋体" w:hAnsi="宋体"/>
              </w:rPr>
            </w:pPr>
            <w:r>
              <w:rPr>
                <w:rFonts w:hint="eastAsia" w:ascii="宋体" w:hAnsi="宋体"/>
              </w:rPr>
              <w:t>3</w:t>
            </w:r>
            <w:r>
              <w:rPr>
                <w:rFonts w:ascii="宋体" w:hAnsi="宋体"/>
              </w:rPr>
              <w:t>1</w:t>
            </w:r>
          </w:p>
        </w:tc>
        <w:tc>
          <w:tcPr>
            <w:tcW w:w="1701" w:type="dxa"/>
          </w:tcPr>
          <w:p w14:paraId="6829545A">
            <w:pPr>
              <w:spacing w:line="240" w:lineRule="auto"/>
              <w:jc w:val="center"/>
              <w:rPr>
                <w:rFonts w:ascii="宋体" w:hAnsi="宋体"/>
              </w:rPr>
            </w:pPr>
            <w:r>
              <w:rPr>
                <w:rFonts w:ascii="宋体" w:hAnsi="宋体"/>
              </w:rPr>
              <w:t>2-甲基-2-丁烯</w:t>
            </w:r>
          </w:p>
        </w:tc>
        <w:tc>
          <w:tcPr>
            <w:tcW w:w="851" w:type="dxa"/>
          </w:tcPr>
          <w:p w14:paraId="1495EB3F">
            <w:pPr>
              <w:spacing w:line="240" w:lineRule="auto"/>
              <w:jc w:val="center"/>
              <w:rPr>
                <w:rFonts w:ascii="宋体" w:hAnsi="宋体"/>
              </w:rPr>
            </w:pPr>
            <w:r>
              <w:rPr>
                <w:rFonts w:ascii="宋体" w:hAnsi="宋体"/>
              </w:rPr>
              <w:t>10.31</w:t>
            </w:r>
          </w:p>
        </w:tc>
        <w:tc>
          <w:tcPr>
            <w:tcW w:w="708" w:type="dxa"/>
            <w:vAlign w:val="bottom"/>
          </w:tcPr>
          <w:p w14:paraId="566E8E9A">
            <w:pPr>
              <w:spacing w:line="240" w:lineRule="auto"/>
              <w:jc w:val="center"/>
              <w:rPr>
                <w:rFonts w:ascii="宋体" w:hAnsi="宋体"/>
              </w:rPr>
            </w:pPr>
            <w:r>
              <w:rPr>
                <w:rFonts w:hint="eastAsia" w:ascii="宋体" w:hAnsi="宋体"/>
                <w:color w:val="000000"/>
              </w:rPr>
              <w:t>64</w:t>
            </w:r>
          </w:p>
        </w:tc>
        <w:tc>
          <w:tcPr>
            <w:tcW w:w="2694" w:type="dxa"/>
          </w:tcPr>
          <w:p w14:paraId="6A61850E">
            <w:pPr>
              <w:spacing w:line="240" w:lineRule="auto"/>
              <w:jc w:val="center"/>
              <w:rPr>
                <w:rFonts w:ascii="宋体" w:hAnsi="宋体"/>
              </w:rPr>
            </w:pPr>
            <w:r>
              <w:rPr>
                <w:rFonts w:hint="eastAsia" w:ascii="宋体" w:hAnsi="宋体"/>
              </w:rPr>
              <w:t>醋酸</w:t>
            </w:r>
          </w:p>
        </w:tc>
        <w:tc>
          <w:tcPr>
            <w:tcW w:w="850" w:type="dxa"/>
          </w:tcPr>
          <w:p w14:paraId="3A3A657E">
            <w:pPr>
              <w:spacing w:line="240" w:lineRule="auto"/>
              <w:jc w:val="center"/>
              <w:rPr>
                <w:rFonts w:ascii="宋体" w:hAnsi="宋体"/>
              </w:rPr>
            </w:pPr>
            <w:r>
              <w:rPr>
                <w:rFonts w:ascii="宋体" w:hAnsi="宋体"/>
              </w:rPr>
              <w:t>0.35</w:t>
            </w:r>
          </w:p>
        </w:tc>
        <w:tc>
          <w:tcPr>
            <w:tcW w:w="709" w:type="dxa"/>
          </w:tcPr>
          <w:p w14:paraId="6D5472D4">
            <w:pPr>
              <w:spacing w:line="240" w:lineRule="auto"/>
              <w:jc w:val="center"/>
              <w:rPr>
                <w:rFonts w:ascii="宋体" w:hAnsi="宋体"/>
              </w:rPr>
            </w:pPr>
            <w:r>
              <w:rPr>
                <w:rFonts w:ascii="宋体" w:hAnsi="宋体"/>
              </w:rPr>
              <w:t>97</w:t>
            </w:r>
          </w:p>
        </w:tc>
        <w:tc>
          <w:tcPr>
            <w:tcW w:w="1838" w:type="dxa"/>
          </w:tcPr>
          <w:p w14:paraId="5BC629F9">
            <w:pPr>
              <w:spacing w:line="240" w:lineRule="auto"/>
              <w:jc w:val="center"/>
              <w:rPr>
                <w:rFonts w:ascii="宋体" w:hAnsi="宋体"/>
              </w:rPr>
            </w:pPr>
            <w:r>
              <w:rPr>
                <w:rFonts w:ascii="宋体" w:hAnsi="宋体"/>
              </w:rPr>
              <w:t>4-甲基-2-戊酮</w:t>
            </w:r>
          </w:p>
        </w:tc>
        <w:tc>
          <w:tcPr>
            <w:tcW w:w="850" w:type="dxa"/>
          </w:tcPr>
          <w:p w14:paraId="5C451224">
            <w:pPr>
              <w:spacing w:line="240" w:lineRule="auto"/>
              <w:jc w:val="center"/>
              <w:rPr>
                <w:rFonts w:ascii="宋体" w:hAnsi="宋体"/>
              </w:rPr>
            </w:pPr>
            <w:r>
              <w:rPr>
                <w:rFonts w:ascii="宋体" w:hAnsi="宋体"/>
              </w:rPr>
              <w:t>2.78</w:t>
            </w:r>
          </w:p>
        </w:tc>
        <w:tc>
          <w:tcPr>
            <w:tcW w:w="709" w:type="dxa"/>
          </w:tcPr>
          <w:p w14:paraId="60D5E35D">
            <w:pPr>
              <w:spacing w:line="240" w:lineRule="auto"/>
              <w:jc w:val="center"/>
              <w:rPr>
                <w:rFonts w:ascii="宋体" w:hAnsi="宋体"/>
              </w:rPr>
            </w:pPr>
          </w:p>
        </w:tc>
        <w:tc>
          <w:tcPr>
            <w:tcW w:w="1701" w:type="dxa"/>
          </w:tcPr>
          <w:p w14:paraId="08806365">
            <w:pPr>
              <w:spacing w:line="240" w:lineRule="auto"/>
              <w:jc w:val="center"/>
              <w:rPr>
                <w:rFonts w:ascii="宋体" w:hAnsi="宋体"/>
              </w:rPr>
            </w:pPr>
          </w:p>
        </w:tc>
        <w:tc>
          <w:tcPr>
            <w:tcW w:w="850" w:type="dxa"/>
          </w:tcPr>
          <w:p w14:paraId="4071CFCA">
            <w:pPr>
              <w:spacing w:line="240" w:lineRule="auto"/>
              <w:jc w:val="center"/>
              <w:rPr>
                <w:rFonts w:ascii="宋体" w:hAnsi="宋体"/>
              </w:rPr>
            </w:pPr>
          </w:p>
        </w:tc>
      </w:tr>
      <w:tr w14:paraId="653BB49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14:paraId="715CDCCE">
            <w:pPr>
              <w:spacing w:line="240" w:lineRule="auto"/>
              <w:jc w:val="center"/>
              <w:rPr>
                <w:rFonts w:ascii="宋体" w:hAnsi="宋体"/>
              </w:rPr>
            </w:pPr>
            <w:r>
              <w:rPr>
                <w:rFonts w:hint="eastAsia" w:ascii="宋体" w:hAnsi="宋体"/>
              </w:rPr>
              <w:t>3</w:t>
            </w:r>
            <w:r>
              <w:rPr>
                <w:rFonts w:ascii="宋体" w:hAnsi="宋体"/>
              </w:rPr>
              <w:t>2</w:t>
            </w:r>
          </w:p>
        </w:tc>
        <w:tc>
          <w:tcPr>
            <w:tcW w:w="1701" w:type="dxa"/>
          </w:tcPr>
          <w:p w14:paraId="128FCC8A">
            <w:pPr>
              <w:spacing w:line="240" w:lineRule="auto"/>
              <w:jc w:val="center"/>
              <w:rPr>
                <w:rFonts w:ascii="宋体" w:hAnsi="宋体"/>
              </w:rPr>
            </w:pPr>
            <w:r>
              <w:rPr>
                <w:rFonts w:hint="eastAsia" w:ascii="宋体" w:hAnsi="宋体"/>
              </w:rPr>
              <w:t>顺</w:t>
            </w:r>
            <w:r>
              <w:rPr>
                <w:rFonts w:ascii="宋体" w:hAnsi="宋体"/>
              </w:rPr>
              <w:t>-2-戊烯</w:t>
            </w:r>
          </w:p>
        </w:tc>
        <w:tc>
          <w:tcPr>
            <w:tcW w:w="851" w:type="dxa"/>
          </w:tcPr>
          <w:p w14:paraId="31A68DCB">
            <w:pPr>
              <w:spacing w:line="240" w:lineRule="auto"/>
              <w:jc w:val="center"/>
              <w:rPr>
                <w:rFonts w:ascii="宋体" w:hAnsi="宋体"/>
              </w:rPr>
            </w:pPr>
            <w:r>
              <w:rPr>
                <w:rFonts w:ascii="宋体" w:hAnsi="宋体"/>
              </w:rPr>
              <w:t>9.69</w:t>
            </w:r>
          </w:p>
        </w:tc>
        <w:tc>
          <w:tcPr>
            <w:tcW w:w="708" w:type="dxa"/>
            <w:vAlign w:val="bottom"/>
          </w:tcPr>
          <w:p w14:paraId="5D9A7F68">
            <w:pPr>
              <w:spacing w:line="240" w:lineRule="auto"/>
              <w:jc w:val="center"/>
              <w:rPr>
                <w:rFonts w:ascii="宋体" w:hAnsi="宋体"/>
              </w:rPr>
            </w:pPr>
            <w:r>
              <w:rPr>
                <w:rFonts w:hint="eastAsia" w:ascii="宋体" w:hAnsi="宋体"/>
                <w:color w:val="000000"/>
              </w:rPr>
              <w:t>65</w:t>
            </w:r>
          </w:p>
        </w:tc>
        <w:tc>
          <w:tcPr>
            <w:tcW w:w="2694" w:type="dxa"/>
          </w:tcPr>
          <w:p w14:paraId="0B16B0BF">
            <w:pPr>
              <w:spacing w:line="240" w:lineRule="auto"/>
              <w:jc w:val="center"/>
              <w:rPr>
                <w:rFonts w:ascii="宋体" w:hAnsi="宋体"/>
              </w:rPr>
            </w:pPr>
            <w:r>
              <w:rPr>
                <w:rFonts w:hint="eastAsia" w:ascii="宋体" w:hAnsi="宋体"/>
              </w:rPr>
              <w:t>丙烯醛</w:t>
            </w:r>
          </w:p>
        </w:tc>
        <w:tc>
          <w:tcPr>
            <w:tcW w:w="850" w:type="dxa"/>
          </w:tcPr>
          <w:p w14:paraId="00873B73">
            <w:pPr>
              <w:spacing w:line="240" w:lineRule="auto"/>
              <w:jc w:val="center"/>
              <w:rPr>
                <w:rFonts w:ascii="宋体" w:hAnsi="宋体"/>
              </w:rPr>
            </w:pPr>
            <w:r>
              <w:rPr>
                <w:rFonts w:ascii="宋体" w:hAnsi="宋体"/>
              </w:rPr>
              <w:t>3.01</w:t>
            </w:r>
          </w:p>
        </w:tc>
        <w:tc>
          <w:tcPr>
            <w:tcW w:w="709" w:type="dxa"/>
          </w:tcPr>
          <w:p w14:paraId="5F0056C2">
            <w:pPr>
              <w:spacing w:line="240" w:lineRule="auto"/>
              <w:jc w:val="center"/>
              <w:rPr>
                <w:rFonts w:ascii="宋体" w:hAnsi="宋体"/>
              </w:rPr>
            </w:pPr>
            <w:r>
              <w:rPr>
                <w:rFonts w:ascii="宋体" w:hAnsi="宋体"/>
              </w:rPr>
              <w:t>98</w:t>
            </w:r>
          </w:p>
        </w:tc>
        <w:tc>
          <w:tcPr>
            <w:tcW w:w="1838" w:type="dxa"/>
          </w:tcPr>
          <w:p w14:paraId="2B0D4238">
            <w:pPr>
              <w:spacing w:line="240" w:lineRule="auto"/>
              <w:jc w:val="center"/>
              <w:rPr>
                <w:rFonts w:ascii="宋体" w:hAnsi="宋体"/>
              </w:rPr>
            </w:pPr>
            <w:r>
              <w:rPr>
                <w:rFonts w:ascii="宋体" w:hAnsi="宋体"/>
              </w:rPr>
              <w:t>4-甲基-2-戊醇</w:t>
            </w:r>
          </w:p>
        </w:tc>
        <w:tc>
          <w:tcPr>
            <w:tcW w:w="850" w:type="dxa"/>
          </w:tcPr>
          <w:p w14:paraId="36B2394F">
            <w:pPr>
              <w:spacing w:line="240" w:lineRule="auto"/>
              <w:jc w:val="center"/>
              <w:rPr>
                <w:rFonts w:ascii="宋体" w:hAnsi="宋体"/>
              </w:rPr>
            </w:pPr>
            <w:r>
              <w:rPr>
                <w:rFonts w:ascii="宋体" w:hAnsi="宋体"/>
              </w:rPr>
              <w:t>2.03</w:t>
            </w:r>
          </w:p>
        </w:tc>
        <w:tc>
          <w:tcPr>
            <w:tcW w:w="709" w:type="dxa"/>
          </w:tcPr>
          <w:p w14:paraId="6E4D52CE">
            <w:pPr>
              <w:spacing w:line="240" w:lineRule="auto"/>
              <w:jc w:val="center"/>
              <w:rPr>
                <w:rFonts w:ascii="宋体" w:hAnsi="宋体"/>
              </w:rPr>
            </w:pPr>
          </w:p>
        </w:tc>
        <w:tc>
          <w:tcPr>
            <w:tcW w:w="1701" w:type="dxa"/>
          </w:tcPr>
          <w:p w14:paraId="276E9123">
            <w:pPr>
              <w:spacing w:line="240" w:lineRule="auto"/>
              <w:jc w:val="center"/>
              <w:rPr>
                <w:rFonts w:ascii="宋体" w:hAnsi="宋体"/>
              </w:rPr>
            </w:pPr>
          </w:p>
        </w:tc>
        <w:tc>
          <w:tcPr>
            <w:tcW w:w="850" w:type="dxa"/>
          </w:tcPr>
          <w:p w14:paraId="57C2BF8F">
            <w:pPr>
              <w:spacing w:line="240" w:lineRule="auto"/>
              <w:jc w:val="center"/>
              <w:rPr>
                <w:rFonts w:ascii="宋体" w:hAnsi="宋体"/>
              </w:rPr>
            </w:pPr>
          </w:p>
        </w:tc>
      </w:tr>
      <w:tr w14:paraId="0FE0BA9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bottom w:val="single" w:color="auto" w:sz="12" w:space="0"/>
            </w:tcBorders>
          </w:tcPr>
          <w:p w14:paraId="3E8C681D">
            <w:pPr>
              <w:spacing w:line="240" w:lineRule="auto"/>
              <w:jc w:val="center"/>
              <w:rPr>
                <w:rFonts w:ascii="宋体" w:hAnsi="宋体"/>
              </w:rPr>
            </w:pPr>
            <w:r>
              <w:rPr>
                <w:rFonts w:hint="eastAsia" w:ascii="宋体" w:hAnsi="宋体"/>
              </w:rPr>
              <w:t>3</w:t>
            </w:r>
            <w:r>
              <w:rPr>
                <w:rFonts w:ascii="宋体" w:hAnsi="宋体"/>
              </w:rPr>
              <w:t>3</w:t>
            </w:r>
          </w:p>
        </w:tc>
        <w:tc>
          <w:tcPr>
            <w:tcW w:w="1701" w:type="dxa"/>
            <w:tcBorders>
              <w:bottom w:val="single" w:color="auto" w:sz="12" w:space="0"/>
            </w:tcBorders>
          </w:tcPr>
          <w:p w14:paraId="2B82F727">
            <w:pPr>
              <w:spacing w:line="240" w:lineRule="auto"/>
              <w:jc w:val="center"/>
              <w:rPr>
                <w:rFonts w:ascii="宋体" w:hAnsi="宋体"/>
              </w:rPr>
            </w:pPr>
            <w:r>
              <w:rPr>
                <w:rFonts w:hint="eastAsia" w:ascii="宋体" w:hAnsi="宋体"/>
              </w:rPr>
              <w:t>反</w:t>
            </w:r>
            <w:r>
              <w:rPr>
                <w:rFonts w:ascii="宋体" w:hAnsi="宋体"/>
              </w:rPr>
              <w:t>-2-戊烯</w:t>
            </w:r>
          </w:p>
        </w:tc>
        <w:tc>
          <w:tcPr>
            <w:tcW w:w="851" w:type="dxa"/>
            <w:tcBorders>
              <w:bottom w:val="single" w:color="auto" w:sz="12" w:space="0"/>
            </w:tcBorders>
          </w:tcPr>
          <w:p w14:paraId="5A506C1B">
            <w:pPr>
              <w:spacing w:line="240" w:lineRule="auto"/>
              <w:jc w:val="center"/>
              <w:rPr>
                <w:rFonts w:ascii="宋体" w:hAnsi="宋体"/>
              </w:rPr>
            </w:pPr>
            <w:r>
              <w:rPr>
                <w:rFonts w:ascii="宋体" w:hAnsi="宋体"/>
              </w:rPr>
              <w:t>9.45</w:t>
            </w:r>
          </w:p>
        </w:tc>
        <w:tc>
          <w:tcPr>
            <w:tcW w:w="708" w:type="dxa"/>
            <w:tcBorders>
              <w:bottom w:val="single" w:color="auto" w:sz="12" w:space="0"/>
            </w:tcBorders>
            <w:vAlign w:val="bottom"/>
          </w:tcPr>
          <w:p w14:paraId="5A5038F3">
            <w:pPr>
              <w:spacing w:line="240" w:lineRule="auto"/>
              <w:jc w:val="center"/>
              <w:rPr>
                <w:rFonts w:ascii="宋体" w:hAnsi="宋体"/>
              </w:rPr>
            </w:pPr>
            <w:r>
              <w:rPr>
                <w:rFonts w:hint="eastAsia" w:ascii="宋体" w:hAnsi="宋体"/>
                <w:color w:val="000000"/>
              </w:rPr>
              <w:t>66</w:t>
            </w:r>
          </w:p>
        </w:tc>
        <w:tc>
          <w:tcPr>
            <w:tcW w:w="2694" w:type="dxa"/>
            <w:tcBorders>
              <w:bottom w:val="single" w:color="auto" w:sz="12" w:space="0"/>
            </w:tcBorders>
          </w:tcPr>
          <w:p w14:paraId="52A5A6C1">
            <w:pPr>
              <w:spacing w:line="240" w:lineRule="auto"/>
              <w:jc w:val="center"/>
              <w:rPr>
                <w:rFonts w:ascii="宋体" w:hAnsi="宋体"/>
              </w:rPr>
            </w:pPr>
            <w:r>
              <w:rPr>
                <w:rFonts w:hint="eastAsia" w:ascii="宋体" w:hAnsi="宋体"/>
              </w:rPr>
              <w:t>丙醛</w:t>
            </w:r>
          </w:p>
        </w:tc>
        <w:tc>
          <w:tcPr>
            <w:tcW w:w="850" w:type="dxa"/>
            <w:tcBorders>
              <w:bottom w:val="single" w:color="auto" w:sz="12" w:space="0"/>
            </w:tcBorders>
          </w:tcPr>
          <w:p w14:paraId="37FB2A35">
            <w:pPr>
              <w:spacing w:line="240" w:lineRule="auto"/>
              <w:jc w:val="center"/>
              <w:rPr>
                <w:rFonts w:ascii="宋体" w:hAnsi="宋体"/>
              </w:rPr>
            </w:pPr>
            <w:r>
              <w:rPr>
                <w:rFonts w:ascii="宋体" w:hAnsi="宋体"/>
              </w:rPr>
              <w:t>2.60</w:t>
            </w:r>
          </w:p>
        </w:tc>
        <w:tc>
          <w:tcPr>
            <w:tcW w:w="709" w:type="dxa"/>
            <w:tcBorders>
              <w:bottom w:val="single" w:color="auto" w:sz="12" w:space="0"/>
            </w:tcBorders>
          </w:tcPr>
          <w:p w14:paraId="398F02E7">
            <w:pPr>
              <w:spacing w:line="240" w:lineRule="auto"/>
              <w:jc w:val="center"/>
              <w:rPr>
                <w:rFonts w:ascii="宋体" w:hAnsi="宋体"/>
              </w:rPr>
            </w:pPr>
            <w:r>
              <w:rPr>
                <w:rFonts w:ascii="宋体" w:hAnsi="宋体"/>
              </w:rPr>
              <w:t>99</w:t>
            </w:r>
          </w:p>
        </w:tc>
        <w:tc>
          <w:tcPr>
            <w:tcW w:w="1838" w:type="dxa"/>
            <w:tcBorders>
              <w:bottom w:val="single" w:color="auto" w:sz="12" w:space="0"/>
            </w:tcBorders>
          </w:tcPr>
          <w:p w14:paraId="3E6F34FB">
            <w:pPr>
              <w:spacing w:line="240" w:lineRule="auto"/>
              <w:jc w:val="center"/>
              <w:rPr>
                <w:rFonts w:ascii="宋体" w:hAnsi="宋体"/>
              </w:rPr>
            </w:pPr>
            <w:r>
              <w:rPr>
                <w:rFonts w:hint="eastAsia" w:ascii="宋体" w:hAnsi="宋体"/>
              </w:rPr>
              <w:t>己醇</w:t>
            </w:r>
          </w:p>
        </w:tc>
        <w:tc>
          <w:tcPr>
            <w:tcW w:w="850" w:type="dxa"/>
          </w:tcPr>
          <w:p w14:paraId="4B504B96">
            <w:pPr>
              <w:spacing w:line="240" w:lineRule="auto"/>
              <w:jc w:val="center"/>
              <w:rPr>
                <w:rFonts w:ascii="宋体" w:hAnsi="宋体"/>
              </w:rPr>
            </w:pPr>
            <w:r>
              <w:rPr>
                <w:rFonts w:ascii="宋体" w:hAnsi="宋体"/>
              </w:rPr>
              <w:t>2.13</w:t>
            </w:r>
          </w:p>
        </w:tc>
        <w:tc>
          <w:tcPr>
            <w:tcW w:w="709" w:type="dxa"/>
          </w:tcPr>
          <w:p w14:paraId="6270A17E">
            <w:pPr>
              <w:spacing w:line="240" w:lineRule="auto"/>
              <w:jc w:val="center"/>
              <w:rPr>
                <w:rFonts w:ascii="宋体" w:hAnsi="宋体"/>
              </w:rPr>
            </w:pPr>
          </w:p>
        </w:tc>
        <w:tc>
          <w:tcPr>
            <w:tcW w:w="1701" w:type="dxa"/>
          </w:tcPr>
          <w:p w14:paraId="15F03D1C">
            <w:pPr>
              <w:spacing w:line="240" w:lineRule="auto"/>
              <w:jc w:val="center"/>
              <w:rPr>
                <w:rFonts w:ascii="宋体" w:hAnsi="宋体"/>
              </w:rPr>
            </w:pPr>
          </w:p>
        </w:tc>
        <w:tc>
          <w:tcPr>
            <w:tcW w:w="850" w:type="dxa"/>
          </w:tcPr>
          <w:p w14:paraId="3C6528F3">
            <w:pPr>
              <w:spacing w:line="240" w:lineRule="auto"/>
              <w:jc w:val="center"/>
              <w:rPr>
                <w:rFonts w:ascii="宋体" w:hAnsi="宋体"/>
              </w:rPr>
            </w:pPr>
          </w:p>
        </w:tc>
      </w:tr>
    </w:tbl>
    <w:p w14:paraId="07104ABA">
      <w:pPr>
        <w:pStyle w:val="60"/>
        <w:ind w:firstLine="420"/>
        <w:jc w:val="center"/>
        <w:sectPr>
          <w:pgSz w:w="16838" w:h="11906" w:orient="landscape"/>
          <w:pgMar w:top="1134" w:right="2410" w:bottom="1134" w:left="1134" w:header="1418" w:footer="1134" w:gutter="284"/>
          <w:cols w:space="425" w:num="1"/>
          <w:formProt w:val="0"/>
          <w:docGrid w:linePitch="312" w:charSpace="0"/>
        </w:sectPr>
      </w:pPr>
    </w:p>
    <w:p w14:paraId="6C398596">
      <w:pPr>
        <w:pStyle w:val="60"/>
        <w:ind w:firstLine="420"/>
        <w:jc w:val="center"/>
      </w:pPr>
    </w:p>
    <w:p w14:paraId="5E616A7D">
      <w:pPr>
        <w:pStyle w:val="60"/>
        <w:ind w:firstLine="420"/>
        <w:jc w:val="center"/>
      </w:pPr>
      <w:r>
        <w:rPr>
          <w:rFonts w:hint="eastAsia"/>
        </w:rPr>
        <w:t>表</w:t>
      </w:r>
      <w:r>
        <w:t xml:space="preserve">B.2 </w:t>
      </w:r>
      <w:r>
        <w:rPr>
          <w:rFonts w:hint="eastAsia"/>
        </w:rPr>
        <w:t>二次有机气溶胶生成潜势FAC(%)估算参考值</w:t>
      </w:r>
    </w:p>
    <w:tbl>
      <w:tblPr>
        <w:tblStyle w:val="3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1AE235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top w:val="single" w:color="auto" w:sz="12" w:space="0"/>
              <w:bottom w:val="single" w:color="auto" w:sz="12" w:space="0"/>
            </w:tcBorders>
            <w:vAlign w:val="center"/>
          </w:tcPr>
          <w:p w14:paraId="290022FA">
            <w:pPr>
              <w:spacing w:line="240" w:lineRule="auto"/>
              <w:jc w:val="center"/>
              <w:rPr>
                <w:rFonts w:ascii="Times New Roman" w:hAnsi="Times New Roman"/>
              </w:rPr>
            </w:pPr>
            <w:r>
              <w:rPr>
                <w:rFonts w:ascii="Times New Roman" w:hAnsi="Times New Roman"/>
              </w:rPr>
              <w:br w:type="page"/>
            </w:r>
            <w:r>
              <w:rPr>
                <w:rFonts w:ascii="Times New Roman" w:hAnsi="Times New Roman"/>
              </w:rPr>
              <w:t>VOCs</w:t>
            </w:r>
          </w:p>
        </w:tc>
        <w:tc>
          <w:tcPr>
            <w:tcW w:w="2074" w:type="dxa"/>
            <w:tcBorders>
              <w:top w:val="single" w:color="auto" w:sz="12" w:space="0"/>
              <w:bottom w:val="single" w:color="auto" w:sz="12" w:space="0"/>
            </w:tcBorders>
            <w:vAlign w:val="center"/>
          </w:tcPr>
          <w:p w14:paraId="054A91F0">
            <w:pPr>
              <w:spacing w:line="240" w:lineRule="auto"/>
              <w:jc w:val="center"/>
              <w:rPr>
                <w:rFonts w:ascii="Times New Roman" w:hAnsi="Times New Roman"/>
              </w:rPr>
            </w:pPr>
            <w:r>
              <w:rPr>
                <w:rFonts w:hint="eastAsia" w:ascii="Times New Roman" w:hAnsi="Times New Roman"/>
              </w:rPr>
              <w:t>m</w:t>
            </w:r>
            <w:r>
              <w:rPr>
                <w:rFonts w:ascii="Times New Roman" w:hAnsi="Times New Roman"/>
              </w:rPr>
              <w:t>FAC</w:t>
            </w:r>
          </w:p>
        </w:tc>
        <w:tc>
          <w:tcPr>
            <w:tcW w:w="2074" w:type="dxa"/>
            <w:tcBorders>
              <w:top w:val="single" w:color="auto" w:sz="12" w:space="0"/>
              <w:bottom w:val="single" w:color="auto" w:sz="12" w:space="0"/>
            </w:tcBorders>
            <w:vAlign w:val="center"/>
          </w:tcPr>
          <w:p w14:paraId="18CD51BF">
            <w:pPr>
              <w:spacing w:line="240" w:lineRule="auto"/>
              <w:jc w:val="center"/>
              <w:rPr>
                <w:rFonts w:ascii="Times New Roman" w:hAnsi="Times New Roman"/>
              </w:rPr>
            </w:pPr>
            <w:r>
              <w:rPr>
                <w:rFonts w:ascii="Times New Roman" w:hAnsi="Times New Roman"/>
              </w:rPr>
              <w:t>VOCs</w:t>
            </w:r>
          </w:p>
        </w:tc>
        <w:tc>
          <w:tcPr>
            <w:tcW w:w="2074" w:type="dxa"/>
            <w:tcBorders>
              <w:top w:val="single" w:color="auto" w:sz="12" w:space="0"/>
              <w:bottom w:val="single" w:color="auto" w:sz="12" w:space="0"/>
            </w:tcBorders>
            <w:vAlign w:val="center"/>
          </w:tcPr>
          <w:p w14:paraId="17C5D0A6">
            <w:pPr>
              <w:spacing w:line="240" w:lineRule="auto"/>
              <w:jc w:val="center"/>
              <w:rPr>
                <w:rFonts w:ascii="Times New Roman" w:hAnsi="Times New Roman"/>
              </w:rPr>
            </w:pPr>
            <w:r>
              <w:rPr>
                <w:rFonts w:hint="eastAsia" w:ascii="Times New Roman" w:hAnsi="Times New Roman"/>
              </w:rPr>
              <w:t>m</w:t>
            </w:r>
            <w:r>
              <w:rPr>
                <w:rFonts w:ascii="Times New Roman" w:hAnsi="Times New Roman"/>
              </w:rPr>
              <w:t>FAC</w:t>
            </w:r>
          </w:p>
        </w:tc>
      </w:tr>
      <w:tr w14:paraId="25FF776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top w:val="single" w:color="auto" w:sz="12" w:space="0"/>
            </w:tcBorders>
            <w:vAlign w:val="center"/>
          </w:tcPr>
          <w:p w14:paraId="733E01E6">
            <w:pPr>
              <w:spacing w:line="240" w:lineRule="auto"/>
              <w:jc w:val="center"/>
              <w:rPr>
                <w:rFonts w:ascii="Times New Roman" w:hAnsi="Times New Roman"/>
              </w:rPr>
            </w:pPr>
            <w:r>
              <w:rPr>
                <w:rFonts w:hint="eastAsia" w:ascii="Times New Roman" w:hAnsi="Times New Roman"/>
              </w:rPr>
              <w:t>甲基环戊烷</w:t>
            </w:r>
          </w:p>
        </w:tc>
        <w:tc>
          <w:tcPr>
            <w:tcW w:w="2074" w:type="dxa"/>
            <w:tcBorders>
              <w:top w:val="single" w:color="auto" w:sz="12" w:space="0"/>
            </w:tcBorders>
            <w:vAlign w:val="center"/>
          </w:tcPr>
          <w:p w14:paraId="2CDBD056">
            <w:pPr>
              <w:spacing w:line="240" w:lineRule="auto"/>
              <w:jc w:val="center"/>
              <w:rPr>
                <w:rFonts w:ascii="Times New Roman" w:hAnsi="Times New Roman"/>
              </w:rPr>
            </w:pPr>
            <w:r>
              <w:rPr>
                <w:rFonts w:hint="eastAsia" w:ascii="Times New Roman" w:hAnsi="Times New Roman"/>
              </w:rPr>
              <w:t>0</w:t>
            </w:r>
            <w:r>
              <w:rPr>
                <w:rFonts w:ascii="Times New Roman" w:hAnsi="Times New Roman"/>
              </w:rPr>
              <w:t>.17</w:t>
            </w:r>
          </w:p>
        </w:tc>
        <w:tc>
          <w:tcPr>
            <w:tcW w:w="2074" w:type="dxa"/>
            <w:tcBorders>
              <w:top w:val="single" w:color="auto" w:sz="12" w:space="0"/>
            </w:tcBorders>
            <w:vAlign w:val="center"/>
          </w:tcPr>
          <w:p w14:paraId="07D44FC8">
            <w:pPr>
              <w:spacing w:line="240" w:lineRule="auto"/>
              <w:jc w:val="center"/>
              <w:rPr>
                <w:rFonts w:ascii="Times New Roman" w:hAnsi="Times New Roman"/>
              </w:rPr>
            </w:pPr>
            <w:r>
              <w:rPr>
                <w:rFonts w:hint="eastAsia" w:ascii="Times New Roman" w:hAnsi="Times New Roman"/>
              </w:rPr>
              <w:t>苯</w:t>
            </w:r>
          </w:p>
        </w:tc>
        <w:tc>
          <w:tcPr>
            <w:tcW w:w="2074" w:type="dxa"/>
            <w:tcBorders>
              <w:top w:val="single" w:color="auto" w:sz="12" w:space="0"/>
            </w:tcBorders>
            <w:vAlign w:val="center"/>
          </w:tcPr>
          <w:p w14:paraId="77056BA4">
            <w:pPr>
              <w:spacing w:line="240" w:lineRule="auto"/>
              <w:jc w:val="center"/>
              <w:rPr>
                <w:rFonts w:ascii="Times New Roman" w:hAnsi="Times New Roman"/>
              </w:rPr>
            </w:pPr>
            <w:r>
              <w:rPr>
                <w:rFonts w:hint="eastAsia" w:ascii="Times New Roman" w:hAnsi="Times New Roman"/>
              </w:rPr>
              <w:t>2</w:t>
            </w:r>
          </w:p>
        </w:tc>
      </w:tr>
      <w:tr w14:paraId="7E7923B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54956C62">
            <w:pPr>
              <w:spacing w:line="240" w:lineRule="auto"/>
              <w:jc w:val="center"/>
              <w:rPr>
                <w:rFonts w:ascii="Times New Roman" w:hAnsi="Times New Roman"/>
              </w:rPr>
            </w:pPr>
            <w:r>
              <w:rPr>
                <w:rFonts w:hint="eastAsia" w:ascii="Times New Roman" w:hAnsi="Times New Roman"/>
              </w:rPr>
              <w:t>环己烷</w:t>
            </w:r>
          </w:p>
        </w:tc>
        <w:tc>
          <w:tcPr>
            <w:tcW w:w="2074" w:type="dxa"/>
            <w:vAlign w:val="center"/>
          </w:tcPr>
          <w:p w14:paraId="036BD900">
            <w:pPr>
              <w:spacing w:line="240" w:lineRule="auto"/>
              <w:jc w:val="center"/>
              <w:rPr>
                <w:rFonts w:ascii="Times New Roman" w:hAnsi="Times New Roman"/>
              </w:rPr>
            </w:pPr>
            <w:r>
              <w:rPr>
                <w:rFonts w:hint="eastAsia" w:ascii="Times New Roman" w:hAnsi="Times New Roman"/>
              </w:rPr>
              <w:t>0</w:t>
            </w:r>
            <w:r>
              <w:rPr>
                <w:rFonts w:ascii="Times New Roman" w:hAnsi="Times New Roman"/>
              </w:rPr>
              <w:t>.17</w:t>
            </w:r>
          </w:p>
        </w:tc>
        <w:tc>
          <w:tcPr>
            <w:tcW w:w="2074" w:type="dxa"/>
            <w:vAlign w:val="center"/>
          </w:tcPr>
          <w:p w14:paraId="5B708FF8">
            <w:pPr>
              <w:spacing w:line="240" w:lineRule="auto"/>
              <w:jc w:val="center"/>
              <w:rPr>
                <w:rFonts w:ascii="Times New Roman" w:hAnsi="Times New Roman"/>
              </w:rPr>
            </w:pPr>
            <w:r>
              <w:rPr>
                <w:rFonts w:hint="eastAsia" w:ascii="Times New Roman" w:hAnsi="Times New Roman"/>
              </w:rPr>
              <w:t>甲苯</w:t>
            </w:r>
          </w:p>
        </w:tc>
        <w:tc>
          <w:tcPr>
            <w:tcW w:w="2074" w:type="dxa"/>
            <w:vAlign w:val="center"/>
          </w:tcPr>
          <w:p w14:paraId="084FF510">
            <w:pPr>
              <w:spacing w:line="240" w:lineRule="auto"/>
              <w:jc w:val="center"/>
              <w:rPr>
                <w:rFonts w:ascii="Times New Roman" w:hAnsi="Times New Roman"/>
              </w:rPr>
            </w:pPr>
            <w:r>
              <w:rPr>
                <w:rFonts w:hint="eastAsia" w:ascii="Times New Roman" w:hAnsi="Times New Roman"/>
              </w:rPr>
              <w:t>5</w:t>
            </w:r>
            <w:r>
              <w:rPr>
                <w:rFonts w:ascii="Times New Roman" w:hAnsi="Times New Roman"/>
              </w:rPr>
              <w:t>.4</w:t>
            </w:r>
          </w:p>
        </w:tc>
      </w:tr>
      <w:tr w14:paraId="2D6891B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085C8A43">
            <w:pPr>
              <w:spacing w:line="240" w:lineRule="auto"/>
              <w:jc w:val="center"/>
              <w:rPr>
                <w:rFonts w:ascii="Times New Roman" w:hAnsi="Times New Roman"/>
              </w:rPr>
            </w:pPr>
            <w:r>
              <w:rPr>
                <w:rFonts w:hint="eastAsia" w:ascii="Times New Roman" w:hAnsi="Times New Roman"/>
              </w:rPr>
              <w:t>庚烷</w:t>
            </w:r>
          </w:p>
        </w:tc>
        <w:tc>
          <w:tcPr>
            <w:tcW w:w="2074" w:type="dxa"/>
            <w:vAlign w:val="center"/>
          </w:tcPr>
          <w:p w14:paraId="6130F132">
            <w:pPr>
              <w:spacing w:line="240" w:lineRule="auto"/>
              <w:jc w:val="center"/>
              <w:rPr>
                <w:rFonts w:ascii="Times New Roman" w:hAnsi="Times New Roman"/>
              </w:rPr>
            </w:pPr>
            <w:r>
              <w:rPr>
                <w:rFonts w:hint="eastAsia" w:ascii="Times New Roman" w:hAnsi="Times New Roman"/>
              </w:rPr>
              <w:t>0</w:t>
            </w:r>
            <w:r>
              <w:rPr>
                <w:rFonts w:ascii="Times New Roman" w:hAnsi="Times New Roman"/>
              </w:rPr>
              <w:t>.06</w:t>
            </w:r>
          </w:p>
        </w:tc>
        <w:tc>
          <w:tcPr>
            <w:tcW w:w="2074" w:type="dxa"/>
            <w:vAlign w:val="center"/>
          </w:tcPr>
          <w:p w14:paraId="2DA20898">
            <w:pPr>
              <w:spacing w:line="240" w:lineRule="auto"/>
              <w:jc w:val="center"/>
              <w:rPr>
                <w:rFonts w:ascii="Times New Roman" w:hAnsi="Times New Roman"/>
              </w:rPr>
            </w:pPr>
            <w:r>
              <w:rPr>
                <w:rFonts w:hint="eastAsia" w:ascii="Times New Roman" w:hAnsi="Times New Roman"/>
              </w:rPr>
              <w:t>乙苯</w:t>
            </w:r>
          </w:p>
        </w:tc>
        <w:tc>
          <w:tcPr>
            <w:tcW w:w="2074" w:type="dxa"/>
            <w:vAlign w:val="center"/>
          </w:tcPr>
          <w:p w14:paraId="3C308B9B">
            <w:pPr>
              <w:spacing w:line="240" w:lineRule="auto"/>
              <w:jc w:val="center"/>
              <w:rPr>
                <w:rFonts w:ascii="Times New Roman" w:hAnsi="Times New Roman"/>
              </w:rPr>
            </w:pPr>
            <w:r>
              <w:rPr>
                <w:rFonts w:hint="eastAsia" w:ascii="Times New Roman" w:hAnsi="Times New Roman"/>
              </w:rPr>
              <w:t>5</w:t>
            </w:r>
            <w:r>
              <w:rPr>
                <w:rFonts w:ascii="Times New Roman" w:hAnsi="Times New Roman"/>
              </w:rPr>
              <w:t>.4</w:t>
            </w:r>
          </w:p>
        </w:tc>
      </w:tr>
      <w:tr w14:paraId="7D791FF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1FAB4CF0">
            <w:pPr>
              <w:spacing w:line="240" w:lineRule="auto"/>
              <w:jc w:val="center"/>
              <w:rPr>
                <w:rFonts w:ascii="Times New Roman" w:hAnsi="Times New Roman"/>
              </w:rPr>
            </w:pPr>
            <w:r>
              <w:rPr>
                <w:rFonts w:hint="eastAsia" w:ascii="Times New Roman" w:hAnsi="Times New Roman"/>
              </w:rPr>
              <w:t>甲基环己烷</w:t>
            </w:r>
          </w:p>
        </w:tc>
        <w:tc>
          <w:tcPr>
            <w:tcW w:w="2074" w:type="dxa"/>
            <w:vAlign w:val="center"/>
          </w:tcPr>
          <w:p w14:paraId="09B347CA">
            <w:pPr>
              <w:spacing w:line="240" w:lineRule="auto"/>
              <w:jc w:val="center"/>
              <w:rPr>
                <w:rFonts w:ascii="Times New Roman" w:hAnsi="Times New Roman"/>
              </w:rPr>
            </w:pPr>
            <w:r>
              <w:rPr>
                <w:rFonts w:hint="eastAsia" w:ascii="Times New Roman" w:hAnsi="Times New Roman"/>
              </w:rPr>
              <w:t>2</w:t>
            </w:r>
            <w:r>
              <w:rPr>
                <w:rFonts w:ascii="Times New Roman" w:hAnsi="Times New Roman"/>
              </w:rPr>
              <w:t>.7</w:t>
            </w:r>
          </w:p>
        </w:tc>
        <w:tc>
          <w:tcPr>
            <w:tcW w:w="2074" w:type="dxa"/>
            <w:vAlign w:val="center"/>
          </w:tcPr>
          <w:p w14:paraId="3DD5D77D">
            <w:pPr>
              <w:spacing w:line="240" w:lineRule="auto"/>
              <w:jc w:val="center"/>
              <w:rPr>
                <w:rFonts w:ascii="Times New Roman" w:hAnsi="Times New Roman"/>
              </w:rPr>
            </w:pPr>
            <w:r>
              <w:rPr>
                <w:rFonts w:hint="eastAsia" w:ascii="Times New Roman" w:hAnsi="Times New Roman"/>
              </w:rPr>
              <w:t>间对二甲苯</w:t>
            </w:r>
          </w:p>
        </w:tc>
        <w:tc>
          <w:tcPr>
            <w:tcW w:w="2074" w:type="dxa"/>
            <w:vAlign w:val="center"/>
          </w:tcPr>
          <w:p w14:paraId="4FB8BEB6">
            <w:pPr>
              <w:spacing w:line="240" w:lineRule="auto"/>
              <w:jc w:val="center"/>
              <w:rPr>
                <w:rFonts w:ascii="Times New Roman" w:hAnsi="Times New Roman"/>
              </w:rPr>
            </w:pPr>
            <w:r>
              <w:rPr>
                <w:rFonts w:hint="eastAsia" w:ascii="Times New Roman" w:hAnsi="Times New Roman"/>
              </w:rPr>
              <w:t>4</w:t>
            </w:r>
            <w:r>
              <w:rPr>
                <w:rFonts w:ascii="Times New Roman" w:hAnsi="Times New Roman"/>
              </w:rPr>
              <w:t>.7</w:t>
            </w:r>
          </w:p>
        </w:tc>
      </w:tr>
      <w:tr w14:paraId="66937C7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2ACC0406">
            <w:pPr>
              <w:spacing w:line="240" w:lineRule="auto"/>
              <w:jc w:val="center"/>
              <w:rPr>
                <w:rFonts w:ascii="Times New Roman" w:hAnsi="Times New Roman"/>
              </w:rPr>
            </w:pPr>
            <w:r>
              <w:rPr>
                <w:rFonts w:hint="eastAsia" w:ascii="Times New Roman" w:hAnsi="Times New Roman"/>
              </w:rPr>
              <w:t>2-甲基庚烷</w:t>
            </w:r>
          </w:p>
        </w:tc>
        <w:tc>
          <w:tcPr>
            <w:tcW w:w="2074" w:type="dxa"/>
            <w:vAlign w:val="center"/>
          </w:tcPr>
          <w:p w14:paraId="6FC32422">
            <w:pPr>
              <w:spacing w:line="240" w:lineRule="auto"/>
              <w:jc w:val="center"/>
              <w:rPr>
                <w:rFonts w:ascii="Times New Roman" w:hAnsi="Times New Roman"/>
              </w:rPr>
            </w:pPr>
            <w:r>
              <w:rPr>
                <w:rFonts w:hint="eastAsia" w:ascii="Times New Roman" w:hAnsi="Times New Roman"/>
              </w:rPr>
              <w:t>0</w:t>
            </w:r>
            <w:r>
              <w:rPr>
                <w:rFonts w:ascii="Times New Roman" w:hAnsi="Times New Roman"/>
              </w:rPr>
              <w:t>.5</w:t>
            </w:r>
          </w:p>
        </w:tc>
        <w:tc>
          <w:tcPr>
            <w:tcW w:w="2074" w:type="dxa"/>
            <w:vAlign w:val="center"/>
          </w:tcPr>
          <w:p w14:paraId="2C4E10E8">
            <w:pPr>
              <w:spacing w:line="240" w:lineRule="auto"/>
              <w:jc w:val="center"/>
              <w:rPr>
                <w:rFonts w:ascii="Times New Roman" w:hAnsi="Times New Roman"/>
              </w:rPr>
            </w:pPr>
            <w:r>
              <w:rPr>
                <w:rFonts w:hint="eastAsia" w:ascii="Times New Roman" w:hAnsi="Times New Roman"/>
              </w:rPr>
              <w:t>邻二甲苯</w:t>
            </w:r>
          </w:p>
        </w:tc>
        <w:tc>
          <w:tcPr>
            <w:tcW w:w="2074" w:type="dxa"/>
            <w:vAlign w:val="center"/>
          </w:tcPr>
          <w:p w14:paraId="49EB6521">
            <w:pPr>
              <w:spacing w:line="240" w:lineRule="auto"/>
              <w:jc w:val="center"/>
              <w:rPr>
                <w:rFonts w:ascii="Times New Roman" w:hAnsi="Times New Roman"/>
              </w:rPr>
            </w:pPr>
            <w:r>
              <w:rPr>
                <w:rFonts w:hint="eastAsia" w:ascii="Times New Roman" w:hAnsi="Times New Roman"/>
              </w:rPr>
              <w:t>5</w:t>
            </w:r>
            <w:r>
              <w:rPr>
                <w:rFonts w:ascii="Times New Roman" w:hAnsi="Times New Roman"/>
              </w:rPr>
              <w:t>.0</w:t>
            </w:r>
          </w:p>
        </w:tc>
      </w:tr>
      <w:tr w14:paraId="65AAE6B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431A4356">
            <w:pPr>
              <w:spacing w:line="240" w:lineRule="auto"/>
              <w:jc w:val="center"/>
              <w:rPr>
                <w:rFonts w:ascii="Times New Roman" w:hAnsi="Times New Roman"/>
              </w:rPr>
            </w:pPr>
            <w:r>
              <w:rPr>
                <w:rFonts w:ascii="Times New Roman" w:hAnsi="Times New Roman"/>
              </w:rPr>
              <w:t>3</w:t>
            </w:r>
            <w:r>
              <w:rPr>
                <w:rFonts w:hint="eastAsia" w:ascii="Times New Roman" w:hAnsi="Times New Roman"/>
              </w:rPr>
              <w:t>-甲基庚烷</w:t>
            </w:r>
          </w:p>
        </w:tc>
        <w:tc>
          <w:tcPr>
            <w:tcW w:w="2074" w:type="dxa"/>
            <w:vAlign w:val="center"/>
          </w:tcPr>
          <w:p w14:paraId="619601DF">
            <w:pPr>
              <w:spacing w:line="240" w:lineRule="auto"/>
              <w:jc w:val="center"/>
              <w:rPr>
                <w:rFonts w:ascii="Times New Roman" w:hAnsi="Times New Roman"/>
              </w:rPr>
            </w:pPr>
            <w:r>
              <w:rPr>
                <w:rFonts w:hint="eastAsia" w:ascii="Times New Roman" w:hAnsi="Times New Roman"/>
              </w:rPr>
              <w:t>0</w:t>
            </w:r>
            <w:r>
              <w:rPr>
                <w:rFonts w:ascii="Times New Roman" w:hAnsi="Times New Roman"/>
              </w:rPr>
              <w:t>.5</w:t>
            </w:r>
          </w:p>
        </w:tc>
        <w:tc>
          <w:tcPr>
            <w:tcW w:w="2074" w:type="dxa"/>
            <w:vAlign w:val="center"/>
          </w:tcPr>
          <w:p w14:paraId="52D2BABA">
            <w:pPr>
              <w:spacing w:line="240" w:lineRule="auto"/>
              <w:jc w:val="center"/>
              <w:rPr>
                <w:rFonts w:ascii="Times New Roman" w:hAnsi="Times New Roman"/>
              </w:rPr>
            </w:pPr>
            <w:r>
              <w:rPr>
                <w:rFonts w:hint="eastAsia" w:ascii="Times New Roman" w:hAnsi="Times New Roman"/>
              </w:rPr>
              <w:t>苯乙烯</w:t>
            </w:r>
          </w:p>
        </w:tc>
        <w:tc>
          <w:tcPr>
            <w:tcW w:w="2074" w:type="dxa"/>
            <w:vAlign w:val="center"/>
          </w:tcPr>
          <w:p w14:paraId="79524EEE">
            <w:pPr>
              <w:spacing w:line="240" w:lineRule="auto"/>
              <w:jc w:val="center"/>
              <w:rPr>
                <w:rFonts w:ascii="Times New Roman" w:hAnsi="Times New Roman"/>
              </w:rPr>
            </w:pPr>
            <w:r>
              <w:rPr>
                <w:rFonts w:hint="eastAsia" w:ascii="Times New Roman" w:hAnsi="Times New Roman"/>
              </w:rPr>
              <w:t>5</w:t>
            </w:r>
            <w:r>
              <w:rPr>
                <w:rFonts w:ascii="Times New Roman" w:hAnsi="Times New Roman"/>
              </w:rPr>
              <w:t>.0</w:t>
            </w:r>
          </w:p>
        </w:tc>
      </w:tr>
      <w:tr w14:paraId="5B1ED42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6862B840">
            <w:pPr>
              <w:spacing w:line="240" w:lineRule="auto"/>
              <w:jc w:val="center"/>
              <w:rPr>
                <w:rFonts w:ascii="Times New Roman" w:hAnsi="Times New Roman"/>
              </w:rPr>
            </w:pPr>
            <w:r>
              <w:rPr>
                <w:rFonts w:hint="eastAsia" w:ascii="Times New Roman" w:hAnsi="Times New Roman"/>
              </w:rPr>
              <w:t>辛烷</w:t>
            </w:r>
          </w:p>
        </w:tc>
        <w:tc>
          <w:tcPr>
            <w:tcW w:w="2074" w:type="dxa"/>
            <w:vAlign w:val="center"/>
          </w:tcPr>
          <w:p w14:paraId="2E43560E">
            <w:pPr>
              <w:spacing w:line="240" w:lineRule="auto"/>
              <w:jc w:val="center"/>
              <w:rPr>
                <w:rFonts w:ascii="Times New Roman" w:hAnsi="Times New Roman"/>
              </w:rPr>
            </w:pPr>
            <w:r>
              <w:rPr>
                <w:rFonts w:hint="eastAsia" w:ascii="Times New Roman" w:hAnsi="Times New Roman"/>
              </w:rPr>
              <w:t>0</w:t>
            </w:r>
            <w:r>
              <w:rPr>
                <w:rFonts w:ascii="Times New Roman" w:hAnsi="Times New Roman"/>
              </w:rPr>
              <w:t>.06</w:t>
            </w:r>
          </w:p>
        </w:tc>
        <w:tc>
          <w:tcPr>
            <w:tcW w:w="2074" w:type="dxa"/>
            <w:vAlign w:val="center"/>
          </w:tcPr>
          <w:p w14:paraId="684912A7">
            <w:pPr>
              <w:spacing w:line="240" w:lineRule="auto"/>
              <w:jc w:val="center"/>
              <w:rPr>
                <w:rFonts w:ascii="Times New Roman" w:hAnsi="Times New Roman"/>
              </w:rPr>
            </w:pPr>
            <w:r>
              <w:rPr>
                <w:rFonts w:hint="eastAsia" w:ascii="Times New Roman" w:hAnsi="Times New Roman"/>
              </w:rPr>
              <w:t>异丙苯</w:t>
            </w:r>
          </w:p>
        </w:tc>
        <w:tc>
          <w:tcPr>
            <w:tcW w:w="2074" w:type="dxa"/>
            <w:vAlign w:val="center"/>
          </w:tcPr>
          <w:p w14:paraId="565D7A04">
            <w:pPr>
              <w:spacing w:line="240" w:lineRule="auto"/>
              <w:jc w:val="center"/>
              <w:rPr>
                <w:rFonts w:ascii="Times New Roman" w:hAnsi="Times New Roman"/>
              </w:rPr>
            </w:pPr>
            <w:r>
              <w:rPr>
                <w:rFonts w:hint="eastAsia" w:ascii="Times New Roman" w:hAnsi="Times New Roman"/>
              </w:rPr>
              <w:t>4</w:t>
            </w:r>
            <w:r>
              <w:rPr>
                <w:rFonts w:ascii="Times New Roman" w:hAnsi="Times New Roman"/>
              </w:rPr>
              <w:t>.0</w:t>
            </w:r>
          </w:p>
        </w:tc>
      </w:tr>
      <w:tr w14:paraId="74CD6EE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48BCC650">
            <w:pPr>
              <w:spacing w:line="240" w:lineRule="auto"/>
              <w:jc w:val="center"/>
              <w:rPr>
                <w:rFonts w:ascii="Times New Roman" w:hAnsi="Times New Roman"/>
              </w:rPr>
            </w:pPr>
            <w:r>
              <w:rPr>
                <w:rFonts w:hint="eastAsia" w:ascii="Times New Roman" w:hAnsi="Times New Roman"/>
              </w:rPr>
              <w:t>壬烷</w:t>
            </w:r>
          </w:p>
        </w:tc>
        <w:tc>
          <w:tcPr>
            <w:tcW w:w="2074" w:type="dxa"/>
            <w:vAlign w:val="center"/>
          </w:tcPr>
          <w:p w14:paraId="0D10BA1E">
            <w:pPr>
              <w:spacing w:line="240" w:lineRule="auto"/>
              <w:jc w:val="center"/>
              <w:rPr>
                <w:rFonts w:ascii="Times New Roman" w:hAnsi="Times New Roman"/>
              </w:rPr>
            </w:pPr>
            <w:r>
              <w:rPr>
                <w:rFonts w:hint="eastAsia" w:ascii="Times New Roman" w:hAnsi="Times New Roman"/>
              </w:rPr>
              <w:t>1</w:t>
            </w:r>
            <w:r>
              <w:rPr>
                <w:rFonts w:ascii="Times New Roman" w:hAnsi="Times New Roman"/>
              </w:rPr>
              <w:t>.5</w:t>
            </w:r>
          </w:p>
        </w:tc>
        <w:tc>
          <w:tcPr>
            <w:tcW w:w="2074" w:type="dxa"/>
            <w:vAlign w:val="center"/>
          </w:tcPr>
          <w:p w14:paraId="55C0B636">
            <w:pPr>
              <w:spacing w:line="240" w:lineRule="auto"/>
              <w:jc w:val="center"/>
              <w:rPr>
                <w:rFonts w:ascii="Times New Roman" w:hAnsi="Times New Roman"/>
              </w:rPr>
            </w:pPr>
            <w:r>
              <w:rPr>
                <w:rFonts w:hint="eastAsia" w:ascii="Times New Roman" w:hAnsi="Times New Roman"/>
              </w:rPr>
              <w:t>正丙苯</w:t>
            </w:r>
          </w:p>
        </w:tc>
        <w:tc>
          <w:tcPr>
            <w:tcW w:w="2074" w:type="dxa"/>
            <w:vAlign w:val="center"/>
          </w:tcPr>
          <w:p w14:paraId="5D1B20FD">
            <w:pPr>
              <w:spacing w:line="240" w:lineRule="auto"/>
              <w:jc w:val="center"/>
              <w:rPr>
                <w:rFonts w:ascii="Times New Roman" w:hAnsi="Times New Roman"/>
              </w:rPr>
            </w:pPr>
            <w:r>
              <w:rPr>
                <w:rFonts w:hint="eastAsia" w:ascii="Times New Roman" w:hAnsi="Times New Roman"/>
              </w:rPr>
              <w:t>1</w:t>
            </w:r>
            <w:r>
              <w:rPr>
                <w:rFonts w:ascii="Times New Roman" w:hAnsi="Times New Roman"/>
              </w:rPr>
              <w:t>.6</w:t>
            </w:r>
          </w:p>
        </w:tc>
      </w:tr>
      <w:tr w14:paraId="08138F0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0824DB28">
            <w:pPr>
              <w:spacing w:line="240" w:lineRule="auto"/>
              <w:jc w:val="center"/>
              <w:rPr>
                <w:rFonts w:ascii="Times New Roman" w:hAnsi="Times New Roman"/>
              </w:rPr>
            </w:pPr>
            <w:r>
              <w:rPr>
                <w:rFonts w:hint="eastAsia" w:ascii="Times New Roman" w:hAnsi="Times New Roman"/>
              </w:rPr>
              <w:t>癸烷</w:t>
            </w:r>
          </w:p>
        </w:tc>
        <w:tc>
          <w:tcPr>
            <w:tcW w:w="2074" w:type="dxa"/>
            <w:vAlign w:val="center"/>
          </w:tcPr>
          <w:p w14:paraId="08F84069">
            <w:pPr>
              <w:spacing w:line="240" w:lineRule="auto"/>
              <w:jc w:val="center"/>
              <w:rPr>
                <w:rFonts w:ascii="Times New Roman" w:hAnsi="Times New Roman"/>
              </w:rPr>
            </w:pPr>
            <w:r>
              <w:rPr>
                <w:rFonts w:hint="eastAsia" w:ascii="Times New Roman" w:hAnsi="Times New Roman"/>
              </w:rPr>
              <w:t>2</w:t>
            </w:r>
            <w:r>
              <w:rPr>
                <w:rFonts w:ascii="Times New Roman" w:hAnsi="Times New Roman"/>
              </w:rPr>
              <w:t>.0</w:t>
            </w:r>
          </w:p>
        </w:tc>
        <w:tc>
          <w:tcPr>
            <w:tcW w:w="2074" w:type="dxa"/>
            <w:vAlign w:val="center"/>
          </w:tcPr>
          <w:p w14:paraId="36CBBC6F">
            <w:pPr>
              <w:spacing w:line="240" w:lineRule="auto"/>
              <w:jc w:val="center"/>
              <w:rPr>
                <w:rFonts w:ascii="Times New Roman" w:hAnsi="Times New Roman"/>
              </w:rPr>
            </w:pPr>
            <w:r>
              <w:rPr>
                <w:rFonts w:hint="eastAsia" w:ascii="Times New Roman" w:hAnsi="Times New Roman"/>
              </w:rPr>
              <w:t>间乙基甲苯</w:t>
            </w:r>
          </w:p>
        </w:tc>
        <w:tc>
          <w:tcPr>
            <w:tcW w:w="2074" w:type="dxa"/>
            <w:vAlign w:val="center"/>
          </w:tcPr>
          <w:p w14:paraId="4108C252">
            <w:pPr>
              <w:spacing w:line="240" w:lineRule="auto"/>
              <w:jc w:val="center"/>
              <w:rPr>
                <w:rFonts w:ascii="Times New Roman" w:hAnsi="Times New Roman"/>
              </w:rPr>
            </w:pPr>
            <w:r>
              <w:rPr>
                <w:rFonts w:hint="eastAsia" w:ascii="Times New Roman" w:hAnsi="Times New Roman"/>
              </w:rPr>
              <w:t>6</w:t>
            </w:r>
            <w:r>
              <w:rPr>
                <w:rFonts w:ascii="Times New Roman" w:hAnsi="Times New Roman"/>
              </w:rPr>
              <w:t>.3</w:t>
            </w:r>
          </w:p>
        </w:tc>
      </w:tr>
      <w:tr w14:paraId="7A5CFC1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71627460">
            <w:pPr>
              <w:spacing w:line="240" w:lineRule="auto"/>
              <w:jc w:val="center"/>
              <w:rPr>
                <w:rFonts w:ascii="Times New Roman" w:hAnsi="Times New Roman"/>
              </w:rPr>
            </w:pPr>
            <w:r>
              <w:rPr>
                <w:rFonts w:hint="eastAsia" w:ascii="Times New Roman" w:hAnsi="Times New Roman"/>
              </w:rPr>
              <w:t>十一烷</w:t>
            </w:r>
          </w:p>
        </w:tc>
        <w:tc>
          <w:tcPr>
            <w:tcW w:w="2074" w:type="dxa"/>
            <w:vAlign w:val="center"/>
          </w:tcPr>
          <w:p w14:paraId="6917849A">
            <w:pPr>
              <w:spacing w:line="240" w:lineRule="auto"/>
              <w:jc w:val="center"/>
              <w:rPr>
                <w:rFonts w:ascii="Times New Roman" w:hAnsi="Times New Roman"/>
              </w:rPr>
            </w:pPr>
            <w:r>
              <w:rPr>
                <w:rFonts w:hint="eastAsia" w:ascii="Times New Roman" w:hAnsi="Times New Roman"/>
              </w:rPr>
              <w:t>2</w:t>
            </w:r>
            <w:r>
              <w:rPr>
                <w:rFonts w:ascii="Times New Roman" w:hAnsi="Times New Roman"/>
              </w:rPr>
              <w:t>.5</w:t>
            </w:r>
          </w:p>
        </w:tc>
        <w:tc>
          <w:tcPr>
            <w:tcW w:w="2074" w:type="dxa"/>
            <w:vAlign w:val="center"/>
          </w:tcPr>
          <w:p w14:paraId="4647005B">
            <w:pPr>
              <w:spacing w:line="240" w:lineRule="auto"/>
              <w:jc w:val="center"/>
              <w:rPr>
                <w:rFonts w:ascii="Times New Roman" w:hAnsi="Times New Roman"/>
              </w:rPr>
            </w:pPr>
            <w:r>
              <w:rPr>
                <w:rFonts w:hint="eastAsia" w:ascii="Times New Roman" w:hAnsi="Times New Roman"/>
              </w:rPr>
              <w:t>对乙基甲苯</w:t>
            </w:r>
          </w:p>
        </w:tc>
        <w:tc>
          <w:tcPr>
            <w:tcW w:w="2074" w:type="dxa"/>
            <w:vAlign w:val="center"/>
          </w:tcPr>
          <w:p w14:paraId="2CE578EE">
            <w:pPr>
              <w:spacing w:line="240" w:lineRule="auto"/>
              <w:jc w:val="center"/>
              <w:rPr>
                <w:rFonts w:ascii="Times New Roman" w:hAnsi="Times New Roman"/>
              </w:rPr>
            </w:pPr>
            <w:r>
              <w:rPr>
                <w:rFonts w:hint="eastAsia" w:ascii="Times New Roman" w:hAnsi="Times New Roman"/>
              </w:rPr>
              <w:t>2</w:t>
            </w:r>
            <w:r>
              <w:rPr>
                <w:rFonts w:ascii="Times New Roman" w:hAnsi="Times New Roman"/>
              </w:rPr>
              <w:t>.5</w:t>
            </w:r>
          </w:p>
        </w:tc>
      </w:tr>
      <w:tr w14:paraId="33E9528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5C3F7F41">
            <w:pPr>
              <w:spacing w:line="240" w:lineRule="auto"/>
              <w:jc w:val="center"/>
              <w:rPr>
                <w:rFonts w:ascii="Times New Roman" w:hAnsi="Times New Roman"/>
              </w:rPr>
            </w:pPr>
            <w:r>
              <w:rPr>
                <w:rFonts w:hint="eastAsia" w:ascii="Times New Roman" w:hAnsi="Times New Roman"/>
              </w:rPr>
              <w:t>乙烯</w:t>
            </w:r>
          </w:p>
        </w:tc>
        <w:tc>
          <w:tcPr>
            <w:tcW w:w="2074" w:type="dxa"/>
            <w:vAlign w:val="center"/>
          </w:tcPr>
          <w:p w14:paraId="0B01C159">
            <w:pPr>
              <w:spacing w:line="240" w:lineRule="auto"/>
              <w:jc w:val="center"/>
              <w:rPr>
                <w:rFonts w:ascii="Times New Roman" w:hAnsi="Times New Roman"/>
              </w:rPr>
            </w:pPr>
            <w:r>
              <w:rPr>
                <w:rFonts w:hint="eastAsia" w:ascii="Times New Roman" w:hAnsi="Times New Roman"/>
              </w:rPr>
              <w:t>0</w:t>
            </w:r>
            <w:r>
              <w:rPr>
                <w:rFonts w:ascii="Times New Roman" w:hAnsi="Times New Roman"/>
              </w:rPr>
              <w:t>.07</w:t>
            </w:r>
          </w:p>
        </w:tc>
        <w:tc>
          <w:tcPr>
            <w:tcW w:w="2074" w:type="dxa"/>
            <w:vAlign w:val="center"/>
          </w:tcPr>
          <w:p w14:paraId="5D6339EA">
            <w:pPr>
              <w:spacing w:line="240" w:lineRule="auto"/>
              <w:jc w:val="center"/>
              <w:rPr>
                <w:rFonts w:ascii="Times New Roman" w:hAnsi="Times New Roman"/>
              </w:rPr>
            </w:pPr>
            <w:r>
              <w:rPr>
                <w:rFonts w:hint="eastAsia" w:ascii="Times New Roman" w:hAnsi="Times New Roman"/>
              </w:rPr>
              <w:t>1</w:t>
            </w:r>
            <w:r>
              <w:rPr>
                <w:rFonts w:ascii="Times New Roman" w:hAnsi="Times New Roman"/>
              </w:rPr>
              <w:t>,3,5-</w:t>
            </w:r>
            <w:r>
              <w:rPr>
                <w:rFonts w:hint="eastAsia" w:ascii="Times New Roman" w:hAnsi="Times New Roman"/>
              </w:rPr>
              <w:t>三甲基苯</w:t>
            </w:r>
          </w:p>
        </w:tc>
        <w:tc>
          <w:tcPr>
            <w:tcW w:w="2074" w:type="dxa"/>
            <w:vAlign w:val="center"/>
          </w:tcPr>
          <w:p w14:paraId="42B1A3E5">
            <w:pPr>
              <w:spacing w:line="240" w:lineRule="auto"/>
              <w:jc w:val="center"/>
              <w:rPr>
                <w:rFonts w:ascii="Times New Roman" w:hAnsi="Times New Roman"/>
              </w:rPr>
            </w:pPr>
            <w:r>
              <w:rPr>
                <w:rFonts w:hint="eastAsia" w:ascii="Times New Roman" w:hAnsi="Times New Roman"/>
              </w:rPr>
              <w:t>2</w:t>
            </w:r>
            <w:r>
              <w:rPr>
                <w:rFonts w:ascii="Times New Roman" w:hAnsi="Times New Roman"/>
              </w:rPr>
              <w:t>.9</w:t>
            </w:r>
          </w:p>
        </w:tc>
      </w:tr>
      <w:tr w14:paraId="6F297CC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190F995A">
            <w:pPr>
              <w:spacing w:line="240" w:lineRule="auto"/>
              <w:jc w:val="center"/>
              <w:rPr>
                <w:rFonts w:ascii="Times New Roman" w:hAnsi="Times New Roman"/>
              </w:rPr>
            </w:pPr>
            <w:r>
              <w:rPr>
                <w:rFonts w:hint="eastAsia" w:ascii="Times New Roman" w:hAnsi="Times New Roman"/>
              </w:rPr>
              <w:t>丙烯</w:t>
            </w:r>
          </w:p>
        </w:tc>
        <w:tc>
          <w:tcPr>
            <w:tcW w:w="2074" w:type="dxa"/>
            <w:vAlign w:val="center"/>
          </w:tcPr>
          <w:p w14:paraId="067ACDCB">
            <w:pPr>
              <w:spacing w:line="240" w:lineRule="auto"/>
              <w:jc w:val="center"/>
              <w:rPr>
                <w:rFonts w:ascii="Times New Roman" w:hAnsi="Times New Roman"/>
              </w:rPr>
            </w:pPr>
            <w:r>
              <w:rPr>
                <w:rFonts w:hint="eastAsia" w:ascii="Times New Roman" w:hAnsi="Times New Roman"/>
              </w:rPr>
              <w:t>0</w:t>
            </w:r>
            <w:r>
              <w:rPr>
                <w:rFonts w:ascii="Times New Roman" w:hAnsi="Times New Roman"/>
              </w:rPr>
              <w:t>.09</w:t>
            </w:r>
          </w:p>
        </w:tc>
        <w:tc>
          <w:tcPr>
            <w:tcW w:w="2074" w:type="dxa"/>
            <w:vAlign w:val="center"/>
          </w:tcPr>
          <w:p w14:paraId="30358BC9">
            <w:pPr>
              <w:spacing w:line="240" w:lineRule="auto"/>
              <w:jc w:val="center"/>
              <w:rPr>
                <w:rFonts w:ascii="Times New Roman" w:hAnsi="Times New Roman"/>
              </w:rPr>
            </w:pPr>
            <w:r>
              <w:rPr>
                <w:rFonts w:hint="eastAsia" w:ascii="Times New Roman" w:hAnsi="Times New Roman"/>
              </w:rPr>
              <w:t>邻乙基甲苯</w:t>
            </w:r>
          </w:p>
        </w:tc>
        <w:tc>
          <w:tcPr>
            <w:tcW w:w="2074" w:type="dxa"/>
            <w:vAlign w:val="center"/>
          </w:tcPr>
          <w:p w14:paraId="114069DA">
            <w:pPr>
              <w:spacing w:line="240" w:lineRule="auto"/>
              <w:jc w:val="center"/>
              <w:rPr>
                <w:rFonts w:ascii="Times New Roman" w:hAnsi="Times New Roman"/>
              </w:rPr>
            </w:pPr>
            <w:r>
              <w:rPr>
                <w:rFonts w:hint="eastAsia" w:ascii="Times New Roman" w:hAnsi="Times New Roman"/>
              </w:rPr>
              <w:t>5</w:t>
            </w:r>
            <w:r>
              <w:rPr>
                <w:rFonts w:ascii="Times New Roman" w:hAnsi="Times New Roman"/>
              </w:rPr>
              <w:t>.6</w:t>
            </w:r>
          </w:p>
        </w:tc>
      </w:tr>
      <w:tr w14:paraId="703DC04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25A4BB0E">
            <w:pPr>
              <w:spacing w:line="240" w:lineRule="auto"/>
              <w:jc w:val="center"/>
              <w:rPr>
                <w:rFonts w:ascii="Times New Roman" w:hAnsi="Times New Roman"/>
              </w:rPr>
            </w:pPr>
            <w:r>
              <w:rPr>
                <w:rFonts w:hint="eastAsia" w:ascii="Times New Roman" w:hAnsi="Times New Roman"/>
              </w:rPr>
              <w:t>1-丁烯</w:t>
            </w:r>
          </w:p>
        </w:tc>
        <w:tc>
          <w:tcPr>
            <w:tcW w:w="2074" w:type="dxa"/>
            <w:vAlign w:val="center"/>
          </w:tcPr>
          <w:p w14:paraId="3BA8DD21">
            <w:pPr>
              <w:spacing w:line="240" w:lineRule="auto"/>
              <w:jc w:val="center"/>
              <w:rPr>
                <w:rFonts w:ascii="Times New Roman" w:hAnsi="Times New Roman"/>
              </w:rPr>
            </w:pPr>
            <w:r>
              <w:rPr>
                <w:rFonts w:hint="eastAsia" w:ascii="Times New Roman" w:hAnsi="Times New Roman"/>
              </w:rPr>
              <w:t>0</w:t>
            </w:r>
            <w:r>
              <w:rPr>
                <w:rFonts w:ascii="Times New Roman" w:hAnsi="Times New Roman"/>
              </w:rPr>
              <w:t>.06</w:t>
            </w:r>
          </w:p>
        </w:tc>
        <w:tc>
          <w:tcPr>
            <w:tcW w:w="2074" w:type="dxa"/>
            <w:vAlign w:val="center"/>
          </w:tcPr>
          <w:p w14:paraId="58381B0C">
            <w:pPr>
              <w:spacing w:line="240" w:lineRule="auto"/>
              <w:jc w:val="center"/>
              <w:rPr>
                <w:rFonts w:ascii="Times New Roman" w:hAnsi="Times New Roman"/>
              </w:rPr>
            </w:pPr>
            <w:r>
              <w:rPr>
                <w:rFonts w:hint="eastAsia" w:ascii="Times New Roman" w:hAnsi="Times New Roman"/>
              </w:rPr>
              <w:t>1</w:t>
            </w:r>
            <w:r>
              <w:rPr>
                <w:rFonts w:ascii="Times New Roman" w:hAnsi="Times New Roman"/>
              </w:rPr>
              <w:t>,2,4-</w:t>
            </w:r>
            <w:r>
              <w:rPr>
                <w:rFonts w:hint="eastAsia" w:ascii="Times New Roman" w:hAnsi="Times New Roman"/>
              </w:rPr>
              <w:t>三甲基苯</w:t>
            </w:r>
          </w:p>
        </w:tc>
        <w:tc>
          <w:tcPr>
            <w:tcW w:w="2074" w:type="dxa"/>
            <w:vAlign w:val="center"/>
          </w:tcPr>
          <w:p w14:paraId="7B726FF3">
            <w:pPr>
              <w:spacing w:line="240" w:lineRule="auto"/>
              <w:jc w:val="center"/>
              <w:rPr>
                <w:rFonts w:ascii="Times New Roman" w:hAnsi="Times New Roman"/>
              </w:rPr>
            </w:pPr>
            <w:r>
              <w:rPr>
                <w:rFonts w:hint="eastAsia" w:ascii="Times New Roman" w:hAnsi="Times New Roman"/>
              </w:rPr>
              <w:t>2</w:t>
            </w:r>
            <w:r>
              <w:rPr>
                <w:rFonts w:ascii="Times New Roman" w:hAnsi="Times New Roman"/>
              </w:rPr>
              <w:t>.0</w:t>
            </w:r>
          </w:p>
        </w:tc>
      </w:tr>
      <w:tr w14:paraId="1C58AF9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0C054493">
            <w:pPr>
              <w:spacing w:line="240" w:lineRule="auto"/>
              <w:jc w:val="center"/>
              <w:rPr>
                <w:rFonts w:ascii="Times New Roman" w:hAnsi="Times New Roman"/>
              </w:rPr>
            </w:pPr>
            <w:r>
              <w:rPr>
                <w:rFonts w:hint="eastAsia" w:ascii="Times New Roman" w:hAnsi="Times New Roman"/>
              </w:rPr>
              <w:t>反-</w:t>
            </w:r>
            <w:r>
              <w:rPr>
                <w:rFonts w:ascii="Times New Roman" w:hAnsi="Times New Roman"/>
              </w:rPr>
              <w:t>2</w:t>
            </w:r>
            <w:r>
              <w:rPr>
                <w:rFonts w:hint="eastAsia" w:ascii="Times New Roman" w:hAnsi="Times New Roman"/>
              </w:rPr>
              <w:t>-丁烯</w:t>
            </w:r>
          </w:p>
        </w:tc>
        <w:tc>
          <w:tcPr>
            <w:tcW w:w="2074" w:type="dxa"/>
            <w:vAlign w:val="center"/>
          </w:tcPr>
          <w:p w14:paraId="41246F7A">
            <w:pPr>
              <w:spacing w:line="240" w:lineRule="auto"/>
              <w:jc w:val="center"/>
              <w:rPr>
                <w:rFonts w:ascii="Times New Roman" w:hAnsi="Times New Roman"/>
              </w:rPr>
            </w:pPr>
            <w:r>
              <w:rPr>
                <w:rFonts w:hint="eastAsia" w:ascii="Times New Roman" w:hAnsi="Times New Roman"/>
              </w:rPr>
              <w:t>0</w:t>
            </w:r>
            <w:r>
              <w:rPr>
                <w:rFonts w:ascii="Times New Roman" w:hAnsi="Times New Roman"/>
              </w:rPr>
              <w:t>.19</w:t>
            </w:r>
          </w:p>
        </w:tc>
        <w:tc>
          <w:tcPr>
            <w:tcW w:w="2074" w:type="dxa"/>
            <w:vAlign w:val="center"/>
          </w:tcPr>
          <w:p w14:paraId="2DD57E60">
            <w:pPr>
              <w:spacing w:line="240" w:lineRule="auto"/>
              <w:jc w:val="center"/>
              <w:rPr>
                <w:rFonts w:ascii="Times New Roman" w:hAnsi="Times New Roman"/>
              </w:rPr>
            </w:pPr>
            <w:r>
              <w:rPr>
                <w:rFonts w:hint="eastAsia" w:ascii="Times New Roman" w:hAnsi="Times New Roman"/>
              </w:rPr>
              <w:t>1</w:t>
            </w:r>
            <w:r>
              <w:rPr>
                <w:rFonts w:ascii="Times New Roman" w:hAnsi="Times New Roman"/>
              </w:rPr>
              <w:t>,2,5-</w:t>
            </w:r>
            <w:r>
              <w:rPr>
                <w:rFonts w:hint="eastAsia" w:ascii="Times New Roman" w:hAnsi="Times New Roman"/>
              </w:rPr>
              <w:t>三甲基苯</w:t>
            </w:r>
          </w:p>
        </w:tc>
        <w:tc>
          <w:tcPr>
            <w:tcW w:w="2074" w:type="dxa"/>
            <w:vAlign w:val="center"/>
          </w:tcPr>
          <w:p w14:paraId="725E07A8">
            <w:pPr>
              <w:spacing w:line="240" w:lineRule="auto"/>
              <w:jc w:val="center"/>
              <w:rPr>
                <w:rFonts w:ascii="Times New Roman" w:hAnsi="Times New Roman"/>
              </w:rPr>
            </w:pPr>
            <w:r>
              <w:rPr>
                <w:rFonts w:hint="eastAsia" w:ascii="Times New Roman" w:hAnsi="Times New Roman"/>
              </w:rPr>
              <w:t>3</w:t>
            </w:r>
            <w:r>
              <w:rPr>
                <w:rFonts w:ascii="Times New Roman" w:hAnsi="Times New Roman"/>
              </w:rPr>
              <w:t>.6</w:t>
            </w:r>
          </w:p>
        </w:tc>
      </w:tr>
      <w:tr w14:paraId="31A2865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11561658">
            <w:pPr>
              <w:spacing w:line="240" w:lineRule="auto"/>
              <w:jc w:val="center"/>
              <w:rPr>
                <w:rFonts w:ascii="Times New Roman" w:hAnsi="Times New Roman"/>
              </w:rPr>
            </w:pPr>
            <w:r>
              <w:rPr>
                <w:rFonts w:hint="eastAsia" w:ascii="Times New Roman" w:hAnsi="Times New Roman"/>
              </w:rPr>
              <w:t>顺-</w:t>
            </w:r>
            <w:r>
              <w:rPr>
                <w:rFonts w:ascii="Times New Roman" w:hAnsi="Times New Roman"/>
              </w:rPr>
              <w:t>2</w:t>
            </w:r>
            <w:r>
              <w:rPr>
                <w:rFonts w:hint="eastAsia" w:ascii="Times New Roman" w:hAnsi="Times New Roman"/>
              </w:rPr>
              <w:t>-丁烯</w:t>
            </w:r>
          </w:p>
        </w:tc>
        <w:tc>
          <w:tcPr>
            <w:tcW w:w="2074" w:type="dxa"/>
            <w:vAlign w:val="center"/>
          </w:tcPr>
          <w:p w14:paraId="2EA3EE8F">
            <w:pPr>
              <w:spacing w:line="240" w:lineRule="auto"/>
              <w:jc w:val="center"/>
              <w:rPr>
                <w:rFonts w:ascii="Times New Roman" w:hAnsi="Times New Roman"/>
              </w:rPr>
            </w:pPr>
            <w:r>
              <w:rPr>
                <w:rFonts w:hint="eastAsia" w:ascii="Times New Roman" w:hAnsi="Times New Roman"/>
              </w:rPr>
              <w:t>0</w:t>
            </w:r>
            <w:r>
              <w:rPr>
                <w:rFonts w:ascii="Times New Roman" w:hAnsi="Times New Roman"/>
              </w:rPr>
              <w:t>.22</w:t>
            </w:r>
          </w:p>
        </w:tc>
        <w:tc>
          <w:tcPr>
            <w:tcW w:w="2074" w:type="dxa"/>
            <w:vAlign w:val="center"/>
          </w:tcPr>
          <w:p w14:paraId="6203AD74">
            <w:pPr>
              <w:spacing w:line="240" w:lineRule="auto"/>
              <w:jc w:val="center"/>
              <w:rPr>
                <w:rFonts w:ascii="Times New Roman" w:hAnsi="Times New Roman"/>
              </w:rPr>
            </w:pPr>
            <w:r>
              <w:rPr>
                <w:rFonts w:hint="eastAsia" w:ascii="Times New Roman" w:hAnsi="Times New Roman"/>
              </w:rPr>
              <w:t>1</w:t>
            </w:r>
            <w:r>
              <w:rPr>
                <w:rFonts w:ascii="Times New Roman" w:hAnsi="Times New Roman"/>
              </w:rPr>
              <w:t>,3</w:t>
            </w:r>
            <w:r>
              <w:rPr>
                <w:rFonts w:hint="eastAsia" w:ascii="Times New Roman" w:hAnsi="Times New Roman"/>
              </w:rPr>
              <w:t>-二乙苯</w:t>
            </w:r>
          </w:p>
        </w:tc>
        <w:tc>
          <w:tcPr>
            <w:tcW w:w="2074" w:type="dxa"/>
            <w:vAlign w:val="center"/>
          </w:tcPr>
          <w:p w14:paraId="42221C3F">
            <w:pPr>
              <w:spacing w:line="240" w:lineRule="auto"/>
              <w:jc w:val="center"/>
              <w:rPr>
                <w:rFonts w:ascii="Times New Roman" w:hAnsi="Times New Roman"/>
              </w:rPr>
            </w:pPr>
            <w:r>
              <w:rPr>
                <w:rFonts w:hint="eastAsia" w:ascii="Times New Roman" w:hAnsi="Times New Roman"/>
              </w:rPr>
              <w:t>6</w:t>
            </w:r>
            <w:r>
              <w:rPr>
                <w:rFonts w:ascii="Times New Roman" w:hAnsi="Times New Roman"/>
              </w:rPr>
              <w:t>.3</w:t>
            </w:r>
          </w:p>
        </w:tc>
      </w:tr>
      <w:tr w14:paraId="5F76D3D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43077458">
            <w:pPr>
              <w:spacing w:line="240" w:lineRule="auto"/>
              <w:jc w:val="center"/>
              <w:rPr>
                <w:rFonts w:ascii="Times New Roman" w:hAnsi="Times New Roman"/>
              </w:rPr>
            </w:pPr>
            <w:r>
              <w:rPr>
                <w:rFonts w:hint="eastAsia" w:ascii="Times New Roman" w:hAnsi="Times New Roman"/>
              </w:rPr>
              <w:t>反-</w:t>
            </w:r>
            <w:r>
              <w:rPr>
                <w:rFonts w:ascii="Times New Roman" w:hAnsi="Times New Roman"/>
              </w:rPr>
              <w:t>2</w:t>
            </w:r>
            <w:r>
              <w:rPr>
                <w:rFonts w:hint="eastAsia" w:ascii="Times New Roman" w:hAnsi="Times New Roman"/>
              </w:rPr>
              <w:t>-戊烯</w:t>
            </w:r>
          </w:p>
        </w:tc>
        <w:tc>
          <w:tcPr>
            <w:tcW w:w="2074" w:type="dxa"/>
            <w:vAlign w:val="center"/>
          </w:tcPr>
          <w:p w14:paraId="1007202D">
            <w:pPr>
              <w:spacing w:line="240" w:lineRule="auto"/>
              <w:jc w:val="center"/>
              <w:rPr>
                <w:rFonts w:ascii="Times New Roman" w:hAnsi="Times New Roman"/>
              </w:rPr>
            </w:pPr>
            <w:r>
              <w:rPr>
                <w:rFonts w:hint="eastAsia" w:ascii="Times New Roman" w:hAnsi="Times New Roman"/>
              </w:rPr>
              <w:t>0</w:t>
            </w:r>
            <w:r>
              <w:rPr>
                <w:rFonts w:ascii="Times New Roman" w:hAnsi="Times New Roman"/>
              </w:rPr>
              <w:t>.17</w:t>
            </w:r>
          </w:p>
        </w:tc>
        <w:tc>
          <w:tcPr>
            <w:tcW w:w="2074" w:type="dxa"/>
            <w:vAlign w:val="center"/>
          </w:tcPr>
          <w:p w14:paraId="7C6A0768">
            <w:pPr>
              <w:spacing w:line="240" w:lineRule="auto"/>
              <w:jc w:val="center"/>
              <w:rPr>
                <w:rFonts w:ascii="Times New Roman" w:hAnsi="Times New Roman"/>
              </w:rPr>
            </w:pPr>
            <w:r>
              <w:rPr>
                <w:rFonts w:hint="eastAsia" w:ascii="Times New Roman" w:hAnsi="Times New Roman"/>
              </w:rPr>
              <w:t>1</w:t>
            </w:r>
            <w:r>
              <w:rPr>
                <w:rFonts w:ascii="Times New Roman" w:hAnsi="Times New Roman"/>
              </w:rPr>
              <w:t>,4</w:t>
            </w:r>
            <w:r>
              <w:rPr>
                <w:rFonts w:hint="eastAsia" w:ascii="Times New Roman" w:hAnsi="Times New Roman"/>
              </w:rPr>
              <w:t>-二乙苯</w:t>
            </w:r>
          </w:p>
        </w:tc>
        <w:tc>
          <w:tcPr>
            <w:tcW w:w="2074" w:type="dxa"/>
            <w:vAlign w:val="center"/>
          </w:tcPr>
          <w:p w14:paraId="0AAB0F4E">
            <w:pPr>
              <w:spacing w:line="240" w:lineRule="auto"/>
              <w:jc w:val="center"/>
              <w:rPr>
                <w:rFonts w:ascii="Times New Roman" w:hAnsi="Times New Roman"/>
              </w:rPr>
            </w:pPr>
            <w:r>
              <w:rPr>
                <w:rFonts w:hint="eastAsia" w:ascii="Times New Roman" w:hAnsi="Times New Roman"/>
              </w:rPr>
              <w:t>6</w:t>
            </w:r>
            <w:r>
              <w:rPr>
                <w:rFonts w:ascii="Times New Roman" w:hAnsi="Times New Roman"/>
              </w:rPr>
              <w:t>.3</w:t>
            </w:r>
          </w:p>
        </w:tc>
      </w:tr>
      <w:tr w14:paraId="73CD893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6CA8C068">
            <w:pPr>
              <w:spacing w:line="240" w:lineRule="auto"/>
              <w:jc w:val="center"/>
              <w:rPr>
                <w:rFonts w:ascii="Times New Roman" w:hAnsi="Times New Roman"/>
              </w:rPr>
            </w:pPr>
            <w:r>
              <w:rPr>
                <w:rFonts w:hint="eastAsia" w:ascii="Times New Roman" w:hAnsi="Times New Roman"/>
              </w:rPr>
              <w:t>顺-</w:t>
            </w:r>
            <w:r>
              <w:rPr>
                <w:rFonts w:ascii="Times New Roman" w:hAnsi="Times New Roman"/>
              </w:rPr>
              <w:t>2</w:t>
            </w:r>
            <w:r>
              <w:rPr>
                <w:rFonts w:hint="eastAsia" w:ascii="Times New Roman" w:hAnsi="Times New Roman"/>
              </w:rPr>
              <w:t>-戊烯</w:t>
            </w:r>
          </w:p>
        </w:tc>
        <w:tc>
          <w:tcPr>
            <w:tcW w:w="2074" w:type="dxa"/>
            <w:vAlign w:val="center"/>
          </w:tcPr>
          <w:p w14:paraId="20EA3A90">
            <w:pPr>
              <w:spacing w:line="240" w:lineRule="auto"/>
              <w:jc w:val="center"/>
              <w:rPr>
                <w:rFonts w:ascii="Times New Roman" w:hAnsi="Times New Roman"/>
              </w:rPr>
            </w:pPr>
            <w:r>
              <w:rPr>
                <w:rFonts w:hint="eastAsia" w:ascii="Times New Roman" w:hAnsi="Times New Roman"/>
              </w:rPr>
              <w:t>0</w:t>
            </w:r>
            <w:r>
              <w:rPr>
                <w:rFonts w:ascii="Times New Roman" w:hAnsi="Times New Roman"/>
              </w:rPr>
              <w:t>.17</w:t>
            </w:r>
          </w:p>
        </w:tc>
        <w:tc>
          <w:tcPr>
            <w:tcW w:w="2074" w:type="dxa"/>
            <w:vAlign w:val="center"/>
          </w:tcPr>
          <w:p w14:paraId="54D565A0">
            <w:pPr>
              <w:spacing w:line="240" w:lineRule="auto"/>
              <w:jc w:val="center"/>
              <w:rPr>
                <w:rFonts w:ascii="Times New Roman" w:hAnsi="Times New Roman"/>
              </w:rPr>
            </w:pPr>
            <w:r>
              <w:rPr>
                <w:rFonts w:hint="eastAsia" w:ascii="Times New Roman" w:hAnsi="Times New Roman"/>
              </w:rPr>
              <w:t>间乙基甲苯</w:t>
            </w:r>
          </w:p>
        </w:tc>
        <w:tc>
          <w:tcPr>
            <w:tcW w:w="2074" w:type="dxa"/>
            <w:vAlign w:val="center"/>
          </w:tcPr>
          <w:p w14:paraId="19A897A0">
            <w:pPr>
              <w:spacing w:line="240" w:lineRule="auto"/>
              <w:jc w:val="center"/>
              <w:rPr>
                <w:rFonts w:ascii="Times New Roman" w:hAnsi="Times New Roman"/>
              </w:rPr>
            </w:pPr>
            <w:r>
              <w:rPr>
                <w:rFonts w:hint="eastAsia" w:ascii="Times New Roman" w:hAnsi="Times New Roman"/>
              </w:rPr>
              <w:t>2</w:t>
            </w:r>
            <w:r>
              <w:rPr>
                <w:rFonts w:ascii="Times New Roman" w:hAnsi="Times New Roman"/>
              </w:rPr>
              <w:t>.5</w:t>
            </w:r>
          </w:p>
        </w:tc>
      </w:tr>
      <w:tr w14:paraId="3F6B3B3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bottom w:val="nil"/>
            </w:tcBorders>
            <w:vAlign w:val="center"/>
          </w:tcPr>
          <w:p w14:paraId="2F154C95">
            <w:pPr>
              <w:spacing w:line="240" w:lineRule="auto"/>
              <w:jc w:val="center"/>
              <w:rPr>
                <w:rFonts w:ascii="Times New Roman" w:hAnsi="Times New Roman"/>
              </w:rPr>
            </w:pPr>
            <w:r>
              <w:rPr>
                <w:rFonts w:hint="eastAsia" w:ascii="Times New Roman" w:hAnsi="Times New Roman"/>
              </w:rPr>
              <w:t>异丙醇</w:t>
            </w:r>
          </w:p>
        </w:tc>
        <w:tc>
          <w:tcPr>
            <w:tcW w:w="2074" w:type="dxa"/>
            <w:tcBorders>
              <w:bottom w:val="nil"/>
            </w:tcBorders>
            <w:vAlign w:val="center"/>
          </w:tcPr>
          <w:p w14:paraId="5F27CF10">
            <w:pPr>
              <w:spacing w:line="240" w:lineRule="auto"/>
              <w:jc w:val="center"/>
              <w:rPr>
                <w:rFonts w:ascii="Times New Roman" w:hAnsi="Times New Roman"/>
              </w:rPr>
            </w:pPr>
            <w:r>
              <w:rPr>
                <w:rFonts w:hint="eastAsia" w:ascii="Times New Roman" w:hAnsi="Times New Roman"/>
              </w:rPr>
              <w:t>0</w:t>
            </w:r>
            <w:r>
              <w:rPr>
                <w:rFonts w:ascii="Times New Roman" w:hAnsi="Times New Roman"/>
              </w:rPr>
              <w:t>.02</w:t>
            </w:r>
          </w:p>
        </w:tc>
        <w:tc>
          <w:tcPr>
            <w:tcW w:w="2074" w:type="dxa"/>
            <w:tcBorders>
              <w:bottom w:val="nil"/>
            </w:tcBorders>
            <w:vAlign w:val="center"/>
          </w:tcPr>
          <w:p w14:paraId="153F77F9">
            <w:pPr>
              <w:spacing w:line="240" w:lineRule="auto"/>
              <w:jc w:val="center"/>
              <w:rPr>
                <w:rFonts w:ascii="Times New Roman" w:hAnsi="Times New Roman"/>
              </w:rPr>
            </w:pPr>
            <w:r>
              <w:rPr>
                <w:rFonts w:hint="eastAsia" w:ascii="Times New Roman" w:hAnsi="Times New Roman"/>
              </w:rPr>
              <w:t>正丁醇</w:t>
            </w:r>
          </w:p>
        </w:tc>
        <w:tc>
          <w:tcPr>
            <w:tcW w:w="2074" w:type="dxa"/>
            <w:tcBorders>
              <w:bottom w:val="nil"/>
            </w:tcBorders>
            <w:vAlign w:val="center"/>
          </w:tcPr>
          <w:p w14:paraId="3EEA5928">
            <w:pPr>
              <w:spacing w:line="240" w:lineRule="auto"/>
              <w:jc w:val="center"/>
              <w:rPr>
                <w:rFonts w:ascii="Times New Roman" w:hAnsi="Times New Roman"/>
              </w:rPr>
            </w:pPr>
            <w:r>
              <w:rPr>
                <w:rFonts w:hint="eastAsia" w:ascii="Times New Roman" w:hAnsi="Times New Roman"/>
              </w:rPr>
              <w:t>0</w:t>
            </w:r>
            <w:r>
              <w:rPr>
                <w:rFonts w:ascii="Times New Roman" w:hAnsi="Times New Roman"/>
              </w:rPr>
              <w:t>.02</w:t>
            </w:r>
          </w:p>
        </w:tc>
      </w:tr>
      <w:tr w14:paraId="105F13A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vAlign w:val="center"/>
          </w:tcPr>
          <w:p w14:paraId="0FCC2F43">
            <w:pPr>
              <w:spacing w:line="240" w:lineRule="auto"/>
              <w:jc w:val="center"/>
              <w:rPr>
                <w:rFonts w:ascii="Times New Roman" w:hAnsi="Times New Roman"/>
              </w:rPr>
            </w:pPr>
            <w:r>
              <w:rPr>
                <w:rFonts w:hint="eastAsia" w:ascii="Times New Roman" w:hAnsi="Times New Roman"/>
              </w:rPr>
              <w:t>乙醇</w:t>
            </w:r>
          </w:p>
        </w:tc>
        <w:tc>
          <w:tcPr>
            <w:tcW w:w="2074" w:type="dxa"/>
            <w:vAlign w:val="center"/>
          </w:tcPr>
          <w:p w14:paraId="273DD53D">
            <w:pPr>
              <w:spacing w:line="240" w:lineRule="auto"/>
              <w:jc w:val="center"/>
              <w:rPr>
                <w:rFonts w:ascii="Times New Roman" w:hAnsi="Times New Roman"/>
              </w:rPr>
            </w:pPr>
            <w:r>
              <w:rPr>
                <w:rFonts w:hint="eastAsia" w:ascii="Times New Roman" w:hAnsi="Times New Roman"/>
              </w:rPr>
              <w:t>0</w:t>
            </w:r>
            <w:r>
              <w:rPr>
                <w:rFonts w:ascii="Times New Roman" w:hAnsi="Times New Roman"/>
              </w:rPr>
              <w:t>.03</w:t>
            </w:r>
          </w:p>
        </w:tc>
        <w:tc>
          <w:tcPr>
            <w:tcW w:w="2074" w:type="dxa"/>
            <w:vAlign w:val="center"/>
          </w:tcPr>
          <w:p w14:paraId="0A2A4BF9">
            <w:pPr>
              <w:spacing w:line="240" w:lineRule="auto"/>
              <w:jc w:val="center"/>
              <w:rPr>
                <w:rFonts w:ascii="Times New Roman" w:hAnsi="Times New Roman"/>
              </w:rPr>
            </w:pPr>
            <w:r>
              <w:rPr>
                <w:rFonts w:hint="eastAsia" w:ascii="Times New Roman" w:hAnsi="Times New Roman"/>
              </w:rPr>
              <w:t>异丁醇</w:t>
            </w:r>
          </w:p>
        </w:tc>
        <w:tc>
          <w:tcPr>
            <w:tcW w:w="2074" w:type="dxa"/>
            <w:vAlign w:val="center"/>
          </w:tcPr>
          <w:p w14:paraId="13B13586">
            <w:pPr>
              <w:spacing w:line="240" w:lineRule="auto"/>
              <w:jc w:val="center"/>
              <w:rPr>
                <w:rFonts w:ascii="Times New Roman" w:hAnsi="Times New Roman"/>
              </w:rPr>
            </w:pPr>
            <w:r>
              <w:rPr>
                <w:rFonts w:hint="eastAsia" w:ascii="Times New Roman" w:hAnsi="Times New Roman"/>
              </w:rPr>
              <w:t>0</w:t>
            </w:r>
            <w:r>
              <w:rPr>
                <w:rFonts w:ascii="Times New Roman" w:hAnsi="Times New Roman"/>
              </w:rPr>
              <w:t>.01</w:t>
            </w:r>
          </w:p>
        </w:tc>
      </w:tr>
      <w:tr w14:paraId="492D65F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bottom w:val="nil"/>
            </w:tcBorders>
            <w:vAlign w:val="center"/>
          </w:tcPr>
          <w:p w14:paraId="2A818319">
            <w:pPr>
              <w:spacing w:line="240" w:lineRule="auto"/>
              <w:jc w:val="center"/>
              <w:rPr>
                <w:rFonts w:ascii="Times New Roman" w:hAnsi="Times New Roman"/>
              </w:rPr>
            </w:pPr>
            <w:r>
              <w:rPr>
                <w:rFonts w:hint="eastAsia" w:ascii="Times New Roman" w:hAnsi="Times New Roman"/>
              </w:rPr>
              <w:t>甲醇</w:t>
            </w:r>
          </w:p>
        </w:tc>
        <w:tc>
          <w:tcPr>
            <w:tcW w:w="2074" w:type="dxa"/>
            <w:tcBorders>
              <w:bottom w:val="nil"/>
            </w:tcBorders>
            <w:vAlign w:val="center"/>
          </w:tcPr>
          <w:p w14:paraId="458F2DF9">
            <w:pPr>
              <w:spacing w:line="240" w:lineRule="auto"/>
              <w:jc w:val="center"/>
              <w:rPr>
                <w:rFonts w:ascii="Times New Roman" w:hAnsi="Times New Roman"/>
              </w:rPr>
            </w:pPr>
            <w:r>
              <w:rPr>
                <w:rFonts w:hint="eastAsia" w:ascii="Times New Roman" w:hAnsi="Times New Roman"/>
              </w:rPr>
              <w:t>0</w:t>
            </w:r>
            <w:r>
              <w:rPr>
                <w:rFonts w:ascii="Times New Roman" w:hAnsi="Times New Roman"/>
              </w:rPr>
              <w:t>.02</w:t>
            </w:r>
          </w:p>
        </w:tc>
        <w:tc>
          <w:tcPr>
            <w:tcW w:w="2074" w:type="dxa"/>
            <w:tcBorders>
              <w:bottom w:val="nil"/>
            </w:tcBorders>
            <w:vAlign w:val="center"/>
          </w:tcPr>
          <w:p w14:paraId="20E385C5">
            <w:pPr>
              <w:spacing w:line="240" w:lineRule="auto"/>
              <w:jc w:val="center"/>
              <w:rPr>
                <w:rFonts w:ascii="Times New Roman" w:hAnsi="Times New Roman"/>
              </w:rPr>
            </w:pPr>
            <w:r>
              <w:rPr>
                <w:rFonts w:hint="eastAsia" w:ascii="Times New Roman" w:hAnsi="Times New Roman"/>
              </w:rPr>
              <w:t>丙酮</w:t>
            </w:r>
          </w:p>
        </w:tc>
        <w:tc>
          <w:tcPr>
            <w:tcW w:w="2074" w:type="dxa"/>
            <w:tcBorders>
              <w:bottom w:val="nil"/>
            </w:tcBorders>
            <w:vAlign w:val="center"/>
          </w:tcPr>
          <w:p w14:paraId="538FA803">
            <w:pPr>
              <w:spacing w:line="240" w:lineRule="auto"/>
              <w:jc w:val="center"/>
              <w:rPr>
                <w:rFonts w:ascii="Times New Roman" w:hAnsi="Times New Roman"/>
              </w:rPr>
            </w:pPr>
            <w:r>
              <w:rPr>
                <w:rFonts w:hint="eastAsia" w:ascii="Times New Roman" w:hAnsi="Times New Roman"/>
              </w:rPr>
              <w:t>0</w:t>
            </w:r>
            <w:r>
              <w:rPr>
                <w:rFonts w:ascii="Times New Roman" w:hAnsi="Times New Roman"/>
              </w:rPr>
              <w:t>.02</w:t>
            </w:r>
          </w:p>
        </w:tc>
      </w:tr>
      <w:tr w14:paraId="4123B11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bottom w:val="nil"/>
            </w:tcBorders>
            <w:vAlign w:val="center"/>
          </w:tcPr>
          <w:p w14:paraId="6DAC82C6">
            <w:pPr>
              <w:spacing w:line="240" w:lineRule="auto"/>
              <w:jc w:val="center"/>
              <w:rPr>
                <w:rFonts w:ascii="Times New Roman" w:hAnsi="Times New Roman"/>
              </w:rPr>
            </w:pPr>
            <w:r>
              <w:rPr>
                <w:rFonts w:hint="eastAsia" w:ascii="Times New Roman" w:hAnsi="Times New Roman"/>
              </w:rPr>
              <w:t>正丙醇</w:t>
            </w:r>
          </w:p>
        </w:tc>
        <w:tc>
          <w:tcPr>
            <w:tcW w:w="2074" w:type="dxa"/>
            <w:tcBorders>
              <w:bottom w:val="nil"/>
            </w:tcBorders>
            <w:vAlign w:val="center"/>
          </w:tcPr>
          <w:p w14:paraId="0E21D6ED">
            <w:pPr>
              <w:spacing w:line="240" w:lineRule="auto"/>
              <w:jc w:val="center"/>
              <w:rPr>
                <w:rFonts w:ascii="Times New Roman" w:hAnsi="Times New Roman"/>
              </w:rPr>
            </w:pPr>
            <w:r>
              <w:rPr>
                <w:rFonts w:hint="eastAsia" w:ascii="Times New Roman" w:hAnsi="Times New Roman"/>
              </w:rPr>
              <w:t>0</w:t>
            </w:r>
            <w:r>
              <w:rPr>
                <w:rFonts w:ascii="Times New Roman" w:hAnsi="Times New Roman"/>
              </w:rPr>
              <w:t>.02</w:t>
            </w:r>
          </w:p>
        </w:tc>
        <w:tc>
          <w:tcPr>
            <w:tcW w:w="2074" w:type="dxa"/>
            <w:tcBorders>
              <w:bottom w:val="nil"/>
            </w:tcBorders>
            <w:vAlign w:val="center"/>
          </w:tcPr>
          <w:p w14:paraId="433EF247">
            <w:pPr>
              <w:spacing w:line="240" w:lineRule="auto"/>
              <w:jc w:val="center"/>
              <w:rPr>
                <w:rFonts w:ascii="Times New Roman" w:hAnsi="Times New Roman"/>
              </w:rPr>
            </w:pPr>
            <w:r>
              <w:rPr>
                <w:rFonts w:hint="eastAsia" w:ascii="Times New Roman" w:hAnsi="Times New Roman"/>
              </w:rPr>
              <w:t>甲基乙基酮</w:t>
            </w:r>
          </w:p>
        </w:tc>
        <w:tc>
          <w:tcPr>
            <w:tcW w:w="2074" w:type="dxa"/>
            <w:tcBorders>
              <w:bottom w:val="nil"/>
            </w:tcBorders>
            <w:vAlign w:val="center"/>
          </w:tcPr>
          <w:p w14:paraId="60E15FC3">
            <w:pPr>
              <w:spacing w:line="240" w:lineRule="auto"/>
              <w:jc w:val="center"/>
              <w:rPr>
                <w:rFonts w:ascii="Times New Roman" w:hAnsi="Times New Roman"/>
              </w:rPr>
            </w:pPr>
            <w:r>
              <w:rPr>
                <w:rFonts w:hint="eastAsia" w:ascii="Times New Roman" w:hAnsi="Times New Roman"/>
              </w:rPr>
              <w:t>0</w:t>
            </w:r>
            <w:r>
              <w:rPr>
                <w:rFonts w:ascii="Times New Roman" w:hAnsi="Times New Roman"/>
              </w:rPr>
              <w:t>.03</w:t>
            </w:r>
          </w:p>
        </w:tc>
      </w:tr>
      <w:tr w14:paraId="39B6B69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top w:val="nil"/>
              <w:bottom w:val="single" w:color="auto" w:sz="12" w:space="0"/>
            </w:tcBorders>
            <w:vAlign w:val="center"/>
          </w:tcPr>
          <w:p w14:paraId="114E168D">
            <w:pPr>
              <w:spacing w:line="240" w:lineRule="auto"/>
              <w:jc w:val="center"/>
              <w:rPr>
                <w:rFonts w:ascii="Times New Roman" w:hAnsi="Times New Roman"/>
              </w:rPr>
            </w:pPr>
            <w:r>
              <w:rPr>
                <w:rFonts w:hint="eastAsia" w:ascii="Times New Roman" w:hAnsi="Times New Roman"/>
              </w:rPr>
              <w:t>乙酸丁酯</w:t>
            </w:r>
          </w:p>
        </w:tc>
        <w:tc>
          <w:tcPr>
            <w:tcW w:w="2074" w:type="dxa"/>
            <w:tcBorders>
              <w:top w:val="nil"/>
              <w:bottom w:val="single" w:color="auto" w:sz="12" w:space="0"/>
            </w:tcBorders>
            <w:vAlign w:val="center"/>
          </w:tcPr>
          <w:p w14:paraId="7BC3EC78">
            <w:pPr>
              <w:spacing w:line="240" w:lineRule="auto"/>
              <w:jc w:val="center"/>
              <w:rPr>
                <w:rFonts w:ascii="Times New Roman" w:hAnsi="Times New Roman"/>
              </w:rPr>
            </w:pPr>
            <w:r>
              <w:rPr>
                <w:rFonts w:hint="eastAsia" w:ascii="Times New Roman" w:hAnsi="Times New Roman"/>
              </w:rPr>
              <w:t>0</w:t>
            </w:r>
            <w:r>
              <w:rPr>
                <w:rFonts w:ascii="Times New Roman" w:hAnsi="Times New Roman"/>
              </w:rPr>
              <w:t>.01</w:t>
            </w:r>
          </w:p>
        </w:tc>
        <w:tc>
          <w:tcPr>
            <w:tcW w:w="2074" w:type="dxa"/>
            <w:tcBorders>
              <w:top w:val="nil"/>
              <w:bottom w:val="single" w:color="auto" w:sz="12" w:space="0"/>
            </w:tcBorders>
            <w:vAlign w:val="center"/>
          </w:tcPr>
          <w:p w14:paraId="2653C237">
            <w:pPr>
              <w:spacing w:line="240" w:lineRule="auto"/>
              <w:jc w:val="center"/>
              <w:rPr>
                <w:rFonts w:ascii="Times New Roman" w:hAnsi="Times New Roman"/>
              </w:rPr>
            </w:pPr>
          </w:p>
        </w:tc>
        <w:tc>
          <w:tcPr>
            <w:tcW w:w="2074" w:type="dxa"/>
            <w:tcBorders>
              <w:top w:val="nil"/>
              <w:bottom w:val="single" w:color="auto" w:sz="12" w:space="0"/>
            </w:tcBorders>
            <w:vAlign w:val="center"/>
          </w:tcPr>
          <w:p w14:paraId="764E6CF4">
            <w:pPr>
              <w:spacing w:line="240" w:lineRule="auto"/>
              <w:jc w:val="center"/>
              <w:rPr>
                <w:rFonts w:ascii="Times New Roman" w:hAnsi="Times New Roman"/>
              </w:rPr>
            </w:pPr>
          </w:p>
        </w:tc>
      </w:tr>
    </w:tbl>
    <w:p w14:paraId="393464FF">
      <w:pPr>
        <w:pStyle w:val="60"/>
        <w:ind w:firstLine="420"/>
        <w:jc w:val="center"/>
      </w:pPr>
      <w:r>
        <w:br w:type="page"/>
      </w:r>
    </w:p>
    <w:p w14:paraId="63250EFB">
      <w:pPr>
        <w:pStyle w:val="60"/>
        <w:ind w:firstLine="420"/>
        <w:jc w:val="center"/>
        <w:sectPr>
          <w:pgSz w:w="11906" w:h="16838"/>
          <w:pgMar w:top="2410" w:right="1134" w:bottom="1134" w:left="1134" w:header="1418" w:footer="1134" w:gutter="284"/>
          <w:cols w:space="425" w:num="1"/>
          <w:formProt w:val="0"/>
          <w:docGrid w:linePitch="312" w:charSpace="0"/>
        </w:sectPr>
      </w:pPr>
    </w:p>
    <w:p w14:paraId="445C6D9A">
      <w:pPr>
        <w:pStyle w:val="60"/>
        <w:ind w:firstLine="420"/>
        <w:jc w:val="center"/>
      </w:pPr>
    </w:p>
    <w:p w14:paraId="27B272FA">
      <w:pPr>
        <w:pStyle w:val="60"/>
        <w:ind w:firstLine="420"/>
        <w:jc w:val="center"/>
      </w:pPr>
      <w:r>
        <w:rPr>
          <w:rFonts w:hint="eastAsia"/>
        </w:rPr>
        <w:t>表B</w:t>
      </w:r>
      <w:r>
        <w:t xml:space="preserve">.3 </w:t>
      </w:r>
      <w:r>
        <w:rPr>
          <w:rFonts w:hint="eastAsia"/>
        </w:rPr>
        <w:t>电子制造业不同工艺时期SOA生成潜势占比参考值</w:t>
      </w:r>
    </w:p>
    <w:tbl>
      <w:tblPr>
        <w:tblStyle w:val="29"/>
        <w:tblW w:w="9173"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3"/>
        <w:gridCol w:w="1732"/>
        <w:gridCol w:w="1031"/>
        <w:gridCol w:w="1561"/>
        <w:gridCol w:w="1618"/>
        <w:gridCol w:w="1203"/>
        <w:gridCol w:w="1355"/>
      </w:tblGrid>
      <w:tr w14:paraId="1343283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 w:hRule="atLeast"/>
          <w:jc w:val="center"/>
        </w:trPr>
        <w:tc>
          <w:tcPr>
            <w:tcW w:w="0" w:type="auto"/>
            <w:vMerge w:val="restart"/>
            <w:tcMar>
              <w:left w:w="0" w:type="dxa"/>
              <w:right w:w="0" w:type="dxa"/>
            </w:tcMar>
            <w:vAlign w:val="center"/>
          </w:tcPr>
          <w:p w14:paraId="626E86DB">
            <w:pPr>
              <w:spacing w:line="240" w:lineRule="auto"/>
              <w:jc w:val="center"/>
              <w:rPr>
                <w:rFonts w:ascii="宋体" w:hAnsi="宋体"/>
                <w:shd w:val="clear" w:color="auto" w:fill="FFFFFF"/>
              </w:rPr>
            </w:pPr>
            <w:r>
              <w:rPr>
                <w:rFonts w:hint="eastAsia" w:ascii="宋体" w:hAnsi="宋体"/>
                <w:shd w:val="clear" w:color="auto" w:fill="FFFFFF"/>
              </w:rPr>
              <w:t>类别</w:t>
            </w:r>
          </w:p>
        </w:tc>
        <w:tc>
          <w:tcPr>
            <w:tcW w:w="1732" w:type="dxa"/>
            <w:vMerge w:val="restart"/>
            <w:tcMar>
              <w:left w:w="0" w:type="dxa"/>
              <w:right w:w="0" w:type="dxa"/>
            </w:tcMar>
            <w:vAlign w:val="center"/>
          </w:tcPr>
          <w:p w14:paraId="45386A42">
            <w:pPr>
              <w:pStyle w:val="237"/>
              <w:spacing w:line="240" w:lineRule="auto"/>
              <w:rPr>
                <w:rFonts w:ascii="宋体" w:hAnsi="宋体" w:eastAsia="宋体"/>
                <w:sz w:val="21"/>
                <w:szCs w:val="21"/>
                <w:shd w:val="clear" w:color="auto" w:fill="FFFFFF"/>
              </w:rPr>
            </w:pPr>
            <w:r>
              <w:rPr>
                <w:rFonts w:hint="eastAsia" w:ascii="宋体" w:hAnsi="宋体" w:eastAsia="宋体"/>
                <w:sz w:val="21"/>
                <w:szCs w:val="21"/>
                <w:shd w:val="clear" w:color="auto" w:fill="FFFFFF"/>
              </w:rPr>
              <w:t>物种</w:t>
            </w:r>
            <w:r>
              <w:rPr>
                <w:rFonts w:ascii="宋体" w:hAnsi="宋体" w:eastAsia="宋体"/>
                <w:sz w:val="21"/>
                <w:szCs w:val="21"/>
                <w:shd w:val="clear" w:color="auto" w:fill="FFFFFF"/>
              </w:rPr>
              <w:t>名称</w:t>
            </w:r>
          </w:p>
        </w:tc>
        <w:tc>
          <w:tcPr>
            <w:tcW w:w="1031" w:type="dxa"/>
            <w:vMerge w:val="restart"/>
            <w:vAlign w:val="center"/>
          </w:tcPr>
          <w:p w14:paraId="205132A1">
            <w:pPr>
              <w:spacing w:line="240" w:lineRule="auto"/>
              <w:jc w:val="center"/>
              <w:rPr>
                <w:rFonts w:ascii="宋体" w:hAnsi="宋体"/>
                <w:shd w:val="clear" w:color="auto" w:fill="FFFFFF"/>
              </w:rPr>
            </w:pPr>
            <w:r>
              <w:rPr>
                <w:rFonts w:ascii="宋体" w:hAnsi="宋体"/>
                <w:shd w:val="clear" w:color="auto" w:fill="FFFFFF"/>
              </w:rPr>
              <w:t>FAC (%)</w:t>
            </w:r>
          </w:p>
        </w:tc>
        <w:tc>
          <w:tcPr>
            <w:tcW w:w="5737" w:type="dxa"/>
            <w:gridSpan w:val="4"/>
            <w:tcBorders>
              <w:bottom w:val="single" w:color="auto" w:sz="4" w:space="0"/>
            </w:tcBorders>
            <w:vAlign w:val="center"/>
          </w:tcPr>
          <w:p w14:paraId="66101D5B">
            <w:pPr>
              <w:spacing w:line="240" w:lineRule="auto"/>
              <w:jc w:val="center"/>
              <w:rPr>
                <w:rFonts w:ascii="宋体" w:hAnsi="宋体"/>
                <w:shd w:val="clear" w:color="auto" w:fill="FFFFFF"/>
              </w:rPr>
            </w:pPr>
            <w:r>
              <w:rPr>
                <w:rFonts w:ascii="宋体" w:hAnsi="宋体"/>
                <w:shd w:val="clear" w:color="auto" w:fill="FFFFFF"/>
              </w:rPr>
              <w:t>SOA</w:t>
            </w:r>
            <w:r>
              <w:rPr>
                <w:rFonts w:hint="eastAsia" w:ascii="宋体" w:hAnsi="宋体"/>
                <w:shd w:val="clear" w:color="auto" w:fill="FFFFFF"/>
              </w:rPr>
              <w:t>贡献</w:t>
            </w:r>
            <w:r>
              <w:rPr>
                <w:rFonts w:ascii="宋体" w:hAnsi="宋体"/>
                <w:shd w:val="clear" w:color="auto" w:fill="FFFFFF"/>
              </w:rPr>
              <w:t>（%）</w:t>
            </w:r>
          </w:p>
        </w:tc>
      </w:tr>
      <w:tr w14:paraId="1554A97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0" w:type="auto"/>
            <w:vMerge w:val="continue"/>
            <w:tcBorders>
              <w:bottom w:val="single" w:color="auto" w:sz="12" w:space="0"/>
            </w:tcBorders>
            <w:tcMar>
              <w:left w:w="0" w:type="dxa"/>
              <w:right w:w="0" w:type="dxa"/>
            </w:tcMar>
            <w:vAlign w:val="center"/>
          </w:tcPr>
          <w:p w14:paraId="126A9F00">
            <w:pPr>
              <w:spacing w:line="240" w:lineRule="auto"/>
              <w:jc w:val="center"/>
              <w:rPr>
                <w:rFonts w:ascii="宋体" w:hAnsi="宋体"/>
                <w:shd w:val="clear" w:color="auto" w:fill="FFFFFF"/>
              </w:rPr>
            </w:pPr>
          </w:p>
        </w:tc>
        <w:tc>
          <w:tcPr>
            <w:tcW w:w="1732" w:type="dxa"/>
            <w:vMerge w:val="continue"/>
            <w:tcBorders>
              <w:bottom w:val="single" w:color="auto" w:sz="12" w:space="0"/>
            </w:tcBorders>
            <w:tcMar>
              <w:left w:w="0" w:type="dxa"/>
              <w:right w:w="0" w:type="dxa"/>
            </w:tcMar>
            <w:vAlign w:val="center"/>
          </w:tcPr>
          <w:p w14:paraId="1F626E63">
            <w:pPr>
              <w:pStyle w:val="237"/>
              <w:spacing w:line="240" w:lineRule="auto"/>
              <w:rPr>
                <w:rFonts w:ascii="宋体" w:hAnsi="宋体" w:eastAsia="宋体"/>
                <w:sz w:val="21"/>
                <w:szCs w:val="21"/>
                <w:shd w:val="clear" w:color="auto" w:fill="FFFFFF"/>
              </w:rPr>
            </w:pPr>
          </w:p>
        </w:tc>
        <w:tc>
          <w:tcPr>
            <w:tcW w:w="1031" w:type="dxa"/>
            <w:vMerge w:val="continue"/>
            <w:tcBorders>
              <w:bottom w:val="single" w:color="auto" w:sz="12" w:space="0"/>
            </w:tcBorders>
            <w:vAlign w:val="center"/>
          </w:tcPr>
          <w:p w14:paraId="1E3185F6">
            <w:pPr>
              <w:spacing w:line="240" w:lineRule="auto"/>
              <w:jc w:val="center"/>
              <w:rPr>
                <w:rFonts w:ascii="宋体" w:hAnsi="宋体"/>
                <w:shd w:val="clear" w:color="auto" w:fill="FFFFFF"/>
              </w:rPr>
            </w:pPr>
          </w:p>
        </w:tc>
        <w:tc>
          <w:tcPr>
            <w:tcW w:w="1561" w:type="dxa"/>
            <w:tcBorders>
              <w:top w:val="single" w:color="auto" w:sz="12" w:space="0"/>
              <w:bottom w:val="single" w:color="auto" w:sz="12" w:space="0"/>
            </w:tcBorders>
            <w:vAlign w:val="center"/>
          </w:tcPr>
          <w:p w14:paraId="6CECF878">
            <w:pPr>
              <w:spacing w:line="240" w:lineRule="auto"/>
              <w:jc w:val="center"/>
              <w:rPr>
                <w:rFonts w:ascii="宋体" w:hAnsi="宋体"/>
                <w:shd w:val="clear" w:color="auto" w:fill="FFFFFF"/>
              </w:rPr>
            </w:pPr>
            <w:r>
              <w:rPr>
                <w:rFonts w:hint="eastAsia" w:ascii="宋体" w:hAnsi="宋体"/>
                <w:shd w:val="clear" w:color="auto" w:fill="FFFFFF"/>
              </w:rPr>
              <w:t>注塑成型期</w:t>
            </w:r>
          </w:p>
        </w:tc>
        <w:tc>
          <w:tcPr>
            <w:tcW w:w="1618" w:type="dxa"/>
            <w:tcBorders>
              <w:top w:val="single" w:color="auto" w:sz="12" w:space="0"/>
              <w:bottom w:val="single" w:color="auto" w:sz="12" w:space="0"/>
            </w:tcBorders>
            <w:vAlign w:val="center"/>
          </w:tcPr>
          <w:p w14:paraId="5A050615">
            <w:pPr>
              <w:spacing w:line="240" w:lineRule="auto"/>
              <w:jc w:val="center"/>
              <w:rPr>
                <w:rFonts w:ascii="宋体" w:hAnsi="宋体"/>
                <w:shd w:val="clear" w:color="auto" w:fill="FFFFFF"/>
              </w:rPr>
            </w:pPr>
            <w:r>
              <w:rPr>
                <w:rFonts w:hint="eastAsia" w:ascii="宋体" w:hAnsi="宋体"/>
                <w:shd w:val="clear" w:color="auto" w:fill="FFFFFF"/>
              </w:rPr>
              <w:t>塑料件加工期</w:t>
            </w:r>
          </w:p>
        </w:tc>
        <w:tc>
          <w:tcPr>
            <w:tcW w:w="1203" w:type="dxa"/>
            <w:tcBorders>
              <w:top w:val="single" w:color="auto" w:sz="12" w:space="0"/>
              <w:bottom w:val="single" w:color="auto" w:sz="12" w:space="0"/>
            </w:tcBorders>
            <w:vAlign w:val="center"/>
          </w:tcPr>
          <w:p w14:paraId="0DC74274">
            <w:pPr>
              <w:spacing w:line="240" w:lineRule="auto"/>
              <w:jc w:val="center"/>
              <w:rPr>
                <w:rFonts w:ascii="宋体" w:hAnsi="宋体"/>
                <w:shd w:val="clear" w:color="auto" w:fill="FFFFFF"/>
              </w:rPr>
            </w:pPr>
            <w:r>
              <w:rPr>
                <w:rFonts w:hint="eastAsia" w:ascii="宋体" w:hAnsi="宋体"/>
                <w:shd w:val="clear" w:color="auto" w:fill="FFFFFF"/>
              </w:rPr>
              <w:t>喷涂工艺</w:t>
            </w:r>
          </w:p>
        </w:tc>
        <w:tc>
          <w:tcPr>
            <w:tcW w:w="1355" w:type="dxa"/>
            <w:tcBorders>
              <w:top w:val="single" w:color="auto" w:sz="12" w:space="0"/>
              <w:bottom w:val="single" w:color="auto" w:sz="12" w:space="0"/>
            </w:tcBorders>
            <w:vAlign w:val="center"/>
          </w:tcPr>
          <w:p w14:paraId="304D020E">
            <w:pPr>
              <w:spacing w:line="240" w:lineRule="auto"/>
              <w:jc w:val="center"/>
              <w:rPr>
                <w:rFonts w:ascii="宋体" w:hAnsi="宋体"/>
                <w:shd w:val="clear" w:color="auto" w:fill="FFFFFF"/>
              </w:rPr>
            </w:pPr>
            <w:r>
              <w:rPr>
                <w:rFonts w:hint="eastAsia" w:ascii="宋体" w:hAnsi="宋体"/>
                <w:shd w:val="clear" w:color="auto" w:fill="FFFFFF"/>
              </w:rPr>
              <w:t>非喷涂工艺</w:t>
            </w:r>
          </w:p>
        </w:tc>
      </w:tr>
      <w:tr w14:paraId="0D405CF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restart"/>
            <w:tcBorders>
              <w:top w:val="single" w:color="auto" w:sz="12" w:space="0"/>
            </w:tcBorders>
            <w:tcMar>
              <w:left w:w="0" w:type="dxa"/>
              <w:right w:w="0" w:type="dxa"/>
            </w:tcMar>
            <w:vAlign w:val="center"/>
          </w:tcPr>
          <w:p w14:paraId="6BF697B7">
            <w:pPr>
              <w:spacing w:line="240" w:lineRule="auto"/>
              <w:jc w:val="center"/>
              <w:rPr>
                <w:rFonts w:ascii="宋体" w:hAnsi="宋体"/>
              </w:rPr>
            </w:pPr>
            <w:r>
              <w:rPr>
                <w:rFonts w:hint="eastAsia" w:ascii="宋体" w:hAnsi="宋体"/>
              </w:rPr>
              <w:t>烷烃</w:t>
            </w:r>
          </w:p>
        </w:tc>
        <w:tc>
          <w:tcPr>
            <w:tcW w:w="1732" w:type="dxa"/>
            <w:tcBorders>
              <w:top w:val="single" w:color="auto" w:sz="12" w:space="0"/>
            </w:tcBorders>
            <w:tcMar>
              <w:left w:w="0" w:type="dxa"/>
              <w:right w:w="0" w:type="dxa"/>
            </w:tcMar>
          </w:tcPr>
          <w:p w14:paraId="6E2744FC">
            <w:pPr>
              <w:spacing w:line="240" w:lineRule="auto"/>
              <w:jc w:val="center"/>
              <w:rPr>
                <w:rFonts w:ascii="宋体" w:hAnsi="宋体"/>
              </w:rPr>
            </w:pPr>
            <w:r>
              <w:rPr>
                <w:rFonts w:hint="eastAsia" w:ascii="宋体" w:hAnsi="宋体"/>
              </w:rPr>
              <w:t>正庚烷</w:t>
            </w:r>
          </w:p>
        </w:tc>
        <w:tc>
          <w:tcPr>
            <w:tcW w:w="1031" w:type="dxa"/>
            <w:tcBorders>
              <w:top w:val="single" w:color="auto" w:sz="12" w:space="0"/>
            </w:tcBorders>
            <w:tcMar>
              <w:left w:w="0" w:type="dxa"/>
              <w:right w:w="0" w:type="dxa"/>
            </w:tcMar>
            <w:vAlign w:val="center"/>
          </w:tcPr>
          <w:p w14:paraId="738E5AF9">
            <w:pPr>
              <w:spacing w:line="240" w:lineRule="auto"/>
              <w:jc w:val="center"/>
              <w:rPr>
                <w:rFonts w:ascii="宋体" w:hAnsi="宋体"/>
              </w:rPr>
            </w:pPr>
            <w:r>
              <w:rPr>
                <w:rFonts w:ascii="宋体" w:hAnsi="宋体"/>
                <w:color w:val="000000"/>
              </w:rPr>
              <w:t>0.06</w:t>
            </w:r>
          </w:p>
        </w:tc>
        <w:tc>
          <w:tcPr>
            <w:tcW w:w="1561" w:type="dxa"/>
            <w:tcBorders>
              <w:top w:val="single" w:color="auto" w:sz="12" w:space="0"/>
            </w:tcBorders>
            <w:vAlign w:val="center"/>
          </w:tcPr>
          <w:p w14:paraId="37450429">
            <w:pPr>
              <w:spacing w:line="240" w:lineRule="auto"/>
              <w:jc w:val="center"/>
              <w:rPr>
                <w:rFonts w:ascii="宋体" w:hAnsi="宋体"/>
                <w:color w:val="000000"/>
              </w:rPr>
            </w:pPr>
            <w:r>
              <w:rPr>
                <w:rFonts w:ascii="宋体" w:hAnsi="宋体"/>
                <w:color w:val="000000"/>
              </w:rPr>
              <w:t>5.74</w:t>
            </w:r>
          </w:p>
        </w:tc>
        <w:tc>
          <w:tcPr>
            <w:tcW w:w="1618" w:type="dxa"/>
            <w:tcBorders>
              <w:top w:val="single" w:color="auto" w:sz="12" w:space="0"/>
            </w:tcBorders>
            <w:vAlign w:val="center"/>
          </w:tcPr>
          <w:p w14:paraId="6DBD5C8D">
            <w:pPr>
              <w:spacing w:line="240" w:lineRule="auto"/>
              <w:jc w:val="center"/>
              <w:rPr>
                <w:rFonts w:ascii="宋体" w:hAnsi="宋体"/>
                <w:color w:val="000000"/>
              </w:rPr>
            </w:pPr>
            <w:r>
              <w:rPr>
                <w:rFonts w:ascii="宋体" w:hAnsi="宋体"/>
                <w:color w:val="000000"/>
              </w:rPr>
              <w:t>0.53</w:t>
            </w:r>
          </w:p>
        </w:tc>
        <w:tc>
          <w:tcPr>
            <w:tcW w:w="1203" w:type="dxa"/>
            <w:tcBorders>
              <w:top w:val="single" w:color="auto" w:sz="12" w:space="0"/>
            </w:tcBorders>
            <w:vAlign w:val="center"/>
          </w:tcPr>
          <w:p w14:paraId="14948E41">
            <w:pPr>
              <w:spacing w:line="240" w:lineRule="auto"/>
              <w:jc w:val="center"/>
              <w:rPr>
                <w:rFonts w:ascii="宋体" w:hAnsi="宋体"/>
                <w:color w:val="000000"/>
              </w:rPr>
            </w:pPr>
            <w:r>
              <w:rPr>
                <w:rFonts w:ascii="宋体" w:hAnsi="宋体"/>
                <w:color w:val="000000"/>
              </w:rPr>
              <w:t>0.15</w:t>
            </w:r>
          </w:p>
        </w:tc>
        <w:tc>
          <w:tcPr>
            <w:tcW w:w="1355" w:type="dxa"/>
            <w:tcBorders>
              <w:top w:val="single" w:color="auto" w:sz="12" w:space="0"/>
            </w:tcBorders>
            <w:vAlign w:val="center"/>
          </w:tcPr>
          <w:p w14:paraId="2221FF00">
            <w:pPr>
              <w:spacing w:line="240" w:lineRule="auto"/>
              <w:jc w:val="center"/>
              <w:rPr>
                <w:rFonts w:ascii="宋体" w:hAnsi="宋体"/>
                <w:color w:val="000000"/>
              </w:rPr>
            </w:pPr>
            <w:r>
              <w:rPr>
                <w:rFonts w:ascii="宋体" w:hAnsi="宋体"/>
                <w:color w:val="000000"/>
              </w:rPr>
              <w:t>5.88</w:t>
            </w:r>
          </w:p>
        </w:tc>
      </w:tr>
      <w:tr w14:paraId="310CCFF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793C6CBD">
            <w:pPr>
              <w:spacing w:line="240" w:lineRule="auto"/>
              <w:jc w:val="center"/>
              <w:rPr>
                <w:rFonts w:ascii="宋体" w:hAnsi="宋体"/>
              </w:rPr>
            </w:pPr>
          </w:p>
        </w:tc>
        <w:tc>
          <w:tcPr>
            <w:tcW w:w="1732" w:type="dxa"/>
            <w:tcMar>
              <w:left w:w="0" w:type="dxa"/>
              <w:right w:w="0" w:type="dxa"/>
            </w:tcMar>
          </w:tcPr>
          <w:p w14:paraId="1E248127">
            <w:pPr>
              <w:spacing w:line="240" w:lineRule="auto"/>
              <w:jc w:val="center"/>
              <w:rPr>
                <w:rFonts w:ascii="宋体" w:hAnsi="宋体"/>
              </w:rPr>
            </w:pPr>
            <w:r>
              <w:rPr>
                <w:rFonts w:hint="eastAsia" w:ascii="宋体" w:hAnsi="宋体"/>
              </w:rPr>
              <w:t>正辛烷</w:t>
            </w:r>
          </w:p>
        </w:tc>
        <w:tc>
          <w:tcPr>
            <w:tcW w:w="1031" w:type="dxa"/>
            <w:tcMar>
              <w:left w:w="0" w:type="dxa"/>
              <w:right w:w="0" w:type="dxa"/>
            </w:tcMar>
            <w:vAlign w:val="center"/>
          </w:tcPr>
          <w:p w14:paraId="797B7D9F">
            <w:pPr>
              <w:spacing w:line="240" w:lineRule="auto"/>
              <w:jc w:val="center"/>
              <w:rPr>
                <w:rFonts w:ascii="宋体" w:hAnsi="宋体"/>
              </w:rPr>
            </w:pPr>
            <w:r>
              <w:rPr>
                <w:rFonts w:ascii="宋体" w:hAnsi="宋体"/>
                <w:color w:val="000000"/>
              </w:rPr>
              <w:t>0.06</w:t>
            </w:r>
          </w:p>
        </w:tc>
        <w:tc>
          <w:tcPr>
            <w:tcW w:w="1561" w:type="dxa"/>
            <w:vAlign w:val="center"/>
          </w:tcPr>
          <w:p w14:paraId="118F2F68">
            <w:pPr>
              <w:spacing w:line="240" w:lineRule="auto"/>
              <w:jc w:val="center"/>
              <w:rPr>
                <w:rFonts w:ascii="宋体" w:hAnsi="宋体"/>
                <w:color w:val="000000"/>
              </w:rPr>
            </w:pPr>
            <w:r>
              <w:rPr>
                <w:rFonts w:ascii="宋体" w:hAnsi="宋体"/>
                <w:color w:val="000000"/>
              </w:rPr>
              <w:t>0.92</w:t>
            </w:r>
          </w:p>
        </w:tc>
        <w:tc>
          <w:tcPr>
            <w:tcW w:w="1618" w:type="dxa"/>
            <w:vAlign w:val="center"/>
          </w:tcPr>
          <w:p w14:paraId="3D1A58F6">
            <w:pPr>
              <w:spacing w:line="240" w:lineRule="auto"/>
              <w:jc w:val="center"/>
              <w:rPr>
                <w:rFonts w:ascii="宋体" w:hAnsi="宋体"/>
                <w:color w:val="000000"/>
              </w:rPr>
            </w:pPr>
            <w:r>
              <w:rPr>
                <w:rFonts w:ascii="宋体" w:hAnsi="宋体"/>
                <w:color w:val="000000"/>
              </w:rPr>
              <w:t>1.76</w:t>
            </w:r>
          </w:p>
        </w:tc>
        <w:tc>
          <w:tcPr>
            <w:tcW w:w="1203" w:type="dxa"/>
            <w:vAlign w:val="center"/>
          </w:tcPr>
          <w:p w14:paraId="36D3A757">
            <w:pPr>
              <w:spacing w:line="240" w:lineRule="auto"/>
              <w:jc w:val="center"/>
              <w:rPr>
                <w:rFonts w:ascii="宋体" w:hAnsi="宋体"/>
                <w:color w:val="000000"/>
              </w:rPr>
            </w:pPr>
            <w:r>
              <w:rPr>
                <w:rFonts w:ascii="宋体" w:hAnsi="宋体"/>
                <w:color w:val="000000"/>
              </w:rPr>
              <w:t>1.71</w:t>
            </w:r>
          </w:p>
        </w:tc>
        <w:tc>
          <w:tcPr>
            <w:tcW w:w="1355" w:type="dxa"/>
            <w:vAlign w:val="center"/>
          </w:tcPr>
          <w:p w14:paraId="70C78381">
            <w:pPr>
              <w:spacing w:line="240" w:lineRule="auto"/>
              <w:jc w:val="center"/>
              <w:rPr>
                <w:rFonts w:ascii="宋体" w:hAnsi="宋体"/>
                <w:color w:val="000000"/>
              </w:rPr>
            </w:pPr>
            <w:r>
              <w:rPr>
                <w:rFonts w:ascii="宋体" w:hAnsi="宋体"/>
                <w:color w:val="000000"/>
              </w:rPr>
              <w:t>2.46</w:t>
            </w:r>
          </w:p>
        </w:tc>
      </w:tr>
      <w:tr w14:paraId="1F33B4A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53932A58">
            <w:pPr>
              <w:spacing w:line="240" w:lineRule="auto"/>
              <w:jc w:val="center"/>
              <w:rPr>
                <w:rFonts w:ascii="宋体" w:hAnsi="宋体"/>
              </w:rPr>
            </w:pPr>
          </w:p>
        </w:tc>
        <w:tc>
          <w:tcPr>
            <w:tcW w:w="1732" w:type="dxa"/>
            <w:tcMar>
              <w:left w:w="0" w:type="dxa"/>
              <w:right w:w="0" w:type="dxa"/>
            </w:tcMar>
          </w:tcPr>
          <w:p w14:paraId="4FCC5639">
            <w:pPr>
              <w:spacing w:line="240" w:lineRule="auto"/>
              <w:jc w:val="center"/>
              <w:rPr>
                <w:rFonts w:ascii="宋体" w:hAnsi="宋体"/>
              </w:rPr>
            </w:pPr>
            <w:r>
              <w:rPr>
                <w:rFonts w:hint="eastAsia" w:ascii="宋体" w:hAnsi="宋体"/>
              </w:rPr>
              <w:t>壬烷</w:t>
            </w:r>
          </w:p>
        </w:tc>
        <w:tc>
          <w:tcPr>
            <w:tcW w:w="1031" w:type="dxa"/>
            <w:tcMar>
              <w:left w:w="0" w:type="dxa"/>
              <w:right w:w="0" w:type="dxa"/>
            </w:tcMar>
            <w:vAlign w:val="center"/>
          </w:tcPr>
          <w:p w14:paraId="6D14A3E4">
            <w:pPr>
              <w:spacing w:line="240" w:lineRule="auto"/>
              <w:jc w:val="center"/>
              <w:rPr>
                <w:rFonts w:ascii="宋体" w:hAnsi="宋体"/>
              </w:rPr>
            </w:pPr>
            <w:r>
              <w:rPr>
                <w:rFonts w:ascii="宋体" w:hAnsi="宋体"/>
                <w:color w:val="000000"/>
              </w:rPr>
              <w:t>1.50</w:t>
            </w:r>
          </w:p>
        </w:tc>
        <w:tc>
          <w:tcPr>
            <w:tcW w:w="1561" w:type="dxa"/>
            <w:vAlign w:val="center"/>
          </w:tcPr>
          <w:p w14:paraId="4BE06434">
            <w:pPr>
              <w:spacing w:line="240" w:lineRule="auto"/>
              <w:jc w:val="center"/>
              <w:rPr>
                <w:rFonts w:ascii="宋体" w:hAnsi="宋体"/>
                <w:color w:val="000000"/>
              </w:rPr>
            </w:pPr>
            <w:r>
              <w:rPr>
                <w:rFonts w:ascii="宋体" w:hAnsi="宋体"/>
                <w:color w:val="000000"/>
              </w:rPr>
              <w:t>0.03</w:t>
            </w:r>
          </w:p>
        </w:tc>
        <w:tc>
          <w:tcPr>
            <w:tcW w:w="1618" w:type="dxa"/>
            <w:vAlign w:val="center"/>
          </w:tcPr>
          <w:p w14:paraId="7A70FAD3">
            <w:pPr>
              <w:spacing w:line="240" w:lineRule="auto"/>
              <w:jc w:val="center"/>
              <w:rPr>
                <w:rFonts w:ascii="宋体" w:hAnsi="宋体"/>
                <w:color w:val="000000"/>
              </w:rPr>
            </w:pPr>
            <w:r>
              <w:rPr>
                <w:rFonts w:ascii="宋体" w:hAnsi="宋体"/>
                <w:color w:val="000000"/>
              </w:rPr>
              <w:t>0.35</w:t>
            </w:r>
          </w:p>
        </w:tc>
        <w:tc>
          <w:tcPr>
            <w:tcW w:w="1203" w:type="dxa"/>
            <w:vAlign w:val="center"/>
          </w:tcPr>
          <w:p w14:paraId="5B536BFC">
            <w:pPr>
              <w:spacing w:line="240" w:lineRule="auto"/>
              <w:jc w:val="center"/>
              <w:rPr>
                <w:rFonts w:ascii="宋体" w:hAnsi="宋体"/>
                <w:color w:val="000000"/>
              </w:rPr>
            </w:pPr>
            <w:r>
              <w:rPr>
                <w:rFonts w:ascii="宋体" w:hAnsi="宋体"/>
                <w:color w:val="000000"/>
              </w:rPr>
              <w:t>0.29</w:t>
            </w:r>
          </w:p>
        </w:tc>
        <w:tc>
          <w:tcPr>
            <w:tcW w:w="1355" w:type="dxa"/>
            <w:vAlign w:val="center"/>
          </w:tcPr>
          <w:p w14:paraId="2A627BCA">
            <w:pPr>
              <w:spacing w:line="240" w:lineRule="auto"/>
              <w:jc w:val="center"/>
              <w:rPr>
                <w:rFonts w:ascii="宋体" w:hAnsi="宋体"/>
                <w:color w:val="000000"/>
              </w:rPr>
            </w:pPr>
            <w:r>
              <w:rPr>
                <w:rFonts w:ascii="宋体" w:hAnsi="宋体"/>
                <w:color w:val="000000"/>
              </w:rPr>
              <w:t>1.25</w:t>
            </w:r>
          </w:p>
        </w:tc>
      </w:tr>
      <w:tr w14:paraId="68B2754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1DA6FE7B">
            <w:pPr>
              <w:spacing w:line="240" w:lineRule="auto"/>
              <w:jc w:val="center"/>
              <w:rPr>
                <w:rFonts w:ascii="宋体" w:hAnsi="宋体"/>
              </w:rPr>
            </w:pPr>
          </w:p>
        </w:tc>
        <w:tc>
          <w:tcPr>
            <w:tcW w:w="1732" w:type="dxa"/>
            <w:tcMar>
              <w:left w:w="0" w:type="dxa"/>
              <w:right w:w="0" w:type="dxa"/>
            </w:tcMar>
          </w:tcPr>
          <w:p w14:paraId="2A7D7FEA">
            <w:pPr>
              <w:spacing w:line="240" w:lineRule="auto"/>
              <w:jc w:val="center"/>
              <w:rPr>
                <w:rFonts w:ascii="宋体" w:hAnsi="宋体"/>
              </w:rPr>
            </w:pPr>
            <w:r>
              <w:rPr>
                <w:rFonts w:hint="eastAsia" w:ascii="宋体" w:hAnsi="宋体"/>
              </w:rPr>
              <w:t>正癸烷</w:t>
            </w:r>
          </w:p>
        </w:tc>
        <w:tc>
          <w:tcPr>
            <w:tcW w:w="1031" w:type="dxa"/>
            <w:tcMar>
              <w:left w:w="0" w:type="dxa"/>
              <w:right w:w="0" w:type="dxa"/>
            </w:tcMar>
            <w:vAlign w:val="center"/>
          </w:tcPr>
          <w:p w14:paraId="2BA0F592">
            <w:pPr>
              <w:spacing w:line="240" w:lineRule="auto"/>
              <w:jc w:val="center"/>
              <w:rPr>
                <w:rFonts w:ascii="宋体" w:hAnsi="宋体"/>
              </w:rPr>
            </w:pPr>
            <w:r>
              <w:rPr>
                <w:rFonts w:ascii="宋体" w:hAnsi="宋体"/>
                <w:color w:val="000000"/>
              </w:rPr>
              <w:t>2.00</w:t>
            </w:r>
          </w:p>
        </w:tc>
        <w:tc>
          <w:tcPr>
            <w:tcW w:w="1561" w:type="dxa"/>
            <w:vAlign w:val="center"/>
          </w:tcPr>
          <w:p w14:paraId="58F9B967">
            <w:pPr>
              <w:spacing w:line="240" w:lineRule="auto"/>
              <w:jc w:val="center"/>
              <w:rPr>
                <w:rFonts w:ascii="宋体" w:hAnsi="宋体"/>
                <w:color w:val="000000"/>
              </w:rPr>
            </w:pPr>
            <w:r>
              <w:rPr>
                <w:rFonts w:ascii="宋体" w:hAnsi="宋体"/>
                <w:color w:val="000000"/>
              </w:rPr>
              <w:t>0.00</w:t>
            </w:r>
          </w:p>
        </w:tc>
        <w:tc>
          <w:tcPr>
            <w:tcW w:w="1618" w:type="dxa"/>
            <w:vAlign w:val="center"/>
          </w:tcPr>
          <w:p w14:paraId="7F4A9CAD">
            <w:pPr>
              <w:spacing w:line="240" w:lineRule="auto"/>
              <w:jc w:val="center"/>
              <w:rPr>
                <w:rFonts w:ascii="宋体" w:hAnsi="宋体"/>
                <w:color w:val="000000"/>
              </w:rPr>
            </w:pPr>
            <w:r>
              <w:rPr>
                <w:rFonts w:ascii="宋体" w:hAnsi="宋体"/>
                <w:color w:val="000000"/>
              </w:rPr>
              <w:t>0.09</w:t>
            </w:r>
          </w:p>
        </w:tc>
        <w:tc>
          <w:tcPr>
            <w:tcW w:w="1203" w:type="dxa"/>
            <w:vAlign w:val="center"/>
          </w:tcPr>
          <w:p w14:paraId="6C698724">
            <w:pPr>
              <w:spacing w:line="240" w:lineRule="auto"/>
              <w:jc w:val="center"/>
              <w:rPr>
                <w:rFonts w:ascii="宋体" w:hAnsi="宋体"/>
                <w:color w:val="000000"/>
              </w:rPr>
            </w:pPr>
            <w:r>
              <w:rPr>
                <w:rFonts w:ascii="宋体" w:hAnsi="宋体"/>
                <w:color w:val="000000"/>
              </w:rPr>
              <w:t>0.04</w:t>
            </w:r>
          </w:p>
        </w:tc>
        <w:tc>
          <w:tcPr>
            <w:tcW w:w="1355" w:type="dxa"/>
            <w:vAlign w:val="center"/>
          </w:tcPr>
          <w:p w14:paraId="2772584E">
            <w:pPr>
              <w:spacing w:line="240" w:lineRule="auto"/>
              <w:jc w:val="center"/>
              <w:rPr>
                <w:rFonts w:ascii="宋体" w:hAnsi="宋体"/>
                <w:color w:val="000000"/>
              </w:rPr>
            </w:pPr>
            <w:r>
              <w:rPr>
                <w:rFonts w:ascii="宋体" w:hAnsi="宋体"/>
                <w:color w:val="000000"/>
              </w:rPr>
              <w:t>0.77</w:t>
            </w:r>
          </w:p>
        </w:tc>
      </w:tr>
      <w:tr w14:paraId="3A5F358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214A6044">
            <w:pPr>
              <w:spacing w:line="240" w:lineRule="auto"/>
              <w:jc w:val="center"/>
              <w:rPr>
                <w:rFonts w:ascii="宋体" w:hAnsi="宋体"/>
              </w:rPr>
            </w:pPr>
          </w:p>
        </w:tc>
        <w:tc>
          <w:tcPr>
            <w:tcW w:w="1732" w:type="dxa"/>
            <w:tcMar>
              <w:left w:w="0" w:type="dxa"/>
              <w:right w:w="0" w:type="dxa"/>
            </w:tcMar>
          </w:tcPr>
          <w:p w14:paraId="3D5BD603">
            <w:pPr>
              <w:spacing w:line="240" w:lineRule="auto"/>
              <w:jc w:val="center"/>
              <w:rPr>
                <w:rFonts w:ascii="宋体" w:hAnsi="宋体"/>
              </w:rPr>
            </w:pPr>
            <w:r>
              <w:rPr>
                <w:rFonts w:hint="eastAsia" w:ascii="宋体" w:hAnsi="宋体"/>
              </w:rPr>
              <w:t>正十一烷</w:t>
            </w:r>
          </w:p>
        </w:tc>
        <w:tc>
          <w:tcPr>
            <w:tcW w:w="1031" w:type="dxa"/>
            <w:tcMar>
              <w:left w:w="0" w:type="dxa"/>
              <w:right w:w="0" w:type="dxa"/>
            </w:tcMar>
            <w:vAlign w:val="center"/>
          </w:tcPr>
          <w:p w14:paraId="072E0B9B">
            <w:pPr>
              <w:spacing w:line="240" w:lineRule="auto"/>
              <w:jc w:val="center"/>
              <w:rPr>
                <w:rFonts w:ascii="宋体" w:hAnsi="宋体"/>
              </w:rPr>
            </w:pPr>
            <w:r>
              <w:rPr>
                <w:rFonts w:ascii="宋体" w:hAnsi="宋体"/>
                <w:color w:val="000000"/>
              </w:rPr>
              <w:t>2.50</w:t>
            </w:r>
          </w:p>
        </w:tc>
        <w:tc>
          <w:tcPr>
            <w:tcW w:w="1561" w:type="dxa"/>
            <w:vAlign w:val="center"/>
          </w:tcPr>
          <w:p w14:paraId="0C7FFCF9">
            <w:pPr>
              <w:spacing w:line="240" w:lineRule="auto"/>
              <w:jc w:val="center"/>
              <w:rPr>
                <w:rFonts w:ascii="宋体" w:hAnsi="宋体"/>
                <w:color w:val="000000"/>
              </w:rPr>
            </w:pPr>
            <w:r>
              <w:rPr>
                <w:rFonts w:ascii="宋体" w:hAnsi="宋体"/>
                <w:color w:val="000000"/>
              </w:rPr>
              <w:t>0.06</w:t>
            </w:r>
          </w:p>
        </w:tc>
        <w:tc>
          <w:tcPr>
            <w:tcW w:w="1618" w:type="dxa"/>
            <w:vAlign w:val="center"/>
          </w:tcPr>
          <w:p w14:paraId="251890C2">
            <w:pPr>
              <w:spacing w:line="240" w:lineRule="auto"/>
              <w:jc w:val="center"/>
              <w:rPr>
                <w:rFonts w:ascii="宋体" w:hAnsi="宋体"/>
                <w:color w:val="000000"/>
              </w:rPr>
            </w:pPr>
            <w:r>
              <w:rPr>
                <w:rFonts w:ascii="宋体" w:hAnsi="宋体"/>
                <w:color w:val="000000"/>
              </w:rPr>
              <w:t>0.02</w:t>
            </w:r>
          </w:p>
        </w:tc>
        <w:tc>
          <w:tcPr>
            <w:tcW w:w="1203" w:type="dxa"/>
            <w:vAlign w:val="center"/>
          </w:tcPr>
          <w:p w14:paraId="3A763413">
            <w:pPr>
              <w:spacing w:line="240" w:lineRule="auto"/>
              <w:jc w:val="center"/>
              <w:rPr>
                <w:rFonts w:ascii="宋体" w:hAnsi="宋体"/>
                <w:color w:val="000000"/>
              </w:rPr>
            </w:pPr>
            <w:r>
              <w:rPr>
                <w:rFonts w:ascii="宋体" w:hAnsi="宋体"/>
                <w:color w:val="000000"/>
              </w:rPr>
              <w:t>0.00</w:t>
            </w:r>
          </w:p>
        </w:tc>
        <w:tc>
          <w:tcPr>
            <w:tcW w:w="1355" w:type="dxa"/>
            <w:vAlign w:val="center"/>
          </w:tcPr>
          <w:p w14:paraId="63B88F52">
            <w:pPr>
              <w:spacing w:line="240" w:lineRule="auto"/>
              <w:jc w:val="center"/>
              <w:rPr>
                <w:rFonts w:ascii="宋体" w:hAnsi="宋体"/>
                <w:color w:val="000000"/>
              </w:rPr>
            </w:pPr>
            <w:r>
              <w:rPr>
                <w:rFonts w:ascii="宋体" w:hAnsi="宋体"/>
                <w:color w:val="000000"/>
              </w:rPr>
              <w:t>0.30</w:t>
            </w:r>
          </w:p>
        </w:tc>
      </w:tr>
      <w:tr w14:paraId="281A390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71943AE0">
            <w:pPr>
              <w:spacing w:line="240" w:lineRule="auto"/>
              <w:jc w:val="center"/>
              <w:rPr>
                <w:rFonts w:ascii="宋体" w:hAnsi="宋体"/>
              </w:rPr>
            </w:pPr>
          </w:p>
        </w:tc>
        <w:tc>
          <w:tcPr>
            <w:tcW w:w="1732" w:type="dxa"/>
            <w:tcMar>
              <w:left w:w="0" w:type="dxa"/>
              <w:right w:w="0" w:type="dxa"/>
            </w:tcMar>
            <w:vAlign w:val="bottom"/>
          </w:tcPr>
          <w:p w14:paraId="5EA3993C">
            <w:pPr>
              <w:spacing w:line="240" w:lineRule="auto"/>
              <w:jc w:val="center"/>
              <w:rPr>
                <w:rFonts w:ascii="宋体" w:hAnsi="宋体"/>
              </w:rPr>
            </w:pPr>
            <w:r>
              <w:rPr>
                <w:rFonts w:hint="eastAsia" w:ascii="宋体" w:hAnsi="宋体"/>
              </w:rPr>
              <w:t>2-甲基庚烷</w:t>
            </w:r>
          </w:p>
        </w:tc>
        <w:tc>
          <w:tcPr>
            <w:tcW w:w="1031" w:type="dxa"/>
            <w:tcMar>
              <w:left w:w="0" w:type="dxa"/>
              <w:right w:w="0" w:type="dxa"/>
            </w:tcMar>
            <w:vAlign w:val="center"/>
          </w:tcPr>
          <w:p w14:paraId="453A885C">
            <w:pPr>
              <w:spacing w:line="240" w:lineRule="auto"/>
              <w:jc w:val="center"/>
              <w:rPr>
                <w:rFonts w:ascii="宋体" w:hAnsi="宋体"/>
              </w:rPr>
            </w:pPr>
            <w:r>
              <w:rPr>
                <w:rFonts w:ascii="宋体" w:hAnsi="宋体"/>
                <w:color w:val="000000"/>
              </w:rPr>
              <w:t>0.50</w:t>
            </w:r>
          </w:p>
        </w:tc>
        <w:tc>
          <w:tcPr>
            <w:tcW w:w="1561" w:type="dxa"/>
            <w:vAlign w:val="center"/>
          </w:tcPr>
          <w:p w14:paraId="718E0B09">
            <w:pPr>
              <w:spacing w:line="240" w:lineRule="auto"/>
              <w:jc w:val="center"/>
              <w:rPr>
                <w:rFonts w:ascii="宋体" w:hAnsi="宋体"/>
                <w:color w:val="000000"/>
              </w:rPr>
            </w:pPr>
            <w:r>
              <w:rPr>
                <w:rFonts w:ascii="宋体" w:hAnsi="宋体"/>
                <w:color w:val="000000"/>
              </w:rPr>
              <w:t>4.98</w:t>
            </w:r>
          </w:p>
        </w:tc>
        <w:tc>
          <w:tcPr>
            <w:tcW w:w="1618" w:type="dxa"/>
            <w:vAlign w:val="center"/>
          </w:tcPr>
          <w:p w14:paraId="714A3B66">
            <w:pPr>
              <w:spacing w:line="240" w:lineRule="auto"/>
              <w:jc w:val="center"/>
              <w:rPr>
                <w:rFonts w:ascii="宋体" w:hAnsi="宋体"/>
                <w:color w:val="000000"/>
              </w:rPr>
            </w:pPr>
            <w:r>
              <w:rPr>
                <w:rFonts w:ascii="宋体" w:hAnsi="宋体"/>
                <w:color w:val="000000"/>
              </w:rPr>
              <w:t>0.47</w:t>
            </w:r>
          </w:p>
        </w:tc>
        <w:tc>
          <w:tcPr>
            <w:tcW w:w="1203" w:type="dxa"/>
            <w:vAlign w:val="center"/>
          </w:tcPr>
          <w:p w14:paraId="47D59DE2">
            <w:pPr>
              <w:spacing w:line="240" w:lineRule="auto"/>
              <w:jc w:val="center"/>
              <w:rPr>
                <w:rFonts w:ascii="宋体" w:hAnsi="宋体"/>
                <w:color w:val="000000"/>
              </w:rPr>
            </w:pPr>
            <w:r>
              <w:rPr>
                <w:rFonts w:ascii="宋体" w:hAnsi="宋体"/>
                <w:color w:val="000000"/>
              </w:rPr>
              <w:t>0.35</w:t>
            </w:r>
          </w:p>
        </w:tc>
        <w:tc>
          <w:tcPr>
            <w:tcW w:w="1355" w:type="dxa"/>
            <w:vAlign w:val="center"/>
          </w:tcPr>
          <w:p w14:paraId="6916BB3E">
            <w:pPr>
              <w:spacing w:line="240" w:lineRule="auto"/>
              <w:jc w:val="center"/>
              <w:rPr>
                <w:rFonts w:ascii="宋体" w:hAnsi="宋体"/>
                <w:color w:val="000000"/>
              </w:rPr>
            </w:pPr>
            <w:r>
              <w:rPr>
                <w:rFonts w:ascii="宋体" w:hAnsi="宋体"/>
                <w:color w:val="000000"/>
              </w:rPr>
              <w:t>2.21</w:t>
            </w:r>
          </w:p>
        </w:tc>
      </w:tr>
      <w:tr w14:paraId="78281C7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0" w:type="auto"/>
            <w:vMerge w:val="continue"/>
            <w:tcMar>
              <w:left w:w="0" w:type="dxa"/>
              <w:right w:w="0" w:type="dxa"/>
            </w:tcMar>
            <w:vAlign w:val="center"/>
          </w:tcPr>
          <w:p w14:paraId="110B8769">
            <w:pPr>
              <w:spacing w:line="240" w:lineRule="auto"/>
              <w:jc w:val="center"/>
              <w:rPr>
                <w:rFonts w:ascii="宋体" w:hAnsi="宋体"/>
              </w:rPr>
            </w:pPr>
          </w:p>
        </w:tc>
        <w:tc>
          <w:tcPr>
            <w:tcW w:w="1732" w:type="dxa"/>
            <w:tcMar>
              <w:left w:w="0" w:type="dxa"/>
              <w:right w:w="0" w:type="dxa"/>
            </w:tcMar>
            <w:vAlign w:val="bottom"/>
          </w:tcPr>
          <w:p w14:paraId="025678E7">
            <w:pPr>
              <w:spacing w:line="240" w:lineRule="auto"/>
              <w:jc w:val="center"/>
              <w:rPr>
                <w:rFonts w:ascii="宋体" w:hAnsi="宋体"/>
              </w:rPr>
            </w:pPr>
            <w:r>
              <w:rPr>
                <w:rFonts w:hint="eastAsia" w:ascii="宋体" w:hAnsi="宋体"/>
              </w:rPr>
              <w:t>3-甲基庚烷</w:t>
            </w:r>
          </w:p>
        </w:tc>
        <w:tc>
          <w:tcPr>
            <w:tcW w:w="1031" w:type="dxa"/>
            <w:vAlign w:val="center"/>
          </w:tcPr>
          <w:p w14:paraId="4A68DA68">
            <w:pPr>
              <w:spacing w:line="240" w:lineRule="auto"/>
              <w:jc w:val="center"/>
              <w:rPr>
                <w:rFonts w:ascii="宋体" w:hAnsi="宋体"/>
              </w:rPr>
            </w:pPr>
            <w:r>
              <w:rPr>
                <w:rFonts w:ascii="宋体" w:hAnsi="宋体"/>
                <w:color w:val="000000"/>
              </w:rPr>
              <w:t>0.50</w:t>
            </w:r>
          </w:p>
        </w:tc>
        <w:tc>
          <w:tcPr>
            <w:tcW w:w="1561" w:type="dxa"/>
            <w:vAlign w:val="center"/>
          </w:tcPr>
          <w:p w14:paraId="338FB33B">
            <w:pPr>
              <w:spacing w:line="240" w:lineRule="auto"/>
              <w:jc w:val="center"/>
              <w:rPr>
                <w:rFonts w:ascii="宋体" w:hAnsi="宋体"/>
                <w:color w:val="000000"/>
              </w:rPr>
            </w:pPr>
            <w:r>
              <w:rPr>
                <w:rFonts w:ascii="宋体" w:hAnsi="宋体"/>
                <w:color w:val="000000"/>
              </w:rPr>
              <w:t>2.37</w:t>
            </w:r>
          </w:p>
        </w:tc>
        <w:tc>
          <w:tcPr>
            <w:tcW w:w="1618" w:type="dxa"/>
            <w:vAlign w:val="center"/>
          </w:tcPr>
          <w:p w14:paraId="2ADBBB0C">
            <w:pPr>
              <w:spacing w:line="240" w:lineRule="auto"/>
              <w:jc w:val="center"/>
              <w:rPr>
                <w:rFonts w:ascii="宋体" w:hAnsi="宋体"/>
                <w:color w:val="000000"/>
              </w:rPr>
            </w:pPr>
            <w:r>
              <w:rPr>
                <w:rFonts w:ascii="宋体" w:hAnsi="宋体"/>
                <w:color w:val="000000"/>
              </w:rPr>
              <w:t>0.13</w:t>
            </w:r>
          </w:p>
        </w:tc>
        <w:tc>
          <w:tcPr>
            <w:tcW w:w="1203" w:type="dxa"/>
            <w:vAlign w:val="center"/>
          </w:tcPr>
          <w:p w14:paraId="4AA38251">
            <w:pPr>
              <w:spacing w:line="240" w:lineRule="auto"/>
              <w:jc w:val="center"/>
              <w:rPr>
                <w:rFonts w:ascii="宋体" w:hAnsi="宋体"/>
                <w:color w:val="000000"/>
              </w:rPr>
            </w:pPr>
            <w:r>
              <w:rPr>
                <w:rFonts w:ascii="宋体" w:hAnsi="宋体"/>
                <w:color w:val="000000"/>
              </w:rPr>
              <w:t>0.09</w:t>
            </w:r>
          </w:p>
        </w:tc>
        <w:tc>
          <w:tcPr>
            <w:tcW w:w="1355" w:type="dxa"/>
            <w:vAlign w:val="center"/>
          </w:tcPr>
          <w:p w14:paraId="7DCB37C9">
            <w:pPr>
              <w:spacing w:line="240" w:lineRule="auto"/>
              <w:jc w:val="center"/>
              <w:rPr>
                <w:rFonts w:ascii="宋体" w:hAnsi="宋体"/>
                <w:color w:val="000000"/>
              </w:rPr>
            </w:pPr>
            <w:r>
              <w:rPr>
                <w:rFonts w:ascii="宋体" w:hAnsi="宋体"/>
                <w:color w:val="000000"/>
              </w:rPr>
              <w:t>0.57</w:t>
            </w:r>
          </w:p>
        </w:tc>
      </w:tr>
      <w:tr w14:paraId="7B3BB54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0" w:type="auto"/>
            <w:vMerge w:val="continue"/>
            <w:tcMar>
              <w:left w:w="0" w:type="dxa"/>
              <w:right w:w="0" w:type="dxa"/>
            </w:tcMar>
            <w:vAlign w:val="center"/>
          </w:tcPr>
          <w:p w14:paraId="35D90A93">
            <w:pPr>
              <w:spacing w:line="240" w:lineRule="auto"/>
              <w:jc w:val="center"/>
              <w:rPr>
                <w:rFonts w:ascii="宋体" w:hAnsi="宋体"/>
                <w:shd w:val="clear" w:color="auto" w:fill="FFFFFF"/>
              </w:rPr>
            </w:pPr>
          </w:p>
        </w:tc>
        <w:tc>
          <w:tcPr>
            <w:tcW w:w="1732" w:type="dxa"/>
            <w:tcMar>
              <w:left w:w="0" w:type="dxa"/>
              <w:right w:w="0" w:type="dxa"/>
            </w:tcMar>
            <w:vAlign w:val="center"/>
          </w:tcPr>
          <w:p w14:paraId="6277814B">
            <w:pPr>
              <w:spacing w:line="240" w:lineRule="auto"/>
              <w:jc w:val="center"/>
              <w:rPr>
                <w:rFonts w:ascii="宋体" w:hAnsi="宋体"/>
              </w:rPr>
            </w:pPr>
            <w:r>
              <w:rPr>
                <w:rFonts w:hint="eastAsia" w:ascii="宋体" w:hAnsi="宋体"/>
              </w:rPr>
              <w:t>甲基环戊烷</w:t>
            </w:r>
          </w:p>
        </w:tc>
        <w:tc>
          <w:tcPr>
            <w:tcW w:w="1031" w:type="dxa"/>
            <w:vAlign w:val="center"/>
          </w:tcPr>
          <w:p w14:paraId="1DA7F68F">
            <w:pPr>
              <w:spacing w:line="240" w:lineRule="auto"/>
              <w:jc w:val="center"/>
              <w:rPr>
                <w:rFonts w:ascii="宋体" w:hAnsi="宋体"/>
              </w:rPr>
            </w:pPr>
            <w:r>
              <w:rPr>
                <w:rFonts w:ascii="宋体" w:hAnsi="宋体"/>
                <w:color w:val="000000"/>
              </w:rPr>
              <w:t>0.17</w:t>
            </w:r>
          </w:p>
        </w:tc>
        <w:tc>
          <w:tcPr>
            <w:tcW w:w="1561" w:type="dxa"/>
            <w:vAlign w:val="center"/>
          </w:tcPr>
          <w:p w14:paraId="4FAA9D65">
            <w:pPr>
              <w:spacing w:line="240" w:lineRule="auto"/>
              <w:jc w:val="center"/>
              <w:rPr>
                <w:rFonts w:ascii="宋体" w:hAnsi="宋体"/>
                <w:color w:val="000000"/>
              </w:rPr>
            </w:pPr>
            <w:r>
              <w:rPr>
                <w:rFonts w:ascii="宋体" w:hAnsi="宋体"/>
                <w:color w:val="000000"/>
              </w:rPr>
              <w:t>7.79</w:t>
            </w:r>
          </w:p>
        </w:tc>
        <w:tc>
          <w:tcPr>
            <w:tcW w:w="1618" w:type="dxa"/>
            <w:vAlign w:val="center"/>
          </w:tcPr>
          <w:p w14:paraId="5F65168A">
            <w:pPr>
              <w:spacing w:line="240" w:lineRule="auto"/>
              <w:jc w:val="center"/>
              <w:rPr>
                <w:rFonts w:ascii="宋体" w:hAnsi="宋体"/>
                <w:color w:val="000000"/>
              </w:rPr>
            </w:pPr>
            <w:r>
              <w:rPr>
                <w:rFonts w:ascii="宋体" w:hAnsi="宋体"/>
                <w:color w:val="000000"/>
              </w:rPr>
              <w:t>0.55</w:t>
            </w:r>
          </w:p>
        </w:tc>
        <w:tc>
          <w:tcPr>
            <w:tcW w:w="1203" w:type="dxa"/>
            <w:vAlign w:val="center"/>
          </w:tcPr>
          <w:p w14:paraId="441E86B9">
            <w:pPr>
              <w:spacing w:line="240" w:lineRule="auto"/>
              <w:jc w:val="center"/>
              <w:rPr>
                <w:rFonts w:ascii="宋体" w:hAnsi="宋体"/>
                <w:color w:val="000000"/>
              </w:rPr>
            </w:pPr>
            <w:r>
              <w:rPr>
                <w:rFonts w:ascii="宋体" w:hAnsi="宋体"/>
                <w:color w:val="000000"/>
              </w:rPr>
              <w:t>0.18</w:t>
            </w:r>
          </w:p>
        </w:tc>
        <w:tc>
          <w:tcPr>
            <w:tcW w:w="1355" w:type="dxa"/>
            <w:vAlign w:val="center"/>
          </w:tcPr>
          <w:p w14:paraId="622331D5">
            <w:pPr>
              <w:spacing w:line="240" w:lineRule="auto"/>
              <w:jc w:val="center"/>
              <w:rPr>
                <w:rFonts w:ascii="宋体" w:hAnsi="宋体"/>
                <w:color w:val="000000"/>
              </w:rPr>
            </w:pPr>
            <w:r>
              <w:rPr>
                <w:rFonts w:ascii="宋体" w:hAnsi="宋体"/>
                <w:color w:val="000000"/>
              </w:rPr>
              <w:t>5.84</w:t>
            </w:r>
          </w:p>
        </w:tc>
      </w:tr>
      <w:tr w14:paraId="52A2E38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0" w:type="auto"/>
            <w:vMerge w:val="continue"/>
            <w:tcMar>
              <w:left w:w="0" w:type="dxa"/>
              <w:right w:w="0" w:type="dxa"/>
            </w:tcMar>
            <w:vAlign w:val="center"/>
          </w:tcPr>
          <w:p w14:paraId="3CA6837E">
            <w:pPr>
              <w:spacing w:line="240" w:lineRule="auto"/>
              <w:jc w:val="center"/>
              <w:rPr>
                <w:rFonts w:ascii="宋体" w:hAnsi="宋体"/>
                <w:shd w:val="clear" w:color="auto" w:fill="FFFFFF"/>
              </w:rPr>
            </w:pPr>
          </w:p>
        </w:tc>
        <w:tc>
          <w:tcPr>
            <w:tcW w:w="1732" w:type="dxa"/>
            <w:tcMar>
              <w:left w:w="0" w:type="dxa"/>
              <w:right w:w="0" w:type="dxa"/>
            </w:tcMar>
            <w:vAlign w:val="center"/>
          </w:tcPr>
          <w:p w14:paraId="5B0F47D2">
            <w:pPr>
              <w:spacing w:line="240" w:lineRule="auto"/>
              <w:jc w:val="center"/>
              <w:rPr>
                <w:rFonts w:ascii="宋体" w:hAnsi="宋体"/>
              </w:rPr>
            </w:pPr>
            <w:r>
              <w:rPr>
                <w:rFonts w:hint="eastAsia" w:ascii="宋体" w:hAnsi="宋体"/>
              </w:rPr>
              <w:t>环己烷</w:t>
            </w:r>
          </w:p>
        </w:tc>
        <w:tc>
          <w:tcPr>
            <w:tcW w:w="1031" w:type="dxa"/>
            <w:vAlign w:val="center"/>
          </w:tcPr>
          <w:p w14:paraId="74433554">
            <w:pPr>
              <w:spacing w:line="240" w:lineRule="auto"/>
              <w:jc w:val="center"/>
              <w:rPr>
                <w:rFonts w:ascii="宋体" w:hAnsi="宋体"/>
              </w:rPr>
            </w:pPr>
            <w:r>
              <w:rPr>
                <w:rFonts w:ascii="宋体" w:hAnsi="宋体"/>
                <w:color w:val="000000"/>
              </w:rPr>
              <w:t>0.17</w:t>
            </w:r>
          </w:p>
        </w:tc>
        <w:tc>
          <w:tcPr>
            <w:tcW w:w="1561" w:type="dxa"/>
            <w:vAlign w:val="center"/>
          </w:tcPr>
          <w:p w14:paraId="5161C2E3">
            <w:pPr>
              <w:spacing w:line="240" w:lineRule="auto"/>
              <w:jc w:val="center"/>
              <w:rPr>
                <w:rFonts w:ascii="宋体" w:hAnsi="宋体"/>
                <w:color w:val="000000"/>
              </w:rPr>
            </w:pPr>
            <w:r>
              <w:rPr>
                <w:rFonts w:ascii="宋体" w:hAnsi="宋体"/>
                <w:color w:val="000000"/>
              </w:rPr>
              <w:t>21.86</w:t>
            </w:r>
          </w:p>
        </w:tc>
        <w:tc>
          <w:tcPr>
            <w:tcW w:w="1618" w:type="dxa"/>
            <w:vAlign w:val="center"/>
          </w:tcPr>
          <w:p w14:paraId="2E7E638B">
            <w:pPr>
              <w:spacing w:line="240" w:lineRule="auto"/>
              <w:jc w:val="center"/>
              <w:rPr>
                <w:rFonts w:ascii="宋体" w:hAnsi="宋体"/>
                <w:color w:val="000000"/>
              </w:rPr>
            </w:pPr>
            <w:r>
              <w:rPr>
                <w:rFonts w:ascii="宋体" w:hAnsi="宋体"/>
                <w:color w:val="000000"/>
              </w:rPr>
              <w:t>40.29</w:t>
            </w:r>
          </w:p>
        </w:tc>
        <w:tc>
          <w:tcPr>
            <w:tcW w:w="1203" w:type="dxa"/>
            <w:vAlign w:val="center"/>
          </w:tcPr>
          <w:p w14:paraId="41BDA69C">
            <w:pPr>
              <w:spacing w:line="240" w:lineRule="auto"/>
              <w:jc w:val="center"/>
              <w:rPr>
                <w:rFonts w:ascii="宋体" w:hAnsi="宋体"/>
                <w:color w:val="000000"/>
              </w:rPr>
            </w:pPr>
            <w:r>
              <w:rPr>
                <w:rFonts w:ascii="宋体" w:hAnsi="宋体"/>
                <w:color w:val="000000"/>
              </w:rPr>
              <w:t>43.00</w:t>
            </w:r>
          </w:p>
        </w:tc>
        <w:tc>
          <w:tcPr>
            <w:tcW w:w="1355" w:type="dxa"/>
            <w:vAlign w:val="center"/>
          </w:tcPr>
          <w:p w14:paraId="23AD83B8">
            <w:pPr>
              <w:spacing w:line="240" w:lineRule="auto"/>
              <w:jc w:val="center"/>
              <w:rPr>
                <w:rFonts w:ascii="宋体" w:hAnsi="宋体"/>
                <w:color w:val="000000"/>
              </w:rPr>
            </w:pPr>
            <w:r>
              <w:rPr>
                <w:rFonts w:ascii="宋体" w:hAnsi="宋体"/>
                <w:color w:val="000000"/>
              </w:rPr>
              <w:t>1.36</w:t>
            </w:r>
          </w:p>
        </w:tc>
      </w:tr>
      <w:tr w14:paraId="1D767D9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Borders>
              <w:bottom w:val="single" w:color="auto" w:sz="12" w:space="0"/>
            </w:tcBorders>
            <w:tcMar>
              <w:left w:w="0" w:type="dxa"/>
              <w:right w:w="0" w:type="dxa"/>
            </w:tcMar>
            <w:vAlign w:val="center"/>
          </w:tcPr>
          <w:p w14:paraId="4DFFF9BA">
            <w:pPr>
              <w:spacing w:line="240" w:lineRule="auto"/>
              <w:jc w:val="center"/>
              <w:rPr>
                <w:rFonts w:ascii="宋体" w:hAnsi="宋体"/>
                <w:shd w:val="clear" w:color="auto" w:fill="FFFFFF"/>
              </w:rPr>
            </w:pPr>
          </w:p>
        </w:tc>
        <w:tc>
          <w:tcPr>
            <w:tcW w:w="1732" w:type="dxa"/>
            <w:tcBorders>
              <w:bottom w:val="single" w:color="auto" w:sz="12" w:space="0"/>
            </w:tcBorders>
            <w:tcMar>
              <w:left w:w="0" w:type="dxa"/>
              <w:right w:w="0" w:type="dxa"/>
            </w:tcMar>
            <w:vAlign w:val="center"/>
          </w:tcPr>
          <w:p w14:paraId="701C312E">
            <w:pPr>
              <w:spacing w:line="240" w:lineRule="auto"/>
              <w:jc w:val="center"/>
              <w:rPr>
                <w:rFonts w:ascii="宋体" w:hAnsi="宋体"/>
              </w:rPr>
            </w:pPr>
            <w:r>
              <w:rPr>
                <w:rFonts w:hint="eastAsia" w:ascii="宋体" w:hAnsi="宋体"/>
              </w:rPr>
              <w:t>甲基环己烷</w:t>
            </w:r>
          </w:p>
        </w:tc>
        <w:tc>
          <w:tcPr>
            <w:tcW w:w="1031" w:type="dxa"/>
            <w:tcBorders>
              <w:bottom w:val="single" w:color="auto" w:sz="12" w:space="0"/>
            </w:tcBorders>
            <w:tcMar>
              <w:left w:w="0" w:type="dxa"/>
              <w:right w:w="0" w:type="dxa"/>
            </w:tcMar>
            <w:vAlign w:val="center"/>
          </w:tcPr>
          <w:p w14:paraId="04979F09">
            <w:pPr>
              <w:spacing w:line="240" w:lineRule="auto"/>
              <w:jc w:val="center"/>
              <w:rPr>
                <w:rFonts w:ascii="宋体" w:hAnsi="宋体"/>
              </w:rPr>
            </w:pPr>
            <w:r>
              <w:rPr>
                <w:rFonts w:ascii="宋体" w:hAnsi="宋体"/>
                <w:color w:val="000000"/>
              </w:rPr>
              <w:t>2.70</w:t>
            </w:r>
          </w:p>
        </w:tc>
        <w:tc>
          <w:tcPr>
            <w:tcW w:w="1561" w:type="dxa"/>
            <w:tcBorders>
              <w:bottom w:val="single" w:color="auto" w:sz="12" w:space="0"/>
            </w:tcBorders>
            <w:vAlign w:val="center"/>
          </w:tcPr>
          <w:p w14:paraId="47BCD058">
            <w:pPr>
              <w:spacing w:line="240" w:lineRule="auto"/>
              <w:jc w:val="center"/>
              <w:rPr>
                <w:rFonts w:ascii="宋体" w:hAnsi="宋体"/>
                <w:color w:val="000000"/>
              </w:rPr>
            </w:pPr>
            <w:r>
              <w:rPr>
                <w:rFonts w:ascii="宋体" w:hAnsi="宋体"/>
                <w:color w:val="000000"/>
              </w:rPr>
              <w:t>2.81</w:t>
            </w:r>
          </w:p>
        </w:tc>
        <w:tc>
          <w:tcPr>
            <w:tcW w:w="1618" w:type="dxa"/>
            <w:tcBorders>
              <w:bottom w:val="single" w:color="auto" w:sz="12" w:space="0"/>
            </w:tcBorders>
            <w:vAlign w:val="center"/>
          </w:tcPr>
          <w:p w14:paraId="3191A306">
            <w:pPr>
              <w:spacing w:line="240" w:lineRule="auto"/>
              <w:jc w:val="center"/>
              <w:rPr>
                <w:rFonts w:ascii="宋体" w:hAnsi="宋体"/>
                <w:color w:val="000000"/>
              </w:rPr>
            </w:pPr>
            <w:r>
              <w:rPr>
                <w:rFonts w:ascii="宋体" w:hAnsi="宋体"/>
                <w:color w:val="000000"/>
              </w:rPr>
              <w:t>1.96</w:t>
            </w:r>
          </w:p>
        </w:tc>
        <w:tc>
          <w:tcPr>
            <w:tcW w:w="1203" w:type="dxa"/>
            <w:tcBorders>
              <w:bottom w:val="single" w:color="auto" w:sz="12" w:space="0"/>
            </w:tcBorders>
            <w:vAlign w:val="center"/>
          </w:tcPr>
          <w:p w14:paraId="3B27FBF7">
            <w:pPr>
              <w:spacing w:line="240" w:lineRule="auto"/>
              <w:jc w:val="center"/>
              <w:rPr>
                <w:rFonts w:ascii="宋体" w:hAnsi="宋体"/>
                <w:color w:val="000000"/>
              </w:rPr>
            </w:pPr>
            <w:r>
              <w:rPr>
                <w:rFonts w:ascii="宋体" w:hAnsi="宋体"/>
                <w:color w:val="000000"/>
              </w:rPr>
              <w:t>0.88</w:t>
            </w:r>
          </w:p>
        </w:tc>
        <w:tc>
          <w:tcPr>
            <w:tcW w:w="1355" w:type="dxa"/>
            <w:tcBorders>
              <w:bottom w:val="single" w:color="auto" w:sz="12" w:space="0"/>
            </w:tcBorders>
            <w:vAlign w:val="center"/>
          </w:tcPr>
          <w:p w14:paraId="07FA03F5">
            <w:pPr>
              <w:spacing w:line="240" w:lineRule="auto"/>
              <w:jc w:val="center"/>
              <w:rPr>
                <w:rFonts w:ascii="宋体" w:hAnsi="宋体"/>
                <w:color w:val="000000"/>
              </w:rPr>
            </w:pPr>
            <w:r>
              <w:rPr>
                <w:rFonts w:ascii="宋体" w:hAnsi="宋体"/>
                <w:color w:val="000000"/>
              </w:rPr>
              <w:t>17.41</w:t>
            </w:r>
          </w:p>
        </w:tc>
      </w:tr>
      <w:tr w14:paraId="4543211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single" w:color="auto" w:sz="12" w:space="0"/>
              <w:bottom w:val="single" w:color="auto" w:sz="12" w:space="0"/>
            </w:tcBorders>
            <w:tcMar>
              <w:left w:w="0" w:type="dxa"/>
              <w:right w:w="0" w:type="dxa"/>
            </w:tcMar>
            <w:vAlign w:val="center"/>
          </w:tcPr>
          <w:p w14:paraId="65BCA414">
            <w:pPr>
              <w:spacing w:line="240" w:lineRule="auto"/>
              <w:jc w:val="center"/>
              <w:rPr>
                <w:rFonts w:ascii="宋体" w:hAnsi="宋体"/>
                <w:shd w:val="clear" w:color="auto" w:fill="FFFFFF"/>
              </w:rPr>
            </w:pPr>
            <w:r>
              <w:rPr>
                <w:rFonts w:hint="eastAsia" w:ascii="宋体" w:hAnsi="宋体"/>
                <w:shd w:val="clear" w:color="auto" w:fill="FFFFFF"/>
              </w:rPr>
              <w:t>烯烃</w:t>
            </w:r>
          </w:p>
        </w:tc>
        <w:tc>
          <w:tcPr>
            <w:tcW w:w="1732" w:type="dxa"/>
            <w:tcBorders>
              <w:top w:val="single" w:color="auto" w:sz="12" w:space="0"/>
              <w:bottom w:val="single" w:color="auto" w:sz="12" w:space="0"/>
            </w:tcBorders>
            <w:tcMar>
              <w:left w:w="0" w:type="dxa"/>
              <w:right w:w="0" w:type="dxa"/>
            </w:tcMar>
            <w:vAlign w:val="center"/>
          </w:tcPr>
          <w:p w14:paraId="10EF8323">
            <w:pPr>
              <w:spacing w:line="240" w:lineRule="auto"/>
              <w:jc w:val="center"/>
              <w:rPr>
                <w:rFonts w:ascii="宋体" w:hAnsi="宋体"/>
              </w:rPr>
            </w:pPr>
            <w:r>
              <w:rPr>
                <w:rFonts w:hint="eastAsia" w:ascii="宋体" w:hAnsi="宋体"/>
              </w:rPr>
              <w:t>异戊二烯</w:t>
            </w:r>
          </w:p>
        </w:tc>
        <w:tc>
          <w:tcPr>
            <w:tcW w:w="1031" w:type="dxa"/>
            <w:tcBorders>
              <w:top w:val="single" w:color="auto" w:sz="12" w:space="0"/>
              <w:bottom w:val="single" w:color="auto" w:sz="12" w:space="0"/>
            </w:tcBorders>
            <w:tcMar>
              <w:left w:w="0" w:type="dxa"/>
              <w:right w:w="0" w:type="dxa"/>
            </w:tcMar>
            <w:vAlign w:val="center"/>
          </w:tcPr>
          <w:p w14:paraId="4F869075">
            <w:pPr>
              <w:spacing w:line="240" w:lineRule="auto"/>
              <w:jc w:val="center"/>
              <w:rPr>
                <w:rFonts w:ascii="宋体" w:hAnsi="宋体"/>
                <w:color w:val="000000"/>
              </w:rPr>
            </w:pPr>
            <w:r>
              <w:rPr>
                <w:rFonts w:ascii="宋体" w:hAnsi="宋体"/>
                <w:color w:val="000000"/>
              </w:rPr>
              <w:t>2.00</w:t>
            </w:r>
          </w:p>
        </w:tc>
        <w:tc>
          <w:tcPr>
            <w:tcW w:w="1561" w:type="dxa"/>
            <w:tcBorders>
              <w:top w:val="single" w:color="auto" w:sz="12" w:space="0"/>
              <w:bottom w:val="single" w:color="auto" w:sz="12" w:space="0"/>
            </w:tcBorders>
            <w:vAlign w:val="center"/>
          </w:tcPr>
          <w:p w14:paraId="7860C1ED">
            <w:pPr>
              <w:spacing w:line="240" w:lineRule="auto"/>
              <w:jc w:val="center"/>
              <w:rPr>
                <w:rFonts w:ascii="宋体" w:hAnsi="宋体"/>
                <w:color w:val="000000"/>
              </w:rPr>
            </w:pPr>
            <w:r>
              <w:rPr>
                <w:rFonts w:ascii="宋体" w:hAnsi="宋体"/>
                <w:color w:val="000000"/>
              </w:rPr>
              <w:t>0.64</w:t>
            </w:r>
          </w:p>
        </w:tc>
        <w:tc>
          <w:tcPr>
            <w:tcW w:w="1618" w:type="dxa"/>
            <w:tcBorders>
              <w:top w:val="single" w:color="auto" w:sz="12" w:space="0"/>
              <w:bottom w:val="single" w:color="auto" w:sz="12" w:space="0"/>
            </w:tcBorders>
            <w:vAlign w:val="center"/>
          </w:tcPr>
          <w:p w14:paraId="32FC90BE">
            <w:pPr>
              <w:spacing w:line="240" w:lineRule="auto"/>
              <w:jc w:val="center"/>
              <w:rPr>
                <w:rFonts w:ascii="宋体" w:hAnsi="宋体"/>
                <w:color w:val="000000"/>
              </w:rPr>
            </w:pPr>
            <w:r>
              <w:rPr>
                <w:rFonts w:ascii="宋体" w:hAnsi="宋体"/>
                <w:color w:val="000000"/>
              </w:rPr>
              <w:t>0.05</w:t>
            </w:r>
          </w:p>
        </w:tc>
        <w:tc>
          <w:tcPr>
            <w:tcW w:w="1203" w:type="dxa"/>
            <w:tcBorders>
              <w:top w:val="single" w:color="auto" w:sz="12" w:space="0"/>
              <w:bottom w:val="single" w:color="auto" w:sz="12" w:space="0"/>
            </w:tcBorders>
            <w:vAlign w:val="center"/>
          </w:tcPr>
          <w:p w14:paraId="1E499561">
            <w:pPr>
              <w:spacing w:line="240" w:lineRule="auto"/>
              <w:jc w:val="center"/>
              <w:rPr>
                <w:rFonts w:ascii="宋体" w:hAnsi="宋体"/>
                <w:color w:val="000000"/>
              </w:rPr>
            </w:pPr>
            <w:r>
              <w:rPr>
                <w:rFonts w:ascii="宋体" w:hAnsi="宋体"/>
                <w:color w:val="000000"/>
              </w:rPr>
              <w:t>0.02</w:t>
            </w:r>
          </w:p>
        </w:tc>
        <w:tc>
          <w:tcPr>
            <w:tcW w:w="1355" w:type="dxa"/>
            <w:tcBorders>
              <w:top w:val="single" w:color="auto" w:sz="12" w:space="0"/>
              <w:bottom w:val="single" w:color="auto" w:sz="12" w:space="0"/>
            </w:tcBorders>
            <w:vAlign w:val="center"/>
          </w:tcPr>
          <w:p w14:paraId="07F4613D">
            <w:pPr>
              <w:spacing w:line="240" w:lineRule="auto"/>
              <w:jc w:val="center"/>
              <w:rPr>
                <w:rFonts w:ascii="宋体" w:hAnsi="宋体"/>
                <w:color w:val="000000"/>
              </w:rPr>
            </w:pPr>
            <w:r>
              <w:rPr>
                <w:rFonts w:ascii="宋体" w:hAnsi="宋体"/>
                <w:color w:val="000000"/>
              </w:rPr>
              <w:t>0.42</w:t>
            </w:r>
          </w:p>
        </w:tc>
      </w:tr>
      <w:tr w14:paraId="4C8C496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restart"/>
            <w:tcBorders>
              <w:top w:val="single" w:color="auto" w:sz="12" w:space="0"/>
            </w:tcBorders>
            <w:tcMar>
              <w:left w:w="0" w:type="dxa"/>
              <w:right w:w="0" w:type="dxa"/>
            </w:tcMar>
            <w:vAlign w:val="center"/>
          </w:tcPr>
          <w:p w14:paraId="3B58AD6B">
            <w:pPr>
              <w:spacing w:line="240" w:lineRule="auto"/>
              <w:jc w:val="center"/>
              <w:rPr>
                <w:rFonts w:ascii="宋体" w:hAnsi="宋体"/>
                <w:shd w:val="clear" w:color="auto" w:fill="FFFFFF"/>
              </w:rPr>
            </w:pPr>
            <w:r>
              <w:rPr>
                <w:rFonts w:hint="eastAsia" w:ascii="宋体" w:hAnsi="宋体"/>
                <w:shd w:val="clear" w:color="auto" w:fill="FFFFFF"/>
              </w:rPr>
              <w:t>芳香烃</w:t>
            </w:r>
          </w:p>
        </w:tc>
        <w:tc>
          <w:tcPr>
            <w:tcW w:w="1732" w:type="dxa"/>
            <w:tcBorders>
              <w:top w:val="single" w:color="auto" w:sz="12" w:space="0"/>
            </w:tcBorders>
            <w:tcMar>
              <w:left w:w="0" w:type="dxa"/>
              <w:right w:w="0" w:type="dxa"/>
            </w:tcMar>
          </w:tcPr>
          <w:p w14:paraId="5401C1B4">
            <w:pPr>
              <w:spacing w:line="240" w:lineRule="auto"/>
              <w:jc w:val="center"/>
              <w:rPr>
                <w:rFonts w:ascii="宋体" w:hAnsi="宋体"/>
              </w:rPr>
            </w:pPr>
            <w:r>
              <w:rPr>
                <w:rFonts w:hint="eastAsia" w:ascii="宋体" w:hAnsi="宋体"/>
              </w:rPr>
              <w:t>苯</w:t>
            </w:r>
          </w:p>
        </w:tc>
        <w:tc>
          <w:tcPr>
            <w:tcW w:w="1031" w:type="dxa"/>
            <w:tcBorders>
              <w:top w:val="single" w:color="auto" w:sz="12" w:space="0"/>
            </w:tcBorders>
            <w:tcMar>
              <w:left w:w="0" w:type="dxa"/>
              <w:right w:w="0" w:type="dxa"/>
            </w:tcMar>
            <w:vAlign w:val="center"/>
          </w:tcPr>
          <w:p w14:paraId="6270FC71">
            <w:pPr>
              <w:spacing w:line="240" w:lineRule="auto"/>
              <w:jc w:val="center"/>
              <w:rPr>
                <w:rFonts w:ascii="宋体" w:hAnsi="宋体"/>
              </w:rPr>
            </w:pPr>
            <w:r>
              <w:rPr>
                <w:rFonts w:ascii="宋体" w:hAnsi="宋体"/>
                <w:color w:val="000000"/>
              </w:rPr>
              <w:t>2.00</w:t>
            </w:r>
          </w:p>
        </w:tc>
        <w:tc>
          <w:tcPr>
            <w:tcW w:w="1561" w:type="dxa"/>
            <w:tcBorders>
              <w:top w:val="single" w:color="auto" w:sz="12" w:space="0"/>
            </w:tcBorders>
            <w:vAlign w:val="center"/>
          </w:tcPr>
          <w:p w14:paraId="23916407">
            <w:pPr>
              <w:spacing w:line="240" w:lineRule="auto"/>
              <w:jc w:val="center"/>
              <w:rPr>
                <w:rFonts w:ascii="宋体" w:hAnsi="宋体"/>
                <w:color w:val="000000"/>
              </w:rPr>
            </w:pPr>
            <w:r>
              <w:rPr>
                <w:rFonts w:ascii="宋体" w:hAnsi="宋体"/>
                <w:color w:val="000000"/>
              </w:rPr>
              <w:t>26.65</w:t>
            </w:r>
          </w:p>
        </w:tc>
        <w:tc>
          <w:tcPr>
            <w:tcW w:w="1618" w:type="dxa"/>
            <w:tcBorders>
              <w:top w:val="single" w:color="auto" w:sz="12" w:space="0"/>
            </w:tcBorders>
            <w:vAlign w:val="center"/>
          </w:tcPr>
          <w:p w14:paraId="1BB72661">
            <w:pPr>
              <w:spacing w:line="240" w:lineRule="auto"/>
              <w:jc w:val="center"/>
              <w:rPr>
                <w:rFonts w:ascii="宋体" w:hAnsi="宋体"/>
                <w:color w:val="000000"/>
              </w:rPr>
            </w:pPr>
            <w:r>
              <w:rPr>
                <w:rFonts w:ascii="宋体" w:hAnsi="宋体"/>
                <w:color w:val="000000"/>
              </w:rPr>
              <w:t>13.55</w:t>
            </w:r>
          </w:p>
        </w:tc>
        <w:tc>
          <w:tcPr>
            <w:tcW w:w="1203" w:type="dxa"/>
            <w:tcBorders>
              <w:top w:val="single" w:color="auto" w:sz="12" w:space="0"/>
            </w:tcBorders>
            <w:vAlign w:val="center"/>
          </w:tcPr>
          <w:p w14:paraId="5C4815CD">
            <w:pPr>
              <w:spacing w:line="240" w:lineRule="auto"/>
              <w:jc w:val="center"/>
              <w:rPr>
                <w:rFonts w:ascii="宋体" w:hAnsi="宋体"/>
                <w:color w:val="000000"/>
              </w:rPr>
            </w:pPr>
            <w:r>
              <w:rPr>
                <w:rFonts w:ascii="宋体" w:hAnsi="宋体"/>
                <w:color w:val="000000"/>
              </w:rPr>
              <w:t>12.87</w:t>
            </w:r>
          </w:p>
        </w:tc>
        <w:tc>
          <w:tcPr>
            <w:tcW w:w="1355" w:type="dxa"/>
            <w:tcBorders>
              <w:top w:val="single" w:color="auto" w:sz="12" w:space="0"/>
            </w:tcBorders>
            <w:vAlign w:val="center"/>
          </w:tcPr>
          <w:p w14:paraId="54794D03">
            <w:pPr>
              <w:spacing w:line="240" w:lineRule="auto"/>
              <w:jc w:val="center"/>
              <w:rPr>
                <w:rFonts w:ascii="宋体" w:hAnsi="宋体"/>
                <w:color w:val="000000"/>
              </w:rPr>
            </w:pPr>
            <w:r>
              <w:rPr>
                <w:rFonts w:ascii="宋体" w:hAnsi="宋体"/>
                <w:color w:val="000000"/>
              </w:rPr>
              <w:t>23.40</w:t>
            </w:r>
          </w:p>
        </w:tc>
      </w:tr>
      <w:tr w14:paraId="6FB2D9C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3CE7C72F">
            <w:pPr>
              <w:spacing w:line="240" w:lineRule="auto"/>
              <w:jc w:val="center"/>
              <w:rPr>
                <w:rFonts w:ascii="宋体" w:hAnsi="宋体"/>
                <w:shd w:val="clear" w:color="auto" w:fill="FFFFFF"/>
              </w:rPr>
            </w:pPr>
          </w:p>
        </w:tc>
        <w:tc>
          <w:tcPr>
            <w:tcW w:w="1732" w:type="dxa"/>
            <w:tcMar>
              <w:left w:w="0" w:type="dxa"/>
              <w:right w:w="0" w:type="dxa"/>
            </w:tcMar>
          </w:tcPr>
          <w:p w14:paraId="22D131B7">
            <w:pPr>
              <w:spacing w:line="240" w:lineRule="auto"/>
              <w:jc w:val="center"/>
              <w:rPr>
                <w:rFonts w:ascii="宋体" w:hAnsi="宋体"/>
              </w:rPr>
            </w:pPr>
            <w:r>
              <w:rPr>
                <w:rFonts w:hint="eastAsia" w:ascii="宋体" w:hAnsi="宋体"/>
              </w:rPr>
              <w:t>甲苯</w:t>
            </w:r>
          </w:p>
        </w:tc>
        <w:tc>
          <w:tcPr>
            <w:tcW w:w="1031" w:type="dxa"/>
            <w:tcMar>
              <w:left w:w="0" w:type="dxa"/>
              <w:right w:w="0" w:type="dxa"/>
            </w:tcMar>
            <w:vAlign w:val="center"/>
          </w:tcPr>
          <w:p w14:paraId="4E6CF293">
            <w:pPr>
              <w:spacing w:line="240" w:lineRule="auto"/>
              <w:jc w:val="center"/>
              <w:rPr>
                <w:rFonts w:ascii="宋体" w:hAnsi="宋体"/>
              </w:rPr>
            </w:pPr>
            <w:r>
              <w:rPr>
                <w:rFonts w:ascii="宋体" w:hAnsi="宋体"/>
                <w:color w:val="000000"/>
              </w:rPr>
              <w:t>5.40</w:t>
            </w:r>
          </w:p>
        </w:tc>
        <w:tc>
          <w:tcPr>
            <w:tcW w:w="1561" w:type="dxa"/>
            <w:vAlign w:val="center"/>
          </w:tcPr>
          <w:p w14:paraId="44A2DAFA">
            <w:pPr>
              <w:spacing w:line="240" w:lineRule="auto"/>
              <w:jc w:val="center"/>
              <w:rPr>
                <w:rFonts w:ascii="宋体" w:hAnsi="宋体"/>
                <w:color w:val="000000"/>
              </w:rPr>
            </w:pPr>
            <w:r>
              <w:rPr>
                <w:rFonts w:ascii="宋体" w:hAnsi="宋体"/>
                <w:color w:val="000000"/>
              </w:rPr>
              <w:t>20.49</w:t>
            </w:r>
          </w:p>
        </w:tc>
        <w:tc>
          <w:tcPr>
            <w:tcW w:w="1618" w:type="dxa"/>
            <w:vAlign w:val="center"/>
          </w:tcPr>
          <w:p w14:paraId="36B7800A">
            <w:pPr>
              <w:spacing w:line="240" w:lineRule="auto"/>
              <w:jc w:val="center"/>
              <w:rPr>
                <w:rFonts w:ascii="宋体" w:hAnsi="宋体"/>
                <w:color w:val="000000"/>
              </w:rPr>
            </w:pPr>
            <w:r>
              <w:rPr>
                <w:rFonts w:ascii="宋体" w:hAnsi="宋体"/>
                <w:color w:val="000000"/>
              </w:rPr>
              <w:t>14.78</w:t>
            </w:r>
          </w:p>
        </w:tc>
        <w:tc>
          <w:tcPr>
            <w:tcW w:w="1203" w:type="dxa"/>
            <w:vAlign w:val="center"/>
          </w:tcPr>
          <w:p w14:paraId="38B7C398">
            <w:pPr>
              <w:spacing w:line="240" w:lineRule="auto"/>
              <w:jc w:val="center"/>
              <w:rPr>
                <w:rFonts w:ascii="宋体" w:hAnsi="宋体"/>
                <w:color w:val="000000"/>
              </w:rPr>
            </w:pPr>
            <w:r>
              <w:rPr>
                <w:rFonts w:ascii="宋体" w:hAnsi="宋体"/>
                <w:color w:val="000000"/>
              </w:rPr>
              <w:t>15.36</w:t>
            </w:r>
          </w:p>
        </w:tc>
        <w:tc>
          <w:tcPr>
            <w:tcW w:w="1355" w:type="dxa"/>
            <w:vAlign w:val="center"/>
          </w:tcPr>
          <w:p w14:paraId="7CD76E63">
            <w:pPr>
              <w:spacing w:line="240" w:lineRule="auto"/>
              <w:jc w:val="center"/>
              <w:rPr>
                <w:rFonts w:ascii="宋体" w:hAnsi="宋体"/>
                <w:color w:val="000000"/>
              </w:rPr>
            </w:pPr>
            <w:r>
              <w:rPr>
                <w:rFonts w:ascii="宋体" w:hAnsi="宋体"/>
                <w:color w:val="000000"/>
              </w:rPr>
              <w:t>6.50</w:t>
            </w:r>
          </w:p>
        </w:tc>
      </w:tr>
      <w:tr w14:paraId="51E43FC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3B5A87D5">
            <w:pPr>
              <w:spacing w:line="240" w:lineRule="auto"/>
              <w:jc w:val="center"/>
              <w:rPr>
                <w:rFonts w:ascii="宋体" w:hAnsi="宋体"/>
                <w:shd w:val="clear" w:color="auto" w:fill="FFFFFF"/>
              </w:rPr>
            </w:pPr>
          </w:p>
        </w:tc>
        <w:tc>
          <w:tcPr>
            <w:tcW w:w="1732" w:type="dxa"/>
            <w:tcMar>
              <w:left w:w="0" w:type="dxa"/>
              <w:right w:w="0" w:type="dxa"/>
            </w:tcMar>
          </w:tcPr>
          <w:p w14:paraId="1B19C1AF">
            <w:pPr>
              <w:spacing w:line="240" w:lineRule="auto"/>
              <w:jc w:val="center"/>
              <w:rPr>
                <w:rFonts w:ascii="宋体" w:hAnsi="宋体"/>
              </w:rPr>
            </w:pPr>
            <w:r>
              <w:rPr>
                <w:rFonts w:hint="eastAsia" w:ascii="宋体" w:hAnsi="宋体"/>
              </w:rPr>
              <w:t>乙苯</w:t>
            </w:r>
          </w:p>
        </w:tc>
        <w:tc>
          <w:tcPr>
            <w:tcW w:w="1031" w:type="dxa"/>
            <w:tcMar>
              <w:left w:w="0" w:type="dxa"/>
              <w:right w:w="0" w:type="dxa"/>
            </w:tcMar>
            <w:vAlign w:val="center"/>
          </w:tcPr>
          <w:p w14:paraId="46281F1B">
            <w:pPr>
              <w:spacing w:line="240" w:lineRule="auto"/>
              <w:jc w:val="center"/>
              <w:rPr>
                <w:rFonts w:ascii="宋体" w:hAnsi="宋体"/>
              </w:rPr>
            </w:pPr>
            <w:r>
              <w:rPr>
                <w:rFonts w:ascii="宋体" w:hAnsi="宋体"/>
                <w:color w:val="000000"/>
              </w:rPr>
              <w:t>5.40</w:t>
            </w:r>
          </w:p>
        </w:tc>
        <w:tc>
          <w:tcPr>
            <w:tcW w:w="1561" w:type="dxa"/>
            <w:vAlign w:val="center"/>
          </w:tcPr>
          <w:p w14:paraId="0C3E220F">
            <w:pPr>
              <w:spacing w:line="240" w:lineRule="auto"/>
              <w:jc w:val="center"/>
              <w:rPr>
                <w:rFonts w:ascii="宋体" w:hAnsi="宋体"/>
                <w:color w:val="000000"/>
              </w:rPr>
            </w:pPr>
            <w:r>
              <w:rPr>
                <w:rFonts w:ascii="宋体" w:hAnsi="宋体"/>
                <w:color w:val="000000"/>
              </w:rPr>
              <w:t>1.54</w:t>
            </w:r>
          </w:p>
        </w:tc>
        <w:tc>
          <w:tcPr>
            <w:tcW w:w="1618" w:type="dxa"/>
            <w:vAlign w:val="center"/>
          </w:tcPr>
          <w:p w14:paraId="46AD455B">
            <w:pPr>
              <w:spacing w:line="240" w:lineRule="auto"/>
              <w:jc w:val="center"/>
              <w:rPr>
                <w:rFonts w:ascii="宋体" w:hAnsi="宋体"/>
                <w:color w:val="000000"/>
              </w:rPr>
            </w:pPr>
            <w:r>
              <w:rPr>
                <w:rFonts w:ascii="宋体" w:hAnsi="宋体"/>
                <w:color w:val="000000"/>
              </w:rPr>
              <w:t>10.27</w:t>
            </w:r>
          </w:p>
        </w:tc>
        <w:tc>
          <w:tcPr>
            <w:tcW w:w="1203" w:type="dxa"/>
            <w:vAlign w:val="center"/>
          </w:tcPr>
          <w:p w14:paraId="004A9ED6">
            <w:pPr>
              <w:spacing w:line="240" w:lineRule="auto"/>
              <w:jc w:val="center"/>
              <w:rPr>
                <w:rFonts w:ascii="宋体" w:hAnsi="宋体"/>
                <w:color w:val="000000"/>
              </w:rPr>
            </w:pPr>
            <w:r>
              <w:rPr>
                <w:rFonts w:ascii="宋体" w:hAnsi="宋体"/>
                <w:color w:val="000000"/>
              </w:rPr>
              <w:t>10.00</w:t>
            </w:r>
          </w:p>
        </w:tc>
        <w:tc>
          <w:tcPr>
            <w:tcW w:w="1355" w:type="dxa"/>
            <w:vAlign w:val="center"/>
          </w:tcPr>
          <w:p w14:paraId="49BC2500">
            <w:pPr>
              <w:spacing w:line="240" w:lineRule="auto"/>
              <w:jc w:val="center"/>
              <w:rPr>
                <w:rFonts w:ascii="宋体" w:hAnsi="宋体"/>
                <w:color w:val="000000"/>
              </w:rPr>
            </w:pPr>
            <w:r>
              <w:rPr>
                <w:rFonts w:ascii="宋体" w:hAnsi="宋体"/>
                <w:color w:val="000000"/>
              </w:rPr>
              <w:t>14.18</w:t>
            </w:r>
          </w:p>
        </w:tc>
      </w:tr>
      <w:tr w14:paraId="518F14C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3C6E8D4E">
            <w:pPr>
              <w:spacing w:line="240" w:lineRule="auto"/>
              <w:jc w:val="center"/>
              <w:rPr>
                <w:rFonts w:ascii="宋体" w:hAnsi="宋体"/>
                <w:shd w:val="clear" w:color="auto" w:fill="FFFFFF"/>
              </w:rPr>
            </w:pPr>
          </w:p>
        </w:tc>
        <w:tc>
          <w:tcPr>
            <w:tcW w:w="1732" w:type="dxa"/>
            <w:tcMar>
              <w:left w:w="0" w:type="dxa"/>
              <w:right w:w="0" w:type="dxa"/>
            </w:tcMar>
          </w:tcPr>
          <w:p w14:paraId="782FBA08">
            <w:pPr>
              <w:spacing w:line="240" w:lineRule="auto"/>
              <w:jc w:val="center"/>
              <w:rPr>
                <w:rFonts w:ascii="宋体" w:hAnsi="宋体"/>
              </w:rPr>
            </w:pPr>
            <w:r>
              <w:rPr>
                <w:rFonts w:hint="eastAsia" w:ascii="宋体" w:hAnsi="宋体"/>
              </w:rPr>
              <w:t>间/对二甲苯</w:t>
            </w:r>
          </w:p>
        </w:tc>
        <w:tc>
          <w:tcPr>
            <w:tcW w:w="1031" w:type="dxa"/>
            <w:tcMar>
              <w:left w:w="0" w:type="dxa"/>
              <w:right w:w="0" w:type="dxa"/>
            </w:tcMar>
            <w:vAlign w:val="center"/>
          </w:tcPr>
          <w:p w14:paraId="5A00B6CC">
            <w:pPr>
              <w:spacing w:line="240" w:lineRule="auto"/>
              <w:jc w:val="center"/>
              <w:rPr>
                <w:rFonts w:ascii="宋体" w:hAnsi="宋体"/>
              </w:rPr>
            </w:pPr>
            <w:r>
              <w:rPr>
                <w:rFonts w:ascii="宋体" w:hAnsi="宋体"/>
                <w:color w:val="000000"/>
              </w:rPr>
              <w:t>4.70</w:t>
            </w:r>
          </w:p>
        </w:tc>
        <w:tc>
          <w:tcPr>
            <w:tcW w:w="1561" w:type="dxa"/>
            <w:vAlign w:val="center"/>
          </w:tcPr>
          <w:p w14:paraId="68718D8B">
            <w:pPr>
              <w:spacing w:line="240" w:lineRule="auto"/>
              <w:jc w:val="center"/>
              <w:rPr>
                <w:rFonts w:ascii="宋体" w:hAnsi="宋体"/>
                <w:color w:val="000000"/>
              </w:rPr>
            </w:pPr>
            <w:r>
              <w:rPr>
                <w:rFonts w:ascii="宋体" w:hAnsi="宋体"/>
                <w:color w:val="000000"/>
              </w:rPr>
              <w:t>3.00</w:t>
            </w:r>
          </w:p>
        </w:tc>
        <w:tc>
          <w:tcPr>
            <w:tcW w:w="1618" w:type="dxa"/>
            <w:vAlign w:val="center"/>
          </w:tcPr>
          <w:p w14:paraId="674FFABD">
            <w:pPr>
              <w:spacing w:line="240" w:lineRule="auto"/>
              <w:jc w:val="center"/>
              <w:rPr>
                <w:rFonts w:ascii="宋体" w:hAnsi="宋体"/>
                <w:color w:val="000000"/>
              </w:rPr>
            </w:pPr>
            <w:r>
              <w:rPr>
                <w:rFonts w:ascii="宋体" w:hAnsi="宋体"/>
                <w:color w:val="000000"/>
              </w:rPr>
              <w:t>8.90</w:t>
            </w:r>
          </w:p>
        </w:tc>
        <w:tc>
          <w:tcPr>
            <w:tcW w:w="1203" w:type="dxa"/>
            <w:vAlign w:val="center"/>
          </w:tcPr>
          <w:p w14:paraId="02531E6C">
            <w:pPr>
              <w:spacing w:line="240" w:lineRule="auto"/>
              <w:jc w:val="center"/>
              <w:rPr>
                <w:rFonts w:ascii="宋体" w:hAnsi="宋体"/>
                <w:color w:val="000000"/>
              </w:rPr>
            </w:pPr>
            <w:r>
              <w:rPr>
                <w:rFonts w:ascii="宋体" w:hAnsi="宋体"/>
                <w:color w:val="000000"/>
              </w:rPr>
              <w:t>8.78</w:t>
            </w:r>
          </w:p>
        </w:tc>
        <w:tc>
          <w:tcPr>
            <w:tcW w:w="1355" w:type="dxa"/>
            <w:vAlign w:val="center"/>
          </w:tcPr>
          <w:p w14:paraId="49C2CF14">
            <w:pPr>
              <w:spacing w:line="240" w:lineRule="auto"/>
              <w:jc w:val="center"/>
              <w:rPr>
                <w:rFonts w:ascii="宋体" w:hAnsi="宋体"/>
                <w:color w:val="000000"/>
              </w:rPr>
            </w:pPr>
            <w:r>
              <w:rPr>
                <w:rFonts w:ascii="宋体" w:hAnsi="宋体"/>
                <w:color w:val="000000"/>
              </w:rPr>
              <w:t>10.56</w:t>
            </w:r>
          </w:p>
        </w:tc>
      </w:tr>
      <w:tr w14:paraId="737FA95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791DC17A">
            <w:pPr>
              <w:spacing w:line="240" w:lineRule="auto"/>
              <w:jc w:val="center"/>
              <w:rPr>
                <w:rFonts w:ascii="宋体" w:hAnsi="宋体"/>
                <w:shd w:val="clear" w:color="auto" w:fill="FFFFFF"/>
              </w:rPr>
            </w:pPr>
          </w:p>
        </w:tc>
        <w:tc>
          <w:tcPr>
            <w:tcW w:w="1732" w:type="dxa"/>
            <w:tcMar>
              <w:left w:w="0" w:type="dxa"/>
              <w:right w:w="0" w:type="dxa"/>
            </w:tcMar>
          </w:tcPr>
          <w:p w14:paraId="059470B1">
            <w:pPr>
              <w:spacing w:line="240" w:lineRule="auto"/>
              <w:jc w:val="center"/>
              <w:rPr>
                <w:rFonts w:ascii="宋体" w:hAnsi="宋体"/>
              </w:rPr>
            </w:pPr>
            <w:r>
              <w:rPr>
                <w:rFonts w:hint="eastAsia" w:ascii="宋体" w:hAnsi="宋体"/>
              </w:rPr>
              <w:t>邻二甲苯</w:t>
            </w:r>
          </w:p>
        </w:tc>
        <w:tc>
          <w:tcPr>
            <w:tcW w:w="1031" w:type="dxa"/>
            <w:tcMar>
              <w:left w:w="0" w:type="dxa"/>
              <w:right w:w="0" w:type="dxa"/>
            </w:tcMar>
            <w:vAlign w:val="center"/>
          </w:tcPr>
          <w:p w14:paraId="2AB3E415">
            <w:pPr>
              <w:spacing w:line="240" w:lineRule="auto"/>
              <w:jc w:val="center"/>
              <w:rPr>
                <w:rFonts w:ascii="宋体" w:hAnsi="宋体"/>
              </w:rPr>
            </w:pPr>
            <w:r>
              <w:rPr>
                <w:rFonts w:ascii="宋体" w:hAnsi="宋体"/>
                <w:color w:val="000000"/>
              </w:rPr>
              <w:t>5.00</w:t>
            </w:r>
          </w:p>
        </w:tc>
        <w:tc>
          <w:tcPr>
            <w:tcW w:w="1561" w:type="dxa"/>
            <w:vAlign w:val="center"/>
          </w:tcPr>
          <w:p w14:paraId="5241D2CB">
            <w:pPr>
              <w:spacing w:line="240" w:lineRule="auto"/>
              <w:jc w:val="center"/>
              <w:rPr>
                <w:rFonts w:ascii="宋体" w:hAnsi="宋体"/>
                <w:color w:val="000000"/>
              </w:rPr>
            </w:pPr>
            <w:r>
              <w:rPr>
                <w:rFonts w:ascii="宋体" w:hAnsi="宋体"/>
                <w:color w:val="000000"/>
              </w:rPr>
              <w:t>1.11</w:t>
            </w:r>
          </w:p>
        </w:tc>
        <w:tc>
          <w:tcPr>
            <w:tcW w:w="1618" w:type="dxa"/>
            <w:vAlign w:val="center"/>
          </w:tcPr>
          <w:p w14:paraId="4240956E">
            <w:pPr>
              <w:spacing w:line="240" w:lineRule="auto"/>
              <w:jc w:val="center"/>
              <w:rPr>
                <w:rFonts w:ascii="宋体" w:hAnsi="宋体"/>
                <w:color w:val="000000"/>
              </w:rPr>
            </w:pPr>
            <w:r>
              <w:rPr>
                <w:rFonts w:ascii="宋体" w:hAnsi="宋体"/>
                <w:color w:val="000000"/>
              </w:rPr>
              <w:t>5.97</w:t>
            </w:r>
          </w:p>
        </w:tc>
        <w:tc>
          <w:tcPr>
            <w:tcW w:w="1203" w:type="dxa"/>
            <w:vAlign w:val="center"/>
          </w:tcPr>
          <w:p w14:paraId="42B17514">
            <w:pPr>
              <w:spacing w:line="240" w:lineRule="auto"/>
              <w:jc w:val="center"/>
              <w:rPr>
                <w:rFonts w:ascii="宋体" w:hAnsi="宋体"/>
                <w:color w:val="000000"/>
              </w:rPr>
            </w:pPr>
            <w:r>
              <w:rPr>
                <w:rFonts w:ascii="宋体" w:hAnsi="宋体"/>
                <w:color w:val="000000"/>
              </w:rPr>
              <w:t>5.93</w:t>
            </w:r>
          </w:p>
        </w:tc>
        <w:tc>
          <w:tcPr>
            <w:tcW w:w="1355" w:type="dxa"/>
            <w:vAlign w:val="center"/>
          </w:tcPr>
          <w:p w14:paraId="2CE54B1F">
            <w:pPr>
              <w:spacing w:line="240" w:lineRule="auto"/>
              <w:jc w:val="center"/>
              <w:rPr>
                <w:rFonts w:ascii="宋体" w:hAnsi="宋体"/>
                <w:color w:val="000000"/>
              </w:rPr>
            </w:pPr>
            <w:r>
              <w:rPr>
                <w:rFonts w:ascii="宋体" w:hAnsi="宋体"/>
                <w:color w:val="000000"/>
              </w:rPr>
              <w:t>6.62</w:t>
            </w:r>
          </w:p>
        </w:tc>
      </w:tr>
      <w:tr w14:paraId="35615CE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039080F2">
            <w:pPr>
              <w:spacing w:line="240" w:lineRule="auto"/>
              <w:jc w:val="center"/>
              <w:rPr>
                <w:rFonts w:ascii="宋体" w:hAnsi="宋体"/>
                <w:shd w:val="clear" w:color="auto" w:fill="FFFFFF"/>
              </w:rPr>
            </w:pPr>
          </w:p>
        </w:tc>
        <w:tc>
          <w:tcPr>
            <w:tcW w:w="1732" w:type="dxa"/>
            <w:tcMar>
              <w:left w:w="0" w:type="dxa"/>
              <w:right w:w="0" w:type="dxa"/>
            </w:tcMar>
          </w:tcPr>
          <w:p w14:paraId="59AF6DA6">
            <w:pPr>
              <w:spacing w:line="240" w:lineRule="auto"/>
              <w:jc w:val="center"/>
              <w:rPr>
                <w:rFonts w:ascii="宋体" w:hAnsi="宋体"/>
              </w:rPr>
            </w:pPr>
            <w:r>
              <w:rPr>
                <w:rFonts w:hint="eastAsia" w:ascii="宋体" w:hAnsi="宋体"/>
              </w:rPr>
              <w:t>异丙苯</w:t>
            </w:r>
          </w:p>
        </w:tc>
        <w:tc>
          <w:tcPr>
            <w:tcW w:w="1031" w:type="dxa"/>
            <w:tcMar>
              <w:left w:w="0" w:type="dxa"/>
              <w:right w:w="0" w:type="dxa"/>
            </w:tcMar>
            <w:vAlign w:val="center"/>
          </w:tcPr>
          <w:p w14:paraId="3A0E59D0">
            <w:pPr>
              <w:spacing w:line="240" w:lineRule="auto"/>
              <w:jc w:val="center"/>
              <w:rPr>
                <w:rFonts w:ascii="宋体" w:hAnsi="宋体"/>
              </w:rPr>
            </w:pPr>
            <w:r>
              <w:rPr>
                <w:rFonts w:ascii="宋体" w:hAnsi="宋体"/>
                <w:color w:val="000000"/>
              </w:rPr>
              <w:t>4.00</w:t>
            </w:r>
          </w:p>
        </w:tc>
        <w:tc>
          <w:tcPr>
            <w:tcW w:w="1561" w:type="dxa"/>
            <w:vAlign w:val="center"/>
          </w:tcPr>
          <w:p w14:paraId="5398589A">
            <w:pPr>
              <w:spacing w:line="240" w:lineRule="auto"/>
              <w:jc w:val="center"/>
              <w:rPr>
                <w:rFonts w:ascii="宋体" w:hAnsi="宋体"/>
                <w:color w:val="000000"/>
              </w:rPr>
            </w:pPr>
            <w:r>
              <w:rPr>
                <w:rFonts w:ascii="宋体" w:hAnsi="宋体"/>
                <w:color w:val="000000"/>
              </w:rPr>
              <w:t>0</w:t>
            </w:r>
          </w:p>
        </w:tc>
        <w:tc>
          <w:tcPr>
            <w:tcW w:w="1618" w:type="dxa"/>
            <w:vAlign w:val="center"/>
          </w:tcPr>
          <w:p w14:paraId="168BF632">
            <w:pPr>
              <w:spacing w:line="240" w:lineRule="auto"/>
              <w:jc w:val="center"/>
              <w:rPr>
                <w:rFonts w:ascii="宋体" w:hAnsi="宋体"/>
                <w:color w:val="000000"/>
              </w:rPr>
            </w:pPr>
            <w:r>
              <w:rPr>
                <w:rFonts w:ascii="宋体" w:hAnsi="宋体"/>
                <w:color w:val="000000"/>
              </w:rPr>
              <w:t>0.01</w:t>
            </w:r>
          </w:p>
        </w:tc>
        <w:tc>
          <w:tcPr>
            <w:tcW w:w="1203" w:type="dxa"/>
            <w:vAlign w:val="center"/>
          </w:tcPr>
          <w:p w14:paraId="1270A55F">
            <w:pPr>
              <w:spacing w:line="240" w:lineRule="auto"/>
              <w:jc w:val="center"/>
              <w:rPr>
                <w:rFonts w:ascii="宋体" w:hAnsi="宋体"/>
                <w:color w:val="000000"/>
              </w:rPr>
            </w:pPr>
            <w:r>
              <w:rPr>
                <w:rFonts w:ascii="宋体" w:hAnsi="宋体"/>
                <w:color w:val="000000"/>
              </w:rPr>
              <w:t>0.01</w:t>
            </w:r>
          </w:p>
        </w:tc>
        <w:tc>
          <w:tcPr>
            <w:tcW w:w="1355" w:type="dxa"/>
          </w:tcPr>
          <w:p w14:paraId="0684F2C0">
            <w:pPr>
              <w:spacing w:line="240" w:lineRule="auto"/>
              <w:jc w:val="center"/>
              <w:rPr>
                <w:rFonts w:ascii="宋体" w:hAnsi="宋体"/>
                <w:color w:val="000000"/>
              </w:rPr>
            </w:pPr>
            <w:r>
              <w:rPr>
                <w:rFonts w:ascii="宋体" w:hAnsi="宋体"/>
                <w:color w:val="000000"/>
              </w:rPr>
              <w:t>0</w:t>
            </w:r>
          </w:p>
        </w:tc>
      </w:tr>
      <w:tr w14:paraId="7B17F7C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7337049A">
            <w:pPr>
              <w:spacing w:line="240" w:lineRule="auto"/>
              <w:jc w:val="center"/>
              <w:rPr>
                <w:rFonts w:ascii="宋体" w:hAnsi="宋体"/>
                <w:shd w:val="clear" w:color="auto" w:fill="FFFFFF"/>
              </w:rPr>
            </w:pPr>
          </w:p>
        </w:tc>
        <w:tc>
          <w:tcPr>
            <w:tcW w:w="1732" w:type="dxa"/>
            <w:tcMar>
              <w:left w:w="0" w:type="dxa"/>
              <w:right w:w="0" w:type="dxa"/>
            </w:tcMar>
          </w:tcPr>
          <w:p w14:paraId="20B88899">
            <w:pPr>
              <w:spacing w:line="240" w:lineRule="auto"/>
              <w:jc w:val="center"/>
              <w:rPr>
                <w:rFonts w:ascii="宋体" w:hAnsi="宋体"/>
              </w:rPr>
            </w:pPr>
            <w:r>
              <w:rPr>
                <w:rFonts w:hint="eastAsia" w:ascii="宋体" w:hAnsi="宋体"/>
              </w:rPr>
              <w:t>丙苯</w:t>
            </w:r>
          </w:p>
        </w:tc>
        <w:tc>
          <w:tcPr>
            <w:tcW w:w="1031" w:type="dxa"/>
            <w:tcMar>
              <w:left w:w="0" w:type="dxa"/>
              <w:right w:w="0" w:type="dxa"/>
            </w:tcMar>
            <w:vAlign w:val="center"/>
          </w:tcPr>
          <w:p w14:paraId="625D2AC6">
            <w:pPr>
              <w:spacing w:line="240" w:lineRule="auto"/>
              <w:jc w:val="center"/>
              <w:rPr>
                <w:rFonts w:ascii="宋体" w:hAnsi="宋体"/>
              </w:rPr>
            </w:pPr>
            <w:r>
              <w:rPr>
                <w:rFonts w:ascii="宋体" w:hAnsi="宋体"/>
                <w:color w:val="000000"/>
              </w:rPr>
              <w:t>1.60</w:t>
            </w:r>
          </w:p>
        </w:tc>
        <w:tc>
          <w:tcPr>
            <w:tcW w:w="1561" w:type="dxa"/>
            <w:vAlign w:val="center"/>
          </w:tcPr>
          <w:p w14:paraId="2B3EDBED">
            <w:pPr>
              <w:spacing w:line="240" w:lineRule="auto"/>
              <w:jc w:val="center"/>
              <w:rPr>
                <w:rFonts w:ascii="宋体" w:hAnsi="宋体"/>
                <w:color w:val="000000"/>
              </w:rPr>
            </w:pPr>
            <w:r>
              <w:rPr>
                <w:rFonts w:ascii="宋体" w:hAnsi="宋体"/>
                <w:color w:val="000000"/>
              </w:rPr>
              <w:t>0</w:t>
            </w:r>
          </w:p>
        </w:tc>
        <w:tc>
          <w:tcPr>
            <w:tcW w:w="1618" w:type="dxa"/>
            <w:vAlign w:val="center"/>
          </w:tcPr>
          <w:p w14:paraId="2587DF74">
            <w:pPr>
              <w:spacing w:line="240" w:lineRule="auto"/>
              <w:jc w:val="center"/>
              <w:rPr>
                <w:rFonts w:ascii="宋体" w:hAnsi="宋体"/>
                <w:color w:val="000000"/>
              </w:rPr>
            </w:pPr>
            <w:r>
              <w:rPr>
                <w:rFonts w:ascii="宋体" w:hAnsi="宋体"/>
                <w:color w:val="000000"/>
              </w:rPr>
              <w:t>0</w:t>
            </w:r>
          </w:p>
        </w:tc>
        <w:tc>
          <w:tcPr>
            <w:tcW w:w="1203" w:type="dxa"/>
            <w:vAlign w:val="center"/>
          </w:tcPr>
          <w:p w14:paraId="68941C23">
            <w:pPr>
              <w:spacing w:line="240" w:lineRule="auto"/>
              <w:jc w:val="center"/>
              <w:rPr>
                <w:rFonts w:ascii="宋体" w:hAnsi="宋体"/>
                <w:color w:val="000000"/>
              </w:rPr>
            </w:pPr>
            <w:r>
              <w:rPr>
                <w:rFonts w:ascii="宋体" w:hAnsi="宋体"/>
                <w:color w:val="000000"/>
              </w:rPr>
              <w:t>0.01</w:t>
            </w:r>
          </w:p>
        </w:tc>
        <w:tc>
          <w:tcPr>
            <w:tcW w:w="1355" w:type="dxa"/>
          </w:tcPr>
          <w:p w14:paraId="150850FF">
            <w:pPr>
              <w:spacing w:line="240" w:lineRule="auto"/>
              <w:jc w:val="center"/>
              <w:rPr>
                <w:rFonts w:ascii="宋体" w:hAnsi="宋体"/>
                <w:color w:val="000000"/>
              </w:rPr>
            </w:pPr>
            <w:r>
              <w:rPr>
                <w:rFonts w:ascii="宋体" w:hAnsi="宋体"/>
                <w:color w:val="000000"/>
              </w:rPr>
              <w:t>0</w:t>
            </w:r>
          </w:p>
        </w:tc>
      </w:tr>
      <w:tr w14:paraId="0376C12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6189E037">
            <w:pPr>
              <w:spacing w:line="240" w:lineRule="auto"/>
              <w:jc w:val="center"/>
              <w:rPr>
                <w:rFonts w:ascii="宋体" w:hAnsi="宋体"/>
                <w:shd w:val="clear" w:color="auto" w:fill="FFFFFF"/>
              </w:rPr>
            </w:pPr>
          </w:p>
        </w:tc>
        <w:tc>
          <w:tcPr>
            <w:tcW w:w="1732" w:type="dxa"/>
            <w:tcMar>
              <w:left w:w="0" w:type="dxa"/>
              <w:right w:w="0" w:type="dxa"/>
            </w:tcMar>
          </w:tcPr>
          <w:p w14:paraId="016B841D">
            <w:pPr>
              <w:spacing w:line="240" w:lineRule="auto"/>
              <w:jc w:val="center"/>
              <w:rPr>
                <w:rFonts w:ascii="宋体" w:hAnsi="宋体"/>
              </w:rPr>
            </w:pPr>
            <w:r>
              <w:rPr>
                <w:rFonts w:hint="eastAsia" w:ascii="宋体" w:hAnsi="宋体"/>
              </w:rPr>
              <w:t>间乙基甲苯</w:t>
            </w:r>
          </w:p>
        </w:tc>
        <w:tc>
          <w:tcPr>
            <w:tcW w:w="1031" w:type="dxa"/>
            <w:tcMar>
              <w:left w:w="0" w:type="dxa"/>
              <w:right w:w="0" w:type="dxa"/>
            </w:tcMar>
            <w:vAlign w:val="center"/>
          </w:tcPr>
          <w:p w14:paraId="14B7EFC1">
            <w:pPr>
              <w:spacing w:line="240" w:lineRule="auto"/>
              <w:jc w:val="center"/>
              <w:rPr>
                <w:rFonts w:ascii="宋体" w:hAnsi="宋体"/>
              </w:rPr>
            </w:pPr>
            <w:r>
              <w:rPr>
                <w:rFonts w:ascii="宋体" w:hAnsi="宋体"/>
                <w:color w:val="000000"/>
              </w:rPr>
              <w:t>6.30</w:t>
            </w:r>
          </w:p>
        </w:tc>
        <w:tc>
          <w:tcPr>
            <w:tcW w:w="1561" w:type="dxa"/>
            <w:vAlign w:val="center"/>
          </w:tcPr>
          <w:p w14:paraId="6F7580D3">
            <w:pPr>
              <w:spacing w:line="240" w:lineRule="auto"/>
              <w:jc w:val="center"/>
              <w:rPr>
                <w:rFonts w:ascii="宋体" w:hAnsi="宋体"/>
                <w:color w:val="000000"/>
              </w:rPr>
            </w:pPr>
            <w:r>
              <w:rPr>
                <w:rFonts w:ascii="宋体" w:hAnsi="宋体"/>
                <w:color w:val="000000"/>
              </w:rPr>
              <w:t>0</w:t>
            </w:r>
          </w:p>
        </w:tc>
        <w:tc>
          <w:tcPr>
            <w:tcW w:w="1618" w:type="dxa"/>
            <w:vAlign w:val="center"/>
          </w:tcPr>
          <w:p w14:paraId="09DC0F76">
            <w:pPr>
              <w:spacing w:line="240" w:lineRule="auto"/>
              <w:jc w:val="center"/>
              <w:rPr>
                <w:rFonts w:ascii="宋体" w:hAnsi="宋体"/>
                <w:color w:val="000000"/>
              </w:rPr>
            </w:pPr>
            <w:r>
              <w:rPr>
                <w:rFonts w:ascii="宋体" w:hAnsi="宋体"/>
                <w:color w:val="000000"/>
              </w:rPr>
              <w:t>0.07</w:t>
            </w:r>
          </w:p>
        </w:tc>
        <w:tc>
          <w:tcPr>
            <w:tcW w:w="1203" w:type="dxa"/>
            <w:vAlign w:val="center"/>
          </w:tcPr>
          <w:p w14:paraId="5A49D3D8">
            <w:pPr>
              <w:spacing w:line="240" w:lineRule="auto"/>
              <w:jc w:val="center"/>
              <w:rPr>
                <w:rFonts w:ascii="宋体" w:hAnsi="宋体"/>
                <w:color w:val="000000"/>
              </w:rPr>
            </w:pPr>
            <w:r>
              <w:rPr>
                <w:rFonts w:ascii="宋体" w:hAnsi="宋体"/>
                <w:color w:val="000000"/>
              </w:rPr>
              <w:t>0.07</w:t>
            </w:r>
          </w:p>
        </w:tc>
        <w:tc>
          <w:tcPr>
            <w:tcW w:w="1355" w:type="dxa"/>
            <w:vAlign w:val="center"/>
          </w:tcPr>
          <w:p w14:paraId="5D50E53A">
            <w:pPr>
              <w:spacing w:line="240" w:lineRule="auto"/>
              <w:jc w:val="center"/>
              <w:rPr>
                <w:rFonts w:ascii="宋体" w:hAnsi="宋体"/>
                <w:color w:val="000000"/>
              </w:rPr>
            </w:pPr>
            <w:r>
              <w:rPr>
                <w:rFonts w:ascii="宋体" w:hAnsi="宋体"/>
                <w:color w:val="000000"/>
              </w:rPr>
              <w:t>0</w:t>
            </w:r>
          </w:p>
        </w:tc>
      </w:tr>
      <w:tr w14:paraId="4711A2C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7DDCE243">
            <w:pPr>
              <w:spacing w:line="240" w:lineRule="auto"/>
              <w:jc w:val="center"/>
              <w:rPr>
                <w:rFonts w:ascii="宋体" w:hAnsi="宋体"/>
                <w:shd w:val="clear" w:color="auto" w:fill="FFFFFF"/>
              </w:rPr>
            </w:pPr>
          </w:p>
        </w:tc>
        <w:tc>
          <w:tcPr>
            <w:tcW w:w="1732" w:type="dxa"/>
            <w:tcMar>
              <w:left w:w="0" w:type="dxa"/>
              <w:right w:w="0" w:type="dxa"/>
            </w:tcMar>
          </w:tcPr>
          <w:p w14:paraId="1DE1102A">
            <w:pPr>
              <w:spacing w:line="240" w:lineRule="auto"/>
              <w:jc w:val="center"/>
              <w:rPr>
                <w:rFonts w:ascii="宋体" w:hAnsi="宋体"/>
              </w:rPr>
            </w:pPr>
            <w:r>
              <w:rPr>
                <w:rFonts w:hint="eastAsia" w:ascii="宋体" w:hAnsi="宋体"/>
              </w:rPr>
              <w:t>对乙基甲苯</w:t>
            </w:r>
          </w:p>
        </w:tc>
        <w:tc>
          <w:tcPr>
            <w:tcW w:w="1031" w:type="dxa"/>
            <w:tcMar>
              <w:left w:w="0" w:type="dxa"/>
              <w:right w:w="0" w:type="dxa"/>
            </w:tcMar>
            <w:vAlign w:val="center"/>
          </w:tcPr>
          <w:p w14:paraId="5E35DD6B">
            <w:pPr>
              <w:spacing w:line="240" w:lineRule="auto"/>
              <w:jc w:val="center"/>
              <w:rPr>
                <w:rFonts w:ascii="宋体" w:hAnsi="宋体"/>
              </w:rPr>
            </w:pPr>
            <w:r>
              <w:rPr>
                <w:rFonts w:ascii="宋体" w:hAnsi="宋体"/>
                <w:color w:val="000000"/>
              </w:rPr>
              <w:t>2.50</w:t>
            </w:r>
          </w:p>
        </w:tc>
        <w:tc>
          <w:tcPr>
            <w:tcW w:w="1561" w:type="dxa"/>
            <w:vAlign w:val="center"/>
          </w:tcPr>
          <w:p w14:paraId="537C3A9F">
            <w:pPr>
              <w:spacing w:line="240" w:lineRule="auto"/>
              <w:jc w:val="center"/>
              <w:rPr>
                <w:rFonts w:ascii="宋体" w:hAnsi="宋体"/>
                <w:color w:val="000000"/>
              </w:rPr>
            </w:pPr>
            <w:r>
              <w:rPr>
                <w:rFonts w:ascii="宋体" w:hAnsi="宋体"/>
                <w:color w:val="000000"/>
              </w:rPr>
              <w:t>0</w:t>
            </w:r>
          </w:p>
        </w:tc>
        <w:tc>
          <w:tcPr>
            <w:tcW w:w="1618" w:type="dxa"/>
            <w:vAlign w:val="center"/>
          </w:tcPr>
          <w:p w14:paraId="5FE1BD0D">
            <w:pPr>
              <w:spacing w:line="240" w:lineRule="auto"/>
              <w:jc w:val="center"/>
              <w:rPr>
                <w:rFonts w:ascii="宋体" w:hAnsi="宋体"/>
                <w:color w:val="000000"/>
              </w:rPr>
            </w:pPr>
            <w:r>
              <w:rPr>
                <w:rFonts w:ascii="宋体" w:hAnsi="宋体"/>
                <w:color w:val="000000"/>
              </w:rPr>
              <w:t>0.07</w:t>
            </w:r>
          </w:p>
        </w:tc>
        <w:tc>
          <w:tcPr>
            <w:tcW w:w="1203" w:type="dxa"/>
            <w:vAlign w:val="center"/>
          </w:tcPr>
          <w:p w14:paraId="721E8D03">
            <w:pPr>
              <w:spacing w:line="240" w:lineRule="auto"/>
              <w:jc w:val="center"/>
              <w:rPr>
                <w:rFonts w:ascii="宋体" w:hAnsi="宋体"/>
                <w:color w:val="000000"/>
              </w:rPr>
            </w:pPr>
            <w:r>
              <w:rPr>
                <w:rFonts w:ascii="宋体" w:hAnsi="宋体"/>
                <w:color w:val="000000"/>
              </w:rPr>
              <w:t>0.08</w:t>
            </w:r>
          </w:p>
        </w:tc>
        <w:tc>
          <w:tcPr>
            <w:tcW w:w="1355" w:type="dxa"/>
            <w:vAlign w:val="center"/>
          </w:tcPr>
          <w:p w14:paraId="19149E82">
            <w:pPr>
              <w:spacing w:line="240" w:lineRule="auto"/>
              <w:jc w:val="center"/>
              <w:rPr>
                <w:rFonts w:ascii="宋体" w:hAnsi="宋体"/>
                <w:color w:val="000000"/>
              </w:rPr>
            </w:pPr>
            <w:r>
              <w:rPr>
                <w:rFonts w:ascii="宋体" w:hAnsi="宋体"/>
                <w:color w:val="000000"/>
              </w:rPr>
              <w:t>0.01</w:t>
            </w:r>
          </w:p>
        </w:tc>
      </w:tr>
      <w:tr w14:paraId="585E02B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0A9EF6C1">
            <w:pPr>
              <w:spacing w:line="240" w:lineRule="auto"/>
              <w:jc w:val="center"/>
              <w:rPr>
                <w:rFonts w:ascii="宋体" w:hAnsi="宋体"/>
                <w:shd w:val="clear" w:color="auto" w:fill="FFFFFF"/>
              </w:rPr>
            </w:pPr>
          </w:p>
        </w:tc>
        <w:tc>
          <w:tcPr>
            <w:tcW w:w="1732" w:type="dxa"/>
            <w:tcMar>
              <w:left w:w="0" w:type="dxa"/>
              <w:right w:w="0" w:type="dxa"/>
            </w:tcMar>
          </w:tcPr>
          <w:p w14:paraId="0F6CF5A6">
            <w:pPr>
              <w:spacing w:line="240" w:lineRule="auto"/>
              <w:jc w:val="center"/>
              <w:rPr>
                <w:rFonts w:ascii="宋体" w:hAnsi="宋体"/>
              </w:rPr>
            </w:pPr>
            <w:r>
              <w:rPr>
                <w:rFonts w:hint="eastAsia" w:ascii="宋体" w:hAnsi="宋体"/>
              </w:rPr>
              <w:t>1,3,5-三甲基苯</w:t>
            </w:r>
          </w:p>
        </w:tc>
        <w:tc>
          <w:tcPr>
            <w:tcW w:w="1031" w:type="dxa"/>
            <w:tcMar>
              <w:left w:w="0" w:type="dxa"/>
              <w:right w:w="0" w:type="dxa"/>
            </w:tcMar>
            <w:vAlign w:val="center"/>
          </w:tcPr>
          <w:p w14:paraId="6218A93C">
            <w:pPr>
              <w:spacing w:line="240" w:lineRule="auto"/>
              <w:jc w:val="center"/>
              <w:rPr>
                <w:rFonts w:ascii="宋体" w:hAnsi="宋体"/>
              </w:rPr>
            </w:pPr>
            <w:r>
              <w:rPr>
                <w:rFonts w:ascii="宋体" w:hAnsi="宋体"/>
                <w:color w:val="000000"/>
              </w:rPr>
              <w:t>2.90</w:t>
            </w:r>
          </w:p>
        </w:tc>
        <w:tc>
          <w:tcPr>
            <w:tcW w:w="1561" w:type="dxa"/>
            <w:vAlign w:val="center"/>
          </w:tcPr>
          <w:p w14:paraId="67214B05">
            <w:pPr>
              <w:spacing w:line="240" w:lineRule="auto"/>
              <w:jc w:val="center"/>
              <w:rPr>
                <w:rFonts w:ascii="宋体" w:hAnsi="宋体"/>
                <w:color w:val="000000"/>
              </w:rPr>
            </w:pPr>
            <w:r>
              <w:rPr>
                <w:rFonts w:ascii="宋体" w:hAnsi="宋体"/>
                <w:color w:val="000000"/>
              </w:rPr>
              <w:t>0</w:t>
            </w:r>
          </w:p>
        </w:tc>
        <w:tc>
          <w:tcPr>
            <w:tcW w:w="1618" w:type="dxa"/>
            <w:vAlign w:val="center"/>
          </w:tcPr>
          <w:p w14:paraId="0347F20F">
            <w:pPr>
              <w:spacing w:line="240" w:lineRule="auto"/>
              <w:jc w:val="center"/>
              <w:rPr>
                <w:rFonts w:ascii="宋体" w:hAnsi="宋体"/>
                <w:color w:val="000000"/>
              </w:rPr>
            </w:pPr>
            <w:r>
              <w:rPr>
                <w:rFonts w:ascii="宋体" w:hAnsi="宋体"/>
                <w:color w:val="000000"/>
              </w:rPr>
              <w:t>0.09</w:t>
            </w:r>
          </w:p>
        </w:tc>
        <w:tc>
          <w:tcPr>
            <w:tcW w:w="1203" w:type="dxa"/>
            <w:vAlign w:val="center"/>
          </w:tcPr>
          <w:p w14:paraId="7A1DEADC">
            <w:pPr>
              <w:spacing w:line="240" w:lineRule="auto"/>
              <w:jc w:val="center"/>
              <w:rPr>
                <w:rFonts w:ascii="宋体" w:hAnsi="宋体"/>
                <w:color w:val="000000"/>
              </w:rPr>
            </w:pPr>
            <w:r>
              <w:rPr>
                <w:rFonts w:ascii="宋体" w:hAnsi="宋体"/>
                <w:color w:val="000000"/>
              </w:rPr>
              <w:t>0.09</w:t>
            </w:r>
          </w:p>
        </w:tc>
        <w:tc>
          <w:tcPr>
            <w:tcW w:w="1355" w:type="dxa"/>
            <w:vAlign w:val="center"/>
          </w:tcPr>
          <w:p w14:paraId="68C7E9B7">
            <w:pPr>
              <w:spacing w:line="240" w:lineRule="auto"/>
              <w:jc w:val="center"/>
              <w:rPr>
                <w:rFonts w:ascii="宋体" w:hAnsi="宋体"/>
                <w:color w:val="000000"/>
              </w:rPr>
            </w:pPr>
            <w:r>
              <w:rPr>
                <w:rFonts w:ascii="宋体" w:hAnsi="宋体"/>
                <w:color w:val="000000"/>
              </w:rPr>
              <w:t>0.06</w:t>
            </w:r>
          </w:p>
        </w:tc>
      </w:tr>
      <w:tr w14:paraId="2E6303E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299A521D">
            <w:pPr>
              <w:spacing w:line="240" w:lineRule="auto"/>
              <w:jc w:val="center"/>
              <w:rPr>
                <w:rFonts w:ascii="宋体" w:hAnsi="宋体"/>
                <w:shd w:val="clear" w:color="auto" w:fill="FFFFFF"/>
              </w:rPr>
            </w:pPr>
          </w:p>
        </w:tc>
        <w:tc>
          <w:tcPr>
            <w:tcW w:w="1732" w:type="dxa"/>
            <w:tcMar>
              <w:left w:w="0" w:type="dxa"/>
              <w:right w:w="0" w:type="dxa"/>
            </w:tcMar>
          </w:tcPr>
          <w:p w14:paraId="204CE825">
            <w:pPr>
              <w:spacing w:line="240" w:lineRule="auto"/>
              <w:jc w:val="center"/>
              <w:rPr>
                <w:rFonts w:ascii="宋体" w:hAnsi="宋体"/>
              </w:rPr>
            </w:pPr>
            <w:r>
              <w:rPr>
                <w:rFonts w:hint="eastAsia" w:ascii="宋体" w:hAnsi="宋体"/>
              </w:rPr>
              <w:t>邻乙基甲苯</w:t>
            </w:r>
          </w:p>
        </w:tc>
        <w:tc>
          <w:tcPr>
            <w:tcW w:w="1031" w:type="dxa"/>
            <w:tcMar>
              <w:left w:w="0" w:type="dxa"/>
              <w:right w:w="0" w:type="dxa"/>
            </w:tcMar>
            <w:vAlign w:val="center"/>
          </w:tcPr>
          <w:p w14:paraId="4172A377">
            <w:pPr>
              <w:spacing w:line="240" w:lineRule="auto"/>
              <w:jc w:val="center"/>
              <w:rPr>
                <w:rFonts w:ascii="宋体" w:hAnsi="宋体"/>
              </w:rPr>
            </w:pPr>
            <w:r>
              <w:rPr>
                <w:rFonts w:ascii="宋体" w:hAnsi="宋体"/>
                <w:color w:val="000000"/>
              </w:rPr>
              <w:t>5.60</w:t>
            </w:r>
          </w:p>
        </w:tc>
        <w:tc>
          <w:tcPr>
            <w:tcW w:w="1561" w:type="dxa"/>
            <w:vAlign w:val="center"/>
          </w:tcPr>
          <w:p w14:paraId="65F5E5C5">
            <w:pPr>
              <w:spacing w:line="240" w:lineRule="auto"/>
              <w:jc w:val="center"/>
              <w:rPr>
                <w:rFonts w:ascii="宋体" w:hAnsi="宋体"/>
                <w:color w:val="000000"/>
              </w:rPr>
            </w:pPr>
            <w:r>
              <w:rPr>
                <w:rFonts w:ascii="宋体" w:hAnsi="宋体"/>
                <w:color w:val="000000"/>
              </w:rPr>
              <w:t>0</w:t>
            </w:r>
          </w:p>
        </w:tc>
        <w:tc>
          <w:tcPr>
            <w:tcW w:w="1618" w:type="dxa"/>
            <w:vAlign w:val="center"/>
          </w:tcPr>
          <w:p w14:paraId="257C92BB">
            <w:pPr>
              <w:spacing w:line="240" w:lineRule="auto"/>
              <w:jc w:val="center"/>
              <w:rPr>
                <w:rFonts w:ascii="宋体" w:hAnsi="宋体"/>
                <w:color w:val="000000"/>
              </w:rPr>
            </w:pPr>
            <w:r>
              <w:rPr>
                <w:rFonts w:ascii="宋体" w:hAnsi="宋体"/>
                <w:color w:val="000000"/>
              </w:rPr>
              <w:t>0.07</w:t>
            </w:r>
          </w:p>
        </w:tc>
        <w:tc>
          <w:tcPr>
            <w:tcW w:w="1203" w:type="dxa"/>
            <w:vAlign w:val="center"/>
          </w:tcPr>
          <w:p w14:paraId="3715D372">
            <w:pPr>
              <w:spacing w:line="240" w:lineRule="auto"/>
              <w:jc w:val="center"/>
              <w:rPr>
                <w:rFonts w:ascii="宋体" w:hAnsi="宋体"/>
                <w:color w:val="000000"/>
              </w:rPr>
            </w:pPr>
            <w:r>
              <w:rPr>
                <w:rFonts w:ascii="宋体" w:hAnsi="宋体"/>
                <w:color w:val="000000"/>
              </w:rPr>
              <w:t>0.07</w:t>
            </w:r>
          </w:p>
        </w:tc>
        <w:tc>
          <w:tcPr>
            <w:tcW w:w="1355" w:type="dxa"/>
            <w:vAlign w:val="center"/>
          </w:tcPr>
          <w:p w14:paraId="5B5D8924">
            <w:pPr>
              <w:spacing w:line="240" w:lineRule="auto"/>
              <w:jc w:val="center"/>
              <w:rPr>
                <w:rFonts w:ascii="宋体" w:hAnsi="宋体"/>
                <w:color w:val="000000"/>
              </w:rPr>
            </w:pPr>
            <w:r>
              <w:rPr>
                <w:rFonts w:ascii="宋体" w:hAnsi="宋体"/>
                <w:color w:val="000000"/>
              </w:rPr>
              <w:t>0.10</w:t>
            </w:r>
          </w:p>
        </w:tc>
      </w:tr>
      <w:tr w14:paraId="7751833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279A200B">
            <w:pPr>
              <w:spacing w:line="240" w:lineRule="auto"/>
              <w:jc w:val="center"/>
              <w:rPr>
                <w:rFonts w:ascii="宋体" w:hAnsi="宋体"/>
                <w:shd w:val="clear" w:color="auto" w:fill="FFFFFF"/>
              </w:rPr>
            </w:pPr>
          </w:p>
        </w:tc>
        <w:tc>
          <w:tcPr>
            <w:tcW w:w="1732" w:type="dxa"/>
            <w:tcMar>
              <w:left w:w="0" w:type="dxa"/>
              <w:right w:w="0" w:type="dxa"/>
            </w:tcMar>
          </w:tcPr>
          <w:p w14:paraId="5ECC1F62">
            <w:pPr>
              <w:spacing w:line="240" w:lineRule="auto"/>
              <w:jc w:val="center"/>
              <w:rPr>
                <w:rFonts w:ascii="宋体" w:hAnsi="宋体"/>
              </w:rPr>
            </w:pPr>
            <w:r>
              <w:rPr>
                <w:rFonts w:hint="eastAsia" w:ascii="宋体" w:hAnsi="宋体"/>
              </w:rPr>
              <w:t>1,2,4-三甲基苯</w:t>
            </w:r>
          </w:p>
        </w:tc>
        <w:tc>
          <w:tcPr>
            <w:tcW w:w="1031" w:type="dxa"/>
            <w:tcMar>
              <w:left w:w="0" w:type="dxa"/>
              <w:right w:w="0" w:type="dxa"/>
            </w:tcMar>
            <w:vAlign w:val="center"/>
          </w:tcPr>
          <w:p w14:paraId="57DCE730">
            <w:pPr>
              <w:spacing w:line="240" w:lineRule="auto"/>
              <w:jc w:val="center"/>
              <w:rPr>
                <w:rFonts w:ascii="宋体" w:hAnsi="宋体"/>
              </w:rPr>
            </w:pPr>
            <w:r>
              <w:rPr>
                <w:rFonts w:ascii="宋体" w:hAnsi="宋体"/>
                <w:color w:val="000000"/>
              </w:rPr>
              <w:t>2.00</w:t>
            </w:r>
          </w:p>
        </w:tc>
        <w:tc>
          <w:tcPr>
            <w:tcW w:w="1561" w:type="dxa"/>
            <w:vAlign w:val="center"/>
          </w:tcPr>
          <w:p w14:paraId="509E0E8D">
            <w:pPr>
              <w:spacing w:line="240" w:lineRule="auto"/>
              <w:jc w:val="center"/>
              <w:rPr>
                <w:rFonts w:ascii="宋体" w:hAnsi="宋体"/>
                <w:color w:val="000000"/>
              </w:rPr>
            </w:pPr>
            <w:r>
              <w:rPr>
                <w:rFonts w:ascii="宋体" w:hAnsi="宋体"/>
                <w:color w:val="000000"/>
              </w:rPr>
              <w:t>0</w:t>
            </w:r>
          </w:p>
        </w:tc>
        <w:tc>
          <w:tcPr>
            <w:tcW w:w="1618" w:type="dxa"/>
            <w:vAlign w:val="center"/>
          </w:tcPr>
          <w:p w14:paraId="5AA12990">
            <w:pPr>
              <w:spacing w:line="240" w:lineRule="auto"/>
              <w:jc w:val="center"/>
              <w:rPr>
                <w:rFonts w:ascii="宋体" w:hAnsi="宋体"/>
                <w:color w:val="000000"/>
              </w:rPr>
            </w:pPr>
            <w:r>
              <w:rPr>
                <w:rFonts w:ascii="宋体" w:hAnsi="宋体"/>
                <w:color w:val="000000"/>
              </w:rPr>
              <w:t>0</w:t>
            </w:r>
          </w:p>
        </w:tc>
        <w:tc>
          <w:tcPr>
            <w:tcW w:w="1203" w:type="dxa"/>
            <w:vAlign w:val="center"/>
          </w:tcPr>
          <w:p w14:paraId="73C45A31">
            <w:pPr>
              <w:spacing w:line="240" w:lineRule="auto"/>
              <w:jc w:val="center"/>
              <w:rPr>
                <w:rFonts w:ascii="宋体" w:hAnsi="宋体"/>
                <w:color w:val="000000"/>
              </w:rPr>
            </w:pPr>
            <w:r>
              <w:rPr>
                <w:rFonts w:ascii="宋体" w:hAnsi="宋体"/>
                <w:color w:val="000000"/>
              </w:rPr>
              <w:t>0</w:t>
            </w:r>
          </w:p>
        </w:tc>
        <w:tc>
          <w:tcPr>
            <w:tcW w:w="1355" w:type="dxa"/>
            <w:vAlign w:val="center"/>
          </w:tcPr>
          <w:p w14:paraId="4EC504AF">
            <w:pPr>
              <w:spacing w:line="240" w:lineRule="auto"/>
              <w:jc w:val="center"/>
              <w:rPr>
                <w:rFonts w:ascii="宋体" w:hAnsi="宋体"/>
                <w:color w:val="000000"/>
              </w:rPr>
            </w:pPr>
            <w:r>
              <w:rPr>
                <w:rFonts w:ascii="宋体" w:hAnsi="宋体"/>
                <w:color w:val="000000"/>
              </w:rPr>
              <w:t>0</w:t>
            </w:r>
          </w:p>
        </w:tc>
      </w:tr>
      <w:tr w14:paraId="4E4399B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0D23C66D">
            <w:pPr>
              <w:spacing w:line="240" w:lineRule="auto"/>
              <w:jc w:val="center"/>
              <w:rPr>
                <w:rFonts w:ascii="宋体" w:hAnsi="宋体"/>
                <w:shd w:val="clear" w:color="auto" w:fill="FFFFFF"/>
              </w:rPr>
            </w:pPr>
          </w:p>
        </w:tc>
        <w:tc>
          <w:tcPr>
            <w:tcW w:w="1732" w:type="dxa"/>
            <w:tcMar>
              <w:left w:w="0" w:type="dxa"/>
              <w:right w:w="0" w:type="dxa"/>
            </w:tcMar>
          </w:tcPr>
          <w:p w14:paraId="307FF760">
            <w:pPr>
              <w:spacing w:line="240" w:lineRule="auto"/>
              <w:jc w:val="center"/>
              <w:rPr>
                <w:rFonts w:ascii="宋体" w:hAnsi="宋体"/>
              </w:rPr>
            </w:pPr>
            <w:r>
              <w:rPr>
                <w:rFonts w:hint="eastAsia" w:ascii="宋体" w:hAnsi="宋体"/>
              </w:rPr>
              <w:t>1,2,3-三甲基苯</w:t>
            </w:r>
          </w:p>
        </w:tc>
        <w:tc>
          <w:tcPr>
            <w:tcW w:w="1031" w:type="dxa"/>
            <w:tcMar>
              <w:left w:w="0" w:type="dxa"/>
              <w:right w:w="0" w:type="dxa"/>
            </w:tcMar>
            <w:vAlign w:val="center"/>
          </w:tcPr>
          <w:p w14:paraId="3841E50F">
            <w:pPr>
              <w:spacing w:line="240" w:lineRule="auto"/>
              <w:jc w:val="center"/>
              <w:rPr>
                <w:rFonts w:ascii="宋体" w:hAnsi="宋体"/>
              </w:rPr>
            </w:pPr>
            <w:r>
              <w:rPr>
                <w:rFonts w:ascii="宋体" w:hAnsi="宋体"/>
                <w:color w:val="000000"/>
              </w:rPr>
              <w:t>3.60</w:t>
            </w:r>
          </w:p>
        </w:tc>
        <w:tc>
          <w:tcPr>
            <w:tcW w:w="1561" w:type="dxa"/>
            <w:vAlign w:val="center"/>
          </w:tcPr>
          <w:p w14:paraId="52FD395B">
            <w:pPr>
              <w:spacing w:line="240" w:lineRule="auto"/>
              <w:jc w:val="center"/>
              <w:rPr>
                <w:rFonts w:ascii="宋体" w:hAnsi="宋体"/>
                <w:color w:val="000000"/>
              </w:rPr>
            </w:pPr>
            <w:r>
              <w:rPr>
                <w:rFonts w:ascii="宋体" w:hAnsi="宋体"/>
                <w:color w:val="000000"/>
              </w:rPr>
              <w:t>0</w:t>
            </w:r>
          </w:p>
        </w:tc>
        <w:tc>
          <w:tcPr>
            <w:tcW w:w="1618" w:type="dxa"/>
            <w:vAlign w:val="center"/>
          </w:tcPr>
          <w:p w14:paraId="578E27C8">
            <w:pPr>
              <w:spacing w:line="240" w:lineRule="auto"/>
              <w:jc w:val="center"/>
              <w:rPr>
                <w:rFonts w:ascii="宋体" w:hAnsi="宋体"/>
                <w:color w:val="000000"/>
              </w:rPr>
            </w:pPr>
            <w:r>
              <w:rPr>
                <w:rFonts w:ascii="宋体" w:hAnsi="宋体"/>
                <w:color w:val="000000"/>
              </w:rPr>
              <w:t>0.02</w:t>
            </w:r>
          </w:p>
        </w:tc>
        <w:tc>
          <w:tcPr>
            <w:tcW w:w="1203" w:type="dxa"/>
            <w:vAlign w:val="center"/>
          </w:tcPr>
          <w:p w14:paraId="039907B1">
            <w:pPr>
              <w:spacing w:line="240" w:lineRule="auto"/>
              <w:jc w:val="center"/>
              <w:rPr>
                <w:rFonts w:ascii="宋体" w:hAnsi="宋体"/>
                <w:color w:val="000000"/>
              </w:rPr>
            </w:pPr>
            <w:r>
              <w:rPr>
                <w:rFonts w:ascii="宋体" w:hAnsi="宋体"/>
                <w:color w:val="000000"/>
              </w:rPr>
              <w:t>0.01</w:t>
            </w:r>
          </w:p>
        </w:tc>
        <w:tc>
          <w:tcPr>
            <w:tcW w:w="1355" w:type="dxa"/>
            <w:vAlign w:val="center"/>
          </w:tcPr>
          <w:p w14:paraId="20C8B139">
            <w:pPr>
              <w:spacing w:line="240" w:lineRule="auto"/>
              <w:jc w:val="center"/>
              <w:rPr>
                <w:rFonts w:ascii="宋体" w:hAnsi="宋体"/>
                <w:color w:val="000000"/>
              </w:rPr>
            </w:pPr>
            <w:r>
              <w:rPr>
                <w:rFonts w:ascii="宋体" w:hAnsi="宋体"/>
                <w:color w:val="000000"/>
              </w:rPr>
              <w:t>0.09</w:t>
            </w:r>
          </w:p>
        </w:tc>
      </w:tr>
      <w:tr w14:paraId="3BF3C88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Mar>
              <w:left w:w="0" w:type="dxa"/>
              <w:right w:w="0" w:type="dxa"/>
            </w:tcMar>
            <w:vAlign w:val="center"/>
          </w:tcPr>
          <w:p w14:paraId="126D02A9">
            <w:pPr>
              <w:spacing w:line="240" w:lineRule="auto"/>
              <w:jc w:val="center"/>
              <w:rPr>
                <w:rFonts w:ascii="宋体" w:hAnsi="宋体"/>
                <w:shd w:val="clear" w:color="auto" w:fill="FFFFFF"/>
              </w:rPr>
            </w:pPr>
          </w:p>
        </w:tc>
        <w:tc>
          <w:tcPr>
            <w:tcW w:w="1732" w:type="dxa"/>
            <w:tcMar>
              <w:left w:w="0" w:type="dxa"/>
              <w:right w:w="0" w:type="dxa"/>
            </w:tcMar>
          </w:tcPr>
          <w:p w14:paraId="7B0BC690">
            <w:pPr>
              <w:spacing w:line="240" w:lineRule="auto"/>
              <w:jc w:val="center"/>
              <w:rPr>
                <w:rFonts w:ascii="宋体" w:hAnsi="宋体"/>
              </w:rPr>
            </w:pPr>
            <w:r>
              <w:rPr>
                <w:rFonts w:hint="eastAsia" w:ascii="宋体" w:hAnsi="宋体"/>
              </w:rPr>
              <w:t>间二乙苯</w:t>
            </w:r>
          </w:p>
        </w:tc>
        <w:tc>
          <w:tcPr>
            <w:tcW w:w="1031" w:type="dxa"/>
            <w:tcMar>
              <w:left w:w="0" w:type="dxa"/>
              <w:right w:w="0" w:type="dxa"/>
            </w:tcMar>
            <w:vAlign w:val="center"/>
          </w:tcPr>
          <w:p w14:paraId="0DCD72DC">
            <w:pPr>
              <w:spacing w:line="240" w:lineRule="auto"/>
              <w:jc w:val="center"/>
              <w:rPr>
                <w:rFonts w:ascii="宋体" w:hAnsi="宋体"/>
              </w:rPr>
            </w:pPr>
            <w:r>
              <w:rPr>
                <w:rFonts w:ascii="宋体" w:hAnsi="宋体"/>
                <w:color w:val="000000"/>
              </w:rPr>
              <w:t>6.30</w:t>
            </w:r>
          </w:p>
        </w:tc>
        <w:tc>
          <w:tcPr>
            <w:tcW w:w="1561" w:type="dxa"/>
            <w:vAlign w:val="center"/>
          </w:tcPr>
          <w:p w14:paraId="1DBC0ECE">
            <w:pPr>
              <w:spacing w:line="240" w:lineRule="auto"/>
              <w:jc w:val="center"/>
              <w:rPr>
                <w:rFonts w:ascii="宋体" w:hAnsi="宋体"/>
                <w:color w:val="000000"/>
              </w:rPr>
            </w:pPr>
            <w:r>
              <w:rPr>
                <w:rFonts w:ascii="宋体" w:hAnsi="宋体"/>
                <w:color w:val="000000"/>
              </w:rPr>
              <w:t>0</w:t>
            </w:r>
          </w:p>
        </w:tc>
        <w:tc>
          <w:tcPr>
            <w:tcW w:w="1618" w:type="dxa"/>
            <w:vAlign w:val="center"/>
          </w:tcPr>
          <w:p w14:paraId="5290C71B">
            <w:pPr>
              <w:spacing w:line="240" w:lineRule="auto"/>
              <w:jc w:val="center"/>
              <w:rPr>
                <w:rFonts w:ascii="宋体" w:hAnsi="宋体"/>
                <w:color w:val="000000"/>
              </w:rPr>
            </w:pPr>
            <w:r>
              <w:rPr>
                <w:rFonts w:ascii="宋体" w:hAnsi="宋体"/>
                <w:color w:val="000000"/>
              </w:rPr>
              <w:t>0</w:t>
            </w:r>
          </w:p>
        </w:tc>
        <w:tc>
          <w:tcPr>
            <w:tcW w:w="1203" w:type="dxa"/>
            <w:vAlign w:val="center"/>
          </w:tcPr>
          <w:p w14:paraId="17334196">
            <w:pPr>
              <w:spacing w:line="240" w:lineRule="auto"/>
              <w:jc w:val="center"/>
              <w:rPr>
                <w:rFonts w:ascii="宋体" w:hAnsi="宋体"/>
                <w:color w:val="000000"/>
              </w:rPr>
            </w:pPr>
            <w:r>
              <w:rPr>
                <w:rFonts w:ascii="宋体" w:hAnsi="宋体"/>
                <w:color w:val="000000"/>
              </w:rPr>
              <w:t>0</w:t>
            </w:r>
          </w:p>
        </w:tc>
        <w:tc>
          <w:tcPr>
            <w:tcW w:w="1355" w:type="dxa"/>
            <w:vAlign w:val="center"/>
          </w:tcPr>
          <w:p w14:paraId="2467C4C0">
            <w:pPr>
              <w:spacing w:line="240" w:lineRule="auto"/>
              <w:jc w:val="center"/>
              <w:rPr>
                <w:rFonts w:ascii="宋体" w:hAnsi="宋体"/>
                <w:color w:val="000000"/>
              </w:rPr>
            </w:pPr>
            <w:r>
              <w:rPr>
                <w:rFonts w:ascii="宋体" w:hAnsi="宋体"/>
                <w:color w:val="000000"/>
              </w:rPr>
              <w:t>0</w:t>
            </w:r>
          </w:p>
        </w:tc>
      </w:tr>
      <w:tr w14:paraId="1FB4645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vMerge w:val="continue"/>
            <w:tcBorders>
              <w:bottom w:val="single" w:color="auto" w:sz="12" w:space="0"/>
            </w:tcBorders>
            <w:tcMar>
              <w:left w:w="0" w:type="dxa"/>
              <w:right w:w="0" w:type="dxa"/>
            </w:tcMar>
            <w:vAlign w:val="center"/>
          </w:tcPr>
          <w:p w14:paraId="125FACAC">
            <w:pPr>
              <w:spacing w:line="240" w:lineRule="auto"/>
              <w:jc w:val="center"/>
              <w:rPr>
                <w:rFonts w:ascii="宋体" w:hAnsi="宋体"/>
                <w:shd w:val="clear" w:color="auto" w:fill="FFFFFF"/>
              </w:rPr>
            </w:pPr>
          </w:p>
        </w:tc>
        <w:tc>
          <w:tcPr>
            <w:tcW w:w="1732" w:type="dxa"/>
            <w:tcBorders>
              <w:bottom w:val="single" w:color="auto" w:sz="12" w:space="0"/>
            </w:tcBorders>
            <w:tcMar>
              <w:left w:w="0" w:type="dxa"/>
              <w:right w:w="0" w:type="dxa"/>
            </w:tcMar>
          </w:tcPr>
          <w:p w14:paraId="7B6FF19C">
            <w:pPr>
              <w:spacing w:line="240" w:lineRule="auto"/>
              <w:jc w:val="center"/>
              <w:rPr>
                <w:rFonts w:ascii="宋体" w:hAnsi="宋体"/>
              </w:rPr>
            </w:pPr>
            <w:r>
              <w:rPr>
                <w:rFonts w:hint="eastAsia" w:ascii="宋体" w:hAnsi="宋体"/>
              </w:rPr>
              <w:t>对二乙苯</w:t>
            </w:r>
          </w:p>
        </w:tc>
        <w:tc>
          <w:tcPr>
            <w:tcW w:w="1031" w:type="dxa"/>
            <w:tcBorders>
              <w:bottom w:val="single" w:color="auto" w:sz="12" w:space="0"/>
            </w:tcBorders>
            <w:tcMar>
              <w:left w:w="0" w:type="dxa"/>
              <w:right w:w="0" w:type="dxa"/>
            </w:tcMar>
            <w:vAlign w:val="center"/>
          </w:tcPr>
          <w:p w14:paraId="1094F78B">
            <w:pPr>
              <w:spacing w:line="240" w:lineRule="auto"/>
              <w:jc w:val="center"/>
              <w:rPr>
                <w:rFonts w:ascii="宋体" w:hAnsi="宋体"/>
              </w:rPr>
            </w:pPr>
            <w:r>
              <w:rPr>
                <w:rFonts w:ascii="宋体" w:hAnsi="宋体"/>
                <w:color w:val="000000"/>
              </w:rPr>
              <w:t>6.30</w:t>
            </w:r>
          </w:p>
        </w:tc>
        <w:tc>
          <w:tcPr>
            <w:tcW w:w="1561" w:type="dxa"/>
            <w:tcBorders>
              <w:bottom w:val="single" w:color="auto" w:sz="12" w:space="0"/>
            </w:tcBorders>
            <w:vAlign w:val="center"/>
          </w:tcPr>
          <w:p w14:paraId="3DE94B5D">
            <w:pPr>
              <w:spacing w:line="240" w:lineRule="auto"/>
              <w:jc w:val="center"/>
              <w:rPr>
                <w:rFonts w:ascii="宋体" w:hAnsi="宋体"/>
                <w:color w:val="000000"/>
              </w:rPr>
            </w:pPr>
            <w:r>
              <w:rPr>
                <w:rFonts w:ascii="宋体" w:hAnsi="宋体"/>
                <w:color w:val="000000"/>
              </w:rPr>
              <w:t>0</w:t>
            </w:r>
          </w:p>
        </w:tc>
        <w:tc>
          <w:tcPr>
            <w:tcW w:w="1618" w:type="dxa"/>
            <w:tcBorders>
              <w:bottom w:val="single" w:color="auto" w:sz="12" w:space="0"/>
            </w:tcBorders>
            <w:vAlign w:val="center"/>
          </w:tcPr>
          <w:p w14:paraId="39FD0DA5">
            <w:pPr>
              <w:spacing w:line="240" w:lineRule="auto"/>
              <w:jc w:val="center"/>
              <w:rPr>
                <w:rFonts w:ascii="宋体" w:hAnsi="宋体"/>
                <w:color w:val="000000"/>
              </w:rPr>
            </w:pPr>
            <w:r>
              <w:rPr>
                <w:rFonts w:ascii="宋体" w:hAnsi="宋体"/>
                <w:color w:val="000000"/>
              </w:rPr>
              <w:t>0</w:t>
            </w:r>
          </w:p>
        </w:tc>
        <w:tc>
          <w:tcPr>
            <w:tcW w:w="1203" w:type="dxa"/>
            <w:tcBorders>
              <w:bottom w:val="single" w:color="auto" w:sz="12" w:space="0"/>
            </w:tcBorders>
            <w:vAlign w:val="center"/>
          </w:tcPr>
          <w:p w14:paraId="3C014B22">
            <w:pPr>
              <w:spacing w:line="240" w:lineRule="auto"/>
              <w:jc w:val="center"/>
              <w:rPr>
                <w:rFonts w:ascii="宋体" w:hAnsi="宋体"/>
                <w:color w:val="000000"/>
              </w:rPr>
            </w:pPr>
            <w:r>
              <w:rPr>
                <w:rFonts w:ascii="宋体" w:hAnsi="宋体"/>
                <w:color w:val="000000"/>
              </w:rPr>
              <w:t>0</w:t>
            </w:r>
          </w:p>
        </w:tc>
        <w:tc>
          <w:tcPr>
            <w:tcW w:w="1355" w:type="dxa"/>
            <w:tcBorders>
              <w:bottom w:val="single" w:color="auto" w:sz="12" w:space="0"/>
            </w:tcBorders>
            <w:vAlign w:val="center"/>
          </w:tcPr>
          <w:p w14:paraId="18AC292D">
            <w:pPr>
              <w:spacing w:line="240" w:lineRule="auto"/>
              <w:jc w:val="center"/>
              <w:rPr>
                <w:rFonts w:ascii="宋体" w:hAnsi="宋体"/>
                <w:color w:val="000000"/>
              </w:rPr>
            </w:pPr>
            <w:r>
              <w:rPr>
                <w:rFonts w:ascii="宋体" w:hAnsi="宋体"/>
                <w:color w:val="000000"/>
              </w:rPr>
              <w:t>0</w:t>
            </w:r>
          </w:p>
        </w:tc>
      </w:tr>
      <w:tr w14:paraId="6563FAB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tcBorders>
              <w:top w:val="single" w:color="auto" w:sz="12" w:space="0"/>
              <w:bottom w:val="single" w:color="auto" w:sz="12" w:space="0"/>
            </w:tcBorders>
            <w:tcMar>
              <w:left w:w="0" w:type="dxa"/>
              <w:right w:w="0" w:type="dxa"/>
            </w:tcMar>
            <w:vAlign w:val="center"/>
          </w:tcPr>
          <w:p w14:paraId="6679170B">
            <w:pPr>
              <w:spacing w:line="240" w:lineRule="auto"/>
              <w:jc w:val="center"/>
              <w:rPr>
                <w:rFonts w:ascii="宋体" w:hAnsi="宋体"/>
                <w:shd w:val="clear" w:color="auto" w:fill="FFFFFF"/>
              </w:rPr>
            </w:pPr>
            <w:r>
              <w:rPr>
                <w:rFonts w:hint="eastAsia" w:ascii="宋体" w:hAnsi="宋体"/>
                <w:shd w:val="clear" w:color="auto" w:fill="FFFFFF"/>
              </w:rPr>
              <w:t>烷烃</w:t>
            </w:r>
          </w:p>
        </w:tc>
        <w:tc>
          <w:tcPr>
            <w:tcW w:w="1732" w:type="dxa"/>
            <w:tcBorders>
              <w:top w:val="single" w:color="auto" w:sz="12" w:space="0"/>
              <w:bottom w:val="single" w:color="auto" w:sz="12" w:space="0"/>
            </w:tcBorders>
            <w:tcMar>
              <w:left w:w="0" w:type="dxa"/>
              <w:right w:w="0" w:type="dxa"/>
            </w:tcMar>
          </w:tcPr>
          <w:p w14:paraId="4E75F3DC">
            <w:pPr>
              <w:spacing w:line="240" w:lineRule="auto"/>
              <w:jc w:val="center"/>
              <w:rPr>
                <w:rFonts w:ascii="宋体" w:hAnsi="宋体"/>
              </w:rPr>
            </w:pPr>
          </w:p>
        </w:tc>
        <w:tc>
          <w:tcPr>
            <w:tcW w:w="1031" w:type="dxa"/>
            <w:tcBorders>
              <w:top w:val="single" w:color="auto" w:sz="12" w:space="0"/>
              <w:bottom w:val="single" w:color="auto" w:sz="12" w:space="0"/>
            </w:tcBorders>
            <w:tcMar>
              <w:left w:w="0" w:type="dxa"/>
              <w:right w:w="0" w:type="dxa"/>
            </w:tcMar>
            <w:vAlign w:val="center"/>
          </w:tcPr>
          <w:p w14:paraId="1E192A39">
            <w:pPr>
              <w:spacing w:line="240" w:lineRule="auto"/>
              <w:jc w:val="center"/>
              <w:rPr>
                <w:rFonts w:ascii="宋体" w:hAnsi="宋体"/>
              </w:rPr>
            </w:pPr>
          </w:p>
        </w:tc>
        <w:tc>
          <w:tcPr>
            <w:tcW w:w="1561" w:type="dxa"/>
            <w:tcBorders>
              <w:top w:val="single" w:color="auto" w:sz="12" w:space="0"/>
              <w:bottom w:val="single" w:color="auto" w:sz="12" w:space="0"/>
            </w:tcBorders>
            <w:vAlign w:val="center"/>
          </w:tcPr>
          <w:p w14:paraId="46758461">
            <w:pPr>
              <w:spacing w:line="240" w:lineRule="auto"/>
              <w:jc w:val="center"/>
              <w:rPr>
                <w:rFonts w:ascii="宋体" w:hAnsi="宋体"/>
                <w:color w:val="000000"/>
              </w:rPr>
            </w:pPr>
            <w:r>
              <w:rPr>
                <w:rFonts w:ascii="宋体" w:hAnsi="宋体"/>
                <w:color w:val="000000"/>
              </w:rPr>
              <w:t>46.56</w:t>
            </w:r>
          </w:p>
        </w:tc>
        <w:tc>
          <w:tcPr>
            <w:tcW w:w="1618" w:type="dxa"/>
            <w:tcBorders>
              <w:top w:val="single" w:color="auto" w:sz="12" w:space="0"/>
              <w:bottom w:val="single" w:color="auto" w:sz="12" w:space="0"/>
            </w:tcBorders>
            <w:vAlign w:val="center"/>
          </w:tcPr>
          <w:p w14:paraId="25645581">
            <w:pPr>
              <w:spacing w:line="240" w:lineRule="auto"/>
              <w:jc w:val="center"/>
              <w:rPr>
                <w:rFonts w:ascii="宋体" w:hAnsi="宋体"/>
                <w:color w:val="000000"/>
              </w:rPr>
            </w:pPr>
            <w:r>
              <w:rPr>
                <w:rFonts w:ascii="宋体" w:hAnsi="宋体"/>
                <w:color w:val="000000"/>
              </w:rPr>
              <w:t>46.14</w:t>
            </w:r>
          </w:p>
        </w:tc>
        <w:tc>
          <w:tcPr>
            <w:tcW w:w="1203" w:type="dxa"/>
            <w:tcBorders>
              <w:top w:val="single" w:color="auto" w:sz="12" w:space="0"/>
              <w:bottom w:val="single" w:color="auto" w:sz="12" w:space="0"/>
            </w:tcBorders>
            <w:vAlign w:val="center"/>
          </w:tcPr>
          <w:p w14:paraId="15310EA8">
            <w:pPr>
              <w:spacing w:line="240" w:lineRule="auto"/>
              <w:jc w:val="center"/>
              <w:rPr>
                <w:rFonts w:ascii="宋体" w:hAnsi="宋体"/>
                <w:color w:val="000000"/>
              </w:rPr>
            </w:pPr>
            <w:r>
              <w:rPr>
                <w:rFonts w:ascii="宋体" w:hAnsi="宋体"/>
                <w:color w:val="000000"/>
              </w:rPr>
              <w:t>46.70</w:t>
            </w:r>
          </w:p>
        </w:tc>
        <w:tc>
          <w:tcPr>
            <w:tcW w:w="1355" w:type="dxa"/>
            <w:tcBorders>
              <w:top w:val="single" w:color="auto" w:sz="12" w:space="0"/>
              <w:bottom w:val="single" w:color="auto" w:sz="12" w:space="0"/>
            </w:tcBorders>
            <w:vAlign w:val="center"/>
          </w:tcPr>
          <w:p w14:paraId="160BFFE0">
            <w:pPr>
              <w:spacing w:line="240" w:lineRule="auto"/>
              <w:jc w:val="center"/>
              <w:rPr>
                <w:rFonts w:ascii="宋体" w:hAnsi="宋体"/>
                <w:color w:val="000000"/>
              </w:rPr>
            </w:pPr>
            <w:r>
              <w:rPr>
                <w:rFonts w:ascii="宋体" w:hAnsi="宋体"/>
                <w:color w:val="000000"/>
              </w:rPr>
              <w:t>38.07</w:t>
            </w:r>
          </w:p>
        </w:tc>
      </w:tr>
      <w:tr w14:paraId="6B4E73A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tcBorders>
              <w:top w:val="single" w:color="auto" w:sz="12" w:space="0"/>
              <w:bottom w:val="single" w:color="auto" w:sz="12" w:space="0"/>
            </w:tcBorders>
            <w:tcMar>
              <w:left w:w="0" w:type="dxa"/>
              <w:right w:w="0" w:type="dxa"/>
            </w:tcMar>
            <w:vAlign w:val="center"/>
          </w:tcPr>
          <w:p w14:paraId="4796C747">
            <w:pPr>
              <w:spacing w:line="240" w:lineRule="auto"/>
              <w:jc w:val="center"/>
              <w:rPr>
                <w:rFonts w:ascii="宋体" w:hAnsi="宋体"/>
                <w:shd w:val="clear" w:color="auto" w:fill="FFFFFF"/>
              </w:rPr>
            </w:pPr>
            <w:r>
              <w:rPr>
                <w:rFonts w:hint="eastAsia" w:ascii="宋体" w:hAnsi="宋体"/>
                <w:shd w:val="clear" w:color="auto" w:fill="FFFFFF"/>
              </w:rPr>
              <w:t>烯烃</w:t>
            </w:r>
          </w:p>
        </w:tc>
        <w:tc>
          <w:tcPr>
            <w:tcW w:w="1732" w:type="dxa"/>
            <w:tcBorders>
              <w:top w:val="single" w:color="auto" w:sz="12" w:space="0"/>
              <w:bottom w:val="single" w:color="auto" w:sz="12" w:space="0"/>
            </w:tcBorders>
            <w:tcMar>
              <w:left w:w="0" w:type="dxa"/>
              <w:right w:w="0" w:type="dxa"/>
            </w:tcMar>
          </w:tcPr>
          <w:p w14:paraId="7E67C57B">
            <w:pPr>
              <w:spacing w:line="240" w:lineRule="auto"/>
              <w:jc w:val="center"/>
              <w:rPr>
                <w:rFonts w:ascii="宋体" w:hAnsi="宋体"/>
              </w:rPr>
            </w:pPr>
          </w:p>
        </w:tc>
        <w:tc>
          <w:tcPr>
            <w:tcW w:w="1031" w:type="dxa"/>
            <w:tcBorders>
              <w:top w:val="single" w:color="auto" w:sz="12" w:space="0"/>
              <w:bottom w:val="single" w:color="auto" w:sz="12" w:space="0"/>
            </w:tcBorders>
            <w:tcMar>
              <w:left w:w="0" w:type="dxa"/>
              <w:right w:w="0" w:type="dxa"/>
            </w:tcMar>
            <w:vAlign w:val="center"/>
          </w:tcPr>
          <w:p w14:paraId="6E1005F4">
            <w:pPr>
              <w:spacing w:line="240" w:lineRule="auto"/>
              <w:jc w:val="center"/>
              <w:rPr>
                <w:rFonts w:ascii="宋体" w:hAnsi="宋体"/>
              </w:rPr>
            </w:pPr>
          </w:p>
        </w:tc>
        <w:tc>
          <w:tcPr>
            <w:tcW w:w="1561" w:type="dxa"/>
            <w:tcBorders>
              <w:top w:val="single" w:color="auto" w:sz="12" w:space="0"/>
              <w:bottom w:val="single" w:color="auto" w:sz="12" w:space="0"/>
            </w:tcBorders>
            <w:vAlign w:val="center"/>
          </w:tcPr>
          <w:p w14:paraId="77C14EA9">
            <w:pPr>
              <w:spacing w:line="240" w:lineRule="auto"/>
              <w:jc w:val="center"/>
              <w:rPr>
                <w:rFonts w:ascii="宋体" w:hAnsi="宋体"/>
                <w:color w:val="000000"/>
              </w:rPr>
            </w:pPr>
            <w:r>
              <w:rPr>
                <w:rFonts w:ascii="宋体" w:hAnsi="宋体"/>
                <w:color w:val="000000"/>
              </w:rPr>
              <w:t>0.64</w:t>
            </w:r>
          </w:p>
        </w:tc>
        <w:tc>
          <w:tcPr>
            <w:tcW w:w="1618" w:type="dxa"/>
            <w:tcBorders>
              <w:top w:val="single" w:color="auto" w:sz="12" w:space="0"/>
              <w:bottom w:val="single" w:color="auto" w:sz="12" w:space="0"/>
            </w:tcBorders>
            <w:vAlign w:val="center"/>
          </w:tcPr>
          <w:p w14:paraId="4DF38E53">
            <w:pPr>
              <w:spacing w:line="240" w:lineRule="auto"/>
              <w:jc w:val="center"/>
              <w:rPr>
                <w:rFonts w:ascii="宋体" w:hAnsi="宋体"/>
                <w:color w:val="000000"/>
              </w:rPr>
            </w:pPr>
            <w:r>
              <w:rPr>
                <w:rFonts w:ascii="宋体" w:hAnsi="宋体"/>
                <w:color w:val="000000"/>
              </w:rPr>
              <w:t>0.05</w:t>
            </w:r>
          </w:p>
        </w:tc>
        <w:tc>
          <w:tcPr>
            <w:tcW w:w="1203" w:type="dxa"/>
            <w:tcBorders>
              <w:top w:val="single" w:color="auto" w:sz="12" w:space="0"/>
              <w:bottom w:val="single" w:color="auto" w:sz="12" w:space="0"/>
            </w:tcBorders>
            <w:vAlign w:val="center"/>
          </w:tcPr>
          <w:p w14:paraId="13A7D368">
            <w:pPr>
              <w:spacing w:line="240" w:lineRule="auto"/>
              <w:jc w:val="center"/>
              <w:rPr>
                <w:rFonts w:ascii="宋体" w:hAnsi="宋体"/>
                <w:color w:val="000000"/>
              </w:rPr>
            </w:pPr>
            <w:r>
              <w:rPr>
                <w:rFonts w:ascii="宋体" w:hAnsi="宋体"/>
                <w:color w:val="000000"/>
              </w:rPr>
              <w:t>0.02</w:t>
            </w:r>
          </w:p>
        </w:tc>
        <w:tc>
          <w:tcPr>
            <w:tcW w:w="1355" w:type="dxa"/>
            <w:tcBorders>
              <w:top w:val="single" w:color="auto" w:sz="12" w:space="0"/>
              <w:bottom w:val="single" w:color="auto" w:sz="12" w:space="0"/>
            </w:tcBorders>
            <w:vAlign w:val="center"/>
          </w:tcPr>
          <w:p w14:paraId="2865FAAC">
            <w:pPr>
              <w:spacing w:line="240" w:lineRule="auto"/>
              <w:jc w:val="center"/>
              <w:rPr>
                <w:rFonts w:ascii="宋体" w:hAnsi="宋体"/>
                <w:color w:val="000000"/>
              </w:rPr>
            </w:pPr>
            <w:r>
              <w:rPr>
                <w:rFonts w:ascii="宋体" w:hAnsi="宋体"/>
                <w:color w:val="000000"/>
              </w:rPr>
              <w:t>0.42</w:t>
            </w:r>
          </w:p>
        </w:tc>
      </w:tr>
      <w:tr w14:paraId="1D39DAF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tcBorders>
              <w:top w:val="single" w:color="auto" w:sz="12" w:space="0"/>
              <w:bottom w:val="single" w:color="auto" w:sz="12" w:space="0"/>
            </w:tcBorders>
            <w:tcMar>
              <w:left w:w="0" w:type="dxa"/>
              <w:right w:w="0" w:type="dxa"/>
            </w:tcMar>
            <w:vAlign w:val="center"/>
          </w:tcPr>
          <w:p w14:paraId="3BB8697F">
            <w:pPr>
              <w:spacing w:line="240" w:lineRule="auto"/>
              <w:jc w:val="center"/>
              <w:rPr>
                <w:rFonts w:ascii="宋体" w:hAnsi="宋体"/>
                <w:shd w:val="clear" w:color="auto" w:fill="FFFFFF"/>
              </w:rPr>
            </w:pPr>
            <w:r>
              <w:rPr>
                <w:rFonts w:hint="eastAsia" w:ascii="宋体" w:hAnsi="宋体"/>
                <w:shd w:val="clear" w:color="auto" w:fill="FFFFFF"/>
              </w:rPr>
              <w:t>芳香烃</w:t>
            </w:r>
          </w:p>
        </w:tc>
        <w:tc>
          <w:tcPr>
            <w:tcW w:w="1732" w:type="dxa"/>
            <w:tcBorders>
              <w:top w:val="single" w:color="auto" w:sz="12" w:space="0"/>
              <w:bottom w:val="single" w:color="auto" w:sz="12" w:space="0"/>
            </w:tcBorders>
            <w:tcMar>
              <w:left w:w="0" w:type="dxa"/>
              <w:right w:w="0" w:type="dxa"/>
            </w:tcMar>
          </w:tcPr>
          <w:p w14:paraId="2CB40913">
            <w:pPr>
              <w:spacing w:line="240" w:lineRule="auto"/>
              <w:jc w:val="center"/>
              <w:rPr>
                <w:rFonts w:ascii="宋体" w:hAnsi="宋体"/>
              </w:rPr>
            </w:pPr>
          </w:p>
        </w:tc>
        <w:tc>
          <w:tcPr>
            <w:tcW w:w="1031" w:type="dxa"/>
            <w:tcBorders>
              <w:top w:val="single" w:color="auto" w:sz="12" w:space="0"/>
              <w:bottom w:val="single" w:color="auto" w:sz="12" w:space="0"/>
            </w:tcBorders>
            <w:tcMar>
              <w:left w:w="0" w:type="dxa"/>
              <w:right w:w="0" w:type="dxa"/>
            </w:tcMar>
            <w:vAlign w:val="center"/>
          </w:tcPr>
          <w:p w14:paraId="11CCF2E0">
            <w:pPr>
              <w:spacing w:line="240" w:lineRule="auto"/>
              <w:jc w:val="center"/>
              <w:rPr>
                <w:rFonts w:ascii="宋体" w:hAnsi="宋体"/>
              </w:rPr>
            </w:pPr>
          </w:p>
        </w:tc>
        <w:tc>
          <w:tcPr>
            <w:tcW w:w="1561" w:type="dxa"/>
            <w:tcBorders>
              <w:top w:val="single" w:color="auto" w:sz="12" w:space="0"/>
              <w:bottom w:val="single" w:color="auto" w:sz="12" w:space="0"/>
            </w:tcBorders>
            <w:vAlign w:val="center"/>
          </w:tcPr>
          <w:p w14:paraId="7E8E2E19">
            <w:pPr>
              <w:spacing w:line="240" w:lineRule="auto"/>
              <w:jc w:val="center"/>
              <w:rPr>
                <w:rFonts w:ascii="宋体" w:hAnsi="宋体"/>
                <w:color w:val="000000"/>
              </w:rPr>
            </w:pPr>
            <w:r>
              <w:rPr>
                <w:rFonts w:ascii="宋体" w:hAnsi="宋体"/>
                <w:color w:val="000000"/>
              </w:rPr>
              <w:t>52.80</w:t>
            </w:r>
          </w:p>
        </w:tc>
        <w:tc>
          <w:tcPr>
            <w:tcW w:w="1618" w:type="dxa"/>
            <w:tcBorders>
              <w:top w:val="single" w:color="auto" w:sz="12" w:space="0"/>
              <w:bottom w:val="single" w:color="auto" w:sz="12" w:space="0"/>
            </w:tcBorders>
            <w:vAlign w:val="center"/>
          </w:tcPr>
          <w:p w14:paraId="2F8B7429">
            <w:pPr>
              <w:spacing w:line="240" w:lineRule="auto"/>
              <w:jc w:val="center"/>
              <w:rPr>
                <w:rFonts w:ascii="宋体" w:hAnsi="宋体"/>
                <w:color w:val="000000"/>
              </w:rPr>
            </w:pPr>
            <w:r>
              <w:rPr>
                <w:rFonts w:ascii="宋体" w:hAnsi="宋体"/>
                <w:color w:val="000000"/>
              </w:rPr>
              <w:t>53.81</w:t>
            </w:r>
          </w:p>
        </w:tc>
        <w:tc>
          <w:tcPr>
            <w:tcW w:w="1203" w:type="dxa"/>
            <w:tcBorders>
              <w:top w:val="single" w:color="auto" w:sz="12" w:space="0"/>
              <w:bottom w:val="single" w:color="auto" w:sz="12" w:space="0"/>
            </w:tcBorders>
            <w:vAlign w:val="center"/>
          </w:tcPr>
          <w:p w14:paraId="13F42522">
            <w:pPr>
              <w:spacing w:line="240" w:lineRule="auto"/>
              <w:jc w:val="center"/>
              <w:rPr>
                <w:rFonts w:ascii="宋体" w:hAnsi="宋体"/>
                <w:color w:val="000000"/>
              </w:rPr>
            </w:pPr>
            <w:r>
              <w:rPr>
                <w:rFonts w:ascii="宋体" w:hAnsi="宋体"/>
                <w:color w:val="000000"/>
              </w:rPr>
              <w:t>53.27</w:t>
            </w:r>
          </w:p>
        </w:tc>
        <w:tc>
          <w:tcPr>
            <w:tcW w:w="1355" w:type="dxa"/>
            <w:tcBorders>
              <w:top w:val="single" w:color="auto" w:sz="12" w:space="0"/>
              <w:bottom w:val="single" w:color="auto" w:sz="12" w:space="0"/>
            </w:tcBorders>
            <w:vAlign w:val="center"/>
          </w:tcPr>
          <w:p w14:paraId="184153D5">
            <w:pPr>
              <w:spacing w:line="240" w:lineRule="auto"/>
              <w:jc w:val="center"/>
              <w:rPr>
                <w:rFonts w:ascii="宋体" w:hAnsi="宋体"/>
                <w:color w:val="000000"/>
              </w:rPr>
            </w:pPr>
            <w:r>
              <w:rPr>
                <w:rFonts w:ascii="宋体" w:hAnsi="宋体"/>
                <w:color w:val="000000"/>
              </w:rPr>
              <w:t>61.51</w:t>
            </w:r>
          </w:p>
        </w:tc>
      </w:tr>
      <w:tr w14:paraId="32C91E2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0" w:type="auto"/>
            <w:tcBorders>
              <w:top w:val="single" w:color="auto" w:sz="12" w:space="0"/>
            </w:tcBorders>
            <w:tcMar>
              <w:left w:w="0" w:type="dxa"/>
              <w:right w:w="0" w:type="dxa"/>
            </w:tcMar>
            <w:vAlign w:val="center"/>
          </w:tcPr>
          <w:p w14:paraId="4F92CFC3">
            <w:pPr>
              <w:spacing w:line="240" w:lineRule="auto"/>
              <w:jc w:val="center"/>
              <w:rPr>
                <w:rFonts w:ascii="宋体" w:hAnsi="宋体"/>
                <w:shd w:val="clear" w:color="auto" w:fill="FFFFFF"/>
              </w:rPr>
            </w:pPr>
            <w:r>
              <w:rPr>
                <w:rFonts w:hint="eastAsia" w:ascii="宋体" w:hAnsi="宋体"/>
                <w:shd w:val="clear" w:color="auto" w:fill="FFFFFF"/>
              </w:rPr>
              <w:t>总计</w:t>
            </w:r>
          </w:p>
        </w:tc>
        <w:tc>
          <w:tcPr>
            <w:tcW w:w="1732" w:type="dxa"/>
            <w:tcBorders>
              <w:top w:val="single" w:color="auto" w:sz="12" w:space="0"/>
            </w:tcBorders>
            <w:tcMar>
              <w:left w:w="0" w:type="dxa"/>
              <w:right w:w="0" w:type="dxa"/>
            </w:tcMar>
          </w:tcPr>
          <w:p w14:paraId="4E3939FD">
            <w:pPr>
              <w:spacing w:line="240" w:lineRule="auto"/>
              <w:jc w:val="center"/>
              <w:rPr>
                <w:rFonts w:ascii="宋体" w:hAnsi="宋体"/>
              </w:rPr>
            </w:pPr>
          </w:p>
        </w:tc>
        <w:tc>
          <w:tcPr>
            <w:tcW w:w="1031" w:type="dxa"/>
            <w:tcBorders>
              <w:top w:val="single" w:color="auto" w:sz="12" w:space="0"/>
            </w:tcBorders>
            <w:tcMar>
              <w:left w:w="0" w:type="dxa"/>
              <w:right w:w="0" w:type="dxa"/>
            </w:tcMar>
            <w:vAlign w:val="center"/>
          </w:tcPr>
          <w:p w14:paraId="04728A10">
            <w:pPr>
              <w:spacing w:line="240" w:lineRule="auto"/>
              <w:jc w:val="center"/>
              <w:rPr>
                <w:rFonts w:ascii="宋体" w:hAnsi="宋体"/>
              </w:rPr>
            </w:pPr>
          </w:p>
        </w:tc>
        <w:tc>
          <w:tcPr>
            <w:tcW w:w="1561" w:type="dxa"/>
            <w:tcBorders>
              <w:top w:val="single" w:color="auto" w:sz="12" w:space="0"/>
            </w:tcBorders>
            <w:vAlign w:val="center"/>
          </w:tcPr>
          <w:p w14:paraId="3927318C">
            <w:pPr>
              <w:spacing w:line="240" w:lineRule="auto"/>
              <w:jc w:val="center"/>
              <w:rPr>
                <w:rFonts w:ascii="宋体" w:hAnsi="宋体"/>
                <w:color w:val="000000"/>
              </w:rPr>
            </w:pPr>
            <w:r>
              <w:rPr>
                <w:rFonts w:ascii="宋体" w:hAnsi="宋体"/>
                <w:color w:val="000000"/>
              </w:rPr>
              <w:t>100.00</w:t>
            </w:r>
          </w:p>
        </w:tc>
        <w:tc>
          <w:tcPr>
            <w:tcW w:w="1618" w:type="dxa"/>
            <w:tcBorders>
              <w:top w:val="single" w:color="auto" w:sz="12" w:space="0"/>
            </w:tcBorders>
            <w:vAlign w:val="center"/>
          </w:tcPr>
          <w:p w14:paraId="2FA4A85E">
            <w:pPr>
              <w:spacing w:line="240" w:lineRule="auto"/>
              <w:jc w:val="center"/>
              <w:rPr>
                <w:rFonts w:ascii="宋体" w:hAnsi="宋体"/>
                <w:color w:val="000000"/>
              </w:rPr>
            </w:pPr>
            <w:r>
              <w:rPr>
                <w:rFonts w:ascii="宋体" w:hAnsi="宋体"/>
                <w:color w:val="000000"/>
              </w:rPr>
              <w:t>100.00</w:t>
            </w:r>
          </w:p>
        </w:tc>
        <w:tc>
          <w:tcPr>
            <w:tcW w:w="1203" w:type="dxa"/>
            <w:tcBorders>
              <w:top w:val="single" w:color="auto" w:sz="12" w:space="0"/>
            </w:tcBorders>
            <w:vAlign w:val="center"/>
          </w:tcPr>
          <w:p w14:paraId="5ADBF630">
            <w:pPr>
              <w:spacing w:line="240" w:lineRule="auto"/>
              <w:jc w:val="center"/>
              <w:rPr>
                <w:rFonts w:ascii="宋体" w:hAnsi="宋体"/>
                <w:color w:val="000000"/>
              </w:rPr>
            </w:pPr>
            <w:r>
              <w:rPr>
                <w:rFonts w:ascii="宋体" w:hAnsi="宋体"/>
                <w:color w:val="000000"/>
              </w:rPr>
              <w:t>100.00</w:t>
            </w:r>
          </w:p>
        </w:tc>
        <w:tc>
          <w:tcPr>
            <w:tcW w:w="1355" w:type="dxa"/>
            <w:tcBorders>
              <w:top w:val="single" w:color="auto" w:sz="12" w:space="0"/>
            </w:tcBorders>
            <w:vAlign w:val="center"/>
          </w:tcPr>
          <w:p w14:paraId="438079B0">
            <w:pPr>
              <w:spacing w:line="240" w:lineRule="auto"/>
              <w:jc w:val="center"/>
              <w:rPr>
                <w:rFonts w:ascii="宋体" w:hAnsi="宋体"/>
                <w:color w:val="000000"/>
              </w:rPr>
            </w:pPr>
            <w:r>
              <w:rPr>
                <w:rFonts w:ascii="宋体" w:hAnsi="宋体"/>
                <w:color w:val="000000"/>
              </w:rPr>
              <w:t>100.00</w:t>
            </w:r>
          </w:p>
        </w:tc>
      </w:tr>
    </w:tbl>
    <w:p w14:paraId="5103C555">
      <w:pPr>
        <w:pStyle w:val="60"/>
        <w:ind w:firstLine="420"/>
        <w:jc w:val="center"/>
        <w:rPr>
          <w:rFonts w:hint="eastAsia"/>
        </w:rPr>
        <w:sectPr>
          <w:pgSz w:w="11906" w:h="16838"/>
          <w:pgMar w:top="2410" w:right="1134" w:bottom="1134" w:left="1134" w:header="1418" w:footer="1134" w:gutter="284"/>
          <w:cols w:space="425" w:num="1"/>
          <w:formProt w:val="0"/>
          <w:docGrid w:linePitch="312" w:charSpace="0"/>
        </w:sectPr>
      </w:pPr>
    </w:p>
    <w:p w14:paraId="3B81DC4C">
      <w:pPr>
        <w:pStyle w:val="80"/>
        <w:spacing w:before="60" w:after="120"/>
        <w:ind w:left="0"/>
      </w:pPr>
      <w:bookmarkStart w:id="258" w:name="_Toc170497026"/>
      <w:r>
        <w:rPr>
          <w:rFonts w:hint="eastAsia"/>
        </w:rPr>
        <w:t>（资料性）设备动静密封点泄漏速率的参考</w:t>
      </w:r>
      <w:bookmarkEnd w:id="258"/>
    </w:p>
    <w:p w14:paraId="4DF5A119">
      <w:pPr>
        <w:pStyle w:val="60"/>
        <w:ind w:firstLine="420"/>
        <w:jc w:val="left"/>
      </w:pPr>
      <w:r>
        <w:rPr>
          <w:rFonts w:hint="eastAsia"/>
        </w:rPr>
        <w:t>密封点的泄露速率参考表汇总如下：</w:t>
      </w:r>
    </w:p>
    <w:p w14:paraId="63322D4C">
      <w:pPr>
        <w:pStyle w:val="60"/>
        <w:ind w:firstLine="420"/>
        <w:jc w:val="center"/>
      </w:pPr>
      <w:r>
        <w:rPr>
          <w:rFonts w:hint="eastAsia"/>
        </w:rPr>
        <w:t>表C</w:t>
      </w:r>
      <w:r>
        <w:t>.1</w:t>
      </w:r>
      <w:r>
        <w:rPr>
          <w:rFonts w:hint="eastAsia"/>
        </w:rPr>
        <w:t xml:space="preserve"> 相关方程计算泄漏速率</w:t>
      </w:r>
      <w:r>
        <w:rPr>
          <w:rFonts w:hint="eastAsia"/>
          <w:vertAlign w:val="superscript"/>
        </w:rPr>
        <w:t>a</w:t>
      </w:r>
    </w:p>
    <w:tbl>
      <w:tblPr>
        <w:tblStyle w:val="29"/>
        <w:tblW w:w="9214"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5"/>
        <w:gridCol w:w="2410"/>
        <w:gridCol w:w="2409"/>
        <w:gridCol w:w="2410"/>
      </w:tblGrid>
      <w:tr w14:paraId="774DBEC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1985" w:type="dxa"/>
            <w:tcBorders>
              <w:bottom w:val="single" w:color="000000" w:sz="12" w:space="0"/>
            </w:tcBorders>
            <w:vAlign w:val="center"/>
          </w:tcPr>
          <w:p w14:paraId="1700A80F">
            <w:pPr>
              <w:pStyle w:val="236"/>
              <w:rPr>
                <w:rFonts w:ascii="宋体" w:hAnsi="宋体" w:eastAsia="宋体" w:cs="仿宋"/>
                <w:snapToGrid w:val="0"/>
                <w:sz w:val="21"/>
                <w:szCs w:val="21"/>
              </w:rPr>
            </w:pPr>
            <w:r>
              <w:rPr>
                <w:rFonts w:hint="eastAsia" w:ascii="宋体" w:hAnsi="宋体" w:eastAsia="宋体" w:cs="仿宋"/>
                <w:snapToGrid w:val="0"/>
                <w:sz w:val="21"/>
                <w:szCs w:val="21"/>
              </w:rPr>
              <w:t>密封点类型</w:t>
            </w:r>
          </w:p>
        </w:tc>
        <w:tc>
          <w:tcPr>
            <w:tcW w:w="2410" w:type="dxa"/>
            <w:tcBorders>
              <w:bottom w:val="single" w:color="000000" w:sz="12" w:space="0"/>
            </w:tcBorders>
            <w:vAlign w:val="center"/>
          </w:tcPr>
          <w:p w14:paraId="0F3C0D10">
            <w:pPr>
              <w:pStyle w:val="236"/>
              <w:rPr>
                <w:rFonts w:ascii="宋体" w:hAnsi="宋体" w:eastAsia="宋体" w:cs="仿宋"/>
                <w:snapToGrid w:val="0"/>
                <w:sz w:val="21"/>
                <w:szCs w:val="21"/>
              </w:rPr>
            </w:pPr>
            <w:r>
              <w:rPr>
                <w:rFonts w:hint="eastAsia" w:ascii="宋体" w:hAnsi="宋体" w:eastAsia="宋体" w:cs="仿宋"/>
                <w:snapToGrid w:val="0"/>
                <w:sz w:val="21"/>
                <w:szCs w:val="21"/>
              </w:rPr>
              <w:t>默认零值泄漏速率</w:t>
            </w:r>
          </w:p>
          <w:p w14:paraId="0DCDC87A">
            <w:pPr>
              <w:pStyle w:val="236"/>
              <w:rPr>
                <w:rFonts w:ascii="宋体" w:hAnsi="宋体" w:eastAsia="宋体" w:cs="仿宋"/>
                <w:snapToGrid w:val="0"/>
                <w:sz w:val="21"/>
                <w:szCs w:val="21"/>
              </w:rPr>
            </w:pPr>
            <w:r>
              <w:rPr>
                <w:rFonts w:hint="eastAsia" w:ascii="宋体" w:hAnsi="宋体" w:eastAsia="宋体" w:cs="仿宋"/>
                <w:snapToGrid w:val="0"/>
                <w:sz w:val="21"/>
                <w:szCs w:val="21"/>
              </w:rPr>
              <w:t>（千克/小时/排放源）</w:t>
            </w:r>
          </w:p>
        </w:tc>
        <w:tc>
          <w:tcPr>
            <w:tcW w:w="2409" w:type="dxa"/>
            <w:tcBorders>
              <w:bottom w:val="single" w:color="000000" w:sz="12" w:space="0"/>
            </w:tcBorders>
            <w:vAlign w:val="center"/>
          </w:tcPr>
          <w:p w14:paraId="2A90A37F">
            <w:pPr>
              <w:pStyle w:val="236"/>
              <w:rPr>
                <w:rFonts w:ascii="宋体" w:hAnsi="宋体" w:eastAsia="宋体" w:cs="仿宋"/>
                <w:snapToGrid w:val="0"/>
                <w:sz w:val="21"/>
                <w:szCs w:val="21"/>
              </w:rPr>
            </w:pPr>
            <w:r>
              <w:rPr>
                <w:rFonts w:hint="eastAsia" w:ascii="宋体" w:hAnsi="宋体" w:eastAsia="宋体" w:cs="仿宋"/>
                <w:snapToGrid w:val="0"/>
                <w:sz w:val="21"/>
                <w:szCs w:val="21"/>
              </w:rPr>
              <w:t>限定泄漏速率</w:t>
            </w:r>
          </w:p>
          <w:p w14:paraId="09DD1B4D">
            <w:pPr>
              <w:pStyle w:val="236"/>
              <w:rPr>
                <w:rFonts w:ascii="宋体" w:hAnsi="宋体" w:eastAsia="宋体" w:cs="仿宋"/>
                <w:snapToGrid w:val="0"/>
                <w:sz w:val="21"/>
                <w:szCs w:val="21"/>
              </w:rPr>
            </w:pPr>
            <w:r>
              <w:rPr>
                <w:rFonts w:hint="eastAsia" w:ascii="宋体" w:hAnsi="宋体" w:eastAsia="宋体" w:cs="仿宋"/>
                <w:snapToGrid w:val="0"/>
                <w:sz w:val="21"/>
                <w:szCs w:val="21"/>
              </w:rPr>
              <w:t>（千克/小时/排放源）</w:t>
            </w:r>
          </w:p>
        </w:tc>
        <w:tc>
          <w:tcPr>
            <w:tcW w:w="2410" w:type="dxa"/>
            <w:tcBorders>
              <w:bottom w:val="single" w:color="000000" w:sz="12" w:space="0"/>
            </w:tcBorders>
            <w:vAlign w:val="center"/>
          </w:tcPr>
          <w:p w14:paraId="026D1C7D">
            <w:pPr>
              <w:pStyle w:val="236"/>
              <w:rPr>
                <w:rFonts w:ascii="宋体" w:hAnsi="宋体" w:eastAsia="宋体" w:cs="仿宋"/>
                <w:snapToGrid w:val="0"/>
                <w:sz w:val="21"/>
                <w:szCs w:val="21"/>
                <w:vertAlign w:val="superscript"/>
              </w:rPr>
            </w:pPr>
            <w:r>
              <w:rPr>
                <w:rFonts w:hint="eastAsia" w:ascii="宋体" w:hAnsi="宋体" w:eastAsia="宋体" w:cs="仿宋"/>
                <w:snapToGrid w:val="0"/>
                <w:sz w:val="21"/>
                <w:szCs w:val="21"/>
              </w:rPr>
              <w:t>相关方程</w:t>
            </w:r>
          </w:p>
          <w:p w14:paraId="2EEA8DC6">
            <w:pPr>
              <w:pStyle w:val="236"/>
              <w:rPr>
                <w:rFonts w:ascii="宋体" w:hAnsi="宋体" w:eastAsia="宋体" w:cs="仿宋"/>
                <w:snapToGrid w:val="0"/>
                <w:sz w:val="21"/>
                <w:szCs w:val="21"/>
              </w:rPr>
            </w:pPr>
            <w:r>
              <w:rPr>
                <w:rFonts w:hint="eastAsia" w:ascii="宋体" w:hAnsi="宋体" w:eastAsia="宋体" w:cs="仿宋"/>
                <w:snapToGrid w:val="0"/>
                <w:sz w:val="21"/>
                <w:szCs w:val="21"/>
              </w:rPr>
              <w:t>（千克/小时/排放源）</w:t>
            </w:r>
          </w:p>
        </w:tc>
      </w:tr>
      <w:tr w14:paraId="7BC93DC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5" w:type="dxa"/>
            <w:tcBorders>
              <w:top w:val="single" w:color="000000" w:sz="12" w:space="0"/>
            </w:tcBorders>
            <w:vAlign w:val="center"/>
          </w:tcPr>
          <w:p w14:paraId="7C9C743D">
            <w:pPr>
              <w:pStyle w:val="236"/>
              <w:rPr>
                <w:rFonts w:ascii="宋体" w:hAnsi="宋体" w:eastAsia="宋体" w:cs="仿宋"/>
                <w:snapToGrid w:val="0"/>
                <w:sz w:val="21"/>
                <w:szCs w:val="21"/>
              </w:rPr>
            </w:pPr>
            <w:r>
              <w:rPr>
                <w:rFonts w:hint="eastAsia" w:ascii="宋体" w:hAnsi="宋体" w:eastAsia="宋体" w:cs="仿宋"/>
                <w:snapToGrid w:val="0"/>
                <w:sz w:val="21"/>
                <w:szCs w:val="21"/>
              </w:rPr>
              <w:t>气体阀门</w:t>
            </w:r>
          </w:p>
        </w:tc>
        <w:tc>
          <w:tcPr>
            <w:tcW w:w="2410" w:type="dxa"/>
            <w:tcBorders>
              <w:top w:val="single" w:color="000000" w:sz="12" w:space="0"/>
            </w:tcBorders>
            <w:vAlign w:val="center"/>
          </w:tcPr>
          <w:p w14:paraId="19243EED">
            <w:pPr>
              <w:pStyle w:val="236"/>
              <w:rPr>
                <w:rFonts w:ascii="宋体" w:hAnsi="宋体" w:eastAsia="宋体" w:cs="仿宋"/>
                <w:snapToGrid w:val="0"/>
                <w:sz w:val="21"/>
                <w:szCs w:val="21"/>
              </w:rPr>
            </w:pPr>
            <w:r>
              <w:rPr>
                <w:rFonts w:hint="eastAsia" w:ascii="宋体" w:hAnsi="宋体" w:eastAsia="宋体" w:cs="仿宋"/>
                <w:snapToGrid w:val="0"/>
                <w:sz w:val="21"/>
                <w:szCs w:val="21"/>
              </w:rPr>
              <w:t>6.6E-07</w:t>
            </w:r>
          </w:p>
        </w:tc>
        <w:tc>
          <w:tcPr>
            <w:tcW w:w="2409" w:type="dxa"/>
            <w:tcBorders>
              <w:top w:val="single" w:color="000000" w:sz="12" w:space="0"/>
            </w:tcBorders>
            <w:vAlign w:val="center"/>
          </w:tcPr>
          <w:p w14:paraId="1E8EB9D4">
            <w:pPr>
              <w:pStyle w:val="236"/>
              <w:rPr>
                <w:rFonts w:ascii="宋体" w:hAnsi="宋体" w:eastAsia="宋体" w:cs="仿宋"/>
                <w:snapToGrid w:val="0"/>
                <w:sz w:val="21"/>
                <w:szCs w:val="21"/>
              </w:rPr>
            </w:pPr>
            <w:r>
              <w:rPr>
                <w:rFonts w:hint="eastAsia" w:ascii="宋体" w:hAnsi="宋体" w:eastAsia="宋体" w:cs="仿宋"/>
                <w:snapToGrid w:val="0"/>
                <w:sz w:val="21"/>
                <w:szCs w:val="21"/>
              </w:rPr>
              <w:t>0.11</w:t>
            </w:r>
          </w:p>
        </w:tc>
        <w:tc>
          <w:tcPr>
            <w:tcW w:w="2410" w:type="dxa"/>
            <w:tcBorders>
              <w:top w:val="single" w:color="000000" w:sz="12" w:space="0"/>
            </w:tcBorders>
            <w:vAlign w:val="center"/>
          </w:tcPr>
          <w:p w14:paraId="647BC88A">
            <w:pPr>
              <w:pStyle w:val="236"/>
              <w:rPr>
                <w:rFonts w:ascii="宋体" w:hAnsi="宋体" w:eastAsia="宋体" w:cs="仿宋"/>
                <w:snapToGrid w:val="0"/>
                <w:sz w:val="21"/>
                <w:szCs w:val="21"/>
              </w:rPr>
            </w:pPr>
            <w:r>
              <w:rPr>
                <w:rFonts w:hint="eastAsia" w:ascii="宋体" w:hAnsi="宋体" w:eastAsia="宋体" w:cs="仿宋"/>
                <w:snapToGrid w:val="0"/>
                <w:sz w:val="21"/>
                <w:szCs w:val="21"/>
              </w:rPr>
              <w:t>1.87E-06×SV</w:t>
            </w:r>
            <w:r>
              <w:rPr>
                <w:rFonts w:hint="eastAsia" w:ascii="宋体" w:hAnsi="宋体" w:eastAsia="宋体" w:cs="仿宋"/>
                <w:snapToGrid w:val="0"/>
                <w:sz w:val="21"/>
                <w:szCs w:val="21"/>
                <w:vertAlign w:val="superscript"/>
              </w:rPr>
              <w:t>0.873</w:t>
            </w:r>
          </w:p>
        </w:tc>
      </w:tr>
      <w:tr w14:paraId="08783B7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5" w:type="dxa"/>
            <w:vAlign w:val="center"/>
          </w:tcPr>
          <w:p w14:paraId="72531D55">
            <w:pPr>
              <w:pStyle w:val="236"/>
              <w:rPr>
                <w:rFonts w:ascii="宋体" w:hAnsi="宋体" w:eastAsia="宋体" w:cs="仿宋"/>
                <w:snapToGrid w:val="0"/>
                <w:sz w:val="21"/>
                <w:szCs w:val="21"/>
              </w:rPr>
            </w:pPr>
            <w:r>
              <w:rPr>
                <w:rFonts w:hint="eastAsia" w:ascii="宋体" w:hAnsi="宋体" w:eastAsia="宋体" w:cs="仿宋"/>
                <w:snapToGrid w:val="0"/>
                <w:sz w:val="21"/>
                <w:szCs w:val="21"/>
              </w:rPr>
              <w:t>液体阀门</w:t>
            </w:r>
          </w:p>
        </w:tc>
        <w:tc>
          <w:tcPr>
            <w:tcW w:w="2410" w:type="dxa"/>
            <w:vAlign w:val="center"/>
          </w:tcPr>
          <w:p w14:paraId="79992868">
            <w:pPr>
              <w:pStyle w:val="236"/>
              <w:rPr>
                <w:rFonts w:ascii="宋体" w:hAnsi="宋体" w:eastAsia="宋体" w:cs="仿宋"/>
                <w:snapToGrid w:val="0"/>
                <w:sz w:val="21"/>
                <w:szCs w:val="21"/>
              </w:rPr>
            </w:pPr>
            <w:r>
              <w:rPr>
                <w:rFonts w:hint="eastAsia" w:ascii="宋体" w:hAnsi="宋体" w:eastAsia="宋体" w:cs="仿宋"/>
                <w:snapToGrid w:val="0"/>
                <w:sz w:val="21"/>
                <w:szCs w:val="21"/>
              </w:rPr>
              <w:t>4.9E-07</w:t>
            </w:r>
          </w:p>
        </w:tc>
        <w:tc>
          <w:tcPr>
            <w:tcW w:w="2409" w:type="dxa"/>
            <w:vAlign w:val="center"/>
          </w:tcPr>
          <w:p w14:paraId="03B01898">
            <w:pPr>
              <w:pStyle w:val="236"/>
              <w:rPr>
                <w:rFonts w:ascii="宋体" w:hAnsi="宋体" w:eastAsia="宋体" w:cs="仿宋"/>
                <w:snapToGrid w:val="0"/>
                <w:sz w:val="21"/>
                <w:szCs w:val="21"/>
              </w:rPr>
            </w:pPr>
            <w:r>
              <w:rPr>
                <w:rFonts w:hint="eastAsia" w:ascii="宋体" w:hAnsi="宋体" w:eastAsia="宋体" w:cs="仿宋"/>
                <w:snapToGrid w:val="0"/>
                <w:sz w:val="21"/>
                <w:szCs w:val="21"/>
              </w:rPr>
              <w:t>0.15</w:t>
            </w:r>
          </w:p>
        </w:tc>
        <w:tc>
          <w:tcPr>
            <w:tcW w:w="2410" w:type="dxa"/>
            <w:vAlign w:val="center"/>
          </w:tcPr>
          <w:p w14:paraId="15AC279C">
            <w:pPr>
              <w:pStyle w:val="236"/>
              <w:rPr>
                <w:rFonts w:ascii="宋体" w:hAnsi="宋体" w:eastAsia="宋体" w:cs="仿宋"/>
                <w:snapToGrid w:val="0"/>
                <w:sz w:val="21"/>
                <w:szCs w:val="21"/>
              </w:rPr>
            </w:pPr>
            <w:r>
              <w:rPr>
                <w:rFonts w:hint="eastAsia" w:ascii="宋体" w:hAnsi="宋体" w:eastAsia="宋体" w:cs="仿宋"/>
                <w:snapToGrid w:val="0"/>
                <w:sz w:val="21"/>
                <w:szCs w:val="21"/>
              </w:rPr>
              <w:t>6.41E-06×SV</w:t>
            </w:r>
            <w:r>
              <w:rPr>
                <w:rFonts w:hint="eastAsia" w:ascii="宋体" w:hAnsi="宋体" w:eastAsia="宋体" w:cs="仿宋"/>
                <w:snapToGrid w:val="0"/>
                <w:sz w:val="21"/>
                <w:szCs w:val="21"/>
                <w:vertAlign w:val="superscript"/>
              </w:rPr>
              <w:t>0.797</w:t>
            </w:r>
          </w:p>
        </w:tc>
      </w:tr>
      <w:tr w14:paraId="394F9BC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5" w:type="dxa"/>
            <w:vAlign w:val="center"/>
          </w:tcPr>
          <w:p w14:paraId="078E8CD1">
            <w:pPr>
              <w:pStyle w:val="236"/>
              <w:rPr>
                <w:rFonts w:ascii="宋体" w:hAnsi="宋体" w:eastAsia="宋体" w:cs="仿宋"/>
                <w:snapToGrid w:val="0"/>
                <w:sz w:val="21"/>
                <w:szCs w:val="21"/>
              </w:rPr>
            </w:pPr>
            <w:r>
              <w:rPr>
                <w:rFonts w:hint="eastAsia" w:ascii="宋体" w:hAnsi="宋体" w:eastAsia="宋体" w:cs="仿宋"/>
                <w:snapToGrid w:val="0"/>
                <w:sz w:val="21"/>
                <w:szCs w:val="21"/>
              </w:rPr>
              <w:t>轻液体泵</w:t>
            </w:r>
          </w:p>
        </w:tc>
        <w:tc>
          <w:tcPr>
            <w:tcW w:w="2410" w:type="dxa"/>
            <w:vAlign w:val="center"/>
          </w:tcPr>
          <w:p w14:paraId="02BCEB12">
            <w:pPr>
              <w:pStyle w:val="236"/>
              <w:rPr>
                <w:rFonts w:ascii="宋体" w:hAnsi="宋体" w:eastAsia="宋体" w:cs="仿宋"/>
                <w:snapToGrid w:val="0"/>
                <w:sz w:val="21"/>
                <w:szCs w:val="21"/>
              </w:rPr>
            </w:pPr>
            <w:r>
              <w:rPr>
                <w:rFonts w:hint="eastAsia" w:ascii="宋体" w:hAnsi="宋体" w:eastAsia="宋体" w:cs="仿宋"/>
                <w:snapToGrid w:val="0"/>
                <w:sz w:val="21"/>
                <w:szCs w:val="21"/>
              </w:rPr>
              <w:t>7.5E-06</w:t>
            </w:r>
          </w:p>
        </w:tc>
        <w:tc>
          <w:tcPr>
            <w:tcW w:w="2409" w:type="dxa"/>
            <w:vAlign w:val="center"/>
          </w:tcPr>
          <w:p w14:paraId="2492CD69">
            <w:pPr>
              <w:pStyle w:val="236"/>
              <w:rPr>
                <w:rFonts w:ascii="宋体" w:hAnsi="宋体" w:eastAsia="宋体" w:cs="仿宋"/>
                <w:snapToGrid w:val="0"/>
                <w:sz w:val="21"/>
                <w:szCs w:val="21"/>
              </w:rPr>
            </w:pPr>
            <w:r>
              <w:rPr>
                <w:rFonts w:hint="eastAsia" w:ascii="宋体" w:hAnsi="宋体" w:eastAsia="宋体" w:cs="仿宋"/>
                <w:snapToGrid w:val="0"/>
                <w:sz w:val="21"/>
                <w:szCs w:val="21"/>
              </w:rPr>
              <w:t>0.62</w:t>
            </w:r>
          </w:p>
        </w:tc>
        <w:tc>
          <w:tcPr>
            <w:tcW w:w="2410" w:type="dxa"/>
            <w:vAlign w:val="center"/>
          </w:tcPr>
          <w:p w14:paraId="2EDEEDA5">
            <w:pPr>
              <w:pStyle w:val="236"/>
              <w:rPr>
                <w:rFonts w:ascii="宋体" w:hAnsi="宋体" w:eastAsia="宋体" w:cs="仿宋"/>
                <w:snapToGrid w:val="0"/>
                <w:sz w:val="21"/>
                <w:szCs w:val="21"/>
              </w:rPr>
            </w:pPr>
            <w:r>
              <w:rPr>
                <w:rFonts w:hint="eastAsia" w:ascii="宋体" w:hAnsi="宋体" w:eastAsia="宋体" w:cs="仿宋"/>
                <w:snapToGrid w:val="0"/>
                <w:sz w:val="21"/>
                <w:szCs w:val="21"/>
              </w:rPr>
              <w:t>1.90E-05×SV</w:t>
            </w:r>
            <w:r>
              <w:rPr>
                <w:rFonts w:hint="eastAsia" w:ascii="宋体" w:hAnsi="宋体" w:eastAsia="宋体" w:cs="仿宋"/>
                <w:snapToGrid w:val="0"/>
                <w:sz w:val="21"/>
                <w:szCs w:val="21"/>
                <w:vertAlign w:val="superscript"/>
              </w:rPr>
              <w:t>0.824</w:t>
            </w:r>
          </w:p>
        </w:tc>
      </w:tr>
      <w:tr w14:paraId="7444766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5" w:type="dxa"/>
            <w:vAlign w:val="center"/>
          </w:tcPr>
          <w:p w14:paraId="3E17C3AF">
            <w:pPr>
              <w:pStyle w:val="236"/>
              <w:rPr>
                <w:rFonts w:ascii="宋体" w:hAnsi="宋体" w:eastAsia="宋体" w:cs="仿宋"/>
                <w:snapToGrid w:val="0"/>
                <w:sz w:val="21"/>
                <w:szCs w:val="21"/>
              </w:rPr>
            </w:pPr>
            <w:r>
              <w:rPr>
                <w:rFonts w:hint="eastAsia" w:ascii="宋体" w:hAnsi="宋体" w:eastAsia="宋体" w:cs="仿宋"/>
                <w:snapToGrid w:val="0"/>
                <w:sz w:val="21"/>
                <w:szCs w:val="21"/>
              </w:rPr>
              <w:t>重液体泵</w:t>
            </w:r>
          </w:p>
        </w:tc>
        <w:tc>
          <w:tcPr>
            <w:tcW w:w="2410" w:type="dxa"/>
            <w:vAlign w:val="center"/>
          </w:tcPr>
          <w:p w14:paraId="30BAF8BA">
            <w:pPr>
              <w:pStyle w:val="236"/>
              <w:rPr>
                <w:rFonts w:ascii="宋体" w:hAnsi="宋体" w:eastAsia="宋体" w:cs="仿宋"/>
                <w:snapToGrid w:val="0"/>
                <w:sz w:val="21"/>
                <w:szCs w:val="21"/>
              </w:rPr>
            </w:pPr>
            <w:r>
              <w:rPr>
                <w:rFonts w:hint="eastAsia" w:ascii="宋体" w:hAnsi="宋体" w:eastAsia="宋体" w:cs="仿宋"/>
                <w:snapToGrid w:val="0"/>
                <w:sz w:val="21"/>
                <w:szCs w:val="21"/>
              </w:rPr>
              <w:t>7.5E-06</w:t>
            </w:r>
          </w:p>
        </w:tc>
        <w:tc>
          <w:tcPr>
            <w:tcW w:w="2409" w:type="dxa"/>
            <w:vAlign w:val="center"/>
          </w:tcPr>
          <w:p w14:paraId="0FE4BD7B">
            <w:pPr>
              <w:pStyle w:val="236"/>
              <w:rPr>
                <w:rFonts w:ascii="宋体" w:hAnsi="宋体" w:eastAsia="宋体" w:cs="仿宋"/>
                <w:snapToGrid w:val="0"/>
                <w:sz w:val="21"/>
                <w:szCs w:val="21"/>
              </w:rPr>
            </w:pPr>
            <w:r>
              <w:rPr>
                <w:rFonts w:hint="eastAsia" w:ascii="宋体" w:hAnsi="宋体" w:eastAsia="宋体" w:cs="仿宋"/>
                <w:snapToGrid w:val="0"/>
                <w:sz w:val="21"/>
                <w:szCs w:val="21"/>
              </w:rPr>
              <w:t>0.62</w:t>
            </w:r>
          </w:p>
        </w:tc>
        <w:tc>
          <w:tcPr>
            <w:tcW w:w="2410" w:type="dxa"/>
            <w:vAlign w:val="center"/>
          </w:tcPr>
          <w:p w14:paraId="5545DD37">
            <w:pPr>
              <w:pStyle w:val="236"/>
              <w:rPr>
                <w:rFonts w:ascii="宋体" w:hAnsi="宋体" w:eastAsia="宋体" w:cs="仿宋"/>
                <w:snapToGrid w:val="0"/>
                <w:sz w:val="21"/>
                <w:szCs w:val="21"/>
              </w:rPr>
            </w:pPr>
            <w:r>
              <w:rPr>
                <w:rFonts w:hint="eastAsia" w:ascii="宋体" w:hAnsi="宋体" w:eastAsia="宋体" w:cs="仿宋"/>
                <w:snapToGrid w:val="0"/>
                <w:sz w:val="21"/>
                <w:szCs w:val="21"/>
              </w:rPr>
              <w:t>1.90E-05×SV</w:t>
            </w:r>
            <w:r>
              <w:rPr>
                <w:rFonts w:hint="eastAsia" w:ascii="宋体" w:hAnsi="宋体" w:eastAsia="宋体" w:cs="仿宋"/>
                <w:snapToGrid w:val="0"/>
                <w:sz w:val="21"/>
                <w:szCs w:val="21"/>
                <w:vertAlign w:val="superscript"/>
              </w:rPr>
              <w:t>0.824</w:t>
            </w:r>
          </w:p>
        </w:tc>
      </w:tr>
      <w:tr w14:paraId="53DCDA1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5" w:type="dxa"/>
            <w:vAlign w:val="center"/>
          </w:tcPr>
          <w:p w14:paraId="017F04B8">
            <w:pPr>
              <w:pStyle w:val="236"/>
              <w:rPr>
                <w:rFonts w:ascii="宋体" w:hAnsi="宋体" w:eastAsia="宋体" w:cs="仿宋"/>
                <w:snapToGrid w:val="0"/>
                <w:sz w:val="21"/>
                <w:szCs w:val="21"/>
              </w:rPr>
            </w:pPr>
            <w:r>
              <w:rPr>
                <w:rFonts w:hint="eastAsia" w:ascii="宋体" w:hAnsi="宋体" w:eastAsia="宋体" w:cs="仿宋"/>
                <w:snapToGrid w:val="0"/>
                <w:sz w:val="21"/>
                <w:szCs w:val="21"/>
              </w:rPr>
              <w:t>压缩机</w:t>
            </w:r>
          </w:p>
        </w:tc>
        <w:tc>
          <w:tcPr>
            <w:tcW w:w="2410" w:type="dxa"/>
            <w:vAlign w:val="center"/>
          </w:tcPr>
          <w:p w14:paraId="00E4BC6C">
            <w:pPr>
              <w:pStyle w:val="236"/>
              <w:rPr>
                <w:rFonts w:ascii="宋体" w:hAnsi="宋体" w:eastAsia="宋体" w:cs="仿宋"/>
                <w:snapToGrid w:val="0"/>
                <w:sz w:val="21"/>
                <w:szCs w:val="21"/>
              </w:rPr>
            </w:pPr>
            <w:r>
              <w:rPr>
                <w:rFonts w:hint="eastAsia" w:ascii="宋体" w:hAnsi="宋体" w:eastAsia="宋体" w:cs="仿宋"/>
                <w:snapToGrid w:val="0"/>
                <w:sz w:val="21"/>
                <w:szCs w:val="21"/>
              </w:rPr>
              <w:t>7.5E-06</w:t>
            </w:r>
          </w:p>
        </w:tc>
        <w:tc>
          <w:tcPr>
            <w:tcW w:w="2409" w:type="dxa"/>
            <w:vAlign w:val="center"/>
          </w:tcPr>
          <w:p w14:paraId="621D29D7">
            <w:pPr>
              <w:pStyle w:val="236"/>
              <w:rPr>
                <w:rFonts w:ascii="宋体" w:hAnsi="宋体" w:eastAsia="宋体" w:cs="仿宋"/>
                <w:snapToGrid w:val="0"/>
                <w:sz w:val="21"/>
                <w:szCs w:val="21"/>
              </w:rPr>
            </w:pPr>
            <w:r>
              <w:rPr>
                <w:rFonts w:hint="eastAsia" w:ascii="宋体" w:hAnsi="宋体" w:eastAsia="宋体" w:cs="仿宋"/>
                <w:snapToGrid w:val="0"/>
                <w:sz w:val="21"/>
                <w:szCs w:val="21"/>
              </w:rPr>
              <w:t>0.62</w:t>
            </w:r>
          </w:p>
        </w:tc>
        <w:tc>
          <w:tcPr>
            <w:tcW w:w="2410" w:type="dxa"/>
            <w:vAlign w:val="center"/>
          </w:tcPr>
          <w:p w14:paraId="13DB01B3">
            <w:pPr>
              <w:pStyle w:val="236"/>
              <w:rPr>
                <w:rFonts w:ascii="宋体" w:hAnsi="宋体" w:eastAsia="宋体" w:cs="仿宋"/>
                <w:snapToGrid w:val="0"/>
                <w:sz w:val="21"/>
                <w:szCs w:val="21"/>
              </w:rPr>
            </w:pPr>
            <w:r>
              <w:rPr>
                <w:rFonts w:hint="eastAsia" w:ascii="宋体" w:hAnsi="宋体" w:eastAsia="宋体" w:cs="仿宋"/>
                <w:snapToGrid w:val="0"/>
                <w:sz w:val="21"/>
                <w:szCs w:val="21"/>
              </w:rPr>
              <w:t>1.90E-05×SV</w:t>
            </w:r>
            <w:r>
              <w:rPr>
                <w:rFonts w:hint="eastAsia" w:ascii="宋体" w:hAnsi="宋体" w:eastAsia="宋体" w:cs="仿宋"/>
                <w:snapToGrid w:val="0"/>
                <w:sz w:val="21"/>
                <w:szCs w:val="21"/>
                <w:vertAlign w:val="superscript"/>
              </w:rPr>
              <w:t>0.824</w:t>
            </w:r>
          </w:p>
        </w:tc>
      </w:tr>
      <w:tr w14:paraId="7846614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5" w:type="dxa"/>
            <w:vAlign w:val="center"/>
          </w:tcPr>
          <w:p w14:paraId="5AA66DD4">
            <w:pPr>
              <w:pStyle w:val="236"/>
              <w:rPr>
                <w:rFonts w:ascii="宋体" w:hAnsi="宋体" w:eastAsia="宋体" w:cs="仿宋"/>
                <w:snapToGrid w:val="0"/>
                <w:sz w:val="21"/>
                <w:szCs w:val="21"/>
              </w:rPr>
            </w:pPr>
            <w:r>
              <w:rPr>
                <w:rFonts w:hint="eastAsia" w:ascii="宋体" w:hAnsi="宋体" w:eastAsia="宋体" w:cs="仿宋"/>
                <w:snapToGrid w:val="0"/>
                <w:sz w:val="21"/>
                <w:szCs w:val="21"/>
              </w:rPr>
              <w:t>搅拌器</w:t>
            </w:r>
          </w:p>
        </w:tc>
        <w:tc>
          <w:tcPr>
            <w:tcW w:w="2410" w:type="dxa"/>
            <w:vAlign w:val="center"/>
          </w:tcPr>
          <w:p w14:paraId="3DD04BF0">
            <w:pPr>
              <w:pStyle w:val="236"/>
              <w:rPr>
                <w:rFonts w:ascii="宋体" w:hAnsi="宋体" w:eastAsia="宋体" w:cs="仿宋"/>
                <w:snapToGrid w:val="0"/>
                <w:sz w:val="21"/>
                <w:szCs w:val="21"/>
              </w:rPr>
            </w:pPr>
            <w:r>
              <w:rPr>
                <w:rFonts w:hint="eastAsia" w:ascii="宋体" w:hAnsi="宋体" w:eastAsia="宋体" w:cs="仿宋"/>
                <w:snapToGrid w:val="0"/>
                <w:sz w:val="21"/>
                <w:szCs w:val="21"/>
              </w:rPr>
              <w:t>7.5E-06</w:t>
            </w:r>
          </w:p>
        </w:tc>
        <w:tc>
          <w:tcPr>
            <w:tcW w:w="2409" w:type="dxa"/>
            <w:vAlign w:val="center"/>
          </w:tcPr>
          <w:p w14:paraId="7AFDFB91">
            <w:pPr>
              <w:pStyle w:val="236"/>
              <w:rPr>
                <w:rFonts w:ascii="宋体" w:hAnsi="宋体" w:eastAsia="宋体" w:cs="仿宋"/>
                <w:snapToGrid w:val="0"/>
                <w:sz w:val="21"/>
                <w:szCs w:val="21"/>
              </w:rPr>
            </w:pPr>
            <w:r>
              <w:rPr>
                <w:rFonts w:hint="eastAsia" w:ascii="宋体" w:hAnsi="宋体" w:eastAsia="宋体" w:cs="仿宋"/>
                <w:snapToGrid w:val="0"/>
                <w:sz w:val="21"/>
                <w:szCs w:val="21"/>
              </w:rPr>
              <w:t>0.62</w:t>
            </w:r>
          </w:p>
        </w:tc>
        <w:tc>
          <w:tcPr>
            <w:tcW w:w="2410" w:type="dxa"/>
            <w:vAlign w:val="center"/>
          </w:tcPr>
          <w:p w14:paraId="7CA8F184">
            <w:pPr>
              <w:pStyle w:val="236"/>
              <w:rPr>
                <w:rFonts w:ascii="宋体" w:hAnsi="宋体" w:eastAsia="宋体" w:cs="仿宋"/>
                <w:snapToGrid w:val="0"/>
                <w:sz w:val="21"/>
                <w:szCs w:val="21"/>
              </w:rPr>
            </w:pPr>
            <w:r>
              <w:rPr>
                <w:rFonts w:hint="eastAsia" w:ascii="宋体" w:hAnsi="宋体" w:eastAsia="宋体" w:cs="仿宋"/>
                <w:snapToGrid w:val="0"/>
                <w:sz w:val="21"/>
                <w:szCs w:val="21"/>
              </w:rPr>
              <w:t>1.90E-05×SV</w:t>
            </w:r>
            <w:r>
              <w:rPr>
                <w:rFonts w:hint="eastAsia" w:ascii="宋体" w:hAnsi="宋体" w:eastAsia="宋体" w:cs="仿宋"/>
                <w:snapToGrid w:val="0"/>
                <w:sz w:val="21"/>
                <w:szCs w:val="21"/>
                <w:vertAlign w:val="superscript"/>
              </w:rPr>
              <w:t>0.824</w:t>
            </w:r>
          </w:p>
        </w:tc>
      </w:tr>
      <w:tr w14:paraId="40D5A97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5" w:type="dxa"/>
            <w:vAlign w:val="center"/>
          </w:tcPr>
          <w:p w14:paraId="3F0F5C54">
            <w:pPr>
              <w:pStyle w:val="236"/>
              <w:rPr>
                <w:rFonts w:ascii="宋体" w:hAnsi="宋体" w:eastAsia="宋体" w:cs="仿宋"/>
                <w:snapToGrid w:val="0"/>
                <w:sz w:val="21"/>
                <w:szCs w:val="21"/>
              </w:rPr>
            </w:pPr>
            <w:r>
              <w:rPr>
                <w:rFonts w:hint="eastAsia" w:ascii="宋体" w:hAnsi="宋体" w:eastAsia="宋体" w:cs="仿宋"/>
                <w:snapToGrid w:val="0"/>
                <w:sz w:val="21"/>
                <w:szCs w:val="21"/>
              </w:rPr>
              <w:t>泄压设备</w:t>
            </w:r>
          </w:p>
        </w:tc>
        <w:tc>
          <w:tcPr>
            <w:tcW w:w="2410" w:type="dxa"/>
            <w:vAlign w:val="center"/>
          </w:tcPr>
          <w:p w14:paraId="4B55D383">
            <w:pPr>
              <w:pStyle w:val="236"/>
              <w:rPr>
                <w:rFonts w:ascii="宋体" w:hAnsi="宋体" w:eastAsia="宋体" w:cs="仿宋"/>
                <w:snapToGrid w:val="0"/>
                <w:sz w:val="21"/>
                <w:szCs w:val="21"/>
              </w:rPr>
            </w:pPr>
            <w:r>
              <w:rPr>
                <w:rFonts w:hint="eastAsia" w:ascii="宋体" w:hAnsi="宋体" w:eastAsia="宋体" w:cs="仿宋"/>
                <w:snapToGrid w:val="0"/>
                <w:sz w:val="21"/>
                <w:szCs w:val="21"/>
              </w:rPr>
              <w:t>7.5E-06</w:t>
            </w:r>
          </w:p>
        </w:tc>
        <w:tc>
          <w:tcPr>
            <w:tcW w:w="2409" w:type="dxa"/>
            <w:vAlign w:val="center"/>
          </w:tcPr>
          <w:p w14:paraId="36A02FFE">
            <w:pPr>
              <w:pStyle w:val="236"/>
              <w:rPr>
                <w:rFonts w:ascii="宋体" w:hAnsi="宋体" w:eastAsia="宋体" w:cs="仿宋"/>
                <w:snapToGrid w:val="0"/>
                <w:sz w:val="21"/>
                <w:szCs w:val="21"/>
              </w:rPr>
            </w:pPr>
            <w:r>
              <w:rPr>
                <w:rFonts w:hint="eastAsia" w:ascii="宋体" w:hAnsi="宋体" w:eastAsia="宋体" w:cs="仿宋"/>
                <w:snapToGrid w:val="0"/>
                <w:sz w:val="21"/>
                <w:szCs w:val="21"/>
              </w:rPr>
              <w:t>0.62</w:t>
            </w:r>
          </w:p>
        </w:tc>
        <w:tc>
          <w:tcPr>
            <w:tcW w:w="2410" w:type="dxa"/>
            <w:vAlign w:val="center"/>
          </w:tcPr>
          <w:p w14:paraId="3A5DF03A">
            <w:pPr>
              <w:pStyle w:val="236"/>
              <w:rPr>
                <w:rFonts w:ascii="宋体" w:hAnsi="宋体" w:eastAsia="宋体" w:cs="仿宋"/>
                <w:snapToGrid w:val="0"/>
                <w:sz w:val="21"/>
                <w:szCs w:val="21"/>
              </w:rPr>
            </w:pPr>
            <w:r>
              <w:rPr>
                <w:rFonts w:hint="eastAsia" w:ascii="宋体" w:hAnsi="宋体" w:eastAsia="宋体" w:cs="仿宋"/>
                <w:snapToGrid w:val="0"/>
                <w:sz w:val="21"/>
                <w:szCs w:val="21"/>
              </w:rPr>
              <w:t>1.90E-05×SV</w:t>
            </w:r>
            <w:r>
              <w:rPr>
                <w:rFonts w:hint="eastAsia" w:ascii="宋体" w:hAnsi="宋体" w:eastAsia="宋体" w:cs="仿宋"/>
                <w:snapToGrid w:val="0"/>
                <w:sz w:val="21"/>
                <w:szCs w:val="21"/>
                <w:vertAlign w:val="superscript"/>
              </w:rPr>
              <w:t>0.824</w:t>
            </w:r>
          </w:p>
        </w:tc>
      </w:tr>
      <w:tr w14:paraId="26C8358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5" w:type="dxa"/>
            <w:vAlign w:val="center"/>
          </w:tcPr>
          <w:p w14:paraId="5FD28C73">
            <w:pPr>
              <w:pStyle w:val="236"/>
              <w:rPr>
                <w:rFonts w:ascii="宋体" w:hAnsi="宋体" w:eastAsia="宋体" w:cs="仿宋"/>
                <w:snapToGrid w:val="0"/>
                <w:sz w:val="21"/>
                <w:szCs w:val="21"/>
              </w:rPr>
            </w:pPr>
            <w:r>
              <w:rPr>
                <w:rFonts w:hint="eastAsia" w:ascii="宋体" w:hAnsi="宋体" w:eastAsia="宋体" w:cs="仿宋"/>
                <w:snapToGrid w:val="0"/>
                <w:sz w:val="21"/>
                <w:szCs w:val="21"/>
              </w:rPr>
              <w:t>法兰或连接件</w:t>
            </w:r>
          </w:p>
        </w:tc>
        <w:tc>
          <w:tcPr>
            <w:tcW w:w="2410" w:type="dxa"/>
            <w:vAlign w:val="center"/>
          </w:tcPr>
          <w:p w14:paraId="2B62F24B">
            <w:pPr>
              <w:pStyle w:val="236"/>
              <w:rPr>
                <w:rFonts w:ascii="宋体" w:hAnsi="宋体" w:eastAsia="宋体" w:cs="仿宋"/>
                <w:snapToGrid w:val="0"/>
                <w:sz w:val="21"/>
                <w:szCs w:val="21"/>
              </w:rPr>
            </w:pPr>
            <w:r>
              <w:rPr>
                <w:rFonts w:hint="eastAsia" w:ascii="宋体" w:hAnsi="宋体" w:eastAsia="宋体" w:cs="仿宋"/>
                <w:snapToGrid w:val="0"/>
                <w:sz w:val="21"/>
                <w:szCs w:val="21"/>
              </w:rPr>
              <w:t>6.1E-07</w:t>
            </w:r>
          </w:p>
        </w:tc>
        <w:tc>
          <w:tcPr>
            <w:tcW w:w="2409" w:type="dxa"/>
            <w:vAlign w:val="center"/>
          </w:tcPr>
          <w:p w14:paraId="0DF5EAE9">
            <w:pPr>
              <w:pStyle w:val="236"/>
              <w:rPr>
                <w:rFonts w:ascii="宋体" w:hAnsi="宋体" w:eastAsia="宋体" w:cs="仿宋"/>
                <w:snapToGrid w:val="0"/>
                <w:sz w:val="21"/>
                <w:szCs w:val="21"/>
              </w:rPr>
            </w:pPr>
            <w:r>
              <w:rPr>
                <w:rFonts w:hint="eastAsia" w:ascii="宋体" w:hAnsi="宋体" w:eastAsia="宋体" w:cs="仿宋"/>
                <w:snapToGrid w:val="0"/>
                <w:sz w:val="21"/>
                <w:szCs w:val="21"/>
              </w:rPr>
              <w:t>0.22</w:t>
            </w:r>
          </w:p>
        </w:tc>
        <w:tc>
          <w:tcPr>
            <w:tcW w:w="2410" w:type="dxa"/>
            <w:vAlign w:val="center"/>
          </w:tcPr>
          <w:p w14:paraId="2E41A0F2">
            <w:pPr>
              <w:pStyle w:val="236"/>
              <w:rPr>
                <w:rFonts w:ascii="宋体" w:hAnsi="宋体" w:eastAsia="宋体" w:cs="仿宋"/>
                <w:snapToGrid w:val="0"/>
                <w:sz w:val="21"/>
                <w:szCs w:val="21"/>
              </w:rPr>
            </w:pPr>
            <w:r>
              <w:rPr>
                <w:rFonts w:hint="eastAsia" w:ascii="宋体" w:hAnsi="宋体" w:eastAsia="宋体" w:cs="仿宋"/>
                <w:snapToGrid w:val="0"/>
                <w:sz w:val="21"/>
                <w:szCs w:val="21"/>
              </w:rPr>
              <w:t>3.05E-06×SV</w:t>
            </w:r>
            <w:r>
              <w:rPr>
                <w:rFonts w:hint="eastAsia" w:ascii="宋体" w:hAnsi="宋体" w:eastAsia="宋体" w:cs="仿宋"/>
                <w:snapToGrid w:val="0"/>
                <w:sz w:val="21"/>
                <w:szCs w:val="21"/>
                <w:vertAlign w:val="superscript"/>
              </w:rPr>
              <w:t>0.885</w:t>
            </w:r>
          </w:p>
        </w:tc>
      </w:tr>
      <w:tr w14:paraId="30541CF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5" w:type="dxa"/>
            <w:vAlign w:val="center"/>
          </w:tcPr>
          <w:p w14:paraId="69B9B502">
            <w:pPr>
              <w:pStyle w:val="236"/>
              <w:rPr>
                <w:rFonts w:ascii="宋体" w:hAnsi="宋体" w:eastAsia="宋体" w:cs="仿宋"/>
                <w:snapToGrid w:val="0"/>
                <w:sz w:val="21"/>
                <w:szCs w:val="21"/>
              </w:rPr>
            </w:pPr>
            <w:r>
              <w:rPr>
                <w:rFonts w:hint="eastAsia" w:ascii="宋体" w:hAnsi="宋体" w:eastAsia="宋体" w:cs="仿宋"/>
                <w:snapToGrid w:val="0"/>
                <w:sz w:val="21"/>
                <w:szCs w:val="21"/>
              </w:rPr>
              <w:t>开口阀或开口管线</w:t>
            </w:r>
          </w:p>
        </w:tc>
        <w:tc>
          <w:tcPr>
            <w:tcW w:w="2410" w:type="dxa"/>
            <w:vAlign w:val="center"/>
          </w:tcPr>
          <w:p w14:paraId="14620670">
            <w:pPr>
              <w:pStyle w:val="236"/>
              <w:rPr>
                <w:rFonts w:ascii="宋体" w:hAnsi="宋体" w:eastAsia="宋体" w:cs="仿宋"/>
                <w:snapToGrid w:val="0"/>
                <w:sz w:val="21"/>
                <w:szCs w:val="21"/>
              </w:rPr>
            </w:pPr>
            <w:r>
              <w:rPr>
                <w:rFonts w:hint="eastAsia" w:ascii="宋体" w:hAnsi="宋体" w:eastAsia="宋体" w:cs="仿宋"/>
                <w:snapToGrid w:val="0"/>
                <w:sz w:val="21"/>
                <w:szCs w:val="21"/>
              </w:rPr>
              <w:t>2.0E-06</w:t>
            </w:r>
          </w:p>
        </w:tc>
        <w:tc>
          <w:tcPr>
            <w:tcW w:w="2409" w:type="dxa"/>
            <w:vAlign w:val="center"/>
          </w:tcPr>
          <w:p w14:paraId="0F9DC212">
            <w:pPr>
              <w:pStyle w:val="236"/>
              <w:rPr>
                <w:rFonts w:ascii="宋体" w:hAnsi="宋体" w:eastAsia="宋体" w:cs="仿宋"/>
                <w:snapToGrid w:val="0"/>
                <w:sz w:val="21"/>
                <w:szCs w:val="21"/>
              </w:rPr>
            </w:pPr>
            <w:r>
              <w:rPr>
                <w:rFonts w:hint="eastAsia" w:ascii="宋体" w:hAnsi="宋体" w:eastAsia="宋体" w:cs="仿宋"/>
                <w:snapToGrid w:val="0"/>
                <w:sz w:val="21"/>
                <w:szCs w:val="21"/>
              </w:rPr>
              <w:t>0.079</w:t>
            </w:r>
          </w:p>
        </w:tc>
        <w:tc>
          <w:tcPr>
            <w:tcW w:w="2410" w:type="dxa"/>
            <w:vAlign w:val="center"/>
          </w:tcPr>
          <w:p w14:paraId="322AD5AD">
            <w:pPr>
              <w:pStyle w:val="236"/>
              <w:rPr>
                <w:rFonts w:ascii="宋体" w:hAnsi="宋体" w:eastAsia="宋体" w:cs="仿宋"/>
                <w:snapToGrid w:val="0"/>
                <w:sz w:val="21"/>
                <w:szCs w:val="21"/>
              </w:rPr>
            </w:pPr>
            <w:r>
              <w:rPr>
                <w:rFonts w:hint="eastAsia" w:ascii="宋体" w:hAnsi="宋体" w:eastAsia="宋体" w:cs="仿宋"/>
                <w:snapToGrid w:val="0"/>
                <w:sz w:val="21"/>
                <w:szCs w:val="21"/>
              </w:rPr>
              <w:t>2.20E-06×SV</w:t>
            </w:r>
            <w:r>
              <w:rPr>
                <w:rFonts w:hint="eastAsia" w:ascii="宋体" w:hAnsi="宋体" w:eastAsia="宋体" w:cs="仿宋"/>
                <w:snapToGrid w:val="0"/>
                <w:sz w:val="21"/>
                <w:szCs w:val="21"/>
                <w:vertAlign w:val="superscript"/>
              </w:rPr>
              <w:t>0.704</w:t>
            </w:r>
          </w:p>
        </w:tc>
      </w:tr>
      <w:tr w14:paraId="20EA935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5" w:type="dxa"/>
            <w:vAlign w:val="center"/>
          </w:tcPr>
          <w:p w14:paraId="25E84F1B">
            <w:pPr>
              <w:pStyle w:val="236"/>
              <w:rPr>
                <w:rFonts w:ascii="宋体" w:hAnsi="宋体" w:eastAsia="宋体" w:cs="仿宋"/>
                <w:snapToGrid w:val="0"/>
                <w:sz w:val="21"/>
                <w:szCs w:val="21"/>
              </w:rPr>
            </w:pPr>
            <w:r>
              <w:rPr>
                <w:rFonts w:hint="eastAsia" w:ascii="宋体" w:hAnsi="宋体" w:eastAsia="宋体" w:cs="仿宋"/>
                <w:snapToGrid w:val="0"/>
                <w:sz w:val="21"/>
                <w:szCs w:val="21"/>
              </w:rPr>
              <w:t>其他</w:t>
            </w:r>
          </w:p>
        </w:tc>
        <w:tc>
          <w:tcPr>
            <w:tcW w:w="2410" w:type="dxa"/>
            <w:vAlign w:val="center"/>
          </w:tcPr>
          <w:p w14:paraId="5C2F7FB2">
            <w:pPr>
              <w:pStyle w:val="236"/>
              <w:rPr>
                <w:rFonts w:ascii="宋体" w:hAnsi="宋体" w:eastAsia="宋体" w:cs="仿宋"/>
                <w:snapToGrid w:val="0"/>
                <w:sz w:val="21"/>
                <w:szCs w:val="21"/>
              </w:rPr>
            </w:pPr>
            <w:r>
              <w:rPr>
                <w:rFonts w:hint="eastAsia" w:ascii="宋体" w:hAnsi="宋体" w:eastAsia="宋体" w:cs="仿宋"/>
                <w:snapToGrid w:val="0"/>
                <w:sz w:val="21"/>
                <w:szCs w:val="21"/>
              </w:rPr>
              <w:t>4.0E-06</w:t>
            </w:r>
          </w:p>
        </w:tc>
        <w:tc>
          <w:tcPr>
            <w:tcW w:w="2409" w:type="dxa"/>
            <w:vAlign w:val="center"/>
          </w:tcPr>
          <w:p w14:paraId="2542B50B">
            <w:pPr>
              <w:pStyle w:val="236"/>
              <w:rPr>
                <w:rFonts w:ascii="宋体" w:hAnsi="宋体" w:eastAsia="宋体" w:cs="仿宋"/>
                <w:snapToGrid w:val="0"/>
                <w:sz w:val="21"/>
                <w:szCs w:val="21"/>
              </w:rPr>
            </w:pPr>
            <w:r>
              <w:rPr>
                <w:rFonts w:hint="eastAsia" w:ascii="宋体" w:hAnsi="宋体" w:eastAsia="宋体" w:cs="仿宋"/>
                <w:snapToGrid w:val="0"/>
                <w:sz w:val="21"/>
                <w:szCs w:val="21"/>
              </w:rPr>
              <w:t>0.11</w:t>
            </w:r>
          </w:p>
        </w:tc>
        <w:tc>
          <w:tcPr>
            <w:tcW w:w="2410" w:type="dxa"/>
            <w:vAlign w:val="center"/>
          </w:tcPr>
          <w:p w14:paraId="0B28379F">
            <w:pPr>
              <w:pStyle w:val="236"/>
              <w:rPr>
                <w:rFonts w:ascii="宋体" w:hAnsi="宋体" w:eastAsia="宋体" w:cs="仿宋"/>
                <w:snapToGrid w:val="0"/>
                <w:sz w:val="21"/>
                <w:szCs w:val="21"/>
              </w:rPr>
            </w:pPr>
            <w:r>
              <w:rPr>
                <w:rFonts w:hint="eastAsia" w:ascii="宋体" w:hAnsi="宋体" w:eastAsia="宋体" w:cs="仿宋"/>
                <w:snapToGrid w:val="0"/>
                <w:sz w:val="21"/>
                <w:szCs w:val="21"/>
              </w:rPr>
              <w:t>1.36E-05×SV</w:t>
            </w:r>
            <w:r>
              <w:rPr>
                <w:rFonts w:hint="eastAsia" w:ascii="宋体" w:hAnsi="宋体" w:eastAsia="宋体" w:cs="仿宋"/>
                <w:snapToGrid w:val="0"/>
                <w:sz w:val="21"/>
                <w:szCs w:val="21"/>
                <w:vertAlign w:val="superscript"/>
              </w:rPr>
              <w:t>0.589</w:t>
            </w:r>
          </w:p>
        </w:tc>
      </w:tr>
    </w:tbl>
    <w:p w14:paraId="62229258">
      <w:pPr>
        <w:pStyle w:val="60"/>
        <w:ind w:firstLine="420"/>
      </w:pPr>
      <w:r>
        <w:rPr>
          <w:rFonts w:hint="eastAsia"/>
        </w:rPr>
        <w:t>注：对于表中涉及的千克/小时/排放源＝每个排放源每小时的TOC产生量（千克）。</w:t>
      </w:r>
    </w:p>
    <w:p w14:paraId="5C5BCEB1">
      <w:pPr>
        <w:pStyle w:val="60"/>
        <w:ind w:firstLine="420"/>
        <w:rPr>
          <w:rFonts w:hint="eastAsia"/>
        </w:rPr>
      </w:pPr>
      <w:r>
        <w:rPr>
          <w:rFonts w:hint="eastAsia"/>
        </w:rPr>
        <w:t>a：数据摘自EPA报告。对于密闭式的采样点，如果采样瓶连在采样口，则使用“连接件”的泄漏系数；如采样瓶未与采样口连接，则使用“开口管线”的泄漏系数。</w:t>
      </w:r>
    </w:p>
    <w:p w14:paraId="491540DB">
      <w:pPr>
        <w:pStyle w:val="60"/>
        <w:ind w:firstLine="420"/>
        <w:jc w:val="center"/>
      </w:pPr>
      <w:r>
        <w:rPr>
          <w:rFonts w:hint="eastAsia"/>
        </w:rPr>
        <w:t>表</w:t>
      </w:r>
      <w:r>
        <w:t>C.2</w:t>
      </w:r>
      <w:r>
        <w:rPr>
          <w:rFonts w:hint="eastAsia"/>
        </w:rPr>
        <w:t xml:space="preserve"> 筛选范围泄漏系数（单位：千克/小时/排放源）</w:t>
      </w:r>
    </w:p>
    <w:tbl>
      <w:tblPr>
        <w:tblStyle w:val="29"/>
        <w:tblW w:w="7511"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2"/>
        <w:gridCol w:w="994"/>
        <w:gridCol w:w="2262"/>
        <w:gridCol w:w="2413"/>
      </w:tblGrid>
      <w:tr w14:paraId="7B58E41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1842" w:type="dxa"/>
            <w:vAlign w:val="center"/>
          </w:tcPr>
          <w:p w14:paraId="4F65E241">
            <w:pPr>
              <w:pStyle w:val="236"/>
              <w:rPr>
                <w:rFonts w:ascii="宋体" w:hAnsi="宋体" w:eastAsia="宋体" w:cs="仿宋"/>
                <w:snapToGrid w:val="0"/>
                <w:sz w:val="21"/>
                <w:szCs w:val="21"/>
              </w:rPr>
            </w:pPr>
            <w:r>
              <w:rPr>
                <w:rFonts w:hint="eastAsia" w:ascii="宋体" w:hAnsi="宋体" w:eastAsia="宋体" w:cs="仿宋"/>
                <w:snapToGrid w:val="0"/>
                <w:sz w:val="21"/>
                <w:szCs w:val="21"/>
              </w:rPr>
              <w:t>密封点类型</w:t>
            </w:r>
          </w:p>
        </w:tc>
        <w:tc>
          <w:tcPr>
            <w:tcW w:w="994" w:type="dxa"/>
            <w:vAlign w:val="center"/>
          </w:tcPr>
          <w:p w14:paraId="12A5C982">
            <w:pPr>
              <w:pStyle w:val="236"/>
              <w:rPr>
                <w:rFonts w:ascii="宋体" w:hAnsi="宋体" w:eastAsia="宋体" w:cs="仿宋"/>
                <w:snapToGrid w:val="0"/>
                <w:sz w:val="21"/>
                <w:szCs w:val="21"/>
              </w:rPr>
            </w:pPr>
            <w:r>
              <w:rPr>
                <w:rFonts w:hint="eastAsia" w:ascii="宋体" w:hAnsi="宋体" w:eastAsia="宋体" w:cs="仿宋"/>
                <w:snapToGrid w:val="0"/>
                <w:sz w:val="21"/>
                <w:szCs w:val="21"/>
              </w:rPr>
              <w:t>介质</w:t>
            </w:r>
          </w:p>
        </w:tc>
        <w:tc>
          <w:tcPr>
            <w:tcW w:w="2262" w:type="dxa"/>
            <w:vAlign w:val="center"/>
          </w:tcPr>
          <w:p w14:paraId="7D30374C">
            <w:pPr>
              <w:pStyle w:val="236"/>
              <w:rPr>
                <w:rFonts w:ascii="宋体" w:hAnsi="宋体" w:eastAsia="宋体" w:cs="仿宋"/>
                <w:snapToGrid w:val="0"/>
                <w:sz w:val="21"/>
                <w:szCs w:val="21"/>
              </w:rPr>
            </w:pPr>
            <w:r>
              <w:rPr>
                <w:rFonts w:ascii="宋体" w:hAnsi="宋体" w:eastAsia="宋体" w:cs="仿宋"/>
                <w:snapToGrid w:val="0"/>
                <w:sz w:val="21"/>
                <w:szCs w:val="21"/>
              </w:rPr>
              <w:t>≥10000 μmol/mol</w:t>
            </w:r>
          </w:p>
        </w:tc>
        <w:tc>
          <w:tcPr>
            <w:tcW w:w="2413" w:type="dxa"/>
            <w:vAlign w:val="center"/>
          </w:tcPr>
          <w:p w14:paraId="3DC64BDB">
            <w:pPr>
              <w:pStyle w:val="236"/>
              <w:rPr>
                <w:rFonts w:ascii="宋体" w:hAnsi="宋体" w:eastAsia="宋体" w:cs="仿宋"/>
                <w:snapToGrid w:val="0"/>
                <w:sz w:val="21"/>
                <w:szCs w:val="21"/>
              </w:rPr>
            </w:pPr>
            <w:r>
              <w:rPr>
                <w:rFonts w:ascii="宋体" w:hAnsi="宋体" w:eastAsia="宋体" w:cs="仿宋"/>
                <w:snapToGrid w:val="0"/>
                <w:sz w:val="21"/>
                <w:szCs w:val="21"/>
              </w:rPr>
              <w:t>&lt;10000 μmol/mol</w:t>
            </w:r>
          </w:p>
        </w:tc>
      </w:tr>
      <w:tr w14:paraId="572E89B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842" w:type="dxa"/>
            <w:vAlign w:val="center"/>
          </w:tcPr>
          <w:p w14:paraId="1C33A798">
            <w:pPr>
              <w:pStyle w:val="236"/>
              <w:rPr>
                <w:rFonts w:ascii="宋体" w:hAnsi="宋体" w:eastAsia="宋体" w:cs="仿宋"/>
                <w:snapToGrid w:val="0"/>
                <w:sz w:val="21"/>
                <w:szCs w:val="21"/>
              </w:rPr>
            </w:pPr>
            <w:r>
              <w:rPr>
                <w:rFonts w:hint="eastAsia" w:ascii="宋体" w:hAnsi="宋体" w:eastAsia="宋体" w:cs="仿宋"/>
                <w:snapToGrid w:val="0"/>
                <w:sz w:val="21"/>
                <w:szCs w:val="21"/>
              </w:rPr>
              <w:t>法兰、连接件</w:t>
            </w:r>
          </w:p>
        </w:tc>
        <w:tc>
          <w:tcPr>
            <w:tcW w:w="994" w:type="dxa"/>
            <w:vAlign w:val="center"/>
          </w:tcPr>
          <w:p w14:paraId="04B1264C">
            <w:pPr>
              <w:pStyle w:val="236"/>
              <w:rPr>
                <w:rFonts w:ascii="宋体" w:hAnsi="宋体" w:eastAsia="宋体" w:cs="仿宋"/>
                <w:snapToGrid w:val="0"/>
                <w:sz w:val="21"/>
                <w:szCs w:val="21"/>
              </w:rPr>
            </w:pPr>
            <w:r>
              <w:rPr>
                <w:rFonts w:hint="eastAsia" w:ascii="宋体" w:hAnsi="宋体" w:eastAsia="宋体" w:cs="仿宋"/>
                <w:snapToGrid w:val="0"/>
                <w:sz w:val="21"/>
                <w:szCs w:val="21"/>
              </w:rPr>
              <w:t>所有</w:t>
            </w:r>
          </w:p>
        </w:tc>
        <w:tc>
          <w:tcPr>
            <w:tcW w:w="2262" w:type="dxa"/>
            <w:vAlign w:val="center"/>
          </w:tcPr>
          <w:p w14:paraId="1B16EE4E">
            <w:pPr>
              <w:pStyle w:val="236"/>
              <w:rPr>
                <w:rFonts w:ascii="宋体" w:hAnsi="宋体" w:eastAsia="宋体" w:cs="仿宋"/>
                <w:snapToGrid w:val="0"/>
                <w:sz w:val="21"/>
                <w:szCs w:val="21"/>
              </w:rPr>
            </w:pPr>
            <w:r>
              <w:rPr>
                <w:rFonts w:ascii="宋体" w:hAnsi="宋体" w:eastAsia="宋体" w:cs="仿宋"/>
                <w:snapToGrid w:val="0"/>
                <w:sz w:val="21"/>
                <w:szCs w:val="21"/>
              </w:rPr>
              <w:t>0.113</w:t>
            </w:r>
          </w:p>
        </w:tc>
        <w:tc>
          <w:tcPr>
            <w:tcW w:w="2413" w:type="dxa"/>
            <w:vAlign w:val="center"/>
          </w:tcPr>
          <w:p w14:paraId="59C0DEC1">
            <w:pPr>
              <w:pStyle w:val="236"/>
              <w:rPr>
                <w:rFonts w:ascii="宋体" w:hAnsi="宋体" w:eastAsia="宋体" w:cs="仿宋"/>
                <w:snapToGrid w:val="0"/>
                <w:sz w:val="21"/>
                <w:szCs w:val="21"/>
              </w:rPr>
            </w:pPr>
            <w:r>
              <w:rPr>
                <w:rFonts w:ascii="宋体" w:hAnsi="宋体" w:eastAsia="宋体" w:cs="仿宋"/>
                <w:snapToGrid w:val="0"/>
                <w:sz w:val="21"/>
                <w:szCs w:val="21"/>
              </w:rPr>
              <w:t>0.000081</w:t>
            </w:r>
          </w:p>
        </w:tc>
      </w:tr>
    </w:tbl>
    <w:p w14:paraId="39F0AA34">
      <w:pPr>
        <w:pStyle w:val="60"/>
        <w:ind w:firstLine="420"/>
        <w:rPr>
          <w:rFonts w:hint="eastAsia"/>
        </w:rPr>
      </w:pPr>
      <w:r>
        <w:rPr>
          <w:rFonts w:hint="eastAsia"/>
        </w:rPr>
        <w:t>注：数据摘自EPA，1995b报告的数据。</w:t>
      </w:r>
    </w:p>
    <w:p w14:paraId="55E057DD">
      <w:pPr>
        <w:pStyle w:val="60"/>
        <w:ind w:firstLine="420"/>
        <w:jc w:val="center"/>
      </w:pPr>
      <w:r>
        <w:rPr>
          <w:rFonts w:hint="eastAsia"/>
        </w:rPr>
        <w:t>表</w:t>
      </w:r>
      <w:r>
        <w:t xml:space="preserve">C.3 </w:t>
      </w:r>
      <w:r>
        <w:rPr>
          <w:rFonts w:hint="eastAsia"/>
        </w:rPr>
        <w:t>平均泄漏系数</w:t>
      </w:r>
      <w:r>
        <w:rPr>
          <w:rFonts w:hint="eastAsia"/>
          <w:vertAlign w:val="superscript"/>
        </w:rPr>
        <w:t>a</w:t>
      </w:r>
      <w:r>
        <w:rPr>
          <w:rFonts w:hint="eastAsia"/>
        </w:rPr>
        <w:t>（单位：千克/小时/排放源）</w:t>
      </w:r>
    </w:p>
    <w:tbl>
      <w:tblPr>
        <w:tblStyle w:val="29"/>
        <w:tblW w:w="7508"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89"/>
        <w:gridCol w:w="1841"/>
        <w:gridCol w:w="2978"/>
      </w:tblGrid>
      <w:tr w14:paraId="495E7EE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2689" w:type="dxa"/>
            <w:tcBorders>
              <w:bottom w:val="single" w:color="000000" w:sz="12" w:space="0"/>
            </w:tcBorders>
            <w:vAlign w:val="center"/>
          </w:tcPr>
          <w:p w14:paraId="1A979A65">
            <w:pPr>
              <w:pStyle w:val="236"/>
              <w:rPr>
                <w:rFonts w:ascii="宋体" w:hAnsi="宋体" w:eastAsia="宋体" w:cs="仿宋"/>
                <w:snapToGrid w:val="0"/>
                <w:sz w:val="21"/>
                <w:szCs w:val="21"/>
              </w:rPr>
            </w:pPr>
            <w:r>
              <w:rPr>
                <w:rFonts w:hint="eastAsia" w:ascii="宋体" w:hAnsi="宋体" w:eastAsia="宋体" w:cs="仿宋"/>
                <w:snapToGrid w:val="0"/>
                <w:sz w:val="21"/>
                <w:szCs w:val="21"/>
              </w:rPr>
              <w:t>密封点类型</w:t>
            </w:r>
          </w:p>
        </w:tc>
        <w:tc>
          <w:tcPr>
            <w:tcW w:w="1841" w:type="dxa"/>
            <w:tcBorders>
              <w:bottom w:val="single" w:color="000000" w:sz="12" w:space="0"/>
            </w:tcBorders>
            <w:vAlign w:val="center"/>
          </w:tcPr>
          <w:p w14:paraId="450AD7C1">
            <w:pPr>
              <w:pStyle w:val="236"/>
              <w:rPr>
                <w:rFonts w:ascii="宋体" w:hAnsi="宋体" w:eastAsia="宋体" w:cs="仿宋"/>
                <w:snapToGrid w:val="0"/>
                <w:sz w:val="21"/>
                <w:szCs w:val="21"/>
              </w:rPr>
            </w:pPr>
            <w:r>
              <w:rPr>
                <w:rFonts w:hint="eastAsia" w:ascii="宋体" w:hAnsi="宋体" w:eastAsia="宋体" w:cs="仿宋"/>
                <w:snapToGrid w:val="0"/>
                <w:sz w:val="21"/>
                <w:szCs w:val="21"/>
              </w:rPr>
              <w:t>介质</w:t>
            </w:r>
          </w:p>
        </w:tc>
        <w:tc>
          <w:tcPr>
            <w:tcW w:w="2978" w:type="dxa"/>
            <w:tcBorders>
              <w:bottom w:val="single" w:color="000000" w:sz="12" w:space="0"/>
            </w:tcBorders>
            <w:vAlign w:val="center"/>
          </w:tcPr>
          <w:p w14:paraId="4C03D065">
            <w:pPr>
              <w:pStyle w:val="236"/>
              <w:rPr>
                <w:rFonts w:ascii="宋体" w:hAnsi="宋体" w:eastAsia="宋体" w:cs="仿宋"/>
                <w:snapToGrid w:val="0"/>
                <w:sz w:val="21"/>
                <w:szCs w:val="21"/>
              </w:rPr>
            </w:pPr>
            <w:r>
              <w:rPr>
                <w:rFonts w:hint="eastAsia" w:ascii="宋体" w:hAnsi="宋体" w:eastAsia="宋体" w:cs="仿宋"/>
                <w:snapToGrid w:val="0"/>
                <w:sz w:val="21"/>
                <w:szCs w:val="21"/>
              </w:rPr>
              <w:t>泄漏系数</w:t>
            </w:r>
            <w:r>
              <w:rPr>
                <w:rFonts w:hint="eastAsia" w:ascii="宋体" w:hAnsi="宋体" w:eastAsia="宋体" w:cs="仿宋"/>
                <w:snapToGrid w:val="0"/>
                <w:sz w:val="21"/>
                <w:szCs w:val="21"/>
                <w:vertAlign w:val="superscript"/>
              </w:rPr>
              <w:t>b</w:t>
            </w:r>
          </w:p>
        </w:tc>
      </w:tr>
      <w:tr w14:paraId="6FB6A49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89" w:type="dxa"/>
            <w:vMerge w:val="restart"/>
            <w:tcBorders>
              <w:top w:val="single" w:color="000000" w:sz="12" w:space="0"/>
            </w:tcBorders>
            <w:vAlign w:val="center"/>
          </w:tcPr>
          <w:p w14:paraId="4936E69D">
            <w:pPr>
              <w:pStyle w:val="236"/>
              <w:rPr>
                <w:rFonts w:ascii="宋体" w:hAnsi="宋体" w:eastAsia="宋体" w:cs="仿宋"/>
                <w:snapToGrid w:val="0"/>
                <w:sz w:val="21"/>
                <w:szCs w:val="21"/>
              </w:rPr>
            </w:pPr>
            <w:r>
              <w:rPr>
                <w:rFonts w:hint="eastAsia" w:ascii="宋体" w:hAnsi="宋体" w:eastAsia="宋体" w:cs="仿宋"/>
                <w:snapToGrid w:val="0"/>
                <w:sz w:val="21"/>
                <w:szCs w:val="21"/>
              </w:rPr>
              <w:t>阀</w:t>
            </w:r>
          </w:p>
        </w:tc>
        <w:tc>
          <w:tcPr>
            <w:tcW w:w="1841" w:type="dxa"/>
            <w:tcBorders>
              <w:top w:val="single" w:color="000000" w:sz="12" w:space="0"/>
            </w:tcBorders>
            <w:vAlign w:val="center"/>
          </w:tcPr>
          <w:p w14:paraId="5A3A038E">
            <w:pPr>
              <w:pStyle w:val="236"/>
              <w:rPr>
                <w:rFonts w:ascii="宋体" w:hAnsi="宋体" w:eastAsia="宋体" w:cs="仿宋"/>
                <w:snapToGrid w:val="0"/>
                <w:sz w:val="21"/>
                <w:szCs w:val="21"/>
              </w:rPr>
            </w:pPr>
            <w:r>
              <w:rPr>
                <w:rFonts w:hint="eastAsia" w:ascii="宋体" w:hAnsi="宋体" w:eastAsia="宋体" w:cs="仿宋"/>
                <w:snapToGrid w:val="0"/>
                <w:sz w:val="21"/>
                <w:szCs w:val="21"/>
              </w:rPr>
              <w:t>气体</w:t>
            </w:r>
          </w:p>
        </w:tc>
        <w:tc>
          <w:tcPr>
            <w:tcW w:w="2978" w:type="dxa"/>
            <w:tcBorders>
              <w:top w:val="single" w:color="000000" w:sz="12" w:space="0"/>
            </w:tcBorders>
            <w:vAlign w:val="center"/>
          </w:tcPr>
          <w:p w14:paraId="7EA73559">
            <w:pPr>
              <w:pStyle w:val="236"/>
              <w:rPr>
                <w:rFonts w:ascii="宋体" w:hAnsi="宋体" w:eastAsia="宋体" w:cs="仿宋"/>
                <w:snapToGrid w:val="0"/>
                <w:sz w:val="21"/>
                <w:szCs w:val="21"/>
              </w:rPr>
            </w:pPr>
            <w:r>
              <w:rPr>
                <w:rFonts w:ascii="宋体" w:hAnsi="宋体" w:eastAsia="宋体" w:cs="仿宋"/>
                <w:snapToGrid w:val="0"/>
                <w:sz w:val="21"/>
                <w:szCs w:val="21"/>
              </w:rPr>
              <w:t>0.00597</w:t>
            </w:r>
          </w:p>
        </w:tc>
      </w:tr>
      <w:tr w14:paraId="4BE340D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89" w:type="dxa"/>
            <w:vMerge w:val="continue"/>
            <w:vAlign w:val="center"/>
          </w:tcPr>
          <w:p w14:paraId="4CD45E03">
            <w:pPr>
              <w:pStyle w:val="236"/>
              <w:rPr>
                <w:rFonts w:ascii="宋体" w:hAnsi="宋体" w:eastAsia="宋体" w:cs="仿宋"/>
                <w:snapToGrid w:val="0"/>
                <w:sz w:val="21"/>
                <w:szCs w:val="21"/>
              </w:rPr>
            </w:pPr>
          </w:p>
        </w:tc>
        <w:tc>
          <w:tcPr>
            <w:tcW w:w="1841" w:type="dxa"/>
            <w:vAlign w:val="center"/>
          </w:tcPr>
          <w:p w14:paraId="0A27855D">
            <w:pPr>
              <w:pStyle w:val="236"/>
              <w:rPr>
                <w:rFonts w:ascii="宋体" w:hAnsi="宋体" w:eastAsia="宋体" w:cs="仿宋"/>
                <w:snapToGrid w:val="0"/>
                <w:sz w:val="21"/>
                <w:szCs w:val="21"/>
              </w:rPr>
            </w:pPr>
            <w:r>
              <w:rPr>
                <w:rFonts w:hint="eastAsia" w:ascii="宋体" w:hAnsi="宋体" w:eastAsia="宋体" w:cs="仿宋"/>
                <w:snapToGrid w:val="0"/>
                <w:sz w:val="21"/>
                <w:szCs w:val="21"/>
              </w:rPr>
              <w:t>轻液体</w:t>
            </w:r>
          </w:p>
        </w:tc>
        <w:tc>
          <w:tcPr>
            <w:tcW w:w="2978" w:type="dxa"/>
            <w:vAlign w:val="center"/>
          </w:tcPr>
          <w:p w14:paraId="29340652">
            <w:pPr>
              <w:pStyle w:val="236"/>
              <w:rPr>
                <w:rFonts w:ascii="宋体" w:hAnsi="宋体" w:eastAsia="宋体" w:cs="仿宋"/>
                <w:snapToGrid w:val="0"/>
                <w:sz w:val="21"/>
                <w:szCs w:val="21"/>
              </w:rPr>
            </w:pPr>
            <w:r>
              <w:rPr>
                <w:rFonts w:ascii="宋体" w:hAnsi="宋体" w:eastAsia="宋体" w:cs="仿宋"/>
                <w:snapToGrid w:val="0"/>
                <w:sz w:val="21"/>
                <w:szCs w:val="21"/>
              </w:rPr>
              <w:t>0.00403</w:t>
            </w:r>
          </w:p>
        </w:tc>
      </w:tr>
      <w:tr w14:paraId="5AA5477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89" w:type="dxa"/>
            <w:vMerge w:val="continue"/>
            <w:tcBorders>
              <w:bottom w:val="single" w:color="000000" w:sz="12" w:space="0"/>
            </w:tcBorders>
            <w:vAlign w:val="center"/>
          </w:tcPr>
          <w:p w14:paraId="683B7C21">
            <w:pPr>
              <w:pStyle w:val="236"/>
              <w:rPr>
                <w:rFonts w:ascii="宋体" w:hAnsi="宋体" w:eastAsia="宋体" w:cs="仿宋"/>
                <w:snapToGrid w:val="0"/>
                <w:sz w:val="21"/>
                <w:szCs w:val="21"/>
              </w:rPr>
            </w:pPr>
          </w:p>
        </w:tc>
        <w:tc>
          <w:tcPr>
            <w:tcW w:w="1841" w:type="dxa"/>
            <w:tcBorders>
              <w:bottom w:val="single" w:color="000000" w:sz="12" w:space="0"/>
            </w:tcBorders>
            <w:vAlign w:val="center"/>
          </w:tcPr>
          <w:p w14:paraId="4D15D9C6">
            <w:pPr>
              <w:pStyle w:val="236"/>
              <w:rPr>
                <w:rFonts w:ascii="宋体" w:hAnsi="宋体" w:eastAsia="宋体" w:cs="仿宋"/>
                <w:snapToGrid w:val="0"/>
                <w:sz w:val="21"/>
                <w:szCs w:val="21"/>
              </w:rPr>
            </w:pPr>
            <w:r>
              <w:rPr>
                <w:rFonts w:hint="eastAsia" w:ascii="宋体" w:hAnsi="宋体" w:eastAsia="宋体" w:cs="仿宋"/>
                <w:snapToGrid w:val="0"/>
                <w:sz w:val="21"/>
                <w:szCs w:val="21"/>
              </w:rPr>
              <w:t>重液体</w:t>
            </w:r>
          </w:p>
        </w:tc>
        <w:tc>
          <w:tcPr>
            <w:tcW w:w="2978" w:type="dxa"/>
            <w:tcBorders>
              <w:bottom w:val="single" w:color="000000" w:sz="12" w:space="0"/>
            </w:tcBorders>
            <w:vAlign w:val="center"/>
          </w:tcPr>
          <w:p w14:paraId="5A506E53">
            <w:pPr>
              <w:pStyle w:val="236"/>
              <w:rPr>
                <w:rFonts w:ascii="宋体" w:hAnsi="宋体" w:eastAsia="宋体" w:cs="仿宋"/>
                <w:snapToGrid w:val="0"/>
                <w:sz w:val="21"/>
                <w:szCs w:val="21"/>
              </w:rPr>
            </w:pPr>
            <w:r>
              <w:rPr>
                <w:rFonts w:ascii="宋体" w:hAnsi="宋体" w:eastAsia="宋体" w:cs="仿宋"/>
                <w:snapToGrid w:val="0"/>
                <w:sz w:val="21"/>
                <w:szCs w:val="21"/>
              </w:rPr>
              <w:t>0.00023</w:t>
            </w:r>
          </w:p>
        </w:tc>
      </w:tr>
      <w:tr w14:paraId="0390DFF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89" w:type="dxa"/>
            <w:vMerge w:val="restart"/>
            <w:tcBorders>
              <w:top w:val="single" w:color="000000" w:sz="12" w:space="0"/>
            </w:tcBorders>
            <w:vAlign w:val="center"/>
          </w:tcPr>
          <w:p w14:paraId="11B43804">
            <w:pPr>
              <w:pStyle w:val="236"/>
              <w:rPr>
                <w:rFonts w:ascii="宋体" w:hAnsi="宋体" w:eastAsia="宋体" w:cs="仿宋"/>
                <w:snapToGrid w:val="0"/>
                <w:sz w:val="21"/>
                <w:szCs w:val="21"/>
              </w:rPr>
            </w:pPr>
            <w:r>
              <w:rPr>
                <w:rFonts w:hint="eastAsia" w:ascii="宋体" w:hAnsi="宋体" w:eastAsia="宋体" w:cs="仿宋"/>
                <w:snapToGrid w:val="0"/>
                <w:sz w:val="21"/>
                <w:szCs w:val="21"/>
              </w:rPr>
              <w:t>泵c</w:t>
            </w:r>
          </w:p>
        </w:tc>
        <w:tc>
          <w:tcPr>
            <w:tcW w:w="1841" w:type="dxa"/>
            <w:tcBorders>
              <w:top w:val="single" w:color="000000" w:sz="12" w:space="0"/>
            </w:tcBorders>
            <w:vAlign w:val="center"/>
          </w:tcPr>
          <w:p w14:paraId="49D5AE5F">
            <w:pPr>
              <w:pStyle w:val="236"/>
              <w:rPr>
                <w:rFonts w:ascii="宋体" w:hAnsi="宋体" w:eastAsia="宋体" w:cs="仿宋"/>
                <w:snapToGrid w:val="0"/>
                <w:sz w:val="21"/>
                <w:szCs w:val="21"/>
              </w:rPr>
            </w:pPr>
            <w:r>
              <w:rPr>
                <w:rFonts w:hint="eastAsia" w:ascii="宋体" w:hAnsi="宋体" w:eastAsia="宋体" w:cs="仿宋"/>
                <w:snapToGrid w:val="0"/>
                <w:sz w:val="21"/>
                <w:szCs w:val="21"/>
              </w:rPr>
              <w:t>轻液体</w:t>
            </w:r>
          </w:p>
        </w:tc>
        <w:tc>
          <w:tcPr>
            <w:tcW w:w="2978" w:type="dxa"/>
            <w:tcBorders>
              <w:top w:val="single" w:color="000000" w:sz="12" w:space="0"/>
            </w:tcBorders>
            <w:vAlign w:val="center"/>
          </w:tcPr>
          <w:p w14:paraId="258F3FD7">
            <w:pPr>
              <w:pStyle w:val="236"/>
              <w:rPr>
                <w:rFonts w:ascii="宋体" w:hAnsi="宋体" w:eastAsia="宋体" w:cs="仿宋"/>
                <w:snapToGrid w:val="0"/>
                <w:sz w:val="21"/>
                <w:szCs w:val="21"/>
              </w:rPr>
            </w:pPr>
            <w:r>
              <w:rPr>
                <w:rFonts w:ascii="宋体" w:hAnsi="宋体" w:eastAsia="宋体" w:cs="仿宋"/>
                <w:snapToGrid w:val="0"/>
                <w:sz w:val="21"/>
                <w:szCs w:val="21"/>
              </w:rPr>
              <w:t>0.01990</w:t>
            </w:r>
          </w:p>
        </w:tc>
      </w:tr>
      <w:tr w14:paraId="638E16F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89" w:type="dxa"/>
            <w:vMerge w:val="continue"/>
            <w:tcBorders>
              <w:bottom w:val="single" w:color="000000" w:sz="12" w:space="0"/>
            </w:tcBorders>
            <w:vAlign w:val="center"/>
          </w:tcPr>
          <w:p w14:paraId="67ECDDCC">
            <w:pPr>
              <w:pStyle w:val="236"/>
              <w:rPr>
                <w:rFonts w:ascii="宋体" w:hAnsi="宋体" w:eastAsia="宋体" w:cs="仿宋"/>
                <w:snapToGrid w:val="0"/>
                <w:sz w:val="21"/>
                <w:szCs w:val="21"/>
              </w:rPr>
            </w:pPr>
          </w:p>
        </w:tc>
        <w:tc>
          <w:tcPr>
            <w:tcW w:w="1841" w:type="dxa"/>
            <w:tcBorders>
              <w:bottom w:val="single" w:color="000000" w:sz="12" w:space="0"/>
            </w:tcBorders>
            <w:vAlign w:val="center"/>
          </w:tcPr>
          <w:p w14:paraId="0505B780">
            <w:pPr>
              <w:pStyle w:val="236"/>
              <w:rPr>
                <w:rFonts w:ascii="宋体" w:hAnsi="宋体" w:eastAsia="宋体" w:cs="仿宋"/>
                <w:snapToGrid w:val="0"/>
                <w:sz w:val="21"/>
                <w:szCs w:val="21"/>
              </w:rPr>
            </w:pPr>
            <w:r>
              <w:rPr>
                <w:rFonts w:hint="eastAsia" w:ascii="宋体" w:hAnsi="宋体" w:eastAsia="宋体" w:cs="仿宋"/>
                <w:snapToGrid w:val="0"/>
                <w:sz w:val="21"/>
                <w:szCs w:val="21"/>
              </w:rPr>
              <w:t>重液体</w:t>
            </w:r>
          </w:p>
        </w:tc>
        <w:tc>
          <w:tcPr>
            <w:tcW w:w="2978" w:type="dxa"/>
            <w:tcBorders>
              <w:bottom w:val="single" w:color="000000" w:sz="12" w:space="0"/>
            </w:tcBorders>
            <w:vAlign w:val="center"/>
          </w:tcPr>
          <w:p w14:paraId="475D5B8D">
            <w:pPr>
              <w:pStyle w:val="236"/>
              <w:rPr>
                <w:rFonts w:ascii="宋体" w:hAnsi="宋体" w:eastAsia="宋体" w:cs="仿宋"/>
                <w:snapToGrid w:val="0"/>
                <w:sz w:val="21"/>
                <w:szCs w:val="21"/>
              </w:rPr>
            </w:pPr>
            <w:r>
              <w:rPr>
                <w:rFonts w:ascii="宋体" w:hAnsi="宋体" w:eastAsia="宋体" w:cs="仿宋"/>
                <w:snapToGrid w:val="0"/>
                <w:sz w:val="21"/>
                <w:szCs w:val="21"/>
              </w:rPr>
              <w:t>0.00862</w:t>
            </w:r>
          </w:p>
        </w:tc>
      </w:tr>
      <w:tr w14:paraId="4B67A93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89" w:type="dxa"/>
            <w:tcBorders>
              <w:top w:val="single" w:color="000000" w:sz="12" w:space="0"/>
            </w:tcBorders>
            <w:vAlign w:val="center"/>
          </w:tcPr>
          <w:p w14:paraId="5D13433D">
            <w:pPr>
              <w:pStyle w:val="236"/>
              <w:rPr>
                <w:rFonts w:ascii="宋体" w:hAnsi="宋体" w:eastAsia="宋体" w:cs="仿宋"/>
                <w:snapToGrid w:val="0"/>
                <w:sz w:val="21"/>
                <w:szCs w:val="21"/>
              </w:rPr>
            </w:pPr>
            <w:r>
              <w:rPr>
                <w:rFonts w:hint="eastAsia" w:ascii="宋体" w:hAnsi="宋体" w:eastAsia="宋体" w:cs="仿宋"/>
                <w:snapToGrid w:val="0"/>
                <w:sz w:val="21"/>
                <w:szCs w:val="21"/>
              </w:rPr>
              <w:t>压缩机</w:t>
            </w:r>
          </w:p>
        </w:tc>
        <w:tc>
          <w:tcPr>
            <w:tcW w:w="1841" w:type="dxa"/>
            <w:tcBorders>
              <w:top w:val="single" w:color="000000" w:sz="12" w:space="0"/>
            </w:tcBorders>
            <w:vAlign w:val="center"/>
          </w:tcPr>
          <w:p w14:paraId="470768A1">
            <w:pPr>
              <w:pStyle w:val="236"/>
              <w:rPr>
                <w:rFonts w:ascii="宋体" w:hAnsi="宋体" w:eastAsia="宋体" w:cs="仿宋"/>
                <w:snapToGrid w:val="0"/>
                <w:sz w:val="21"/>
                <w:szCs w:val="21"/>
              </w:rPr>
            </w:pPr>
            <w:r>
              <w:rPr>
                <w:rFonts w:hint="eastAsia" w:ascii="宋体" w:hAnsi="宋体" w:eastAsia="宋体" w:cs="仿宋"/>
                <w:snapToGrid w:val="0"/>
                <w:sz w:val="21"/>
                <w:szCs w:val="21"/>
              </w:rPr>
              <w:t>气体</w:t>
            </w:r>
          </w:p>
        </w:tc>
        <w:tc>
          <w:tcPr>
            <w:tcW w:w="2978" w:type="dxa"/>
            <w:tcBorders>
              <w:top w:val="single" w:color="000000" w:sz="12" w:space="0"/>
            </w:tcBorders>
            <w:vAlign w:val="center"/>
          </w:tcPr>
          <w:p w14:paraId="0245D0CB">
            <w:pPr>
              <w:pStyle w:val="236"/>
              <w:rPr>
                <w:rFonts w:ascii="宋体" w:hAnsi="宋体" w:eastAsia="宋体" w:cs="仿宋"/>
                <w:snapToGrid w:val="0"/>
                <w:sz w:val="21"/>
                <w:szCs w:val="21"/>
              </w:rPr>
            </w:pPr>
            <w:r>
              <w:rPr>
                <w:rFonts w:ascii="宋体" w:hAnsi="宋体" w:eastAsia="宋体" w:cs="仿宋"/>
                <w:snapToGrid w:val="0"/>
                <w:sz w:val="21"/>
                <w:szCs w:val="21"/>
              </w:rPr>
              <w:t>0.22800</w:t>
            </w:r>
          </w:p>
        </w:tc>
      </w:tr>
      <w:tr w14:paraId="6F47FA3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89" w:type="dxa"/>
            <w:vAlign w:val="center"/>
          </w:tcPr>
          <w:p w14:paraId="62D3F9BA">
            <w:pPr>
              <w:pStyle w:val="236"/>
              <w:rPr>
                <w:rFonts w:ascii="宋体" w:hAnsi="宋体" w:eastAsia="宋体" w:cs="仿宋"/>
                <w:snapToGrid w:val="0"/>
                <w:sz w:val="21"/>
                <w:szCs w:val="21"/>
              </w:rPr>
            </w:pPr>
            <w:r>
              <w:rPr>
                <w:rFonts w:hint="eastAsia" w:ascii="宋体" w:hAnsi="宋体" w:eastAsia="宋体" w:cs="仿宋"/>
                <w:snapToGrid w:val="0"/>
                <w:sz w:val="21"/>
                <w:szCs w:val="21"/>
              </w:rPr>
              <w:t>泄压设备</w:t>
            </w:r>
          </w:p>
        </w:tc>
        <w:tc>
          <w:tcPr>
            <w:tcW w:w="1841" w:type="dxa"/>
            <w:vAlign w:val="center"/>
          </w:tcPr>
          <w:p w14:paraId="79203560">
            <w:pPr>
              <w:pStyle w:val="236"/>
              <w:rPr>
                <w:rFonts w:ascii="宋体" w:hAnsi="宋体" w:eastAsia="宋体" w:cs="仿宋"/>
                <w:snapToGrid w:val="0"/>
                <w:sz w:val="21"/>
                <w:szCs w:val="21"/>
              </w:rPr>
            </w:pPr>
            <w:r>
              <w:rPr>
                <w:rFonts w:hint="eastAsia" w:ascii="宋体" w:hAnsi="宋体" w:eastAsia="宋体" w:cs="仿宋"/>
                <w:snapToGrid w:val="0"/>
                <w:sz w:val="21"/>
                <w:szCs w:val="21"/>
              </w:rPr>
              <w:t>气体</w:t>
            </w:r>
          </w:p>
        </w:tc>
        <w:tc>
          <w:tcPr>
            <w:tcW w:w="2978" w:type="dxa"/>
            <w:vAlign w:val="center"/>
          </w:tcPr>
          <w:p w14:paraId="63AC97CA">
            <w:pPr>
              <w:pStyle w:val="236"/>
              <w:rPr>
                <w:rFonts w:ascii="宋体" w:hAnsi="宋体" w:eastAsia="宋体" w:cs="仿宋"/>
                <w:snapToGrid w:val="0"/>
                <w:sz w:val="21"/>
                <w:szCs w:val="21"/>
              </w:rPr>
            </w:pPr>
            <w:r>
              <w:rPr>
                <w:rFonts w:ascii="宋体" w:hAnsi="宋体" w:eastAsia="宋体" w:cs="仿宋"/>
                <w:snapToGrid w:val="0"/>
                <w:sz w:val="21"/>
                <w:szCs w:val="21"/>
              </w:rPr>
              <w:t>0.10400</w:t>
            </w:r>
          </w:p>
        </w:tc>
      </w:tr>
      <w:tr w14:paraId="07F15A0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89" w:type="dxa"/>
            <w:vAlign w:val="center"/>
          </w:tcPr>
          <w:p w14:paraId="37572E61">
            <w:pPr>
              <w:pStyle w:val="236"/>
              <w:rPr>
                <w:rFonts w:ascii="宋体" w:hAnsi="宋体" w:eastAsia="宋体" w:cs="仿宋"/>
                <w:snapToGrid w:val="0"/>
                <w:sz w:val="21"/>
                <w:szCs w:val="21"/>
              </w:rPr>
            </w:pPr>
            <w:r>
              <w:rPr>
                <w:rFonts w:hint="eastAsia" w:ascii="宋体" w:hAnsi="宋体" w:eastAsia="宋体" w:cs="仿宋"/>
                <w:snapToGrid w:val="0"/>
                <w:sz w:val="21"/>
                <w:szCs w:val="21"/>
              </w:rPr>
              <w:t>法兰、连接件</w:t>
            </w:r>
          </w:p>
        </w:tc>
        <w:tc>
          <w:tcPr>
            <w:tcW w:w="1841" w:type="dxa"/>
            <w:vAlign w:val="center"/>
          </w:tcPr>
          <w:p w14:paraId="269B18C8">
            <w:pPr>
              <w:pStyle w:val="236"/>
              <w:rPr>
                <w:rFonts w:ascii="宋体" w:hAnsi="宋体" w:eastAsia="宋体" w:cs="仿宋"/>
                <w:snapToGrid w:val="0"/>
                <w:sz w:val="21"/>
                <w:szCs w:val="21"/>
              </w:rPr>
            </w:pPr>
            <w:r>
              <w:rPr>
                <w:rFonts w:hint="eastAsia" w:ascii="宋体" w:hAnsi="宋体" w:eastAsia="宋体" w:cs="仿宋"/>
                <w:snapToGrid w:val="0"/>
                <w:sz w:val="21"/>
                <w:szCs w:val="21"/>
              </w:rPr>
              <w:t>所有</w:t>
            </w:r>
          </w:p>
        </w:tc>
        <w:tc>
          <w:tcPr>
            <w:tcW w:w="2978" w:type="dxa"/>
            <w:vAlign w:val="center"/>
          </w:tcPr>
          <w:p w14:paraId="27126675">
            <w:pPr>
              <w:pStyle w:val="236"/>
              <w:rPr>
                <w:rFonts w:ascii="宋体" w:hAnsi="宋体" w:eastAsia="宋体" w:cs="仿宋"/>
                <w:snapToGrid w:val="0"/>
                <w:sz w:val="21"/>
                <w:szCs w:val="21"/>
              </w:rPr>
            </w:pPr>
            <w:r>
              <w:rPr>
                <w:rFonts w:ascii="宋体" w:hAnsi="宋体" w:eastAsia="宋体" w:cs="仿宋"/>
                <w:snapToGrid w:val="0"/>
                <w:sz w:val="21"/>
                <w:szCs w:val="21"/>
              </w:rPr>
              <w:t>0.00183</w:t>
            </w:r>
          </w:p>
        </w:tc>
      </w:tr>
      <w:tr w14:paraId="0069BAB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89" w:type="dxa"/>
            <w:vAlign w:val="center"/>
          </w:tcPr>
          <w:p w14:paraId="5117182E">
            <w:pPr>
              <w:pStyle w:val="236"/>
              <w:rPr>
                <w:rFonts w:ascii="宋体" w:hAnsi="宋体" w:eastAsia="宋体" w:cs="仿宋"/>
                <w:snapToGrid w:val="0"/>
                <w:sz w:val="21"/>
                <w:szCs w:val="21"/>
              </w:rPr>
            </w:pPr>
            <w:r>
              <w:rPr>
                <w:rFonts w:hint="eastAsia" w:ascii="宋体" w:hAnsi="宋体" w:eastAsia="宋体" w:cs="仿宋"/>
                <w:snapToGrid w:val="0"/>
                <w:sz w:val="21"/>
                <w:szCs w:val="21"/>
              </w:rPr>
              <w:t>开口阀或开口管线</w:t>
            </w:r>
          </w:p>
        </w:tc>
        <w:tc>
          <w:tcPr>
            <w:tcW w:w="1841" w:type="dxa"/>
            <w:vAlign w:val="center"/>
          </w:tcPr>
          <w:p w14:paraId="7E07768C">
            <w:pPr>
              <w:pStyle w:val="236"/>
              <w:rPr>
                <w:rFonts w:ascii="宋体" w:hAnsi="宋体" w:eastAsia="宋体" w:cs="仿宋"/>
                <w:snapToGrid w:val="0"/>
                <w:sz w:val="21"/>
                <w:szCs w:val="21"/>
              </w:rPr>
            </w:pPr>
            <w:r>
              <w:rPr>
                <w:rFonts w:hint="eastAsia" w:ascii="宋体" w:hAnsi="宋体" w:eastAsia="宋体" w:cs="仿宋"/>
                <w:snapToGrid w:val="0"/>
                <w:sz w:val="21"/>
                <w:szCs w:val="21"/>
              </w:rPr>
              <w:t>所有</w:t>
            </w:r>
          </w:p>
        </w:tc>
        <w:tc>
          <w:tcPr>
            <w:tcW w:w="2978" w:type="dxa"/>
            <w:vAlign w:val="center"/>
          </w:tcPr>
          <w:p w14:paraId="7F5BD0E4">
            <w:pPr>
              <w:pStyle w:val="236"/>
              <w:rPr>
                <w:rFonts w:ascii="宋体" w:hAnsi="宋体" w:eastAsia="宋体" w:cs="仿宋"/>
                <w:snapToGrid w:val="0"/>
                <w:sz w:val="21"/>
                <w:szCs w:val="21"/>
              </w:rPr>
            </w:pPr>
            <w:r>
              <w:rPr>
                <w:rFonts w:ascii="宋体" w:hAnsi="宋体" w:eastAsia="宋体" w:cs="仿宋"/>
                <w:snapToGrid w:val="0"/>
                <w:sz w:val="21"/>
                <w:szCs w:val="21"/>
              </w:rPr>
              <w:t>0.00170</w:t>
            </w:r>
          </w:p>
        </w:tc>
      </w:tr>
      <w:tr w14:paraId="10D7122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89" w:type="dxa"/>
            <w:vAlign w:val="center"/>
          </w:tcPr>
          <w:p w14:paraId="732D742B">
            <w:pPr>
              <w:pStyle w:val="236"/>
              <w:rPr>
                <w:rFonts w:ascii="宋体" w:hAnsi="宋体" w:eastAsia="宋体" w:cs="仿宋"/>
                <w:snapToGrid w:val="0"/>
                <w:sz w:val="21"/>
                <w:szCs w:val="21"/>
              </w:rPr>
            </w:pPr>
            <w:r>
              <w:rPr>
                <w:rFonts w:hint="eastAsia" w:ascii="宋体" w:hAnsi="宋体" w:eastAsia="宋体" w:cs="仿宋"/>
                <w:snapToGrid w:val="0"/>
                <w:sz w:val="21"/>
                <w:szCs w:val="21"/>
              </w:rPr>
              <w:t>采样连接系统</w:t>
            </w:r>
          </w:p>
        </w:tc>
        <w:tc>
          <w:tcPr>
            <w:tcW w:w="1841" w:type="dxa"/>
            <w:vAlign w:val="center"/>
          </w:tcPr>
          <w:p w14:paraId="31CE8677">
            <w:pPr>
              <w:pStyle w:val="236"/>
              <w:rPr>
                <w:rFonts w:ascii="宋体" w:hAnsi="宋体" w:eastAsia="宋体" w:cs="仿宋"/>
                <w:snapToGrid w:val="0"/>
                <w:sz w:val="21"/>
                <w:szCs w:val="21"/>
              </w:rPr>
            </w:pPr>
            <w:r>
              <w:rPr>
                <w:rFonts w:hint="eastAsia" w:ascii="宋体" w:hAnsi="宋体" w:eastAsia="宋体" w:cs="仿宋"/>
                <w:snapToGrid w:val="0"/>
                <w:sz w:val="21"/>
                <w:szCs w:val="21"/>
              </w:rPr>
              <w:t>所有</w:t>
            </w:r>
          </w:p>
        </w:tc>
        <w:tc>
          <w:tcPr>
            <w:tcW w:w="2978" w:type="dxa"/>
            <w:vAlign w:val="center"/>
          </w:tcPr>
          <w:p w14:paraId="5B095A39">
            <w:pPr>
              <w:pStyle w:val="236"/>
              <w:rPr>
                <w:rFonts w:ascii="宋体" w:hAnsi="宋体" w:eastAsia="宋体" w:cs="仿宋"/>
                <w:snapToGrid w:val="0"/>
                <w:sz w:val="21"/>
                <w:szCs w:val="21"/>
              </w:rPr>
            </w:pPr>
            <w:r>
              <w:rPr>
                <w:rFonts w:ascii="宋体" w:hAnsi="宋体" w:eastAsia="宋体" w:cs="仿宋"/>
                <w:snapToGrid w:val="0"/>
                <w:sz w:val="21"/>
                <w:szCs w:val="21"/>
              </w:rPr>
              <w:t>0.01500</w:t>
            </w:r>
          </w:p>
        </w:tc>
      </w:tr>
    </w:tbl>
    <w:p w14:paraId="25DF322A">
      <w:pPr>
        <w:pStyle w:val="60"/>
        <w:ind w:firstLine="420"/>
      </w:pPr>
      <w:r>
        <w:rPr>
          <w:rFonts w:hint="eastAsia"/>
        </w:rPr>
        <w:t>注：对于表中涉及的千克/小时/排放源=每个排放源每小时的TOC产生量（千克）。对于开放式的采样点，采用系数法计算排放量。如果采样过程中排出的置换残液或气未经处理直接排入环境，按照“取样连接系统”和“开口管线”泄漏系数分别计算并加和；如果企业有收集处理设施收集管线冲洗的残液或气体，并且运行效果良好，可按“开口阀或开口管线”泄漏系数进行计算。</w:t>
      </w:r>
    </w:p>
    <w:p w14:paraId="7E94353E">
      <w:pPr>
        <w:pStyle w:val="60"/>
        <w:ind w:firstLine="420"/>
      </w:pPr>
      <w:r>
        <w:rPr>
          <w:rFonts w:hint="eastAsia"/>
        </w:rPr>
        <w:t>a：数据摘自EPA，1995b报告的数据；</w:t>
      </w:r>
    </w:p>
    <w:p w14:paraId="16CB9060">
      <w:pPr>
        <w:pStyle w:val="60"/>
        <w:ind w:firstLine="420"/>
      </w:pPr>
      <w:r>
        <w:rPr>
          <w:rFonts w:hint="eastAsia"/>
        </w:rPr>
        <w:t>b：涂料油墨制造泄漏系数用于TOC（包括甲烷）泄漏速率；</w:t>
      </w:r>
    </w:p>
    <w:p w14:paraId="1A6E684D">
      <w:pPr>
        <w:pStyle w:val="60"/>
        <w:ind w:firstLine="420"/>
      </w:pPr>
      <w:r>
        <w:rPr>
          <w:rFonts w:hint="eastAsia"/>
        </w:rPr>
        <w:t>c：轻液体泵密封的系数可以用于估算搅拌器密封的泄漏速率。</w:t>
      </w:r>
    </w:p>
    <w:p w14:paraId="6A172245">
      <w:pPr>
        <w:pStyle w:val="60"/>
        <w:ind w:firstLine="420"/>
        <w:sectPr>
          <w:footerReference r:id="rId29" w:type="default"/>
          <w:pgSz w:w="11906" w:h="16838"/>
          <w:pgMar w:top="2410" w:right="1134" w:bottom="1134" w:left="1134" w:header="1418" w:footer="1134" w:gutter="284"/>
          <w:pgNumType w:start="20"/>
          <w:cols w:space="425" w:num="1"/>
          <w:formProt w:val="0"/>
          <w:docGrid w:linePitch="312" w:charSpace="0"/>
        </w:sectPr>
      </w:pPr>
    </w:p>
    <w:bookmarkEnd w:id="30"/>
    <w:p w14:paraId="6A601CB1">
      <w:pPr>
        <w:pStyle w:val="202"/>
        <w:spacing w:line="240" w:lineRule="auto"/>
        <w:rPr>
          <w:vanish w:val="0"/>
        </w:rPr>
      </w:pPr>
      <w:bookmarkStart w:id="259" w:name="BookMark5"/>
    </w:p>
    <w:p w14:paraId="0439B0A2">
      <w:pPr>
        <w:pStyle w:val="203"/>
        <w:spacing w:line="240" w:lineRule="auto"/>
        <w:rPr>
          <w:vanish w:val="0"/>
        </w:rPr>
      </w:pPr>
    </w:p>
    <w:p w14:paraId="3439F3C5">
      <w:pPr>
        <w:pStyle w:val="80"/>
        <w:spacing w:before="60" w:after="120"/>
        <w:ind w:left="0"/>
      </w:pPr>
      <w:bookmarkStart w:id="260" w:name="_Toc137109145"/>
      <w:bookmarkStart w:id="261" w:name="_Toc170497027"/>
      <w:bookmarkStart w:id="262" w:name="_Toc137108875"/>
      <w:r>
        <w:rPr>
          <w:rFonts w:hint="eastAsia"/>
        </w:rPr>
        <w:t>（规范性）单位</w:t>
      </w:r>
      <w:r>
        <w:t>换算表</w:t>
      </w:r>
      <w:bookmarkEnd w:id="260"/>
      <w:bookmarkEnd w:id="261"/>
      <w:bookmarkEnd w:id="262"/>
    </w:p>
    <w:p w14:paraId="2E4999E5">
      <w:pPr>
        <w:spacing w:before="120" w:after="120" w:line="240" w:lineRule="auto"/>
        <w:jc w:val="center"/>
        <w:rPr>
          <w:rFonts w:ascii="Times New Roman" w:hAnsi="Times New Roman"/>
          <w:b/>
        </w:rPr>
      </w:pPr>
      <w:r>
        <w:rPr>
          <w:rFonts w:hint="eastAsia" w:ascii="Times New Roman" w:hAnsi="Times New Roman"/>
          <w:bCs/>
        </w:rPr>
        <w:t>美制转为国际单位制换算表</w:t>
      </w:r>
    </w:p>
    <w:tbl>
      <w:tblPr>
        <w:tblStyle w:val="29"/>
        <w:tblW w:w="8364"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6096"/>
      </w:tblGrid>
      <w:tr w14:paraId="288E69C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tcBorders>
              <w:bottom w:val="single" w:color="auto" w:sz="12" w:space="0"/>
            </w:tcBorders>
            <w:vAlign w:val="center"/>
          </w:tcPr>
          <w:p w14:paraId="58A1AB0D">
            <w:pPr>
              <w:spacing w:line="240" w:lineRule="auto"/>
              <w:jc w:val="center"/>
              <w:rPr>
                <w:rFonts w:ascii="Times New Roman" w:hAnsi="Times New Roman"/>
                <w:kern w:val="0"/>
              </w:rPr>
            </w:pPr>
            <w:r>
              <w:rPr>
                <w:rFonts w:ascii="Times New Roman" w:hAnsi="Times New Roman"/>
                <w:kern w:val="0"/>
              </w:rPr>
              <w:t>类别</w:t>
            </w:r>
          </w:p>
        </w:tc>
        <w:tc>
          <w:tcPr>
            <w:tcW w:w="6096" w:type="dxa"/>
            <w:tcBorders>
              <w:bottom w:val="single" w:color="auto" w:sz="12" w:space="0"/>
            </w:tcBorders>
            <w:vAlign w:val="center"/>
          </w:tcPr>
          <w:p w14:paraId="4D2BE8CA">
            <w:pPr>
              <w:spacing w:line="240" w:lineRule="auto"/>
              <w:jc w:val="center"/>
              <w:rPr>
                <w:rFonts w:ascii="Times New Roman" w:hAnsi="Times New Roman"/>
                <w:kern w:val="0"/>
              </w:rPr>
            </w:pPr>
            <w:r>
              <w:rPr>
                <w:rFonts w:ascii="Times New Roman" w:hAnsi="Times New Roman"/>
                <w:kern w:val="0"/>
              </w:rPr>
              <w:t>单位换算</w:t>
            </w:r>
          </w:p>
        </w:tc>
      </w:tr>
      <w:tr w14:paraId="11B76EB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tcBorders>
              <w:top w:val="single" w:color="auto" w:sz="12" w:space="0"/>
            </w:tcBorders>
            <w:vAlign w:val="center"/>
          </w:tcPr>
          <w:p w14:paraId="7A7C82FB">
            <w:pPr>
              <w:spacing w:line="240" w:lineRule="auto"/>
              <w:jc w:val="center"/>
              <w:rPr>
                <w:rFonts w:ascii="Times New Roman" w:hAnsi="Times New Roman"/>
                <w:kern w:val="0"/>
              </w:rPr>
            </w:pPr>
            <w:r>
              <w:rPr>
                <w:rFonts w:ascii="Times New Roman" w:hAnsi="Times New Roman"/>
                <w:kern w:val="0"/>
              </w:rPr>
              <w:t>长度</w:t>
            </w:r>
          </w:p>
        </w:tc>
        <w:tc>
          <w:tcPr>
            <w:tcW w:w="6096" w:type="dxa"/>
            <w:tcBorders>
              <w:top w:val="single" w:color="auto" w:sz="12" w:space="0"/>
            </w:tcBorders>
            <w:vAlign w:val="center"/>
          </w:tcPr>
          <w:p w14:paraId="15B9BDEA">
            <w:pPr>
              <w:spacing w:line="240" w:lineRule="auto"/>
              <w:jc w:val="center"/>
              <w:rPr>
                <w:rFonts w:ascii="Times New Roman" w:hAnsi="Times New Roman"/>
                <w:kern w:val="0"/>
              </w:rPr>
            </w:pPr>
            <w:r>
              <w:rPr>
                <w:rFonts w:ascii="Times New Roman" w:hAnsi="Times New Roman"/>
                <w:kern w:val="0"/>
              </w:rPr>
              <w:t>1米= 3.2808英尺</w:t>
            </w:r>
          </w:p>
        </w:tc>
      </w:tr>
      <w:tr w14:paraId="3E44424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vMerge w:val="restart"/>
            <w:vAlign w:val="center"/>
          </w:tcPr>
          <w:p w14:paraId="451DFDA6">
            <w:pPr>
              <w:spacing w:line="240" w:lineRule="auto"/>
              <w:jc w:val="center"/>
              <w:rPr>
                <w:rFonts w:ascii="Times New Roman" w:hAnsi="Times New Roman"/>
                <w:kern w:val="0"/>
              </w:rPr>
            </w:pPr>
            <w:r>
              <w:rPr>
                <w:rFonts w:ascii="Times New Roman" w:hAnsi="Times New Roman"/>
                <w:kern w:val="0"/>
              </w:rPr>
              <w:t>体积</w:t>
            </w:r>
          </w:p>
        </w:tc>
        <w:tc>
          <w:tcPr>
            <w:tcW w:w="6096" w:type="dxa"/>
            <w:vAlign w:val="center"/>
          </w:tcPr>
          <w:p w14:paraId="2A98AD7C">
            <w:pPr>
              <w:spacing w:line="240" w:lineRule="auto"/>
              <w:jc w:val="center"/>
              <w:rPr>
                <w:rFonts w:ascii="Times New Roman" w:hAnsi="Times New Roman"/>
                <w:kern w:val="0"/>
              </w:rPr>
            </w:pPr>
            <w:r>
              <w:rPr>
                <w:rFonts w:ascii="Times New Roman" w:hAnsi="Times New Roman"/>
                <w:kern w:val="0"/>
              </w:rPr>
              <w:t>1立方米= 264.1721加仑</w:t>
            </w:r>
          </w:p>
        </w:tc>
      </w:tr>
      <w:tr w14:paraId="52697BD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vMerge w:val="continue"/>
            <w:vAlign w:val="center"/>
          </w:tcPr>
          <w:p w14:paraId="5BAF0AD6">
            <w:pPr>
              <w:spacing w:line="240" w:lineRule="auto"/>
              <w:jc w:val="center"/>
              <w:rPr>
                <w:rFonts w:ascii="Times New Roman" w:hAnsi="Times New Roman"/>
                <w:kern w:val="0"/>
              </w:rPr>
            </w:pPr>
          </w:p>
        </w:tc>
        <w:tc>
          <w:tcPr>
            <w:tcW w:w="6096" w:type="dxa"/>
            <w:vAlign w:val="center"/>
          </w:tcPr>
          <w:p w14:paraId="653F8F4D">
            <w:pPr>
              <w:spacing w:line="240" w:lineRule="auto"/>
              <w:jc w:val="center"/>
              <w:rPr>
                <w:rFonts w:ascii="Times New Roman" w:hAnsi="Times New Roman"/>
                <w:kern w:val="0"/>
              </w:rPr>
            </w:pPr>
            <w:r>
              <w:rPr>
                <w:rFonts w:ascii="Times New Roman" w:hAnsi="Times New Roman"/>
                <w:kern w:val="0"/>
              </w:rPr>
              <w:t>1立方米= 6.2898桶</w:t>
            </w:r>
          </w:p>
        </w:tc>
      </w:tr>
      <w:tr w14:paraId="68C131D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vMerge w:val="continue"/>
            <w:vAlign w:val="center"/>
          </w:tcPr>
          <w:p w14:paraId="33C03B59">
            <w:pPr>
              <w:spacing w:line="240" w:lineRule="auto"/>
              <w:jc w:val="center"/>
              <w:rPr>
                <w:rFonts w:ascii="Times New Roman" w:hAnsi="Times New Roman"/>
                <w:kern w:val="0"/>
              </w:rPr>
            </w:pPr>
          </w:p>
        </w:tc>
        <w:tc>
          <w:tcPr>
            <w:tcW w:w="6096" w:type="dxa"/>
            <w:vAlign w:val="center"/>
          </w:tcPr>
          <w:p w14:paraId="70B19C2C">
            <w:pPr>
              <w:spacing w:line="240" w:lineRule="auto"/>
              <w:jc w:val="center"/>
              <w:rPr>
                <w:rFonts w:ascii="Times New Roman" w:hAnsi="Times New Roman"/>
                <w:kern w:val="0"/>
              </w:rPr>
            </w:pPr>
            <w:r>
              <w:rPr>
                <w:rFonts w:ascii="Times New Roman" w:hAnsi="Times New Roman"/>
                <w:kern w:val="0"/>
              </w:rPr>
              <w:t>1立方米= 35.3147立方英尺</w:t>
            </w:r>
          </w:p>
        </w:tc>
      </w:tr>
      <w:tr w14:paraId="074D22A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vAlign w:val="center"/>
          </w:tcPr>
          <w:p w14:paraId="56A176F1">
            <w:pPr>
              <w:spacing w:line="240" w:lineRule="auto"/>
              <w:jc w:val="center"/>
              <w:rPr>
                <w:rFonts w:ascii="Times New Roman" w:hAnsi="Times New Roman"/>
                <w:kern w:val="0"/>
              </w:rPr>
            </w:pPr>
            <w:r>
              <w:rPr>
                <w:rFonts w:ascii="Times New Roman" w:hAnsi="Times New Roman"/>
                <w:kern w:val="0"/>
              </w:rPr>
              <w:t>质量</w:t>
            </w:r>
          </w:p>
        </w:tc>
        <w:tc>
          <w:tcPr>
            <w:tcW w:w="6096" w:type="dxa"/>
            <w:vAlign w:val="center"/>
          </w:tcPr>
          <w:p w14:paraId="0B5CEF18">
            <w:pPr>
              <w:spacing w:line="240" w:lineRule="auto"/>
              <w:jc w:val="center"/>
              <w:rPr>
                <w:rFonts w:ascii="Times New Roman" w:hAnsi="Times New Roman"/>
                <w:kern w:val="0"/>
              </w:rPr>
            </w:pPr>
            <w:r>
              <w:rPr>
                <w:rFonts w:ascii="Times New Roman" w:hAnsi="Times New Roman"/>
                <w:kern w:val="0"/>
              </w:rPr>
              <w:t>1千克= 2.2046磅</w:t>
            </w:r>
          </w:p>
        </w:tc>
      </w:tr>
      <w:tr w14:paraId="60FA50E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vMerge w:val="restart"/>
            <w:vAlign w:val="center"/>
          </w:tcPr>
          <w:p w14:paraId="3536CCE3">
            <w:pPr>
              <w:spacing w:line="240" w:lineRule="auto"/>
              <w:jc w:val="center"/>
              <w:rPr>
                <w:rFonts w:ascii="Times New Roman" w:hAnsi="Times New Roman"/>
                <w:kern w:val="0"/>
              </w:rPr>
            </w:pPr>
            <w:r>
              <w:rPr>
                <w:rFonts w:ascii="Times New Roman" w:hAnsi="Times New Roman"/>
                <w:kern w:val="0"/>
              </w:rPr>
              <w:t>密度</w:t>
            </w:r>
          </w:p>
        </w:tc>
        <w:tc>
          <w:tcPr>
            <w:tcW w:w="6096" w:type="dxa"/>
            <w:vAlign w:val="center"/>
          </w:tcPr>
          <w:p w14:paraId="125EFC1B">
            <w:pPr>
              <w:spacing w:line="240" w:lineRule="auto"/>
              <w:jc w:val="center"/>
              <w:rPr>
                <w:rFonts w:ascii="Times New Roman" w:hAnsi="Times New Roman"/>
                <w:kern w:val="0"/>
              </w:rPr>
            </w:pPr>
            <w:r>
              <w:rPr>
                <w:rFonts w:ascii="Times New Roman" w:hAnsi="Times New Roman"/>
                <w:kern w:val="0"/>
              </w:rPr>
              <w:t>1千克/立方米= 0.008345磅/加仑</w:t>
            </w:r>
          </w:p>
        </w:tc>
      </w:tr>
      <w:tr w14:paraId="36683B3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vMerge w:val="continue"/>
            <w:vAlign w:val="center"/>
          </w:tcPr>
          <w:p w14:paraId="7DFE977D">
            <w:pPr>
              <w:spacing w:line="240" w:lineRule="auto"/>
              <w:jc w:val="center"/>
              <w:rPr>
                <w:rFonts w:ascii="Times New Roman" w:hAnsi="Times New Roman"/>
                <w:kern w:val="0"/>
              </w:rPr>
            </w:pPr>
          </w:p>
        </w:tc>
        <w:tc>
          <w:tcPr>
            <w:tcW w:w="6096" w:type="dxa"/>
            <w:vAlign w:val="center"/>
          </w:tcPr>
          <w:p w14:paraId="2B0693FE">
            <w:pPr>
              <w:spacing w:line="240" w:lineRule="auto"/>
              <w:jc w:val="center"/>
              <w:rPr>
                <w:rFonts w:ascii="Times New Roman" w:hAnsi="Times New Roman"/>
                <w:kern w:val="0"/>
              </w:rPr>
            </w:pPr>
            <w:r>
              <w:rPr>
                <w:rFonts w:ascii="Times New Roman" w:hAnsi="Times New Roman"/>
                <w:kern w:val="0"/>
              </w:rPr>
              <w:t>1千克/立方米= 0.06242磅/立方英尺</w:t>
            </w:r>
          </w:p>
        </w:tc>
      </w:tr>
      <w:tr w14:paraId="5970FDF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vMerge w:val="restart"/>
            <w:vAlign w:val="center"/>
          </w:tcPr>
          <w:p w14:paraId="57B53CF8">
            <w:pPr>
              <w:spacing w:line="240" w:lineRule="auto"/>
              <w:jc w:val="center"/>
              <w:rPr>
                <w:rFonts w:ascii="Times New Roman" w:hAnsi="Times New Roman"/>
                <w:kern w:val="0"/>
              </w:rPr>
            </w:pPr>
            <w:r>
              <w:rPr>
                <w:rFonts w:ascii="Times New Roman" w:hAnsi="Times New Roman"/>
                <w:kern w:val="0"/>
              </w:rPr>
              <w:t>压力</w:t>
            </w:r>
          </w:p>
        </w:tc>
        <w:tc>
          <w:tcPr>
            <w:tcW w:w="6096" w:type="dxa"/>
            <w:vAlign w:val="center"/>
          </w:tcPr>
          <w:p w14:paraId="5EF0DD91">
            <w:pPr>
              <w:spacing w:line="240" w:lineRule="auto"/>
              <w:jc w:val="center"/>
              <w:rPr>
                <w:rFonts w:ascii="Times New Roman" w:hAnsi="Times New Roman"/>
                <w:kern w:val="0"/>
              </w:rPr>
            </w:pPr>
            <w:r>
              <w:rPr>
                <w:rFonts w:ascii="Times New Roman" w:hAnsi="Times New Roman"/>
                <w:kern w:val="0"/>
              </w:rPr>
              <w:t>1千帕= 7.5006毫米汞柱</w:t>
            </w:r>
          </w:p>
        </w:tc>
      </w:tr>
      <w:tr w14:paraId="1A5056F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vMerge w:val="continue"/>
            <w:vAlign w:val="center"/>
          </w:tcPr>
          <w:p w14:paraId="5ECB8AA0">
            <w:pPr>
              <w:spacing w:line="240" w:lineRule="auto"/>
              <w:jc w:val="center"/>
              <w:rPr>
                <w:rFonts w:ascii="Times New Roman" w:hAnsi="Times New Roman"/>
                <w:kern w:val="0"/>
              </w:rPr>
            </w:pPr>
          </w:p>
        </w:tc>
        <w:tc>
          <w:tcPr>
            <w:tcW w:w="6096" w:type="dxa"/>
            <w:vAlign w:val="center"/>
          </w:tcPr>
          <w:p w14:paraId="4192082C">
            <w:pPr>
              <w:spacing w:line="240" w:lineRule="auto"/>
              <w:jc w:val="center"/>
              <w:rPr>
                <w:rFonts w:ascii="Times New Roman" w:hAnsi="Times New Roman"/>
                <w:kern w:val="0"/>
              </w:rPr>
            </w:pPr>
            <w:r>
              <w:rPr>
                <w:rFonts w:ascii="Times New Roman" w:hAnsi="Times New Roman"/>
                <w:kern w:val="0"/>
              </w:rPr>
              <w:t>1千帕= 0.145磅/平方英寸（绝压）</w:t>
            </w:r>
          </w:p>
        </w:tc>
      </w:tr>
      <w:tr w14:paraId="0F80ED0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vAlign w:val="center"/>
          </w:tcPr>
          <w:p w14:paraId="17258A3E">
            <w:pPr>
              <w:spacing w:line="240" w:lineRule="auto"/>
              <w:jc w:val="center"/>
              <w:rPr>
                <w:rFonts w:ascii="Times New Roman" w:hAnsi="Times New Roman"/>
                <w:kern w:val="0"/>
              </w:rPr>
            </w:pPr>
            <w:r>
              <w:rPr>
                <w:rFonts w:ascii="Times New Roman" w:hAnsi="Times New Roman"/>
                <w:kern w:val="0"/>
              </w:rPr>
              <w:t>风速</w:t>
            </w:r>
          </w:p>
        </w:tc>
        <w:tc>
          <w:tcPr>
            <w:tcW w:w="6096" w:type="dxa"/>
            <w:vAlign w:val="center"/>
          </w:tcPr>
          <w:p w14:paraId="163522B3">
            <w:pPr>
              <w:spacing w:line="240" w:lineRule="auto"/>
              <w:jc w:val="center"/>
              <w:rPr>
                <w:rFonts w:ascii="Times New Roman" w:hAnsi="Times New Roman"/>
                <w:kern w:val="0"/>
              </w:rPr>
            </w:pPr>
            <w:r>
              <w:rPr>
                <w:rFonts w:ascii="Times New Roman" w:hAnsi="Times New Roman"/>
                <w:kern w:val="0"/>
              </w:rPr>
              <w:t>1米/秒=2.2369英里/小时</w:t>
            </w:r>
          </w:p>
        </w:tc>
      </w:tr>
      <w:tr w14:paraId="1031B7F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vAlign w:val="center"/>
          </w:tcPr>
          <w:p w14:paraId="601190F0">
            <w:pPr>
              <w:spacing w:line="240" w:lineRule="auto"/>
              <w:jc w:val="center"/>
              <w:rPr>
                <w:rFonts w:ascii="Times New Roman" w:hAnsi="Times New Roman"/>
                <w:kern w:val="0"/>
              </w:rPr>
            </w:pPr>
            <w:r>
              <w:rPr>
                <w:rFonts w:ascii="Times New Roman" w:hAnsi="Times New Roman"/>
                <w:kern w:val="0"/>
              </w:rPr>
              <w:t>边缘密封损失系数</w:t>
            </w:r>
          </w:p>
        </w:tc>
        <w:tc>
          <w:tcPr>
            <w:tcW w:w="6096" w:type="dxa"/>
            <w:vAlign w:val="center"/>
          </w:tcPr>
          <w:p w14:paraId="1CF222E7">
            <w:pPr>
              <w:spacing w:line="240" w:lineRule="auto"/>
              <w:ind w:firstLine="210" w:firstLineChars="100"/>
              <w:jc w:val="center"/>
              <w:rPr>
                <w:rFonts w:ascii="Times New Roman" w:hAnsi="Times New Roman"/>
                <w:kern w:val="0"/>
              </w:rPr>
            </w:pPr>
            <w:r>
              <w:rPr>
                <w:rFonts w:ascii="Times New Roman" w:hAnsi="Times New Roman"/>
                <w:kern w:val="0"/>
              </w:rPr>
              <w:t>1千克-摩尔/（米•年）= 0.6720磅-摩尔/（英尺•年）</w:t>
            </w:r>
          </w:p>
        </w:tc>
      </w:tr>
      <w:tr w14:paraId="1F601EA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vAlign w:val="center"/>
          </w:tcPr>
          <w:p w14:paraId="5E6BFDA3">
            <w:pPr>
              <w:spacing w:line="240" w:lineRule="auto"/>
              <w:jc w:val="center"/>
              <w:rPr>
                <w:rFonts w:ascii="Times New Roman" w:hAnsi="Times New Roman"/>
                <w:kern w:val="0"/>
              </w:rPr>
            </w:pPr>
            <w:r>
              <w:rPr>
                <w:rFonts w:ascii="Times New Roman" w:hAnsi="Times New Roman"/>
                <w:kern w:val="0"/>
              </w:rPr>
              <w:t>油垢因子</w:t>
            </w:r>
          </w:p>
        </w:tc>
        <w:tc>
          <w:tcPr>
            <w:tcW w:w="6096" w:type="dxa"/>
            <w:vAlign w:val="center"/>
          </w:tcPr>
          <w:p w14:paraId="6FEE2DCE">
            <w:pPr>
              <w:spacing w:line="240" w:lineRule="auto"/>
              <w:jc w:val="center"/>
              <w:rPr>
                <w:rFonts w:ascii="Times New Roman" w:hAnsi="Times New Roman"/>
                <w:kern w:val="0"/>
              </w:rPr>
            </w:pPr>
            <w:r>
              <w:rPr>
                <w:rFonts w:ascii="Times New Roman" w:hAnsi="Times New Roman"/>
                <w:kern w:val="0"/>
              </w:rPr>
              <w:t>1立方米/1000平方米= 0.5843桶/1000平方英尺</w:t>
            </w:r>
          </w:p>
        </w:tc>
      </w:tr>
      <w:tr w14:paraId="6905EF0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vAlign w:val="center"/>
          </w:tcPr>
          <w:p w14:paraId="45843525">
            <w:pPr>
              <w:spacing w:line="240" w:lineRule="auto"/>
              <w:jc w:val="center"/>
              <w:rPr>
                <w:rFonts w:ascii="Times New Roman" w:hAnsi="Times New Roman"/>
                <w:kern w:val="0"/>
              </w:rPr>
            </w:pPr>
            <w:r>
              <w:rPr>
                <w:rFonts w:ascii="Times New Roman" w:hAnsi="Times New Roman"/>
                <w:kern w:val="0"/>
              </w:rPr>
              <w:t>太阳辐射因子</w:t>
            </w:r>
          </w:p>
        </w:tc>
        <w:tc>
          <w:tcPr>
            <w:tcW w:w="6096" w:type="dxa"/>
            <w:vAlign w:val="center"/>
          </w:tcPr>
          <w:p w14:paraId="7BF7B5CA">
            <w:pPr>
              <w:spacing w:line="240" w:lineRule="auto"/>
              <w:ind w:firstLine="210" w:firstLineChars="100"/>
              <w:jc w:val="center"/>
              <w:rPr>
                <w:rFonts w:ascii="Times New Roman" w:hAnsi="Times New Roman"/>
                <w:kern w:val="0"/>
              </w:rPr>
            </w:pPr>
            <w:r>
              <w:rPr>
                <w:rFonts w:ascii="Times New Roman" w:hAnsi="Times New Roman"/>
                <w:kern w:val="0"/>
              </w:rPr>
              <w:t>1瓦/（平方米•天</w:t>
            </w:r>
            <w:r>
              <w:rPr>
                <w:rFonts w:hint="eastAsia" w:ascii="Times New Roman" w:hAnsi="Times New Roman"/>
                <w:kern w:val="0"/>
              </w:rPr>
              <w:t>）</w:t>
            </w:r>
            <w:r>
              <w:rPr>
                <w:rFonts w:ascii="Times New Roman" w:hAnsi="Times New Roman"/>
                <w:kern w:val="0"/>
              </w:rPr>
              <w:t>= 0.00008英热/（平方英尺•天）</w:t>
            </w:r>
          </w:p>
        </w:tc>
      </w:tr>
      <w:tr w14:paraId="5AAA2F7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68" w:type="dxa"/>
            <w:vAlign w:val="center"/>
          </w:tcPr>
          <w:p w14:paraId="23B0E2D9">
            <w:pPr>
              <w:spacing w:line="240" w:lineRule="auto"/>
              <w:jc w:val="center"/>
              <w:rPr>
                <w:rFonts w:ascii="Times New Roman" w:hAnsi="Times New Roman"/>
                <w:kern w:val="0"/>
              </w:rPr>
            </w:pPr>
            <w:r>
              <w:rPr>
                <w:rFonts w:ascii="Times New Roman" w:hAnsi="Times New Roman"/>
                <w:kern w:val="0"/>
              </w:rPr>
              <w:t>温度</w:t>
            </w:r>
          </w:p>
        </w:tc>
        <w:tc>
          <w:tcPr>
            <w:tcW w:w="6096" w:type="dxa"/>
            <w:vAlign w:val="center"/>
          </w:tcPr>
          <w:p w14:paraId="53FB74D9">
            <w:pPr>
              <w:spacing w:line="240" w:lineRule="auto"/>
              <w:ind w:firstLine="210" w:firstLineChars="100"/>
              <w:jc w:val="center"/>
              <w:rPr>
                <w:rFonts w:ascii="Times New Roman" w:hAnsi="Times New Roman"/>
                <w:kern w:val="0"/>
              </w:rPr>
            </w:pPr>
            <w:r>
              <w:rPr>
                <w:rFonts w:ascii="Times New Roman" w:hAnsi="Times New Roman"/>
                <w:kern w:val="0"/>
              </w:rPr>
              <w:t>1兰氏度=-272.59摄氏度</w:t>
            </w:r>
          </w:p>
          <w:p w14:paraId="70BE96C0">
            <w:pPr>
              <w:spacing w:line="240" w:lineRule="auto"/>
              <w:ind w:firstLine="210" w:firstLineChars="100"/>
              <w:jc w:val="center"/>
              <w:rPr>
                <w:rFonts w:ascii="Times New Roman" w:hAnsi="Times New Roman"/>
                <w:kern w:val="0"/>
              </w:rPr>
            </w:pPr>
            <w:r>
              <w:rPr>
                <w:rFonts w:ascii="Times New Roman" w:hAnsi="Times New Roman"/>
                <w:kern w:val="0"/>
              </w:rPr>
              <w:t>1开氏度=-272.15摄氏度</w:t>
            </w:r>
          </w:p>
        </w:tc>
      </w:tr>
    </w:tbl>
    <w:p w14:paraId="4DECFCC5">
      <w:pPr>
        <w:spacing w:line="240" w:lineRule="auto"/>
        <w:ind w:firstLine="480" w:firstLineChars="200"/>
        <w:jc w:val="center"/>
        <w:rPr>
          <w:rFonts w:ascii="Times New Roman" w:hAnsi="Times New Roman"/>
          <w:sz w:val="24"/>
          <w:szCs w:val="24"/>
        </w:rPr>
      </w:pPr>
    </w:p>
    <w:p w14:paraId="5B8BEA9A">
      <w:pPr>
        <w:pStyle w:val="60"/>
        <w:ind w:firstLine="420"/>
        <w:sectPr>
          <w:headerReference r:id="rId30" w:type="default"/>
          <w:footerReference r:id="rId32" w:type="default"/>
          <w:headerReference r:id="rId31" w:type="even"/>
          <w:footerReference r:id="rId33" w:type="even"/>
          <w:pgSz w:w="11906" w:h="16838"/>
          <w:pgMar w:top="2410" w:right="1134" w:bottom="1134" w:left="1134" w:header="1418" w:footer="1134" w:gutter="284"/>
          <w:cols w:space="425" w:num="1"/>
          <w:formProt w:val="0"/>
          <w:docGrid w:linePitch="312" w:charSpace="0"/>
        </w:sectPr>
      </w:pPr>
    </w:p>
    <w:p w14:paraId="6ADE7BCA">
      <w:pPr>
        <w:pStyle w:val="80"/>
        <w:spacing w:before="60" w:after="120"/>
        <w:ind w:left="0"/>
      </w:pPr>
      <w:bookmarkStart w:id="263" w:name="_Toc170497028"/>
      <w:bookmarkStart w:id="264" w:name="_Hlk170482236"/>
      <w:r>
        <w:rPr>
          <w:rFonts w:hint="eastAsia"/>
        </w:rPr>
        <w:t>（资料性）固定罐与浮顶罐VOCs产生量的计算</w:t>
      </w:r>
      <w:bookmarkEnd w:id="263"/>
    </w:p>
    <w:bookmarkEnd w:id="264"/>
    <w:p w14:paraId="743FE991">
      <w:pPr>
        <w:pStyle w:val="82"/>
        <w:numPr>
          <w:ilvl w:val="0"/>
          <w:numId w:val="0"/>
        </w:numPr>
        <w:spacing w:before="120" w:after="120"/>
        <w:jc w:val="left"/>
      </w:pPr>
      <w:bookmarkStart w:id="265" w:name="_Toc170497029"/>
      <w:r>
        <w:t>E</w:t>
      </w:r>
      <w:r>
        <w:rPr>
          <w:rFonts w:hint="eastAsia"/>
        </w:rPr>
        <w:t>.1</w:t>
      </w:r>
      <w:r>
        <w:t xml:space="preserve"> </w:t>
      </w:r>
      <w:r>
        <w:rPr>
          <w:rFonts w:hint="eastAsia"/>
        </w:rPr>
        <w:t>固定罐VOCs产生量的计算</w:t>
      </w:r>
      <w:bookmarkEnd w:id="265"/>
    </w:p>
    <w:p w14:paraId="52F0632D">
      <w:pPr>
        <w:pStyle w:val="60"/>
        <w:ind w:firstLine="420"/>
      </w:pPr>
      <w:r>
        <w:rPr>
          <w:rFonts w:hint="eastAsia"/>
        </w:rPr>
        <w:t>固定罐产生VOCs产生量包括静置损失和工作损失。</w:t>
      </w:r>
    </w:p>
    <w:p w14:paraId="6B1986CB">
      <w:pPr>
        <w:pStyle w:val="242"/>
        <w:textAlignment w:val="center"/>
        <w:rPr>
          <w:rFonts w:hAnsi="宋体"/>
        </w:rPr>
      </w:pPr>
      <w:r>
        <w:tab/>
      </w:r>
      <m:oMath>
        <m:sSub>
          <m:sSubPr>
            <m:ctrlPr>
              <w:rPr>
                <w:rFonts w:ascii="Cambria Math"/>
                <w:i/>
              </w:rPr>
            </m:ctrlPr>
          </m:sSubPr>
          <m:e>
            <m:r>
              <m:rPr/>
              <w:rPr>
                <w:rFonts w:ascii="Cambria Math"/>
              </w:rPr>
              <m:t>E</m:t>
            </m:r>
            <m:ctrlPr>
              <w:rPr>
                <w:rFonts w:ascii="Cambria Math"/>
                <w:i/>
              </w:rPr>
            </m:ctrlPr>
          </m:e>
          <m:sub>
            <m:r>
              <m:rPr/>
              <w:rPr>
                <w:rFonts w:ascii="Cambria Math"/>
              </w:rPr>
              <m:t>固</m:t>
            </m:r>
            <m:ctrlPr>
              <w:rPr>
                <w:rFonts w:ascii="Cambria Math" w:hAnsi="Cambria Math"/>
                <w:i/>
              </w:rPr>
            </m:ctrlPr>
          </m:sub>
        </m:sSub>
        <m:r>
          <m:rPr/>
          <w:rPr>
            <w:rFonts w:ascii="Cambria Math"/>
          </w:rPr>
          <m:t>=</m:t>
        </m:r>
        <m:sSub>
          <m:sSubPr>
            <m:ctrlPr>
              <w:rPr>
                <w:rFonts w:ascii="Cambria Math"/>
                <w:i/>
              </w:rPr>
            </m:ctrlPr>
          </m:sSubPr>
          <m:e>
            <m:r>
              <m:rPr/>
              <w:rPr>
                <w:rFonts w:ascii="Cambria Math"/>
              </w:rPr>
              <m:t>E</m:t>
            </m:r>
            <m:ctrlPr>
              <w:rPr>
                <w:rFonts w:ascii="Cambria Math"/>
                <w:i/>
              </w:rPr>
            </m:ctrlPr>
          </m:e>
          <m:sub>
            <m:r>
              <m:rPr/>
              <w:rPr>
                <w:rFonts w:ascii="Cambria Math"/>
              </w:rPr>
              <m:t>s</m:t>
            </m:r>
            <m:ctrlPr>
              <w:rPr>
                <w:rFonts w:ascii="Cambria Math"/>
                <w:i/>
              </w:rPr>
            </m:ctrlPr>
          </m:sub>
        </m:sSub>
        <m:r>
          <m:rPr/>
          <w:rPr>
            <w:rFonts w:ascii="Cambria Math"/>
          </w:rPr>
          <m:t>+</m:t>
        </m:r>
        <m:sSub>
          <m:sSubPr>
            <m:ctrlPr>
              <w:rPr>
                <w:rFonts w:ascii="Cambria Math"/>
                <w:i/>
              </w:rPr>
            </m:ctrlPr>
          </m:sSubPr>
          <m:e>
            <m:r>
              <m:rPr/>
              <w:rPr>
                <w:rFonts w:ascii="Cambria Math"/>
              </w:rPr>
              <m:t>E</m:t>
            </m:r>
            <m:ctrlPr>
              <w:rPr>
                <w:rFonts w:ascii="Cambria Math"/>
                <w:i/>
              </w:rPr>
            </m:ctrlPr>
          </m:e>
          <m:sub>
            <m:r>
              <m:rPr/>
              <w:rPr>
                <w:rFonts w:ascii="Cambria Math"/>
              </w:rPr>
              <m:t>w</m:t>
            </m:r>
            <m:ctrlPr>
              <w:rPr>
                <w:rFonts w:ascii="Cambria Math"/>
                <w:i/>
              </w:rPr>
            </m:ctrlPr>
          </m:sub>
        </m:sSub>
      </m:oMath>
      <w:r>
        <w:tab/>
      </w:r>
      <w:r>
        <w:rPr>
          <w:rFonts w:hAnsi="宋体"/>
        </w:rPr>
        <w:t>(E.1)</w:t>
      </w:r>
    </w:p>
    <w:p w14:paraId="09C3BEF6">
      <w:pPr>
        <w:spacing w:line="240" w:lineRule="auto"/>
        <w:ind w:firstLine="420" w:firstLineChars="200"/>
        <w:rPr>
          <w:rFonts w:ascii="宋体" w:hAnsi="宋体"/>
        </w:rPr>
      </w:pPr>
      <w:r>
        <w:rPr>
          <w:rFonts w:hint="eastAsia" w:ascii="宋体" w:hAnsi="宋体"/>
        </w:rPr>
        <w:t>式中:</w:t>
      </w:r>
    </w:p>
    <w:p w14:paraId="17F99D26">
      <w:pPr>
        <w:spacing w:line="240" w:lineRule="auto"/>
        <w:ind w:firstLine="420" w:firstLineChars="200"/>
        <w:rPr>
          <w:rFonts w:ascii="宋体" w:hAnsi="宋体"/>
        </w:rPr>
      </w:pPr>
      <w:r>
        <w:rPr>
          <w:rFonts w:ascii="宋体" w:hAnsi="宋体"/>
        </w:rPr>
        <w:t>E</w:t>
      </w:r>
      <w:r>
        <w:rPr>
          <w:rFonts w:hint="eastAsia" w:ascii="宋体" w:hAnsi="宋体"/>
          <w:i/>
          <w:vertAlign w:val="subscript"/>
        </w:rPr>
        <w:t>固</w:t>
      </w:r>
      <w:bookmarkStart w:id="266" w:name="OLE_LINK41"/>
      <w:r>
        <w:rPr>
          <w:rFonts w:hint="eastAsia"/>
          <w:spacing w:val="-20"/>
        </w:rPr>
        <w:t>——</w:t>
      </w:r>
      <w:bookmarkEnd w:id="266"/>
      <w:r>
        <w:rPr>
          <w:rFonts w:hint="eastAsia" w:ascii="宋体" w:hAnsi="宋体"/>
        </w:rPr>
        <w:t>为统计期内固定</w:t>
      </w:r>
      <w:r>
        <w:rPr>
          <w:rFonts w:ascii="宋体" w:hAnsi="宋体"/>
        </w:rPr>
        <w:t>浮</w:t>
      </w:r>
      <w:r>
        <w:rPr>
          <w:rFonts w:hint="eastAsia" w:ascii="宋体" w:hAnsi="宋体"/>
        </w:rPr>
        <w:t>顶罐总损失，磅；</w:t>
      </w:r>
    </w:p>
    <w:p w14:paraId="22054E4B">
      <w:pPr>
        <w:spacing w:line="240" w:lineRule="auto"/>
        <w:ind w:firstLine="420" w:firstLineChars="200"/>
        <w:rPr>
          <w:rFonts w:ascii="宋体" w:hAnsi="宋体"/>
        </w:rPr>
      </w:pPr>
      <w:r>
        <w:rPr>
          <w:rFonts w:ascii="宋体" w:hAnsi="宋体"/>
        </w:rPr>
        <w:t>E</w:t>
      </w:r>
      <w:r>
        <w:rPr>
          <w:rFonts w:hint="eastAsia" w:ascii="宋体" w:hAnsi="宋体"/>
          <w:i/>
          <w:vertAlign w:val="subscript"/>
        </w:rPr>
        <w:t>s</w:t>
      </w:r>
      <w:bookmarkStart w:id="267" w:name="OLE_LINK46"/>
      <w:r>
        <w:rPr>
          <w:rFonts w:hint="eastAsia"/>
          <w:spacing w:val="-20"/>
        </w:rPr>
        <w:t>——</w:t>
      </w:r>
      <w:bookmarkEnd w:id="267"/>
      <w:r>
        <w:rPr>
          <w:rFonts w:hint="eastAsia" w:ascii="宋体" w:hAnsi="宋体"/>
        </w:rPr>
        <w:t>为统计期内静</w:t>
      </w:r>
      <w:r>
        <w:rPr>
          <w:rFonts w:ascii="宋体" w:hAnsi="宋体"/>
        </w:rPr>
        <w:t>置损失</w:t>
      </w:r>
      <w:r>
        <w:rPr>
          <w:rFonts w:hint="eastAsia" w:ascii="宋体" w:hAnsi="宋体"/>
        </w:rPr>
        <w:t>，磅，</w:t>
      </w:r>
      <w:r>
        <w:rPr>
          <w:rFonts w:ascii="宋体" w:hAnsi="宋体"/>
        </w:rPr>
        <w:t>见公式</w:t>
      </w:r>
      <w:r>
        <w:t>(</w:t>
      </w:r>
      <w:r>
        <w:rPr>
          <w:rFonts w:hint="eastAsia"/>
        </w:rPr>
        <w:t>E</w:t>
      </w:r>
      <w:r>
        <w:t>.2)</w:t>
      </w:r>
      <w:r>
        <w:rPr>
          <w:rFonts w:hint="eastAsia" w:ascii="宋体" w:hAnsi="宋体"/>
        </w:rPr>
        <w:t>；</w:t>
      </w:r>
    </w:p>
    <w:p w14:paraId="4D550498">
      <w:pPr>
        <w:spacing w:line="240" w:lineRule="auto"/>
        <w:ind w:firstLine="420" w:firstLineChars="200"/>
        <w:rPr>
          <w:rFonts w:ascii="宋体" w:hAnsi="宋体"/>
        </w:rPr>
      </w:pPr>
      <w:r>
        <w:rPr>
          <w:rFonts w:ascii="宋体" w:hAnsi="宋体"/>
        </w:rPr>
        <w:t>E</w:t>
      </w:r>
      <w:r>
        <w:rPr>
          <w:rFonts w:hint="eastAsia" w:ascii="宋体" w:hAnsi="宋体"/>
          <w:i/>
          <w:vertAlign w:val="subscript"/>
        </w:rPr>
        <w:t>w</w:t>
      </w:r>
      <w:r>
        <w:rPr>
          <w:rFonts w:hint="eastAsia"/>
          <w:spacing w:val="-20"/>
        </w:rPr>
        <w:t>——</w:t>
      </w:r>
      <w:r>
        <w:rPr>
          <w:rFonts w:hint="eastAsia" w:ascii="宋体" w:hAnsi="宋体"/>
        </w:rPr>
        <w:t>为统计期内工作</w:t>
      </w:r>
      <w:r>
        <w:rPr>
          <w:rFonts w:ascii="宋体" w:hAnsi="宋体"/>
        </w:rPr>
        <w:t>损失</w:t>
      </w:r>
      <w:r>
        <w:rPr>
          <w:rFonts w:hint="eastAsia" w:ascii="宋体" w:hAnsi="宋体"/>
        </w:rPr>
        <w:t>，磅。</w:t>
      </w:r>
    </w:p>
    <w:p w14:paraId="519E15F5">
      <w:pPr>
        <w:numPr>
          <w:ilvl w:val="0"/>
          <w:numId w:val="32"/>
        </w:numPr>
        <w:spacing w:line="240" w:lineRule="auto"/>
        <w:ind w:firstLine="420" w:firstLineChars="200"/>
        <w:rPr>
          <w:rFonts w:ascii="宋体" w:hAnsi="宋体"/>
        </w:rPr>
      </w:pPr>
      <w:r>
        <w:rPr>
          <w:rFonts w:hint="eastAsia" w:ascii="宋体" w:hAnsi="宋体"/>
        </w:rPr>
        <w:t>静置损失</w:t>
      </w:r>
    </w:p>
    <w:p w14:paraId="38BD3092">
      <w:pPr>
        <w:pStyle w:val="60"/>
        <w:ind w:firstLine="420"/>
        <w:rPr>
          <w:rFonts w:hAnsi="宋体"/>
        </w:rPr>
      </w:pPr>
      <w:r>
        <w:rPr>
          <w:rFonts w:hint="eastAsia"/>
        </w:rPr>
        <w:t>静置损失是指由于罐体蒸汽空间呼吸导致的储存气相损耗，通常不考虑地下卧式罐的静置损失，因为地下土层的绝缘作用使得地下储罐的昼夜温差的变化较小。</w:t>
      </w:r>
    </w:p>
    <w:p w14:paraId="4CFD1F57">
      <w:pPr>
        <w:pStyle w:val="242"/>
        <w:textAlignment w:val="center"/>
      </w:pPr>
      <w:r>
        <w:tab/>
      </w:r>
      <m:oMath>
        <m:sSub>
          <m:sSubPr>
            <m:ctrlPr>
              <w:rPr>
                <w:rFonts w:ascii="Cambria Math"/>
                <w:i/>
              </w:rPr>
            </m:ctrlPr>
          </m:sSubPr>
          <m:e>
            <m:r>
              <m:rPr/>
              <w:rPr>
                <w:rFonts w:ascii="Cambria Math"/>
              </w:rPr>
              <m:t>E</m:t>
            </m:r>
            <m:ctrlPr>
              <w:rPr>
                <w:rFonts w:ascii="Cambria Math"/>
                <w:i/>
              </w:rPr>
            </m:ctrlPr>
          </m:e>
          <m:sub>
            <m:r>
              <m:rPr/>
              <w:rPr>
                <w:rFonts w:ascii="Cambria Math"/>
              </w:rPr>
              <m:t>S</m:t>
            </m:r>
            <m:ctrlPr>
              <w:rPr>
                <w:rFonts w:ascii="Cambria Math"/>
                <w:i/>
              </w:rPr>
            </m:ctrlPr>
          </m:sub>
        </m:sSub>
        <m:r>
          <m:rPr/>
          <w:rPr>
            <w:rFonts w:ascii="Cambria Math"/>
          </w:rPr>
          <m:t>=365</m:t>
        </m:r>
        <m:sSub>
          <m:sSubPr>
            <m:ctrlPr>
              <w:rPr>
                <w:rFonts w:ascii="Cambria Math"/>
                <w:i/>
              </w:rPr>
            </m:ctrlPr>
          </m:sSubPr>
          <m:e>
            <m:r>
              <m:rPr/>
              <w:rPr>
                <w:rFonts w:ascii="Cambria Math"/>
              </w:rPr>
              <m:t>V</m:t>
            </m:r>
            <m:ctrlPr>
              <w:rPr>
                <w:rFonts w:ascii="Cambria Math"/>
                <w:i/>
              </w:rPr>
            </m:ctrlPr>
          </m:e>
          <m:sub>
            <m:r>
              <m:rPr/>
              <w:rPr>
                <w:rFonts w:ascii="Cambria Math"/>
              </w:rPr>
              <m:t>v</m:t>
            </m:r>
            <m:ctrlPr>
              <w:rPr>
                <w:rFonts w:ascii="Cambria Math"/>
                <w:i/>
              </w:rPr>
            </m:ctrlPr>
          </m:sub>
        </m:sSub>
        <m:sSub>
          <m:sSubPr>
            <m:ctrlPr>
              <w:rPr>
                <w:rFonts w:ascii="Cambria Math"/>
                <w:i/>
              </w:rPr>
            </m:ctrlPr>
          </m:sSubPr>
          <m:e>
            <m:r>
              <m:rPr/>
              <w:rPr>
                <w:rFonts w:ascii="Cambria Math"/>
              </w:rPr>
              <m:t>W</m:t>
            </m:r>
            <m:ctrlPr>
              <w:rPr>
                <w:rFonts w:ascii="Cambria Math"/>
                <w:i/>
              </w:rPr>
            </m:ctrlPr>
          </m:e>
          <m:sub>
            <m:r>
              <m:rPr/>
              <w:rPr>
                <w:rFonts w:ascii="Cambria Math"/>
              </w:rPr>
              <m:t>v</m:t>
            </m:r>
            <m:ctrlPr>
              <w:rPr>
                <w:rFonts w:ascii="Cambria Math"/>
                <w:i/>
              </w:rPr>
            </m:ctrlPr>
          </m:sub>
        </m:sSub>
        <m:sSub>
          <m:sSubPr>
            <m:ctrlPr>
              <w:rPr>
                <w:rFonts w:ascii="Cambria Math"/>
                <w:i/>
              </w:rPr>
            </m:ctrlPr>
          </m:sSubPr>
          <m:e>
            <m:r>
              <m:rPr/>
              <w:rPr>
                <w:rFonts w:ascii="Cambria Math"/>
              </w:rPr>
              <m:t>K</m:t>
            </m:r>
            <m:ctrlPr>
              <w:rPr>
                <w:rFonts w:ascii="Cambria Math"/>
                <w:i/>
              </w:rPr>
            </m:ctrlPr>
          </m:e>
          <m:sub>
            <m:r>
              <m:rPr/>
              <w:rPr>
                <w:rFonts w:ascii="Cambria Math"/>
              </w:rPr>
              <m:t>E</m:t>
            </m:r>
            <m:ctrlPr>
              <w:rPr>
                <w:rFonts w:ascii="Cambria Math"/>
                <w:i/>
              </w:rPr>
            </m:ctrlPr>
          </m:sub>
        </m:sSub>
        <m:sSub>
          <m:sSubPr>
            <m:ctrlPr>
              <w:rPr>
                <w:rFonts w:ascii="Cambria Math"/>
                <w:i/>
              </w:rPr>
            </m:ctrlPr>
          </m:sSubPr>
          <m:e>
            <m:r>
              <m:rPr/>
              <w:rPr>
                <w:rFonts w:ascii="Cambria Math"/>
              </w:rPr>
              <m:t>K</m:t>
            </m:r>
            <m:ctrlPr>
              <w:rPr>
                <w:rFonts w:ascii="Cambria Math"/>
                <w:i/>
              </w:rPr>
            </m:ctrlPr>
          </m:e>
          <m:sub>
            <m:r>
              <m:rPr/>
              <w:rPr>
                <w:rFonts w:ascii="Cambria Math"/>
              </w:rPr>
              <m:t>s</m:t>
            </m:r>
            <m:ctrlPr>
              <w:rPr>
                <w:rFonts w:ascii="Cambria Math"/>
                <w:i/>
              </w:rPr>
            </m:ctrlPr>
          </m:sub>
        </m:sSub>
      </m:oMath>
      <w:r>
        <w:tab/>
      </w:r>
      <w:bookmarkStart w:id="268" w:name="OLE_LINK42"/>
      <w:r>
        <w:t>(</w:t>
      </w:r>
      <w:r>
        <w:rPr>
          <w:rFonts w:hint="eastAsia"/>
        </w:rPr>
        <w:t>E</w:t>
      </w:r>
      <w:r>
        <w:t>.2)</w:t>
      </w:r>
      <w:bookmarkEnd w:id="268"/>
    </w:p>
    <w:p w14:paraId="0447CE08">
      <w:pPr>
        <w:pStyle w:val="60"/>
        <w:ind w:firstLine="420"/>
        <w:rPr>
          <w:rFonts w:hAnsi="宋体"/>
        </w:rPr>
      </w:pPr>
      <w:r>
        <w:rPr>
          <w:rFonts w:hint="eastAsia" w:hAnsi="宋体"/>
        </w:rPr>
        <w:t>式中:</w:t>
      </w:r>
    </w:p>
    <w:p w14:paraId="0FFFDF61">
      <w:pPr>
        <w:pStyle w:val="60"/>
        <w:ind w:firstLine="420"/>
        <w:rPr>
          <w:rFonts w:hAnsi="宋体"/>
        </w:rPr>
      </w:pPr>
      <w:r>
        <w:rPr>
          <w:rFonts w:hint="eastAsia" w:hAnsi="宋体"/>
        </w:rPr>
        <w:t>E</w:t>
      </w:r>
      <w:r>
        <w:rPr>
          <w:rFonts w:hint="eastAsia" w:hAnsi="宋体"/>
          <w:vertAlign w:val="subscript"/>
        </w:rPr>
        <w:t>s</w:t>
      </w:r>
      <w:r>
        <w:rPr>
          <w:rFonts w:hint="eastAsia"/>
          <w:spacing w:val="-20"/>
        </w:rPr>
        <w:t>——</w:t>
      </w:r>
      <w:r>
        <w:rPr>
          <w:rFonts w:hint="eastAsia" w:hAnsi="宋体"/>
        </w:rPr>
        <w:t>为统计期内静置损失（地下卧式罐的E</w:t>
      </w:r>
      <w:r>
        <w:rPr>
          <w:rFonts w:hint="eastAsia" w:hAnsi="宋体"/>
          <w:vertAlign w:val="subscript"/>
        </w:rPr>
        <w:t>s</w:t>
      </w:r>
      <w:r>
        <w:rPr>
          <w:rFonts w:hint="eastAsia" w:hAnsi="宋体"/>
        </w:rPr>
        <w:t>取0），磅；</w:t>
      </w:r>
    </w:p>
    <w:p w14:paraId="75C19717">
      <w:pPr>
        <w:pStyle w:val="60"/>
        <w:ind w:firstLine="420"/>
        <w:rPr>
          <w:rFonts w:hAnsi="宋体"/>
        </w:rPr>
      </w:pPr>
      <w:r>
        <w:rPr>
          <w:rFonts w:hint="eastAsia" w:hAnsi="宋体"/>
        </w:rPr>
        <w:t>V</w:t>
      </w:r>
      <w:r>
        <w:rPr>
          <w:rFonts w:hint="eastAsia" w:hAnsi="宋体"/>
          <w:vertAlign w:val="subscript"/>
        </w:rPr>
        <w:t>V</w:t>
      </w:r>
      <w:r>
        <w:rPr>
          <w:rFonts w:hint="eastAsia"/>
          <w:spacing w:val="-20"/>
        </w:rPr>
        <w:t>——</w:t>
      </w:r>
      <w:r>
        <w:rPr>
          <w:rFonts w:hint="eastAsia" w:hAnsi="宋体"/>
        </w:rPr>
        <w:t>为气相空间容积，立方英尺；W</w:t>
      </w:r>
      <w:r>
        <w:rPr>
          <w:rFonts w:hint="eastAsia" w:hAnsi="宋体"/>
          <w:vertAlign w:val="subscript"/>
        </w:rPr>
        <w:t>V</w:t>
      </w:r>
      <w:r>
        <w:rPr>
          <w:rFonts w:hint="eastAsia" w:hAnsi="宋体"/>
        </w:rPr>
        <w:t>为储藏气相密度，磅/立方英尺；</w:t>
      </w:r>
    </w:p>
    <w:p w14:paraId="25A81F54">
      <w:pPr>
        <w:pStyle w:val="60"/>
        <w:ind w:firstLine="420"/>
        <w:rPr>
          <w:rFonts w:hAnsi="宋体"/>
        </w:rPr>
      </w:pPr>
      <w:r>
        <w:rPr>
          <w:rFonts w:hint="eastAsia" w:hAnsi="宋体"/>
        </w:rPr>
        <w:t>K</w:t>
      </w:r>
      <w:r>
        <w:rPr>
          <w:rFonts w:hint="eastAsia" w:hAnsi="宋体"/>
          <w:vertAlign w:val="subscript"/>
        </w:rPr>
        <w:t>E</w:t>
      </w:r>
      <w:r>
        <w:rPr>
          <w:rFonts w:hint="eastAsia"/>
          <w:spacing w:val="-20"/>
        </w:rPr>
        <w:t>——</w:t>
      </w:r>
      <w:r>
        <w:rPr>
          <w:rFonts w:hint="eastAsia" w:hAnsi="宋体"/>
        </w:rPr>
        <w:t>为气相空间膨胀因子，无量纲量；K</w:t>
      </w:r>
      <w:r>
        <w:rPr>
          <w:rFonts w:hint="eastAsia" w:hAnsi="宋体"/>
          <w:vertAlign w:val="subscript"/>
        </w:rPr>
        <w:t>S</w:t>
      </w:r>
      <w:r>
        <w:rPr>
          <w:rFonts w:hint="eastAsia" w:hAnsi="宋体"/>
        </w:rPr>
        <w:t>为排放蒸气饱和因子，无量纲量。</w:t>
      </w:r>
    </w:p>
    <w:p w14:paraId="3DC6A15F">
      <w:pPr>
        <w:pStyle w:val="60"/>
        <w:ind w:firstLine="420"/>
        <w:rPr>
          <w:rFonts w:hAnsi="宋体"/>
        </w:rPr>
      </w:pPr>
      <w:r>
        <w:rPr>
          <w:rFonts w:hAnsi="宋体"/>
        </w:rPr>
        <w:t>1</w:t>
      </w:r>
      <w:r>
        <w:rPr>
          <w:rFonts w:hint="eastAsia" w:hAnsi="宋体"/>
        </w:rPr>
        <w:t>）气相空间容积V</w:t>
      </w:r>
      <w:r>
        <w:rPr>
          <w:rFonts w:hint="eastAsia" w:hAnsi="宋体"/>
          <w:vertAlign w:val="subscript"/>
        </w:rPr>
        <w:t>V</w:t>
      </w:r>
      <w:r>
        <w:rPr>
          <w:rFonts w:hint="eastAsia" w:hAnsi="宋体"/>
        </w:rPr>
        <w:t>计算</w:t>
      </w:r>
    </w:p>
    <w:p w14:paraId="08299AC6">
      <w:pPr>
        <w:pStyle w:val="60"/>
        <w:ind w:firstLine="420"/>
        <w:rPr>
          <w:rFonts w:hAnsi="宋体"/>
        </w:rPr>
      </w:pPr>
      <w:r>
        <w:rPr>
          <w:rFonts w:hint="eastAsia" w:hAnsi="宋体"/>
        </w:rPr>
        <w:t>立式罐气相空间容积V</w:t>
      </w:r>
      <w:r>
        <w:rPr>
          <w:rFonts w:hint="eastAsia" w:hAnsi="宋体"/>
          <w:vertAlign w:val="subscript"/>
        </w:rPr>
        <w:t>V</w:t>
      </w:r>
      <w:r>
        <w:rPr>
          <w:rFonts w:hint="eastAsia" w:hAnsi="宋体"/>
        </w:rPr>
        <w:t>，通过公式</w:t>
      </w:r>
      <w:r>
        <w:rPr>
          <w:rFonts w:hAnsi="宋体"/>
        </w:rPr>
        <w:t>(E.3)</w:t>
      </w:r>
      <w:r>
        <w:rPr>
          <w:rFonts w:hint="eastAsia" w:hAnsi="宋体"/>
        </w:rPr>
        <w:t>计算：</w:t>
      </w:r>
    </w:p>
    <w:p w14:paraId="3F234890">
      <w:pPr>
        <w:pStyle w:val="242"/>
      </w:pPr>
      <w:bookmarkStart w:id="269" w:name="OLE_LINK43"/>
      <w:r>
        <w:rPr>
          <w:rFonts w:hAnsi="宋体"/>
        </w:rPr>
        <w:tab/>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V</m:t>
            </m:r>
            <m:ctrlPr>
              <w:rPr>
                <w:rFonts w:ascii="Cambria Math" w:hAnsi="Cambria Math"/>
              </w:rPr>
            </m:ctrlP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t>
                </m:r>
                <m:ctrlPr>
                  <w:rPr>
                    <w:rFonts w:ascii="Cambria Math" w:hAnsi="Cambria Math"/>
                  </w:rPr>
                </m:ctrlPr>
              </m:num>
              <m:den>
                <m:r>
                  <m:rPr>
                    <m:sty m:val="p"/>
                  </m:rPr>
                  <w:rPr>
                    <w:rFonts w:ascii="Cambria Math" w:hAnsi="Cambria Math"/>
                  </w:rPr>
                  <m:t>4</m:t>
                </m:r>
                <m:ctrlPr>
                  <w:rPr>
                    <w:rFonts w:ascii="Cambria Math" w:hAnsi="Cambria Math"/>
                  </w:rPr>
                </m:ctrlPr>
              </m:den>
            </m:f>
            <m:sSup>
              <m:sSupPr>
                <m:ctrlPr>
                  <w:rPr>
                    <w:rFonts w:ascii="Cambria Math" w:hAnsi="Cambria Math"/>
                  </w:rPr>
                </m:ctrlPr>
              </m:sSupPr>
              <m:e>
                <m:r>
                  <m:rPr/>
                  <w:rPr>
                    <w:rFonts w:ascii="Cambria Math" w:hAnsi="Cambria Math"/>
                  </w:rPr>
                  <m:t>D</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e>
        </m:d>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vo</m:t>
            </m:r>
            <m:ctrlPr>
              <w:rPr>
                <w:rFonts w:ascii="Cambria Math" w:hAnsi="Cambria Math"/>
              </w:rPr>
            </m:ctrlPr>
          </m:sub>
        </m:sSub>
      </m:oMath>
      <w:r>
        <w:rPr>
          <w:rFonts w:hAnsi="宋体"/>
        </w:rPr>
        <w:tab/>
      </w:r>
      <w:r>
        <w:t>(E.3)</w:t>
      </w:r>
    </w:p>
    <w:bookmarkEnd w:id="269"/>
    <w:p w14:paraId="548C8585">
      <w:pPr>
        <w:pStyle w:val="60"/>
        <w:ind w:firstLine="420"/>
        <w:rPr>
          <w:rFonts w:hAnsi="宋体"/>
        </w:rPr>
      </w:pPr>
      <w:r>
        <w:rPr>
          <w:rFonts w:hint="eastAsia" w:hAnsi="宋体"/>
        </w:rPr>
        <w:t>式中：</w:t>
      </w:r>
    </w:p>
    <w:p w14:paraId="703137DB">
      <w:pPr>
        <w:pStyle w:val="60"/>
        <w:ind w:firstLine="420"/>
        <w:rPr>
          <w:rFonts w:hAnsi="宋体"/>
        </w:rPr>
      </w:pPr>
      <w:r>
        <w:rPr>
          <w:rFonts w:hint="eastAsia" w:hAnsi="宋体"/>
        </w:rPr>
        <w:t>V</w:t>
      </w:r>
      <w:r>
        <w:rPr>
          <w:rFonts w:hint="eastAsia" w:hAnsi="宋体"/>
          <w:vertAlign w:val="subscript"/>
        </w:rPr>
        <w:t>V</w:t>
      </w:r>
      <w:r>
        <w:rPr>
          <w:rFonts w:hint="eastAsia"/>
          <w:spacing w:val="-20"/>
        </w:rPr>
        <w:t>——</w:t>
      </w:r>
      <w:r>
        <w:rPr>
          <w:rFonts w:hint="eastAsia" w:hAnsi="宋体"/>
        </w:rPr>
        <w:t>为气相空间容积，立方英尺；</w:t>
      </w:r>
    </w:p>
    <w:p w14:paraId="47A3A3B7">
      <w:pPr>
        <w:pStyle w:val="60"/>
        <w:ind w:firstLine="420"/>
        <w:rPr>
          <w:rFonts w:hAnsi="宋体"/>
        </w:rPr>
      </w:pPr>
      <w:r>
        <w:rPr>
          <w:rFonts w:hint="eastAsia" w:hAnsi="宋体"/>
        </w:rPr>
        <w:t>D</w:t>
      </w:r>
      <w:r>
        <w:rPr>
          <w:rFonts w:hint="eastAsia"/>
          <w:spacing w:val="-20"/>
        </w:rPr>
        <w:t>——</w:t>
      </w:r>
      <w:r>
        <w:rPr>
          <w:rFonts w:hint="eastAsia" w:hAnsi="宋体"/>
        </w:rPr>
        <w:t>为罐径，英尺；H</w:t>
      </w:r>
      <w:r>
        <w:rPr>
          <w:rFonts w:hint="eastAsia" w:hAnsi="宋体"/>
          <w:vertAlign w:val="subscript"/>
        </w:rPr>
        <w:t>VO</w:t>
      </w:r>
      <w:r>
        <w:rPr>
          <w:rFonts w:hint="eastAsia" w:hAnsi="宋体"/>
        </w:rPr>
        <w:t>为气相空间高度，英尺。</w:t>
      </w:r>
    </w:p>
    <w:p w14:paraId="6BCC706E">
      <w:pPr>
        <w:pStyle w:val="242"/>
      </w:pPr>
      <w:r>
        <w:rPr>
          <w:rFonts w:hAnsi="宋体"/>
        </w:rPr>
        <w:tab/>
      </w: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VO</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hint="eastAsia" w:ascii="Cambria Math" w:hAnsi="Cambria Math" w:eastAsia="微软雅黑" w:cs="微软雅黑"/>
          </w:rPr>
          <m:t>−</m:t>
        </m:r>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L</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RO</m:t>
            </m:r>
            <m:ctrlPr>
              <w:rPr>
                <w:rFonts w:ascii="Cambria Math" w:hAnsi="Cambria Math"/>
              </w:rPr>
            </m:ctrlPr>
          </m:sub>
        </m:sSub>
      </m:oMath>
      <w:r>
        <w:rPr>
          <w:rFonts w:hAnsi="宋体"/>
        </w:rPr>
        <w:tab/>
      </w:r>
      <w:r>
        <w:t>(</w:t>
      </w:r>
      <w:r>
        <w:rPr>
          <w:rFonts w:hint="eastAsia"/>
        </w:rPr>
        <w:t>E</w:t>
      </w:r>
      <w:r>
        <w:t>.4)</w:t>
      </w:r>
    </w:p>
    <w:p w14:paraId="4584D41C">
      <w:pPr>
        <w:spacing w:line="240" w:lineRule="auto"/>
        <w:ind w:firstLine="420" w:firstLineChars="200"/>
        <w:rPr>
          <w:rFonts w:ascii="宋体" w:hAnsi="宋体"/>
        </w:rPr>
      </w:pPr>
      <w:r>
        <w:rPr>
          <w:rFonts w:hint="eastAsia" w:ascii="宋体" w:hAnsi="宋体"/>
        </w:rPr>
        <w:t>式中：</w:t>
      </w:r>
    </w:p>
    <w:p w14:paraId="74323B70">
      <w:pPr>
        <w:spacing w:line="240" w:lineRule="auto"/>
        <w:ind w:firstLine="420" w:firstLineChars="200"/>
        <w:rPr>
          <w:rFonts w:ascii="宋体" w:hAnsi="宋体"/>
        </w:rPr>
      </w:pPr>
      <w:r>
        <w:rPr>
          <w:rFonts w:hint="eastAsia" w:ascii="宋体" w:hAnsi="宋体"/>
        </w:rPr>
        <w:t>H</w:t>
      </w:r>
      <w:r>
        <w:rPr>
          <w:rFonts w:hint="eastAsia" w:ascii="宋体" w:hAnsi="宋体"/>
          <w:i/>
          <w:vertAlign w:val="subscript"/>
        </w:rPr>
        <w:t>VO</w:t>
      </w:r>
      <w:r>
        <w:rPr>
          <w:rFonts w:hint="eastAsia"/>
          <w:spacing w:val="-20"/>
        </w:rPr>
        <w:t>——</w:t>
      </w:r>
      <w:r>
        <w:rPr>
          <w:rFonts w:hint="eastAsia" w:ascii="宋体" w:hAnsi="宋体"/>
        </w:rPr>
        <w:t>为气相空间高度，英尺；</w:t>
      </w:r>
    </w:p>
    <w:p w14:paraId="2921A7D2">
      <w:pPr>
        <w:spacing w:line="240" w:lineRule="auto"/>
        <w:ind w:firstLine="420" w:firstLineChars="200"/>
        <w:rPr>
          <w:rFonts w:ascii="宋体" w:hAnsi="宋体"/>
        </w:rPr>
      </w:pPr>
      <w:r>
        <w:rPr>
          <w:rFonts w:hint="eastAsia" w:ascii="宋体" w:hAnsi="宋体"/>
        </w:rPr>
        <w:t>H</w:t>
      </w:r>
      <w:r>
        <w:rPr>
          <w:rFonts w:hint="eastAsia" w:ascii="宋体" w:hAnsi="宋体"/>
          <w:i/>
          <w:vertAlign w:val="subscript"/>
        </w:rPr>
        <w:t>S</w:t>
      </w:r>
      <w:r>
        <w:rPr>
          <w:rFonts w:hint="eastAsia"/>
          <w:spacing w:val="-20"/>
        </w:rPr>
        <w:t>——</w:t>
      </w:r>
      <w:r>
        <w:rPr>
          <w:rFonts w:hint="eastAsia" w:ascii="宋体" w:hAnsi="宋体"/>
        </w:rPr>
        <w:t>为罐体高度，英尺；</w:t>
      </w:r>
    </w:p>
    <w:p w14:paraId="06DEF222">
      <w:pPr>
        <w:spacing w:line="240" w:lineRule="auto"/>
        <w:ind w:firstLine="420" w:firstLineChars="200"/>
        <w:rPr>
          <w:rFonts w:ascii="宋体" w:hAnsi="宋体"/>
        </w:rPr>
      </w:pPr>
      <w:r>
        <w:rPr>
          <w:rFonts w:hint="eastAsia" w:ascii="宋体" w:hAnsi="宋体"/>
        </w:rPr>
        <w:t>H</w:t>
      </w:r>
      <w:r>
        <w:rPr>
          <w:rFonts w:hint="eastAsia" w:ascii="宋体" w:hAnsi="宋体"/>
          <w:i/>
          <w:vertAlign w:val="subscript"/>
        </w:rPr>
        <w:t>L</w:t>
      </w:r>
      <w:r>
        <w:rPr>
          <w:rFonts w:hint="eastAsia"/>
          <w:spacing w:val="-20"/>
        </w:rPr>
        <w:t>——</w:t>
      </w:r>
      <w:r>
        <w:rPr>
          <w:rFonts w:hint="eastAsia" w:ascii="宋体" w:hAnsi="宋体"/>
        </w:rPr>
        <w:t>为液体高度，英尺；</w:t>
      </w:r>
    </w:p>
    <w:p w14:paraId="1D021AB5">
      <w:pPr>
        <w:spacing w:line="240" w:lineRule="auto"/>
        <w:ind w:firstLine="420" w:firstLineChars="200"/>
        <w:rPr>
          <w:rFonts w:ascii="宋体" w:hAnsi="宋体"/>
        </w:rPr>
      </w:pPr>
      <w:r>
        <w:rPr>
          <w:rFonts w:hint="eastAsia" w:ascii="宋体" w:hAnsi="宋体"/>
        </w:rPr>
        <w:t>H</w:t>
      </w:r>
      <w:r>
        <w:rPr>
          <w:rFonts w:hint="eastAsia" w:ascii="宋体" w:hAnsi="宋体"/>
          <w:i/>
          <w:vertAlign w:val="subscript"/>
        </w:rPr>
        <w:t>RO</w:t>
      </w:r>
      <w:r>
        <w:rPr>
          <w:rFonts w:hint="eastAsia"/>
          <w:spacing w:val="-20"/>
        </w:rPr>
        <w:t>——</w:t>
      </w:r>
      <w:r>
        <w:rPr>
          <w:rFonts w:hint="eastAsia" w:ascii="宋体" w:hAnsi="宋体"/>
        </w:rPr>
        <w:t>为罐顶计量高度，英尺（注：罐顶积折算为相等容积的罐体高度）。</w:t>
      </w:r>
    </w:p>
    <w:p w14:paraId="74C75736">
      <w:pPr>
        <w:spacing w:line="240" w:lineRule="auto"/>
        <w:ind w:firstLine="420" w:firstLineChars="200"/>
        <w:rPr>
          <w:rFonts w:ascii="宋体" w:hAnsi="宋体"/>
        </w:rPr>
      </w:pPr>
      <w:r>
        <w:rPr>
          <w:rFonts w:hint="eastAsia" w:ascii="宋体" w:hAnsi="宋体"/>
        </w:rPr>
        <w:t>锥顶罐罐顶折算高度：</w:t>
      </w:r>
    </w:p>
    <w:p w14:paraId="1E699B12">
      <w:pPr>
        <w:pStyle w:val="242"/>
      </w:pPr>
      <w:r>
        <w:rPr>
          <w:rFonts w:hAnsi="宋体"/>
        </w:rPr>
        <w:tab/>
      </w: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RO</m:t>
            </m:r>
            <m:ctrlPr>
              <w:rPr>
                <w:rFonts w:ascii="Cambria Math" w:hAnsi="Cambria Math"/>
              </w:rPr>
            </m:ctrlPr>
          </m:sub>
        </m:sSub>
        <m:r>
          <m:rPr>
            <m:sty m:val="p"/>
          </m:rPr>
          <w:rPr>
            <w:rFonts w:ascii="Cambria Math" w:hAnsi="Cambria Math"/>
          </w:rPr>
          <m:t>=</m:t>
        </m:r>
        <m:sSub>
          <m:sSubPr>
            <m:ctrlPr>
              <w:rPr>
                <w:rFonts w:ascii="Cambria Math" w:hAnsi="Cambria Math"/>
              </w:rPr>
            </m:ctrlPr>
          </m:sSubPr>
          <m:e>
            <m:f>
              <m:fPr>
                <m:ctrlPr>
                  <w:rPr>
                    <w:rFonts w:ascii="Cambria Math" w:hAnsi="Cambria Math"/>
                    <w:i/>
                    <w:iCs/>
                  </w:rPr>
                </m:ctrlPr>
              </m:fPr>
              <m:num>
                <m:r>
                  <m:rPr/>
                  <w:rPr>
                    <w:rFonts w:ascii="Cambria Math" w:hAnsi="Cambria Math"/>
                  </w:rPr>
                  <m:t>1</m:t>
                </m:r>
                <m:ctrlPr>
                  <w:rPr>
                    <w:rFonts w:ascii="Cambria Math" w:hAnsi="Cambria Math"/>
                    <w:i/>
                    <w:iCs/>
                  </w:rPr>
                </m:ctrlPr>
              </m:num>
              <m:den>
                <m:r>
                  <m:rPr/>
                  <w:rPr>
                    <w:rFonts w:ascii="Cambria Math" w:hAnsi="Cambria Math"/>
                  </w:rPr>
                  <m:t>3</m:t>
                </m:r>
                <m:ctrlPr>
                  <w:rPr>
                    <w:rFonts w:ascii="Cambria Math" w:hAnsi="Cambria Math"/>
                    <w:i/>
                    <w:iCs/>
                  </w:rPr>
                </m:ctrlPr>
              </m:den>
            </m:f>
            <m:r>
              <m:rPr/>
              <w:rPr>
                <w:rFonts w:ascii="Cambria Math" w:hAnsi="Cambria Math"/>
              </w:rPr>
              <m:t>H</m:t>
            </m:r>
            <m:ctrlPr>
              <w:rPr>
                <w:rFonts w:ascii="Cambria Math" w:hAnsi="Cambria Math"/>
              </w:rPr>
            </m:ctrlPr>
          </m:e>
          <m:sub>
            <m:r>
              <m:rPr/>
              <w:rPr>
                <w:rFonts w:ascii="Cambria Math" w:hAnsi="Cambria Math"/>
              </w:rPr>
              <m:t>R</m:t>
            </m:r>
            <m:ctrlPr>
              <w:rPr>
                <w:rFonts w:ascii="Cambria Math" w:hAnsi="Cambria Math"/>
              </w:rPr>
            </m:ctrlPr>
          </m:sub>
        </m:sSub>
      </m:oMath>
      <w:r>
        <w:rPr>
          <w:rFonts w:hAnsi="宋体"/>
        </w:rPr>
        <w:tab/>
      </w:r>
      <w:r>
        <w:t>(</w:t>
      </w:r>
      <w:r>
        <w:rPr>
          <w:rFonts w:hint="eastAsia"/>
        </w:rPr>
        <w:t>E</w:t>
      </w:r>
      <w:r>
        <w:t>.5)</w:t>
      </w:r>
    </w:p>
    <w:p w14:paraId="5CB90A83">
      <w:pPr>
        <w:spacing w:line="240" w:lineRule="auto"/>
        <w:ind w:firstLine="420" w:firstLineChars="200"/>
        <w:rPr>
          <w:rFonts w:ascii="宋体" w:hAnsi="宋体"/>
        </w:rPr>
      </w:pPr>
      <w:r>
        <w:rPr>
          <w:rFonts w:hint="eastAsia" w:ascii="宋体" w:hAnsi="宋体"/>
        </w:rPr>
        <w:t>式中：</w:t>
      </w:r>
    </w:p>
    <w:p w14:paraId="546EBD1B">
      <w:pPr>
        <w:spacing w:line="240" w:lineRule="auto"/>
        <w:ind w:firstLine="420" w:firstLineChars="200"/>
        <w:rPr>
          <w:rFonts w:ascii="宋体" w:hAnsi="宋体"/>
        </w:rPr>
      </w:pPr>
      <w:r>
        <w:rPr>
          <w:rFonts w:hint="eastAsia" w:ascii="宋体" w:hAnsi="宋体"/>
        </w:rPr>
        <w:t>H</w:t>
      </w:r>
      <w:r>
        <w:rPr>
          <w:rFonts w:ascii="宋体" w:hAnsi="宋体"/>
          <w:i/>
          <w:vertAlign w:val="subscript"/>
        </w:rPr>
        <w:t>R</w:t>
      </w:r>
      <w:r>
        <w:rPr>
          <w:rFonts w:hint="eastAsia"/>
          <w:spacing w:val="-20"/>
        </w:rPr>
        <w:t>——</w:t>
      </w:r>
      <w:r>
        <w:rPr>
          <w:rFonts w:hint="eastAsia" w:ascii="宋体" w:hAnsi="宋体"/>
        </w:rPr>
        <w:t>为罐顶高度，英尺。</w:t>
      </w:r>
    </w:p>
    <w:p w14:paraId="37599E29">
      <w:pPr>
        <w:pStyle w:val="242"/>
      </w:pPr>
      <w:r>
        <w:rPr>
          <w:rFonts w:hAnsi="宋体"/>
        </w:rPr>
        <w:tab/>
      </w: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R</m:t>
            </m:r>
            <m:ctrlPr>
              <w:rPr>
                <w:rFonts w:ascii="Cambria Math" w:hAnsi="Cambria Math"/>
              </w:rPr>
            </m:ctrlPr>
          </m:sub>
        </m:sSub>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s</m:t>
            </m:r>
            <m:ctrlPr>
              <w:rPr>
                <w:rFonts w:ascii="Cambria Math" w:hAnsi="Cambria Math"/>
              </w:rPr>
            </m:ctrlPr>
          </m:sub>
        </m:sSub>
      </m:oMath>
      <w:r>
        <w:rPr>
          <w:rFonts w:hAnsi="宋体"/>
        </w:rPr>
        <w:tab/>
      </w:r>
      <w:r>
        <w:t>(</w:t>
      </w:r>
      <w:r>
        <w:rPr>
          <w:rFonts w:hint="eastAsia"/>
        </w:rPr>
        <w:t>E</w:t>
      </w:r>
      <w:r>
        <w:t>.6)</w:t>
      </w:r>
    </w:p>
    <w:p w14:paraId="06830B6D">
      <w:pPr>
        <w:overflowPunct w:val="0"/>
        <w:autoSpaceDE w:val="0"/>
        <w:autoSpaceDN w:val="0"/>
        <w:spacing w:line="240" w:lineRule="auto"/>
        <w:ind w:firstLine="420" w:firstLineChars="200"/>
        <w:rPr>
          <w:rFonts w:ascii="宋体" w:hAnsi="宋体"/>
        </w:rPr>
      </w:pPr>
      <w:r>
        <w:rPr>
          <w:rFonts w:hint="eastAsia" w:ascii="宋体" w:hAnsi="宋体"/>
        </w:rPr>
        <w:t>式中：</w:t>
      </w:r>
    </w:p>
    <w:p w14:paraId="1346E00B">
      <w:pPr>
        <w:overflowPunct w:val="0"/>
        <w:autoSpaceDE w:val="0"/>
        <w:autoSpaceDN w:val="0"/>
        <w:spacing w:line="240" w:lineRule="auto"/>
        <w:ind w:firstLine="420" w:firstLineChars="200"/>
        <w:rPr>
          <w:rFonts w:ascii="宋体" w:hAnsi="宋体"/>
        </w:rPr>
      </w:pPr>
      <w:r>
        <w:rPr>
          <w:rFonts w:ascii="宋体" w:hAnsi="宋体"/>
        </w:rPr>
        <w:t>S</w:t>
      </w:r>
      <w:r>
        <w:rPr>
          <w:rFonts w:ascii="宋体" w:hAnsi="宋体"/>
          <w:i/>
          <w:vertAlign w:val="subscript"/>
        </w:rPr>
        <w:t>R</w:t>
      </w:r>
      <w:r>
        <w:rPr>
          <w:rFonts w:hint="eastAsia"/>
          <w:spacing w:val="-20"/>
        </w:rPr>
        <w:t>——</w:t>
      </w:r>
      <w:r>
        <w:rPr>
          <w:rFonts w:hint="eastAsia" w:ascii="宋体" w:hAnsi="宋体"/>
        </w:rPr>
        <w:t>为罐锥顶斜率，</w:t>
      </w:r>
      <w:r>
        <w:rPr>
          <w:rFonts w:ascii="宋体" w:hAnsi="宋体"/>
        </w:rPr>
        <w:t>英尺</w:t>
      </w:r>
      <w:r>
        <w:rPr>
          <w:rFonts w:hint="eastAsia" w:ascii="宋体" w:hAnsi="宋体"/>
        </w:rPr>
        <w:t>/英尺，</w:t>
      </w:r>
      <w:r>
        <w:rPr>
          <w:rFonts w:ascii="宋体" w:hAnsi="宋体"/>
        </w:rPr>
        <w:t>无数据</w:t>
      </w:r>
      <w:r>
        <w:rPr>
          <w:rFonts w:hint="eastAsia" w:ascii="宋体" w:hAnsi="宋体"/>
        </w:rPr>
        <w:t>时，</w:t>
      </w:r>
      <w:r>
        <w:rPr>
          <w:rFonts w:ascii="宋体" w:hAnsi="宋体"/>
        </w:rPr>
        <w:t>取</w:t>
      </w:r>
      <w:r>
        <w:rPr>
          <w:rFonts w:hint="eastAsia" w:ascii="宋体" w:hAnsi="宋体"/>
        </w:rPr>
        <w:t>0.0625；</w:t>
      </w:r>
    </w:p>
    <w:p w14:paraId="04154D36">
      <w:pPr>
        <w:overflowPunct w:val="0"/>
        <w:autoSpaceDE w:val="0"/>
        <w:autoSpaceDN w:val="0"/>
        <w:spacing w:line="240" w:lineRule="auto"/>
        <w:ind w:firstLine="420" w:firstLineChars="200"/>
        <w:rPr>
          <w:rFonts w:ascii="宋体" w:hAnsi="宋体"/>
        </w:rPr>
      </w:pPr>
      <w:r>
        <w:rPr>
          <w:rFonts w:ascii="宋体" w:hAnsi="宋体"/>
        </w:rPr>
        <w:t>R</w:t>
      </w:r>
      <w:r>
        <w:rPr>
          <w:rFonts w:ascii="宋体" w:hAnsi="宋体"/>
          <w:i/>
          <w:vertAlign w:val="subscript"/>
        </w:rPr>
        <w:t>s</w:t>
      </w:r>
      <w:r>
        <w:rPr>
          <w:rFonts w:hint="eastAsia"/>
          <w:spacing w:val="-20"/>
        </w:rPr>
        <w:t>——</w:t>
      </w:r>
      <w:r>
        <w:rPr>
          <w:rFonts w:hint="eastAsia" w:ascii="宋体" w:hAnsi="宋体"/>
        </w:rPr>
        <w:t>为</w:t>
      </w:r>
      <w:r>
        <w:rPr>
          <w:rFonts w:ascii="宋体" w:hAnsi="宋体"/>
        </w:rPr>
        <w:t>罐壳半径</w:t>
      </w:r>
      <w:r>
        <w:rPr>
          <w:rFonts w:hint="eastAsia" w:ascii="宋体" w:hAnsi="宋体"/>
        </w:rPr>
        <w:t>，</w:t>
      </w:r>
      <w:r>
        <w:rPr>
          <w:rFonts w:ascii="宋体" w:hAnsi="宋体"/>
        </w:rPr>
        <w:t>英尺</w:t>
      </w:r>
      <w:r>
        <w:rPr>
          <w:rFonts w:hint="eastAsia" w:ascii="宋体" w:hAnsi="宋体"/>
        </w:rPr>
        <w:t>。</w:t>
      </w:r>
    </w:p>
    <w:p w14:paraId="403FBA94">
      <w:pPr>
        <w:overflowPunct w:val="0"/>
        <w:autoSpaceDE w:val="0"/>
        <w:autoSpaceDN w:val="0"/>
        <w:spacing w:line="240" w:lineRule="auto"/>
        <w:ind w:firstLine="420" w:firstLineChars="200"/>
        <w:rPr>
          <w:rFonts w:ascii="宋体" w:hAnsi="宋体"/>
        </w:rPr>
      </w:pPr>
      <w:r>
        <w:rPr>
          <w:rFonts w:hint="eastAsia" w:ascii="宋体" w:hAnsi="宋体"/>
        </w:rPr>
        <w:t>拱顶</w:t>
      </w:r>
      <w:r>
        <w:rPr>
          <w:rFonts w:ascii="宋体" w:hAnsi="宋体"/>
        </w:rPr>
        <w:t>罐灌顶折算高度：</w:t>
      </w:r>
    </w:p>
    <w:p w14:paraId="67E58ED0">
      <w:pPr>
        <w:pStyle w:val="242"/>
      </w:pPr>
      <w:r>
        <w:rPr>
          <w:rFonts w:hAnsi="宋体"/>
        </w:rPr>
        <w:tab/>
      </w: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R</m:t>
            </m:r>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R</m:t>
            </m:r>
            <m:ctrlPr>
              <w:rPr>
                <w:rFonts w:ascii="Cambria Math" w:hAnsi="Cambria Math"/>
              </w:rPr>
            </m:ctrlPr>
          </m:sub>
        </m:sSub>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6</m:t>
                </m:r>
                <m:ctrlPr>
                  <w:rPr>
                    <w:rFonts w:ascii="Cambria Math" w:hAnsi="Cambria Math"/>
                  </w:rPr>
                </m:ctrlP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R</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s</m:t>
                            </m:r>
                            <m:ctrlPr>
                              <w:rPr>
                                <w:rFonts w:ascii="Cambria Math" w:hAnsi="Cambria Math"/>
                              </w:rPr>
                            </m:ctrlPr>
                          </m:sub>
                        </m:sSub>
                        <m:ctrlPr>
                          <w:rPr>
                            <w:rFonts w:ascii="Cambria Math" w:hAnsi="Cambria Math"/>
                          </w:rPr>
                        </m:ctrlPr>
                      </m:den>
                    </m:f>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e>
        </m:d>
      </m:oMath>
      <w:r>
        <w:rPr>
          <w:rFonts w:hAnsi="宋体"/>
        </w:rPr>
        <w:tab/>
      </w:r>
      <w:r>
        <w:rPr>
          <w:rFonts w:hint="eastAsia"/>
        </w:rPr>
        <w:t>(E</w:t>
      </w:r>
      <w:r>
        <w:t>.7</w:t>
      </w:r>
      <w:r>
        <w:rPr>
          <w:rFonts w:hint="eastAsia"/>
        </w:rPr>
        <w:t>)</w:t>
      </w:r>
    </w:p>
    <w:p w14:paraId="01DC751F">
      <w:pPr>
        <w:overflowPunct w:val="0"/>
        <w:autoSpaceDE w:val="0"/>
        <w:autoSpaceDN w:val="0"/>
        <w:spacing w:line="240" w:lineRule="auto"/>
        <w:ind w:firstLine="420" w:firstLineChars="200"/>
        <w:rPr>
          <w:rFonts w:ascii="宋体" w:hAnsi="宋体"/>
        </w:rPr>
      </w:pPr>
      <w:r>
        <w:rPr>
          <w:rFonts w:hint="eastAsia" w:ascii="宋体" w:hAnsi="宋体"/>
        </w:rPr>
        <w:t>式中：</w:t>
      </w:r>
    </w:p>
    <w:p w14:paraId="31489096">
      <w:pPr>
        <w:overflowPunct w:val="0"/>
        <w:autoSpaceDE w:val="0"/>
        <w:autoSpaceDN w:val="0"/>
        <w:spacing w:line="240" w:lineRule="auto"/>
        <w:ind w:firstLine="420" w:firstLineChars="200"/>
        <w:rPr>
          <w:rFonts w:ascii="宋体" w:hAnsi="宋体"/>
        </w:rPr>
      </w:pPr>
      <w:r>
        <w:rPr>
          <w:rFonts w:hint="eastAsia" w:ascii="宋体" w:hAnsi="宋体"/>
        </w:rPr>
        <w:t>R</w:t>
      </w:r>
      <w:r>
        <w:rPr>
          <w:rFonts w:hint="eastAsia" w:ascii="宋体" w:hAnsi="宋体"/>
          <w:vertAlign w:val="subscript"/>
        </w:rPr>
        <w:t>s</w:t>
      </w:r>
      <w:r>
        <w:rPr>
          <w:rFonts w:hint="eastAsia"/>
          <w:spacing w:val="-20"/>
        </w:rPr>
        <w:t>——</w:t>
      </w:r>
      <w:r>
        <w:rPr>
          <w:rFonts w:hint="eastAsia" w:ascii="宋体" w:hAnsi="宋体"/>
        </w:rPr>
        <w:t>为</w:t>
      </w:r>
      <w:r>
        <w:rPr>
          <w:rFonts w:ascii="宋体" w:hAnsi="宋体"/>
        </w:rPr>
        <w:t>罐壳半径</w:t>
      </w:r>
      <w:r>
        <w:rPr>
          <w:rFonts w:hint="eastAsia" w:ascii="宋体" w:hAnsi="宋体"/>
        </w:rPr>
        <w:t>，</w:t>
      </w:r>
      <w:r>
        <w:rPr>
          <w:rFonts w:ascii="宋体" w:hAnsi="宋体"/>
        </w:rPr>
        <w:t>英尺</w:t>
      </w:r>
      <w:r>
        <w:rPr>
          <w:rFonts w:hint="eastAsia" w:ascii="宋体" w:hAnsi="宋体"/>
        </w:rPr>
        <w:t>；</w:t>
      </w:r>
    </w:p>
    <w:p w14:paraId="6CA4B39A">
      <w:pPr>
        <w:overflowPunct w:val="0"/>
        <w:autoSpaceDE w:val="0"/>
        <w:autoSpaceDN w:val="0"/>
        <w:spacing w:line="240" w:lineRule="auto"/>
        <w:ind w:firstLine="420" w:firstLineChars="200"/>
        <w:rPr>
          <w:rFonts w:ascii="宋体" w:hAnsi="宋体"/>
        </w:rPr>
      </w:pPr>
      <w:r>
        <w:rPr>
          <w:rFonts w:ascii="宋体" w:hAnsi="宋体"/>
        </w:rPr>
        <w:t>H</w:t>
      </w:r>
      <w:r>
        <w:rPr>
          <w:rFonts w:ascii="宋体" w:hAnsi="宋体"/>
          <w:vertAlign w:val="subscript"/>
        </w:rPr>
        <w:t>R</w:t>
      </w:r>
      <w:r>
        <w:rPr>
          <w:rFonts w:hint="eastAsia"/>
          <w:spacing w:val="-20"/>
        </w:rPr>
        <w:t>——</w:t>
      </w:r>
      <w:r>
        <w:rPr>
          <w:rFonts w:hint="eastAsia" w:ascii="宋体" w:hAnsi="宋体"/>
        </w:rPr>
        <w:t>为</w:t>
      </w:r>
      <w:r>
        <w:rPr>
          <w:rFonts w:ascii="宋体" w:hAnsi="宋体"/>
        </w:rPr>
        <w:t>罐顶高度</w:t>
      </w:r>
      <w:r>
        <w:rPr>
          <w:rFonts w:hint="eastAsia" w:ascii="宋体" w:hAnsi="宋体"/>
        </w:rPr>
        <w:t>，</w:t>
      </w:r>
      <w:r>
        <w:rPr>
          <w:rFonts w:ascii="宋体" w:hAnsi="宋体"/>
        </w:rPr>
        <w:t>英尺</w:t>
      </w:r>
      <w:r>
        <w:rPr>
          <w:rFonts w:hint="eastAsia" w:ascii="宋体" w:hAnsi="宋体"/>
        </w:rPr>
        <w:t>。</w:t>
      </w:r>
    </w:p>
    <w:p w14:paraId="058B0652">
      <w:pPr>
        <w:pStyle w:val="242"/>
      </w:pPr>
      <w:r>
        <w:rPr>
          <w:rFonts w:hAnsi="宋体"/>
        </w:rPr>
        <w:tab/>
      </w: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hint="eastAsia" w:ascii="Cambria Math" w:hAnsi="Cambria Math" w:eastAsia="微软雅黑" w:cs="微软雅黑"/>
          </w:rPr>
          <m:t>−</m:t>
        </m:r>
        <m:sSup>
          <m:sSupPr>
            <m:ctrlPr>
              <w:rPr>
                <w:rFonts w:ascii="Cambria Math" w:hAnsi="Cambria Math"/>
              </w:rPr>
            </m:ctrlPr>
          </m:sSupPr>
          <m:e>
            <m:d>
              <m:dPr>
                <m:ctrlPr>
                  <w:rPr>
                    <w:rFonts w:ascii="Cambria Math" w:hAnsi="Cambria Math"/>
                  </w:rPr>
                </m:ctrlPr>
              </m:dPr>
              <m:e>
                <m:sSubSup>
                  <m:sSubSupPr>
                    <m:ctrlPr>
                      <w:rPr>
                        <w:rFonts w:ascii="Cambria Math" w:hAnsi="Cambria Math"/>
                      </w:rPr>
                    </m:ctrlPr>
                  </m:sSubSupPr>
                  <m:e>
                    <m:r>
                      <m:rPr/>
                      <w:rPr>
                        <w:rFonts w:ascii="Cambria Math" w:hAnsi="Cambria Math"/>
                      </w:rPr>
                      <m:t>R</m:t>
                    </m:r>
                    <m:ctrlPr>
                      <w:rPr>
                        <w:rFonts w:ascii="Cambria Math" w:hAnsi="Cambria Math"/>
                      </w:rPr>
                    </m:ctrlPr>
                  </m:e>
                  <m:sub>
                    <m:r>
                      <m:rPr/>
                      <w:rPr>
                        <w:rFonts w:ascii="Cambria Math" w:hAnsi="Cambria Math"/>
                      </w:rPr>
                      <m:t>R</m:t>
                    </m:r>
                    <m:ctrlPr>
                      <w:rPr>
                        <w:rFonts w:ascii="Cambria Math" w:hAnsi="Cambria Math"/>
                      </w:rPr>
                    </m:ctrlPr>
                  </m:sub>
                  <m:sup>
                    <m:r>
                      <m:rPr>
                        <m:sty m:val="p"/>
                      </m:rPr>
                      <w:rPr>
                        <w:rFonts w:ascii="Cambria Math" w:hAnsi="Cambria Math"/>
                      </w:rPr>
                      <m:t>2</m:t>
                    </m:r>
                    <m:ctrlPr>
                      <w:rPr>
                        <w:rFonts w:ascii="Cambria Math" w:hAnsi="Cambria Math"/>
                      </w:rPr>
                    </m:ctrlPr>
                  </m:sup>
                </m:sSubSup>
                <m:r>
                  <m:rPr>
                    <m:sty m:val="p"/>
                  </m:rPr>
                  <w:rPr>
                    <w:rFonts w:hint="eastAsia" w:ascii="Cambria Math" w:hAnsi="Cambria Math" w:eastAsia="微软雅黑" w:cs="微软雅黑"/>
                  </w:rPr>
                  <m:t>−</m:t>
                </m:r>
                <m:sSubSup>
                  <m:sSubSupPr>
                    <m:ctrlPr>
                      <w:rPr>
                        <w:rFonts w:ascii="Cambria Math" w:hAnsi="Cambria Math"/>
                      </w:rPr>
                    </m:ctrlPr>
                  </m:sSubSupPr>
                  <m:e>
                    <m:r>
                      <m:rPr/>
                      <w:rPr>
                        <w:rFonts w:ascii="Cambria Math" w:hAnsi="Cambria Math"/>
                      </w:rPr>
                      <m:t>R</m:t>
                    </m:r>
                    <m:ctrlPr>
                      <w:rPr>
                        <w:rFonts w:ascii="Cambria Math" w:hAnsi="Cambria Math"/>
                      </w:rPr>
                    </m:ctrlPr>
                  </m:e>
                  <m:sub>
                    <m:r>
                      <m:rPr/>
                      <w:rPr>
                        <w:rFonts w:ascii="Cambria Math" w:hAnsi="Cambria Math"/>
                      </w:rPr>
                      <m:t>S</m:t>
                    </m:r>
                    <m:ctrlPr>
                      <w:rPr>
                        <w:rFonts w:ascii="Cambria Math" w:hAnsi="Cambria Math"/>
                      </w:rPr>
                    </m:ctrlPr>
                  </m:sub>
                  <m:sup>
                    <m:r>
                      <m:rPr>
                        <m:sty m:val="p"/>
                      </m:rPr>
                      <w:rPr>
                        <w:rFonts w:ascii="Cambria Math" w:hAnsi="Cambria Math"/>
                      </w:rPr>
                      <m:t>2</m:t>
                    </m:r>
                    <m:ctrlPr>
                      <w:rPr>
                        <w:rFonts w:ascii="Cambria Math" w:hAnsi="Cambria Math"/>
                      </w:rPr>
                    </m:ctrlPr>
                  </m:sup>
                </m:sSubSup>
                <m:ctrlPr>
                  <w:rPr>
                    <w:rFonts w:ascii="Cambria Math" w:hAnsi="Cambria Math"/>
                  </w:rPr>
                </m:ctrlPr>
              </m:e>
            </m:d>
            <m:ctrlPr>
              <w:rPr>
                <w:rFonts w:ascii="Cambria Math" w:hAnsi="Cambria Math"/>
              </w:rPr>
            </m:ctrlPr>
          </m:e>
          <m:sup>
            <m:r>
              <m:rPr>
                <m:sty m:val="p"/>
              </m:rPr>
              <w:rPr>
                <w:rFonts w:ascii="Cambria Math" w:hAnsi="Cambria Math"/>
              </w:rPr>
              <m:t>0.5</m:t>
            </m:r>
            <m:ctrlPr>
              <w:rPr>
                <w:rFonts w:ascii="Cambria Math" w:hAnsi="Cambria Math"/>
              </w:rPr>
            </m:ctrlPr>
          </m:sup>
        </m:sSup>
      </m:oMath>
      <w:r>
        <w:rPr>
          <w:rFonts w:hAnsi="宋体"/>
        </w:rPr>
        <w:tab/>
      </w:r>
      <w:r>
        <w:rPr>
          <w:rFonts w:hint="eastAsia"/>
        </w:rPr>
        <w:t>(E</w:t>
      </w:r>
      <w:r>
        <w:t>.8</w:t>
      </w:r>
      <w:r>
        <w:rPr>
          <w:rFonts w:hint="eastAsia"/>
        </w:rPr>
        <w:t>)</w:t>
      </w:r>
    </w:p>
    <w:p w14:paraId="4C2431D9">
      <w:pPr>
        <w:overflowPunct w:val="0"/>
        <w:autoSpaceDE w:val="0"/>
        <w:autoSpaceDN w:val="0"/>
        <w:spacing w:line="240" w:lineRule="auto"/>
        <w:ind w:firstLine="420" w:firstLineChars="200"/>
        <w:rPr>
          <w:rFonts w:ascii="宋体" w:hAnsi="宋体"/>
        </w:rPr>
      </w:pPr>
      <w:r>
        <w:rPr>
          <w:rFonts w:hint="eastAsia" w:ascii="宋体" w:hAnsi="宋体"/>
        </w:rPr>
        <w:t>式中：</w:t>
      </w:r>
    </w:p>
    <w:p w14:paraId="19102BF6">
      <w:pPr>
        <w:overflowPunct w:val="0"/>
        <w:autoSpaceDE w:val="0"/>
        <w:autoSpaceDN w:val="0"/>
        <w:spacing w:line="240" w:lineRule="auto"/>
        <w:ind w:firstLine="420" w:firstLineChars="200"/>
        <w:rPr>
          <w:rFonts w:ascii="宋体" w:hAnsi="宋体"/>
        </w:rPr>
      </w:pPr>
      <w:r>
        <w:rPr>
          <w:rFonts w:hint="eastAsia" w:ascii="宋体" w:hAnsi="宋体"/>
        </w:rPr>
        <w:t>R</w:t>
      </w:r>
      <w:r>
        <w:rPr>
          <w:rFonts w:ascii="宋体" w:hAnsi="宋体"/>
          <w:vertAlign w:val="subscript"/>
        </w:rPr>
        <w:t>R</w:t>
      </w:r>
      <w:r>
        <w:rPr>
          <w:rFonts w:hint="eastAsia"/>
          <w:spacing w:val="-20"/>
        </w:rPr>
        <w:t>——</w:t>
      </w:r>
      <w:r>
        <w:rPr>
          <w:rFonts w:hint="eastAsia" w:ascii="宋体" w:hAnsi="宋体"/>
        </w:rPr>
        <w:t>为</w:t>
      </w:r>
      <w:r>
        <w:rPr>
          <w:rFonts w:ascii="宋体" w:hAnsi="宋体"/>
        </w:rPr>
        <w:t>罐</w:t>
      </w:r>
      <w:r>
        <w:rPr>
          <w:rFonts w:hint="eastAsia" w:ascii="宋体" w:hAnsi="宋体"/>
        </w:rPr>
        <w:t>拱顶</w:t>
      </w:r>
      <w:r>
        <w:rPr>
          <w:rFonts w:ascii="宋体" w:hAnsi="宋体"/>
        </w:rPr>
        <w:t>半径</w:t>
      </w:r>
      <w:r>
        <w:rPr>
          <w:rFonts w:hint="eastAsia" w:ascii="宋体" w:hAnsi="宋体"/>
        </w:rPr>
        <w:t>，</w:t>
      </w:r>
      <w:r>
        <w:rPr>
          <w:rFonts w:ascii="宋体" w:hAnsi="宋体"/>
        </w:rPr>
        <w:t>英尺</w:t>
      </w:r>
      <w:r>
        <w:rPr>
          <w:rFonts w:hint="eastAsia" w:ascii="宋体" w:hAnsi="宋体"/>
        </w:rPr>
        <w:t>；</w:t>
      </w:r>
    </w:p>
    <w:p w14:paraId="70BD690A">
      <w:pPr>
        <w:overflowPunct w:val="0"/>
        <w:autoSpaceDE w:val="0"/>
        <w:autoSpaceDN w:val="0"/>
        <w:spacing w:line="240" w:lineRule="auto"/>
        <w:ind w:firstLine="420" w:firstLineChars="200"/>
        <w:rPr>
          <w:rFonts w:ascii="宋体" w:hAnsi="宋体"/>
        </w:rPr>
      </w:pPr>
      <w:r>
        <w:rPr>
          <w:rFonts w:hint="eastAsia" w:ascii="宋体" w:hAnsi="宋体"/>
        </w:rPr>
        <w:t>R</w:t>
      </w:r>
      <w:r>
        <w:rPr>
          <w:rFonts w:ascii="宋体" w:hAnsi="宋体"/>
          <w:vertAlign w:val="subscript"/>
        </w:rPr>
        <w:t>R</w:t>
      </w:r>
      <w:r>
        <w:rPr>
          <w:rFonts w:hint="eastAsia"/>
          <w:spacing w:val="-20"/>
        </w:rPr>
        <w:t>——</w:t>
      </w:r>
      <w:r>
        <w:rPr>
          <w:rFonts w:hint="eastAsia" w:ascii="宋体" w:hAnsi="宋体"/>
        </w:rPr>
        <w:t>的</w:t>
      </w:r>
      <w:r>
        <w:rPr>
          <w:rFonts w:ascii="宋体" w:hAnsi="宋体"/>
        </w:rPr>
        <w:t>值一般介于</w:t>
      </w:r>
      <w:r>
        <w:rPr>
          <w:rFonts w:hint="eastAsia" w:ascii="宋体" w:hAnsi="宋体"/>
        </w:rPr>
        <w:t>0.8</w:t>
      </w:r>
      <w:r>
        <w:rPr>
          <w:rFonts w:ascii="宋体" w:hAnsi="宋体"/>
        </w:rPr>
        <w:t xml:space="preserve"> D-1.2 D</w:t>
      </w:r>
      <w:r>
        <w:rPr>
          <w:rFonts w:hint="eastAsia" w:ascii="宋体" w:hAnsi="宋体"/>
        </w:rPr>
        <w:t>之间</w:t>
      </w:r>
      <w:r>
        <w:rPr>
          <w:rFonts w:ascii="宋体" w:hAnsi="宋体"/>
        </w:rPr>
        <w:t>，其中D=2R</w:t>
      </w:r>
      <w:r>
        <w:rPr>
          <w:rFonts w:ascii="宋体" w:hAnsi="宋体"/>
          <w:vertAlign w:val="subscript"/>
        </w:rPr>
        <w:t>s</w:t>
      </w:r>
      <w:r>
        <w:rPr>
          <w:rFonts w:hint="eastAsia" w:ascii="宋体" w:hAnsi="宋体"/>
        </w:rPr>
        <w:t>；如果R</w:t>
      </w:r>
      <w:r>
        <w:rPr>
          <w:rFonts w:ascii="宋体" w:hAnsi="宋体"/>
          <w:vertAlign w:val="subscript"/>
        </w:rPr>
        <w:t>R</w:t>
      </w:r>
      <w:r>
        <w:rPr>
          <w:rFonts w:hint="eastAsia" w:ascii="宋体" w:hAnsi="宋体"/>
        </w:rPr>
        <w:t>未知，</w:t>
      </w:r>
      <w:r>
        <w:rPr>
          <w:rFonts w:ascii="宋体" w:hAnsi="宋体"/>
        </w:rPr>
        <w:t>则用罐体直径代替</w:t>
      </w:r>
      <w:r>
        <w:rPr>
          <w:rFonts w:hint="eastAsia" w:ascii="宋体" w:hAnsi="宋体"/>
        </w:rPr>
        <w:t>；</w:t>
      </w:r>
    </w:p>
    <w:p w14:paraId="417E3681">
      <w:pPr>
        <w:overflowPunct w:val="0"/>
        <w:autoSpaceDE w:val="0"/>
        <w:autoSpaceDN w:val="0"/>
        <w:spacing w:line="240" w:lineRule="auto"/>
        <w:ind w:firstLine="420" w:firstLineChars="200"/>
        <w:rPr>
          <w:rFonts w:ascii="宋体" w:hAnsi="宋体"/>
        </w:rPr>
      </w:pPr>
      <w:r>
        <w:rPr>
          <w:rFonts w:ascii="宋体" w:hAnsi="宋体"/>
        </w:rPr>
        <w:t>R</w:t>
      </w:r>
      <w:r>
        <w:rPr>
          <w:rFonts w:ascii="宋体" w:hAnsi="宋体"/>
          <w:vertAlign w:val="subscript"/>
        </w:rPr>
        <w:t>s</w:t>
      </w:r>
      <w:r>
        <w:rPr>
          <w:rFonts w:hint="eastAsia"/>
          <w:spacing w:val="-20"/>
        </w:rPr>
        <w:t>——</w:t>
      </w:r>
      <w:r>
        <w:rPr>
          <w:rFonts w:hint="eastAsia" w:ascii="宋体" w:hAnsi="宋体"/>
        </w:rPr>
        <w:t>为</w:t>
      </w:r>
      <w:r>
        <w:rPr>
          <w:rFonts w:ascii="宋体" w:hAnsi="宋体"/>
        </w:rPr>
        <w:t>罐壳半径</w:t>
      </w:r>
      <w:r>
        <w:rPr>
          <w:rFonts w:hint="eastAsia" w:ascii="宋体" w:hAnsi="宋体"/>
        </w:rPr>
        <w:t>，</w:t>
      </w:r>
      <w:r>
        <w:rPr>
          <w:rFonts w:ascii="宋体" w:hAnsi="宋体"/>
        </w:rPr>
        <w:t>英尺</w:t>
      </w:r>
      <w:r>
        <w:rPr>
          <w:rFonts w:hint="eastAsia" w:ascii="宋体" w:hAnsi="宋体"/>
        </w:rPr>
        <w:t>。</w:t>
      </w:r>
    </w:p>
    <w:p w14:paraId="21FDCDFA">
      <w:pPr>
        <w:overflowPunct w:val="0"/>
        <w:autoSpaceDE w:val="0"/>
        <w:autoSpaceDN w:val="0"/>
        <w:spacing w:line="240" w:lineRule="auto"/>
        <w:ind w:firstLine="420" w:firstLineChars="200"/>
        <w:rPr>
          <w:rFonts w:ascii="宋体" w:hAnsi="宋体"/>
        </w:rPr>
      </w:pPr>
      <w:r>
        <w:rPr>
          <w:rFonts w:hint="eastAsia" w:ascii="宋体" w:hAnsi="宋体"/>
        </w:rPr>
        <w:t>如果</w:t>
      </w:r>
      <w:r>
        <w:rPr>
          <w:rFonts w:ascii="宋体" w:hAnsi="宋体"/>
        </w:rPr>
        <w:t>是卧</w:t>
      </w:r>
      <w:r>
        <w:rPr>
          <w:rFonts w:hint="eastAsia" w:ascii="宋体" w:hAnsi="宋体"/>
        </w:rPr>
        <w:t>式</w:t>
      </w:r>
      <w:r>
        <w:rPr>
          <w:rFonts w:ascii="宋体" w:hAnsi="宋体"/>
        </w:rPr>
        <w:t>罐，</w:t>
      </w:r>
      <w:r>
        <w:rPr>
          <w:rFonts w:hint="eastAsia" w:ascii="宋体" w:hAnsi="宋体"/>
        </w:rPr>
        <w:t>公式</w:t>
      </w:r>
      <w:r>
        <w:rPr>
          <w:rFonts w:ascii="宋体" w:hAnsi="宋体"/>
        </w:rPr>
        <w:t>(E.3)</w:t>
      </w:r>
      <w:r>
        <w:rPr>
          <w:rFonts w:hint="eastAsia" w:ascii="宋体" w:hAnsi="宋体"/>
        </w:rPr>
        <w:t>中</w:t>
      </w:r>
      <w:r>
        <w:rPr>
          <w:rFonts w:ascii="宋体" w:hAnsi="宋体"/>
        </w:rPr>
        <w:t>的罐径</w:t>
      </w:r>
      <w:r>
        <w:rPr>
          <w:rFonts w:hint="eastAsia" w:ascii="宋体" w:hAnsi="宋体"/>
        </w:rPr>
        <w:t>D</w:t>
      </w:r>
      <w:r>
        <w:rPr>
          <w:rFonts w:ascii="宋体" w:hAnsi="宋体"/>
        </w:rPr>
        <w:t>则为</w:t>
      </w:r>
      <w:r>
        <w:rPr>
          <w:rFonts w:hint="eastAsia" w:ascii="宋体" w:hAnsi="宋体"/>
        </w:rPr>
        <w:t>有效</w:t>
      </w:r>
      <w:r>
        <w:rPr>
          <w:rFonts w:ascii="宋体" w:hAnsi="宋体"/>
        </w:rPr>
        <w:t>罐径D</w:t>
      </w:r>
      <w:r>
        <w:rPr>
          <w:rFonts w:ascii="宋体" w:hAnsi="宋体"/>
          <w:i/>
          <w:vertAlign w:val="subscript"/>
        </w:rPr>
        <w:t>E</w:t>
      </w:r>
      <w:r>
        <w:rPr>
          <w:rFonts w:hint="eastAsia" w:ascii="宋体" w:hAnsi="宋体"/>
        </w:rPr>
        <w:t>：</w:t>
      </w:r>
    </w:p>
    <w:p w14:paraId="20D3C4DE">
      <w:pPr>
        <w:pStyle w:val="242"/>
      </w:pPr>
      <w:r>
        <w:rPr>
          <w:rFonts w:hAnsi="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E</m:t>
            </m:r>
            <m:ctrlPr>
              <w:rPr>
                <w:rFonts w:ascii="Cambria Math" w:hAnsi="Cambria Math"/>
              </w:rPr>
            </m:ctrlPr>
          </m:sub>
        </m:sSub>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f>
              <m:fPr>
                <m:ctrlPr>
                  <w:rPr>
                    <w:rFonts w:ascii="Cambria Math" w:hAnsi="Cambria Math"/>
                  </w:rPr>
                </m:ctrlPr>
              </m:fPr>
              <m:num>
                <m:r>
                  <m:rPr/>
                  <w:rPr>
                    <w:rFonts w:ascii="Cambria Math" w:hAnsi="Cambria Math"/>
                  </w:rPr>
                  <m:t>LD</m:t>
                </m:r>
                <m:ctrlPr>
                  <w:rPr>
                    <w:rFonts w:ascii="Cambria Math" w:hAnsi="Cambria Math"/>
                  </w:rPr>
                </m:ctrlPr>
              </m:num>
              <m:den>
                <m:r>
                  <m:rPr>
                    <m:sty m:val="p"/>
                  </m:rPr>
                  <w:rPr>
                    <w:rFonts w:ascii="Cambria Math" w:hAnsi="Cambria Math"/>
                  </w:rPr>
                  <m:t>0.785</m:t>
                </m:r>
                <m:ctrlPr>
                  <w:rPr>
                    <w:rFonts w:ascii="Cambria Math" w:hAnsi="Cambria Math"/>
                  </w:rPr>
                </m:ctrlPr>
              </m:den>
            </m:f>
            <m:ctrlPr>
              <w:rPr>
                <w:rFonts w:ascii="Cambria Math" w:hAnsi="Cambria Math"/>
              </w:rPr>
            </m:ctrlPr>
          </m:e>
        </m:rad>
      </m:oMath>
      <w:r>
        <w:tab/>
      </w:r>
      <w:r>
        <w:rPr>
          <w:rFonts w:hint="eastAsia"/>
        </w:rPr>
        <w:t>(E</w:t>
      </w:r>
      <w:r>
        <w:t>.9</w:t>
      </w:r>
      <w:r>
        <w:rPr>
          <w:rFonts w:hint="eastAsia"/>
        </w:rPr>
        <w:t>)</w:t>
      </w:r>
    </w:p>
    <w:p w14:paraId="168619B7">
      <w:pPr>
        <w:overflowPunct w:val="0"/>
        <w:autoSpaceDE w:val="0"/>
        <w:autoSpaceDN w:val="0"/>
        <w:spacing w:line="240" w:lineRule="auto"/>
        <w:ind w:firstLine="420" w:firstLineChars="200"/>
        <w:rPr>
          <w:rFonts w:ascii="宋体" w:hAnsi="宋体"/>
        </w:rPr>
      </w:pPr>
      <w:r>
        <w:rPr>
          <w:rFonts w:hint="eastAsia" w:ascii="宋体" w:hAnsi="宋体"/>
        </w:rPr>
        <w:t>式中：</w:t>
      </w:r>
    </w:p>
    <w:p w14:paraId="0B0F6F1B">
      <w:pPr>
        <w:overflowPunct w:val="0"/>
        <w:autoSpaceDE w:val="0"/>
        <w:autoSpaceDN w:val="0"/>
        <w:spacing w:line="240" w:lineRule="auto"/>
        <w:ind w:firstLine="420" w:firstLineChars="200"/>
        <w:rPr>
          <w:rFonts w:ascii="宋体" w:hAnsi="宋体"/>
        </w:rPr>
      </w:pPr>
      <w:r>
        <w:rPr>
          <w:rFonts w:hint="eastAsia" w:ascii="宋体" w:hAnsi="宋体"/>
        </w:rPr>
        <w:t>L</w:t>
      </w:r>
      <w:r>
        <w:rPr>
          <w:rFonts w:hint="eastAsia"/>
          <w:spacing w:val="-20"/>
        </w:rPr>
        <w:t>——</w:t>
      </w:r>
      <w:r>
        <w:rPr>
          <w:rFonts w:hint="eastAsia" w:ascii="宋体" w:hAnsi="宋体"/>
        </w:rPr>
        <w:t>为</w:t>
      </w:r>
      <w:r>
        <w:rPr>
          <w:rFonts w:ascii="宋体" w:hAnsi="宋体"/>
        </w:rPr>
        <w:t>卧</w:t>
      </w:r>
      <w:r>
        <w:rPr>
          <w:rFonts w:hint="eastAsia" w:ascii="宋体" w:hAnsi="宋体"/>
        </w:rPr>
        <w:t>式</w:t>
      </w:r>
      <w:r>
        <w:rPr>
          <w:rFonts w:ascii="宋体" w:hAnsi="宋体"/>
        </w:rPr>
        <w:t>罐</w:t>
      </w:r>
      <w:r>
        <w:rPr>
          <w:rFonts w:hint="eastAsia" w:ascii="宋体" w:hAnsi="宋体"/>
        </w:rPr>
        <w:t>（含</w:t>
      </w:r>
      <w:r>
        <w:rPr>
          <w:rFonts w:ascii="宋体" w:hAnsi="宋体"/>
        </w:rPr>
        <w:t>封头）</w:t>
      </w:r>
      <w:r>
        <w:rPr>
          <w:rFonts w:hint="eastAsia" w:ascii="宋体" w:hAnsi="宋体"/>
        </w:rPr>
        <w:t>总长，英尺；</w:t>
      </w:r>
    </w:p>
    <w:p w14:paraId="77343257">
      <w:pPr>
        <w:overflowPunct w:val="0"/>
        <w:autoSpaceDE w:val="0"/>
        <w:autoSpaceDN w:val="0"/>
        <w:spacing w:line="240" w:lineRule="auto"/>
        <w:ind w:firstLine="420" w:firstLineChars="200"/>
        <w:rPr>
          <w:rFonts w:ascii="宋体" w:hAnsi="宋体"/>
        </w:rPr>
      </w:pPr>
      <w:r>
        <w:rPr>
          <w:rFonts w:ascii="宋体" w:hAnsi="宋体"/>
        </w:rPr>
        <w:t>D</w:t>
      </w:r>
      <w:r>
        <w:rPr>
          <w:rFonts w:hint="eastAsia"/>
          <w:spacing w:val="-20"/>
        </w:rPr>
        <w:t>——</w:t>
      </w:r>
      <w:r>
        <w:rPr>
          <w:rFonts w:hint="eastAsia" w:ascii="宋体" w:hAnsi="宋体"/>
        </w:rPr>
        <w:t>为</w:t>
      </w:r>
      <w:r>
        <w:rPr>
          <w:rFonts w:ascii="宋体" w:hAnsi="宋体"/>
        </w:rPr>
        <w:t>卧式罐垂直剖面的直径</w:t>
      </w:r>
      <w:r>
        <w:rPr>
          <w:rFonts w:hint="eastAsia" w:ascii="宋体" w:hAnsi="宋体"/>
        </w:rPr>
        <w:t>，</w:t>
      </w:r>
      <w:r>
        <w:rPr>
          <w:rFonts w:ascii="宋体" w:hAnsi="宋体"/>
        </w:rPr>
        <w:t>英尺</w:t>
      </w:r>
      <w:r>
        <w:rPr>
          <w:rFonts w:hint="eastAsia" w:ascii="宋体" w:hAnsi="宋体"/>
        </w:rPr>
        <w:t>。</w:t>
      </w:r>
    </w:p>
    <w:p w14:paraId="287C2E91">
      <w:pPr>
        <w:spacing w:line="240" w:lineRule="auto"/>
        <w:ind w:firstLine="420" w:firstLineChars="200"/>
        <w:rPr>
          <w:rFonts w:ascii="宋体" w:hAnsi="宋体"/>
        </w:rPr>
      </w:pPr>
      <w:r>
        <w:rPr>
          <w:rFonts w:ascii="宋体" w:hAnsi="宋体"/>
        </w:rPr>
        <w:t>2</w:t>
      </w:r>
      <w:r>
        <w:rPr>
          <w:rFonts w:hint="eastAsia" w:ascii="宋体" w:hAnsi="宋体"/>
        </w:rPr>
        <w:t>）气相空间膨胀因子K</w:t>
      </w:r>
      <w:r>
        <w:rPr>
          <w:rFonts w:hint="eastAsia" w:ascii="宋体" w:hAnsi="宋体"/>
          <w:vertAlign w:val="subscript"/>
        </w:rPr>
        <w:t>E</w:t>
      </w:r>
      <w:r>
        <w:rPr>
          <w:rFonts w:hint="eastAsia" w:ascii="宋体" w:hAnsi="宋体"/>
        </w:rPr>
        <w:t>计算</w:t>
      </w:r>
    </w:p>
    <w:p w14:paraId="3F132700">
      <w:pPr>
        <w:pStyle w:val="242"/>
        <w:rPr>
          <w:rFonts w:cstheme="minorBidi"/>
        </w:rPr>
      </w:pPr>
      <w:r>
        <w:rPr>
          <w:rFonts w:hAnsi="宋体"/>
        </w:rPr>
        <w:tab/>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E</m:t>
            </m:r>
            <m:ctrlPr>
              <w:rPr>
                <w:rFonts w:ascii="Cambria Math" w:hAnsi="Cambria Math"/>
              </w:rPr>
            </m:ctrlPr>
          </m:sub>
        </m:sSub>
        <m:r>
          <m:rPr>
            <m:sty m:val="p"/>
          </m:rPr>
          <w:rPr>
            <w:rFonts w:ascii="Cambria Math" w:hAnsi="Cambria Math"/>
          </w:rPr>
          <m:t>=0.0018Δ</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V</m:t>
            </m:r>
            <m:ctrlPr>
              <w:rPr>
                <w:rFonts w:ascii="Cambria Math" w:hAnsi="Cambria Math"/>
              </w:rPr>
            </m:ctrlPr>
          </m:sub>
        </m:sSub>
        <m:r>
          <m:rPr>
            <m:sty m:val="p"/>
          </m:rPr>
          <w:rPr>
            <w:rFonts w:ascii="Cambria Math" w:hAnsi="Cambria Math"/>
          </w:rPr>
          <m:t>=0.0018</m:t>
        </m:r>
        <m:d>
          <m:dPr>
            <m:begChr m:val="["/>
            <m:endChr m:val="]"/>
            <m:ctrlPr>
              <w:rPr>
                <w:rFonts w:ascii="Cambria Math" w:hAnsi="Cambria Math"/>
              </w:rPr>
            </m:ctrlPr>
          </m:dPr>
          <m:e>
            <m:r>
              <m:rPr>
                <m:sty m:val="p"/>
              </m:rPr>
              <w:rPr>
                <w:rFonts w:ascii="Cambria Math" w:hAnsi="Cambria Math"/>
              </w:rPr>
              <m:t>0.72</m:t>
            </m:r>
            <m:d>
              <m:dPr>
                <m:ctrlPr>
                  <w:rPr>
                    <w:rFonts w:ascii="Cambria Math" w:hAnsi="Cambria Math"/>
                  </w:rPr>
                </m:ctrlPr>
              </m:dPr>
              <m:e>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AX</m:t>
                    </m:r>
                    <m:ctrlPr>
                      <w:rPr>
                        <w:rFonts w:ascii="Cambria Math" w:hAnsi="Cambria Math"/>
                      </w:rPr>
                    </m:ctrlPr>
                  </m:sub>
                </m:sSub>
                <m:r>
                  <m:rPr>
                    <m:sty m:val="p"/>
                  </m:rPr>
                  <w:rPr>
                    <w:rFonts w:hint="eastAsia" w:ascii="Cambria Math" w:hAnsi="Cambria Math" w:eastAsia="微软雅黑" w:cs="微软雅黑"/>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AN</m:t>
                    </m:r>
                    <m:ctrlPr>
                      <w:rPr>
                        <w:rFonts w:ascii="Cambria Math" w:hAnsi="Cambria Math"/>
                      </w:rPr>
                    </m:ctrlPr>
                  </m:sub>
                </m:sSub>
                <m:ctrlPr>
                  <w:rPr>
                    <w:rFonts w:ascii="Cambria Math" w:hAnsi="Cambria Math"/>
                  </w:rPr>
                </m:ctrlPr>
              </m:e>
            </m:d>
            <m:r>
              <m:rPr>
                <m:sty m:val="p"/>
              </m:rPr>
              <w:rPr>
                <w:rFonts w:ascii="Cambria Math" w:hAnsi="Cambria Math"/>
              </w:rPr>
              <m:t>+0.028</m:t>
            </m:r>
            <m:r>
              <m:rPr/>
              <w:rPr>
                <w:rFonts w:ascii="Cambria Math" w:hAnsi="Cambria Math"/>
              </w:rPr>
              <m:t>αI</m:t>
            </m:r>
            <m:ctrlPr>
              <w:rPr>
                <w:rFonts w:ascii="Cambria Math" w:hAnsi="Cambria Math"/>
              </w:rPr>
            </m:ctrlPr>
          </m:e>
        </m:d>
      </m:oMath>
      <w:r>
        <w:rPr>
          <w:rFonts w:hAnsi="宋体"/>
        </w:rPr>
        <w:tab/>
      </w:r>
      <w:r>
        <w:rPr>
          <w:rFonts w:cstheme="minorBidi"/>
        </w:rPr>
        <w:t>(</w:t>
      </w:r>
      <w:r>
        <w:rPr>
          <w:rFonts w:hint="eastAsia" w:cstheme="minorBidi"/>
        </w:rPr>
        <w:t>E</w:t>
      </w:r>
      <w:r>
        <w:rPr>
          <w:rFonts w:cstheme="minorBidi"/>
        </w:rPr>
        <w:t>.10)</w:t>
      </w:r>
    </w:p>
    <w:p w14:paraId="5C66E40E">
      <w:pPr>
        <w:overflowPunct w:val="0"/>
        <w:autoSpaceDE w:val="0"/>
        <w:autoSpaceDN w:val="0"/>
        <w:spacing w:line="240" w:lineRule="auto"/>
        <w:ind w:firstLine="420" w:firstLineChars="200"/>
        <w:rPr>
          <w:rFonts w:ascii="宋体" w:hAnsi="宋体"/>
        </w:rPr>
      </w:pPr>
      <w:r>
        <w:rPr>
          <w:rFonts w:ascii="宋体" w:hAnsi="宋体"/>
        </w:rPr>
        <w:t>式中</w:t>
      </w:r>
      <w:r>
        <w:rPr>
          <w:rFonts w:hint="eastAsia" w:ascii="宋体" w:hAnsi="宋体"/>
        </w:rPr>
        <w:t>：</w:t>
      </w:r>
    </w:p>
    <w:p w14:paraId="1ABB6DBD">
      <w:pPr>
        <w:overflowPunct w:val="0"/>
        <w:autoSpaceDE w:val="0"/>
        <w:autoSpaceDN w:val="0"/>
        <w:spacing w:line="240" w:lineRule="auto"/>
        <w:ind w:firstLine="420" w:firstLineChars="200"/>
        <w:rPr>
          <w:rFonts w:ascii="宋体" w:hAnsi="宋体"/>
        </w:rPr>
      </w:pPr>
      <w:r>
        <w:rPr>
          <w:rFonts w:ascii="宋体" w:hAnsi="宋体"/>
        </w:rPr>
        <w:t>K</w:t>
      </w:r>
      <w:r>
        <w:rPr>
          <w:rFonts w:ascii="宋体" w:hAnsi="宋体"/>
          <w:vertAlign w:val="subscript"/>
        </w:rPr>
        <w:t>E</w:t>
      </w:r>
      <w:r>
        <w:rPr>
          <w:rFonts w:hint="eastAsia"/>
          <w:spacing w:val="-20"/>
        </w:rPr>
        <w:t>——</w:t>
      </w:r>
      <w:r>
        <w:rPr>
          <w:rFonts w:hint="eastAsia" w:ascii="宋体" w:hAnsi="宋体"/>
        </w:rPr>
        <w:t>为</w:t>
      </w:r>
      <w:r>
        <w:rPr>
          <w:rFonts w:ascii="宋体" w:hAnsi="宋体"/>
        </w:rPr>
        <w:t>气相空间膨胀因子</w:t>
      </w:r>
      <w:r>
        <w:rPr>
          <w:rFonts w:hint="eastAsia" w:ascii="宋体" w:hAnsi="宋体"/>
        </w:rPr>
        <w:t>，</w:t>
      </w:r>
      <w:r>
        <w:rPr>
          <w:rFonts w:ascii="宋体" w:hAnsi="宋体"/>
        </w:rPr>
        <w:t>无量纲量</w:t>
      </w:r>
      <w:r>
        <w:rPr>
          <w:rFonts w:hint="eastAsia" w:ascii="宋体" w:hAnsi="宋体"/>
        </w:rPr>
        <w:t>；</w:t>
      </w:r>
    </w:p>
    <w:p w14:paraId="3F1D9B52">
      <w:pPr>
        <w:overflowPunct w:val="0"/>
        <w:autoSpaceDE w:val="0"/>
        <w:autoSpaceDN w:val="0"/>
        <w:spacing w:line="240" w:lineRule="auto"/>
        <w:ind w:firstLine="420" w:firstLineChars="200"/>
        <w:rPr>
          <w:rFonts w:ascii="宋体" w:hAnsi="宋体"/>
        </w:rPr>
      </w:pPr>
      <w:r>
        <w:rPr>
          <w:rFonts w:ascii="宋体" w:hAnsi="宋体"/>
        </w:rPr>
        <w:t>ΔT</w:t>
      </w:r>
      <w:r>
        <w:rPr>
          <w:rFonts w:ascii="宋体" w:hAnsi="宋体"/>
          <w:vertAlign w:val="subscript"/>
        </w:rPr>
        <w:t>V</w:t>
      </w:r>
      <w:r>
        <w:rPr>
          <w:rFonts w:hint="eastAsia"/>
          <w:spacing w:val="-20"/>
        </w:rPr>
        <w:t>——</w:t>
      </w:r>
      <w:r>
        <w:rPr>
          <w:rFonts w:hint="eastAsia" w:ascii="宋体" w:hAnsi="宋体"/>
        </w:rPr>
        <w:t>为</w:t>
      </w:r>
      <w:r>
        <w:rPr>
          <w:rFonts w:ascii="宋体" w:hAnsi="宋体"/>
        </w:rPr>
        <w:t>日蒸气温度范围</w:t>
      </w:r>
      <w:r>
        <w:rPr>
          <w:rFonts w:hint="eastAsia" w:ascii="宋体" w:hAnsi="宋体"/>
        </w:rPr>
        <w:t>，</w:t>
      </w:r>
      <w:r>
        <w:rPr>
          <w:rFonts w:ascii="宋体" w:hAnsi="宋体"/>
        </w:rPr>
        <w:t>兰氏度</w:t>
      </w:r>
      <w:r>
        <w:rPr>
          <w:rFonts w:hint="eastAsia" w:ascii="宋体" w:hAnsi="宋体"/>
        </w:rPr>
        <w:t>；</w:t>
      </w:r>
    </w:p>
    <w:p w14:paraId="014B386C">
      <w:pPr>
        <w:overflowPunct w:val="0"/>
        <w:autoSpaceDE w:val="0"/>
        <w:autoSpaceDN w:val="0"/>
        <w:spacing w:line="240" w:lineRule="auto"/>
        <w:ind w:firstLine="420" w:firstLineChars="200"/>
        <w:rPr>
          <w:rFonts w:ascii="宋体" w:hAnsi="宋体"/>
        </w:rPr>
      </w:pPr>
      <w:r>
        <w:rPr>
          <w:rFonts w:ascii="宋体" w:hAnsi="宋体"/>
        </w:rPr>
        <w:t>T</w:t>
      </w:r>
      <w:r>
        <w:rPr>
          <w:rFonts w:ascii="宋体" w:hAnsi="宋体"/>
          <w:vertAlign w:val="subscript"/>
        </w:rPr>
        <w:t>AX</w:t>
      </w:r>
      <w:r>
        <w:rPr>
          <w:rFonts w:hint="eastAsia"/>
          <w:spacing w:val="-20"/>
        </w:rPr>
        <w:t>——</w:t>
      </w:r>
      <w:r>
        <w:rPr>
          <w:rFonts w:hint="eastAsia" w:ascii="宋体" w:hAnsi="宋体"/>
        </w:rPr>
        <w:t>为</w:t>
      </w:r>
      <w:r>
        <w:rPr>
          <w:rFonts w:ascii="宋体" w:hAnsi="宋体"/>
        </w:rPr>
        <w:t>日最高环境温度</w:t>
      </w:r>
      <w:r>
        <w:rPr>
          <w:rFonts w:hint="eastAsia" w:ascii="宋体" w:hAnsi="宋体"/>
        </w:rPr>
        <w:t>，</w:t>
      </w:r>
      <w:r>
        <w:rPr>
          <w:rFonts w:ascii="宋体" w:hAnsi="宋体"/>
        </w:rPr>
        <w:t>兰氏度</w:t>
      </w:r>
      <w:r>
        <w:rPr>
          <w:rFonts w:hint="eastAsia" w:ascii="宋体" w:hAnsi="宋体"/>
        </w:rPr>
        <w:t>；</w:t>
      </w:r>
    </w:p>
    <w:p w14:paraId="05624014">
      <w:pPr>
        <w:overflowPunct w:val="0"/>
        <w:autoSpaceDE w:val="0"/>
        <w:autoSpaceDN w:val="0"/>
        <w:spacing w:line="240" w:lineRule="auto"/>
        <w:ind w:firstLine="420" w:firstLineChars="200"/>
        <w:rPr>
          <w:rFonts w:ascii="宋体" w:hAnsi="宋体"/>
        </w:rPr>
      </w:pPr>
      <w:r>
        <w:rPr>
          <w:rFonts w:ascii="宋体" w:hAnsi="宋体"/>
        </w:rPr>
        <w:t>T</w:t>
      </w:r>
      <w:r>
        <w:rPr>
          <w:rFonts w:ascii="宋体" w:hAnsi="宋体"/>
          <w:vertAlign w:val="subscript"/>
        </w:rPr>
        <w:t>AN</w:t>
      </w:r>
      <w:r>
        <w:rPr>
          <w:rFonts w:hint="eastAsia"/>
          <w:spacing w:val="-20"/>
        </w:rPr>
        <w:t>——</w:t>
      </w:r>
      <w:r>
        <w:rPr>
          <w:rFonts w:hint="eastAsia" w:ascii="宋体" w:hAnsi="宋体"/>
        </w:rPr>
        <w:t>为</w:t>
      </w:r>
      <w:r>
        <w:rPr>
          <w:rFonts w:ascii="宋体" w:hAnsi="宋体"/>
        </w:rPr>
        <w:t>日最低环境温度</w:t>
      </w:r>
      <w:r>
        <w:rPr>
          <w:rFonts w:hint="eastAsia" w:ascii="宋体" w:hAnsi="宋体"/>
        </w:rPr>
        <w:t>，</w:t>
      </w:r>
      <w:r>
        <w:rPr>
          <w:rFonts w:ascii="宋体" w:hAnsi="宋体"/>
        </w:rPr>
        <w:t>兰氏度</w:t>
      </w:r>
      <w:r>
        <w:rPr>
          <w:rFonts w:hint="eastAsia" w:ascii="宋体" w:hAnsi="宋体"/>
        </w:rPr>
        <w:t>；</w:t>
      </w:r>
    </w:p>
    <w:p w14:paraId="67972A2D">
      <w:pPr>
        <w:overflowPunct w:val="0"/>
        <w:autoSpaceDE w:val="0"/>
        <w:autoSpaceDN w:val="0"/>
        <w:spacing w:line="240" w:lineRule="auto"/>
        <w:ind w:firstLine="420" w:firstLineChars="200"/>
        <w:rPr>
          <w:rFonts w:ascii="宋体" w:hAnsi="宋体"/>
        </w:rPr>
      </w:pPr>
      <w:r>
        <w:rPr>
          <w:rFonts w:ascii="宋体" w:hAnsi="宋体"/>
        </w:rPr>
        <w:t>α</w:t>
      </w:r>
      <w:r>
        <w:rPr>
          <w:rFonts w:hint="eastAsia"/>
          <w:spacing w:val="-20"/>
        </w:rPr>
        <w:t>——</w:t>
      </w:r>
      <w:r>
        <w:rPr>
          <w:rFonts w:hint="eastAsia" w:ascii="宋体" w:hAnsi="宋体"/>
        </w:rPr>
        <w:t>为</w:t>
      </w:r>
      <w:r>
        <w:rPr>
          <w:rFonts w:ascii="宋体" w:hAnsi="宋体"/>
        </w:rPr>
        <w:t>罐漆太阳能吸收率</w:t>
      </w:r>
      <w:r>
        <w:rPr>
          <w:rFonts w:hint="eastAsia" w:ascii="宋体" w:hAnsi="宋体"/>
        </w:rPr>
        <w:t>，</w:t>
      </w:r>
      <w:r>
        <w:rPr>
          <w:rFonts w:ascii="宋体" w:hAnsi="宋体"/>
        </w:rPr>
        <w:t>无量纲量</w:t>
      </w:r>
      <w:r>
        <w:rPr>
          <w:rFonts w:hint="eastAsia" w:ascii="宋体" w:hAnsi="宋体"/>
        </w:rPr>
        <w:t>，</w:t>
      </w:r>
      <w:r>
        <w:rPr>
          <w:rFonts w:ascii="宋体" w:hAnsi="宋体"/>
        </w:rPr>
        <w:t>见表E.1；</w:t>
      </w:r>
    </w:p>
    <w:p w14:paraId="5CCBF8ED">
      <w:pPr>
        <w:overflowPunct w:val="0"/>
        <w:autoSpaceDE w:val="0"/>
        <w:autoSpaceDN w:val="0"/>
        <w:spacing w:line="240" w:lineRule="auto"/>
        <w:ind w:firstLine="420" w:firstLineChars="200"/>
        <w:rPr>
          <w:rFonts w:ascii="宋体" w:hAnsi="宋体"/>
        </w:rPr>
      </w:pPr>
      <w:r>
        <w:rPr>
          <w:rFonts w:ascii="宋体" w:hAnsi="宋体"/>
        </w:rPr>
        <w:t>I</w:t>
      </w:r>
      <w:r>
        <w:rPr>
          <w:rFonts w:hint="eastAsia"/>
          <w:spacing w:val="-20"/>
        </w:rPr>
        <w:t>——</w:t>
      </w:r>
      <w:r>
        <w:rPr>
          <w:rFonts w:hint="eastAsia" w:ascii="宋体" w:hAnsi="宋体"/>
        </w:rPr>
        <w:t>为</w:t>
      </w:r>
      <w:r>
        <w:rPr>
          <w:rFonts w:ascii="宋体" w:hAnsi="宋体"/>
        </w:rPr>
        <w:t>太阳辐射强度</w:t>
      </w:r>
      <w:r>
        <w:rPr>
          <w:rFonts w:hint="eastAsia" w:ascii="宋体" w:hAnsi="宋体"/>
        </w:rPr>
        <w:t>，</w:t>
      </w:r>
      <w:r>
        <w:rPr>
          <w:rFonts w:ascii="宋体" w:hAnsi="宋体"/>
        </w:rPr>
        <w:t>英热/（平方英尺•天）</w:t>
      </w:r>
      <w:r>
        <w:rPr>
          <w:rFonts w:hint="eastAsia" w:ascii="宋体" w:hAnsi="宋体"/>
        </w:rPr>
        <w:t>；</w:t>
      </w:r>
      <w:r>
        <w:rPr>
          <w:rFonts w:ascii="宋体" w:hAnsi="宋体"/>
        </w:rPr>
        <w:t>0.0018</w:t>
      </w:r>
      <w:r>
        <w:rPr>
          <w:rFonts w:hint="eastAsia" w:ascii="宋体" w:hAnsi="宋体"/>
        </w:rPr>
        <w:t>为</w:t>
      </w:r>
      <w:r>
        <w:rPr>
          <w:rFonts w:ascii="宋体" w:hAnsi="宋体"/>
        </w:rPr>
        <w:t>常数</w:t>
      </w:r>
      <w:r>
        <w:rPr>
          <w:rFonts w:hint="eastAsia" w:ascii="宋体" w:hAnsi="宋体"/>
        </w:rPr>
        <w:t>，</w:t>
      </w:r>
      <w:r>
        <w:rPr>
          <w:rFonts w:ascii="宋体" w:hAnsi="宋体"/>
        </w:rPr>
        <w:t>兰氏度-1</w:t>
      </w:r>
      <w:r>
        <w:rPr>
          <w:rFonts w:hint="eastAsia" w:ascii="宋体" w:hAnsi="宋体"/>
        </w:rPr>
        <w:t>；</w:t>
      </w:r>
      <w:r>
        <w:rPr>
          <w:rFonts w:ascii="宋体" w:hAnsi="宋体"/>
        </w:rPr>
        <w:t>0.72</w:t>
      </w:r>
      <w:r>
        <w:rPr>
          <w:rFonts w:hint="eastAsia" w:ascii="宋体" w:hAnsi="宋体"/>
        </w:rPr>
        <w:t>为</w:t>
      </w:r>
      <w:r>
        <w:rPr>
          <w:rFonts w:ascii="宋体" w:hAnsi="宋体"/>
        </w:rPr>
        <w:t>常数</w:t>
      </w:r>
      <w:r>
        <w:rPr>
          <w:rFonts w:hint="eastAsia" w:ascii="宋体" w:hAnsi="宋体"/>
        </w:rPr>
        <w:t>，</w:t>
      </w:r>
      <w:r>
        <w:rPr>
          <w:rFonts w:ascii="宋体" w:hAnsi="宋体"/>
        </w:rPr>
        <w:t>无量纲量</w:t>
      </w:r>
      <w:r>
        <w:rPr>
          <w:rFonts w:hint="eastAsia" w:ascii="宋体" w:hAnsi="宋体"/>
        </w:rPr>
        <w:t>；</w:t>
      </w:r>
      <w:r>
        <w:rPr>
          <w:rFonts w:ascii="宋体" w:hAnsi="宋体"/>
        </w:rPr>
        <w:t>0.028</w:t>
      </w:r>
      <w:r>
        <w:rPr>
          <w:rFonts w:hint="eastAsia" w:ascii="宋体" w:hAnsi="宋体"/>
        </w:rPr>
        <w:t>为</w:t>
      </w:r>
      <w:r>
        <w:rPr>
          <w:rFonts w:ascii="宋体" w:hAnsi="宋体"/>
        </w:rPr>
        <w:t>常数</w:t>
      </w:r>
      <w:r>
        <w:rPr>
          <w:rFonts w:hint="eastAsia" w:ascii="宋体" w:hAnsi="宋体"/>
        </w:rPr>
        <w:t>，</w:t>
      </w:r>
      <w:r>
        <w:rPr>
          <w:rFonts w:ascii="宋体" w:hAnsi="宋体"/>
        </w:rPr>
        <w:t>兰氏度•平方英尺•天/英热。</w:t>
      </w:r>
    </w:p>
    <w:p w14:paraId="3E665BE9">
      <w:pPr>
        <w:pStyle w:val="13"/>
        <w:jc w:val="both"/>
        <w:rPr>
          <w:rFonts w:ascii="宋体" w:hAnsi="宋体" w:eastAsia="宋体"/>
          <w:bCs/>
          <w:sz w:val="21"/>
          <w:szCs w:val="21"/>
        </w:rPr>
        <w:sectPr>
          <w:pgSz w:w="11906" w:h="16838"/>
          <w:pgMar w:top="2410" w:right="1134" w:bottom="1134" w:left="1134" w:header="1418" w:footer="1134" w:gutter="284"/>
          <w:cols w:space="425" w:num="1"/>
          <w:formProt w:val="0"/>
          <w:docGrid w:linePitch="312" w:charSpace="0"/>
        </w:sectPr>
      </w:pPr>
    </w:p>
    <w:p w14:paraId="630133EC">
      <w:pPr>
        <w:pStyle w:val="13"/>
        <w:jc w:val="both"/>
        <w:rPr>
          <w:rFonts w:hint="eastAsia" w:ascii="宋体" w:hAnsi="宋体" w:eastAsia="宋体"/>
          <w:bCs/>
          <w:sz w:val="21"/>
          <w:szCs w:val="21"/>
        </w:rPr>
      </w:pPr>
    </w:p>
    <w:p w14:paraId="18197258">
      <w:pPr>
        <w:pStyle w:val="13"/>
        <w:ind w:firstLine="420" w:firstLineChars="200"/>
        <w:rPr>
          <w:rFonts w:ascii="宋体" w:hAnsi="宋体" w:eastAsia="宋体"/>
          <w:bCs/>
          <w:sz w:val="21"/>
          <w:szCs w:val="21"/>
        </w:rPr>
      </w:pPr>
      <w:r>
        <w:rPr>
          <w:rFonts w:ascii="宋体" w:hAnsi="宋体" w:eastAsia="宋体"/>
          <w:bCs/>
          <w:sz w:val="21"/>
          <w:szCs w:val="21"/>
        </w:rPr>
        <w:t>表E.1 罐漆太阳能吸收率（α）</w:t>
      </w:r>
    </w:p>
    <w:tbl>
      <w:tblPr>
        <w:tblStyle w:val="29"/>
        <w:tblW w:w="8296"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4"/>
        <w:gridCol w:w="2074"/>
        <w:gridCol w:w="2074"/>
        <w:gridCol w:w="2074"/>
      </w:tblGrid>
      <w:tr w14:paraId="0368C5E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blHeader/>
          <w:jc w:val="center"/>
        </w:trPr>
        <w:tc>
          <w:tcPr>
            <w:tcW w:w="2074" w:type="dxa"/>
            <w:vMerge w:val="restart"/>
            <w:vAlign w:val="center"/>
          </w:tcPr>
          <w:p w14:paraId="23445012">
            <w:pPr>
              <w:autoSpaceDE w:val="0"/>
              <w:autoSpaceDN w:val="0"/>
              <w:spacing w:line="240" w:lineRule="auto"/>
              <w:jc w:val="center"/>
              <w:rPr>
                <w:rFonts w:ascii="宋体" w:hAnsi="宋体"/>
                <w:kern w:val="0"/>
              </w:rPr>
            </w:pPr>
            <w:r>
              <w:rPr>
                <w:rFonts w:hint="eastAsia" w:ascii="宋体" w:hAnsi="宋体"/>
                <w:kern w:val="0"/>
              </w:rPr>
              <w:t>罐</w:t>
            </w:r>
            <w:r>
              <w:rPr>
                <w:rFonts w:ascii="宋体" w:hAnsi="宋体"/>
                <w:kern w:val="0"/>
              </w:rPr>
              <w:t>漆颜色</w:t>
            </w:r>
          </w:p>
        </w:tc>
        <w:tc>
          <w:tcPr>
            <w:tcW w:w="2074" w:type="dxa"/>
            <w:vMerge w:val="restart"/>
            <w:vAlign w:val="center"/>
          </w:tcPr>
          <w:p w14:paraId="0EC07B90">
            <w:pPr>
              <w:autoSpaceDE w:val="0"/>
              <w:autoSpaceDN w:val="0"/>
              <w:spacing w:line="240" w:lineRule="auto"/>
              <w:jc w:val="center"/>
              <w:rPr>
                <w:rFonts w:ascii="宋体" w:hAnsi="宋体"/>
                <w:kern w:val="0"/>
              </w:rPr>
            </w:pPr>
            <w:r>
              <w:rPr>
                <w:rFonts w:hint="eastAsia" w:ascii="宋体" w:hAnsi="宋体"/>
                <w:kern w:val="0"/>
              </w:rPr>
              <w:t>喷漆</w:t>
            </w:r>
            <w:r>
              <w:rPr>
                <w:rFonts w:ascii="宋体" w:hAnsi="宋体"/>
                <w:kern w:val="0"/>
              </w:rPr>
              <w:t>色光</w:t>
            </w:r>
          </w:p>
        </w:tc>
        <w:tc>
          <w:tcPr>
            <w:tcW w:w="4148" w:type="dxa"/>
            <w:gridSpan w:val="2"/>
            <w:tcBorders>
              <w:bottom w:val="single" w:color="auto" w:sz="12" w:space="0"/>
            </w:tcBorders>
            <w:vAlign w:val="center"/>
          </w:tcPr>
          <w:p w14:paraId="0950FF8F">
            <w:pPr>
              <w:autoSpaceDE w:val="0"/>
              <w:autoSpaceDN w:val="0"/>
              <w:spacing w:line="240" w:lineRule="auto"/>
              <w:jc w:val="center"/>
              <w:rPr>
                <w:rFonts w:ascii="宋体" w:hAnsi="宋体"/>
                <w:kern w:val="0"/>
              </w:rPr>
            </w:pPr>
            <w:r>
              <w:rPr>
                <w:rFonts w:hint="eastAsia" w:ascii="宋体" w:hAnsi="宋体"/>
                <w:kern w:val="0"/>
              </w:rPr>
              <w:t>罐</w:t>
            </w:r>
            <w:r>
              <w:rPr>
                <w:rFonts w:ascii="宋体" w:hAnsi="宋体"/>
                <w:kern w:val="0"/>
              </w:rPr>
              <w:t>漆吸收率（</w:t>
            </w:r>
            <w:r>
              <w:rPr>
                <w:rFonts w:ascii="宋体" w:hAnsi="宋体"/>
                <w:i/>
                <w:kern w:val="0"/>
              </w:rPr>
              <w:t>α</w:t>
            </w:r>
            <w:r>
              <w:rPr>
                <w:rFonts w:ascii="宋体" w:hAnsi="宋体"/>
                <w:kern w:val="0"/>
              </w:rPr>
              <w:t>）</w:t>
            </w:r>
          </w:p>
        </w:tc>
      </w:tr>
      <w:tr w14:paraId="10955A1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blHeader/>
          <w:jc w:val="center"/>
        </w:trPr>
        <w:tc>
          <w:tcPr>
            <w:tcW w:w="2074" w:type="dxa"/>
            <w:vMerge w:val="continue"/>
            <w:vAlign w:val="center"/>
          </w:tcPr>
          <w:p w14:paraId="657DD8AE">
            <w:pPr>
              <w:autoSpaceDE w:val="0"/>
              <w:autoSpaceDN w:val="0"/>
              <w:spacing w:line="240" w:lineRule="auto"/>
              <w:jc w:val="center"/>
              <w:rPr>
                <w:rFonts w:ascii="宋体" w:hAnsi="宋体"/>
                <w:kern w:val="0"/>
              </w:rPr>
            </w:pPr>
          </w:p>
        </w:tc>
        <w:tc>
          <w:tcPr>
            <w:tcW w:w="2074" w:type="dxa"/>
            <w:vMerge w:val="continue"/>
            <w:vAlign w:val="center"/>
          </w:tcPr>
          <w:p w14:paraId="27EE8545">
            <w:pPr>
              <w:autoSpaceDE w:val="0"/>
              <w:autoSpaceDN w:val="0"/>
              <w:spacing w:line="240" w:lineRule="auto"/>
              <w:jc w:val="center"/>
              <w:rPr>
                <w:rFonts w:ascii="宋体" w:hAnsi="宋体"/>
                <w:kern w:val="0"/>
              </w:rPr>
            </w:pPr>
          </w:p>
        </w:tc>
        <w:tc>
          <w:tcPr>
            <w:tcW w:w="4148" w:type="dxa"/>
            <w:gridSpan w:val="2"/>
            <w:tcBorders>
              <w:top w:val="single" w:color="auto" w:sz="12" w:space="0"/>
            </w:tcBorders>
            <w:vAlign w:val="center"/>
          </w:tcPr>
          <w:p w14:paraId="047B7DCA">
            <w:pPr>
              <w:autoSpaceDE w:val="0"/>
              <w:autoSpaceDN w:val="0"/>
              <w:spacing w:line="240" w:lineRule="auto"/>
              <w:jc w:val="center"/>
              <w:rPr>
                <w:rFonts w:ascii="宋体" w:hAnsi="宋体"/>
                <w:kern w:val="0"/>
              </w:rPr>
            </w:pPr>
            <w:r>
              <w:rPr>
                <w:rFonts w:hint="eastAsia" w:ascii="宋体" w:hAnsi="宋体"/>
                <w:kern w:val="0"/>
              </w:rPr>
              <w:t>罐</w:t>
            </w:r>
            <w:r>
              <w:rPr>
                <w:rFonts w:ascii="宋体" w:hAnsi="宋体"/>
                <w:kern w:val="0"/>
              </w:rPr>
              <w:t>漆状况</w:t>
            </w:r>
          </w:p>
        </w:tc>
      </w:tr>
      <w:tr w14:paraId="6181EF7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blHeader/>
          <w:jc w:val="center"/>
        </w:trPr>
        <w:tc>
          <w:tcPr>
            <w:tcW w:w="2074" w:type="dxa"/>
            <w:vMerge w:val="continue"/>
            <w:tcBorders>
              <w:bottom w:val="single" w:color="auto" w:sz="12" w:space="0"/>
            </w:tcBorders>
            <w:vAlign w:val="center"/>
          </w:tcPr>
          <w:p w14:paraId="4CAD140B">
            <w:pPr>
              <w:autoSpaceDE w:val="0"/>
              <w:autoSpaceDN w:val="0"/>
              <w:spacing w:line="240" w:lineRule="auto"/>
              <w:jc w:val="center"/>
              <w:rPr>
                <w:rFonts w:ascii="宋体" w:hAnsi="宋体"/>
                <w:kern w:val="0"/>
              </w:rPr>
            </w:pPr>
          </w:p>
        </w:tc>
        <w:tc>
          <w:tcPr>
            <w:tcW w:w="2074" w:type="dxa"/>
            <w:vMerge w:val="continue"/>
            <w:tcBorders>
              <w:bottom w:val="single" w:color="auto" w:sz="12" w:space="0"/>
            </w:tcBorders>
            <w:vAlign w:val="center"/>
          </w:tcPr>
          <w:p w14:paraId="26E6C9FB">
            <w:pPr>
              <w:autoSpaceDE w:val="0"/>
              <w:autoSpaceDN w:val="0"/>
              <w:spacing w:line="240" w:lineRule="auto"/>
              <w:jc w:val="center"/>
              <w:rPr>
                <w:rFonts w:ascii="宋体" w:hAnsi="宋体"/>
                <w:kern w:val="0"/>
              </w:rPr>
            </w:pPr>
          </w:p>
        </w:tc>
        <w:tc>
          <w:tcPr>
            <w:tcW w:w="2074" w:type="dxa"/>
            <w:tcBorders>
              <w:top w:val="single" w:color="auto" w:sz="12" w:space="0"/>
              <w:bottom w:val="single" w:color="auto" w:sz="12" w:space="0"/>
            </w:tcBorders>
            <w:vAlign w:val="center"/>
          </w:tcPr>
          <w:p w14:paraId="7EDF6FCE">
            <w:pPr>
              <w:autoSpaceDE w:val="0"/>
              <w:autoSpaceDN w:val="0"/>
              <w:spacing w:line="240" w:lineRule="auto"/>
              <w:jc w:val="center"/>
              <w:rPr>
                <w:rFonts w:ascii="宋体" w:hAnsi="宋体"/>
                <w:kern w:val="0"/>
              </w:rPr>
            </w:pPr>
            <w:r>
              <w:rPr>
                <w:rFonts w:hint="eastAsia" w:ascii="宋体" w:hAnsi="宋体"/>
                <w:kern w:val="0"/>
              </w:rPr>
              <w:t>好</w:t>
            </w:r>
          </w:p>
        </w:tc>
        <w:tc>
          <w:tcPr>
            <w:tcW w:w="2074" w:type="dxa"/>
            <w:tcBorders>
              <w:top w:val="single" w:color="auto" w:sz="12" w:space="0"/>
              <w:bottom w:val="single" w:color="auto" w:sz="12" w:space="0"/>
            </w:tcBorders>
            <w:vAlign w:val="center"/>
          </w:tcPr>
          <w:p w14:paraId="5CD138EE">
            <w:pPr>
              <w:autoSpaceDE w:val="0"/>
              <w:autoSpaceDN w:val="0"/>
              <w:spacing w:line="240" w:lineRule="auto"/>
              <w:jc w:val="center"/>
              <w:rPr>
                <w:rFonts w:ascii="宋体" w:hAnsi="宋体"/>
                <w:kern w:val="0"/>
              </w:rPr>
            </w:pPr>
            <w:r>
              <w:rPr>
                <w:rFonts w:hint="eastAsia" w:ascii="宋体" w:hAnsi="宋体"/>
                <w:kern w:val="0"/>
              </w:rPr>
              <w:t>差</w:t>
            </w:r>
          </w:p>
        </w:tc>
      </w:tr>
      <w:tr w14:paraId="2FF65C5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2074" w:type="dxa"/>
            <w:tcBorders>
              <w:top w:val="single" w:color="auto" w:sz="12" w:space="0"/>
            </w:tcBorders>
            <w:vAlign w:val="center"/>
          </w:tcPr>
          <w:p w14:paraId="50CD2689">
            <w:pPr>
              <w:autoSpaceDE w:val="0"/>
              <w:autoSpaceDN w:val="0"/>
              <w:spacing w:line="240" w:lineRule="auto"/>
              <w:jc w:val="center"/>
              <w:rPr>
                <w:rFonts w:ascii="宋体" w:hAnsi="宋体"/>
                <w:kern w:val="0"/>
              </w:rPr>
            </w:pPr>
            <w:r>
              <w:rPr>
                <w:rFonts w:hint="eastAsia" w:ascii="宋体" w:hAnsi="宋体"/>
                <w:kern w:val="0"/>
              </w:rPr>
              <w:t>银白色</w:t>
            </w:r>
          </w:p>
        </w:tc>
        <w:tc>
          <w:tcPr>
            <w:tcW w:w="2074" w:type="dxa"/>
            <w:tcBorders>
              <w:top w:val="single" w:color="auto" w:sz="12" w:space="0"/>
            </w:tcBorders>
            <w:vAlign w:val="center"/>
          </w:tcPr>
          <w:p w14:paraId="694C4257">
            <w:pPr>
              <w:autoSpaceDE w:val="0"/>
              <w:autoSpaceDN w:val="0"/>
              <w:spacing w:line="240" w:lineRule="auto"/>
              <w:jc w:val="center"/>
              <w:rPr>
                <w:rFonts w:ascii="宋体" w:hAnsi="宋体"/>
                <w:kern w:val="0"/>
              </w:rPr>
            </w:pPr>
            <w:r>
              <w:rPr>
                <w:rFonts w:hint="eastAsia" w:ascii="宋体" w:hAnsi="宋体"/>
                <w:kern w:val="0"/>
              </w:rPr>
              <w:t>高光</w:t>
            </w:r>
          </w:p>
        </w:tc>
        <w:tc>
          <w:tcPr>
            <w:tcW w:w="2074" w:type="dxa"/>
            <w:tcBorders>
              <w:top w:val="single" w:color="auto" w:sz="12" w:space="0"/>
            </w:tcBorders>
            <w:vAlign w:val="center"/>
          </w:tcPr>
          <w:p w14:paraId="2D99E504">
            <w:pPr>
              <w:autoSpaceDE w:val="0"/>
              <w:autoSpaceDN w:val="0"/>
              <w:spacing w:line="240" w:lineRule="auto"/>
              <w:jc w:val="center"/>
              <w:rPr>
                <w:rFonts w:ascii="宋体" w:hAnsi="宋体"/>
                <w:kern w:val="0"/>
              </w:rPr>
            </w:pPr>
            <w:r>
              <w:rPr>
                <w:rFonts w:ascii="宋体" w:hAnsi="宋体"/>
                <w:kern w:val="0"/>
              </w:rPr>
              <w:t>0.39</w:t>
            </w:r>
          </w:p>
        </w:tc>
        <w:tc>
          <w:tcPr>
            <w:tcW w:w="2074" w:type="dxa"/>
            <w:tcBorders>
              <w:top w:val="single" w:color="auto" w:sz="12" w:space="0"/>
            </w:tcBorders>
            <w:vAlign w:val="center"/>
          </w:tcPr>
          <w:p w14:paraId="03F38307">
            <w:pPr>
              <w:autoSpaceDE w:val="0"/>
              <w:autoSpaceDN w:val="0"/>
              <w:spacing w:line="240" w:lineRule="auto"/>
              <w:jc w:val="center"/>
              <w:rPr>
                <w:rFonts w:ascii="宋体" w:hAnsi="宋体"/>
                <w:kern w:val="0"/>
              </w:rPr>
            </w:pPr>
            <w:r>
              <w:rPr>
                <w:rFonts w:ascii="宋体" w:hAnsi="宋体"/>
                <w:kern w:val="0"/>
              </w:rPr>
              <w:t>0.49</w:t>
            </w:r>
          </w:p>
        </w:tc>
      </w:tr>
      <w:tr w14:paraId="2B179ED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2074" w:type="dxa"/>
            <w:vAlign w:val="center"/>
          </w:tcPr>
          <w:p w14:paraId="1941434F">
            <w:pPr>
              <w:autoSpaceDE w:val="0"/>
              <w:autoSpaceDN w:val="0"/>
              <w:spacing w:line="240" w:lineRule="auto"/>
              <w:jc w:val="center"/>
              <w:rPr>
                <w:rFonts w:ascii="宋体" w:hAnsi="宋体"/>
                <w:kern w:val="0"/>
              </w:rPr>
            </w:pPr>
            <w:r>
              <w:rPr>
                <w:rFonts w:hint="eastAsia" w:ascii="宋体" w:hAnsi="宋体"/>
                <w:kern w:val="0"/>
              </w:rPr>
              <w:t>银白色</w:t>
            </w:r>
          </w:p>
        </w:tc>
        <w:tc>
          <w:tcPr>
            <w:tcW w:w="2074" w:type="dxa"/>
            <w:vAlign w:val="center"/>
          </w:tcPr>
          <w:p w14:paraId="77BFEF09">
            <w:pPr>
              <w:autoSpaceDE w:val="0"/>
              <w:autoSpaceDN w:val="0"/>
              <w:spacing w:line="240" w:lineRule="auto"/>
              <w:jc w:val="center"/>
              <w:rPr>
                <w:rFonts w:ascii="宋体" w:hAnsi="宋体"/>
                <w:kern w:val="0"/>
              </w:rPr>
            </w:pPr>
            <w:r>
              <w:rPr>
                <w:rFonts w:hint="eastAsia" w:ascii="宋体" w:hAnsi="宋体"/>
                <w:kern w:val="0"/>
              </w:rPr>
              <w:t>散射</w:t>
            </w:r>
          </w:p>
        </w:tc>
        <w:tc>
          <w:tcPr>
            <w:tcW w:w="2074" w:type="dxa"/>
            <w:vAlign w:val="center"/>
          </w:tcPr>
          <w:p w14:paraId="19421519">
            <w:pPr>
              <w:autoSpaceDE w:val="0"/>
              <w:autoSpaceDN w:val="0"/>
              <w:spacing w:line="240" w:lineRule="auto"/>
              <w:jc w:val="center"/>
              <w:rPr>
                <w:rFonts w:ascii="宋体" w:hAnsi="宋体"/>
                <w:kern w:val="0"/>
              </w:rPr>
            </w:pPr>
            <w:r>
              <w:rPr>
                <w:rFonts w:ascii="宋体" w:hAnsi="宋体"/>
                <w:kern w:val="0"/>
              </w:rPr>
              <w:t>0.60</w:t>
            </w:r>
          </w:p>
        </w:tc>
        <w:tc>
          <w:tcPr>
            <w:tcW w:w="2074" w:type="dxa"/>
            <w:vAlign w:val="center"/>
          </w:tcPr>
          <w:p w14:paraId="1730180E">
            <w:pPr>
              <w:autoSpaceDE w:val="0"/>
              <w:autoSpaceDN w:val="0"/>
              <w:spacing w:line="240" w:lineRule="auto"/>
              <w:jc w:val="center"/>
              <w:rPr>
                <w:rFonts w:ascii="宋体" w:hAnsi="宋体"/>
                <w:kern w:val="0"/>
              </w:rPr>
            </w:pPr>
            <w:r>
              <w:rPr>
                <w:rFonts w:ascii="宋体" w:hAnsi="宋体"/>
                <w:kern w:val="0"/>
              </w:rPr>
              <w:t>0.68</w:t>
            </w:r>
          </w:p>
        </w:tc>
      </w:tr>
      <w:tr w14:paraId="75940A5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2074" w:type="dxa"/>
            <w:vAlign w:val="center"/>
          </w:tcPr>
          <w:p w14:paraId="44364C97">
            <w:pPr>
              <w:autoSpaceDE w:val="0"/>
              <w:autoSpaceDN w:val="0"/>
              <w:spacing w:line="240" w:lineRule="auto"/>
              <w:jc w:val="center"/>
              <w:rPr>
                <w:rFonts w:ascii="宋体" w:hAnsi="宋体"/>
                <w:kern w:val="0"/>
              </w:rPr>
            </w:pPr>
            <w:r>
              <w:rPr>
                <w:rFonts w:hint="eastAsia" w:ascii="宋体" w:hAnsi="宋体"/>
                <w:kern w:val="0"/>
              </w:rPr>
              <w:t>铝罐</w:t>
            </w:r>
          </w:p>
        </w:tc>
        <w:tc>
          <w:tcPr>
            <w:tcW w:w="2074" w:type="dxa"/>
            <w:vAlign w:val="center"/>
          </w:tcPr>
          <w:p w14:paraId="7225218E">
            <w:pPr>
              <w:autoSpaceDE w:val="0"/>
              <w:autoSpaceDN w:val="0"/>
              <w:spacing w:line="240" w:lineRule="auto"/>
              <w:jc w:val="center"/>
              <w:rPr>
                <w:rFonts w:ascii="宋体" w:hAnsi="宋体"/>
                <w:kern w:val="0"/>
              </w:rPr>
            </w:pPr>
            <w:r>
              <w:rPr>
                <w:rFonts w:hint="eastAsia" w:ascii="宋体" w:hAnsi="宋体"/>
                <w:kern w:val="0"/>
              </w:rPr>
              <w:t>光面</w:t>
            </w:r>
            <w:r>
              <w:rPr>
                <w:rFonts w:ascii="宋体" w:hAnsi="宋体"/>
                <w:kern w:val="0"/>
              </w:rPr>
              <w:t>、不涂漆</w:t>
            </w:r>
          </w:p>
        </w:tc>
        <w:tc>
          <w:tcPr>
            <w:tcW w:w="2074" w:type="dxa"/>
            <w:vAlign w:val="center"/>
          </w:tcPr>
          <w:p w14:paraId="15854996">
            <w:pPr>
              <w:autoSpaceDE w:val="0"/>
              <w:autoSpaceDN w:val="0"/>
              <w:spacing w:line="240" w:lineRule="auto"/>
              <w:jc w:val="center"/>
              <w:rPr>
                <w:rFonts w:ascii="宋体" w:hAnsi="宋体"/>
                <w:kern w:val="0"/>
              </w:rPr>
            </w:pPr>
            <w:r>
              <w:rPr>
                <w:rFonts w:ascii="宋体" w:hAnsi="宋体"/>
                <w:kern w:val="0"/>
              </w:rPr>
              <w:t>0.10</w:t>
            </w:r>
          </w:p>
        </w:tc>
        <w:tc>
          <w:tcPr>
            <w:tcW w:w="2074" w:type="dxa"/>
            <w:vAlign w:val="center"/>
          </w:tcPr>
          <w:p w14:paraId="3564C2DB">
            <w:pPr>
              <w:autoSpaceDE w:val="0"/>
              <w:autoSpaceDN w:val="0"/>
              <w:spacing w:line="240" w:lineRule="auto"/>
              <w:jc w:val="center"/>
              <w:rPr>
                <w:rFonts w:ascii="宋体" w:hAnsi="宋体"/>
                <w:kern w:val="0"/>
              </w:rPr>
            </w:pPr>
            <w:r>
              <w:rPr>
                <w:rFonts w:ascii="宋体" w:hAnsi="宋体"/>
                <w:kern w:val="0"/>
              </w:rPr>
              <w:t>0.15</w:t>
            </w:r>
          </w:p>
        </w:tc>
      </w:tr>
      <w:tr w14:paraId="3F65736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2074" w:type="dxa"/>
            <w:vAlign w:val="center"/>
          </w:tcPr>
          <w:p w14:paraId="4B5DDA6A">
            <w:pPr>
              <w:autoSpaceDE w:val="0"/>
              <w:autoSpaceDN w:val="0"/>
              <w:spacing w:line="240" w:lineRule="auto"/>
              <w:jc w:val="center"/>
              <w:rPr>
                <w:rFonts w:ascii="宋体" w:hAnsi="宋体"/>
                <w:kern w:val="0"/>
              </w:rPr>
            </w:pPr>
            <w:r>
              <w:rPr>
                <w:rFonts w:hint="eastAsia" w:ascii="宋体" w:hAnsi="宋体"/>
                <w:kern w:val="0"/>
              </w:rPr>
              <w:t>米黄/乳</w:t>
            </w:r>
            <w:r>
              <w:rPr>
                <w:rFonts w:ascii="宋体" w:hAnsi="宋体"/>
                <w:kern w:val="0"/>
              </w:rPr>
              <w:t>色</w:t>
            </w:r>
          </w:p>
        </w:tc>
        <w:tc>
          <w:tcPr>
            <w:tcW w:w="2074" w:type="dxa"/>
            <w:vAlign w:val="center"/>
          </w:tcPr>
          <w:p w14:paraId="6A90E581">
            <w:pPr>
              <w:autoSpaceDE w:val="0"/>
              <w:autoSpaceDN w:val="0"/>
              <w:spacing w:line="240" w:lineRule="auto"/>
              <w:jc w:val="center"/>
              <w:rPr>
                <w:rFonts w:ascii="宋体" w:hAnsi="宋体"/>
                <w:kern w:val="0"/>
              </w:rPr>
            </w:pPr>
            <w:r>
              <w:rPr>
                <w:rFonts w:hint="eastAsia" w:ascii="宋体" w:hAnsi="宋体"/>
                <w:kern w:val="0"/>
              </w:rPr>
              <w:t>/</w:t>
            </w:r>
          </w:p>
        </w:tc>
        <w:tc>
          <w:tcPr>
            <w:tcW w:w="2074" w:type="dxa"/>
            <w:vAlign w:val="center"/>
          </w:tcPr>
          <w:p w14:paraId="53C16D43">
            <w:pPr>
              <w:autoSpaceDE w:val="0"/>
              <w:autoSpaceDN w:val="0"/>
              <w:spacing w:line="240" w:lineRule="auto"/>
              <w:jc w:val="center"/>
              <w:rPr>
                <w:rFonts w:ascii="宋体" w:hAnsi="宋体"/>
                <w:kern w:val="0"/>
              </w:rPr>
            </w:pPr>
            <w:r>
              <w:rPr>
                <w:rFonts w:ascii="宋体" w:hAnsi="宋体"/>
                <w:kern w:val="0"/>
              </w:rPr>
              <w:t>0.35</w:t>
            </w:r>
          </w:p>
        </w:tc>
        <w:tc>
          <w:tcPr>
            <w:tcW w:w="2074" w:type="dxa"/>
            <w:vAlign w:val="center"/>
          </w:tcPr>
          <w:p w14:paraId="3E8996A8">
            <w:pPr>
              <w:autoSpaceDE w:val="0"/>
              <w:autoSpaceDN w:val="0"/>
              <w:spacing w:line="240" w:lineRule="auto"/>
              <w:jc w:val="center"/>
              <w:rPr>
                <w:rFonts w:ascii="宋体" w:hAnsi="宋体"/>
                <w:kern w:val="0"/>
              </w:rPr>
            </w:pPr>
            <w:r>
              <w:rPr>
                <w:rFonts w:ascii="宋体" w:hAnsi="宋体"/>
                <w:kern w:val="0"/>
              </w:rPr>
              <w:t>0.49</w:t>
            </w:r>
          </w:p>
        </w:tc>
      </w:tr>
      <w:tr w14:paraId="256AD64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2074" w:type="dxa"/>
            <w:vAlign w:val="center"/>
          </w:tcPr>
          <w:p w14:paraId="32096ED1">
            <w:pPr>
              <w:autoSpaceDE w:val="0"/>
              <w:autoSpaceDN w:val="0"/>
              <w:spacing w:line="240" w:lineRule="auto"/>
              <w:jc w:val="center"/>
              <w:rPr>
                <w:rFonts w:ascii="宋体" w:hAnsi="宋体"/>
                <w:kern w:val="0"/>
              </w:rPr>
            </w:pPr>
            <w:r>
              <w:rPr>
                <w:rFonts w:hint="eastAsia" w:ascii="宋体" w:hAnsi="宋体"/>
                <w:kern w:val="0"/>
              </w:rPr>
              <w:t>黑色</w:t>
            </w:r>
          </w:p>
        </w:tc>
        <w:tc>
          <w:tcPr>
            <w:tcW w:w="2074" w:type="dxa"/>
            <w:vAlign w:val="center"/>
          </w:tcPr>
          <w:p w14:paraId="2EED2271">
            <w:pPr>
              <w:autoSpaceDE w:val="0"/>
              <w:autoSpaceDN w:val="0"/>
              <w:spacing w:line="240" w:lineRule="auto"/>
              <w:jc w:val="center"/>
              <w:rPr>
                <w:rFonts w:ascii="宋体" w:hAnsi="宋体"/>
                <w:kern w:val="0"/>
              </w:rPr>
            </w:pPr>
            <w:r>
              <w:rPr>
                <w:rFonts w:hint="eastAsia" w:ascii="宋体" w:hAnsi="宋体"/>
                <w:kern w:val="0"/>
              </w:rPr>
              <w:t>/</w:t>
            </w:r>
          </w:p>
        </w:tc>
        <w:tc>
          <w:tcPr>
            <w:tcW w:w="2074" w:type="dxa"/>
            <w:vAlign w:val="center"/>
          </w:tcPr>
          <w:p w14:paraId="5A4F0CB6">
            <w:pPr>
              <w:autoSpaceDE w:val="0"/>
              <w:autoSpaceDN w:val="0"/>
              <w:spacing w:line="240" w:lineRule="auto"/>
              <w:jc w:val="center"/>
              <w:rPr>
                <w:rFonts w:ascii="宋体" w:hAnsi="宋体"/>
                <w:kern w:val="0"/>
              </w:rPr>
            </w:pPr>
            <w:r>
              <w:rPr>
                <w:rFonts w:ascii="宋体" w:hAnsi="宋体"/>
                <w:kern w:val="0"/>
              </w:rPr>
              <w:t>0.97</w:t>
            </w:r>
          </w:p>
        </w:tc>
        <w:tc>
          <w:tcPr>
            <w:tcW w:w="2074" w:type="dxa"/>
            <w:vAlign w:val="center"/>
          </w:tcPr>
          <w:p w14:paraId="25A77CC8">
            <w:pPr>
              <w:autoSpaceDE w:val="0"/>
              <w:autoSpaceDN w:val="0"/>
              <w:spacing w:line="240" w:lineRule="auto"/>
              <w:jc w:val="center"/>
              <w:rPr>
                <w:rFonts w:ascii="宋体" w:hAnsi="宋体"/>
                <w:kern w:val="0"/>
              </w:rPr>
            </w:pPr>
            <w:r>
              <w:rPr>
                <w:rFonts w:ascii="宋体" w:hAnsi="宋体"/>
                <w:kern w:val="0"/>
              </w:rPr>
              <w:t>0.97</w:t>
            </w:r>
          </w:p>
        </w:tc>
      </w:tr>
      <w:tr w14:paraId="5A1274F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2074" w:type="dxa"/>
            <w:vAlign w:val="center"/>
          </w:tcPr>
          <w:p w14:paraId="0EAA4E0A">
            <w:pPr>
              <w:autoSpaceDE w:val="0"/>
              <w:autoSpaceDN w:val="0"/>
              <w:spacing w:line="240" w:lineRule="auto"/>
              <w:jc w:val="center"/>
              <w:rPr>
                <w:rFonts w:ascii="宋体" w:hAnsi="宋体"/>
                <w:kern w:val="0"/>
              </w:rPr>
            </w:pPr>
            <w:r>
              <w:rPr>
                <w:rFonts w:hint="eastAsia" w:ascii="宋体" w:hAnsi="宋体"/>
                <w:kern w:val="0"/>
              </w:rPr>
              <w:t>棕色</w:t>
            </w:r>
          </w:p>
        </w:tc>
        <w:tc>
          <w:tcPr>
            <w:tcW w:w="2074" w:type="dxa"/>
            <w:vAlign w:val="center"/>
          </w:tcPr>
          <w:p w14:paraId="3680819E">
            <w:pPr>
              <w:autoSpaceDE w:val="0"/>
              <w:autoSpaceDN w:val="0"/>
              <w:spacing w:line="240" w:lineRule="auto"/>
              <w:jc w:val="center"/>
              <w:rPr>
                <w:rFonts w:ascii="宋体" w:hAnsi="宋体"/>
                <w:kern w:val="0"/>
              </w:rPr>
            </w:pPr>
            <w:r>
              <w:rPr>
                <w:rFonts w:hint="eastAsia" w:ascii="宋体" w:hAnsi="宋体"/>
                <w:kern w:val="0"/>
              </w:rPr>
              <w:t>/</w:t>
            </w:r>
          </w:p>
        </w:tc>
        <w:tc>
          <w:tcPr>
            <w:tcW w:w="2074" w:type="dxa"/>
            <w:vAlign w:val="center"/>
          </w:tcPr>
          <w:p w14:paraId="7AF955C6">
            <w:pPr>
              <w:autoSpaceDE w:val="0"/>
              <w:autoSpaceDN w:val="0"/>
              <w:spacing w:line="240" w:lineRule="auto"/>
              <w:jc w:val="center"/>
              <w:rPr>
                <w:rFonts w:ascii="宋体" w:hAnsi="宋体"/>
                <w:kern w:val="0"/>
              </w:rPr>
            </w:pPr>
            <w:r>
              <w:rPr>
                <w:rFonts w:ascii="宋体" w:hAnsi="宋体"/>
                <w:kern w:val="0"/>
              </w:rPr>
              <w:t>0.58</w:t>
            </w:r>
          </w:p>
        </w:tc>
        <w:tc>
          <w:tcPr>
            <w:tcW w:w="2074" w:type="dxa"/>
            <w:vAlign w:val="center"/>
          </w:tcPr>
          <w:p w14:paraId="4A5C82CB">
            <w:pPr>
              <w:autoSpaceDE w:val="0"/>
              <w:autoSpaceDN w:val="0"/>
              <w:spacing w:line="240" w:lineRule="auto"/>
              <w:jc w:val="center"/>
              <w:rPr>
                <w:rFonts w:ascii="宋体" w:hAnsi="宋体"/>
                <w:kern w:val="0"/>
              </w:rPr>
            </w:pPr>
            <w:r>
              <w:rPr>
                <w:rFonts w:ascii="宋体" w:hAnsi="宋体"/>
                <w:kern w:val="0"/>
              </w:rPr>
              <w:t>0.67</w:t>
            </w:r>
          </w:p>
        </w:tc>
      </w:tr>
      <w:tr w14:paraId="7B691E2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2074" w:type="dxa"/>
            <w:vAlign w:val="center"/>
          </w:tcPr>
          <w:p w14:paraId="111D4188">
            <w:pPr>
              <w:autoSpaceDE w:val="0"/>
              <w:autoSpaceDN w:val="0"/>
              <w:spacing w:line="240" w:lineRule="auto"/>
              <w:jc w:val="center"/>
              <w:rPr>
                <w:rFonts w:ascii="宋体" w:hAnsi="宋体"/>
                <w:kern w:val="0"/>
              </w:rPr>
            </w:pPr>
            <w:r>
              <w:rPr>
                <w:rFonts w:hint="eastAsia" w:ascii="宋体" w:hAnsi="宋体"/>
                <w:kern w:val="0"/>
              </w:rPr>
              <w:t>灰色</w:t>
            </w:r>
          </w:p>
        </w:tc>
        <w:tc>
          <w:tcPr>
            <w:tcW w:w="2074" w:type="dxa"/>
            <w:vAlign w:val="center"/>
          </w:tcPr>
          <w:p w14:paraId="2A67BB2D">
            <w:pPr>
              <w:autoSpaceDE w:val="0"/>
              <w:autoSpaceDN w:val="0"/>
              <w:spacing w:line="240" w:lineRule="auto"/>
              <w:jc w:val="center"/>
              <w:rPr>
                <w:rFonts w:ascii="宋体" w:hAnsi="宋体"/>
                <w:kern w:val="0"/>
              </w:rPr>
            </w:pPr>
            <w:r>
              <w:rPr>
                <w:rFonts w:hint="eastAsia" w:ascii="宋体" w:hAnsi="宋体"/>
                <w:kern w:val="0"/>
              </w:rPr>
              <w:t>淡</w:t>
            </w:r>
          </w:p>
        </w:tc>
        <w:tc>
          <w:tcPr>
            <w:tcW w:w="2074" w:type="dxa"/>
            <w:vAlign w:val="center"/>
          </w:tcPr>
          <w:p w14:paraId="68846CBC">
            <w:pPr>
              <w:autoSpaceDE w:val="0"/>
              <w:autoSpaceDN w:val="0"/>
              <w:spacing w:line="240" w:lineRule="auto"/>
              <w:jc w:val="center"/>
              <w:rPr>
                <w:rFonts w:ascii="宋体" w:hAnsi="宋体"/>
                <w:kern w:val="0"/>
              </w:rPr>
            </w:pPr>
            <w:r>
              <w:rPr>
                <w:rFonts w:ascii="宋体" w:hAnsi="宋体"/>
                <w:kern w:val="0"/>
              </w:rPr>
              <w:t>0.54</w:t>
            </w:r>
          </w:p>
        </w:tc>
        <w:tc>
          <w:tcPr>
            <w:tcW w:w="2074" w:type="dxa"/>
            <w:vAlign w:val="center"/>
          </w:tcPr>
          <w:p w14:paraId="3B4C5BC3">
            <w:pPr>
              <w:autoSpaceDE w:val="0"/>
              <w:autoSpaceDN w:val="0"/>
              <w:spacing w:line="240" w:lineRule="auto"/>
              <w:jc w:val="center"/>
              <w:rPr>
                <w:rFonts w:ascii="宋体" w:hAnsi="宋体"/>
                <w:kern w:val="0"/>
              </w:rPr>
            </w:pPr>
            <w:r>
              <w:rPr>
                <w:rFonts w:ascii="宋体" w:hAnsi="宋体"/>
                <w:kern w:val="0"/>
              </w:rPr>
              <w:t>0.63</w:t>
            </w:r>
          </w:p>
        </w:tc>
      </w:tr>
      <w:tr w14:paraId="1D35F2B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2074" w:type="dxa"/>
            <w:vAlign w:val="center"/>
          </w:tcPr>
          <w:p w14:paraId="0AB6C7F7">
            <w:pPr>
              <w:autoSpaceDE w:val="0"/>
              <w:autoSpaceDN w:val="0"/>
              <w:spacing w:line="240" w:lineRule="auto"/>
              <w:jc w:val="center"/>
              <w:rPr>
                <w:rFonts w:ascii="宋体" w:hAnsi="宋体"/>
                <w:kern w:val="0"/>
              </w:rPr>
            </w:pPr>
            <w:r>
              <w:rPr>
                <w:rFonts w:hint="eastAsia" w:ascii="宋体" w:hAnsi="宋体"/>
                <w:kern w:val="0"/>
              </w:rPr>
              <w:t>灰色</w:t>
            </w:r>
          </w:p>
        </w:tc>
        <w:tc>
          <w:tcPr>
            <w:tcW w:w="2074" w:type="dxa"/>
            <w:vAlign w:val="center"/>
          </w:tcPr>
          <w:p w14:paraId="212203B5">
            <w:pPr>
              <w:autoSpaceDE w:val="0"/>
              <w:autoSpaceDN w:val="0"/>
              <w:spacing w:line="240" w:lineRule="auto"/>
              <w:jc w:val="center"/>
              <w:rPr>
                <w:rFonts w:ascii="宋体" w:hAnsi="宋体"/>
                <w:kern w:val="0"/>
              </w:rPr>
            </w:pPr>
            <w:r>
              <w:rPr>
                <w:rFonts w:hint="eastAsia" w:ascii="宋体" w:hAnsi="宋体"/>
                <w:kern w:val="0"/>
              </w:rPr>
              <w:t>中等</w:t>
            </w:r>
          </w:p>
        </w:tc>
        <w:tc>
          <w:tcPr>
            <w:tcW w:w="2074" w:type="dxa"/>
            <w:vAlign w:val="center"/>
          </w:tcPr>
          <w:p w14:paraId="30F4FA57">
            <w:pPr>
              <w:autoSpaceDE w:val="0"/>
              <w:autoSpaceDN w:val="0"/>
              <w:spacing w:line="240" w:lineRule="auto"/>
              <w:jc w:val="center"/>
              <w:rPr>
                <w:rFonts w:ascii="宋体" w:hAnsi="宋体"/>
                <w:kern w:val="0"/>
              </w:rPr>
            </w:pPr>
            <w:r>
              <w:rPr>
                <w:rFonts w:ascii="宋体" w:hAnsi="宋体"/>
                <w:kern w:val="0"/>
              </w:rPr>
              <w:t>0.68</w:t>
            </w:r>
          </w:p>
        </w:tc>
        <w:tc>
          <w:tcPr>
            <w:tcW w:w="2074" w:type="dxa"/>
            <w:vAlign w:val="center"/>
          </w:tcPr>
          <w:p w14:paraId="4134AF4D">
            <w:pPr>
              <w:autoSpaceDE w:val="0"/>
              <w:autoSpaceDN w:val="0"/>
              <w:spacing w:line="240" w:lineRule="auto"/>
              <w:jc w:val="center"/>
              <w:rPr>
                <w:rFonts w:ascii="宋体" w:hAnsi="宋体"/>
                <w:kern w:val="0"/>
              </w:rPr>
            </w:pPr>
            <w:r>
              <w:rPr>
                <w:rFonts w:ascii="宋体" w:hAnsi="宋体"/>
                <w:kern w:val="0"/>
              </w:rPr>
              <w:t>0.74</w:t>
            </w:r>
          </w:p>
        </w:tc>
      </w:tr>
      <w:tr w14:paraId="0CF9D3B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2074" w:type="dxa"/>
            <w:vAlign w:val="center"/>
          </w:tcPr>
          <w:p w14:paraId="39AC4259">
            <w:pPr>
              <w:autoSpaceDE w:val="0"/>
              <w:autoSpaceDN w:val="0"/>
              <w:spacing w:line="240" w:lineRule="auto"/>
              <w:jc w:val="center"/>
              <w:rPr>
                <w:rFonts w:ascii="宋体" w:hAnsi="宋体"/>
                <w:kern w:val="0"/>
              </w:rPr>
            </w:pPr>
            <w:r>
              <w:rPr>
                <w:rFonts w:hint="eastAsia" w:ascii="宋体" w:hAnsi="宋体"/>
                <w:kern w:val="0"/>
              </w:rPr>
              <w:t>绿色</w:t>
            </w:r>
          </w:p>
        </w:tc>
        <w:tc>
          <w:tcPr>
            <w:tcW w:w="2074" w:type="dxa"/>
            <w:vAlign w:val="center"/>
          </w:tcPr>
          <w:p w14:paraId="207A2634">
            <w:pPr>
              <w:autoSpaceDE w:val="0"/>
              <w:autoSpaceDN w:val="0"/>
              <w:spacing w:line="240" w:lineRule="auto"/>
              <w:jc w:val="center"/>
              <w:rPr>
                <w:rFonts w:ascii="宋体" w:hAnsi="宋体"/>
                <w:kern w:val="0"/>
              </w:rPr>
            </w:pPr>
            <w:r>
              <w:rPr>
                <w:rFonts w:hint="eastAsia" w:ascii="宋体" w:hAnsi="宋体"/>
                <w:kern w:val="0"/>
              </w:rPr>
              <w:t>暗</w:t>
            </w:r>
          </w:p>
        </w:tc>
        <w:tc>
          <w:tcPr>
            <w:tcW w:w="2074" w:type="dxa"/>
            <w:vAlign w:val="center"/>
          </w:tcPr>
          <w:p w14:paraId="09185284">
            <w:pPr>
              <w:autoSpaceDE w:val="0"/>
              <w:autoSpaceDN w:val="0"/>
              <w:spacing w:line="240" w:lineRule="auto"/>
              <w:jc w:val="center"/>
              <w:rPr>
                <w:rFonts w:ascii="宋体" w:hAnsi="宋体"/>
                <w:kern w:val="0"/>
              </w:rPr>
            </w:pPr>
            <w:r>
              <w:rPr>
                <w:rFonts w:ascii="宋体" w:hAnsi="宋体"/>
                <w:kern w:val="0"/>
              </w:rPr>
              <w:t>0.89</w:t>
            </w:r>
          </w:p>
        </w:tc>
        <w:tc>
          <w:tcPr>
            <w:tcW w:w="2074" w:type="dxa"/>
            <w:vAlign w:val="center"/>
          </w:tcPr>
          <w:p w14:paraId="05223938">
            <w:pPr>
              <w:autoSpaceDE w:val="0"/>
              <w:autoSpaceDN w:val="0"/>
              <w:spacing w:line="240" w:lineRule="auto"/>
              <w:jc w:val="center"/>
              <w:rPr>
                <w:rFonts w:ascii="宋体" w:hAnsi="宋体"/>
                <w:kern w:val="0"/>
              </w:rPr>
            </w:pPr>
            <w:r>
              <w:rPr>
                <w:rFonts w:ascii="宋体" w:hAnsi="宋体"/>
                <w:kern w:val="0"/>
              </w:rPr>
              <w:t>0.91</w:t>
            </w:r>
          </w:p>
        </w:tc>
      </w:tr>
      <w:tr w14:paraId="6084D6C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2074" w:type="dxa"/>
            <w:vAlign w:val="center"/>
          </w:tcPr>
          <w:p w14:paraId="673BDA10">
            <w:pPr>
              <w:autoSpaceDE w:val="0"/>
              <w:autoSpaceDN w:val="0"/>
              <w:spacing w:line="240" w:lineRule="auto"/>
              <w:jc w:val="center"/>
              <w:rPr>
                <w:rFonts w:ascii="宋体" w:hAnsi="宋体"/>
                <w:kern w:val="0"/>
              </w:rPr>
            </w:pPr>
            <w:r>
              <w:rPr>
                <w:rFonts w:hint="eastAsia" w:ascii="宋体" w:hAnsi="宋体"/>
                <w:kern w:val="0"/>
              </w:rPr>
              <w:t>红色</w:t>
            </w:r>
          </w:p>
        </w:tc>
        <w:tc>
          <w:tcPr>
            <w:tcW w:w="2074" w:type="dxa"/>
            <w:vAlign w:val="center"/>
          </w:tcPr>
          <w:p w14:paraId="7E2975B2">
            <w:pPr>
              <w:autoSpaceDE w:val="0"/>
              <w:autoSpaceDN w:val="0"/>
              <w:spacing w:line="240" w:lineRule="auto"/>
              <w:jc w:val="center"/>
              <w:rPr>
                <w:rFonts w:ascii="宋体" w:hAnsi="宋体"/>
                <w:kern w:val="0"/>
              </w:rPr>
            </w:pPr>
            <w:r>
              <w:rPr>
                <w:rFonts w:hint="eastAsia" w:ascii="宋体" w:hAnsi="宋体"/>
                <w:kern w:val="0"/>
              </w:rPr>
              <w:t>底漆</w:t>
            </w:r>
          </w:p>
        </w:tc>
        <w:tc>
          <w:tcPr>
            <w:tcW w:w="2074" w:type="dxa"/>
            <w:vAlign w:val="center"/>
          </w:tcPr>
          <w:p w14:paraId="17951E5C">
            <w:pPr>
              <w:autoSpaceDE w:val="0"/>
              <w:autoSpaceDN w:val="0"/>
              <w:spacing w:line="240" w:lineRule="auto"/>
              <w:jc w:val="center"/>
              <w:rPr>
                <w:rFonts w:ascii="宋体" w:hAnsi="宋体"/>
                <w:kern w:val="0"/>
              </w:rPr>
            </w:pPr>
            <w:r>
              <w:rPr>
                <w:rFonts w:ascii="宋体" w:hAnsi="宋体"/>
                <w:kern w:val="0"/>
              </w:rPr>
              <w:t>0.89</w:t>
            </w:r>
          </w:p>
        </w:tc>
        <w:tc>
          <w:tcPr>
            <w:tcW w:w="2074" w:type="dxa"/>
            <w:vAlign w:val="center"/>
          </w:tcPr>
          <w:p w14:paraId="4EBA6A17">
            <w:pPr>
              <w:autoSpaceDE w:val="0"/>
              <w:autoSpaceDN w:val="0"/>
              <w:spacing w:line="240" w:lineRule="auto"/>
              <w:jc w:val="center"/>
              <w:rPr>
                <w:rFonts w:ascii="宋体" w:hAnsi="宋体"/>
                <w:kern w:val="0"/>
              </w:rPr>
            </w:pPr>
            <w:r>
              <w:rPr>
                <w:rFonts w:ascii="宋体" w:hAnsi="宋体"/>
                <w:kern w:val="0"/>
              </w:rPr>
              <w:t>0.91</w:t>
            </w:r>
          </w:p>
        </w:tc>
      </w:tr>
      <w:tr w14:paraId="1DA79F8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2074" w:type="dxa"/>
            <w:vAlign w:val="center"/>
          </w:tcPr>
          <w:p w14:paraId="6331B6F6">
            <w:pPr>
              <w:autoSpaceDE w:val="0"/>
              <w:autoSpaceDN w:val="0"/>
              <w:spacing w:line="240" w:lineRule="auto"/>
              <w:jc w:val="center"/>
              <w:rPr>
                <w:rFonts w:ascii="宋体" w:hAnsi="宋体"/>
                <w:kern w:val="0"/>
              </w:rPr>
            </w:pPr>
            <w:r>
              <w:rPr>
                <w:rFonts w:hint="eastAsia" w:ascii="宋体" w:hAnsi="宋体"/>
                <w:kern w:val="0"/>
              </w:rPr>
              <w:t>锈</w:t>
            </w:r>
            <w:r>
              <w:rPr>
                <w:rFonts w:ascii="宋体" w:hAnsi="宋体"/>
                <w:kern w:val="0"/>
              </w:rPr>
              <w:t>色</w:t>
            </w:r>
          </w:p>
        </w:tc>
        <w:tc>
          <w:tcPr>
            <w:tcW w:w="2074" w:type="dxa"/>
            <w:vAlign w:val="center"/>
          </w:tcPr>
          <w:p w14:paraId="0544ED90">
            <w:pPr>
              <w:autoSpaceDE w:val="0"/>
              <w:autoSpaceDN w:val="0"/>
              <w:spacing w:line="240" w:lineRule="auto"/>
              <w:jc w:val="center"/>
              <w:rPr>
                <w:rFonts w:ascii="宋体" w:hAnsi="宋体"/>
                <w:kern w:val="0"/>
              </w:rPr>
            </w:pPr>
            <w:r>
              <w:rPr>
                <w:rFonts w:hint="eastAsia" w:ascii="宋体" w:hAnsi="宋体"/>
                <w:kern w:val="0"/>
              </w:rPr>
              <w:t>红色</w:t>
            </w:r>
            <w:r>
              <w:rPr>
                <w:rFonts w:ascii="宋体" w:hAnsi="宋体"/>
                <w:kern w:val="0"/>
              </w:rPr>
              <w:t>氧化铁</w:t>
            </w:r>
          </w:p>
        </w:tc>
        <w:tc>
          <w:tcPr>
            <w:tcW w:w="2074" w:type="dxa"/>
            <w:vAlign w:val="center"/>
          </w:tcPr>
          <w:p w14:paraId="405A59E5">
            <w:pPr>
              <w:autoSpaceDE w:val="0"/>
              <w:autoSpaceDN w:val="0"/>
              <w:spacing w:line="240" w:lineRule="auto"/>
              <w:jc w:val="center"/>
              <w:rPr>
                <w:rFonts w:ascii="宋体" w:hAnsi="宋体"/>
                <w:kern w:val="0"/>
              </w:rPr>
            </w:pPr>
            <w:r>
              <w:rPr>
                <w:rFonts w:ascii="宋体" w:hAnsi="宋体"/>
                <w:kern w:val="0"/>
              </w:rPr>
              <w:t>0.38</w:t>
            </w:r>
          </w:p>
        </w:tc>
        <w:tc>
          <w:tcPr>
            <w:tcW w:w="2074" w:type="dxa"/>
            <w:vAlign w:val="center"/>
          </w:tcPr>
          <w:p w14:paraId="653782F3">
            <w:pPr>
              <w:autoSpaceDE w:val="0"/>
              <w:autoSpaceDN w:val="0"/>
              <w:spacing w:line="240" w:lineRule="auto"/>
              <w:jc w:val="center"/>
              <w:rPr>
                <w:rFonts w:ascii="宋体" w:hAnsi="宋体"/>
                <w:kern w:val="0"/>
              </w:rPr>
            </w:pPr>
            <w:r>
              <w:rPr>
                <w:rFonts w:ascii="宋体" w:hAnsi="宋体"/>
                <w:kern w:val="0"/>
              </w:rPr>
              <w:t>0.50</w:t>
            </w:r>
          </w:p>
        </w:tc>
      </w:tr>
      <w:tr w14:paraId="4A964F0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2074" w:type="dxa"/>
            <w:vAlign w:val="center"/>
          </w:tcPr>
          <w:p w14:paraId="42A01CE4">
            <w:pPr>
              <w:autoSpaceDE w:val="0"/>
              <w:autoSpaceDN w:val="0"/>
              <w:spacing w:line="240" w:lineRule="auto"/>
              <w:jc w:val="center"/>
              <w:rPr>
                <w:rFonts w:ascii="宋体" w:hAnsi="宋体"/>
                <w:kern w:val="0"/>
              </w:rPr>
            </w:pPr>
            <w:r>
              <w:rPr>
                <w:rFonts w:hint="eastAsia" w:ascii="宋体" w:hAnsi="宋体"/>
                <w:kern w:val="0"/>
              </w:rPr>
              <w:t>茶色</w:t>
            </w:r>
          </w:p>
        </w:tc>
        <w:tc>
          <w:tcPr>
            <w:tcW w:w="2074" w:type="dxa"/>
            <w:vAlign w:val="center"/>
          </w:tcPr>
          <w:p w14:paraId="138133AB">
            <w:pPr>
              <w:autoSpaceDE w:val="0"/>
              <w:autoSpaceDN w:val="0"/>
              <w:spacing w:line="240" w:lineRule="auto"/>
              <w:jc w:val="center"/>
              <w:rPr>
                <w:rFonts w:ascii="宋体" w:hAnsi="宋体"/>
                <w:kern w:val="0"/>
              </w:rPr>
            </w:pPr>
            <w:r>
              <w:rPr>
                <w:rFonts w:hint="eastAsia" w:ascii="宋体" w:hAnsi="宋体"/>
                <w:kern w:val="0"/>
              </w:rPr>
              <w:t>/</w:t>
            </w:r>
          </w:p>
        </w:tc>
        <w:tc>
          <w:tcPr>
            <w:tcW w:w="2074" w:type="dxa"/>
            <w:vAlign w:val="center"/>
          </w:tcPr>
          <w:p w14:paraId="5EA7DC9E">
            <w:pPr>
              <w:autoSpaceDE w:val="0"/>
              <w:autoSpaceDN w:val="0"/>
              <w:spacing w:line="240" w:lineRule="auto"/>
              <w:jc w:val="center"/>
              <w:rPr>
                <w:rFonts w:ascii="宋体" w:hAnsi="宋体"/>
                <w:kern w:val="0"/>
              </w:rPr>
            </w:pPr>
            <w:r>
              <w:rPr>
                <w:rFonts w:ascii="宋体" w:hAnsi="宋体"/>
                <w:kern w:val="0"/>
              </w:rPr>
              <w:t>0.43</w:t>
            </w:r>
          </w:p>
        </w:tc>
        <w:tc>
          <w:tcPr>
            <w:tcW w:w="2074" w:type="dxa"/>
            <w:vAlign w:val="center"/>
          </w:tcPr>
          <w:p w14:paraId="68C78DC3">
            <w:pPr>
              <w:autoSpaceDE w:val="0"/>
              <w:autoSpaceDN w:val="0"/>
              <w:spacing w:line="240" w:lineRule="auto"/>
              <w:jc w:val="center"/>
              <w:rPr>
                <w:rFonts w:ascii="宋体" w:hAnsi="宋体"/>
                <w:kern w:val="0"/>
              </w:rPr>
            </w:pPr>
            <w:r>
              <w:rPr>
                <w:rFonts w:ascii="宋体" w:hAnsi="宋体"/>
                <w:kern w:val="0"/>
              </w:rPr>
              <w:t>0.55</w:t>
            </w:r>
          </w:p>
        </w:tc>
      </w:tr>
    </w:tbl>
    <w:p w14:paraId="03637E11">
      <w:pPr>
        <w:overflowPunct w:val="0"/>
        <w:autoSpaceDE w:val="0"/>
        <w:autoSpaceDN w:val="0"/>
        <w:spacing w:line="240" w:lineRule="auto"/>
        <w:ind w:firstLine="420" w:firstLineChars="200"/>
        <w:rPr>
          <w:rFonts w:ascii="宋体" w:hAnsi="宋体"/>
        </w:rPr>
      </w:pPr>
    </w:p>
    <w:p w14:paraId="1AE80B93">
      <w:pPr>
        <w:spacing w:line="240" w:lineRule="auto"/>
        <w:ind w:firstLine="420" w:firstLineChars="200"/>
        <w:rPr>
          <w:rFonts w:ascii="宋体" w:hAnsi="宋体"/>
        </w:rPr>
      </w:pPr>
      <w:r>
        <w:rPr>
          <w:rFonts w:ascii="宋体" w:hAnsi="宋体"/>
        </w:rPr>
        <w:t>3</w:t>
      </w:r>
      <w:r>
        <w:rPr>
          <w:rFonts w:hint="eastAsia" w:ascii="宋体" w:hAnsi="宋体"/>
        </w:rPr>
        <w:t>）排放</w:t>
      </w:r>
      <w:r>
        <w:rPr>
          <w:rFonts w:ascii="宋体" w:hAnsi="宋体"/>
        </w:rPr>
        <w:t>蒸汽饱和因子K</w:t>
      </w:r>
      <w:r>
        <w:rPr>
          <w:rFonts w:ascii="宋体" w:hAnsi="宋体"/>
          <w:vertAlign w:val="subscript"/>
        </w:rPr>
        <w:t>s</w:t>
      </w:r>
    </w:p>
    <w:p w14:paraId="5310BF1F">
      <w:pPr>
        <w:pStyle w:val="242"/>
        <w:rPr>
          <w:rFonts w:cstheme="minorBidi"/>
        </w:rPr>
      </w:pPr>
      <w:r>
        <w:rPr>
          <w:rFonts w:hAnsi="宋体"/>
        </w:rPr>
        <w:tab/>
      </w:r>
      <m:oMath>
        <m:sSub>
          <m:sSubPr>
            <m:ctrlPr>
              <w:rPr>
                <w:rFonts w:ascii="Cambria Math"/>
                <w:i/>
              </w:rPr>
            </m:ctrlPr>
          </m:sSubPr>
          <m:e>
            <m:r>
              <m:rPr/>
              <w:rPr>
                <w:rFonts w:ascii="Cambria Math"/>
              </w:rPr>
              <m:t>K</m:t>
            </m:r>
            <m:ctrlPr>
              <w:rPr>
                <w:rFonts w:ascii="Cambria Math"/>
                <w:i/>
              </w:rPr>
            </m:ctrlPr>
          </m:e>
          <m:sub>
            <m:r>
              <m:rPr/>
              <w:rPr>
                <w:rFonts w:ascii="Cambria Math"/>
              </w:rPr>
              <m:t>S</m:t>
            </m:r>
            <m:ctrlPr>
              <w:rPr>
                <w:rFonts w:ascii="Cambria Math"/>
                <w:i/>
              </w:rPr>
            </m:ctrlPr>
          </m:sub>
        </m:sSub>
        <m:r>
          <m:rPr/>
          <w:rPr>
            <w:rFonts w:ascii="Cambria Math"/>
          </w:rPr>
          <m:t>=</m:t>
        </m:r>
        <m:f>
          <m:fPr>
            <m:ctrlPr>
              <w:rPr>
                <w:rFonts w:ascii="Cambria Math"/>
                <w:i/>
              </w:rPr>
            </m:ctrlPr>
          </m:fPr>
          <m:num>
            <m:r>
              <m:rPr/>
              <w:rPr>
                <w:rFonts w:ascii="Cambria Math"/>
              </w:rPr>
              <m:t>1</m:t>
            </m:r>
            <m:ctrlPr>
              <w:rPr>
                <w:rFonts w:ascii="Cambria Math"/>
                <w:i/>
              </w:rPr>
            </m:ctrlPr>
          </m:num>
          <m:den>
            <m:r>
              <m:rPr/>
              <w:rPr>
                <w:rFonts w:ascii="Cambria Math"/>
              </w:rPr>
              <m:t>1+0.053</m:t>
            </m:r>
            <m:sSub>
              <m:sSubPr>
                <m:ctrlPr>
                  <w:rPr>
                    <w:rFonts w:ascii="Cambria Math"/>
                    <w:i/>
                  </w:rPr>
                </m:ctrlPr>
              </m:sSubPr>
              <m:e>
                <m:r>
                  <m:rPr/>
                  <w:rPr>
                    <w:rFonts w:ascii="Cambria Math"/>
                  </w:rPr>
                  <m:t>P</m:t>
                </m:r>
                <m:ctrlPr>
                  <w:rPr>
                    <w:rFonts w:ascii="Cambria Math"/>
                    <w:i/>
                  </w:rPr>
                </m:ctrlPr>
              </m:e>
              <m:sub>
                <m:r>
                  <m:rPr/>
                  <w:rPr>
                    <w:rFonts w:ascii="Cambria Math"/>
                  </w:rPr>
                  <m:t>VA</m:t>
                </m:r>
                <m:ctrlPr>
                  <w:rPr>
                    <w:rFonts w:ascii="Cambria Math"/>
                    <w:i/>
                  </w:rPr>
                </m:ctrlPr>
              </m:sub>
            </m:sSub>
            <m:sSub>
              <m:sSubPr>
                <m:ctrlPr>
                  <w:rPr>
                    <w:rFonts w:ascii="Cambria Math"/>
                    <w:i/>
                  </w:rPr>
                </m:ctrlPr>
              </m:sSubPr>
              <m:e>
                <m:r>
                  <m:rPr/>
                  <w:rPr>
                    <w:rFonts w:ascii="Cambria Math"/>
                  </w:rPr>
                  <m:t>H</m:t>
                </m:r>
                <m:ctrlPr>
                  <w:rPr>
                    <w:rFonts w:ascii="Cambria Math"/>
                    <w:i/>
                  </w:rPr>
                </m:ctrlPr>
              </m:e>
              <m:sub>
                <m:r>
                  <m:rPr/>
                  <w:rPr>
                    <w:rFonts w:ascii="Cambria Math"/>
                  </w:rPr>
                  <m:t>VO</m:t>
                </m:r>
                <m:ctrlPr>
                  <w:rPr>
                    <w:rFonts w:ascii="Cambria Math"/>
                    <w:i/>
                  </w:rPr>
                </m:ctrlPr>
              </m:sub>
            </m:sSub>
            <m:ctrlPr>
              <w:rPr>
                <w:rFonts w:ascii="Cambria Math" w:hAnsi="Cambria Math"/>
                <w:i/>
              </w:rPr>
            </m:ctrlPr>
          </m:den>
        </m:f>
      </m:oMath>
      <w:r>
        <w:rPr>
          <w:rFonts w:hAnsi="宋体"/>
        </w:rPr>
        <w:tab/>
      </w:r>
      <w:r>
        <w:rPr>
          <w:rFonts w:hint="eastAsia" w:cstheme="minorBidi"/>
        </w:rPr>
        <w:t>(E</w:t>
      </w:r>
      <w:r>
        <w:rPr>
          <w:rFonts w:cstheme="minorBidi"/>
        </w:rPr>
        <w:t>.11</w:t>
      </w:r>
      <w:r>
        <w:rPr>
          <w:rFonts w:hint="eastAsia" w:cstheme="minorBidi"/>
        </w:rPr>
        <w:t>)</w:t>
      </w:r>
    </w:p>
    <w:p w14:paraId="4EAF5AE9">
      <w:pPr>
        <w:overflowPunct w:val="0"/>
        <w:autoSpaceDE w:val="0"/>
        <w:autoSpaceDN w:val="0"/>
        <w:spacing w:line="240" w:lineRule="auto"/>
        <w:ind w:firstLine="420" w:firstLineChars="200"/>
        <w:rPr>
          <w:rFonts w:ascii="宋体" w:hAnsi="宋体"/>
        </w:rPr>
      </w:pPr>
      <w:r>
        <w:rPr>
          <w:rFonts w:hint="eastAsia" w:ascii="宋体" w:hAnsi="宋体"/>
        </w:rPr>
        <w:t>式中：</w:t>
      </w:r>
    </w:p>
    <w:p w14:paraId="3784761A">
      <w:pPr>
        <w:overflowPunct w:val="0"/>
        <w:autoSpaceDE w:val="0"/>
        <w:autoSpaceDN w:val="0"/>
        <w:spacing w:line="240" w:lineRule="auto"/>
        <w:ind w:firstLine="420" w:firstLineChars="200"/>
        <w:rPr>
          <w:rFonts w:ascii="宋体" w:hAnsi="宋体"/>
        </w:rPr>
      </w:pPr>
      <w:r>
        <w:rPr>
          <w:rFonts w:ascii="宋体" w:hAnsi="宋体"/>
        </w:rPr>
        <w:t>K</w:t>
      </w:r>
      <w:r>
        <w:rPr>
          <w:rFonts w:ascii="宋体" w:hAnsi="宋体"/>
          <w:vertAlign w:val="subscript"/>
        </w:rPr>
        <w:t>s</w:t>
      </w:r>
      <w:r>
        <w:rPr>
          <w:rFonts w:hint="eastAsia"/>
          <w:spacing w:val="-20"/>
        </w:rPr>
        <w:t>——</w:t>
      </w:r>
      <w:r>
        <w:rPr>
          <w:rFonts w:hint="eastAsia" w:ascii="宋体" w:hAnsi="宋体"/>
        </w:rPr>
        <w:t>排放</w:t>
      </w:r>
      <w:r>
        <w:rPr>
          <w:rFonts w:ascii="宋体" w:hAnsi="宋体"/>
        </w:rPr>
        <w:t>蒸汽饱和因子</w:t>
      </w:r>
      <w:r>
        <w:rPr>
          <w:rFonts w:hint="eastAsia" w:ascii="宋体" w:hAnsi="宋体"/>
        </w:rPr>
        <w:t>，</w:t>
      </w:r>
      <w:r>
        <w:rPr>
          <w:rFonts w:ascii="宋体" w:hAnsi="宋体"/>
        </w:rPr>
        <w:t>无</w:t>
      </w:r>
      <w:r>
        <w:rPr>
          <w:rFonts w:hint="eastAsia" w:ascii="宋体" w:hAnsi="宋体"/>
        </w:rPr>
        <w:t>量</w:t>
      </w:r>
      <w:r>
        <w:rPr>
          <w:rFonts w:ascii="宋体" w:hAnsi="宋体"/>
        </w:rPr>
        <w:t>纲</w:t>
      </w:r>
      <w:r>
        <w:rPr>
          <w:rFonts w:hint="eastAsia" w:ascii="宋体" w:hAnsi="宋体"/>
        </w:rPr>
        <w:t>；</w:t>
      </w:r>
    </w:p>
    <w:p w14:paraId="04E61C71">
      <w:pPr>
        <w:overflowPunct w:val="0"/>
        <w:autoSpaceDE w:val="0"/>
        <w:autoSpaceDN w:val="0"/>
        <w:spacing w:line="240" w:lineRule="auto"/>
        <w:ind w:firstLine="420" w:firstLineChars="200"/>
        <w:rPr>
          <w:rFonts w:ascii="宋体" w:hAnsi="宋体"/>
        </w:rPr>
      </w:pPr>
      <w:r>
        <w:rPr>
          <w:rFonts w:hint="eastAsia" w:ascii="宋体" w:hAnsi="宋体"/>
        </w:rPr>
        <w:t>P</w:t>
      </w:r>
      <w:r>
        <w:rPr>
          <w:rFonts w:ascii="宋体" w:hAnsi="宋体"/>
          <w:vertAlign w:val="subscript"/>
        </w:rPr>
        <w:t>VA</w:t>
      </w:r>
      <w:r>
        <w:rPr>
          <w:rFonts w:hint="eastAsia"/>
          <w:spacing w:val="-20"/>
        </w:rPr>
        <w:t>——</w:t>
      </w:r>
      <w:r>
        <w:rPr>
          <w:rFonts w:hint="eastAsia" w:ascii="宋体" w:hAnsi="宋体"/>
        </w:rPr>
        <w:t>日平均液面温度下的蒸气压，磅/平方英寸（绝压）；见公式（E</w:t>
      </w:r>
      <w:r>
        <w:rPr>
          <w:rFonts w:ascii="宋体" w:hAnsi="宋体"/>
        </w:rPr>
        <w:t>.16）</w:t>
      </w:r>
      <w:r>
        <w:rPr>
          <w:rFonts w:hint="eastAsia" w:ascii="宋体" w:hAnsi="宋体"/>
        </w:rPr>
        <w:t>；</w:t>
      </w:r>
    </w:p>
    <w:p w14:paraId="4480F55B">
      <w:pPr>
        <w:overflowPunct w:val="0"/>
        <w:autoSpaceDE w:val="0"/>
        <w:autoSpaceDN w:val="0"/>
        <w:spacing w:line="240" w:lineRule="auto"/>
        <w:ind w:firstLine="420" w:firstLineChars="200"/>
        <w:rPr>
          <w:rFonts w:ascii="宋体" w:hAnsi="宋体"/>
        </w:rPr>
      </w:pPr>
      <w:r>
        <w:rPr>
          <w:rFonts w:ascii="宋体" w:hAnsi="宋体"/>
        </w:rPr>
        <w:t>H</w:t>
      </w:r>
      <w:r>
        <w:rPr>
          <w:rFonts w:ascii="宋体" w:hAnsi="宋体"/>
          <w:vertAlign w:val="subscript"/>
        </w:rPr>
        <w:t>VO</w:t>
      </w:r>
      <w:r>
        <w:rPr>
          <w:rFonts w:hint="eastAsia"/>
          <w:spacing w:val="-20"/>
        </w:rPr>
        <w:t>——</w:t>
      </w:r>
      <w:r>
        <w:rPr>
          <w:rFonts w:hint="eastAsia" w:ascii="宋体" w:hAnsi="宋体"/>
        </w:rPr>
        <w:t>蒸汽</w:t>
      </w:r>
      <w:r>
        <w:rPr>
          <w:rFonts w:ascii="宋体" w:hAnsi="宋体"/>
        </w:rPr>
        <w:t>空间高度</w:t>
      </w:r>
      <w:r>
        <w:rPr>
          <w:rFonts w:hint="eastAsia" w:ascii="宋体" w:hAnsi="宋体"/>
        </w:rPr>
        <w:t>（</w:t>
      </w:r>
      <w:r>
        <w:rPr>
          <w:rFonts w:ascii="宋体" w:hAnsi="宋体"/>
        </w:rPr>
        <w:t>英尺</w:t>
      </w:r>
      <w:r>
        <w:rPr>
          <w:rFonts w:hint="eastAsia" w:ascii="宋体" w:hAnsi="宋体"/>
        </w:rPr>
        <w:t>）</w:t>
      </w:r>
      <w:r>
        <w:rPr>
          <w:rFonts w:ascii="宋体" w:hAnsi="宋体"/>
        </w:rPr>
        <w:t>，见公式(E.4)</w:t>
      </w:r>
      <w:r>
        <w:rPr>
          <w:rFonts w:hint="eastAsia" w:ascii="宋体" w:hAnsi="宋体"/>
        </w:rPr>
        <w:t>；</w:t>
      </w:r>
      <w:r>
        <w:rPr>
          <w:rFonts w:ascii="宋体" w:hAnsi="宋体"/>
        </w:rPr>
        <w:t>0.053</w:t>
      </w:r>
      <w:r>
        <w:rPr>
          <w:rFonts w:hint="eastAsia" w:ascii="宋体" w:hAnsi="宋体"/>
        </w:rPr>
        <w:t>为</w:t>
      </w:r>
      <w:r>
        <w:rPr>
          <w:rFonts w:ascii="宋体" w:hAnsi="宋体"/>
        </w:rPr>
        <w:t>常数</w:t>
      </w:r>
      <w:r>
        <w:rPr>
          <w:rFonts w:hint="eastAsia" w:ascii="宋体" w:hAnsi="宋体"/>
        </w:rPr>
        <w:t>，</w:t>
      </w:r>
      <w:r>
        <w:rPr>
          <w:rFonts w:ascii="宋体" w:hAnsi="宋体"/>
        </w:rPr>
        <w:t>（</w:t>
      </w:r>
      <w:r>
        <w:rPr>
          <w:rFonts w:hint="eastAsia" w:ascii="宋体" w:hAnsi="宋体"/>
        </w:rPr>
        <w:t>磅/平方</w:t>
      </w:r>
      <w:r>
        <w:rPr>
          <w:rFonts w:ascii="宋体" w:hAnsi="宋体"/>
        </w:rPr>
        <w:t>英寸（</w:t>
      </w:r>
      <w:r>
        <w:rPr>
          <w:rFonts w:hint="eastAsia" w:ascii="宋体" w:hAnsi="宋体"/>
        </w:rPr>
        <w:t>绝压</w:t>
      </w:r>
      <w:r>
        <w:rPr>
          <w:rFonts w:ascii="宋体" w:hAnsi="宋体"/>
        </w:rPr>
        <w:t>）</w:t>
      </w:r>
      <w:r>
        <w:rPr>
          <w:rFonts w:hint="eastAsia" w:ascii="宋体" w:hAnsi="宋体"/>
        </w:rPr>
        <w:t>•英尺</w:t>
      </w:r>
      <w:r>
        <w:rPr>
          <w:rFonts w:ascii="宋体" w:hAnsi="宋体"/>
        </w:rPr>
        <w:t>）</w:t>
      </w:r>
      <w:r>
        <w:rPr>
          <w:rFonts w:ascii="宋体" w:hAnsi="宋体"/>
          <w:vertAlign w:val="superscript"/>
        </w:rPr>
        <w:t>-1</w:t>
      </w:r>
      <w:r>
        <w:rPr>
          <w:rFonts w:hint="eastAsia" w:ascii="宋体" w:hAnsi="宋体"/>
        </w:rPr>
        <w:t>。</w:t>
      </w:r>
    </w:p>
    <w:p w14:paraId="22518FE2">
      <w:pPr>
        <w:spacing w:line="240" w:lineRule="auto"/>
        <w:ind w:firstLine="420" w:firstLineChars="200"/>
        <w:rPr>
          <w:rFonts w:ascii="宋体" w:hAnsi="宋体"/>
        </w:rPr>
      </w:pPr>
      <w:r>
        <w:rPr>
          <w:rFonts w:ascii="宋体" w:hAnsi="宋体"/>
        </w:rPr>
        <w:t>4</w:t>
      </w:r>
      <w:r>
        <w:rPr>
          <w:rFonts w:hint="eastAsia" w:ascii="宋体" w:hAnsi="宋体"/>
        </w:rPr>
        <w:t>）</w:t>
      </w:r>
      <w:r>
        <w:rPr>
          <w:rFonts w:ascii="宋体" w:hAnsi="宋体"/>
        </w:rPr>
        <w:t>蒸汽密度W</w:t>
      </w:r>
      <w:r>
        <w:rPr>
          <w:rFonts w:ascii="宋体" w:hAnsi="宋体"/>
          <w:vertAlign w:val="subscript"/>
        </w:rPr>
        <w:t>v</w:t>
      </w:r>
      <w:r>
        <w:rPr>
          <w:rFonts w:ascii="宋体" w:hAnsi="宋体"/>
        </w:rPr>
        <w:t>计算</w:t>
      </w:r>
    </w:p>
    <w:p w14:paraId="2E099331">
      <w:pPr>
        <w:pStyle w:val="242"/>
      </w:pPr>
      <w:r>
        <w:rPr>
          <w:rFonts w:hAnsi="宋体"/>
        </w:rPr>
        <w:tab/>
      </w:r>
      <m:oMath>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V</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V</m:t>
                </m:r>
                <m:ctrlPr>
                  <w:rPr>
                    <w:rFonts w:ascii="Cambria Math" w:hAnsi="Cambria Math"/>
                  </w:rPr>
                </m:ctrlPr>
              </m:sub>
            </m:sSub>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VA</m:t>
                </m:r>
                <m:ctrlPr>
                  <w:rPr>
                    <w:rFonts w:ascii="Cambria Math" w:hAnsi="Cambria Math"/>
                  </w:rPr>
                </m:ctrlPr>
              </m:sub>
            </m:sSub>
            <m:ctrlPr>
              <w:rPr>
                <w:rFonts w:ascii="Cambria Math" w:hAnsi="Cambria Math"/>
              </w:rPr>
            </m:ctrlPr>
          </m:num>
          <m:den>
            <m:r>
              <m:rPr/>
              <w:rPr>
                <w:rFonts w:ascii="Cambria Math" w:hAnsi="Cambria Math"/>
              </w:rPr>
              <m:t>R</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LA</m:t>
                </m:r>
                <m:ctrlPr>
                  <w:rPr>
                    <w:rFonts w:ascii="Cambria Math" w:hAnsi="Cambria Math"/>
                  </w:rPr>
                </m:ctrlPr>
              </m:sub>
            </m:sSub>
            <m:ctrlPr>
              <w:rPr>
                <w:rFonts w:ascii="Cambria Math" w:hAnsi="Cambria Math"/>
              </w:rPr>
            </m:ctrlPr>
          </m:den>
        </m:f>
      </m:oMath>
      <w:r>
        <w:rPr>
          <w:rFonts w:hAnsi="宋体"/>
        </w:rPr>
        <w:tab/>
      </w:r>
      <w:r>
        <w:t>(</w:t>
      </w:r>
      <w:r>
        <w:rPr>
          <w:rFonts w:hint="eastAsia"/>
        </w:rPr>
        <w:t>E</w:t>
      </w:r>
      <w:r>
        <w:t>.12)</w:t>
      </w:r>
    </w:p>
    <w:p w14:paraId="318D2A4A">
      <w:pPr>
        <w:overflowPunct w:val="0"/>
        <w:autoSpaceDE w:val="0"/>
        <w:autoSpaceDN w:val="0"/>
        <w:spacing w:line="240" w:lineRule="auto"/>
        <w:ind w:firstLine="420" w:firstLineChars="200"/>
        <w:rPr>
          <w:rFonts w:ascii="宋体" w:hAnsi="宋体"/>
        </w:rPr>
      </w:pPr>
      <w:r>
        <w:rPr>
          <w:rFonts w:ascii="宋体" w:hAnsi="宋体"/>
        </w:rPr>
        <w:t>式中</w:t>
      </w:r>
      <w:r>
        <w:rPr>
          <w:rFonts w:hint="eastAsia" w:ascii="宋体" w:hAnsi="宋体"/>
        </w:rPr>
        <w:t>：</w:t>
      </w:r>
    </w:p>
    <w:p w14:paraId="7A9D4DB5">
      <w:pPr>
        <w:overflowPunct w:val="0"/>
        <w:autoSpaceDE w:val="0"/>
        <w:autoSpaceDN w:val="0"/>
        <w:spacing w:line="240" w:lineRule="auto"/>
        <w:ind w:firstLine="420" w:firstLineChars="200"/>
        <w:rPr>
          <w:rFonts w:ascii="宋体" w:hAnsi="宋体"/>
        </w:rPr>
      </w:pPr>
      <w:r>
        <w:rPr>
          <w:rFonts w:ascii="宋体" w:hAnsi="宋体"/>
        </w:rPr>
        <w:t>W</w:t>
      </w:r>
      <w:r>
        <w:rPr>
          <w:rFonts w:ascii="宋体" w:hAnsi="宋体"/>
          <w:vertAlign w:val="subscript"/>
        </w:rPr>
        <w:t>V</w:t>
      </w:r>
      <w:r>
        <w:rPr>
          <w:rFonts w:hint="eastAsia"/>
          <w:spacing w:val="-20"/>
        </w:rPr>
        <w:t>——</w:t>
      </w:r>
      <w:r>
        <w:rPr>
          <w:rFonts w:ascii="宋体" w:hAnsi="宋体"/>
        </w:rPr>
        <w:t>蒸汽密度</w:t>
      </w:r>
      <w:r>
        <w:rPr>
          <w:rFonts w:hint="eastAsia" w:ascii="宋体" w:hAnsi="宋体"/>
        </w:rPr>
        <w:t>，</w:t>
      </w:r>
      <w:r>
        <w:rPr>
          <w:rFonts w:ascii="宋体" w:hAnsi="宋体"/>
        </w:rPr>
        <w:t>磅/立方英尺</w:t>
      </w:r>
      <w:r>
        <w:rPr>
          <w:rFonts w:hint="eastAsia" w:ascii="宋体" w:hAnsi="宋体"/>
        </w:rPr>
        <w:t>；</w:t>
      </w:r>
    </w:p>
    <w:p w14:paraId="221A100E">
      <w:pPr>
        <w:overflowPunct w:val="0"/>
        <w:autoSpaceDE w:val="0"/>
        <w:autoSpaceDN w:val="0"/>
        <w:spacing w:line="240" w:lineRule="auto"/>
        <w:ind w:firstLine="420" w:firstLineChars="200"/>
        <w:rPr>
          <w:rFonts w:ascii="宋体" w:hAnsi="宋体"/>
        </w:rPr>
      </w:pPr>
      <w:r>
        <w:rPr>
          <w:rFonts w:ascii="宋体" w:hAnsi="宋体"/>
        </w:rPr>
        <w:t>M</w:t>
      </w:r>
      <w:r>
        <w:rPr>
          <w:rFonts w:ascii="宋体" w:hAnsi="宋体"/>
          <w:vertAlign w:val="subscript"/>
        </w:rPr>
        <w:t>V</w:t>
      </w:r>
      <w:r>
        <w:rPr>
          <w:rFonts w:hint="eastAsia"/>
          <w:spacing w:val="-20"/>
        </w:rPr>
        <w:t>——</w:t>
      </w:r>
      <w:r>
        <w:rPr>
          <w:rFonts w:ascii="宋体" w:hAnsi="宋体"/>
        </w:rPr>
        <w:t>蒸汽分子质量</w:t>
      </w:r>
      <w:r>
        <w:rPr>
          <w:rFonts w:hint="eastAsia" w:ascii="宋体" w:hAnsi="宋体"/>
        </w:rPr>
        <w:t>，（</w:t>
      </w:r>
      <w:r>
        <w:rPr>
          <w:rFonts w:ascii="宋体" w:hAnsi="宋体"/>
        </w:rPr>
        <w:t>磅/磅-摩尔</w:t>
      </w:r>
      <w:r>
        <w:rPr>
          <w:rFonts w:hint="eastAsia" w:ascii="宋体" w:hAnsi="宋体"/>
        </w:rPr>
        <w:t>）；</w:t>
      </w:r>
    </w:p>
    <w:p w14:paraId="3FECBCAF">
      <w:pPr>
        <w:overflowPunct w:val="0"/>
        <w:autoSpaceDE w:val="0"/>
        <w:autoSpaceDN w:val="0"/>
        <w:spacing w:line="240" w:lineRule="auto"/>
        <w:ind w:firstLine="420" w:firstLineChars="200"/>
        <w:rPr>
          <w:rFonts w:ascii="宋体" w:hAnsi="宋体"/>
        </w:rPr>
      </w:pPr>
      <w:r>
        <w:rPr>
          <w:rFonts w:ascii="宋体" w:hAnsi="宋体"/>
        </w:rPr>
        <w:t>R</w:t>
      </w:r>
      <w:r>
        <w:rPr>
          <w:rFonts w:hint="eastAsia"/>
          <w:spacing w:val="-20"/>
        </w:rPr>
        <w:t>——</w:t>
      </w:r>
      <w:r>
        <w:rPr>
          <w:rFonts w:ascii="宋体" w:hAnsi="宋体"/>
        </w:rPr>
        <w:t>理想气体状态常数</w:t>
      </w:r>
      <w:r>
        <w:rPr>
          <w:rFonts w:hint="eastAsia" w:ascii="宋体" w:hAnsi="宋体"/>
        </w:rPr>
        <w:t>，</w:t>
      </w:r>
      <w:r>
        <w:rPr>
          <w:rFonts w:ascii="宋体" w:hAnsi="宋体"/>
        </w:rPr>
        <w:t>10.731磅/(磅-摩尔•英尺•兰氏度</w:t>
      </w:r>
      <w:r>
        <w:rPr>
          <w:rFonts w:hint="eastAsia" w:ascii="宋体" w:hAnsi="宋体"/>
        </w:rPr>
        <w:t>；</w:t>
      </w:r>
    </w:p>
    <w:p w14:paraId="41E0C878">
      <w:pPr>
        <w:overflowPunct w:val="0"/>
        <w:autoSpaceDE w:val="0"/>
        <w:autoSpaceDN w:val="0"/>
        <w:spacing w:line="240" w:lineRule="auto"/>
        <w:ind w:firstLine="420" w:firstLineChars="200"/>
        <w:rPr>
          <w:rFonts w:ascii="宋体" w:hAnsi="宋体"/>
        </w:rPr>
      </w:pPr>
      <w:r>
        <w:rPr>
          <w:rFonts w:ascii="宋体" w:hAnsi="宋体"/>
        </w:rPr>
        <w:t>P</w:t>
      </w:r>
      <w:r>
        <w:rPr>
          <w:rFonts w:ascii="宋体" w:hAnsi="宋体"/>
          <w:vertAlign w:val="subscript"/>
        </w:rPr>
        <w:t>VA</w:t>
      </w:r>
      <w:r>
        <w:rPr>
          <w:rFonts w:hint="eastAsia"/>
          <w:spacing w:val="-20"/>
        </w:rPr>
        <w:t>——</w:t>
      </w:r>
      <w:r>
        <w:rPr>
          <w:rFonts w:ascii="宋体" w:hAnsi="宋体"/>
        </w:rPr>
        <w:t>日平均液面温度下的蒸气压</w:t>
      </w:r>
      <w:r>
        <w:rPr>
          <w:rFonts w:hint="eastAsia" w:ascii="宋体" w:hAnsi="宋体"/>
        </w:rPr>
        <w:t>，</w:t>
      </w:r>
      <w:r>
        <w:rPr>
          <w:rFonts w:ascii="宋体" w:hAnsi="宋体"/>
        </w:rPr>
        <w:t>磅/平方英寸（绝压</w:t>
      </w:r>
      <w:r>
        <w:rPr>
          <w:rFonts w:hint="eastAsia" w:ascii="宋体" w:hAnsi="宋体"/>
        </w:rPr>
        <w:t>；</w:t>
      </w:r>
      <w:r>
        <w:rPr>
          <w:rFonts w:ascii="宋体" w:hAnsi="宋体"/>
        </w:rPr>
        <w:t>见公式(E.16)；</w:t>
      </w:r>
    </w:p>
    <w:p w14:paraId="40607A38">
      <w:pPr>
        <w:overflowPunct w:val="0"/>
        <w:autoSpaceDE w:val="0"/>
        <w:autoSpaceDN w:val="0"/>
        <w:spacing w:line="240" w:lineRule="auto"/>
        <w:ind w:firstLine="420" w:firstLineChars="200"/>
        <w:rPr>
          <w:rFonts w:ascii="宋体" w:hAnsi="宋体"/>
        </w:rPr>
      </w:pPr>
      <w:r>
        <w:rPr>
          <w:rFonts w:ascii="宋体" w:hAnsi="宋体"/>
        </w:rPr>
        <w:t>T</w:t>
      </w:r>
      <w:r>
        <w:rPr>
          <w:rFonts w:ascii="宋体" w:hAnsi="宋体"/>
          <w:vertAlign w:val="subscript"/>
        </w:rPr>
        <w:t>LA</w:t>
      </w:r>
      <w:r>
        <w:rPr>
          <w:rFonts w:hint="eastAsia"/>
          <w:spacing w:val="-20"/>
        </w:rPr>
        <w:t>——</w:t>
      </w:r>
      <w:r>
        <w:rPr>
          <w:rFonts w:ascii="宋体" w:hAnsi="宋体"/>
        </w:rPr>
        <w:t>日平均液体表面温度</w:t>
      </w:r>
      <w:r>
        <w:rPr>
          <w:rFonts w:hint="eastAsia" w:ascii="宋体" w:hAnsi="宋体"/>
        </w:rPr>
        <w:t>，</w:t>
      </w:r>
      <w:r>
        <w:rPr>
          <w:rFonts w:ascii="宋体" w:hAnsi="宋体"/>
        </w:rPr>
        <w:t>兰氏度</w:t>
      </w:r>
      <w:r>
        <w:rPr>
          <w:rFonts w:hint="eastAsia" w:ascii="宋体" w:hAnsi="宋体"/>
        </w:rPr>
        <w:t>；</w:t>
      </w:r>
      <w:r>
        <w:rPr>
          <w:rFonts w:ascii="宋体" w:hAnsi="宋体"/>
        </w:rPr>
        <w:t>取年平均实际储存温度</w:t>
      </w:r>
      <w:r>
        <w:rPr>
          <w:rFonts w:hint="eastAsia" w:ascii="宋体" w:hAnsi="宋体"/>
        </w:rPr>
        <w:t>，</w:t>
      </w:r>
      <w:r>
        <w:rPr>
          <w:rFonts w:ascii="宋体" w:hAnsi="宋体"/>
        </w:rPr>
        <w:t>见表E.2</w:t>
      </w:r>
      <w:r>
        <w:rPr>
          <w:rFonts w:hint="eastAsia" w:ascii="宋体" w:hAnsi="宋体"/>
        </w:rPr>
        <w:t>；</w:t>
      </w:r>
      <w:r>
        <w:rPr>
          <w:rFonts w:ascii="宋体" w:hAnsi="宋体"/>
        </w:rPr>
        <w:t>如无该数据，用公式</w:t>
      </w:r>
      <w:r>
        <w:rPr>
          <w:rFonts w:hint="eastAsia" w:ascii="宋体" w:hAnsi="宋体"/>
        </w:rPr>
        <w:t>（</w:t>
      </w:r>
      <w:r>
        <w:rPr>
          <w:rFonts w:ascii="宋体" w:hAnsi="宋体"/>
        </w:rPr>
        <w:t>E.13</w:t>
      </w:r>
      <w:r>
        <w:rPr>
          <w:rFonts w:hint="eastAsia" w:ascii="宋体" w:hAnsi="宋体"/>
        </w:rPr>
        <w:t>）</w:t>
      </w:r>
      <w:r>
        <w:rPr>
          <w:rFonts w:ascii="宋体" w:hAnsi="宋体"/>
        </w:rPr>
        <w:t>计算。</w:t>
      </w:r>
    </w:p>
    <w:p w14:paraId="503D91C1">
      <w:pPr>
        <w:overflowPunct w:val="0"/>
        <w:autoSpaceDE w:val="0"/>
        <w:autoSpaceDN w:val="0"/>
        <w:spacing w:line="240" w:lineRule="auto"/>
        <w:ind w:firstLine="420" w:firstLineChars="200"/>
        <w:rPr>
          <w:rFonts w:ascii="宋体" w:hAnsi="宋体"/>
        </w:rPr>
      </w:pPr>
      <w:r>
        <w:rPr>
          <w:rFonts w:hint="eastAsia" w:ascii="宋体" w:hAnsi="宋体"/>
        </w:rPr>
        <w:t>日平均液体表面温度TLA的计算</w:t>
      </w:r>
      <w:r>
        <w:rPr>
          <w:rFonts w:ascii="宋体" w:hAnsi="宋体"/>
        </w:rPr>
        <w:t>方法如下：</w:t>
      </w:r>
    </w:p>
    <w:p w14:paraId="650D8A07">
      <w:pPr>
        <w:pStyle w:val="242"/>
      </w:pPr>
      <w:r>
        <w:rPr>
          <w:rFonts w:hAnsi="宋体"/>
        </w:rPr>
        <w:tab/>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LA</m:t>
            </m:r>
            <m:ctrlPr>
              <w:rPr>
                <w:rFonts w:ascii="Cambria Math" w:hAnsi="Cambria Math"/>
              </w:rPr>
            </m:ctrlPr>
          </m:sub>
        </m:sSub>
        <m:r>
          <m:rPr>
            <m:sty m:val="p"/>
          </m:rPr>
          <w:rPr>
            <w:rFonts w:ascii="Cambria Math" w:hAnsi="Cambria Math"/>
          </w:rPr>
          <m:t>=0.44</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AA</m:t>
            </m:r>
            <m:ctrlPr>
              <w:rPr>
                <w:rFonts w:ascii="Cambria Math" w:hAnsi="Cambria Math"/>
              </w:rPr>
            </m:ctrlPr>
          </m:sub>
        </m:sSub>
        <m:r>
          <m:rPr>
            <m:sty m:val="p"/>
          </m:rPr>
          <w:rPr>
            <w:rFonts w:ascii="Cambria Math" w:hAnsi="Cambria Math"/>
          </w:rPr>
          <m:t>+0.56</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B</m:t>
            </m:r>
            <m:ctrlPr>
              <w:rPr>
                <w:rFonts w:ascii="Cambria Math" w:hAnsi="Cambria Math"/>
              </w:rPr>
            </m:ctrlPr>
          </m:sub>
        </m:sSub>
        <m:r>
          <m:rPr>
            <m:sty m:val="p"/>
          </m:rPr>
          <w:rPr>
            <w:rFonts w:ascii="Cambria Math" w:hAnsi="Cambria Math"/>
          </w:rPr>
          <m:t>+0.0079</m:t>
        </m:r>
        <m:r>
          <m:rPr/>
          <w:rPr>
            <w:rFonts w:ascii="Cambria Math" w:hAnsi="Cambria Math"/>
          </w:rPr>
          <m:t>αI</m:t>
        </m:r>
      </m:oMath>
      <w:r>
        <w:rPr>
          <w:rFonts w:hAnsi="宋体"/>
          <w:iCs/>
        </w:rPr>
        <w:tab/>
      </w:r>
      <w:r>
        <w:t>(</w:t>
      </w:r>
      <w:r>
        <w:rPr>
          <w:rFonts w:hint="eastAsia"/>
        </w:rPr>
        <w:t>E</w:t>
      </w:r>
      <w:r>
        <w:t>.13)</w:t>
      </w:r>
    </w:p>
    <w:p w14:paraId="5375247B">
      <w:pPr>
        <w:pStyle w:val="242"/>
      </w:pPr>
      <w:r>
        <w:tab/>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AA</m:t>
            </m:r>
            <m:ctrlPr>
              <w:rPr>
                <w:rFonts w:ascii="Cambria Math" w:hAnsi="Cambria Math"/>
              </w:rPr>
            </m:ctrlP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AN</m:t>
                    </m:r>
                    <m:ctrlPr>
                      <w:rPr>
                        <w:rFonts w:ascii="Cambria Math" w:hAnsi="Cambria Math"/>
                      </w:rPr>
                    </m:ctrlPr>
                  </m:sub>
                </m:sSub>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oMath>
      <w:r>
        <w:tab/>
      </w:r>
      <w:r>
        <w:t>(</w:t>
      </w:r>
      <w:r>
        <w:rPr>
          <w:rFonts w:hint="eastAsia"/>
        </w:rPr>
        <w:t>E</w:t>
      </w:r>
      <w:r>
        <w:t>.14)</w:t>
      </w:r>
    </w:p>
    <w:p w14:paraId="500558C7">
      <w:pPr>
        <w:pStyle w:val="242"/>
      </w:pPr>
      <w:r>
        <w:tab/>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B</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AA</m:t>
            </m:r>
            <m:ctrlPr>
              <w:rPr>
                <w:rFonts w:ascii="Cambria Math" w:hAnsi="Cambria Math"/>
              </w:rPr>
            </m:ctrlPr>
          </m:sub>
        </m:sSub>
        <m:r>
          <m:rPr>
            <m:sty m:val="p"/>
          </m:rPr>
          <w:rPr>
            <w:rFonts w:ascii="Cambria Math" w:hAnsi="Cambria Math"/>
          </w:rPr>
          <m:t>+6</m:t>
        </m:r>
        <m:r>
          <m:rPr/>
          <w:rPr>
            <w:rFonts w:ascii="Cambria Math" w:hAnsi="Cambria Math"/>
          </w:rPr>
          <m:t>α</m:t>
        </m:r>
        <m:r>
          <m:rPr>
            <m:sty m:val="p"/>
          </m:rPr>
          <w:rPr>
            <w:rFonts w:hint="eastAsia" w:ascii="Cambria Math" w:hAnsi="Cambria Math" w:eastAsia="微软雅黑" w:cs="微软雅黑"/>
          </w:rPr>
          <m:t>−</m:t>
        </m:r>
        <m:r>
          <m:rPr>
            <m:sty m:val="p"/>
          </m:rPr>
          <w:rPr>
            <w:rFonts w:ascii="Cambria Math" w:hAnsi="Cambria Math"/>
          </w:rPr>
          <m:t>1</m:t>
        </m:r>
      </m:oMath>
      <w:r>
        <w:tab/>
      </w:r>
      <w:r>
        <w:t>(</w:t>
      </w:r>
      <w:r>
        <w:rPr>
          <w:rFonts w:hint="eastAsia"/>
        </w:rPr>
        <w:t>E</w:t>
      </w:r>
      <w:r>
        <w:t>.15)</w:t>
      </w:r>
    </w:p>
    <w:p w14:paraId="69359E31">
      <w:pPr>
        <w:overflowPunct w:val="0"/>
        <w:autoSpaceDE w:val="0"/>
        <w:autoSpaceDN w:val="0"/>
        <w:spacing w:line="240" w:lineRule="auto"/>
        <w:ind w:firstLine="420" w:firstLineChars="200"/>
        <w:rPr>
          <w:rFonts w:ascii="宋体" w:hAnsi="宋体"/>
        </w:rPr>
      </w:pPr>
      <w:r>
        <w:rPr>
          <w:rFonts w:ascii="宋体" w:hAnsi="宋体"/>
        </w:rPr>
        <w:t>式中</w:t>
      </w:r>
      <w:r>
        <w:rPr>
          <w:rFonts w:hint="eastAsia" w:ascii="宋体" w:hAnsi="宋体"/>
        </w:rPr>
        <w:t>：</w:t>
      </w:r>
    </w:p>
    <w:p w14:paraId="297C502C">
      <w:pPr>
        <w:overflowPunct w:val="0"/>
        <w:autoSpaceDE w:val="0"/>
        <w:autoSpaceDN w:val="0"/>
        <w:spacing w:line="240" w:lineRule="auto"/>
        <w:ind w:firstLine="420" w:firstLineChars="200"/>
        <w:rPr>
          <w:rFonts w:ascii="宋体" w:hAnsi="宋体"/>
        </w:rPr>
      </w:pPr>
      <w:r>
        <w:rPr>
          <w:rFonts w:ascii="宋体" w:hAnsi="宋体"/>
        </w:rPr>
        <w:t>T</w:t>
      </w:r>
      <w:r>
        <w:rPr>
          <w:rFonts w:ascii="宋体" w:hAnsi="宋体"/>
          <w:vertAlign w:val="subscript"/>
        </w:rPr>
        <w:t>LA</w:t>
      </w:r>
      <w:r>
        <w:rPr>
          <w:rFonts w:hint="eastAsia"/>
          <w:spacing w:val="-20"/>
        </w:rPr>
        <w:t>——</w:t>
      </w:r>
      <w:r>
        <w:rPr>
          <w:rFonts w:ascii="宋体" w:hAnsi="宋体"/>
        </w:rPr>
        <w:t>日平均液体表面温度</w:t>
      </w:r>
      <w:r>
        <w:rPr>
          <w:rFonts w:hint="eastAsia" w:ascii="宋体" w:hAnsi="宋体"/>
        </w:rPr>
        <w:t>，</w:t>
      </w:r>
      <w:r>
        <w:rPr>
          <w:rFonts w:ascii="宋体" w:hAnsi="宋体"/>
        </w:rPr>
        <w:t>兰氏度</w:t>
      </w:r>
      <w:r>
        <w:rPr>
          <w:rFonts w:hint="eastAsia" w:ascii="宋体" w:hAnsi="宋体"/>
        </w:rPr>
        <w:t>；</w:t>
      </w:r>
    </w:p>
    <w:p w14:paraId="730699DD">
      <w:pPr>
        <w:overflowPunct w:val="0"/>
        <w:autoSpaceDE w:val="0"/>
        <w:autoSpaceDN w:val="0"/>
        <w:spacing w:line="240" w:lineRule="auto"/>
        <w:ind w:firstLine="420" w:firstLineChars="200"/>
        <w:rPr>
          <w:rFonts w:ascii="宋体" w:hAnsi="宋体"/>
        </w:rPr>
      </w:pPr>
      <w:r>
        <w:rPr>
          <w:rFonts w:ascii="宋体" w:hAnsi="宋体"/>
        </w:rPr>
        <w:t>T</w:t>
      </w:r>
      <w:r>
        <w:rPr>
          <w:rFonts w:ascii="宋体" w:hAnsi="宋体"/>
          <w:vertAlign w:val="subscript"/>
        </w:rPr>
        <w:t>AA</w:t>
      </w:r>
      <w:r>
        <w:rPr>
          <w:rFonts w:hint="eastAsia"/>
          <w:spacing w:val="-20"/>
        </w:rPr>
        <w:t>——</w:t>
      </w:r>
      <w:r>
        <w:rPr>
          <w:rFonts w:hint="eastAsia" w:ascii="宋体" w:hAnsi="宋体"/>
        </w:rPr>
        <w:t>为</w:t>
      </w:r>
      <w:r>
        <w:rPr>
          <w:rFonts w:ascii="宋体" w:hAnsi="宋体"/>
        </w:rPr>
        <w:t>日平均环境温度</w:t>
      </w:r>
      <w:r>
        <w:rPr>
          <w:rFonts w:hint="eastAsia" w:ascii="宋体" w:hAnsi="宋体"/>
        </w:rPr>
        <w:t>，</w:t>
      </w:r>
      <w:r>
        <w:rPr>
          <w:rFonts w:ascii="宋体" w:hAnsi="宋体"/>
        </w:rPr>
        <w:t>兰氏度</w:t>
      </w:r>
      <w:r>
        <w:rPr>
          <w:rFonts w:hint="eastAsia" w:ascii="宋体" w:hAnsi="宋体"/>
        </w:rPr>
        <w:t>；</w:t>
      </w:r>
    </w:p>
    <w:p w14:paraId="5A0BD2F8">
      <w:pPr>
        <w:overflowPunct w:val="0"/>
        <w:autoSpaceDE w:val="0"/>
        <w:autoSpaceDN w:val="0"/>
        <w:spacing w:line="240" w:lineRule="auto"/>
        <w:ind w:firstLine="420" w:firstLineChars="200"/>
        <w:rPr>
          <w:rFonts w:ascii="宋体" w:hAnsi="宋体"/>
        </w:rPr>
      </w:pPr>
      <w:r>
        <w:rPr>
          <w:rFonts w:ascii="宋体" w:hAnsi="宋体"/>
        </w:rPr>
        <w:t>T</w:t>
      </w:r>
      <w:r>
        <w:rPr>
          <w:rFonts w:ascii="宋体" w:hAnsi="宋体"/>
          <w:vertAlign w:val="subscript"/>
        </w:rPr>
        <w:t>A</w:t>
      </w:r>
      <w:r>
        <w:rPr>
          <w:rFonts w:hint="eastAsia"/>
          <w:spacing w:val="-20"/>
        </w:rPr>
        <w:t>——</w:t>
      </w:r>
      <w:r>
        <w:rPr>
          <w:rFonts w:ascii="宋体" w:hAnsi="宋体"/>
        </w:rPr>
        <w:t>计算月的日最高环境温度</w:t>
      </w:r>
      <w:r>
        <w:rPr>
          <w:rFonts w:hint="eastAsia" w:ascii="宋体" w:hAnsi="宋体"/>
        </w:rPr>
        <w:t>，</w:t>
      </w:r>
      <w:r>
        <w:rPr>
          <w:rFonts w:ascii="宋体" w:hAnsi="宋体"/>
        </w:rPr>
        <w:t>兰氏度</w:t>
      </w:r>
      <w:r>
        <w:rPr>
          <w:rFonts w:hint="eastAsia" w:ascii="宋体" w:hAnsi="宋体"/>
        </w:rPr>
        <w:t>；</w:t>
      </w:r>
    </w:p>
    <w:p w14:paraId="5A5815C8">
      <w:pPr>
        <w:overflowPunct w:val="0"/>
        <w:autoSpaceDE w:val="0"/>
        <w:autoSpaceDN w:val="0"/>
        <w:spacing w:line="240" w:lineRule="auto"/>
        <w:ind w:firstLine="420" w:firstLineChars="200"/>
        <w:rPr>
          <w:rFonts w:ascii="宋体" w:hAnsi="宋体"/>
        </w:rPr>
      </w:pPr>
      <w:r>
        <w:rPr>
          <w:rFonts w:ascii="宋体" w:hAnsi="宋体"/>
        </w:rPr>
        <w:t>T</w:t>
      </w:r>
      <w:r>
        <w:rPr>
          <w:rFonts w:ascii="宋体" w:hAnsi="宋体"/>
          <w:vertAlign w:val="subscript"/>
        </w:rPr>
        <w:t>AN</w:t>
      </w:r>
      <w:r>
        <w:rPr>
          <w:rFonts w:hint="eastAsia"/>
          <w:spacing w:val="-20"/>
        </w:rPr>
        <w:t>——</w:t>
      </w:r>
      <w:r>
        <w:rPr>
          <w:rFonts w:ascii="宋体" w:hAnsi="宋体"/>
        </w:rPr>
        <w:t>计算月的日最低环境温度</w:t>
      </w:r>
      <w:r>
        <w:rPr>
          <w:rFonts w:hint="eastAsia" w:ascii="宋体" w:hAnsi="宋体"/>
        </w:rPr>
        <w:t>，</w:t>
      </w:r>
      <w:r>
        <w:rPr>
          <w:rFonts w:ascii="宋体" w:hAnsi="宋体"/>
        </w:rPr>
        <w:t>兰氏度</w:t>
      </w:r>
      <w:r>
        <w:rPr>
          <w:rFonts w:hint="eastAsia" w:ascii="宋体" w:hAnsi="宋体"/>
        </w:rPr>
        <w:t>；</w:t>
      </w:r>
    </w:p>
    <w:p w14:paraId="3EC6C75C">
      <w:pPr>
        <w:overflowPunct w:val="0"/>
        <w:autoSpaceDE w:val="0"/>
        <w:autoSpaceDN w:val="0"/>
        <w:spacing w:line="240" w:lineRule="auto"/>
        <w:ind w:firstLine="420" w:firstLineChars="200"/>
        <w:rPr>
          <w:rFonts w:ascii="宋体" w:hAnsi="宋体"/>
        </w:rPr>
      </w:pPr>
      <w:r>
        <w:rPr>
          <w:rFonts w:ascii="宋体" w:hAnsi="宋体"/>
        </w:rPr>
        <w:t>T</w:t>
      </w:r>
      <w:r>
        <w:rPr>
          <w:rFonts w:ascii="宋体" w:hAnsi="宋体"/>
          <w:vertAlign w:val="subscript"/>
        </w:rPr>
        <w:t>B</w:t>
      </w:r>
      <w:r>
        <w:rPr>
          <w:rFonts w:hint="eastAsia"/>
          <w:spacing w:val="-20"/>
        </w:rPr>
        <w:t>——</w:t>
      </w:r>
      <w:r>
        <w:rPr>
          <w:rFonts w:ascii="宋体" w:hAnsi="宋体"/>
        </w:rPr>
        <w:t>储液主体温度</w:t>
      </w:r>
      <w:r>
        <w:rPr>
          <w:rFonts w:hint="eastAsia" w:ascii="宋体" w:hAnsi="宋体"/>
        </w:rPr>
        <w:t>，</w:t>
      </w:r>
      <w:r>
        <w:rPr>
          <w:rFonts w:ascii="宋体" w:hAnsi="宋体"/>
        </w:rPr>
        <w:t>兰氏度</w:t>
      </w:r>
      <w:r>
        <w:rPr>
          <w:rFonts w:hint="eastAsia" w:ascii="宋体" w:hAnsi="宋体"/>
        </w:rPr>
        <w:t>；</w:t>
      </w:r>
    </w:p>
    <w:p w14:paraId="7D383A80">
      <w:pPr>
        <w:overflowPunct w:val="0"/>
        <w:autoSpaceDE w:val="0"/>
        <w:autoSpaceDN w:val="0"/>
        <w:spacing w:line="240" w:lineRule="auto"/>
        <w:ind w:firstLine="420" w:firstLineChars="200"/>
        <w:rPr>
          <w:rFonts w:ascii="宋体" w:hAnsi="宋体"/>
        </w:rPr>
      </w:pPr>
      <w:r>
        <w:rPr>
          <w:rFonts w:ascii="宋体" w:hAnsi="宋体"/>
        </w:rPr>
        <w:t>α</w:t>
      </w:r>
      <w:bookmarkStart w:id="270" w:name="OLE_LINK47"/>
      <w:r>
        <w:rPr>
          <w:rFonts w:hint="eastAsia"/>
          <w:spacing w:val="-20"/>
        </w:rPr>
        <w:t>——</w:t>
      </w:r>
      <w:bookmarkEnd w:id="270"/>
      <w:r>
        <w:rPr>
          <w:rFonts w:ascii="宋体" w:hAnsi="宋体"/>
        </w:rPr>
        <w:t>罐漆太阳能吸收率</w:t>
      </w:r>
      <w:r>
        <w:rPr>
          <w:rFonts w:hint="eastAsia" w:ascii="宋体" w:hAnsi="宋体"/>
        </w:rPr>
        <w:t>，</w:t>
      </w:r>
      <w:r>
        <w:rPr>
          <w:rFonts w:ascii="宋体" w:hAnsi="宋体"/>
        </w:rPr>
        <w:t>无量纲</w:t>
      </w:r>
      <w:r>
        <w:rPr>
          <w:rFonts w:hint="eastAsia" w:ascii="宋体" w:hAnsi="宋体"/>
        </w:rPr>
        <w:t>，</w:t>
      </w:r>
      <w:r>
        <w:rPr>
          <w:rFonts w:ascii="宋体" w:hAnsi="宋体"/>
        </w:rPr>
        <w:t>见表E.1；</w:t>
      </w:r>
    </w:p>
    <w:p w14:paraId="782B98D1">
      <w:pPr>
        <w:overflowPunct w:val="0"/>
        <w:autoSpaceDE w:val="0"/>
        <w:autoSpaceDN w:val="0"/>
        <w:spacing w:line="240" w:lineRule="auto"/>
        <w:ind w:firstLine="420" w:firstLineChars="200"/>
        <w:rPr>
          <w:rFonts w:ascii="宋体" w:hAnsi="宋体"/>
        </w:rPr>
      </w:pPr>
      <w:r>
        <w:rPr>
          <w:rFonts w:ascii="宋体" w:hAnsi="宋体"/>
        </w:rPr>
        <w:t>I</w:t>
      </w:r>
      <w:r>
        <w:rPr>
          <w:rFonts w:hint="eastAsia"/>
          <w:spacing w:val="-20"/>
        </w:rPr>
        <w:t>——</w:t>
      </w:r>
      <w:r>
        <w:rPr>
          <w:rFonts w:ascii="宋体" w:hAnsi="宋体"/>
        </w:rPr>
        <w:t>太阳辐射强度</w:t>
      </w:r>
      <w:r>
        <w:rPr>
          <w:rFonts w:hint="eastAsia" w:ascii="宋体" w:hAnsi="宋体"/>
        </w:rPr>
        <w:t>，</w:t>
      </w:r>
      <w:r>
        <w:rPr>
          <w:rFonts w:ascii="宋体" w:hAnsi="宋体"/>
        </w:rPr>
        <w:t>英热/（平方英尺•天</w:t>
      </w:r>
      <w:r>
        <w:rPr>
          <w:rFonts w:hint="eastAsia" w:ascii="宋体" w:hAnsi="宋体"/>
        </w:rPr>
        <w:t>）</w:t>
      </w:r>
      <w:r>
        <w:rPr>
          <w:rFonts w:ascii="宋体" w:hAnsi="宋体"/>
        </w:rPr>
        <w:t>。</w:t>
      </w:r>
    </w:p>
    <w:p w14:paraId="3B92718D">
      <w:pPr>
        <w:overflowPunct w:val="0"/>
        <w:autoSpaceDE w:val="0"/>
        <w:autoSpaceDN w:val="0"/>
        <w:spacing w:line="240" w:lineRule="auto"/>
        <w:ind w:firstLine="420" w:firstLineChars="200"/>
        <w:rPr>
          <w:rFonts w:ascii="宋体" w:hAnsi="宋体"/>
        </w:rPr>
      </w:pPr>
      <w:r>
        <w:rPr>
          <w:rFonts w:hint="eastAsia" w:ascii="宋体" w:hAnsi="宋体"/>
        </w:rPr>
        <w:t>当T</w:t>
      </w:r>
      <w:r>
        <w:rPr>
          <w:rFonts w:hint="eastAsia" w:ascii="宋体" w:hAnsi="宋体"/>
          <w:i/>
          <w:vertAlign w:val="subscript"/>
        </w:rPr>
        <w:t>LA</w:t>
      </w:r>
      <w:r>
        <w:rPr>
          <w:rFonts w:hint="eastAsia" w:ascii="宋体" w:hAnsi="宋体"/>
        </w:rPr>
        <w:t>值无法取得时，可用表</w:t>
      </w:r>
      <w:r>
        <w:rPr>
          <w:rFonts w:ascii="宋体" w:hAnsi="宋体"/>
        </w:rPr>
        <w:t>E.2</w:t>
      </w:r>
      <w:r>
        <w:rPr>
          <w:rFonts w:hint="eastAsia" w:ascii="宋体" w:hAnsi="宋体"/>
        </w:rPr>
        <w:t>计算。</w:t>
      </w:r>
    </w:p>
    <w:p w14:paraId="7C1B1027">
      <w:pPr>
        <w:pStyle w:val="13"/>
        <w:ind w:firstLine="420" w:firstLineChars="200"/>
        <w:rPr>
          <w:rFonts w:ascii="宋体" w:hAnsi="宋体" w:eastAsia="宋体"/>
          <w:bCs/>
          <w:sz w:val="21"/>
          <w:szCs w:val="21"/>
        </w:rPr>
      </w:pPr>
      <w:r>
        <w:rPr>
          <w:rFonts w:ascii="宋体" w:hAnsi="宋体" w:eastAsia="宋体"/>
          <w:bCs/>
          <w:sz w:val="21"/>
          <w:szCs w:val="21"/>
        </w:rPr>
        <w:t>表E.2 年平均储藏温度计算表</w:t>
      </w:r>
    </w:p>
    <w:tbl>
      <w:tblPr>
        <w:tblStyle w:val="29"/>
        <w:tblW w:w="7508"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4125"/>
      </w:tblGrid>
      <w:tr w14:paraId="2A68798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blHeader/>
          <w:jc w:val="center"/>
        </w:trPr>
        <w:tc>
          <w:tcPr>
            <w:tcW w:w="3383" w:type="dxa"/>
            <w:tcBorders>
              <w:bottom w:val="single" w:color="000000" w:sz="12" w:space="0"/>
            </w:tcBorders>
            <w:vAlign w:val="center"/>
          </w:tcPr>
          <w:p w14:paraId="35479185">
            <w:pPr>
              <w:pStyle w:val="236"/>
              <w:ind w:firstLine="357"/>
              <w:rPr>
                <w:rFonts w:ascii="宋体" w:hAnsi="宋体" w:eastAsia="宋体"/>
                <w:kern w:val="2"/>
                <w:sz w:val="21"/>
                <w:szCs w:val="21"/>
              </w:rPr>
            </w:pPr>
            <w:r>
              <w:rPr>
                <w:rFonts w:ascii="宋体" w:hAnsi="宋体" w:eastAsia="宋体"/>
                <w:kern w:val="2"/>
                <w:sz w:val="21"/>
                <w:szCs w:val="21"/>
              </w:rPr>
              <w:t>罐体颜色</w:t>
            </w:r>
          </w:p>
        </w:tc>
        <w:tc>
          <w:tcPr>
            <w:tcW w:w="4125" w:type="dxa"/>
            <w:tcBorders>
              <w:bottom w:val="single" w:color="000000" w:sz="12" w:space="0"/>
            </w:tcBorders>
            <w:vAlign w:val="center"/>
          </w:tcPr>
          <w:p w14:paraId="15A65DC8">
            <w:pPr>
              <w:pStyle w:val="236"/>
              <w:ind w:firstLine="357"/>
              <w:rPr>
                <w:rFonts w:ascii="宋体" w:hAnsi="宋体" w:eastAsia="宋体"/>
                <w:kern w:val="2"/>
                <w:sz w:val="21"/>
                <w:szCs w:val="21"/>
              </w:rPr>
            </w:pPr>
            <w:r>
              <w:rPr>
                <w:rFonts w:ascii="宋体" w:hAnsi="宋体" w:eastAsia="宋体"/>
                <w:kern w:val="2"/>
                <w:sz w:val="21"/>
                <w:szCs w:val="21"/>
              </w:rPr>
              <w:t>年平均储藏温度，T</w:t>
            </w:r>
            <w:r>
              <w:rPr>
                <w:rFonts w:ascii="宋体" w:hAnsi="宋体" w:eastAsia="宋体"/>
                <w:i/>
                <w:kern w:val="2"/>
                <w:sz w:val="21"/>
                <w:szCs w:val="21"/>
                <w:vertAlign w:val="subscript"/>
              </w:rPr>
              <w:t>S</w:t>
            </w:r>
            <w:r>
              <w:rPr>
                <w:rFonts w:ascii="宋体" w:hAnsi="宋体" w:eastAsia="宋体"/>
                <w:kern w:val="2"/>
                <w:sz w:val="21"/>
                <w:szCs w:val="21"/>
              </w:rPr>
              <w:t>（华氏度）</w:t>
            </w:r>
          </w:p>
        </w:tc>
      </w:tr>
      <w:tr w14:paraId="2B56913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383" w:type="dxa"/>
            <w:tcBorders>
              <w:top w:val="single" w:color="000000" w:sz="12" w:space="0"/>
            </w:tcBorders>
            <w:vAlign w:val="center"/>
          </w:tcPr>
          <w:p w14:paraId="050C0366">
            <w:pPr>
              <w:pStyle w:val="236"/>
              <w:ind w:firstLine="357"/>
              <w:rPr>
                <w:rFonts w:ascii="宋体" w:hAnsi="宋体" w:eastAsia="宋体"/>
                <w:kern w:val="2"/>
                <w:sz w:val="21"/>
                <w:szCs w:val="21"/>
              </w:rPr>
            </w:pPr>
            <w:r>
              <w:rPr>
                <w:rFonts w:ascii="宋体" w:hAnsi="宋体" w:eastAsia="宋体"/>
                <w:kern w:val="2"/>
                <w:sz w:val="21"/>
                <w:szCs w:val="21"/>
              </w:rPr>
              <w:t>白</w:t>
            </w:r>
          </w:p>
        </w:tc>
        <w:tc>
          <w:tcPr>
            <w:tcW w:w="4125" w:type="dxa"/>
            <w:tcBorders>
              <w:top w:val="single" w:color="000000" w:sz="12" w:space="0"/>
            </w:tcBorders>
            <w:vAlign w:val="center"/>
          </w:tcPr>
          <w:p w14:paraId="38EB061E">
            <w:pPr>
              <w:pStyle w:val="236"/>
              <w:ind w:firstLine="357"/>
              <w:rPr>
                <w:rFonts w:ascii="宋体" w:hAnsi="宋体" w:eastAsia="宋体"/>
                <w:kern w:val="2"/>
                <w:sz w:val="21"/>
                <w:szCs w:val="21"/>
              </w:rPr>
            </w:pPr>
            <w:r>
              <w:rPr>
                <w:rFonts w:ascii="宋体" w:hAnsi="宋体" w:eastAsia="宋体"/>
                <w:kern w:val="2"/>
                <w:sz w:val="21"/>
                <w:szCs w:val="21"/>
              </w:rPr>
              <w:t>T</w:t>
            </w:r>
            <w:r>
              <w:rPr>
                <w:rFonts w:ascii="宋体" w:hAnsi="宋体" w:eastAsia="宋体"/>
                <w:i/>
                <w:kern w:val="2"/>
                <w:sz w:val="21"/>
                <w:szCs w:val="21"/>
                <w:vertAlign w:val="subscript"/>
              </w:rPr>
              <w:t>AA</w:t>
            </w:r>
            <w:r>
              <w:rPr>
                <w:rFonts w:ascii="宋体" w:hAnsi="宋体" w:eastAsia="宋体"/>
                <w:kern w:val="2"/>
                <w:sz w:val="21"/>
                <w:szCs w:val="21"/>
              </w:rPr>
              <w:t>+0</w:t>
            </w:r>
            <w:r>
              <w:rPr>
                <w:rFonts w:hint="eastAsia" w:ascii="宋体" w:hAnsi="宋体" w:eastAsia="宋体"/>
                <w:kern w:val="2"/>
                <w:sz w:val="21"/>
                <w:szCs w:val="21"/>
              </w:rPr>
              <w:t>.0</w:t>
            </w:r>
          </w:p>
        </w:tc>
      </w:tr>
      <w:tr w14:paraId="7FA461A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383" w:type="dxa"/>
            <w:vAlign w:val="center"/>
          </w:tcPr>
          <w:p w14:paraId="330E403A">
            <w:pPr>
              <w:pStyle w:val="236"/>
              <w:ind w:firstLine="357"/>
              <w:rPr>
                <w:rFonts w:ascii="宋体" w:hAnsi="宋体" w:eastAsia="宋体"/>
                <w:kern w:val="2"/>
                <w:sz w:val="21"/>
                <w:szCs w:val="21"/>
              </w:rPr>
            </w:pPr>
            <w:r>
              <w:rPr>
                <w:rFonts w:ascii="宋体" w:hAnsi="宋体" w:eastAsia="宋体"/>
                <w:kern w:val="2"/>
                <w:sz w:val="21"/>
                <w:szCs w:val="21"/>
              </w:rPr>
              <w:t>铝</w:t>
            </w:r>
          </w:p>
        </w:tc>
        <w:tc>
          <w:tcPr>
            <w:tcW w:w="4125" w:type="dxa"/>
            <w:vAlign w:val="center"/>
          </w:tcPr>
          <w:p w14:paraId="44C2C8F6">
            <w:pPr>
              <w:pStyle w:val="236"/>
              <w:ind w:firstLine="357"/>
              <w:rPr>
                <w:rFonts w:ascii="宋体" w:hAnsi="宋体" w:eastAsia="宋体"/>
                <w:kern w:val="2"/>
                <w:sz w:val="21"/>
                <w:szCs w:val="21"/>
              </w:rPr>
            </w:pPr>
            <w:r>
              <w:rPr>
                <w:rFonts w:ascii="宋体" w:hAnsi="宋体" w:eastAsia="宋体"/>
                <w:kern w:val="2"/>
                <w:sz w:val="21"/>
                <w:szCs w:val="21"/>
              </w:rPr>
              <w:t>T</w:t>
            </w:r>
            <w:r>
              <w:rPr>
                <w:rFonts w:ascii="宋体" w:hAnsi="宋体" w:eastAsia="宋体"/>
                <w:i/>
                <w:kern w:val="2"/>
                <w:sz w:val="21"/>
                <w:szCs w:val="21"/>
                <w:vertAlign w:val="subscript"/>
              </w:rPr>
              <w:t>AA</w:t>
            </w:r>
            <w:r>
              <w:rPr>
                <w:rFonts w:ascii="宋体" w:hAnsi="宋体" w:eastAsia="宋体"/>
                <w:kern w:val="2"/>
                <w:sz w:val="21"/>
                <w:szCs w:val="21"/>
              </w:rPr>
              <w:t xml:space="preserve"> +2.4</w:t>
            </w:r>
          </w:p>
        </w:tc>
      </w:tr>
      <w:tr w14:paraId="204CB63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383" w:type="dxa"/>
            <w:vAlign w:val="center"/>
          </w:tcPr>
          <w:p w14:paraId="604421A8">
            <w:pPr>
              <w:pStyle w:val="236"/>
              <w:ind w:firstLine="357"/>
              <w:rPr>
                <w:rFonts w:ascii="宋体" w:hAnsi="宋体" w:eastAsia="宋体"/>
                <w:kern w:val="2"/>
                <w:sz w:val="21"/>
                <w:szCs w:val="21"/>
              </w:rPr>
            </w:pPr>
            <w:r>
              <w:rPr>
                <w:rFonts w:ascii="宋体" w:hAnsi="宋体" w:eastAsia="宋体"/>
                <w:kern w:val="2"/>
                <w:sz w:val="21"/>
                <w:szCs w:val="21"/>
              </w:rPr>
              <w:t>灰</w:t>
            </w:r>
          </w:p>
        </w:tc>
        <w:tc>
          <w:tcPr>
            <w:tcW w:w="4125" w:type="dxa"/>
            <w:vAlign w:val="center"/>
          </w:tcPr>
          <w:p w14:paraId="30CC14F5">
            <w:pPr>
              <w:pStyle w:val="236"/>
              <w:ind w:firstLine="357"/>
              <w:rPr>
                <w:rFonts w:ascii="宋体" w:hAnsi="宋体" w:eastAsia="宋体"/>
                <w:kern w:val="2"/>
                <w:sz w:val="21"/>
                <w:szCs w:val="21"/>
              </w:rPr>
            </w:pPr>
            <w:r>
              <w:rPr>
                <w:rFonts w:ascii="宋体" w:hAnsi="宋体" w:eastAsia="宋体"/>
                <w:kern w:val="2"/>
                <w:sz w:val="21"/>
                <w:szCs w:val="21"/>
              </w:rPr>
              <w:t>T</w:t>
            </w:r>
            <w:r>
              <w:rPr>
                <w:rFonts w:ascii="宋体" w:hAnsi="宋体" w:eastAsia="宋体"/>
                <w:i/>
                <w:kern w:val="2"/>
                <w:sz w:val="21"/>
                <w:szCs w:val="21"/>
                <w:vertAlign w:val="subscript"/>
              </w:rPr>
              <w:t>AA</w:t>
            </w:r>
            <w:r>
              <w:rPr>
                <w:rFonts w:ascii="宋体" w:hAnsi="宋体" w:eastAsia="宋体"/>
                <w:kern w:val="2"/>
                <w:sz w:val="21"/>
                <w:szCs w:val="21"/>
              </w:rPr>
              <w:t xml:space="preserve"> +3.5</w:t>
            </w:r>
          </w:p>
        </w:tc>
      </w:tr>
      <w:tr w14:paraId="471200E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383" w:type="dxa"/>
            <w:vAlign w:val="center"/>
          </w:tcPr>
          <w:p w14:paraId="39F68909">
            <w:pPr>
              <w:pStyle w:val="236"/>
              <w:ind w:firstLine="357"/>
              <w:rPr>
                <w:rFonts w:ascii="宋体" w:hAnsi="宋体" w:eastAsia="宋体"/>
                <w:kern w:val="2"/>
                <w:sz w:val="21"/>
                <w:szCs w:val="21"/>
              </w:rPr>
            </w:pPr>
            <w:r>
              <w:rPr>
                <w:rFonts w:ascii="宋体" w:hAnsi="宋体" w:eastAsia="宋体"/>
                <w:kern w:val="2"/>
                <w:sz w:val="21"/>
                <w:szCs w:val="21"/>
              </w:rPr>
              <w:t>黑</w:t>
            </w:r>
          </w:p>
        </w:tc>
        <w:tc>
          <w:tcPr>
            <w:tcW w:w="4125" w:type="dxa"/>
            <w:vAlign w:val="center"/>
          </w:tcPr>
          <w:p w14:paraId="41F3F530">
            <w:pPr>
              <w:pStyle w:val="236"/>
              <w:ind w:firstLine="357"/>
              <w:rPr>
                <w:rFonts w:ascii="宋体" w:hAnsi="宋体" w:eastAsia="宋体"/>
                <w:kern w:val="2"/>
                <w:sz w:val="21"/>
                <w:szCs w:val="21"/>
              </w:rPr>
            </w:pPr>
            <w:r>
              <w:rPr>
                <w:rFonts w:ascii="宋体" w:hAnsi="宋体" w:eastAsia="宋体"/>
                <w:kern w:val="2"/>
                <w:sz w:val="21"/>
                <w:szCs w:val="21"/>
              </w:rPr>
              <w:t>T</w:t>
            </w:r>
            <w:r>
              <w:rPr>
                <w:rFonts w:ascii="宋体" w:hAnsi="宋体" w:eastAsia="宋体"/>
                <w:i/>
                <w:kern w:val="2"/>
                <w:sz w:val="21"/>
                <w:szCs w:val="21"/>
                <w:vertAlign w:val="subscript"/>
              </w:rPr>
              <w:t>AA</w:t>
            </w:r>
            <w:r>
              <w:rPr>
                <w:rFonts w:ascii="宋体" w:hAnsi="宋体" w:eastAsia="宋体"/>
                <w:kern w:val="2"/>
                <w:sz w:val="21"/>
                <w:szCs w:val="21"/>
              </w:rPr>
              <w:t xml:space="preserve"> +5.0</w:t>
            </w:r>
          </w:p>
        </w:tc>
      </w:tr>
    </w:tbl>
    <w:p w14:paraId="18B8E520">
      <w:pPr>
        <w:spacing w:line="240" w:lineRule="auto"/>
        <w:ind w:firstLine="420" w:firstLineChars="200"/>
        <w:jc w:val="left"/>
        <w:rPr>
          <w:rFonts w:ascii="宋体" w:hAnsi="宋体"/>
        </w:rPr>
      </w:pPr>
      <w:r>
        <w:rPr>
          <w:rFonts w:ascii="宋体" w:hAnsi="宋体"/>
        </w:rPr>
        <w:t>注：此表格中T</w:t>
      </w:r>
      <w:r>
        <w:rPr>
          <w:rFonts w:ascii="宋体" w:hAnsi="宋体"/>
          <w:i/>
          <w:vertAlign w:val="subscript"/>
        </w:rPr>
        <w:t>AA</w:t>
      </w:r>
      <w:r>
        <w:rPr>
          <w:rFonts w:ascii="宋体" w:hAnsi="宋体"/>
        </w:rPr>
        <w:t>为年平均环境温度（华氏度）。</w:t>
      </w:r>
    </w:p>
    <w:p w14:paraId="083ABC3E">
      <w:pPr>
        <w:spacing w:line="240" w:lineRule="auto"/>
        <w:ind w:firstLine="420" w:firstLineChars="200"/>
        <w:rPr>
          <w:rFonts w:ascii="宋体" w:hAnsi="宋体"/>
        </w:rPr>
      </w:pPr>
      <w:r>
        <w:rPr>
          <w:rFonts w:hint="eastAsia" w:ascii="宋体" w:hAnsi="宋体"/>
        </w:rPr>
        <w:t>真实蒸气压P</w:t>
      </w:r>
      <w:r>
        <w:rPr>
          <w:rFonts w:hint="eastAsia" w:ascii="宋体" w:hAnsi="宋体"/>
          <w:i/>
          <w:vertAlign w:val="subscript"/>
        </w:rPr>
        <w:t>VA</w:t>
      </w:r>
      <w:r>
        <w:rPr>
          <w:rFonts w:hint="eastAsia" w:ascii="宋体" w:hAnsi="宋体"/>
        </w:rPr>
        <w:t>的计算</w:t>
      </w:r>
      <w:r>
        <w:rPr>
          <w:rFonts w:ascii="宋体" w:hAnsi="宋体"/>
        </w:rPr>
        <w:t>方法如下：</w:t>
      </w:r>
    </w:p>
    <w:p w14:paraId="5054522A">
      <w:pPr>
        <w:spacing w:line="240" w:lineRule="auto"/>
        <w:ind w:firstLine="420" w:firstLineChars="200"/>
        <w:rPr>
          <w:rFonts w:ascii="宋体" w:hAnsi="宋体"/>
        </w:rPr>
      </w:pPr>
      <w:r>
        <w:rPr>
          <w:rFonts w:ascii="宋体" w:hAnsi="宋体"/>
        </w:rPr>
        <w:t>对于液体出料的日平均液体表面温度下的蒸汽压，可按照公式(E.16)计算。</w:t>
      </w:r>
    </w:p>
    <w:p w14:paraId="4DE10593">
      <w:pPr>
        <w:pStyle w:val="242"/>
      </w:pPr>
      <w:r>
        <w:rPr>
          <w:rFonts w:hAnsi="宋体"/>
        </w:rPr>
        <w:tab/>
      </w: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VA</m:t>
            </m:r>
            <m:ctrlPr>
              <w:rPr>
                <w:rFonts w:ascii="Cambria Math" w:hAnsi="Cambria Math"/>
              </w:rPr>
            </m:ctrlPr>
          </m:sub>
        </m:sSub>
        <m:r>
          <m:rPr>
            <m:sty m:val="p"/>
          </m:rPr>
          <w:rPr>
            <w:rFonts w:ascii="Cambria Math" w:hAnsi="Cambria Math"/>
          </w:rPr>
          <m:t>=</m:t>
        </m:r>
        <m:func>
          <m:funcPr>
            <m:ctrlPr>
              <w:rPr>
                <w:rFonts w:ascii="Cambria Math" w:hAnsi="Cambria Math"/>
              </w:rPr>
            </m:ctrlPr>
          </m:funcPr>
          <m:fName>
            <m:r>
              <m:rPr/>
              <w:rPr>
                <w:rFonts w:ascii="Cambria Math" w:hAnsi="Cambria Math"/>
              </w:rPr>
              <m:t>exp</m:t>
            </m:r>
            <m:ctrlPr>
              <w:rPr>
                <w:rFonts w:ascii="Cambria Math" w:hAnsi="Cambria Math"/>
              </w:rPr>
            </m:ctrlPr>
          </m:fName>
          <m:e>
            <m:d>
              <m:dPr>
                <m:begChr m:val="["/>
                <m:endChr m:val="]"/>
                <m:ctrlPr>
                  <w:rPr>
                    <w:rFonts w:ascii="Cambria Math" w:hAnsi="Cambria Math"/>
                  </w:rPr>
                </m:ctrlPr>
              </m:dPr>
              <m:e>
                <m:r>
                  <m:rPr/>
                  <w:rPr>
                    <w:rFonts w:ascii="Cambria Math" w:hAnsi="Cambria Math"/>
                  </w:rPr>
                  <m:t>A</m:t>
                </m:r>
                <m:r>
                  <m:rPr>
                    <m:sty m:val="p"/>
                  </m:rPr>
                  <w:rPr>
                    <w:rFonts w:hint="eastAsia" w:ascii="Cambria Math" w:hAnsi="Cambria Math" w:eastAsia="微软雅黑" w:cs="微软雅黑"/>
                  </w:rPr>
                  <m:t>−</m:t>
                </m:r>
                <m:d>
                  <m:dPr>
                    <m:ctrlPr>
                      <w:rPr>
                        <w:rFonts w:ascii="Cambria Math" w:hAnsi="Cambria Math"/>
                      </w:rPr>
                    </m:ctrlPr>
                  </m:dPr>
                  <m:e>
                    <m:f>
                      <m:fPr>
                        <m:ctrlPr>
                          <w:rPr>
                            <w:rFonts w:ascii="Cambria Math" w:hAnsi="Cambria Math"/>
                          </w:rPr>
                        </m:ctrlPr>
                      </m:fPr>
                      <m:num>
                        <m:r>
                          <m:rPr/>
                          <w:rPr>
                            <w:rFonts w:ascii="Cambria Math" w:hAnsi="Cambria Math"/>
                          </w:rPr>
                          <m:t>B</m:t>
                        </m:r>
                        <m:ctrlPr>
                          <w:rPr>
                            <w:rFonts w:ascii="Cambria Math" w:hAnsi="Cambria Math"/>
                          </w:rPr>
                        </m:ctrlPr>
                      </m:num>
                      <m:den>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LA</m:t>
                            </m:r>
                            <m:ctrlPr>
                              <w:rPr>
                                <w:rFonts w:ascii="Cambria Math" w:hAnsi="Cambria Math"/>
                              </w:rPr>
                            </m:ctrlPr>
                          </m:sub>
                        </m:sSub>
                        <m:ctrlPr>
                          <w:rPr>
                            <w:rFonts w:ascii="Cambria Math" w:hAnsi="Cambria Math"/>
                          </w:rPr>
                        </m:ctrlPr>
                      </m:den>
                    </m:f>
                    <m:ctrlPr>
                      <w:rPr>
                        <w:rFonts w:ascii="Cambria Math" w:hAnsi="Cambria Math"/>
                      </w:rPr>
                    </m:ctrlPr>
                  </m:e>
                </m:d>
                <m:ctrlPr>
                  <w:rPr>
                    <w:rFonts w:ascii="Cambria Math" w:hAnsi="Cambria Math"/>
                  </w:rPr>
                </m:ctrlPr>
              </m:e>
            </m:d>
            <m:ctrlPr>
              <w:rPr>
                <w:rFonts w:ascii="Cambria Math" w:hAnsi="Cambria Math"/>
              </w:rPr>
            </m:ctrlPr>
          </m:e>
        </m:func>
      </m:oMath>
      <w:r>
        <w:tab/>
      </w:r>
      <w:r>
        <w:t>(</w:t>
      </w:r>
      <w:r>
        <w:rPr>
          <w:rFonts w:hint="eastAsia"/>
        </w:rPr>
        <w:t>E</w:t>
      </w:r>
      <w:r>
        <w:t>.16)</w:t>
      </w:r>
    </w:p>
    <w:p w14:paraId="22C54FFD">
      <w:pPr>
        <w:overflowPunct w:val="0"/>
        <w:autoSpaceDE w:val="0"/>
        <w:autoSpaceDN w:val="0"/>
        <w:spacing w:line="240" w:lineRule="auto"/>
        <w:ind w:firstLine="420" w:firstLineChars="200"/>
        <w:rPr>
          <w:rFonts w:ascii="宋体" w:hAnsi="宋体"/>
        </w:rPr>
      </w:pPr>
      <w:r>
        <w:rPr>
          <w:rFonts w:ascii="宋体" w:hAnsi="宋体"/>
        </w:rPr>
        <w:t>式中</w:t>
      </w:r>
      <w:r>
        <w:rPr>
          <w:rFonts w:hint="eastAsia" w:ascii="宋体" w:hAnsi="宋体"/>
        </w:rPr>
        <w:t>：</w:t>
      </w:r>
    </w:p>
    <w:p w14:paraId="576861FB">
      <w:pPr>
        <w:overflowPunct w:val="0"/>
        <w:autoSpaceDE w:val="0"/>
        <w:autoSpaceDN w:val="0"/>
        <w:spacing w:line="240" w:lineRule="auto"/>
        <w:ind w:firstLine="420" w:firstLineChars="200"/>
        <w:rPr>
          <w:rFonts w:ascii="宋体" w:hAnsi="宋体"/>
        </w:rPr>
      </w:pPr>
      <w:r>
        <w:rPr>
          <w:rFonts w:ascii="宋体" w:hAnsi="宋体"/>
        </w:rPr>
        <w:t>A</w:t>
      </w:r>
      <w:r>
        <w:rPr>
          <w:rFonts w:hint="eastAsia"/>
          <w:spacing w:val="-20"/>
        </w:rPr>
        <w:t>——</w:t>
      </w:r>
      <w:r>
        <w:rPr>
          <w:rFonts w:ascii="宋体" w:hAnsi="宋体"/>
        </w:rPr>
        <w:t>蒸气压公式中的常数</w:t>
      </w:r>
      <w:r>
        <w:rPr>
          <w:rFonts w:hint="eastAsia" w:ascii="宋体" w:hAnsi="宋体"/>
        </w:rPr>
        <w:t>，</w:t>
      </w:r>
      <w:r>
        <w:rPr>
          <w:rFonts w:ascii="宋体" w:hAnsi="宋体"/>
        </w:rPr>
        <w:t>无量纲量</w:t>
      </w:r>
      <w:r>
        <w:rPr>
          <w:rFonts w:hint="eastAsia" w:ascii="宋体" w:hAnsi="宋体"/>
        </w:rPr>
        <w:t>；</w:t>
      </w:r>
    </w:p>
    <w:p w14:paraId="0073DAE5">
      <w:pPr>
        <w:overflowPunct w:val="0"/>
        <w:autoSpaceDE w:val="0"/>
        <w:autoSpaceDN w:val="0"/>
        <w:spacing w:line="240" w:lineRule="auto"/>
        <w:ind w:firstLine="420" w:firstLineChars="200"/>
        <w:rPr>
          <w:rFonts w:ascii="宋体" w:hAnsi="宋体"/>
        </w:rPr>
      </w:pPr>
      <w:r>
        <w:rPr>
          <w:rFonts w:ascii="宋体" w:hAnsi="宋体"/>
        </w:rPr>
        <w:t>B</w:t>
      </w:r>
      <w:r>
        <w:rPr>
          <w:rFonts w:hint="eastAsia"/>
          <w:spacing w:val="-20"/>
        </w:rPr>
        <w:t>——</w:t>
      </w:r>
      <w:r>
        <w:rPr>
          <w:rFonts w:ascii="宋体" w:hAnsi="宋体"/>
        </w:rPr>
        <w:t>蒸气压公式中的常数</w:t>
      </w:r>
      <w:r>
        <w:rPr>
          <w:rFonts w:hint="eastAsia" w:ascii="宋体" w:hAnsi="宋体"/>
        </w:rPr>
        <w:t>，</w:t>
      </w:r>
      <w:r>
        <w:rPr>
          <w:rFonts w:ascii="宋体" w:hAnsi="宋体"/>
        </w:rPr>
        <w:t>兰氏度</w:t>
      </w:r>
      <w:r>
        <w:rPr>
          <w:rFonts w:hint="eastAsia" w:ascii="宋体" w:hAnsi="宋体"/>
        </w:rPr>
        <w:t>；</w:t>
      </w:r>
    </w:p>
    <w:p w14:paraId="50531A0D">
      <w:pPr>
        <w:overflowPunct w:val="0"/>
        <w:autoSpaceDE w:val="0"/>
        <w:autoSpaceDN w:val="0"/>
        <w:spacing w:line="240" w:lineRule="auto"/>
        <w:ind w:firstLine="420" w:firstLineChars="200"/>
        <w:rPr>
          <w:rFonts w:ascii="宋体" w:hAnsi="宋体"/>
        </w:rPr>
      </w:pPr>
      <w:r>
        <w:rPr>
          <w:rFonts w:ascii="宋体" w:hAnsi="宋体"/>
        </w:rPr>
        <w:t>T</w:t>
      </w:r>
      <w:r>
        <w:rPr>
          <w:rFonts w:ascii="宋体" w:hAnsi="宋体"/>
          <w:vertAlign w:val="subscript"/>
        </w:rPr>
        <w:t>LA</w:t>
      </w:r>
      <w:r>
        <w:rPr>
          <w:rFonts w:hint="eastAsia"/>
          <w:spacing w:val="-20"/>
        </w:rPr>
        <w:t>——</w:t>
      </w:r>
      <w:r>
        <w:rPr>
          <w:rFonts w:ascii="宋体" w:hAnsi="宋体"/>
        </w:rPr>
        <w:t>日平均液体表面温度</w:t>
      </w:r>
      <w:r>
        <w:rPr>
          <w:rFonts w:hint="eastAsia" w:ascii="宋体" w:hAnsi="宋体"/>
        </w:rPr>
        <w:t>，</w:t>
      </w:r>
      <w:r>
        <w:rPr>
          <w:rFonts w:ascii="宋体" w:hAnsi="宋体"/>
        </w:rPr>
        <w:t>兰氏度</w:t>
      </w:r>
      <w:r>
        <w:rPr>
          <w:rFonts w:hint="eastAsia" w:ascii="宋体" w:hAnsi="宋体"/>
        </w:rPr>
        <w:t>；</w:t>
      </w:r>
    </w:p>
    <w:p w14:paraId="4C9FBCF5">
      <w:pPr>
        <w:overflowPunct w:val="0"/>
        <w:autoSpaceDE w:val="0"/>
        <w:autoSpaceDN w:val="0"/>
        <w:spacing w:line="240" w:lineRule="auto"/>
        <w:ind w:firstLine="420" w:firstLineChars="200"/>
        <w:rPr>
          <w:rFonts w:ascii="宋体" w:hAnsi="宋体"/>
        </w:rPr>
      </w:pPr>
      <w:r>
        <w:rPr>
          <w:rFonts w:ascii="宋体" w:hAnsi="宋体"/>
        </w:rPr>
        <w:t>P</w:t>
      </w:r>
      <w:r>
        <w:rPr>
          <w:rFonts w:ascii="宋体" w:hAnsi="宋体"/>
          <w:vertAlign w:val="subscript"/>
        </w:rPr>
        <w:t>VA</w:t>
      </w:r>
      <w:r>
        <w:rPr>
          <w:rFonts w:hint="eastAsia"/>
          <w:spacing w:val="-20"/>
        </w:rPr>
        <w:t>——</w:t>
      </w:r>
      <w:r>
        <w:rPr>
          <w:rFonts w:ascii="宋体" w:hAnsi="宋体"/>
        </w:rPr>
        <w:t>日平均液体</w:t>
      </w:r>
      <w:r>
        <w:rPr>
          <w:rFonts w:hint="eastAsia" w:ascii="宋体" w:hAnsi="宋体"/>
        </w:rPr>
        <w:t>的</w:t>
      </w:r>
      <w:r>
        <w:rPr>
          <w:rFonts w:ascii="宋体" w:hAnsi="宋体"/>
        </w:rPr>
        <w:t>表面蒸气压</w:t>
      </w:r>
      <w:r>
        <w:rPr>
          <w:rFonts w:hint="eastAsia" w:ascii="宋体" w:hAnsi="宋体"/>
        </w:rPr>
        <w:t>，</w:t>
      </w:r>
      <w:r>
        <w:rPr>
          <w:rFonts w:ascii="宋体" w:hAnsi="宋体"/>
        </w:rPr>
        <w:t>磅/平方英寸（绝压）。</w:t>
      </w:r>
    </w:p>
    <w:p w14:paraId="2720D3B4">
      <w:pPr>
        <w:spacing w:line="240" w:lineRule="auto"/>
        <w:ind w:firstLine="420" w:firstLineChars="200"/>
        <w:rPr>
          <w:rFonts w:ascii="宋体" w:hAnsi="宋体"/>
        </w:rPr>
      </w:pPr>
      <w:r>
        <w:rPr>
          <w:rFonts w:ascii="宋体" w:hAnsi="宋体"/>
        </w:rPr>
        <w:t>对于油品：</w:t>
      </w:r>
    </w:p>
    <w:p w14:paraId="31666BEB">
      <w:pPr>
        <w:pStyle w:val="242"/>
      </w:pPr>
      <w:r>
        <w:rPr>
          <w:rFonts w:hAnsi="宋体"/>
          <w:iCs/>
        </w:rPr>
        <w:tab/>
      </w:r>
      <m:oMath>
        <m:r>
          <m:rPr/>
          <w:rPr>
            <w:rFonts w:ascii="Cambria Math" w:hAnsi="Cambria Math"/>
          </w:rPr>
          <m:t>A</m:t>
        </m:r>
        <m:r>
          <m:rPr>
            <m:sty m:val="p"/>
          </m:rPr>
          <w:rPr>
            <w:rFonts w:ascii="Cambria Math" w:hAnsi="Cambria Math"/>
          </w:rPr>
          <m:t>=15.64</m:t>
        </m:r>
        <m:r>
          <m:rPr>
            <m:sty m:val="p"/>
          </m:rPr>
          <w:rPr>
            <w:rFonts w:hint="eastAsia" w:ascii="Cambria Math" w:hAnsi="Cambria Math" w:eastAsia="微软雅黑" w:cs="微软雅黑"/>
          </w:rPr>
          <m:t>−</m:t>
        </m:r>
        <m:r>
          <m:rPr>
            <m:sty m:val="p"/>
          </m:rPr>
          <w:rPr>
            <w:rFonts w:ascii="Cambria Math" w:hAnsi="Cambria Math"/>
          </w:rPr>
          <m:t>1.854</m:t>
        </m:r>
        <m:sSup>
          <m:sSupPr>
            <m:ctrlPr>
              <w:rPr>
                <w:rFonts w:ascii="Cambria Math" w:hAnsi="Cambria Math"/>
              </w:rPr>
            </m:ctrlPr>
          </m:sSupPr>
          <m:e>
            <m:r>
              <m:rPr/>
              <w:rPr>
                <w:rFonts w:ascii="Cambria Math" w:hAnsi="Cambria Math"/>
              </w:rPr>
              <m:t>S</m:t>
            </m:r>
            <m:ctrlPr>
              <w:rPr>
                <w:rFonts w:ascii="Cambria Math" w:hAnsi="Cambria Math"/>
              </w:rPr>
            </m:ctrlPr>
          </m:e>
          <m:sup>
            <m:r>
              <m:rPr>
                <m:sty m:val="p"/>
              </m:rPr>
              <w:rPr>
                <w:rFonts w:ascii="Cambria Math" w:hAnsi="Cambria Math"/>
              </w:rPr>
              <m:t>0.5</m:t>
            </m:r>
            <m:ctrlPr>
              <w:rPr>
                <w:rFonts w:ascii="Cambria Math" w:hAnsi="Cambria Math"/>
              </w:rPr>
            </m:ctrlPr>
          </m:sup>
        </m:sSup>
        <m:r>
          <m:rPr>
            <m:sty m:val="p"/>
          </m:rPr>
          <w:rPr>
            <w:rFonts w:hint="eastAsia" w:ascii="Cambria Math" w:hAnsi="Cambria Math" w:eastAsia="微软雅黑" w:cs="微软雅黑"/>
          </w:rPr>
          <m:t>−</m:t>
        </m:r>
        <m:d>
          <m:dPr>
            <m:ctrlPr>
              <w:rPr>
                <w:rFonts w:ascii="Cambria Math" w:hAnsi="Cambria Math"/>
              </w:rPr>
            </m:ctrlPr>
          </m:dPr>
          <m:e>
            <m:r>
              <m:rPr>
                <m:sty m:val="p"/>
              </m:rPr>
              <w:rPr>
                <w:rFonts w:ascii="Cambria Math" w:hAnsi="Cambria Math"/>
              </w:rPr>
              <m:t>0.8742</m:t>
            </m:r>
            <m:r>
              <m:rPr>
                <m:sty m:val="p"/>
              </m:rPr>
              <w:rPr>
                <w:rFonts w:hint="eastAsia" w:ascii="Cambria Math" w:hAnsi="Cambria Math" w:eastAsia="微软雅黑" w:cs="微软雅黑"/>
              </w:rPr>
              <m:t>−</m:t>
            </m:r>
            <m:r>
              <m:rPr>
                <m:sty m:val="p"/>
              </m:rPr>
              <w:rPr>
                <w:rFonts w:ascii="Cambria Math" w:hAnsi="Cambria Math"/>
              </w:rPr>
              <m:t>0.3280</m:t>
            </m:r>
            <m:sSup>
              <m:sSupPr>
                <m:ctrlPr>
                  <w:rPr>
                    <w:rFonts w:ascii="Cambria Math" w:hAnsi="Cambria Math"/>
                  </w:rPr>
                </m:ctrlPr>
              </m:sSupPr>
              <m:e>
                <m:r>
                  <m:rPr/>
                  <w:rPr>
                    <w:rFonts w:ascii="Cambria Math" w:hAnsi="Cambria Math"/>
                  </w:rPr>
                  <m:t>S</m:t>
                </m:r>
                <m:ctrlPr>
                  <w:rPr>
                    <w:rFonts w:ascii="Cambria Math" w:hAnsi="Cambria Math"/>
                  </w:rPr>
                </m:ctrlPr>
              </m:e>
              <m:sup>
                <m:r>
                  <m:rPr>
                    <m:sty m:val="p"/>
                  </m:rPr>
                  <w:rPr>
                    <w:rFonts w:ascii="Cambria Math" w:hAnsi="Cambria Math"/>
                  </w:rPr>
                  <m:t>0.5</m:t>
                </m:r>
                <m:ctrlPr>
                  <w:rPr>
                    <w:rFonts w:ascii="Cambria Math" w:hAnsi="Cambria Math"/>
                  </w:rPr>
                </m:ctrlPr>
              </m:sup>
            </m:sSup>
            <m:ctrlPr>
              <w:rPr>
                <w:rFonts w:ascii="Cambria Math" w:hAnsi="Cambria Math"/>
              </w:rPr>
            </m:ctrlPr>
          </m:e>
        </m:d>
        <m:func>
          <m:funcPr>
            <m:ctrlPr>
              <w:rPr>
                <w:rFonts w:ascii="Cambria Math" w:hAnsi="Cambria Math"/>
              </w:rPr>
            </m:ctrlPr>
          </m:funcPr>
          <m:fName>
            <m:r>
              <m:rPr>
                <m:sty m:val="bi"/>
              </m:rPr>
              <w:rPr>
                <w:rFonts w:ascii="Cambria Math" w:hAnsi="Cambria Math"/>
              </w:rPr>
              <m:t>ln</m:t>
            </m:r>
            <m:ctrlPr>
              <w:rPr>
                <w:rFonts w:ascii="Cambria Math" w:hAnsi="Cambria Math"/>
              </w:rPr>
            </m:ctrlPr>
          </m:fName>
          <m:e>
            <m:d>
              <m:dPr>
                <m:ctrlPr>
                  <w:rPr>
                    <w:rFonts w:ascii="Cambria Math" w:hAnsi="Cambria Math"/>
                  </w:rPr>
                </m:ctrlPr>
              </m:dPr>
              <m:e>
                <m:r>
                  <m:rPr/>
                  <w:rPr>
                    <w:rFonts w:ascii="Cambria Math" w:hAnsi="Cambria Math"/>
                  </w:rPr>
                  <m:t>RVP</m:t>
                </m:r>
                <m:ctrlPr>
                  <w:rPr>
                    <w:rFonts w:ascii="Cambria Math" w:hAnsi="Cambria Math"/>
                  </w:rPr>
                </m:ctrlPr>
              </m:e>
            </m:d>
            <m:ctrlPr>
              <w:rPr>
                <w:rFonts w:ascii="Cambria Math" w:hAnsi="Cambria Math"/>
              </w:rPr>
            </m:ctrlPr>
          </m:e>
        </m:func>
      </m:oMath>
      <w:r>
        <w:tab/>
      </w:r>
      <w:r>
        <w:t>(</w:t>
      </w:r>
      <w:r>
        <w:rPr>
          <w:rFonts w:hint="eastAsia"/>
        </w:rPr>
        <w:t>E</w:t>
      </w:r>
      <w:r>
        <w:t>.17)</w:t>
      </w:r>
    </w:p>
    <w:p w14:paraId="4146F3CF">
      <w:pPr>
        <w:pStyle w:val="242"/>
      </w:pPr>
      <w:r>
        <w:rPr>
          <w:iCs/>
        </w:rPr>
        <w:tab/>
      </w:r>
      <m:oMath>
        <m:r>
          <m:rPr/>
          <w:rPr>
            <w:rFonts w:ascii="Cambria Math" w:hAnsi="Cambria Math"/>
          </w:rPr>
          <m:t>B</m:t>
        </m:r>
        <m:r>
          <m:rPr>
            <m:sty m:val="p"/>
          </m:rPr>
          <w:rPr>
            <w:rFonts w:ascii="Cambria Math" w:hAnsi="Cambria Math"/>
          </w:rPr>
          <m:t>=8742</m:t>
        </m:r>
        <m:r>
          <m:rPr>
            <m:sty m:val="p"/>
          </m:rPr>
          <w:rPr>
            <w:rFonts w:hint="eastAsia" w:ascii="Cambria Math" w:hAnsi="Cambria Math" w:eastAsia="微软雅黑" w:cs="微软雅黑"/>
          </w:rPr>
          <m:t>−</m:t>
        </m:r>
        <m:r>
          <m:rPr>
            <m:sty m:val="p"/>
          </m:rPr>
          <w:rPr>
            <w:rFonts w:ascii="Cambria Math" w:hAnsi="Cambria Math"/>
          </w:rPr>
          <m:t>1042</m:t>
        </m:r>
        <m:sSup>
          <m:sSupPr>
            <m:ctrlPr>
              <w:rPr>
                <w:rFonts w:ascii="Cambria Math" w:hAnsi="Cambria Math"/>
              </w:rPr>
            </m:ctrlPr>
          </m:sSupPr>
          <m:e>
            <m:r>
              <m:rPr/>
              <w:rPr>
                <w:rFonts w:ascii="Cambria Math" w:hAnsi="Cambria Math"/>
              </w:rPr>
              <m:t>S</m:t>
            </m:r>
            <m:ctrlPr>
              <w:rPr>
                <w:rFonts w:ascii="Cambria Math" w:hAnsi="Cambria Math"/>
              </w:rPr>
            </m:ctrlPr>
          </m:e>
          <m:sup>
            <m:r>
              <m:rPr>
                <m:sty m:val="p"/>
              </m:rPr>
              <w:rPr>
                <w:rFonts w:ascii="Cambria Math" w:hAnsi="Cambria Math"/>
              </w:rPr>
              <m:t>0.5</m:t>
            </m:r>
            <m:ctrlPr>
              <w:rPr>
                <w:rFonts w:ascii="Cambria Math" w:hAnsi="Cambria Math"/>
              </w:rPr>
            </m:ctrlPr>
          </m:sup>
        </m:sSup>
        <m:r>
          <m:rPr>
            <m:sty m:val="p"/>
          </m:rPr>
          <w:rPr>
            <w:rFonts w:hint="eastAsia" w:ascii="Cambria Math" w:hAnsi="Cambria Math" w:eastAsia="微软雅黑" w:cs="微软雅黑"/>
          </w:rPr>
          <m:t>−</m:t>
        </m:r>
        <m:d>
          <m:dPr>
            <m:ctrlPr>
              <w:rPr>
                <w:rFonts w:ascii="Cambria Math" w:hAnsi="Cambria Math"/>
              </w:rPr>
            </m:ctrlPr>
          </m:dPr>
          <m:e>
            <m:r>
              <m:rPr>
                <m:sty m:val="p"/>
              </m:rPr>
              <w:rPr>
                <w:rFonts w:ascii="Cambria Math" w:hAnsi="Cambria Math"/>
              </w:rPr>
              <m:t>1049</m:t>
            </m:r>
            <m:r>
              <m:rPr>
                <m:sty m:val="p"/>
              </m:rPr>
              <w:rPr>
                <w:rFonts w:hint="eastAsia" w:ascii="Cambria Math" w:hAnsi="Cambria Math" w:eastAsia="微软雅黑" w:cs="微软雅黑"/>
              </w:rPr>
              <m:t>−</m:t>
            </m:r>
            <m:r>
              <m:rPr>
                <m:sty m:val="p"/>
              </m:rPr>
              <w:rPr>
                <w:rFonts w:ascii="Cambria Math" w:hAnsi="Cambria Math"/>
              </w:rPr>
              <m:t>179.4</m:t>
            </m:r>
            <m:sSup>
              <m:sSupPr>
                <m:ctrlPr>
                  <w:rPr>
                    <w:rFonts w:ascii="Cambria Math" w:hAnsi="Cambria Math"/>
                  </w:rPr>
                </m:ctrlPr>
              </m:sSupPr>
              <m:e>
                <m:r>
                  <m:rPr/>
                  <w:rPr>
                    <w:rFonts w:ascii="Cambria Math" w:hAnsi="Cambria Math"/>
                  </w:rPr>
                  <m:t>S</m:t>
                </m:r>
                <m:ctrlPr>
                  <w:rPr>
                    <w:rFonts w:ascii="Cambria Math" w:hAnsi="Cambria Math"/>
                  </w:rPr>
                </m:ctrlPr>
              </m:e>
              <m:sup>
                <m:r>
                  <m:rPr>
                    <m:sty m:val="p"/>
                  </m:rPr>
                  <w:rPr>
                    <w:rFonts w:ascii="Cambria Math" w:hAnsi="Cambria Math"/>
                  </w:rPr>
                  <m:t>0.5</m:t>
                </m:r>
                <m:ctrlPr>
                  <w:rPr>
                    <w:rFonts w:ascii="Cambria Math" w:hAnsi="Cambria Math"/>
                  </w:rPr>
                </m:ctrlPr>
              </m:sup>
            </m:sSup>
            <m:ctrlPr>
              <w:rPr>
                <w:rFonts w:ascii="Cambria Math" w:hAnsi="Cambria Math"/>
              </w:rPr>
            </m:ctrlPr>
          </m:e>
        </m:d>
        <m:func>
          <m:funcPr>
            <m:ctrlPr>
              <w:rPr>
                <w:rFonts w:ascii="Cambria Math" w:hAnsi="Cambria Math"/>
              </w:rPr>
            </m:ctrlPr>
          </m:funcPr>
          <m:fName>
            <m:r>
              <m:rPr>
                <m:sty m:val="bi"/>
              </m:rPr>
              <w:rPr>
                <w:rFonts w:ascii="Cambria Math" w:hAnsi="Cambria Math"/>
              </w:rPr>
              <m:t>ln</m:t>
            </m:r>
            <m:ctrlPr>
              <w:rPr>
                <w:rFonts w:ascii="Cambria Math" w:hAnsi="Cambria Math"/>
              </w:rPr>
            </m:ctrlPr>
          </m:fName>
          <m:e>
            <m:d>
              <m:dPr>
                <m:ctrlPr>
                  <w:rPr>
                    <w:rFonts w:ascii="Cambria Math" w:hAnsi="Cambria Math"/>
                  </w:rPr>
                </m:ctrlPr>
              </m:dPr>
              <m:e>
                <m:r>
                  <m:rPr/>
                  <w:rPr>
                    <w:rFonts w:ascii="Cambria Math" w:hAnsi="Cambria Math"/>
                  </w:rPr>
                  <m:t>RVP</m:t>
                </m:r>
                <m:ctrlPr>
                  <w:rPr>
                    <w:rFonts w:ascii="Cambria Math" w:hAnsi="Cambria Math"/>
                  </w:rPr>
                </m:ctrlPr>
              </m:e>
            </m:d>
            <m:ctrlPr>
              <w:rPr>
                <w:rFonts w:ascii="Cambria Math" w:hAnsi="Cambria Math"/>
              </w:rPr>
            </m:ctrlPr>
          </m:e>
        </m:func>
      </m:oMath>
      <w:r>
        <w:tab/>
      </w:r>
      <w:r>
        <w:t>(</w:t>
      </w:r>
      <w:r>
        <w:rPr>
          <w:rFonts w:hint="eastAsia"/>
        </w:rPr>
        <w:t>E</w:t>
      </w:r>
      <w:r>
        <w:t>.18)</w:t>
      </w:r>
    </w:p>
    <w:p w14:paraId="5A041315">
      <w:pPr>
        <w:spacing w:line="240" w:lineRule="auto"/>
        <w:ind w:firstLine="420" w:firstLineChars="200"/>
        <w:rPr>
          <w:rFonts w:ascii="宋体" w:hAnsi="宋体"/>
        </w:rPr>
      </w:pPr>
      <w:r>
        <w:rPr>
          <w:rFonts w:ascii="宋体" w:hAnsi="宋体"/>
        </w:rPr>
        <w:t>对于</w:t>
      </w:r>
      <w:r>
        <w:rPr>
          <w:rFonts w:hint="eastAsia" w:ascii="宋体" w:hAnsi="宋体"/>
        </w:rPr>
        <w:t>原油</w:t>
      </w:r>
      <w:r>
        <w:rPr>
          <w:rFonts w:ascii="宋体" w:hAnsi="宋体"/>
        </w:rPr>
        <w:t>：</w:t>
      </w:r>
    </w:p>
    <w:p w14:paraId="695CE006">
      <w:pPr>
        <w:pStyle w:val="242"/>
      </w:pPr>
      <w:r>
        <w:rPr>
          <w:rFonts w:hAnsi="宋体"/>
          <w:iCs/>
        </w:rPr>
        <w:tab/>
      </w:r>
      <m:oMath>
        <m:r>
          <m:rPr/>
          <w:rPr>
            <w:rFonts w:ascii="Cambria Math" w:hAnsi="Cambria Math"/>
          </w:rPr>
          <m:t>A</m:t>
        </m:r>
        <m:r>
          <m:rPr>
            <m:sty m:val="p"/>
          </m:rPr>
          <w:rPr>
            <w:rFonts w:ascii="Cambria Math" w:hAnsi="Cambria Math"/>
          </w:rPr>
          <m:t>=12.82</m:t>
        </m:r>
        <m:r>
          <m:rPr>
            <m:sty m:val="p"/>
          </m:rPr>
          <w:rPr>
            <w:rFonts w:hint="eastAsia" w:ascii="Cambria Math" w:hAnsi="Cambria Math" w:eastAsia="微软雅黑" w:cs="微软雅黑"/>
          </w:rPr>
          <m:t>−</m:t>
        </m:r>
        <m:r>
          <m:rPr>
            <m:sty m:val="p"/>
          </m:rPr>
          <w:rPr>
            <w:rFonts w:ascii="Cambria Math" w:hAnsi="Cambria Math"/>
          </w:rPr>
          <m:t>0.9672</m:t>
        </m:r>
        <m:func>
          <m:funcPr>
            <m:ctrlPr>
              <w:rPr>
                <w:rFonts w:ascii="Cambria Math" w:hAnsi="Cambria Math"/>
              </w:rPr>
            </m:ctrlPr>
          </m:funcPr>
          <m:fName>
            <m:r>
              <m:rPr>
                <m:sty m:val="bi"/>
              </m:rPr>
              <w:rPr>
                <w:rFonts w:ascii="Cambria Math" w:hAnsi="Cambria Math"/>
              </w:rPr>
              <m:t>ln</m:t>
            </m:r>
            <m:ctrlPr>
              <w:rPr>
                <w:rFonts w:ascii="Cambria Math" w:hAnsi="Cambria Math"/>
              </w:rPr>
            </m:ctrlPr>
          </m:fName>
          <m:e>
            <m:d>
              <m:dPr>
                <m:ctrlPr>
                  <w:rPr>
                    <w:rFonts w:ascii="Cambria Math" w:hAnsi="Cambria Math"/>
                  </w:rPr>
                </m:ctrlPr>
              </m:dPr>
              <m:e>
                <m:r>
                  <m:rPr/>
                  <w:rPr>
                    <w:rFonts w:ascii="Cambria Math" w:hAnsi="Cambria Math"/>
                  </w:rPr>
                  <m:t>RVP</m:t>
                </m:r>
                <m:ctrlPr>
                  <w:rPr>
                    <w:rFonts w:ascii="Cambria Math" w:hAnsi="Cambria Math"/>
                  </w:rPr>
                </m:ctrlPr>
              </m:e>
            </m:d>
            <m:ctrlPr>
              <w:rPr>
                <w:rFonts w:ascii="Cambria Math" w:hAnsi="Cambria Math"/>
              </w:rPr>
            </m:ctrlPr>
          </m:e>
        </m:func>
      </m:oMath>
      <w:r>
        <w:rPr>
          <w:rFonts w:hAnsi="宋体"/>
        </w:rPr>
        <w:tab/>
      </w:r>
      <w:r>
        <w:t>(</w:t>
      </w:r>
      <w:r>
        <w:rPr>
          <w:rFonts w:hint="eastAsia"/>
        </w:rPr>
        <w:t>E</w:t>
      </w:r>
      <w:r>
        <w:t>.19)</w:t>
      </w:r>
    </w:p>
    <w:p w14:paraId="2B0B2664">
      <w:pPr>
        <w:pStyle w:val="242"/>
      </w:pPr>
      <w:r>
        <w:rPr>
          <w:iCs/>
        </w:rPr>
        <w:tab/>
      </w:r>
      <m:oMath>
        <m:r>
          <m:rPr/>
          <w:rPr>
            <w:rFonts w:ascii="Cambria Math" w:hAnsi="Cambria Math"/>
          </w:rPr>
          <m:t>B</m:t>
        </m:r>
        <m:r>
          <m:rPr>
            <m:sty m:val="p"/>
          </m:rPr>
          <w:rPr>
            <w:rFonts w:ascii="Cambria Math" w:hAnsi="Cambria Math"/>
          </w:rPr>
          <m:t>=7261</m:t>
        </m:r>
        <m:r>
          <m:rPr>
            <m:sty m:val="p"/>
          </m:rPr>
          <w:rPr>
            <w:rFonts w:hint="eastAsia" w:ascii="Cambria Math" w:hAnsi="Cambria Math" w:eastAsia="微软雅黑" w:cs="微软雅黑"/>
          </w:rPr>
          <m:t>−</m:t>
        </m:r>
        <m:r>
          <m:rPr>
            <m:sty m:val="p"/>
          </m:rPr>
          <w:rPr>
            <w:rFonts w:ascii="Cambria Math" w:hAnsi="Cambria Math"/>
          </w:rPr>
          <m:t>1216</m:t>
        </m:r>
        <m:func>
          <m:funcPr>
            <m:ctrlPr>
              <w:rPr>
                <w:rFonts w:ascii="Cambria Math" w:hAnsi="Cambria Math"/>
              </w:rPr>
            </m:ctrlPr>
          </m:funcPr>
          <m:fName>
            <m:r>
              <m:rPr>
                <m:sty m:val="bi"/>
              </m:rPr>
              <w:rPr>
                <w:rFonts w:ascii="Cambria Math" w:hAnsi="Cambria Math"/>
              </w:rPr>
              <m:t>ln</m:t>
            </m:r>
            <m:ctrlPr>
              <w:rPr>
                <w:rFonts w:ascii="Cambria Math" w:hAnsi="Cambria Math"/>
              </w:rPr>
            </m:ctrlPr>
          </m:fName>
          <m:e>
            <m:d>
              <m:dPr>
                <m:ctrlPr>
                  <w:rPr>
                    <w:rFonts w:ascii="Cambria Math" w:hAnsi="Cambria Math"/>
                  </w:rPr>
                </m:ctrlPr>
              </m:dPr>
              <m:e>
                <m:r>
                  <m:rPr/>
                  <w:rPr>
                    <w:rFonts w:ascii="Cambria Math" w:hAnsi="Cambria Math"/>
                  </w:rPr>
                  <m:t>RVP</m:t>
                </m:r>
                <m:ctrlPr>
                  <w:rPr>
                    <w:rFonts w:ascii="Cambria Math" w:hAnsi="Cambria Math"/>
                  </w:rPr>
                </m:ctrlPr>
              </m:e>
            </m:d>
            <m:ctrlPr>
              <w:rPr>
                <w:rFonts w:ascii="Cambria Math" w:hAnsi="Cambria Math"/>
              </w:rPr>
            </m:ctrlPr>
          </m:e>
        </m:func>
      </m:oMath>
      <w:r>
        <w:tab/>
      </w:r>
      <w:r>
        <w:t>(</w:t>
      </w:r>
      <w:r>
        <w:rPr>
          <w:rFonts w:hint="eastAsia"/>
        </w:rPr>
        <w:t>E</w:t>
      </w:r>
      <w:r>
        <w:t>.20)</w:t>
      </w:r>
    </w:p>
    <w:p w14:paraId="65CC867E">
      <w:pPr>
        <w:pStyle w:val="242"/>
      </w:pPr>
      <w:r>
        <w:rPr>
          <w:iCs/>
        </w:rPr>
        <w:tab/>
      </w:r>
      <m:oMath>
        <m:r>
          <m:rPr/>
          <w:rPr>
            <w:rFonts w:ascii="Cambria Math" w:hAnsi="Cambria Math"/>
          </w:rPr>
          <m:t>S</m:t>
        </m:r>
        <m:r>
          <m:rPr>
            <m:sty m:val="p"/>
          </m:rPr>
          <w:rPr>
            <w:rFonts w:ascii="Cambria Math" w:hAnsi="Cambria Math"/>
          </w:rPr>
          <m:t>=</m:t>
        </m:r>
        <m:f>
          <m:fPr>
            <m:ctrlPr>
              <w:rPr>
                <w:rFonts w:ascii="Cambria Math" w:hAnsi="Cambria Math"/>
              </w:rPr>
            </m:ctrlPr>
          </m:fPr>
          <m:num>
            <m:r>
              <m:rPr>
                <m:sty m:val="p"/>
              </m:rPr>
              <w:rPr>
                <w:rFonts w:ascii="Cambria Math" w:hAnsi="Cambria Math"/>
              </w:rPr>
              <m:t>15%馏出温度</m:t>
            </m:r>
            <m:r>
              <m:rPr>
                <m:sty m:val="p"/>
              </m:rPr>
              <w:rPr>
                <w:rFonts w:hint="eastAsia" w:ascii="Cambria Math" w:hAnsi="Cambria Math" w:eastAsia="微软雅黑" w:cs="微软雅黑"/>
              </w:rPr>
              <m:t>−</m:t>
            </m:r>
            <m:r>
              <m:rPr>
                <m:sty m:val="p"/>
              </m:rPr>
              <w:rPr>
                <w:rFonts w:ascii="Cambria Math" w:hAnsi="Cambria Math" w:eastAsia="微软雅黑" w:cs="微软雅黑"/>
              </w:rPr>
              <m:t>5</m:t>
            </m:r>
            <m:r>
              <m:rPr>
                <m:sty m:val="p"/>
              </m:rPr>
              <w:rPr>
                <w:rFonts w:ascii="Cambria Math" w:hAnsi="Cambria Math"/>
              </w:rPr>
              <m:t>%馏出温度</m:t>
            </m:r>
            <m:ctrlPr>
              <w:rPr>
                <w:rFonts w:ascii="Cambria Math" w:hAnsi="Cambria Math"/>
              </w:rPr>
            </m:ctrlPr>
          </m:num>
          <m:den>
            <m:r>
              <m:rPr>
                <m:sty m:val="p"/>
              </m:rPr>
              <w:rPr>
                <w:rFonts w:ascii="Cambria Math" w:hAnsi="Cambria Math"/>
              </w:rPr>
              <m:t>15</m:t>
            </m:r>
            <m:r>
              <m:rPr>
                <m:sty m:val="p"/>
              </m:rPr>
              <w:rPr>
                <w:rFonts w:hint="eastAsia" w:ascii="Cambria Math" w:hAnsi="Cambria Math" w:eastAsia="微软雅黑" w:cs="微软雅黑"/>
              </w:rPr>
              <m:t>−</m:t>
            </m:r>
            <m:r>
              <m:rPr>
                <m:sty m:val="p"/>
              </m:rPr>
              <w:rPr>
                <w:rFonts w:ascii="Cambria Math" w:hAnsi="Cambria Math" w:eastAsia="微软雅黑" w:cs="微软雅黑"/>
              </w:rPr>
              <m:t>5</m:t>
            </m:r>
            <m:ctrlPr>
              <w:rPr>
                <w:rFonts w:ascii="Cambria Math" w:hAnsi="Cambria Math" w:eastAsia="微软雅黑" w:cs="微软雅黑"/>
              </w:rPr>
            </m:ctrlPr>
          </m:den>
        </m:f>
      </m:oMath>
      <w:r>
        <w:tab/>
      </w:r>
      <w:r>
        <w:t>(</w:t>
      </w:r>
      <w:r>
        <w:rPr>
          <w:rFonts w:hint="eastAsia"/>
        </w:rPr>
        <w:t>E</w:t>
      </w:r>
      <w:r>
        <w:t>.21)</w:t>
      </w:r>
    </w:p>
    <w:p w14:paraId="3F7F6542">
      <w:pPr>
        <w:overflowPunct w:val="0"/>
        <w:autoSpaceDE w:val="0"/>
        <w:autoSpaceDN w:val="0"/>
        <w:spacing w:line="240" w:lineRule="auto"/>
        <w:ind w:firstLine="420" w:firstLineChars="200"/>
        <w:rPr>
          <w:rFonts w:ascii="宋体" w:hAnsi="宋体"/>
        </w:rPr>
      </w:pPr>
      <w:r>
        <w:rPr>
          <w:rFonts w:ascii="宋体" w:hAnsi="宋体"/>
        </w:rPr>
        <w:t>式中</w:t>
      </w:r>
      <w:r>
        <w:rPr>
          <w:rFonts w:hint="eastAsia" w:ascii="宋体" w:hAnsi="宋体"/>
        </w:rPr>
        <w:t>：</w:t>
      </w:r>
    </w:p>
    <w:p w14:paraId="3A1165A2">
      <w:pPr>
        <w:overflowPunct w:val="0"/>
        <w:autoSpaceDE w:val="0"/>
        <w:autoSpaceDN w:val="0"/>
        <w:spacing w:line="240" w:lineRule="auto"/>
        <w:ind w:firstLine="420" w:firstLineChars="200"/>
        <w:rPr>
          <w:rFonts w:ascii="宋体" w:hAnsi="宋体"/>
        </w:rPr>
      </w:pPr>
      <w:r>
        <w:rPr>
          <w:rFonts w:ascii="宋体" w:hAnsi="宋体"/>
        </w:rPr>
        <w:t>RVP</w:t>
      </w:r>
      <w:r>
        <w:rPr>
          <w:rFonts w:hint="eastAsia"/>
          <w:spacing w:val="-20"/>
        </w:rPr>
        <w:t>——</w:t>
      </w:r>
      <w:r>
        <w:rPr>
          <w:rFonts w:ascii="宋体" w:hAnsi="宋体"/>
        </w:rPr>
        <w:t>雷德蒸气压</w:t>
      </w:r>
      <w:r>
        <w:rPr>
          <w:rFonts w:hint="eastAsia" w:ascii="宋体" w:hAnsi="宋体"/>
        </w:rPr>
        <w:t>，</w:t>
      </w:r>
      <w:r>
        <w:rPr>
          <w:rFonts w:ascii="宋体" w:hAnsi="宋体"/>
        </w:rPr>
        <w:t>磅/平方英寸</w:t>
      </w:r>
      <w:r>
        <w:rPr>
          <w:rFonts w:hint="eastAsia" w:ascii="宋体" w:hAnsi="宋体"/>
        </w:rPr>
        <w:t>；</w:t>
      </w:r>
    </w:p>
    <w:p w14:paraId="0B5F78B7">
      <w:pPr>
        <w:overflowPunct w:val="0"/>
        <w:autoSpaceDE w:val="0"/>
        <w:autoSpaceDN w:val="0"/>
        <w:spacing w:line="240" w:lineRule="auto"/>
        <w:ind w:firstLine="420" w:firstLineChars="200"/>
        <w:rPr>
          <w:rFonts w:ascii="宋体" w:hAnsi="宋体"/>
        </w:rPr>
      </w:pPr>
      <w:r>
        <w:rPr>
          <w:rFonts w:ascii="宋体" w:hAnsi="宋体"/>
        </w:rPr>
        <w:t>S</w:t>
      </w:r>
      <w:r>
        <w:rPr>
          <w:rFonts w:hint="eastAsia"/>
          <w:spacing w:val="-20"/>
        </w:rPr>
        <w:t>——</w:t>
      </w:r>
      <w:r>
        <w:rPr>
          <w:rFonts w:ascii="宋体" w:hAnsi="宋体"/>
        </w:rPr>
        <w:t>10%蒸发量下ASTM蒸馏曲线斜率。</w:t>
      </w:r>
    </w:p>
    <w:p w14:paraId="72508A81">
      <w:pPr>
        <w:overflowPunct w:val="0"/>
        <w:autoSpaceDE w:val="0"/>
        <w:autoSpaceDN w:val="0"/>
        <w:spacing w:line="240" w:lineRule="auto"/>
        <w:ind w:firstLine="420" w:firstLineChars="200"/>
        <w:rPr>
          <w:rFonts w:ascii="宋体" w:hAnsi="宋体"/>
        </w:rPr>
      </w:pPr>
      <w:r>
        <w:rPr>
          <w:rFonts w:ascii="宋体" w:hAnsi="宋体"/>
        </w:rPr>
        <w:t>对于</w:t>
      </w:r>
      <w:r>
        <w:rPr>
          <w:rFonts w:hint="eastAsia" w:ascii="宋体" w:hAnsi="宋体"/>
        </w:rPr>
        <w:t>单一</w:t>
      </w:r>
      <w:r>
        <w:rPr>
          <w:rFonts w:ascii="宋体" w:hAnsi="宋体"/>
        </w:rPr>
        <w:t>物质（如苯、对二甲苯）的日平均液体表面蒸气压，可按照公式(E.22)计算。</w:t>
      </w:r>
    </w:p>
    <w:p w14:paraId="16DE64F0">
      <w:pPr>
        <w:pStyle w:val="242"/>
      </w:pPr>
      <w:r>
        <w:rPr>
          <w:rFonts w:hAnsi="宋体"/>
        </w:rPr>
        <w:tab/>
      </w:r>
      <m:oMath>
        <m:func>
          <m:funcPr>
            <m:ctrlPr>
              <w:rPr>
                <w:rFonts w:ascii="Cambria Math" w:hAnsi="Cambria Math"/>
              </w:rPr>
            </m:ctrlPr>
          </m:funcPr>
          <m:fName>
            <m:r>
              <m:rPr>
                <m:sty m:val="bi"/>
              </m:rPr>
              <w:rPr>
                <w:rFonts w:ascii="Cambria Math" w:hAnsi="Cambria Math"/>
              </w:rPr>
              <m:t>lg</m:t>
            </m:r>
            <m:ctrlPr>
              <w:rPr>
                <w:rFonts w:ascii="Cambria Math" w:hAnsi="Cambria Math"/>
              </w:rPr>
            </m:ctrlPr>
          </m:fName>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VA</m:t>
                </m:r>
                <m:ctrlPr>
                  <w:rPr>
                    <w:rFonts w:ascii="Cambria Math" w:hAnsi="Cambria Math"/>
                  </w:rPr>
                </m:ctrlPr>
              </m:sub>
            </m:sSub>
            <m:ctrlPr>
              <w:rPr>
                <w:rFonts w:ascii="Cambria Math" w:hAnsi="Cambria Math"/>
              </w:rPr>
            </m:ctrlPr>
          </m:e>
        </m:func>
        <m:r>
          <m:rPr>
            <m:sty m:val="p"/>
          </m:rPr>
          <w:rPr>
            <w:rFonts w:ascii="Cambria Math" w:hAnsi="Cambria Math"/>
          </w:rPr>
          <m:t>=</m:t>
        </m:r>
        <m:r>
          <m:rPr/>
          <w:rPr>
            <w:rFonts w:ascii="Cambria Math" w:hAnsi="Cambria Math"/>
          </w:rPr>
          <m:t>A</m:t>
        </m:r>
        <m:r>
          <m:rPr>
            <m:sty m:val="p"/>
          </m:rPr>
          <w:rPr>
            <w:rFonts w:hint="eastAsia" w:ascii="Cambria Math" w:hAnsi="Cambria Math" w:eastAsia="微软雅黑" w:cs="微软雅黑"/>
          </w:rPr>
          <m:t>−</m:t>
        </m:r>
        <m:d>
          <m:dPr>
            <m:ctrlPr>
              <w:rPr>
                <w:rFonts w:ascii="Cambria Math" w:hAnsi="Cambria Math"/>
              </w:rPr>
            </m:ctrlPr>
          </m:dPr>
          <m:e>
            <m:f>
              <m:fPr>
                <m:ctrlPr>
                  <w:rPr>
                    <w:rFonts w:ascii="Cambria Math" w:hAnsi="Cambria Math"/>
                  </w:rPr>
                </m:ctrlPr>
              </m:fPr>
              <m:num>
                <m:r>
                  <m:rPr/>
                  <w:rPr>
                    <w:rFonts w:ascii="Cambria Math" w:hAnsi="Cambria Math"/>
                  </w:rPr>
                  <m:t>B</m:t>
                </m:r>
                <m:ctrlPr>
                  <w:rPr>
                    <w:rFonts w:ascii="Cambria Math" w:hAnsi="Cambria Math"/>
                  </w:rPr>
                </m:ctrlPr>
              </m:num>
              <m:den>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LA</m:t>
                    </m:r>
                    <m:ctrlPr>
                      <w:rPr>
                        <w:rFonts w:ascii="Cambria Math" w:hAnsi="Cambria Math"/>
                      </w:rPr>
                    </m:ctrlPr>
                  </m:sub>
                </m:sSub>
                <m:r>
                  <m:rPr>
                    <m:sty m:val="p"/>
                  </m:rPr>
                  <w:rPr>
                    <w:rFonts w:ascii="Cambria Math" w:hAnsi="Cambria Math"/>
                  </w:rPr>
                  <m:t>+</m:t>
                </m:r>
                <m:r>
                  <m:rPr/>
                  <w:rPr>
                    <w:rFonts w:ascii="Cambria Math" w:hAnsi="Cambria Math"/>
                  </w:rPr>
                  <m:t>C</m:t>
                </m:r>
                <m:ctrlPr>
                  <w:rPr>
                    <w:rFonts w:ascii="Cambria Math" w:hAnsi="Cambria Math"/>
                  </w:rPr>
                </m:ctrlPr>
              </m:den>
            </m:f>
            <m:ctrlPr>
              <w:rPr>
                <w:rFonts w:ascii="Cambria Math" w:hAnsi="Cambria Math"/>
              </w:rPr>
            </m:ctrlPr>
          </m:e>
        </m:d>
      </m:oMath>
      <w:r>
        <w:rPr>
          <w:rFonts w:hAnsi="宋体"/>
        </w:rPr>
        <w:tab/>
      </w:r>
      <w:r>
        <w:t>(</w:t>
      </w:r>
      <w:r>
        <w:rPr>
          <w:rFonts w:hint="eastAsia"/>
        </w:rPr>
        <w:t>E</w:t>
      </w:r>
      <w:r>
        <w:t>.22)</w:t>
      </w:r>
    </w:p>
    <w:p w14:paraId="7E6C029B">
      <w:pPr>
        <w:overflowPunct w:val="0"/>
        <w:autoSpaceDE w:val="0"/>
        <w:autoSpaceDN w:val="0"/>
        <w:spacing w:line="240" w:lineRule="auto"/>
        <w:ind w:firstLine="420" w:firstLineChars="200"/>
        <w:rPr>
          <w:rFonts w:ascii="宋体" w:hAnsi="宋体"/>
        </w:rPr>
      </w:pPr>
      <w:r>
        <w:rPr>
          <w:rFonts w:ascii="宋体" w:hAnsi="宋体"/>
        </w:rPr>
        <w:t>式中</w:t>
      </w:r>
      <w:r>
        <w:rPr>
          <w:rFonts w:hint="eastAsia" w:ascii="宋体" w:hAnsi="宋体"/>
        </w:rPr>
        <w:t>：</w:t>
      </w:r>
    </w:p>
    <w:p w14:paraId="095D516A">
      <w:pPr>
        <w:overflowPunct w:val="0"/>
        <w:autoSpaceDE w:val="0"/>
        <w:autoSpaceDN w:val="0"/>
        <w:spacing w:line="240" w:lineRule="auto"/>
        <w:ind w:firstLine="420" w:firstLineChars="200"/>
        <w:rPr>
          <w:rFonts w:ascii="宋体" w:hAnsi="宋体"/>
        </w:rPr>
      </w:pPr>
      <w:r>
        <w:rPr>
          <w:rFonts w:ascii="宋体" w:hAnsi="宋体"/>
        </w:rPr>
        <w:t>A、B、C</w:t>
      </w:r>
      <w:r>
        <w:rPr>
          <w:rFonts w:hint="eastAsia"/>
          <w:spacing w:val="-20"/>
        </w:rPr>
        <w:t>——</w:t>
      </w:r>
      <w:r>
        <w:rPr>
          <w:rFonts w:ascii="宋体" w:hAnsi="宋体"/>
        </w:rPr>
        <w:t>安托因常数</w:t>
      </w:r>
      <w:r>
        <w:rPr>
          <w:rFonts w:hint="eastAsia" w:ascii="宋体" w:hAnsi="宋体"/>
        </w:rPr>
        <w:t>；</w:t>
      </w:r>
    </w:p>
    <w:p w14:paraId="00BF4CBC">
      <w:pPr>
        <w:overflowPunct w:val="0"/>
        <w:autoSpaceDE w:val="0"/>
        <w:autoSpaceDN w:val="0"/>
        <w:spacing w:line="240" w:lineRule="auto"/>
        <w:ind w:firstLine="420" w:firstLineChars="200"/>
        <w:rPr>
          <w:rFonts w:ascii="宋体" w:hAnsi="宋体"/>
        </w:rPr>
      </w:pPr>
      <w:r>
        <w:rPr>
          <w:rFonts w:ascii="宋体" w:hAnsi="宋体"/>
        </w:rPr>
        <w:t>T</w:t>
      </w:r>
      <w:r>
        <w:rPr>
          <w:rFonts w:ascii="宋体" w:hAnsi="宋体"/>
          <w:vertAlign w:val="subscript"/>
        </w:rPr>
        <w:t>LA</w:t>
      </w:r>
      <w:r>
        <w:rPr>
          <w:rFonts w:hint="eastAsia"/>
          <w:spacing w:val="-20"/>
        </w:rPr>
        <w:t>——</w:t>
      </w:r>
      <w:r>
        <w:rPr>
          <w:rFonts w:ascii="宋体" w:hAnsi="宋体"/>
        </w:rPr>
        <w:t>日平均液体表面温度</w:t>
      </w:r>
      <w:r>
        <w:rPr>
          <w:rFonts w:hint="eastAsia" w:ascii="宋体" w:hAnsi="宋体"/>
        </w:rPr>
        <w:t>，</w:t>
      </w:r>
      <w:r>
        <w:rPr>
          <w:rFonts w:ascii="宋体" w:hAnsi="宋体"/>
        </w:rPr>
        <w:t>摄氏度</w:t>
      </w:r>
      <w:r>
        <w:rPr>
          <w:rFonts w:hint="eastAsia" w:ascii="宋体" w:hAnsi="宋体"/>
        </w:rPr>
        <w:t>；</w:t>
      </w:r>
    </w:p>
    <w:p w14:paraId="6CD2F838">
      <w:pPr>
        <w:overflowPunct w:val="0"/>
        <w:autoSpaceDE w:val="0"/>
        <w:autoSpaceDN w:val="0"/>
        <w:spacing w:line="240" w:lineRule="auto"/>
        <w:ind w:firstLine="420" w:firstLineChars="200"/>
        <w:rPr>
          <w:rFonts w:ascii="宋体" w:hAnsi="宋体"/>
        </w:rPr>
      </w:pPr>
      <w:r>
        <w:rPr>
          <w:rFonts w:ascii="宋体" w:hAnsi="宋体"/>
        </w:rPr>
        <w:t>P</w:t>
      </w:r>
      <w:r>
        <w:rPr>
          <w:rFonts w:ascii="宋体" w:hAnsi="宋体"/>
          <w:vertAlign w:val="subscript"/>
        </w:rPr>
        <w:t>VA</w:t>
      </w:r>
      <w:r>
        <w:rPr>
          <w:rFonts w:hint="eastAsia"/>
          <w:spacing w:val="-20"/>
        </w:rPr>
        <w:t>——</w:t>
      </w:r>
      <w:r>
        <w:rPr>
          <w:rFonts w:ascii="宋体" w:hAnsi="宋体"/>
        </w:rPr>
        <w:t>日平均液面温度下的饱和蒸气压</w:t>
      </w:r>
      <w:r>
        <w:rPr>
          <w:rFonts w:hint="eastAsia" w:ascii="宋体" w:hAnsi="宋体"/>
        </w:rPr>
        <w:t>，</w:t>
      </w:r>
      <w:r>
        <w:rPr>
          <w:rFonts w:ascii="宋体" w:hAnsi="宋体"/>
        </w:rPr>
        <w:t>毫米汞柱。</w:t>
      </w:r>
    </w:p>
    <w:p w14:paraId="74895C8C">
      <w:pPr>
        <w:spacing w:line="240" w:lineRule="auto"/>
        <w:ind w:firstLine="420" w:firstLineChars="200"/>
        <w:rPr>
          <w:rFonts w:ascii="宋体" w:hAnsi="宋体"/>
        </w:rPr>
      </w:pPr>
      <w:r>
        <w:rPr>
          <w:rFonts w:hint="eastAsia" w:ascii="宋体" w:hAnsi="宋体"/>
        </w:rPr>
        <w:t>b</w:t>
      </w:r>
      <w:r>
        <w:rPr>
          <w:rFonts w:ascii="宋体" w:hAnsi="宋体"/>
        </w:rPr>
        <w:t>）工作损失</w:t>
      </w:r>
    </w:p>
    <w:p w14:paraId="54B06FC1">
      <w:pPr>
        <w:spacing w:line="240" w:lineRule="auto"/>
        <w:ind w:firstLine="420" w:firstLineChars="200"/>
        <w:rPr>
          <w:rFonts w:ascii="宋体" w:hAnsi="宋体"/>
        </w:rPr>
      </w:pPr>
      <w:r>
        <w:rPr>
          <w:rFonts w:ascii="宋体" w:hAnsi="宋体"/>
        </w:rPr>
        <w:t>工作损失与储料的装卸作业相关，固定罐的工作损失按公式(E.23)计算。</w:t>
      </w:r>
    </w:p>
    <w:p w14:paraId="0FBC1390">
      <w:pPr>
        <w:pStyle w:val="242"/>
      </w:pPr>
      <w:r>
        <w:rPr>
          <w:rFonts w:hAnsi="宋体"/>
        </w:rP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w</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5.614</m:t>
            </m:r>
            <m:ctrlPr>
              <w:rPr>
                <w:rFonts w:ascii="Cambria Math" w:hAnsi="Cambria Math"/>
              </w:rPr>
            </m:ctrlPr>
          </m:num>
          <m:den>
            <m:r>
              <m:rPr/>
              <w:rPr>
                <w:rFonts w:ascii="Cambria Math" w:hAnsi="Cambria Math"/>
              </w:rPr>
              <m:t>R</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LA</m:t>
                </m:r>
                <m:ctrlPr>
                  <w:rPr>
                    <w:rFonts w:ascii="Cambria Math" w:hAnsi="Cambria Math"/>
                  </w:rPr>
                </m:ctrlPr>
              </m:sub>
            </m:sSub>
            <m:ctrlPr>
              <w:rPr>
                <w:rFonts w:ascii="Cambria Math" w:hAnsi="Cambria Math"/>
              </w:rPr>
            </m:ctrlPr>
          </m:den>
        </m:f>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V</m:t>
            </m:r>
            <m:ctrlPr>
              <w:rPr>
                <w:rFonts w:ascii="Cambria Math" w:hAnsi="Cambria Math"/>
              </w:rPr>
            </m:ctrlPr>
          </m:sub>
        </m:sSub>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VA</m:t>
            </m:r>
            <m:ctrlPr>
              <w:rPr>
                <w:rFonts w:ascii="Cambria Math" w:hAnsi="Cambria Math"/>
              </w:rPr>
            </m:ctrlPr>
          </m:sub>
        </m:sSub>
        <m:r>
          <m:rPr/>
          <w:rPr>
            <w:rFonts w:ascii="Cambria Math" w:hAnsi="Cambria Math"/>
          </w:rPr>
          <m:t>Q</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N</m:t>
            </m:r>
            <m:ctrlPr>
              <w:rPr>
                <w:rFonts w:ascii="Cambria Math" w:hAnsi="Cambria Math"/>
              </w:rPr>
            </m:ctrlPr>
          </m:sub>
        </m:sSub>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P</m:t>
            </m:r>
            <m:ctrlPr>
              <w:rPr>
                <w:rFonts w:ascii="Cambria Math" w:hAnsi="Cambria Math"/>
              </w:rPr>
            </m:ctrlPr>
          </m:sub>
        </m:sSub>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B</m:t>
            </m:r>
            <m:ctrlPr>
              <w:rPr>
                <w:rFonts w:ascii="Cambria Math" w:hAnsi="Cambria Math"/>
              </w:rPr>
            </m:ctrlPr>
          </m:sub>
        </m:sSub>
      </m:oMath>
      <w:r>
        <w:rPr>
          <w:rFonts w:hAnsi="宋体"/>
        </w:rPr>
        <w:tab/>
      </w:r>
      <w:r>
        <w:t>(</w:t>
      </w:r>
      <w:r>
        <w:rPr>
          <w:rFonts w:hint="eastAsia"/>
        </w:rPr>
        <w:t>E</w:t>
      </w:r>
      <w:r>
        <w:t>.23)</w:t>
      </w:r>
    </w:p>
    <w:p w14:paraId="50897C5D">
      <w:pPr>
        <w:overflowPunct w:val="0"/>
        <w:autoSpaceDE w:val="0"/>
        <w:autoSpaceDN w:val="0"/>
        <w:spacing w:line="240" w:lineRule="auto"/>
        <w:ind w:firstLine="420" w:firstLineChars="200"/>
        <w:rPr>
          <w:rFonts w:ascii="宋体" w:hAnsi="宋体"/>
        </w:rPr>
      </w:pPr>
      <w:r>
        <w:rPr>
          <w:rFonts w:ascii="宋体" w:hAnsi="宋体"/>
        </w:rPr>
        <w:t>式中</w:t>
      </w:r>
      <w:r>
        <w:rPr>
          <w:rFonts w:hint="eastAsia" w:ascii="宋体" w:hAnsi="宋体"/>
        </w:rPr>
        <w:t>：</w:t>
      </w:r>
    </w:p>
    <w:p w14:paraId="0A9565DE">
      <w:pPr>
        <w:overflowPunct w:val="0"/>
        <w:autoSpaceDE w:val="0"/>
        <w:autoSpaceDN w:val="0"/>
        <w:spacing w:line="240" w:lineRule="auto"/>
        <w:ind w:firstLine="420" w:firstLineChars="200"/>
        <w:rPr>
          <w:rFonts w:ascii="宋体" w:hAnsi="宋体"/>
        </w:rPr>
      </w:pPr>
      <w:r>
        <w:rPr>
          <w:rFonts w:ascii="宋体" w:hAnsi="宋体"/>
        </w:rPr>
        <w:t>E</w:t>
      </w:r>
      <w:r>
        <w:rPr>
          <w:rFonts w:ascii="宋体" w:hAnsi="宋体"/>
          <w:vertAlign w:val="subscript"/>
        </w:rPr>
        <w:t>W</w:t>
      </w:r>
      <w:r>
        <w:rPr>
          <w:rFonts w:hint="eastAsia"/>
          <w:spacing w:val="-20"/>
        </w:rPr>
        <w:t>——</w:t>
      </w:r>
      <w:r>
        <w:rPr>
          <w:rFonts w:hint="eastAsia" w:ascii="宋体" w:hAnsi="宋体"/>
        </w:rPr>
        <w:t>统计期内工作损失，磅；</w:t>
      </w:r>
    </w:p>
    <w:p w14:paraId="16052595">
      <w:pPr>
        <w:overflowPunct w:val="0"/>
        <w:autoSpaceDE w:val="0"/>
        <w:autoSpaceDN w:val="0"/>
        <w:spacing w:line="240" w:lineRule="auto"/>
        <w:ind w:firstLine="420" w:firstLineChars="200"/>
        <w:rPr>
          <w:rFonts w:ascii="宋体" w:hAnsi="宋体"/>
        </w:rPr>
      </w:pPr>
      <w:r>
        <w:rPr>
          <w:rFonts w:ascii="宋体" w:hAnsi="宋体"/>
        </w:rPr>
        <w:t>M</w:t>
      </w:r>
      <w:r>
        <w:rPr>
          <w:rFonts w:ascii="宋体" w:hAnsi="宋体"/>
          <w:vertAlign w:val="subscript"/>
        </w:rPr>
        <w:t>V</w:t>
      </w:r>
      <w:r>
        <w:rPr>
          <w:rFonts w:hint="eastAsia"/>
          <w:spacing w:val="-20"/>
        </w:rPr>
        <w:t>——</w:t>
      </w:r>
      <w:r>
        <w:rPr>
          <w:rFonts w:hint="eastAsia" w:ascii="宋体" w:hAnsi="宋体"/>
        </w:rPr>
        <w:t>气相分子量，磅</w:t>
      </w:r>
      <w:r>
        <w:rPr>
          <w:rFonts w:ascii="宋体" w:hAnsi="宋体"/>
        </w:rPr>
        <w:t>/</w:t>
      </w:r>
      <w:r>
        <w:rPr>
          <w:rFonts w:hint="eastAsia" w:ascii="宋体" w:hAnsi="宋体"/>
        </w:rPr>
        <w:t>磅</w:t>
      </w:r>
      <w:r>
        <w:rPr>
          <w:rFonts w:ascii="宋体" w:hAnsi="宋体"/>
        </w:rPr>
        <w:t>-</w:t>
      </w:r>
      <w:r>
        <w:rPr>
          <w:rFonts w:hint="eastAsia" w:ascii="宋体" w:hAnsi="宋体"/>
        </w:rPr>
        <w:t>摩尔；</w:t>
      </w:r>
    </w:p>
    <w:p w14:paraId="18856B00">
      <w:pPr>
        <w:overflowPunct w:val="0"/>
        <w:autoSpaceDE w:val="0"/>
        <w:autoSpaceDN w:val="0"/>
        <w:spacing w:line="240" w:lineRule="auto"/>
        <w:ind w:firstLine="420" w:firstLineChars="200"/>
        <w:rPr>
          <w:rFonts w:ascii="宋体" w:hAnsi="宋体"/>
        </w:rPr>
      </w:pPr>
      <w:r>
        <w:rPr>
          <w:rFonts w:ascii="宋体" w:hAnsi="宋体"/>
        </w:rPr>
        <w:t>P</w:t>
      </w:r>
      <w:r>
        <w:rPr>
          <w:rFonts w:ascii="宋体" w:hAnsi="宋体"/>
          <w:vertAlign w:val="subscript"/>
        </w:rPr>
        <w:t>VA</w:t>
      </w:r>
      <w:r>
        <w:rPr>
          <w:rFonts w:hint="eastAsia"/>
          <w:spacing w:val="-20"/>
        </w:rPr>
        <w:t>——</w:t>
      </w:r>
      <w:r>
        <w:rPr>
          <w:rFonts w:hint="eastAsia" w:ascii="宋体" w:hAnsi="宋体"/>
        </w:rPr>
        <w:t>日平均液体表面温度下的蒸气压，磅</w:t>
      </w:r>
      <w:r>
        <w:rPr>
          <w:rFonts w:ascii="宋体" w:hAnsi="宋体"/>
        </w:rPr>
        <w:t>/</w:t>
      </w:r>
      <w:r>
        <w:rPr>
          <w:rFonts w:hint="eastAsia" w:ascii="宋体" w:hAnsi="宋体"/>
        </w:rPr>
        <w:t>平方英寸（绝压），见公式</w:t>
      </w:r>
      <w:r>
        <w:rPr>
          <w:rFonts w:ascii="宋体" w:hAnsi="宋体"/>
        </w:rPr>
        <w:t>(E.16)</w:t>
      </w:r>
      <w:r>
        <w:rPr>
          <w:rFonts w:hint="eastAsia" w:ascii="宋体" w:hAnsi="宋体"/>
        </w:rPr>
        <w:t>；</w:t>
      </w:r>
    </w:p>
    <w:p w14:paraId="00871123">
      <w:pPr>
        <w:overflowPunct w:val="0"/>
        <w:autoSpaceDE w:val="0"/>
        <w:autoSpaceDN w:val="0"/>
        <w:spacing w:line="240" w:lineRule="auto"/>
        <w:ind w:firstLine="420" w:firstLineChars="200"/>
        <w:rPr>
          <w:rFonts w:ascii="宋体" w:hAnsi="宋体"/>
        </w:rPr>
      </w:pPr>
      <w:r>
        <w:rPr>
          <w:rFonts w:ascii="宋体" w:hAnsi="宋体"/>
        </w:rPr>
        <w:t>Q</w:t>
      </w:r>
      <w:r>
        <w:rPr>
          <w:rFonts w:hint="eastAsia"/>
          <w:spacing w:val="-20"/>
        </w:rPr>
        <w:t>——</w:t>
      </w:r>
      <w:r>
        <w:rPr>
          <w:rFonts w:hint="eastAsia" w:ascii="宋体" w:hAnsi="宋体"/>
        </w:rPr>
        <w:t>统计期内物料周转量，桶；</w:t>
      </w:r>
    </w:p>
    <w:p w14:paraId="5E5165F0">
      <w:pPr>
        <w:overflowPunct w:val="0"/>
        <w:autoSpaceDE w:val="0"/>
        <w:autoSpaceDN w:val="0"/>
        <w:spacing w:line="240" w:lineRule="auto"/>
        <w:ind w:firstLine="420" w:firstLineChars="200"/>
        <w:rPr>
          <w:rFonts w:ascii="宋体" w:hAnsi="宋体"/>
        </w:rPr>
      </w:pPr>
      <w:r>
        <w:rPr>
          <w:rFonts w:ascii="宋体" w:hAnsi="宋体"/>
        </w:rPr>
        <w:t>K</w:t>
      </w:r>
      <w:r>
        <w:rPr>
          <w:rFonts w:ascii="宋体" w:hAnsi="宋体"/>
          <w:vertAlign w:val="subscript"/>
        </w:rPr>
        <w:t>P</w:t>
      </w:r>
      <w:r>
        <w:rPr>
          <w:rFonts w:hint="eastAsia"/>
          <w:spacing w:val="-20"/>
        </w:rPr>
        <w:t>——</w:t>
      </w:r>
      <w:r>
        <w:rPr>
          <w:rFonts w:hint="eastAsia" w:ascii="宋体" w:hAnsi="宋体"/>
        </w:rPr>
        <w:t>工作损失产品因子，无量纲量，原油</w:t>
      </w:r>
      <w:r>
        <w:rPr>
          <w:rFonts w:ascii="宋体" w:hAnsi="宋体"/>
        </w:rPr>
        <w:t xml:space="preserve"> K</w:t>
      </w:r>
      <w:r>
        <w:rPr>
          <w:rFonts w:ascii="宋体" w:hAnsi="宋体"/>
          <w:vertAlign w:val="subscript"/>
        </w:rPr>
        <w:t>P</w:t>
      </w:r>
      <w:r>
        <w:rPr>
          <w:rFonts w:ascii="宋体" w:hAnsi="宋体"/>
        </w:rPr>
        <w:t>=0.75</w:t>
      </w:r>
      <w:r>
        <w:rPr>
          <w:rFonts w:hint="eastAsia" w:ascii="宋体" w:hAnsi="宋体"/>
        </w:rPr>
        <w:t>，其他有机液体</w:t>
      </w:r>
      <w:r>
        <w:rPr>
          <w:rFonts w:ascii="宋体" w:hAnsi="宋体"/>
        </w:rPr>
        <w:t>K</w:t>
      </w:r>
      <w:r>
        <w:rPr>
          <w:rFonts w:ascii="宋体" w:hAnsi="宋体"/>
          <w:vertAlign w:val="subscript"/>
        </w:rPr>
        <w:t>P</w:t>
      </w:r>
      <w:r>
        <w:rPr>
          <w:rFonts w:ascii="宋体" w:hAnsi="宋体"/>
        </w:rPr>
        <w:t>=1</w:t>
      </w:r>
      <w:r>
        <w:rPr>
          <w:rFonts w:hint="eastAsia" w:ascii="宋体" w:hAnsi="宋体"/>
        </w:rPr>
        <w:t>；</w:t>
      </w:r>
    </w:p>
    <w:p w14:paraId="3D4723A0">
      <w:pPr>
        <w:overflowPunct w:val="0"/>
        <w:autoSpaceDE w:val="0"/>
        <w:autoSpaceDN w:val="0"/>
        <w:spacing w:line="240" w:lineRule="auto"/>
        <w:ind w:firstLine="420" w:firstLineChars="200"/>
        <w:rPr>
          <w:rFonts w:ascii="宋体" w:hAnsi="宋体"/>
        </w:rPr>
      </w:pPr>
      <w:r>
        <w:rPr>
          <w:rFonts w:ascii="宋体" w:hAnsi="宋体"/>
        </w:rPr>
        <w:t>K</w:t>
      </w:r>
      <w:r>
        <w:rPr>
          <w:rFonts w:ascii="宋体" w:hAnsi="宋体"/>
          <w:vertAlign w:val="subscript"/>
        </w:rPr>
        <w:t>N</w:t>
      </w:r>
      <w:r>
        <w:rPr>
          <w:rFonts w:hint="eastAsia"/>
          <w:spacing w:val="-20"/>
        </w:rPr>
        <w:t>——</w:t>
      </w:r>
      <w:r>
        <w:rPr>
          <w:rFonts w:ascii="宋体" w:hAnsi="宋体"/>
        </w:rPr>
        <w:t>工作损失周转（饱和）因子</w:t>
      </w:r>
      <w:r>
        <w:rPr>
          <w:rFonts w:hint="eastAsia" w:ascii="宋体" w:hAnsi="宋体"/>
        </w:rPr>
        <w:t>，</w:t>
      </w:r>
      <w:r>
        <w:rPr>
          <w:rFonts w:ascii="宋体" w:hAnsi="宋体"/>
        </w:rPr>
        <w:t>无量纲</w:t>
      </w:r>
      <w:r>
        <w:rPr>
          <w:rFonts w:hint="eastAsia" w:ascii="宋体" w:hAnsi="宋体"/>
        </w:rPr>
        <w:t>量；</w:t>
      </w:r>
      <w:r>
        <w:rPr>
          <w:rFonts w:ascii="宋体" w:hAnsi="宋体"/>
        </w:rPr>
        <w:t>当周转数＞36，K</w:t>
      </w:r>
      <w:r>
        <w:rPr>
          <w:rFonts w:ascii="宋体" w:hAnsi="宋体"/>
          <w:vertAlign w:val="subscript"/>
        </w:rPr>
        <w:t>N</w:t>
      </w:r>
      <w:r>
        <w:rPr>
          <w:rFonts w:ascii="宋体" w:hAnsi="宋体"/>
        </w:rPr>
        <w:t>=（180+N）/6N</w:t>
      </w:r>
      <w:r>
        <w:rPr>
          <w:rFonts w:hint="eastAsia" w:ascii="宋体" w:hAnsi="宋体"/>
        </w:rPr>
        <w:t>，</w:t>
      </w:r>
      <w:r>
        <w:rPr>
          <w:rFonts w:ascii="宋体" w:hAnsi="宋体"/>
        </w:rPr>
        <w:t>当周转数≤36，K</w:t>
      </w:r>
      <w:r>
        <w:rPr>
          <w:rFonts w:ascii="宋体" w:hAnsi="宋体"/>
          <w:vertAlign w:val="subscript"/>
        </w:rPr>
        <w:t>N</w:t>
      </w:r>
      <w:r>
        <w:rPr>
          <w:rFonts w:ascii="宋体" w:hAnsi="宋体"/>
        </w:rPr>
        <w:t>=1；</w:t>
      </w:r>
    </w:p>
    <w:p w14:paraId="0B5BD2FA">
      <w:pPr>
        <w:overflowPunct w:val="0"/>
        <w:autoSpaceDE w:val="0"/>
        <w:autoSpaceDN w:val="0"/>
        <w:spacing w:line="240" w:lineRule="auto"/>
        <w:ind w:firstLine="420" w:firstLineChars="200"/>
        <w:rPr>
          <w:rFonts w:ascii="宋体" w:hAnsi="宋体"/>
        </w:rPr>
      </w:pPr>
      <w:r>
        <w:rPr>
          <w:rFonts w:hint="eastAsia" w:ascii="宋体" w:hAnsi="宋体"/>
        </w:rPr>
        <w:t>R</w:t>
      </w:r>
      <w:r>
        <w:rPr>
          <w:rFonts w:hint="eastAsia"/>
          <w:spacing w:val="-20"/>
        </w:rPr>
        <w:t>——</w:t>
      </w:r>
      <w:r>
        <w:rPr>
          <w:rFonts w:hint="eastAsia" w:ascii="宋体" w:hAnsi="宋体"/>
        </w:rPr>
        <w:t>理想</w:t>
      </w:r>
      <w:r>
        <w:rPr>
          <w:rFonts w:ascii="宋体" w:hAnsi="宋体"/>
        </w:rPr>
        <w:t>气</w:t>
      </w:r>
      <w:r>
        <w:rPr>
          <w:rFonts w:hint="eastAsia" w:ascii="宋体" w:hAnsi="宋体"/>
        </w:rPr>
        <w:t>体</w:t>
      </w:r>
      <w:r>
        <w:rPr>
          <w:rFonts w:ascii="宋体" w:hAnsi="宋体"/>
        </w:rPr>
        <w:t>状态</w:t>
      </w:r>
      <w:r>
        <w:rPr>
          <w:rFonts w:hint="eastAsia" w:ascii="宋体" w:hAnsi="宋体"/>
        </w:rPr>
        <w:t>常数</w:t>
      </w:r>
      <w:r>
        <w:rPr>
          <w:rFonts w:ascii="宋体" w:hAnsi="宋体"/>
        </w:rPr>
        <w:t>，</w:t>
      </w:r>
      <w:r>
        <w:rPr>
          <w:rFonts w:hint="eastAsia" w:ascii="宋体" w:hAnsi="宋体"/>
        </w:rPr>
        <w:t>10.731磅/（磅-摩尔•英尺•兰氏度）；</w:t>
      </w:r>
    </w:p>
    <w:p w14:paraId="61E21A09">
      <w:pPr>
        <w:overflowPunct w:val="0"/>
        <w:autoSpaceDE w:val="0"/>
        <w:autoSpaceDN w:val="0"/>
        <w:spacing w:line="240" w:lineRule="auto"/>
        <w:ind w:firstLine="420" w:firstLineChars="200"/>
        <w:rPr>
          <w:rFonts w:hint="eastAsia" w:ascii="宋体" w:hAnsi="宋体"/>
        </w:rPr>
      </w:pPr>
      <w:r>
        <w:rPr>
          <w:rFonts w:hint="eastAsia" w:ascii="宋体" w:hAnsi="宋体"/>
        </w:rPr>
        <w:t>T</w:t>
      </w:r>
      <w:r>
        <w:rPr>
          <w:rFonts w:hint="eastAsia" w:ascii="宋体" w:hAnsi="宋体"/>
          <w:vertAlign w:val="subscript"/>
        </w:rPr>
        <w:t>LA</w:t>
      </w:r>
      <w:r>
        <w:rPr>
          <w:rFonts w:hint="eastAsia"/>
          <w:spacing w:val="-20"/>
        </w:rPr>
        <w:t>——</w:t>
      </w:r>
      <w:r>
        <w:rPr>
          <w:rFonts w:hint="eastAsia" w:ascii="宋体" w:hAnsi="宋体"/>
        </w:rPr>
        <w:t>日平均液体表面温度，兰氏度。</w:t>
      </w:r>
    </w:p>
    <w:p w14:paraId="6D2E8052">
      <w:pPr>
        <w:spacing w:line="240" w:lineRule="auto"/>
        <w:ind w:firstLine="420" w:firstLineChars="200"/>
        <w:rPr>
          <w:rFonts w:ascii="宋体" w:hAnsi="宋体"/>
        </w:rPr>
      </w:pPr>
      <w:r>
        <w:rPr>
          <w:rFonts w:hint="eastAsia" w:ascii="宋体" w:hAnsi="宋体"/>
          <w:i/>
        </w:rPr>
        <w:t>N</w:t>
      </w:r>
      <w:r>
        <w:rPr>
          <w:rFonts w:hint="eastAsia"/>
          <w:spacing w:val="-20"/>
        </w:rPr>
        <w:t>——</w:t>
      </w:r>
      <w:r>
        <w:rPr>
          <w:rFonts w:hint="eastAsia" w:ascii="宋体" w:hAnsi="宋体"/>
        </w:rPr>
        <w:t>年周转数量，无量纲；</w:t>
      </w:r>
    </w:p>
    <w:p w14:paraId="2BFDC9C5">
      <w:pPr>
        <w:pStyle w:val="242"/>
      </w:pPr>
      <w:r>
        <w:rPr>
          <w:rFonts w:hAnsi="宋体"/>
          <w:iCs/>
        </w:rPr>
        <w:tab/>
      </w:r>
      <m:oMath>
        <m:r>
          <m:rPr/>
          <w:rPr>
            <w:rFonts w:ascii="Cambria Math" w:hAnsi="Cambria Math"/>
          </w:rPr>
          <m:t>N</m:t>
        </m:r>
        <m:r>
          <m:rPr>
            <m:sty m:val="p"/>
          </m:rPr>
          <w:rPr>
            <w:rFonts w:ascii="Cambria Math" w:hAnsi="Cambria Math"/>
          </w:rPr>
          <m:t>=</m:t>
        </m:r>
        <m:f>
          <m:fPr>
            <m:ctrlPr>
              <w:rPr>
                <w:rFonts w:ascii="Cambria Math" w:hAnsi="Cambria Math"/>
              </w:rPr>
            </m:ctrlPr>
          </m:fPr>
          <m:num>
            <m:r>
              <m:rPr>
                <m:sty m:val="p"/>
              </m:rPr>
              <w:rPr>
                <w:rFonts w:ascii="Cambria Math" w:hAnsi="Cambria Math"/>
              </w:rPr>
              <m:t>5.614</m:t>
            </m:r>
            <m:r>
              <m:rPr/>
              <w:rPr>
                <w:rFonts w:ascii="Cambria Math" w:hAnsi="Cambria Math"/>
              </w:rPr>
              <m:t>Q</m:t>
            </m:r>
            <m:ctrlPr>
              <w:rPr>
                <w:rFonts w:ascii="Cambria Math" w:hAnsi="Cambria Math"/>
              </w:rPr>
            </m:ctrlPr>
          </m:num>
          <m:den>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LX</m:t>
                </m:r>
                <m:ctrlPr>
                  <w:rPr>
                    <w:rFonts w:ascii="Cambria Math" w:hAnsi="Cambria Math"/>
                  </w:rPr>
                </m:ctrlPr>
              </m:sub>
            </m:sSub>
            <m:ctrlPr>
              <w:rPr>
                <w:rFonts w:ascii="Cambria Math" w:hAnsi="Cambria Math"/>
              </w:rPr>
            </m:ctrlPr>
          </m:den>
        </m:f>
      </m:oMath>
      <w:r>
        <w:tab/>
      </w:r>
      <w:r>
        <w:rPr>
          <w:rFonts w:hint="eastAsia"/>
        </w:rPr>
        <w:t>(E</w:t>
      </w:r>
      <w:r>
        <w:t>.24</w:t>
      </w:r>
      <w:r>
        <w:rPr>
          <w:rFonts w:hint="eastAsia"/>
        </w:rPr>
        <w:t>)</w:t>
      </w:r>
    </w:p>
    <w:p w14:paraId="4113B458">
      <w:pPr>
        <w:overflowPunct w:val="0"/>
        <w:autoSpaceDE w:val="0"/>
        <w:autoSpaceDN w:val="0"/>
        <w:spacing w:line="240" w:lineRule="auto"/>
        <w:ind w:firstLine="420" w:firstLineChars="200"/>
        <w:rPr>
          <w:rFonts w:ascii="宋体" w:hAnsi="宋体"/>
        </w:rPr>
      </w:pPr>
      <w:r>
        <w:rPr>
          <w:rFonts w:hint="eastAsia" w:ascii="宋体" w:hAnsi="宋体"/>
        </w:rPr>
        <w:t>式中：</w:t>
      </w:r>
    </w:p>
    <w:p w14:paraId="064B0CE7">
      <w:pPr>
        <w:overflowPunct w:val="0"/>
        <w:autoSpaceDE w:val="0"/>
        <w:autoSpaceDN w:val="0"/>
        <w:spacing w:line="240" w:lineRule="auto"/>
        <w:ind w:firstLine="420" w:firstLineChars="200"/>
        <w:rPr>
          <w:rFonts w:ascii="宋体" w:hAnsi="宋体"/>
        </w:rPr>
      </w:pPr>
      <w:r>
        <w:rPr>
          <w:rFonts w:hint="eastAsia" w:ascii="宋体" w:hAnsi="宋体"/>
        </w:rPr>
        <w:t>V</w:t>
      </w:r>
      <w:r>
        <w:rPr>
          <w:rFonts w:hint="eastAsia" w:ascii="宋体" w:hAnsi="宋体"/>
          <w:vertAlign w:val="subscript"/>
        </w:rPr>
        <w:t>LX</w:t>
      </w:r>
      <w:r>
        <w:rPr>
          <w:rFonts w:hint="eastAsia"/>
          <w:spacing w:val="-20"/>
        </w:rPr>
        <w:t>——</w:t>
      </w:r>
      <w:r>
        <w:rPr>
          <w:rFonts w:hint="eastAsia" w:ascii="宋体" w:hAnsi="宋体"/>
        </w:rPr>
        <w:t>储罐的最大液体容量，立方英尺；</w:t>
      </w:r>
    </w:p>
    <w:p w14:paraId="42324755">
      <w:pPr>
        <w:overflowPunct w:val="0"/>
        <w:autoSpaceDE w:val="0"/>
        <w:autoSpaceDN w:val="0"/>
        <w:spacing w:line="240" w:lineRule="auto"/>
        <w:ind w:firstLine="420" w:firstLineChars="200"/>
        <w:rPr>
          <w:rFonts w:ascii="宋体" w:hAnsi="宋体"/>
        </w:rPr>
      </w:pPr>
      <w:r>
        <w:rPr>
          <w:rFonts w:ascii="宋体" w:hAnsi="宋体"/>
        </w:rPr>
        <w:t>K</w:t>
      </w:r>
      <w:r>
        <w:rPr>
          <w:rFonts w:ascii="宋体" w:hAnsi="宋体"/>
          <w:vertAlign w:val="subscript"/>
        </w:rPr>
        <w:t>B</w:t>
      </w:r>
      <w:bookmarkStart w:id="271" w:name="OLE_LINK48"/>
      <w:r>
        <w:rPr>
          <w:rFonts w:hint="eastAsia"/>
          <w:spacing w:val="-20"/>
        </w:rPr>
        <w:t>——</w:t>
      </w:r>
      <w:bookmarkEnd w:id="271"/>
      <w:r>
        <w:rPr>
          <w:rFonts w:ascii="宋体" w:hAnsi="宋体"/>
        </w:rPr>
        <w:t>呼吸阀工作校正因子呼吸阀工作时的校正因子，K</w:t>
      </w:r>
      <w:r>
        <w:rPr>
          <w:rFonts w:ascii="宋体" w:hAnsi="宋体"/>
          <w:vertAlign w:val="subscript"/>
        </w:rPr>
        <w:t>B</w:t>
      </w:r>
      <w:r>
        <w:rPr>
          <w:rFonts w:ascii="宋体" w:hAnsi="宋体"/>
        </w:rPr>
        <w:t>可用公式(E.25)和公式(E.26)计算：</w:t>
      </w:r>
    </w:p>
    <w:p w14:paraId="1DE76DA2">
      <w:pPr>
        <w:spacing w:line="240" w:lineRule="auto"/>
        <w:ind w:firstLine="420" w:firstLineChars="200"/>
        <w:rPr>
          <w:rFonts w:ascii="宋体" w:hAnsi="宋体"/>
        </w:rPr>
      </w:pPr>
      <w:r>
        <w:rPr>
          <w:rFonts w:hint="eastAsia" w:ascii="宋体" w:hAnsi="宋体"/>
        </w:rPr>
        <w:t>当</w:t>
      </w:r>
    </w:p>
    <w:p w14:paraId="5265ACF4">
      <w:pPr>
        <w:pStyle w:val="242"/>
      </w:pPr>
      <w:r>
        <w:rPr>
          <w:rFonts w:hAnsi="宋体"/>
        </w:rPr>
        <w:tab/>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N</m:t>
            </m:r>
            <m:ctrlPr>
              <w:rPr>
                <w:rFonts w:ascii="Cambria Math" w:hAnsi="Cambria Math"/>
              </w:rPr>
            </m:ctrlPr>
          </m:sub>
        </m:sSub>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BP</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A</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A</m:t>
                    </m:r>
                    <m:ctrlPr>
                      <w:rPr>
                        <w:rFonts w:ascii="Cambria Math" w:hAnsi="Cambria Math"/>
                      </w:rPr>
                    </m:ctrlPr>
                  </m:sub>
                </m:sSub>
                <m:ctrlPr>
                  <w:rPr>
                    <w:rFonts w:ascii="Cambria Math" w:hAnsi="Cambria Math"/>
                  </w:rPr>
                </m:ctrlPr>
              </m:den>
            </m:f>
            <m:ctrlPr>
              <w:rPr>
                <w:rFonts w:ascii="Cambria Math" w:hAnsi="Cambria Math"/>
              </w:rPr>
            </m:ctrlPr>
          </m:e>
        </m:d>
        <m:r>
          <m:rPr>
            <m:sty m:val="p"/>
          </m:rPr>
          <w:rPr>
            <w:rFonts w:ascii="Cambria Math" w:hAnsi="Cambria Math"/>
          </w:rPr>
          <m:t>&gt;1</m:t>
        </m:r>
      </m:oMath>
      <w:r>
        <w:rPr>
          <w:rFonts w:hAnsi="宋体"/>
        </w:rPr>
        <w:tab/>
      </w:r>
      <w:r>
        <w:rPr>
          <w:rFonts w:hint="eastAsia"/>
        </w:rPr>
        <w:t>(E</w:t>
      </w:r>
      <w:r>
        <w:t>.25</w:t>
      </w:r>
      <w:r>
        <w:rPr>
          <w:rFonts w:hint="eastAsia"/>
        </w:rPr>
        <w:t>)</w:t>
      </w:r>
    </w:p>
    <w:p w14:paraId="21A8E2F6">
      <w:pPr>
        <w:spacing w:line="240" w:lineRule="auto"/>
        <w:ind w:firstLine="420" w:firstLineChars="200"/>
        <w:rPr>
          <w:rFonts w:ascii="宋体" w:hAnsi="宋体"/>
        </w:rPr>
      </w:pPr>
      <w:r>
        <w:rPr>
          <w:rFonts w:hint="eastAsia" w:ascii="宋体" w:hAnsi="宋体"/>
        </w:rPr>
        <w:t>时</w:t>
      </w:r>
    </w:p>
    <w:p w14:paraId="6717B46F">
      <w:pPr>
        <w:pStyle w:val="242"/>
      </w:pPr>
      <w:r>
        <w:rPr>
          <w:rFonts w:hAnsi="宋体"/>
        </w:rPr>
        <w:tab/>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B</m:t>
            </m:r>
            <m:ctrlPr>
              <w:rPr>
                <w:rFonts w:ascii="Cambria Math" w:hAnsi="Cambria Math"/>
              </w:rPr>
            </m:ctrlP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A</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N</m:t>
                        </m:r>
                        <m:ctrlPr>
                          <w:rPr>
                            <w:rFonts w:ascii="Cambria Math" w:hAnsi="Cambria Math"/>
                          </w:rPr>
                        </m:ctrlPr>
                      </m:sub>
                    </m:sSub>
                    <m:ctrlPr>
                      <w:rPr>
                        <w:rFonts w:ascii="Cambria Math" w:hAnsi="Cambria Math"/>
                      </w:rPr>
                    </m:ctrlPr>
                  </m:den>
                </m:f>
                <m:r>
                  <m:rPr>
                    <m:sty m:val="p"/>
                  </m:rPr>
                  <w:rPr>
                    <w:rFonts w:hint="eastAsia" w:ascii="Cambria Math" w:hAnsi="Cambria Math" w:eastAsia="微软雅黑" w:cs="微软雅黑"/>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VA</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BP</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A</m:t>
                    </m:r>
                    <m:ctrlPr>
                      <w:rPr>
                        <w:rFonts w:ascii="Cambria Math" w:hAnsi="Cambria Math"/>
                      </w:rPr>
                    </m:ctrlPr>
                  </m:sub>
                </m:sSub>
                <m:r>
                  <m:rPr>
                    <m:sty m:val="p"/>
                  </m:rPr>
                  <w:rPr>
                    <w:rFonts w:hint="eastAsia" w:ascii="Cambria Math" w:hAnsi="Cambria Math" w:eastAsia="微软雅黑" w:cs="微软雅黑"/>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VA</m:t>
                    </m:r>
                    <m:ctrlPr>
                      <w:rPr>
                        <w:rFonts w:ascii="Cambria Math" w:hAnsi="Cambria Math"/>
                      </w:rPr>
                    </m:ctrlPr>
                  </m:sub>
                </m:sSub>
                <m:ctrlPr>
                  <w:rPr>
                    <w:rFonts w:ascii="Cambria Math" w:hAnsi="Cambria Math"/>
                  </w:rPr>
                </m:ctrlPr>
              </m:den>
            </m:f>
            <m:ctrlPr>
              <w:rPr>
                <w:rFonts w:ascii="Cambria Math" w:hAnsi="Cambria Math"/>
              </w:rPr>
            </m:ctrlPr>
          </m:e>
        </m:d>
      </m:oMath>
      <w:r>
        <w:rPr>
          <w:rFonts w:hAnsi="宋体"/>
        </w:rPr>
        <w:tab/>
      </w:r>
      <w:r>
        <w:rPr>
          <w:rFonts w:hint="eastAsia"/>
        </w:rPr>
        <w:t>(E</w:t>
      </w:r>
      <w:r>
        <w:t>.26</w:t>
      </w:r>
      <w:r>
        <w:rPr>
          <w:rFonts w:hint="eastAsia"/>
        </w:rPr>
        <w:t>)</w:t>
      </w:r>
    </w:p>
    <w:p w14:paraId="696D4CD4">
      <w:pPr>
        <w:overflowPunct w:val="0"/>
        <w:autoSpaceDE w:val="0"/>
        <w:autoSpaceDN w:val="0"/>
        <w:spacing w:line="240" w:lineRule="auto"/>
        <w:ind w:firstLine="420" w:firstLineChars="200"/>
        <w:rPr>
          <w:rFonts w:ascii="宋体" w:hAnsi="宋体"/>
        </w:rPr>
      </w:pPr>
      <w:r>
        <w:rPr>
          <w:rFonts w:ascii="宋体" w:hAnsi="宋体"/>
        </w:rPr>
        <w:t>式中：</w:t>
      </w:r>
    </w:p>
    <w:p w14:paraId="539D295B">
      <w:pPr>
        <w:overflowPunct w:val="0"/>
        <w:autoSpaceDE w:val="0"/>
        <w:autoSpaceDN w:val="0"/>
        <w:spacing w:line="240" w:lineRule="auto"/>
        <w:ind w:firstLine="420" w:firstLineChars="200"/>
        <w:rPr>
          <w:rFonts w:ascii="宋体" w:hAnsi="宋体"/>
        </w:rPr>
      </w:pPr>
      <w:r>
        <w:rPr>
          <w:rFonts w:ascii="宋体" w:hAnsi="宋体"/>
        </w:rPr>
        <w:t>K</w:t>
      </w:r>
      <w:r>
        <w:rPr>
          <w:rFonts w:ascii="宋体" w:hAnsi="宋体"/>
          <w:vertAlign w:val="subscript"/>
        </w:rPr>
        <w:t>B</w:t>
      </w:r>
      <w:r>
        <w:rPr>
          <w:rFonts w:hint="eastAsia"/>
          <w:spacing w:val="-20"/>
        </w:rPr>
        <w:t>——</w:t>
      </w:r>
      <w:r>
        <w:rPr>
          <w:rFonts w:ascii="宋体" w:hAnsi="宋体"/>
        </w:rPr>
        <w:t>呼吸阀校正因子，无量纲量；</w:t>
      </w:r>
    </w:p>
    <w:p w14:paraId="2150628F">
      <w:pPr>
        <w:overflowPunct w:val="0"/>
        <w:autoSpaceDE w:val="0"/>
        <w:autoSpaceDN w:val="0"/>
        <w:spacing w:line="240" w:lineRule="auto"/>
        <w:ind w:firstLine="420" w:firstLineChars="200"/>
        <w:rPr>
          <w:rFonts w:ascii="宋体" w:hAnsi="宋体"/>
        </w:rPr>
      </w:pPr>
      <w:r>
        <w:rPr>
          <w:rFonts w:ascii="宋体" w:hAnsi="宋体"/>
        </w:rPr>
        <w:t>P</w:t>
      </w:r>
      <w:r>
        <w:rPr>
          <w:rFonts w:ascii="宋体" w:hAnsi="宋体"/>
          <w:vertAlign w:val="subscript"/>
        </w:rPr>
        <w:t>I</w:t>
      </w:r>
      <w:r>
        <w:rPr>
          <w:rFonts w:hint="eastAsia"/>
          <w:spacing w:val="-20"/>
        </w:rPr>
        <w:t>——</w:t>
      </w:r>
      <w:r>
        <w:rPr>
          <w:rFonts w:ascii="宋体" w:hAnsi="宋体"/>
        </w:rPr>
        <w:t>正常工况条件下气相空间压力，磅/平方英寸（表压）；</w:t>
      </w:r>
    </w:p>
    <w:p w14:paraId="2B5E45B2">
      <w:pPr>
        <w:overflowPunct w:val="0"/>
        <w:autoSpaceDE w:val="0"/>
        <w:autoSpaceDN w:val="0"/>
        <w:spacing w:line="240" w:lineRule="auto"/>
        <w:ind w:firstLine="420" w:firstLineChars="200"/>
        <w:rPr>
          <w:rFonts w:ascii="宋体" w:hAnsi="宋体"/>
        </w:rPr>
      </w:pPr>
      <w:r>
        <w:rPr>
          <w:rFonts w:ascii="宋体" w:hAnsi="宋体"/>
        </w:rPr>
        <w:t>P</w:t>
      </w:r>
      <w:r>
        <w:rPr>
          <w:rFonts w:ascii="宋体" w:hAnsi="宋体"/>
          <w:vertAlign w:val="subscript"/>
        </w:rPr>
        <w:t>I</w:t>
      </w:r>
      <w:r>
        <w:rPr>
          <w:rFonts w:hint="eastAsia"/>
          <w:spacing w:val="-20"/>
        </w:rPr>
        <w:t>——</w:t>
      </w:r>
      <w:r>
        <w:rPr>
          <w:rFonts w:ascii="宋体" w:hAnsi="宋体"/>
        </w:rPr>
        <w:t>是一个实际压力（表压），如果处在大气压下（不是真空或处在稳定压力下），P</w:t>
      </w:r>
      <w:r>
        <w:rPr>
          <w:rFonts w:ascii="宋体" w:hAnsi="宋体"/>
          <w:vertAlign w:val="subscript"/>
        </w:rPr>
        <w:t>I</w:t>
      </w:r>
      <w:r>
        <w:rPr>
          <w:rFonts w:ascii="宋体" w:hAnsi="宋体"/>
        </w:rPr>
        <w:t>为0；</w:t>
      </w:r>
    </w:p>
    <w:p w14:paraId="3E543746">
      <w:pPr>
        <w:overflowPunct w:val="0"/>
        <w:autoSpaceDE w:val="0"/>
        <w:autoSpaceDN w:val="0"/>
        <w:spacing w:line="240" w:lineRule="auto"/>
        <w:ind w:firstLine="420" w:firstLineChars="200"/>
        <w:rPr>
          <w:rFonts w:ascii="宋体" w:hAnsi="宋体"/>
        </w:rPr>
      </w:pPr>
      <w:r>
        <w:rPr>
          <w:rFonts w:ascii="宋体" w:hAnsi="宋体"/>
        </w:rPr>
        <w:t>P</w:t>
      </w:r>
      <w:r>
        <w:rPr>
          <w:rFonts w:ascii="宋体" w:hAnsi="宋体"/>
          <w:vertAlign w:val="subscript"/>
        </w:rPr>
        <w:t>A</w:t>
      </w:r>
      <w:r>
        <w:rPr>
          <w:rFonts w:hint="eastAsia"/>
          <w:spacing w:val="-20"/>
        </w:rPr>
        <w:t>——</w:t>
      </w:r>
      <w:r>
        <w:rPr>
          <w:rFonts w:hint="eastAsia" w:ascii="宋体" w:hAnsi="宋体"/>
        </w:rPr>
        <w:t>大</w:t>
      </w:r>
      <w:r>
        <w:rPr>
          <w:rFonts w:ascii="宋体" w:hAnsi="宋体"/>
        </w:rPr>
        <w:t>气压，磅/平方英寸（绝压）；</w:t>
      </w:r>
    </w:p>
    <w:p w14:paraId="52497913">
      <w:pPr>
        <w:overflowPunct w:val="0"/>
        <w:autoSpaceDE w:val="0"/>
        <w:autoSpaceDN w:val="0"/>
        <w:spacing w:line="240" w:lineRule="auto"/>
        <w:ind w:firstLine="420" w:firstLineChars="200"/>
        <w:rPr>
          <w:rFonts w:ascii="宋体" w:hAnsi="宋体"/>
        </w:rPr>
      </w:pPr>
      <w:r>
        <w:rPr>
          <w:rFonts w:ascii="宋体" w:hAnsi="宋体"/>
        </w:rPr>
        <w:t>K</w:t>
      </w:r>
      <w:r>
        <w:rPr>
          <w:rFonts w:ascii="宋体" w:hAnsi="宋体"/>
          <w:vertAlign w:val="subscript"/>
        </w:rPr>
        <w:t>N</w:t>
      </w:r>
      <w:r>
        <w:rPr>
          <w:rFonts w:hint="eastAsia"/>
          <w:spacing w:val="-20"/>
        </w:rPr>
        <w:t>——</w:t>
      </w:r>
      <w:r>
        <w:rPr>
          <w:rFonts w:hint="eastAsia" w:ascii="宋体" w:hAnsi="宋体"/>
        </w:rPr>
        <w:t>工</w:t>
      </w:r>
      <w:r>
        <w:rPr>
          <w:rFonts w:ascii="宋体" w:hAnsi="宋体"/>
        </w:rPr>
        <w:t>作排放周转（饱和）因子，无量纲量；</w:t>
      </w:r>
    </w:p>
    <w:p w14:paraId="14AEEC07">
      <w:pPr>
        <w:overflowPunct w:val="0"/>
        <w:autoSpaceDE w:val="0"/>
        <w:autoSpaceDN w:val="0"/>
        <w:spacing w:line="240" w:lineRule="auto"/>
        <w:ind w:firstLine="420" w:firstLineChars="200"/>
        <w:rPr>
          <w:rFonts w:ascii="宋体" w:hAnsi="宋体"/>
        </w:rPr>
      </w:pPr>
      <w:r>
        <w:rPr>
          <w:rFonts w:ascii="宋体" w:hAnsi="宋体"/>
        </w:rPr>
        <w:t>P</w:t>
      </w:r>
      <w:r>
        <w:rPr>
          <w:rFonts w:ascii="宋体" w:hAnsi="宋体"/>
          <w:vertAlign w:val="subscript"/>
        </w:rPr>
        <w:t>VA</w:t>
      </w:r>
      <w:r>
        <w:rPr>
          <w:rFonts w:hint="eastAsia"/>
          <w:spacing w:val="-20"/>
        </w:rPr>
        <w:t>——</w:t>
      </w:r>
      <w:r>
        <w:rPr>
          <w:rFonts w:hint="eastAsia" w:ascii="宋体" w:hAnsi="宋体"/>
        </w:rPr>
        <w:t>日</w:t>
      </w:r>
      <w:r>
        <w:rPr>
          <w:rFonts w:ascii="宋体" w:hAnsi="宋体"/>
        </w:rPr>
        <w:t>平均液面温度下的蒸气压，磅/平方英寸（绝压）</w:t>
      </w:r>
      <w:r>
        <w:rPr>
          <w:rFonts w:hint="eastAsia" w:ascii="宋体" w:hAnsi="宋体"/>
        </w:rPr>
        <w:t>，</w:t>
      </w:r>
      <w:r>
        <w:rPr>
          <w:rFonts w:ascii="宋体" w:hAnsi="宋体"/>
        </w:rPr>
        <w:t>见公式(E.16)；</w:t>
      </w:r>
    </w:p>
    <w:p w14:paraId="1371E197">
      <w:pPr>
        <w:overflowPunct w:val="0"/>
        <w:autoSpaceDE w:val="0"/>
        <w:autoSpaceDN w:val="0"/>
        <w:spacing w:line="240" w:lineRule="auto"/>
        <w:ind w:firstLine="420" w:firstLineChars="200"/>
        <w:rPr>
          <w:rFonts w:ascii="宋体" w:hAnsi="宋体"/>
        </w:rPr>
      </w:pPr>
      <w:r>
        <w:rPr>
          <w:rFonts w:ascii="宋体" w:hAnsi="宋体"/>
        </w:rPr>
        <w:t>P</w:t>
      </w:r>
      <w:r>
        <w:rPr>
          <w:rFonts w:ascii="宋体" w:hAnsi="宋体"/>
          <w:vertAlign w:val="subscript"/>
        </w:rPr>
        <w:t>BP</w:t>
      </w:r>
      <w:r>
        <w:rPr>
          <w:rFonts w:hint="eastAsia"/>
          <w:spacing w:val="-20"/>
        </w:rPr>
        <w:t>——</w:t>
      </w:r>
      <w:r>
        <w:rPr>
          <w:rFonts w:ascii="宋体" w:hAnsi="宋体"/>
        </w:rPr>
        <w:t>吸阀压力设定，磅/平方英寸（表压）。</w:t>
      </w:r>
    </w:p>
    <w:p w14:paraId="12E81A7A">
      <w:pPr>
        <w:pStyle w:val="82"/>
        <w:numPr>
          <w:ilvl w:val="0"/>
          <w:numId w:val="0"/>
        </w:numPr>
        <w:spacing w:before="120" w:after="120"/>
        <w:jc w:val="left"/>
        <w:rPr>
          <w:rFonts w:hint="eastAsia"/>
        </w:rPr>
      </w:pPr>
      <w:bookmarkStart w:id="272" w:name="_Toc170497030"/>
      <w:r>
        <w:t>E.</w:t>
      </w:r>
      <w:r>
        <w:rPr>
          <w:rFonts w:hint="eastAsia"/>
        </w:rPr>
        <w:t>2 浮顶罐V</w:t>
      </w:r>
      <w:r>
        <w:t>OCs</w:t>
      </w:r>
      <w:r>
        <w:rPr>
          <w:rFonts w:hint="eastAsia"/>
        </w:rPr>
        <w:t>产生量的计算</w:t>
      </w:r>
      <w:bookmarkEnd w:id="272"/>
    </w:p>
    <w:p w14:paraId="6D4C6BC5">
      <w:pPr>
        <w:pStyle w:val="60"/>
        <w:ind w:firstLine="420"/>
      </w:pPr>
      <w:r>
        <w:rPr>
          <w:rFonts w:hint="eastAsia"/>
        </w:rPr>
        <w:t>浮顶罐的总损失是边缘密封、出料挂壁、浮盘附件和浮盘缝隙损失的总和，计算式见公式</w:t>
      </w:r>
      <w:r>
        <w:t>(E.27)</w:t>
      </w:r>
      <w:r>
        <w:rPr>
          <w:rFonts w:hint="eastAsia"/>
        </w:rPr>
        <w:t>。但密闭的内浮顶罐或穹顶外浮顶罐（只通过压力/真空阀排气的储罐），或边缘使用了密封材料封闭或浮盘附件已老化或被储料浸渍的情况不适用。</w:t>
      </w:r>
    </w:p>
    <w:p w14:paraId="27CF6046">
      <w:pPr>
        <w:pStyle w:val="242"/>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浮</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WD</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F</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D</m:t>
            </m:r>
            <m:ctrlPr>
              <w:rPr>
                <w:rFonts w:ascii="Cambria Math" w:hAnsi="Cambria Math"/>
              </w:rPr>
            </m:ctrlPr>
          </m:sub>
        </m:sSub>
      </m:oMath>
      <w:r>
        <w:tab/>
      </w:r>
      <w:r>
        <w:rPr>
          <w:rFonts w:hint="eastAsia"/>
        </w:rPr>
        <w:t>(E</w:t>
      </w:r>
      <w:r>
        <w:t>.27</w:t>
      </w:r>
      <w:r>
        <w:rPr>
          <w:rFonts w:hint="eastAsia"/>
        </w:rPr>
        <w:t>)</w:t>
      </w:r>
    </w:p>
    <w:p w14:paraId="4DB3FB3C">
      <w:pPr>
        <w:pStyle w:val="60"/>
        <w:ind w:firstLine="420"/>
      </w:pPr>
      <w:r>
        <w:rPr>
          <w:rFonts w:hint="eastAsia"/>
        </w:rPr>
        <w:t>式中：</w:t>
      </w:r>
    </w:p>
    <w:p w14:paraId="435B00F4">
      <w:pPr>
        <w:pStyle w:val="60"/>
        <w:ind w:firstLine="420"/>
      </w:pPr>
      <w:r>
        <w:rPr>
          <w:rFonts w:hint="eastAsia"/>
        </w:rPr>
        <w:t>E</w:t>
      </w:r>
      <w:r>
        <w:rPr>
          <w:rFonts w:hint="eastAsia"/>
          <w:vertAlign w:val="subscript"/>
        </w:rPr>
        <w:t>浮</w:t>
      </w:r>
      <w:r>
        <w:rPr>
          <w:rFonts w:hint="eastAsia"/>
          <w:spacing w:val="-20"/>
        </w:rPr>
        <w:t>——</w:t>
      </w:r>
      <w:r>
        <w:rPr>
          <w:rFonts w:hint="eastAsia"/>
        </w:rPr>
        <w:t>为统计期内浮顶罐总损失，磅；</w:t>
      </w:r>
    </w:p>
    <w:p w14:paraId="0900156E">
      <w:pPr>
        <w:pStyle w:val="60"/>
        <w:ind w:firstLine="420"/>
      </w:pPr>
      <w:r>
        <w:rPr>
          <w:rFonts w:hint="eastAsia"/>
        </w:rPr>
        <w:t>E</w:t>
      </w:r>
      <w:r>
        <w:rPr>
          <w:rFonts w:hint="eastAsia"/>
          <w:vertAlign w:val="subscript"/>
        </w:rPr>
        <w:t>R</w:t>
      </w:r>
      <w:r>
        <w:rPr>
          <w:rFonts w:hint="eastAsia"/>
          <w:spacing w:val="-20"/>
        </w:rPr>
        <w:t>——</w:t>
      </w:r>
      <w:r>
        <w:rPr>
          <w:rFonts w:hint="eastAsia"/>
        </w:rPr>
        <w:t>统计期内边缘密封损失，磅；</w:t>
      </w:r>
    </w:p>
    <w:p w14:paraId="541C47A9">
      <w:pPr>
        <w:pStyle w:val="60"/>
        <w:ind w:firstLine="420"/>
      </w:pPr>
      <w:r>
        <w:rPr>
          <w:rFonts w:hint="eastAsia"/>
        </w:rPr>
        <w:t>E</w:t>
      </w:r>
      <w:r>
        <w:rPr>
          <w:rFonts w:hint="eastAsia"/>
          <w:vertAlign w:val="subscript"/>
        </w:rPr>
        <w:t>WD</w:t>
      </w:r>
      <w:r>
        <w:rPr>
          <w:rFonts w:hint="eastAsia"/>
          <w:spacing w:val="-20"/>
        </w:rPr>
        <w:t>——</w:t>
      </w:r>
      <w:r>
        <w:rPr>
          <w:rFonts w:hint="eastAsia"/>
        </w:rPr>
        <w:t>统计期内挂壁损失，磅；</w:t>
      </w:r>
    </w:p>
    <w:p w14:paraId="6CA121F0">
      <w:pPr>
        <w:pStyle w:val="60"/>
        <w:ind w:firstLine="420"/>
      </w:pPr>
      <w:r>
        <w:rPr>
          <w:rFonts w:hint="eastAsia"/>
        </w:rPr>
        <w:t>E</w:t>
      </w:r>
      <w:r>
        <w:rPr>
          <w:rFonts w:hint="eastAsia"/>
          <w:vertAlign w:val="subscript"/>
        </w:rPr>
        <w:t>F</w:t>
      </w:r>
      <w:r>
        <w:rPr>
          <w:rFonts w:hint="eastAsia"/>
          <w:spacing w:val="-20"/>
        </w:rPr>
        <w:t>——</w:t>
      </w:r>
      <w:r>
        <w:rPr>
          <w:rFonts w:hint="eastAsia"/>
        </w:rPr>
        <w:t>统计期内浮盘附件损失，磅；</w:t>
      </w:r>
    </w:p>
    <w:p w14:paraId="59AD3312">
      <w:pPr>
        <w:pStyle w:val="60"/>
        <w:ind w:firstLine="420"/>
      </w:pPr>
      <w:r>
        <w:rPr>
          <w:rFonts w:hint="eastAsia"/>
        </w:rPr>
        <w:t>E</w:t>
      </w:r>
      <w:r>
        <w:rPr>
          <w:rFonts w:hint="eastAsia"/>
          <w:vertAlign w:val="subscript"/>
        </w:rPr>
        <w:t>D</w:t>
      </w:r>
      <w:r>
        <w:rPr>
          <w:rFonts w:hint="eastAsia"/>
          <w:spacing w:val="-20"/>
        </w:rPr>
        <w:t>——</w:t>
      </w:r>
      <w:r>
        <w:rPr>
          <w:rFonts w:hint="eastAsia"/>
        </w:rPr>
        <w:t>浮盘缝隙损失（只限螺栓连接式的浮盘或浮顶），磅。</w:t>
      </w:r>
    </w:p>
    <w:p w14:paraId="648D2AFB">
      <w:pPr>
        <w:pStyle w:val="60"/>
        <w:ind w:firstLine="420"/>
      </w:pPr>
      <w:r>
        <w:rPr>
          <w:rFonts w:hint="eastAsia"/>
        </w:rPr>
        <w:t>1）边缘密封损失E</w:t>
      </w:r>
      <w:r>
        <w:rPr>
          <w:rFonts w:hint="eastAsia"/>
          <w:vertAlign w:val="subscript"/>
        </w:rPr>
        <w:t>R</w:t>
      </w:r>
      <w:r>
        <w:rPr>
          <w:rFonts w:hint="eastAsia"/>
        </w:rPr>
        <w:t>计算</w:t>
      </w:r>
    </w:p>
    <w:p w14:paraId="16B6B92D">
      <w:pPr>
        <w:pStyle w:val="242"/>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Ra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Rb</m:t>
                </m:r>
                <m:ctrlPr>
                  <w:rPr>
                    <w:rFonts w:ascii="Cambria Math" w:hAnsi="Cambria Math"/>
                  </w:rPr>
                </m:ctrlPr>
              </m:sub>
            </m:sSub>
            <m:sSup>
              <m:sSupPr>
                <m:ctrlPr>
                  <w:rPr>
                    <w:rFonts w:ascii="Cambria Math" w:hAnsi="Cambria Math"/>
                  </w:rPr>
                </m:ctrlPr>
              </m:sSupPr>
              <m:e>
                <m:r>
                  <m:rPr/>
                  <w:rPr>
                    <w:rFonts w:ascii="Cambria Math" w:hAnsi="Cambria Math"/>
                  </w:rPr>
                  <m:t>v</m:t>
                </m:r>
                <m:ctrlPr>
                  <w:rPr>
                    <w:rFonts w:ascii="Cambria Math" w:hAnsi="Cambria Math"/>
                  </w:rPr>
                </m:ctrlPr>
              </m:e>
              <m:sup>
                <m:r>
                  <m:rPr/>
                  <w:rPr>
                    <w:rFonts w:ascii="Cambria Math" w:hAnsi="Cambria Math"/>
                  </w:rPr>
                  <m:t>n</m:t>
                </m:r>
                <m:ctrlPr>
                  <w:rPr>
                    <w:rFonts w:ascii="Cambria Math" w:hAnsi="Cambria Math"/>
                  </w:rPr>
                </m:ctrlPr>
              </m:sup>
            </m:sSup>
            <m:ctrlPr>
              <w:rPr>
                <w:rFonts w:ascii="Cambria Math" w:hAnsi="Cambria Math"/>
              </w:rPr>
            </m:ctrlPr>
          </m:e>
        </m:d>
        <m:r>
          <m:rPr/>
          <w:rPr>
            <w:rFonts w:ascii="Cambria Math" w:hAnsi="Cambria Math"/>
          </w:rPr>
          <m:t>DP</m:t>
        </m:r>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V</m:t>
            </m:r>
            <m:ctrlPr>
              <w:rPr>
                <w:rFonts w:ascii="Cambria Math" w:hAnsi="Cambria Math"/>
              </w:rPr>
            </m:ctrlPr>
          </m:sub>
        </m:sSub>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C</m:t>
            </m:r>
            <m:ctrlPr>
              <w:rPr>
                <w:rFonts w:ascii="Cambria Math" w:hAnsi="Cambria Math"/>
              </w:rPr>
            </m:ctrlPr>
          </m:sub>
        </m:sSub>
      </m:oMath>
      <w:r>
        <w:tab/>
      </w:r>
      <w:r>
        <w:rPr>
          <w:rFonts w:hint="eastAsia"/>
        </w:rPr>
        <w:t>(E</w:t>
      </w:r>
      <w:r>
        <w:t>.28</w:t>
      </w:r>
      <w:r>
        <w:rPr>
          <w:rFonts w:hint="eastAsia"/>
        </w:rPr>
        <w:t>)</w:t>
      </w:r>
    </w:p>
    <w:p w14:paraId="31586A8A">
      <w:pPr>
        <w:pStyle w:val="60"/>
        <w:ind w:firstLine="420"/>
      </w:pPr>
      <w:r>
        <w:rPr>
          <w:rFonts w:hint="eastAsia"/>
        </w:rPr>
        <w:t>式中：</w:t>
      </w:r>
    </w:p>
    <w:p w14:paraId="6DE18134">
      <w:pPr>
        <w:pStyle w:val="60"/>
        <w:ind w:firstLine="420"/>
      </w:pPr>
      <w:r>
        <w:rPr>
          <w:rFonts w:hint="eastAsia"/>
        </w:rPr>
        <w:t>E</w:t>
      </w:r>
      <w:r>
        <w:rPr>
          <w:rFonts w:hint="eastAsia"/>
          <w:vertAlign w:val="subscript"/>
        </w:rPr>
        <w:t>R</w:t>
      </w:r>
      <w:r>
        <w:rPr>
          <w:rFonts w:hint="eastAsia"/>
          <w:spacing w:val="-20"/>
        </w:rPr>
        <w:t>——</w:t>
      </w:r>
      <w:r>
        <w:rPr>
          <w:rFonts w:hint="eastAsia"/>
        </w:rPr>
        <w:t>统计期内边缘密封损失，磅；</w:t>
      </w:r>
    </w:p>
    <w:p w14:paraId="0222768B">
      <w:pPr>
        <w:pStyle w:val="60"/>
        <w:ind w:firstLine="420"/>
      </w:pPr>
      <w:r>
        <w:rPr>
          <w:rFonts w:hint="eastAsia"/>
        </w:rPr>
        <w:t>K</w:t>
      </w:r>
      <w:r>
        <w:rPr>
          <w:rFonts w:hint="eastAsia"/>
          <w:vertAlign w:val="subscript"/>
        </w:rPr>
        <w:t>Ra</w:t>
      </w:r>
      <w:r>
        <w:rPr>
          <w:rFonts w:hint="eastAsia"/>
          <w:spacing w:val="-20"/>
        </w:rPr>
        <w:t>——</w:t>
      </w:r>
      <w:r>
        <w:rPr>
          <w:rFonts w:hint="eastAsia"/>
        </w:rPr>
        <w:t>零风速边缘密封损失因子，磅-摩尔/英尺•年，见表</w:t>
      </w:r>
      <w:r>
        <w:t>E.</w:t>
      </w:r>
      <w:r>
        <w:rPr>
          <w:rFonts w:hint="eastAsia"/>
        </w:rPr>
        <w:t>3；</w:t>
      </w:r>
    </w:p>
    <w:p w14:paraId="7936B8DC">
      <w:pPr>
        <w:pStyle w:val="60"/>
        <w:ind w:firstLine="420"/>
      </w:pPr>
      <w:r>
        <w:rPr>
          <w:rFonts w:hint="eastAsia"/>
        </w:rPr>
        <w:t>K</w:t>
      </w:r>
      <w:r>
        <w:rPr>
          <w:rFonts w:hint="eastAsia"/>
          <w:vertAlign w:val="subscript"/>
        </w:rPr>
        <w:t>Rb</w:t>
      </w:r>
      <w:r>
        <w:rPr>
          <w:rFonts w:hint="eastAsia"/>
          <w:spacing w:val="-20"/>
        </w:rPr>
        <w:t>——</w:t>
      </w:r>
      <w:r>
        <w:rPr>
          <w:rFonts w:hint="eastAsia"/>
        </w:rPr>
        <w:t>有风时边缘密封损失因子，磅-摩尔/（迈n•英尺•年），见表</w:t>
      </w:r>
      <w:r>
        <w:t>E.3</w:t>
      </w:r>
      <w:r>
        <w:rPr>
          <w:rFonts w:hint="eastAsia"/>
        </w:rPr>
        <w:t>；</w:t>
      </w:r>
    </w:p>
    <w:p w14:paraId="616CD3A7">
      <w:pPr>
        <w:pStyle w:val="60"/>
        <w:ind w:firstLine="420"/>
      </w:pPr>
      <w:r>
        <w:rPr>
          <w:rFonts w:hint="eastAsia"/>
        </w:rPr>
        <w:t>v</w:t>
      </w:r>
      <w:bookmarkStart w:id="273" w:name="OLE_LINK49"/>
      <w:r>
        <w:rPr>
          <w:rFonts w:hint="eastAsia"/>
          <w:spacing w:val="-20"/>
        </w:rPr>
        <w:t>——</w:t>
      </w:r>
      <w:bookmarkEnd w:id="273"/>
      <w:r>
        <w:rPr>
          <w:rFonts w:hint="eastAsia"/>
        </w:rPr>
        <w:t>罐点平均环境风速，迈；n为密封相关风速指数，无量纲量，见表</w:t>
      </w:r>
      <w:r>
        <w:t>E.3</w:t>
      </w:r>
      <w:r>
        <w:rPr>
          <w:rFonts w:hint="eastAsia"/>
        </w:rPr>
        <w:t>；</w:t>
      </w:r>
    </w:p>
    <w:p w14:paraId="2646D033">
      <w:pPr>
        <w:pStyle w:val="60"/>
        <w:ind w:firstLine="420"/>
      </w:pPr>
      <w:r>
        <w:rPr>
          <w:rFonts w:hint="eastAsia"/>
        </w:rPr>
        <w:t>D</w:t>
      </w:r>
      <w:r>
        <w:rPr>
          <w:rFonts w:hint="eastAsia"/>
          <w:spacing w:val="-20"/>
        </w:rPr>
        <w:t>——</w:t>
      </w:r>
      <w:r>
        <w:rPr>
          <w:rFonts w:hint="eastAsia"/>
        </w:rPr>
        <w:t>罐体直径，英尺；</w:t>
      </w:r>
    </w:p>
    <w:p w14:paraId="262AD612">
      <w:pPr>
        <w:pStyle w:val="60"/>
        <w:ind w:firstLine="420"/>
      </w:pPr>
      <w:r>
        <w:rPr>
          <w:rFonts w:hint="eastAsia"/>
        </w:rPr>
        <w:t>M</w:t>
      </w:r>
      <w:r>
        <w:rPr>
          <w:rFonts w:hint="eastAsia"/>
          <w:vertAlign w:val="subscript"/>
        </w:rPr>
        <w:t>V</w:t>
      </w:r>
      <w:r>
        <w:rPr>
          <w:rFonts w:hint="eastAsia"/>
          <w:spacing w:val="-20"/>
        </w:rPr>
        <w:t>——</w:t>
      </w:r>
      <w:r>
        <w:rPr>
          <w:rFonts w:hint="eastAsia"/>
        </w:rPr>
        <w:t>气相分子质量，磅/磅-摩尔；</w:t>
      </w:r>
    </w:p>
    <w:p w14:paraId="0251846F">
      <w:pPr>
        <w:pStyle w:val="60"/>
        <w:ind w:firstLine="420"/>
      </w:pPr>
      <w:r>
        <w:rPr>
          <w:rFonts w:hint="eastAsia"/>
        </w:rPr>
        <w:t>K</w:t>
      </w:r>
      <w:r>
        <w:rPr>
          <w:rFonts w:hint="eastAsia"/>
          <w:vertAlign w:val="subscript"/>
        </w:rPr>
        <w:t>C</w:t>
      </w:r>
      <w:r>
        <w:rPr>
          <w:rFonts w:hint="eastAsia"/>
          <w:spacing w:val="-20"/>
        </w:rPr>
        <w:t>——</w:t>
      </w:r>
      <w:r>
        <w:rPr>
          <w:rFonts w:hint="eastAsia"/>
        </w:rPr>
        <w:t>产品因子，原油0.4，其它挥发性有机液体为1；</w:t>
      </w:r>
    </w:p>
    <w:p w14:paraId="7AEAAC97">
      <w:pPr>
        <w:pStyle w:val="60"/>
        <w:ind w:firstLine="420"/>
      </w:pPr>
      <w:r>
        <w:rPr>
          <w:rFonts w:hint="eastAsia"/>
        </w:rPr>
        <w:t>P</w:t>
      </w:r>
      <w:r>
        <w:rPr>
          <w:rFonts w:hint="eastAsia"/>
          <w:vertAlign w:val="superscript"/>
        </w:rPr>
        <w:t>*</w:t>
      </w:r>
      <w:r>
        <w:rPr>
          <w:rFonts w:hint="eastAsia"/>
          <w:spacing w:val="-20"/>
        </w:rPr>
        <w:t>——</w:t>
      </w:r>
      <w:r>
        <w:rPr>
          <w:rFonts w:hint="eastAsia"/>
        </w:rPr>
        <w:t>蒸气压函数，无量纲量；</w:t>
      </w:r>
    </w:p>
    <w:p w14:paraId="17EC145E">
      <w:pPr>
        <w:pStyle w:val="242"/>
      </w:pPr>
      <w:r>
        <w:tab/>
      </w:r>
      <m:oMath>
        <m:sSup>
          <m:sSupPr>
            <m:ctrlPr>
              <w:rPr>
                <w:rFonts w:ascii="Cambria Math" w:hAnsi="Cambria Math"/>
              </w:rPr>
            </m:ctrlPr>
          </m:sSupPr>
          <m:e>
            <m:r>
              <m:rPr/>
              <w:rPr>
                <w:rFonts w:ascii="Cambria Math" w:hAnsi="Cambria Math"/>
              </w:rPr>
              <m:t>P</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VA</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A</m:t>
                    </m:r>
                    <m:ctrlPr>
                      <w:rPr>
                        <w:rFonts w:ascii="Cambria Math" w:hAnsi="Cambria Math"/>
                      </w:rPr>
                    </m:ctrlPr>
                  </m:sub>
                </m:sSub>
                <m:ctrlPr>
                  <w:rPr>
                    <w:rFonts w:ascii="Cambria Math" w:hAnsi="Cambria Math"/>
                  </w:rPr>
                </m:ctrlPr>
              </m:den>
            </m:f>
            <m:ctrlPr>
              <w:rPr>
                <w:rFonts w:ascii="Cambria Math" w:hAnsi="Cambria Math"/>
              </w:rPr>
            </m:ctrlPr>
          </m:num>
          <m:den>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1+</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VA</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A</m:t>
                                    </m:r>
                                    <m:ctrlPr>
                                      <w:rPr>
                                        <w:rFonts w:ascii="Cambria Math" w:hAnsi="Cambria Math"/>
                                      </w:rPr>
                                    </m:ctrlPr>
                                  </m:sub>
                                </m:sSub>
                                <m:ctrlPr>
                                  <w:rPr>
                                    <w:rFonts w:ascii="Cambria Math" w:hAnsi="Cambria Math"/>
                                  </w:rPr>
                                </m:ctrlPr>
                              </m:den>
                            </m:f>
                            <m:ctrlPr>
                              <w:rPr>
                                <w:rFonts w:ascii="Cambria Math" w:hAnsi="Cambria Math"/>
                              </w:rPr>
                            </m:ctrlPr>
                          </m:e>
                        </m:d>
                        <m:ctrlPr>
                          <w:rPr>
                            <w:rFonts w:ascii="Cambria Math" w:hAnsi="Cambria Math"/>
                          </w:rPr>
                        </m:ctrlPr>
                      </m:e>
                      <m:sup>
                        <m:r>
                          <m:rPr>
                            <m:sty m:val="p"/>
                          </m:rPr>
                          <w:rPr>
                            <w:rFonts w:ascii="Cambria Math" w:hAnsi="Cambria Math"/>
                          </w:rPr>
                          <m:t>0.5</m:t>
                        </m:r>
                        <m:ctrlPr>
                          <w:rPr>
                            <w:rFonts w:ascii="Cambria Math" w:hAnsi="Cambria Math"/>
                          </w:rPr>
                        </m:ctrlPr>
                      </m:sup>
                    </m:sSup>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den>
        </m:f>
      </m:oMath>
      <w:r>
        <w:tab/>
      </w:r>
      <w:r>
        <w:rPr>
          <w:rFonts w:hint="eastAsia"/>
        </w:rPr>
        <w:t>(E</w:t>
      </w:r>
      <w:r>
        <w:t>.29</w:t>
      </w:r>
      <w:r>
        <w:rPr>
          <w:rFonts w:hint="eastAsia"/>
        </w:rPr>
        <w:t>)</w:t>
      </w:r>
    </w:p>
    <w:p w14:paraId="58D8A4F9">
      <w:pPr>
        <w:pStyle w:val="60"/>
        <w:ind w:firstLine="420"/>
      </w:pPr>
      <w:r>
        <w:rPr>
          <w:rFonts w:hint="eastAsia"/>
        </w:rPr>
        <w:t>式中：</w:t>
      </w:r>
    </w:p>
    <w:p w14:paraId="05B490EE">
      <w:pPr>
        <w:pStyle w:val="60"/>
        <w:ind w:firstLine="420"/>
      </w:pPr>
      <w:r>
        <w:rPr>
          <w:rFonts w:hint="eastAsia"/>
        </w:rPr>
        <w:t>P</w:t>
      </w:r>
      <w:r>
        <w:rPr>
          <w:rFonts w:hint="eastAsia"/>
          <w:vertAlign w:val="subscript"/>
        </w:rPr>
        <w:t>VA</w:t>
      </w:r>
      <w:r>
        <w:rPr>
          <w:rFonts w:hint="eastAsia"/>
          <w:spacing w:val="-20"/>
        </w:rPr>
        <w:t>——</w:t>
      </w:r>
      <w:r>
        <w:rPr>
          <w:rFonts w:hint="eastAsia"/>
        </w:rPr>
        <w:t>平均液体表面蒸气压，磅/平方英寸（绝压），见公式</w:t>
      </w:r>
      <w:r>
        <w:t>(E.16)</w:t>
      </w:r>
      <w:r>
        <w:rPr>
          <w:rFonts w:hint="eastAsia"/>
        </w:rPr>
        <w:t>；</w:t>
      </w:r>
    </w:p>
    <w:p w14:paraId="56D62932">
      <w:pPr>
        <w:pStyle w:val="60"/>
        <w:ind w:firstLine="420"/>
      </w:pPr>
      <w:r>
        <w:rPr>
          <w:rFonts w:hint="eastAsia"/>
        </w:rPr>
        <w:t>P</w:t>
      </w:r>
      <w:r>
        <w:rPr>
          <w:rFonts w:hint="eastAsia"/>
          <w:vertAlign w:val="subscript"/>
        </w:rPr>
        <w:t>A</w:t>
      </w:r>
      <w:bookmarkStart w:id="274" w:name="OLE_LINK50"/>
      <w:r>
        <w:rPr>
          <w:rFonts w:hint="eastAsia"/>
          <w:spacing w:val="-20"/>
        </w:rPr>
        <w:t>——</w:t>
      </w:r>
      <w:bookmarkEnd w:id="274"/>
      <w:r>
        <w:rPr>
          <w:rFonts w:hint="eastAsia"/>
        </w:rPr>
        <w:t>大气压，磅/平方英寸（绝压）。</w:t>
      </w:r>
    </w:p>
    <w:p w14:paraId="70F75534">
      <w:pPr>
        <w:pStyle w:val="60"/>
        <w:ind w:firstLine="420"/>
        <w:jc w:val="center"/>
      </w:pPr>
      <w:r>
        <w:rPr>
          <w:rFonts w:hint="eastAsia"/>
        </w:rPr>
        <w:t>表</w:t>
      </w:r>
      <w:r>
        <w:t>E.3</w:t>
      </w:r>
      <w:r>
        <w:rPr>
          <w:rFonts w:hint="eastAsia"/>
        </w:rPr>
        <w:t xml:space="preserve"> 浮顶罐边缘密封损失因子</w:t>
      </w:r>
    </w:p>
    <w:tbl>
      <w:tblPr>
        <w:tblStyle w:val="29"/>
        <w:tblW w:w="8080"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1276"/>
        <w:gridCol w:w="2339"/>
        <w:gridCol w:w="2622"/>
        <w:gridCol w:w="709"/>
      </w:tblGrid>
      <w:tr w14:paraId="21A4AAE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blHeader/>
          <w:jc w:val="center"/>
        </w:trPr>
        <w:tc>
          <w:tcPr>
            <w:tcW w:w="1134" w:type="dxa"/>
            <w:tcBorders>
              <w:bottom w:val="single" w:color="auto" w:sz="12" w:space="0"/>
            </w:tcBorders>
            <w:vAlign w:val="center"/>
          </w:tcPr>
          <w:p w14:paraId="5B8C9743">
            <w:pPr>
              <w:snapToGrid w:val="0"/>
              <w:spacing w:line="240" w:lineRule="auto"/>
              <w:jc w:val="center"/>
              <w:rPr>
                <w:rFonts w:ascii="Times New Roman" w:hAnsi="Times New Roman"/>
              </w:rPr>
            </w:pPr>
            <w:r>
              <w:rPr>
                <w:rFonts w:ascii="Times New Roman" w:hAnsi="Times New Roman"/>
              </w:rPr>
              <w:t>罐体类型</w:t>
            </w:r>
          </w:p>
        </w:tc>
        <w:tc>
          <w:tcPr>
            <w:tcW w:w="1276" w:type="dxa"/>
            <w:tcBorders>
              <w:bottom w:val="single" w:color="auto" w:sz="12" w:space="0"/>
            </w:tcBorders>
            <w:vAlign w:val="center"/>
          </w:tcPr>
          <w:p w14:paraId="3B93CA6B">
            <w:pPr>
              <w:snapToGrid w:val="0"/>
              <w:spacing w:line="240" w:lineRule="auto"/>
              <w:jc w:val="center"/>
              <w:rPr>
                <w:rFonts w:ascii="Times New Roman" w:hAnsi="Times New Roman"/>
              </w:rPr>
            </w:pPr>
            <w:r>
              <w:rPr>
                <w:rFonts w:ascii="Times New Roman" w:hAnsi="Times New Roman"/>
              </w:rPr>
              <w:t>密封</w:t>
            </w:r>
          </w:p>
        </w:tc>
        <w:tc>
          <w:tcPr>
            <w:tcW w:w="2339" w:type="dxa"/>
            <w:tcBorders>
              <w:bottom w:val="single" w:color="auto" w:sz="12" w:space="0"/>
            </w:tcBorders>
            <w:vAlign w:val="center"/>
          </w:tcPr>
          <w:p w14:paraId="2FC945FC">
            <w:pPr>
              <w:snapToGrid w:val="0"/>
              <w:spacing w:line="240" w:lineRule="auto"/>
              <w:jc w:val="center"/>
              <w:rPr>
                <w:rFonts w:ascii="Times New Roman" w:hAnsi="Times New Roman"/>
                <w:vertAlign w:val="subscript"/>
              </w:rPr>
            </w:pPr>
            <w:r>
              <w:rPr>
                <w:rFonts w:ascii="Times New Roman" w:hAnsi="Times New Roman"/>
              </w:rPr>
              <w:t>K</w:t>
            </w:r>
            <w:r>
              <w:rPr>
                <w:rFonts w:ascii="Times New Roman" w:hAnsi="Times New Roman"/>
                <w:i/>
                <w:vertAlign w:val="subscript"/>
              </w:rPr>
              <w:t>Ra</w:t>
            </w:r>
          </w:p>
          <w:p w14:paraId="578EA997">
            <w:pPr>
              <w:snapToGrid w:val="0"/>
              <w:spacing w:line="240" w:lineRule="auto"/>
              <w:jc w:val="center"/>
              <w:rPr>
                <w:rFonts w:ascii="Times New Roman" w:hAnsi="Times New Roman"/>
              </w:rPr>
            </w:pPr>
            <w:r>
              <w:rPr>
                <w:rFonts w:ascii="Times New Roman" w:hAnsi="Times New Roman"/>
              </w:rPr>
              <w:t>（磅-摩尔/英尺·年）</w:t>
            </w:r>
          </w:p>
        </w:tc>
        <w:tc>
          <w:tcPr>
            <w:tcW w:w="2622" w:type="dxa"/>
            <w:tcBorders>
              <w:bottom w:val="single" w:color="auto" w:sz="12" w:space="0"/>
            </w:tcBorders>
            <w:vAlign w:val="center"/>
          </w:tcPr>
          <w:p w14:paraId="170CE5EB">
            <w:pPr>
              <w:snapToGrid w:val="0"/>
              <w:spacing w:line="240" w:lineRule="auto"/>
              <w:jc w:val="center"/>
              <w:rPr>
                <w:rFonts w:ascii="Times New Roman" w:hAnsi="Times New Roman"/>
                <w:vertAlign w:val="subscript"/>
              </w:rPr>
            </w:pPr>
            <w:r>
              <w:rPr>
                <w:rFonts w:ascii="Times New Roman" w:hAnsi="Times New Roman"/>
              </w:rPr>
              <w:t>K</w:t>
            </w:r>
            <w:r>
              <w:rPr>
                <w:rFonts w:ascii="Times New Roman" w:hAnsi="Times New Roman"/>
                <w:i/>
                <w:vertAlign w:val="subscript"/>
              </w:rPr>
              <w:t>Rb</w:t>
            </w:r>
          </w:p>
          <w:p w14:paraId="64DD169A">
            <w:pPr>
              <w:snapToGrid w:val="0"/>
              <w:spacing w:line="240" w:lineRule="auto"/>
              <w:jc w:val="center"/>
              <w:rPr>
                <w:rFonts w:ascii="Times New Roman" w:hAnsi="Times New Roman"/>
              </w:rPr>
            </w:pPr>
            <w:r>
              <w:rPr>
                <w:rFonts w:ascii="Times New Roman" w:hAnsi="Times New Roman"/>
              </w:rPr>
              <w:t>磅-摩尔/（迈</w:t>
            </w:r>
            <w:r>
              <w:rPr>
                <w:rFonts w:ascii="Times New Roman" w:hAnsi="Times New Roman"/>
                <w:vertAlign w:val="superscript"/>
              </w:rPr>
              <w:t>n</w:t>
            </w:r>
            <w:r>
              <w:rPr>
                <w:rFonts w:ascii="Times New Roman" w:hAnsi="Times New Roman"/>
              </w:rPr>
              <w:t xml:space="preserve"> •英尺•年）</w:t>
            </w:r>
          </w:p>
        </w:tc>
        <w:tc>
          <w:tcPr>
            <w:tcW w:w="709" w:type="dxa"/>
            <w:tcBorders>
              <w:bottom w:val="single" w:color="auto" w:sz="12" w:space="0"/>
            </w:tcBorders>
            <w:vAlign w:val="center"/>
          </w:tcPr>
          <w:p w14:paraId="10B8EE8F">
            <w:pPr>
              <w:snapToGrid w:val="0"/>
              <w:spacing w:line="240" w:lineRule="auto"/>
              <w:jc w:val="center"/>
              <w:rPr>
                <w:rFonts w:ascii="Times New Roman" w:hAnsi="Times New Roman"/>
                <w:i/>
              </w:rPr>
            </w:pPr>
            <w:r>
              <w:rPr>
                <w:rFonts w:ascii="Times New Roman" w:hAnsi="Times New Roman"/>
                <w:i/>
              </w:rPr>
              <w:t>n</w:t>
            </w:r>
          </w:p>
        </w:tc>
      </w:tr>
      <w:tr w14:paraId="5909CD7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34" w:type="dxa"/>
            <w:vMerge w:val="restart"/>
            <w:tcBorders>
              <w:top w:val="single" w:color="auto" w:sz="12" w:space="0"/>
            </w:tcBorders>
            <w:vAlign w:val="center"/>
          </w:tcPr>
          <w:p w14:paraId="453D60A5">
            <w:pPr>
              <w:snapToGrid w:val="0"/>
              <w:spacing w:line="240" w:lineRule="auto"/>
              <w:jc w:val="center"/>
              <w:rPr>
                <w:rFonts w:ascii="Times New Roman" w:hAnsi="Times New Roman"/>
              </w:rPr>
            </w:pPr>
            <w:r>
              <w:rPr>
                <w:rFonts w:ascii="Times New Roman" w:hAnsi="Times New Roman"/>
              </w:rPr>
              <w:t>焊接</w:t>
            </w:r>
          </w:p>
        </w:tc>
        <w:tc>
          <w:tcPr>
            <w:tcW w:w="6946" w:type="dxa"/>
            <w:gridSpan w:val="4"/>
            <w:tcBorders>
              <w:top w:val="single" w:color="auto" w:sz="12" w:space="0"/>
            </w:tcBorders>
            <w:vAlign w:val="center"/>
          </w:tcPr>
          <w:p w14:paraId="5EB17607">
            <w:pPr>
              <w:snapToGrid w:val="0"/>
              <w:spacing w:line="240" w:lineRule="auto"/>
              <w:jc w:val="center"/>
              <w:rPr>
                <w:rFonts w:ascii="Times New Roman" w:hAnsi="Times New Roman"/>
              </w:rPr>
            </w:pPr>
            <w:r>
              <w:rPr>
                <w:rFonts w:ascii="Times New Roman" w:hAnsi="Times New Roman"/>
              </w:rPr>
              <w:t>机械式鞋形密封</w:t>
            </w:r>
          </w:p>
        </w:tc>
      </w:tr>
      <w:tr w14:paraId="1C8220C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continue"/>
            <w:vAlign w:val="center"/>
          </w:tcPr>
          <w:p w14:paraId="681B859F">
            <w:pPr>
              <w:snapToGrid w:val="0"/>
              <w:spacing w:line="240" w:lineRule="auto"/>
              <w:jc w:val="center"/>
              <w:rPr>
                <w:rFonts w:ascii="Times New Roman" w:hAnsi="Times New Roman"/>
              </w:rPr>
            </w:pPr>
          </w:p>
        </w:tc>
        <w:tc>
          <w:tcPr>
            <w:tcW w:w="1276" w:type="dxa"/>
            <w:tcBorders>
              <w:top w:val="single" w:color="auto" w:sz="12" w:space="0"/>
            </w:tcBorders>
            <w:vAlign w:val="center"/>
          </w:tcPr>
          <w:p w14:paraId="02E22498">
            <w:pPr>
              <w:snapToGrid w:val="0"/>
              <w:spacing w:line="240" w:lineRule="auto"/>
              <w:jc w:val="center"/>
              <w:rPr>
                <w:rFonts w:ascii="Times New Roman" w:hAnsi="Times New Roman"/>
              </w:rPr>
            </w:pPr>
            <w:r>
              <w:rPr>
                <w:rFonts w:ascii="Times New Roman" w:hAnsi="Times New Roman"/>
              </w:rPr>
              <w:t>只有一级</w:t>
            </w:r>
          </w:p>
        </w:tc>
        <w:tc>
          <w:tcPr>
            <w:tcW w:w="2339" w:type="dxa"/>
            <w:tcBorders>
              <w:top w:val="single" w:color="auto" w:sz="12" w:space="0"/>
            </w:tcBorders>
            <w:vAlign w:val="center"/>
          </w:tcPr>
          <w:p w14:paraId="38A28A0D">
            <w:pPr>
              <w:snapToGrid w:val="0"/>
              <w:spacing w:line="240" w:lineRule="auto"/>
              <w:jc w:val="center"/>
              <w:rPr>
                <w:rFonts w:ascii="Times New Roman" w:hAnsi="Times New Roman"/>
              </w:rPr>
            </w:pPr>
            <w:r>
              <w:rPr>
                <w:rFonts w:ascii="Times New Roman" w:hAnsi="Times New Roman"/>
              </w:rPr>
              <w:t>5.8</w:t>
            </w:r>
          </w:p>
        </w:tc>
        <w:tc>
          <w:tcPr>
            <w:tcW w:w="2622" w:type="dxa"/>
            <w:tcBorders>
              <w:top w:val="single" w:color="auto" w:sz="12" w:space="0"/>
            </w:tcBorders>
            <w:vAlign w:val="center"/>
          </w:tcPr>
          <w:p w14:paraId="4E96DC5B">
            <w:pPr>
              <w:snapToGrid w:val="0"/>
              <w:spacing w:line="240" w:lineRule="auto"/>
              <w:jc w:val="center"/>
              <w:rPr>
                <w:rFonts w:ascii="Times New Roman" w:hAnsi="Times New Roman"/>
              </w:rPr>
            </w:pPr>
            <w:r>
              <w:rPr>
                <w:rFonts w:ascii="Times New Roman" w:hAnsi="Times New Roman"/>
              </w:rPr>
              <w:t>0.3</w:t>
            </w:r>
          </w:p>
        </w:tc>
        <w:tc>
          <w:tcPr>
            <w:tcW w:w="709" w:type="dxa"/>
            <w:tcBorders>
              <w:top w:val="single" w:color="auto" w:sz="12" w:space="0"/>
            </w:tcBorders>
            <w:vAlign w:val="center"/>
          </w:tcPr>
          <w:p w14:paraId="0C90726B">
            <w:pPr>
              <w:snapToGrid w:val="0"/>
              <w:spacing w:line="240" w:lineRule="auto"/>
              <w:jc w:val="center"/>
              <w:rPr>
                <w:rFonts w:ascii="Times New Roman" w:hAnsi="Times New Roman"/>
              </w:rPr>
            </w:pPr>
            <w:r>
              <w:rPr>
                <w:rFonts w:ascii="Times New Roman" w:hAnsi="Times New Roman"/>
              </w:rPr>
              <w:t>2.1</w:t>
            </w:r>
          </w:p>
        </w:tc>
      </w:tr>
      <w:tr w14:paraId="77EE8B8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continue"/>
            <w:vAlign w:val="center"/>
          </w:tcPr>
          <w:p w14:paraId="47313F93">
            <w:pPr>
              <w:snapToGrid w:val="0"/>
              <w:spacing w:line="240" w:lineRule="auto"/>
              <w:jc w:val="center"/>
              <w:rPr>
                <w:rFonts w:ascii="Times New Roman" w:hAnsi="Times New Roman"/>
              </w:rPr>
            </w:pPr>
          </w:p>
        </w:tc>
        <w:tc>
          <w:tcPr>
            <w:tcW w:w="1276" w:type="dxa"/>
            <w:vAlign w:val="center"/>
          </w:tcPr>
          <w:p w14:paraId="4760C1D8">
            <w:pPr>
              <w:snapToGrid w:val="0"/>
              <w:spacing w:line="240" w:lineRule="auto"/>
              <w:jc w:val="center"/>
              <w:rPr>
                <w:rFonts w:ascii="Times New Roman" w:hAnsi="Times New Roman"/>
              </w:rPr>
            </w:pPr>
            <w:r>
              <w:rPr>
                <w:rFonts w:ascii="Times New Roman" w:hAnsi="Times New Roman"/>
              </w:rPr>
              <w:t>边缘靴板</w:t>
            </w:r>
          </w:p>
        </w:tc>
        <w:tc>
          <w:tcPr>
            <w:tcW w:w="2339" w:type="dxa"/>
            <w:vAlign w:val="center"/>
          </w:tcPr>
          <w:p w14:paraId="65F95455">
            <w:pPr>
              <w:snapToGrid w:val="0"/>
              <w:spacing w:line="240" w:lineRule="auto"/>
              <w:jc w:val="center"/>
              <w:rPr>
                <w:rFonts w:ascii="Times New Roman" w:hAnsi="Times New Roman"/>
              </w:rPr>
            </w:pPr>
            <w:r>
              <w:rPr>
                <w:rFonts w:ascii="Times New Roman" w:hAnsi="Times New Roman"/>
              </w:rPr>
              <w:t>1.6</w:t>
            </w:r>
          </w:p>
        </w:tc>
        <w:tc>
          <w:tcPr>
            <w:tcW w:w="2622" w:type="dxa"/>
            <w:vAlign w:val="center"/>
          </w:tcPr>
          <w:p w14:paraId="29252B0E">
            <w:pPr>
              <w:snapToGrid w:val="0"/>
              <w:spacing w:line="240" w:lineRule="auto"/>
              <w:jc w:val="center"/>
              <w:rPr>
                <w:rFonts w:ascii="Times New Roman" w:hAnsi="Times New Roman"/>
              </w:rPr>
            </w:pPr>
            <w:r>
              <w:rPr>
                <w:rFonts w:ascii="Times New Roman" w:hAnsi="Times New Roman"/>
              </w:rPr>
              <w:t>0.3</w:t>
            </w:r>
          </w:p>
        </w:tc>
        <w:tc>
          <w:tcPr>
            <w:tcW w:w="709" w:type="dxa"/>
            <w:vAlign w:val="center"/>
          </w:tcPr>
          <w:p w14:paraId="11F17A53">
            <w:pPr>
              <w:snapToGrid w:val="0"/>
              <w:spacing w:line="240" w:lineRule="auto"/>
              <w:jc w:val="center"/>
              <w:rPr>
                <w:rFonts w:ascii="Times New Roman" w:hAnsi="Times New Roman"/>
              </w:rPr>
            </w:pPr>
            <w:r>
              <w:rPr>
                <w:rFonts w:ascii="Times New Roman" w:hAnsi="Times New Roman"/>
              </w:rPr>
              <w:t>1.6</w:t>
            </w:r>
          </w:p>
        </w:tc>
      </w:tr>
      <w:tr w14:paraId="7B4130C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continue"/>
            <w:vAlign w:val="center"/>
          </w:tcPr>
          <w:p w14:paraId="156ACD66">
            <w:pPr>
              <w:snapToGrid w:val="0"/>
              <w:spacing w:line="240" w:lineRule="auto"/>
              <w:jc w:val="center"/>
              <w:rPr>
                <w:rFonts w:ascii="Times New Roman" w:hAnsi="Times New Roman"/>
              </w:rPr>
            </w:pPr>
          </w:p>
        </w:tc>
        <w:tc>
          <w:tcPr>
            <w:tcW w:w="1276" w:type="dxa"/>
            <w:vAlign w:val="center"/>
          </w:tcPr>
          <w:p w14:paraId="3D568D82">
            <w:pPr>
              <w:snapToGrid w:val="0"/>
              <w:spacing w:line="240" w:lineRule="auto"/>
              <w:jc w:val="center"/>
              <w:rPr>
                <w:rFonts w:ascii="Times New Roman" w:hAnsi="Times New Roman"/>
              </w:rPr>
            </w:pPr>
            <w:r>
              <w:rPr>
                <w:rFonts w:ascii="Times New Roman" w:hAnsi="Times New Roman"/>
              </w:rPr>
              <w:t>边缘刮板</w:t>
            </w:r>
          </w:p>
        </w:tc>
        <w:tc>
          <w:tcPr>
            <w:tcW w:w="2339" w:type="dxa"/>
            <w:vAlign w:val="center"/>
          </w:tcPr>
          <w:p w14:paraId="3C7F8AB2">
            <w:pPr>
              <w:snapToGrid w:val="0"/>
              <w:spacing w:line="240" w:lineRule="auto"/>
              <w:jc w:val="center"/>
              <w:rPr>
                <w:rFonts w:ascii="Times New Roman" w:hAnsi="Times New Roman"/>
              </w:rPr>
            </w:pPr>
            <w:r>
              <w:rPr>
                <w:rFonts w:ascii="Times New Roman" w:hAnsi="Times New Roman"/>
              </w:rPr>
              <w:t>0.6</w:t>
            </w:r>
          </w:p>
        </w:tc>
        <w:tc>
          <w:tcPr>
            <w:tcW w:w="2622" w:type="dxa"/>
            <w:vAlign w:val="center"/>
          </w:tcPr>
          <w:p w14:paraId="03F899AC">
            <w:pPr>
              <w:snapToGrid w:val="0"/>
              <w:spacing w:line="240" w:lineRule="auto"/>
              <w:jc w:val="center"/>
              <w:rPr>
                <w:rFonts w:ascii="Times New Roman" w:hAnsi="Times New Roman"/>
              </w:rPr>
            </w:pPr>
            <w:r>
              <w:rPr>
                <w:rFonts w:ascii="Times New Roman" w:hAnsi="Times New Roman"/>
              </w:rPr>
              <w:t>0.4</w:t>
            </w:r>
          </w:p>
        </w:tc>
        <w:tc>
          <w:tcPr>
            <w:tcW w:w="709" w:type="dxa"/>
            <w:vAlign w:val="center"/>
          </w:tcPr>
          <w:p w14:paraId="732C0824">
            <w:pPr>
              <w:snapToGrid w:val="0"/>
              <w:spacing w:line="240" w:lineRule="auto"/>
              <w:jc w:val="center"/>
              <w:rPr>
                <w:rFonts w:ascii="Times New Roman" w:hAnsi="Times New Roman"/>
              </w:rPr>
            </w:pPr>
            <w:r>
              <w:rPr>
                <w:rFonts w:ascii="Times New Roman" w:hAnsi="Times New Roman"/>
              </w:rPr>
              <w:t>1.0</w:t>
            </w:r>
          </w:p>
        </w:tc>
      </w:tr>
      <w:tr w14:paraId="5E2E3AB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continue"/>
            <w:vAlign w:val="center"/>
          </w:tcPr>
          <w:p w14:paraId="0EFA460D">
            <w:pPr>
              <w:snapToGrid w:val="0"/>
              <w:spacing w:line="240" w:lineRule="auto"/>
              <w:jc w:val="center"/>
              <w:rPr>
                <w:rFonts w:ascii="Times New Roman" w:hAnsi="Times New Roman"/>
              </w:rPr>
            </w:pPr>
          </w:p>
        </w:tc>
        <w:tc>
          <w:tcPr>
            <w:tcW w:w="6946" w:type="dxa"/>
            <w:gridSpan w:val="4"/>
            <w:vAlign w:val="center"/>
          </w:tcPr>
          <w:p w14:paraId="325E13E6">
            <w:pPr>
              <w:snapToGrid w:val="0"/>
              <w:spacing w:line="240" w:lineRule="auto"/>
              <w:jc w:val="center"/>
              <w:rPr>
                <w:rFonts w:ascii="Times New Roman" w:hAnsi="Times New Roman"/>
              </w:rPr>
            </w:pPr>
            <w:r>
              <w:rPr>
                <w:rFonts w:ascii="Times New Roman" w:hAnsi="Times New Roman"/>
              </w:rPr>
              <w:t>液体镶嵌式（接触液面，无气相空间）</w:t>
            </w:r>
          </w:p>
        </w:tc>
      </w:tr>
      <w:tr w14:paraId="1C24DEE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continue"/>
            <w:vAlign w:val="center"/>
          </w:tcPr>
          <w:p w14:paraId="2E8F685B">
            <w:pPr>
              <w:snapToGrid w:val="0"/>
              <w:spacing w:line="240" w:lineRule="auto"/>
              <w:jc w:val="center"/>
              <w:rPr>
                <w:rFonts w:ascii="Times New Roman" w:hAnsi="Times New Roman"/>
              </w:rPr>
            </w:pPr>
          </w:p>
        </w:tc>
        <w:tc>
          <w:tcPr>
            <w:tcW w:w="1276" w:type="dxa"/>
            <w:tcBorders>
              <w:top w:val="single" w:color="auto" w:sz="12" w:space="0"/>
            </w:tcBorders>
            <w:vAlign w:val="center"/>
          </w:tcPr>
          <w:p w14:paraId="4EA337C9">
            <w:pPr>
              <w:snapToGrid w:val="0"/>
              <w:spacing w:line="240" w:lineRule="auto"/>
              <w:jc w:val="center"/>
              <w:rPr>
                <w:rFonts w:ascii="Times New Roman" w:hAnsi="Times New Roman"/>
              </w:rPr>
            </w:pPr>
            <w:r>
              <w:rPr>
                <w:rFonts w:ascii="Times New Roman" w:hAnsi="Times New Roman"/>
              </w:rPr>
              <w:t>只有一级</w:t>
            </w:r>
          </w:p>
        </w:tc>
        <w:tc>
          <w:tcPr>
            <w:tcW w:w="2339" w:type="dxa"/>
            <w:tcBorders>
              <w:top w:val="single" w:color="auto" w:sz="12" w:space="0"/>
            </w:tcBorders>
            <w:vAlign w:val="center"/>
          </w:tcPr>
          <w:p w14:paraId="669FF3DB">
            <w:pPr>
              <w:snapToGrid w:val="0"/>
              <w:spacing w:line="240" w:lineRule="auto"/>
              <w:jc w:val="center"/>
              <w:rPr>
                <w:rFonts w:ascii="Times New Roman" w:hAnsi="Times New Roman"/>
              </w:rPr>
            </w:pPr>
            <w:r>
              <w:rPr>
                <w:rFonts w:ascii="Times New Roman" w:hAnsi="Times New Roman"/>
              </w:rPr>
              <w:t>1.6</w:t>
            </w:r>
          </w:p>
        </w:tc>
        <w:tc>
          <w:tcPr>
            <w:tcW w:w="2622" w:type="dxa"/>
            <w:tcBorders>
              <w:top w:val="single" w:color="auto" w:sz="12" w:space="0"/>
            </w:tcBorders>
            <w:vAlign w:val="center"/>
          </w:tcPr>
          <w:p w14:paraId="215B1099">
            <w:pPr>
              <w:snapToGrid w:val="0"/>
              <w:spacing w:line="240" w:lineRule="auto"/>
              <w:jc w:val="center"/>
              <w:rPr>
                <w:rFonts w:ascii="Times New Roman" w:hAnsi="Times New Roman"/>
              </w:rPr>
            </w:pPr>
            <w:r>
              <w:rPr>
                <w:rFonts w:ascii="Times New Roman" w:hAnsi="Times New Roman"/>
              </w:rPr>
              <w:t>0.3</w:t>
            </w:r>
          </w:p>
        </w:tc>
        <w:tc>
          <w:tcPr>
            <w:tcW w:w="709" w:type="dxa"/>
            <w:tcBorders>
              <w:top w:val="single" w:color="auto" w:sz="12" w:space="0"/>
            </w:tcBorders>
            <w:vAlign w:val="center"/>
          </w:tcPr>
          <w:p w14:paraId="3D98709C">
            <w:pPr>
              <w:snapToGrid w:val="0"/>
              <w:spacing w:line="240" w:lineRule="auto"/>
              <w:jc w:val="center"/>
              <w:rPr>
                <w:rFonts w:ascii="Times New Roman" w:hAnsi="Times New Roman"/>
              </w:rPr>
            </w:pPr>
            <w:r>
              <w:rPr>
                <w:rFonts w:ascii="Times New Roman" w:hAnsi="Times New Roman"/>
              </w:rPr>
              <w:t>1.5</w:t>
            </w:r>
          </w:p>
        </w:tc>
      </w:tr>
      <w:tr w14:paraId="0CBD70F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continue"/>
            <w:vAlign w:val="center"/>
          </w:tcPr>
          <w:p w14:paraId="4D87E94F">
            <w:pPr>
              <w:snapToGrid w:val="0"/>
              <w:spacing w:line="240" w:lineRule="auto"/>
              <w:jc w:val="center"/>
              <w:rPr>
                <w:rFonts w:ascii="Times New Roman" w:hAnsi="Times New Roman"/>
              </w:rPr>
            </w:pPr>
          </w:p>
        </w:tc>
        <w:tc>
          <w:tcPr>
            <w:tcW w:w="1276" w:type="dxa"/>
            <w:vAlign w:val="center"/>
          </w:tcPr>
          <w:p w14:paraId="720E47AC">
            <w:pPr>
              <w:snapToGrid w:val="0"/>
              <w:spacing w:line="240" w:lineRule="auto"/>
              <w:jc w:val="center"/>
              <w:rPr>
                <w:rFonts w:ascii="Times New Roman" w:hAnsi="Times New Roman"/>
              </w:rPr>
            </w:pPr>
            <w:r>
              <w:rPr>
                <w:rFonts w:ascii="Times New Roman" w:hAnsi="Times New Roman"/>
              </w:rPr>
              <w:t>挡雨板</w:t>
            </w:r>
          </w:p>
        </w:tc>
        <w:tc>
          <w:tcPr>
            <w:tcW w:w="2339" w:type="dxa"/>
            <w:vAlign w:val="center"/>
          </w:tcPr>
          <w:p w14:paraId="28E098BB">
            <w:pPr>
              <w:snapToGrid w:val="0"/>
              <w:spacing w:line="240" w:lineRule="auto"/>
              <w:jc w:val="center"/>
              <w:rPr>
                <w:rFonts w:ascii="Times New Roman" w:hAnsi="Times New Roman"/>
              </w:rPr>
            </w:pPr>
            <w:r>
              <w:rPr>
                <w:rFonts w:ascii="Times New Roman" w:hAnsi="Times New Roman"/>
              </w:rPr>
              <w:t>0.7</w:t>
            </w:r>
          </w:p>
        </w:tc>
        <w:tc>
          <w:tcPr>
            <w:tcW w:w="2622" w:type="dxa"/>
            <w:vAlign w:val="center"/>
          </w:tcPr>
          <w:p w14:paraId="4B501287">
            <w:pPr>
              <w:snapToGrid w:val="0"/>
              <w:spacing w:line="240" w:lineRule="auto"/>
              <w:jc w:val="center"/>
              <w:rPr>
                <w:rFonts w:ascii="Times New Roman" w:hAnsi="Times New Roman"/>
              </w:rPr>
            </w:pPr>
            <w:r>
              <w:rPr>
                <w:rFonts w:ascii="Times New Roman" w:hAnsi="Times New Roman"/>
              </w:rPr>
              <w:t>0.3</w:t>
            </w:r>
          </w:p>
        </w:tc>
        <w:tc>
          <w:tcPr>
            <w:tcW w:w="709" w:type="dxa"/>
            <w:vAlign w:val="center"/>
          </w:tcPr>
          <w:p w14:paraId="59E3A1A7">
            <w:pPr>
              <w:snapToGrid w:val="0"/>
              <w:spacing w:line="240" w:lineRule="auto"/>
              <w:jc w:val="center"/>
              <w:rPr>
                <w:rFonts w:ascii="Times New Roman" w:hAnsi="Times New Roman"/>
              </w:rPr>
            </w:pPr>
            <w:r>
              <w:rPr>
                <w:rFonts w:ascii="Times New Roman" w:hAnsi="Times New Roman"/>
              </w:rPr>
              <w:t>1.2</w:t>
            </w:r>
          </w:p>
        </w:tc>
      </w:tr>
      <w:tr w14:paraId="73E7F21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continue"/>
            <w:vAlign w:val="center"/>
          </w:tcPr>
          <w:p w14:paraId="5AA47446">
            <w:pPr>
              <w:snapToGrid w:val="0"/>
              <w:spacing w:line="240" w:lineRule="auto"/>
              <w:jc w:val="center"/>
              <w:rPr>
                <w:rFonts w:ascii="Times New Roman" w:hAnsi="Times New Roman"/>
              </w:rPr>
            </w:pPr>
          </w:p>
        </w:tc>
        <w:tc>
          <w:tcPr>
            <w:tcW w:w="1276" w:type="dxa"/>
            <w:vAlign w:val="center"/>
          </w:tcPr>
          <w:p w14:paraId="720D7D84">
            <w:pPr>
              <w:snapToGrid w:val="0"/>
              <w:spacing w:line="240" w:lineRule="auto"/>
              <w:jc w:val="center"/>
              <w:rPr>
                <w:rFonts w:ascii="Times New Roman" w:hAnsi="Times New Roman"/>
              </w:rPr>
            </w:pPr>
            <w:r>
              <w:rPr>
                <w:rFonts w:ascii="Times New Roman" w:hAnsi="Times New Roman"/>
              </w:rPr>
              <w:t>边缘刮板</w:t>
            </w:r>
          </w:p>
        </w:tc>
        <w:tc>
          <w:tcPr>
            <w:tcW w:w="2339" w:type="dxa"/>
            <w:vAlign w:val="center"/>
          </w:tcPr>
          <w:p w14:paraId="0A9513DD">
            <w:pPr>
              <w:snapToGrid w:val="0"/>
              <w:spacing w:line="240" w:lineRule="auto"/>
              <w:jc w:val="center"/>
              <w:rPr>
                <w:rFonts w:ascii="Times New Roman" w:hAnsi="Times New Roman"/>
              </w:rPr>
            </w:pPr>
            <w:r>
              <w:rPr>
                <w:rFonts w:ascii="Times New Roman" w:hAnsi="Times New Roman"/>
              </w:rPr>
              <w:t>0.4</w:t>
            </w:r>
          </w:p>
        </w:tc>
        <w:tc>
          <w:tcPr>
            <w:tcW w:w="2622" w:type="dxa"/>
            <w:vAlign w:val="center"/>
          </w:tcPr>
          <w:p w14:paraId="1427AFC6">
            <w:pPr>
              <w:snapToGrid w:val="0"/>
              <w:spacing w:line="240" w:lineRule="auto"/>
              <w:jc w:val="center"/>
              <w:rPr>
                <w:rFonts w:ascii="Times New Roman" w:hAnsi="Times New Roman"/>
              </w:rPr>
            </w:pPr>
            <w:r>
              <w:rPr>
                <w:rFonts w:ascii="Times New Roman" w:hAnsi="Times New Roman"/>
              </w:rPr>
              <w:t>0.6</w:t>
            </w:r>
          </w:p>
        </w:tc>
        <w:tc>
          <w:tcPr>
            <w:tcW w:w="709" w:type="dxa"/>
            <w:vAlign w:val="center"/>
          </w:tcPr>
          <w:p w14:paraId="518EF208">
            <w:pPr>
              <w:snapToGrid w:val="0"/>
              <w:spacing w:line="240" w:lineRule="auto"/>
              <w:jc w:val="center"/>
              <w:rPr>
                <w:rFonts w:ascii="Times New Roman" w:hAnsi="Times New Roman"/>
              </w:rPr>
            </w:pPr>
            <w:r>
              <w:rPr>
                <w:rFonts w:ascii="Times New Roman" w:hAnsi="Times New Roman"/>
              </w:rPr>
              <w:t>0.3</w:t>
            </w:r>
          </w:p>
        </w:tc>
      </w:tr>
      <w:tr w14:paraId="596BD8C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continue"/>
            <w:vAlign w:val="center"/>
          </w:tcPr>
          <w:p w14:paraId="243F9714">
            <w:pPr>
              <w:snapToGrid w:val="0"/>
              <w:spacing w:line="240" w:lineRule="auto"/>
              <w:jc w:val="center"/>
              <w:rPr>
                <w:rFonts w:ascii="Times New Roman" w:hAnsi="Times New Roman"/>
              </w:rPr>
            </w:pPr>
          </w:p>
        </w:tc>
        <w:tc>
          <w:tcPr>
            <w:tcW w:w="6946" w:type="dxa"/>
            <w:gridSpan w:val="4"/>
            <w:vAlign w:val="center"/>
          </w:tcPr>
          <w:p w14:paraId="3693A69E">
            <w:pPr>
              <w:snapToGrid w:val="0"/>
              <w:spacing w:line="240" w:lineRule="auto"/>
              <w:jc w:val="center"/>
              <w:rPr>
                <w:rFonts w:ascii="Times New Roman" w:hAnsi="Times New Roman"/>
              </w:rPr>
            </w:pPr>
            <w:r>
              <w:rPr>
                <w:rFonts w:ascii="Times New Roman" w:hAnsi="Times New Roman"/>
              </w:rPr>
              <w:t>气体镶嵌式（不接触液面，有气相空间）</w:t>
            </w:r>
          </w:p>
        </w:tc>
      </w:tr>
      <w:tr w14:paraId="021CB27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continue"/>
            <w:vAlign w:val="center"/>
          </w:tcPr>
          <w:p w14:paraId="196770C2">
            <w:pPr>
              <w:snapToGrid w:val="0"/>
              <w:spacing w:line="240" w:lineRule="auto"/>
              <w:jc w:val="center"/>
              <w:rPr>
                <w:rFonts w:ascii="Times New Roman" w:hAnsi="Times New Roman"/>
              </w:rPr>
            </w:pPr>
          </w:p>
        </w:tc>
        <w:tc>
          <w:tcPr>
            <w:tcW w:w="1276" w:type="dxa"/>
            <w:vAlign w:val="center"/>
          </w:tcPr>
          <w:p w14:paraId="305D73A1">
            <w:pPr>
              <w:snapToGrid w:val="0"/>
              <w:spacing w:line="240" w:lineRule="auto"/>
              <w:jc w:val="center"/>
              <w:rPr>
                <w:rFonts w:ascii="Times New Roman" w:hAnsi="Times New Roman"/>
              </w:rPr>
            </w:pPr>
            <w:r>
              <w:rPr>
                <w:rFonts w:ascii="Times New Roman" w:hAnsi="Times New Roman"/>
              </w:rPr>
              <w:t>只有一级</w:t>
            </w:r>
          </w:p>
        </w:tc>
        <w:tc>
          <w:tcPr>
            <w:tcW w:w="2339" w:type="dxa"/>
            <w:vAlign w:val="center"/>
          </w:tcPr>
          <w:p w14:paraId="0C29C753">
            <w:pPr>
              <w:snapToGrid w:val="0"/>
              <w:spacing w:line="240" w:lineRule="auto"/>
              <w:jc w:val="center"/>
              <w:rPr>
                <w:rFonts w:ascii="Times New Roman" w:hAnsi="Times New Roman"/>
              </w:rPr>
            </w:pPr>
            <w:r>
              <w:rPr>
                <w:rFonts w:ascii="Times New Roman" w:hAnsi="Times New Roman"/>
              </w:rPr>
              <w:t>6.7</w:t>
            </w:r>
          </w:p>
        </w:tc>
        <w:tc>
          <w:tcPr>
            <w:tcW w:w="2622" w:type="dxa"/>
            <w:vAlign w:val="center"/>
          </w:tcPr>
          <w:p w14:paraId="39D07AD8">
            <w:pPr>
              <w:snapToGrid w:val="0"/>
              <w:spacing w:line="240" w:lineRule="auto"/>
              <w:jc w:val="center"/>
              <w:rPr>
                <w:rFonts w:ascii="Times New Roman" w:hAnsi="Times New Roman"/>
              </w:rPr>
            </w:pPr>
            <w:r>
              <w:rPr>
                <w:rFonts w:ascii="Times New Roman" w:hAnsi="Times New Roman"/>
              </w:rPr>
              <w:t>0.2</w:t>
            </w:r>
          </w:p>
        </w:tc>
        <w:tc>
          <w:tcPr>
            <w:tcW w:w="709" w:type="dxa"/>
            <w:vAlign w:val="center"/>
          </w:tcPr>
          <w:p w14:paraId="0E057315">
            <w:pPr>
              <w:snapToGrid w:val="0"/>
              <w:spacing w:line="240" w:lineRule="auto"/>
              <w:jc w:val="center"/>
              <w:rPr>
                <w:rFonts w:ascii="Times New Roman" w:hAnsi="Times New Roman"/>
              </w:rPr>
            </w:pPr>
            <w:r>
              <w:rPr>
                <w:rFonts w:ascii="Times New Roman" w:hAnsi="Times New Roman"/>
              </w:rPr>
              <w:t>3.0</w:t>
            </w:r>
          </w:p>
        </w:tc>
      </w:tr>
      <w:tr w14:paraId="141BAEF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continue"/>
            <w:vAlign w:val="center"/>
          </w:tcPr>
          <w:p w14:paraId="21F73DCC">
            <w:pPr>
              <w:snapToGrid w:val="0"/>
              <w:spacing w:line="240" w:lineRule="auto"/>
              <w:jc w:val="center"/>
              <w:rPr>
                <w:rFonts w:ascii="Times New Roman" w:hAnsi="Times New Roman"/>
              </w:rPr>
            </w:pPr>
          </w:p>
        </w:tc>
        <w:tc>
          <w:tcPr>
            <w:tcW w:w="1276" w:type="dxa"/>
            <w:vAlign w:val="center"/>
          </w:tcPr>
          <w:p w14:paraId="250A884A">
            <w:pPr>
              <w:snapToGrid w:val="0"/>
              <w:spacing w:line="240" w:lineRule="auto"/>
              <w:jc w:val="center"/>
              <w:rPr>
                <w:rFonts w:ascii="Times New Roman" w:hAnsi="Times New Roman"/>
              </w:rPr>
            </w:pPr>
            <w:r>
              <w:rPr>
                <w:rFonts w:ascii="Times New Roman" w:hAnsi="Times New Roman"/>
              </w:rPr>
              <w:t>挡雨板</w:t>
            </w:r>
          </w:p>
        </w:tc>
        <w:tc>
          <w:tcPr>
            <w:tcW w:w="2339" w:type="dxa"/>
            <w:vAlign w:val="center"/>
          </w:tcPr>
          <w:p w14:paraId="201B4CCF">
            <w:pPr>
              <w:snapToGrid w:val="0"/>
              <w:spacing w:line="240" w:lineRule="auto"/>
              <w:jc w:val="center"/>
              <w:rPr>
                <w:rFonts w:ascii="Times New Roman" w:hAnsi="Times New Roman"/>
              </w:rPr>
            </w:pPr>
            <w:r>
              <w:rPr>
                <w:rFonts w:ascii="Times New Roman" w:hAnsi="Times New Roman"/>
              </w:rPr>
              <w:t>3.3</w:t>
            </w:r>
          </w:p>
        </w:tc>
        <w:tc>
          <w:tcPr>
            <w:tcW w:w="2622" w:type="dxa"/>
            <w:vAlign w:val="center"/>
          </w:tcPr>
          <w:p w14:paraId="525E7771">
            <w:pPr>
              <w:snapToGrid w:val="0"/>
              <w:spacing w:line="240" w:lineRule="auto"/>
              <w:jc w:val="center"/>
              <w:rPr>
                <w:rFonts w:ascii="Times New Roman" w:hAnsi="Times New Roman"/>
              </w:rPr>
            </w:pPr>
            <w:r>
              <w:rPr>
                <w:rFonts w:ascii="Times New Roman" w:hAnsi="Times New Roman"/>
              </w:rPr>
              <w:t>0.1</w:t>
            </w:r>
          </w:p>
        </w:tc>
        <w:tc>
          <w:tcPr>
            <w:tcW w:w="709" w:type="dxa"/>
            <w:vAlign w:val="center"/>
          </w:tcPr>
          <w:p w14:paraId="0D190684">
            <w:pPr>
              <w:snapToGrid w:val="0"/>
              <w:spacing w:line="240" w:lineRule="auto"/>
              <w:jc w:val="center"/>
              <w:rPr>
                <w:rFonts w:ascii="Times New Roman" w:hAnsi="Times New Roman"/>
              </w:rPr>
            </w:pPr>
            <w:r>
              <w:rPr>
                <w:rFonts w:ascii="Times New Roman" w:hAnsi="Times New Roman"/>
              </w:rPr>
              <w:t>3.0</w:t>
            </w:r>
          </w:p>
        </w:tc>
      </w:tr>
      <w:tr w14:paraId="3AE2533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continue"/>
            <w:vAlign w:val="center"/>
          </w:tcPr>
          <w:p w14:paraId="05146911">
            <w:pPr>
              <w:snapToGrid w:val="0"/>
              <w:spacing w:line="240" w:lineRule="auto"/>
              <w:jc w:val="center"/>
              <w:rPr>
                <w:rFonts w:ascii="Times New Roman" w:hAnsi="Times New Roman"/>
              </w:rPr>
            </w:pPr>
          </w:p>
        </w:tc>
        <w:tc>
          <w:tcPr>
            <w:tcW w:w="1276" w:type="dxa"/>
            <w:tcBorders>
              <w:bottom w:val="single" w:color="auto" w:sz="12" w:space="0"/>
            </w:tcBorders>
            <w:vAlign w:val="center"/>
          </w:tcPr>
          <w:p w14:paraId="7B0F6626">
            <w:pPr>
              <w:snapToGrid w:val="0"/>
              <w:spacing w:line="240" w:lineRule="auto"/>
              <w:jc w:val="center"/>
              <w:rPr>
                <w:rFonts w:ascii="Times New Roman" w:hAnsi="Times New Roman"/>
              </w:rPr>
            </w:pPr>
            <w:r>
              <w:rPr>
                <w:rFonts w:ascii="Times New Roman" w:hAnsi="Times New Roman"/>
              </w:rPr>
              <w:t>边缘刮板</w:t>
            </w:r>
          </w:p>
        </w:tc>
        <w:tc>
          <w:tcPr>
            <w:tcW w:w="2339" w:type="dxa"/>
            <w:tcBorders>
              <w:bottom w:val="single" w:color="auto" w:sz="12" w:space="0"/>
            </w:tcBorders>
            <w:vAlign w:val="center"/>
          </w:tcPr>
          <w:p w14:paraId="18CEA9C2">
            <w:pPr>
              <w:snapToGrid w:val="0"/>
              <w:spacing w:line="240" w:lineRule="auto"/>
              <w:jc w:val="center"/>
              <w:rPr>
                <w:rFonts w:ascii="Times New Roman" w:hAnsi="Times New Roman"/>
              </w:rPr>
            </w:pPr>
            <w:r>
              <w:rPr>
                <w:rFonts w:ascii="Times New Roman" w:hAnsi="Times New Roman"/>
              </w:rPr>
              <w:t>2.2</w:t>
            </w:r>
          </w:p>
        </w:tc>
        <w:tc>
          <w:tcPr>
            <w:tcW w:w="2622" w:type="dxa"/>
            <w:tcBorders>
              <w:bottom w:val="single" w:color="auto" w:sz="12" w:space="0"/>
            </w:tcBorders>
            <w:vAlign w:val="center"/>
          </w:tcPr>
          <w:p w14:paraId="4B5324F5">
            <w:pPr>
              <w:snapToGrid w:val="0"/>
              <w:spacing w:line="240" w:lineRule="auto"/>
              <w:jc w:val="center"/>
              <w:rPr>
                <w:rFonts w:ascii="Times New Roman" w:hAnsi="Times New Roman"/>
              </w:rPr>
            </w:pPr>
            <w:r>
              <w:rPr>
                <w:rFonts w:ascii="Times New Roman" w:hAnsi="Times New Roman"/>
              </w:rPr>
              <w:t>0.003</w:t>
            </w:r>
          </w:p>
        </w:tc>
        <w:tc>
          <w:tcPr>
            <w:tcW w:w="709" w:type="dxa"/>
            <w:tcBorders>
              <w:bottom w:val="single" w:color="auto" w:sz="12" w:space="0"/>
            </w:tcBorders>
            <w:vAlign w:val="center"/>
          </w:tcPr>
          <w:p w14:paraId="4FBDAEA8">
            <w:pPr>
              <w:snapToGrid w:val="0"/>
              <w:spacing w:line="240" w:lineRule="auto"/>
              <w:jc w:val="center"/>
              <w:rPr>
                <w:rFonts w:ascii="Times New Roman" w:hAnsi="Times New Roman"/>
              </w:rPr>
            </w:pPr>
            <w:r>
              <w:rPr>
                <w:rFonts w:ascii="Times New Roman" w:hAnsi="Times New Roman"/>
              </w:rPr>
              <w:t>4.3</w:t>
            </w:r>
          </w:p>
        </w:tc>
      </w:tr>
      <w:tr w14:paraId="32C9006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restart"/>
            <w:vAlign w:val="center"/>
          </w:tcPr>
          <w:p w14:paraId="179EA226">
            <w:pPr>
              <w:snapToGrid w:val="0"/>
              <w:spacing w:line="240" w:lineRule="auto"/>
              <w:jc w:val="center"/>
              <w:rPr>
                <w:rFonts w:ascii="Times New Roman" w:hAnsi="Times New Roman"/>
              </w:rPr>
            </w:pPr>
            <w:r>
              <w:rPr>
                <w:rFonts w:ascii="Times New Roman" w:hAnsi="Times New Roman"/>
              </w:rPr>
              <w:t>铆接</w:t>
            </w:r>
          </w:p>
        </w:tc>
        <w:tc>
          <w:tcPr>
            <w:tcW w:w="6946" w:type="dxa"/>
            <w:gridSpan w:val="4"/>
            <w:vAlign w:val="center"/>
          </w:tcPr>
          <w:p w14:paraId="3BBF3E62">
            <w:pPr>
              <w:snapToGrid w:val="0"/>
              <w:spacing w:line="240" w:lineRule="auto"/>
              <w:jc w:val="center"/>
              <w:rPr>
                <w:rFonts w:ascii="Times New Roman" w:hAnsi="Times New Roman"/>
              </w:rPr>
            </w:pPr>
            <w:r>
              <w:rPr>
                <w:rFonts w:ascii="Times New Roman" w:hAnsi="Times New Roman"/>
              </w:rPr>
              <w:t>机械式鞋形密封</w:t>
            </w:r>
          </w:p>
        </w:tc>
      </w:tr>
      <w:tr w14:paraId="6C6B7B3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continue"/>
            <w:vAlign w:val="center"/>
          </w:tcPr>
          <w:p w14:paraId="64206DB7">
            <w:pPr>
              <w:snapToGrid w:val="0"/>
              <w:spacing w:line="240" w:lineRule="auto"/>
              <w:jc w:val="center"/>
              <w:rPr>
                <w:rFonts w:ascii="Times New Roman" w:hAnsi="Times New Roman"/>
              </w:rPr>
            </w:pPr>
          </w:p>
        </w:tc>
        <w:tc>
          <w:tcPr>
            <w:tcW w:w="1276" w:type="dxa"/>
            <w:tcBorders>
              <w:top w:val="single" w:color="auto" w:sz="12" w:space="0"/>
            </w:tcBorders>
            <w:vAlign w:val="center"/>
          </w:tcPr>
          <w:p w14:paraId="4B1DF593">
            <w:pPr>
              <w:snapToGrid w:val="0"/>
              <w:spacing w:line="240" w:lineRule="auto"/>
              <w:jc w:val="center"/>
              <w:rPr>
                <w:rFonts w:ascii="Times New Roman" w:hAnsi="Times New Roman"/>
              </w:rPr>
            </w:pPr>
            <w:r>
              <w:rPr>
                <w:rFonts w:ascii="Times New Roman" w:hAnsi="Times New Roman"/>
              </w:rPr>
              <w:t>只有一级</w:t>
            </w:r>
          </w:p>
        </w:tc>
        <w:tc>
          <w:tcPr>
            <w:tcW w:w="2339" w:type="dxa"/>
            <w:tcBorders>
              <w:top w:val="single" w:color="auto" w:sz="12" w:space="0"/>
            </w:tcBorders>
            <w:vAlign w:val="center"/>
          </w:tcPr>
          <w:p w14:paraId="5762D80D">
            <w:pPr>
              <w:snapToGrid w:val="0"/>
              <w:spacing w:line="240" w:lineRule="auto"/>
              <w:jc w:val="center"/>
              <w:rPr>
                <w:rFonts w:ascii="Times New Roman" w:hAnsi="Times New Roman"/>
              </w:rPr>
            </w:pPr>
            <w:r>
              <w:rPr>
                <w:rFonts w:ascii="Times New Roman" w:hAnsi="Times New Roman"/>
              </w:rPr>
              <w:t>10.8</w:t>
            </w:r>
          </w:p>
        </w:tc>
        <w:tc>
          <w:tcPr>
            <w:tcW w:w="2622" w:type="dxa"/>
            <w:tcBorders>
              <w:top w:val="single" w:color="auto" w:sz="12" w:space="0"/>
            </w:tcBorders>
            <w:vAlign w:val="center"/>
          </w:tcPr>
          <w:p w14:paraId="060747CA">
            <w:pPr>
              <w:snapToGrid w:val="0"/>
              <w:spacing w:line="240" w:lineRule="auto"/>
              <w:jc w:val="center"/>
              <w:rPr>
                <w:rFonts w:ascii="Times New Roman" w:hAnsi="Times New Roman"/>
              </w:rPr>
            </w:pPr>
            <w:r>
              <w:rPr>
                <w:rFonts w:ascii="Times New Roman" w:hAnsi="Times New Roman"/>
              </w:rPr>
              <w:t>0.4</w:t>
            </w:r>
          </w:p>
        </w:tc>
        <w:tc>
          <w:tcPr>
            <w:tcW w:w="709" w:type="dxa"/>
            <w:tcBorders>
              <w:top w:val="single" w:color="auto" w:sz="12" w:space="0"/>
            </w:tcBorders>
            <w:vAlign w:val="center"/>
          </w:tcPr>
          <w:p w14:paraId="6059B46C">
            <w:pPr>
              <w:snapToGrid w:val="0"/>
              <w:spacing w:line="240" w:lineRule="auto"/>
              <w:jc w:val="center"/>
              <w:rPr>
                <w:rFonts w:ascii="Times New Roman" w:hAnsi="Times New Roman"/>
              </w:rPr>
            </w:pPr>
            <w:r>
              <w:rPr>
                <w:rFonts w:ascii="Times New Roman" w:hAnsi="Times New Roman"/>
              </w:rPr>
              <w:t>2.0</w:t>
            </w:r>
          </w:p>
        </w:tc>
      </w:tr>
      <w:tr w14:paraId="30548DC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continue"/>
            <w:vAlign w:val="center"/>
          </w:tcPr>
          <w:p w14:paraId="72638B21">
            <w:pPr>
              <w:snapToGrid w:val="0"/>
              <w:spacing w:line="240" w:lineRule="auto"/>
              <w:jc w:val="center"/>
              <w:rPr>
                <w:rFonts w:ascii="Times New Roman" w:hAnsi="Times New Roman"/>
              </w:rPr>
            </w:pPr>
          </w:p>
        </w:tc>
        <w:tc>
          <w:tcPr>
            <w:tcW w:w="1276" w:type="dxa"/>
            <w:vAlign w:val="center"/>
          </w:tcPr>
          <w:p w14:paraId="6FDD6533">
            <w:pPr>
              <w:snapToGrid w:val="0"/>
              <w:spacing w:line="240" w:lineRule="auto"/>
              <w:jc w:val="center"/>
              <w:rPr>
                <w:rFonts w:ascii="Times New Roman" w:hAnsi="Times New Roman"/>
              </w:rPr>
            </w:pPr>
            <w:r>
              <w:rPr>
                <w:rFonts w:ascii="Times New Roman" w:hAnsi="Times New Roman"/>
              </w:rPr>
              <w:t>边缘靴板</w:t>
            </w:r>
          </w:p>
        </w:tc>
        <w:tc>
          <w:tcPr>
            <w:tcW w:w="2339" w:type="dxa"/>
            <w:vAlign w:val="center"/>
          </w:tcPr>
          <w:p w14:paraId="1B804B3E">
            <w:pPr>
              <w:snapToGrid w:val="0"/>
              <w:spacing w:line="240" w:lineRule="auto"/>
              <w:jc w:val="center"/>
              <w:rPr>
                <w:rFonts w:ascii="Times New Roman" w:hAnsi="Times New Roman"/>
              </w:rPr>
            </w:pPr>
            <w:r>
              <w:rPr>
                <w:rFonts w:ascii="Times New Roman" w:hAnsi="Times New Roman"/>
              </w:rPr>
              <w:t>9.2</w:t>
            </w:r>
          </w:p>
        </w:tc>
        <w:tc>
          <w:tcPr>
            <w:tcW w:w="2622" w:type="dxa"/>
            <w:vAlign w:val="center"/>
          </w:tcPr>
          <w:p w14:paraId="23D34ACA">
            <w:pPr>
              <w:snapToGrid w:val="0"/>
              <w:spacing w:line="240" w:lineRule="auto"/>
              <w:jc w:val="center"/>
              <w:rPr>
                <w:rFonts w:ascii="Times New Roman" w:hAnsi="Times New Roman"/>
              </w:rPr>
            </w:pPr>
            <w:r>
              <w:rPr>
                <w:rFonts w:ascii="Times New Roman" w:hAnsi="Times New Roman"/>
              </w:rPr>
              <w:t>0.2</w:t>
            </w:r>
          </w:p>
        </w:tc>
        <w:tc>
          <w:tcPr>
            <w:tcW w:w="709" w:type="dxa"/>
            <w:vAlign w:val="center"/>
          </w:tcPr>
          <w:p w14:paraId="7BE8E2DF">
            <w:pPr>
              <w:snapToGrid w:val="0"/>
              <w:spacing w:line="240" w:lineRule="auto"/>
              <w:jc w:val="center"/>
              <w:rPr>
                <w:rFonts w:ascii="Times New Roman" w:hAnsi="Times New Roman"/>
              </w:rPr>
            </w:pPr>
            <w:r>
              <w:rPr>
                <w:rFonts w:ascii="Times New Roman" w:hAnsi="Times New Roman"/>
              </w:rPr>
              <w:t>1.9</w:t>
            </w:r>
          </w:p>
        </w:tc>
      </w:tr>
      <w:tr w14:paraId="31878F3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4" w:type="dxa"/>
            <w:vMerge w:val="continue"/>
            <w:vAlign w:val="center"/>
          </w:tcPr>
          <w:p w14:paraId="36CF11FC">
            <w:pPr>
              <w:snapToGrid w:val="0"/>
              <w:spacing w:line="240" w:lineRule="auto"/>
              <w:jc w:val="center"/>
              <w:rPr>
                <w:rFonts w:ascii="Times New Roman" w:hAnsi="Times New Roman"/>
              </w:rPr>
            </w:pPr>
          </w:p>
        </w:tc>
        <w:tc>
          <w:tcPr>
            <w:tcW w:w="1276" w:type="dxa"/>
            <w:vAlign w:val="center"/>
          </w:tcPr>
          <w:p w14:paraId="40F1C777">
            <w:pPr>
              <w:snapToGrid w:val="0"/>
              <w:spacing w:line="240" w:lineRule="auto"/>
              <w:jc w:val="center"/>
              <w:rPr>
                <w:rFonts w:ascii="Times New Roman" w:hAnsi="Times New Roman"/>
              </w:rPr>
            </w:pPr>
            <w:r>
              <w:rPr>
                <w:rFonts w:ascii="Times New Roman" w:hAnsi="Times New Roman"/>
              </w:rPr>
              <w:t>边缘刮板</w:t>
            </w:r>
          </w:p>
        </w:tc>
        <w:tc>
          <w:tcPr>
            <w:tcW w:w="2339" w:type="dxa"/>
            <w:vAlign w:val="center"/>
          </w:tcPr>
          <w:p w14:paraId="167DEEAF">
            <w:pPr>
              <w:snapToGrid w:val="0"/>
              <w:spacing w:line="240" w:lineRule="auto"/>
              <w:jc w:val="center"/>
              <w:rPr>
                <w:rFonts w:ascii="Times New Roman" w:hAnsi="Times New Roman"/>
              </w:rPr>
            </w:pPr>
            <w:r>
              <w:rPr>
                <w:rFonts w:ascii="Times New Roman" w:hAnsi="Times New Roman"/>
              </w:rPr>
              <w:t>1.1</w:t>
            </w:r>
          </w:p>
        </w:tc>
        <w:tc>
          <w:tcPr>
            <w:tcW w:w="2622" w:type="dxa"/>
            <w:vAlign w:val="center"/>
          </w:tcPr>
          <w:p w14:paraId="783A69DE">
            <w:pPr>
              <w:snapToGrid w:val="0"/>
              <w:spacing w:line="240" w:lineRule="auto"/>
              <w:jc w:val="center"/>
              <w:rPr>
                <w:rFonts w:ascii="Times New Roman" w:hAnsi="Times New Roman"/>
              </w:rPr>
            </w:pPr>
            <w:r>
              <w:rPr>
                <w:rFonts w:ascii="Times New Roman" w:hAnsi="Times New Roman"/>
              </w:rPr>
              <w:t>0.3</w:t>
            </w:r>
          </w:p>
        </w:tc>
        <w:tc>
          <w:tcPr>
            <w:tcW w:w="709" w:type="dxa"/>
            <w:vAlign w:val="center"/>
          </w:tcPr>
          <w:p w14:paraId="73FC4F9F">
            <w:pPr>
              <w:snapToGrid w:val="0"/>
              <w:spacing w:line="240" w:lineRule="auto"/>
              <w:jc w:val="center"/>
              <w:rPr>
                <w:rFonts w:ascii="Times New Roman" w:hAnsi="Times New Roman"/>
              </w:rPr>
            </w:pPr>
            <w:r>
              <w:rPr>
                <w:rFonts w:ascii="Times New Roman" w:hAnsi="Times New Roman"/>
              </w:rPr>
              <w:t>1.5</w:t>
            </w:r>
          </w:p>
        </w:tc>
      </w:tr>
    </w:tbl>
    <w:p w14:paraId="388DB541">
      <w:pPr>
        <w:spacing w:before="120" w:line="240" w:lineRule="auto"/>
        <w:ind w:firstLine="420" w:firstLineChars="200"/>
        <w:rPr>
          <w:rFonts w:ascii="Times New Roman" w:hAnsi="Times New Roman"/>
        </w:rPr>
      </w:pPr>
      <w:r>
        <w:rPr>
          <w:rFonts w:ascii="Times New Roman" w:hAnsi="Times New Roman"/>
        </w:rPr>
        <w:t>注：表中边缘密封损失因子K</w:t>
      </w:r>
      <w:r>
        <w:rPr>
          <w:rFonts w:ascii="Times New Roman" w:hAnsi="Times New Roman"/>
          <w:i/>
          <w:vertAlign w:val="subscript"/>
        </w:rPr>
        <w:t>Ra</w:t>
      </w:r>
      <w:r>
        <w:rPr>
          <w:rFonts w:hint="eastAsia" w:ascii="Times New Roman" w:hAnsi="Times New Roman"/>
        </w:rPr>
        <w:t>、</w:t>
      </w:r>
      <w:r>
        <w:rPr>
          <w:rFonts w:ascii="Times New Roman" w:hAnsi="Times New Roman"/>
        </w:rPr>
        <w:t>k</w:t>
      </w:r>
      <w:r>
        <w:rPr>
          <w:rFonts w:ascii="Times New Roman" w:hAnsi="Times New Roman"/>
          <w:i/>
          <w:vertAlign w:val="subscript"/>
        </w:rPr>
        <w:t>Rb</w:t>
      </w:r>
      <w:r>
        <w:rPr>
          <w:rFonts w:hint="eastAsia" w:ascii="Times New Roman" w:hAnsi="Times New Roman"/>
        </w:rPr>
        <w:t>、</w:t>
      </w:r>
      <w:r>
        <w:rPr>
          <w:rFonts w:ascii="Times New Roman" w:hAnsi="Times New Roman"/>
          <w:i/>
        </w:rPr>
        <w:t>n</w:t>
      </w:r>
      <w:r>
        <w:rPr>
          <w:rFonts w:ascii="Times New Roman" w:hAnsi="Times New Roman"/>
        </w:rPr>
        <w:t>只适用于风速6.8米/秒以下</w:t>
      </w:r>
      <w:r>
        <w:rPr>
          <w:rFonts w:hint="eastAsia" w:ascii="Times New Roman" w:hAnsi="Times New Roman"/>
        </w:rPr>
        <w:t>。</w:t>
      </w:r>
    </w:p>
    <w:p w14:paraId="2F6F3FA7">
      <w:pPr>
        <w:pStyle w:val="60"/>
        <w:ind w:firstLine="420"/>
      </w:pPr>
      <w:r>
        <w:rPr>
          <w:rFonts w:hint="eastAsia"/>
        </w:rPr>
        <w:t>2）挂壁损失</w:t>
      </w:r>
      <w:r>
        <w:t>E</w:t>
      </w:r>
      <w:r>
        <w:rPr>
          <w:vertAlign w:val="subscript"/>
        </w:rPr>
        <w:t>WD</w:t>
      </w:r>
      <w:r>
        <w:rPr>
          <w:rFonts w:hint="eastAsia"/>
        </w:rPr>
        <w:t>计算</w:t>
      </w:r>
    </w:p>
    <w:p w14:paraId="59E9B69E">
      <w:pPr>
        <w:pStyle w:val="242"/>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WD</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0.943</m:t>
            </m:r>
            <m:r>
              <m:rPr/>
              <w:rPr>
                <w:rFonts w:ascii="Cambria Math" w:hAnsi="Cambria Math"/>
              </w:rPr>
              <m:t>Q</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s</m:t>
                </m:r>
                <m:ctrlPr>
                  <w:rPr>
                    <w:rFonts w:ascii="Cambria Math" w:hAnsi="Cambria Math"/>
                  </w:rPr>
                </m:ctrlPr>
              </m:sub>
            </m:sSub>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rPr>
            </m:ctrlPr>
          </m:num>
          <m:den>
            <m:r>
              <m:rPr/>
              <w:rPr>
                <w:rFonts w:ascii="Cambria Math" w:hAnsi="Cambria Math"/>
              </w:rPr>
              <m:t>D</m:t>
            </m:r>
            <m:ctrlPr>
              <w:rPr>
                <w:rFonts w:ascii="Cambria Math" w:hAnsi="Cambria Math"/>
              </w:rPr>
            </m:ctrlPr>
          </m:den>
        </m:f>
        <m:d>
          <m:dPr>
            <m:ctrlPr>
              <w:rPr>
                <w:rFonts w:ascii="Cambria Math" w:hAnsi="Cambria Math"/>
              </w:rPr>
            </m:ctrlPr>
          </m:dPr>
          <m:e>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m:t>
                    </m:r>
                    <m:ctrlPr>
                      <w:rPr>
                        <w:rFonts w:ascii="Cambria Math" w:hAnsi="Cambria Math"/>
                      </w:rPr>
                    </m:ctrlPr>
                  </m:sub>
                </m:sSub>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C</m:t>
                    </m:r>
                    <m:ctrlPr>
                      <w:rPr>
                        <w:rFonts w:ascii="Cambria Math" w:hAnsi="Cambria Math"/>
                      </w:rPr>
                    </m:ctrlPr>
                  </m:sub>
                </m:sSub>
                <m:ctrlPr>
                  <w:rPr>
                    <w:rFonts w:ascii="Cambria Math" w:hAnsi="Cambria Math"/>
                  </w:rPr>
                </m:ctrlPr>
              </m:num>
              <m:den>
                <m:r>
                  <m:rPr/>
                  <w:rPr>
                    <w:rFonts w:ascii="Cambria Math" w:hAnsi="Cambria Math"/>
                  </w:rPr>
                  <m:t>D</m:t>
                </m:r>
                <m:ctrlPr>
                  <w:rPr>
                    <w:rFonts w:ascii="Cambria Math" w:hAnsi="Cambria Math"/>
                  </w:rPr>
                </m:ctrlPr>
              </m:den>
            </m:f>
            <m:ctrlPr>
              <w:rPr>
                <w:rFonts w:ascii="Cambria Math" w:hAnsi="Cambria Math"/>
              </w:rPr>
            </m:ctrlPr>
          </m:e>
        </m:d>
      </m:oMath>
      <w:r>
        <w:tab/>
      </w:r>
      <w:r>
        <w:rPr>
          <w:rFonts w:hint="eastAsia"/>
        </w:rPr>
        <w:t>(E</w:t>
      </w:r>
      <w:r>
        <w:t>.30</w:t>
      </w:r>
      <w:r>
        <w:rPr>
          <w:rFonts w:hint="eastAsia"/>
        </w:rPr>
        <w:t>)</w:t>
      </w:r>
    </w:p>
    <w:p w14:paraId="44CB0429">
      <w:pPr>
        <w:pStyle w:val="60"/>
        <w:ind w:firstLine="420"/>
      </w:pPr>
      <w:r>
        <w:rPr>
          <w:rFonts w:hint="eastAsia"/>
        </w:rPr>
        <w:t>式中：</w:t>
      </w:r>
    </w:p>
    <w:p w14:paraId="7CC4E6BD">
      <w:pPr>
        <w:pStyle w:val="60"/>
        <w:ind w:firstLine="420"/>
      </w:pPr>
      <w:r>
        <w:t>E</w:t>
      </w:r>
      <w:r>
        <w:rPr>
          <w:vertAlign w:val="subscript"/>
        </w:rPr>
        <w:t>WD</w:t>
      </w:r>
      <w:bookmarkStart w:id="275" w:name="OLE_LINK51"/>
      <w:r>
        <w:rPr>
          <w:rFonts w:hint="eastAsia"/>
          <w:spacing w:val="-20"/>
        </w:rPr>
        <w:t>——</w:t>
      </w:r>
      <w:bookmarkEnd w:id="275"/>
      <w:r>
        <w:rPr>
          <w:rFonts w:hint="eastAsia"/>
        </w:rPr>
        <w:t>统计期内挂壁损失，磅；</w:t>
      </w:r>
    </w:p>
    <w:p w14:paraId="2690827C">
      <w:pPr>
        <w:pStyle w:val="60"/>
        <w:ind w:firstLine="420"/>
      </w:pPr>
      <w:r>
        <w:t>Q</w:t>
      </w:r>
      <w:r>
        <w:rPr>
          <w:rFonts w:hint="eastAsia"/>
          <w:spacing w:val="-20"/>
        </w:rPr>
        <w:t>——</w:t>
      </w:r>
      <w:r>
        <w:rPr>
          <w:rFonts w:hint="eastAsia"/>
        </w:rPr>
        <w:t>统计期内周转量，桶；</w:t>
      </w:r>
    </w:p>
    <w:p w14:paraId="0DC1D961">
      <w:pPr>
        <w:pStyle w:val="60"/>
        <w:ind w:firstLine="420"/>
      </w:pPr>
      <w:r>
        <w:t>C</w:t>
      </w:r>
      <w:r>
        <w:rPr>
          <w:vertAlign w:val="subscript"/>
        </w:rPr>
        <w:t>S</w:t>
      </w:r>
      <w:r>
        <w:rPr>
          <w:rFonts w:hint="eastAsia"/>
          <w:spacing w:val="-20"/>
        </w:rPr>
        <w:t>——</w:t>
      </w:r>
      <w:r>
        <w:rPr>
          <w:rFonts w:hint="eastAsia"/>
        </w:rPr>
        <w:t>储罐罐壁油垢因子，见表</w:t>
      </w:r>
      <w:r>
        <w:t>E.4</w:t>
      </w:r>
      <w:r>
        <w:rPr>
          <w:rFonts w:hint="eastAsia"/>
        </w:rPr>
        <w:t>；</w:t>
      </w:r>
    </w:p>
    <w:p w14:paraId="5C44FE40">
      <w:pPr>
        <w:pStyle w:val="60"/>
        <w:ind w:firstLine="420"/>
      </w:pPr>
      <w:r>
        <w:t>W</w:t>
      </w:r>
      <w:r>
        <w:rPr>
          <w:vertAlign w:val="subscript"/>
        </w:rPr>
        <w:t>L</w:t>
      </w:r>
      <w:r>
        <w:rPr>
          <w:rFonts w:hint="eastAsia"/>
          <w:spacing w:val="-20"/>
        </w:rPr>
        <w:t>——</w:t>
      </w:r>
      <w:r>
        <w:rPr>
          <w:rFonts w:hint="eastAsia"/>
        </w:rPr>
        <w:t>有机液体密度，磅</w:t>
      </w:r>
      <w:r>
        <w:t>/</w:t>
      </w:r>
      <w:r>
        <w:rPr>
          <w:rFonts w:hint="eastAsia"/>
        </w:rPr>
        <w:t>加仑；</w:t>
      </w:r>
    </w:p>
    <w:p w14:paraId="746A5EDD">
      <w:pPr>
        <w:pStyle w:val="60"/>
        <w:ind w:firstLine="420"/>
      </w:pPr>
      <w:r>
        <w:t>D</w:t>
      </w:r>
      <w:r>
        <w:rPr>
          <w:rFonts w:hint="eastAsia"/>
          <w:spacing w:val="-20"/>
        </w:rPr>
        <w:t>——</w:t>
      </w:r>
      <w:r>
        <w:rPr>
          <w:rFonts w:hint="eastAsia"/>
        </w:rPr>
        <w:t>罐体直径，英尺；</w:t>
      </w:r>
    </w:p>
    <w:p w14:paraId="5B7D0B6B">
      <w:pPr>
        <w:pStyle w:val="60"/>
        <w:ind w:firstLine="420"/>
      </w:pPr>
      <w:r>
        <w:t>0.943</w:t>
      </w:r>
      <w:r>
        <w:rPr>
          <w:rFonts w:hint="eastAsia"/>
          <w:spacing w:val="-20"/>
        </w:rPr>
        <w:t>——</w:t>
      </w:r>
      <w:r>
        <w:rPr>
          <w:rFonts w:hint="eastAsia"/>
        </w:rPr>
        <w:t>常数，</w:t>
      </w:r>
      <w:r>
        <w:t>1000</w:t>
      </w:r>
      <w:r>
        <w:rPr>
          <w:rFonts w:hint="eastAsia"/>
        </w:rPr>
        <w:t>立方英尺•加仑</w:t>
      </w:r>
      <w:r>
        <w:t>/</w:t>
      </w:r>
      <w:r>
        <w:rPr>
          <w:rFonts w:hint="eastAsia"/>
        </w:rPr>
        <w:t>桶；</w:t>
      </w:r>
    </w:p>
    <w:p w14:paraId="3F4B46F0">
      <w:pPr>
        <w:pStyle w:val="60"/>
        <w:ind w:firstLine="420"/>
      </w:pPr>
      <w:r>
        <w:t>N</w:t>
      </w:r>
      <w:r>
        <w:rPr>
          <w:vertAlign w:val="subscript"/>
        </w:rPr>
        <w:t>C</w:t>
      </w:r>
      <w:r>
        <w:rPr>
          <w:rFonts w:hint="eastAsia"/>
          <w:spacing w:val="-20"/>
        </w:rPr>
        <w:t>——</w:t>
      </w:r>
      <w:r>
        <w:rPr>
          <w:rFonts w:hint="eastAsia"/>
        </w:rPr>
        <w:t>固定顶支撑柱数量（对于自支撑固定浮顶或外浮顶罐：</w:t>
      </w:r>
      <w:r>
        <w:t>N</w:t>
      </w:r>
      <w:r>
        <w:rPr>
          <w:vertAlign w:val="subscript"/>
        </w:rPr>
        <w:t>C</w:t>
      </w:r>
      <w:r>
        <w:t>=0</w:t>
      </w:r>
      <w:r>
        <w:rPr>
          <w:rFonts w:hint="eastAsia"/>
        </w:rPr>
        <w:t>。），无量纲量；</w:t>
      </w:r>
    </w:p>
    <w:p w14:paraId="760FBA24">
      <w:pPr>
        <w:pStyle w:val="60"/>
        <w:ind w:firstLine="420"/>
      </w:pPr>
      <w:r>
        <w:t>F</w:t>
      </w:r>
      <w:r>
        <w:rPr>
          <w:vertAlign w:val="subscript"/>
        </w:rPr>
        <w:t>C</w:t>
      </w:r>
      <w:r>
        <w:rPr>
          <w:rFonts w:hint="eastAsia"/>
          <w:spacing w:val="-20"/>
        </w:rPr>
        <w:t>——</w:t>
      </w:r>
      <w:r>
        <w:rPr>
          <w:rFonts w:hint="eastAsia"/>
        </w:rPr>
        <w:t>有效柱直径，英尺，取值</w:t>
      </w:r>
      <w:r>
        <w:t>1</w:t>
      </w:r>
      <w:r>
        <w:rPr>
          <w:rFonts w:hint="eastAsia"/>
        </w:rPr>
        <w:t>。</w:t>
      </w:r>
    </w:p>
    <w:p w14:paraId="5464E2C0">
      <w:pPr>
        <w:pStyle w:val="60"/>
        <w:ind w:firstLine="420"/>
        <w:jc w:val="center"/>
        <w:rPr>
          <w:bCs/>
        </w:rPr>
      </w:pPr>
      <w:r>
        <w:rPr>
          <w:bCs/>
        </w:rPr>
        <w:t>表E.4 储罐罐壁油垢因子</w:t>
      </w:r>
    </w:p>
    <w:tbl>
      <w:tblPr>
        <w:tblStyle w:val="29"/>
        <w:tblW w:w="8150"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3"/>
        <w:gridCol w:w="2102"/>
        <w:gridCol w:w="2102"/>
        <w:gridCol w:w="2103"/>
      </w:tblGrid>
      <w:tr w14:paraId="7446E25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blHeader/>
          <w:jc w:val="center"/>
        </w:trPr>
        <w:tc>
          <w:tcPr>
            <w:tcW w:w="1843" w:type="dxa"/>
            <w:vMerge w:val="restart"/>
            <w:vAlign w:val="center"/>
          </w:tcPr>
          <w:p w14:paraId="3D5BBA57">
            <w:pPr>
              <w:snapToGrid w:val="0"/>
              <w:spacing w:line="240" w:lineRule="auto"/>
              <w:jc w:val="center"/>
              <w:rPr>
                <w:rFonts w:ascii="Times New Roman" w:hAnsi="Times New Roman"/>
              </w:rPr>
            </w:pPr>
            <w:r>
              <w:rPr>
                <w:rFonts w:hint="eastAsia" w:ascii="Times New Roman" w:hAnsi="Times New Roman"/>
              </w:rPr>
              <w:t>介质</w:t>
            </w:r>
          </w:p>
        </w:tc>
        <w:tc>
          <w:tcPr>
            <w:tcW w:w="6307" w:type="dxa"/>
            <w:gridSpan w:val="3"/>
            <w:tcBorders>
              <w:bottom w:val="single" w:color="auto" w:sz="12" w:space="0"/>
            </w:tcBorders>
            <w:vAlign w:val="center"/>
          </w:tcPr>
          <w:p w14:paraId="0308663D">
            <w:pPr>
              <w:snapToGrid w:val="0"/>
              <w:spacing w:line="240" w:lineRule="auto"/>
              <w:jc w:val="center"/>
              <w:rPr>
                <w:rFonts w:ascii="Times New Roman" w:hAnsi="Times New Roman"/>
              </w:rPr>
            </w:pPr>
            <w:r>
              <w:rPr>
                <w:rFonts w:hint="eastAsia" w:ascii="Times New Roman" w:hAnsi="Times New Roman"/>
              </w:rPr>
              <w:t>罐壁状况（桶/</w:t>
            </w:r>
            <w:r>
              <w:rPr>
                <w:rFonts w:ascii="Times New Roman" w:hAnsi="Times New Roman"/>
              </w:rPr>
              <w:t>1000</w:t>
            </w:r>
            <w:r>
              <w:rPr>
                <w:rFonts w:hint="eastAsia" w:ascii="Times New Roman" w:hAnsi="Times New Roman"/>
              </w:rPr>
              <w:t>平方英尺）</w:t>
            </w:r>
          </w:p>
        </w:tc>
      </w:tr>
      <w:tr w14:paraId="11A93F7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blHeader/>
          <w:jc w:val="center"/>
        </w:trPr>
        <w:tc>
          <w:tcPr>
            <w:tcW w:w="1843" w:type="dxa"/>
            <w:vMerge w:val="continue"/>
            <w:tcBorders>
              <w:bottom w:val="single" w:color="auto" w:sz="12" w:space="0"/>
            </w:tcBorders>
            <w:vAlign w:val="center"/>
          </w:tcPr>
          <w:p w14:paraId="5E65F594">
            <w:pPr>
              <w:snapToGrid w:val="0"/>
              <w:spacing w:line="240" w:lineRule="auto"/>
              <w:jc w:val="center"/>
              <w:rPr>
                <w:rFonts w:ascii="Times New Roman" w:hAnsi="Times New Roman"/>
              </w:rPr>
            </w:pPr>
          </w:p>
        </w:tc>
        <w:tc>
          <w:tcPr>
            <w:tcW w:w="2102" w:type="dxa"/>
            <w:tcBorders>
              <w:top w:val="single" w:color="auto" w:sz="12" w:space="0"/>
              <w:bottom w:val="single" w:color="auto" w:sz="12" w:space="0"/>
            </w:tcBorders>
            <w:vAlign w:val="center"/>
          </w:tcPr>
          <w:p w14:paraId="088B14BF">
            <w:pPr>
              <w:snapToGrid w:val="0"/>
              <w:spacing w:line="240" w:lineRule="auto"/>
              <w:jc w:val="center"/>
              <w:rPr>
                <w:rFonts w:ascii="Times New Roman" w:hAnsi="Times New Roman"/>
              </w:rPr>
            </w:pPr>
            <w:r>
              <w:rPr>
                <w:rFonts w:hint="eastAsia" w:ascii="Times New Roman" w:hAnsi="Times New Roman"/>
              </w:rPr>
              <w:t>轻锈</w:t>
            </w:r>
          </w:p>
        </w:tc>
        <w:tc>
          <w:tcPr>
            <w:tcW w:w="2102" w:type="dxa"/>
            <w:tcBorders>
              <w:top w:val="single" w:color="auto" w:sz="12" w:space="0"/>
              <w:bottom w:val="single" w:color="auto" w:sz="12" w:space="0"/>
            </w:tcBorders>
            <w:vAlign w:val="center"/>
          </w:tcPr>
          <w:p w14:paraId="5AA79F07">
            <w:pPr>
              <w:snapToGrid w:val="0"/>
              <w:spacing w:line="240" w:lineRule="auto"/>
              <w:jc w:val="center"/>
              <w:rPr>
                <w:rFonts w:ascii="Times New Roman" w:hAnsi="Times New Roman"/>
              </w:rPr>
            </w:pPr>
            <w:r>
              <w:rPr>
                <w:rFonts w:hint="eastAsia" w:ascii="Times New Roman" w:hAnsi="Times New Roman"/>
              </w:rPr>
              <w:t>中锈</w:t>
            </w:r>
          </w:p>
        </w:tc>
        <w:tc>
          <w:tcPr>
            <w:tcW w:w="2103" w:type="dxa"/>
            <w:tcBorders>
              <w:top w:val="single" w:color="auto" w:sz="12" w:space="0"/>
              <w:bottom w:val="single" w:color="auto" w:sz="12" w:space="0"/>
            </w:tcBorders>
            <w:vAlign w:val="center"/>
          </w:tcPr>
          <w:p w14:paraId="6B8CBFDC">
            <w:pPr>
              <w:snapToGrid w:val="0"/>
              <w:spacing w:line="240" w:lineRule="auto"/>
              <w:jc w:val="center"/>
              <w:rPr>
                <w:rFonts w:ascii="Times New Roman" w:hAnsi="Times New Roman"/>
              </w:rPr>
            </w:pPr>
            <w:r>
              <w:rPr>
                <w:rFonts w:hint="eastAsia" w:ascii="Times New Roman" w:hAnsi="Times New Roman"/>
              </w:rPr>
              <w:t>重锈</w:t>
            </w:r>
          </w:p>
        </w:tc>
      </w:tr>
      <w:tr w14:paraId="57AC0FE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843" w:type="dxa"/>
            <w:tcBorders>
              <w:top w:val="single" w:color="auto" w:sz="12" w:space="0"/>
            </w:tcBorders>
            <w:vAlign w:val="center"/>
          </w:tcPr>
          <w:p w14:paraId="24F4FC2B">
            <w:pPr>
              <w:snapToGrid w:val="0"/>
              <w:spacing w:line="240" w:lineRule="auto"/>
              <w:jc w:val="center"/>
              <w:rPr>
                <w:rFonts w:ascii="Times New Roman" w:hAnsi="Times New Roman"/>
              </w:rPr>
            </w:pPr>
            <w:r>
              <w:rPr>
                <w:rFonts w:hint="eastAsia" w:ascii="Times New Roman" w:hAnsi="Times New Roman"/>
              </w:rPr>
              <w:t>其它有机液体</w:t>
            </w:r>
          </w:p>
        </w:tc>
        <w:tc>
          <w:tcPr>
            <w:tcW w:w="2102" w:type="dxa"/>
            <w:tcBorders>
              <w:top w:val="single" w:color="auto" w:sz="12" w:space="0"/>
            </w:tcBorders>
            <w:vAlign w:val="center"/>
          </w:tcPr>
          <w:p w14:paraId="657AD715">
            <w:pPr>
              <w:snapToGrid w:val="0"/>
              <w:spacing w:line="240" w:lineRule="auto"/>
              <w:jc w:val="center"/>
              <w:rPr>
                <w:rFonts w:ascii="Times New Roman" w:hAnsi="Times New Roman"/>
              </w:rPr>
            </w:pPr>
            <w:r>
              <w:rPr>
                <w:rFonts w:ascii="Times New Roman" w:hAnsi="Times New Roman"/>
              </w:rPr>
              <w:t>0.0015</w:t>
            </w:r>
          </w:p>
        </w:tc>
        <w:tc>
          <w:tcPr>
            <w:tcW w:w="2102" w:type="dxa"/>
            <w:tcBorders>
              <w:top w:val="single" w:color="auto" w:sz="12" w:space="0"/>
            </w:tcBorders>
            <w:vAlign w:val="center"/>
          </w:tcPr>
          <w:p w14:paraId="349A3C30">
            <w:pPr>
              <w:snapToGrid w:val="0"/>
              <w:spacing w:line="240" w:lineRule="auto"/>
              <w:jc w:val="center"/>
              <w:rPr>
                <w:rFonts w:ascii="Times New Roman" w:hAnsi="Times New Roman"/>
              </w:rPr>
            </w:pPr>
            <w:r>
              <w:rPr>
                <w:rFonts w:ascii="Times New Roman" w:hAnsi="Times New Roman"/>
              </w:rPr>
              <w:t>0.0075</w:t>
            </w:r>
          </w:p>
        </w:tc>
        <w:tc>
          <w:tcPr>
            <w:tcW w:w="2103" w:type="dxa"/>
            <w:tcBorders>
              <w:top w:val="single" w:color="auto" w:sz="12" w:space="0"/>
            </w:tcBorders>
            <w:vAlign w:val="center"/>
          </w:tcPr>
          <w:p w14:paraId="1C03C512">
            <w:pPr>
              <w:snapToGrid w:val="0"/>
              <w:spacing w:line="240" w:lineRule="auto"/>
              <w:jc w:val="center"/>
              <w:rPr>
                <w:rFonts w:ascii="Times New Roman" w:hAnsi="Times New Roman"/>
              </w:rPr>
            </w:pPr>
            <w:r>
              <w:rPr>
                <w:rFonts w:ascii="Times New Roman" w:hAnsi="Times New Roman"/>
              </w:rPr>
              <w:t>0.15</w:t>
            </w:r>
          </w:p>
        </w:tc>
      </w:tr>
    </w:tbl>
    <w:p w14:paraId="7EEA7B2F">
      <w:pPr>
        <w:pStyle w:val="60"/>
        <w:ind w:firstLine="420"/>
      </w:pPr>
      <w:r>
        <w:rPr>
          <w:rFonts w:hint="eastAsia"/>
        </w:rPr>
        <w:t>注：储罐内壁平均3年以上（包括3年）除锈一次，为重锈；平均两年除锈一次，为中锈；平均每年除锈一次，为轻绣。</w:t>
      </w:r>
    </w:p>
    <w:p w14:paraId="0484C6B8">
      <w:pPr>
        <w:pStyle w:val="60"/>
        <w:ind w:firstLine="420"/>
      </w:pPr>
      <w:r>
        <w:rPr>
          <w:rFonts w:hint="eastAsia"/>
        </w:rPr>
        <w:t>3）</w:t>
      </w:r>
      <w:r>
        <w:t>浮盘附件损失E</w:t>
      </w:r>
      <w:r>
        <w:rPr>
          <w:i/>
          <w:vertAlign w:val="subscript"/>
        </w:rPr>
        <w:t>F</w:t>
      </w:r>
      <w:r>
        <w:t>计算</w:t>
      </w:r>
    </w:p>
    <w:p w14:paraId="74C83212">
      <w:pPr>
        <w:pStyle w:val="242"/>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F</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F</m:t>
            </m:r>
            <m:ctrlPr>
              <w:rPr>
                <w:rFonts w:ascii="Cambria Math" w:hAnsi="Cambria Math"/>
              </w:rPr>
            </m:ctrlPr>
          </m:sub>
        </m:sSub>
        <m:sSup>
          <m:sSupPr>
            <m:ctrlPr>
              <w:rPr>
                <w:rFonts w:ascii="Cambria Math" w:hAnsi="Cambria Math"/>
              </w:rPr>
            </m:ctrlPr>
          </m:sSupPr>
          <m:e>
            <m:r>
              <m:rPr/>
              <w:rPr>
                <w:rFonts w:ascii="Cambria Math" w:hAnsi="Cambria Math"/>
              </w:rPr>
              <m:t>P</m:t>
            </m:r>
            <m:ctrlPr>
              <w:rPr>
                <w:rFonts w:ascii="Cambria Math" w:hAnsi="Cambria Math"/>
              </w:rPr>
            </m:ctrlPr>
          </m:e>
          <m:sup>
            <m:r>
              <m:rPr>
                <m:sty m:val="p"/>
              </m:rPr>
              <w:rPr>
                <w:rFonts w:ascii="Cambria Math" w:hAnsi="Cambria Math"/>
              </w:rPr>
              <m:t>∗</m:t>
            </m:r>
            <m:ctrlPr>
              <w:rPr>
                <w:rFonts w:ascii="Cambria Math" w:hAnsi="Cambria Math"/>
              </w:rPr>
            </m:ctrlPr>
          </m:sup>
        </m:sSup>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V</m:t>
            </m:r>
            <m:ctrlPr>
              <w:rPr>
                <w:rFonts w:ascii="Cambria Math" w:hAnsi="Cambria Math"/>
              </w:rPr>
            </m:ctrlPr>
          </m:sub>
        </m:sSub>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C</m:t>
            </m:r>
            <m:ctrlPr>
              <w:rPr>
                <w:rFonts w:ascii="Cambria Math" w:hAnsi="Cambria Math"/>
              </w:rPr>
            </m:ctrlPr>
          </m:sub>
        </m:sSub>
      </m:oMath>
      <w:r>
        <w:tab/>
      </w:r>
      <w:r>
        <w:t>(</w:t>
      </w:r>
      <w:r>
        <w:rPr>
          <w:rFonts w:hint="eastAsia"/>
        </w:rPr>
        <w:t>E</w:t>
      </w:r>
      <w:r>
        <w:t>.31)</w:t>
      </w:r>
    </w:p>
    <w:p w14:paraId="196A3FC1">
      <w:pPr>
        <w:pStyle w:val="60"/>
        <w:ind w:firstLine="420"/>
      </w:pPr>
      <w:r>
        <w:t>式中</w:t>
      </w:r>
      <w:r>
        <w:rPr>
          <w:rFonts w:hint="eastAsia"/>
        </w:rPr>
        <w:t>：</w:t>
      </w:r>
    </w:p>
    <w:p w14:paraId="1A4F0378">
      <w:pPr>
        <w:pStyle w:val="60"/>
        <w:ind w:firstLine="420"/>
      </w:pPr>
      <w:r>
        <w:t>E</w:t>
      </w:r>
      <w:r>
        <w:rPr>
          <w:i/>
          <w:vertAlign w:val="subscript"/>
        </w:rPr>
        <w:t>F</w:t>
      </w:r>
      <w:r>
        <w:rPr>
          <w:rFonts w:hint="eastAsia"/>
          <w:spacing w:val="-20"/>
        </w:rPr>
        <w:t>——</w:t>
      </w:r>
      <w:r>
        <w:rPr>
          <w:rFonts w:hint="eastAsia"/>
        </w:rPr>
        <w:t>统计期内浮盘附件损失，磅；</w:t>
      </w:r>
    </w:p>
    <w:p w14:paraId="3F35C357">
      <w:pPr>
        <w:pStyle w:val="60"/>
        <w:ind w:firstLine="420"/>
      </w:pPr>
      <w:r>
        <w:t>F</w:t>
      </w:r>
      <w:r>
        <w:rPr>
          <w:i/>
          <w:vertAlign w:val="subscript"/>
        </w:rPr>
        <w:t>F</w:t>
      </w:r>
      <w:r>
        <w:rPr>
          <w:rFonts w:hint="eastAsia"/>
          <w:spacing w:val="-20"/>
        </w:rPr>
        <w:t>——</w:t>
      </w:r>
      <w:r>
        <w:rPr>
          <w:rFonts w:hint="eastAsia"/>
        </w:rPr>
        <w:t>总浮盘附件损失因子，磅</w:t>
      </w:r>
      <w:r>
        <w:t>-</w:t>
      </w:r>
      <w:r>
        <w:rPr>
          <w:rFonts w:hint="eastAsia"/>
        </w:rPr>
        <w:t>摩尔</w:t>
      </w:r>
      <w:r>
        <w:t>/</w:t>
      </w:r>
      <w:r>
        <w:rPr>
          <w:rFonts w:hint="eastAsia"/>
        </w:rPr>
        <w:t>年；</w:t>
      </w:r>
    </w:p>
    <w:p w14:paraId="0C93C28A">
      <w:pPr>
        <w:pStyle w:val="242"/>
      </w:pPr>
      <w:r>
        <w:tab/>
      </w:r>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F</m:t>
            </m:r>
            <m:ctrlPr>
              <w:rPr>
                <w:rFonts w:ascii="Cambria Math" w:hAnsi="Cambria Math"/>
              </w:rPr>
            </m:ctrlPr>
          </m:sub>
        </m:sSub>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F</m:t>
                    </m:r>
                    <m:r>
                      <m:rPr>
                        <m:sty m:val="p"/>
                      </m:rPr>
                      <w:rPr>
                        <w:rFonts w:ascii="Cambria Math" w:hAnsi="Cambria Math"/>
                      </w:rPr>
                      <m:t>1</m:t>
                    </m:r>
                    <m:ctrlPr>
                      <w:rPr>
                        <w:rFonts w:ascii="Cambria Math" w:hAnsi="Cambria Math"/>
                      </w:rPr>
                    </m:ctrlPr>
                  </m:sub>
                </m:sSub>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F</m:t>
                    </m:r>
                    <m:r>
                      <m:rPr>
                        <m:sty m:val="p"/>
                      </m:rPr>
                      <w:rPr>
                        <w:rFonts w:ascii="Cambria Math" w:hAnsi="Cambria Math"/>
                      </w:rPr>
                      <m:t>1</m:t>
                    </m:r>
                    <m:ctrlPr>
                      <w:rPr>
                        <w:rFonts w:ascii="Cambria Math" w:hAnsi="Cambria Math"/>
                      </w:rPr>
                    </m:ctrlPr>
                  </m:sub>
                </m:sSub>
                <m:ctrlPr>
                  <w:rPr>
                    <w:rFonts w:ascii="Cambria Math" w:hAnsi="Cambria Math"/>
                  </w:rPr>
                </m:ctrlPr>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F</m:t>
                    </m:r>
                    <m:r>
                      <m:rPr>
                        <m:sty m:val="p"/>
                      </m:rPr>
                      <w:rPr>
                        <w:rFonts w:ascii="Cambria Math" w:hAnsi="Cambria Math"/>
                      </w:rPr>
                      <m:t>2</m:t>
                    </m:r>
                    <m:ctrlPr>
                      <w:rPr>
                        <w:rFonts w:ascii="Cambria Math" w:hAnsi="Cambria Math"/>
                      </w:rPr>
                    </m:ctrlPr>
                  </m:sub>
                </m:sSub>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F</m:t>
                    </m:r>
                    <m:r>
                      <m:rPr>
                        <m:sty m:val="p"/>
                      </m:rPr>
                      <w:rPr>
                        <w:rFonts w:ascii="Cambria Math" w:hAnsi="Cambria Math"/>
                      </w:rPr>
                      <m:t>2</m:t>
                    </m:r>
                    <m:ctrlPr>
                      <w:rPr>
                        <w:rFonts w:ascii="Cambria Math" w:hAnsi="Cambria Math"/>
                      </w:rPr>
                    </m:ctrlPr>
                  </m:sub>
                </m:sSub>
                <m:ctrlPr>
                  <w:rPr>
                    <w:rFonts w:ascii="Cambria Math" w:hAnsi="Cambria Math"/>
                  </w:rPr>
                </m:ctrlPr>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Fn</m:t>
                    </m:r>
                    <m:ctrlPr>
                      <w:rPr>
                        <w:rFonts w:ascii="Cambria Math" w:hAnsi="Cambria Math"/>
                      </w:rPr>
                    </m:ctrlPr>
                  </m:sub>
                </m:sSub>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Fn</m:t>
                    </m:r>
                    <m:ctrlPr>
                      <w:rPr>
                        <w:rFonts w:ascii="Cambria Math" w:hAnsi="Cambria Math"/>
                      </w:rPr>
                    </m:ctrlPr>
                  </m:sub>
                </m:sSub>
                <m:ctrlPr>
                  <w:rPr>
                    <w:rFonts w:ascii="Cambria Math" w:hAnsi="Cambria Math"/>
                  </w:rPr>
                </m:ctrlPr>
              </m:e>
            </m:d>
            <m:ctrlPr>
              <w:rPr>
                <w:rFonts w:ascii="Cambria Math" w:hAnsi="Cambria Math"/>
              </w:rPr>
            </m:ctrlPr>
          </m:e>
        </m:d>
      </m:oMath>
      <w:r>
        <w:tab/>
      </w:r>
      <w:r>
        <w:t>(</w:t>
      </w:r>
      <w:r>
        <w:rPr>
          <w:rFonts w:hint="eastAsia"/>
        </w:rPr>
        <w:t>E</w:t>
      </w:r>
      <w:r>
        <w:t>.32)</w:t>
      </w:r>
    </w:p>
    <w:p w14:paraId="672FFA8B">
      <w:pPr>
        <w:pStyle w:val="60"/>
        <w:ind w:firstLine="420"/>
      </w:pPr>
      <w:r>
        <w:rPr>
          <w:rFonts w:hint="eastAsia"/>
        </w:rPr>
        <w:t>式中：</w:t>
      </w:r>
    </w:p>
    <w:p w14:paraId="02B35B24">
      <w:pPr>
        <w:pStyle w:val="60"/>
        <w:ind w:firstLine="420"/>
      </w:pPr>
      <w:r>
        <w:t>N</w:t>
      </w:r>
      <w:r>
        <w:rPr>
          <w:vertAlign w:val="subscript"/>
        </w:rPr>
        <w:t>Fi</w:t>
      </w:r>
      <w:r>
        <w:rPr>
          <w:rFonts w:hint="eastAsia"/>
          <w:spacing w:val="-20"/>
        </w:rPr>
        <w:t>——</w:t>
      </w:r>
      <w:r>
        <w:t>i</w:t>
      </w:r>
      <w:r>
        <w:rPr>
          <w:rFonts w:hint="eastAsia"/>
        </w:rPr>
        <w:t>类浮盘附件数，无量纲量；</w:t>
      </w:r>
    </w:p>
    <w:p w14:paraId="1B8404FE">
      <w:pPr>
        <w:pStyle w:val="60"/>
        <w:ind w:firstLine="420"/>
      </w:pPr>
      <w:r>
        <w:t>K</w:t>
      </w:r>
      <w:r>
        <w:rPr>
          <w:vertAlign w:val="subscript"/>
        </w:rPr>
        <w:t>Fi</w:t>
      </w:r>
      <w:r>
        <w:rPr>
          <w:rFonts w:hint="eastAsia"/>
          <w:spacing w:val="-20"/>
        </w:rPr>
        <w:t>——</w:t>
      </w:r>
      <w:r>
        <w:t>i</w:t>
      </w:r>
      <w:r>
        <w:rPr>
          <w:rFonts w:hint="eastAsia"/>
        </w:rPr>
        <w:t>类附件损失因子，磅</w:t>
      </w:r>
      <w:r>
        <w:t>-</w:t>
      </w:r>
      <w:r>
        <w:rPr>
          <w:rFonts w:hint="eastAsia"/>
        </w:rPr>
        <w:t>摩尔</w:t>
      </w:r>
      <w:r>
        <w:t>/</w:t>
      </w:r>
      <w:r>
        <w:rPr>
          <w:rFonts w:hint="eastAsia"/>
        </w:rPr>
        <w:t>年，见公式</w:t>
      </w:r>
      <w:r>
        <w:t>(E.33)</w:t>
      </w:r>
      <w:r>
        <w:rPr>
          <w:rFonts w:hint="eastAsia"/>
        </w:rPr>
        <w:t>；</w:t>
      </w:r>
    </w:p>
    <w:p w14:paraId="1602E314">
      <w:pPr>
        <w:pStyle w:val="60"/>
        <w:ind w:firstLine="420"/>
      </w:pPr>
      <w:r>
        <w:t>N</w:t>
      </w:r>
      <w:r>
        <w:rPr>
          <w:vertAlign w:val="subscript"/>
        </w:rPr>
        <w:t>F</w:t>
      </w:r>
      <w:r>
        <w:rPr>
          <w:rFonts w:hint="eastAsia"/>
          <w:spacing w:val="-20"/>
        </w:rPr>
        <w:t>——</w:t>
      </w:r>
      <w:r>
        <w:rPr>
          <w:rFonts w:hint="eastAsia"/>
        </w:rPr>
        <w:t>某类的附件总数，无量纲量；</w:t>
      </w:r>
    </w:p>
    <w:p w14:paraId="1B9AEB1F">
      <w:pPr>
        <w:pStyle w:val="60"/>
        <w:ind w:firstLine="420"/>
      </w:pPr>
      <w:r>
        <w:t>P</w:t>
      </w:r>
      <w:r>
        <w:rPr>
          <w:vertAlign w:val="superscript"/>
        </w:rPr>
        <w:t>*</w:t>
      </w:r>
      <w:r>
        <w:rPr>
          <w:rFonts w:hint="eastAsia"/>
        </w:rPr>
        <w:t>，</w:t>
      </w:r>
      <w:r>
        <w:t>M</w:t>
      </w:r>
      <w:r>
        <w:rPr>
          <w:vertAlign w:val="subscript"/>
        </w:rPr>
        <w:t>V</w:t>
      </w:r>
      <w:r>
        <w:rPr>
          <w:rFonts w:hint="eastAsia"/>
        </w:rPr>
        <w:t>，</w:t>
      </w:r>
      <w:r>
        <w:t>K</w:t>
      </w:r>
      <w:r>
        <w:rPr>
          <w:vertAlign w:val="subscript"/>
        </w:rPr>
        <w:t>C</w:t>
      </w:r>
      <w:r>
        <w:rPr>
          <w:rFonts w:hint="eastAsia"/>
        </w:rPr>
        <w:t>的定义见公式</w:t>
      </w:r>
      <w:r>
        <w:t>(E.28)</w:t>
      </w:r>
      <w:r>
        <w:rPr>
          <w:rFonts w:hint="eastAsia"/>
        </w:rPr>
        <w:t>。</w:t>
      </w:r>
      <w:r>
        <w:t>F</w:t>
      </w:r>
      <w:r>
        <w:rPr>
          <w:vertAlign w:val="subscript"/>
        </w:rPr>
        <w:t>F</w:t>
      </w:r>
      <w:r>
        <w:t>的值可由罐体实际参数中附件种类数（N</w:t>
      </w:r>
      <w:r>
        <w:rPr>
          <w:vertAlign w:val="subscript"/>
        </w:rPr>
        <w:t>F</w:t>
      </w:r>
      <w:r>
        <w:t>）乘以每一种附件的损失因子（K</w:t>
      </w:r>
      <w:r>
        <w:rPr>
          <w:vertAlign w:val="subscript"/>
        </w:rPr>
        <w:t>F</w:t>
      </w:r>
      <w:r>
        <w:t>）计算。</w:t>
      </w:r>
    </w:p>
    <w:p w14:paraId="213AC693">
      <w:pPr>
        <w:pStyle w:val="60"/>
        <w:ind w:firstLine="420"/>
      </w:pPr>
      <w:r>
        <w:t>对于浮盘附件，K</w:t>
      </w:r>
      <w:r>
        <w:rPr>
          <w:i/>
          <w:vertAlign w:val="subscript"/>
        </w:rPr>
        <w:t>Fi</w:t>
      </w:r>
      <w:r>
        <w:t>可</w:t>
      </w:r>
      <w:r>
        <w:rPr>
          <w:rFonts w:hint="eastAsia"/>
        </w:rPr>
        <w:t>由</w:t>
      </w:r>
      <w:r>
        <w:t>公式(E.33)计算：</w:t>
      </w:r>
    </w:p>
    <w:p w14:paraId="66E0C5B9">
      <w:pPr>
        <w:pStyle w:val="242"/>
      </w:pPr>
      <w:r>
        <w:tab/>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Fi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F</m:t>
            </m:r>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F</m:t>
            </m:r>
            <m:sSub>
              <m:sSubPr>
                <m:ctrlPr>
                  <w:rPr>
                    <w:rFonts w:ascii="Cambria Math" w:hAnsi="Cambria Math"/>
                  </w:rPr>
                </m:ctrlPr>
              </m:sSubPr>
              <m:e>
                <m:r>
                  <m:rPr/>
                  <w:rPr>
                    <w:rFonts w:ascii="Cambria Math" w:hAnsi="Cambria Math"/>
                  </w:rPr>
                  <m:t>b</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v</m:t>
                    </m:r>
                    <m:ctrlPr>
                      <w:rPr>
                        <w:rFonts w:ascii="Cambria Math" w:hAnsi="Cambria Math"/>
                      </w:rPr>
                    </m:ctrlPr>
                  </m:sub>
                </m:sSub>
                <m:r>
                  <m:rPr/>
                  <w:rPr>
                    <w:rFonts w:ascii="Cambria Math" w:hAnsi="Cambria Math"/>
                  </w:rPr>
                  <m:t>v</m:t>
                </m:r>
                <m:ctrlPr>
                  <w:rPr>
                    <w:rFonts w:ascii="Cambria Math" w:hAnsi="Cambria Math"/>
                  </w:rPr>
                </m:ctrlPr>
              </m:e>
            </m:d>
            <m:ctrlPr>
              <w:rPr>
                <w:rFonts w:ascii="Cambria Math" w:hAnsi="Cambria Math"/>
              </w:rPr>
            </m:ctrlPr>
          </m:e>
          <m:sup>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sup>
        </m:sSup>
      </m:oMath>
      <w:r>
        <w:tab/>
      </w:r>
      <w:r>
        <w:t>(</w:t>
      </w:r>
      <w:r>
        <w:rPr>
          <w:rFonts w:hint="eastAsia"/>
        </w:rPr>
        <w:t>E</w:t>
      </w:r>
      <w:r>
        <w:t>.33)</w:t>
      </w:r>
    </w:p>
    <w:p w14:paraId="1C02935A">
      <w:pPr>
        <w:pStyle w:val="60"/>
        <w:ind w:firstLine="420"/>
      </w:pPr>
      <w:r>
        <w:t>式中</w:t>
      </w:r>
      <w:r>
        <w:rPr>
          <w:rFonts w:hint="eastAsia"/>
        </w:rPr>
        <w:t>：</w:t>
      </w:r>
    </w:p>
    <w:p w14:paraId="660A6457">
      <w:pPr>
        <w:pStyle w:val="60"/>
        <w:ind w:firstLine="420"/>
      </w:pPr>
      <w:r>
        <w:t>K</w:t>
      </w:r>
      <w:r>
        <w:rPr>
          <w:vertAlign w:val="subscript"/>
        </w:rPr>
        <w:t>Fi</w:t>
      </w:r>
      <w:r>
        <w:rPr>
          <w:rFonts w:hint="eastAsia"/>
          <w:spacing w:val="-20"/>
        </w:rPr>
        <w:t>——</w:t>
      </w:r>
      <w:r>
        <w:rPr>
          <w:rFonts w:hint="eastAsia"/>
        </w:rPr>
        <w:t>浮盘附件损失因子，磅</w:t>
      </w:r>
      <w:r>
        <w:t>-</w:t>
      </w:r>
      <w:r>
        <w:rPr>
          <w:rFonts w:hint="eastAsia"/>
        </w:rPr>
        <w:t>摩尔</w:t>
      </w:r>
      <w:r>
        <w:t>/</w:t>
      </w:r>
      <w:r>
        <w:rPr>
          <w:rFonts w:hint="eastAsia"/>
        </w:rPr>
        <w:t>年；</w:t>
      </w:r>
    </w:p>
    <w:p w14:paraId="2BC58E94">
      <w:pPr>
        <w:pStyle w:val="60"/>
        <w:ind w:firstLine="420"/>
      </w:pPr>
      <w:r>
        <w:t>K</w:t>
      </w:r>
      <w:r>
        <w:rPr>
          <w:vertAlign w:val="subscript"/>
        </w:rPr>
        <w:t>Fai</w:t>
      </w:r>
      <w:bookmarkStart w:id="276" w:name="OLE_LINK52"/>
      <w:r>
        <w:rPr>
          <w:rFonts w:hint="eastAsia"/>
          <w:spacing w:val="-20"/>
        </w:rPr>
        <w:t>——</w:t>
      </w:r>
      <w:bookmarkEnd w:id="276"/>
      <w:r>
        <w:rPr>
          <w:rFonts w:hint="eastAsia"/>
        </w:rPr>
        <w:t>无风情况下浮盘附件损失因子，磅</w:t>
      </w:r>
      <w:r>
        <w:t>-</w:t>
      </w:r>
      <w:r>
        <w:rPr>
          <w:rFonts w:hint="eastAsia"/>
        </w:rPr>
        <w:t>摩尔</w:t>
      </w:r>
      <w:r>
        <w:t>/</w:t>
      </w:r>
      <w:r>
        <w:rPr>
          <w:rFonts w:hint="eastAsia"/>
        </w:rPr>
        <w:t>年，见表</w:t>
      </w:r>
      <w:r>
        <w:t>E.5</w:t>
      </w:r>
      <w:r>
        <w:rPr>
          <w:rFonts w:hint="eastAsia"/>
        </w:rPr>
        <w:t>；</w:t>
      </w:r>
    </w:p>
    <w:p w14:paraId="598B0741">
      <w:pPr>
        <w:pStyle w:val="60"/>
        <w:ind w:firstLine="420"/>
      </w:pPr>
      <w:r>
        <w:t>K</w:t>
      </w:r>
      <w:r>
        <w:rPr>
          <w:vertAlign w:val="subscript"/>
        </w:rPr>
        <w:t>Fbi</w:t>
      </w:r>
      <w:r>
        <w:rPr>
          <w:rFonts w:hint="eastAsia"/>
          <w:spacing w:val="-20"/>
        </w:rPr>
        <w:t>——</w:t>
      </w:r>
      <w:r>
        <w:rPr>
          <w:rFonts w:hint="eastAsia"/>
        </w:rPr>
        <w:t>有风情况下浮盘附件损失因子，磅</w:t>
      </w:r>
      <w:r>
        <w:t>-</w:t>
      </w:r>
      <w:r>
        <w:rPr>
          <w:rFonts w:hint="eastAsia"/>
        </w:rPr>
        <w:t>摩尔</w:t>
      </w:r>
      <w:r>
        <w:t>/</w:t>
      </w:r>
      <w:r>
        <w:rPr>
          <w:rFonts w:hint="eastAsia"/>
        </w:rPr>
        <w:t>（迈</w:t>
      </w:r>
      <w:r>
        <w:t>m</w:t>
      </w:r>
      <w:r>
        <w:rPr>
          <w:rFonts w:hint="eastAsia"/>
        </w:rPr>
        <w:t>•年），见表</w:t>
      </w:r>
      <w:r>
        <w:t>E.5</w:t>
      </w:r>
      <w:r>
        <w:rPr>
          <w:rFonts w:hint="eastAsia"/>
        </w:rPr>
        <w:t>；</w:t>
      </w:r>
    </w:p>
    <w:p w14:paraId="1EC9A411">
      <w:pPr>
        <w:pStyle w:val="60"/>
        <w:ind w:firstLine="420"/>
      </w:pPr>
      <w:r>
        <w:t>m</w:t>
      </w:r>
      <w:r>
        <w:rPr>
          <w:vertAlign w:val="subscript"/>
        </w:rPr>
        <w:t>i</w:t>
      </w:r>
      <w:r>
        <w:rPr>
          <w:rFonts w:hint="eastAsia"/>
          <w:spacing w:val="-20"/>
        </w:rPr>
        <w:t>——</w:t>
      </w:r>
      <w:r>
        <w:t>i</w:t>
      </w:r>
      <w:r>
        <w:rPr>
          <w:rFonts w:hint="eastAsia"/>
        </w:rPr>
        <w:t>类浮盘损失因子，无量纲量，见表</w:t>
      </w:r>
      <w:r>
        <w:t>E.5</w:t>
      </w:r>
      <w:r>
        <w:rPr>
          <w:rFonts w:hint="eastAsia"/>
        </w:rPr>
        <w:t>；</w:t>
      </w:r>
    </w:p>
    <w:p w14:paraId="40272986">
      <w:pPr>
        <w:pStyle w:val="60"/>
        <w:ind w:firstLine="420"/>
      </w:pPr>
      <w:r>
        <w:t>K</w:t>
      </w:r>
      <w:r>
        <w:rPr>
          <w:vertAlign w:val="subscript"/>
        </w:rPr>
        <w:t>v</w:t>
      </w:r>
      <w:r>
        <w:rPr>
          <w:rFonts w:hint="eastAsia"/>
          <w:spacing w:val="-20"/>
        </w:rPr>
        <w:t>——</w:t>
      </w:r>
      <w:r>
        <w:rPr>
          <w:rFonts w:hint="eastAsia"/>
        </w:rPr>
        <w:t>附件风速修正因子，无量纲量（外浮顶罐，</w:t>
      </w:r>
      <w:r>
        <w:t>K</w:t>
      </w:r>
      <w:r>
        <w:rPr>
          <w:vertAlign w:val="subscript"/>
        </w:rPr>
        <w:t>v</w:t>
      </w:r>
      <w:r>
        <w:t>=0.7</w:t>
      </w:r>
      <w:r>
        <w:rPr>
          <w:rFonts w:hint="eastAsia"/>
        </w:rPr>
        <w:t>；内浮顶罐和穹顶外浮顶罐，</w:t>
      </w:r>
      <w:r>
        <w:t>K</w:t>
      </w:r>
      <w:r>
        <w:rPr>
          <w:vertAlign w:val="subscript"/>
        </w:rPr>
        <w:t>v</w:t>
      </w:r>
      <w:r>
        <w:t>=0</w:t>
      </w:r>
      <w:r>
        <w:rPr>
          <w:rFonts w:hint="eastAsia"/>
        </w:rPr>
        <w:t>）；</w:t>
      </w:r>
    </w:p>
    <w:p w14:paraId="580E3F9E">
      <w:pPr>
        <w:pStyle w:val="60"/>
        <w:ind w:firstLine="420"/>
      </w:pPr>
      <w:r>
        <w:t>v</w:t>
      </w:r>
      <w:r>
        <w:rPr>
          <w:rFonts w:hint="eastAsia"/>
          <w:spacing w:val="-20"/>
        </w:rPr>
        <w:t>——</w:t>
      </w:r>
      <w:r>
        <w:rPr>
          <w:rFonts w:hint="eastAsia"/>
        </w:rPr>
        <w:t>平均气压平均风速，迈。</w:t>
      </w:r>
    </w:p>
    <w:p w14:paraId="35AB8271">
      <w:pPr>
        <w:pStyle w:val="60"/>
        <w:ind w:firstLine="420"/>
        <w:jc w:val="center"/>
      </w:pPr>
      <w:r>
        <w:t>表E.5 浮顶罐浮盘附件损失系数表</w:t>
      </w:r>
    </w:p>
    <w:tbl>
      <w:tblPr>
        <w:tblStyle w:val="29"/>
        <w:tblW w:w="9923"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3260"/>
        <w:gridCol w:w="1701"/>
        <w:gridCol w:w="2552"/>
        <w:gridCol w:w="992"/>
      </w:tblGrid>
      <w:tr w14:paraId="5FE6FD7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blHeader/>
          <w:jc w:val="center"/>
        </w:trPr>
        <w:tc>
          <w:tcPr>
            <w:tcW w:w="1418" w:type="dxa"/>
            <w:tcBorders>
              <w:bottom w:val="single" w:color="auto" w:sz="12" w:space="0"/>
            </w:tcBorders>
            <w:vAlign w:val="center"/>
          </w:tcPr>
          <w:p w14:paraId="0FB7EE10">
            <w:pPr>
              <w:pStyle w:val="236"/>
              <w:rPr>
                <w:rFonts w:ascii="宋体" w:eastAsia="宋体"/>
                <w:sz w:val="21"/>
              </w:rPr>
            </w:pPr>
            <w:r>
              <w:rPr>
                <w:rFonts w:hint="eastAsia" w:ascii="宋体" w:eastAsia="宋体"/>
                <w:sz w:val="21"/>
              </w:rPr>
              <w:t>附件</w:t>
            </w:r>
          </w:p>
        </w:tc>
        <w:tc>
          <w:tcPr>
            <w:tcW w:w="3260" w:type="dxa"/>
            <w:tcBorders>
              <w:bottom w:val="single" w:color="auto" w:sz="12" w:space="0"/>
            </w:tcBorders>
            <w:vAlign w:val="center"/>
          </w:tcPr>
          <w:p w14:paraId="1E349A74">
            <w:pPr>
              <w:pStyle w:val="236"/>
              <w:rPr>
                <w:rFonts w:ascii="宋体" w:eastAsia="宋体"/>
                <w:sz w:val="21"/>
              </w:rPr>
            </w:pPr>
            <w:r>
              <w:rPr>
                <w:rFonts w:hint="eastAsia" w:ascii="宋体" w:eastAsia="宋体"/>
                <w:sz w:val="21"/>
              </w:rPr>
              <w:t>状态</w:t>
            </w:r>
          </w:p>
        </w:tc>
        <w:tc>
          <w:tcPr>
            <w:tcW w:w="1701" w:type="dxa"/>
            <w:tcBorders>
              <w:bottom w:val="single" w:color="auto" w:sz="12" w:space="0"/>
            </w:tcBorders>
            <w:vAlign w:val="center"/>
          </w:tcPr>
          <w:p w14:paraId="63162849">
            <w:pPr>
              <w:pStyle w:val="236"/>
              <w:rPr>
                <w:rFonts w:ascii="宋体" w:hAnsi="宋体" w:eastAsia="宋体" w:cs="仿宋"/>
                <w:kern w:val="2"/>
                <w:sz w:val="21"/>
                <w:szCs w:val="21"/>
                <w:vertAlign w:val="subscript"/>
              </w:rPr>
            </w:pPr>
            <w:r>
              <w:rPr>
                <w:rFonts w:hint="eastAsia" w:ascii="宋体" w:hAnsi="宋体" w:eastAsia="宋体" w:cs="仿宋"/>
                <w:kern w:val="2"/>
                <w:sz w:val="21"/>
                <w:szCs w:val="21"/>
              </w:rPr>
              <w:t>K</w:t>
            </w:r>
            <w:r>
              <w:rPr>
                <w:rFonts w:hint="eastAsia" w:ascii="宋体" w:hAnsi="宋体" w:eastAsia="宋体" w:cs="仿宋"/>
                <w:i/>
                <w:kern w:val="2"/>
                <w:sz w:val="21"/>
                <w:szCs w:val="21"/>
                <w:vertAlign w:val="subscript"/>
              </w:rPr>
              <w:t>Fai</w:t>
            </w:r>
          </w:p>
          <w:p w14:paraId="641451AF">
            <w:pPr>
              <w:pStyle w:val="236"/>
              <w:rPr>
                <w:rFonts w:ascii="宋体" w:hAnsi="宋体" w:eastAsia="宋体" w:cs="仿宋"/>
                <w:kern w:val="2"/>
                <w:sz w:val="21"/>
                <w:szCs w:val="21"/>
              </w:rPr>
            </w:pPr>
            <w:r>
              <w:rPr>
                <w:rFonts w:hint="eastAsia" w:ascii="宋体" w:hAnsi="宋体" w:eastAsia="宋体" w:cs="仿宋"/>
                <w:kern w:val="2"/>
                <w:sz w:val="21"/>
                <w:szCs w:val="21"/>
              </w:rPr>
              <w:t>（磅-摩尔/年）</w:t>
            </w:r>
          </w:p>
        </w:tc>
        <w:tc>
          <w:tcPr>
            <w:tcW w:w="2552" w:type="dxa"/>
            <w:tcBorders>
              <w:bottom w:val="single" w:color="auto" w:sz="12" w:space="0"/>
            </w:tcBorders>
            <w:vAlign w:val="center"/>
          </w:tcPr>
          <w:p w14:paraId="7A8E8641">
            <w:pPr>
              <w:pStyle w:val="236"/>
              <w:rPr>
                <w:rFonts w:ascii="宋体" w:hAnsi="宋体" w:eastAsia="宋体" w:cs="仿宋"/>
                <w:kern w:val="2"/>
                <w:sz w:val="21"/>
                <w:szCs w:val="21"/>
                <w:vertAlign w:val="subscript"/>
              </w:rPr>
            </w:pPr>
            <w:r>
              <w:rPr>
                <w:rFonts w:hint="eastAsia" w:ascii="宋体" w:hAnsi="宋体" w:eastAsia="宋体" w:cs="仿宋"/>
                <w:kern w:val="2"/>
                <w:sz w:val="21"/>
                <w:szCs w:val="21"/>
              </w:rPr>
              <w:t>K</w:t>
            </w:r>
            <w:r>
              <w:rPr>
                <w:rFonts w:hint="eastAsia" w:ascii="宋体" w:hAnsi="宋体" w:eastAsia="宋体" w:cs="仿宋"/>
                <w:i/>
                <w:kern w:val="2"/>
                <w:sz w:val="21"/>
                <w:szCs w:val="21"/>
                <w:vertAlign w:val="subscript"/>
              </w:rPr>
              <w:t>Fbi</w:t>
            </w:r>
          </w:p>
          <w:p w14:paraId="48C16A18">
            <w:pPr>
              <w:pStyle w:val="236"/>
              <w:rPr>
                <w:rFonts w:ascii="宋体" w:hAnsi="宋体" w:eastAsia="宋体" w:cs="仿宋"/>
                <w:kern w:val="2"/>
                <w:sz w:val="21"/>
                <w:szCs w:val="21"/>
              </w:rPr>
            </w:pPr>
            <w:r>
              <w:rPr>
                <w:rFonts w:hint="eastAsia" w:ascii="宋体" w:hAnsi="宋体" w:eastAsia="宋体" w:cs="仿宋"/>
                <w:kern w:val="2"/>
                <w:sz w:val="21"/>
                <w:szCs w:val="21"/>
              </w:rPr>
              <w:t>（磅-摩尔/（迈</w:t>
            </w:r>
            <w:r>
              <w:rPr>
                <w:rFonts w:hint="eastAsia" w:ascii="宋体" w:hAnsi="宋体" w:eastAsia="宋体" w:cs="仿宋"/>
                <w:kern w:val="2"/>
                <w:sz w:val="21"/>
                <w:szCs w:val="21"/>
                <w:vertAlign w:val="superscript"/>
              </w:rPr>
              <w:t>n</w:t>
            </w:r>
            <w:r>
              <w:rPr>
                <w:rFonts w:hint="eastAsia" w:ascii="宋体" w:hAnsi="宋体" w:eastAsia="宋体" w:cs="仿宋"/>
                <w:kern w:val="2"/>
                <w:sz w:val="21"/>
                <w:szCs w:val="21"/>
              </w:rPr>
              <w:t>•年））</w:t>
            </w:r>
          </w:p>
        </w:tc>
        <w:tc>
          <w:tcPr>
            <w:tcW w:w="992" w:type="dxa"/>
            <w:tcBorders>
              <w:bottom w:val="single" w:color="auto" w:sz="12" w:space="0"/>
            </w:tcBorders>
            <w:vAlign w:val="center"/>
          </w:tcPr>
          <w:p w14:paraId="3F0FE593">
            <w:pPr>
              <w:pStyle w:val="236"/>
              <w:rPr>
                <w:rFonts w:ascii="宋体" w:hAnsi="宋体" w:eastAsia="宋体" w:cs="仿宋"/>
                <w:i/>
                <w:kern w:val="2"/>
                <w:sz w:val="21"/>
                <w:szCs w:val="21"/>
              </w:rPr>
            </w:pPr>
            <w:r>
              <w:rPr>
                <w:rFonts w:hint="eastAsia" w:ascii="宋体" w:hAnsi="宋体" w:eastAsia="宋体" w:cs="仿宋"/>
                <w:i/>
                <w:kern w:val="2"/>
                <w:sz w:val="21"/>
                <w:szCs w:val="21"/>
              </w:rPr>
              <w:t>m</w:t>
            </w:r>
          </w:p>
        </w:tc>
      </w:tr>
      <w:tr w14:paraId="7CF8459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restart"/>
            <w:tcBorders>
              <w:top w:val="single" w:color="auto" w:sz="12" w:space="0"/>
            </w:tcBorders>
            <w:vAlign w:val="center"/>
          </w:tcPr>
          <w:p w14:paraId="3B976A05">
            <w:pPr>
              <w:pStyle w:val="236"/>
              <w:rPr>
                <w:rFonts w:ascii="宋体" w:eastAsia="宋体"/>
                <w:sz w:val="21"/>
              </w:rPr>
            </w:pPr>
            <w:r>
              <w:rPr>
                <w:rFonts w:hint="eastAsia" w:ascii="宋体" w:eastAsia="宋体"/>
                <w:sz w:val="21"/>
              </w:rPr>
              <w:t>人孔</w:t>
            </w:r>
          </w:p>
        </w:tc>
        <w:tc>
          <w:tcPr>
            <w:tcW w:w="3260" w:type="dxa"/>
            <w:tcBorders>
              <w:top w:val="single" w:color="auto" w:sz="12" w:space="0"/>
            </w:tcBorders>
            <w:vAlign w:val="center"/>
          </w:tcPr>
          <w:p w14:paraId="3ACB11D7">
            <w:pPr>
              <w:pStyle w:val="236"/>
              <w:rPr>
                <w:rFonts w:ascii="宋体" w:eastAsia="宋体"/>
                <w:sz w:val="21"/>
              </w:rPr>
            </w:pPr>
            <w:r>
              <w:rPr>
                <w:rFonts w:hint="eastAsia" w:ascii="宋体" w:eastAsia="宋体"/>
                <w:sz w:val="21"/>
              </w:rPr>
              <w:t>螺栓固定盖子，有密封件</w:t>
            </w:r>
          </w:p>
        </w:tc>
        <w:tc>
          <w:tcPr>
            <w:tcW w:w="1701" w:type="dxa"/>
            <w:tcBorders>
              <w:top w:val="single" w:color="auto" w:sz="12" w:space="0"/>
            </w:tcBorders>
            <w:vAlign w:val="center"/>
          </w:tcPr>
          <w:p w14:paraId="1B783EA6">
            <w:pPr>
              <w:pStyle w:val="236"/>
              <w:rPr>
                <w:rFonts w:ascii="宋体" w:eastAsia="宋体"/>
                <w:sz w:val="21"/>
              </w:rPr>
            </w:pPr>
            <w:r>
              <w:rPr>
                <w:rFonts w:hint="eastAsia" w:ascii="宋体" w:eastAsia="宋体"/>
                <w:sz w:val="21"/>
              </w:rPr>
              <w:t>1.6</w:t>
            </w:r>
            <w:r>
              <w:rPr>
                <w:rFonts w:ascii="宋体" w:eastAsia="宋体"/>
                <w:sz w:val="21"/>
              </w:rPr>
              <w:t>0</w:t>
            </w:r>
          </w:p>
        </w:tc>
        <w:tc>
          <w:tcPr>
            <w:tcW w:w="2552" w:type="dxa"/>
            <w:tcBorders>
              <w:top w:val="single" w:color="auto" w:sz="12" w:space="0"/>
            </w:tcBorders>
            <w:vAlign w:val="center"/>
          </w:tcPr>
          <w:p w14:paraId="6F081C1A">
            <w:pPr>
              <w:pStyle w:val="236"/>
              <w:rPr>
                <w:rFonts w:ascii="宋体" w:eastAsia="宋体"/>
                <w:sz w:val="21"/>
              </w:rPr>
            </w:pPr>
            <w:r>
              <w:rPr>
                <w:rFonts w:hint="eastAsia" w:ascii="宋体" w:eastAsia="宋体"/>
                <w:sz w:val="21"/>
              </w:rPr>
              <w:t>0</w:t>
            </w:r>
            <w:r>
              <w:rPr>
                <w:rFonts w:ascii="宋体" w:eastAsia="宋体"/>
                <w:sz w:val="21"/>
              </w:rPr>
              <w:t>.00</w:t>
            </w:r>
          </w:p>
        </w:tc>
        <w:tc>
          <w:tcPr>
            <w:tcW w:w="992" w:type="dxa"/>
            <w:tcBorders>
              <w:top w:val="single" w:color="auto" w:sz="12" w:space="0"/>
            </w:tcBorders>
            <w:vAlign w:val="center"/>
          </w:tcPr>
          <w:p w14:paraId="252AFB52">
            <w:pPr>
              <w:pStyle w:val="236"/>
              <w:rPr>
                <w:rFonts w:ascii="宋体" w:eastAsia="宋体"/>
                <w:sz w:val="21"/>
              </w:rPr>
            </w:pPr>
            <w:r>
              <w:rPr>
                <w:rFonts w:hint="eastAsia" w:ascii="宋体" w:eastAsia="宋体"/>
                <w:sz w:val="21"/>
              </w:rPr>
              <w:t>0</w:t>
            </w:r>
            <w:r>
              <w:rPr>
                <w:rFonts w:ascii="宋体" w:eastAsia="宋体"/>
                <w:sz w:val="21"/>
              </w:rPr>
              <w:t>.00</w:t>
            </w:r>
          </w:p>
        </w:tc>
      </w:tr>
      <w:tr w14:paraId="34C04F1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5B9292A9">
            <w:pPr>
              <w:pStyle w:val="236"/>
              <w:rPr>
                <w:rFonts w:ascii="宋体" w:eastAsia="宋体"/>
                <w:sz w:val="21"/>
              </w:rPr>
            </w:pPr>
          </w:p>
        </w:tc>
        <w:tc>
          <w:tcPr>
            <w:tcW w:w="3260" w:type="dxa"/>
            <w:vAlign w:val="center"/>
          </w:tcPr>
          <w:p w14:paraId="21115150">
            <w:pPr>
              <w:pStyle w:val="236"/>
              <w:rPr>
                <w:rFonts w:ascii="宋体" w:eastAsia="宋体"/>
                <w:sz w:val="21"/>
              </w:rPr>
            </w:pPr>
            <w:r>
              <w:rPr>
                <w:rFonts w:hint="eastAsia" w:ascii="宋体" w:eastAsia="宋体"/>
                <w:sz w:val="21"/>
              </w:rPr>
              <w:t>无螺栓固定盖子，无密封件</w:t>
            </w:r>
          </w:p>
        </w:tc>
        <w:tc>
          <w:tcPr>
            <w:tcW w:w="1701" w:type="dxa"/>
            <w:vAlign w:val="center"/>
          </w:tcPr>
          <w:p w14:paraId="30691D77">
            <w:pPr>
              <w:pStyle w:val="236"/>
              <w:rPr>
                <w:rFonts w:ascii="宋体" w:eastAsia="宋体"/>
                <w:sz w:val="21"/>
              </w:rPr>
            </w:pPr>
            <w:r>
              <w:rPr>
                <w:rFonts w:hint="eastAsia" w:ascii="宋体" w:eastAsia="宋体"/>
                <w:sz w:val="21"/>
              </w:rPr>
              <w:t>36</w:t>
            </w:r>
            <w:r>
              <w:rPr>
                <w:rFonts w:ascii="宋体" w:eastAsia="宋体"/>
                <w:sz w:val="21"/>
              </w:rPr>
              <w:t>.00</w:t>
            </w:r>
          </w:p>
        </w:tc>
        <w:tc>
          <w:tcPr>
            <w:tcW w:w="2552" w:type="dxa"/>
            <w:vAlign w:val="center"/>
          </w:tcPr>
          <w:p w14:paraId="4B9C28EF">
            <w:pPr>
              <w:pStyle w:val="236"/>
              <w:rPr>
                <w:rFonts w:ascii="宋体" w:eastAsia="宋体"/>
                <w:sz w:val="21"/>
              </w:rPr>
            </w:pPr>
            <w:r>
              <w:rPr>
                <w:rFonts w:hint="eastAsia" w:ascii="宋体" w:eastAsia="宋体"/>
                <w:sz w:val="21"/>
              </w:rPr>
              <w:t>5.9</w:t>
            </w:r>
            <w:r>
              <w:rPr>
                <w:rFonts w:ascii="宋体" w:eastAsia="宋体"/>
                <w:sz w:val="21"/>
              </w:rPr>
              <w:t>0</w:t>
            </w:r>
          </w:p>
        </w:tc>
        <w:tc>
          <w:tcPr>
            <w:tcW w:w="992" w:type="dxa"/>
            <w:vAlign w:val="center"/>
          </w:tcPr>
          <w:p w14:paraId="40DB3656">
            <w:pPr>
              <w:pStyle w:val="236"/>
              <w:rPr>
                <w:rFonts w:ascii="宋体" w:eastAsia="宋体"/>
                <w:sz w:val="21"/>
              </w:rPr>
            </w:pPr>
            <w:r>
              <w:rPr>
                <w:rFonts w:hint="eastAsia" w:ascii="宋体" w:eastAsia="宋体"/>
                <w:sz w:val="21"/>
              </w:rPr>
              <w:t>1.2</w:t>
            </w:r>
            <w:r>
              <w:rPr>
                <w:rFonts w:ascii="宋体" w:eastAsia="宋体"/>
                <w:sz w:val="21"/>
              </w:rPr>
              <w:t>0</w:t>
            </w:r>
          </w:p>
        </w:tc>
      </w:tr>
      <w:tr w14:paraId="3D8DE49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tcBorders>
              <w:bottom w:val="single" w:color="auto" w:sz="12" w:space="0"/>
            </w:tcBorders>
            <w:vAlign w:val="center"/>
          </w:tcPr>
          <w:p w14:paraId="50A71AFE">
            <w:pPr>
              <w:pStyle w:val="236"/>
              <w:rPr>
                <w:rFonts w:ascii="宋体" w:eastAsia="宋体"/>
                <w:sz w:val="21"/>
              </w:rPr>
            </w:pPr>
          </w:p>
        </w:tc>
        <w:tc>
          <w:tcPr>
            <w:tcW w:w="3260" w:type="dxa"/>
            <w:tcBorders>
              <w:bottom w:val="single" w:color="auto" w:sz="12" w:space="0"/>
            </w:tcBorders>
            <w:vAlign w:val="center"/>
          </w:tcPr>
          <w:p w14:paraId="35C362DB">
            <w:pPr>
              <w:pStyle w:val="236"/>
              <w:rPr>
                <w:rFonts w:ascii="宋体" w:eastAsia="宋体"/>
                <w:sz w:val="21"/>
              </w:rPr>
            </w:pPr>
            <w:r>
              <w:rPr>
                <w:rFonts w:hint="eastAsia" w:ascii="宋体" w:eastAsia="宋体"/>
                <w:sz w:val="21"/>
              </w:rPr>
              <w:t>无螺栓固定盖子，有密封件</w:t>
            </w:r>
          </w:p>
        </w:tc>
        <w:tc>
          <w:tcPr>
            <w:tcW w:w="1701" w:type="dxa"/>
            <w:tcBorders>
              <w:bottom w:val="single" w:color="auto" w:sz="12" w:space="0"/>
            </w:tcBorders>
            <w:vAlign w:val="center"/>
          </w:tcPr>
          <w:p w14:paraId="23B44A92">
            <w:pPr>
              <w:pStyle w:val="236"/>
              <w:rPr>
                <w:rFonts w:ascii="宋体" w:eastAsia="宋体"/>
                <w:sz w:val="21"/>
              </w:rPr>
            </w:pPr>
            <w:r>
              <w:rPr>
                <w:rFonts w:hint="eastAsia" w:ascii="宋体" w:eastAsia="宋体"/>
                <w:sz w:val="21"/>
              </w:rPr>
              <w:t>31</w:t>
            </w:r>
            <w:r>
              <w:rPr>
                <w:rFonts w:ascii="宋体" w:eastAsia="宋体"/>
                <w:sz w:val="21"/>
              </w:rPr>
              <w:t>.00</w:t>
            </w:r>
          </w:p>
        </w:tc>
        <w:tc>
          <w:tcPr>
            <w:tcW w:w="2552" w:type="dxa"/>
            <w:tcBorders>
              <w:bottom w:val="single" w:color="auto" w:sz="12" w:space="0"/>
            </w:tcBorders>
            <w:vAlign w:val="center"/>
          </w:tcPr>
          <w:p w14:paraId="569D82CD">
            <w:pPr>
              <w:pStyle w:val="236"/>
              <w:rPr>
                <w:rFonts w:ascii="宋体" w:eastAsia="宋体"/>
                <w:sz w:val="21"/>
              </w:rPr>
            </w:pPr>
            <w:r>
              <w:rPr>
                <w:rFonts w:hint="eastAsia" w:ascii="宋体" w:eastAsia="宋体"/>
                <w:sz w:val="21"/>
              </w:rPr>
              <w:t>5.2</w:t>
            </w:r>
            <w:r>
              <w:rPr>
                <w:rFonts w:ascii="宋体" w:eastAsia="宋体"/>
                <w:sz w:val="21"/>
              </w:rPr>
              <w:t>0</w:t>
            </w:r>
          </w:p>
        </w:tc>
        <w:tc>
          <w:tcPr>
            <w:tcW w:w="992" w:type="dxa"/>
            <w:tcBorders>
              <w:bottom w:val="single" w:color="auto" w:sz="12" w:space="0"/>
            </w:tcBorders>
            <w:vAlign w:val="center"/>
          </w:tcPr>
          <w:p w14:paraId="73AFE26A">
            <w:pPr>
              <w:pStyle w:val="236"/>
              <w:rPr>
                <w:rFonts w:ascii="宋体" w:eastAsia="宋体"/>
                <w:sz w:val="21"/>
              </w:rPr>
            </w:pPr>
            <w:r>
              <w:rPr>
                <w:rFonts w:hint="eastAsia" w:ascii="宋体" w:eastAsia="宋体"/>
                <w:sz w:val="21"/>
              </w:rPr>
              <w:t>1.3</w:t>
            </w:r>
            <w:r>
              <w:rPr>
                <w:rFonts w:ascii="宋体" w:eastAsia="宋体"/>
                <w:sz w:val="21"/>
              </w:rPr>
              <w:t>0</w:t>
            </w:r>
          </w:p>
        </w:tc>
      </w:tr>
      <w:tr w14:paraId="56DF273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restart"/>
            <w:tcBorders>
              <w:top w:val="single" w:color="auto" w:sz="12" w:space="0"/>
            </w:tcBorders>
            <w:vAlign w:val="center"/>
          </w:tcPr>
          <w:p w14:paraId="07870D83">
            <w:pPr>
              <w:pStyle w:val="236"/>
              <w:rPr>
                <w:rFonts w:ascii="宋体" w:eastAsia="宋体"/>
                <w:sz w:val="21"/>
              </w:rPr>
            </w:pPr>
            <w:r>
              <w:rPr>
                <w:rFonts w:hint="eastAsia" w:ascii="宋体" w:eastAsia="宋体"/>
                <w:sz w:val="21"/>
              </w:rPr>
              <w:t>计量井</w:t>
            </w:r>
          </w:p>
        </w:tc>
        <w:tc>
          <w:tcPr>
            <w:tcW w:w="3260" w:type="dxa"/>
            <w:tcBorders>
              <w:top w:val="single" w:color="auto" w:sz="12" w:space="0"/>
            </w:tcBorders>
            <w:vAlign w:val="center"/>
          </w:tcPr>
          <w:p w14:paraId="631E04D9">
            <w:pPr>
              <w:pStyle w:val="236"/>
              <w:rPr>
                <w:rFonts w:ascii="宋体" w:eastAsia="宋体"/>
                <w:sz w:val="21"/>
              </w:rPr>
            </w:pPr>
            <w:r>
              <w:rPr>
                <w:rFonts w:hint="eastAsia" w:ascii="宋体" w:eastAsia="宋体"/>
                <w:sz w:val="21"/>
              </w:rPr>
              <w:t>螺栓固定盖子，有密封件</w:t>
            </w:r>
          </w:p>
        </w:tc>
        <w:tc>
          <w:tcPr>
            <w:tcW w:w="1701" w:type="dxa"/>
            <w:tcBorders>
              <w:top w:val="single" w:color="auto" w:sz="12" w:space="0"/>
            </w:tcBorders>
            <w:vAlign w:val="center"/>
          </w:tcPr>
          <w:p w14:paraId="11ACE3C2">
            <w:pPr>
              <w:pStyle w:val="236"/>
              <w:rPr>
                <w:rFonts w:ascii="宋体" w:eastAsia="宋体"/>
                <w:sz w:val="21"/>
              </w:rPr>
            </w:pPr>
            <w:r>
              <w:rPr>
                <w:rFonts w:hint="eastAsia" w:ascii="宋体" w:eastAsia="宋体"/>
                <w:sz w:val="21"/>
              </w:rPr>
              <w:t>2.8</w:t>
            </w:r>
            <w:r>
              <w:rPr>
                <w:rFonts w:ascii="宋体" w:eastAsia="宋体"/>
                <w:sz w:val="21"/>
              </w:rPr>
              <w:t>0</w:t>
            </w:r>
          </w:p>
        </w:tc>
        <w:tc>
          <w:tcPr>
            <w:tcW w:w="2552" w:type="dxa"/>
            <w:tcBorders>
              <w:top w:val="single" w:color="auto" w:sz="12" w:space="0"/>
            </w:tcBorders>
            <w:vAlign w:val="center"/>
          </w:tcPr>
          <w:p w14:paraId="30AA44AC">
            <w:pPr>
              <w:pStyle w:val="236"/>
              <w:rPr>
                <w:rFonts w:ascii="宋体" w:eastAsia="宋体"/>
                <w:sz w:val="21"/>
              </w:rPr>
            </w:pPr>
            <w:r>
              <w:rPr>
                <w:rFonts w:hint="eastAsia" w:ascii="宋体" w:eastAsia="宋体"/>
                <w:sz w:val="21"/>
              </w:rPr>
              <w:t>0</w:t>
            </w:r>
            <w:r>
              <w:rPr>
                <w:rFonts w:ascii="宋体" w:eastAsia="宋体"/>
                <w:sz w:val="21"/>
              </w:rPr>
              <w:t>.00</w:t>
            </w:r>
          </w:p>
        </w:tc>
        <w:tc>
          <w:tcPr>
            <w:tcW w:w="992" w:type="dxa"/>
            <w:tcBorders>
              <w:top w:val="single" w:color="auto" w:sz="12" w:space="0"/>
            </w:tcBorders>
            <w:vAlign w:val="center"/>
          </w:tcPr>
          <w:p w14:paraId="0F1940FF">
            <w:pPr>
              <w:pStyle w:val="236"/>
              <w:rPr>
                <w:rFonts w:ascii="宋体" w:eastAsia="宋体"/>
                <w:sz w:val="21"/>
              </w:rPr>
            </w:pPr>
            <w:r>
              <w:rPr>
                <w:rFonts w:hint="eastAsia" w:ascii="宋体" w:eastAsia="宋体"/>
                <w:sz w:val="21"/>
              </w:rPr>
              <w:t>0</w:t>
            </w:r>
            <w:r>
              <w:rPr>
                <w:rFonts w:ascii="宋体" w:eastAsia="宋体"/>
                <w:sz w:val="21"/>
              </w:rPr>
              <w:t>.00</w:t>
            </w:r>
          </w:p>
        </w:tc>
      </w:tr>
      <w:tr w14:paraId="2506B8D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49EF5140">
            <w:pPr>
              <w:pStyle w:val="236"/>
              <w:rPr>
                <w:rFonts w:ascii="宋体" w:eastAsia="宋体"/>
                <w:sz w:val="21"/>
              </w:rPr>
            </w:pPr>
          </w:p>
        </w:tc>
        <w:tc>
          <w:tcPr>
            <w:tcW w:w="3260" w:type="dxa"/>
            <w:vAlign w:val="center"/>
          </w:tcPr>
          <w:p w14:paraId="7D0CE4E7">
            <w:pPr>
              <w:pStyle w:val="236"/>
              <w:rPr>
                <w:rFonts w:ascii="宋体" w:eastAsia="宋体"/>
                <w:sz w:val="21"/>
              </w:rPr>
            </w:pPr>
            <w:r>
              <w:rPr>
                <w:rFonts w:hint="eastAsia" w:ascii="宋体" w:eastAsia="宋体"/>
                <w:sz w:val="21"/>
              </w:rPr>
              <w:t>无螺栓固定盖子，无密封件</w:t>
            </w:r>
          </w:p>
        </w:tc>
        <w:tc>
          <w:tcPr>
            <w:tcW w:w="1701" w:type="dxa"/>
            <w:vAlign w:val="center"/>
          </w:tcPr>
          <w:p w14:paraId="72B67E42">
            <w:pPr>
              <w:pStyle w:val="236"/>
              <w:rPr>
                <w:rFonts w:ascii="宋体" w:eastAsia="宋体"/>
                <w:sz w:val="21"/>
              </w:rPr>
            </w:pPr>
            <w:r>
              <w:rPr>
                <w:rFonts w:hint="eastAsia" w:ascii="宋体" w:eastAsia="宋体"/>
                <w:sz w:val="21"/>
              </w:rPr>
              <w:t>14</w:t>
            </w:r>
            <w:r>
              <w:rPr>
                <w:rFonts w:ascii="宋体" w:eastAsia="宋体"/>
                <w:sz w:val="21"/>
              </w:rPr>
              <w:t>.00</w:t>
            </w:r>
          </w:p>
        </w:tc>
        <w:tc>
          <w:tcPr>
            <w:tcW w:w="2552" w:type="dxa"/>
            <w:vAlign w:val="center"/>
          </w:tcPr>
          <w:p w14:paraId="5E168C0E">
            <w:pPr>
              <w:pStyle w:val="236"/>
              <w:rPr>
                <w:rFonts w:ascii="宋体" w:eastAsia="宋体"/>
                <w:sz w:val="21"/>
              </w:rPr>
            </w:pPr>
            <w:r>
              <w:rPr>
                <w:rFonts w:hint="eastAsia" w:ascii="宋体" w:eastAsia="宋体"/>
                <w:sz w:val="21"/>
              </w:rPr>
              <w:t>5.4</w:t>
            </w:r>
            <w:r>
              <w:rPr>
                <w:rFonts w:ascii="宋体" w:eastAsia="宋体"/>
                <w:sz w:val="21"/>
              </w:rPr>
              <w:t>0</w:t>
            </w:r>
          </w:p>
        </w:tc>
        <w:tc>
          <w:tcPr>
            <w:tcW w:w="992" w:type="dxa"/>
            <w:vAlign w:val="center"/>
          </w:tcPr>
          <w:p w14:paraId="2207EC73">
            <w:pPr>
              <w:pStyle w:val="236"/>
              <w:rPr>
                <w:rFonts w:ascii="宋体" w:eastAsia="宋体"/>
                <w:sz w:val="21"/>
              </w:rPr>
            </w:pPr>
            <w:r>
              <w:rPr>
                <w:rFonts w:hint="eastAsia" w:ascii="宋体" w:eastAsia="宋体"/>
                <w:sz w:val="21"/>
              </w:rPr>
              <w:t>1.1</w:t>
            </w:r>
            <w:r>
              <w:rPr>
                <w:rFonts w:ascii="宋体" w:eastAsia="宋体"/>
                <w:sz w:val="21"/>
              </w:rPr>
              <w:t>0</w:t>
            </w:r>
          </w:p>
        </w:tc>
      </w:tr>
      <w:tr w14:paraId="7F0F6D8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tcBorders>
              <w:bottom w:val="single" w:color="auto" w:sz="12" w:space="0"/>
            </w:tcBorders>
            <w:vAlign w:val="center"/>
          </w:tcPr>
          <w:p w14:paraId="0DECF6E1">
            <w:pPr>
              <w:pStyle w:val="236"/>
              <w:rPr>
                <w:rFonts w:ascii="宋体" w:eastAsia="宋体"/>
                <w:sz w:val="21"/>
              </w:rPr>
            </w:pPr>
          </w:p>
        </w:tc>
        <w:tc>
          <w:tcPr>
            <w:tcW w:w="3260" w:type="dxa"/>
            <w:tcBorders>
              <w:bottom w:val="single" w:color="auto" w:sz="12" w:space="0"/>
            </w:tcBorders>
            <w:vAlign w:val="center"/>
          </w:tcPr>
          <w:p w14:paraId="56C7DE1E">
            <w:pPr>
              <w:pStyle w:val="236"/>
              <w:rPr>
                <w:rFonts w:ascii="宋体" w:eastAsia="宋体"/>
                <w:sz w:val="21"/>
              </w:rPr>
            </w:pPr>
            <w:r>
              <w:rPr>
                <w:rFonts w:hint="eastAsia" w:ascii="宋体" w:eastAsia="宋体"/>
                <w:sz w:val="21"/>
              </w:rPr>
              <w:t>无螺栓固定盖子，有密封件</w:t>
            </w:r>
          </w:p>
        </w:tc>
        <w:tc>
          <w:tcPr>
            <w:tcW w:w="1701" w:type="dxa"/>
            <w:tcBorders>
              <w:bottom w:val="single" w:color="auto" w:sz="12" w:space="0"/>
            </w:tcBorders>
            <w:vAlign w:val="center"/>
          </w:tcPr>
          <w:p w14:paraId="4CA11092">
            <w:pPr>
              <w:pStyle w:val="236"/>
              <w:rPr>
                <w:rFonts w:ascii="宋体" w:eastAsia="宋体"/>
                <w:sz w:val="21"/>
              </w:rPr>
            </w:pPr>
            <w:r>
              <w:rPr>
                <w:rFonts w:hint="eastAsia" w:ascii="宋体" w:eastAsia="宋体"/>
                <w:sz w:val="21"/>
              </w:rPr>
              <w:t>4.3</w:t>
            </w:r>
            <w:r>
              <w:rPr>
                <w:rFonts w:ascii="宋体" w:eastAsia="宋体"/>
                <w:sz w:val="21"/>
              </w:rPr>
              <w:t>0</w:t>
            </w:r>
          </w:p>
        </w:tc>
        <w:tc>
          <w:tcPr>
            <w:tcW w:w="2552" w:type="dxa"/>
            <w:tcBorders>
              <w:bottom w:val="single" w:color="auto" w:sz="12" w:space="0"/>
            </w:tcBorders>
            <w:vAlign w:val="center"/>
          </w:tcPr>
          <w:p w14:paraId="5A058B8D">
            <w:pPr>
              <w:pStyle w:val="236"/>
              <w:rPr>
                <w:rFonts w:ascii="宋体" w:eastAsia="宋体"/>
                <w:sz w:val="21"/>
              </w:rPr>
            </w:pPr>
            <w:r>
              <w:rPr>
                <w:rFonts w:hint="eastAsia" w:ascii="宋体" w:eastAsia="宋体"/>
                <w:sz w:val="21"/>
              </w:rPr>
              <w:t>17</w:t>
            </w:r>
            <w:r>
              <w:rPr>
                <w:rFonts w:ascii="宋体" w:eastAsia="宋体"/>
                <w:sz w:val="21"/>
              </w:rPr>
              <w:t>.00</w:t>
            </w:r>
          </w:p>
        </w:tc>
        <w:tc>
          <w:tcPr>
            <w:tcW w:w="992" w:type="dxa"/>
            <w:tcBorders>
              <w:bottom w:val="single" w:color="auto" w:sz="12" w:space="0"/>
            </w:tcBorders>
            <w:vAlign w:val="center"/>
          </w:tcPr>
          <w:p w14:paraId="21C78A40">
            <w:pPr>
              <w:pStyle w:val="236"/>
              <w:rPr>
                <w:rFonts w:ascii="宋体" w:eastAsia="宋体"/>
                <w:sz w:val="21"/>
              </w:rPr>
            </w:pPr>
            <w:r>
              <w:rPr>
                <w:rFonts w:hint="eastAsia" w:ascii="宋体" w:eastAsia="宋体"/>
                <w:sz w:val="21"/>
              </w:rPr>
              <w:t>0.38</w:t>
            </w:r>
          </w:p>
        </w:tc>
      </w:tr>
      <w:tr w14:paraId="21D2DF7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restart"/>
            <w:tcBorders>
              <w:top w:val="single" w:color="auto" w:sz="12" w:space="0"/>
            </w:tcBorders>
            <w:vAlign w:val="center"/>
          </w:tcPr>
          <w:p w14:paraId="0DEA8BD3">
            <w:pPr>
              <w:pStyle w:val="236"/>
              <w:rPr>
                <w:rFonts w:ascii="宋体" w:eastAsia="宋体"/>
                <w:sz w:val="21"/>
              </w:rPr>
            </w:pPr>
            <w:r>
              <w:rPr>
                <w:rFonts w:hint="eastAsia" w:ascii="宋体" w:eastAsia="宋体"/>
                <w:sz w:val="21"/>
              </w:rPr>
              <w:t>支柱井</w:t>
            </w:r>
          </w:p>
        </w:tc>
        <w:tc>
          <w:tcPr>
            <w:tcW w:w="3260" w:type="dxa"/>
            <w:tcBorders>
              <w:top w:val="single" w:color="auto" w:sz="12" w:space="0"/>
            </w:tcBorders>
            <w:vAlign w:val="center"/>
          </w:tcPr>
          <w:p w14:paraId="7A02C9C8">
            <w:pPr>
              <w:pStyle w:val="236"/>
              <w:rPr>
                <w:rFonts w:ascii="宋体" w:eastAsia="宋体"/>
                <w:sz w:val="21"/>
              </w:rPr>
            </w:pPr>
            <w:r>
              <w:rPr>
                <w:rFonts w:hint="eastAsia" w:ascii="宋体" w:eastAsia="宋体"/>
                <w:sz w:val="21"/>
              </w:rPr>
              <w:t>内嵌式柱形滑盖，有密封件</w:t>
            </w:r>
          </w:p>
        </w:tc>
        <w:tc>
          <w:tcPr>
            <w:tcW w:w="1701" w:type="dxa"/>
            <w:tcBorders>
              <w:top w:val="single" w:color="auto" w:sz="12" w:space="0"/>
            </w:tcBorders>
            <w:vAlign w:val="center"/>
          </w:tcPr>
          <w:p w14:paraId="5803FD55">
            <w:pPr>
              <w:pStyle w:val="236"/>
              <w:rPr>
                <w:rFonts w:ascii="宋体" w:eastAsia="宋体"/>
                <w:sz w:val="21"/>
              </w:rPr>
            </w:pPr>
            <w:r>
              <w:rPr>
                <w:rFonts w:hint="eastAsia" w:ascii="宋体" w:eastAsia="宋体"/>
                <w:sz w:val="21"/>
              </w:rPr>
              <w:t>33</w:t>
            </w:r>
            <w:r>
              <w:rPr>
                <w:rFonts w:ascii="宋体" w:eastAsia="宋体"/>
                <w:sz w:val="21"/>
              </w:rPr>
              <w:t>.00</w:t>
            </w:r>
          </w:p>
        </w:tc>
        <w:tc>
          <w:tcPr>
            <w:tcW w:w="2552" w:type="dxa"/>
            <w:tcBorders>
              <w:top w:val="single" w:color="auto" w:sz="12" w:space="0"/>
            </w:tcBorders>
            <w:vAlign w:val="center"/>
          </w:tcPr>
          <w:p w14:paraId="2C1A9380">
            <w:pPr>
              <w:pStyle w:val="236"/>
              <w:rPr>
                <w:rFonts w:ascii="宋体" w:eastAsia="宋体"/>
                <w:sz w:val="21"/>
              </w:rPr>
            </w:pPr>
            <w:r>
              <w:rPr>
                <w:rFonts w:hint="eastAsia" w:ascii="宋体" w:eastAsia="宋体"/>
                <w:sz w:val="21"/>
              </w:rPr>
              <w:t>/</w:t>
            </w:r>
          </w:p>
        </w:tc>
        <w:tc>
          <w:tcPr>
            <w:tcW w:w="992" w:type="dxa"/>
            <w:tcBorders>
              <w:top w:val="single" w:color="auto" w:sz="12" w:space="0"/>
            </w:tcBorders>
            <w:vAlign w:val="center"/>
          </w:tcPr>
          <w:p w14:paraId="12996560">
            <w:pPr>
              <w:pStyle w:val="236"/>
              <w:rPr>
                <w:rFonts w:ascii="宋体" w:eastAsia="宋体"/>
                <w:sz w:val="21"/>
              </w:rPr>
            </w:pPr>
            <w:r>
              <w:rPr>
                <w:rFonts w:hint="eastAsia" w:ascii="宋体" w:eastAsia="宋体"/>
                <w:sz w:val="21"/>
              </w:rPr>
              <w:t>/</w:t>
            </w:r>
          </w:p>
        </w:tc>
      </w:tr>
      <w:tr w14:paraId="553D51C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31D42FBA">
            <w:pPr>
              <w:pStyle w:val="236"/>
              <w:rPr>
                <w:rFonts w:ascii="宋体" w:eastAsia="宋体"/>
                <w:sz w:val="21"/>
              </w:rPr>
            </w:pPr>
          </w:p>
        </w:tc>
        <w:tc>
          <w:tcPr>
            <w:tcW w:w="3260" w:type="dxa"/>
            <w:vAlign w:val="center"/>
          </w:tcPr>
          <w:p w14:paraId="3437B555">
            <w:pPr>
              <w:pStyle w:val="236"/>
              <w:rPr>
                <w:rFonts w:ascii="宋体" w:eastAsia="宋体"/>
                <w:sz w:val="21"/>
              </w:rPr>
            </w:pPr>
            <w:r>
              <w:rPr>
                <w:rFonts w:hint="eastAsia" w:ascii="宋体" w:eastAsia="宋体"/>
                <w:sz w:val="21"/>
              </w:rPr>
              <w:t>内嵌式柱形滑盖，无密封件</w:t>
            </w:r>
          </w:p>
        </w:tc>
        <w:tc>
          <w:tcPr>
            <w:tcW w:w="1701" w:type="dxa"/>
            <w:vAlign w:val="center"/>
          </w:tcPr>
          <w:p w14:paraId="583451A6">
            <w:pPr>
              <w:pStyle w:val="236"/>
              <w:rPr>
                <w:rFonts w:ascii="宋体" w:eastAsia="宋体"/>
                <w:sz w:val="21"/>
              </w:rPr>
            </w:pPr>
            <w:r>
              <w:rPr>
                <w:rFonts w:hint="eastAsia" w:ascii="宋体" w:eastAsia="宋体"/>
                <w:sz w:val="21"/>
              </w:rPr>
              <w:t>51</w:t>
            </w:r>
            <w:r>
              <w:rPr>
                <w:rFonts w:ascii="宋体" w:eastAsia="宋体"/>
                <w:sz w:val="21"/>
              </w:rPr>
              <w:t>.00</w:t>
            </w:r>
          </w:p>
        </w:tc>
        <w:tc>
          <w:tcPr>
            <w:tcW w:w="2552" w:type="dxa"/>
            <w:vAlign w:val="center"/>
          </w:tcPr>
          <w:p w14:paraId="6A2D29FD">
            <w:pPr>
              <w:pStyle w:val="236"/>
              <w:rPr>
                <w:rFonts w:ascii="宋体" w:eastAsia="宋体"/>
                <w:sz w:val="21"/>
              </w:rPr>
            </w:pPr>
            <w:r>
              <w:rPr>
                <w:rFonts w:hint="eastAsia" w:ascii="宋体" w:eastAsia="宋体"/>
                <w:sz w:val="21"/>
              </w:rPr>
              <w:t>/</w:t>
            </w:r>
          </w:p>
        </w:tc>
        <w:tc>
          <w:tcPr>
            <w:tcW w:w="992" w:type="dxa"/>
            <w:vAlign w:val="center"/>
          </w:tcPr>
          <w:p w14:paraId="61B0C332">
            <w:pPr>
              <w:pStyle w:val="236"/>
              <w:rPr>
                <w:rFonts w:ascii="宋体" w:eastAsia="宋体"/>
                <w:sz w:val="21"/>
              </w:rPr>
            </w:pPr>
            <w:r>
              <w:rPr>
                <w:rFonts w:hint="eastAsia" w:ascii="宋体" w:eastAsia="宋体"/>
                <w:sz w:val="21"/>
              </w:rPr>
              <w:t>/</w:t>
            </w:r>
          </w:p>
        </w:tc>
      </w:tr>
      <w:tr w14:paraId="021EB70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2C76CF08">
            <w:pPr>
              <w:pStyle w:val="236"/>
              <w:rPr>
                <w:rFonts w:ascii="宋体" w:eastAsia="宋体"/>
                <w:sz w:val="21"/>
              </w:rPr>
            </w:pPr>
          </w:p>
        </w:tc>
        <w:tc>
          <w:tcPr>
            <w:tcW w:w="3260" w:type="dxa"/>
            <w:vAlign w:val="center"/>
          </w:tcPr>
          <w:p w14:paraId="64F11EED">
            <w:pPr>
              <w:pStyle w:val="236"/>
              <w:rPr>
                <w:rFonts w:ascii="宋体" w:eastAsia="宋体"/>
                <w:sz w:val="21"/>
              </w:rPr>
            </w:pPr>
            <w:r>
              <w:rPr>
                <w:rFonts w:hint="eastAsia" w:ascii="宋体" w:eastAsia="宋体"/>
                <w:sz w:val="21"/>
              </w:rPr>
              <w:t>管柱式滑盖，有密封件</w:t>
            </w:r>
          </w:p>
        </w:tc>
        <w:tc>
          <w:tcPr>
            <w:tcW w:w="1701" w:type="dxa"/>
            <w:vAlign w:val="center"/>
          </w:tcPr>
          <w:p w14:paraId="113C4CB5">
            <w:pPr>
              <w:pStyle w:val="236"/>
              <w:rPr>
                <w:rFonts w:ascii="宋体" w:eastAsia="宋体"/>
                <w:sz w:val="21"/>
              </w:rPr>
            </w:pPr>
            <w:r>
              <w:rPr>
                <w:rFonts w:hint="eastAsia" w:ascii="宋体" w:eastAsia="宋体"/>
                <w:sz w:val="21"/>
              </w:rPr>
              <w:t>25</w:t>
            </w:r>
            <w:r>
              <w:rPr>
                <w:rFonts w:ascii="宋体" w:eastAsia="宋体"/>
                <w:sz w:val="21"/>
              </w:rPr>
              <w:t>.00</w:t>
            </w:r>
          </w:p>
        </w:tc>
        <w:tc>
          <w:tcPr>
            <w:tcW w:w="2552" w:type="dxa"/>
            <w:vAlign w:val="center"/>
          </w:tcPr>
          <w:p w14:paraId="515770BA">
            <w:pPr>
              <w:pStyle w:val="236"/>
              <w:rPr>
                <w:rFonts w:ascii="宋体" w:eastAsia="宋体"/>
                <w:sz w:val="21"/>
              </w:rPr>
            </w:pPr>
            <w:r>
              <w:rPr>
                <w:rFonts w:hint="eastAsia" w:ascii="宋体" w:eastAsia="宋体"/>
                <w:sz w:val="21"/>
              </w:rPr>
              <w:t>/</w:t>
            </w:r>
          </w:p>
        </w:tc>
        <w:tc>
          <w:tcPr>
            <w:tcW w:w="992" w:type="dxa"/>
            <w:vAlign w:val="center"/>
          </w:tcPr>
          <w:p w14:paraId="228C7985">
            <w:pPr>
              <w:pStyle w:val="236"/>
              <w:rPr>
                <w:rFonts w:ascii="宋体" w:eastAsia="宋体"/>
                <w:sz w:val="21"/>
              </w:rPr>
            </w:pPr>
            <w:r>
              <w:rPr>
                <w:rFonts w:hint="eastAsia" w:ascii="宋体" w:eastAsia="宋体"/>
                <w:sz w:val="21"/>
              </w:rPr>
              <w:t>/</w:t>
            </w:r>
          </w:p>
        </w:tc>
      </w:tr>
      <w:tr w14:paraId="082AA2B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tcBorders>
              <w:bottom w:val="single" w:color="auto" w:sz="12" w:space="0"/>
            </w:tcBorders>
            <w:vAlign w:val="center"/>
          </w:tcPr>
          <w:p w14:paraId="6F5FC3CE">
            <w:pPr>
              <w:pStyle w:val="236"/>
              <w:rPr>
                <w:rFonts w:ascii="宋体" w:eastAsia="宋体"/>
                <w:sz w:val="21"/>
              </w:rPr>
            </w:pPr>
          </w:p>
        </w:tc>
        <w:tc>
          <w:tcPr>
            <w:tcW w:w="3260" w:type="dxa"/>
            <w:tcBorders>
              <w:bottom w:val="single" w:color="auto" w:sz="12" w:space="0"/>
            </w:tcBorders>
            <w:vAlign w:val="center"/>
          </w:tcPr>
          <w:p w14:paraId="47E7AE3F">
            <w:pPr>
              <w:pStyle w:val="236"/>
              <w:rPr>
                <w:rFonts w:ascii="宋体" w:eastAsia="宋体"/>
                <w:sz w:val="21"/>
              </w:rPr>
            </w:pPr>
            <w:r>
              <w:rPr>
                <w:rFonts w:hint="eastAsia" w:ascii="宋体" w:eastAsia="宋体"/>
                <w:sz w:val="21"/>
              </w:rPr>
              <w:t>管柱式挠性纤维衬套密封</w:t>
            </w:r>
          </w:p>
        </w:tc>
        <w:tc>
          <w:tcPr>
            <w:tcW w:w="1701" w:type="dxa"/>
            <w:tcBorders>
              <w:bottom w:val="single" w:color="auto" w:sz="12" w:space="0"/>
            </w:tcBorders>
            <w:vAlign w:val="center"/>
          </w:tcPr>
          <w:p w14:paraId="1E1493C3">
            <w:pPr>
              <w:pStyle w:val="236"/>
              <w:rPr>
                <w:rFonts w:ascii="宋体" w:eastAsia="宋体"/>
                <w:sz w:val="21"/>
              </w:rPr>
            </w:pPr>
            <w:r>
              <w:rPr>
                <w:rFonts w:hint="eastAsia" w:ascii="宋体" w:eastAsia="宋体"/>
                <w:sz w:val="21"/>
              </w:rPr>
              <w:t>10</w:t>
            </w:r>
            <w:r>
              <w:rPr>
                <w:rFonts w:ascii="宋体" w:eastAsia="宋体"/>
                <w:sz w:val="21"/>
              </w:rPr>
              <w:t>.00</w:t>
            </w:r>
          </w:p>
        </w:tc>
        <w:tc>
          <w:tcPr>
            <w:tcW w:w="2552" w:type="dxa"/>
            <w:tcBorders>
              <w:bottom w:val="single" w:color="auto" w:sz="12" w:space="0"/>
            </w:tcBorders>
            <w:vAlign w:val="center"/>
          </w:tcPr>
          <w:p w14:paraId="16755065">
            <w:pPr>
              <w:pStyle w:val="236"/>
              <w:rPr>
                <w:rFonts w:ascii="宋体" w:eastAsia="宋体"/>
                <w:sz w:val="21"/>
              </w:rPr>
            </w:pPr>
            <w:r>
              <w:rPr>
                <w:rFonts w:hint="eastAsia" w:ascii="宋体" w:eastAsia="宋体"/>
                <w:sz w:val="21"/>
              </w:rPr>
              <w:t>/</w:t>
            </w:r>
          </w:p>
        </w:tc>
        <w:tc>
          <w:tcPr>
            <w:tcW w:w="992" w:type="dxa"/>
            <w:tcBorders>
              <w:bottom w:val="single" w:color="auto" w:sz="12" w:space="0"/>
            </w:tcBorders>
            <w:vAlign w:val="center"/>
          </w:tcPr>
          <w:p w14:paraId="2D9A0125">
            <w:pPr>
              <w:pStyle w:val="236"/>
              <w:rPr>
                <w:rFonts w:ascii="宋体" w:eastAsia="宋体"/>
                <w:sz w:val="21"/>
              </w:rPr>
            </w:pPr>
            <w:r>
              <w:rPr>
                <w:rFonts w:hint="eastAsia" w:ascii="宋体" w:eastAsia="宋体"/>
                <w:sz w:val="21"/>
              </w:rPr>
              <w:t>/</w:t>
            </w:r>
          </w:p>
        </w:tc>
      </w:tr>
      <w:tr w14:paraId="1C283FF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restart"/>
            <w:tcBorders>
              <w:top w:val="single" w:color="auto" w:sz="12" w:space="0"/>
            </w:tcBorders>
            <w:vAlign w:val="center"/>
          </w:tcPr>
          <w:p w14:paraId="66B1EC46">
            <w:pPr>
              <w:pStyle w:val="236"/>
              <w:rPr>
                <w:rFonts w:ascii="宋体" w:eastAsia="宋体"/>
                <w:sz w:val="21"/>
              </w:rPr>
            </w:pPr>
            <w:r>
              <w:rPr>
                <w:rFonts w:hint="eastAsia" w:ascii="宋体" w:eastAsia="宋体"/>
                <w:sz w:val="21"/>
              </w:rPr>
              <w:t>取样管/井</w:t>
            </w:r>
          </w:p>
        </w:tc>
        <w:tc>
          <w:tcPr>
            <w:tcW w:w="3260" w:type="dxa"/>
            <w:tcBorders>
              <w:top w:val="single" w:color="auto" w:sz="12" w:space="0"/>
            </w:tcBorders>
            <w:vAlign w:val="center"/>
          </w:tcPr>
          <w:p w14:paraId="52C21B6F">
            <w:pPr>
              <w:pStyle w:val="236"/>
              <w:rPr>
                <w:rFonts w:ascii="宋体" w:eastAsia="宋体"/>
                <w:sz w:val="21"/>
              </w:rPr>
            </w:pPr>
            <w:r>
              <w:rPr>
                <w:rFonts w:hint="eastAsia" w:ascii="宋体" w:eastAsia="宋体"/>
                <w:sz w:val="21"/>
              </w:rPr>
              <w:t>有槽管式滑盖/重加权，有密封件</w:t>
            </w:r>
          </w:p>
        </w:tc>
        <w:tc>
          <w:tcPr>
            <w:tcW w:w="1701" w:type="dxa"/>
            <w:tcBorders>
              <w:top w:val="single" w:color="auto" w:sz="12" w:space="0"/>
            </w:tcBorders>
            <w:vAlign w:val="center"/>
          </w:tcPr>
          <w:p w14:paraId="7BA361A3">
            <w:pPr>
              <w:pStyle w:val="236"/>
              <w:rPr>
                <w:rFonts w:ascii="宋体" w:eastAsia="宋体"/>
                <w:sz w:val="21"/>
              </w:rPr>
            </w:pPr>
            <w:r>
              <w:rPr>
                <w:rFonts w:hint="eastAsia" w:ascii="宋体" w:eastAsia="宋体"/>
                <w:sz w:val="21"/>
              </w:rPr>
              <w:t>0.47</w:t>
            </w:r>
          </w:p>
        </w:tc>
        <w:tc>
          <w:tcPr>
            <w:tcW w:w="2552" w:type="dxa"/>
            <w:tcBorders>
              <w:top w:val="single" w:color="auto" w:sz="12" w:space="0"/>
            </w:tcBorders>
            <w:vAlign w:val="center"/>
          </w:tcPr>
          <w:p w14:paraId="45E5B522">
            <w:pPr>
              <w:pStyle w:val="236"/>
              <w:rPr>
                <w:rFonts w:ascii="宋体" w:eastAsia="宋体"/>
                <w:sz w:val="21"/>
              </w:rPr>
            </w:pPr>
            <w:r>
              <w:rPr>
                <w:rFonts w:hint="eastAsia" w:ascii="宋体" w:eastAsia="宋体"/>
                <w:sz w:val="21"/>
              </w:rPr>
              <w:t>0.02</w:t>
            </w:r>
          </w:p>
        </w:tc>
        <w:tc>
          <w:tcPr>
            <w:tcW w:w="992" w:type="dxa"/>
            <w:tcBorders>
              <w:top w:val="single" w:color="auto" w:sz="12" w:space="0"/>
            </w:tcBorders>
            <w:vAlign w:val="center"/>
          </w:tcPr>
          <w:p w14:paraId="1862AA34">
            <w:pPr>
              <w:pStyle w:val="236"/>
              <w:rPr>
                <w:rFonts w:ascii="宋体" w:eastAsia="宋体"/>
                <w:sz w:val="21"/>
              </w:rPr>
            </w:pPr>
            <w:r>
              <w:rPr>
                <w:rFonts w:hint="eastAsia" w:ascii="宋体" w:eastAsia="宋体"/>
                <w:sz w:val="21"/>
              </w:rPr>
              <w:t>0.97</w:t>
            </w:r>
          </w:p>
        </w:tc>
      </w:tr>
      <w:tr w14:paraId="117BF0A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4F2BC877">
            <w:pPr>
              <w:pStyle w:val="236"/>
              <w:rPr>
                <w:rFonts w:ascii="宋体" w:eastAsia="宋体"/>
                <w:sz w:val="21"/>
              </w:rPr>
            </w:pPr>
          </w:p>
        </w:tc>
        <w:tc>
          <w:tcPr>
            <w:tcW w:w="3260" w:type="dxa"/>
            <w:vAlign w:val="center"/>
          </w:tcPr>
          <w:p w14:paraId="5DB66B39">
            <w:pPr>
              <w:pStyle w:val="236"/>
              <w:rPr>
                <w:rFonts w:ascii="宋体" w:eastAsia="宋体"/>
                <w:sz w:val="21"/>
              </w:rPr>
            </w:pPr>
            <w:r>
              <w:rPr>
                <w:rFonts w:hint="eastAsia" w:ascii="宋体" w:eastAsia="宋体"/>
                <w:sz w:val="21"/>
              </w:rPr>
              <w:t>有槽管式滑盖/重加权，无密封件</w:t>
            </w:r>
          </w:p>
        </w:tc>
        <w:tc>
          <w:tcPr>
            <w:tcW w:w="1701" w:type="dxa"/>
            <w:vAlign w:val="center"/>
          </w:tcPr>
          <w:p w14:paraId="3A3C5C6C">
            <w:pPr>
              <w:pStyle w:val="236"/>
              <w:rPr>
                <w:rFonts w:ascii="宋体" w:eastAsia="宋体"/>
                <w:sz w:val="21"/>
              </w:rPr>
            </w:pPr>
            <w:r>
              <w:rPr>
                <w:rFonts w:hint="eastAsia" w:ascii="宋体" w:eastAsia="宋体"/>
                <w:sz w:val="21"/>
              </w:rPr>
              <w:t>2.3</w:t>
            </w:r>
            <w:r>
              <w:rPr>
                <w:rFonts w:ascii="宋体" w:eastAsia="宋体"/>
                <w:sz w:val="21"/>
              </w:rPr>
              <w:t>0</w:t>
            </w:r>
          </w:p>
        </w:tc>
        <w:tc>
          <w:tcPr>
            <w:tcW w:w="2552" w:type="dxa"/>
            <w:vAlign w:val="center"/>
          </w:tcPr>
          <w:p w14:paraId="38B27899">
            <w:pPr>
              <w:pStyle w:val="236"/>
              <w:rPr>
                <w:rFonts w:ascii="宋体" w:eastAsia="宋体"/>
                <w:sz w:val="21"/>
              </w:rPr>
            </w:pPr>
            <w:r>
              <w:rPr>
                <w:rFonts w:hint="eastAsia" w:ascii="宋体" w:eastAsia="宋体"/>
                <w:sz w:val="21"/>
              </w:rPr>
              <w:t>0</w:t>
            </w:r>
            <w:r>
              <w:rPr>
                <w:rFonts w:ascii="宋体" w:eastAsia="宋体"/>
                <w:sz w:val="21"/>
              </w:rPr>
              <w:t>.00</w:t>
            </w:r>
          </w:p>
        </w:tc>
        <w:tc>
          <w:tcPr>
            <w:tcW w:w="992" w:type="dxa"/>
            <w:vAlign w:val="center"/>
          </w:tcPr>
          <w:p w14:paraId="31C9457F">
            <w:pPr>
              <w:pStyle w:val="236"/>
              <w:rPr>
                <w:rFonts w:ascii="宋体" w:eastAsia="宋体"/>
                <w:sz w:val="21"/>
              </w:rPr>
            </w:pPr>
            <w:r>
              <w:rPr>
                <w:rFonts w:hint="eastAsia" w:ascii="宋体" w:eastAsia="宋体"/>
                <w:sz w:val="21"/>
              </w:rPr>
              <w:t>0</w:t>
            </w:r>
            <w:r>
              <w:rPr>
                <w:rFonts w:ascii="宋体" w:eastAsia="宋体"/>
                <w:sz w:val="21"/>
              </w:rPr>
              <w:t>.00</w:t>
            </w:r>
          </w:p>
        </w:tc>
      </w:tr>
      <w:tr w14:paraId="22B79DE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tcBorders>
              <w:bottom w:val="single" w:color="auto" w:sz="12" w:space="0"/>
            </w:tcBorders>
            <w:vAlign w:val="center"/>
          </w:tcPr>
          <w:p w14:paraId="5ACC1680">
            <w:pPr>
              <w:pStyle w:val="236"/>
              <w:rPr>
                <w:rFonts w:ascii="宋体" w:eastAsia="宋体"/>
                <w:sz w:val="21"/>
              </w:rPr>
            </w:pPr>
          </w:p>
        </w:tc>
        <w:tc>
          <w:tcPr>
            <w:tcW w:w="3260" w:type="dxa"/>
            <w:tcBorders>
              <w:bottom w:val="single" w:color="auto" w:sz="12" w:space="0"/>
            </w:tcBorders>
            <w:vAlign w:val="center"/>
          </w:tcPr>
          <w:p w14:paraId="6288128D">
            <w:pPr>
              <w:pStyle w:val="236"/>
              <w:rPr>
                <w:rFonts w:ascii="宋体" w:eastAsia="宋体"/>
                <w:sz w:val="21"/>
              </w:rPr>
            </w:pPr>
            <w:r>
              <w:rPr>
                <w:rFonts w:hint="eastAsia" w:ascii="宋体" w:eastAsia="宋体"/>
                <w:sz w:val="21"/>
              </w:rPr>
              <w:t>切膜纤维密封（开度10%）</w:t>
            </w:r>
          </w:p>
        </w:tc>
        <w:tc>
          <w:tcPr>
            <w:tcW w:w="1701" w:type="dxa"/>
            <w:tcBorders>
              <w:bottom w:val="single" w:color="auto" w:sz="12" w:space="0"/>
            </w:tcBorders>
            <w:vAlign w:val="center"/>
          </w:tcPr>
          <w:p w14:paraId="193C9433">
            <w:pPr>
              <w:pStyle w:val="236"/>
              <w:rPr>
                <w:rFonts w:ascii="宋体" w:eastAsia="宋体"/>
                <w:sz w:val="21"/>
              </w:rPr>
            </w:pPr>
            <w:r>
              <w:rPr>
                <w:rFonts w:hint="eastAsia" w:ascii="宋体" w:eastAsia="宋体"/>
                <w:sz w:val="21"/>
              </w:rPr>
              <w:t>12</w:t>
            </w:r>
            <w:r>
              <w:rPr>
                <w:rFonts w:ascii="宋体" w:eastAsia="宋体"/>
                <w:sz w:val="21"/>
              </w:rPr>
              <w:t>.00</w:t>
            </w:r>
          </w:p>
        </w:tc>
        <w:tc>
          <w:tcPr>
            <w:tcW w:w="2552" w:type="dxa"/>
            <w:tcBorders>
              <w:bottom w:val="single" w:color="auto" w:sz="12" w:space="0"/>
            </w:tcBorders>
            <w:vAlign w:val="center"/>
          </w:tcPr>
          <w:p w14:paraId="440E2E5C">
            <w:pPr>
              <w:pStyle w:val="236"/>
              <w:rPr>
                <w:rFonts w:ascii="宋体" w:eastAsia="宋体"/>
                <w:sz w:val="21"/>
              </w:rPr>
            </w:pPr>
            <w:r>
              <w:rPr>
                <w:rFonts w:hint="eastAsia" w:ascii="宋体" w:eastAsia="宋体"/>
                <w:sz w:val="21"/>
              </w:rPr>
              <w:t>/</w:t>
            </w:r>
          </w:p>
        </w:tc>
        <w:tc>
          <w:tcPr>
            <w:tcW w:w="992" w:type="dxa"/>
            <w:tcBorders>
              <w:bottom w:val="single" w:color="auto" w:sz="12" w:space="0"/>
            </w:tcBorders>
            <w:vAlign w:val="center"/>
          </w:tcPr>
          <w:p w14:paraId="6F156459">
            <w:pPr>
              <w:pStyle w:val="236"/>
              <w:rPr>
                <w:rFonts w:ascii="宋体" w:eastAsia="宋体"/>
                <w:sz w:val="21"/>
              </w:rPr>
            </w:pPr>
            <w:r>
              <w:rPr>
                <w:rFonts w:hint="eastAsia" w:ascii="宋体" w:eastAsia="宋体"/>
                <w:sz w:val="21"/>
              </w:rPr>
              <w:t>/</w:t>
            </w:r>
          </w:p>
        </w:tc>
      </w:tr>
      <w:tr w14:paraId="66314BD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restart"/>
            <w:tcBorders>
              <w:top w:val="single" w:color="auto" w:sz="12" w:space="0"/>
            </w:tcBorders>
            <w:vAlign w:val="center"/>
          </w:tcPr>
          <w:p w14:paraId="79305172">
            <w:pPr>
              <w:pStyle w:val="236"/>
              <w:rPr>
                <w:rFonts w:ascii="宋体" w:hAnsi="宋体" w:eastAsia="宋体" w:cs="仿宋"/>
                <w:kern w:val="2"/>
                <w:sz w:val="21"/>
                <w:szCs w:val="21"/>
              </w:rPr>
            </w:pPr>
            <w:r>
              <w:rPr>
                <w:rFonts w:hint="eastAsia" w:ascii="宋体" w:hAnsi="宋体" w:eastAsia="宋体" w:cs="仿宋"/>
                <w:kern w:val="2"/>
                <w:sz w:val="21"/>
                <w:szCs w:val="21"/>
              </w:rPr>
              <w:t>有槽导杆和取样井</w:t>
            </w:r>
          </w:p>
        </w:tc>
        <w:tc>
          <w:tcPr>
            <w:tcW w:w="3260" w:type="dxa"/>
            <w:tcBorders>
              <w:top w:val="single" w:color="auto" w:sz="12" w:space="0"/>
            </w:tcBorders>
            <w:vAlign w:val="center"/>
          </w:tcPr>
          <w:p w14:paraId="4DB16FA9">
            <w:pPr>
              <w:pStyle w:val="236"/>
              <w:rPr>
                <w:rFonts w:ascii="宋体" w:hAnsi="宋体" w:eastAsia="宋体" w:cs="仿宋"/>
                <w:kern w:val="2"/>
                <w:sz w:val="21"/>
                <w:szCs w:val="21"/>
              </w:rPr>
            </w:pPr>
            <w:r>
              <w:rPr>
                <w:rFonts w:hint="eastAsia" w:ascii="宋体" w:hAnsi="宋体" w:eastAsia="宋体" w:cs="仿宋"/>
                <w:kern w:val="2"/>
                <w:sz w:val="21"/>
                <w:szCs w:val="21"/>
              </w:rPr>
              <w:t>无密封件滑盖（不带浮球）</w:t>
            </w:r>
          </w:p>
        </w:tc>
        <w:tc>
          <w:tcPr>
            <w:tcW w:w="1701" w:type="dxa"/>
            <w:vMerge w:val="restart"/>
            <w:tcBorders>
              <w:top w:val="single" w:color="auto" w:sz="12" w:space="0"/>
            </w:tcBorders>
            <w:vAlign w:val="center"/>
          </w:tcPr>
          <w:p w14:paraId="2B1579F1">
            <w:pPr>
              <w:pStyle w:val="236"/>
              <w:rPr>
                <w:rFonts w:ascii="宋体" w:hAnsi="宋体" w:eastAsia="宋体" w:cs="仿宋"/>
                <w:kern w:val="2"/>
                <w:sz w:val="21"/>
                <w:szCs w:val="21"/>
              </w:rPr>
            </w:pPr>
            <w:r>
              <w:rPr>
                <w:rFonts w:hint="eastAsia" w:ascii="宋体" w:hAnsi="宋体" w:eastAsia="宋体" w:cs="仿宋"/>
                <w:kern w:val="2"/>
                <w:sz w:val="21"/>
                <w:szCs w:val="21"/>
              </w:rPr>
              <w:t>43</w:t>
            </w:r>
            <w:r>
              <w:rPr>
                <w:rFonts w:ascii="宋体" w:hAnsi="宋体" w:eastAsia="宋体" w:cs="仿宋"/>
                <w:kern w:val="2"/>
                <w:sz w:val="21"/>
                <w:szCs w:val="21"/>
              </w:rPr>
              <w:t>.00</w:t>
            </w:r>
          </w:p>
        </w:tc>
        <w:tc>
          <w:tcPr>
            <w:tcW w:w="2552" w:type="dxa"/>
            <w:vMerge w:val="restart"/>
            <w:tcBorders>
              <w:top w:val="single" w:color="auto" w:sz="12" w:space="0"/>
            </w:tcBorders>
            <w:vAlign w:val="center"/>
          </w:tcPr>
          <w:p w14:paraId="71F3DA54">
            <w:pPr>
              <w:pStyle w:val="236"/>
              <w:rPr>
                <w:rFonts w:ascii="宋体" w:hAnsi="宋体" w:eastAsia="宋体" w:cs="仿宋"/>
                <w:kern w:val="2"/>
                <w:sz w:val="21"/>
                <w:szCs w:val="21"/>
              </w:rPr>
            </w:pPr>
            <w:r>
              <w:rPr>
                <w:rFonts w:hint="eastAsia" w:ascii="宋体" w:hAnsi="宋体" w:eastAsia="宋体" w:cs="仿宋"/>
                <w:kern w:val="2"/>
                <w:sz w:val="21"/>
                <w:szCs w:val="21"/>
              </w:rPr>
              <w:t>270</w:t>
            </w:r>
            <w:r>
              <w:rPr>
                <w:rFonts w:ascii="宋体" w:hAnsi="宋体" w:eastAsia="宋体" w:cs="仿宋"/>
                <w:kern w:val="2"/>
                <w:sz w:val="21"/>
                <w:szCs w:val="21"/>
              </w:rPr>
              <w:t>.00</w:t>
            </w:r>
          </w:p>
        </w:tc>
        <w:tc>
          <w:tcPr>
            <w:tcW w:w="992" w:type="dxa"/>
            <w:vMerge w:val="restart"/>
            <w:tcBorders>
              <w:top w:val="single" w:color="auto" w:sz="12" w:space="0"/>
            </w:tcBorders>
            <w:vAlign w:val="center"/>
          </w:tcPr>
          <w:p w14:paraId="330BC92B">
            <w:pPr>
              <w:pStyle w:val="236"/>
              <w:rPr>
                <w:rFonts w:ascii="宋体" w:hAnsi="宋体" w:eastAsia="宋体" w:cs="仿宋"/>
                <w:kern w:val="2"/>
                <w:sz w:val="21"/>
                <w:szCs w:val="21"/>
              </w:rPr>
            </w:pPr>
            <w:r>
              <w:rPr>
                <w:rFonts w:hint="eastAsia" w:ascii="宋体" w:hAnsi="宋体" w:eastAsia="宋体" w:cs="仿宋"/>
                <w:kern w:val="2"/>
                <w:sz w:val="21"/>
                <w:szCs w:val="21"/>
              </w:rPr>
              <w:t>1.4</w:t>
            </w:r>
            <w:r>
              <w:rPr>
                <w:rFonts w:ascii="宋体" w:hAnsi="宋体" w:eastAsia="宋体" w:cs="仿宋"/>
                <w:kern w:val="2"/>
                <w:sz w:val="21"/>
                <w:szCs w:val="21"/>
              </w:rPr>
              <w:t>0</w:t>
            </w:r>
          </w:p>
        </w:tc>
      </w:tr>
      <w:tr w14:paraId="3E4B3A3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0C365890">
            <w:pPr>
              <w:pStyle w:val="236"/>
              <w:rPr>
                <w:rFonts w:ascii="宋体" w:hAnsi="宋体" w:eastAsia="宋体" w:cs="仿宋"/>
                <w:kern w:val="2"/>
                <w:sz w:val="21"/>
                <w:szCs w:val="21"/>
              </w:rPr>
            </w:pPr>
          </w:p>
        </w:tc>
        <w:tc>
          <w:tcPr>
            <w:tcW w:w="3260" w:type="dxa"/>
            <w:vAlign w:val="center"/>
          </w:tcPr>
          <w:p w14:paraId="1BF0324E">
            <w:pPr>
              <w:pStyle w:val="236"/>
              <w:rPr>
                <w:rFonts w:ascii="宋体" w:hAnsi="宋体" w:eastAsia="宋体" w:cs="仿宋"/>
                <w:kern w:val="2"/>
                <w:sz w:val="21"/>
                <w:szCs w:val="21"/>
              </w:rPr>
            </w:pPr>
            <w:r>
              <w:rPr>
                <w:rFonts w:hint="eastAsia" w:ascii="宋体" w:hAnsi="宋体" w:eastAsia="宋体" w:cs="仿宋"/>
                <w:kern w:val="2"/>
                <w:sz w:val="21"/>
                <w:szCs w:val="21"/>
              </w:rPr>
              <w:t>有密封件滑盖（不带浮球）</w:t>
            </w:r>
          </w:p>
        </w:tc>
        <w:tc>
          <w:tcPr>
            <w:tcW w:w="1701" w:type="dxa"/>
            <w:vMerge w:val="continue"/>
            <w:vAlign w:val="center"/>
          </w:tcPr>
          <w:p w14:paraId="68C69155">
            <w:pPr>
              <w:pStyle w:val="236"/>
              <w:rPr>
                <w:rFonts w:ascii="宋体" w:hAnsi="宋体" w:eastAsia="宋体" w:cs="仿宋"/>
                <w:kern w:val="2"/>
                <w:sz w:val="21"/>
                <w:szCs w:val="21"/>
              </w:rPr>
            </w:pPr>
          </w:p>
        </w:tc>
        <w:tc>
          <w:tcPr>
            <w:tcW w:w="2552" w:type="dxa"/>
            <w:vMerge w:val="continue"/>
            <w:vAlign w:val="center"/>
          </w:tcPr>
          <w:p w14:paraId="24C25028">
            <w:pPr>
              <w:pStyle w:val="236"/>
              <w:rPr>
                <w:rFonts w:ascii="宋体" w:hAnsi="宋体" w:eastAsia="宋体" w:cs="仿宋"/>
                <w:kern w:val="2"/>
                <w:sz w:val="21"/>
                <w:szCs w:val="21"/>
              </w:rPr>
            </w:pPr>
          </w:p>
        </w:tc>
        <w:tc>
          <w:tcPr>
            <w:tcW w:w="992" w:type="dxa"/>
            <w:vMerge w:val="continue"/>
            <w:vAlign w:val="center"/>
          </w:tcPr>
          <w:p w14:paraId="4D89E60C">
            <w:pPr>
              <w:pStyle w:val="236"/>
              <w:rPr>
                <w:rFonts w:ascii="宋体" w:hAnsi="宋体" w:eastAsia="宋体" w:cs="仿宋"/>
                <w:kern w:val="2"/>
                <w:sz w:val="21"/>
                <w:szCs w:val="21"/>
              </w:rPr>
            </w:pPr>
          </w:p>
        </w:tc>
      </w:tr>
      <w:tr w14:paraId="148F9D9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67044FDA">
            <w:pPr>
              <w:pStyle w:val="236"/>
              <w:rPr>
                <w:rFonts w:ascii="宋体" w:hAnsi="宋体" w:eastAsia="宋体" w:cs="仿宋"/>
                <w:kern w:val="2"/>
                <w:sz w:val="21"/>
                <w:szCs w:val="21"/>
              </w:rPr>
            </w:pPr>
          </w:p>
        </w:tc>
        <w:tc>
          <w:tcPr>
            <w:tcW w:w="3260" w:type="dxa"/>
            <w:vAlign w:val="center"/>
          </w:tcPr>
          <w:p w14:paraId="2B78472C">
            <w:pPr>
              <w:pStyle w:val="236"/>
              <w:rPr>
                <w:rFonts w:ascii="宋体" w:hAnsi="宋体" w:eastAsia="宋体" w:cs="仿宋"/>
                <w:kern w:val="2"/>
                <w:sz w:val="21"/>
                <w:szCs w:val="21"/>
              </w:rPr>
            </w:pPr>
            <w:r>
              <w:rPr>
                <w:rFonts w:hint="eastAsia" w:ascii="宋体" w:hAnsi="宋体" w:eastAsia="宋体" w:cs="仿宋"/>
                <w:kern w:val="2"/>
                <w:sz w:val="21"/>
                <w:szCs w:val="21"/>
              </w:rPr>
              <w:t>无密封件滑盖（带浮球）</w:t>
            </w:r>
          </w:p>
        </w:tc>
        <w:tc>
          <w:tcPr>
            <w:tcW w:w="1701" w:type="dxa"/>
            <w:vMerge w:val="restart"/>
            <w:vAlign w:val="center"/>
          </w:tcPr>
          <w:p w14:paraId="404F28D1">
            <w:pPr>
              <w:pStyle w:val="236"/>
              <w:rPr>
                <w:rFonts w:ascii="宋体" w:hAnsi="宋体" w:eastAsia="宋体" w:cs="仿宋"/>
                <w:kern w:val="2"/>
                <w:sz w:val="21"/>
                <w:szCs w:val="21"/>
              </w:rPr>
            </w:pPr>
            <w:r>
              <w:rPr>
                <w:rFonts w:hint="eastAsia" w:ascii="宋体" w:hAnsi="宋体" w:eastAsia="宋体" w:cs="仿宋"/>
                <w:kern w:val="2"/>
                <w:sz w:val="21"/>
                <w:szCs w:val="21"/>
              </w:rPr>
              <w:t>31</w:t>
            </w:r>
            <w:r>
              <w:rPr>
                <w:rFonts w:ascii="宋体" w:hAnsi="宋体" w:eastAsia="宋体" w:cs="仿宋"/>
                <w:kern w:val="2"/>
                <w:sz w:val="21"/>
                <w:szCs w:val="21"/>
              </w:rPr>
              <w:t>.00</w:t>
            </w:r>
          </w:p>
        </w:tc>
        <w:tc>
          <w:tcPr>
            <w:tcW w:w="2552" w:type="dxa"/>
            <w:vMerge w:val="restart"/>
            <w:vAlign w:val="center"/>
          </w:tcPr>
          <w:p w14:paraId="37DDBEDB">
            <w:pPr>
              <w:pStyle w:val="236"/>
              <w:rPr>
                <w:rFonts w:ascii="宋体" w:hAnsi="宋体" w:eastAsia="宋体" w:cs="仿宋"/>
                <w:kern w:val="2"/>
                <w:sz w:val="21"/>
                <w:szCs w:val="21"/>
              </w:rPr>
            </w:pPr>
            <w:r>
              <w:rPr>
                <w:rFonts w:hint="eastAsia" w:ascii="宋体" w:hAnsi="宋体" w:eastAsia="宋体" w:cs="仿宋"/>
                <w:kern w:val="2"/>
                <w:sz w:val="21"/>
                <w:szCs w:val="21"/>
              </w:rPr>
              <w:t>36</w:t>
            </w:r>
            <w:r>
              <w:rPr>
                <w:rFonts w:ascii="宋体" w:hAnsi="宋体" w:eastAsia="宋体" w:cs="仿宋"/>
                <w:kern w:val="2"/>
                <w:sz w:val="21"/>
                <w:szCs w:val="21"/>
              </w:rPr>
              <w:t>.00</w:t>
            </w:r>
          </w:p>
        </w:tc>
        <w:tc>
          <w:tcPr>
            <w:tcW w:w="992" w:type="dxa"/>
            <w:vMerge w:val="restart"/>
            <w:vAlign w:val="center"/>
          </w:tcPr>
          <w:p w14:paraId="50EFA4BC">
            <w:pPr>
              <w:pStyle w:val="236"/>
              <w:rPr>
                <w:rFonts w:ascii="宋体" w:hAnsi="宋体" w:eastAsia="宋体" w:cs="仿宋"/>
                <w:kern w:val="2"/>
                <w:sz w:val="21"/>
                <w:szCs w:val="21"/>
              </w:rPr>
            </w:pPr>
            <w:r>
              <w:rPr>
                <w:rFonts w:hint="eastAsia" w:ascii="宋体" w:hAnsi="宋体" w:eastAsia="宋体" w:cs="仿宋"/>
                <w:kern w:val="2"/>
                <w:sz w:val="21"/>
                <w:szCs w:val="21"/>
              </w:rPr>
              <w:t>2.0</w:t>
            </w:r>
            <w:r>
              <w:rPr>
                <w:rFonts w:ascii="宋体" w:hAnsi="宋体" w:eastAsia="宋体" w:cs="仿宋"/>
                <w:kern w:val="2"/>
                <w:sz w:val="21"/>
                <w:szCs w:val="21"/>
              </w:rPr>
              <w:t>0</w:t>
            </w:r>
          </w:p>
        </w:tc>
      </w:tr>
      <w:tr w14:paraId="4D8BE0B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649D3C70">
            <w:pPr>
              <w:pStyle w:val="236"/>
              <w:rPr>
                <w:rFonts w:ascii="宋体" w:hAnsi="宋体" w:eastAsia="宋体" w:cs="仿宋"/>
                <w:kern w:val="2"/>
                <w:sz w:val="21"/>
                <w:szCs w:val="21"/>
              </w:rPr>
            </w:pPr>
          </w:p>
        </w:tc>
        <w:tc>
          <w:tcPr>
            <w:tcW w:w="3260" w:type="dxa"/>
            <w:vAlign w:val="center"/>
          </w:tcPr>
          <w:p w14:paraId="7F247052">
            <w:pPr>
              <w:pStyle w:val="236"/>
              <w:rPr>
                <w:rFonts w:ascii="宋体" w:hAnsi="宋体" w:eastAsia="宋体" w:cs="仿宋"/>
                <w:kern w:val="2"/>
                <w:sz w:val="21"/>
                <w:szCs w:val="21"/>
              </w:rPr>
            </w:pPr>
            <w:r>
              <w:rPr>
                <w:rFonts w:hint="eastAsia" w:ascii="宋体" w:hAnsi="宋体" w:eastAsia="宋体" w:cs="仿宋"/>
                <w:kern w:val="2"/>
                <w:sz w:val="21"/>
                <w:szCs w:val="21"/>
              </w:rPr>
              <w:t>有密封件滑盖（带浮球）</w:t>
            </w:r>
          </w:p>
        </w:tc>
        <w:tc>
          <w:tcPr>
            <w:tcW w:w="1701" w:type="dxa"/>
            <w:vMerge w:val="continue"/>
            <w:vAlign w:val="center"/>
          </w:tcPr>
          <w:p w14:paraId="33F5FF9D">
            <w:pPr>
              <w:pStyle w:val="236"/>
              <w:rPr>
                <w:rFonts w:ascii="宋体" w:hAnsi="宋体" w:eastAsia="宋体" w:cs="仿宋"/>
                <w:kern w:val="2"/>
                <w:sz w:val="21"/>
                <w:szCs w:val="21"/>
              </w:rPr>
            </w:pPr>
          </w:p>
        </w:tc>
        <w:tc>
          <w:tcPr>
            <w:tcW w:w="2552" w:type="dxa"/>
            <w:vMerge w:val="continue"/>
            <w:vAlign w:val="center"/>
          </w:tcPr>
          <w:p w14:paraId="7F5BED64">
            <w:pPr>
              <w:pStyle w:val="236"/>
              <w:rPr>
                <w:rFonts w:ascii="宋体" w:hAnsi="宋体" w:eastAsia="宋体" w:cs="仿宋"/>
                <w:kern w:val="2"/>
                <w:sz w:val="21"/>
                <w:szCs w:val="21"/>
              </w:rPr>
            </w:pPr>
          </w:p>
        </w:tc>
        <w:tc>
          <w:tcPr>
            <w:tcW w:w="992" w:type="dxa"/>
            <w:vMerge w:val="continue"/>
            <w:vAlign w:val="center"/>
          </w:tcPr>
          <w:p w14:paraId="04AF20D9">
            <w:pPr>
              <w:pStyle w:val="236"/>
              <w:rPr>
                <w:rFonts w:ascii="宋体" w:hAnsi="宋体" w:eastAsia="宋体" w:cs="仿宋"/>
                <w:kern w:val="2"/>
                <w:sz w:val="21"/>
                <w:szCs w:val="21"/>
              </w:rPr>
            </w:pPr>
          </w:p>
        </w:tc>
      </w:tr>
      <w:tr w14:paraId="0C5A694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0A3811E4">
            <w:pPr>
              <w:pStyle w:val="236"/>
              <w:rPr>
                <w:rFonts w:ascii="宋体" w:hAnsi="宋体" w:eastAsia="宋体" w:cs="仿宋"/>
                <w:kern w:val="2"/>
                <w:sz w:val="21"/>
                <w:szCs w:val="21"/>
              </w:rPr>
            </w:pPr>
          </w:p>
        </w:tc>
        <w:tc>
          <w:tcPr>
            <w:tcW w:w="3260" w:type="dxa"/>
            <w:vAlign w:val="center"/>
          </w:tcPr>
          <w:p w14:paraId="241309A8">
            <w:pPr>
              <w:pStyle w:val="236"/>
              <w:rPr>
                <w:rFonts w:ascii="宋体" w:hAnsi="宋体" w:eastAsia="宋体" w:cs="仿宋"/>
                <w:kern w:val="2"/>
                <w:sz w:val="21"/>
                <w:szCs w:val="21"/>
              </w:rPr>
            </w:pPr>
            <w:r>
              <w:rPr>
                <w:rFonts w:hint="eastAsia" w:ascii="宋体" w:hAnsi="宋体" w:eastAsia="宋体" w:cs="仿宋"/>
                <w:kern w:val="2"/>
                <w:sz w:val="21"/>
                <w:szCs w:val="21"/>
              </w:rPr>
              <w:t>有密封件滑盖（带导杆凸轮）</w:t>
            </w:r>
          </w:p>
        </w:tc>
        <w:tc>
          <w:tcPr>
            <w:tcW w:w="1701" w:type="dxa"/>
            <w:vAlign w:val="center"/>
          </w:tcPr>
          <w:p w14:paraId="096643DB">
            <w:pPr>
              <w:pStyle w:val="236"/>
              <w:rPr>
                <w:rFonts w:ascii="宋体" w:hAnsi="宋体" w:eastAsia="宋体" w:cs="仿宋"/>
                <w:kern w:val="2"/>
                <w:sz w:val="21"/>
                <w:szCs w:val="21"/>
              </w:rPr>
            </w:pPr>
            <w:r>
              <w:rPr>
                <w:rFonts w:hint="eastAsia" w:ascii="宋体" w:hAnsi="宋体" w:eastAsia="宋体" w:cs="仿宋"/>
                <w:kern w:val="2"/>
                <w:sz w:val="21"/>
                <w:szCs w:val="21"/>
              </w:rPr>
              <w:t>41</w:t>
            </w:r>
            <w:r>
              <w:rPr>
                <w:rFonts w:ascii="宋体" w:hAnsi="宋体" w:eastAsia="宋体" w:cs="仿宋"/>
                <w:kern w:val="2"/>
                <w:sz w:val="21"/>
                <w:szCs w:val="21"/>
              </w:rPr>
              <w:t>.00</w:t>
            </w:r>
          </w:p>
        </w:tc>
        <w:tc>
          <w:tcPr>
            <w:tcW w:w="2552" w:type="dxa"/>
            <w:vAlign w:val="center"/>
          </w:tcPr>
          <w:p w14:paraId="3345E986">
            <w:pPr>
              <w:pStyle w:val="236"/>
              <w:rPr>
                <w:rFonts w:ascii="宋体" w:hAnsi="宋体" w:eastAsia="宋体" w:cs="仿宋"/>
                <w:kern w:val="2"/>
                <w:sz w:val="21"/>
                <w:szCs w:val="21"/>
              </w:rPr>
            </w:pPr>
            <w:r>
              <w:rPr>
                <w:rFonts w:hint="eastAsia" w:ascii="宋体" w:hAnsi="宋体" w:eastAsia="宋体" w:cs="仿宋"/>
                <w:kern w:val="2"/>
                <w:sz w:val="21"/>
                <w:szCs w:val="21"/>
              </w:rPr>
              <w:t>48</w:t>
            </w:r>
            <w:r>
              <w:rPr>
                <w:rFonts w:ascii="宋体" w:hAnsi="宋体" w:eastAsia="宋体" w:cs="仿宋"/>
                <w:kern w:val="2"/>
                <w:sz w:val="21"/>
                <w:szCs w:val="21"/>
              </w:rPr>
              <w:t>.00</w:t>
            </w:r>
          </w:p>
        </w:tc>
        <w:tc>
          <w:tcPr>
            <w:tcW w:w="992" w:type="dxa"/>
            <w:vAlign w:val="center"/>
          </w:tcPr>
          <w:p w14:paraId="1C1C7FAA">
            <w:pPr>
              <w:pStyle w:val="236"/>
              <w:rPr>
                <w:rFonts w:ascii="宋体" w:hAnsi="宋体" w:eastAsia="宋体" w:cs="仿宋"/>
                <w:kern w:val="2"/>
                <w:sz w:val="21"/>
                <w:szCs w:val="21"/>
              </w:rPr>
            </w:pPr>
            <w:r>
              <w:rPr>
                <w:rFonts w:hint="eastAsia" w:ascii="宋体" w:hAnsi="宋体" w:eastAsia="宋体" w:cs="仿宋"/>
                <w:kern w:val="2"/>
                <w:sz w:val="21"/>
                <w:szCs w:val="21"/>
              </w:rPr>
              <w:t>1.4</w:t>
            </w:r>
            <w:r>
              <w:rPr>
                <w:rFonts w:ascii="宋体" w:hAnsi="宋体" w:eastAsia="宋体" w:cs="仿宋"/>
                <w:kern w:val="2"/>
                <w:sz w:val="21"/>
                <w:szCs w:val="21"/>
              </w:rPr>
              <w:t>0</w:t>
            </w:r>
          </w:p>
        </w:tc>
      </w:tr>
      <w:tr w14:paraId="561451B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0384F447">
            <w:pPr>
              <w:pStyle w:val="236"/>
              <w:rPr>
                <w:rFonts w:ascii="宋体" w:hAnsi="宋体" w:eastAsia="宋体" w:cs="仿宋"/>
                <w:kern w:val="2"/>
                <w:sz w:val="21"/>
                <w:szCs w:val="21"/>
              </w:rPr>
            </w:pPr>
          </w:p>
        </w:tc>
        <w:tc>
          <w:tcPr>
            <w:tcW w:w="3260" w:type="dxa"/>
            <w:vAlign w:val="center"/>
          </w:tcPr>
          <w:p w14:paraId="1E9BFF78">
            <w:pPr>
              <w:pStyle w:val="236"/>
              <w:rPr>
                <w:rFonts w:ascii="宋体" w:hAnsi="宋体" w:eastAsia="宋体" w:cs="仿宋"/>
                <w:kern w:val="2"/>
                <w:sz w:val="21"/>
                <w:szCs w:val="21"/>
              </w:rPr>
            </w:pPr>
            <w:r>
              <w:rPr>
                <w:rFonts w:hint="eastAsia" w:ascii="宋体" w:hAnsi="宋体" w:eastAsia="宋体" w:cs="仿宋"/>
                <w:kern w:val="2"/>
                <w:sz w:val="21"/>
                <w:szCs w:val="21"/>
              </w:rPr>
              <w:t>有密封件滑盖（带导杆衬套）</w:t>
            </w:r>
          </w:p>
        </w:tc>
        <w:tc>
          <w:tcPr>
            <w:tcW w:w="1701" w:type="dxa"/>
            <w:vAlign w:val="center"/>
          </w:tcPr>
          <w:p w14:paraId="61A4507F">
            <w:pPr>
              <w:pStyle w:val="236"/>
              <w:rPr>
                <w:rFonts w:ascii="宋体" w:hAnsi="宋体" w:eastAsia="宋体" w:cs="仿宋"/>
                <w:kern w:val="2"/>
                <w:sz w:val="21"/>
                <w:szCs w:val="21"/>
              </w:rPr>
            </w:pPr>
            <w:r>
              <w:rPr>
                <w:rFonts w:hint="eastAsia" w:ascii="宋体" w:hAnsi="宋体" w:eastAsia="宋体" w:cs="仿宋"/>
                <w:kern w:val="2"/>
                <w:sz w:val="21"/>
                <w:szCs w:val="21"/>
              </w:rPr>
              <w:t>11</w:t>
            </w:r>
            <w:r>
              <w:rPr>
                <w:rFonts w:ascii="宋体" w:hAnsi="宋体" w:eastAsia="宋体" w:cs="仿宋"/>
                <w:kern w:val="2"/>
                <w:sz w:val="21"/>
                <w:szCs w:val="21"/>
              </w:rPr>
              <w:t>.00</w:t>
            </w:r>
          </w:p>
        </w:tc>
        <w:tc>
          <w:tcPr>
            <w:tcW w:w="2552" w:type="dxa"/>
            <w:vAlign w:val="center"/>
          </w:tcPr>
          <w:p w14:paraId="77B0F0EC">
            <w:pPr>
              <w:pStyle w:val="236"/>
              <w:rPr>
                <w:rFonts w:ascii="宋体" w:hAnsi="宋体" w:eastAsia="宋体" w:cs="仿宋"/>
                <w:kern w:val="2"/>
                <w:sz w:val="21"/>
                <w:szCs w:val="21"/>
              </w:rPr>
            </w:pPr>
            <w:r>
              <w:rPr>
                <w:rFonts w:hint="eastAsia" w:ascii="宋体" w:hAnsi="宋体" w:eastAsia="宋体" w:cs="仿宋"/>
                <w:kern w:val="2"/>
                <w:sz w:val="21"/>
                <w:szCs w:val="21"/>
              </w:rPr>
              <w:t>46</w:t>
            </w:r>
            <w:r>
              <w:rPr>
                <w:rFonts w:ascii="宋体" w:hAnsi="宋体" w:eastAsia="宋体" w:cs="仿宋"/>
                <w:kern w:val="2"/>
                <w:sz w:val="21"/>
                <w:szCs w:val="21"/>
              </w:rPr>
              <w:t>.00</w:t>
            </w:r>
          </w:p>
        </w:tc>
        <w:tc>
          <w:tcPr>
            <w:tcW w:w="992" w:type="dxa"/>
            <w:vAlign w:val="center"/>
          </w:tcPr>
          <w:p w14:paraId="5A17974D">
            <w:pPr>
              <w:pStyle w:val="236"/>
              <w:rPr>
                <w:rFonts w:ascii="宋体" w:hAnsi="宋体" w:eastAsia="宋体" w:cs="仿宋"/>
                <w:kern w:val="2"/>
                <w:sz w:val="21"/>
                <w:szCs w:val="21"/>
              </w:rPr>
            </w:pPr>
            <w:r>
              <w:rPr>
                <w:rFonts w:hint="eastAsia" w:ascii="宋体" w:hAnsi="宋体" w:eastAsia="宋体" w:cs="仿宋"/>
                <w:kern w:val="2"/>
                <w:sz w:val="21"/>
                <w:szCs w:val="21"/>
              </w:rPr>
              <w:t>1.4</w:t>
            </w:r>
            <w:r>
              <w:rPr>
                <w:rFonts w:ascii="宋体" w:hAnsi="宋体" w:eastAsia="宋体" w:cs="仿宋"/>
                <w:kern w:val="2"/>
                <w:sz w:val="21"/>
                <w:szCs w:val="21"/>
              </w:rPr>
              <w:t>0</w:t>
            </w:r>
          </w:p>
        </w:tc>
      </w:tr>
      <w:tr w14:paraId="1153517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648EE2A4">
            <w:pPr>
              <w:pStyle w:val="236"/>
              <w:rPr>
                <w:rFonts w:ascii="宋体" w:hAnsi="宋体" w:eastAsia="宋体" w:cs="仿宋"/>
                <w:kern w:val="2"/>
                <w:sz w:val="21"/>
                <w:szCs w:val="21"/>
              </w:rPr>
            </w:pPr>
          </w:p>
        </w:tc>
        <w:tc>
          <w:tcPr>
            <w:tcW w:w="3260" w:type="dxa"/>
            <w:vAlign w:val="center"/>
          </w:tcPr>
          <w:p w14:paraId="5899AAA2">
            <w:pPr>
              <w:pStyle w:val="236"/>
              <w:rPr>
                <w:rFonts w:ascii="宋体" w:hAnsi="宋体" w:eastAsia="宋体" w:cs="仿宋"/>
                <w:kern w:val="2"/>
                <w:sz w:val="21"/>
                <w:szCs w:val="21"/>
              </w:rPr>
            </w:pPr>
            <w:r>
              <w:rPr>
                <w:rFonts w:hint="eastAsia" w:ascii="宋体" w:hAnsi="宋体" w:eastAsia="宋体" w:cs="仿宋"/>
                <w:kern w:val="2"/>
                <w:sz w:val="21"/>
                <w:szCs w:val="21"/>
              </w:rPr>
              <w:t>有密封件滑盖（带导杆衬套及凸轮）</w:t>
            </w:r>
          </w:p>
        </w:tc>
        <w:tc>
          <w:tcPr>
            <w:tcW w:w="1701" w:type="dxa"/>
            <w:vAlign w:val="center"/>
          </w:tcPr>
          <w:p w14:paraId="1A33E8C3">
            <w:pPr>
              <w:pStyle w:val="236"/>
              <w:rPr>
                <w:rFonts w:ascii="宋体" w:hAnsi="宋体" w:eastAsia="宋体" w:cs="仿宋"/>
                <w:kern w:val="2"/>
                <w:sz w:val="21"/>
                <w:szCs w:val="21"/>
              </w:rPr>
            </w:pPr>
            <w:r>
              <w:rPr>
                <w:rFonts w:hint="eastAsia" w:ascii="宋体" w:hAnsi="宋体" w:eastAsia="宋体" w:cs="仿宋"/>
                <w:kern w:val="2"/>
                <w:sz w:val="21"/>
                <w:szCs w:val="21"/>
              </w:rPr>
              <w:t>8.3</w:t>
            </w:r>
            <w:r>
              <w:rPr>
                <w:rFonts w:ascii="宋体" w:hAnsi="宋体" w:eastAsia="宋体" w:cs="仿宋"/>
                <w:kern w:val="2"/>
                <w:sz w:val="21"/>
                <w:szCs w:val="21"/>
              </w:rPr>
              <w:t>0</w:t>
            </w:r>
          </w:p>
        </w:tc>
        <w:tc>
          <w:tcPr>
            <w:tcW w:w="2552" w:type="dxa"/>
            <w:vAlign w:val="center"/>
          </w:tcPr>
          <w:p w14:paraId="5475477F">
            <w:pPr>
              <w:pStyle w:val="236"/>
              <w:rPr>
                <w:rFonts w:ascii="宋体" w:hAnsi="宋体" w:eastAsia="宋体" w:cs="仿宋"/>
                <w:kern w:val="2"/>
                <w:sz w:val="21"/>
                <w:szCs w:val="21"/>
              </w:rPr>
            </w:pPr>
            <w:r>
              <w:rPr>
                <w:rFonts w:hint="eastAsia" w:ascii="宋体" w:hAnsi="宋体" w:eastAsia="宋体" w:cs="仿宋"/>
                <w:kern w:val="2"/>
                <w:sz w:val="21"/>
                <w:szCs w:val="21"/>
              </w:rPr>
              <w:t>4.4</w:t>
            </w:r>
            <w:r>
              <w:rPr>
                <w:rFonts w:ascii="宋体" w:hAnsi="宋体" w:eastAsia="宋体" w:cs="仿宋"/>
                <w:kern w:val="2"/>
                <w:sz w:val="21"/>
                <w:szCs w:val="21"/>
              </w:rPr>
              <w:t>0</w:t>
            </w:r>
          </w:p>
        </w:tc>
        <w:tc>
          <w:tcPr>
            <w:tcW w:w="992" w:type="dxa"/>
            <w:vAlign w:val="center"/>
          </w:tcPr>
          <w:p w14:paraId="3244B7FE">
            <w:pPr>
              <w:pStyle w:val="236"/>
              <w:rPr>
                <w:rFonts w:ascii="宋体" w:hAnsi="宋体" w:eastAsia="宋体" w:cs="仿宋"/>
                <w:kern w:val="2"/>
                <w:sz w:val="21"/>
                <w:szCs w:val="21"/>
              </w:rPr>
            </w:pPr>
            <w:r>
              <w:rPr>
                <w:rFonts w:hint="eastAsia" w:ascii="宋体" w:hAnsi="宋体" w:eastAsia="宋体" w:cs="仿宋"/>
                <w:kern w:val="2"/>
                <w:sz w:val="21"/>
                <w:szCs w:val="21"/>
              </w:rPr>
              <w:t>1.6</w:t>
            </w:r>
            <w:r>
              <w:rPr>
                <w:rFonts w:ascii="宋体" w:hAnsi="宋体" w:eastAsia="宋体" w:cs="仿宋"/>
                <w:kern w:val="2"/>
                <w:sz w:val="21"/>
                <w:szCs w:val="21"/>
              </w:rPr>
              <w:t>0</w:t>
            </w:r>
          </w:p>
        </w:tc>
      </w:tr>
      <w:tr w14:paraId="4BF3CF9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4469BD17">
            <w:pPr>
              <w:pStyle w:val="236"/>
              <w:rPr>
                <w:rFonts w:ascii="宋体" w:hAnsi="宋体" w:eastAsia="宋体" w:cs="仿宋"/>
                <w:kern w:val="2"/>
                <w:sz w:val="21"/>
                <w:szCs w:val="21"/>
              </w:rPr>
            </w:pPr>
          </w:p>
        </w:tc>
        <w:tc>
          <w:tcPr>
            <w:tcW w:w="3260" w:type="dxa"/>
            <w:vAlign w:val="center"/>
          </w:tcPr>
          <w:p w14:paraId="2787FA4B">
            <w:pPr>
              <w:pStyle w:val="236"/>
              <w:rPr>
                <w:rFonts w:ascii="宋体" w:hAnsi="宋体" w:eastAsia="宋体" w:cs="仿宋"/>
                <w:kern w:val="2"/>
                <w:sz w:val="21"/>
                <w:szCs w:val="21"/>
              </w:rPr>
            </w:pPr>
            <w:r>
              <w:rPr>
                <w:rFonts w:hint="eastAsia" w:ascii="宋体" w:hAnsi="宋体" w:eastAsia="宋体" w:cs="仿宋"/>
                <w:kern w:val="2"/>
                <w:sz w:val="21"/>
                <w:szCs w:val="21"/>
              </w:rPr>
              <w:t>有密封件滑盖（带浮球和导杆凸轮）</w:t>
            </w:r>
          </w:p>
        </w:tc>
        <w:tc>
          <w:tcPr>
            <w:tcW w:w="1701" w:type="dxa"/>
            <w:vAlign w:val="center"/>
          </w:tcPr>
          <w:p w14:paraId="2699C80B">
            <w:pPr>
              <w:pStyle w:val="236"/>
              <w:rPr>
                <w:rFonts w:ascii="宋体" w:hAnsi="宋体" w:eastAsia="宋体" w:cs="仿宋"/>
                <w:kern w:val="2"/>
                <w:sz w:val="21"/>
                <w:szCs w:val="21"/>
              </w:rPr>
            </w:pPr>
            <w:r>
              <w:rPr>
                <w:rFonts w:hint="eastAsia" w:ascii="宋体" w:hAnsi="宋体" w:eastAsia="宋体" w:cs="仿宋"/>
                <w:kern w:val="2"/>
                <w:sz w:val="21"/>
                <w:szCs w:val="21"/>
              </w:rPr>
              <w:t>21</w:t>
            </w:r>
            <w:r>
              <w:rPr>
                <w:rFonts w:ascii="宋体" w:hAnsi="宋体" w:eastAsia="宋体" w:cs="仿宋"/>
                <w:kern w:val="2"/>
                <w:sz w:val="21"/>
                <w:szCs w:val="21"/>
              </w:rPr>
              <w:t>.00</w:t>
            </w:r>
          </w:p>
        </w:tc>
        <w:tc>
          <w:tcPr>
            <w:tcW w:w="2552" w:type="dxa"/>
            <w:vAlign w:val="center"/>
          </w:tcPr>
          <w:p w14:paraId="749C1BB2">
            <w:pPr>
              <w:pStyle w:val="236"/>
              <w:rPr>
                <w:rFonts w:ascii="宋体" w:hAnsi="宋体" w:eastAsia="宋体" w:cs="仿宋"/>
                <w:kern w:val="2"/>
                <w:sz w:val="21"/>
                <w:szCs w:val="21"/>
              </w:rPr>
            </w:pPr>
            <w:r>
              <w:rPr>
                <w:rFonts w:hint="eastAsia" w:ascii="宋体" w:hAnsi="宋体" w:eastAsia="宋体" w:cs="仿宋"/>
                <w:kern w:val="2"/>
                <w:sz w:val="21"/>
                <w:szCs w:val="21"/>
              </w:rPr>
              <w:t>7.9</w:t>
            </w:r>
            <w:r>
              <w:rPr>
                <w:rFonts w:ascii="宋体" w:hAnsi="宋体" w:eastAsia="宋体" w:cs="仿宋"/>
                <w:kern w:val="2"/>
                <w:sz w:val="21"/>
                <w:szCs w:val="21"/>
              </w:rPr>
              <w:t>0</w:t>
            </w:r>
          </w:p>
        </w:tc>
        <w:tc>
          <w:tcPr>
            <w:tcW w:w="992" w:type="dxa"/>
            <w:vAlign w:val="center"/>
          </w:tcPr>
          <w:p w14:paraId="23DF635E">
            <w:pPr>
              <w:pStyle w:val="236"/>
              <w:rPr>
                <w:rFonts w:ascii="宋体" w:hAnsi="宋体" w:eastAsia="宋体" w:cs="仿宋"/>
                <w:kern w:val="2"/>
                <w:sz w:val="21"/>
                <w:szCs w:val="21"/>
              </w:rPr>
            </w:pPr>
            <w:r>
              <w:rPr>
                <w:rFonts w:hint="eastAsia" w:ascii="宋体" w:hAnsi="宋体" w:eastAsia="宋体" w:cs="仿宋"/>
                <w:kern w:val="2"/>
                <w:sz w:val="21"/>
                <w:szCs w:val="21"/>
              </w:rPr>
              <w:t>1.8</w:t>
            </w:r>
            <w:r>
              <w:rPr>
                <w:rFonts w:ascii="宋体" w:hAnsi="宋体" w:eastAsia="宋体" w:cs="仿宋"/>
                <w:kern w:val="2"/>
                <w:sz w:val="21"/>
                <w:szCs w:val="21"/>
              </w:rPr>
              <w:t>0</w:t>
            </w:r>
          </w:p>
        </w:tc>
      </w:tr>
      <w:tr w14:paraId="5E78F6C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tcBorders>
              <w:bottom w:val="single" w:color="auto" w:sz="12" w:space="0"/>
            </w:tcBorders>
            <w:vAlign w:val="center"/>
          </w:tcPr>
          <w:p w14:paraId="637071EE">
            <w:pPr>
              <w:pStyle w:val="236"/>
              <w:rPr>
                <w:rFonts w:ascii="宋体" w:hAnsi="宋体" w:eastAsia="宋体" w:cs="仿宋"/>
                <w:kern w:val="2"/>
                <w:sz w:val="21"/>
                <w:szCs w:val="21"/>
              </w:rPr>
            </w:pPr>
          </w:p>
        </w:tc>
        <w:tc>
          <w:tcPr>
            <w:tcW w:w="3260" w:type="dxa"/>
            <w:tcBorders>
              <w:bottom w:val="single" w:color="auto" w:sz="12" w:space="0"/>
            </w:tcBorders>
            <w:vAlign w:val="center"/>
          </w:tcPr>
          <w:p w14:paraId="6BCFA4A1">
            <w:pPr>
              <w:pStyle w:val="236"/>
              <w:rPr>
                <w:rFonts w:ascii="宋体" w:hAnsi="宋体" w:eastAsia="宋体" w:cs="仿宋"/>
                <w:kern w:val="2"/>
                <w:sz w:val="21"/>
                <w:szCs w:val="21"/>
              </w:rPr>
            </w:pPr>
            <w:r>
              <w:rPr>
                <w:rFonts w:hint="eastAsia" w:ascii="宋体" w:hAnsi="宋体" w:eastAsia="宋体" w:cs="仿宋"/>
                <w:kern w:val="2"/>
                <w:sz w:val="21"/>
                <w:szCs w:val="21"/>
              </w:rPr>
              <w:t>有密封件滑盖（带浮球、衬套和凸轮）</w:t>
            </w:r>
          </w:p>
        </w:tc>
        <w:tc>
          <w:tcPr>
            <w:tcW w:w="1701" w:type="dxa"/>
            <w:tcBorders>
              <w:bottom w:val="single" w:color="auto" w:sz="12" w:space="0"/>
            </w:tcBorders>
            <w:vAlign w:val="center"/>
          </w:tcPr>
          <w:p w14:paraId="17EBA748">
            <w:pPr>
              <w:pStyle w:val="236"/>
              <w:rPr>
                <w:rFonts w:ascii="宋体" w:hAnsi="宋体" w:eastAsia="宋体" w:cs="仿宋"/>
                <w:kern w:val="2"/>
                <w:sz w:val="21"/>
                <w:szCs w:val="21"/>
              </w:rPr>
            </w:pPr>
            <w:r>
              <w:rPr>
                <w:rFonts w:hint="eastAsia" w:ascii="宋体" w:hAnsi="宋体" w:eastAsia="宋体" w:cs="仿宋"/>
                <w:kern w:val="2"/>
                <w:sz w:val="21"/>
                <w:szCs w:val="21"/>
              </w:rPr>
              <w:t>11</w:t>
            </w:r>
            <w:r>
              <w:rPr>
                <w:rFonts w:ascii="宋体" w:hAnsi="宋体" w:eastAsia="宋体" w:cs="仿宋"/>
                <w:kern w:val="2"/>
                <w:sz w:val="21"/>
                <w:szCs w:val="21"/>
              </w:rPr>
              <w:t>.00</w:t>
            </w:r>
          </w:p>
        </w:tc>
        <w:tc>
          <w:tcPr>
            <w:tcW w:w="2552" w:type="dxa"/>
            <w:tcBorders>
              <w:bottom w:val="single" w:color="auto" w:sz="12" w:space="0"/>
            </w:tcBorders>
            <w:vAlign w:val="center"/>
          </w:tcPr>
          <w:p w14:paraId="467D331F">
            <w:pPr>
              <w:pStyle w:val="236"/>
              <w:rPr>
                <w:rFonts w:ascii="宋体" w:hAnsi="宋体" w:eastAsia="宋体" w:cs="仿宋"/>
                <w:kern w:val="2"/>
                <w:sz w:val="21"/>
                <w:szCs w:val="21"/>
              </w:rPr>
            </w:pPr>
            <w:r>
              <w:rPr>
                <w:rFonts w:hint="eastAsia" w:ascii="宋体" w:hAnsi="宋体" w:eastAsia="宋体" w:cs="仿宋"/>
                <w:kern w:val="2"/>
                <w:sz w:val="21"/>
                <w:szCs w:val="21"/>
              </w:rPr>
              <w:t>9.9</w:t>
            </w:r>
            <w:r>
              <w:rPr>
                <w:rFonts w:ascii="宋体" w:hAnsi="宋体" w:eastAsia="宋体" w:cs="仿宋"/>
                <w:kern w:val="2"/>
                <w:sz w:val="21"/>
                <w:szCs w:val="21"/>
              </w:rPr>
              <w:t>0</w:t>
            </w:r>
          </w:p>
        </w:tc>
        <w:tc>
          <w:tcPr>
            <w:tcW w:w="992" w:type="dxa"/>
            <w:tcBorders>
              <w:bottom w:val="single" w:color="auto" w:sz="12" w:space="0"/>
            </w:tcBorders>
            <w:vAlign w:val="center"/>
          </w:tcPr>
          <w:p w14:paraId="4C1F0E6B">
            <w:pPr>
              <w:pStyle w:val="236"/>
              <w:rPr>
                <w:rFonts w:ascii="宋体" w:hAnsi="宋体" w:eastAsia="宋体" w:cs="仿宋"/>
                <w:kern w:val="2"/>
                <w:sz w:val="21"/>
                <w:szCs w:val="21"/>
              </w:rPr>
            </w:pPr>
            <w:r>
              <w:rPr>
                <w:rFonts w:hint="eastAsia" w:ascii="宋体" w:hAnsi="宋体" w:eastAsia="宋体" w:cs="仿宋"/>
                <w:kern w:val="2"/>
                <w:sz w:val="21"/>
                <w:szCs w:val="21"/>
              </w:rPr>
              <w:t>0.89</w:t>
            </w:r>
          </w:p>
        </w:tc>
      </w:tr>
      <w:tr w14:paraId="6E29AE0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restart"/>
            <w:tcBorders>
              <w:top w:val="single" w:color="auto" w:sz="12" w:space="0"/>
            </w:tcBorders>
            <w:vAlign w:val="center"/>
          </w:tcPr>
          <w:p w14:paraId="619F7326">
            <w:pPr>
              <w:pStyle w:val="236"/>
              <w:rPr>
                <w:rFonts w:ascii="宋体" w:hAnsi="宋体" w:eastAsia="宋体" w:cs="仿宋"/>
                <w:kern w:val="2"/>
                <w:sz w:val="21"/>
                <w:szCs w:val="21"/>
              </w:rPr>
            </w:pPr>
            <w:r>
              <w:rPr>
                <w:rFonts w:hint="eastAsia" w:ascii="宋体" w:hAnsi="宋体" w:eastAsia="宋体" w:cs="仿宋"/>
                <w:kern w:val="2"/>
                <w:sz w:val="21"/>
                <w:szCs w:val="21"/>
              </w:rPr>
              <w:t>无槽导杆和取样井</w:t>
            </w:r>
          </w:p>
        </w:tc>
        <w:tc>
          <w:tcPr>
            <w:tcW w:w="3260" w:type="dxa"/>
            <w:tcBorders>
              <w:top w:val="single" w:color="auto" w:sz="12" w:space="0"/>
            </w:tcBorders>
            <w:vAlign w:val="center"/>
          </w:tcPr>
          <w:p w14:paraId="3D11709E">
            <w:pPr>
              <w:pStyle w:val="236"/>
              <w:rPr>
                <w:rFonts w:ascii="宋体" w:hAnsi="宋体" w:eastAsia="宋体" w:cs="仿宋"/>
                <w:kern w:val="2"/>
                <w:sz w:val="21"/>
                <w:szCs w:val="21"/>
              </w:rPr>
            </w:pPr>
            <w:r>
              <w:rPr>
                <w:rFonts w:hint="eastAsia" w:ascii="宋体" w:hAnsi="宋体" w:eastAsia="宋体" w:cs="仿宋"/>
                <w:kern w:val="2"/>
                <w:sz w:val="21"/>
                <w:szCs w:val="21"/>
              </w:rPr>
              <w:t>无衬垫滑盖</w:t>
            </w:r>
          </w:p>
        </w:tc>
        <w:tc>
          <w:tcPr>
            <w:tcW w:w="1701" w:type="dxa"/>
            <w:tcBorders>
              <w:top w:val="single" w:color="auto" w:sz="12" w:space="0"/>
            </w:tcBorders>
            <w:vAlign w:val="center"/>
          </w:tcPr>
          <w:p w14:paraId="611A21E2">
            <w:pPr>
              <w:pStyle w:val="236"/>
              <w:rPr>
                <w:rFonts w:ascii="宋体" w:hAnsi="宋体" w:eastAsia="宋体" w:cs="仿宋"/>
                <w:kern w:val="2"/>
                <w:sz w:val="21"/>
                <w:szCs w:val="21"/>
              </w:rPr>
            </w:pPr>
            <w:r>
              <w:rPr>
                <w:rFonts w:hint="eastAsia" w:ascii="宋体" w:hAnsi="宋体" w:eastAsia="宋体" w:cs="仿宋"/>
                <w:kern w:val="2"/>
                <w:sz w:val="21"/>
                <w:szCs w:val="21"/>
              </w:rPr>
              <w:t>13</w:t>
            </w:r>
            <w:r>
              <w:rPr>
                <w:rFonts w:ascii="宋体" w:hAnsi="宋体" w:eastAsia="宋体" w:cs="仿宋"/>
                <w:kern w:val="2"/>
                <w:sz w:val="21"/>
                <w:szCs w:val="21"/>
              </w:rPr>
              <w:t>.00</w:t>
            </w:r>
          </w:p>
        </w:tc>
        <w:tc>
          <w:tcPr>
            <w:tcW w:w="2552" w:type="dxa"/>
            <w:tcBorders>
              <w:top w:val="single" w:color="auto" w:sz="12" w:space="0"/>
            </w:tcBorders>
            <w:vAlign w:val="center"/>
          </w:tcPr>
          <w:p w14:paraId="4292B5B1">
            <w:pPr>
              <w:pStyle w:val="236"/>
              <w:rPr>
                <w:rFonts w:ascii="宋体" w:hAnsi="宋体" w:eastAsia="宋体" w:cs="仿宋"/>
                <w:kern w:val="2"/>
                <w:sz w:val="21"/>
                <w:szCs w:val="21"/>
              </w:rPr>
            </w:pPr>
            <w:r>
              <w:rPr>
                <w:rFonts w:hint="eastAsia" w:ascii="宋体" w:hAnsi="宋体" w:eastAsia="宋体" w:cs="仿宋"/>
                <w:kern w:val="2"/>
                <w:sz w:val="21"/>
                <w:szCs w:val="21"/>
              </w:rPr>
              <w:t>150</w:t>
            </w:r>
            <w:r>
              <w:rPr>
                <w:rFonts w:ascii="宋体" w:hAnsi="宋体" w:eastAsia="宋体" w:cs="仿宋"/>
                <w:kern w:val="2"/>
                <w:sz w:val="21"/>
                <w:szCs w:val="21"/>
              </w:rPr>
              <w:t>.00</w:t>
            </w:r>
          </w:p>
        </w:tc>
        <w:tc>
          <w:tcPr>
            <w:tcW w:w="992" w:type="dxa"/>
            <w:tcBorders>
              <w:top w:val="single" w:color="auto" w:sz="12" w:space="0"/>
            </w:tcBorders>
            <w:vAlign w:val="center"/>
          </w:tcPr>
          <w:p w14:paraId="115111EF">
            <w:pPr>
              <w:pStyle w:val="236"/>
              <w:rPr>
                <w:rFonts w:ascii="宋体" w:hAnsi="宋体" w:eastAsia="宋体" w:cs="仿宋"/>
                <w:kern w:val="2"/>
                <w:sz w:val="21"/>
                <w:szCs w:val="21"/>
              </w:rPr>
            </w:pPr>
            <w:r>
              <w:rPr>
                <w:rFonts w:hint="eastAsia" w:ascii="宋体" w:hAnsi="宋体" w:eastAsia="宋体" w:cs="仿宋"/>
                <w:kern w:val="2"/>
                <w:sz w:val="21"/>
                <w:szCs w:val="21"/>
              </w:rPr>
              <w:t>1.4</w:t>
            </w:r>
            <w:r>
              <w:rPr>
                <w:rFonts w:ascii="宋体" w:hAnsi="宋体" w:eastAsia="宋体" w:cs="仿宋"/>
                <w:kern w:val="2"/>
                <w:sz w:val="21"/>
                <w:szCs w:val="21"/>
              </w:rPr>
              <w:t>0</w:t>
            </w:r>
          </w:p>
        </w:tc>
      </w:tr>
      <w:tr w14:paraId="0932647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50052E56">
            <w:pPr>
              <w:pStyle w:val="236"/>
              <w:rPr>
                <w:rFonts w:ascii="宋体" w:hAnsi="宋体" w:eastAsia="宋体" w:cs="仿宋"/>
                <w:kern w:val="2"/>
                <w:sz w:val="21"/>
                <w:szCs w:val="21"/>
              </w:rPr>
            </w:pPr>
          </w:p>
        </w:tc>
        <w:tc>
          <w:tcPr>
            <w:tcW w:w="3260" w:type="dxa"/>
            <w:vAlign w:val="center"/>
          </w:tcPr>
          <w:p w14:paraId="71CF684A">
            <w:pPr>
              <w:pStyle w:val="236"/>
              <w:rPr>
                <w:rFonts w:ascii="宋体" w:hAnsi="宋体" w:eastAsia="宋体" w:cs="仿宋"/>
                <w:kern w:val="2"/>
                <w:sz w:val="21"/>
                <w:szCs w:val="21"/>
              </w:rPr>
            </w:pPr>
            <w:r>
              <w:rPr>
                <w:rFonts w:hint="eastAsia" w:ascii="宋体" w:hAnsi="宋体" w:eastAsia="宋体" w:cs="仿宋"/>
                <w:kern w:val="2"/>
                <w:sz w:val="21"/>
                <w:szCs w:val="21"/>
              </w:rPr>
              <w:t>无衬垫滑盖带导杆</w:t>
            </w:r>
          </w:p>
        </w:tc>
        <w:tc>
          <w:tcPr>
            <w:tcW w:w="1701" w:type="dxa"/>
            <w:vAlign w:val="center"/>
          </w:tcPr>
          <w:p w14:paraId="3CE0D0ED">
            <w:pPr>
              <w:pStyle w:val="236"/>
              <w:rPr>
                <w:rFonts w:ascii="宋体" w:hAnsi="宋体" w:eastAsia="宋体" w:cs="仿宋"/>
                <w:kern w:val="2"/>
                <w:sz w:val="21"/>
                <w:szCs w:val="21"/>
              </w:rPr>
            </w:pPr>
            <w:r>
              <w:rPr>
                <w:rFonts w:hint="eastAsia" w:ascii="宋体" w:hAnsi="宋体" w:eastAsia="宋体" w:cs="仿宋"/>
                <w:kern w:val="2"/>
                <w:sz w:val="21"/>
                <w:szCs w:val="21"/>
              </w:rPr>
              <w:t>25</w:t>
            </w:r>
            <w:r>
              <w:rPr>
                <w:rFonts w:ascii="宋体" w:hAnsi="宋体" w:eastAsia="宋体" w:cs="仿宋"/>
                <w:kern w:val="2"/>
                <w:sz w:val="21"/>
                <w:szCs w:val="21"/>
              </w:rPr>
              <w:t>.00</w:t>
            </w:r>
          </w:p>
        </w:tc>
        <w:tc>
          <w:tcPr>
            <w:tcW w:w="2552" w:type="dxa"/>
            <w:vAlign w:val="center"/>
          </w:tcPr>
          <w:p w14:paraId="17BBD942">
            <w:pPr>
              <w:pStyle w:val="236"/>
              <w:rPr>
                <w:rFonts w:ascii="宋体" w:hAnsi="宋体" w:eastAsia="宋体" w:cs="仿宋"/>
                <w:kern w:val="2"/>
                <w:sz w:val="21"/>
                <w:szCs w:val="21"/>
              </w:rPr>
            </w:pPr>
            <w:r>
              <w:rPr>
                <w:rFonts w:hint="eastAsia" w:ascii="宋体" w:hAnsi="宋体" w:eastAsia="宋体" w:cs="仿宋"/>
                <w:kern w:val="2"/>
                <w:sz w:val="21"/>
                <w:szCs w:val="21"/>
              </w:rPr>
              <w:t>2.2</w:t>
            </w:r>
            <w:r>
              <w:rPr>
                <w:rFonts w:ascii="宋体" w:hAnsi="宋体" w:eastAsia="宋体" w:cs="仿宋"/>
                <w:kern w:val="2"/>
                <w:sz w:val="21"/>
                <w:szCs w:val="21"/>
              </w:rPr>
              <w:t>0</w:t>
            </w:r>
          </w:p>
        </w:tc>
        <w:tc>
          <w:tcPr>
            <w:tcW w:w="992" w:type="dxa"/>
            <w:vAlign w:val="center"/>
          </w:tcPr>
          <w:p w14:paraId="1C8A858E">
            <w:pPr>
              <w:pStyle w:val="236"/>
              <w:rPr>
                <w:rFonts w:ascii="宋体" w:hAnsi="宋体" w:eastAsia="宋体" w:cs="仿宋"/>
                <w:kern w:val="2"/>
                <w:sz w:val="21"/>
                <w:szCs w:val="21"/>
              </w:rPr>
            </w:pPr>
            <w:r>
              <w:rPr>
                <w:rFonts w:hint="eastAsia" w:ascii="宋体" w:hAnsi="宋体" w:eastAsia="宋体" w:cs="仿宋"/>
                <w:kern w:val="2"/>
                <w:sz w:val="21"/>
                <w:szCs w:val="21"/>
              </w:rPr>
              <w:t>2.1</w:t>
            </w:r>
            <w:r>
              <w:rPr>
                <w:rFonts w:ascii="宋体" w:hAnsi="宋体" w:eastAsia="宋体" w:cs="仿宋"/>
                <w:kern w:val="2"/>
                <w:sz w:val="21"/>
                <w:szCs w:val="21"/>
              </w:rPr>
              <w:t>0</w:t>
            </w:r>
          </w:p>
        </w:tc>
      </w:tr>
      <w:tr w14:paraId="7398381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6D45E952">
            <w:pPr>
              <w:pStyle w:val="236"/>
              <w:rPr>
                <w:rFonts w:ascii="宋体" w:hAnsi="宋体" w:eastAsia="宋体" w:cs="仿宋"/>
                <w:kern w:val="2"/>
                <w:sz w:val="21"/>
                <w:szCs w:val="21"/>
              </w:rPr>
            </w:pPr>
          </w:p>
        </w:tc>
        <w:tc>
          <w:tcPr>
            <w:tcW w:w="3260" w:type="dxa"/>
            <w:vAlign w:val="center"/>
          </w:tcPr>
          <w:p w14:paraId="2E14EDCB">
            <w:pPr>
              <w:pStyle w:val="236"/>
              <w:rPr>
                <w:rFonts w:ascii="宋体" w:hAnsi="宋体" w:eastAsia="宋体" w:cs="仿宋"/>
                <w:kern w:val="2"/>
                <w:sz w:val="21"/>
                <w:szCs w:val="21"/>
              </w:rPr>
            </w:pPr>
            <w:r>
              <w:rPr>
                <w:rFonts w:hint="eastAsia" w:ascii="宋体" w:hAnsi="宋体" w:eastAsia="宋体" w:cs="仿宋"/>
                <w:kern w:val="2"/>
                <w:sz w:val="21"/>
                <w:szCs w:val="21"/>
              </w:rPr>
              <w:t>衬套衬垫带滑盖</w:t>
            </w:r>
          </w:p>
        </w:tc>
        <w:tc>
          <w:tcPr>
            <w:tcW w:w="1701" w:type="dxa"/>
            <w:vAlign w:val="center"/>
          </w:tcPr>
          <w:p w14:paraId="73F35A16">
            <w:pPr>
              <w:pStyle w:val="236"/>
              <w:rPr>
                <w:rFonts w:ascii="宋体" w:hAnsi="宋体" w:eastAsia="宋体" w:cs="仿宋"/>
                <w:kern w:val="2"/>
                <w:sz w:val="21"/>
                <w:szCs w:val="21"/>
              </w:rPr>
            </w:pPr>
            <w:r>
              <w:rPr>
                <w:rFonts w:hint="eastAsia" w:ascii="宋体" w:hAnsi="宋体" w:eastAsia="宋体" w:cs="仿宋"/>
                <w:kern w:val="2"/>
                <w:sz w:val="21"/>
                <w:szCs w:val="21"/>
              </w:rPr>
              <w:t>25</w:t>
            </w:r>
            <w:r>
              <w:rPr>
                <w:rFonts w:ascii="宋体" w:hAnsi="宋体" w:eastAsia="宋体" w:cs="仿宋"/>
                <w:kern w:val="2"/>
                <w:sz w:val="21"/>
                <w:szCs w:val="21"/>
              </w:rPr>
              <w:t>.00</w:t>
            </w:r>
          </w:p>
        </w:tc>
        <w:tc>
          <w:tcPr>
            <w:tcW w:w="2552" w:type="dxa"/>
            <w:vAlign w:val="center"/>
          </w:tcPr>
          <w:p w14:paraId="59D3F9EC">
            <w:pPr>
              <w:pStyle w:val="236"/>
              <w:rPr>
                <w:rFonts w:ascii="宋体" w:hAnsi="宋体" w:eastAsia="宋体" w:cs="仿宋"/>
                <w:kern w:val="2"/>
                <w:sz w:val="21"/>
                <w:szCs w:val="21"/>
              </w:rPr>
            </w:pPr>
            <w:r>
              <w:rPr>
                <w:rFonts w:hint="eastAsia" w:ascii="宋体" w:hAnsi="宋体" w:eastAsia="宋体" w:cs="仿宋"/>
                <w:kern w:val="2"/>
                <w:sz w:val="21"/>
                <w:szCs w:val="21"/>
              </w:rPr>
              <w:t>13</w:t>
            </w:r>
            <w:r>
              <w:rPr>
                <w:rFonts w:ascii="宋体" w:hAnsi="宋体" w:eastAsia="宋体" w:cs="仿宋"/>
                <w:kern w:val="2"/>
                <w:sz w:val="21"/>
                <w:szCs w:val="21"/>
              </w:rPr>
              <w:t>.00</w:t>
            </w:r>
          </w:p>
        </w:tc>
        <w:tc>
          <w:tcPr>
            <w:tcW w:w="992" w:type="dxa"/>
            <w:vAlign w:val="center"/>
          </w:tcPr>
          <w:p w14:paraId="3427BD5C">
            <w:pPr>
              <w:pStyle w:val="236"/>
              <w:rPr>
                <w:rFonts w:ascii="宋体" w:hAnsi="宋体" w:eastAsia="宋体" w:cs="仿宋"/>
                <w:kern w:val="2"/>
                <w:sz w:val="21"/>
                <w:szCs w:val="21"/>
              </w:rPr>
            </w:pPr>
            <w:r>
              <w:rPr>
                <w:rFonts w:hint="eastAsia" w:ascii="宋体" w:hAnsi="宋体" w:eastAsia="宋体" w:cs="仿宋"/>
                <w:kern w:val="2"/>
                <w:sz w:val="21"/>
                <w:szCs w:val="21"/>
              </w:rPr>
              <w:t>2.2</w:t>
            </w:r>
            <w:r>
              <w:rPr>
                <w:rFonts w:ascii="宋体" w:hAnsi="宋体" w:eastAsia="宋体" w:cs="仿宋"/>
                <w:kern w:val="2"/>
                <w:sz w:val="21"/>
                <w:szCs w:val="21"/>
              </w:rPr>
              <w:t>0</w:t>
            </w:r>
          </w:p>
        </w:tc>
      </w:tr>
      <w:tr w14:paraId="684AD89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31AD3ACD">
            <w:pPr>
              <w:pStyle w:val="236"/>
              <w:rPr>
                <w:rFonts w:ascii="宋体" w:hAnsi="宋体" w:eastAsia="宋体" w:cs="仿宋"/>
                <w:kern w:val="2"/>
                <w:sz w:val="21"/>
                <w:szCs w:val="21"/>
              </w:rPr>
            </w:pPr>
          </w:p>
        </w:tc>
        <w:tc>
          <w:tcPr>
            <w:tcW w:w="3260" w:type="dxa"/>
            <w:vAlign w:val="center"/>
          </w:tcPr>
          <w:p w14:paraId="5DB59FF7">
            <w:pPr>
              <w:pStyle w:val="236"/>
              <w:rPr>
                <w:rFonts w:ascii="宋体" w:hAnsi="宋体" w:eastAsia="宋体" w:cs="仿宋"/>
                <w:kern w:val="2"/>
                <w:sz w:val="21"/>
                <w:szCs w:val="21"/>
              </w:rPr>
            </w:pPr>
            <w:r>
              <w:rPr>
                <w:rFonts w:hint="eastAsia" w:ascii="宋体" w:hAnsi="宋体" w:eastAsia="宋体" w:cs="仿宋"/>
                <w:kern w:val="2"/>
                <w:sz w:val="21"/>
                <w:szCs w:val="21"/>
              </w:rPr>
              <w:t>有衬垫滑盖带凸轮</w:t>
            </w:r>
          </w:p>
        </w:tc>
        <w:tc>
          <w:tcPr>
            <w:tcW w:w="1701" w:type="dxa"/>
            <w:vAlign w:val="center"/>
          </w:tcPr>
          <w:p w14:paraId="1BC6AA3D">
            <w:pPr>
              <w:pStyle w:val="236"/>
              <w:rPr>
                <w:rFonts w:ascii="宋体" w:hAnsi="宋体" w:eastAsia="宋体" w:cs="仿宋"/>
                <w:kern w:val="2"/>
                <w:sz w:val="21"/>
                <w:szCs w:val="21"/>
              </w:rPr>
            </w:pPr>
            <w:r>
              <w:rPr>
                <w:rFonts w:hint="eastAsia" w:ascii="宋体" w:hAnsi="宋体" w:eastAsia="宋体" w:cs="仿宋"/>
                <w:kern w:val="2"/>
                <w:sz w:val="21"/>
                <w:szCs w:val="21"/>
              </w:rPr>
              <w:t>14</w:t>
            </w:r>
            <w:r>
              <w:rPr>
                <w:rFonts w:ascii="宋体" w:hAnsi="宋体" w:eastAsia="宋体" w:cs="仿宋"/>
                <w:kern w:val="2"/>
                <w:sz w:val="21"/>
                <w:szCs w:val="21"/>
              </w:rPr>
              <w:t>.00</w:t>
            </w:r>
          </w:p>
        </w:tc>
        <w:tc>
          <w:tcPr>
            <w:tcW w:w="2552" w:type="dxa"/>
            <w:vAlign w:val="center"/>
          </w:tcPr>
          <w:p w14:paraId="2F7DA207">
            <w:pPr>
              <w:pStyle w:val="236"/>
              <w:rPr>
                <w:rFonts w:ascii="宋体" w:hAnsi="宋体" w:eastAsia="宋体" w:cs="仿宋"/>
                <w:kern w:val="2"/>
                <w:sz w:val="21"/>
                <w:szCs w:val="21"/>
              </w:rPr>
            </w:pPr>
            <w:r>
              <w:rPr>
                <w:rFonts w:hint="eastAsia" w:ascii="宋体" w:hAnsi="宋体" w:eastAsia="宋体" w:cs="仿宋"/>
                <w:kern w:val="2"/>
                <w:sz w:val="21"/>
                <w:szCs w:val="21"/>
              </w:rPr>
              <w:t>3.7</w:t>
            </w:r>
            <w:r>
              <w:rPr>
                <w:rFonts w:ascii="宋体" w:hAnsi="宋体" w:eastAsia="宋体" w:cs="仿宋"/>
                <w:kern w:val="2"/>
                <w:sz w:val="21"/>
                <w:szCs w:val="21"/>
              </w:rPr>
              <w:t>0</w:t>
            </w:r>
          </w:p>
        </w:tc>
        <w:tc>
          <w:tcPr>
            <w:tcW w:w="992" w:type="dxa"/>
            <w:vAlign w:val="center"/>
          </w:tcPr>
          <w:p w14:paraId="01BDC568">
            <w:pPr>
              <w:pStyle w:val="236"/>
              <w:rPr>
                <w:rFonts w:ascii="宋体" w:hAnsi="宋体" w:eastAsia="宋体" w:cs="仿宋"/>
                <w:kern w:val="2"/>
                <w:sz w:val="21"/>
                <w:szCs w:val="21"/>
              </w:rPr>
            </w:pPr>
            <w:r>
              <w:rPr>
                <w:rFonts w:hint="eastAsia" w:ascii="宋体" w:hAnsi="宋体" w:eastAsia="宋体" w:cs="仿宋"/>
                <w:kern w:val="2"/>
                <w:sz w:val="21"/>
                <w:szCs w:val="21"/>
              </w:rPr>
              <w:t>0.78</w:t>
            </w:r>
          </w:p>
        </w:tc>
      </w:tr>
      <w:tr w14:paraId="07DBBB9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tcBorders>
              <w:bottom w:val="single" w:color="auto" w:sz="12" w:space="0"/>
            </w:tcBorders>
            <w:vAlign w:val="center"/>
          </w:tcPr>
          <w:p w14:paraId="1A64AA80">
            <w:pPr>
              <w:pStyle w:val="236"/>
              <w:rPr>
                <w:rFonts w:ascii="宋体" w:hAnsi="宋体" w:eastAsia="宋体" w:cs="仿宋"/>
                <w:kern w:val="2"/>
                <w:sz w:val="21"/>
                <w:szCs w:val="21"/>
              </w:rPr>
            </w:pPr>
          </w:p>
        </w:tc>
        <w:tc>
          <w:tcPr>
            <w:tcW w:w="3260" w:type="dxa"/>
            <w:tcBorders>
              <w:bottom w:val="single" w:color="auto" w:sz="12" w:space="0"/>
            </w:tcBorders>
            <w:vAlign w:val="center"/>
          </w:tcPr>
          <w:p w14:paraId="22EDA21B">
            <w:pPr>
              <w:pStyle w:val="236"/>
              <w:rPr>
                <w:rFonts w:ascii="宋体" w:hAnsi="宋体" w:eastAsia="宋体" w:cs="仿宋"/>
                <w:kern w:val="2"/>
                <w:sz w:val="21"/>
                <w:szCs w:val="21"/>
              </w:rPr>
            </w:pPr>
            <w:r>
              <w:rPr>
                <w:rFonts w:hint="eastAsia" w:ascii="宋体" w:hAnsi="宋体" w:eastAsia="宋体" w:cs="仿宋"/>
                <w:kern w:val="2"/>
                <w:sz w:val="21"/>
                <w:szCs w:val="21"/>
              </w:rPr>
              <w:t>有衬垫滑盖带衬套</w:t>
            </w:r>
          </w:p>
        </w:tc>
        <w:tc>
          <w:tcPr>
            <w:tcW w:w="1701" w:type="dxa"/>
            <w:tcBorders>
              <w:bottom w:val="single" w:color="auto" w:sz="12" w:space="0"/>
            </w:tcBorders>
            <w:vAlign w:val="center"/>
          </w:tcPr>
          <w:p w14:paraId="1170A2BA">
            <w:pPr>
              <w:pStyle w:val="236"/>
              <w:rPr>
                <w:rFonts w:ascii="宋体" w:hAnsi="宋体" w:eastAsia="宋体" w:cs="仿宋"/>
                <w:kern w:val="2"/>
                <w:sz w:val="21"/>
                <w:szCs w:val="21"/>
              </w:rPr>
            </w:pPr>
            <w:r>
              <w:rPr>
                <w:rFonts w:hint="eastAsia" w:ascii="宋体" w:hAnsi="宋体" w:eastAsia="宋体" w:cs="仿宋"/>
                <w:kern w:val="2"/>
                <w:sz w:val="21"/>
                <w:szCs w:val="21"/>
              </w:rPr>
              <w:t>8.6</w:t>
            </w:r>
            <w:r>
              <w:rPr>
                <w:rFonts w:ascii="宋体" w:hAnsi="宋体" w:eastAsia="宋体" w:cs="仿宋"/>
                <w:kern w:val="2"/>
                <w:sz w:val="21"/>
                <w:szCs w:val="21"/>
              </w:rPr>
              <w:t>0</w:t>
            </w:r>
          </w:p>
        </w:tc>
        <w:tc>
          <w:tcPr>
            <w:tcW w:w="2552" w:type="dxa"/>
            <w:tcBorders>
              <w:bottom w:val="single" w:color="auto" w:sz="12" w:space="0"/>
            </w:tcBorders>
            <w:vAlign w:val="center"/>
          </w:tcPr>
          <w:p w14:paraId="291F86E6">
            <w:pPr>
              <w:pStyle w:val="236"/>
              <w:rPr>
                <w:rFonts w:ascii="宋体" w:hAnsi="宋体" w:eastAsia="宋体" w:cs="仿宋"/>
                <w:kern w:val="2"/>
                <w:sz w:val="21"/>
                <w:szCs w:val="21"/>
              </w:rPr>
            </w:pPr>
            <w:r>
              <w:rPr>
                <w:rFonts w:hint="eastAsia" w:ascii="宋体" w:hAnsi="宋体" w:eastAsia="宋体" w:cs="仿宋"/>
                <w:kern w:val="2"/>
                <w:sz w:val="21"/>
                <w:szCs w:val="21"/>
              </w:rPr>
              <w:t>12</w:t>
            </w:r>
            <w:r>
              <w:rPr>
                <w:rFonts w:ascii="宋体" w:hAnsi="宋体" w:eastAsia="宋体" w:cs="仿宋"/>
                <w:kern w:val="2"/>
                <w:sz w:val="21"/>
                <w:szCs w:val="21"/>
              </w:rPr>
              <w:t>.00</w:t>
            </w:r>
          </w:p>
        </w:tc>
        <w:tc>
          <w:tcPr>
            <w:tcW w:w="992" w:type="dxa"/>
            <w:tcBorders>
              <w:bottom w:val="single" w:color="auto" w:sz="12" w:space="0"/>
            </w:tcBorders>
            <w:vAlign w:val="center"/>
          </w:tcPr>
          <w:p w14:paraId="3986EA6A">
            <w:pPr>
              <w:pStyle w:val="236"/>
              <w:rPr>
                <w:rFonts w:ascii="宋体" w:hAnsi="宋体" w:eastAsia="宋体" w:cs="仿宋"/>
                <w:kern w:val="2"/>
                <w:sz w:val="21"/>
                <w:szCs w:val="21"/>
              </w:rPr>
            </w:pPr>
            <w:r>
              <w:rPr>
                <w:rFonts w:hint="eastAsia" w:ascii="宋体" w:hAnsi="宋体" w:eastAsia="宋体" w:cs="仿宋"/>
                <w:kern w:val="2"/>
                <w:sz w:val="21"/>
                <w:szCs w:val="21"/>
              </w:rPr>
              <w:t>0.81</w:t>
            </w:r>
          </w:p>
        </w:tc>
      </w:tr>
      <w:tr w14:paraId="012E293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restart"/>
            <w:tcBorders>
              <w:top w:val="single" w:color="auto" w:sz="12" w:space="0"/>
            </w:tcBorders>
            <w:vAlign w:val="center"/>
          </w:tcPr>
          <w:p w14:paraId="13B7D2CB">
            <w:pPr>
              <w:pStyle w:val="236"/>
              <w:rPr>
                <w:rFonts w:ascii="宋体" w:hAnsi="宋体" w:eastAsia="宋体" w:cs="仿宋"/>
                <w:kern w:val="2"/>
                <w:sz w:val="21"/>
                <w:szCs w:val="21"/>
              </w:rPr>
            </w:pPr>
            <w:r>
              <w:rPr>
                <w:rFonts w:hint="eastAsia" w:ascii="宋体" w:hAnsi="宋体" w:eastAsia="宋体" w:cs="仿宋"/>
                <w:kern w:val="2"/>
                <w:sz w:val="21"/>
                <w:szCs w:val="21"/>
              </w:rPr>
              <w:t>呼吸阀</w:t>
            </w:r>
          </w:p>
        </w:tc>
        <w:tc>
          <w:tcPr>
            <w:tcW w:w="3260" w:type="dxa"/>
            <w:tcBorders>
              <w:top w:val="single" w:color="auto" w:sz="12" w:space="0"/>
            </w:tcBorders>
            <w:vAlign w:val="center"/>
          </w:tcPr>
          <w:p w14:paraId="0E1E67CD">
            <w:pPr>
              <w:pStyle w:val="236"/>
              <w:rPr>
                <w:rFonts w:ascii="宋体" w:hAnsi="宋体" w:eastAsia="宋体" w:cs="仿宋"/>
                <w:kern w:val="2"/>
                <w:sz w:val="21"/>
                <w:szCs w:val="21"/>
              </w:rPr>
            </w:pPr>
            <w:r>
              <w:rPr>
                <w:rFonts w:hint="eastAsia" w:ascii="宋体" w:hAnsi="宋体" w:eastAsia="宋体" w:cs="仿宋"/>
                <w:kern w:val="2"/>
                <w:sz w:val="21"/>
                <w:szCs w:val="21"/>
              </w:rPr>
              <w:t>附重加权，未加密封件</w:t>
            </w:r>
          </w:p>
        </w:tc>
        <w:tc>
          <w:tcPr>
            <w:tcW w:w="1701" w:type="dxa"/>
            <w:tcBorders>
              <w:top w:val="single" w:color="auto" w:sz="12" w:space="0"/>
            </w:tcBorders>
            <w:vAlign w:val="center"/>
          </w:tcPr>
          <w:p w14:paraId="3F80E3D6">
            <w:pPr>
              <w:pStyle w:val="236"/>
              <w:rPr>
                <w:rFonts w:ascii="宋体" w:hAnsi="宋体" w:eastAsia="宋体" w:cs="仿宋"/>
                <w:kern w:val="2"/>
                <w:sz w:val="21"/>
                <w:szCs w:val="21"/>
              </w:rPr>
            </w:pPr>
            <w:r>
              <w:rPr>
                <w:rFonts w:hint="eastAsia" w:ascii="宋体" w:hAnsi="宋体" w:eastAsia="宋体" w:cs="仿宋"/>
                <w:kern w:val="2"/>
                <w:sz w:val="21"/>
                <w:szCs w:val="21"/>
              </w:rPr>
              <w:t>7.8</w:t>
            </w:r>
            <w:r>
              <w:rPr>
                <w:rFonts w:ascii="宋体" w:hAnsi="宋体" w:eastAsia="宋体" w:cs="仿宋"/>
                <w:kern w:val="2"/>
                <w:sz w:val="21"/>
                <w:szCs w:val="21"/>
              </w:rPr>
              <w:t>0</w:t>
            </w:r>
          </w:p>
        </w:tc>
        <w:tc>
          <w:tcPr>
            <w:tcW w:w="2552" w:type="dxa"/>
            <w:tcBorders>
              <w:top w:val="single" w:color="auto" w:sz="12" w:space="0"/>
            </w:tcBorders>
            <w:vAlign w:val="center"/>
          </w:tcPr>
          <w:p w14:paraId="4EB163B4">
            <w:pPr>
              <w:pStyle w:val="236"/>
              <w:rPr>
                <w:rFonts w:ascii="宋体" w:hAnsi="宋体" w:eastAsia="宋体" w:cs="仿宋"/>
                <w:kern w:val="2"/>
                <w:sz w:val="21"/>
                <w:szCs w:val="21"/>
              </w:rPr>
            </w:pPr>
            <w:r>
              <w:rPr>
                <w:rFonts w:hint="eastAsia" w:ascii="宋体" w:hAnsi="宋体" w:eastAsia="宋体" w:cs="仿宋"/>
                <w:kern w:val="2"/>
                <w:sz w:val="21"/>
                <w:szCs w:val="21"/>
              </w:rPr>
              <w:t>0.01</w:t>
            </w:r>
          </w:p>
        </w:tc>
        <w:tc>
          <w:tcPr>
            <w:tcW w:w="992" w:type="dxa"/>
            <w:tcBorders>
              <w:top w:val="single" w:color="auto" w:sz="12" w:space="0"/>
            </w:tcBorders>
            <w:vAlign w:val="center"/>
          </w:tcPr>
          <w:p w14:paraId="064ADDDD">
            <w:pPr>
              <w:pStyle w:val="236"/>
              <w:rPr>
                <w:rFonts w:ascii="宋体" w:hAnsi="宋体" w:eastAsia="宋体" w:cs="仿宋"/>
                <w:kern w:val="2"/>
                <w:sz w:val="21"/>
                <w:szCs w:val="21"/>
              </w:rPr>
            </w:pPr>
            <w:r>
              <w:rPr>
                <w:rFonts w:hint="eastAsia" w:ascii="宋体" w:hAnsi="宋体" w:eastAsia="宋体" w:cs="仿宋"/>
                <w:kern w:val="2"/>
                <w:sz w:val="21"/>
                <w:szCs w:val="21"/>
              </w:rPr>
              <w:t>4.0</w:t>
            </w:r>
            <w:r>
              <w:rPr>
                <w:rFonts w:ascii="宋体" w:hAnsi="宋体" w:eastAsia="宋体" w:cs="仿宋"/>
                <w:kern w:val="2"/>
                <w:sz w:val="21"/>
                <w:szCs w:val="21"/>
              </w:rPr>
              <w:t>0</w:t>
            </w:r>
          </w:p>
        </w:tc>
      </w:tr>
      <w:tr w14:paraId="4DA1E21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tcBorders>
              <w:bottom w:val="single" w:color="auto" w:sz="12" w:space="0"/>
            </w:tcBorders>
            <w:vAlign w:val="center"/>
          </w:tcPr>
          <w:p w14:paraId="62F0438D">
            <w:pPr>
              <w:pStyle w:val="236"/>
              <w:rPr>
                <w:rFonts w:ascii="宋体" w:hAnsi="宋体" w:eastAsia="宋体" w:cs="仿宋"/>
                <w:kern w:val="2"/>
                <w:sz w:val="21"/>
                <w:szCs w:val="21"/>
              </w:rPr>
            </w:pPr>
          </w:p>
        </w:tc>
        <w:tc>
          <w:tcPr>
            <w:tcW w:w="3260" w:type="dxa"/>
            <w:tcBorders>
              <w:bottom w:val="single" w:color="auto" w:sz="12" w:space="0"/>
            </w:tcBorders>
            <w:vAlign w:val="center"/>
          </w:tcPr>
          <w:p w14:paraId="365C5BE1">
            <w:pPr>
              <w:pStyle w:val="236"/>
              <w:rPr>
                <w:rFonts w:ascii="宋体" w:hAnsi="宋体" w:eastAsia="宋体" w:cs="仿宋"/>
                <w:kern w:val="2"/>
                <w:sz w:val="21"/>
                <w:szCs w:val="21"/>
              </w:rPr>
            </w:pPr>
            <w:r>
              <w:rPr>
                <w:rFonts w:hint="eastAsia" w:ascii="宋体" w:hAnsi="宋体" w:eastAsia="宋体" w:cs="仿宋"/>
                <w:kern w:val="2"/>
                <w:sz w:val="21"/>
                <w:szCs w:val="21"/>
              </w:rPr>
              <w:t>附重加权，加密封件</w:t>
            </w:r>
          </w:p>
        </w:tc>
        <w:tc>
          <w:tcPr>
            <w:tcW w:w="1701" w:type="dxa"/>
            <w:tcBorders>
              <w:bottom w:val="single" w:color="auto" w:sz="12" w:space="0"/>
            </w:tcBorders>
            <w:vAlign w:val="center"/>
          </w:tcPr>
          <w:p w14:paraId="103D9C03">
            <w:pPr>
              <w:pStyle w:val="236"/>
              <w:rPr>
                <w:rFonts w:ascii="宋体" w:hAnsi="宋体" w:eastAsia="宋体" w:cs="仿宋"/>
                <w:kern w:val="2"/>
                <w:sz w:val="21"/>
                <w:szCs w:val="21"/>
              </w:rPr>
            </w:pPr>
            <w:r>
              <w:rPr>
                <w:rFonts w:hint="eastAsia" w:ascii="宋体" w:hAnsi="宋体" w:eastAsia="宋体" w:cs="仿宋"/>
                <w:kern w:val="2"/>
                <w:sz w:val="21"/>
                <w:szCs w:val="21"/>
              </w:rPr>
              <w:t>6.2</w:t>
            </w:r>
            <w:r>
              <w:rPr>
                <w:rFonts w:ascii="宋体" w:hAnsi="宋体" w:eastAsia="宋体" w:cs="仿宋"/>
                <w:kern w:val="2"/>
                <w:sz w:val="21"/>
                <w:szCs w:val="21"/>
              </w:rPr>
              <w:t>0</w:t>
            </w:r>
          </w:p>
        </w:tc>
        <w:tc>
          <w:tcPr>
            <w:tcW w:w="2552" w:type="dxa"/>
            <w:tcBorders>
              <w:bottom w:val="single" w:color="auto" w:sz="12" w:space="0"/>
            </w:tcBorders>
            <w:vAlign w:val="center"/>
          </w:tcPr>
          <w:p w14:paraId="2696C754">
            <w:pPr>
              <w:pStyle w:val="236"/>
              <w:rPr>
                <w:rFonts w:ascii="宋体" w:hAnsi="宋体" w:eastAsia="宋体" w:cs="仿宋"/>
                <w:kern w:val="2"/>
                <w:sz w:val="21"/>
                <w:szCs w:val="21"/>
              </w:rPr>
            </w:pPr>
            <w:r>
              <w:rPr>
                <w:rFonts w:hint="eastAsia" w:ascii="宋体" w:hAnsi="宋体" w:eastAsia="宋体" w:cs="仿宋"/>
                <w:kern w:val="2"/>
                <w:sz w:val="21"/>
                <w:szCs w:val="21"/>
              </w:rPr>
              <w:t>1.2</w:t>
            </w:r>
            <w:r>
              <w:rPr>
                <w:rFonts w:ascii="宋体" w:hAnsi="宋体" w:eastAsia="宋体" w:cs="仿宋"/>
                <w:kern w:val="2"/>
                <w:sz w:val="21"/>
                <w:szCs w:val="21"/>
              </w:rPr>
              <w:t>0</w:t>
            </w:r>
          </w:p>
        </w:tc>
        <w:tc>
          <w:tcPr>
            <w:tcW w:w="992" w:type="dxa"/>
            <w:tcBorders>
              <w:bottom w:val="single" w:color="auto" w:sz="12" w:space="0"/>
            </w:tcBorders>
            <w:vAlign w:val="center"/>
          </w:tcPr>
          <w:p w14:paraId="0169A9C0">
            <w:pPr>
              <w:pStyle w:val="236"/>
              <w:rPr>
                <w:rFonts w:ascii="宋体" w:hAnsi="宋体" w:eastAsia="宋体" w:cs="仿宋"/>
                <w:kern w:val="2"/>
                <w:sz w:val="21"/>
                <w:szCs w:val="21"/>
              </w:rPr>
            </w:pPr>
            <w:r>
              <w:rPr>
                <w:rFonts w:hint="eastAsia" w:ascii="宋体" w:hAnsi="宋体" w:eastAsia="宋体" w:cs="仿宋"/>
                <w:kern w:val="2"/>
                <w:sz w:val="21"/>
                <w:szCs w:val="21"/>
              </w:rPr>
              <w:t>0.94</w:t>
            </w:r>
          </w:p>
        </w:tc>
      </w:tr>
      <w:tr w14:paraId="67AA9B6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restart"/>
            <w:tcBorders>
              <w:top w:val="single" w:color="auto" w:sz="12" w:space="0"/>
            </w:tcBorders>
            <w:vAlign w:val="center"/>
          </w:tcPr>
          <w:p w14:paraId="566CA204">
            <w:pPr>
              <w:pStyle w:val="236"/>
              <w:rPr>
                <w:rFonts w:ascii="宋体" w:hAnsi="宋体" w:eastAsia="宋体" w:cs="仿宋"/>
                <w:kern w:val="2"/>
                <w:sz w:val="21"/>
                <w:szCs w:val="21"/>
              </w:rPr>
            </w:pPr>
            <w:r>
              <w:rPr>
                <w:rFonts w:hint="eastAsia" w:ascii="宋体" w:hAnsi="宋体" w:eastAsia="宋体" w:cs="仿宋"/>
                <w:kern w:val="2"/>
                <w:sz w:val="21"/>
                <w:szCs w:val="21"/>
              </w:rPr>
              <w:t>浮盘支柱</w:t>
            </w:r>
          </w:p>
        </w:tc>
        <w:tc>
          <w:tcPr>
            <w:tcW w:w="3260" w:type="dxa"/>
            <w:tcBorders>
              <w:top w:val="single" w:color="auto" w:sz="12" w:space="0"/>
            </w:tcBorders>
            <w:vAlign w:val="center"/>
          </w:tcPr>
          <w:p w14:paraId="20906832">
            <w:pPr>
              <w:pStyle w:val="236"/>
              <w:rPr>
                <w:rFonts w:ascii="宋体" w:hAnsi="宋体" w:eastAsia="宋体" w:cs="仿宋"/>
                <w:kern w:val="2"/>
                <w:sz w:val="21"/>
                <w:szCs w:val="21"/>
              </w:rPr>
            </w:pPr>
            <w:r>
              <w:rPr>
                <w:rFonts w:hint="eastAsia" w:ascii="宋体" w:hAnsi="宋体" w:eastAsia="宋体" w:cs="仿宋"/>
                <w:kern w:val="2"/>
                <w:sz w:val="21"/>
                <w:szCs w:val="21"/>
              </w:rPr>
              <w:t>可调式（浮筒区域）有密封件</w:t>
            </w:r>
          </w:p>
        </w:tc>
        <w:tc>
          <w:tcPr>
            <w:tcW w:w="1701" w:type="dxa"/>
            <w:tcBorders>
              <w:top w:val="single" w:color="auto" w:sz="12" w:space="0"/>
            </w:tcBorders>
            <w:vAlign w:val="center"/>
          </w:tcPr>
          <w:p w14:paraId="5EF9F97D">
            <w:pPr>
              <w:pStyle w:val="236"/>
              <w:rPr>
                <w:rFonts w:ascii="宋体" w:hAnsi="宋体" w:eastAsia="宋体" w:cs="仿宋"/>
                <w:kern w:val="2"/>
                <w:sz w:val="21"/>
                <w:szCs w:val="21"/>
              </w:rPr>
            </w:pPr>
            <w:r>
              <w:rPr>
                <w:rFonts w:hint="eastAsia" w:ascii="宋体" w:hAnsi="宋体" w:eastAsia="宋体" w:cs="仿宋"/>
                <w:kern w:val="2"/>
                <w:sz w:val="21"/>
                <w:szCs w:val="21"/>
              </w:rPr>
              <w:t>1.3</w:t>
            </w:r>
            <w:r>
              <w:rPr>
                <w:rFonts w:ascii="宋体" w:hAnsi="宋体" w:eastAsia="宋体" w:cs="仿宋"/>
                <w:kern w:val="2"/>
                <w:sz w:val="21"/>
                <w:szCs w:val="21"/>
              </w:rPr>
              <w:t>0</w:t>
            </w:r>
          </w:p>
        </w:tc>
        <w:tc>
          <w:tcPr>
            <w:tcW w:w="2552" w:type="dxa"/>
            <w:tcBorders>
              <w:top w:val="single" w:color="auto" w:sz="12" w:space="0"/>
            </w:tcBorders>
            <w:vAlign w:val="center"/>
          </w:tcPr>
          <w:p w14:paraId="36E51A82">
            <w:pPr>
              <w:pStyle w:val="236"/>
              <w:rPr>
                <w:rFonts w:ascii="宋体" w:hAnsi="宋体" w:eastAsia="宋体" w:cs="仿宋"/>
                <w:kern w:val="2"/>
                <w:sz w:val="21"/>
                <w:szCs w:val="21"/>
              </w:rPr>
            </w:pPr>
            <w:r>
              <w:rPr>
                <w:rFonts w:hint="eastAsia" w:ascii="宋体" w:hAnsi="宋体" w:eastAsia="宋体" w:cs="仿宋"/>
                <w:kern w:val="2"/>
                <w:sz w:val="21"/>
                <w:szCs w:val="21"/>
              </w:rPr>
              <w:t>0.08</w:t>
            </w:r>
          </w:p>
        </w:tc>
        <w:tc>
          <w:tcPr>
            <w:tcW w:w="992" w:type="dxa"/>
            <w:tcBorders>
              <w:top w:val="single" w:color="auto" w:sz="12" w:space="0"/>
            </w:tcBorders>
            <w:vAlign w:val="center"/>
          </w:tcPr>
          <w:p w14:paraId="0E36CEDD">
            <w:pPr>
              <w:pStyle w:val="236"/>
              <w:rPr>
                <w:rFonts w:ascii="宋体" w:hAnsi="宋体" w:eastAsia="宋体" w:cs="仿宋"/>
                <w:kern w:val="2"/>
                <w:sz w:val="21"/>
                <w:szCs w:val="21"/>
              </w:rPr>
            </w:pPr>
            <w:r>
              <w:rPr>
                <w:rFonts w:hint="eastAsia" w:ascii="宋体" w:hAnsi="宋体" w:eastAsia="宋体" w:cs="仿宋"/>
                <w:kern w:val="2"/>
                <w:sz w:val="21"/>
                <w:szCs w:val="21"/>
              </w:rPr>
              <w:t>0.65</w:t>
            </w:r>
          </w:p>
        </w:tc>
      </w:tr>
      <w:tr w14:paraId="2BC0C08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17186ADA">
            <w:pPr>
              <w:pStyle w:val="236"/>
              <w:rPr>
                <w:rFonts w:ascii="宋体" w:hAnsi="宋体" w:eastAsia="宋体" w:cs="仿宋"/>
                <w:kern w:val="2"/>
                <w:sz w:val="21"/>
                <w:szCs w:val="21"/>
              </w:rPr>
            </w:pPr>
          </w:p>
        </w:tc>
        <w:tc>
          <w:tcPr>
            <w:tcW w:w="3260" w:type="dxa"/>
            <w:vAlign w:val="center"/>
          </w:tcPr>
          <w:p w14:paraId="1EC7FC06">
            <w:pPr>
              <w:pStyle w:val="236"/>
              <w:rPr>
                <w:rFonts w:ascii="宋体" w:hAnsi="宋体" w:eastAsia="宋体" w:cs="仿宋"/>
                <w:kern w:val="2"/>
                <w:sz w:val="21"/>
                <w:szCs w:val="21"/>
              </w:rPr>
            </w:pPr>
            <w:r>
              <w:rPr>
                <w:rFonts w:hint="eastAsia" w:ascii="宋体" w:hAnsi="宋体" w:eastAsia="宋体" w:cs="仿宋"/>
                <w:kern w:val="2"/>
                <w:sz w:val="21"/>
                <w:szCs w:val="21"/>
              </w:rPr>
              <w:t>可调式（浮筒区域）无密封件</w:t>
            </w:r>
          </w:p>
        </w:tc>
        <w:tc>
          <w:tcPr>
            <w:tcW w:w="1701" w:type="dxa"/>
            <w:vAlign w:val="center"/>
          </w:tcPr>
          <w:p w14:paraId="791C28F3">
            <w:pPr>
              <w:pStyle w:val="236"/>
              <w:rPr>
                <w:rFonts w:ascii="宋体" w:hAnsi="宋体" w:eastAsia="宋体" w:cs="仿宋"/>
                <w:kern w:val="2"/>
                <w:sz w:val="21"/>
                <w:szCs w:val="21"/>
              </w:rPr>
            </w:pPr>
            <w:r>
              <w:rPr>
                <w:rFonts w:hint="eastAsia" w:ascii="宋体" w:hAnsi="宋体" w:eastAsia="宋体" w:cs="仿宋"/>
                <w:kern w:val="2"/>
                <w:sz w:val="21"/>
                <w:szCs w:val="21"/>
              </w:rPr>
              <w:t>2.0</w:t>
            </w:r>
            <w:r>
              <w:rPr>
                <w:rFonts w:ascii="宋体" w:hAnsi="宋体" w:eastAsia="宋体" w:cs="仿宋"/>
                <w:kern w:val="2"/>
                <w:sz w:val="21"/>
                <w:szCs w:val="21"/>
              </w:rPr>
              <w:t>0</w:t>
            </w:r>
          </w:p>
        </w:tc>
        <w:tc>
          <w:tcPr>
            <w:tcW w:w="2552" w:type="dxa"/>
            <w:vAlign w:val="center"/>
          </w:tcPr>
          <w:p w14:paraId="485BEA03">
            <w:pPr>
              <w:pStyle w:val="236"/>
              <w:rPr>
                <w:rFonts w:ascii="宋体" w:hAnsi="宋体" w:eastAsia="宋体" w:cs="仿宋"/>
                <w:kern w:val="2"/>
                <w:sz w:val="21"/>
                <w:szCs w:val="21"/>
              </w:rPr>
            </w:pPr>
            <w:r>
              <w:rPr>
                <w:rFonts w:hint="eastAsia" w:ascii="宋体" w:hAnsi="宋体" w:eastAsia="宋体" w:cs="仿宋"/>
                <w:kern w:val="2"/>
                <w:sz w:val="21"/>
                <w:szCs w:val="21"/>
              </w:rPr>
              <w:t>0.37</w:t>
            </w:r>
          </w:p>
        </w:tc>
        <w:tc>
          <w:tcPr>
            <w:tcW w:w="992" w:type="dxa"/>
            <w:vAlign w:val="center"/>
          </w:tcPr>
          <w:p w14:paraId="092D591F">
            <w:pPr>
              <w:pStyle w:val="236"/>
              <w:rPr>
                <w:rFonts w:ascii="宋体" w:hAnsi="宋体" w:eastAsia="宋体" w:cs="仿宋"/>
                <w:kern w:val="2"/>
                <w:sz w:val="21"/>
                <w:szCs w:val="21"/>
              </w:rPr>
            </w:pPr>
            <w:r>
              <w:rPr>
                <w:rFonts w:hint="eastAsia" w:ascii="宋体" w:hAnsi="宋体" w:eastAsia="宋体" w:cs="仿宋"/>
                <w:kern w:val="2"/>
                <w:sz w:val="21"/>
                <w:szCs w:val="21"/>
              </w:rPr>
              <w:t>0.91</w:t>
            </w:r>
          </w:p>
        </w:tc>
      </w:tr>
      <w:tr w14:paraId="0B570D7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1CA77CE0">
            <w:pPr>
              <w:pStyle w:val="236"/>
              <w:rPr>
                <w:rFonts w:ascii="宋体" w:hAnsi="宋体" w:eastAsia="宋体" w:cs="仿宋"/>
                <w:kern w:val="2"/>
                <w:sz w:val="21"/>
                <w:szCs w:val="21"/>
              </w:rPr>
            </w:pPr>
          </w:p>
        </w:tc>
        <w:tc>
          <w:tcPr>
            <w:tcW w:w="3260" w:type="dxa"/>
            <w:vAlign w:val="center"/>
          </w:tcPr>
          <w:p w14:paraId="606E51D3">
            <w:pPr>
              <w:pStyle w:val="236"/>
              <w:rPr>
                <w:rFonts w:ascii="宋体" w:hAnsi="宋体" w:eastAsia="宋体" w:cs="仿宋"/>
                <w:kern w:val="2"/>
                <w:sz w:val="21"/>
                <w:szCs w:val="21"/>
              </w:rPr>
            </w:pPr>
            <w:r>
              <w:rPr>
                <w:rFonts w:hint="eastAsia" w:ascii="宋体" w:hAnsi="宋体" w:eastAsia="宋体" w:cs="仿宋"/>
                <w:kern w:val="2"/>
                <w:sz w:val="21"/>
                <w:szCs w:val="21"/>
              </w:rPr>
              <w:t>可调式（中心区域）有密封件</w:t>
            </w:r>
          </w:p>
        </w:tc>
        <w:tc>
          <w:tcPr>
            <w:tcW w:w="1701" w:type="dxa"/>
            <w:vAlign w:val="center"/>
          </w:tcPr>
          <w:p w14:paraId="0345EB31">
            <w:pPr>
              <w:pStyle w:val="236"/>
              <w:rPr>
                <w:rFonts w:ascii="宋体" w:hAnsi="宋体" w:eastAsia="宋体" w:cs="仿宋"/>
                <w:kern w:val="2"/>
                <w:sz w:val="21"/>
                <w:szCs w:val="21"/>
              </w:rPr>
            </w:pPr>
            <w:r>
              <w:rPr>
                <w:rFonts w:hint="eastAsia" w:ascii="宋体" w:hAnsi="宋体" w:eastAsia="宋体" w:cs="仿宋"/>
                <w:kern w:val="2"/>
                <w:sz w:val="21"/>
                <w:szCs w:val="21"/>
              </w:rPr>
              <w:t>0.53</w:t>
            </w:r>
          </w:p>
        </w:tc>
        <w:tc>
          <w:tcPr>
            <w:tcW w:w="2552" w:type="dxa"/>
            <w:vAlign w:val="center"/>
          </w:tcPr>
          <w:p w14:paraId="2C5C5A9E">
            <w:pPr>
              <w:pStyle w:val="236"/>
              <w:rPr>
                <w:rFonts w:ascii="宋体" w:hAnsi="宋体" w:eastAsia="宋体" w:cs="仿宋"/>
                <w:kern w:val="2"/>
                <w:sz w:val="21"/>
                <w:szCs w:val="21"/>
              </w:rPr>
            </w:pPr>
            <w:r>
              <w:rPr>
                <w:rFonts w:hint="eastAsia" w:ascii="宋体" w:hAnsi="宋体" w:eastAsia="宋体" w:cs="仿宋"/>
                <w:kern w:val="2"/>
                <w:sz w:val="21"/>
                <w:szCs w:val="21"/>
              </w:rPr>
              <w:t>0.11</w:t>
            </w:r>
          </w:p>
        </w:tc>
        <w:tc>
          <w:tcPr>
            <w:tcW w:w="992" w:type="dxa"/>
            <w:vAlign w:val="center"/>
          </w:tcPr>
          <w:p w14:paraId="6E0D327E">
            <w:pPr>
              <w:pStyle w:val="236"/>
              <w:rPr>
                <w:rFonts w:ascii="宋体" w:hAnsi="宋体" w:eastAsia="宋体" w:cs="仿宋"/>
                <w:kern w:val="2"/>
                <w:sz w:val="21"/>
                <w:szCs w:val="21"/>
              </w:rPr>
            </w:pPr>
            <w:r>
              <w:rPr>
                <w:rFonts w:hint="eastAsia" w:ascii="宋体" w:hAnsi="宋体" w:eastAsia="宋体" w:cs="仿宋"/>
                <w:kern w:val="2"/>
                <w:sz w:val="21"/>
                <w:szCs w:val="21"/>
              </w:rPr>
              <w:t>0.13</w:t>
            </w:r>
          </w:p>
        </w:tc>
      </w:tr>
      <w:tr w14:paraId="463C038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25ACC4FC">
            <w:pPr>
              <w:pStyle w:val="236"/>
              <w:rPr>
                <w:rFonts w:ascii="宋体" w:hAnsi="宋体" w:eastAsia="宋体" w:cs="仿宋"/>
                <w:kern w:val="2"/>
                <w:sz w:val="21"/>
                <w:szCs w:val="21"/>
              </w:rPr>
            </w:pPr>
          </w:p>
        </w:tc>
        <w:tc>
          <w:tcPr>
            <w:tcW w:w="3260" w:type="dxa"/>
            <w:vAlign w:val="center"/>
          </w:tcPr>
          <w:p w14:paraId="700DABD8">
            <w:pPr>
              <w:pStyle w:val="236"/>
              <w:rPr>
                <w:rFonts w:ascii="宋体" w:hAnsi="宋体" w:eastAsia="宋体" w:cs="仿宋"/>
                <w:kern w:val="2"/>
                <w:sz w:val="21"/>
                <w:szCs w:val="21"/>
              </w:rPr>
            </w:pPr>
            <w:r>
              <w:rPr>
                <w:rFonts w:hint="eastAsia" w:ascii="宋体" w:hAnsi="宋体" w:eastAsia="宋体" w:cs="仿宋"/>
                <w:kern w:val="2"/>
                <w:sz w:val="21"/>
                <w:szCs w:val="21"/>
              </w:rPr>
              <w:t>可调式（中心区域）无密封件</w:t>
            </w:r>
          </w:p>
        </w:tc>
        <w:tc>
          <w:tcPr>
            <w:tcW w:w="1701" w:type="dxa"/>
            <w:vAlign w:val="center"/>
          </w:tcPr>
          <w:p w14:paraId="5786756E">
            <w:pPr>
              <w:pStyle w:val="236"/>
              <w:rPr>
                <w:rFonts w:ascii="宋体" w:hAnsi="宋体" w:eastAsia="宋体" w:cs="仿宋"/>
                <w:kern w:val="2"/>
                <w:sz w:val="21"/>
                <w:szCs w:val="21"/>
              </w:rPr>
            </w:pPr>
            <w:r>
              <w:rPr>
                <w:rFonts w:hint="eastAsia" w:ascii="宋体" w:hAnsi="宋体" w:eastAsia="宋体" w:cs="仿宋"/>
                <w:kern w:val="2"/>
                <w:sz w:val="21"/>
                <w:szCs w:val="21"/>
              </w:rPr>
              <w:t>0.82</w:t>
            </w:r>
          </w:p>
        </w:tc>
        <w:tc>
          <w:tcPr>
            <w:tcW w:w="2552" w:type="dxa"/>
            <w:vAlign w:val="center"/>
          </w:tcPr>
          <w:p w14:paraId="5C53CF75">
            <w:pPr>
              <w:pStyle w:val="236"/>
              <w:rPr>
                <w:rFonts w:ascii="宋体" w:hAnsi="宋体" w:eastAsia="宋体" w:cs="仿宋"/>
                <w:kern w:val="2"/>
                <w:sz w:val="21"/>
                <w:szCs w:val="21"/>
              </w:rPr>
            </w:pPr>
            <w:r>
              <w:rPr>
                <w:rFonts w:hint="eastAsia" w:ascii="宋体" w:hAnsi="宋体" w:eastAsia="宋体" w:cs="仿宋"/>
                <w:kern w:val="2"/>
                <w:sz w:val="21"/>
                <w:szCs w:val="21"/>
              </w:rPr>
              <w:t>0.53</w:t>
            </w:r>
          </w:p>
        </w:tc>
        <w:tc>
          <w:tcPr>
            <w:tcW w:w="992" w:type="dxa"/>
            <w:vAlign w:val="center"/>
          </w:tcPr>
          <w:p w14:paraId="164A94D2">
            <w:pPr>
              <w:pStyle w:val="236"/>
              <w:rPr>
                <w:rFonts w:ascii="宋体" w:hAnsi="宋体" w:eastAsia="宋体" w:cs="仿宋"/>
                <w:kern w:val="2"/>
                <w:sz w:val="21"/>
                <w:szCs w:val="21"/>
              </w:rPr>
            </w:pPr>
            <w:r>
              <w:rPr>
                <w:rFonts w:hint="eastAsia" w:ascii="宋体" w:hAnsi="宋体" w:eastAsia="宋体" w:cs="仿宋"/>
                <w:kern w:val="2"/>
                <w:sz w:val="21"/>
                <w:szCs w:val="21"/>
              </w:rPr>
              <w:t>0.14</w:t>
            </w:r>
          </w:p>
        </w:tc>
      </w:tr>
      <w:tr w14:paraId="68B6DB2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0760E1BD">
            <w:pPr>
              <w:pStyle w:val="236"/>
              <w:rPr>
                <w:rFonts w:ascii="宋体" w:hAnsi="宋体" w:eastAsia="宋体" w:cs="仿宋"/>
                <w:kern w:val="2"/>
                <w:sz w:val="21"/>
                <w:szCs w:val="21"/>
              </w:rPr>
            </w:pPr>
          </w:p>
        </w:tc>
        <w:tc>
          <w:tcPr>
            <w:tcW w:w="3260" w:type="dxa"/>
            <w:vAlign w:val="center"/>
          </w:tcPr>
          <w:p w14:paraId="2AC0B4E7">
            <w:pPr>
              <w:pStyle w:val="236"/>
              <w:rPr>
                <w:rFonts w:ascii="宋体" w:hAnsi="宋体" w:eastAsia="宋体" w:cs="仿宋"/>
                <w:kern w:val="2"/>
                <w:sz w:val="21"/>
                <w:szCs w:val="21"/>
              </w:rPr>
            </w:pPr>
            <w:r>
              <w:rPr>
                <w:rFonts w:hint="eastAsia" w:ascii="宋体" w:hAnsi="宋体" w:eastAsia="宋体" w:cs="仿宋"/>
                <w:kern w:val="2"/>
                <w:sz w:val="21"/>
                <w:szCs w:val="21"/>
              </w:rPr>
              <w:t>可调式，双层浮顶</w:t>
            </w:r>
          </w:p>
        </w:tc>
        <w:tc>
          <w:tcPr>
            <w:tcW w:w="1701" w:type="dxa"/>
            <w:vAlign w:val="center"/>
          </w:tcPr>
          <w:p w14:paraId="3DE8BFF6">
            <w:pPr>
              <w:pStyle w:val="236"/>
              <w:rPr>
                <w:rFonts w:ascii="宋体" w:hAnsi="宋体" w:eastAsia="宋体" w:cs="仿宋"/>
                <w:kern w:val="2"/>
                <w:sz w:val="21"/>
                <w:szCs w:val="21"/>
              </w:rPr>
            </w:pPr>
            <w:r>
              <w:rPr>
                <w:rFonts w:hint="eastAsia" w:ascii="宋体" w:hAnsi="宋体" w:eastAsia="宋体" w:cs="仿宋"/>
                <w:kern w:val="2"/>
                <w:sz w:val="21"/>
                <w:szCs w:val="21"/>
              </w:rPr>
              <w:t>0.82</w:t>
            </w:r>
          </w:p>
        </w:tc>
        <w:tc>
          <w:tcPr>
            <w:tcW w:w="2552" w:type="dxa"/>
            <w:vAlign w:val="center"/>
          </w:tcPr>
          <w:p w14:paraId="25190321">
            <w:pPr>
              <w:pStyle w:val="236"/>
              <w:rPr>
                <w:rFonts w:ascii="宋体" w:hAnsi="宋体" w:eastAsia="宋体" w:cs="仿宋"/>
                <w:kern w:val="2"/>
                <w:sz w:val="21"/>
                <w:szCs w:val="21"/>
              </w:rPr>
            </w:pPr>
            <w:r>
              <w:rPr>
                <w:rFonts w:hint="eastAsia" w:ascii="宋体" w:hAnsi="宋体" w:eastAsia="宋体" w:cs="仿宋"/>
                <w:kern w:val="2"/>
                <w:sz w:val="21"/>
                <w:szCs w:val="21"/>
              </w:rPr>
              <w:t>0.53</w:t>
            </w:r>
          </w:p>
        </w:tc>
        <w:tc>
          <w:tcPr>
            <w:tcW w:w="992" w:type="dxa"/>
            <w:vAlign w:val="center"/>
          </w:tcPr>
          <w:p w14:paraId="4B99DCC2">
            <w:pPr>
              <w:pStyle w:val="236"/>
              <w:rPr>
                <w:rFonts w:ascii="宋体" w:hAnsi="宋体" w:eastAsia="宋体" w:cs="仿宋"/>
                <w:kern w:val="2"/>
                <w:sz w:val="21"/>
                <w:szCs w:val="21"/>
              </w:rPr>
            </w:pPr>
            <w:r>
              <w:rPr>
                <w:rFonts w:hint="eastAsia" w:ascii="宋体" w:hAnsi="宋体" w:eastAsia="宋体" w:cs="仿宋"/>
                <w:kern w:val="2"/>
                <w:sz w:val="21"/>
                <w:szCs w:val="21"/>
              </w:rPr>
              <w:t>0.14</w:t>
            </w:r>
          </w:p>
        </w:tc>
      </w:tr>
      <w:tr w14:paraId="28997E0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4A02A82F">
            <w:pPr>
              <w:pStyle w:val="236"/>
              <w:rPr>
                <w:rFonts w:ascii="宋体" w:hAnsi="宋体" w:eastAsia="宋体" w:cs="仿宋"/>
                <w:kern w:val="2"/>
                <w:sz w:val="21"/>
                <w:szCs w:val="21"/>
              </w:rPr>
            </w:pPr>
          </w:p>
        </w:tc>
        <w:tc>
          <w:tcPr>
            <w:tcW w:w="3260" w:type="dxa"/>
            <w:vAlign w:val="center"/>
          </w:tcPr>
          <w:p w14:paraId="62FAE951">
            <w:pPr>
              <w:pStyle w:val="236"/>
              <w:rPr>
                <w:rFonts w:ascii="宋体" w:hAnsi="宋体" w:eastAsia="宋体" w:cs="仿宋"/>
                <w:kern w:val="2"/>
                <w:sz w:val="21"/>
                <w:szCs w:val="21"/>
              </w:rPr>
            </w:pPr>
            <w:r>
              <w:rPr>
                <w:rFonts w:hint="eastAsia" w:ascii="宋体" w:hAnsi="宋体" w:eastAsia="宋体" w:cs="仿宋"/>
                <w:kern w:val="2"/>
                <w:sz w:val="21"/>
                <w:szCs w:val="21"/>
              </w:rPr>
              <w:t>可调式（浮筒区域），衬垫</w:t>
            </w:r>
          </w:p>
        </w:tc>
        <w:tc>
          <w:tcPr>
            <w:tcW w:w="1701" w:type="dxa"/>
            <w:vAlign w:val="center"/>
          </w:tcPr>
          <w:p w14:paraId="4ED5A4E3">
            <w:pPr>
              <w:pStyle w:val="236"/>
              <w:rPr>
                <w:rFonts w:ascii="宋体" w:hAnsi="宋体" w:eastAsia="宋体" w:cs="仿宋"/>
                <w:kern w:val="2"/>
                <w:sz w:val="21"/>
                <w:szCs w:val="21"/>
              </w:rPr>
            </w:pPr>
            <w:r>
              <w:rPr>
                <w:rFonts w:hint="eastAsia" w:ascii="宋体" w:hAnsi="宋体" w:eastAsia="宋体" w:cs="仿宋"/>
                <w:kern w:val="2"/>
                <w:sz w:val="21"/>
                <w:szCs w:val="21"/>
              </w:rPr>
              <w:t>1.2</w:t>
            </w:r>
            <w:r>
              <w:rPr>
                <w:rFonts w:ascii="宋体" w:hAnsi="宋体" w:eastAsia="宋体" w:cs="仿宋"/>
                <w:kern w:val="2"/>
                <w:sz w:val="21"/>
                <w:szCs w:val="21"/>
              </w:rPr>
              <w:t>0</w:t>
            </w:r>
          </w:p>
        </w:tc>
        <w:tc>
          <w:tcPr>
            <w:tcW w:w="2552" w:type="dxa"/>
            <w:vAlign w:val="center"/>
          </w:tcPr>
          <w:p w14:paraId="752377D8">
            <w:pPr>
              <w:pStyle w:val="236"/>
              <w:rPr>
                <w:rFonts w:ascii="宋体" w:hAnsi="宋体" w:eastAsia="宋体" w:cs="仿宋"/>
                <w:kern w:val="2"/>
                <w:sz w:val="21"/>
                <w:szCs w:val="21"/>
              </w:rPr>
            </w:pPr>
            <w:r>
              <w:rPr>
                <w:rFonts w:hint="eastAsia" w:ascii="宋体" w:hAnsi="宋体" w:eastAsia="宋体" w:cs="仿宋"/>
                <w:kern w:val="2"/>
                <w:sz w:val="21"/>
                <w:szCs w:val="21"/>
              </w:rPr>
              <w:t>0.14</w:t>
            </w:r>
          </w:p>
        </w:tc>
        <w:tc>
          <w:tcPr>
            <w:tcW w:w="992" w:type="dxa"/>
            <w:vAlign w:val="center"/>
          </w:tcPr>
          <w:p w14:paraId="6CB9A26F">
            <w:pPr>
              <w:pStyle w:val="236"/>
              <w:rPr>
                <w:rFonts w:ascii="宋体" w:hAnsi="宋体" w:eastAsia="宋体" w:cs="仿宋"/>
                <w:kern w:val="2"/>
                <w:sz w:val="21"/>
                <w:szCs w:val="21"/>
              </w:rPr>
            </w:pPr>
            <w:r>
              <w:rPr>
                <w:rFonts w:hint="eastAsia" w:ascii="宋体" w:hAnsi="宋体" w:eastAsia="宋体" w:cs="仿宋"/>
                <w:kern w:val="2"/>
                <w:sz w:val="21"/>
                <w:szCs w:val="21"/>
              </w:rPr>
              <w:t>0.65</w:t>
            </w:r>
          </w:p>
        </w:tc>
      </w:tr>
      <w:tr w14:paraId="0426276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23849635">
            <w:pPr>
              <w:pStyle w:val="236"/>
              <w:rPr>
                <w:rFonts w:ascii="宋体" w:hAnsi="宋体" w:eastAsia="宋体" w:cs="仿宋"/>
                <w:kern w:val="2"/>
                <w:sz w:val="21"/>
                <w:szCs w:val="21"/>
              </w:rPr>
            </w:pPr>
          </w:p>
        </w:tc>
        <w:tc>
          <w:tcPr>
            <w:tcW w:w="3260" w:type="dxa"/>
            <w:vAlign w:val="center"/>
          </w:tcPr>
          <w:p w14:paraId="3083238E">
            <w:pPr>
              <w:pStyle w:val="236"/>
              <w:rPr>
                <w:rFonts w:ascii="宋体" w:hAnsi="宋体" w:eastAsia="宋体" w:cs="仿宋"/>
                <w:kern w:val="2"/>
                <w:sz w:val="21"/>
                <w:szCs w:val="21"/>
              </w:rPr>
            </w:pPr>
            <w:r>
              <w:rPr>
                <w:rFonts w:hint="eastAsia" w:ascii="宋体" w:hAnsi="宋体" w:eastAsia="宋体" w:cs="仿宋"/>
                <w:kern w:val="2"/>
                <w:sz w:val="21"/>
                <w:szCs w:val="21"/>
              </w:rPr>
              <w:t>可调式（中心区域），衬垫</w:t>
            </w:r>
          </w:p>
        </w:tc>
        <w:tc>
          <w:tcPr>
            <w:tcW w:w="1701" w:type="dxa"/>
            <w:vAlign w:val="center"/>
          </w:tcPr>
          <w:p w14:paraId="31F7D02F">
            <w:pPr>
              <w:pStyle w:val="236"/>
              <w:rPr>
                <w:rFonts w:ascii="宋体" w:hAnsi="宋体" w:eastAsia="宋体" w:cs="仿宋"/>
                <w:kern w:val="2"/>
                <w:sz w:val="21"/>
                <w:szCs w:val="21"/>
              </w:rPr>
            </w:pPr>
            <w:r>
              <w:rPr>
                <w:rFonts w:hint="eastAsia" w:ascii="宋体" w:hAnsi="宋体" w:eastAsia="宋体" w:cs="仿宋"/>
                <w:kern w:val="2"/>
                <w:sz w:val="21"/>
                <w:szCs w:val="21"/>
              </w:rPr>
              <w:t>0.49</w:t>
            </w:r>
          </w:p>
        </w:tc>
        <w:tc>
          <w:tcPr>
            <w:tcW w:w="2552" w:type="dxa"/>
            <w:vAlign w:val="center"/>
          </w:tcPr>
          <w:p w14:paraId="0AFA6D80">
            <w:pPr>
              <w:pStyle w:val="236"/>
              <w:rPr>
                <w:rFonts w:ascii="宋体" w:hAnsi="宋体" w:eastAsia="宋体" w:cs="仿宋"/>
                <w:kern w:val="2"/>
                <w:sz w:val="21"/>
                <w:szCs w:val="21"/>
              </w:rPr>
            </w:pPr>
            <w:r>
              <w:rPr>
                <w:rFonts w:hint="eastAsia" w:ascii="宋体" w:hAnsi="宋体" w:eastAsia="宋体" w:cs="仿宋"/>
                <w:kern w:val="2"/>
                <w:sz w:val="21"/>
                <w:szCs w:val="21"/>
              </w:rPr>
              <w:t>0.16</w:t>
            </w:r>
          </w:p>
        </w:tc>
        <w:tc>
          <w:tcPr>
            <w:tcW w:w="992" w:type="dxa"/>
            <w:vAlign w:val="center"/>
          </w:tcPr>
          <w:p w14:paraId="4447737C">
            <w:pPr>
              <w:pStyle w:val="236"/>
              <w:rPr>
                <w:rFonts w:ascii="宋体" w:hAnsi="宋体" w:eastAsia="宋体" w:cs="仿宋"/>
                <w:kern w:val="2"/>
                <w:sz w:val="21"/>
                <w:szCs w:val="21"/>
              </w:rPr>
            </w:pPr>
            <w:r>
              <w:rPr>
                <w:rFonts w:hint="eastAsia" w:ascii="宋体" w:hAnsi="宋体" w:eastAsia="宋体" w:cs="仿宋"/>
                <w:kern w:val="2"/>
                <w:sz w:val="21"/>
                <w:szCs w:val="21"/>
              </w:rPr>
              <w:t>0.14</w:t>
            </w:r>
          </w:p>
        </w:tc>
      </w:tr>
      <w:tr w14:paraId="37A0DD9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vAlign w:val="center"/>
          </w:tcPr>
          <w:p w14:paraId="46C35019">
            <w:pPr>
              <w:pStyle w:val="236"/>
              <w:rPr>
                <w:rFonts w:ascii="宋体" w:hAnsi="宋体" w:eastAsia="宋体" w:cs="仿宋"/>
                <w:kern w:val="2"/>
                <w:sz w:val="21"/>
                <w:szCs w:val="21"/>
              </w:rPr>
            </w:pPr>
          </w:p>
        </w:tc>
        <w:tc>
          <w:tcPr>
            <w:tcW w:w="3260" w:type="dxa"/>
            <w:vAlign w:val="center"/>
          </w:tcPr>
          <w:p w14:paraId="4DE49E35">
            <w:pPr>
              <w:pStyle w:val="236"/>
              <w:rPr>
                <w:rFonts w:ascii="宋体" w:hAnsi="宋体" w:eastAsia="宋体" w:cs="仿宋"/>
                <w:kern w:val="2"/>
                <w:sz w:val="21"/>
                <w:szCs w:val="21"/>
              </w:rPr>
            </w:pPr>
            <w:r>
              <w:rPr>
                <w:rFonts w:hint="eastAsia" w:ascii="宋体" w:hAnsi="宋体" w:eastAsia="宋体" w:cs="仿宋"/>
                <w:kern w:val="2"/>
                <w:sz w:val="21"/>
                <w:szCs w:val="21"/>
              </w:rPr>
              <w:t>固定式</w:t>
            </w:r>
          </w:p>
        </w:tc>
        <w:tc>
          <w:tcPr>
            <w:tcW w:w="1701" w:type="dxa"/>
            <w:vAlign w:val="center"/>
          </w:tcPr>
          <w:p w14:paraId="569629E6">
            <w:pPr>
              <w:pStyle w:val="236"/>
              <w:rPr>
                <w:rFonts w:ascii="宋体" w:hAnsi="宋体" w:eastAsia="宋体" w:cs="仿宋"/>
                <w:kern w:val="2"/>
                <w:sz w:val="21"/>
                <w:szCs w:val="21"/>
              </w:rPr>
            </w:pPr>
            <w:r>
              <w:rPr>
                <w:rFonts w:hint="eastAsia" w:ascii="宋体" w:hAnsi="宋体" w:eastAsia="宋体" w:cs="仿宋"/>
                <w:kern w:val="2"/>
                <w:sz w:val="21"/>
                <w:szCs w:val="21"/>
              </w:rPr>
              <w:t>0</w:t>
            </w:r>
            <w:r>
              <w:rPr>
                <w:rFonts w:ascii="宋体" w:hAnsi="宋体" w:eastAsia="宋体" w:cs="仿宋"/>
                <w:kern w:val="2"/>
                <w:sz w:val="21"/>
                <w:szCs w:val="21"/>
              </w:rPr>
              <w:t>.00</w:t>
            </w:r>
          </w:p>
        </w:tc>
        <w:tc>
          <w:tcPr>
            <w:tcW w:w="2552" w:type="dxa"/>
            <w:vAlign w:val="center"/>
          </w:tcPr>
          <w:p w14:paraId="59D243CE">
            <w:pPr>
              <w:pStyle w:val="236"/>
              <w:rPr>
                <w:rFonts w:ascii="宋体" w:hAnsi="宋体" w:eastAsia="宋体" w:cs="仿宋"/>
                <w:kern w:val="2"/>
                <w:sz w:val="21"/>
                <w:szCs w:val="21"/>
              </w:rPr>
            </w:pPr>
            <w:r>
              <w:rPr>
                <w:rFonts w:hint="eastAsia" w:ascii="宋体" w:hAnsi="宋体" w:eastAsia="宋体" w:cs="仿宋"/>
                <w:kern w:val="2"/>
                <w:sz w:val="21"/>
                <w:szCs w:val="21"/>
              </w:rPr>
              <w:t>0</w:t>
            </w:r>
            <w:r>
              <w:rPr>
                <w:rFonts w:ascii="宋体" w:hAnsi="宋体" w:eastAsia="宋体" w:cs="仿宋"/>
                <w:kern w:val="2"/>
                <w:sz w:val="21"/>
                <w:szCs w:val="21"/>
              </w:rPr>
              <w:t>.00</w:t>
            </w:r>
          </w:p>
        </w:tc>
        <w:tc>
          <w:tcPr>
            <w:tcW w:w="992" w:type="dxa"/>
            <w:vAlign w:val="center"/>
          </w:tcPr>
          <w:p w14:paraId="72801B36">
            <w:pPr>
              <w:pStyle w:val="236"/>
              <w:rPr>
                <w:rFonts w:ascii="宋体" w:hAnsi="宋体" w:eastAsia="宋体" w:cs="仿宋"/>
                <w:kern w:val="2"/>
                <w:sz w:val="21"/>
                <w:szCs w:val="21"/>
              </w:rPr>
            </w:pPr>
            <w:r>
              <w:rPr>
                <w:rFonts w:hint="eastAsia" w:ascii="宋体" w:hAnsi="宋体" w:eastAsia="宋体" w:cs="仿宋"/>
                <w:kern w:val="2"/>
                <w:sz w:val="21"/>
                <w:szCs w:val="21"/>
              </w:rPr>
              <w:t>0</w:t>
            </w:r>
            <w:r>
              <w:rPr>
                <w:rFonts w:ascii="宋体" w:hAnsi="宋体" w:eastAsia="宋体" w:cs="仿宋"/>
                <w:kern w:val="2"/>
                <w:sz w:val="21"/>
                <w:szCs w:val="21"/>
              </w:rPr>
              <w:t>.00</w:t>
            </w:r>
          </w:p>
        </w:tc>
      </w:tr>
      <w:tr w14:paraId="7635DFC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restart"/>
            <w:tcBorders>
              <w:top w:val="single" w:color="auto" w:sz="12" w:space="0"/>
            </w:tcBorders>
            <w:vAlign w:val="center"/>
          </w:tcPr>
          <w:p w14:paraId="316247DF">
            <w:pPr>
              <w:pStyle w:val="236"/>
              <w:rPr>
                <w:rFonts w:ascii="宋体" w:hAnsi="宋体" w:eastAsia="宋体" w:cs="仿宋"/>
                <w:kern w:val="2"/>
                <w:sz w:val="21"/>
                <w:szCs w:val="21"/>
              </w:rPr>
            </w:pPr>
            <w:r>
              <w:rPr>
                <w:rFonts w:hint="eastAsia" w:ascii="宋体" w:hAnsi="宋体" w:eastAsia="宋体" w:cs="仿宋"/>
                <w:kern w:val="2"/>
                <w:sz w:val="21"/>
                <w:szCs w:val="21"/>
              </w:rPr>
              <w:t>边缘通气阀</w:t>
            </w:r>
          </w:p>
        </w:tc>
        <w:tc>
          <w:tcPr>
            <w:tcW w:w="3260" w:type="dxa"/>
            <w:tcBorders>
              <w:top w:val="single" w:color="auto" w:sz="12" w:space="0"/>
            </w:tcBorders>
            <w:vAlign w:val="center"/>
          </w:tcPr>
          <w:p w14:paraId="226BF135">
            <w:pPr>
              <w:pStyle w:val="236"/>
              <w:rPr>
                <w:rFonts w:ascii="宋体" w:hAnsi="宋体" w:eastAsia="宋体" w:cs="仿宋"/>
                <w:kern w:val="2"/>
                <w:sz w:val="21"/>
                <w:szCs w:val="21"/>
              </w:rPr>
            </w:pPr>
            <w:r>
              <w:rPr>
                <w:rFonts w:hint="eastAsia" w:ascii="宋体" w:hAnsi="宋体" w:eastAsia="宋体" w:cs="仿宋"/>
                <w:kern w:val="2"/>
                <w:sz w:val="21"/>
                <w:szCs w:val="21"/>
              </w:rPr>
              <w:t>配重机械驱动机构，有密封件</w:t>
            </w:r>
          </w:p>
        </w:tc>
        <w:tc>
          <w:tcPr>
            <w:tcW w:w="1701" w:type="dxa"/>
            <w:tcBorders>
              <w:top w:val="single" w:color="auto" w:sz="12" w:space="0"/>
            </w:tcBorders>
            <w:vAlign w:val="center"/>
          </w:tcPr>
          <w:p w14:paraId="221144C3">
            <w:pPr>
              <w:pStyle w:val="236"/>
              <w:rPr>
                <w:rFonts w:ascii="宋体" w:hAnsi="宋体" w:eastAsia="宋体" w:cs="仿宋"/>
                <w:kern w:val="2"/>
                <w:sz w:val="21"/>
                <w:szCs w:val="21"/>
              </w:rPr>
            </w:pPr>
            <w:r>
              <w:rPr>
                <w:rFonts w:hint="eastAsia" w:ascii="宋体" w:hAnsi="宋体" w:eastAsia="宋体" w:cs="仿宋"/>
                <w:kern w:val="2"/>
                <w:sz w:val="21"/>
                <w:szCs w:val="21"/>
              </w:rPr>
              <w:t>0.71</w:t>
            </w:r>
          </w:p>
        </w:tc>
        <w:tc>
          <w:tcPr>
            <w:tcW w:w="2552" w:type="dxa"/>
            <w:tcBorders>
              <w:top w:val="single" w:color="auto" w:sz="12" w:space="0"/>
            </w:tcBorders>
            <w:vAlign w:val="center"/>
          </w:tcPr>
          <w:p w14:paraId="0B87C3C3">
            <w:pPr>
              <w:pStyle w:val="236"/>
              <w:rPr>
                <w:rFonts w:ascii="宋体" w:hAnsi="宋体" w:eastAsia="宋体" w:cs="仿宋"/>
                <w:kern w:val="2"/>
                <w:sz w:val="21"/>
                <w:szCs w:val="21"/>
              </w:rPr>
            </w:pPr>
            <w:r>
              <w:rPr>
                <w:rFonts w:hint="eastAsia" w:ascii="宋体" w:hAnsi="宋体" w:eastAsia="宋体" w:cs="仿宋"/>
                <w:kern w:val="2"/>
                <w:sz w:val="21"/>
                <w:szCs w:val="21"/>
              </w:rPr>
              <w:t>0.1</w:t>
            </w:r>
            <w:r>
              <w:rPr>
                <w:rFonts w:ascii="宋体" w:hAnsi="宋体" w:eastAsia="宋体" w:cs="仿宋"/>
                <w:kern w:val="2"/>
                <w:sz w:val="21"/>
                <w:szCs w:val="21"/>
              </w:rPr>
              <w:t>0</w:t>
            </w:r>
          </w:p>
        </w:tc>
        <w:tc>
          <w:tcPr>
            <w:tcW w:w="992" w:type="dxa"/>
            <w:tcBorders>
              <w:top w:val="single" w:color="auto" w:sz="12" w:space="0"/>
            </w:tcBorders>
            <w:vAlign w:val="center"/>
          </w:tcPr>
          <w:p w14:paraId="726DB7EC">
            <w:pPr>
              <w:pStyle w:val="236"/>
              <w:rPr>
                <w:rFonts w:ascii="宋体" w:hAnsi="宋体" w:eastAsia="宋体" w:cs="仿宋"/>
                <w:kern w:val="2"/>
                <w:sz w:val="21"/>
                <w:szCs w:val="21"/>
              </w:rPr>
            </w:pPr>
            <w:r>
              <w:rPr>
                <w:rFonts w:hint="eastAsia" w:ascii="宋体" w:hAnsi="宋体" w:eastAsia="宋体" w:cs="仿宋"/>
                <w:kern w:val="2"/>
                <w:sz w:val="21"/>
                <w:szCs w:val="21"/>
              </w:rPr>
              <w:t>1.0</w:t>
            </w:r>
            <w:r>
              <w:rPr>
                <w:rFonts w:ascii="宋体" w:hAnsi="宋体" w:eastAsia="宋体" w:cs="仿宋"/>
                <w:kern w:val="2"/>
                <w:sz w:val="21"/>
                <w:szCs w:val="21"/>
              </w:rPr>
              <w:t>0</w:t>
            </w:r>
          </w:p>
        </w:tc>
      </w:tr>
      <w:tr w14:paraId="43D5E2E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tcBorders>
              <w:bottom w:val="single" w:color="auto" w:sz="12" w:space="0"/>
            </w:tcBorders>
            <w:vAlign w:val="center"/>
          </w:tcPr>
          <w:p w14:paraId="0BD5D53E">
            <w:pPr>
              <w:pStyle w:val="236"/>
              <w:rPr>
                <w:rFonts w:ascii="宋体" w:hAnsi="宋体" w:eastAsia="宋体" w:cs="仿宋"/>
                <w:kern w:val="2"/>
                <w:sz w:val="21"/>
                <w:szCs w:val="21"/>
              </w:rPr>
            </w:pPr>
          </w:p>
        </w:tc>
        <w:tc>
          <w:tcPr>
            <w:tcW w:w="3260" w:type="dxa"/>
            <w:tcBorders>
              <w:bottom w:val="single" w:color="auto" w:sz="12" w:space="0"/>
            </w:tcBorders>
            <w:vAlign w:val="center"/>
          </w:tcPr>
          <w:p w14:paraId="2562752E">
            <w:pPr>
              <w:pStyle w:val="236"/>
              <w:rPr>
                <w:rFonts w:ascii="宋体" w:hAnsi="宋体" w:eastAsia="宋体" w:cs="仿宋"/>
                <w:kern w:val="2"/>
                <w:sz w:val="21"/>
                <w:szCs w:val="21"/>
              </w:rPr>
            </w:pPr>
            <w:r>
              <w:rPr>
                <w:rFonts w:hint="eastAsia" w:ascii="宋体" w:hAnsi="宋体" w:eastAsia="宋体" w:cs="仿宋"/>
                <w:kern w:val="2"/>
                <w:sz w:val="21"/>
                <w:szCs w:val="21"/>
              </w:rPr>
              <w:t>配重机械驱动机构，无密封件</w:t>
            </w:r>
          </w:p>
        </w:tc>
        <w:tc>
          <w:tcPr>
            <w:tcW w:w="1701" w:type="dxa"/>
            <w:tcBorders>
              <w:bottom w:val="single" w:color="auto" w:sz="12" w:space="0"/>
            </w:tcBorders>
            <w:vAlign w:val="center"/>
          </w:tcPr>
          <w:p w14:paraId="4D362E64">
            <w:pPr>
              <w:pStyle w:val="236"/>
              <w:rPr>
                <w:rFonts w:ascii="宋体" w:hAnsi="宋体" w:eastAsia="宋体" w:cs="仿宋"/>
                <w:kern w:val="2"/>
                <w:sz w:val="21"/>
                <w:szCs w:val="21"/>
              </w:rPr>
            </w:pPr>
            <w:r>
              <w:rPr>
                <w:rFonts w:hint="eastAsia" w:ascii="宋体" w:hAnsi="宋体" w:eastAsia="宋体" w:cs="仿宋"/>
                <w:kern w:val="2"/>
                <w:sz w:val="21"/>
                <w:szCs w:val="21"/>
              </w:rPr>
              <w:t>0.68</w:t>
            </w:r>
          </w:p>
        </w:tc>
        <w:tc>
          <w:tcPr>
            <w:tcW w:w="2552" w:type="dxa"/>
            <w:tcBorders>
              <w:bottom w:val="single" w:color="auto" w:sz="12" w:space="0"/>
            </w:tcBorders>
            <w:vAlign w:val="center"/>
          </w:tcPr>
          <w:p w14:paraId="329E9383">
            <w:pPr>
              <w:pStyle w:val="236"/>
              <w:rPr>
                <w:rFonts w:ascii="宋体" w:hAnsi="宋体" w:eastAsia="宋体" w:cs="仿宋"/>
                <w:kern w:val="2"/>
                <w:sz w:val="21"/>
                <w:szCs w:val="21"/>
              </w:rPr>
            </w:pPr>
            <w:r>
              <w:rPr>
                <w:rFonts w:hint="eastAsia" w:ascii="宋体" w:hAnsi="宋体" w:eastAsia="宋体" w:cs="仿宋"/>
                <w:kern w:val="2"/>
                <w:sz w:val="21"/>
                <w:szCs w:val="21"/>
              </w:rPr>
              <w:t>1.8</w:t>
            </w:r>
            <w:r>
              <w:rPr>
                <w:rFonts w:ascii="宋体" w:hAnsi="宋体" w:eastAsia="宋体" w:cs="仿宋"/>
                <w:kern w:val="2"/>
                <w:sz w:val="21"/>
                <w:szCs w:val="21"/>
              </w:rPr>
              <w:t>0</w:t>
            </w:r>
          </w:p>
        </w:tc>
        <w:tc>
          <w:tcPr>
            <w:tcW w:w="992" w:type="dxa"/>
            <w:tcBorders>
              <w:bottom w:val="single" w:color="auto" w:sz="12" w:space="0"/>
            </w:tcBorders>
            <w:vAlign w:val="center"/>
          </w:tcPr>
          <w:p w14:paraId="088DD29F">
            <w:pPr>
              <w:pStyle w:val="236"/>
              <w:rPr>
                <w:rFonts w:ascii="宋体" w:hAnsi="宋体" w:eastAsia="宋体" w:cs="仿宋"/>
                <w:kern w:val="2"/>
                <w:sz w:val="21"/>
                <w:szCs w:val="21"/>
              </w:rPr>
            </w:pPr>
            <w:r>
              <w:rPr>
                <w:rFonts w:hint="eastAsia" w:ascii="宋体" w:hAnsi="宋体" w:eastAsia="宋体" w:cs="仿宋"/>
                <w:kern w:val="2"/>
                <w:sz w:val="21"/>
                <w:szCs w:val="21"/>
              </w:rPr>
              <w:t>1.0</w:t>
            </w:r>
            <w:r>
              <w:rPr>
                <w:rFonts w:ascii="宋体" w:hAnsi="宋体" w:eastAsia="宋体" w:cs="仿宋"/>
                <w:kern w:val="2"/>
                <w:sz w:val="21"/>
                <w:szCs w:val="21"/>
              </w:rPr>
              <w:t>0</w:t>
            </w:r>
          </w:p>
        </w:tc>
      </w:tr>
      <w:tr w14:paraId="50D47BD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restart"/>
            <w:tcBorders>
              <w:top w:val="single" w:color="auto" w:sz="12" w:space="0"/>
            </w:tcBorders>
            <w:vAlign w:val="center"/>
          </w:tcPr>
          <w:p w14:paraId="7F6F444F">
            <w:pPr>
              <w:pStyle w:val="236"/>
              <w:rPr>
                <w:rFonts w:ascii="宋体" w:hAnsi="宋体" w:eastAsia="宋体" w:cs="仿宋"/>
                <w:kern w:val="2"/>
                <w:sz w:val="21"/>
                <w:szCs w:val="21"/>
              </w:rPr>
            </w:pPr>
            <w:r>
              <w:rPr>
                <w:rFonts w:hint="eastAsia" w:ascii="宋体" w:hAnsi="宋体" w:eastAsia="宋体" w:cs="仿宋"/>
                <w:kern w:val="2"/>
                <w:sz w:val="21"/>
                <w:szCs w:val="21"/>
              </w:rPr>
              <w:t>楼梯井</w:t>
            </w:r>
          </w:p>
        </w:tc>
        <w:tc>
          <w:tcPr>
            <w:tcW w:w="3260" w:type="dxa"/>
            <w:tcBorders>
              <w:top w:val="single" w:color="auto" w:sz="12" w:space="0"/>
            </w:tcBorders>
            <w:vAlign w:val="center"/>
          </w:tcPr>
          <w:p w14:paraId="6A9C7CF6">
            <w:pPr>
              <w:pStyle w:val="236"/>
              <w:rPr>
                <w:rFonts w:ascii="宋体" w:hAnsi="宋体" w:eastAsia="宋体" w:cs="仿宋"/>
                <w:kern w:val="2"/>
                <w:sz w:val="21"/>
                <w:szCs w:val="21"/>
              </w:rPr>
            </w:pPr>
            <w:r>
              <w:rPr>
                <w:rFonts w:hint="eastAsia" w:ascii="宋体" w:hAnsi="宋体" w:eastAsia="宋体" w:cs="仿宋"/>
                <w:kern w:val="2"/>
                <w:sz w:val="21"/>
                <w:szCs w:val="21"/>
              </w:rPr>
              <w:t>滑盖，有密封件</w:t>
            </w:r>
          </w:p>
        </w:tc>
        <w:tc>
          <w:tcPr>
            <w:tcW w:w="1701" w:type="dxa"/>
            <w:tcBorders>
              <w:top w:val="single" w:color="auto" w:sz="12" w:space="0"/>
            </w:tcBorders>
            <w:vAlign w:val="center"/>
          </w:tcPr>
          <w:p w14:paraId="1072E9B9">
            <w:pPr>
              <w:pStyle w:val="236"/>
              <w:rPr>
                <w:rFonts w:ascii="宋体" w:hAnsi="宋体" w:eastAsia="宋体" w:cs="仿宋"/>
                <w:kern w:val="2"/>
                <w:sz w:val="21"/>
                <w:szCs w:val="21"/>
              </w:rPr>
            </w:pPr>
            <w:r>
              <w:rPr>
                <w:rFonts w:hint="eastAsia" w:ascii="宋体" w:hAnsi="宋体" w:eastAsia="宋体" w:cs="仿宋"/>
                <w:kern w:val="2"/>
                <w:sz w:val="21"/>
                <w:szCs w:val="21"/>
              </w:rPr>
              <w:t>98</w:t>
            </w:r>
            <w:r>
              <w:rPr>
                <w:rFonts w:ascii="宋体" w:hAnsi="宋体" w:eastAsia="宋体" w:cs="仿宋"/>
                <w:kern w:val="2"/>
                <w:sz w:val="21"/>
                <w:szCs w:val="21"/>
              </w:rPr>
              <w:t>.00</w:t>
            </w:r>
          </w:p>
        </w:tc>
        <w:tc>
          <w:tcPr>
            <w:tcW w:w="2552" w:type="dxa"/>
            <w:tcBorders>
              <w:top w:val="single" w:color="auto" w:sz="12" w:space="0"/>
            </w:tcBorders>
            <w:vAlign w:val="center"/>
          </w:tcPr>
          <w:p w14:paraId="237D1774">
            <w:pPr>
              <w:pStyle w:val="236"/>
              <w:rPr>
                <w:rFonts w:ascii="宋体" w:hAnsi="宋体" w:eastAsia="宋体" w:cs="仿宋"/>
                <w:kern w:val="2"/>
                <w:sz w:val="21"/>
                <w:szCs w:val="21"/>
              </w:rPr>
            </w:pPr>
            <w:r>
              <w:rPr>
                <w:rFonts w:hint="eastAsia" w:ascii="宋体" w:hAnsi="宋体" w:eastAsia="宋体" w:cs="仿宋"/>
                <w:kern w:val="2"/>
                <w:sz w:val="21"/>
                <w:szCs w:val="21"/>
              </w:rPr>
              <w:t>/</w:t>
            </w:r>
          </w:p>
        </w:tc>
        <w:tc>
          <w:tcPr>
            <w:tcW w:w="992" w:type="dxa"/>
            <w:tcBorders>
              <w:top w:val="single" w:color="auto" w:sz="12" w:space="0"/>
            </w:tcBorders>
            <w:vAlign w:val="center"/>
          </w:tcPr>
          <w:p w14:paraId="10F98E4B">
            <w:pPr>
              <w:pStyle w:val="236"/>
              <w:rPr>
                <w:rFonts w:ascii="宋体" w:hAnsi="宋体" w:eastAsia="宋体" w:cs="仿宋"/>
                <w:kern w:val="2"/>
                <w:sz w:val="21"/>
                <w:szCs w:val="21"/>
              </w:rPr>
            </w:pPr>
            <w:r>
              <w:rPr>
                <w:rFonts w:hint="eastAsia" w:ascii="宋体" w:hAnsi="宋体" w:eastAsia="宋体" w:cs="仿宋"/>
                <w:kern w:val="2"/>
                <w:sz w:val="21"/>
                <w:szCs w:val="21"/>
              </w:rPr>
              <w:t>/</w:t>
            </w:r>
          </w:p>
        </w:tc>
      </w:tr>
      <w:tr w14:paraId="2FD7A65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vMerge w:val="continue"/>
            <w:tcBorders>
              <w:bottom w:val="single" w:color="auto" w:sz="12" w:space="0"/>
            </w:tcBorders>
            <w:vAlign w:val="center"/>
          </w:tcPr>
          <w:p w14:paraId="02A06BA3">
            <w:pPr>
              <w:pStyle w:val="236"/>
              <w:rPr>
                <w:rFonts w:ascii="宋体" w:hAnsi="宋体" w:eastAsia="宋体" w:cs="仿宋"/>
                <w:kern w:val="2"/>
                <w:sz w:val="21"/>
                <w:szCs w:val="21"/>
              </w:rPr>
            </w:pPr>
          </w:p>
        </w:tc>
        <w:tc>
          <w:tcPr>
            <w:tcW w:w="3260" w:type="dxa"/>
            <w:tcBorders>
              <w:bottom w:val="single" w:color="auto" w:sz="12" w:space="0"/>
            </w:tcBorders>
            <w:vAlign w:val="center"/>
          </w:tcPr>
          <w:p w14:paraId="5F4DEEFB">
            <w:pPr>
              <w:pStyle w:val="236"/>
              <w:rPr>
                <w:rFonts w:ascii="宋体" w:hAnsi="宋体" w:eastAsia="宋体" w:cs="仿宋"/>
                <w:kern w:val="2"/>
                <w:sz w:val="21"/>
                <w:szCs w:val="21"/>
              </w:rPr>
            </w:pPr>
            <w:r>
              <w:rPr>
                <w:rFonts w:hint="eastAsia" w:ascii="宋体" w:hAnsi="宋体" w:eastAsia="宋体" w:cs="仿宋"/>
                <w:kern w:val="2"/>
                <w:sz w:val="21"/>
                <w:szCs w:val="21"/>
              </w:rPr>
              <w:t>滑盖，无密封件</w:t>
            </w:r>
          </w:p>
        </w:tc>
        <w:tc>
          <w:tcPr>
            <w:tcW w:w="1701" w:type="dxa"/>
            <w:tcBorders>
              <w:bottom w:val="single" w:color="auto" w:sz="12" w:space="0"/>
            </w:tcBorders>
            <w:vAlign w:val="center"/>
          </w:tcPr>
          <w:p w14:paraId="4BD5F7D0">
            <w:pPr>
              <w:pStyle w:val="236"/>
              <w:rPr>
                <w:rFonts w:ascii="宋体" w:hAnsi="宋体" w:eastAsia="宋体" w:cs="仿宋"/>
                <w:kern w:val="2"/>
                <w:sz w:val="21"/>
                <w:szCs w:val="21"/>
              </w:rPr>
            </w:pPr>
            <w:r>
              <w:rPr>
                <w:rFonts w:hint="eastAsia" w:ascii="宋体" w:hAnsi="宋体" w:eastAsia="宋体" w:cs="仿宋"/>
                <w:kern w:val="2"/>
                <w:sz w:val="21"/>
                <w:szCs w:val="21"/>
              </w:rPr>
              <w:t>56</w:t>
            </w:r>
            <w:r>
              <w:rPr>
                <w:rFonts w:ascii="宋体" w:hAnsi="宋体" w:eastAsia="宋体" w:cs="仿宋"/>
                <w:kern w:val="2"/>
                <w:sz w:val="21"/>
                <w:szCs w:val="21"/>
              </w:rPr>
              <w:t>.00</w:t>
            </w:r>
          </w:p>
        </w:tc>
        <w:tc>
          <w:tcPr>
            <w:tcW w:w="2552" w:type="dxa"/>
            <w:tcBorders>
              <w:bottom w:val="single" w:color="auto" w:sz="12" w:space="0"/>
            </w:tcBorders>
            <w:vAlign w:val="center"/>
          </w:tcPr>
          <w:p w14:paraId="6A90D53B">
            <w:pPr>
              <w:pStyle w:val="236"/>
              <w:rPr>
                <w:rFonts w:ascii="宋体" w:hAnsi="宋体" w:eastAsia="宋体" w:cs="仿宋"/>
                <w:kern w:val="2"/>
                <w:sz w:val="21"/>
                <w:szCs w:val="21"/>
              </w:rPr>
            </w:pPr>
            <w:r>
              <w:rPr>
                <w:rFonts w:hint="eastAsia" w:ascii="宋体" w:hAnsi="宋体" w:eastAsia="宋体" w:cs="仿宋"/>
                <w:kern w:val="2"/>
                <w:sz w:val="21"/>
                <w:szCs w:val="21"/>
              </w:rPr>
              <w:t>/</w:t>
            </w:r>
          </w:p>
        </w:tc>
        <w:tc>
          <w:tcPr>
            <w:tcW w:w="992" w:type="dxa"/>
            <w:tcBorders>
              <w:bottom w:val="single" w:color="auto" w:sz="12" w:space="0"/>
            </w:tcBorders>
            <w:vAlign w:val="center"/>
          </w:tcPr>
          <w:p w14:paraId="51511D23">
            <w:pPr>
              <w:pStyle w:val="236"/>
              <w:rPr>
                <w:rFonts w:ascii="宋体" w:hAnsi="宋体" w:eastAsia="宋体" w:cs="仿宋"/>
                <w:kern w:val="2"/>
                <w:sz w:val="21"/>
                <w:szCs w:val="21"/>
              </w:rPr>
            </w:pPr>
            <w:r>
              <w:rPr>
                <w:rFonts w:hint="eastAsia" w:ascii="宋体" w:hAnsi="宋体" w:eastAsia="宋体" w:cs="仿宋"/>
                <w:kern w:val="2"/>
                <w:sz w:val="21"/>
                <w:szCs w:val="21"/>
              </w:rPr>
              <w:t>/</w:t>
            </w:r>
          </w:p>
        </w:tc>
      </w:tr>
      <w:tr w14:paraId="58ADF31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8" w:type="dxa"/>
            <w:tcBorders>
              <w:top w:val="single" w:color="auto" w:sz="12" w:space="0"/>
            </w:tcBorders>
            <w:vAlign w:val="center"/>
          </w:tcPr>
          <w:p w14:paraId="7F158DFA">
            <w:pPr>
              <w:pStyle w:val="236"/>
              <w:rPr>
                <w:rFonts w:ascii="宋体" w:hAnsi="宋体" w:eastAsia="宋体" w:cs="仿宋"/>
                <w:kern w:val="2"/>
                <w:sz w:val="21"/>
                <w:szCs w:val="21"/>
              </w:rPr>
            </w:pPr>
            <w:r>
              <w:rPr>
                <w:rFonts w:hint="eastAsia" w:ascii="宋体" w:hAnsi="宋体" w:eastAsia="宋体" w:cs="仿宋"/>
                <w:kern w:val="2"/>
                <w:sz w:val="21"/>
                <w:szCs w:val="21"/>
              </w:rPr>
              <w:t>浮盘排水</w:t>
            </w:r>
          </w:p>
        </w:tc>
        <w:tc>
          <w:tcPr>
            <w:tcW w:w="3260" w:type="dxa"/>
            <w:tcBorders>
              <w:top w:val="single" w:color="auto" w:sz="12" w:space="0"/>
            </w:tcBorders>
            <w:vAlign w:val="center"/>
          </w:tcPr>
          <w:p w14:paraId="78F4B45E">
            <w:pPr>
              <w:pStyle w:val="236"/>
              <w:rPr>
                <w:rFonts w:ascii="宋体" w:hAnsi="宋体" w:eastAsia="宋体" w:cs="仿宋"/>
                <w:kern w:val="2"/>
                <w:sz w:val="21"/>
                <w:szCs w:val="21"/>
              </w:rPr>
            </w:pPr>
            <w:r>
              <w:rPr>
                <w:rFonts w:hint="eastAsia" w:ascii="宋体" w:hAnsi="宋体" w:eastAsia="宋体" w:cs="仿宋"/>
                <w:kern w:val="2"/>
                <w:sz w:val="21"/>
                <w:szCs w:val="21"/>
              </w:rPr>
              <w:t>/</w:t>
            </w:r>
          </w:p>
        </w:tc>
        <w:tc>
          <w:tcPr>
            <w:tcW w:w="1701" w:type="dxa"/>
            <w:tcBorders>
              <w:top w:val="single" w:color="auto" w:sz="12" w:space="0"/>
            </w:tcBorders>
            <w:vAlign w:val="center"/>
          </w:tcPr>
          <w:p w14:paraId="5EB8606D">
            <w:pPr>
              <w:pStyle w:val="236"/>
              <w:rPr>
                <w:rFonts w:ascii="宋体" w:hAnsi="宋体" w:eastAsia="宋体" w:cs="仿宋"/>
                <w:kern w:val="2"/>
                <w:sz w:val="21"/>
                <w:szCs w:val="21"/>
              </w:rPr>
            </w:pPr>
            <w:r>
              <w:rPr>
                <w:rFonts w:hint="eastAsia" w:ascii="宋体" w:hAnsi="宋体" w:eastAsia="宋体" w:cs="仿宋"/>
                <w:kern w:val="2"/>
                <w:sz w:val="21"/>
                <w:szCs w:val="21"/>
              </w:rPr>
              <w:t>1.2</w:t>
            </w:r>
            <w:r>
              <w:rPr>
                <w:rFonts w:ascii="宋体" w:hAnsi="宋体" w:eastAsia="宋体" w:cs="仿宋"/>
                <w:kern w:val="2"/>
                <w:sz w:val="21"/>
                <w:szCs w:val="21"/>
              </w:rPr>
              <w:t>0</w:t>
            </w:r>
          </w:p>
        </w:tc>
        <w:tc>
          <w:tcPr>
            <w:tcW w:w="2552" w:type="dxa"/>
            <w:tcBorders>
              <w:top w:val="single" w:color="auto" w:sz="12" w:space="0"/>
            </w:tcBorders>
            <w:vAlign w:val="center"/>
          </w:tcPr>
          <w:p w14:paraId="62580D30">
            <w:pPr>
              <w:pStyle w:val="236"/>
              <w:rPr>
                <w:rFonts w:ascii="宋体" w:hAnsi="宋体" w:eastAsia="宋体" w:cs="仿宋"/>
                <w:kern w:val="2"/>
                <w:sz w:val="21"/>
                <w:szCs w:val="21"/>
              </w:rPr>
            </w:pPr>
            <w:r>
              <w:rPr>
                <w:rFonts w:hint="eastAsia" w:ascii="宋体" w:hAnsi="宋体" w:eastAsia="宋体" w:cs="仿宋"/>
                <w:kern w:val="2"/>
                <w:sz w:val="21"/>
                <w:szCs w:val="21"/>
              </w:rPr>
              <w:t>/</w:t>
            </w:r>
          </w:p>
        </w:tc>
        <w:tc>
          <w:tcPr>
            <w:tcW w:w="992" w:type="dxa"/>
            <w:tcBorders>
              <w:top w:val="single" w:color="auto" w:sz="12" w:space="0"/>
            </w:tcBorders>
            <w:vAlign w:val="center"/>
          </w:tcPr>
          <w:p w14:paraId="66FED13D">
            <w:pPr>
              <w:pStyle w:val="236"/>
              <w:rPr>
                <w:rFonts w:ascii="宋体" w:hAnsi="宋体" w:eastAsia="宋体" w:cs="仿宋"/>
                <w:kern w:val="2"/>
                <w:sz w:val="21"/>
                <w:szCs w:val="21"/>
              </w:rPr>
            </w:pPr>
            <w:r>
              <w:rPr>
                <w:rFonts w:hint="eastAsia" w:ascii="宋体" w:hAnsi="宋体" w:eastAsia="宋体" w:cs="仿宋"/>
                <w:kern w:val="2"/>
                <w:sz w:val="21"/>
                <w:szCs w:val="21"/>
              </w:rPr>
              <w:t>/</w:t>
            </w:r>
          </w:p>
        </w:tc>
      </w:tr>
    </w:tbl>
    <w:p w14:paraId="2453A2B5">
      <w:pPr>
        <w:spacing w:before="120" w:line="240" w:lineRule="auto"/>
        <w:ind w:firstLine="420" w:firstLineChars="200"/>
        <w:rPr>
          <w:rFonts w:ascii="Times New Roman" w:hAnsi="Times New Roman"/>
        </w:rPr>
      </w:pPr>
      <w:r>
        <w:rPr>
          <w:rFonts w:hint="eastAsia" w:ascii="Times New Roman" w:hAnsi="Times New Roman"/>
        </w:rPr>
        <w:t>注：表中浮盘附件密封损失因子K</w:t>
      </w:r>
      <w:r>
        <w:rPr>
          <w:rFonts w:hint="eastAsia" w:ascii="Times New Roman" w:hAnsi="Times New Roman"/>
          <w:i/>
          <w:vertAlign w:val="subscript"/>
        </w:rPr>
        <w:t>Fai</w:t>
      </w:r>
      <w:r>
        <w:rPr>
          <w:rFonts w:hint="eastAsia" w:ascii="Times New Roman" w:hAnsi="Times New Roman"/>
        </w:rPr>
        <w:t>、K</w:t>
      </w:r>
      <w:r>
        <w:rPr>
          <w:rFonts w:hint="eastAsia" w:ascii="Times New Roman" w:hAnsi="Times New Roman"/>
          <w:i/>
          <w:vertAlign w:val="subscript"/>
        </w:rPr>
        <w:t>Fbi</w:t>
      </w:r>
      <w:r>
        <w:rPr>
          <w:rFonts w:hint="eastAsia" w:ascii="Times New Roman" w:hAnsi="Times New Roman"/>
        </w:rPr>
        <w:t>、</w:t>
      </w:r>
      <w:r>
        <w:rPr>
          <w:rFonts w:hint="eastAsia" w:ascii="Times New Roman" w:hAnsi="Times New Roman"/>
          <w:i/>
        </w:rPr>
        <w:t>n</w:t>
      </w:r>
      <w:r>
        <w:rPr>
          <w:rFonts w:hint="eastAsia" w:ascii="Times New Roman" w:hAnsi="Times New Roman"/>
        </w:rPr>
        <w:t>只适用于风速6.8米/秒以下。</w:t>
      </w:r>
    </w:p>
    <w:p w14:paraId="3795BC11">
      <w:pPr>
        <w:pStyle w:val="60"/>
        <w:ind w:firstLine="420"/>
      </w:pPr>
      <w:r>
        <w:rPr>
          <w:rFonts w:hint="eastAsia"/>
        </w:rPr>
        <w:t>4）</w:t>
      </w:r>
      <w:r>
        <w:t>浮盘</w:t>
      </w:r>
      <w:r>
        <w:rPr>
          <w:rFonts w:hint="eastAsia"/>
        </w:rPr>
        <w:t>缝隙</w:t>
      </w:r>
      <w:r>
        <w:t>损失E</w:t>
      </w:r>
      <w:r>
        <w:rPr>
          <w:i/>
          <w:vertAlign w:val="subscript"/>
        </w:rPr>
        <w:t>D</w:t>
      </w:r>
      <w:r>
        <w:t>计算</w:t>
      </w:r>
    </w:p>
    <w:p w14:paraId="065CA881">
      <w:pPr>
        <w:pStyle w:val="60"/>
        <w:ind w:firstLine="420"/>
      </w:pPr>
      <w:r>
        <w:t>螺栓固定的浮盘存在盘缝损失，由公式(E.34)计算：</w:t>
      </w:r>
    </w:p>
    <w:p w14:paraId="2BB9058D">
      <w:pPr>
        <w:pStyle w:val="242"/>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D</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D</m:t>
            </m:r>
            <m:ctrlPr>
              <w:rPr>
                <w:rFonts w:ascii="Cambria Math" w:hAnsi="Cambria Math"/>
              </w:rPr>
            </m:ctrlPr>
          </m:sub>
        </m:sSub>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D</m:t>
            </m:r>
            <m:ctrlPr>
              <w:rPr>
                <w:rFonts w:ascii="Cambria Math" w:hAnsi="Cambria Math"/>
              </w:rPr>
            </m:ctrlPr>
          </m:sub>
        </m:sSub>
        <m:sSup>
          <m:sSupPr>
            <m:ctrlPr>
              <w:rPr>
                <w:rFonts w:ascii="Cambria Math" w:hAnsi="Cambria Math"/>
              </w:rPr>
            </m:ctrlPr>
          </m:sSupPr>
          <m:e>
            <m:r>
              <m:rPr/>
              <w:rPr>
                <w:rFonts w:ascii="Cambria Math" w:hAnsi="Cambria Math"/>
              </w:rPr>
              <m:t>D</m:t>
            </m:r>
            <m:ctrlPr>
              <w:rPr>
                <w:rFonts w:ascii="Cambria Math" w:hAnsi="Cambria Math"/>
              </w:rPr>
            </m:ctrlPr>
          </m:e>
          <m:sup>
            <m:r>
              <m:rPr>
                <m:sty m:val="p"/>
              </m:rPr>
              <w:rPr>
                <w:rFonts w:ascii="Cambria Math" w:hAnsi="Cambria Math"/>
              </w:rPr>
              <m:t>2</m:t>
            </m:r>
            <m:ctrlPr>
              <w:rPr>
                <w:rFonts w:ascii="Cambria Math" w:hAnsi="Cambria Math"/>
              </w:rPr>
            </m:ctrlPr>
          </m:sup>
        </m:sSup>
        <m:sSup>
          <m:sSupPr>
            <m:ctrlPr>
              <w:rPr>
                <w:rFonts w:ascii="Cambria Math" w:hAnsi="Cambria Math"/>
              </w:rPr>
            </m:ctrlPr>
          </m:sSupPr>
          <m:e>
            <m:r>
              <m:rPr/>
              <w:rPr>
                <w:rFonts w:ascii="Cambria Math" w:hAnsi="Cambria Math"/>
              </w:rPr>
              <m:t>P</m:t>
            </m:r>
            <m:ctrlPr>
              <w:rPr>
                <w:rFonts w:ascii="Cambria Math" w:hAnsi="Cambria Math"/>
              </w:rPr>
            </m:ctrlPr>
          </m:e>
          <m:sup>
            <m:r>
              <m:rPr>
                <m:sty m:val="p"/>
              </m:rPr>
              <w:rPr>
                <w:rFonts w:ascii="Cambria Math" w:hAnsi="Cambria Math"/>
              </w:rPr>
              <m:t>∗</m:t>
            </m:r>
            <m:ctrlPr>
              <w:rPr>
                <w:rFonts w:ascii="Cambria Math" w:hAnsi="Cambria Math"/>
              </w:rPr>
            </m:ctrlPr>
          </m:sup>
        </m:sSup>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V</m:t>
            </m:r>
            <m:ctrlPr>
              <w:rPr>
                <w:rFonts w:ascii="Cambria Math" w:hAnsi="Cambria Math"/>
              </w:rPr>
            </m:ctrlPr>
          </m:sub>
        </m:sSub>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C</m:t>
            </m:r>
            <m:ctrlPr>
              <w:rPr>
                <w:rFonts w:ascii="Cambria Math" w:hAnsi="Cambria Math"/>
              </w:rPr>
            </m:ctrlPr>
          </m:sub>
        </m:sSub>
      </m:oMath>
      <w:r>
        <w:tab/>
      </w:r>
      <w:r>
        <w:rPr>
          <w:rFonts w:hint="eastAsia"/>
        </w:rPr>
        <w:t>(E</w:t>
      </w:r>
      <w:r>
        <w:t>.34</w:t>
      </w:r>
      <w:r>
        <w:rPr>
          <w:rFonts w:hint="eastAsia"/>
        </w:rPr>
        <w:t>)</w:t>
      </w:r>
    </w:p>
    <w:p w14:paraId="0B2971FC">
      <w:pPr>
        <w:pStyle w:val="60"/>
        <w:ind w:firstLine="420"/>
      </w:pPr>
      <w:r>
        <w:t>式中</w:t>
      </w:r>
      <w:r>
        <w:rPr>
          <w:rFonts w:hint="eastAsia"/>
        </w:rPr>
        <w:t>：</w:t>
      </w:r>
    </w:p>
    <w:p w14:paraId="199BD674">
      <w:pPr>
        <w:pStyle w:val="60"/>
        <w:ind w:firstLine="420"/>
      </w:pPr>
      <w:r>
        <w:t>K</w:t>
      </w:r>
      <w:r>
        <w:rPr>
          <w:vertAlign w:val="subscript"/>
        </w:rPr>
        <w:t>D</w:t>
      </w:r>
      <w:r>
        <w:rPr>
          <w:rFonts w:hint="eastAsia"/>
          <w:spacing w:val="-20"/>
        </w:rPr>
        <w:t>——</w:t>
      </w:r>
      <w:r>
        <w:t>盘缝损耗单位缝长因子，</w:t>
      </w:r>
      <w:r>
        <w:rPr>
          <w:rFonts w:hint="eastAsia"/>
        </w:rPr>
        <w:t>焊接式浮盘，螺栓式浮盘为</w:t>
      </w:r>
      <w:r>
        <w:t>0.14磅-摩尔/（英尺•年）；</w:t>
      </w:r>
    </w:p>
    <w:p w14:paraId="7416BDE6">
      <w:pPr>
        <w:pStyle w:val="60"/>
        <w:ind w:firstLine="420"/>
      </w:pPr>
      <w:r>
        <w:t>S</w:t>
      </w:r>
      <w:r>
        <w:rPr>
          <w:vertAlign w:val="subscript"/>
        </w:rPr>
        <w:t>D</w:t>
      </w:r>
      <w:r>
        <w:rPr>
          <w:rFonts w:hint="eastAsia"/>
          <w:spacing w:val="-20"/>
        </w:rPr>
        <w:t>——</w:t>
      </w:r>
      <w:r>
        <w:t>盘缝长度因子，英尺/平方英尺，为浮盘缝隙长度与浮盘面积的比值</w:t>
      </w:r>
      <w:r>
        <w:rPr>
          <w:rFonts w:hint="eastAsia"/>
        </w:rPr>
        <w:t>，</w:t>
      </w:r>
      <w:r>
        <w:t>无数据时</w:t>
      </w:r>
      <w:r>
        <w:rPr>
          <w:rFonts w:hint="eastAsia"/>
        </w:rPr>
        <w:t>，</w:t>
      </w:r>
      <w:r>
        <w:t>见表E.6；D，P</w:t>
      </w:r>
      <w:r>
        <w:rPr>
          <w:vertAlign w:val="superscript"/>
        </w:rPr>
        <w:t>*</w:t>
      </w:r>
      <w:r>
        <w:t>，M</w:t>
      </w:r>
      <w:r>
        <w:rPr>
          <w:vertAlign w:val="subscript"/>
        </w:rPr>
        <w:t>V</w:t>
      </w:r>
      <w:r>
        <w:t>和K</w:t>
      </w:r>
      <w:r>
        <w:rPr>
          <w:vertAlign w:val="subscript"/>
        </w:rPr>
        <w:t>C</w:t>
      </w:r>
      <w:r>
        <w:t>的定义见公式(E.28)</w:t>
      </w:r>
      <w:r>
        <w:rPr>
          <w:rFonts w:hint="eastAsia"/>
        </w:rPr>
        <w:t>。</w:t>
      </w:r>
    </w:p>
    <w:p w14:paraId="27800BEE">
      <w:pPr>
        <w:pStyle w:val="60"/>
        <w:ind w:firstLine="420"/>
        <w:jc w:val="center"/>
        <w:rPr>
          <w:bCs/>
        </w:rPr>
      </w:pPr>
      <w:r>
        <w:rPr>
          <w:rFonts w:hint="eastAsia"/>
          <w:bCs/>
        </w:rPr>
        <w:t>表</w:t>
      </w:r>
      <w:r>
        <w:rPr>
          <w:bCs/>
        </w:rPr>
        <w:t xml:space="preserve">E.6 </w:t>
      </w:r>
      <w:r>
        <w:rPr>
          <w:rFonts w:hint="eastAsia"/>
          <w:bCs/>
        </w:rPr>
        <w:t>浮顶罐浮盘缝隙长度因子</w:t>
      </w:r>
    </w:p>
    <w:tbl>
      <w:tblPr>
        <w:tblStyle w:val="29"/>
        <w:tblW w:w="7508"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5"/>
        <w:gridCol w:w="2937"/>
        <w:gridCol w:w="2976"/>
      </w:tblGrid>
      <w:tr w14:paraId="66FF8AC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595" w:type="dxa"/>
            <w:tcBorders>
              <w:bottom w:val="single" w:color="auto" w:sz="12" w:space="0"/>
            </w:tcBorders>
            <w:vAlign w:val="center"/>
          </w:tcPr>
          <w:p w14:paraId="7656682C">
            <w:pPr>
              <w:pStyle w:val="236"/>
              <w:ind w:firstLine="357"/>
              <w:rPr>
                <w:rFonts w:cs="仿宋" w:eastAsiaTheme="minorEastAsia"/>
                <w:kern w:val="2"/>
                <w:sz w:val="21"/>
                <w:szCs w:val="21"/>
              </w:rPr>
            </w:pPr>
            <w:r>
              <w:rPr>
                <w:rFonts w:hint="eastAsia" w:cs="仿宋" w:eastAsiaTheme="minorEastAsia"/>
                <w:kern w:val="2"/>
                <w:sz w:val="21"/>
                <w:szCs w:val="21"/>
              </w:rPr>
              <w:t>序号</w:t>
            </w:r>
          </w:p>
        </w:tc>
        <w:tc>
          <w:tcPr>
            <w:tcW w:w="2937" w:type="dxa"/>
            <w:tcBorders>
              <w:bottom w:val="single" w:color="auto" w:sz="12" w:space="0"/>
            </w:tcBorders>
            <w:vAlign w:val="center"/>
          </w:tcPr>
          <w:p w14:paraId="6BE76175">
            <w:pPr>
              <w:pStyle w:val="236"/>
              <w:ind w:firstLine="357"/>
              <w:rPr>
                <w:rFonts w:cs="仿宋" w:eastAsiaTheme="minorEastAsia"/>
                <w:kern w:val="2"/>
                <w:sz w:val="21"/>
                <w:szCs w:val="21"/>
              </w:rPr>
            </w:pPr>
            <w:r>
              <w:rPr>
                <w:rFonts w:hint="eastAsia" w:cs="仿宋" w:eastAsiaTheme="minorEastAsia"/>
                <w:kern w:val="2"/>
                <w:sz w:val="21"/>
                <w:szCs w:val="21"/>
              </w:rPr>
              <w:t>浮盘构造</w:t>
            </w:r>
          </w:p>
        </w:tc>
        <w:tc>
          <w:tcPr>
            <w:tcW w:w="2976" w:type="dxa"/>
            <w:tcBorders>
              <w:bottom w:val="single" w:color="auto" w:sz="12" w:space="0"/>
            </w:tcBorders>
            <w:vAlign w:val="center"/>
          </w:tcPr>
          <w:p w14:paraId="2692C0EA">
            <w:pPr>
              <w:pStyle w:val="236"/>
              <w:ind w:firstLine="357"/>
              <w:rPr>
                <w:rFonts w:cs="仿宋" w:eastAsiaTheme="minorEastAsia"/>
                <w:kern w:val="2"/>
                <w:sz w:val="21"/>
                <w:szCs w:val="21"/>
              </w:rPr>
            </w:pPr>
            <w:r>
              <w:rPr>
                <w:rFonts w:hint="eastAsia" w:cs="仿宋" w:eastAsiaTheme="minorEastAsia"/>
                <w:kern w:val="2"/>
                <w:sz w:val="21"/>
                <w:szCs w:val="21"/>
              </w:rPr>
              <w:t>盘缝长度因子</w:t>
            </w:r>
          </w:p>
        </w:tc>
      </w:tr>
      <w:tr w14:paraId="1F86E6C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595" w:type="dxa"/>
            <w:tcBorders>
              <w:top w:val="single" w:color="auto" w:sz="12" w:space="0"/>
            </w:tcBorders>
            <w:vAlign w:val="center"/>
          </w:tcPr>
          <w:p w14:paraId="747BCFDA">
            <w:pPr>
              <w:pStyle w:val="236"/>
              <w:ind w:firstLine="357"/>
              <w:rPr>
                <w:rFonts w:eastAsiaTheme="minorEastAsia"/>
                <w:kern w:val="2"/>
                <w:sz w:val="21"/>
                <w:szCs w:val="21"/>
              </w:rPr>
            </w:pPr>
            <w:r>
              <w:rPr>
                <w:rFonts w:eastAsiaTheme="minorEastAsia"/>
                <w:kern w:val="2"/>
                <w:sz w:val="21"/>
                <w:szCs w:val="21"/>
              </w:rPr>
              <w:t>1</w:t>
            </w:r>
          </w:p>
        </w:tc>
        <w:tc>
          <w:tcPr>
            <w:tcW w:w="2937" w:type="dxa"/>
            <w:tcBorders>
              <w:top w:val="single" w:color="auto" w:sz="12" w:space="0"/>
            </w:tcBorders>
            <w:vAlign w:val="center"/>
          </w:tcPr>
          <w:p w14:paraId="4CE1DD0C">
            <w:pPr>
              <w:pStyle w:val="236"/>
              <w:ind w:firstLine="357"/>
              <w:rPr>
                <w:rFonts w:cs="仿宋" w:eastAsiaTheme="minorEastAsia"/>
                <w:kern w:val="2"/>
                <w:sz w:val="21"/>
                <w:szCs w:val="21"/>
              </w:rPr>
            </w:pPr>
            <w:r>
              <w:rPr>
                <w:rFonts w:hint="eastAsia" w:cs="仿宋" w:eastAsiaTheme="minorEastAsia"/>
                <w:kern w:val="2"/>
                <w:sz w:val="21"/>
                <w:szCs w:val="21"/>
              </w:rPr>
              <w:t>浮筒式浮盘</w:t>
            </w:r>
          </w:p>
        </w:tc>
        <w:tc>
          <w:tcPr>
            <w:tcW w:w="2976" w:type="dxa"/>
            <w:tcBorders>
              <w:top w:val="single" w:color="auto" w:sz="12" w:space="0"/>
            </w:tcBorders>
            <w:vAlign w:val="center"/>
          </w:tcPr>
          <w:p w14:paraId="0FEA0322">
            <w:pPr>
              <w:pStyle w:val="236"/>
              <w:ind w:firstLine="357"/>
              <w:rPr>
                <w:rFonts w:eastAsiaTheme="minorEastAsia"/>
                <w:kern w:val="2"/>
                <w:sz w:val="21"/>
                <w:szCs w:val="21"/>
              </w:rPr>
            </w:pPr>
            <w:r>
              <w:rPr>
                <w:rFonts w:eastAsiaTheme="minorEastAsia"/>
                <w:kern w:val="2"/>
                <w:sz w:val="21"/>
                <w:szCs w:val="21"/>
              </w:rPr>
              <w:t>4.8</w:t>
            </w:r>
          </w:p>
        </w:tc>
      </w:tr>
      <w:tr w14:paraId="2683605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595" w:type="dxa"/>
            <w:vAlign w:val="center"/>
          </w:tcPr>
          <w:p w14:paraId="155109D6">
            <w:pPr>
              <w:pStyle w:val="236"/>
              <w:ind w:firstLine="357"/>
              <w:rPr>
                <w:rFonts w:eastAsiaTheme="minorEastAsia"/>
                <w:kern w:val="2"/>
                <w:sz w:val="21"/>
                <w:szCs w:val="21"/>
              </w:rPr>
            </w:pPr>
            <w:r>
              <w:rPr>
                <w:rFonts w:eastAsiaTheme="minorEastAsia"/>
                <w:kern w:val="2"/>
                <w:sz w:val="21"/>
                <w:szCs w:val="21"/>
              </w:rPr>
              <w:t>2</w:t>
            </w:r>
          </w:p>
        </w:tc>
        <w:tc>
          <w:tcPr>
            <w:tcW w:w="2937" w:type="dxa"/>
            <w:vAlign w:val="center"/>
          </w:tcPr>
          <w:p w14:paraId="60F31588">
            <w:pPr>
              <w:pStyle w:val="236"/>
              <w:ind w:firstLine="357"/>
              <w:rPr>
                <w:rFonts w:cs="仿宋" w:eastAsiaTheme="minorEastAsia"/>
                <w:kern w:val="2"/>
                <w:sz w:val="21"/>
                <w:szCs w:val="21"/>
              </w:rPr>
            </w:pPr>
            <w:r>
              <w:rPr>
                <w:rFonts w:hint="eastAsia" w:cs="仿宋" w:eastAsiaTheme="minorEastAsia"/>
                <w:kern w:val="2"/>
                <w:sz w:val="21"/>
                <w:szCs w:val="21"/>
              </w:rPr>
              <w:t>双层板式浮盘</w:t>
            </w:r>
          </w:p>
        </w:tc>
        <w:tc>
          <w:tcPr>
            <w:tcW w:w="2976" w:type="dxa"/>
            <w:vAlign w:val="center"/>
          </w:tcPr>
          <w:p w14:paraId="688DE47C">
            <w:pPr>
              <w:pStyle w:val="236"/>
              <w:ind w:firstLine="357"/>
              <w:rPr>
                <w:rFonts w:eastAsiaTheme="minorEastAsia"/>
                <w:kern w:val="2"/>
                <w:sz w:val="21"/>
                <w:szCs w:val="21"/>
              </w:rPr>
            </w:pPr>
            <w:r>
              <w:rPr>
                <w:rFonts w:eastAsiaTheme="minorEastAsia"/>
                <w:kern w:val="2"/>
                <w:sz w:val="21"/>
                <w:szCs w:val="21"/>
              </w:rPr>
              <w:t>0.8</w:t>
            </w:r>
          </w:p>
        </w:tc>
      </w:tr>
    </w:tbl>
    <w:p w14:paraId="1BBB3723">
      <w:pPr>
        <w:pStyle w:val="60"/>
        <w:ind w:firstLine="420"/>
        <w:rPr>
          <w:rFonts w:hint="eastAsia"/>
        </w:rPr>
      </w:pPr>
      <w:r>
        <w:rPr>
          <w:rFonts w:hint="eastAsia"/>
        </w:rPr>
        <w:t>注</w:t>
      </w:r>
      <w:r>
        <w:t>：</w:t>
      </w:r>
      <w:r>
        <w:rPr>
          <w:rFonts w:hint="eastAsia"/>
        </w:rPr>
        <w:t>表中的浮盘缝隙长度因子只适用于螺栓连接时浮盘，焊接式浮盘没有盘缝损耗；表中的双层板式浮盘系数是根据典型</w:t>
      </w:r>
      <w:r>
        <w:t>5000 m</w:t>
      </w:r>
      <w:r>
        <w:rPr>
          <w:vertAlign w:val="superscript"/>
        </w:rPr>
        <w:t>3</w:t>
      </w:r>
      <w:r>
        <w:rPr>
          <w:rFonts w:hint="eastAsia"/>
        </w:rPr>
        <w:t>内浮顶储罐的相关实测值和构造参数计算得出；浮筒式浮盘的盘缝损耗约是双层板式的</w:t>
      </w:r>
      <w:r>
        <w:t>6</w:t>
      </w:r>
      <w:r>
        <w:rPr>
          <w:rFonts w:hint="eastAsia"/>
        </w:rPr>
        <w:t>倍。</w:t>
      </w:r>
    </w:p>
    <w:p w14:paraId="783F01B8">
      <w:pPr>
        <w:pStyle w:val="60"/>
        <w:ind w:firstLine="420"/>
        <w:jc w:val="center"/>
      </w:pPr>
      <w:r>
        <w:rPr>
          <w:rFonts w:hint="eastAsia"/>
        </w:rPr>
        <w:t>表</w:t>
      </w:r>
      <w:r>
        <w:t>E.</w:t>
      </w:r>
      <w:r>
        <w:rPr>
          <w:rFonts w:hint="eastAsia"/>
        </w:rPr>
        <w:t>7 储罐VOCs产污系数</w:t>
      </w:r>
    </w:p>
    <w:tbl>
      <w:tblPr>
        <w:tblStyle w:val="29"/>
        <w:tblW w:w="8500"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6"/>
        <w:gridCol w:w="1417"/>
        <w:gridCol w:w="1417"/>
        <w:gridCol w:w="1416"/>
        <w:gridCol w:w="1564"/>
        <w:gridCol w:w="1270"/>
      </w:tblGrid>
      <w:tr w14:paraId="6A92D65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jc w:val="center"/>
        </w:trPr>
        <w:tc>
          <w:tcPr>
            <w:tcW w:w="1416" w:type="dxa"/>
            <w:tcBorders>
              <w:bottom w:val="single" w:color="auto" w:sz="12" w:space="0"/>
            </w:tcBorders>
            <w:vAlign w:val="center"/>
          </w:tcPr>
          <w:p w14:paraId="2431DF0A">
            <w:pPr>
              <w:spacing w:line="240" w:lineRule="auto"/>
              <w:jc w:val="center"/>
              <w:rPr>
                <w:rFonts w:ascii="宋体" w:hAnsi="宋体" w:cs="仿宋"/>
                <w:bCs/>
                <w:kern w:val="0"/>
              </w:rPr>
            </w:pPr>
            <w:r>
              <w:rPr>
                <w:rFonts w:hint="eastAsia" w:ascii="宋体" w:hAnsi="宋体" w:cs="仿宋"/>
                <w:bCs/>
                <w:kern w:val="0"/>
              </w:rPr>
              <w:t>存储物料</w:t>
            </w:r>
          </w:p>
        </w:tc>
        <w:tc>
          <w:tcPr>
            <w:tcW w:w="1417" w:type="dxa"/>
            <w:tcBorders>
              <w:bottom w:val="single" w:color="auto" w:sz="12" w:space="0"/>
            </w:tcBorders>
            <w:vAlign w:val="center"/>
          </w:tcPr>
          <w:p w14:paraId="28464B64">
            <w:pPr>
              <w:spacing w:line="240" w:lineRule="auto"/>
              <w:jc w:val="center"/>
              <w:rPr>
                <w:rFonts w:ascii="宋体" w:hAnsi="宋体" w:cs="仿宋"/>
                <w:bCs/>
                <w:kern w:val="0"/>
              </w:rPr>
            </w:pPr>
            <w:r>
              <w:rPr>
                <w:rFonts w:hint="eastAsia" w:ascii="宋体" w:hAnsi="宋体" w:cs="仿宋"/>
                <w:bCs/>
                <w:kern w:val="0"/>
              </w:rPr>
              <w:t>产污系数</w:t>
            </w:r>
          </w:p>
        </w:tc>
        <w:tc>
          <w:tcPr>
            <w:tcW w:w="1417" w:type="dxa"/>
            <w:tcBorders>
              <w:bottom w:val="single" w:color="auto" w:sz="12" w:space="0"/>
            </w:tcBorders>
            <w:vAlign w:val="center"/>
          </w:tcPr>
          <w:p w14:paraId="2BC6FD1E">
            <w:pPr>
              <w:spacing w:line="240" w:lineRule="auto"/>
              <w:jc w:val="center"/>
              <w:rPr>
                <w:rFonts w:ascii="宋体" w:hAnsi="宋体" w:cs="仿宋"/>
                <w:bCs/>
                <w:kern w:val="0"/>
              </w:rPr>
            </w:pPr>
            <w:r>
              <w:rPr>
                <w:rFonts w:hint="eastAsia" w:ascii="宋体" w:hAnsi="宋体" w:cs="仿宋"/>
                <w:bCs/>
                <w:kern w:val="0"/>
              </w:rPr>
              <w:t>存储物料</w:t>
            </w:r>
          </w:p>
        </w:tc>
        <w:tc>
          <w:tcPr>
            <w:tcW w:w="1416" w:type="dxa"/>
            <w:tcBorders>
              <w:bottom w:val="single" w:color="auto" w:sz="12" w:space="0"/>
            </w:tcBorders>
            <w:vAlign w:val="center"/>
          </w:tcPr>
          <w:p w14:paraId="0BE92DCF">
            <w:pPr>
              <w:spacing w:line="240" w:lineRule="auto"/>
              <w:jc w:val="center"/>
              <w:rPr>
                <w:rFonts w:ascii="宋体" w:hAnsi="宋体" w:cs="仿宋"/>
                <w:bCs/>
                <w:kern w:val="0"/>
              </w:rPr>
            </w:pPr>
            <w:r>
              <w:rPr>
                <w:rFonts w:hint="eastAsia" w:ascii="宋体" w:hAnsi="宋体" w:cs="仿宋"/>
                <w:bCs/>
                <w:kern w:val="0"/>
              </w:rPr>
              <w:t>产污系数</w:t>
            </w:r>
          </w:p>
        </w:tc>
        <w:tc>
          <w:tcPr>
            <w:tcW w:w="1564" w:type="dxa"/>
            <w:tcBorders>
              <w:bottom w:val="single" w:color="auto" w:sz="12" w:space="0"/>
            </w:tcBorders>
            <w:vAlign w:val="center"/>
          </w:tcPr>
          <w:p w14:paraId="0B8F23BC">
            <w:pPr>
              <w:spacing w:line="240" w:lineRule="auto"/>
              <w:jc w:val="center"/>
              <w:rPr>
                <w:rFonts w:ascii="宋体" w:hAnsi="宋体" w:cs="仿宋"/>
                <w:bCs/>
                <w:kern w:val="0"/>
              </w:rPr>
            </w:pPr>
            <w:r>
              <w:rPr>
                <w:rFonts w:hint="eastAsia" w:ascii="宋体" w:hAnsi="宋体" w:cs="仿宋"/>
                <w:bCs/>
                <w:kern w:val="0"/>
              </w:rPr>
              <w:t>存储物料</w:t>
            </w:r>
          </w:p>
        </w:tc>
        <w:tc>
          <w:tcPr>
            <w:tcW w:w="1270" w:type="dxa"/>
            <w:tcBorders>
              <w:bottom w:val="single" w:color="auto" w:sz="12" w:space="0"/>
            </w:tcBorders>
            <w:vAlign w:val="center"/>
          </w:tcPr>
          <w:p w14:paraId="0D5AAC5B">
            <w:pPr>
              <w:spacing w:line="240" w:lineRule="auto"/>
              <w:jc w:val="center"/>
              <w:rPr>
                <w:rFonts w:ascii="宋体" w:hAnsi="宋体" w:cs="仿宋"/>
                <w:bCs/>
                <w:kern w:val="0"/>
              </w:rPr>
            </w:pPr>
            <w:r>
              <w:rPr>
                <w:rFonts w:hint="eastAsia" w:ascii="宋体" w:hAnsi="宋体" w:cs="仿宋"/>
                <w:bCs/>
                <w:kern w:val="0"/>
              </w:rPr>
              <w:t>产污系数</w:t>
            </w:r>
          </w:p>
        </w:tc>
      </w:tr>
      <w:tr w14:paraId="10960C9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tcBorders>
              <w:top w:val="single" w:color="auto" w:sz="12" w:space="0"/>
            </w:tcBorders>
            <w:vAlign w:val="center"/>
          </w:tcPr>
          <w:p w14:paraId="1E363CD9">
            <w:pPr>
              <w:spacing w:line="240" w:lineRule="auto"/>
              <w:jc w:val="center"/>
              <w:rPr>
                <w:rFonts w:ascii="宋体" w:hAnsi="宋体" w:cs="仿宋"/>
                <w:kern w:val="0"/>
              </w:rPr>
            </w:pPr>
            <w:r>
              <w:rPr>
                <w:rFonts w:hint="eastAsia" w:ascii="宋体" w:hAnsi="宋体" w:cs="仿宋"/>
                <w:kern w:val="0"/>
              </w:rPr>
              <w:t>正戊烷</w:t>
            </w:r>
          </w:p>
        </w:tc>
        <w:tc>
          <w:tcPr>
            <w:tcW w:w="1417" w:type="dxa"/>
            <w:tcBorders>
              <w:top w:val="single" w:color="auto" w:sz="12" w:space="0"/>
            </w:tcBorders>
            <w:vAlign w:val="center"/>
          </w:tcPr>
          <w:p w14:paraId="21C917DE">
            <w:pPr>
              <w:spacing w:line="240" w:lineRule="auto"/>
              <w:jc w:val="center"/>
              <w:rPr>
                <w:rFonts w:ascii="宋体" w:hAnsi="宋体" w:cs="仿宋"/>
                <w:kern w:val="0"/>
              </w:rPr>
            </w:pPr>
            <w:r>
              <w:rPr>
                <w:rFonts w:hint="eastAsia" w:ascii="宋体" w:hAnsi="宋体" w:cs="仿宋"/>
                <w:kern w:val="0"/>
              </w:rPr>
              <w:t>1.366</w:t>
            </w:r>
          </w:p>
        </w:tc>
        <w:tc>
          <w:tcPr>
            <w:tcW w:w="1417" w:type="dxa"/>
            <w:tcBorders>
              <w:top w:val="single" w:color="auto" w:sz="12" w:space="0"/>
            </w:tcBorders>
            <w:vAlign w:val="center"/>
          </w:tcPr>
          <w:p w14:paraId="3AA55A9E">
            <w:pPr>
              <w:spacing w:line="240" w:lineRule="auto"/>
              <w:jc w:val="center"/>
              <w:rPr>
                <w:rFonts w:ascii="宋体" w:hAnsi="宋体" w:cs="仿宋"/>
                <w:kern w:val="0"/>
              </w:rPr>
            </w:pPr>
            <w:r>
              <w:rPr>
                <w:rFonts w:hint="eastAsia" w:ascii="宋体" w:hAnsi="宋体" w:cs="仿宋"/>
                <w:kern w:val="0"/>
              </w:rPr>
              <w:t>丁醇</w:t>
            </w:r>
          </w:p>
        </w:tc>
        <w:tc>
          <w:tcPr>
            <w:tcW w:w="1416" w:type="dxa"/>
            <w:tcBorders>
              <w:top w:val="single" w:color="auto" w:sz="12" w:space="0"/>
            </w:tcBorders>
            <w:vAlign w:val="center"/>
          </w:tcPr>
          <w:p w14:paraId="7492375D">
            <w:pPr>
              <w:spacing w:line="240" w:lineRule="auto"/>
              <w:jc w:val="center"/>
              <w:rPr>
                <w:rFonts w:ascii="宋体" w:hAnsi="宋体" w:cs="仿宋"/>
                <w:kern w:val="0"/>
              </w:rPr>
            </w:pPr>
            <w:r>
              <w:rPr>
                <w:rFonts w:hint="eastAsia" w:ascii="宋体" w:hAnsi="宋体" w:cs="仿宋"/>
                <w:kern w:val="0"/>
              </w:rPr>
              <w:t>0.12</w:t>
            </w:r>
          </w:p>
        </w:tc>
        <w:tc>
          <w:tcPr>
            <w:tcW w:w="1564" w:type="dxa"/>
            <w:tcBorders>
              <w:top w:val="single" w:color="auto" w:sz="12" w:space="0"/>
            </w:tcBorders>
            <w:vAlign w:val="center"/>
          </w:tcPr>
          <w:p w14:paraId="2862CE11">
            <w:pPr>
              <w:spacing w:line="240" w:lineRule="auto"/>
              <w:jc w:val="center"/>
              <w:rPr>
                <w:rFonts w:ascii="宋体" w:hAnsi="宋体" w:cs="仿宋"/>
                <w:kern w:val="0"/>
              </w:rPr>
            </w:pPr>
            <w:r>
              <w:rPr>
                <w:rFonts w:hint="eastAsia" w:ascii="宋体" w:hAnsi="宋体" w:cs="仿宋"/>
                <w:kern w:val="0"/>
              </w:rPr>
              <w:t>乙醇胺</w:t>
            </w:r>
          </w:p>
        </w:tc>
        <w:tc>
          <w:tcPr>
            <w:tcW w:w="1270" w:type="dxa"/>
            <w:tcBorders>
              <w:top w:val="single" w:color="auto" w:sz="12" w:space="0"/>
            </w:tcBorders>
            <w:vAlign w:val="center"/>
          </w:tcPr>
          <w:p w14:paraId="71882F93">
            <w:pPr>
              <w:spacing w:line="240" w:lineRule="auto"/>
              <w:jc w:val="center"/>
              <w:rPr>
                <w:rFonts w:ascii="宋体" w:hAnsi="宋体" w:cs="仿宋"/>
                <w:kern w:val="0"/>
              </w:rPr>
            </w:pPr>
            <w:r>
              <w:rPr>
                <w:rFonts w:hint="eastAsia" w:ascii="宋体" w:hAnsi="宋体" w:cs="仿宋"/>
                <w:kern w:val="0"/>
              </w:rPr>
              <w:t>0.491</w:t>
            </w:r>
          </w:p>
        </w:tc>
      </w:tr>
      <w:tr w14:paraId="3C9829C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676DF62A">
            <w:pPr>
              <w:spacing w:line="240" w:lineRule="auto"/>
              <w:jc w:val="center"/>
              <w:rPr>
                <w:rFonts w:ascii="宋体" w:hAnsi="宋体" w:cs="仿宋"/>
                <w:kern w:val="0"/>
              </w:rPr>
            </w:pPr>
            <w:r>
              <w:rPr>
                <w:rFonts w:hint="eastAsia" w:ascii="宋体" w:hAnsi="宋体" w:cs="仿宋"/>
                <w:kern w:val="0"/>
              </w:rPr>
              <w:t>异戊烷</w:t>
            </w:r>
          </w:p>
        </w:tc>
        <w:tc>
          <w:tcPr>
            <w:tcW w:w="1417" w:type="dxa"/>
            <w:vAlign w:val="center"/>
          </w:tcPr>
          <w:p w14:paraId="00898606">
            <w:pPr>
              <w:spacing w:line="240" w:lineRule="auto"/>
              <w:jc w:val="center"/>
              <w:rPr>
                <w:rFonts w:ascii="宋体" w:hAnsi="宋体" w:cs="仿宋"/>
                <w:kern w:val="0"/>
              </w:rPr>
            </w:pPr>
            <w:r>
              <w:rPr>
                <w:rFonts w:hint="eastAsia" w:ascii="宋体" w:hAnsi="宋体" w:cs="仿宋"/>
                <w:kern w:val="0"/>
              </w:rPr>
              <w:t>8.809</w:t>
            </w:r>
          </w:p>
        </w:tc>
        <w:tc>
          <w:tcPr>
            <w:tcW w:w="1417" w:type="dxa"/>
            <w:vAlign w:val="center"/>
          </w:tcPr>
          <w:p w14:paraId="36E742B6">
            <w:pPr>
              <w:spacing w:line="240" w:lineRule="auto"/>
              <w:jc w:val="center"/>
              <w:rPr>
                <w:rFonts w:ascii="宋体" w:hAnsi="宋体" w:cs="仿宋"/>
                <w:kern w:val="0"/>
              </w:rPr>
            </w:pPr>
            <w:r>
              <w:rPr>
                <w:rFonts w:hint="eastAsia" w:ascii="宋体" w:hAnsi="宋体" w:cs="仿宋"/>
                <w:kern w:val="0"/>
              </w:rPr>
              <w:t>二级丁醇</w:t>
            </w:r>
          </w:p>
        </w:tc>
        <w:tc>
          <w:tcPr>
            <w:tcW w:w="1416" w:type="dxa"/>
            <w:vAlign w:val="center"/>
          </w:tcPr>
          <w:p w14:paraId="60F7123D">
            <w:pPr>
              <w:spacing w:line="240" w:lineRule="auto"/>
              <w:jc w:val="center"/>
              <w:rPr>
                <w:rFonts w:ascii="宋体" w:hAnsi="宋体" w:cs="仿宋"/>
                <w:kern w:val="0"/>
              </w:rPr>
            </w:pPr>
            <w:r>
              <w:rPr>
                <w:rFonts w:hint="eastAsia" w:ascii="宋体" w:hAnsi="宋体" w:cs="仿宋"/>
                <w:kern w:val="0"/>
              </w:rPr>
              <w:t>0.278</w:t>
            </w:r>
          </w:p>
        </w:tc>
        <w:tc>
          <w:tcPr>
            <w:tcW w:w="1564" w:type="dxa"/>
            <w:vAlign w:val="center"/>
          </w:tcPr>
          <w:p w14:paraId="01839677">
            <w:pPr>
              <w:spacing w:line="240" w:lineRule="auto"/>
              <w:jc w:val="center"/>
              <w:rPr>
                <w:rFonts w:ascii="宋体" w:hAnsi="宋体" w:cs="仿宋"/>
                <w:kern w:val="0"/>
              </w:rPr>
            </w:pPr>
            <w:r>
              <w:rPr>
                <w:rFonts w:hint="eastAsia" w:ascii="宋体" w:hAnsi="宋体" w:cs="仿宋"/>
                <w:kern w:val="0"/>
              </w:rPr>
              <w:t>乙烷胺</w:t>
            </w:r>
          </w:p>
        </w:tc>
        <w:tc>
          <w:tcPr>
            <w:tcW w:w="1270" w:type="dxa"/>
            <w:vAlign w:val="center"/>
          </w:tcPr>
          <w:p w14:paraId="303000B7">
            <w:pPr>
              <w:spacing w:line="240" w:lineRule="auto"/>
              <w:jc w:val="center"/>
              <w:rPr>
                <w:rFonts w:ascii="宋体" w:hAnsi="宋体" w:cs="仿宋"/>
                <w:kern w:val="0"/>
              </w:rPr>
            </w:pPr>
            <w:r>
              <w:rPr>
                <w:rFonts w:hint="eastAsia" w:ascii="宋体" w:hAnsi="宋体" w:cs="仿宋"/>
                <w:kern w:val="0"/>
              </w:rPr>
              <w:t>1.151</w:t>
            </w:r>
          </w:p>
        </w:tc>
      </w:tr>
      <w:tr w14:paraId="58186CD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3487663D">
            <w:pPr>
              <w:spacing w:line="240" w:lineRule="auto"/>
              <w:jc w:val="center"/>
              <w:rPr>
                <w:rFonts w:ascii="宋体" w:hAnsi="宋体" w:cs="仿宋"/>
                <w:kern w:val="0"/>
              </w:rPr>
            </w:pPr>
            <w:r>
              <w:rPr>
                <w:rFonts w:hint="eastAsia" w:ascii="宋体" w:hAnsi="宋体" w:cs="仿宋"/>
                <w:kern w:val="0"/>
              </w:rPr>
              <w:t>己烷</w:t>
            </w:r>
          </w:p>
        </w:tc>
        <w:tc>
          <w:tcPr>
            <w:tcW w:w="1417" w:type="dxa"/>
            <w:vAlign w:val="center"/>
          </w:tcPr>
          <w:p w14:paraId="4969F11A">
            <w:pPr>
              <w:spacing w:line="240" w:lineRule="auto"/>
              <w:jc w:val="center"/>
              <w:rPr>
                <w:rFonts w:ascii="宋体" w:hAnsi="宋体" w:cs="仿宋"/>
                <w:kern w:val="0"/>
              </w:rPr>
            </w:pPr>
            <w:r>
              <w:rPr>
                <w:rFonts w:hint="eastAsia" w:ascii="宋体" w:hAnsi="宋体" w:cs="仿宋"/>
                <w:kern w:val="0"/>
              </w:rPr>
              <w:t>0.539</w:t>
            </w:r>
          </w:p>
        </w:tc>
        <w:tc>
          <w:tcPr>
            <w:tcW w:w="1417" w:type="dxa"/>
            <w:vAlign w:val="center"/>
          </w:tcPr>
          <w:p w14:paraId="00533C1B">
            <w:pPr>
              <w:spacing w:line="240" w:lineRule="auto"/>
              <w:jc w:val="center"/>
              <w:rPr>
                <w:rFonts w:ascii="宋体" w:hAnsi="宋体" w:cs="仿宋"/>
                <w:kern w:val="0"/>
              </w:rPr>
            </w:pPr>
            <w:r>
              <w:rPr>
                <w:rFonts w:hint="eastAsia" w:ascii="宋体" w:hAnsi="宋体" w:cs="仿宋"/>
                <w:kern w:val="0"/>
              </w:rPr>
              <w:t>三级丁醇</w:t>
            </w:r>
          </w:p>
        </w:tc>
        <w:tc>
          <w:tcPr>
            <w:tcW w:w="1416" w:type="dxa"/>
            <w:vAlign w:val="center"/>
          </w:tcPr>
          <w:p w14:paraId="14357A21">
            <w:pPr>
              <w:spacing w:line="240" w:lineRule="auto"/>
              <w:jc w:val="center"/>
              <w:rPr>
                <w:rFonts w:ascii="宋体" w:hAnsi="宋体" w:cs="仿宋"/>
                <w:kern w:val="0"/>
              </w:rPr>
            </w:pPr>
            <w:r>
              <w:rPr>
                <w:rFonts w:hint="eastAsia" w:ascii="宋体" w:hAnsi="宋体" w:cs="仿宋"/>
                <w:kern w:val="0"/>
              </w:rPr>
              <w:t>0.522</w:t>
            </w:r>
          </w:p>
        </w:tc>
        <w:tc>
          <w:tcPr>
            <w:tcW w:w="1564" w:type="dxa"/>
            <w:vAlign w:val="center"/>
          </w:tcPr>
          <w:p w14:paraId="629AFECF">
            <w:pPr>
              <w:spacing w:line="240" w:lineRule="auto"/>
              <w:jc w:val="center"/>
              <w:rPr>
                <w:rFonts w:ascii="宋体" w:hAnsi="宋体" w:cs="仿宋"/>
                <w:kern w:val="0"/>
              </w:rPr>
            </w:pPr>
            <w:r>
              <w:rPr>
                <w:rFonts w:hint="eastAsia" w:ascii="宋体" w:hAnsi="宋体" w:cs="仿宋"/>
                <w:kern w:val="0"/>
              </w:rPr>
              <w:t>丙酮</w:t>
            </w:r>
          </w:p>
        </w:tc>
        <w:tc>
          <w:tcPr>
            <w:tcW w:w="1270" w:type="dxa"/>
            <w:vAlign w:val="center"/>
          </w:tcPr>
          <w:p w14:paraId="6F2E2398">
            <w:pPr>
              <w:spacing w:line="240" w:lineRule="auto"/>
              <w:jc w:val="center"/>
              <w:rPr>
                <w:rFonts w:ascii="宋体" w:hAnsi="宋体" w:cs="仿宋"/>
                <w:kern w:val="0"/>
              </w:rPr>
            </w:pPr>
            <w:r>
              <w:rPr>
                <w:rFonts w:hint="eastAsia" w:ascii="宋体" w:hAnsi="宋体" w:cs="仿宋"/>
                <w:kern w:val="0"/>
              </w:rPr>
              <w:t>0.551</w:t>
            </w:r>
          </w:p>
        </w:tc>
      </w:tr>
      <w:tr w14:paraId="3D95033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3C13454C">
            <w:pPr>
              <w:spacing w:line="240" w:lineRule="auto"/>
              <w:jc w:val="center"/>
              <w:rPr>
                <w:rFonts w:ascii="宋体" w:hAnsi="宋体" w:cs="仿宋"/>
                <w:kern w:val="0"/>
              </w:rPr>
            </w:pPr>
            <w:r>
              <w:rPr>
                <w:rFonts w:hint="eastAsia" w:ascii="宋体" w:hAnsi="宋体" w:cs="仿宋"/>
                <w:kern w:val="0"/>
              </w:rPr>
              <w:t>环己烷</w:t>
            </w:r>
          </w:p>
        </w:tc>
        <w:tc>
          <w:tcPr>
            <w:tcW w:w="1417" w:type="dxa"/>
            <w:vAlign w:val="center"/>
          </w:tcPr>
          <w:p w14:paraId="4A56575D">
            <w:pPr>
              <w:spacing w:line="240" w:lineRule="auto"/>
              <w:jc w:val="center"/>
              <w:rPr>
                <w:rFonts w:ascii="宋体" w:hAnsi="宋体" w:cs="仿宋"/>
                <w:kern w:val="0"/>
              </w:rPr>
            </w:pPr>
            <w:r>
              <w:rPr>
                <w:rFonts w:hint="eastAsia" w:ascii="宋体" w:hAnsi="宋体" w:cs="仿宋"/>
                <w:kern w:val="0"/>
              </w:rPr>
              <w:t>0.416</w:t>
            </w:r>
          </w:p>
        </w:tc>
        <w:tc>
          <w:tcPr>
            <w:tcW w:w="1417" w:type="dxa"/>
            <w:vAlign w:val="center"/>
          </w:tcPr>
          <w:p w14:paraId="6D62740F">
            <w:pPr>
              <w:spacing w:line="240" w:lineRule="auto"/>
              <w:jc w:val="center"/>
              <w:rPr>
                <w:rFonts w:ascii="宋体" w:hAnsi="宋体" w:cs="仿宋"/>
                <w:kern w:val="0"/>
              </w:rPr>
            </w:pPr>
            <w:r>
              <w:rPr>
                <w:rFonts w:hint="eastAsia" w:ascii="宋体" w:hAnsi="宋体" w:cs="仿宋"/>
                <w:kern w:val="0"/>
              </w:rPr>
              <w:t>环己醇</w:t>
            </w:r>
          </w:p>
        </w:tc>
        <w:tc>
          <w:tcPr>
            <w:tcW w:w="1416" w:type="dxa"/>
            <w:vAlign w:val="center"/>
          </w:tcPr>
          <w:p w14:paraId="750B4527">
            <w:pPr>
              <w:spacing w:line="240" w:lineRule="auto"/>
              <w:jc w:val="center"/>
              <w:rPr>
                <w:rFonts w:ascii="宋体" w:hAnsi="宋体" w:cs="仿宋"/>
                <w:kern w:val="0"/>
              </w:rPr>
            </w:pPr>
            <w:r>
              <w:rPr>
                <w:rFonts w:hint="eastAsia" w:ascii="宋体" w:hAnsi="宋体" w:cs="仿宋"/>
                <w:kern w:val="0"/>
              </w:rPr>
              <w:t>0.075</w:t>
            </w:r>
          </w:p>
        </w:tc>
        <w:tc>
          <w:tcPr>
            <w:tcW w:w="1564" w:type="dxa"/>
            <w:vAlign w:val="center"/>
          </w:tcPr>
          <w:p w14:paraId="4C68E3FA">
            <w:pPr>
              <w:spacing w:line="240" w:lineRule="auto"/>
              <w:jc w:val="center"/>
              <w:rPr>
                <w:rFonts w:ascii="宋体" w:hAnsi="宋体" w:cs="仿宋"/>
                <w:kern w:val="0"/>
              </w:rPr>
            </w:pPr>
            <w:r>
              <w:rPr>
                <w:rFonts w:hint="eastAsia" w:ascii="宋体" w:hAnsi="宋体" w:cs="仿宋"/>
                <w:kern w:val="0"/>
              </w:rPr>
              <w:t>丁酮</w:t>
            </w:r>
          </w:p>
        </w:tc>
        <w:tc>
          <w:tcPr>
            <w:tcW w:w="1270" w:type="dxa"/>
            <w:vAlign w:val="center"/>
          </w:tcPr>
          <w:p w14:paraId="6EFEBC91">
            <w:pPr>
              <w:spacing w:line="240" w:lineRule="auto"/>
              <w:jc w:val="center"/>
              <w:rPr>
                <w:rFonts w:ascii="宋体" w:hAnsi="宋体" w:cs="仿宋"/>
                <w:kern w:val="0"/>
              </w:rPr>
            </w:pPr>
            <w:r>
              <w:rPr>
                <w:rFonts w:hint="eastAsia" w:ascii="宋体" w:hAnsi="宋体" w:cs="仿宋"/>
                <w:kern w:val="0"/>
              </w:rPr>
              <w:t>0.395</w:t>
            </w:r>
          </w:p>
        </w:tc>
      </w:tr>
      <w:tr w14:paraId="75F2AAF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18A8DDE6">
            <w:pPr>
              <w:spacing w:line="240" w:lineRule="auto"/>
              <w:jc w:val="center"/>
              <w:rPr>
                <w:rFonts w:ascii="宋体" w:hAnsi="宋体" w:cs="仿宋"/>
                <w:kern w:val="0"/>
              </w:rPr>
            </w:pPr>
            <w:r>
              <w:rPr>
                <w:rFonts w:hint="eastAsia" w:ascii="宋体" w:hAnsi="宋体" w:cs="仿宋"/>
                <w:kern w:val="0"/>
              </w:rPr>
              <w:t>庚烷</w:t>
            </w:r>
          </w:p>
        </w:tc>
        <w:tc>
          <w:tcPr>
            <w:tcW w:w="1417" w:type="dxa"/>
            <w:vAlign w:val="center"/>
          </w:tcPr>
          <w:p w14:paraId="21558BA3">
            <w:pPr>
              <w:spacing w:line="240" w:lineRule="auto"/>
              <w:jc w:val="center"/>
              <w:rPr>
                <w:rFonts w:ascii="宋体" w:hAnsi="宋体" w:cs="仿宋"/>
                <w:kern w:val="0"/>
              </w:rPr>
            </w:pPr>
            <w:r>
              <w:rPr>
                <w:rFonts w:hint="eastAsia" w:ascii="宋体" w:hAnsi="宋体" w:cs="仿宋"/>
                <w:kern w:val="0"/>
              </w:rPr>
              <w:t>0.851</w:t>
            </w:r>
          </w:p>
        </w:tc>
        <w:tc>
          <w:tcPr>
            <w:tcW w:w="1417" w:type="dxa"/>
            <w:vAlign w:val="center"/>
          </w:tcPr>
          <w:p w14:paraId="69DA9FD7">
            <w:pPr>
              <w:spacing w:line="240" w:lineRule="auto"/>
              <w:jc w:val="center"/>
              <w:rPr>
                <w:rFonts w:ascii="宋体" w:hAnsi="宋体" w:cs="仿宋"/>
                <w:kern w:val="0"/>
              </w:rPr>
            </w:pPr>
            <w:r>
              <w:rPr>
                <w:rFonts w:hint="eastAsia" w:ascii="宋体" w:hAnsi="宋体" w:cs="仿宋"/>
                <w:kern w:val="0"/>
              </w:rPr>
              <w:t>乙醇</w:t>
            </w:r>
          </w:p>
        </w:tc>
        <w:tc>
          <w:tcPr>
            <w:tcW w:w="1416" w:type="dxa"/>
            <w:vAlign w:val="center"/>
          </w:tcPr>
          <w:p w14:paraId="0332DAB8">
            <w:pPr>
              <w:spacing w:line="240" w:lineRule="auto"/>
              <w:jc w:val="center"/>
              <w:rPr>
                <w:rFonts w:ascii="宋体" w:hAnsi="宋体" w:cs="仿宋"/>
                <w:kern w:val="0"/>
              </w:rPr>
            </w:pPr>
            <w:r>
              <w:rPr>
                <w:rFonts w:hint="eastAsia" w:ascii="宋体" w:hAnsi="宋体" w:cs="仿宋"/>
                <w:kern w:val="0"/>
              </w:rPr>
              <w:t>0.427</w:t>
            </w:r>
          </w:p>
        </w:tc>
        <w:tc>
          <w:tcPr>
            <w:tcW w:w="1564" w:type="dxa"/>
            <w:vAlign w:val="center"/>
          </w:tcPr>
          <w:p w14:paraId="50FD6FA1">
            <w:pPr>
              <w:spacing w:line="240" w:lineRule="auto"/>
              <w:jc w:val="center"/>
              <w:rPr>
                <w:rFonts w:ascii="宋体" w:hAnsi="宋体" w:cs="仿宋"/>
                <w:kern w:val="0"/>
              </w:rPr>
            </w:pPr>
            <w:r>
              <w:rPr>
                <w:rFonts w:hint="eastAsia" w:ascii="宋体" w:hAnsi="宋体" w:cs="仿宋"/>
                <w:kern w:val="0"/>
              </w:rPr>
              <w:t>甲基异丁酮</w:t>
            </w:r>
          </w:p>
        </w:tc>
        <w:tc>
          <w:tcPr>
            <w:tcW w:w="1270" w:type="dxa"/>
            <w:vAlign w:val="center"/>
          </w:tcPr>
          <w:p w14:paraId="25B04278">
            <w:pPr>
              <w:spacing w:line="240" w:lineRule="auto"/>
              <w:jc w:val="center"/>
              <w:rPr>
                <w:rFonts w:ascii="宋体" w:hAnsi="宋体" w:cs="仿宋"/>
                <w:kern w:val="0"/>
              </w:rPr>
            </w:pPr>
            <w:r>
              <w:rPr>
                <w:rFonts w:hint="eastAsia" w:ascii="宋体" w:hAnsi="宋体" w:cs="仿宋"/>
                <w:kern w:val="0"/>
              </w:rPr>
              <w:t>0.277</w:t>
            </w:r>
          </w:p>
        </w:tc>
      </w:tr>
      <w:tr w14:paraId="7796771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7994C5F9">
            <w:pPr>
              <w:spacing w:line="240" w:lineRule="auto"/>
              <w:jc w:val="center"/>
              <w:rPr>
                <w:rFonts w:ascii="宋体" w:hAnsi="宋体" w:cs="仿宋"/>
                <w:kern w:val="0"/>
              </w:rPr>
            </w:pPr>
            <w:r>
              <w:rPr>
                <w:rFonts w:hint="eastAsia" w:ascii="宋体" w:hAnsi="宋体" w:cs="仿宋"/>
                <w:kern w:val="0"/>
              </w:rPr>
              <w:t>正癸烷</w:t>
            </w:r>
          </w:p>
        </w:tc>
        <w:tc>
          <w:tcPr>
            <w:tcW w:w="1417" w:type="dxa"/>
            <w:vAlign w:val="center"/>
          </w:tcPr>
          <w:p w14:paraId="5B7BED59">
            <w:pPr>
              <w:spacing w:line="240" w:lineRule="auto"/>
              <w:jc w:val="center"/>
              <w:rPr>
                <w:rFonts w:ascii="宋体" w:hAnsi="宋体" w:cs="仿宋"/>
                <w:kern w:val="0"/>
              </w:rPr>
            </w:pPr>
            <w:r>
              <w:rPr>
                <w:rFonts w:hint="eastAsia" w:ascii="宋体" w:hAnsi="宋体" w:cs="仿宋"/>
                <w:kern w:val="0"/>
              </w:rPr>
              <w:t>0.078</w:t>
            </w:r>
          </w:p>
        </w:tc>
        <w:tc>
          <w:tcPr>
            <w:tcW w:w="1417" w:type="dxa"/>
            <w:vAlign w:val="center"/>
          </w:tcPr>
          <w:p w14:paraId="3C4D4DF8">
            <w:pPr>
              <w:spacing w:line="240" w:lineRule="auto"/>
              <w:jc w:val="center"/>
              <w:rPr>
                <w:rFonts w:ascii="宋体" w:hAnsi="宋体" w:cs="仿宋"/>
                <w:kern w:val="0"/>
              </w:rPr>
            </w:pPr>
            <w:r>
              <w:rPr>
                <w:rFonts w:hint="eastAsia" w:ascii="宋体" w:hAnsi="宋体" w:cs="仿宋"/>
                <w:kern w:val="0"/>
              </w:rPr>
              <w:t>异丁醇</w:t>
            </w:r>
          </w:p>
        </w:tc>
        <w:tc>
          <w:tcPr>
            <w:tcW w:w="1416" w:type="dxa"/>
            <w:vAlign w:val="center"/>
          </w:tcPr>
          <w:p w14:paraId="7CB4E660">
            <w:pPr>
              <w:spacing w:line="240" w:lineRule="auto"/>
              <w:jc w:val="center"/>
              <w:rPr>
                <w:rFonts w:ascii="宋体" w:hAnsi="宋体" w:cs="仿宋"/>
                <w:kern w:val="0"/>
              </w:rPr>
            </w:pPr>
            <w:r>
              <w:rPr>
                <w:rFonts w:hint="eastAsia" w:ascii="宋体" w:hAnsi="宋体" w:cs="仿宋"/>
                <w:kern w:val="0"/>
              </w:rPr>
              <w:t>0.176</w:t>
            </w:r>
          </w:p>
        </w:tc>
        <w:tc>
          <w:tcPr>
            <w:tcW w:w="1564" w:type="dxa"/>
            <w:vAlign w:val="center"/>
          </w:tcPr>
          <w:p w14:paraId="42F6F56C">
            <w:pPr>
              <w:spacing w:line="240" w:lineRule="auto"/>
              <w:jc w:val="center"/>
              <w:rPr>
                <w:rFonts w:ascii="宋体" w:hAnsi="宋体" w:cs="仿宋"/>
                <w:kern w:val="0"/>
              </w:rPr>
            </w:pPr>
            <w:r>
              <w:rPr>
                <w:rFonts w:hint="eastAsia" w:ascii="宋体" w:hAnsi="宋体" w:cs="仿宋"/>
                <w:kern w:val="0"/>
              </w:rPr>
              <w:t>环己酮</w:t>
            </w:r>
          </w:p>
        </w:tc>
        <w:tc>
          <w:tcPr>
            <w:tcW w:w="1270" w:type="dxa"/>
            <w:vAlign w:val="center"/>
          </w:tcPr>
          <w:p w14:paraId="17321684">
            <w:pPr>
              <w:spacing w:line="240" w:lineRule="auto"/>
              <w:jc w:val="center"/>
              <w:rPr>
                <w:rFonts w:ascii="宋体" w:hAnsi="宋体" w:cs="仿宋"/>
                <w:kern w:val="0"/>
              </w:rPr>
            </w:pPr>
            <w:r>
              <w:rPr>
                <w:rFonts w:hint="eastAsia" w:ascii="宋体" w:hAnsi="宋体" w:cs="仿宋"/>
                <w:kern w:val="0"/>
              </w:rPr>
              <w:t>0.228</w:t>
            </w:r>
          </w:p>
        </w:tc>
      </w:tr>
      <w:tr w14:paraId="1F4167B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626426A4">
            <w:pPr>
              <w:spacing w:line="240" w:lineRule="auto"/>
              <w:jc w:val="center"/>
              <w:rPr>
                <w:rFonts w:ascii="宋体" w:hAnsi="宋体" w:cs="仿宋"/>
                <w:kern w:val="0"/>
              </w:rPr>
            </w:pPr>
            <w:r>
              <w:rPr>
                <w:rFonts w:hint="eastAsia" w:ascii="宋体" w:hAnsi="宋体" w:cs="仿宋"/>
                <w:kern w:val="0"/>
              </w:rPr>
              <w:t>正十二烷</w:t>
            </w:r>
          </w:p>
        </w:tc>
        <w:tc>
          <w:tcPr>
            <w:tcW w:w="1417" w:type="dxa"/>
            <w:vAlign w:val="center"/>
          </w:tcPr>
          <w:p w14:paraId="372B47B5">
            <w:pPr>
              <w:spacing w:line="240" w:lineRule="auto"/>
              <w:jc w:val="center"/>
              <w:rPr>
                <w:rFonts w:ascii="宋体" w:hAnsi="宋体" w:cs="仿宋"/>
                <w:kern w:val="0"/>
              </w:rPr>
            </w:pPr>
            <w:r>
              <w:rPr>
                <w:rFonts w:hint="eastAsia" w:ascii="宋体" w:hAnsi="宋体" w:cs="仿宋"/>
                <w:kern w:val="0"/>
              </w:rPr>
              <w:t>0.495</w:t>
            </w:r>
          </w:p>
        </w:tc>
        <w:tc>
          <w:tcPr>
            <w:tcW w:w="1417" w:type="dxa"/>
            <w:vAlign w:val="center"/>
          </w:tcPr>
          <w:p w14:paraId="126AB456">
            <w:pPr>
              <w:spacing w:line="240" w:lineRule="auto"/>
              <w:jc w:val="center"/>
              <w:rPr>
                <w:rFonts w:ascii="宋体" w:hAnsi="宋体" w:cs="仿宋"/>
                <w:kern w:val="0"/>
              </w:rPr>
            </w:pPr>
            <w:r>
              <w:rPr>
                <w:rFonts w:hint="eastAsia" w:ascii="宋体" w:hAnsi="宋体" w:cs="仿宋"/>
                <w:kern w:val="0"/>
              </w:rPr>
              <w:t>异丙醇</w:t>
            </w:r>
          </w:p>
        </w:tc>
        <w:tc>
          <w:tcPr>
            <w:tcW w:w="1416" w:type="dxa"/>
            <w:vAlign w:val="center"/>
          </w:tcPr>
          <w:p w14:paraId="229508F5">
            <w:pPr>
              <w:spacing w:line="240" w:lineRule="auto"/>
              <w:jc w:val="center"/>
              <w:rPr>
                <w:rFonts w:ascii="宋体" w:hAnsi="宋体" w:cs="仿宋"/>
                <w:kern w:val="0"/>
              </w:rPr>
            </w:pPr>
            <w:r>
              <w:rPr>
                <w:rFonts w:hint="eastAsia" w:ascii="宋体" w:hAnsi="宋体" w:cs="仿宋"/>
                <w:kern w:val="0"/>
              </w:rPr>
              <w:t>0.558</w:t>
            </w:r>
          </w:p>
        </w:tc>
        <w:tc>
          <w:tcPr>
            <w:tcW w:w="1564" w:type="dxa"/>
            <w:vAlign w:val="center"/>
          </w:tcPr>
          <w:p w14:paraId="4A855DF1">
            <w:pPr>
              <w:spacing w:line="240" w:lineRule="auto"/>
              <w:jc w:val="center"/>
              <w:rPr>
                <w:rFonts w:ascii="宋体" w:hAnsi="宋体" w:cs="仿宋"/>
                <w:kern w:val="0"/>
              </w:rPr>
            </w:pPr>
            <w:r>
              <w:rPr>
                <w:rFonts w:hint="eastAsia" w:ascii="宋体" w:hAnsi="宋体" w:cs="仿宋"/>
                <w:kern w:val="0"/>
              </w:rPr>
              <w:t>庚酮</w:t>
            </w:r>
          </w:p>
        </w:tc>
        <w:tc>
          <w:tcPr>
            <w:tcW w:w="1270" w:type="dxa"/>
            <w:vAlign w:val="center"/>
          </w:tcPr>
          <w:p w14:paraId="7971D691">
            <w:pPr>
              <w:spacing w:line="240" w:lineRule="auto"/>
              <w:jc w:val="center"/>
              <w:rPr>
                <w:rFonts w:ascii="宋体" w:hAnsi="宋体" w:cs="仿宋"/>
                <w:kern w:val="0"/>
              </w:rPr>
            </w:pPr>
            <w:r>
              <w:rPr>
                <w:rFonts w:hint="eastAsia" w:ascii="宋体" w:hAnsi="宋体" w:cs="仿宋"/>
                <w:kern w:val="0"/>
              </w:rPr>
              <w:t>0.01</w:t>
            </w:r>
          </w:p>
        </w:tc>
      </w:tr>
      <w:tr w14:paraId="694057E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2B34DF2D">
            <w:pPr>
              <w:spacing w:line="240" w:lineRule="auto"/>
              <w:jc w:val="center"/>
              <w:rPr>
                <w:rFonts w:ascii="宋体" w:hAnsi="宋体" w:cs="仿宋"/>
                <w:kern w:val="0"/>
              </w:rPr>
            </w:pPr>
            <w:r>
              <w:rPr>
                <w:rFonts w:hint="eastAsia" w:ascii="宋体" w:hAnsi="宋体" w:cs="仿宋"/>
                <w:kern w:val="0"/>
              </w:rPr>
              <w:t>十五烷</w:t>
            </w:r>
          </w:p>
        </w:tc>
        <w:tc>
          <w:tcPr>
            <w:tcW w:w="1417" w:type="dxa"/>
            <w:vAlign w:val="center"/>
          </w:tcPr>
          <w:p w14:paraId="26629951">
            <w:pPr>
              <w:spacing w:line="240" w:lineRule="auto"/>
              <w:jc w:val="center"/>
              <w:rPr>
                <w:rFonts w:ascii="宋体" w:hAnsi="宋体" w:cs="仿宋"/>
                <w:kern w:val="0"/>
              </w:rPr>
            </w:pPr>
            <w:r>
              <w:rPr>
                <w:rFonts w:hint="eastAsia" w:ascii="宋体" w:hAnsi="宋体" w:cs="仿宋"/>
                <w:kern w:val="0"/>
              </w:rPr>
              <w:t>0.102</w:t>
            </w:r>
          </w:p>
        </w:tc>
        <w:tc>
          <w:tcPr>
            <w:tcW w:w="1417" w:type="dxa"/>
            <w:vAlign w:val="center"/>
          </w:tcPr>
          <w:p w14:paraId="2FA07558">
            <w:pPr>
              <w:spacing w:line="240" w:lineRule="auto"/>
              <w:jc w:val="center"/>
              <w:rPr>
                <w:rFonts w:ascii="宋体" w:hAnsi="宋体" w:cs="仿宋"/>
                <w:kern w:val="0"/>
              </w:rPr>
            </w:pPr>
            <w:r>
              <w:rPr>
                <w:rFonts w:hint="eastAsia" w:ascii="宋体" w:hAnsi="宋体" w:cs="仿宋"/>
                <w:kern w:val="0"/>
              </w:rPr>
              <w:t>甲醇</w:t>
            </w:r>
          </w:p>
        </w:tc>
        <w:tc>
          <w:tcPr>
            <w:tcW w:w="1416" w:type="dxa"/>
            <w:vAlign w:val="center"/>
          </w:tcPr>
          <w:p w14:paraId="39C27E4C">
            <w:pPr>
              <w:spacing w:line="240" w:lineRule="auto"/>
              <w:jc w:val="center"/>
              <w:rPr>
                <w:rFonts w:ascii="宋体" w:hAnsi="宋体" w:cs="仿宋"/>
                <w:kern w:val="0"/>
              </w:rPr>
            </w:pPr>
            <w:r>
              <w:rPr>
                <w:rFonts w:hint="eastAsia" w:ascii="宋体" w:hAnsi="宋体" w:cs="仿宋"/>
                <w:kern w:val="0"/>
              </w:rPr>
              <w:t>0.572</w:t>
            </w:r>
          </w:p>
        </w:tc>
        <w:tc>
          <w:tcPr>
            <w:tcW w:w="1564" w:type="dxa"/>
            <w:vAlign w:val="center"/>
          </w:tcPr>
          <w:p w14:paraId="7573EE77">
            <w:pPr>
              <w:spacing w:line="240" w:lineRule="auto"/>
              <w:jc w:val="center"/>
              <w:rPr>
                <w:rFonts w:ascii="宋体" w:hAnsi="宋体" w:cs="仿宋"/>
                <w:kern w:val="0"/>
              </w:rPr>
            </w:pPr>
            <w:r>
              <w:rPr>
                <w:rFonts w:hint="eastAsia" w:ascii="宋体" w:hAnsi="宋体" w:cs="仿宋"/>
                <w:kern w:val="0"/>
              </w:rPr>
              <w:t>石油脑</w:t>
            </w:r>
          </w:p>
        </w:tc>
        <w:tc>
          <w:tcPr>
            <w:tcW w:w="1270" w:type="dxa"/>
            <w:vAlign w:val="center"/>
          </w:tcPr>
          <w:p w14:paraId="7B9048A8">
            <w:pPr>
              <w:spacing w:line="240" w:lineRule="auto"/>
              <w:jc w:val="center"/>
              <w:rPr>
                <w:rFonts w:ascii="宋体" w:hAnsi="宋体" w:cs="仿宋"/>
                <w:kern w:val="0"/>
              </w:rPr>
            </w:pPr>
            <w:r>
              <w:rPr>
                <w:rFonts w:hint="eastAsia" w:ascii="宋体" w:hAnsi="宋体" w:cs="仿宋"/>
                <w:kern w:val="0"/>
              </w:rPr>
              <w:t>0.739</w:t>
            </w:r>
          </w:p>
        </w:tc>
      </w:tr>
      <w:tr w14:paraId="19CDC0D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647A2BE3">
            <w:pPr>
              <w:spacing w:line="240" w:lineRule="auto"/>
              <w:jc w:val="center"/>
              <w:rPr>
                <w:rFonts w:ascii="宋体" w:hAnsi="宋体" w:cs="仿宋"/>
                <w:kern w:val="0"/>
              </w:rPr>
            </w:pPr>
            <w:r>
              <w:rPr>
                <w:rFonts w:hint="eastAsia" w:ascii="宋体" w:hAnsi="宋体" w:cs="仿宋"/>
                <w:kern w:val="0"/>
              </w:rPr>
              <w:t>1-戊烯</w:t>
            </w:r>
          </w:p>
        </w:tc>
        <w:tc>
          <w:tcPr>
            <w:tcW w:w="1417" w:type="dxa"/>
            <w:vAlign w:val="center"/>
          </w:tcPr>
          <w:p w14:paraId="3DF288EB">
            <w:pPr>
              <w:spacing w:line="240" w:lineRule="auto"/>
              <w:jc w:val="center"/>
              <w:rPr>
                <w:rFonts w:ascii="宋体" w:hAnsi="宋体" w:cs="仿宋"/>
                <w:kern w:val="0"/>
              </w:rPr>
            </w:pPr>
            <w:r>
              <w:rPr>
                <w:rFonts w:hint="eastAsia" w:ascii="宋体" w:hAnsi="宋体" w:cs="仿宋"/>
                <w:kern w:val="0"/>
              </w:rPr>
              <w:t>1.749</w:t>
            </w:r>
          </w:p>
        </w:tc>
        <w:tc>
          <w:tcPr>
            <w:tcW w:w="1417" w:type="dxa"/>
            <w:vAlign w:val="center"/>
          </w:tcPr>
          <w:p w14:paraId="1C7B76F7">
            <w:pPr>
              <w:spacing w:line="240" w:lineRule="auto"/>
              <w:jc w:val="center"/>
              <w:rPr>
                <w:rFonts w:ascii="宋体" w:hAnsi="宋体" w:cs="仿宋"/>
                <w:kern w:val="0"/>
              </w:rPr>
            </w:pPr>
            <w:r>
              <w:rPr>
                <w:rFonts w:hint="eastAsia" w:ascii="宋体" w:hAnsi="宋体" w:cs="仿宋"/>
                <w:kern w:val="0"/>
              </w:rPr>
              <w:t>丙醇</w:t>
            </w:r>
          </w:p>
        </w:tc>
        <w:tc>
          <w:tcPr>
            <w:tcW w:w="1416" w:type="dxa"/>
            <w:vAlign w:val="center"/>
          </w:tcPr>
          <w:p w14:paraId="478FA22B">
            <w:pPr>
              <w:spacing w:line="240" w:lineRule="auto"/>
              <w:jc w:val="center"/>
              <w:rPr>
                <w:rFonts w:ascii="宋体" w:hAnsi="宋体" w:cs="仿宋"/>
                <w:kern w:val="0"/>
              </w:rPr>
            </w:pPr>
            <w:r>
              <w:rPr>
                <w:rFonts w:hint="eastAsia" w:ascii="宋体" w:hAnsi="宋体" w:cs="仿宋"/>
                <w:kern w:val="0"/>
              </w:rPr>
              <w:t>0.252</w:t>
            </w:r>
          </w:p>
        </w:tc>
        <w:tc>
          <w:tcPr>
            <w:tcW w:w="1564" w:type="dxa"/>
            <w:vAlign w:val="center"/>
          </w:tcPr>
          <w:p w14:paraId="6C4D2D8D">
            <w:pPr>
              <w:spacing w:line="240" w:lineRule="auto"/>
              <w:jc w:val="center"/>
              <w:rPr>
                <w:rFonts w:ascii="宋体" w:hAnsi="宋体" w:cs="仿宋"/>
                <w:kern w:val="0"/>
              </w:rPr>
            </w:pPr>
            <w:r>
              <w:rPr>
                <w:rFonts w:hint="eastAsia" w:ascii="宋体" w:hAnsi="宋体" w:cs="仿宋"/>
                <w:kern w:val="0"/>
              </w:rPr>
              <w:t>炼油</w:t>
            </w:r>
          </w:p>
        </w:tc>
        <w:tc>
          <w:tcPr>
            <w:tcW w:w="1270" w:type="dxa"/>
            <w:vAlign w:val="center"/>
          </w:tcPr>
          <w:p w14:paraId="67D96392">
            <w:pPr>
              <w:spacing w:line="240" w:lineRule="auto"/>
              <w:jc w:val="center"/>
              <w:rPr>
                <w:rFonts w:ascii="宋体" w:hAnsi="宋体" w:cs="仿宋"/>
                <w:kern w:val="0"/>
              </w:rPr>
            </w:pPr>
            <w:r>
              <w:rPr>
                <w:rFonts w:hint="eastAsia" w:ascii="宋体" w:hAnsi="宋体" w:cs="仿宋"/>
                <w:kern w:val="0"/>
              </w:rPr>
              <w:t>0.739</w:t>
            </w:r>
          </w:p>
        </w:tc>
      </w:tr>
      <w:tr w14:paraId="0F734C7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056CBC8D">
            <w:pPr>
              <w:spacing w:line="240" w:lineRule="auto"/>
              <w:jc w:val="center"/>
              <w:rPr>
                <w:rFonts w:ascii="宋体" w:hAnsi="宋体" w:cs="仿宋"/>
                <w:kern w:val="0"/>
              </w:rPr>
            </w:pPr>
            <w:r>
              <w:rPr>
                <w:rFonts w:hint="eastAsia" w:ascii="宋体" w:hAnsi="宋体" w:cs="仿宋"/>
                <w:kern w:val="0"/>
              </w:rPr>
              <w:t>戊二烯</w:t>
            </w:r>
          </w:p>
        </w:tc>
        <w:tc>
          <w:tcPr>
            <w:tcW w:w="1417" w:type="dxa"/>
            <w:vAlign w:val="center"/>
          </w:tcPr>
          <w:p w14:paraId="378A0DAB">
            <w:pPr>
              <w:spacing w:line="240" w:lineRule="auto"/>
              <w:jc w:val="center"/>
              <w:rPr>
                <w:rFonts w:ascii="宋体" w:hAnsi="宋体" w:cs="仿宋"/>
                <w:kern w:val="0"/>
              </w:rPr>
            </w:pPr>
            <w:r>
              <w:rPr>
                <w:rFonts w:hint="eastAsia" w:ascii="宋体" w:hAnsi="宋体" w:cs="仿宋"/>
                <w:kern w:val="0"/>
              </w:rPr>
              <w:t>1.006</w:t>
            </w:r>
          </w:p>
        </w:tc>
        <w:tc>
          <w:tcPr>
            <w:tcW w:w="1417" w:type="dxa"/>
            <w:vAlign w:val="center"/>
          </w:tcPr>
          <w:p w14:paraId="463B258C">
            <w:pPr>
              <w:spacing w:line="240" w:lineRule="auto"/>
              <w:jc w:val="center"/>
              <w:rPr>
                <w:rFonts w:ascii="宋体" w:hAnsi="宋体" w:cs="仿宋"/>
                <w:kern w:val="0"/>
              </w:rPr>
            </w:pPr>
            <w:r>
              <w:rPr>
                <w:rFonts w:hint="eastAsia" w:ascii="宋体" w:hAnsi="宋体" w:cs="仿宋"/>
                <w:kern w:val="0"/>
              </w:rPr>
              <w:t>二次乙基二醇</w:t>
            </w:r>
          </w:p>
        </w:tc>
        <w:tc>
          <w:tcPr>
            <w:tcW w:w="1416" w:type="dxa"/>
            <w:vAlign w:val="center"/>
          </w:tcPr>
          <w:p w14:paraId="661C5030">
            <w:pPr>
              <w:spacing w:line="240" w:lineRule="auto"/>
              <w:jc w:val="center"/>
              <w:rPr>
                <w:rFonts w:ascii="宋体" w:hAnsi="宋体" w:cs="仿宋"/>
                <w:kern w:val="0"/>
              </w:rPr>
            </w:pPr>
            <w:r>
              <w:rPr>
                <w:rFonts w:hint="eastAsia" w:ascii="宋体" w:hAnsi="宋体" w:cs="仿宋"/>
                <w:kern w:val="0"/>
              </w:rPr>
              <w:t>0.01</w:t>
            </w:r>
          </w:p>
        </w:tc>
        <w:tc>
          <w:tcPr>
            <w:tcW w:w="1564" w:type="dxa"/>
            <w:vAlign w:val="center"/>
          </w:tcPr>
          <w:p w14:paraId="673D2397">
            <w:pPr>
              <w:spacing w:line="240" w:lineRule="auto"/>
              <w:jc w:val="center"/>
              <w:rPr>
                <w:rFonts w:ascii="宋体" w:hAnsi="宋体" w:cs="仿宋"/>
                <w:kern w:val="0"/>
              </w:rPr>
            </w:pPr>
            <w:r>
              <w:rPr>
                <w:rFonts w:hint="eastAsia" w:ascii="宋体" w:hAnsi="宋体" w:cs="仿宋"/>
                <w:kern w:val="0"/>
              </w:rPr>
              <w:t>醋酸乙烯酯</w:t>
            </w:r>
          </w:p>
        </w:tc>
        <w:tc>
          <w:tcPr>
            <w:tcW w:w="1270" w:type="dxa"/>
            <w:vAlign w:val="center"/>
          </w:tcPr>
          <w:p w14:paraId="2F8B561C">
            <w:pPr>
              <w:spacing w:line="240" w:lineRule="auto"/>
              <w:jc w:val="center"/>
              <w:rPr>
                <w:rFonts w:ascii="宋体" w:hAnsi="宋体" w:cs="仿宋"/>
                <w:kern w:val="0"/>
              </w:rPr>
            </w:pPr>
            <w:r>
              <w:rPr>
                <w:rFonts w:hint="eastAsia" w:ascii="宋体" w:hAnsi="宋体" w:cs="仿宋"/>
                <w:kern w:val="0"/>
              </w:rPr>
              <w:t>1.45</w:t>
            </w:r>
          </w:p>
        </w:tc>
      </w:tr>
      <w:tr w14:paraId="5BC1771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554A027E">
            <w:pPr>
              <w:spacing w:line="240" w:lineRule="auto"/>
              <w:jc w:val="center"/>
              <w:rPr>
                <w:rFonts w:ascii="宋体" w:hAnsi="宋体" w:cs="仿宋"/>
                <w:kern w:val="0"/>
              </w:rPr>
            </w:pPr>
            <w:r>
              <w:rPr>
                <w:rFonts w:hint="eastAsia" w:ascii="宋体" w:hAnsi="宋体" w:cs="仿宋"/>
                <w:kern w:val="0"/>
              </w:rPr>
              <w:t>环戊烯</w:t>
            </w:r>
          </w:p>
        </w:tc>
        <w:tc>
          <w:tcPr>
            <w:tcW w:w="1417" w:type="dxa"/>
            <w:vAlign w:val="center"/>
          </w:tcPr>
          <w:p w14:paraId="134E86A0">
            <w:pPr>
              <w:spacing w:line="240" w:lineRule="auto"/>
              <w:jc w:val="center"/>
              <w:rPr>
                <w:rFonts w:ascii="宋体" w:hAnsi="宋体" w:cs="仿宋"/>
                <w:kern w:val="0"/>
              </w:rPr>
            </w:pPr>
            <w:r>
              <w:rPr>
                <w:rFonts w:hint="eastAsia" w:ascii="宋体" w:hAnsi="宋体" w:cs="仿宋"/>
                <w:kern w:val="0"/>
              </w:rPr>
              <w:t>0.934</w:t>
            </w:r>
          </w:p>
        </w:tc>
        <w:tc>
          <w:tcPr>
            <w:tcW w:w="1417" w:type="dxa"/>
            <w:vAlign w:val="center"/>
          </w:tcPr>
          <w:p w14:paraId="468F5C5A">
            <w:pPr>
              <w:spacing w:line="240" w:lineRule="auto"/>
              <w:jc w:val="center"/>
              <w:rPr>
                <w:rFonts w:ascii="宋体" w:hAnsi="宋体" w:cs="仿宋"/>
                <w:kern w:val="0"/>
              </w:rPr>
            </w:pPr>
            <w:r>
              <w:rPr>
                <w:rFonts w:hint="eastAsia" w:ascii="宋体" w:hAnsi="宋体" w:cs="仿宋"/>
                <w:kern w:val="0"/>
              </w:rPr>
              <w:t>二甘醇</w:t>
            </w:r>
          </w:p>
        </w:tc>
        <w:tc>
          <w:tcPr>
            <w:tcW w:w="1416" w:type="dxa"/>
            <w:vAlign w:val="center"/>
          </w:tcPr>
          <w:p w14:paraId="04D6B354">
            <w:pPr>
              <w:spacing w:line="240" w:lineRule="auto"/>
              <w:jc w:val="center"/>
              <w:rPr>
                <w:rFonts w:ascii="宋体" w:hAnsi="宋体" w:cs="仿宋"/>
                <w:kern w:val="0"/>
              </w:rPr>
            </w:pPr>
            <w:r>
              <w:rPr>
                <w:rFonts w:hint="eastAsia" w:ascii="宋体" w:hAnsi="宋体" w:cs="仿宋"/>
                <w:kern w:val="0"/>
              </w:rPr>
              <w:t>0.359</w:t>
            </w:r>
          </w:p>
        </w:tc>
        <w:tc>
          <w:tcPr>
            <w:tcW w:w="1564" w:type="dxa"/>
            <w:vAlign w:val="center"/>
          </w:tcPr>
          <w:p w14:paraId="3BAA4DB2">
            <w:pPr>
              <w:spacing w:line="240" w:lineRule="auto"/>
              <w:jc w:val="center"/>
              <w:rPr>
                <w:rFonts w:ascii="宋体" w:hAnsi="宋体" w:cs="仿宋"/>
                <w:kern w:val="0"/>
              </w:rPr>
            </w:pPr>
            <w:r>
              <w:rPr>
                <w:rFonts w:hint="eastAsia" w:ascii="宋体" w:hAnsi="宋体" w:cs="仿宋"/>
                <w:kern w:val="0"/>
              </w:rPr>
              <w:t>正乙酸丙酯</w:t>
            </w:r>
          </w:p>
        </w:tc>
        <w:tc>
          <w:tcPr>
            <w:tcW w:w="1270" w:type="dxa"/>
            <w:vAlign w:val="center"/>
          </w:tcPr>
          <w:p w14:paraId="0F7377A4">
            <w:pPr>
              <w:spacing w:line="240" w:lineRule="auto"/>
              <w:jc w:val="center"/>
              <w:rPr>
                <w:rFonts w:ascii="宋体" w:hAnsi="宋体" w:cs="仿宋"/>
                <w:kern w:val="0"/>
              </w:rPr>
            </w:pPr>
            <w:r>
              <w:rPr>
                <w:rFonts w:hint="eastAsia" w:ascii="宋体" w:hAnsi="宋体" w:cs="仿宋"/>
                <w:kern w:val="0"/>
              </w:rPr>
              <w:t>0.14</w:t>
            </w:r>
          </w:p>
        </w:tc>
      </w:tr>
      <w:tr w14:paraId="0E018BC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280377A4">
            <w:pPr>
              <w:spacing w:line="240" w:lineRule="auto"/>
              <w:jc w:val="center"/>
              <w:rPr>
                <w:rFonts w:ascii="宋体" w:hAnsi="宋体" w:cs="仿宋"/>
                <w:kern w:val="0"/>
              </w:rPr>
            </w:pPr>
            <w:r>
              <w:rPr>
                <w:rFonts w:hint="eastAsia" w:ascii="宋体" w:hAnsi="宋体" w:cs="仿宋"/>
                <w:kern w:val="0"/>
              </w:rPr>
              <w:t>十二烯</w:t>
            </w:r>
          </w:p>
        </w:tc>
        <w:tc>
          <w:tcPr>
            <w:tcW w:w="1417" w:type="dxa"/>
            <w:vAlign w:val="center"/>
          </w:tcPr>
          <w:p w14:paraId="28119BD5">
            <w:pPr>
              <w:spacing w:line="240" w:lineRule="auto"/>
              <w:jc w:val="center"/>
              <w:rPr>
                <w:rFonts w:ascii="宋体" w:hAnsi="宋体" w:cs="仿宋"/>
                <w:kern w:val="0"/>
              </w:rPr>
            </w:pPr>
            <w:r>
              <w:rPr>
                <w:rFonts w:hint="eastAsia" w:ascii="宋体" w:hAnsi="宋体" w:cs="仿宋"/>
                <w:kern w:val="0"/>
              </w:rPr>
              <w:t>0.617</w:t>
            </w:r>
          </w:p>
        </w:tc>
        <w:tc>
          <w:tcPr>
            <w:tcW w:w="1417" w:type="dxa"/>
            <w:vAlign w:val="center"/>
          </w:tcPr>
          <w:p w14:paraId="4693F845">
            <w:pPr>
              <w:spacing w:line="240" w:lineRule="auto"/>
              <w:jc w:val="center"/>
              <w:rPr>
                <w:rFonts w:ascii="宋体" w:hAnsi="宋体" w:cs="仿宋"/>
                <w:kern w:val="0"/>
              </w:rPr>
            </w:pPr>
            <w:r>
              <w:rPr>
                <w:rFonts w:hint="eastAsia" w:ascii="宋体" w:hAnsi="宋体" w:cs="仿宋"/>
                <w:kern w:val="0"/>
              </w:rPr>
              <w:t>丙二醇</w:t>
            </w:r>
          </w:p>
        </w:tc>
        <w:tc>
          <w:tcPr>
            <w:tcW w:w="1416" w:type="dxa"/>
            <w:vAlign w:val="center"/>
          </w:tcPr>
          <w:p w14:paraId="35A84A41">
            <w:pPr>
              <w:spacing w:line="240" w:lineRule="auto"/>
              <w:jc w:val="center"/>
              <w:rPr>
                <w:rFonts w:ascii="宋体" w:hAnsi="宋体" w:cs="仿宋"/>
                <w:kern w:val="0"/>
              </w:rPr>
            </w:pPr>
            <w:r>
              <w:rPr>
                <w:rFonts w:hint="eastAsia" w:ascii="宋体" w:hAnsi="宋体" w:cs="仿宋"/>
                <w:kern w:val="0"/>
              </w:rPr>
              <w:t>0.839</w:t>
            </w:r>
          </w:p>
        </w:tc>
        <w:tc>
          <w:tcPr>
            <w:tcW w:w="1564" w:type="dxa"/>
            <w:vAlign w:val="center"/>
          </w:tcPr>
          <w:p w14:paraId="14357BA1">
            <w:pPr>
              <w:spacing w:line="240" w:lineRule="auto"/>
              <w:jc w:val="center"/>
              <w:rPr>
                <w:rFonts w:ascii="宋体" w:hAnsi="宋体" w:cs="仿宋"/>
                <w:kern w:val="0"/>
              </w:rPr>
            </w:pPr>
            <w:r>
              <w:rPr>
                <w:rFonts w:hint="eastAsia" w:ascii="宋体" w:hAnsi="宋体" w:cs="仿宋"/>
                <w:kern w:val="0"/>
              </w:rPr>
              <w:t>异丁酸异丁酯</w:t>
            </w:r>
          </w:p>
        </w:tc>
        <w:tc>
          <w:tcPr>
            <w:tcW w:w="1270" w:type="dxa"/>
            <w:vAlign w:val="center"/>
          </w:tcPr>
          <w:p w14:paraId="62D4850F">
            <w:pPr>
              <w:spacing w:line="240" w:lineRule="auto"/>
              <w:jc w:val="center"/>
              <w:rPr>
                <w:rFonts w:ascii="宋体" w:hAnsi="宋体" w:cs="仿宋"/>
                <w:kern w:val="0"/>
              </w:rPr>
            </w:pPr>
            <w:r>
              <w:rPr>
                <w:rFonts w:hint="eastAsia" w:ascii="宋体" w:hAnsi="宋体" w:cs="仿宋"/>
                <w:kern w:val="0"/>
              </w:rPr>
              <w:t>0.04</w:t>
            </w:r>
          </w:p>
        </w:tc>
      </w:tr>
      <w:tr w14:paraId="7F39AC1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6C5C50BE">
            <w:pPr>
              <w:spacing w:line="240" w:lineRule="auto"/>
              <w:jc w:val="center"/>
              <w:rPr>
                <w:rFonts w:ascii="宋体" w:hAnsi="宋体" w:cs="仿宋"/>
                <w:kern w:val="0"/>
              </w:rPr>
            </w:pPr>
            <w:r>
              <w:rPr>
                <w:rFonts w:hint="eastAsia" w:ascii="宋体" w:hAnsi="宋体" w:cs="仿宋"/>
                <w:kern w:val="0"/>
              </w:rPr>
              <w:t>异戊二烯</w:t>
            </w:r>
          </w:p>
        </w:tc>
        <w:tc>
          <w:tcPr>
            <w:tcW w:w="1417" w:type="dxa"/>
            <w:vAlign w:val="center"/>
          </w:tcPr>
          <w:p w14:paraId="2C92881A">
            <w:pPr>
              <w:spacing w:line="240" w:lineRule="auto"/>
              <w:jc w:val="center"/>
              <w:rPr>
                <w:rFonts w:ascii="宋体" w:hAnsi="宋体" w:cs="仿宋"/>
                <w:kern w:val="0"/>
              </w:rPr>
            </w:pPr>
            <w:r>
              <w:rPr>
                <w:rFonts w:hint="eastAsia" w:ascii="宋体" w:hAnsi="宋体" w:cs="仿宋"/>
                <w:kern w:val="0"/>
              </w:rPr>
              <w:t>1.402</w:t>
            </w:r>
          </w:p>
        </w:tc>
        <w:tc>
          <w:tcPr>
            <w:tcW w:w="1417" w:type="dxa"/>
            <w:vAlign w:val="center"/>
          </w:tcPr>
          <w:p w14:paraId="0C7C29AF">
            <w:pPr>
              <w:spacing w:line="240" w:lineRule="auto"/>
              <w:jc w:val="center"/>
              <w:rPr>
                <w:rFonts w:ascii="宋体" w:hAnsi="宋体" w:cs="仿宋"/>
                <w:kern w:val="0"/>
              </w:rPr>
            </w:pPr>
            <w:r>
              <w:rPr>
                <w:rFonts w:hint="eastAsia" w:ascii="宋体" w:hAnsi="宋体" w:cs="仿宋"/>
                <w:kern w:val="0"/>
              </w:rPr>
              <w:t>乙二醇</w:t>
            </w:r>
          </w:p>
        </w:tc>
        <w:tc>
          <w:tcPr>
            <w:tcW w:w="1416" w:type="dxa"/>
            <w:vAlign w:val="center"/>
          </w:tcPr>
          <w:p w14:paraId="1257E90E">
            <w:pPr>
              <w:spacing w:line="240" w:lineRule="auto"/>
              <w:jc w:val="center"/>
              <w:rPr>
                <w:rFonts w:ascii="宋体" w:hAnsi="宋体" w:cs="仿宋"/>
                <w:kern w:val="0"/>
              </w:rPr>
            </w:pPr>
            <w:r>
              <w:rPr>
                <w:rFonts w:hint="eastAsia" w:ascii="宋体" w:hAnsi="宋体" w:cs="仿宋"/>
                <w:kern w:val="0"/>
              </w:rPr>
              <w:t>0.246</w:t>
            </w:r>
          </w:p>
        </w:tc>
        <w:tc>
          <w:tcPr>
            <w:tcW w:w="1564" w:type="dxa"/>
            <w:vAlign w:val="center"/>
          </w:tcPr>
          <w:p w14:paraId="519486B1">
            <w:pPr>
              <w:spacing w:line="240" w:lineRule="auto"/>
              <w:jc w:val="center"/>
              <w:rPr>
                <w:rFonts w:ascii="宋体" w:hAnsi="宋体" w:cs="仿宋"/>
                <w:kern w:val="0"/>
              </w:rPr>
            </w:pPr>
            <w:r>
              <w:rPr>
                <w:rFonts w:hint="eastAsia" w:ascii="宋体" w:hAnsi="宋体" w:cs="仿宋"/>
                <w:kern w:val="0"/>
              </w:rPr>
              <w:t>甲苯二异氰酸酯</w:t>
            </w:r>
          </w:p>
        </w:tc>
        <w:tc>
          <w:tcPr>
            <w:tcW w:w="1270" w:type="dxa"/>
            <w:vAlign w:val="center"/>
          </w:tcPr>
          <w:p w14:paraId="4A000E84">
            <w:pPr>
              <w:spacing w:line="240" w:lineRule="auto"/>
              <w:jc w:val="center"/>
              <w:rPr>
                <w:rFonts w:ascii="宋体" w:hAnsi="宋体" w:cs="仿宋"/>
                <w:kern w:val="0"/>
              </w:rPr>
            </w:pPr>
            <w:r>
              <w:rPr>
                <w:rFonts w:hint="eastAsia" w:ascii="宋体" w:hAnsi="宋体" w:cs="仿宋"/>
                <w:kern w:val="0"/>
              </w:rPr>
              <w:t>0.101</w:t>
            </w:r>
          </w:p>
        </w:tc>
      </w:tr>
      <w:tr w14:paraId="55230BD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628C4C97">
            <w:pPr>
              <w:spacing w:line="240" w:lineRule="auto"/>
              <w:jc w:val="center"/>
              <w:rPr>
                <w:rFonts w:ascii="宋体" w:hAnsi="宋体" w:cs="仿宋"/>
                <w:kern w:val="0"/>
              </w:rPr>
            </w:pPr>
            <w:r>
              <w:rPr>
                <w:rFonts w:hint="eastAsia" w:ascii="宋体" w:hAnsi="宋体" w:cs="仿宋"/>
                <w:kern w:val="0"/>
              </w:rPr>
              <w:t>苯</w:t>
            </w:r>
          </w:p>
        </w:tc>
        <w:tc>
          <w:tcPr>
            <w:tcW w:w="1417" w:type="dxa"/>
            <w:vAlign w:val="center"/>
          </w:tcPr>
          <w:p w14:paraId="3B633378">
            <w:pPr>
              <w:spacing w:line="240" w:lineRule="auto"/>
              <w:jc w:val="center"/>
              <w:rPr>
                <w:rFonts w:ascii="宋体" w:hAnsi="宋体" w:cs="仿宋"/>
                <w:kern w:val="0"/>
              </w:rPr>
            </w:pPr>
            <w:r>
              <w:rPr>
                <w:rFonts w:hint="eastAsia" w:ascii="宋体" w:hAnsi="宋体" w:cs="仿宋"/>
                <w:kern w:val="0"/>
              </w:rPr>
              <w:t>1.228</w:t>
            </w:r>
          </w:p>
        </w:tc>
        <w:tc>
          <w:tcPr>
            <w:tcW w:w="1417" w:type="dxa"/>
            <w:vAlign w:val="center"/>
          </w:tcPr>
          <w:p w14:paraId="67BA4AAC">
            <w:pPr>
              <w:spacing w:line="240" w:lineRule="auto"/>
              <w:jc w:val="center"/>
              <w:rPr>
                <w:rFonts w:ascii="宋体" w:hAnsi="宋体" w:cs="仿宋"/>
                <w:kern w:val="0"/>
              </w:rPr>
            </w:pPr>
            <w:r>
              <w:rPr>
                <w:rFonts w:hint="eastAsia" w:ascii="宋体" w:hAnsi="宋体" w:cs="仿宋"/>
                <w:kern w:val="0"/>
              </w:rPr>
              <w:t>乙硫醇</w:t>
            </w:r>
          </w:p>
        </w:tc>
        <w:tc>
          <w:tcPr>
            <w:tcW w:w="1416" w:type="dxa"/>
            <w:vAlign w:val="center"/>
          </w:tcPr>
          <w:p w14:paraId="70CF9EA5">
            <w:pPr>
              <w:spacing w:line="240" w:lineRule="auto"/>
              <w:jc w:val="center"/>
              <w:rPr>
                <w:rFonts w:ascii="宋体" w:hAnsi="宋体" w:cs="仿宋"/>
                <w:kern w:val="0"/>
              </w:rPr>
            </w:pPr>
            <w:r>
              <w:rPr>
                <w:rFonts w:hint="eastAsia" w:ascii="宋体" w:hAnsi="宋体" w:cs="仿宋"/>
                <w:kern w:val="0"/>
              </w:rPr>
              <w:t>1.222</w:t>
            </w:r>
          </w:p>
        </w:tc>
        <w:tc>
          <w:tcPr>
            <w:tcW w:w="1564" w:type="dxa"/>
            <w:vAlign w:val="center"/>
          </w:tcPr>
          <w:p w14:paraId="68060AF0">
            <w:pPr>
              <w:spacing w:line="240" w:lineRule="auto"/>
              <w:jc w:val="center"/>
              <w:rPr>
                <w:rFonts w:ascii="宋体" w:hAnsi="宋体" w:cs="仿宋"/>
                <w:kern w:val="0"/>
              </w:rPr>
            </w:pPr>
            <w:r>
              <w:rPr>
                <w:rFonts w:hint="eastAsia" w:ascii="宋体" w:hAnsi="宋体" w:cs="仿宋"/>
                <w:kern w:val="0"/>
              </w:rPr>
              <w:t>丁醛</w:t>
            </w:r>
          </w:p>
        </w:tc>
        <w:tc>
          <w:tcPr>
            <w:tcW w:w="1270" w:type="dxa"/>
            <w:vAlign w:val="center"/>
          </w:tcPr>
          <w:p w14:paraId="4ADE81B6">
            <w:pPr>
              <w:spacing w:line="240" w:lineRule="auto"/>
              <w:jc w:val="center"/>
              <w:rPr>
                <w:rFonts w:ascii="宋体" w:hAnsi="宋体" w:cs="仿宋"/>
                <w:kern w:val="0"/>
              </w:rPr>
            </w:pPr>
            <w:r>
              <w:rPr>
                <w:rFonts w:hint="eastAsia" w:ascii="宋体" w:hAnsi="宋体" w:cs="仿宋"/>
                <w:kern w:val="0"/>
              </w:rPr>
              <w:t>0.407</w:t>
            </w:r>
          </w:p>
        </w:tc>
      </w:tr>
      <w:tr w14:paraId="3290D41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3C8B1AF1">
            <w:pPr>
              <w:spacing w:line="240" w:lineRule="auto"/>
              <w:jc w:val="center"/>
              <w:rPr>
                <w:rFonts w:ascii="宋体" w:hAnsi="宋体" w:cs="仿宋"/>
                <w:kern w:val="0"/>
              </w:rPr>
            </w:pPr>
            <w:r>
              <w:rPr>
                <w:rFonts w:hint="eastAsia" w:ascii="宋体" w:hAnsi="宋体" w:cs="仿宋"/>
                <w:kern w:val="0"/>
              </w:rPr>
              <w:t>乙苯</w:t>
            </w:r>
          </w:p>
        </w:tc>
        <w:tc>
          <w:tcPr>
            <w:tcW w:w="1417" w:type="dxa"/>
            <w:vAlign w:val="center"/>
          </w:tcPr>
          <w:p w14:paraId="3F955A7B">
            <w:pPr>
              <w:spacing w:line="240" w:lineRule="auto"/>
              <w:jc w:val="center"/>
              <w:rPr>
                <w:rFonts w:ascii="宋体" w:hAnsi="宋体" w:cs="仿宋"/>
                <w:kern w:val="0"/>
              </w:rPr>
            </w:pPr>
            <w:r>
              <w:rPr>
                <w:rFonts w:hint="eastAsia" w:ascii="宋体" w:hAnsi="宋体" w:cs="仿宋"/>
                <w:kern w:val="0"/>
              </w:rPr>
              <w:t>0.271</w:t>
            </w:r>
          </w:p>
        </w:tc>
        <w:tc>
          <w:tcPr>
            <w:tcW w:w="1417" w:type="dxa"/>
            <w:vAlign w:val="center"/>
          </w:tcPr>
          <w:p w14:paraId="5FBCECBC">
            <w:pPr>
              <w:spacing w:line="240" w:lineRule="auto"/>
              <w:jc w:val="center"/>
              <w:rPr>
                <w:rFonts w:ascii="宋体" w:hAnsi="宋体" w:cs="仿宋"/>
                <w:kern w:val="0"/>
              </w:rPr>
            </w:pPr>
            <w:r>
              <w:rPr>
                <w:rFonts w:hint="eastAsia" w:ascii="宋体" w:hAnsi="宋体" w:cs="仿宋"/>
                <w:kern w:val="0"/>
              </w:rPr>
              <w:t>氯醇</w:t>
            </w:r>
          </w:p>
        </w:tc>
        <w:tc>
          <w:tcPr>
            <w:tcW w:w="1416" w:type="dxa"/>
            <w:vAlign w:val="center"/>
          </w:tcPr>
          <w:p w14:paraId="6DD2D025">
            <w:pPr>
              <w:spacing w:line="240" w:lineRule="auto"/>
              <w:jc w:val="center"/>
              <w:rPr>
                <w:rFonts w:ascii="宋体" w:hAnsi="宋体" w:cs="仿宋"/>
                <w:kern w:val="0"/>
              </w:rPr>
            </w:pPr>
            <w:r>
              <w:rPr>
                <w:rFonts w:hint="eastAsia" w:ascii="宋体" w:hAnsi="宋体" w:cs="仿宋"/>
                <w:kern w:val="0"/>
              </w:rPr>
              <w:t>0.348</w:t>
            </w:r>
          </w:p>
        </w:tc>
        <w:tc>
          <w:tcPr>
            <w:tcW w:w="1564" w:type="dxa"/>
            <w:vAlign w:val="center"/>
          </w:tcPr>
          <w:p w14:paraId="4B881234">
            <w:pPr>
              <w:spacing w:line="240" w:lineRule="auto"/>
              <w:jc w:val="center"/>
              <w:rPr>
                <w:rFonts w:ascii="宋体" w:hAnsi="宋体" w:cs="仿宋"/>
                <w:kern w:val="0"/>
              </w:rPr>
            </w:pPr>
            <w:r>
              <w:rPr>
                <w:rFonts w:hint="eastAsia" w:ascii="宋体" w:hAnsi="宋体" w:cs="仿宋"/>
                <w:kern w:val="0"/>
              </w:rPr>
              <w:t>异丁醛</w:t>
            </w:r>
          </w:p>
        </w:tc>
        <w:tc>
          <w:tcPr>
            <w:tcW w:w="1270" w:type="dxa"/>
            <w:vAlign w:val="center"/>
          </w:tcPr>
          <w:p w14:paraId="3E2F2AFC">
            <w:pPr>
              <w:spacing w:line="240" w:lineRule="auto"/>
              <w:jc w:val="center"/>
              <w:rPr>
                <w:rFonts w:ascii="宋体" w:hAnsi="宋体" w:cs="仿宋"/>
                <w:kern w:val="0"/>
              </w:rPr>
            </w:pPr>
            <w:r>
              <w:rPr>
                <w:rFonts w:hint="eastAsia" w:ascii="宋体" w:hAnsi="宋体" w:cs="仿宋"/>
                <w:kern w:val="0"/>
              </w:rPr>
              <w:t>0.288</w:t>
            </w:r>
          </w:p>
        </w:tc>
      </w:tr>
      <w:tr w14:paraId="0844BCE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79249E29">
            <w:pPr>
              <w:spacing w:line="240" w:lineRule="auto"/>
              <w:jc w:val="center"/>
              <w:rPr>
                <w:rFonts w:ascii="宋体" w:hAnsi="宋体" w:cs="仿宋"/>
                <w:kern w:val="0"/>
              </w:rPr>
            </w:pPr>
            <w:r>
              <w:rPr>
                <w:rFonts w:hint="eastAsia" w:ascii="宋体" w:hAnsi="宋体" w:cs="仿宋"/>
                <w:kern w:val="0"/>
              </w:rPr>
              <w:t>甲苯</w:t>
            </w:r>
          </w:p>
        </w:tc>
        <w:tc>
          <w:tcPr>
            <w:tcW w:w="1417" w:type="dxa"/>
            <w:vAlign w:val="center"/>
          </w:tcPr>
          <w:p w14:paraId="0CD4931E">
            <w:pPr>
              <w:spacing w:line="240" w:lineRule="auto"/>
              <w:jc w:val="center"/>
              <w:rPr>
                <w:rFonts w:ascii="宋体" w:hAnsi="宋体" w:cs="仿宋"/>
                <w:kern w:val="0"/>
              </w:rPr>
            </w:pPr>
            <w:r>
              <w:rPr>
                <w:rFonts w:hint="eastAsia" w:ascii="宋体" w:hAnsi="宋体" w:cs="仿宋"/>
                <w:kern w:val="0"/>
              </w:rPr>
              <w:t>0.499</w:t>
            </w:r>
          </w:p>
        </w:tc>
        <w:tc>
          <w:tcPr>
            <w:tcW w:w="1417" w:type="dxa"/>
            <w:vAlign w:val="center"/>
          </w:tcPr>
          <w:p w14:paraId="521CA211">
            <w:pPr>
              <w:spacing w:line="240" w:lineRule="auto"/>
              <w:jc w:val="center"/>
              <w:rPr>
                <w:rFonts w:ascii="宋体" w:hAnsi="宋体" w:cs="仿宋"/>
                <w:kern w:val="0"/>
              </w:rPr>
            </w:pPr>
            <w:r>
              <w:rPr>
                <w:rFonts w:hint="eastAsia" w:ascii="宋体" w:hAnsi="宋体" w:cs="仿宋"/>
                <w:kern w:val="0"/>
              </w:rPr>
              <w:t>酚</w:t>
            </w:r>
          </w:p>
        </w:tc>
        <w:tc>
          <w:tcPr>
            <w:tcW w:w="1416" w:type="dxa"/>
            <w:vAlign w:val="center"/>
          </w:tcPr>
          <w:p w14:paraId="2F823A8C">
            <w:pPr>
              <w:spacing w:line="240" w:lineRule="auto"/>
              <w:jc w:val="center"/>
              <w:rPr>
                <w:rFonts w:ascii="宋体" w:hAnsi="宋体" w:cs="仿宋"/>
                <w:kern w:val="0"/>
              </w:rPr>
            </w:pPr>
            <w:r>
              <w:rPr>
                <w:rFonts w:hint="eastAsia" w:ascii="宋体" w:hAnsi="宋体" w:cs="仿宋"/>
                <w:kern w:val="0"/>
              </w:rPr>
              <w:t>0.737</w:t>
            </w:r>
          </w:p>
        </w:tc>
        <w:tc>
          <w:tcPr>
            <w:tcW w:w="1564" w:type="dxa"/>
            <w:vAlign w:val="center"/>
          </w:tcPr>
          <w:p w14:paraId="320CD491">
            <w:pPr>
              <w:spacing w:line="240" w:lineRule="auto"/>
              <w:jc w:val="center"/>
              <w:rPr>
                <w:rFonts w:ascii="宋体" w:hAnsi="宋体" w:cs="仿宋"/>
                <w:kern w:val="0"/>
              </w:rPr>
            </w:pPr>
            <w:r>
              <w:rPr>
                <w:rFonts w:hint="eastAsia" w:ascii="宋体" w:hAnsi="宋体" w:cs="仿宋"/>
                <w:kern w:val="0"/>
              </w:rPr>
              <w:t>丙醛</w:t>
            </w:r>
          </w:p>
        </w:tc>
        <w:tc>
          <w:tcPr>
            <w:tcW w:w="1270" w:type="dxa"/>
            <w:vAlign w:val="center"/>
          </w:tcPr>
          <w:p w14:paraId="314391FF">
            <w:pPr>
              <w:spacing w:line="240" w:lineRule="auto"/>
              <w:jc w:val="center"/>
              <w:rPr>
                <w:rFonts w:ascii="宋体" w:hAnsi="宋体" w:cs="仿宋"/>
                <w:kern w:val="0"/>
              </w:rPr>
            </w:pPr>
            <w:r>
              <w:rPr>
                <w:rFonts w:hint="eastAsia" w:ascii="宋体" w:hAnsi="宋体" w:cs="仿宋"/>
                <w:kern w:val="0"/>
              </w:rPr>
              <w:t>0.707</w:t>
            </w:r>
          </w:p>
        </w:tc>
      </w:tr>
      <w:tr w14:paraId="1AD5611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500EC407">
            <w:pPr>
              <w:spacing w:line="240" w:lineRule="auto"/>
              <w:jc w:val="center"/>
              <w:rPr>
                <w:rFonts w:ascii="宋体" w:hAnsi="宋体" w:cs="仿宋"/>
                <w:kern w:val="0"/>
              </w:rPr>
            </w:pPr>
            <w:r>
              <w:rPr>
                <w:rFonts w:hint="eastAsia" w:ascii="宋体" w:hAnsi="宋体" w:cs="仿宋"/>
                <w:kern w:val="0"/>
              </w:rPr>
              <w:t>间二甲苯</w:t>
            </w:r>
          </w:p>
        </w:tc>
        <w:tc>
          <w:tcPr>
            <w:tcW w:w="1417" w:type="dxa"/>
            <w:vAlign w:val="center"/>
          </w:tcPr>
          <w:p w14:paraId="61831489">
            <w:pPr>
              <w:spacing w:line="240" w:lineRule="auto"/>
              <w:jc w:val="center"/>
              <w:rPr>
                <w:rFonts w:ascii="宋体" w:hAnsi="宋体" w:cs="仿宋"/>
                <w:kern w:val="0"/>
              </w:rPr>
            </w:pPr>
            <w:r>
              <w:rPr>
                <w:rFonts w:hint="eastAsia" w:ascii="宋体" w:hAnsi="宋体" w:cs="仿宋"/>
                <w:kern w:val="0"/>
              </w:rPr>
              <w:t>0.243</w:t>
            </w:r>
          </w:p>
        </w:tc>
        <w:tc>
          <w:tcPr>
            <w:tcW w:w="1417" w:type="dxa"/>
            <w:vAlign w:val="center"/>
          </w:tcPr>
          <w:p w14:paraId="7CB7BD5C">
            <w:pPr>
              <w:spacing w:line="240" w:lineRule="auto"/>
              <w:jc w:val="center"/>
              <w:rPr>
                <w:rFonts w:ascii="宋体" w:hAnsi="宋体" w:cs="仿宋"/>
                <w:kern w:val="0"/>
              </w:rPr>
            </w:pPr>
            <w:r>
              <w:rPr>
                <w:rFonts w:hint="eastAsia" w:ascii="宋体" w:hAnsi="宋体" w:cs="仿宋"/>
                <w:kern w:val="0"/>
              </w:rPr>
              <w:t>甲酚</w:t>
            </w:r>
          </w:p>
        </w:tc>
        <w:tc>
          <w:tcPr>
            <w:tcW w:w="1416" w:type="dxa"/>
            <w:vAlign w:val="center"/>
          </w:tcPr>
          <w:p w14:paraId="2FE85A59">
            <w:pPr>
              <w:spacing w:line="240" w:lineRule="auto"/>
              <w:jc w:val="center"/>
              <w:rPr>
                <w:rFonts w:ascii="宋体" w:hAnsi="宋体" w:cs="仿宋"/>
                <w:kern w:val="0"/>
              </w:rPr>
            </w:pPr>
            <w:r>
              <w:rPr>
                <w:rFonts w:hint="eastAsia" w:ascii="宋体" w:hAnsi="宋体" w:cs="仿宋"/>
                <w:kern w:val="0"/>
              </w:rPr>
              <w:t>0.615</w:t>
            </w:r>
          </w:p>
        </w:tc>
        <w:tc>
          <w:tcPr>
            <w:tcW w:w="1564" w:type="dxa"/>
            <w:vAlign w:val="center"/>
          </w:tcPr>
          <w:p w14:paraId="7FDEDFC5">
            <w:pPr>
              <w:spacing w:line="240" w:lineRule="auto"/>
              <w:jc w:val="center"/>
              <w:rPr>
                <w:rFonts w:ascii="宋体" w:hAnsi="宋体" w:cs="仿宋"/>
                <w:kern w:val="0"/>
              </w:rPr>
            </w:pPr>
            <w:r>
              <w:rPr>
                <w:rFonts w:hint="eastAsia" w:ascii="宋体" w:hAnsi="宋体" w:cs="仿宋"/>
                <w:kern w:val="0"/>
              </w:rPr>
              <w:t>醋酸酐</w:t>
            </w:r>
          </w:p>
        </w:tc>
        <w:tc>
          <w:tcPr>
            <w:tcW w:w="1270" w:type="dxa"/>
            <w:vAlign w:val="center"/>
          </w:tcPr>
          <w:p w14:paraId="243B87CC">
            <w:pPr>
              <w:spacing w:line="240" w:lineRule="auto"/>
              <w:jc w:val="center"/>
              <w:rPr>
                <w:rFonts w:ascii="宋体" w:hAnsi="宋体" w:cs="仿宋"/>
                <w:kern w:val="0"/>
              </w:rPr>
            </w:pPr>
            <w:r>
              <w:rPr>
                <w:rFonts w:hint="eastAsia" w:ascii="宋体" w:hAnsi="宋体" w:cs="仿宋"/>
                <w:kern w:val="0"/>
              </w:rPr>
              <w:t>0.159</w:t>
            </w:r>
          </w:p>
        </w:tc>
      </w:tr>
      <w:tr w14:paraId="33CC6E9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06F9BFB7">
            <w:pPr>
              <w:spacing w:line="240" w:lineRule="auto"/>
              <w:jc w:val="center"/>
              <w:rPr>
                <w:rFonts w:ascii="宋体" w:hAnsi="宋体" w:cs="仿宋"/>
                <w:kern w:val="0"/>
              </w:rPr>
            </w:pPr>
            <w:r>
              <w:rPr>
                <w:rFonts w:hint="eastAsia" w:ascii="宋体" w:hAnsi="宋体" w:cs="仿宋"/>
                <w:kern w:val="0"/>
              </w:rPr>
              <w:t>邻二甲苯</w:t>
            </w:r>
          </w:p>
        </w:tc>
        <w:tc>
          <w:tcPr>
            <w:tcW w:w="1417" w:type="dxa"/>
            <w:vAlign w:val="center"/>
          </w:tcPr>
          <w:p w14:paraId="363C9098">
            <w:pPr>
              <w:spacing w:line="240" w:lineRule="auto"/>
              <w:jc w:val="center"/>
              <w:rPr>
                <w:rFonts w:ascii="宋体" w:hAnsi="宋体" w:cs="仿宋"/>
                <w:kern w:val="0"/>
              </w:rPr>
            </w:pPr>
            <w:r>
              <w:rPr>
                <w:rFonts w:hint="eastAsia" w:ascii="宋体" w:hAnsi="宋体" w:cs="仿宋"/>
                <w:kern w:val="0"/>
              </w:rPr>
              <w:t>0.201</w:t>
            </w:r>
          </w:p>
        </w:tc>
        <w:tc>
          <w:tcPr>
            <w:tcW w:w="1417" w:type="dxa"/>
            <w:vAlign w:val="center"/>
          </w:tcPr>
          <w:p w14:paraId="4C83EB23">
            <w:pPr>
              <w:spacing w:line="240" w:lineRule="auto"/>
              <w:jc w:val="center"/>
              <w:rPr>
                <w:rFonts w:ascii="宋体" w:hAnsi="宋体" w:cs="仿宋"/>
                <w:kern w:val="0"/>
              </w:rPr>
            </w:pPr>
            <w:r>
              <w:rPr>
                <w:rFonts w:hint="eastAsia" w:ascii="宋体" w:hAnsi="宋体" w:cs="仿宋"/>
                <w:kern w:val="0"/>
              </w:rPr>
              <w:t>乙醚</w:t>
            </w:r>
          </w:p>
        </w:tc>
        <w:tc>
          <w:tcPr>
            <w:tcW w:w="1416" w:type="dxa"/>
            <w:vAlign w:val="center"/>
          </w:tcPr>
          <w:p w14:paraId="7BE08856">
            <w:pPr>
              <w:spacing w:line="240" w:lineRule="auto"/>
              <w:jc w:val="center"/>
              <w:rPr>
                <w:rFonts w:ascii="宋体" w:hAnsi="宋体" w:cs="仿宋"/>
                <w:kern w:val="0"/>
              </w:rPr>
            </w:pPr>
            <w:r>
              <w:rPr>
                <w:rFonts w:hint="eastAsia" w:ascii="宋体" w:hAnsi="宋体" w:cs="仿宋"/>
                <w:kern w:val="0"/>
              </w:rPr>
              <w:t>1.426</w:t>
            </w:r>
          </w:p>
        </w:tc>
        <w:tc>
          <w:tcPr>
            <w:tcW w:w="1564" w:type="dxa"/>
            <w:vAlign w:val="center"/>
          </w:tcPr>
          <w:p w14:paraId="6FDB3749">
            <w:pPr>
              <w:spacing w:line="240" w:lineRule="auto"/>
              <w:jc w:val="center"/>
              <w:rPr>
                <w:rFonts w:ascii="宋体" w:hAnsi="宋体" w:cs="仿宋"/>
                <w:kern w:val="0"/>
              </w:rPr>
            </w:pPr>
            <w:r>
              <w:rPr>
                <w:rFonts w:hint="eastAsia" w:ascii="宋体" w:hAnsi="宋体" w:cs="仿宋"/>
                <w:kern w:val="0"/>
              </w:rPr>
              <w:t>氯仿</w:t>
            </w:r>
          </w:p>
        </w:tc>
        <w:tc>
          <w:tcPr>
            <w:tcW w:w="1270" w:type="dxa"/>
            <w:vAlign w:val="center"/>
          </w:tcPr>
          <w:p w14:paraId="47E4E906">
            <w:pPr>
              <w:spacing w:line="240" w:lineRule="auto"/>
              <w:jc w:val="center"/>
              <w:rPr>
                <w:rFonts w:ascii="宋体" w:hAnsi="宋体" w:cs="仿宋"/>
                <w:kern w:val="0"/>
              </w:rPr>
            </w:pPr>
            <w:r>
              <w:rPr>
                <w:rFonts w:hint="eastAsia" w:ascii="宋体" w:hAnsi="宋体" w:cs="仿宋"/>
                <w:kern w:val="0"/>
              </w:rPr>
              <w:t>1.03</w:t>
            </w:r>
          </w:p>
        </w:tc>
      </w:tr>
      <w:tr w14:paraId="42A8746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44BC31EF">
            <w:pPr>
              <w:spacing w:line="240" w:lineRule="auto"/>
              <w:jc w:val="center"/>
              <w:rPr>
                <w:rFonts w:ascii="宋体" w:hAnsi="宋体" w:cs="仿宋"/>
                <w:kern w:val="0"/>
              </w:rPr>
            </w:pPr>
            <w:r>
              <w:rPr>
                <w:rFonts w:hint="eastAsia" w:ascii="宋体" w:hAnsi="宋体" w:cs="仿宋"/>
                <w:kern w:val="0"/>
              </w:rPr>
              <w:t>对二甲苯</w:t>
            </w:r>
          </w:p>
        </w:tc>
        <w:tc>
          <w:tcPr>
            <w:tcW w:w="1417" w:type="dxa"/>
            <w:vAlign w:val="center"/>
          </w:tcPr>
          <w:p w14:paraId="02D480CF">
            <w:pPr>
              <w:spacing w:line="240" w:lineRule="auto"/>
              <w:jc w:val="center"/>
              <w:rPr>
                <w:rFonts w:ascii="宋体" w:hAnsi="宋体" w:cs="仿宋"/>
                <w:kern w:val="0"/>
              </w:rPr>
            </w:pPr>
            <w:r>
              <w:rPr>
                <w:rFonts w:hint="eastAsia" w:ascii="宋体" w:hAnsi="宋体" w:cs="仿宋"/>
                <w:kern w:val="0"/>
              </w:rPr>
              <w:t>0.256</w:t>
            </w:r>
          </w:p>
        </w:tc>
        <w:tc>
          <w:tcPr>
            <w:tcW w:w="1417" w:type="dxa"/>
            <w:vAlign w:val="center"/>
          </w:tcPr>
          <w:p w14:paraId="2D5E36A7">
            <w:pPr>
              <w:spacing w:line="240" w:lineRule="auto"/>
              <w:jc w:val="center"/>
              <w:rPr>
                <w:rFonts w:ascii="宋体" w:hAnsi="宋体" w:cs="仿宋"/>
                <w:kern w:val="0"/>
              </w:rPr>
            </w:pPr>
            <w:r>
              <w:rPr>
                <w:rFonts w:hint="eastAsia" w:ascii="宋体" w:hAnsi="宋体" w:cs="仿宋"/>
                <w:kern w:val="0"/>
              </w:rPr>
              <w:t>甲基四丁醚</w:t>
            </w:r>
          </w:p>
        </w:tc>
        <w:tc>
          <w:tcPr>
            <w:tcW w:w="1416" w:type="dxa"/>
            <w:vAlign w:val="center"/>
          </w:tcPr>
          <w:p w14:paraId="12637A04">
            <w:pPr>
              <w:spacing w:line="240" w:lineRule="auto"/>
              <w:jc w:val="center"/>
              <w:rPr>
                <w:rFonts w:ascii="宋体" w:hAnsi="宋体" w:cs="仿宋"/>
                <w:kern w:val="0"/>
              </w:rPr>
            </w:pPr>
            <w:r>
              <w:rPr>
                <w:rFonts w:hint="eastAsia" w:ascii="宋体" w:hAnsi="宋体" w:cs="仿宋"/>
                <w:kern w:val="0"/>
              </w:rPr>
              <w:t>1.11</w:t>
            </w:r>
          </w:p>
        </w:tc>
        <w:tc>
          <w:tcPr>
            <w:tcW w:w="1564" w:type="dxa"/>
            <w:vAlign w:val="center"/>
          </w:tcPr>
          <w:p w14:paraId="0D4CB1AA">
            <w:pPr>
              <w:spacing w:line="240" w:lineRule="auto"/>
              <w:jc w:val="center"/>
              <w:rPr>
                <w:rFonts w:ascii="宋体" w:hAnsi="宋体" w:cs="仿宋"/>
                <w:kern w:val="0"/>
              </w:rPr>
            </w:pPr>
            <w:r>
              <w:rPr>
                <w:rFonts w:hint="eastAsia" w:ascii="宋体" w:hAnsi="宋体" w:cs="仿宋"/>
                <w:kern w:val="0"/>
              </w:rPr>
              <w:t>1.1.1-三氯乙烷</w:t>
            </w:r>
          </w:p>
        </w:tc>
        <w:tc>
          <w:tcPr>
            <w:tcW w:w="1270" w:type="dxa"/>
            <w:vAlign w:val="center"/>
          </w:tcPr>
          <w:p w14:paraId="524881CD">
            <w:pPr>
              <w:spacing w:line="240" w:lineRule="auto"/>
              <w:jc w:val="center"/>
              <w:rPr>
                <w:rFonts w:ascii="宋体" w:hAnsi="宋体" w:cs="仿宋"/>
                <w:kern w:val="0"/>
              </w:rPr>
            </w:pPr>
            <w:r>
              <w:rPr>
                <w:rFonts w:hint="eastAsia" w:ascii="宋体" w:hAnsi="宋体" w:cs="仿宋"/>
                <w:kern w:val="0"/>
              </w:rPr>
              <w:t>0.546</w:t>
            </w:r>
          </w:p>
        </w:tc>
      </w:tr>
      <w:tr w14:paraId="3444EDD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538698F0">
            <w:pPr>
              <w:spacing w:line="240" w:lineRule="auto"/>
              <w:jc w:val="center"/>
              <w:rPr>
                <w:rFonts w:ascii="宋体" w:hAnsi="宋体" w:cs="仿宋"/>
                <w:kern w:val="0"/>
              </w:rPr>
            </w:pPr>
            <w:r>
              <w:rPr>
                <w:rFonts w:hint="eastAsia" w:ascii="宋体" w:hAnsi="宋体" w:cs="仿宋"/>
                <w:kern w:val="0"/>
              </w:rPr>
              <w:t>混合二甲苯</w:t>
            </w:r>
          </w:p>
        </w:tc>
        <w:tc>
          <w:tcPr>
            <w:tcW w:w="1417" w:type="dxa"/>
            <w:vAlign w:val="center"/>
          </w:tcPr>
          <w:p w14:paraId="6DA62340">
            <w:pPr>
              <w:spacing w:line="240" w:lineRule="auto"/>
              <w:jc w:val="center"/>
              <w:rPr>
                <w:rFonts w:ascii="宋体" w:hAnsi="宋体" w:cs="仿宋"/>
                <w:kern w:val="0"/>
              </w:rPr>
            </w:pPr>
            <w:r>
              <w:rPr>
                <w:rFonts w:hint="eastAsia" w:ascii="宋体" w:hAnsi="宋体" w:cs="仿宋"/>
                <w:kern w:val="0"/>
              </w:rPr>
              <w:t>0.19</w:t>
            </w:r>
          </w:p>
        </w:tc>
        <w:tc>
          <w:tcPr>
            <w:tcW w:w="1417" w:type="dxa"/>
            <w:vAlign w:val="center"/>
          </w:tcPr>
          <w:p w14:paraId="19A335F4">
            <w:pPr>
              <w:spacing w:line="240" w:lineRule="auto"/>
              <w:jc w:val="center"/>
              <w:rPr>
                <w:rFonts w:ascii="宋体" w:hAnsi="宋体" w:cs="仿宋"/>
                <w:kern w:val="0"/>
              </w:rPr>
            </w:pPr>
            <w:r>
              <w:rPr>
                <w:rFonts w:hint="eastAsia" w:ascii="宋体" w:hAnsi="宋体" w:cs="仿宋"/>
                <w:kern w:val="0"/>
              </w:rPr>
              <w:t>二次乙基二醇单丁醚</w:t>
            </w:r>
          </w:p>
        </w:tc>
        <w:tc>
          <w:tcPr>
            <w:tcW w:w="1416" w:type="dxa"/>
            <w:vAlign w:val="center"/>
          </w:tcPr>
          <w:p w14:paraId="2559941B">
            <w:pPr>
              <w:spacing w:line="240" w:lineRule="auto"/>
              <w:jc w:val="center"/>
              <w:rPr>
                <w:rFonts w:ascii="宋体" w:hAnsi="宋体" w:cs="仿宋"/>
                <w:kern w:val="0"/>
              </w:rPr>
            </w:pPr>
            <w:r>
              <w:rPr>
                <w:rFonts w:hint="eastAsia" w:ascii="宋体" w:hAnsi="宋体" w:cs="仿宋"/>
                <w:kern w:val="0"/>
              </w:rPr>
              <w:t>0.01</w:t>
            </w:r>
          </w:p>
        </w:tc>
        <w:tc>
          <w:tcPr>
            <w:tcW w:w="1564" w:type="dxa"/>
            <w:vAlign w:val="center"/>
          </w:tcPr>
          <w:p w14:paraId="789387B4">
            <w:pPr>
              <w:spacing w:line="240" w:lineRule="auto"/>
              <w:jc w:val="center"/>
              <w:rPr>
                <w:rFonts w:ascii="宋体" w:hAnsi="宋体" w:cs="仿宋"/>
                <w:kern w:val="0"/>
              </w:rPr>
            </w:pPr>
            <w:r>
              <w:rPr>
                <w:rFonts w:hint="eastAsia" w:ascii="宋体" w:hAnsi="宋体" w:cs="仿宋"/>
                <w:kern w:val="0"/>
              </w:rPr>
              <w:t>四氯乙烯</w:t>
            </w:r>
          </w:p>
        </w:tc>
        <w:tc>
          <w:tcPr>
            <w:tcW w:w="1270" w:type="dxa"/>
            <w:vAlign w:val="center"/>
          </w:tcPr>
          <w:p w14:paraId="4EC9F190">
            <w:pPr>
              <w:spacing w:line="240" w:lineRule="auto"/>
              <w:jc w:val="center"/>
              <w:rPr>
                <w:rFonts w:ascii="宋体" w:hAnsi="宋体" w:cs="仿宋"/>
                <w:kern w:val="0"/>
              </w:rPr>
            </w:pPr>
            <w:r>
              <w:rPr>
                <w:rFonts w:hint="eastAsia" w:ascii="宋体" w:hAnsi="宋体" w:cs="仿宋"/>
                <w:kern w:val="0"/>
              </w:rPr>
              <w:t>0.7</w:t>
            </w:r>
          </w:p>
        </w:tc>
      </w:tr>
      <w:tr w14:paraId="0EB3944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53642FDC">
            <w:pPr>
              <w:spacing w:line="240" w:lineRule="auto"/>
              <w:jc w:val="center"/>
              <w:rPr>
                <w:rFonts w:ascii="宋体" w:hAnsi="宋体" w:cs="仿宋"/>
                <w:kern w:val="0"/>
              </w:rPr>
            </w:pPr>
            <w:r>
              <w:rPr>
                <w:rFonts w:hint="eastAsia" w:ascii="宋体" w:hAnsi="宋体" w:cs="仿宋"/>
                <w:kern w:val="0"/>
              </w:rPr>
              <w:t>异丙苯</w:t>
            </w:r>
          </w:p>
        </w:tc>
        <w:tc>
          <w:tcPr>
            <w:tcW w:w="1417" w:type="dxa"/>
            <w:vAlign w:val="center"/>
          </w:tcPr>
          <w:p w14:paraId="458CE8F5">
            <w:pPr>
              <w:spacing w:line="240" w:lineRule="auto"/>
              <w:jc w:val="center"/>
              <w:rPr>
                <w:rFonts w:ascii="宋体" w:hAnsi="宋体" w:cs="仿宋"/>
                <w:kern w:val="0"/>
              </w:rPr>
            </w:pPr>
            <w:r>
              <w:rPr>
                <w:rFonts w:hint="eastAsia" w:ascii="宋体" w:hAnsi="宋体" w:cs="仿宋"/>
                <w:kern w:val="0"/>
              </w:rPr>
              <w:t>0.187</w:t>
            </w:r>
          </w:p>
        </w:tc>
        <w:tc>
          <w:tcPr>
            <w:tcW w:w="1417" w:type="dxa"/>
            <w:vAlign w:val="center"/>
          </w:tcPr>
          <w:p w14:paraId="49D1D745">
            <w:pPr>
              <w:spacing w:line="240" w:lineRule="auto"/>
              <w:jc w:val="center"/>
              <w:rPr>
                <w:rFonts w:ascii="宋体" w:hAnsi="宋体" w:cs="仿宋"/>
                <w:kern w:val="0"/>
              </w:rPr>
            </w:pPr>
            <w:r>
              <w:rPr>
                <w:rFonts w:hint="eastAsia" w:ascii="宋体" w:hAnsi="宋体" w:cs="仿宋"/>
                <w:kern w:val="0"/>
              </w:rPr>
              <w:t>乙二醇单丁醚</w:t>
            </w:r>
          </w:p>
        </w:tc>
        <w:tc>
          <w:tcPr>
            <w:tcW w:w="1416" w:type="dxa"/>
            <w:vAlign w:val="center"/>
          </w:tcPr>
          <w:p w14:paraId="123C4ADC">
            <w:pPr>
              <w:spacing w:line="240" w:lineRule="auto"/>
              <w:jc w:val="center"/>
              <w:rPr>
                <w:rFonts w:ascii="宋体" w:hAnsi="宋体" w:cs="仿宋"/>
                <w:kern w:val="0"/>
              </w:rPr>
            </w:pPr>
            <w:r>
              <w:rPr>
                <w:rFonts w:hint="eastAsia" w:ascii="宋体" w:hAnsi="宋体" w:cs="仿宋"/>
                <w:kern w:val="0"/>
              </w:rPr>
              <w:t>0.03</w:t>
            </w:r>
          </w:p>
        </w:tc>
        <w:tc>
          <w:tcPr>
            <w:tcW w:w="1564" w:type="dxa"/>
            <w:vAlign w:val="center"/>
          </w:tcPr>
          <w:p w14:paraId="2E1096C4">
            <w:pPr>
              <w:spacing w:line="240" w:lineRule="auto"/>
              <w:jc w:val="center"/>
              <w:rPr>
                <w:rFonts w:ascii="宋体" w:hAnsi="宋体" w:cs="仿宋"/>
                <w:kern w:val="0"/>
              </w:rPr>
            </w:pPr>
            <w:r>
              <w:rPr>
                <w:rFonts w:hint="eastAsia" w:ascii="宋体" w:hAnsi="宋体" w:cs="仿宋"/>
                <w:kern w:val="0"/>
              </w:rPr>
              <w:t>三氯乙烯</w:t>
            </w:r>
          </w:p>
        </w:tc>
        <w:tc>
          <w:tcPr>
            <w:tcW w:w="1270" w:type="dxa"/>
            <w:vAlign w:val="center"/>
          </w:tcPr>
          <w:p w14:paraId="4D74A38F">
            <w:pPr>
              <w:spacing w:line="240" w:lineRule="auto"/>
              <w:jc w:val="center"/>
              <w:rPr>
                <w:rFonts w:ascii="宋体" w:hAnsi="宋体" w:cs="仿宋"/>
                <w:kern w:val="0"/>
              </w:rPr>
            </w:pPr>
            <w:r>
              <w:rPr>
                <w:rFonts w:hint="eastAsia" w:ascii="宋体" w:hAnsi="宋体" w:cs="仿宋"/>
                <w:kern w:val="0"/>
              </w:rPr>
              <w:t>1.678</w:t>
            </w:r>
          </w:p>
        </w:tc>
      </w:tr>
      <w:tr w14:paraId="585FA6D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1A4CD7F1">
            <w:pPr>
              <w:spacing w:line="240" w:lineRule="auto"/>
              <w:jc w:val="center"/>
              <w:rPr>
                <w:rFonts w:ascii="宋体" w:hAnsi="宋体" w:cs="仿宋"/>
                <w:kern w:val="0"/>
              </w:rPr>
            </w:pPr>
            <w:r>
              <w:rPr>
                <w:rFonts w:hint="eastAsia" w:ascii="宋体" w:hAnsi="宋体" w:cs="仿宋"/>
                <w:kern w:val="0"/>
              </w:rPr>
              <w:t>二异丙基苯</w:t>
            </w:r>
          </w:p>
        </w:tc>
        <w:tc>
          <w:tcPr>
            <w:tcW w:w="1417" w:type="dxa"/>
            <w:vAlign w:val="center"/>
          </w:tcPr>
          <w:p w14:paraId="1104F219">
            <w:pPr>
              <w:spacing w:line="240" w:lineRule="auto"/>
              <w:jc w:val="center"/>
              <w:rPr>
                <w:rFonts w:ascii="宋体" w:hAnsi="宋体" w:cs="仿宋"/>
                <w:kern w:val="0"/>
              </w:rPr>
            </w:pPr>
            <w:r>
              <w:rPr>
                <w:rFonts w:hint="eastAsia" w:ascii="宋体" w:hAnsi="宋体" w:cs="仿宋"/>
                <w:kern w:val="0"/>
              </w:rPr>
              <w:t>0.03</w:t>
            </w:r>
          </w:p>
        </w:tc>
        <w:tc>
          <w:tcPr>
            <w:tcW w:w="1417" w:type="dxa"/>
            <w:vAlign w:val="center"/>
          </w:tcPr>
          <w:p w14:paraId="05C86FBE">
            <w:pPr>
              <w:spacing w:line="240" w:lineRule="auto"/>
              <w:jc w:val="center"/>
              <w:rPr>
                <w:rFonts w:ascii="宋体" w:hAnsi="宋体" w:cs="仿宋"/>
                <w:kern w:val="0"/>
              </w:rPr>
            </w:pPr>
            <w:r>
              <w:rPr>
                <w:rFonts w:hint="eastAsia" w:ascii="宋体" w:hAnsi="宋体" w:cs="仿宋"/>
                <w:kern w:val="0"/>
              </w:rPr>
              <w:t>二次乙基二醇单甲醚</w:t>
            </w:r>
          </w:p>
        </w:tc>
        <w:tc>
          <w:tcPr>
            <w:tcW w:w="1416" w:type="dxa"/>
            <w:vAlign w:val="center"/>
          </w:tcPr>
          <w:p w14:paraId="75738A83">
            <w:pPr>
              <w:spacing w:line="240" w:lineRule="auto"/>
              <w:jc w:val="center"/>
              <w:rPr>
                <w:rFonts w:ascii="宋体" w:hAnsi="宋体" w:cs="仿宋"/>
                <w:kern w:val="0"/>
              </w:rPr>
            </w:pPr>
            <w:r>
              <w:rPr>
                <w:rFonts w:hint="eastAsia" w:ascii="宋体" w:hAnsi="宋体" w:cs="仿宋"/>
                <w:kern w:val="0"/>
              </w:rPr>
              <w:t>0.01</w:t>
            </w:r>
          </w:p>
        </w:tc>
        <w:tc>
          <w:tcPr>
            <w:tcW w:w="1564" w:type="dxa"/>
            <w:vAlign w:val="center"/>
          </w:tcPr>
          <w:p w14:paraId="6C95B029">
            <w:pPr>
              <w:spacing w:line="240" w:lineRule="auto"/>
              <w:jc w:val="center"/>
              <w:rPr>
                <w:rFonts w:ascii="宋体" w:hAnsi="宋体" w:cs="仿宋"/>
                <w:kern w:val="0"/>
              </w:rPr>
            </w:pPr>
            <w:r>
              <w:rPr>
                <w:rFonts w:hint="eastAsia" w:ascii="宋体" w:hAnsi="宋体" w:cs="仿宋"/>
                <w:kern w:val="0"/>
              </w:rPr>
              <w:t>丙烯晴</w:t>
            </w:r>
          </w:p>
        </w:tc>
        <w:tc>
          <w:tcPr>
            <w:tcW w:w="1270" w:type="dxa"/>
            <w:vAlign w:val="center"/>
          </w:tcPr>
          <w:p w14:paraId="4593F660">
            <w:pPr>
              <w:spacing w:line="240" w:lineRule="auto"/>
              <w:jc w:val="center"/>
              <w:rPr>
                <w:rFonts w:ascii="宋体" w:hAnsi="宋体" w:cs="仿宋"/>
                <w:kern w:val="0"/>
              </w:rPr>
            </w:pPr>
            <w:r>
              <w:rPr>
                <w:rFonts w:hint="eastAsia" w:ascii="宋体" w:hAnsi="宋体" w:cs="仿宋"/>
                <w:kern w:val="0"/>
              </w:rPr>
              <w:t>0.947</w:t>
            </w:r>
          </w:p>
        </w:tc>
      </w:tr>
      <w:tr w14:paraId="33382ED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6890DB33">
            <w:pPr>
              <w:spacing w:line="240" w:lineRule="auto"/>
              <w:jc w:val="center"/>
              <w:rPr>
                <w:rFonts w:ascii="宋体" w:hAnsi="宋体" w:cs="仿宋"/>
                <w:kern w:val="0"/>
              </w:rPr>
            </w:pPr>
            <w:r>
              <w:rPr>
                <w:rFonts w:hint="eastAsia" w:ascii="宋体" w:hAnsi="宋体" w:cs="仿宋"/>
                <w:kern w:val="0"/>
              </w:rPr>
              <w:t>甲基苯乙烯</w:t>
            </w:r>
          </w:p>
        </w:tc>
        <w:tc>
          <w:tcPr>
            <w:tcW w:w="1417" w:type="dxa"/>
            <w:vAlign w:val="center"/>
          </w:tcPr>
          <w:p w14:paraId="183623D9">
            <w:pPr>
              <w:spacing w:line="240" w:lineRule="auto"/>
              <w:jc w:val="center"/>
              <w:rPr>
                <w:rFonts w:ascii="宋体" w:hAnsi="宋体" w:cs="仿宋"/>
                <w:kern w:val="0"/>
              </w:rPr>
            </w:pPr>
            <w:r>
              <w:rPr>
                <w:rFonts w:hint="eastAsia" w:ascii="宋体" w:hAnsi="宋体" w:cs="仿宋"/>
                <w:kern w:val="0"/>
              </w:rPr>
              <w:t>0.083</w:t>
            </w:r>
          </w:p>
        </w:tc>
        <w:tc>
          <w:tcPr>
            <w:tcW w:w="1417" w:type="dxa"/>
            <w:vAlign w:val="center"/>
          </w:tcPr>
          <w:p w14:paraId="7009FA05">
            <w:pPr>
              <w:spacing w:line="240" w:lineRule="auto"/>
              <w:jc w:val="center"/>
              <w:rPr>
                <w:rFonts w:ascii="宋体" w:hAnsi="宋体" w:cs="仿宋"/>
                <w:kern w:val="0"/>
              </w:rPr>
            </w:pPr>
            <w:r>
              <w:rPr>
                <w:rFonts w:hint="eastAsia" w:ascii="宋体" w:hAnsi="宋体" w:cs="仿宋"/>
                <w:kern w:val="0"/>
              </w:rPr>
              <w:t>乙二醇单甲醚</w:t>
            </w:r>
          </w:p>
        </w:tc>
        <w:tc>
          <w:tcPr>
            <w:tcW w:w="1416" w:type="dxa"/>
            <w:vAlign w:val="center"/>
          </w:tcPr>
          <w:p w14:paraId="49C988E1">
            <w:pPr>
              <w:spacing w:line="240" w:lineRule="auto"/>
              <w:jc w:val="center"/>
              <w:rPr>
                <w:rFonts w:ascii="宋体" w:hAnsi="宋体" w:cs="仿宋"/>
                <w:kern w:val="0"/>
              </w:rPr>
            </w:pPr>
            <w:r>
              <w:rPr>
                <w:rFonts w:hint="eastAsia" w:ascii="宋体" w:hAnsi="宋体" w:cs="仿宋"/>
                <w:kern w:val="0"/>
              </w:rPr>
              <w:t>0.031</w:t>
            </w:r>
          </w:p>
        </w:tc>
        <w:tc>
          <w:tcPr>
            <w:tcW w:w="1564" w:type="dxa"/>
            <w:vAlign w:val="center"/>
          </w:tcPr>
          <w:p w14:paraId="5394EB57">
            <w:pPr>
              <w:spacing w:line="240" w:lineRule="auto"/>
              <w:jc w:val="center"/>
              <w:rPr>
                <w:rFonts w:ascii="宋体" w:hAnsi="宋体" w:cs="仿宋"/>
                <w:kern w:val="0"/>
              </w:rPr>
            </w:pPr>
            <w:r>
              <w:rPr>
                <w:rFonts w:hint="eastAsia" w:ascii="宋体" w:hAnsi="宋体" w:cs="仿宋"/>
                <w:kern w:val="0"/>
              </w:rPr>
              <w:t>硝基苯</w:t>
            </w:r>
          </w:p>
        </w:tc>
        <w:tc>
          <w:tcPr>
            <w:tcW w:w="1270" w:type="dxa"/>
            <w:vAlign w:val="center"/>
          </w:tcPr>
          <w:p w14:paraId="13154D03">
            <w:pPr>
              <w:spacing w:line="240" w:lineRule="auto"/>
              <w:jc w:val="center"/>
              <w:rPr>
                <w:rFonts w:ascii="宋体" w:hAnsi="宋体" w:cs="仿宋"/>
                <w:kern w:val="0"/>
              </w:rPr>
            </w:pPr>
            <w:r>
              <w:rPr>
                <w:rFonts w:hint="eastAsia" w:ascii="宋体" w:hAnsi="宋体" w:cs="仿宋"/>
                <w:kern w:val="0"/>
              </w:rPr>
              <w:t>0.055</w:t>
            </w:r>
          </w:p>
        </w:tc>
      </w:tr>
      <w:tr w14:paraId="31464FB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0D6A34F8">
            <w:pPr>
              <w:spacing w:line="240" w:lineRule="auto"/>
              <w:jc w:val="center"/>
              <w:rPr>
                <w:rFonts w:ascii="宋体" w:hAnsi="宋体" w:cs="仿宋"/>
                <w:kern w:val="0"/>
              </w:rPr>
            </w:pPr>
            <w:r>
              <w:rPr>
                <w:rFonts w:hint="eastAsia" w:ascii="宋体" w:hAnsi="宋体" w:cs="仿宋"/>
                <w:kern w:val="0"/>
              </w:rPr>
              <w:t>苯乙烯</w:t>
            </w:r>
          </w:p>
        </w:tc>
        <w:tc>
          <w:tcPr>
            <w:tcW w:w="1417" w:type="dxa"/>
            <w:vAlign w:val="center"/>
          </w:tcPr>
          <w:p w14:paraId="3E7EC46B">
            <w:pPr>
              <w:spacing w:line="240" w:lineRule="auto"/>
              <w:jc w:val="center"/>
              <w:rPr>
                <w:rFonts w:ascii="宋体" w:hAnsi="宋体" w:cs="仿宋"/>
                <w:kern w:val="0"/>
              </w:rPr>
            </w:pPr>
            <w:r>
              <w:rPr>
                <w:rFonts w:hint="eastAsia" w:ascii="宋体" w:hAnsi="宋体" w:cs="仿宋"/>
                <w:kern w:val="0"/>
              </w:rPr>
              <w:t>0.188</w:t>
            </w:r>
          </w:p>
        </w:tc>
        <w:tc>
          <w:tcPr>
            <w:tcW w:w="1417" w:type="dxa"/>
            <w:vAlign w:val="center"/>
          </w:tcPr>
          <w:p w14:paraId="20420ACC">
            <w:pPr>
              <w:spacing w:line="240" w:lineRule="auto"/>
              <w:jc w:val="center"/>
              <w:rPr>
                <w:rFonts w:ascii="宋体" w:hAnsi="宋体" w:cs="仿宋"/>
                <w:kern w:val="0"/>
              </w:rPr>
            </w:pPr>
            <w:r>
              <w:rPr>
                <w:rFonts w:hint="eastAsia" w:ascii="宋体" w:hAnsi="宋体" w:cs="仿宋"/>
                <w:kern w:val="0"/>
              </w:rPr>
              <w:t>双-β-羟基-n-丙醚</w:t>
            </w:r>
          </w:p>
        </w:tc>
        <w:tc>
          <w:tcPr>
            <w:tcW w:w="1416" w:type="dxa"/>
            <w:vAlign w:val="center"/>
          </w:tcPr>
          <w:p w14:paraId="20A50A5B">
            <w:pPr>
              <w:spacing w:line="240" w:lineRule="auto"/>
              <w:jc w:val="center"/>
              <w:rPr>
                <w:rFonts w:ascii="宋体" w:hAnsi="宋体" w:cs="仿宋"/>
                <w:kern w:val="0"/>
              </w:rPr>
            </w:pPr>
            <w:r>
              <w:rPr>
                <w:rFonts w:hint="eastAsia" w:ascii="宋体" w:hAnsi="宋体" w:cs="仿宋"/>
                <w:kern w:val="0"/>
              </w:rPr>
              <w:t>0.01</w:t>
            </w:r>
          </w:p>
        </w:tc>
        <w:tc>
          <w:tcPr>
            <w:tcW w:w="1564" w:type="dxa"/>
            <w:vAlign w:val="center"/>
          </w:tcPr>
          <w:p w14:paraId="768AFB27">
            <w:pPr>
              <w:spacing w:line="240" w:lineRule="auto"/>
              <w:jc w:val="center"/>
              <w:rPr>
                <w:rFonts w:ascii="宋体" w:hAnsi="宋体" w:cs="仿宋"/>
                <w:kern w:val="0"/>
              </w:rPr>
            </w:pPr>
            <w:r>
              <w:rPr>
                <w:rFonts w:hint="eastAsia" w:ascii="宋体" w:hAnsi="宋体" w:cs="仿宋"/>
                <w:kern w:val="0"/>
              </w:rPr>
              <w:t>苯胺</w:t>
            </w:r>
          </w:p>
        </w:tc>
        <w:tc>
          <w:tcPr>
            <w:tcW w:w="1270" w:type="dxa"/>
            <w:vAlign w:val="center"/>
          </w:tcPr>
          <w:p w14:paraId="4CD20CEA">
            <w:pPr>
              <w:spacing w:line="240" w:lineRule="auto"/>
              <w:jc w:val="center"/>
              <w:rPr>
                <w:rFonts w:ascii="宋体" w:hAnsi="宋体" w:cs="仿宋"/>
                <w:kern w:val="0"/>
              </w:rPr>
            </w:pPr>
            <w:r>
              <w:rPr>
                <w:rFonts w:hint="eastAsia" w:ascii="宋体" w:hAnsi="宋体" w:cs="仿宋"/>
                <w:kern w:val="0"/>
              </w:rPr>
              <w:t>0.044</w:t>
            </w:r>
          </w:p>
        </w:tc>
      </w:tr>
      <w:tr w14:paraId="61EB808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716BF53E">
            <w:pPr>
              <w:spacing w:line="240" w:lineRule="auto"/>
              <w:jc w:val="center"/>
              <w:rPr>
                <w:rFonts w:ascii="宋体" w:hAnsi="宋体" w:cs="仿宋"/>
                <w:kern w:val="0"/>
              </w:rPr>
            </w:pPr>
            <w:r>
              <w:rPr>
                <w:rFonts w:hint="eastAsia" w:ascii="宋体" w:hAnsi="宋体" w:cs="仿宋"/>
                <w:kern w:val="0"/>
              </w:rPr>
              <w:t>氯苯</w:t>
            </w:r>
          </w:p>
        </w:tc>
        <w:tc>
          <w:tcPr>
            <w:tcW w:w="1417" w:type="dxa"/>
            <w:vAlign w:val="center"/>
          </w:tcPr>
          <w:p w14:paraId="55AC315A">
            <w:pPr>
              <w:spacing w:line="240" w:lineRule="auto"/>
              <w:jc w:val="center"/>
              <w:rPr>
                <w:rFonts w:ascii="宋体" w:hAnsi="宋体" w:cs="仿宋"/>
                <w:kern w:val="0"/>
              </w:rPr>
            </w:pPr>
            <w:r>
              <w:rPr>
                <w:rFonts w:hint="eastAsia" w:ascii="宋体" w:hAnsi="宋体" w:cs="仿宋"/>
                <w:kern w:val="0"/>
              </w:rPr>
              <w:t>0.343</w:t>
            </w:r>
          </w:p>
        </w:tc>
        <w:tc>
          <w:tcPr>
            <w:tcW w:w="1417" w:type="dxa"/>
            <w:vAlign w:val="center"/>
          </w:tcPr>
          <w:p w14:paraId="49EE1DD7">
            <w:pPr>
              <w:spacing w:line="240" w:lineRule="auto"/>
              <w:jc w:val="center"/>
              <w:rPr>
                <w:rFonts w:ascii="宋体" w:hAnsi="宋体" w:cs="仿宋"/>
                <w:kern w:val="0"/>
              </w:rPr>
            </w:pPr>
            <w:r>
              <w:rPr>
                <w:rFonts w:hint="eastAsia" w:ascii="宋体" w:hAnsi="宋体" w:cs="仿宋"/>
                <w:kern w:val="0"/>
              </w:rPr>
              <w:t>乙酸</w:t>
            </w:r>
          </w:p>
        </w:tc>
        <w:tc>
          <w:tcPr>
            <w:tcW w:w="1416" w:type="dxa"/>
            <w:vAlign w:val="center"/>
          </w:tcPr>
          <w:p w14:paraId="4EFB9A45">
            <w:pPr>
              <w:spacing w:line="240" w:lineRule="auto"/>
              <w:jc w:val="center"/>
              <w:rPr>
                <w:rFonts w:ascii="宋体" w:hAnsi="宋体" w:cs="仿宋"/>
                <w:kern w:val="0"/>
              </w:rPr>
            </w:pPr>
            <w:r>
              <w:rPr>
                <w:rFonts w:hint="eastAsia" w:ascii="宋体" w:hAnsi="宋体" w:cs="仿宋"/>
                <w:kern w:val="0"/>
              </w:rPr>
              <w:t>0.209</w:t>
            </w:r>
          </w:p>
        </w:tc>
        <w:tc>
          <w:tcPr>
            <w:tcW w:w="1564" w:type="dxa"/>
            <w:vAlign w:val="center"/>
          </w:tcPr>
          <w:p w14:paraId="255A28C0">
            <w:pPr>
              <w:spacing w:line="240" w:lineRule="auto"/>
              <w:jc w:val="center"/>
              <w:rPr>
                <w:rFonts w:ascii="宋体" w:hAnsi="宋体" w:cs="仿宋"/>
                <w:kern w:val="0"/>
              </w:rPr>
            </w:pPr>
            <w:r>
              <w:rPr>
                <w:rFonts w:hint="eastAsia" w:ascii="宋体" w:hAnsi="宋体" w:cs="仿宋"/>
                <w:kern w:val="0"/>
              </w:rPr>
              <w:t>丙烯乙脂</w:t>
            </w:r>
          </w:p>
        </w:tc>
        <w:tc>
          <w:tcPr>
            <w:tcW w:w="1270" w:type="dxa"/>
            <w:vAlign w:val="center"/>
          </w:tcPr>
          <w:p w14:paraId="0EDA25DE">
            <w:pPr>
              <w:spacing w:line="240" w:lineRule="auto"/>
              <w:jc w:val="center"/>
              <w:rPr>
                <w:rFonts w:ascii="宋体" w:hAnsi="宋体" w:cs="仿宋"/>
                <w:kern w:val="0"/>
              </w:rPr>
            </w:pPr>
            <w:r>
              <w:rPr>
                <w:rFonts w:hint="eastAsia" w:ascii="宋体" w:hAnsi="宋体" w:cs="仿宋"/>
                <w:kern w:val="0"/>
              </w:rPr>
              <w:t>0.755</w:t>
            </w:r>
          </w:p>
        </w:tc>
      </w:tr>
      <w:tr w14:paraId="32CB6D0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22AD99F3">
            <w:pPr>
              <w:spacing w:line="240" w:lineRule="auto"/>
              <w:jc w:val="center"/>
              <w:rPr>
                <w:rFonts w:ascii="宋体" w:hAnsi="宋体" w:cs="仿宋"/>
                <w:kern w:val="0"/>
              </w:rPr>
            </w:pPr>
            <w:r>
              <w:rPr>
                <w:rFonts w:hint="eastAsia" w:ascii="宋体" w:hAnsi="宋体" w:cs="仿宋"/>
                <w:kern w:val="0"/>
              </w:rPr>
              <w:t>邻一二氯苯</w:t>
            </w:r>
          </w:p>
        </w:tc>
        <w:tc>
          <w:tcPr>
            <w:tcW w:w="1417" w:type="dxa"/>
            <w:vAlign w:val="center"/>
          </w:tcPr>
          <w:p w14:paraId="78F7C4E2">
            <w:pPr>
              <w:spacing w:line="240" w:lineRule="auto"/>
              <w:jc w:val="center"/>
              <w:rPr>
                <w:rFonts w:ascii="宋体" w:hAnsi="宋体" w:cs="仿宋"/>
                <w:kern w:val="0"/>
              </w:rPr>
            </w:pPr>
            <w:r>
              <w:rPr>
                <w:rFonts w:hint="eastAsia" w:ascii="宋体" w:hAnsi="宋体" w:cs="仿宋"/>
                <w:kern w:val="0"/>
              </w:rPr>
              <w:t>0.089</w:t>
            </w:r>
          </w:p>
        </w:tc>
        <w:tc>
          <w:tcPr>
            <w:tcW w:w="1417" w:type="dxa"/>
            <w:vAlign w:val="center"/>
          </w:tcPr>
          <w:p w14:paraId="5449087D">
            <w:pPr>
              <w:spacing w:line="240" w:lineRule="auto"/>
              <w:jc w:val="center"/>
              <w:rPr>
                <w:rFonts w:ascii="宋体" w:hAnsi="宋体" w:cs="仿宋"/>
                <w:kern w:val="0"/>
              </w:rPr>
            </w:pPr>
            <w:r>
              <w:rPr>
                <w:rFonts w:hint="eastAsia" w:ascii="宋体" w:hAnsi="宋体" w:cs="仿宋"/>
                <w:kern w:val="0"/>
              </w:rPr>
              <w:t>丙烯酸</w:t>
            </w:r>
          </w:p>
        </w:tc>
        <w:tc>
          <w:tcPr>
            <w:tcW w:w="1416" w:type="dxa"/>
            <w:vAlign w:val="center"/>
          </w:tcPr>
          <w:p w14:paraId="10D77CF4">
            <w:pPr>
              <w:spacing w:line="240" w:lineRule="auto"/>
              <w:jc w:val="center"/>
              <w:rPr>
                <w:rFonts w:ascii="宋体" w:hAnsi="宋体" w:cs="仿宋"/>
                <w:kern w:val="0"/>
              </w:rPr>
            </w:pPr>
            <w:r>
              <w:rPr>
                <w:rFonts w:hint="eastAsia" w:ascii="宋体" w:hAnsi="宋体" w:cs="仿宋"/>
                <w:kern w:val="0"/>
              </w:rPr>
              <w:t>0.086</w:t>
            </w:r>
          </w:p>
        </w:tc>
        <w:tc>
          <w:tcPr>
            <w:tcW w:w="1564" w:type="dxa"/>
            <w:vAlign w:val="center"/>
          </w:tcPr>
          <w:p w14:paraId="35E15271">
            <w:pPr>
              <w:spacing w:line="240" w:lineRule="auto"/>
              <w:jc w:val="center"/>
              <w:rPr>
                <w:rFonts w:ascii="宋体" w:hAnsi="宋体" w:cs="仿宋"/>
                <w:kern w:val="0"/>
              </w:rPr>
            </w:pPr>
            <w:r>
              <w:rPr>
                <w:rFonts w:hint="eastAsia" w:ascii="宋体" w:hAnsi="宋体" w:cs="仿宋"/>
                <w:kern w:val="0"/>
              </w:rPr>
              <w:t>丙烯酸异丁酯</w:t>
            </w:r>
          </w:p>
        </w:tc>
        <w:tc>
          <w:tcPr>
            <w:tcW w:w="1270" w:type="dxa"/>
            <w:vAlign w:val="center"/>
          </w:tcPr>
          <w:p w14:paraId="20247C90">
            <w:pPr>
              <w:spacing w:line="240" w:lineRule="auto"/>
              <w:jc w:val="center"/>
              <w:rPr>
                <w:rFonts w:ascii="宋体" w:hAnsi="宋体" w:cs="仿宋"/>
                <w:kern w:val="0"/>
              </w:rPr>
            </w:pPr>
            <w:r>
              <w:rPr>
                <w:rFonts w:hint="eastAsia" w:ascii="宋体" w:hAnsi="宋体" w:cs="仿宋"/>
                <w:kern w:val="0"/>
              </w:rPr>
              <w:t>0.05</w:t>
            </w:r>
          </w:p>
        </w:tc>
      </w:tr>
      <w:tr w14:paraId="5568564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4122F279">
            <w:pPr>
              <w:spacing w:line="240" w:lineRule="auto"/>
              <w:jc w:val="center"/>
              <w:rPr>
                <w:rFonts w:ascii="宋体" w:hAnsi="宋体" w:cs="仿宋"/>
                <w:kern w:val="0"/>
              </w:rPr>
            </w:pPr>
            <w:r>
              <w:rPr>
                <w:rFonts w:hint="eastAsia" w:ascii="宋体" w:hAnsi="宋体" w:cs="仿宋"/>
                <w:kern w:val="0"/>
              </w:rPr>
              <w:t>对一二氯苯</w:t>
            </w:r>
          </w:p>
        </w:tc>
        <w:tc>
          <w:tcPr>
            <w:tcW w:w="1417" w:type="dxa"/>
            <w:vAlign w:val="center"/>
          </w:tcPr>
          <w:p w14:paraId="74BCDDA0">
            <w:pPr>
              <w:spacing w:line="240" w:lineRule="auto"/>
              <w:jc w:val="center"/>
              <w:rPr>
                <w:rFonts w:ascii="宋体" w:hAnsi="宋体" w:cs="仿宋"/>
                <w:kern w:val="0"/>
              </w:rPr>
            </w:pPr>
            <w:r>
              <w:rPr>
                <w:rFonts w:hint="eastAsia" w:ascii="宋体" w:hAnsi="宋体" w:cs="仿宋"/>
                <w:kern w:val="0"/>
              </w:rPr>
              <w:t>0.105</w:t>
            </w:r>
          </w:p>
        </w:tc>
        <w:tc>
          <w:tcPr>
            <w:tcW w:w="1417" w:type="dxa"/>
            <w:vAlign w:val="center"/>
          </w:tcPr>
          <w:p w14:paraId="0C8F42E2">
            <w:pPr>
              <w:spacing w:line="240" w:lineRule="auto"/>
              <w:jc w:val="center"/>
              <w:rPr>
                <w:rFonts w:ascii="宋体" w:hAnsi="宋体" w:cs="仿宋"/>
                <w:kern w:val="0"/>
              </w:rPr>
            </w:pPr>
            <w:r>
              <w:rPr>
                <w:rFonts w:hint="eastAsia" w:ascii="宋体" w:hAnsi="宋体" w:cs="仿宋"/>
                <w:kern w:val="0"/>
              </w:rPr>
              <w:t>己二酸</w:t>
            </w:r>
          </w:p>
        </w:tc>
        <w:tc>
          <w:tcPr>
            <w:tcW w:w="1416" w:type="dxa"/>
            <w:vAlign w:val="center"/>
          </w:tcPr>
          <w:p w14:paraId="6F058009">
            <w:pPr>
              <w:spacing w:line="240" w:lineRule="auto"/>
              <w:jc w:val="center"/>
              <w:rPr>
                <w:rFonts w:ascii="宋体" w:hAnsi="宋体" w:cs="仿宋"/>
                <w:kern w:val="0"/>
              </w:rPr>
            </w:pPr>
            <w:r>
              <w:rPr>
                <w:rFonts w:hint="eastAsia" w:ascii="宋体" w:hAnsi="宋体" w:cs="仿宋"/>
                <w:kern w:val="0"/>
              </w:rPr>
              <w:t>0.036</w:t>
            </w:r>
          </w:p>
        </w:tc>
        <w:tc>
          <w:tcPr>
            <w:tcW w:w="1564" w:type="dxa"/>
            <w:vAlign w:val="center"/>
          </w:tcPr>
          <w:p w14:paraId="410DD25B">
            <w:pPr>
              <w:spacing w:line="240" w:lineRule="auto"/>
              <w:jc w:val="center"/>
              <w:rPr>
                <w:rFonts w:ascii="宋体" w:hAnsi="宋体" w:cs="仿宋"/>
                <w:kern w:val="0"/>
              </w:rPr>
            </w:pPr>
            <w:r>
              <w:rPr>
                <w:rFonts w:hint="eastAsia" w:ascii="宋体" w:hAnsi="宋体" w:cs="仿宋"/>
                <w:kern w:val="0"/>
              </w:rPr>
              <w:t>醋酸异丙酯</w:t>
            </w:r>
          </w:p>
        </w:tc>
        <w:tc>
          <w:tcPr>
            <w:tcW w:w="1270" w:type="dxa"/>
            <w:vAlign w:val="center"/>
          </w:tcPr>
          <w:p w14:paraId="4A4BB4EA">
            <w:pPr>
              <w:spacing w:line="240" w:lineRule="auto"/>
              <w:jc w:val="center"/>
              <w:rPr>
                <w:rFonts w:ascii="宋体" w:hAnsi="宋体" w:cs="仿宋"/>
                <w:kern w:val="0"/>
              </w:rPr>
            </w:pPr>
            <w:r>
              <w:rPr>
                <w:rFonts w:hint="eastAsia" w:ascii="宋体" w:hAnsi="宋体" w:cs="仿宋"/>
                <w:kern w:val="0"/>
              </w:rPr>
              <w:t>1.091</w:t>
            </w:r>
          </w:p>
        </w:tc>
      </w:tr>
      <w:tr w14:paraId="1CF0666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1EC23FB4">
            <w:pPr>
              <w:spacing w:line="240" w:lineRule="auto"/>
              <w:jc w:val="center"/>
              <w:rPr>
                <w:rFonts w:ascii="宋体" w:hAnsi="宋体" w:cs="仿宋"/>
                <w:kern w:val="0"/>
              </w:rPr>
            </w:pPr>
            <w:r>
              <w:rPr>
                <w:rFonts w:hint="eastAsia" w:ascii="宋体" w:hAnsi="宋体" w:cs="仿宋"/>
                <w:kern w:val="0"/>
              </w:rPr>
              <w:t>苯甲氯</w:t>
            </w:r>
          </w:p>
        </w:tc>
        <w:tc>
          <w:tcPr>
            <w:tcW w:w="1417" w:type="dxa"/>
            <w:vAlign w:val="center"/>
          </w:tcPr>
          <w:p w14:paraId="1D129D6E">
            <w:pPr>
              <w:spacing w:line="240" w:lineRule="auto"/>
              <w:jc w:val="center"/>
              <w:rPr>
                <w:rFonts w:ascii="宋体" w:hAnsi="宋体" w:cs="仿宋"/>
                <w:kern w:val="0"/>
              </w:rPr>
            </w:pPr>
            <w:r>
              <w:rPr>
                <w:rFonts w:hint="eastAsia" w:ascii="宋体" w:hAnsi="宋体" w:cs="仿宋"/>
                <w:kern w:val="0"/>
              </w:rPr>
              <w:t>0.01</w:t>
            </w:r>
          </w:p>
        </w:tc>
        <w:tc>
          <w:tcPr>
            <w:tcW w:w="1417" w:type="dxa"/>
            <w:vAlign w:val="center"/>
          </w:tcPr>
          <w:p w14:paraId="6E2E51E9">
            <w:pPr>
              <w:spacing w:line="240" w:lineRule="auto"/>
              <w:jc w:val="center"/>
              <w:rPr>
                <w:rFonts w:ascii="宋体" w:hAnsi="宋体" w:cs="仿宋"/>
                <w:kern w:val="0"/>
              </w:rPr>
            </w:pPr>
            <w:r>
              <w:rPr>
                <w:rFonts w:hint="eastAsia" w:ascii="宋体" w:hAnsi="宋体" w:cs="仿宋"/>
                <w:kern w:val="0"/>
              </w:rPr>
              <w:t>蚁酸</w:t>
            </w:r>
          </w:p>
        </w:tc>
        <w:tc>
          <w:tcPr>
            <w:tcW w:w="1416" w:type="dxa"/>
            <w:vAlign w:val="center"/>
          </w:tcPr>
          <w:p w14:paraId="02094665">
            <w:pPr>
              <w:spacing w:line="240" w:lineRule="auto"/>
              <w:jc w:val="center"/>
              <w:rPr>
                <w:rFonts w:ascii="宋体" w:hAnsi="宋体" w:cs="仿宋"/>
                <w:kern w:val="0"/>
              </w:rPr>
            </w:pPr>
            <w:r>
              <w:rPr>
                <w:rFonts w:hint="eastAsia" w:ascii="宋体" w:hAnsi="宋体" w:cs="仿宋"/>
                <w:kern w:val="0"/>
              </w:rPr>
              <w:t>0.38</w:t>
            </w:r>
          </w:p>
        </w:tc>
        <w:tc>
          <w:tcPr>
            <w:tcW w:w="1564" w:type="dxa"/>
            <w:vAlign w:val="center"/>
          </w:tcPr>
          <w:p w14:paraId="38DE2FCA">
            <w:pPr>
              <w:spacing w:line="240" w:lineRule="auto"/>
              <w:jc w:val="center"/>
              <w:rPr>
                <w:rFonts w:ascii="宋体" w:hAnsi="宋体" w:cs="仿宋"/>
                <w:kern w:val="0"/>
              </w:rPr>
            </w:pPr>
            <w:r>
              <w:rPr>
                <w:rFonts w:hint="eastAsia" w:ascii="宋体" w:hAnsi="宋体" w:cs="仿宋"/>
                <w:kern w:val="0"/>
              </w:rPr>
              <w:t>醋酸甲酯</w:t>
            </w:r>
          </w:p>
        </w:tc>
        <w:tc>
          <w:tcPr>
            <w:tcW w:w="1270" w:type="dxa"/>
            <w:vAlign w:val="center"/>
          </w:tcPr>
          <w:p w14:paraId="3EDC1A79">
            <w:pPr>
              <w:spacing w:line="240" w:lineRule="auto"/>
              <w:jc w:val="center"/>
              <w:rPr>
                <w:rFonts w:ascii="宋体" w:hAnsi="宋体" w:cs="仿宋"/>
                <w:kern w:val="0"/>
              </w:rPr>
            </w:pPr>
            <w:r>
              <w:rPr>
                <w:rFonts w:hint="eastAsia" w:ascii="宋体" w:hAnsi="宋体" w:cs="仿宋"/>
                <w:kern w:val="0"/>
              </w:rPr>
              <w:t>2.301</w:t>
            </w:r>
          </w:p>
        </w:tc>
      </w:tr>
      <w:tr w14:paraId="767B43C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4D946995">
            <w:pPr>
              <w:spacing w:line="240" w:lineRule="auto"/>
              <w:jc w:val="center"/>
              <w:rPr>
                <w:rFonts w:ascii="宋体" w:hAnsi="宋体" w:cs="仿宋"/>
                <w:kern w:val="0"/>
              </w:rPr>
            </w:pPr>
            <w:r>
              <w:rPr>
                <w:rFonts w:hint="eastAsia" w:ascii="宋体" w:hAnsi="宋体" w:cs="仿宋"/>
                <w:kern w:val="0"/>
              </w:rPr>
              <w:t>四氯化碳</w:t>
            </w:r>
          </w:p>
        </w:tc>
        <w:tc>
          <w:tcPr>
            <w:tcW w:w="1417" w:type="dxa"/>
            <w:vAlign w:val="center"/>
          </w:tcPr>
          <w:p w14:paraId="51A36ADF">
            <w:pPr>
              <w:spacing w:line="240" w:lineRule="auto"/>
              <w:jc w:val="center"/>
              <w:rPr>
                <w:rFonts w:ascii="宋体" w:hAnsi="宋体" w:cs="仿宋"/>
                <w:kern w:val="0"/>
              </w:rPr>
            </w:pPr>
            <w:r>
              <w:rPr>
                <w:rFonts w:hint="eastAsia" w:ascii="宋体" w:hAnsi="宋体" w:cs="仿宋"/>
                <w:kern w:val="0"/>
              </w:rPr>
              <w:t>2.656</w:t>
            </w:r>
          </w:p>
        </w:tc>
        <w:tc>
          <w:tcPr>
            <w:tcW w:w="1417" w:type="dxa"/>
            <w:vAlign w:val="center"/>
          </w:tcPr>
          <w:p w14:paraId="0547BC84">
            <w:pPr>
              <w:spacing w:line="240" w:lineRule="auto"/>
              <w:jc w:val="center"/>
              <w:rPr>
                <w:rFonts w:ascii="宋体" w:hAnsi="宋体" w:cs="仿宋"/>
                <w:kern w:val="0"/>
              </w:rPr>
            </w:pPr>
            <w:r>
              <w:rPr>
                <w:rFonts w:hint="eastAsia" w:ascii="宋体" w:hAnsi="宋体" w:cs="仿宋"/>
                <w:kern w:val="0"/>
              </w:rPr>
              <w:t>丙酸</w:t>
            </w:r>
          </w:p>
        </w:tc>
        <w:tc>
          <w:tcPr>
            <w:tcW w:w="1416" w:type="dxa"/>
            <w:vAlign w:val="center"/>
          </w:tcPr>
          <w:p w14:paraId="2C17BCB7">
            <w:pPr>
              <w:spacing w:line="240" w:lineRule="auto"/>
              <w:jc w:val="center"/>
              <w:rPr>
                <w:rFonts w:ascii="宋体" w:hAnsi="宋体" w:cs="仿宋"/>
                <w:kern w:val="0"/>
              </w:rPr>
            </w:pPr>
            <w:r>
              <w:rPr>
                <w:rFonts w:hint="eastAsia" w:ascii="宋体" w:hAnsi="宋体" w:cs="仿宋"/>
                <w:kern w:val="0"/>
              </w:rPr>
              <w:t>0.083</w:t>
            </w:r>
          </w:p>
        </w:tc>
        <w:tc>
          <w:tcPr>
            <w:tcW w:w="1564" w:type="dxa"/>
            <w:vAlign w:val="center"/>
          </w:tcPr>
          <w:p w14:paraId="25AF8B21">
            <w:pPr>
              <w:spacing w:line="240" w:lineRule="auto"/>
              <w:jc w:val="center"/>
              <w:rPr>
                <w:rFonts w:ascii="宋体" w:hAnsi="宋体" w:cs="仿宋"/>
                <w:kern w:val="0"/>
              </w:rPr>
            </w:pPr>
            <w:r>
              <w:rPr>
                <w:rFonts w:hint="eastAsia" w:ascii="宋体" w:hAnsi="宋体" w:cs="仿宋"/>
                <w:kern w:val="0"/>
              </w:rPr>
              <w:t>丙烯酸甲酯</w:t>
            </w:r>
          </w:p>
        </w:tc>
        <w:tc>
          <w:tcPr>
            <w:tcW w:w="1270" w:type="dxa"/>
            <w:vAlign w:val="center"/>
          </w:tcPr>
          <w:p w14:paraId="5A7931E0">
            <w:pPr>
              <w:spacing w:line="240" w:lineRule="auto"/>
              <w:jc w:val="center"/>
              <w:rPr>
                <w:rFonts w:ascii="宋体" w:hAnsi="宋体" w:cs="仿宋"/>
                <w:kern w:val="0"/>
              </w:rPr>
            </w:pPr>
            <w:r>
              <w:rPr>
                <w:rFonts w:hint="eastAsia" w:ascii="宋体" w:hAnsi="宋体" w:cs="仿宋"/>
                <w:kern w:val="0"/>
              </w:rPr>
              <w:t>1.246</w:t>
            </w:r>
          </w:p>
        </w:tc>
      </w:tr>
      <w:tr w14:paraId="30F3A07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71E313BC">
            <w:pPr>
              <w:spacing w:line="240" w:lineRule="auto"/>
              <w:jc w:val="center"/>
              <w:rPr>
                <w:rFonts w:ascii="宋体" w:hAnsi="宋体" w:cs="仿宋"/>
                <w:kern w:val="0"/>
              </w:rPr>
            </w:pPr>
            <w:r>
              <w:rPr>
                <w:rFonts w:hint="eastAsia" w:ascii="宋体" w:hAnsi="宋体" w:cs="仿宋"/>
                <w:kern w:val="0"/>
              </w:rPr>
              <w:t>二溴乙烷</w:t>
            </w:r>
          </w:p>
        </w:tc>
        <w:tc>
          <w:tcPr>
            <w:tcW w:w="1417" w:type="dxa"/>
            <w:vAlign w:val="center"/>
          </w:tcPr>
          <w:p w14:paraId="2F78FE39">
            <w:pPr>
              <w:spacing w:line="240" w:lineRule="auto"/>
              <w:jc w:val="center"/>
              <w:rPr>
                <w:rFonts w:ascii="宋体" w:hAnsi="宋体" w:cs="仿宋"/>
                <w:kern w:val="0"/>
              </w:rPr>
            </w:pPr>
            <w:r>
              <w:rPr>
                <w:rFonts w:hint="eastAsia" w:ascii="宋体" w:hAnsi="宋体" w:cs="仿宋"/>
                <w:kern w:val="0"/>
              </w:rPr>
              <w:t>0.679</w:t>
            </w:r>
          </w:p>
        </w:tc>
        <w:tc>
          <w:tcPr>
            <w:tcW w:w="1417" w:type="dxa"/>
            <w:vAlign w:val="center"/>
          </w:tcPr>
          <w:p w14:paraId="4FBD8BFA">
            <w:pPr>
              <w:spacing w:line="240" w:lineRule="auto"/>
              <w:jc w:val="center"/>
              <w:rPr>
                <w:rFonts w:ascii="宋体" w:hAnsi="宋体" w:cs="仿宋"/>
                <w:kern w:val="0"/>
              </w:rPr>
            </w:pPr>
            <w:r>
              <w:rPr>
                <w:rFonts w:hint="eastAsia" w:ascii="宋体" w:hAnsi="宋体" w:cs="仿宋"/>
                <w:kern w:val="0"/>
              </w:rPr>
              <w:t>乙酸丁酯</w:t>
            </w:r>
          </w:p>
        </w:tc>
        <w:tc>
          <w:tcPr>
            <w:tcW w:w="1416" w:type="dxa"/>
            <w:vAlign w:val="center"/>
          </w:tcPr>
          <w:p w14:paraId="35AFC34C">
            <w:pPr>
              <w:spacing w:line="240" w:lineRule="auto"/>
              <w:jc w:val="center"/>
              <w:rPr>
                <w:rFonts w:ascii="宋体" w:hAnsi="宋体" w:cs="仿宋"/>
                <w:kern w:val="0"/>
              </w:rPr>
            </w:pPr>
            <w:r>
              <w:rPr>
                <w:rFonts w:hint="eastAsia" w:ascii="宋体" w:hAnsi="宋体" w:cs="仿宋"/>
                <w:kern w:val="0"/>
              </w:rPr>
              <w:t>0.328</w:t>
            </w:r>
          </w:p>
        </w:tc>
        <w:tc>
          <w:tcPr>
            <w:tcW w:w="1564" w:type="dxa"/>
            <w:vAlign w:val="center"/>
          </w:tcPr>
          <w:p w14:paraId="32E40D68">
            <w:pPr>
              <w:spacing w:line="240" w:lineRule="auto"/>
              <w:jc w:val="center"/>
              <w:rPr>
                <w:rFonts w:ascii="宋体" w:hAnsi="宋体" w:cs="仿宋"/>
                <w:kern w:val="0"/>
              </w:rPr>
            </w:pPr>
            <w:r>
              <w:rPr>
                <w:rFonts w:hint="eastAsia" w:ascii="宋体" w:hAnsi="宋体" w:cs="仿宋"/>
                <w:kern w:val="0"/>
              </w:rPr>
              <w:t>甲基丙烯酸甲酯</w:t>
            </w:r>
          </w:p>
        </w:tc>
        <w:tc>
          <w:tcPr>
            <w:tcW w:w="1270" w:type="dxa"/>
            <w:vAlign w:val="center"/>
          </w:tcPr>
          <w:p w14:paraId="71E31D9A">
            <w:pPr>
              <w:spacing w:line="240" w:lineRule="auto"/>
              <w:jc w:val="center"/>
              <w:rPr>
                <w:rFonts w:ascii="宋体" w:hAnsi="宋体" w:cs="仿宋"/>
                <w:kern w:val="0"/>
              </w:rPr>
            </w:pPr>
            <w:r>
              <w:rPr>
                <w:rFonts w:hint="eastAsia" w:ascii="宋体" w:hAnsi="宋体" w:cs="仿宋"/>
                <w:kern w:val="0"/>
              </w:rPr>
              <w:t>0.539</w:t>
            </w:r>
          </w:p>
        </w:tc>
      </w:tr>
      <w:tr w14:paraId="1631444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416" w:type="dxa"/>
            <w:vAlign w:val="center"/>
          </w:tcPr>
          <w:p w14:paraId="0D5F06DD">
            <w:pPr>
              <w:spacing w:line="240" w:lineRule="auto"/>
              <w:jc w:val="center"/>
              <w:rPr>
                <w:rFonts w:ascii="宋体" w:hAnsi="宋体" w:cs="仿宋"/>
                <w:kern w:val="0"/>
              </w:rPr>
            </w:pPr>
            <w:r>
              <w:rPr>
                <w:rFonts w:hint="eastAsia" w:ascii="宋体" w:hAnsi="宋体" w:cs="仿宋"/>
                <w:kern w:val="0"/>
              </w:rPr>
              <w:t>二氯乙烷</w:t>
            </w:r>
          </w:p>
        </w:tc>
        <w:tc>
          <w:tcPr>
            <w:tcW w:w="1417" w:type="dxa"/>
            <w:vAlign w:val="center"/>
          </w:tcPr>
          <w:p w14:paraId="119710C6">
            <w:pPr>
              <w:spacing w:line="240" w:lineRule="auto"/>
              <w:jc w:val="center"/>
              <w:rPr>
                <w:rFonts w:ascii="宋体" w:hAnsi="宋体" w:cs="仿宋"/>
                <w:kern w:val="0"/>
              </w:rPr>
            </w:pPr>
            <w:r>
              <w:rPr>
                <w:rFonts w:hint="eastAsia" w:ascii="宋体" w:hAnsi="宋体" w:cs="仿宋"/>
                <w:kern w:val="0"/>
              </w:rPr>
              <w:t>1.318</w:t>
            </w:r>
          </w:p>
        </w:tc>
        <w:tc>
          <w:tcPr>
            <w:tcW w:w="1417" w:type="dxa"/>
            <w:vAlign w:val="center"/>
          </w:tcPr>
          <w:p w14:paraId="6B6B3027">
            <w:pPr>
              <w:spacing w:line="240" w:lineRule="auto"/>
              <w:jc w:val="center"/>
              <w:rPr>
                <w:rFonts w:ascii="宋体" w:hAnsi="宋体" w:cs="仿宋"/>
                <w:kern w:val="0"/>
              </w:rPr>
            </w:pPr>
            <w:r>
              <w:rPr>
                <w:rFonts w:hint="eastAsia" w:ascii="宋体" w:hAnsi="宋体" w:cs="仿宋"/>
                <w:kern w:val="0"/>
              </w:rPr>
              <w:t>丙烯酸丁酯</w:t>
            </w:r>
          </w:p>
        </w:tc>
        <w:tc>
          <w:tcPr>
            <w:tcW w:w="1416" w:type="dxa"/>
            <w:vAlign w:val="center"/>
          </w:tcPr>
          <w:p w14:paraId="0A23392A">
            <w:pPr>
              <w:spacing w:line="240" w:lineRule="auto"/>
              <w:jc w:val="center"/>
              <w:rPr>
                <w:rFonts w:ascii="宋体" w:hAnsi="宋体" w:cs="仿宋"/>
                <w:kern w:val="0"/>
              </w:rPr>
            </w:pPr>
            <w:r>
              <w:rPr>
                <w:rFonts w:hint="eastAsia" w:ascii="宋体" w:hAnsi="宋体" w:cs="仿宋"/>
                <w:kern w:val="0"/>
              </w:rPr>
              <w:t>0.214</w:t>
            </w:r>
          </w:p>
        </w:tc>
        <w:tc>
          <w:tcPr>
            <w:tcW w:w="1564" w:type="dxa"/>
            <w:vAlign w:val="center"/>
          </w:tcPr>
          <w:p w14:paraId="0454B071">
            <w:pPr>
              <w:spacing w:line="240" w:lineRule="auto"/>
              <w:jc w:val="center"/>
              <w:rPr>
                <w:rFonts w:ascii="宋体" w:hAnsi="宋体" w:cs="仿宋"/>
                <w:kern w:val="0"/>
              </w:rPr>
            </w:pPr>
            <w:r>
              <w:rPr>
                <w:rFonts w:hint="eastAsia" w:ascii="宋体" w:hAnsi="宋体" w:cs="仿宋"/>
                <w:kern w:val="0"/>
              </w:rPr>
              <w:t>乙酸乙酯</w:t>
            </w:r>
          </w:p>
        </w:tc>
        <w:tc>
          <w:tcPr>
            <w:tcW w:w="1270" w:type="dxa"/>
            <w:vAlign w:val="center"/>
          </w:tcPr>
          <w:p w14:paraId="40018AA9">
            <w:pPr>
              <w:spacing w:line="240" w:lineRule="auto"/>
              <w:jc w:val="center"/>
              <w:rPr>
                <w:rFonts w:ascii="宋体" w:hAnsi="宋体" w:cs="仿宋"/>
                <w:kern w:val="0"/>
              </w:rPr>
            </w:pPr>
            <w:r>
              <w:rPr>
                <w:rFonts w:hint="eastAsia" w:ascii="宋体" w:hAnsi="宋体" w:cs="仿宋"/>
                <w:kern w:val="0"/>
              </w:rPr>
              <w:t>1.294</w:t>
            </w:r>
          </w:p>
        </w:tc>
      </w:tr>
    </w:tbl>
    <w:p w14:paraId="7B15D559">
      <w:pPr>
        <w:pStyle w:val="60"/>
        <w:ind w:firstLine="420"/>
      </w:pPr>
      <w:r>
        <w:t>注：数据摘自台湾《公私场所固定污染源申报空气污染防</w:t>
      </w:r>
      <w:r>
        <w:rPr>
          <w:rFonts w:hint="eastAsia"/>
          <w:lang w:val="en-US" w:eastAsia="zh-CN"/>
        </w:rPr>
        <w:t>治</w:t>
      </w:r>
      <w:bookmarkStart w:id="288" w:name="_GoBack"/>
      <w:bookmarkEnd w:id="288"/>
      <w:r>
        <w:t>费之挥发性有机物</w:t>
      </w:r>
      <w:r>
        <w:rPr>
          <w:rFonts w:hint="eastAsia"/>
        </w:rPr>
        <w:t>之</w:t>
      </w:r>
      <w:r>
        <w:t>操作单元排放系数》</w:t>
      </w:r>
    </w:p>
    <w:p w14:paraId="0FA6AAF3">
      <w:pPr>
        <w:pStyle w:val="60"/>
        <w:ind w:firstLine="420"/>
      </w:pPr>
    </w:p>
    <w:p w14:paraId="1F693F8E">
      <w:pPr>
        <w:pStyle w:val="60"/>
        <w:ind w:firstLine="420"/>
        <w:sectPr>
          <w:pgSz w:w="11906" w:h="16838"/>
          <w:pgMar w:top="2410" w:right="1134" w:bottom="1134" w:left="1134" w:header="1418" w:footer="1134" w:gutter="284"/>
          <w:cols w:space="425" w:num="1"/>
          <w:formProt w:val="0"/>
          <w:docGrid w:linePitch="312" w:charSpace="0"/>
        </w:sectPr>
      </w:pPr>
    </w:p>
    <w:p w14:paraId="733F2EAD">
      <w:pPr>
        <w:pStyle w:val="80"/>
        <w:spacing w:before="60" w:after="120"/>
        <w:ind w:left="0"/>
      </w:pPr>
      <w:bookmarkStart w:id="277" w:name="_Toc170497031"/>
      <w:r>
        <w:rPr>
          <w:rFonts w:hint="eastAsia"/>
        </w:rPr>
        <w:t>(资料性)工艺废气排放V</w:t>
      </w:r>
      <w:r>
        <w:t>OCs</w:t>
      </w:r>
      <w:r>
        <w:rPr>
          <w:rFonts w:hint="eastAsia"/>
        </w:rPr>
        <w:t>排放量计算</w:t>
      </w:r>
      <w:bookmarkEnd w:id="277"/>
    </w:p>
    <w:p w14:paraId="59EEA11A">
      <w:pPr>
        <w:pStyle w:val="82"/>
        <w:numPr>
          <w:ilvl w:val="0"/>
          <w:numId w:val="0"/>
        </w:numPr>
        <w:spacing w:before="120" w:after="120"/>
        <w:jc w:val="left"/>
      </w:pPr>
      <w:bookmarkStart w:id="278" w:name="_Toc170497032"/>
      <w:r>
        <w:rPr>
          <w:rFonts w:hint="eastAsia"/>
        </w:rPr>
        <w:t>F</w:t>
      </w:r>
      <w:r>
        <w:t xml:space="preserve">.1 </w:t>
      </w:r>
      <w:r>
        <w:rPr>
          <w:rFonts w:hint="eastAsia"/>
        </w:rPr>
        <w:t>实测法</w:t>
      </w:r>
      <w:bookmarkEnd w:id="278"/>
    </w:p>
    <w:p w14:paraId="572781D1">
      <w:pPr>
        <w:pStyle w:val="60"/>
        <w:ind w:firstLine="420"/>
        <w:rPr>
          <w:rFonts w:hint="eastAsia"/>
        </w:rPr>
      </w:pPr>
      <w:r>
        <w:rPr>
          <w:rFonts w:hint="eastAsia"/>
        </w:rPr>
        <w:t>工艺废气污染控制设施的捕集效率，可参考表F</w:t>
      </w:r>
      <w:r>
        <w:t>.1</w:t>
      </w:r>
      <w:r>
        <w:rPr>
          <w:rFonts w:hint="eastAsia"/>
        </w:rPr>
        <w:t>。</w:t>
      </w:r>
    </w:p>
    <w:p w14:paraId="32A73ED5">
      <w:pPr>
        <w:pStyle w:val="60"/>
        <w:ind w:firstLine="420"/>
        <w:jc w:val="center"/>
        <w:rPr>
          <w:bCs/>
        </w:rPr>
      </w:pPr>
      <w:r>
        <w:rPr>
          <w:bCs/>
        </w:rPr>
        <w:t>表F.1 不同情况下污染治理设施的捕集效率</w:t>
      </w:r>
    </w:p>
    <w:tbl>
      <w:tblPr>
        <w:tblStyle w:val="29"/>
        <w:tblW w:w="807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3"/>
        <w:gridCol w:w="5391"/>
        <w:gridCol w:w="1271"/>
      </w:tblGrid>
      <w:tr w14:paraId="06D817E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1413" w:type="dxa"/>
            <w:vMerge w:val="restart"/>
            <w:vAlign w:val="center"/>
          </w:tcPr>
          <w:p w14:paraId="552249CB">
            <w:pPr>
              <w:spacing w:line="240" w:lineRule="auto"/>
              <w:jc w:val="center"/>
              <w:rPr>
                <w:rFonts w:ascii="Times New Roman" w:hAnsi="Times New Roman"/>
              </w:rPr>
            </w:pPr>
            <w:r>
              <w:rPr>
                <w:rFonts w:ascii="Times New Roman" w:hAnsi="Times New Roman"/>
              </w:rPr>
              <w:t>类别</w:t>
            </w:r>
          </w:p>
        </w:tc>
        <w:tc>
          <w:tcPr>
            <w:tcW w:w="6662" w:type="dxa"/>
            <w:gridSpan w:val="2"/>
            <w:vAlign w:val="center"/>
          </w:tcPr>
          <w:p w14:paraId="1F75D77A">
            <w:pPr>
              <w:spacing w:line="240" w:lineRule="auto"/>
              <w:jc w:val="center"/>
              <w:rPr>
                <w:rFonts w:ascii="Times New Roman" w:hAnsi="Times New Roman"/>
              </w:rPr>
            </w:pPr>
            <w:r>
              <w:rPr>
                <w:rFonts w:ascii="Times New Roman" w:hAnsi="Times New Roman"/>
              </w:rPr>
              <w:t>控制效率</w:t>
            </w:r>
          </w:p>
        </w:tc>
      </w:tr>
      <w:tr w14:paraId="6AD79DC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1413" w:type="dxa"/>
            <w:vMerge w:val="continue"/>
            <w:vAlign w:val="center"/>
          </w:tcPr>
          <w:p w14:paraId="2B1A7FD8">
            <w:pPr>
              <w:spacing w:line="240" w:lineRule="auto"/>
              <w:ind w:firstLine="360"/>
              <w:jc w:val="center"/>
              <w:rPr>
                <w:rFonts w:ascii="Times New Roman" w:hAnsi="Times New Roman"/>
              </w:rPr>
            </w:pPr>
          </w:p>
        </w:tc>
        <w:tc>
          <w:tcPr>
            <w:tcW w:w="5391" w:type="dxa"/>
            <w:tcBorders>
              <w:top w:val="single" w:color="auto" w:sz="12" w:space="0"/>
            </w:tcBorders>
            <w:vAlign w:val="center"/>
          </w:tcPr>
          <w:p w14:paraId="32A74368">
            <w:pPr>
              <w:spacing w:line="240" w:lineRule="auto"/>
              <w:jc w:val="center"/>
              <w:rPr>
                <w:rFonts w:ascii="Times New Roman" w:hAnsi="Times New Roman"/>
              </w:rPr>
            </w:pPr>
            <w:r>
              <w:rPr>
                <w:rFonts w:ascii="Times New Roman" w:hAnsi="Times New Roman"/>
              </w:rPr>
              <w:t>条件</w:t>
            </w:r>
          </w:p>
        </w:tc>
        <w:tc>
          <w:tcPr>
            <w:tcW w:w="1271" w:type="dxa"/>
            <w:vAlign w:val="center"/>
          </w:tcPr>
          <w:p w14:paraId="55D1C0A0">
            <w:pPr>
              <w:spacing w:line="240" w:lineRule="auto"/>
              <w:jc w:val="center"/>
              <w:rPr>
                <w:rFonts w:ascii="Times New Roman" w:hAnsi="Times New Roman"/>
              </w:rPr>
            </w:pPr>
            <w:r>
              <w:rPr>
                <w:rFonts w:ascii="Times New Roman" w:hAnsi="Times New Roman"/>
              </w:rPr>
              <w:t>捕集效率（%）</w:t>
            </w:r>
          </w:p>
        </w:tc>
      </w:tr>
      <w:tr w14:paraId="0BD3FB7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413" w:type="dxa"/>
            <w:vMerge w:val="restart"/>
            <w:tcBorders>
              <w:top w:val="single" w:color="auto" w:sz="12" w:space="0"/>
            </w:tcBorders>
            <w:vAlign w:val="center"/>
          </w:tcPr>
          <w:p w14:paraId="6CCCCB75">
            <w:pPr>
              <w:spacing w:line="240" w:lineRule="auto"/>
              <w:jc w:val="center"/>
              <w:rPr>
                <w:rFonts w:ascii="Times New Roman" w:hAnsi="Times New Roman"/>
              </w:rPr>
            </w:pPr>
            <w:r>
              <w:rPr>
                <w:rFonts w:ascii="Times New Roman" w:hAnsi="Times New Roman"/>
              </w:rPr>
              <w:t>密闭操作</w:t>
            </w:r>
          </w:p>
        </w:tc>
        <w:tc>
          <w:tcPr>
            <w:tcW w:w="5391" w:type="dxa"/>
            <w:tcBorders>
              <w:top w:val="single" w:color="auto" w:sz="12" w:space="0"/>
            </w:tcBorders>
            <w:vAlign w:val="center"/>
          </w:tcPr>
          <w:p w14:paraId="07A64490">
            <w:pPr>
              <w:spacing w:line="240" w:lineRule="auto"/>
              <w:ind w:firstLine="420" w:firstLineChars="200"/>
              <w:rPr>
                <w:rFonts w:ascii="Times New Roman" w:hAnsi="Times New Roman"/>
              </w:rPr>
            </w:pPr>
            <w:r>
              <w:rPr>
                <w:rFonts w:ascii="Times New Roman" w:hAnsi="Times New Roman"/>
              </w:rPr>
              <w:t>VOCs通过密闭管道直接排入处理设施，不向大气无组织排放；或在密闭空间区域内无组织排放但通过抽风设施排入处理设施，无组织排放区域、人员、物料进出口均处于负压操作状态，并设有压力监测器。</w:t>
            </w:r>
          </w:p>
        </w:tc>
        <w:tc>
          <w:tcPr>
            <w:tcW w:w="1271" w:type="dxa"/>
            <w:tcBorders>
              <w:top w:val="single" w:color="auto" w:sz="12" w:space="0"/>
            </w:tcBorders>
            <w:vAlign w:val="center"/>
          </w:tcPr>
          <w:p w14:paraId="10A101F0">
            <w:pPr>
              <w:spacing w:line="240" w:lineRule="auto"/>
              <w:jc w:val="center"/>
              <w:rPr>
                <w:rFonts w:ascii="Times New Roman" w:hAnsi="Times New Roman"/>
              </w:rPr>
            </w:pPr>
            <w:r>
              <w:rPr>
                <w:rFonts w:ascii="Times New Roman" w:hAnsi="Times New Roman"/>
              </w:rPr>
              <w:t>100</w:t>
            </w:r>
          </w:p>
        </w:tc>
      </w:tr>
      <w:tr w14:paraId="195AD56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vMerge w:val="continue"/>
            <w:vAlign w:val="center"/>
          </w:tcPr>
          <w:p w14:paraId="5E624B82">
            <w:pPr>
              <w:spacing w:line="240" w:lineRule="auto"/>
              <w:ind w:firstLine="360"/>
              <w:jc w:val="center"/>
              <w:rPr>
                <w:rFonts w:ascii="Times New Roman" w:hAnsi="Times New Roman"/>
              </w:rPr>
            </w:pPr>
          </w:p>
        </w:tc>
        <w:tc>
          <w:tcPr>
            <w:tcW w:w="5391" w:type="dxa"/>
            <w:vAlign w:val="center"/>
          </w:tcPr>
          <w:p w14:paraId="7BF7A72B">
            <w:pPr>
              <w:spacing w:line="240" w:lineRule="auto"/>
              <w:ind w:firstLine="420" w:firstLineChars="200"/>
              <w:rPr>
                <w:rFonts w:ascii="Times New Roman" w:hAnsi="Times New Roman"/>
              </w:rPr>
            </w:pPr>
            <w:r>
              <w:rPr>
                <w:rFonts w:ascii="Times New Roman" w:hAnsi="Times New Roman"/>
              </w:rPr>
              <w:t>VOCs在密闭空间区域内无组织排放但通过抽风设施排入处理设施，无组织排放区域处于负压操作状态，并设有压力监测器。</w:t>
            </w:r>
          </w:p>
        </w:tc>
        <w:tc>
          <w:tcPr>
            <w:tcW w:w="1271" w:type="dxa"/>
            <w:vAlign w:val="center"/>
          </w:tcPr>
          <w:p w14:paraId="66D520DE">
            <w:pPr>
              <w:spacing w:line="240" w:lineRule="auto"/>
              <w:jc w:val="center"/>
              <w:rPr>
                <w:rFonts w:ascii="Times New Roman" w:hAnsi="Times New Roman"/>
              </w:rPr>
            </w:pPr>
            <w:r>
              <w:rPr>
                <w:rFonts w:ascii="Times New Roman" w:hAnsi="Times New Roman"/>
              </w:rPr>
              <w:t>90</w:t>
            </w:r>
          </w:p>
        </w:tc>
      </w:tr>
      <w:tr w14:paraId="086F8CA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vAlign w:val="center"/>
          </w:tcPr>
          <w:p w14:paraId="4CBA2B82">
            <w:pPr>
              <w:spacing w:line="240" w:lineRule="auto"/>
              <w:jc w:val="center"/>
              <w:rPr>
                <w:rFonts w:ascii="Times New Roman" w:hAnsi="Times New Roman"/>
              </w:rPr>
            </w:pPr>
            <w:r>
              <w:rPr>
                <w:rFonts w:ascii="Times New Roman" w:hAnsi="Times New Roman"/>
              </w:rPr>
              <w:t>排气柜</w:t>
            </w:r>
          </w:p>
        </w:tc>
        <w:tc>
          <w:tcPr>
            <w:tcW w:w="5391" w:type="dxa"/>
            <w:vAlign w:val="center"/>
          </w:tcPr>
          <w:p w14:paraId="1D23F890">
            <w:pPr>
              <w:spacing w:line="240" w:lineRule="auto"/>
              <w:ind w:firstLine="420" w:firstLineChars="200"/>
              <w:rPr>
                <w:rFonts w:ascii="Times New Roman" w:hAnsi="Times New Roman"/>
              </w:rPr>
            </w:pPr>
            <w:r>
              <w:rPr>
                <w:rFonts w:ascii="Times New Roman" w:hAnsi="Times New Roman"/>
              </w:rPr>
              <w:t>VOCs在非密闭空间区域内无组织排放但通过抽风设施排入处理设施，且采用集气柜作为废气收集系统。</w:t>
            </w:r>
          </w:p>
        </w:tc>
        <w:tc>
          <w:tcPr>
            <w:tcW w:w="1271" w:type="dxa"/>
            <w:vAlign w:val="center"/>
          </w:tcPr>
          <w:p w14:paraId="08037A18">
            <w:pPr>
              <w:spacing w:line="240" w:lineRule="auto"/>
              <w:jc w:val="center"/>
              <w:rPr>
                <w:rFonts w:ascii="Times New Roman" w:hAnsi="Times New Roman"/>
              </w:rPr>
            </w:pPr>
            <w:r>
              <w:rPr>
                <w:rFonts w:ascii="Times New Roman" w:hAnsi="Times New Roman"/>
              </w:rPr>
              <w:t>80</w:t>
            </w:r>
          </w:p>
        </w:tc>
      </w:tr>
      <w:tr w14:paraId="6C55B72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vAlign w:val="center"/>
          </w:tcPr>
          <w:p w14:paraId="3A741419">
            <w:pPr>
              <w:spacing w:line="240" w:lineRule="auto"/>
              <w:jc w:val="center"/>
              <w:rPr>
                <w:rFonts w:ascii="Times New Roman" w:hAnsi="Times New Roman"/>
              </w:rPr>
            </w:pPr>
            <w:r>
              <w:rPr>
                <w:rFonts w:ascii="Times New Roman" w:hAnsi="Times New Roman"/>
              </w:rPr>
              <w:t>外部吸（集、排）气罩</w:t>
            </w:r>
          </w:p>
        </w:tc>
        <w:tc>
          <w:tcPr>
            <w:tcW w:w="5391" w:type="dxa"/>
            <w:vAlign w:val="center"/>
          </w:tcPr>
          <w:p w14:paraId="1233E1B8">
            <w:pPr>
              <w:spacing w:line="240" w:lineRule="auto"/>
              <w:ind w:firstLine="420" w:firstLineChars="200"/>
              <w:rPr>
                <w:rFonts w:ascii="Times New Roman" w:hAnsi="Times New Roman"/>
              </w:rPr>
            </w:pPr>
            <w:r>
              <w:rPr>
                <w:rFonts w:ascii="Times New Roman" w:hAnsi="Times New Roman"/>
              </w:rPr>
              <w:t>VOCs在非密闭空间区域内无组织排放但通过抽风设施排入处理设施，且采用外部吸（集、排）气罩作为废气收集系统。</w:t>
            </w:r>
          </w:p>
        </w:tc>
        <w:tc>
          <w:tcPr>
            <w:tcW w:w="1271" w:type="dxa"/>
            <w:vAlign w:val="center"/>
          </w:tcPr>
          <w:p w14:paraId="6B671321">
            <w:pPr>
              <w:spacing w:line="240" w:lineRule="auto"/>
              <w:jc w:val="center"/>
              <w:rPr>
                <w:rFonts w:ascii="Times New Roman" w:hAnsi="Times New Roman"/>
              </w:rPr>
            </w:pPr>
            <w:r>
              <w:rPr>
                <w:rFonts w:ascii="Times New Roman" w:hAnsi="Times New Roman"/>
              </w:rPr>
              <w:t>60</w:t>
            </w:r>
          </w:p>
        </w:tc>
      </w:tr>
      <w:tr w14:paraId="23C21F4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vAlign w:val="center"/>
          </w:tcPr>
          <w:p w14:paraId="2F60F943">
            <w:pPr>
              <w:spacing w:line="240" w:lineRule="auto"/>
              <w:jc w:val="center"/>
              <w:rPr>
                <w:rFonts w:ascii="Times New Roman" w:hAnsi="Times New Roman"/>
              </w:rPr>
            </w:pPr>
            <w:r>
              <w:rPr>
                <w:rFonts w:ascii="Times New Roman" w:hAnsi="Times New Roman"/>
              </w:rPr>
              <w:t>无集气设施</w:t>
            </w:r>
          </w:p>
        </w:tc>
        <w:tc>
          <w:tcPr>
            <w:tcW w:w="5391" w:type="dxa"/>
            <w:vAlign w:val="center"/>
          </w:tcPr>
          <w:p w14:paraId="364756EF">
            <w:pPr>
              <w:spacing w:line="240" w:lineRule="auto"/>
              <w:ind w:firstLine="420" w:firstLineChars="200"/>
              <w:rPr>
                <w:rFonts w:ascii="Times New Roman" w:hAnsi="Times New Roman"/>
              </w:rPr>
            </w:pPr>
            <w:r>
              <w:rPr>
                <w:rFonts w:ascii="Times New Roman" w:hAnsi="Times New Roman"/>
              </w:rPr>
              <w:t>无废气收集系统或抽风设备不运行的。</w:t>
            </w:r>
          </w:p>
        </w:tc>
        <w:tc>
          <w:tcPr>
            <w:tcW w:w="1271" w:type="dxa"/>
            <w:vAlign w:val="center"/>
          </w:tcPr>
          <w:p w14:paraId="69DECF43">
            <w:pPr>
              <w:spacing w:line="240" w:lineRule="auto"/>
              <w:jc w:val="center"/>
              <w:rPr>
                <w:rFonts w:ascii="Times New Roman" w:hAnsi="Times New Roman"/>
              </w:rPr>
            </w:pPr>
            <w:r>
              <w:rPr>
                <w:rFonts w:ascii="Times New Roman" w:hAnsi="Times New Roman"/>
              </w:rPr>
              <w:t>0</w:t>
            </w:r>
          </w:p>
        </w:tc>
      </w:tr>
    </w:tbl>
    <w:p w14:paraId="422846F8">
      <w:pPr>
        <w:pStyle w:val="82"/>
        <w:numPr>
          <w:ilvl w:val="0"/>
          <w:numId w:val="0"/>
        </w:numPr>
        <w:spacing w:before="120" w:after="120"/>
        <w:jc w:val="left"/>
        <w:rPr>
          <w:rFonts w:hint="eastAsia"/>
        </w:rPr>
      </w:pPr>
      <w:bookmarkStart w:id="279" w:name="_Toc170497033"/>
      <w:r>
        <w:rPr>
          <w:rFonts w:hint="eastAsia"/>
        </w:rPr>
        <w:t>F</w:t>
      </w:r>
      <w:r>
        <w:t xml:space="preserve">.2 </w:t>
      </w:r>
      <w:r>
        <w:rPr>
          <w:rFonts w:hint="eastAsia"/>
        </w:rPr>
        <w:t>公式法</w:t>
      </w:r>
      <w:bookmarkEnd w:id="279"/>
    </w:p>
    <w:p w14:paraId="6936836A">
      <w:pPr>
        <w:pStyle w:val="60"/>
        <w:ind w:firstLine="420"/>
        <w:rPr>
          <w:rFonts w:hint="eastAsia"/>
        </w:rPr>
      </w:pPr>
      <w:r>
        <w:rPr>
          <w:rFonts w:hint="eastAsia"/>
        </w:rPr>
        <w:t>a</w:t>
      </w:r>
      <w:r>
        <w:t>）加料损失</w:t>
      </w:r>
    </w:p>
    <w:p w14:paraId="6B5C622E">
      <w:pPr>
        <w:pStyle w:val="60"/>
        <w:ind w:firstLine="420"/>
      </w:pPr>
      <w:r>
        <w:t>加料损失主要是反应釜、搅拌釜、研磨机等设备进行投料，或进行产品、原辅料进行罐装过程中物料体积置换蒸汽产生的VOCs。当含有物料蒸汽的气体产生仅为物料体积置换所致，且物料处于恒温状态，加料（罐装）损失按公式(F.1)计算。</w:t>
      </w:r>
    </w:p>
    <w:p w14:paraId="522F7566">
      <w:pPr>
        <w:pStyle w:val="242"/>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加料</m:t>
            </m:r>
            <m:ctrlPr>
              <w:rPr>
                <w:rFonts w:ascii="Cambria Math" w:hAnsi="Cambria Math"/>
              </w:rPr>
            </m:ctrlPr>
          </m:sub>
        </m:sSub>
        <m:r>
          <m:rPr>
            <m:sty m:val="p"/>
          </m:rPr>
          <w:rPr>
            <w:rFonts w:ascii="Cambria Math" w:hAnsi="Cambria Math"/>
          </w:rPr>
          <m:t>=1.2×1</m:t>
        </m:r>
        <m:sSup>
          <m:sSupPr>
            <m:ctrlPr>
              <w:rPr>
                <w:rFonts w:ascii="Cambria Math" w:hAnsi="Cambria Math"/>
              </w:rPr>
            </m:ctrlPr>
          </m:sSupPr>
          <m:e>
            <m:r>
              <m:rPr>
                <m:sty m:val="p"/>
              </m:rPr>
              <w:rPr>
                <w:rFonts w:ascii="Cambria Math" w:hAnsi="Cambria Math"/>
              </w:rPr>
              <m:t>0</m:t>
            </m:r>
            <m:ctrlPr>
              <w:rPr>
                <w:rFonts w:ascii="Cambria Math" w:hAnsi="Cambria Math"/>
              </w:rPr>
            </m:ctrlPr>
          </m:e>
          <m:sup>
            <m:r>
              <m:rPr>
                <m:sty m:val="p"/>
              </m:rPr>
              <w:rPr>
                <w:rFonts w:ascii="Cambria Math" w:hAnsi="Cambria Math"/>
              </w:rPr>
              <m:t>−4</m:t>
            </m:r>
            <m:ctrlPr>
              <w:rPr>
                <w:rFonts w:ascii="Cambria Math" w:hAnsi="Cambria Math"/>
              </w:rPr>
            </m:ctrlPr>
          </m:sup>
        </m:sSup>
        <m:r>
          <m:rPr>
            <m:sty m:val="p"/>
          </m:rPr>
          <w:rPr>
            <w:rFonts w:ascii="Cambria Math" w:hAnsi="Cambria Math"/>
          </w:rPr>
          <m:t>×</m:t>
        </m:r>
        <m:f>
          <m:fPr>
            <m:ctrlPr>
              <w:rPr>
                <w:rFonts w:ascii="Cambria Math" w:hAnsi="Cambria Math"/>
              </w:rPr>
            </m:ctrlPr>
          </m:fPr>
          <m:num>
            <m:r>
              <m:rPr/>
              <w:rPr>
                <w:rFonts w:ascii="Cambria Math" w:hAnsi="Cambria Math"/>
              </w:rPr>
              <m:t>S</m:t>
            </m:r>
            <m:r>
              <m:rPr>
                <m:sty m:val="p"/>
              </m:rPr>
              <w:rPr>
                <w:rFonts w:ascii="Cambria Math" w:hAnsi="Cambria Math"/>
              </w:rPr>
              <m:t>×</m:t>
            </m:r>
            <m:r>
              <m:rPr/>
              <w:rPr>
                <w:rFonts w:ascii="Cambria Math" w:hAnsi="Cambria Math"/>
              </w:rPr>
              <m:t>P</m:t>
            </m:r>
            <m:r>
              <m:rPr>
                <m:sty m:val="p"/>
              </m:rPr>
              <w:rPr>
                <w:rFonts w:ascii="Cambria Math" w:hAnsi="Cambria Math"/>
              </w:rPr>
              <m:t>×</m:t>
            </m:r>
            <m:r>
              <m:rPr/>
              <w:rPr>
                <w:rFonts w:ascii="Cambria Math" w:hAnsi="Cambria Math"/>
              </w:rPr>
              <m:t>M</m:t>
            </m:r>
            <m:r>
              <m:rPr>
                <m:sty m:val="p"/>
              </m:rPr>
              <w:rPr>
                <w:rFonts w:ascii="Cambria Math" w:hAnsi="Cambria Math"/>
              </w:rPr>
              <m:t>×</m:t>
            </m:r>
            <m:r>
              <m:rPr/>
              <w:rPr>
                <w:rFonts w:ascii="Cambria Math" w:hAnsi="Cambria Math"/>
              </w:rPr>
              <m:t>V</m:t>
            </m:r>
            <m:ctrlPr>
              <w:rPr>
                <w:rFonts w:ascii="Cambria Math" w:hAnsi="Cambria Math"/>
              </w:rPr>
            </m:ctrlPr>
          </m:num>
          <m:den>
            <m:r>
              <m:rPr/>
              <w:rPr>
                <w:rFonts w:ascii="Cambria Math" w:hAnsi="Cambria Math"/>
              </w:rPr>
              <m:t>T</m:t>
            </m:r>
            <m:ctrlPr>
              <w:rPr>
                <w:rFonts w:ascii="Cambria Math" w:hAnsi="Cambria Math"/>
              </w:rPr>
            </m:ctrlPr>
          </m:den>
        </m:f>
      </m:oMath>
      <w:r>
        <w:tab/>
      </w:r>
      <w:r>
        <w:t>(</w:t>
      </w:r>
      <w:r>
        <w:rPr>
          <w:rFonts w:hint="eastAsia"/>
        </w:rPr>
        <w:t>F</w:t>
      </w:r>
      <w:r>
        <w:t>.1)</w:t>
      </w:r>
    </w:p>
    <w:p w14:paraId="7327F42E">
      <w:pPr>
        <w:pStyle w:val="60"/>
        <w:ind w:firstLine="420"/>
      </w:pPr>
      <w:r>
        <w:t>式中</w:t>
      </w:r>
      <w:r>
        <w:rPr>
          <w:rFonts w:hint="eastAsia"/>
        </w:rPr>
        <w:t>：</w:t>
      </w:r>
    </w:p>
    <w:p w14:paraId="4CBB1FEC">
      <w:pPr>
        <w:pStyle w:val="60"/>
        <w:ind w:firstLine="420"/>
      </w:pPr>
      <w:r>
        <w:t>E</w:t>
      </w:r>
      <w:r>
        <w:rPr>
          <w:vertAlign w:val="subscript"/>
        </w:rPr>
        <w:t>加料</w:t>
      </w:r>
      <w:r>
        <w:rPr>
          <w:rFonts w:hint="eastAsia"/>
          <w:spacing w:val="-20"/>
        </w:rPr>
        <w:t>——</w:t>
      </w:r>
      <w:r>
        <w:t>统计期内加料（罐装）的VOCs产生量，千克；</w:t>
      </w:r>
    </w:p>
    <w:p w14:paraId="71DD5973">
      <w:pPr>
        <w:pStyle w:val="60"/>
        <w:ind w:firstLine="420"/>
      </w:pPr>
      <w:r>
        <w:t>S</w:t>
      </w:r>
      <w:r>
        <w:rPr>
          <w:rFonts w:hint="eastAsia"/>
          <w:spacing w:val="-20"/>
        </w:rPr>
        <w:t>——</w:t>
      </w:r>
      <w:r>
        <w:t>饱和系数，详见表F.2；</w:t>
      </w:r>
    </w:p>
    <w:p w14:paraId="52B62A52">
      <w:pPr>
        <w:pStyle w:val="60"/>
        <w:ind w:firstLine="420"/>
      </w:pPr>
      <w:r>
        <w:t>P</w:t>
      </w:r>
      <w:r>
        <w:rPr>
          <w:rFonts w:hint="eastAsia"/>
          <w:spacing w:val="-20"/>
        </w:rPr>
        <w:t>——</w:t>
      </w:r>
      <w:r>
        <w:t>在温度T下，液体物料的蒸汽压，千帕（绝压）；</w:t>
      </w:r>
    </w:p>
    <w:p w14:paraId="29C349EB">
      <w:pPr>
        <w:pStyle w:val="60"/>
        <w:ind w:firstLine="420"/>
      </w:pPr>
      <w:r>
        <w:t>M</w:t>
      </w:r>
      <w:r>
        <w:rPr>
          <w:rFonts w:hint="eastAsia"/>
          <w:spacing w:val="-20"/>
        </w:rPr>
        <w:t>——</w:t>
      </w:r>
      <w:r>
        <w:t>蒸汽摩尔质量，千克/摩尔；</w:t>
      </w:r>
    </w:p>
    <w:p w14:paraId="3D6FB154">
      <w:pPr>
        <w:pStyle w:val="60"/>
        <w:ind w:firstLine="420"/>
      </w:pPr>
      <w:r>
        <w:t>V</w:t>
      </w:r>
      <w:r>
        <w:rPr>
          <w:rFonts w:hint="eastAsia"/>
          <w:spacing w:val="-20"/>
        </w:rPr>
        <w:t>——</w:t>
      </w:r>
      <w:r>
        <w:t>统计期内液体物料装载（罐装）量，升；</w:t>
      </w:r>
    </w:p>
    <w:p w14:paraId="01B7991C">
      <w:pPr>
        <w:pStyle w:val="60"/>
        <w:ind w:firstLine="420"/>
      </w:pPr>
      <w:r>
        <w:t>T</w:t>
      </w:r>
      <w:r>
        <w:rPr>
          <w:rFonts w:hint="eastAsia"/>
          <w:spacing w:val="-20"/>
        </w:rPr>
        <w:t>——</w:t>
      </w:r>
      <w:r>
        <w:t>液体装载温度，开氏度（绝对温度）。</w:t>
      </w:r>
    </w:p>
    <w:p w14:paraId="7B796C7C">
      <w:pPr>
        <w:pStyle w:val="60"/>
        <w:ind w:firstLine="420"/>
        <w:jc w:val="center"/>
        <w:rPr>
          <w:bCs/>
        </w:rPr>
      </w:pPr>
      <w:r>
        <w:rPr>
          <w:bCs/>
        </w:rPr>
        <w:t xml:space="preserve">表F.2 </w:t>
      </w:r>
      <w:r>
        <w:rPr>
          <w:rFonts w:hint="eastAsia"/>
          <w:bCs/>
        </w:rPr>
        <w:t>饱和</w:t>
      </w:r>
      <w:r>
        <w:rPr>
          <w:bCs/>
        </w:rPr>
        <w:t>系数</w:t>
      </w:r>
      <w:r>
        <w:rPr>
          <w:bCs/>
          <w:i/>
        </w:rPr>
        <w:t>S</w:t>
      </w:r>
    </w:p>
    <w:tbl>
      <w:tblPr>
        <w:tblStyle w:val="29"/>
        <w:tblW w:w="6379"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7"/>
        <w:gridCol w:w="3402"/>
      </w:tblGrid>
      <w:tr w14:paraId="1A4B92E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blHeader/>
          <w:jc w:val="center"/>
        </w:trPr>
        <w:tc>
          <w:tcPr>
            <w:tcW w:w="2977" w:type="dxa"/>
            <w:tcBorders>
              <w:bottom w:val="single" w:color="000000" w:sz="12" w:space="0"/>
            </w:tcBorders>
            <w:vAlign w:val="center"/>
          </w:tcPr>
          <w:p w14:paraId="7C43BC6B">
            <w:pPr>
              <w:pStyle w:val="60"/>
              <w:ind w:firstLine="420"/>
              <w:jc w:val="center"/>
            </w:pPr>
            <w:r>
              <w:rPr>
                <w:rFonts w:hint="eastAsia"/>
              </w:rPr>
              <w:t>操作方式</w:t>
            </w:r>
          </w:p>
        </w:tc>
        <w:tc>
          <w:tcPr>
            <w:tcW w:w="3402" w:type="dxa"/>
            <w:tcBorders>
              <w:bottom w:val="single" w:color="000000" w:sz="12" w:space="0"/>
            </w:tcBorders>
            <w:vAlign w:val="center"/>
          </w:tcPr>
          <w:p w14:paraId="4DA050E0">
            <w:pPr>
              <w:pStyle w:val="60"/>
              <w:ind w:firstLine="420"/>
              <w:jc w:val="center"/>
            </w:pPr>
            <w:r>
              <w:rPr>
                <w:rFonts w:hint="eastAsia"/>
              </w:rPr>
              <w:t>饱和系数</w:t>
            </w:r>
            <w:r>
              <w:t>（S）</w:t>
            </w:r>
          </w:p>
        </w:tc>
      </w:tr>
      <w:tr w14:paraId="06719BC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977" w:type="dxa"/>
            <w:tcBorders>
              <w:top w:val="single" w:color="000000" w:sz="12" w:space="0"/>
            </w:tcBorders>
            <w:vAlign w:val="center"/>
          </w:tcPr>
          <w:p w14:paraId="604F15C9">
            <w:pPr>
              <w:pStyle w:val="60"/>
              <w:ind w:firstLine="420"/>
              <w:jc w:val="center"/>
            </w:pPr>
            <w:r>
              <w:rPr>
                <w:rFonts w:hint="eastAsia"/>
              </w:rPr>
              <w:t>底部/液下装载</w:t>
            </w:r>
          </w:p>
        </w:tc>
        <w:tc>
          <w:tcPr>
            <w:tcW w:w="3402" w:type="dxa"/>
            <w:tcBorders>
              <w:top w:val="single" w:color="000000" w:sz="12" w:space="0"/>
            </w:tcBorders>
            <w:vAlign w:val="center"/>
          </w:tcPr>
          <w:p w14:paraId="55039B82">
            <w:pPr>
              <w:pStyle w:val="60"/>
              <w:ind w:firstLine="420"/>
              <w:jc w:val="center"/>
            </w:pPr>
            <w:r>
              <w:t>0.6</w:t>
            </w:r>
          </w:p>
        </w:tc>
      </w:tr>
      <w:tr w14:paraId="567EF16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977" w:type="dxa"/>
            <w:vAlign w:val="center"/>
          </w:tcPr>
          <w:p w14:paraId="4F70E034">
            <w:pPr>
              <w:pStyle w:val="60"/>
              <w:ind w:firstLine="420"/>
              <w:jc w:val="center"/>
            </w:pPr>
            <w:r>
              <w:rPr>
                <w:rFonts w:hint="eastAsia"/>
              </w:rPr>
              <w:t>喷溅式装载</w:t>
            </w:r>
          </w:p>
        </w:tc>
        <w:tc>
          <w:tcPr>
            <w:tcW w:w="3402" w:type="dxa"/>
            <w:vAlign w:val="center"/>
          </w:tcPr>
          <w:p w14:paraId="3856015C">
            <w:pPr>
              <w:pStyle w:val="60"/>
              <w:ind w:firstLine="420"/>
              <w:jc w:val="center"/>
            </w:pPr>
            <w:r>
              <w:t>1.45</w:t>
            </w:r>
          </w:p>
        </w:tc>
      </w:tr>
    </w:tbl>
    <w:p w14:paraId="5F00B59E">
      <w:pPr>
        <w:pStyle w:val="60"/>
        <w:ind w:firstLine="420"/>
      </w:pPr>
      <w:r>
        <w:rPr>
          <w:rFonts w:hint="eastAsia"/>
        </w:rPr>
        <w:t>b</w:t>
      </w:r>
      <w:r>
        <w:t>）升温损失</w:t>
      </w:r>
    </w:p>
    <w:p w14:paraId="39445221">
      <w:pPr>
        <w:pStyle w:val="60"/>
        <w:ind w:firstLine="420"/>
      </w:pPr>
      <w:r>
        <w:t>反应釜内物料升温过程的VOCs产生量用理想气体方程和气-液平衡原理计算。</w:t>
      </w:r>
    </w:p>
    <w:p w14:paraId="0D0F8CC4">
      <w:pPr>
        <w:pStyle w:val="60"/>
        <w:ind w:firstLine="420"/>
      </w:pPr>
      <w:r>
        <w:t>假设：升温过程中反应釜是封闭的，溶剂蒸气仅通过排气管排放；升温过程中不向反应釜中添加物料；物料液体与VOCs蒸气平衡，并达到饱和状态；升温过程反应釜中蒸汽气相空间的摩尔组成变化，但平均蒸汽气相空间体积保持不变。</w:t>
      </w:r>
    </w:p>
    <w:p w14:paraId="2897E756">
      <w:pPr>
        <w:pStyle w:val="60"/>
        <w:ind w:firstLine="420"/>
      </w:pPr>
      <w:r>
        <w:t>计算基于用加热初始和终点气相空间组成确定从反应釜置换出的不凝气组分量，若加热过程中用氮气吹扫，从反应釜中置换的不凝气量需考虑氮气吹扫量。</w:t>
      </w:r>
    </w:p>
    <w:p w14:paraId="6692A78E">
      <w:pPr>
        <w:pStyle w:val="242"/>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升温</m:t>
            </m:r>
            <m:ctrlPr>
              <w:rPr>
                <w:rFonts w:ascii="Cambria Math" w:hAnsi="Cambria Math"/>
              </w:rPr>
            </m:ctrlPr>
          </m:sub>
        </m:sSub>
        <m:r>
          <m:rPr>
            <m:sty m:val="p"/>
          </m:rPr>
          <w:rPr>
            <w:rFonts w:ascii="Cambria Math" w:hAnsi="Cambria Math"/>
          </w:rPr>
          <m:t>=</m:t>
        </m:r>
        <m:nary>
          <m:naryPr>
            <m:chr m:val="∑"/>
            <m:ctrlPr>
              <w:rPr>
                <w:rFonts w:ascii="Cambria Math" w:hAnsi="Cambria Math"/>
              </w:rPr>
            </m:ctrlPr>
          </m:naryPr>
          <m:sub>
            <m:r>
              <m:rPr>
                <m:sty m:val="bi"/>
              </m:rPr>
              <w:rPr>
                <w:rFonts w:ascii="Cambria Math" w:hAnsi="Cambria Math"/>
              </w:rPr>
              <m:t>i</m:t>
            </m:r>
            <m:r>
              <m:rPr>
                <m:sty m:val="p"/>
              </m:rPr>
              <w:rPr>
                <w:rFonts w:ascii="Cambria Math" w:hAnsi="Cambria Math"/>
              </w:rPr>
              <m:t>=1</m:t>
            </m:r>
            <m:ctrlPr>
              <w:rPr>
                <w:rFonts w:ascii="Cambria Math" w:hAnsi="Cambria Math"/>
              </w:rPr>
            </m:ctrlPr>
          </m:sub>
          <m:sup>
            <m:r>
              <m:rPr>
                <m:sty m:val="bi"/>
              </m:rPr>
              <w:rPr>
                <w:rFonts w:ascii="Cambria Math" w:hAnsi="Cambria Math"/>
              </w:rPr>
              <m:t>B</m:t>
            </m:r>
            <m:ctrlPr>
              <w:rPr>
                <w:rFonts w:ascii="Cambria Math" w:hAnsi="Cambria Math"/>
              </w:rPr>
            </m:ctrlPr>
          </m:sup>
          <m:e>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x</m:t>
                    </m:r>
                    <m:r>
                      <m:rPr>
                        <m:sty m:val="p"/>
                      </m:rPr>
                      <w:rPr>
                        <w:rFonts w:ascii="Cambria Math" w:hAnsi="Cambria Math"/>
                      </w:rPr>
                      <m:t>,</m:t>
                    </m:r>
                    <m:r>
                      <m:rPr/>
                      <w:rPr>
                        <w:rFonts w:ascii="Cambria Math" w:hAnsi="Cambria Math"/>
                      </w:rPr>
                      <m:t>out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a</m:t>
                    </m:r>
                    <m:ctrlPr>
                      <w:rPr>
                        <w:rFonts w:ascii="Cambria Math" w:hAnsi="Cambria Math"/>
                      </w:rPr>
                    </m:ctrlPr>
                  </m:sub>
                </m:sSub>
                <m:r>
                  <m:rPr>
                    <m:sty m:val="p"/>
                  </m:rPr>
                  <w:rPr>
                    <w:rFonts w:ascii="Cambria Math" w:hAnsi="Cambria Math"/>
                  </w:rPr>
                  <m:t>×1</m:t>
                </m:r>
                <m:sSup>
                  <m:sSupPr>
                    <m:ctrlPr>
                      <w:rPr>
                        <w:rFonts w:ascii="Cambria Math" w:hAnsi="Cambria Math"/>
                      </w:rPr>
                    </m:ctrlPr>
                  </m:sSupPr>
                  <m:e>
                    <m:r>
                      <m:rPr>
                        <m:sty m:val="p"/>
                      </m:rPr>
                      <w:rPr>
                        <w:rFonts w:ascii="Cambria Math" w:hAnsi="Cambria Math"/>
                      </w:rPr>
                      <m:t>0</m:t>
                    </m:r>
                    <m:ctrlPr>
                      <w:rPr>
                        <w:rFonts w:ascii="Cambria Math" w:hAnsi="Cambria Math"/>
                      </w:rPr>
                    </m:ctrlPr>
                  </m:e>
                  <m:sup>
                    <m:r>
                      <m:rPr>
                        <m:sty m:val="p"/>
                      </m:rPr>
                      <w:rPr>
                        <w:rFonts w:ascii="Cambria Math" w:hAnsi="Cambria Math"/>
                      </w:rPr>
                      <m:t>−3</m:t>
                    </m:r>
                    <m:ctrlPr>
                      <w:rPr>
                        <w:rFonts w:ascii="Cambria Math" w:hAnsi="Cambria Math"/>
                      </w:rPr>
                    </m:ctrlPr>
                  </m:sup>
                </m:sSup>
                <m:ctrlPr>
                  <w:rPr>
                    <w:rFonts w:ascii="Cambria Math" w:hAnsi="Cambria Math"/>
                  </w:rPr>
                </m:ctrlPr>
              </m:e>
            </m:d>
            <m:ctrlPr>
              <w:rPr>
                <w:rFonts w:ascii="Cambria Math" w:hAnsi="Cambria Math"/>
              </w:rPr>
            </m:ctrlPr>
          </m:e>
        </m:nary>
      </m:oMath>
      <w:r>
        <w:tab/>
      </w:r>
      <w:r>
        <w:t>(</w:t>
      </w:r>
      <w:r>
        <w:rPr>
          <w:rFonts w:hint="eastAsia"/>
        </w:rPr>
        <w:t>F</w:t>
      </w:r>
      <w:r>
        <w:t>.2)</w:t>
      </w:r>
    </w:p>
    <w:p w14:paraId="22CB0D11">
      <w:pPr>
        <w:pStyle w:val="60"/>
        <w:ind w:firstLine="420"/>
      </w:pPr>
      <w:r>
        <w:t>式中</w:t>
      </w:r>
      <w:r>
        <w:rPr>
          <w:rFonts w:hint="eastAsia"/>
        </w:rPr>
        <w:t>：</w:t>
      </w:r>
    </w:p>
    <w:p w14:paraId="0EA9A245">
      <w:pPr>
        <w:pStyle w:val="60"/>
        <w:ind w:firstLine="420"/>
      </w:pPr>
      <w:r>
        <w:t>E</w:t>
      </w:r>
      <w:r>
        <w:rPr>
          <w:vertAlign w:val="subscript"/>
        </w:rPr>
        <w:t>升温</w:t>
      </w:r>
      <w:r>
        <w:rPr>
          <w:rFonts w:hint="eastAsia"/>
          <w:spacing w:val="-20"/>
        </w:rPr>
        <w:t>——</w:t>
      </w:r>
      <w:r>
        <w:t>统计期内反应釜内物料升温过程的VOCs产生量，千克；</w:t>
      </w:r>
    </w:p>
    <w:p w14:paraId="01D891A3">
      <w:pPr>
        <w:pStyle w:val="60"/>
        <w:ind w:firstLine="420"/>
      </w:pPr>
      <w:r>
        <w:t>N</w:t>
      </w:r>
      <w:r>
        <w:rPr>
          <w:vertAlign w:val="subscript"/>
        </w:rPr>
        <w:t>x,out</w:t>
      </w:r>
      <w:r>
        <w:rPr>
          <w:rFonts w:hint="eastAsia"/>
          <w:spacing w:val="-20"/>
        </w:rPr>
        <w:t>——</w:t>
      </w:r>
      <w:r>
        <w:t>每批次加热作业VOCs产生摩尔数，摩尔；</w:t>
      </w:r>
    </w:p>
    <w:p w14:paraId="2377FC1D">
      <w:pPr>
        <w:pStyle w:val="60"/>
        <w:ind w:firstLine="420"/>
      </w:pPr>
      <w:r>
        <w:t>M</w:t>
      </w:r>
      <w:r>
        <w:rPr>
          <w:vertAlign w:val="subscript"/>
        </w:rPr>
        <w:t>a</w:t>
      </w:r>
      <w:r>
        <w:rPr>
          <w:rFonts w:hint="eastAsia"/>
          <w:spacing w:val="-20"/>
        </w:rPr>
        <w:t>——</w:t>
      </w:r>
      <w:r>
        <w:t>产生VOCs 的平均摩尔质量，克/摩尔；</w:t>
      </w:r>
    </w:p>
    <w:p w14:paraId="2332E035">
      <w:pPr>
        <w:pStyle w:val="60"/>
        <w:ind w:firstLine="420"/>
      </w:pPr>
      <w:r>
        <w:t>B</w:t>
      </w:r>
      <w:bookmarkStart w:id="280" w:name="OLE_LINK53"/>
      <w:r>
        <w:rPr>
          <w:rFonts w:hint="eastAsia"/>
          <w:spacing w:val="-20"/>
        </w:rPr>
        <w:t>——</w:t>
      </w:r>
      <w:bookmarkEnd w:id="280"/>
      <w:r>
        <w:t>统计期内生产总批次量，批次。</w:t>
      </w:r>
    </w:p>
    <w:p w14:paraId="71D02120">
      <w:pPr>
        <w:pStyle w:val="242"/>
      </w:pPr>
      <w:r>
        <w:tab/>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x</m:t>
            </m:r>
            <m:r>
              <m:rPr>
                <m:sty m:val="p"/>
              </m:rPr>
              <w:rPr>
                <w:rFonts w:ascii="Cambria Math" w:hAnsi="Cambria Math"/>
              </w:rPr>
              <m:t>,</m:t>
            </m:r>
            <m:r>
              <m:rPr/>
              <w:rPr>
                <w:rFonts w:ascii="Cambria Math" w:hAnsi="Cambria Math"/>
              </w:rPr>
              <m:t>out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avg</m:t>
            </m:r>
            <m:ctrlPr>
              <w:rPr>
                <w:rFonts w:ascii="Cambria Math" w:hAnsi="Cambria Math"/>
              </w:rPr>
            </m:ctrlPr>
          </m:sub>
        </m:sSub>
        <m:func>
          <m:funcPr>
            <m:ctrlPr>
              <w:rPr>
                <w:rFonts w:ascii="Cambria Math" w:hAnsi="Cambria Math"/>
              </w:rPr>
            </m:ctrlPr>
          </m:funcPr>
          <m:fName>
            <m:r>
              <m:rPr>
                <m:sty m:val="bi"/>
              </m:rPr>
              <w:rPr>
                <w:rFonts w:ascii="Cambria Math" w:hAnsi="Cambria Math"/>
              </w:rPr>
              <m:t>ln</m:t>
            </m:r>
            <m:ctrlPr>
              <w:rPr>
                <w:rFonts w:ascii="Cambria Math" w:hAnsi="Cambria Math"/>
              </w:rPr>
            </m:ctrlPr>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a</m:t>
                        </m:r>
                        <m:r>
                          <m:rPr>
                            <m:sty m:val="p"/>
                          </m:rPr>
                          <w:rPr>
                            <w:rFonts w:ascii="Cambria Math" w:hAnsi="Cambria Math"/>
                          </w:rPr>
                          <m:t>1</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a</m:t>
                        </m:r>
                        <m:r>
                          <m:rPr>
                            <m:sty m:val="p"/>
                          </m:rPr>
                          <w:rPr>
                            <w:rFonts w:ascii="Cambria Math" w:hAnsi="Cambria Math"/>
                          </w:rPr>
                          <m:t>2</m:t>
                        </m:r>
                        <m:ctrlPr>
                          <w:rPr>
                            <w:rFonts w:ascii="Cambria Math" w:hAnsi="Cambria Math"/>
                          </w:rPr>
                        </m:ctrlPr>
                      </m:sub>
                    </m:sSub>
                    <m:ctrlPr>
                      <w:rPr>
                        <w:rFonts w:ascii="Cambria Math" w:hAnsi="Cambria Math"/>
                      </w:rPr>
                    </m:ctrlPr>
                  </m:den>
                </m:f>
                <m:ctrlPr>
                  <w:rPr>
                    <w:rFonts w:ascii="Cambria Math" w:hAnsi="Cambria Math"/>
                  </w:rPr>
                </m:ctrlPr>
              </m:e>
            </m:d>
            <m:ctrlPr>
              <w:rPr>
                <w:rFonts w:ascii="Cambria Math" w:hAnsi="Cambria Math"/>
              </w:rPr>
            </m:ctrlPr>
          </m:e>
        </m:func>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x</m:t>
                </m:r>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x</m:t>
                </m:r>
                <m:r>
                  <m:rPr>
                    <m:sty m:val="p"/>
                  </m:rPr>
                  <w:rPr>
                    <w:rFonts w:ascii="Cambria Math" w:hAnsi="Cambria Math"/>
                  </w:rPr>
                  <m:t>,1</m:t>
                </m:r>
                <m:ctrlPr>
                  <w:rPr>
                    <w:rFonts w:ascii="Cambria Math" w:hAnsi="Cambria Math"/>
                  </w:rPr>
                </m:ctrlPr>
              </m:sub>
            </m:sSub>
            <m:ctrlPr>
              <w:rPr>
                <w:rFonts w:ascii="Cambria Math" w:hAnsi="Cambria Math"/>
              </w:rPr>
            </m:ctrlPr>
          </m:e>
        </m:d>
      </m:oMath>
      <w:r>
        <w:tab/>
      </w:r>
      <w:r>
        <w:rPr>
          <w:rFonts w:hint="eastAsia"/>
        </w:rPr>
        <w:t>（F</w:t>
      </w:r>
      <w:r>
        <w:t>.3)</w:t>
      </w:r>
    </w:p>
    <w:p w14:paraId="6AAB7C80">
      <w:pPr>
        <w:pStyle w:val="60"/>
        <w:ind w:firstLine="420"/>
      </w:pPr>
      <w:r>
        <w:t>式中</w:t>
      </w:r>
      <w:r>
        <w:rPr>
          <w:rFonts w:hint="eastAsia"/>
        </w:rPr>
        <w:t>：</w:t>
      </w:r>
    </w:p>
    <w:p w14:paraId="7357F8FF">
      <w:pPr>
        <w:pStyle w:val="60"/>
        <w:ind w:firstLine="420"/>
      </w:pPr>
      <w:r>
        <w:t>N</w:t>
      </w:r>
      <w:r>
        <w:rPr>
          <w:vertAlign w:val="subscript"/>
        </w:rPr>
        <w:t>avg</w:t>
      </w:r>
      <w:r>
        <w:rPr>
          <w:rFonts w:hint="eastAsia"/>
          <w:spacing w:val="-20"/>
        </w:rPr>
        <w:t>——</w:t>
      </w:r>
      <w:r>
        <w:t>温度升高过程中蒸汽平均摩尔数，摩尔；</w:t>
      </w:r>
    </w:p>
    <w:p w14:paraId="2A82513D">
      <w:pPr>
        <w:pStyle w:val="60"/>
        <w:ind w:firstLine="420"/>
      </w:pPr>
      <w:r>
        <w:t>P</w:t>
      </w:r>
      <w:r>
        <w:rPr>
          <w:vertAlign w:val="subscript"/>
        </w:rPr>
        <w:t>a1</w:t>
      </w:r>
      <w:bookmarkStart w:id="281" w:name="OLE_LINK54"/>
      <w:r>
        <w:rPr>
          <w:rFonts w:hint="eastAsia"/>
          <w:spacing w:val="-20"/>
        </w:rPr>
        <w:t>——</w:t>
      </w:r>
      <w:bookmarkEnd w:id="281"/>
      <w:r>
        <w:t>初始温度下设备顶部空间非冷凝气体分压，帕（绝压）；</w:t>
      </w:r>
    </w:p>
    <w:p w14:paraId="121F9697">
      <w:pPr>
        <w:pStyle w:val="60"/>
        <w:ind w:firstLine="420"/>
      </w:pPr>
      <w:r>
        <w:t>P</w:t>
      </w:r>
      <w:r>
        <w:rPr>
          <w:vertAlign w:val="subscript"/>
        </w:rPr>
        <w:t>a2</w:t>
      </w:r>
      <w:r>
        <w:rPr>
          <w:rFonts w:hint="eastAsia"/>
          <w:spacing w:val="-20"/>
        </w:rPr>
        <w:t>——</w:t>
      </w:r>
      <w:r>
        <w:t>最终温度下设备顶部空间非冷凝气体分压，帕（绝压）；</w:t>
      </w:r>
    </w:p>
    <w:p w14:paraId="78CBE31D">
      <w:pPr>
        <w:pStyle w:val="60"/>
        <w:ind w:firstLine="420"/>
      </w:pPr>
      <w:r>
        <w:t>n</w:t>
      </w:r>
      <w:r>
        <w:rPr>
          <w:vertAlign w:val="subscript"/>
        </w:rPr>
        <w:t>x,1</w:t>
      </w:r>
      <w:r>
        <w:rPr>
          <w:rFonts w:hint="eastAsia"/>
          <w:spacing w:val="-20"/>
        </w:rPr>
        <w:t>——</w:t>
      </w:r>
      <w:r>
        <w:t>初始温度下设备顶部空间VOCs组份x的摩尔数，摩尔；</w:t>
      </w:r>
    </w:p>
    <w:p w14:paraId="5893BA97">
      <w:pPr>
        <w:pStyle w:val="60"/>
        <w:ind w:firstLine="420"/>
      </w:pPr>
      <w:r>
        <w:t>n</w:t>
      </w:r>
      <w:r>
        <w:rPr>
          <w:vertAlign w:val="subscript"/>
        </w:rPr>
        <w:t>x,2</w:t>
      </w:r>
      <w:r>
        <w:rPr>
          <w:rFonts w:hint="eastAsia"/>
          <w:spacing w:val="-20"/>
        </w:rPr>
        <w:t>——</w:t>
      </w:r>
      <w:r>
        <w:t>最终温度下设备顶部空间VOCs组份x的摩尔数，摩尔。</w:t>
      </w:r>
    </w:p>
    <w:p w14:paraId="366A1756">
      <w:pPr>
        <w:pStyle w:val="60"/>
        <w:ind w:firstLine="420"/>
      </w:pPr>
      <w:r>
        <w:t>当设备内为混合物质时，公式(F.3)估算的是VOCs产生总摩尔数，n</w:t>
      </w:r>
      <w:r>
        <w:rPr>
          <w:i/>
          <w:vertAlign w:val="subscript"/>
        </w:rPr>
        <w:t>x,1</w:t>
      </w:r>
      <w:r>
        <w:t>和n</w:t>
      </w:r>
      <w:r>
        <w:rPr>
          <w:i/>
          <w:vertAlign w:val="subscript"/>
        </w:rPr>
        <w:t>x,2</w:t>
      </w:r>
      <w:r>
        <w:t>是设备顶部VOCs的总体摩尔数。N</w:t>
      </w:r>
      <w:r>
        <w:rPr>
          <w:i/>
          <w:vertAlign w:val="subscript"/>
        </w:rPr>
        <w:t>avg</w:t>
      </w:r>
      <w:r>
        <w:t>按公式(F.4)计算：</w:t>
      </w:r>
    </w:p>
    <w:p w14:paraId="1F0E07F9">
      <w:pPr>
        <w:pStyle w:val="242"/>
      </w:pPr>
      <w:r>
        <w:tab/>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avg</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num>
          <m:den>
            <m:r>
              <m:rPr>
                <m:sty m:val="p"/>
              </m:rPr>
              <w:rPr>
                <w:rFonts w:ascii="Cambria Math" w:hAnsi="Cambria Math"/>
              </w:rPr>
              <m:t>2</m:t>
            </m:r>
            <m:ctrlPr>
              <w:rPr>
                <w:rFonts w:ascii="Cambria Math" w:hAnsi="Cambria Math"/>
              </w:rPr>
            </m:ctrlPr>
          </m:den>
        </m:f>
      </m:oMath>
      <w:r>
        <w:tab/>
      </w:r>
      <w:r>
        <w:t>(</w:t>
      </w:r>
      <w:r>
        <w:rPr>
          <w:rFonts w:hint="eastAsia"/>
        </w:rPr>
        <w:t>F</w:t>
      </w:r>
      <w:r>
        <w:t>.4)</w:t>
      </w:r>
    </w:p>
    <w:p w14:paraId="30C85123">
      <w:pPr>
        <w:pStyle w:val="60"/>
        <w:ind w:firstLine="420"/>
      </w:pPr>
      <w:r>
        <w:t>式中</w:t>
      </w:r>
      <w:r>
        <w:rPr>
          <w:rFonts w:hint="eastAsia"/>
        </w:rPr>
        <w:t>：</w:t>
      </w:r>
    </w:p>
    <w:p w14:paraId="6C72683C">
      <w:pPr>
        <w:pStyle w:val="60"/>
        <w:ind w:firstLine="420"/>
      </w:pPr>
      <w:r>
        <w:t>n</w:t>
      </w:r>
      <w:r>
        <w:rPr>
          <w:vertAlign w:val="subscript"/>
        </w:rPr>
        <w:t>1</w:t>
      </w:r>
      <w:r>
        <w:rPr>
          <w:rFonts w:hint="eastAsia"/>
          <w:spacing w:val="-20"/>
        </w:rPr>
        <w:t>——</w:t>
      </w:r>
      <w:r>
        <w:t>初始温度下设备顶部空间VOCs的总体摩尔数，摩尔；</w:t>
      </w:r>
    </w:p>
    <w:p w14:paraId="55D69161">
      <w:pPr>
        <w:pStyle w:val="60"/>
        <w:ind w:firstLine="420"/>
      </w:pPr>
      <w:r>
        <w:t>n</w:t>
      </w:r>
      <w:r>
        <w:rPr>
          <w:vertAlign w:val="subscript"/>
        </w:rPr>
        <w:t>2</w:t>
      </w:r>
      <w:r>
        <w:rPr>
          <w:rFonts w:hint="eastAsia"/>
          <w:spacing w:val="-20"/>
        </w:rPr>
        <w:t>——</w:t>
      </w:r>
      <w:r>
        <w:t>最终温度下设备顶部空间VOCs的总体摩尔数，摩尔。</w:t>
      </w:r>
    </w:p>
    <w:p w14:paraId="7854AB1A">
      <w:pPr>
        <w:pStyle w:val="60"/>
        <w:ind w:firstLine="420"/>
      </w:pPr>
      <w:r>
        <w:t>总摩尔数n</w:t>
      </w:r>
      <w:r>
        <w:rPr>
          <w:vertAlign w:val="subscript"/>
        </w:rPr>
        <w:t>1</w:t>
      </w:r>
      <w:r>
        <w:t>，n</w:t>
      </w:r>
      <w:r>
        <w:rPr>
          <w:vertAlign w:val="subscript"/>
        </w:rPr>
        <w:t>2</w:t>
      </w:r>
      <w:r>
        <w:t>可以用公式(F.5)、(F.6)的理想气体方程式求得：</w:t>
      </w:r>
    </w:p>
    <w:p w14:paraId="633507DE">
      <w:pPr>
        <w:pStyle w:val="242"/>
      </w:pPr>
      <w:r>
        <w:tab/>
      </w:r>
      <m:oMath>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1</m:t>
                </m:r>
                <m:ctrlPr>
                  <w:rPr>
                    <w:rFonts w:ascii="Cambria Math" w:hAnsi="Cambria Math"/>
                  </w:rPr>
                </m:ctrlPr>
              </m:sub>
            </m:sSub>
            <m:r>
              <m:rPr/>
              <w:rPr>
                <w:rFonts w:ascii="Cambria Math" w:hAnsi="Cambria Math"/>
              </w:rPr>
              <m:t>V</m:t>
            </m:r>
            <m:ctrlPr>
              <w:rPr>
                <w:rFonts w:ascii="Cambria Math" w:hAnsi="Cambria Math"/>
              </w:rPr>
            </m:ctrlPr>
          </m:num>
          <m:den>
            <m:r>
              <m:rPr/>
              <w:rPr>
                <w:rFonts w:ascii="Cambria Math" w:hAnsi="Cambria Math"/>
              </w:rPr>
              <m:t>R</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den>
        </m:f>
      </m:oMath>
      <w:r>
        <w:tab/>
      </w:r>
      <w:r>
        <w:t>(</w:t>
      </w:r>
      <w:r>
        <w:rPr>
          <w:rFonts w:hint="eastAsia"/>
        </w:rPr>
        <w:t>F</w:t>
      </w:r>
      <w:r>
        <w:t>.5)</w:t>
      </w:r>
    </w:p>
    <w:p w14:paraId="047BC092">
      <w:pPr>
        <w:pStyle w:val="242"/>
      </w:pPr>
      <w:r>
        <w:tab/>
      </w:r>
      <m:oMath>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2</m:t>
                </m:r>
                <m:ctrlPr>
                  <w:rPr>
                    <w:rFonts w:ascii="Cambria Math" w:hAnsi="Cambria Math"/>
                  </w:rPr>
                </m:ctrlPr>
              </m:sub>
            </m:sSub>
            <m:r>
              <m:rPr/>
              <w:rPr>
                <w:rFonts w:ascii="Cambria Math" w:hAnsi="Cambria Math"/>
              </w:rPr>
              <m:t>V</m:t>
            </m:r>
            <m:ctrlPr>
              <w:rPr>
                <w:rFonts w:ascii="Cambria Math" w:hAnsi="Cambria Math"/>
              </w:rPr>
            </m:ctrlPr>
          </m:num>
          <m:den>
            <m:r>
              <m:rPr/>
              <w:rPr>
                <w:rFonts w:ascii="Cambria Math" w:hAnsi="Cambria Math"/>
              </w:rPr>
              <m:t>R</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den>
        </m:f>
      </m:oMath>
      <w:r>
        <w:tab/>
      </w:r>
      <w:r>
        <w:t>(</w:t>
      </w:r>
      <w:r>
        <w:rPr>
          <w:rFonts w:hint="eastAsia"/>
        </w:rPr>
        <w:t>F</w:t>
      </w:r>
      <w:r>
        <w:t>.6)</w:t>
      </w:r>
    </w:p>
    <w:p w14:paraId="16E5D847">
      <w:pPr>
        <w:pStyle w:val="60"/>
        <w:ind w:firstLine="420"/>
      </w:pPr>
      <w:r>
        <w:t>式中</w:t>
      </w:r>
      <w:r>
        <w:rPr>
          <w:rFonts w:hint="eastAsia"/>
        </w:rPr>
        <w:t>：</w:t>
      </w:r>
    </w:p>
    <w:p w14:paraId="19D39F6F">
      <w:pPr>
        <w:pStyle w:val="60"/>
        <w:ind w:firstLine="420"/>
      </w:pPr>
      <w:r>
        <w:t>P</w:t>
      </w:r>
      <w:r>
        <w:rPr>
          <w:vertAlign w:val="subscript"/>
        </w:rPr>
        <w:t>1</w:t>
      </w:r>
      <w:r>
        <w:rPr>
          <w:rFonts w:hint="eastAsia"/>
          <w:spacing w:val="-20"/>
        </w:rPr>
        <w:t>——</w:t>
      </w:r>
      <w:r>
        <w:t>初始温度下的总压，帕（绝压）；</w:t>
      </w:r>
    </w:p>
    <w:p w14:paraId="31573E2B">
      <w:pPr>
        <w:pStyle w:val="60"/>
        <w:ind w:firstLine="420"/>
      </w:pPr>
      <w:r>
        <w:t>P</w:t>
      </w:r>
      <w:r>
        <w:rPr>
          <w:vertAlign w:val="subscript"/>
        </w:rPr>
        <w:t>2</w:t>
      </w:r>
      <w:r>
        <w:rPr>
          <w:rFonts w:hint="eastAsia"/>
          <w:spacing w:val="-20"/>
        </w:rPr>
        <w:t>——</w:t>
      </w:r>
      <w:r>
        <w:t>最终温度下的总压，帕（绝压）；</w:t>
      </w:r>
    </w:p>
    <w:p w14:paraId="56698E6A">
      <w:pPr>
        <w:pStyle w:val="60"/>
        <w:ind w:firstLine="420"/>
      </w:pPr>
      <w:r>
        <w:t>V</w:t>
      </w:r>
      <w:r>
        <w:rPr>
          <w:rFonts w:hint="eastAsia"/>
          <w:spacing w:val="-20"/>
        </w:rPr>
        <w:t>——</w:t>
      </w:r>
      <w:r>
        <w:t>设备内气体体积，立方米；</w:t>
      </w:r>
    </w:p>
    <w:p w14:paraId="2F775952">
      <w:pPr>
        <w:pStyle w:val="60"/>
        <w:ind w:firstLine="420"/>
      </w:pPr>
      <w:r>
        <w:t>R</w:t>
      </w:r>
      <w:r>
        <w:rPr>
          <w:rFonts w:hint="eastAsia"/>
          <w:spacing w:val="-20"/>
        </w:rPr>
        <w:t>——</w:t>
      </w:r>
      <w:r>
        <w:t>1个大气压下理想气体气体常数，8.314帕·立方米/摩尔·开氏度；</w:t>
      </w:r>
    </w:p>
    <w:p w14:paraId="1A974A41">
      <w:pPr>
        <w:pStyle w:val="60"/>
        <w:ind w:firstLine="420"/>
      </w:pPr>
      <w:r>
        <w:t>T</w:t>
      </w:r>
      <w:r>
        <w:rPr>
          <w:vertAlign w:val="subscript"/>
        </w:rPr>
        <w:t>1</w:t>
      </w:r>
      <w:r>
        <w:rPr>
          <w:rFonts w:hint="eastAsia"/>
          <w:spacing w:val="-20"/>
        </w:rPr>
        <w:t>——</w:t>
      </w:r>
      <w:r>
        <w:t>设备内气体初始温度，开氏度；T</w:t>
      </w:r>
      <w:r>
        <w:rPr>
          <w:vertAlign w:val="subscript"/>
        </w:rPr>
        <w:t>2</w:t>
      </w:r>
      <w:r>
        <w:rPr>
          <w:rFonts w:hint="eastAsia"/>
        </w:rPr>
        <w:t>为</w:t>
      </w:r>
      <w:r>
        <w:t>设备内气体最终温度，开氏度。</w:t>
      </w:r>
    </w:p>
    <w:p w14:paraId="39084F58">
      <w:pPr>
        <w:pStyle w:val="60"/>
        <w:ind w:firstLine="420"/>
      </w:pPr>
      <w:r>
        <w:t>设备内初始温度和最终温度VOCs组份</w:t>
      </w:r>
      <w:r>
        <w:rPr>
          <w:i/>
        </w:rPr>
        <w:t>x</w:t>
      </w:r>
      <w:r>
        <w:t>的摩尔数n</w:t>
      </w:r>
      <w:r>
        <w:rPr>
          <w:i/>
          <w:vertAlign w:val="subscript"/>
        </w:rPr>
        <w:t>x,1</w:t>
      </w:r>
      <w:r>
        <w:t>和n</w:t>
      </w:r>
      <w:r>
        <w:rPr>
          <w:i/>
          <w:vertAlign w:val="subscript"/>
        </w:rPr>
        <w:t>x,2</w:t>
      </w:r>
      <w:r>
        <w:t>也可以用公式(F.5)和公式(F.6)计算，其中总压用VOCs组份</w:t>
      </w:r>
      <w:r>
        <w:rPr>
          <w:i/>
        </w:rPr>
        <w:t>x</w:t>
      </w:r>
      <w:r>
        <w:t>的分压代替。</w:t>
      </w:r>
    </w:p>
    <w:p w14:paraId="0ED8B17F">
      <w:pPr>
        <w:pStyle w:val="60"/>
        <w:ind w:firstLine="420"/>
      </w:pPr>
      <w:r>
        <w:rPr>
          <w:rFonts w:hint="eastAsia"/>
        </w:rPr>
        <w:t>c</w:t>
      </w:r>
      <w:r>
        <w:t>）表面蒸发损失</w:t>
      </w:r>
    </w:p>
    <w:p w14:paraId="2A1E1667">
      <w:pPr>
        <w:pStyle w:val="60"/>
        <w:ind w:firstLine="420"/>
      </w:pPr>
      <w:r>
        <w:t>设备敞口或半敞口产生的VOCs，可由公式计算产生量：</w:t>
      </w:r>
    </w:p>
    <w:p w14:paraId="5F4E28E9">
      <w:pPr>
        <w:pStyle w:val="242"/>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=0.001×</m:t>
        </m:r>
        <m:f>
          <m:fPr>
            <m:ctrlPr>
              <w:rPr>
                <w:rFonts w:ascii="Cambria Math" w:hAnsi="Cambria Math"/>
              </w:rPr>
            </m:ctrlPr>
          </m:fPr>
          <m:num>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m:t>
            </m:r>
            <m:r>
              <m:rPr/>
              <w:rPr>
                <w:rFonts w:ascii="Cambria Math" w:hAnsi="Cambria Math"/>
              </w:rPr>
              <m:t>A</m:t>
            </m:r>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×3600×</m:t>
            </m:r>
            <m:r>
              <m:rPr/>
              <w:rPr>
                <w:rFonts w:ascii="Cambria Math" w:hAnsi="Cambria Math"/>
              </w:rPr>
              <m:t>H</m:t>
            </m:r>
            <m:ctrlPr>
              <w:rPr>
                <w:rFonts w:ascii="Cambria Math" w:hAnsi="Cambria Math"/>
              </w:rPr>
            </m:ctrlPr>
          </m:num>
          <m:den>
            <m:r>
              <m:rPr/>
              <w:rPr>
                <w:rFonts w:ascii="Cambria Math" w:hAnsi="Cambria Math"/>
              </w:rPr>
              <m:t>R</m:t>
            </m:r>
            <m:r>
              <m:rPr>
                <m:sty m:val="p"/>
              </m:rPr>
              <w:rPr>
                <w:rFonts w:ascii="Cambria Math" w:hAnsi="Cambria Math"/>
              </w:rPr>
              <m:t>×</m:t>
            </m:r>
            <m:r>
              <m:rPr/>
              <w:rPr>
                <w:rFonts w:ascii="Cambria Math" w:hAnsi="Cambria Math"/>
              </w:rPr>
              <m:t>T</m:t>
            </m:r>
            <m:ctrlPr>
              <w:rPr>
                <w:rFonts w:ascii="Cambria Math" w:hAnsi="Cambria Math"/>
              </w:rPr>
            </m:ctrlPr>
          </m:den>
        </m:f>
        <m:r>
          <m:rPr>
            <m:sty m:val="p"/>
          </m:rPr>
          <w:rPr>
            <w:rFonts w:ascii="Cambria Math" w:hAnsi="Cambria Math"/>
          </w:rPr>
          <m:t>×</m:t>
        </m:r>
        <m:r>
          <m:rPr/>
          <w:rPr>
            <w:rFonts w:ascii="Cambria Math" w:hAnsi="Cambria Math"/>
          </w:rPr>
          <m:t>B</m:t>
        </m:r>
      </m:oMath>
      <w:r>
        <w:rPr>
          <w:iCs/>
        </w:rPr>
        <w:tab/>
      </w:r>
      <w:r>
        <w:t>(</w:t>
      </w:r>
      <w:r>
        <w:rPr>
          <w:rFonts w:hint="eastAsia"/>
        </w:rPr>
        <w:t>F</w:t>
      </w:r>
      <w:r>
        <w:t>.7)</w:t>
      </w:r>
    </w:p>
    <w:p w14:paraId="1D83A61B">
      <w:pPr>
        <w:pStyle w:val="60"/>
        <w:ind w:firstLine="420"/>
      </w:pPr>
      <w:r>
        <w:t>式中</w:t>
      </w:r>
      <w:r>
        <w:rPr>
          <w:rFonts w:hint="eastAsia"/>
        </w:rPr>
        <w:t>：</w:t>
      </w:r>
    </w:p>
    <w:p w14:paraId="24E68CAA">
      <w:pPr>
        <w:pStyle w:val="60"/>
        <w:ind w:firstLine="420"/>
      </w:pPr>
      <w:r>
        <w:t>E</w:t>
      </w:r>
      <w:r>
        <w:rPr>
          <w:vertAlign w:val="subscript"/>
        </w:rPr>
        <w:t>x</w:t>
      </w:r>
      <w:r>
        <w:rPr>
          <w:rFonts w:hint="eastAsia"/>
          <w:spacing w:val="-20"/>
        </w:rPr>
        <w:t>——</w:t>
      </w:r>
      <w:r>
        <w:t>统计期内VOCs组份x的产生量，千克；</w:t>
      </w:r>
    </w:p>
    <w:p w14:paraId="55DD84C1">
      <w:pPr>
        <w:pStyle w:val="60"/>
        <w:ind w:firstLine="420"/>
      </w:pPr>
      <w:r>
        <w:t>M</w:t>
      </w:r>
      <w:r>
        <w:rPr>
          <w:vertAlign w:val="subscript"/>
        </w:rPr>
        <w:t>x</w:t>
      </w:r>
      <w:r>
        <w:rPr>
          <w:rFonts w:hint="eastAsia"/>
          <w:spacing w:val="-20"/>
        </w:rPr>
        <w:t>——</w:t>
      </w:r>
      <w:r>
        <w:t>VOCs组份x的分子量，克/摩尔；</w:t>
      </w:r>
    </w:p>
    <w:p w14:paraId="04C9D566">
      <w:pPr>
        <w:pStyle w:val="60"/>
        <w:ind w:firstLine="420"/>
      </w:pPr>
      <w:r>
        <w:t>K</w:t>
      </w:r>
      <w:r>
        <w:rPr>
          <w:vertAlign w:val="subscript"/>
        </w:rPr>
        <w:t>x</w:t>
      </w:r>
      <w:r>
        <w:rPr>
          <w:rFonts w:hint="eastAsia"/>
          <w:spacing w:val="-20"/>
        </w:rPr>
        <w:t>——</w:t>
      </w:r>
      <w:r>
        <w:t>VOCs组份x的气相传质系数，米/秒；</w:t>
      </w:r>
    </w:p>
    <w:p w14:paraId="35F77397">
      <w:pPr>
        <w:pStyle w:val="60"/>
        <w:ind w:firstLine="420"/>
      </w:pPr>
      <w:r>
        <w:t>A</w:t>
      </w:r>
      <w:r>
        <w:rPr>
          <w:rFonts w:hint="eastAsia"/>
          <w:spacing w:val="-20"/>
        </w:rPr>
        <w:t>——</w:t>
      </w:r>
      <w:r>
        <w:t>设备敞口面积，平方米；</w:t>
      </w:r>
    </w:p>
    <w:p w14:paraId="15BC72AC">
      <w:pPr>
        <w:pStyle w:val="60"/>
        <w:ind w:firstLine="420"/>
      </w:pPr>
      <w:r>
        <w:t>P</w:t>
      </w:r>
      <w:r>
        <w:rPr>
          <w:vertAlign w:val="subscript"/>
        </w:rPr>
        <w:t>x</w:t>
      </w:r>
      <w:r>
        <w:rPr>
          <w:rFonts w:hint="eastAsia"/>
          <w:spacing w:val="-20"/>
        </w:rPr>
        <w:t>——</w:t>
      </w:r>
      <w:r>
        <w:t>在温度T下，VOCs组份x的真实蒸汽压（单组份情况下）或分压（混合物情况下），帕（绝压）</w:t>
      </w:r>
      <w:r>
        <w:rPr>
          <w:rFonts w:hint="eastAsia"/>
        </w:rPr>
        <w:t>；</w:t>
      </w:r>
    </w:p>
    <w:p w14:paraId="24A6A571">
      <w:pPr>
        <w:pStyle w:val="60"/>
        <w:ind w:firstLine="420"/>
      </w:pPr>
      <w:r>
        <w:t>3600</w:t>
      </w:r>
      <w:r>
        <w:rPr>
          <w:rFonts w:hint="eastAsia"/>
          <w:spacing w:val="-20"/>
        </w:rPr>
        <w:t>——</w:t>
      </w:r>
      <w:r>
        <w:t>3600秒/小时；</w:t>
      </w:r>
    </w:p>
    <w:p w14:paraId="28AF2C83">
      <w:pPr>
        <w:pStyle w:val="60"/>
        <w:ind w:firstLine="420"/>
      </w:pPr>
      <w:r>
        <w:t>H</w:t>
      </w:r>
      <w:r>
        <w:rPr>
          <w:rFonts w:hint="eastAsia"/>
          <w:spacing w:val="-20"/>
        </w:rPr>
        <w:t>——</w:t>
      </w:r>
      <w:r>
        <w:t>生产一批产品所需的时间，小时/批；</w:t>
      </w:r>
    </w:p>
    <w:p w14:paraId="0C9B2DD3">
      <w:pPr>
        <w:pStyle w:val="60"/>
        <w:ind w:firstLine="420"/>
      </w:pPr>
      <w:r>
        <w:t>R</w:t>
      </w:r>
      <w:r>
        <w:rPr>
          <w:rFonts w:hint="eastAsia"/>
          <w:spacing w:val="-20"/>
        </w:rPr>
        <w:t>——</w:t>
      </w:r>
      <w:r>
        <w:t>在1个大气压下的通用气体常数，8.314帕·立方米/摩尔·开氏度；</w:t>
      </w:r>
    </w:p>
    <w:p w14:paraId="071EFF5F">
      <w:pPr>
        <w:pStyle w:val="60"/>
        <w:ind w:firstLine="420"/>
      </w:pPr>
      <w:r>
        <w:t>T</w:t>
      </w:r>
      <w:bookmarkStart w:id="282" w:name="OLE_LINK55"/>
      <w:r>
        <w:rPr>
          <w:rFonts w:hint="eastAsia"/>
          <w:spacing w:val="-20"/>
        </w:rPr>
        <w:t>——</w:t>
      </w:r>
      <w:bookmarkEnd w:id="282"/>
      <w:r>
        <w:t>液体温度，开氏度；</w:t>
      </w:r>
    </w:p>
    <w:p w14:paraId="54845506">
      <w:pPr>
        <w:pStyle w:val="60"/>
        <w:ind w:firstLine="420"/>
      </w:pPr>
      <w:r>
        <w:t>B</w:t>
      </w:r>
      <w:r>
        <w:rPr>
          <w:rFonts w:hint="eastAsia"/>
          <w:spacing w:val="-20"/>
        </w:rPr>
        <w:t>——</w:t>
      </w:r>
      <w:r>
        <w:t>统计期内生产总批次量，批次。</w:t>
      </w:r>
    </w:p>
    <w:p w14:paraId="73BEB3F9">
      <w:pPr>
        <w:pStyle w:val="60"/>
        <w:ind w:firstLine="420"/>
      </w:pPr>
      <w:r>
        <w:rPr>
          <w:rFonts w:hint="eastAsia"/>
        </w:rPr>
        <w:t>VOCs组份</w:t>
      </w:r>
      <w:r>
        <w:rPr>
          <w:rFonts w:hint="eastAsia"/>
          <w:i/>
        </w:rPr>
        <w:t>x</w:t>
      </w:r>
      <w:r>
        <w:rPr>
          <w:rFonts w:hint="eastAsia"/>
        </w:rPr>
        <w:t>的气相传质系数K</w:t>
      </w:r>
      <w:r>
        <w:rPr>
          <w:rFonts w:hint="eastAsia"/>
          <w:i/>
          <w:vertAlign w:val="subscript"/>
        </w:rPr>
        <w:t>x</w:t>
      </w:r>
      <w:r>
        <w:rPr>
          <w:rFonts w:hint="eastAsia"/>
        </w:rPr>
        <w:t>按公式</w:t>
      </w:r>
      <w:r>
        <w:t>(F.8)</w:t>
      </w:r>
      <w:r>
        <w:rPr>
          <w:rFonts w:hint="eastAsia"/>
        </w:rPr>
        <w:t>计算：</w:t>
      </w:r>
    </w:p>
    <w:p w14:paraId="760B4DC4">
      <w:pPr>
        <w:pStyle w:val="242"/>
      </w:pPr>
      <w:r>
        <w:tab/>
      </w:r>
      <m:oMath>
        <m:f>
          <m:fPr>
            <m:ctrlPr>
              <w:rPr>
                <w:rFonts w:ascii="Cambria Math" w:hAnsi="Cambria Math"/>
              </w:rPr>
            </m:ctrlPr>
          </m:fPr>
          <m:num>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x</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K</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w:bookmarkStart w:id="283" w:name="OLE_LINK44"/>
                  <m:num>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x</m:t>
                        </m:r>
                        <w:bookmarkEnd w:id="283"/>
                        <m:ctrlPr>
                          <w:rPr>
                            <w:rFonts w:ascii="Cambria Math" w:hAnsi="Cambria Math"/>
                          </w:rPr>
                        </m:ctrlPr>
                      </m:sub>
                    </m:sSub>
                    <m:ctrlPr>
                      <w:rPr>
                        <w:rFonts w:ascii="Cambria Math" w:hAnsi="Cambria Math"/>
                      </w:rPr>
                    </m:ctrlPr>
                  </m:num>
                  <m:den>
                    <m:sSub>
                      <w:bookmarkStart w:id="284" w:name="OLE_LINK45"/>
                      <m:sSubPr>
                        <m:ctrlPr>
                          <w:rPr>
                            <w:rFonts w:ascii="Cambria Math" w:hAnsi="Cambria Math"/>
                          </w:rPr>
                        </m:ctrlPr>
                      </m:sSubPr>
                      <m:e>
                        <m:r>
                          <m:rPr/>
                          <w:rPr>
                            <w:rFonts w:ascii="Cambria Math" w:hAnsi="Cambria Math"/>
                          </w:rPr>
                          <m:t>D</m:t>
                        </m:r>
                        <m:ctrlPr>
                          <w:rPr>
                            <w:rFonts w:ascii="Cambria Math" w:hAnsi="Cambria Math"/>
                          </w:rPr>
                        </m:ctrlPr>
                      </m:e>
                      <m:sub>
                        <m:r>
                          <m:rPr>
                            <m:sty m:val="b"/>
                          </m:rPr>
                          <w:rPr>
                            <w:rFonts w:ascii="Cambria Math" w:hAnsi="Cambria Math"/>
                          </w:rPr>
                          <m:t>0</m:t>
                        </m:r>
                        <w:bookmarkEnd w:id="284"/>
                        <m:ctrlPr>
                          <w:rPr>
                            <w:rFonts w:ascii="Cambria Math" w:hAnsi="Cambria Math"/>
                          </w:rPr>
                        </m:ctrlPr>
                      </m:sub>
                    </m:sSub>
                    <m:ctrlPr>
                      <w:rPr>
                        <w:rFonts w:ascii="Cambria Math" w:hAnsi="Cambria Math"/>
                      </w:rPr>
                    </m:ctrlPr>
                  </m:den>
                </m:f>
                <m:ctrlPr>
                  <w:rPr>
                    <w:rFonts w:ascii="Cambria Math" w:hAnsi="Cambria Math"/>
                  </w:rPr>
                </m:ctrlPr>
              </m:e>
            </m:d>
            <m:ctrlPr>
              <w:rPr>
                <w:rFonts w:ascii="Cambria Math" w:hAnsi="Cambria Math"/>
              </w:rPr>
            </m:ctrlPr>
          </m:e>
          <m:sup>
            <m:r>
              <m:rPr>
                <m:sty m:val="p"/>
              </m:rPr>
              <w:rPr>
                <w:rFonts w:ascii="Cambria Math" w:hAnsi="Cambria Math"/>
              </w:rPr>
              <m:t>2/3</m:t>
            </m:r>
            <m:ctrlPr>
              <w:rPr>
                <w:rFonts w:ascii="Cambria Math" w:hAnsi="Cambria Math"/>
              </w:rPr>
            </m:ctrlPr>
          </m:sup>
        </m:sSup>
      </m:oMath>
      <w:r>
        <w:tab/>
      </w:r>
      <w:r>
        <w:t>(</w:t>
      </w:r>
      <w:r>
        <w:rPr>
          <w:rFonts w:hint="eastAsia"/>
        </w:rPr>
        <w:t>F</w:t>
      </w:r>
      <w:r>
        <w:t>.8)</w:t>
      </w:r>
    </w:p>
    <w:p w14:paraId="2AB35137">
      <w:pPr>
        <w:pStyle w:val="242"/>
      </w:pPr>
      <w:r>
        <w:tab/>
      </w:r>
      <m:oMath>
        <m:f>
          <m:fPr>
            <m:ctrlPr>
              <w:rPr>
                <w:rFonts w:ascii="Cambria Math" w:hAnsi="Cambria Math"/>
              </w:rPr>
            </m:ctrlPr>
          </m:fPr>
          <m:num>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num>
          <m:den>
            <m:sSub>
              <m:sSubPr>
                <m:ctrlPr>
                  <w:rPr>
                    <w:rFonts w:ascii="Cambria Math" w:hAnsi="Cambria Math" w:cs="宋体"/>
                    <w:sz w:val="24"/>
                    <w:szCs w:val="24"/>
                  </w:rPr>
                </m:ctrlPr>
              </m:sSubPr>
              <m:e>
                <m:r>
                  <m:rPr>
                    <m:sty m:val="bi"/>
                  </m:rPr>
                  <w:rPr>
                    <w:rFonts w:ascii="Cambria Math" w:hAnsi="Cambria Math"/>
                  </w:rPr>
                  <m:t>D</m:t>
                </m:r>
                <m:ctrlPr>
                  <w:rPr>
                    <w:rFonts w:ascii="Cambria Math" w:hAnsi="Cambria Math" w:cs="宋体"/>
                    <w:sz w:val="24"/>
                    <w:szCs w:val="24"/>
                  </w:rPr>
                </m:ctrlPr>
              </m:e>
              <m:sub>
                <m:r>
                  <m:rPr>
                    <m:sty m:val="b"/>
                  </m:rPr>
                  <w:rPr>
                    <w:rFonts w:ascii="Cambria Math" w:hAnsi="Cambria Math"/>
                  </w:rPr>
                  <m:t>0</m:t>
                </m:r>
                <m:ctrlPr>
                  <w:rPr>
                    <w:rFonts w:ascii="Cambria Math" w:hAnsi="Cambria Math" w:cs="宋体"/>
                    <w:sz w:val="24"/>
                    <w:szCs w:val="24"/>
                  </w:rPr>
                </m:ctrlPr>
              </m:sub>
            </m:sSub>
            <m:ctrlPr>
              <w:rPr>
                <w:rFonts w:ascii="Cambria Math" w:hAnsi="Cambria Math"/>
              </w:rPr>
            </m:ctrlPr>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den>
                </m:f>
                <m:ctrlPr>
                  <w:rPr>
                    <w:rFonts w:ascii="Cambria Math" w:hAnsi="Cambria Math"/>
                  </w:rPr>
                </m:ctrlPr>
              </m:e>
            </m:d>
            <m:ctrlPr>
              <w:rPr>
                <w:rFonts w:ascii="Cambria Math" w:hAnsi="Cambria Math"/>
              </w:rPr>
            </m:ctrlPr>
          </m:e>
          <m:sup>
            <m:r>
              <m:rPr>
                <m:sty m:val="p"/>
              </m:rPr>
              <w:rPr>
                <w:rFonts w:ascii="Cambria Math" w:hAnsi="Cambria Math"/>
              </w:rPr>
              <m:t>1/2</m:t>
            </m:r>
            <m:ctrlPr>
              <w:rPr>
                <w:rFonts w:ascii="Cambria Math" w:hAnsi="Cambria Math"/>
              </w:rPr>
            </m:ctrlPr>
          </m:sup>
        </m:sSup>
      </m:oMath>
      <w:r>
        <w:tab/>
      </w:r>
      <w:r>
        <w:t>(</w:t>
      </w:r>
      <w:r>
        <w:rPr>
          <w:rFonts w:hint="eastAsia"/>
        </w:rPr>
        <w:t>F</w:t>
      </w:r>
      <w:r>
        <w:t>.9)</w:t>
      </w:r>
    </w:p>
    <w:p w14:paraId="50A43DE9">
      <w:pPr>
        <w:pStyle w:val="60"/>
        <w:ind w:firstLine="420"/>
      </w:pPr>
      <w:r>
        <w:rPr>
          <w:rFonts w:hint="eastAsia"/>
        </w:rPr>
        <w:t>式中：</w:t>
      </w:r>
    </w:p>
    <w:p w14:paraId="7EE9DF31">
      <w:pPr>
        <w:pStyle w:val="60"/>
        <w:ind w:firstLine="420"/>
      </w:pPr>
      <w:r>
        <w:rPr>
          <w:rFonts w:hint="eastAsia"/>
        </w:rPr>
        <w:t>D</w:t>
      </w:r>
      <w:r>
        <w:rPr>
          <w:rFonts w:hint="eastAsia"/>
          <w:vertAlign w:val="subscript"/>
        </w:rPr>
        <w:t>i</w:t>
      </w:r>
      <w:r>
        <w:rPr>
          <w:rFonts w:hint="eastAsia"/>
          <w:spacing w:val="-20"/>
        </w:rPr>
        <w:t>——</w:t>
      </w:r>
      <w:r>
        <w:rPr>
          <w:rFonts w:hint="eastAsia"/>
        </w:rPr>
        <w:t>VOCs组份i的气相扩散系数，米/秒；</w:t>
      </w:r>
    </w:p>
    <w:p w14:paraId="74F8A37B">
      <w:pPr>
        <w:pStyle w:val="60"/>
        <w:ind w:firstLine="420"/>
      </w:pPr>
      <w:r>
        <w:rPr>
          <w:rFonts w:hint="eastAsia"/>
        </w:rPr>
        <w:t>D</w:t>
      </w:r>
      <w:r>
        <w:rPr>
          <w:rFonts w:hint="eastAsia"/>
          <w:vertAlign w:val="subscript"/>
        </w:rPr>
        <w:t>0</w:t>
      </w:r>
      <w:r>
        <w:rPr>
          <w:rFonts w:hint="eastAsia"/>
          <w:spacing w:val="-20"/>
        </w:rPr>
        <w:t>——</w:t>
      </w:r>
      <w:r>
        <w:rPr>
          <w:rFonts w:hint="eastAsia"/>
        </w:rPr>
        <w:t>参考组分的气相扩散系数，米/秒；</w:t>
      </w:r>
    </w:p>
    <w:p w14:paraId="3C3F6BF2">
      <w:pPr>
        <w:pStyle w:val="60"/>
        <w:ind w:firstLine="420"/>
      </w:pPr>
      <w:r>
        <w:rPr>
          <w:rFonts w:hint="eastAsia"/>
        </w:rPr>
        <w:t>水是用来估算大多数物质传质系数的最常见的参照物，水在25℃、101.3千帕（绝压）条件下的传质系数是0.83厘米/秒；M</w:t>
      </w:r>
      <w:r>
        <w:rPr>
          <w:vertAlign w:val="subscript"/>
        </w:rPr>
        <w:t>i</w:t>
      </w:r>
      <w:r>
        <w:rPr>
          <w:rFonts w:hint="eastAsia"/>
        </w:rPr>
        <w:t>为VOCs组份i的摩尔质量，克/摩尔；M</w:t>
      </w:r>
      <w:r>
        <w:rPr>
          <w:rFonts w:hint="eastAsia"/>
          <w:vertAlign w:val="subscript"/>
        </w:rPr>
        <w:t>0</w:t>
      </w:r>
      <w:r>
        <w:rPr>
          <w:rFonts w:hint="eastAsia"/>
        </w:rPr>
        <w:t>为参考组分的分子摩尔质量，克/摩尔。</w:t>
      </w:r>
    </w:p>
    <w:p w14:paraId="681CE8E5">
      <w:pPr>
        <w:pStyle w:val="60"/>
        <w:ind w:firstLine="420"/>
      </w:pPr>
      <w:r>
        <w:rPr>
          <w:rFonts w:hint="eastAsia"/>
        </w:rPr>
        <w:t>整合</w:t>
      </w:r>
      <w:r>
        <w:t>公式(F.8)</w:t>
      </w:r>
      <w:r>
        <w:rPr>
          <w:rFonts w:hint="eastAsia"/>
        </w:rPr>
        <w:t>和</w:t>
      </w:r>
      <w:r>
        <w:t>公式(F.9)</w:t>
      </w:r>
      <w:r>
        <w:rPr>
          <w:rFonts w:hint="eastAsia"/>
        </w:rPr>
        <w:t>：</w:t>
      </w:r>
    </w:p>
    <w:p w14:paraId="381F8C0F">
      <w:pPr>
        <w:pStyle w:val="242"/>
      </w:pPr>
      <w:r>
        <w:tab/>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m:sty m:val="p"/>
              </m:rPr>
              <w:rPr>
                <w:rFonts w:ascii="Cambria Math" w:hAnsi="Cambria Math"/>
              </w:rPr>
              <m:t>0</m:t>
            </m:r>
            <m:ctrlPr>
              <w:rPr>
                <w:rFonts w:ascii="Cambria Math" w:hAnsi="Cambria Math"/>
              </w:rPr>
            </m:ctrlP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x</m:t>
                        </m:r>
                        <m:ctrlPr>
                          <w:rPr>
                            <w:rFonts w:ascii="Cambria Math" w:hAnsi="Cambria Math"/>
                          </w:rPr>
                        </m:ctrlPr>
                      </m:sub>
                    </m:sSub>
                    <m:ctrlPr>
                      <w:rPr>
                        <w:rFonts w:ascii="Cambria Math" w:hAnsi="Cambria Math"/>
                      </w:rPr>
                    </m:ctrlPr>
                  </m:den>
                </m:f>
                <m:ctrlPr>
                  <w:rPr>
                    <w:rFonts w:ascii="Cambria Math" w:hAnsi="Cambria Math"/>
                  </w:rPr>
                </m:ctrlPr>
              </m:e>
            </m:d>
            <m:ctrlPr>
              <w:rPr>
                <w:rFonts w:ascii="Cambria Math" w:hAnsi="Cambria Math"/>
              </w:rPr>
            </m:ctrlPr>
          </m:e>
          <m:sup>
            <m:r>
              <m:rPr>
                <m:sty m:val="p"/>
              </m:rPr>
              <w:rPr>
                <w:rFonts w:ascii="Cambria Math" w:hAnsi="Cambria Math"/>
              </w:rPr>
              <m:t>1/3</m:t>
            </m:r>
            <m:ctrlPr>
              <w:rPr>
                <w:rFonts w:ascii="Cambria Math" w:hAnsi="Cambria Math"/>
              </w:rPr>
            </m:ctrlPr>
          </m:sup>
        </m:sSup>
      </m:oMath>
      <w:r>
        <w:tab/>
      </w:r>
      <w:r>
        <w:t>(</w:t>
      </w:r>
      <w:r>
        <w:rPr>
          <w:rFonts w:hint="eastAsia"/>
        </w:rPr>
        <w:t>F</w:t>
      </w:r>
      <w:r>
        <w:t>.10)</w:t>
      </w:r>
    </w:p>
    <w:p w14:paraId="2D4CE062">
      <w:pPr>
        <w:pStyle w:val="60"/>
        <w:ind w:firstLine="420"/>
      </w:pPr>
      <w:r>
        <w:rPr>
          <w:rFonts w:hint="eastAsia"/>
        </w:rPr>
        <w:t>总VOCs产生量等于各VOCs组分之和。</w:t>
      </w:r>
    </w:p>
    <w:p w14:paraId="7948EDA2">
      <w:pPr>
        <w:pStyle w:val="60"/>
        <w:ind w:firstLine="420"/>
      </w:pPr>
      <w:r>
        <w:rPr>
          <w:rFonts w:hint="eastAsia"/>
        </w:rPr>
        <w:t>d）气体</w:t>
      </w:r>
      <w:r>
        <w:t>吹扫损失</w:t>
      </w:r>
    </w:p>
    <w:p w14:paraId="7DD15E7A">
      <w:pPr>
        <w:pStyle w:val="60"/>
        <w:ind w:firstLine="420"/>
      </w:pPr>
      <w:r>
        <w:t>气体吹扫排放是指在生产开始前和结束后，为清除设备（反应釜）和管道内的残余蒸汽或含有蒸汽的空气，用气体（氮气等）吹扫设备（反应釜等）和管道等，从而造成VOCs产生。气体吹扫的VOCs产生量按方法</w:t>
      </w:r>
      <w:r>
        <w:rPr>
          <w:rFonts w:hint="eastAsia"/>
        </w:rPr>
        <w:t>a</w:t>
      </w:r>
      <w:r>
        <w:t>或方法b计算。</w:t>
      </w:r>
    </w:p>
    <w:p w14:paraId="64226D9F">
      <w:pPr>
        <w:pStyle w:val="60"/>
        <w:ind w:firstLine="420"/>
      </w:pPr>
      <w:r>
        <w:rPr>
          <w:rFonts w:hint="eastAsia"/>
        </w:rPr>
        <w:t>方法</w:t>
      </w:r>
      <w:r>
        <w:t>a:</w:t>
      </w:r>
    </w:p>
    <w:p w14:paraId="17D45DFB">
      <w:pPr>
        <w:pStyle w:val="242"/>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=0.001×</m:t>
        </m:r>
        <m:f>
          <m:fPr>
            <m:ctrlPr>
              <w:rPr>
                <w:rFonts w:ascii="Cambria Math" w:hAnsi="Cambria Math"/>
              </w:rPr>
            </m:ctrlPr>
          </m:fPr>
          <m:num>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nc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×60×</m:t>
            </m:r>
            <m:r>
              <m:rPr/>
              <w:rPr>
                <w:rFonts w:ascii="Cambria Math" w:hAnsi="Cambria Math"/>
              </w:rPr>
              <m:t>OH</m:t>
            </m:r>
            <m:ctrlPr>
              <w:rPr>
                <w:rFonts w:ascii="Cambria Math" w:hAnsi="Cambria Math"/>
              </w:rPr>
            </m:ctrlPr>
          </m:num>
          <m:den>
            <m:r>
              <m:rPr/>
              <w:rPr>
                <w:rFonts w:ascii="Cambria Math" w:hAnsi="Cambria Math"/>
              </w:rPr>
              <m:t>R</m:t>
            </m:r>
            <m:r>
              <m:rPr>
                <m:sty m:val="p"/>
              </m:rPr>
              <w:rPr>
                <w:rFonts w:ascii="Cambria Math" w:hAnsi="Cambria Math"/>
              </w:rPr>
              <m:t>×</m:t>
            </m:r>
            <m:r>
              <m:rPr/>
              <w:rPr>
                <w:rFonts w:ascii="Cambria Math" w:hAnsi="Cambria Math"/>
              </w:rPr>
              <m:t>T</m:t>
            </m:r>
            <m:ctrlPr>
              <w:rPr>
                <w:rFonts w:ascii="Cambria Math" w:hAnsi="Cambria Math"/>
              </w:rPr>
            </m:ctrlP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T</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x</m:t>
                    </m:r>
                    <m:ctrlPr>
                      <w:rPr>
                        <w:rFonts w:ascii="Cambria Math" w:hAnsi="Cambria Math"/>
                      </w:rPr>
                    </m:ctrlPr>
                  </m:sub>
                </m:sSub>
                <m:ctrlPr>
                  <w:rPr>
                    <w:rFonts w:ascii="Cambria Math" w:hAnsi="Cambria Math"/>
                  </w:rPr>
                </m:ctrlPr>
              </m:e>
            </m:nary>
            <m:ctrlPr>
              <w:rPr>
                <w:rFonts w:ascii="Cambria Math" w:hAnsi="Cambria Math"/>
              </w:rPr>
            </m:ctrlPr>
          </m:den>
        </m:f>
      </m:oMath>
      <w:r>
        <w:tab/>
      </w:r>
      <w:r>
        <w:t>(</w:t>
      </w:r>
      <w:r>
        <w:rPr>
          <w:rFonts w:hint="eastAsia"/>
        </w:rPr>
        <w:t>F</w:t>
      </w:r>
      <w:r>
        <w:t>.11)</w:t>
      </w:r>
    </w:p>
    <w:p w14:paraId="54E960DC">
      <w:pPr>
        <w:pStyle w:val="60"/>
        <w:ind w:firstLine="420"/>
      </w:pPr>
      <w:r>
        <w:rPr>
          <w:rFonts w:hint="eastAsia"/>
        </w:rPr>
        <w:t>式中：</w:t>
      </w:r>
    </w:p>
    <w:p w14:paraId="2C764A1E">
      <w:pPr>
        <w:pStyle w:val="60"/>
        <w:ind w:firstLine="420"/>
      </w:pPr>
      <w:r>
        <w:rPr>
          <w:rFonts w:hint="eastAsia"/>
        </w:rPr>
        <w:t>E</w:t>
      </w:r>
      <w:r>
        <w:rPr>
          <w:rFonts w:hint="eastAsia"/>
          <w:vertAlign w:val="subscript"/>
        </w:rPr>
        <w:t>x</w:t>
      </w:r>
      <w:r>
        <w:rPr>
          <w:rFonts w:hint="eastAsia"/>
          <w:spacing w:val="-20"/>
        </w:rPr>
        <w:t>——</w:t>
      </w:r>
      <w:r>
        <w:rPr>
          <w:rFonts w:hint="eastAsia"/>
        </w:rPr>
        <w:t>统计期内VOCs组分x的产生量，千克；</w:t>
      </w:r>
    </w:p>
    <w:p w14:paraId="1B0E8272">
      <w:pPr>
        <w:pStyle w:val="60"/>
        <w:ind w:firstLine="420"/>
      </w:pPr>
      <w:r>
        <w:rPr>
          <w:rFonts w:hint="eastAsia"/>
        </w:rPr>
        <w:t>P</w:t>
      </w:r>
      <w:r>
        <w:rPr>
          <w:rFonts w:hint="eastAsia"/>
          <w:vertAlign w:val="subscript"/>
        </w:rPr>
        <w:t>x</w:t>
      </w:r>
      <w:r>
        <w:rPr>
          <w:rFonts w:hint="eastAsia"/>
          <w:spacing w:val="-20"/>
        </w:rPr>
        <w:t>——</w:t>
      </w:r>
      <w:r>
        <w:rPr>
          <w:rFonts w:hint="eastAsia"/>
        </w:rPr>
        <w:t>VOCs组份x的分压，帕（绝压）；</w:t>
      </w:r>
    </w:p>
    <w:p w14:paraId="3D1497D8">
      <w:pPr>
        <w:pStyle w:val="60"/>
        <w:ind w:firstLine="420"/>
      </w:pPr>
      <w:r>
        <w:rPr>
          <w:rFonts w:hint="eastAsia"/>
        </w:rPr>
        <w:t>F</w:t>
      </w:r>
      <w:r>
        <w:rPr>
          <w:rFonts w:hint="eastAsia"/>
          <w:vertAlign w:val="subscript"/>
        </w:rPr>
        <w:t>nc</w:t>
      </w:r>
      <w:r>
        <w:rPr>
          <w:rFonts w:hint="eastAsia"/>
          <w:spacing w:val="-20"/>
        </w:rPr>
        <w:t>——</w:t>
      </w:r>
      <w:r>
        <w:rPr>
          <w:rFonts w:hint="eastAsia"/>
        </w:rPr>
        <w:t>净化吹扫的流量，立方米/分钟；</w:t>
      </w:r>
    </w:p>
    <w:p w14:paraId="1F7C0391">
      <w:pPr>
        <w:pStyle w:val="60"/>
        <w:ind w:firstLine="420"/>
      </w:pPr>
      <w:r>
        <w:rPr>
          <w:rFonts w:hint="eastAsia"/>
        </w:rPr>
        <w:t>M</w:t>
      </w:r>
      <w:r>
        <w:rPr>
          <w:rFonts w:hint="eastAsia"/>
          <w:vertAlign w:val="subscript"/>
        </w:rPr>
        <w:t>x</w:t>
      </w:r>
      <w:r>
        <w:rPr>
          <w:rFonts w:hint="eastAsia"/>
          <w:spacing w:val="-20"/>
        </w:rPr>
        <w:t>——</w:t>
      </w:r>
      <w:r>
        <w:rPr>
          <w:rFonts w:hint="eastAsia"/>
        </w:rPr>
        <w:t>VOCs组份x的摩尔质量，克/摩尔；</w:t>
      </w:r>
    </w:p>
    <w:p w14:paraId="3EC46721">
      <w:pPr>
        <w:pStyle w:val="60"/>
        <w:ind w:firstLine="420"/>
      </w:pPr>
      <w:r>
        <w:rPr>
          <w:rFonts w:hint="eastAsia"/>
        </w:rPr>
        <w:t>60</w:t>
      </w:r>
      <w:r>
        <w:rPr>
          <w:rFonts w:hint="eastAsia"/>
          <w:spacing w:val="-20"/>
        </w:rPr>
        <w:t>——</w:t>
      </w:r>
      <w:r>
        <w:rPr>
          <w:rFonts w:hint="eastAsia"/>
        </w:rPr>
        <w:t>分钟/小时；</w:t>
      </w:r>
    </w:p>
    <w:p w14:paraId="3AB5F5A8">
      <w:pPr>
        <w:pStyle w:val="60"/>
        <w:ind w:firstLine="420"/>
      </w:pPr>
      <w:r>
        <w:rPr>
          <w:rFonts w:hint="eastAsia"/>
        </w:rPr>
        <w:t>OH</w:t>
      </w:r>
      <w:r>
        <w:rPr>
          <w:rFonts w:hint="eastAsia"/>
          <w:spacing w:val="-20"/>
        </w:rPr>
        <w:t>——</w:t>
      </w:r>
      <w:r>
        <w:rPr>
          <w:rFonts w:hint="eastAsia"/>
        </w:rPr>
        <w:t>统计期内吹扫或净化的时间，小时；</w:t>
      </w:r>
    </w:p>
    <w:p w14:paraId="7A0DE060">
      <w:pPr>
        <w:pStyle w:val="60"/>
        <w:ind w:firstLine="420"/>
      </w:pPr>
      <w:r>
        <w:rPr>
          <w:rFonts w:hint="eastAsia"/>
        </w:rPr>
        <w:t>R</w:t>
      </w:r>
      <w:r>
        <w:rPr>
          <w:rFonts w:hint="eastAsia"/>
          <w:spacing w:val="-20"/>
        </w:rPr>
        <w:t>——</w:t>
      </w:r>
      <w:r>
        <w:rPr>
          <w:rFonts w:hint="eastAsia"/>
        </w:rPr>
        <w:t>理想气体常数，8.314焦耳/摩尔</w:t>
      </w:r>
      <w:r>
        <w:t>·</w:t>
      </w:r>
      <w:r>
        <w:rPr>
          <w:rFonts w:hint="eastAsia"/>
        </w:rPr>
        <w:t>开氏度；</w:t>
      </w:r>
    </w:p>
    <w:p w14:paraId="35FCD6BA">
      <w:pPr>
        <w:pStyle w:val="60"/>
        <w:ind w:firstLine="420"/>
      </w:pPr>
      <w:r>
        <w:rPr>
          <w:rFonts w:hint="eastAsia"/>
        </w:rPr>
        <w:t>T</w:t>
      </w:r>
      <w:r>
        <w:rPr>
          <w:rFonts w:hint="eastAsia"/>
          <w:spacing w:val="-20"/>
        </w:rPr>
        <w:t>——</w:t>
      </w:r>
      <w:r>
        <w:rPr>
          <w:rFonts w:hint="eastAsia"/>
        </w:rPr>
        <w:t>排放气体的温度，开氏度；</w:t>
      </w:r>
    </w:p>
    <w:p w14:paraId="49262B44">
      <w:pPr>
        <w:pStyle w:val="60"/>
        <w:ind w:firstLine="420"/>
      </w:pPr>
      <w:r>
        <w:rPr>
          <w:rFonts w:hint="eastAsia"/>
        </w:rPr>
        <w:t>P</w:t>
      </w:r>
      <w:r>
        <w:rPr>
          <w:rFonts w:hint="eastAsia"/>
          <w:vertAlign w:val="subscript"/>
        </w:rPr>
        <w:t>T</w:t>
      </w:r>
      <w:r>
        <w:rPr>
          <w:rFonts w:hint="eastAsia"/>
          <w:spacing w:val="-20"/>
        </w:rPr>
        <w:t>——</w:t>
      </w:r>
      <w:r>
        <w:rPr>
          <w:rFonts w:hint="eastAsia"/>
        </w:rPr>
        <w:t>系统总的压力，帕（绝压）。</w:t>
      </w:r>
    </w:p>
    <w:p w14:paraId="5856BBAC">
      <w:pPr>
        <w:pStyle w:val="60"/>
        <w:ind w:firstLine="420"/>
      </w:pPr>
      <w:r>
        <w:rPr>
          <w:rFonts w:hint="eastAsia"/>
        </w:rPr>
        <w:t>按照公式</w:t>
      </w:r>
      <w:r>
        <w:t>(F.11)</w:t>
      </w:r>
      <w:r>
        <w:rPr>
          <w:rFonts w:hint="eastAsia"/>
        </w:rPr>
        <w:t>计算时注意：①如果进入设备内的气流速度小于2.83立方米/分钟，则假定蒸汽与液体处于平衡状态（即分压等于只有一种组分时蒸汽分压）；②如果气流高于2.83立方米/分钟，蒸汽饱和度设定为25%。</w:t>
      </w:r>
    </w:p>
    <w:p w14:paraId="126AABE0">
      <w:pPr>
        <w:pStyle w:val="60"/>
        <w:ind w:firstLine="420"/>
      </w:pPr>
      <w:r>
        <w:rPr>
          <w:rFonts w:hint="eastAsia"/>
        </w:rPr>
        <w:t>方法</w:t>
      </w:r>
      <w:r>
        <w:t>b</w:t>
      </w:r>
      <w:r>
        <w:rPr>
          <w:rFonts w:hint="eastAsia"/>
        </w:rPr>
        <w:t>：</w:t>
      </w:r>
    </w:p>
    <w:p w14:paraId="2150638E">
      <w:pPr>
        <w:pStyle w:val="60"/>
        <w:ind w:firstLine="420"/>
      </w:pPr>
      <w:r>
        <w:rPr>
          <w:rFonts w:hint="eastAsia"/>
        </w:rPr>
        <w:t>方法b在方法a基础上增加了排气口的VOCs组份的特定饱和因子。方法b在具有较高设备顶部交换率的情况下估算值将偏低，故仅在交换率每分钟不大于5的情况下使用。</w:t>
      </w:r>
    </w:p>
    <w:p w14:paraId="2407F463">
      <w:pPr>
        <w:pStyle w:val="242"/>
      </w:pPr>
      <w:r>
        <w:tab/>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x</m:t>
                </m:r>
                <m:ctrlPr>
                  <w:rPr>
                    <w:rFonts w:ascii="Cambria Math" w:hAnsi="Cambria Math"/>
                  </w:rPr>
                </m:ctrlPr>
              </m:sub>
            </m:sSub>
            <m:ctrlPr>
              <w:rPr>
                <w:rFonts w:ascii="Cambria Math" w:hAnsi="Cambria Math"/>
              </w:rPr>
            </m:ctrlPr>
          </m:num>
          <m:den>
            <m:sSubSup>
              <m:sSubSupPr>
                <m:ctrlPr>
                  <w:rPr>
                    <w:rFonts w:ascii="Cambria Math" w:hAnsi="Cambria Math"/>
                  </w:rPr>
                </m:ctrlPr>
              </m:sSubSupPr>
              <m:e>
                <m:r>
                  <m:rPr/>
                  <w:rPr>
                    <w:rFonts w:ascii="Cambria Math" w:hAnsi="Cambria Math"/>
                  </w:rPr>
                  <m:t>P</m:t>
                </m:r>
                <m:ctrlPr>
                  <w:rPr>
                    <w:rFonts w:ascii="Cambria Math" w:hAnsi="Cambria Math"/>
                  </w:rPr>
                </m:ctrlPr>
              </m:e>
              <m:sub>
                <m:r>
                  <m:rPr/>
                  <w:rPr>
                    <w:rFonts w:ascii="Cambria Math" w:hAnsi="Cambria Math"/>
                  </w:rPr>
                  <m:t>x</m:t>
                </m:r>
                <m:ctrlPr>
                  <w:rPr>
                    <w:rFonts w:ascii="Cambria Math" w:hAnsi="Cambria Math"/>
                  </w:rPr>
                </m:ctrlPr>
              </m:sub>
              <m:sup>
                <m:r>
                  <m:rPr/>
                  <w:rPr>
                    <w:rFonts w:ascii="Cambria Math" w:hAnsi="Cambria Math"/>
                  </w:rPr>
                  <m:t>sat</m:t>
                </m:r>
                <m:ctrlPr>
                  <w:rPr>
                    <w:rFonts w:ascii="Cambria Math" w:hAnsi="Cambria Math"/>
                  </w:rPr>
                </m:ctrlPr>
              </m:sup>
            </m:sSubSup>
            <m:ctrlPr>
              <w:rPr>
                <w:rFonts w:ascii="Cambria Math" w:hAnsi="Cambria Math"/>
              </w:rPr>
            </m:ctrlP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x</m:t>
                </m:r>
                <m:ctrlPr>
                  <w:rPr>
                    <w:rFonts w:ascii="Cambria Math" w:hAnsi="Cambria Math"/>
                  </w:rPr>
                </m:ctrlPr>
              </m:sub>
            </m:sSub>
            <m:r>
              <m:rPr/>
              <w:rPr>
                <w:rFonts w:ascii="Cambria Math" w:hAnsi="Cambria Math"/>
              </w:rPr>
              <m:t>A</m:t>
            </m:r>
            <m:ctrlPr>
              <w:rPr>
                <w:rFonts w:ascii="Cambria Math" w:hAnsi="Cambria Math"/>
              </w:rPr>
            </m:ctrlPr>
          </m:num>
          <m:den>
            <m:r>
              <m:rPr/>
              <w:rPr>
                <w:rFonts w:ascii="Cambria Math" w:hAnsi="Cambria Math"/>
              </w:rPr>
              <m:t>F</m:t>
            </m:r>
            <m:r>
              <m:rPr>
                <m:sty m:val="p"/>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x</m:t>
                </m:r>
                <m:ctrlPr>
                  <w:rPr>
                    <w:rFonts w:ascii="Cambria Math" w:hAnsi="Cambria Math"/>
                  </w:rPr>
                </m:ctrlPr>
              </m:sub>
            </m:sSub>
            <m:r>
              <m:rPr/>
              <w:rPr>
                <w:rFonts w:ascii="Cambria Math" w:hAnsi="Cambria Math"/>
              </w:rPr>
              <m:t>A</m:t>
            </m:r>
            <m:ctrlPr>
              <w:rPr>
                <w:rFonts w:ascii="Cambria Math" w:hAnsi="Cambria Math"/>
              </w:rPr>
            </m:ctrlP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x</m:t>
                </m:r>
                <m:ctrlPr>
                  <w:rPr>
                    <w:rFonts w:ascii="Cambria Math" w:hAnsi="Cambria Math"/>
                  </w:rPr>
                </m:ctrlPr>
              </m:sub>
            </m:sSub>
            <m:r>
              <m:rPr/>
              <w:rPr>
                <w:rFonts w:ascii="Cambria Math" w:hAnsi="Cambria Math"/>
              </w:rPr>
              <m:t>A</m:t>
            </m:r>
            <m:ctrlPr>
              <w:rPr>
                <w:rFonts w:ascii="Cambria Math" w:hAnsi="Cambria Math"/>
              </w:rPr>
            </m:ctrlPr>
          </m:num>
          <m:den>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x</m:t>
                </m:r>
                <m:ctrlPr>
                  <w:rPr>
                    <w:rFonts w:ascii="Cambria Math" w:hAnsi="Cambria Math"/>
                  </w:rPr>
                </m:ctrlPr>
              </m:sub>
            </m:sSub>
            <m:r>
              <m:rPr/>
              <w:rPr>
                <w:rFonts w:ascii="Cambria Math" w:hAnsi="Cambria Math"/>
              </w:rPr>
              <m:t>A</m:t>
            </m:r>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nc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x</m:t>
                </m:r>
                <m:ctrlPr>
                  <w:rPr>
                    <w:rFonts w:ascii="Cambria Math" w:hAnsi="Cambria Math"/>
                  </w:rPr>
                </m:ctrlPr>
              </m:sub>
            </m:sSub>
            <m:sSubSup>
              <m:sSubSupPr>
                <m:ctrlPr>
                  <w:rPr>
                    <w:rFonts w:ascii="Cambria Math" w:hAnsi="Cambria Math"/>
                  </w:rPr>
                </m:ctrlPr>
              </m:sSubSupPr>
              <m:e>
                <m:r>
                  <m:rPr/>
                  <w:rPr>
                    <w:rFonts w:ascii="Cambria Math" w:hAnsi="Cambria Math"/>
                  </w:rPr>
                  <m:t>F</m:t>
                </m:r>
                <m:ctrlPr>
                  <w:rPr>
                    <w:rFonts w:ascii="Cambria Math" w:hAnsi="Cambria Math"/>
                  </w:rPr>
                </m:ctrlPr>
              </m:e>
              <m:sub>
                <m:r>
                  <m:rPr/>
                  <w:rPr>
                    <w:rFonts w:ascii="Cambria Math" w:hAnsi="Cambria Math"/>
                  </w:rPr>
                  <m:t>x</m:t>
                </m:r>
                <m:ctrlPr>
                  <w:rPr>
                    <w:rFonts w:ascii="Cambria Math" w:hAnsi="Cambria Math"/>
                  </w:rPr>
                </m:ctrlPr>
              </m:sub>
              <m:sup>
                <m:r>
                  <m:rPr/>
                  <w:rPr>
                    <w:rFonts w:ascii="Cambria Math" w:hAnsi="Cambria Math"/>
                  </w:rPr>
                  <m:t>sat</m:t>
                </m:r>
                <m:ctrlPr>
                  <w:rPr>
                    <w:rFonts w:ascii="Cambria Math" w:hAnsi="Cambria Math"/>
                  </w:rPr>
                </m:ctrlPr>
              </m:sup>
            </m:sSubSup>
            <m:ctrlPr>
              <w:rPr>
                <w:rFonts w:ascii="Cambria Math" w:hAnsi="Cambria Math"/>
              </w:rPr>
            </m:ctrlPr>
          </m:den>
        </m:f>
      </m:oMath>
      <w:r>
        <w:tab/>
      </w:r>
      <w:r>
        <w:t>(</w:t>
      </w:r>
      <w:r>
        <w:rPr>
          <w:rFonts w:hint="eastAsia"/>
        </w:rPr>
        <w:t>F</w:t>
      </w:r>
      <w:r>
        <w:t>.12)</w:t>
      </w:r>
    </w:p>
    <w:p w14:paraId="209F5D7E">
      <w:pPr>
        <w:pStyle w:val="60"/>
        <w:ind w:firstLine="420"/>
      </w:pPr>
      <w:r>
        <w:rPr>
          <w:rFonts w:hint="eastAsia"/>
        </w:rPr>
        <w:t>式中：</w:t>
      </w:r>
    </w:p>
    <w:p w14:paraId="3D16EB05">
      <w:pPr>
        <w:pStyle w:val="60"/>
        <w:ind w:firstLine="420"/>
      </w:pPr>
      <w:r>
        <w:rPr>
          <w:rFonts w:hint="eastAsia"/>
        </w:rPr>
        <w:t>S</w:t>
      </w:r>
      <w:r>
        <w:rPr>
          <w:rFonts w:hint="eastAsia"/>
          <w:vertAlign w:val="subscript"/>
        </w:rPr>
        <w:t>x</w:t>
      </w:r>
      <w:r>
        <w:rPr>
          <w:rFonts w:hint="eastAsia"/>
          <w:spacing w:val="-20"/>
        </w:rPr>
        <w:t>——</w:t>
      </w:r>
      <w:r>
        <w:rPr>
          <w:rFonts w:hint="eastAsia"/>
        </w:rPr>
        <w:t>VOCs组分x的饱和因子；</w:t>
      </w:r>
    </w:p>
    <w:p w14:paraId="33CD430A">
      <w:pPr>
        <w:pStyle w:val="60"/>
        <w:ind w:firstLine="420"/>
      </w:pPr>
      <w:r>
        <w:rPr>
          <w:rFonts w:hint="eastAsia"/>
        </w:rPr>
        <w:t>K</w:t>
      </w:r>
      <w:r>
        <w:rPr>
          <w:rFonts w:hint="eastAsia"/>
          <w:vertAlign w:val="subscript"/>
        </w:rPr>
        <w:t>x</w:t>
      </w:r>
      <w:r>
        <w:rPr>
          <w:rFonts w:hint="eastAsia"/>
          <w:spacing w:val="-20"/>
        </w:rPr>
        <w:t>——</w:t>
      </w:r>
      <w:r>
        <w:rPr>
          <w:rFonts w:hint="eastAsia"/>
        </w:rPr>
        <w:t>VOCs组分x的传质系数；</w:t>
      </w:r>
    </w:p>
    <w:p w14:paraId="166207C7">
      <w:pPr>
        <w:pStyle w:val="60"/>
        <w:ind w:firstLine="420"/>
      </w:pPr>
      <w:r>
        <w:rPr>
          <w:rFonts w:hint="eastAsia"/>
        </w:rPr>
        <w:t>A</w:t>
      </w:r>
      <w:r>
        <w:rPr>
          <w:rFonts w:hint="eastAsia"/>
          <w:spacing w:val="-20"/>
        </w:rPr>
        <w:t>——</w:t>
      </w:r>
      <w:r>
        <w:rPr>
          <w:rFonts w:hint="eastAsia"/>
        </w:rPr>
        <w:t>液体的表面积；</w:t>
      </w:r>
    </w:p>
    <w:p w14:paraId="71B28740">
      <w:pPr>
        <w:pStyle w:val="60"/>
        <w:ind w:firstLine="420"/>
      </w:pPr>
      <w:r>
        <w:rPr>
          <w:rFonts w:hint="eastAsia"/>
        </w:rPr>
        <w:t>F</w:t>
      </w:r>
      <w:r>
        <w:rPr>
          <w:rFonts w:hint="eastAsia"/>
          <w:vertAlign w:val="subscript"/>
        </w:rPr>
        <w:t>nc</w:t>
      </w:r>
      <w:r>
        <w:rPr>
          <w:rFonts w:hint="eastAsia"/>
          <w:spacing w:val="-20"/>
        </w:rPr>
        <w:t>——</w:t>
      </w:r>
      <w:r>
        <w:rPr>
          <w:rFonts w:hint="eastAsia"/>
        </w:rPr>
        <w:t>不凝气的体积流率（如空气、氮气）；</w:t>
      </w:r>
    </w:p>
    <w:p w14:paraId="60373D79">
      <w:pPr>
        <w:pStyle w:val="60"/>
        <w:ind w:firstLine="420"/>
      </w:pPr>
      <m:oMath>
        <m:sSubSup>
          <m:sSubSupPr>
            <m:ctrlPr>
              <w:rPr>
                <w:rFonts w:ascii="Cambria Math" w:hAnsi="Cambria Math"/>
              </w:rPr>
            </m:ctrlPr>
          </m:sSubSupPr>
          <m:e>
            <m:r>
              <m:rPr>
                <m:sty m:val="p"/>
              </m:rPr>
              <w:rPr>
                <w:rFonts w:ascii="Cambria Math" w:hAnsi="Cambria Math"/>
              </w:rPr>
              <m:t>F</m:t>
            </m:r>
            <m:ctrlPr>
              <w:rPr>
                <w:rFonts w:ascii="Cambria Math" w:hAnsi="Cambria Math"/>
              </w:rPr>
            </m:ctrlPr>
          </m:e>
          <m:sub>
            <m:r>
              <m:rPr/>
              <w:rPr>
                <w:rFonts w:ascii="Cambria Math" w:hAnsi="Cambria Math"/>
              </w:rPr>
              <m:t>x</m:t>
            </m:r>
            <m:ctrlPr>
              <w:rPr>
                <w:rFonts w:ascii="Cambria Math" w:hAnsi="Cambria Math"/>
              </w:rPr>
            </m:ctrlPr>
          </m:sub>
          <m:sup>
            <m:r>
              <m:rPr/>
              <w:rPr>
                <w:rFonts w:ascii="Cambria Math" w:hAnsi="Cambria Math"/>
              </w:rPr>
              <m:t>sat</m:t>
            </m:r>
            <m:ctrlPr>
              <w:rPr>
                <w:rFonts w:ascii="Cambria Math" w:hAnsi="Cambria Math"/>
              </w:rPr>
            </m:ctrlPr>
          </m:sup>
        </m:sSubSup>
      </m:oMath>
      <w:r>
        <w:rPr>
          <w:rFonts w:hint="eastAsia"/>
          <w:spacing w:val="-20"/>
        </w:rPr>
        <w:t>——</w:t>
      </w:r>
      <w:r>
        <w:rPr>
          <w:rFonts w:hint="eastAsia"/>
        </w:rPr>
        <w:t>VOCs组分x的饱和分压下的体积流率。</w:t>
      </w:r>
    </w:p>
    <w:p w14:paraId="423E3E0C">
      <w:pPr>
        <w:pStyle w:val="242"/>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m</m:t>
            </m:r>
            <m:ctrlPr>
              <w:rPr>
                <w:rFonts w:ascii="Cambria Math" w:hAnsi="Cambria Math"/>
              </w:rPr>
            </m:ctrlPr>
          </m:sub>
        </m:sSub>
        <m:r>
          <m:rPr>
            <m:sty m:val="p"/>
          </m:rPr>
          <w:rPr>
            <w:rFonts w:ascii="Cambria Math" w:hAnsi="Cambria Math"/>
          </w:rPr>
          <m:t>=0.001×</m:t>
        </m:r>
        <m:f>
          <m:fPr>
            <m:ctrlPr>
              <w:rPr>
                <w:rFonts w:ascii="Cambria Math" w:hAnsi="Cambria Math"/>
              </w:rPr>
            </m:ctrlPr>
          </m:fPr>
          <m:num>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x</m:t>
                </m:r>
                <m:ctrlPr>
                  <w:rPr>
                    <w:rFonts w:ascii="Cambria Math" w:hAnsi="Cambria Math"/>
                  </w:rPr>
                </m:ctrlPr>
              </m:sub>
            </m:sSub>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x</m:t>
                </m:r>
                <m:ctrlPr>
                  <w:rPr>
                    <w:rFonts w:ascii="Cambria Math" w:hAnsi="Cambria Math"/>
                  </w:rPr>
                </m:ctrlPr>
              </m:sub>
            </m:sSub>
            <m:r>
              <m:rPr/>
              <w:rPr>
                <w:rFonts w:ascii="Cambria Math" w:hAnsi="Cambria Math"/>
              </w:rPr>
              <m:t>A</m:t>
            </m:r>
            <m:ctrlPr>
              <w:rPr>
                <w:rFonts w:ascii="Cambria Math" w:hAnsi="Cambria Math"/>
              </w:rPr>
            </m:ctrlPr>
          </m:num>
          <m:den>
            <m:r>
              <m:rPr/>
              <w:rPr>
                <w:rFonts w:ascii="Cambria Math" w:hAnsi="Cambria Math"/>
              </w:rPr>
              <m:t>RT</m:t>
            </m:r>
            <m:ctrlPr>
              <w:rPr>
                <w:rFonts w:ascii="Cambria Math" w:hAnsi="Cambria Math"/>
              </w:rPr>
            </m:ctrlPr>
          </m:den>
        </m:f>
        <m:d>
          <m:dPr>
            <m:ctrlPr>
              <w:rPr>
                <w:rFonts w:ascii="Cambria Math" w:hAnsi="Cambria Math"/>
              </w:rPr>
            </m:ctrlPr>
          </m:dPr>
          <m:e>
            <m:sSubSup>
              <m:sSubSupPr>
                <m:ctrlPr>
                  <w:rPr>
                    <w:rFonts w:ascii="Cambria Math" w:hAnsi="Cambria Math"/>
                  </w:rPr>
                </m:ctrlPr>
              </m:sSubSupPr>
              <m:e>
                <m:r>
                  <m:rPr/>
                  <w:rPr>
                    <w:rFonts w:ascii="Cambria Math" w:hAnsi="Cambria Math"/>
                  </w:rPr>
                  <m:t>P</m:t>
                </m:r>
                <m:ctrlPr>
                  <w:rPr>
                    <w:rFonts w:ascii="Cambria Math" w:hAnsi="Cambria Math"/>
                  </w:rPr>
                </m:ctrlPr>
              </m:e>
              <m:sub>
                <m:r>
                  <m:rPr/>
                  <w:rPr>
                    <w:rFonts w:ascii="Cambria Math" w:hAnsi="Cambria Math"/>
                  </w:rPr>
                  <m:t>x</m:t>
                </m:r>
                <m:ctrlPr>
                  <w:rPr>
                    <w:rFonts w:ascii="Cambria Math" w:hAnsi="Cambria Math"/>
                  </w:rPr>
                </m:ctrlPr>
              </m:sub>
              <m:sup>
                <m:r>
                  <m:rPr/>
                  <w:rPr>
                    <w:rFonts w:ascii="Cambria Math" w:hAnsi="Cambria Math"/>
                  </w:rPr>
                  <m:t>sat</m:t>
                </m:r>
                <m:ctrlPr>
                  <w:rPr>
                    <w:rFonts w:ascii="Cambria Math" w:hAnsi="Cambria Math"/>
                  </w:rPr>
                </m:ctrlPr>
              </m:sup>
            </m:sSubSup>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x</m:t>
                </m:r>
                <m:ctrlPr>
                  <w:rPr>
                    <w:rFonts w:ascii="Cambria Math" w:hAnsi="Cambria Math"/>
                  </w:rPr>
                </m:ctrlPr>
              </m:sub>
            </m:sSub>
            <m:ctrlPr>
              <w:rPr>
                <w:rFonts w:ascii="Cambria Math" w:hAnsi="Cambria Math"/>
              </w:rPr>
            </m:ctrlPr>
          </m:e>
        </m:d>
      </m:oMath>
      <w:r>
        <w:tab/>
      </w:r>
      <w:r>
        <w:t>(</w:t>
      </w:r>
      <w:r>
        <w:rPr>
          <w:rFonts w:hint="eastAsia"/>
        </w:rPr>
        <w:t>F</w:t>
      </w:r>
      <w:r>
        <w:t>.13)</w:t>
      </w:r>
    </w:p>
    <w:p w14:paraId="147AD144">
      <w:pPr>
        <w:pStyle w:val="60"/>
        <w:ind w:firstLine="420"/>
      </w:pPr>
      <w:r>
        <w:rPr>
          <w:rFonts w:hint="eastAsia"/>
        </w:rPr>
        <w:t>式中：</w:t>
      </w:r>
    </w:p>
    <w:p w14:paraId="1F3BAB25">
      <w:pPr>
        <w:pStyle w:val="60"/>
        <w:ind w:firstLine="420"/>
      </w:pPr>
      <w:r>
        <w:rPr>
          <w:rFonts w:hint="eastAsia"/>
        </w:rPr>
        <w:t>E</w:t>
      </w:r>
      <w:r>
        <w:rPr>
          <w:rFonts w:hint="eastAsia"/>
          <w:vertAlign w:val="subscript"/>
        </w:rPr>
        <w:t>m</w:t>
      </w:r>
      <w:r>
        <w:rPr>
          <w:rFonts w:hint="eastAsia"/>
          <w:spacing w:val="-20"/>
        </w:rPr>
        <w:t>——</w:t>
      </w:r>
      <w:r>
        <w:rPr>
          <w:rFonts w:hint="eastAsia"/>
        </w:rPr>
        <w:t>VOCs组份x蒸发率，千克/分钟；</w:t>
      </w:r>
    </w:p>
    <w:p w14:paraId="1E7544AB">
      <w:pPr>
        <w:pStyle w:val="60"/>
        <w:ind w:firstLine="420"/>
      </w:pPr>
      <w:r>
        <w:rPr>
          <w:rFonts w:hint="eastAsia"/>
        </w:rPr>
        <w:t>M</w:t>
      </w:r>
      <w:r>
        <w:rPr>
          <w:rFonts w:hint="eastAsia"/>
          <w:vertAlign w:val="subscript"/>
        </w:rPr>
        <w:t>x</w:t>
      </w:r>
      <w:r>
        <w:rPr>
          <w:rFonts w:hint="eastAsia"/>
          <w:spacing w:val="-20"/>
        </w:rPr>
        <w:t>——</w:t>
      </w:r>
      <w:r>
        <w:rPr>
          <w:rFonts w:hint="eastAsia"/>
        </w:rPr>
        <w:t>VOCs组分x的摩尔质量，克/摩尔；</w:t>
      </w:r>
    </w:p>
    <w:p w14:paraId="6B145D6C">
      <w:pPr>
        <w:pStyle w:val="60"/>
        <w:ind w:firstLine="420"/>
      </w:pPr>
      <w:r>
        <w:rPr>
          <w:rFonts w:hint="eastAsia"/>
        </w:rPr>
        <w:t>K</w:t>
      </w:r>
      <w:r>
        <w:rPr>
          <w:rFonts w:hint="eastAsia"/>
          <w:vertAlign w:val="subscript"/>
        </w:rPr>
        <w:t>x</w:t>
      </w:r>
      <w:r>
        <w:rPr>
          <w:rFonts w:hint="eastAsia"/>
          <w:spacing w:val="-20"/>
        </w:rPr>
        <w:t>——</w:t>
      </w:r>
      <w:r>
        <w:rPr>
          <w:rFonts w:hint="eastAsia"/>
        </w:rPr>
        <w:t>传质系数，米/分钟，见公式</w:t>
      </w:r>
      <w:r>
        <w:t>(F.10)</w:t>
      </w:r>
      <w:r>
        <w:rPr>
          <w:rFonts w:hint="eastAsia"/>
        </w:rPr>
        <w:t>；</w:t>
      </w:r>
    </w:p>
    <w:p w14:paraId="5994CE9B">
      <w:pPr>
        <w:pStyle w:val="60"/>
        <w:ind w:firstLine="420"/>
      </w:pPr>
      <w:r>
        <w:rPr>
          <w:rFonts w:hint="eastAsia"/>
        </w:rPr>
        <w:t>A</w:t>
      </w:r>
      <w:r>
        <w:rPr>
          <w:rFonts w:hint="eastAsia"/>
          <w:spacing w:val="-20"/>
        </w:rPr>
        <w:t>——</w:t>
      </w:r>
      <w:r>
        <w:rPr>
          <w:rFonts w:hint="eastAsia"/>
        </w:rPr>
        <w:t>表面积，平方米；</w:t>
      </w:r>
    </w:p>
    <w:p w14:paraId="1D2B7464">
      <w:pPr>
        <w:pStyle w:val="60"/>
        <w:ind w:firstLine="420"/>
      </w:pPr>
      <w:r>
        <w:rPr>
          <w:rFonts w:hint="eastAsia"/>
        </w:rPr>
        <w:t>R</w:t>
      </w:r>
      <w:r>
        <w:rPr>
          <w:rFonts w:hint="eastAsia"/>
          <w:spacing w:val="-20"/>
        </w:rPr>
        <w:t>——</w:t>
      </w:r>
      <w:r>
        <w:rPr>
          <w:rFonts w:hint="eastAsia"/>
        </w:rPr>
        <w:t>理想气体常数，8.314焦耳/摩尔</w:t>
      </w:r>
      <w:r>
        <w:t>·</w:t>
      </w:r>
      <w:r>
        <w:rPr>
          <w:rFonts w:hint="eastAsia"/>
        </w:rPr>
        <w:t>开氏度；</w:t>
      </w:r>
    </w:p>
    <w:p w14:paraId="0F0E7331">
      <w:pPr>
        <w:pStyle w:val="60"/>
        <w:ind w:firstLine="420"/>
      </w:pPr>
      <w:r>
        <w:rPr>
          <w:rFonts w:hint="eastAsia"/>
        </w:rPr>
        <w:t>T</w:t>
      </w:r>
      <w:r>
        <w:rPr>
          <w:rFonts w:hint="eastAsia"/>
          <w:spacing w:val="-20"/>
        </w:rPr>
        <w:t>——</w:t>
      </w:r>
      <w:r>
        <w:rPr>
          <w:rFonts w:hint="eastAsia"/>
        </w:rPr>
        <w:t>流体的温度，开氏度（绝对温度）；</w:t>
      </w:r>
    </w:p>
    <w:p w14:paraId="107D7184">
      <w:pPr>
        <w:pStyle w:val="60"/>
        <w:ind w:firstLine="420"/>
      </w:pPr>
      <m:oMath>
        <m:sSubSup>
          <m:sSubSupPr>
            <m:ctrlPr>
              <w:rPr>
                <w:rFonts w:ascii="Cambria Math" w:hAnsi="Cambria Math"/>
              </w:rPr>
            </m:ctrlPr>
          </m:sSubSupPr>
          <m:e>
            <m:r>
              <m:rPr>
                <m:sty m:val="p"/>
              </m:rPr>
              <w:rPr>
                <w:rFonts w:ascii="Cambria Math" w:hAnsi="Cambria Math"/>
              </w:rPr>
              <m:t>P</m:t>
            </m:r>
            <m:ctrlPr>
              <w:rPr>
                <w:rFonts w:ascii="Cambria Math" w:hAnsi="Cambria Math"/>
              </w:rPr>
            </m:ctrlPr>
          </m:e>
          <m:sub>
            <m:r>
              <m:rPr/>
              <w:rPr>
                <w:rFonts w:ascii="Cambria Math" w:hAnsi="Cambria Math"/>
              </w:rPr>
              <m:t>x</m:t>
            </m:r>
            <m:ctrlPr>
              <w:rPr>
                <w:rFonts w:ascii="Cambria Math" w:hAnsi="Cambria Math"/>
              </w:rPr>
            </m:ctrlPr>
          </m:sub>
          <m:sup>
            <m:r>
              <m:rPr/>
              <w:rPr>
                <w:rFonts w:ascii="Cambria Math" w:hAnsi="Cambria Math"/>
              </w:rPr>
              <m:t>sat</m:t>
            </m:r>
            <m:ctrlPr>
              <w:rPr>
                <w:rFonts w:ascii="Cambria Math" w:hAnsi="Cambria Math"/>
              </w:rPr>
            </m:ctrlPr>
          </m:sup>
        </m:sSubSup>
      </m:oMath>
      <w:r>
        <w:rPr>
          <w:rFonts w:hint="eastAsia"/>
          <w:spacing w:val="-20"/>
        </w:rPr>
        <w:t>——</w:t>
      </w:r>
      <w:r>
        <w:rPr>
          <w:rFonts w:hint="eastAsia"/>
        </w:rPr>
        <w:t>在饱和溶剂分压条件下不凝气的分压，帕（绝压）；</w:t>
      </w:r>
    </w:p>
    <w:p w14:paraId="68DF2C32">
      <w:pPr>
        <w:pStyle w:val="60"/>
        <w:ind w:firstLine="420"/>
      </w:pPr>
      <w:r>
        <w:rPr>
          <w:rFonts w:hint="eastAsia"/>
        </w:rPr>
        <w:t>P</w:t>
      </w:r>
      <w:r>
        <w:rPr>
          <w:rFonts w:hint="eastAsia"/>
          <w:vertAlign w:val="subscript"/>
        </w:rPr>
        <w:t>x</w:t>
      </w:r>
      <w:r>
        <w:rPr>
          <w:rFonts w:hint="eastAsia"/>
          <w:spacing w:val="-20"/>
        </w:rPr>
        <w:t>——</w:t>
      </w:r>
      <w:r>
        <w:rPr>
          <w:rFonts w:hint="eastAsia"/>
        </w:rPr>
        <w:t>液体表面的气体实际分压，帕（绝压）。</w:t>
      </w:r>
    </w:p>
    <w:p w14:paraId="54AF7233">
      <w:pPr>
        <w:pStyle w:val="60"/>
        <w:ind w:firstLine="420"/>
      </w:pPr>
      <w:r>
        <w:rPr>
          <w:rFonts w:hint="eastAsia"/>
        </w:rPr>
        <w:t>公式</w:t>
      </w:r>
      <w:r>
        <w:t>(F.13)</w:t>
      </w:r>
      <w:r>
        <w:rPr>
          <w:rFonts w:hint="eastAsia"/>
        </w:rPr>
        <w:t>是计算VOCs组分</w:t>
      </w:r>
      <w:r>
        <w:rPr>
          <w:rFonts w:hint="eastAsia"/>
          <w:i/>
        </w:rPr>
        <w:t>x</w:t>
      </w:r>
      <w:r>
        <w:rPr>
          <w:rFonts w:hint="eastAsia"/>
        </w:rPr>
        <w:t>蒸发率的基础公式，基于排气口气体流速、</w:t>
      </w:r>
      <w:r>
        <w:rPr>
          <w:rFonts w:hint="eastAsia"/>
          <w:i/>
        </w:rPr>
        <w:t>x</w:t>
      </w:r>
      <w:r>
        <w:rPr>
          <w:rFonts w:hint="eastAsia"/>
        </w:rPr>
        <w:t>的分压、摩尔质量和其他已知条件。</w:t>
      </w:r>
    </w:p>
    <w:p w14:paraId="69BCE7EA">
      <w:pPr>
        <w:pStyle w:val="242"/>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V</m:t>
            </m:r>
            <m:ctrlPr>
              <w:rPr>
                <w:rFonts w:ascii="Cambria Math" w:hAnsi="Cambria Math"/>
              </w:rPr>
            </m:ctrlPr>
          </m:sub>
        </m:sSub>
        <m:r>
          <m:rPr>
            <m:sty m:val="p"/>
          </m:rPr>
          <w:rPr>
            <w:rFonts w:ascii="Cambria Math" w:hAnsi="Cambria Math"/>
          </w:rPr>
          <m:t>=0.001×</m:t>
        </m:r>
        <m:f>
          <m:fPr>
            <m:ctrlPr>
              <w:rPr>
                <w:rFonts w:ascii="Cambria Math" w:hAnsi="Cambria Math"/>
              </w:rPr>
            </m:ctrlPr>
          </m:fPr>
          <m:num>
            <m:r>
              <m:rPr/>
              <w:rPr>
                <w:rFonts w:ascii="Cambria Math" w:hAnsi="Cambria Math"/>
              </w:rPr>
              <m:t>F</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T</m:t>
                </m:r>
                <m:ctrlPr>
                  <w:rPr>
                    <w:rFonts w:ascii="Cambria Math" w:hAnsi="Cambria Math"/>
                  </w:rPr>
                </m:ctrlPr>
              </m:sub>
            </m:sSub>
            <m:ctrlPr>
              <w:rPr>
                <w:rFonts w:ascii="Cambria Math" w:hAnsi="Cambria Math"/>
              </w:rPr>
            </m:ctrlPr>
          </m:num>
          <m:den>
            <m:r>
              <m:rPr/>
              <w:rPr>
                <w:rFonts w:ascii="Cambria Math" w:hAnsi="Cambria Math"/>
              </w:rPr>
              <m:t>RT</m:t>
            </m:r>
            <m:ctrlPr>
              <w:rPr>
                <w:rFonts w:ascii="Cambria Math" w:hAnsi="Cambria Math"/>
              </w:rPr>
            </m:ctrlPr>
          </m:den>
        </m:f>
        <m:f>
          <m:fPr>
            <m:ctrlPr>
              <w:rPr>
                <w:rFonts w:ascii="Cambria Math" w:hAnsi="Cambria Math"/>
              </w:rPr>
            </m:ctrlPr>
          </m:fPr>
          <m:num>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x</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T</m:t>
                </m:r>
                <m:ctrlPr>
                  <w:rPr>
                    <w:rFonts w:ascii="Cambria Math" w:hAnsi="Cambria Math"/>
                  </w:rPr>
                </m:ctrlPr>
              </m:sub>
            </m:sSub>
            <m:ctrlPr>
              <w:rPr>
                <w:rFonts w:ascii="Cambria Math" w:hAnsi="Cambria Math"/>
              </w:rPr>
            </m:ctrlPr>
          </m:den>
        </m:f>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=0.001×</m:t>
        </m:r>
        <m:f>
          <m:fPr>
            <m:ctrlPr>
              <w:rPr>
                <w:rFonts w:ascii="Cambria Math" w:hAnsi="Cambria Math"/>
              </w:rPr>
            </m:ctrlPr>
          </m:fPr>
          <m:num>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x</m:t>
                </m:r>
                <m:ctrlPr>
                  <w:rPr>
                    <w:rFonts w:ascii="Cambria Math" w:hAnsi="Cambria Math"/>
                  </w:rPr>
                </m:ctrlPr>
              </m:sub>
            </m:sSub>
            <m:r>
              <m:rPr/>
              <w:rPr>
                <w:rFonts w:ascii="Cambria Math" w:hAnsi="Cambria Math"/>
              </w:rPr>
              <m:t>F</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T</m:t>
                </m:r>
                <m:ctrlPr>
                  <w:rPr>
                    <w:rFonts w:ascii="Cambria Math" w:hAnsi="Cambria Math"/>
                  </w:rPr>
                </m:ctrlPr>
              </m:sub>
            </m:sSub>
            <m:ctrlPr>
              <w:rPr>
                <w:rFonts w:ascii="Cambria Math" w:hAnsi="Cambria Math"/>
              </w:rPr>
            </m:ctrlPr>
          </m:num>
          <m:den>
            <m:r>
              <m:rPr/>
              <w:rPr>
                <w:rFonts w:ascii="Cambria Math" w:hAnsi="Cambria Math"/>
              </w:rPr>
              <m:t>RT</m:t>
            </m:r>
            <m:ctrlPr>
              <w:rPr>
                <w:rFonts w:ascii="Cambria Math" w:hAnsi="Cambria Math"/>
              </w:rPr>
            </m:ctrlPr>
          </m:den>
        </m:f>
      </m:oMath>
      <w:r>
        <w:tab/>
      </w:r>
      <w:r>
        <w:t>(</w:t>
      </w:r>
      <w:r>
        <w:rPr>
          <w:rFonts w:hint="eastAsia"/>
        </w:rPr>
        <w:t>F</w:t>
      </w:r>
      <w:r>
        <w:t>.14)</w:t>
      </w:r>
    </w:p>
    <w:p w14:paraId="43AB36B3">
      <w:pPr>
        <w:pStyle w:val="60"/>
        <w:ind w:firstLine="420"/>
      </w:pPr>
      <w:r>
        <w:rPr>
          <w:rFonts w:hint="eastAsia"/>
        </w:rPr>
        <w:t>式中：</w:t>
      </w:r>
    </w:p>
    <w:p w14:paraId="316E0E65">
      <w:pPr>
        <w:pStyle w:val="60"/>
        <w:ind w:firstLine="420"/>
      </w:pPr>
      <w:r>
        <w:t>E</w:t>
      </w:r>
      <w:r>
        <w:rPr>
          <w:vertAlign w:val="subscript"/>
        </w:rPr>
        <w:t>V</w:t>
      </w:r>
      <w:bookmarkStart w:id="285" w:name="OLE_LINK56"/>
      <w:r>
        <w:rPr>
          <w:rFonts w:hint="eastAsia"/>
          <w:spacing w:val="-20"/>
        </w:rPr>
        <w:t>——</w:t>
      </w:r>
      <w:bookmarkEnd w:id="285"/>
      <w:r>
        <w:t>统计期内容器口VOCs产生量，千克；</w:t>
      </w:r>
    </w:p>
    <w:p w14:paraId="00C35D92">
      <w:pPr>
        <w:pStyle w:val="60"/>
        <w:ind w:firstLine="420"/>
      </w:pPr>
      <w:r>
        <w:t>F</w:t>
      </w:r>
      <w:r>
        <w:rPr>
          <w:rFonts w:hint="eastAsia"/>
          <w:spacing w:val="-20"/>
        </w:rPr>
        <w:t>——</w:t>
      </w:r>
      <w:r>
        <w:t>出气口流量，立方米/分钟；</w:t>
      </w:r>
    </w:p>
    <w:p w14:paraId="4437D9D7">
      <w:pPr>
        <w:pStyle w:val="60"/>
        <w:ind w:firstLine="420"/>
      </w:pPr>
      <w:r>
        <w:t>P</w:t>
      </w:r>
      <w:r>
        <w:rPr>
          <w:vertAlign w:val="subscript"/>
        </w:rPr>
        <w:t>T</w:t>
      </w:r>
      <w:r>
        <w:rPr>
          <w:rFonts w:hint="eastAsia"/>
          <w:spacing w:val="-20"/>
        </w:rPr>
        <w:t>——</w:t>
      </w:r>
      <w:r>
        <w:t>系统整体压力，帕（绝压）；</w:t>
      </w:r>
    </w:p>
    <w:p w14:paraId="065FCE57">
      <w:pPr>
        <w:pStyle w:val="60"/>
        <w:ind w:firstLine="420"/>
      </w:pPr>
      <w:r>
        <w:t>R</w:t>
      </w:r>
      <w:r>
        <w:rPr>
          <w:rFonts w:hint="eastAsia"/>
          <w:spacing w:val="-20"/>
        </w:rPr>
        <w:t>——</w:t>
      </w:r>
      <w:r>
        <w:t>理想气体常数，8.314焦耳/摩尔·开氏度；</w:t>
      </w:r>
    </w:p>
    <w:p w14:paraId="2CB18D87">
      <w:pPr>
        <w:pStyle w:val="60"/>
        <w:ind w:firstLine="420"/>
      </w:pPr>
      <w:r>
        <w:t>T</w:t>
      </w:r>
      <w:r>
        <w:rPr>
          <w:rFonts w:hint="eastAsia"/>
          <w:spacing w:val="-20"/>
        </w:rPr>
        <w:t>——</w:t>
      </w:r>
      <w:r>
        <w:t>流体的温度，开氏度（绝对温度）；</w:t>
      </w:r>
    </w:p>
    <w:p w14:paraId="35CD6124">
      <w:pPr>
        <w:pStyle w:val="60"/>
        <w:ind w:firstLine="420"/>
      </w:pPr>
      <w:r>
        <w:t>P</w:t>
      </w:r>
      <w:r>
        <w:rPr>
          <w:vertAlign w:val="subscript"/>
        </w:rPr>
        <w:t>x</w:t>
      </w:r>
      <w:r>
        <w:rPr>
          <w:rFonts w:hint="eastAsia"/>
          <w:spacing w:val="-20"/>
        </w:rPr>
        <w:t>——</w:t>
      </w:r>
      <w:r>
        <w:t>VOCs组分x的分压，帕（绝压）；</w:t>
      </w:r>
    </w:p>
    <w:p w14:paraId="0F19F099">
      <w:pPr>
        <w:pStyle w:val="60"/>
        <w:ind w:firstLine="420"/>
      </w:pPr>
      <w:r>
        <w:t>M</w:t>
      </w:r>
      <w:r>
        <w:rPr>
          <w:vertAlign w:val="subscript"/>
        </w:rPr>
        <w:t>x</w:t>
      </w:r>
      <w:r>
        <w:rPr>
          <w:rFonts w:hint="eastAsia"/>
          <w:spacing w:val="-20"/>
        </w:rPr>
        <w:t>——</w:t>
      </w:r>
      <w:r>
        <w:t>VOCs组分x的摩尔质量，克/摩尔。</w:t>
      </w:r>
    </w:p>
    <w:p w14:paraId="712FE955">
      <w:pPr>
        <w:pStyle w:val="60"/>
        <w:ind w:firstLine="420"/>
      </w:pPr>
      <w:r>
        <w:rPr>
          <w:rFonts w:hint="eastAsia"/>
        </w:rPr>
        <w:t>VOCs组分x在饱和分压下的体积流率可用VOCs饱和组分</w:t>
      </w:r>
      <w:r>
        <w:rPr>
          <w:rFonts w:hint="eastAsia"/>
          <w:i/>
        </w:rPr>
        <w:t>x</w:t>
      </w:r>
      <w:r>
        <w:rPr>
          <w:rFonts w:hint="eastAsia"/>
        </w:rPr>
        <w:t>的分压、入口气体净化速率和饱和状态下非冷凝气体的分压求解：</w:t>
      </w:r>
    </w:p>
    <w:p w14:paraId="56175438">
      <w:pPr>
        <w:pStyle w:val="242"/>
      </w:pPr>
      <w:r>
        <w:tab/>
      </w:r>
      <m:oMath>
        <m:sSubSup>
          <m:sSubSupPr>
            <m:ctrlPr>
              <w:rPr>
                <w:rFonts w:ascii="Cambria Math" w:hAnsi="Cambria Math"/>
              </w:rPr>
            </m:ctrlPr>
          </m:sSubSupPr>
          <m:e>
            <m:r>
              <m:rPr/>
              <w:rPr>
                <w:rFonts w:ascii="Cambria Math" w:hAnsi="Cambria Math"/>
              </w:rPr>
              <m:t>F</m:t>
            </m:r>
            <m:ctrlPr>
              <w:rPr>
                <w:rFonts w:ascii="Cambria Math" w:hAnsi="Cambria Math"/>
              </w:rPr>
            </m:ctrlPr>
          </m:e>
          <m:sub>
            <m:r>
              <m:rPr/>
              <w:rPr>
                <w:rFonts w:ascii="Cambria Math" w:hAnsi="Cambria Math"/>
              </w:rPr>
              <m:t>x</m:t>
            </m:r>
            <m:ctrlPr>
              <w:rPr>
                <w:rFonts w:ascii="Cambria Math" w:hAnsi="Cambria Math"/>
              </w:rPr>
            </m:ctrlPr>
          </m:sub>
          <m:sup>
            <m:r>
              <m:rPr/>
              <w:rPr>
                <w:rFonts w:ascii="Cambria Math" w:hAnsi="Cambria Math"/>
              </w:rPr>
              <m:t>sat</m:t>
            </m:r>
            <m:ctrlPr>
              <w:rPr>
                <w:rFonts w:ascii="Cambria Math" w:hAnsi="Cambria Math"/>
              </w:rPr>
            </m:ctrlPr>
          </m:sup>
        </m:sSubSup>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nc</m:t>
            </m:r>
            <m:ctrlPr>
              <w:rPr>
                <w:rFonts w:ascii="Cambria Math" w:hAnsi="Cambria Math"/>
              </w:rPr>
            </m:ctrlP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P</m:t>
                </m:r>
                <m:ctrlPr>
                  <w:rPr>
                    <w:rFonts w:ascii="Cambria Math" w:hAnsi="Cambria Math"/>
                  </w:rPr>
                </m:ctrlPr>
              </m:e>
              <m:sub>
                <m:r>
                  <m:rPr/>
                  <w:rPr>
                    <w:rFonts w:ascii="Cambria Math" w:hAnsi="Cambria Math"/>
                  </w:rPr>
                  <m:t>x</m:t>
                </m:r>
                <m:ctrlPr>
                  <w:rPr>
                    <w:rFonts w:ascii="Cambria Math" w:hAnsi="Cambria Math"/>
                  </w:rPr>
                </m:ctrlPr>
              </m:sub>
              <m:sup>
                <m:r>
                  <m:rPr/>
                  <w:rPr>
                    <w:rFonts w:ascii="Cambria Math" w:hAnsi="Cambria Math"/>
                  </w:rPr>
                  <m:t>sat</m:t>
                </m:r>
                <m:ctrlPr>
                  <w:rPr>
                    <w:rFonts w:ascii="Cambria Math" w:hAnsi="Cambria Math"/>
                  </w:rPr>
                </m:ctrlPr>
              </m:sup>
            </m:sSubSup>
            <m:ctrlPr>
              <w:rPr>
                <w:rFonts w:ascii="Cambria Math" w:hAnsi="Cambria Math"/>
              </w:rPr>
            </m:ctrlPr>
          </m:num>
          <m:den>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sSubSup>
                  <m:sSubSupPr>
                    <m:ctrlPr>
                      <w:rPr>
                        <w:rFonts w:ascii="Cambria Math" w:hAnsi="Cambria Math"/>
                      </w:rPr>
                    </m:ctrlPr>
                  </m:sSubSupPr>
                  <m:e>
                    <m:r>
                      <m:rPr/>
                      <w:rPr>
                        <w:rFonts w:ascii="Cambria Math" w:hAnsi="Cambria Math"/>
                      </w:rPr>
                      <m:t>P</m:t>
                    </m:r>
                    <m:ctrlPr>
                      <w:rPr>
                        <w:rFonts w:ascii="Cambria Math" w:hAnsi="Cambria Math"/>
                      </w:rPr>
                    </m:ctrlPr>
                  </m:e>
                  <m:sub>
                    <m:r>
                      <m:rPr/>
                      <w:rPr>
                        <w:rFonts w:ascii="Cambria Math" w:hAnsi="Cambria Math"/>
                      </w:rPr>
                      <m:t>x</m:t>
                    </m:r>
                    <m:ctrlPr>
                      <w:rPr>
                        <w:rFonts w:ascii="Cambria Math" w:hAnsi="Cambria Math"/>
                      </w:rPr>
                    </m:ctrlPr>
                  </m:sub>
                  <m:sup>
                    <m:r>
                      <m:rPr/>
                      <w:rPr>
                        <w:rFonts w:ascii="Cambria Math" w:hAnsi="Cambria Math"/>
                      </w:rPr>
                      <m:t>sat</m:t>
                    </m:r>
                    <m:ctrlPr>
                      <w:rPr>
                        <w:rFonts w:ascii="Cambria Math" w:hAnsi="Cambria Math"/>
                      </w:rPr>
                    </m:ctrlPr>
                  </m:sup>
                </m:sSubSup>
                <m:ctrlPr>
                  <w:rPr>
                    <w:rFonts w:ascii="Cambria Math" w:hAnsi="Cambria Math"/>
                  </w:rPr>
                </m:ctrlPr>
              </m:e>
            </m:nary>
            <m:ctrlPr>
              <w:rPr>
                <w:rFonts w:ascii="Cambria Math" w:hAnsi="Cambria Math"/>
              </w:rPr>
            </m:ctrlPr>
          </m:den>
        </m:f>
      </m:oMath>
      <w:r>
        <w:tab/>
      </w:r>
      <w:r>
        <w:t>(</w:t>
      </w:r>
      <w:r>
        <w:rPr>
          <w:rFonts w:hint="eastAsia"/>
        </w:rPr>
        <w:t>F</w:t>
      </w:r>
      <w:r>
        <w:t>.15)</w:t>
      </w:r>
    </w:p>
    <w:p w14:paraId="1FAC9E88">
      <w:pPr>
        <w:pStyle w:val="60"/>
        <w:ind w:firstLine="420"/>
      </w:pPr>
      <w:r>
        <w:rPr>
          <w:rFonts w:hint="eastAsia"/>
        </w:rPr>
        <w:t>式中：</w:t>
      </w:r>
    </w:p>
    <w:p w14:paraId="36A1F779">
      <w:pPr>
        <w:pStyle w:val="60"/>
        <w:ind w:firstLine="420"/>
      </w:pPr>
      <m:oMath>
        <m:sSubSup>
          <m:sSubSupPr>
            <m:ctrlPr>
              <w:rPr>
                <w:rFonts w:ascii="Cambria Math" w:hAnsi="Cambria Math"/>
              </w:rPr>
            </m:ctrlPr>
          </m:sSubSupPr>
          <m:e>
            <m:r>
              <m:rPr>
                <m:sty m:val="p"/>
              </m:rPr>
              <w:rPr>
                <w:rFonts w:ascii="Cambria Math" w:hAnsi="Cambria Math"/>
              </w:rPr>
              <m:t>F</m:t>
            </m:r>
            <m:ctrlPr>
              <w:rPr>
                <w:rFonts w:ascii="Cambria Math" w:hAnsi="Cambria Math"/>
              </w:rPr>
            </m:ctrlPr>
          </m:e>
          <m:sub>
            <m:r>
              <m:rPr/>
              <w:rPr>
                <w:rFonts w:ascii="Cambria Math" w:hAnsi="Cambria Math"/>
              </w:rPr>
              <m:t>x</m:t>
            </m:r>
            <m:ctrlPr>
              <w:rPr>
                <w:rFonts w:ascii="Cambria Math" w:hAnsi="Cambria Math"/>
              </w:rPr>
            </m:ctrlPr>
          </m:sub>
          <m:sup>
            <m:r>
              <m:rPr/>
              <w:rPr>
                <w:rFonts w:ascii="Cambria Math" w:hAnsi="Cambria Math"/>
              </w:rPr>
              <m:t>sat</m:t>
            </m:r>
            <m:ctrlPr>
              <w:rPr>
                <w:rFonts w:ascii="Cambria Math" w:hAnsi="Cambria Math"/>
              </w:rPr>
            </m:ctrlPr>
          </m:sup>
        </m:sSubSup>
      </m:oMath>
      <w:r>
        <w:rPr>
          <w:rFonts w:hint="eastAsia"/>
          <w:spacing w:val="-20"/>
        </w:rPr>
        <w:t>——</w:t>
      </w:r>
      <w:r>
        <w:rPr>
          <w:rFonts w:hint="eastAsia"/>
        </w:rPr>
        <w:t>VOCs组分x在饱和分压下的体积流率；</w:t>
      </w:r>
    </w:p>
    <w:p w14:paraId="3D94DC35">
      <w:pPr>
        <w:pStyle w:val="60"/>
        <w:ind w:firstLine="420"/>
      </w:pPr>
      <w:r>
        <w:rPr>
          <w:rFonts w:hint="eastAsia"/>
        </w:rPr>
        <w:t>F</w:t>
      </w:r>
      <w:r>
        <w:rPr>
          <w:rFonts w:hint="eastAsia"/>
          <w:vertAlign w:val="subscript"/>
        </w:rPr>
        <w:t>nc</w:t>
      </w:r>
      <w:r>
        <w:rPr>
          <w:rFonts w:hint="eastAsia"/>
          <w:spacing w:val="-20"/>
        </w:rPr>
        <w:t>——</w:t>
      </w:r>
      <w:r>
        <w:rPr>
          <w:rFonts w:hint="eastAsia"/>
        </w:rPr>
        <w:t>不凝气的体积流率(不凝气如空气、氮气等)；</w:t>
      </w:r>
    </w:p>
    <w:p w14:paraId="12BC6343">
      <w:pPr>
        <w:pStyle w:val="60"/>
        <w:ind w:firstLine="420"/>
      </w:pPr>
      <m:oMath>
        <m:sSubSup>
          <m:sSubSupPr>
            <m:ctrlPr>
              <w:rPr>
                <w:rFonts w:ascii="Cambria Math" w:hAnsi="Cambria Math"/>
              </w:rPr>
            </m:ctrlPr>
          </m:sSubSupPr>
          <m:e>
            <m:r>
              <m:rPr>
                <m:sty m:val="p"/>
              </m:rPr>
              <w:rPr>
                <w:rFonts w:ascii="Cambria Math" w:hAnsi="Cambria Math"/>
              </w:rPr>
              <m:t>P</m:t>
            </m:r>
            <m:ctrlPr>
              <w:rPr>
                <w:rFonts w:ascii="Cambria Math" w:hAnsi="Cambria Math"/>
              </w:rPr>
            </m:ctrlPr>
          </m:e>
          <m:sub>
            <m:r>
              <m:rPr/>
              <w:rPr>
                <w:rFonts w:ascii="Cambria Math" w:hAnsi="Cambria Math"/>
              </w:rPr>
              <m:t>x</m:t>
            </m:r>
            <m:ctrlPr>
              <w:rPr>
                <w:rFonts w:ascii="Cambria Math" w:hAnsi="Cambria Math"/>
              </w:rPr>
            </m:ctrlPr>
          </m:sub>
          <m:sup>
            <m:r>
              <m:rPr/>
              <w:rPr>
                <w:rFonts w:ascii="Cambria Math" w:hAnsi="Cambria Math"/>
              </w:rPr>
              <m:t>sat</m:t>
            </m:r>
            <m:ctrlPr>
              <w:rPr>
                <w:rFonts w:ascii="Cambria Math" w:hAnsi="Cambria Math"/>
              </w:rPr>
            </m:ctrlPr>
          </m:sup>
        </m:sSubSup>
      </m:oMath>
      <w:r>
        <w:rPr>
          <w:rFonts w:hint="eastAsia"/>
          <w:spacing w:val="-20"/>
        </w:rPr>
        <w:t>——</w:t>
      </w:r>
      <w:r>
        <w:rPr>
          <w:rFonts w:hint="eastAsia"/>
        </w:rPr>
        <w:t>在饱和溶剂分压条件下不凝气的分压；</w:t>
      </w:r>
    </w:p>
    <w:p w14:paraId="5806C960">
      <w:pPr>
        <w:pStyle w:val="60"/>
        <w:ind w:firstLine="420"/>
      </w:pPr>
      <w:r>
        <w:rPr>
          <w:rFonts w:hint="eastAsia"/>
        </w:rPr>
        <w:t>P</w:t>
      </w:r>
      <w:r>
        <w:rPr>
          <w:rFonts w:hint="eastAsia"/>
          <w:vertAlign w:val="subscript"/>
        </w:rPr>
        <w:t>T</w:t>
      </w:r>
      <w:r>
        <w:rPr>
          <w:rFonts w:hint="eastAsia"/>
          <w:spacing w:val="-20"/>
        </w:rPr>
        <w:t>——</w:t>
      </w:r>
      <w:r>
        <w:rPr>
          <w:rFonts w:hint="eastAsia"/>
        </w:rPr>
        <w:t>系统总的压力。</w:t>
      </w:r>
    </w:p>
    <w:p w14:paraId="17684A55">
      <w:pPr>
        <w:pStyle w:val="242"/>
      </w:pPr>
      <w:r>
        <w:tab/>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x</m:t>
                    </m:r>
                    <m:ctrlPr>
                      <w:rPr>
                        <w:rFonts w:ascii="Cambria Math" w:hAnsi="Cambria Math"/>
                      </w:rPr>
                    </m:ctrlPr>
                  </m:sub>
                </m:sSub>
                <m:r>
                  <m:rPr/>
                  <w:rPr>
                    <w:rFonts w:ascii="Cambria Math" w:hAnsi="Cambria Math"/>
                  </w:rPr>
                  <m:t>A</m:t>
                </m:r>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nc</m:t>
                    </m:r>
                    <m:ctrlPr>
                      <w:rPr>
                        <w:rFonts w:ascii="Cambria Math" w:hAnsi="Cambria Math"/>
                      </w:rPr>
                    </m:ctrlPr>
                  </m:sub>
                </m:sSub>
                <m:ctrlPr>
                  <w:rPr>
                    <w:rFonts w:ascii="Cambria Math" w:hAnsi="Cambria Math"/>
                  </w:rPr>
                </m:ctrlPr>
              </m:e>
            </m:d>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x</m:t>
                            </m:r>
                            <m:ctrlPr>
                              <w:rPr>
                                <w:rFonts w:ascii="Cambria Math" w:hAnsi="Cambria Math"/>
                              </w:rPr>
                            </m:ctrlPr>
                          </m:sub>
                        </m:sSub>
                        <m:r>
                          <m:rPr/>
                          <w:rPr>
                            <w:rFonts w:ascii="Cambria Math" w:hAnsi="Cambria Math"/>
                          </w:rPr>
                          <m:t>A</m:t>
                        </m:r>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nc</m:t>
                            </m:r>
                            <m:ctrlPr>
                              <w:rPr>
                                <w:rFonts w:ascii="Cambria Math" w:hAnsi="Cambria Math"/>
                              </w:rPr>
                            </m:ctrlPr>
                          </m:sub>
                        </m:sSub>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+4</m:t>
                </m:r>
                <m:sSubSup>
                  <m:sSubSupPr>
                    <m:ctrlPr>
                      <w:rPr>
                        <w:rFonts w:ascii="Cambria Math" w:hAnsi="Cambria Math"/>
                      </w:rPr>
                    </m:ctrlPr>
                  </m:sSubSupPr>
                  <m:e>
                    <m:r>
                      <m:rPr/>
                      <w:rPr>
                        <w:rFonts w:ascii="Cambria Math" w:hAnsi="Cambria Math"/>
                      </w:rPr>
                      <m:t>F</m:t>
                    </m:r>
                    <m:ctrlPr>
                      <w:rPr>
                        <w:rFonts w:ascii="Cambria Math" w:hAnsi="Cambria Math"/>
                      </w:rPr>
                    </m:ctrlPr>
                  </m:e>
                  <m:sub>
                    <m:r>
                      <m:rPr/>
                      <w:rPr>
                        <w:rFonts w:ascii="Cambria Math" w:hAnsi="Cambria Math"/>
                      </w:rPr>
                      <m:t>x</m:t>
                    </m:r>
                    <m:ctrlPr>
                      <w:rPr>
                        <w:rFonts w:ascii="Cambria Math" w:hAnsi="Cambria Math"/>
                      </w:rPr>
                    </m:ctrlPr>
                  </m:sub>
                  <m:sup>
                    <m:r>
                      <m:rPr/>
                      <w:rPr>
                        <w:rFonts w:ascii="Cambria Math" w:hAnsi="Cambria Math"/>
                      </w:rPr>
                      <m:t>sat</m:t>
                    </m:r>
                    <m:ctrlPr>
                      <w:rPr>
                        <w:rFonts w:ascii="Cambria Math" w:hAnsi="Cambria Math"/>
                      </w:rPr>
                    </m:ctrlPr>
                  </m:sup>
                </m:sSubSup>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x</m:t>
                    </m:r>
                    <m:ctrlPr>
                      <w:rPr>
                        <w:rFonts w:ascii="Cambria Math" w:hAnsi="Cambria Math"/>
                      </w:rPr>
                    </m:ctrlPr>
                  </m:sub>
                </m:sSub>
                <m:r>
                  <m:rPr/>
                  <w:rPr>
                    <w:rFonts w:ascii="Cambria Math" w:hAnsi="Cambria Math"/>
                  </w:rPr>
                  <m:t>A</m:t>
                </m:r>
                <m:ctrlPr>
                  <w:rPr>
                    <w:rFonts w:ascii="Cambria Math" w:hAnsi="Cambria Math"/>
                  </w:rPr>
                </m:ctrlPr>
              </m:e>
            </m:rad>
            <m:ctrlPr>
              <w:rPr>
                <w:rFonts w:ascii="Cambria Math" w:hAnsi="Cambria Math"/>
              </w:rPr>
            </m:ctrlPr>
          </m:num>
          <m:den>
            <m:r>
              <m:rPr>
                <m:sty m:val="p"/>
              </m:rPr>
              <w:rPr>
                <w:rFonts w:ascii="Cambria Math" w:hAnsi="Cambria Math"/>
              </w:rPr>
              <m:t>2</m:t>
            </m:r>
            <m:sSubSup>
              <m:sSubSupPr>
                <m:ctrlPr>
                  <w:rPr>
                    <w:rFonts w:ascii="Cambria Math" w:hAnsi="Cambria Math"/>
                  </w:rPr>
                </m:ctrlPr>
              </m:sSubSupPr>
              <m:e>
                <m:r>
                  <m:rPr/>
                  <w:rPr>
                    <w:rFonts w:ascii="Cambria Math" w:hAnsi="Cambria Math"/>
                  </w:rPr>
                  <m:t>F</m:t>
                </m:r>
                <m:ctrlPr>
                  <w:rPr>
                    <w:rFonts w:ascii="Cambria Math" w:hAnsi="Cambria Math"/>
                  </w:rPr>
                </m:ctrlPr>
              </m:e>
              <m:sub>
                <m:r>
                  <m:rPr/>
                  <w:rPr>
                    <w:rFonts w:ascii="Cambria Math" w:hAnsi="Cambria Math"/>
                  </w:rPr>
                  <m:t>x</m:t>
                </m:r>
                <m:ctrlPr>
                  <w:rPr>
                    <w:rFonts w:ascii="Cambria Math" w:hAnsi="Cambria Math"/>
                  </w:rPr>
                </m:ctrlPr>
              </m:sub>
              <m:sup>
                <m:r>
                  <m:rPr/>
                  <w:rPr>
                    <w:rFonts w:ascii="Cambria Math" w:hAnsi="Cambria Math"/>
                  </w:rPr>
                  <m:t>sat</m:t>
                </m:r>
                <m:ctrlPr>
                  <w:rPr>
                    <w:rFonts w:ascii="Cambria Math" w:hAnsi="Cambria Math"/>
                  </w:rPr>
                </m:ctrlPr>
              </m:sup>
            </m:sSubSup>
            <m:ctrlPr>
              <w:rPr>
                <w:rFonts w:ascii="Cambria Math" w:hAnsi="Cambria Math"/>
              </w:rPr>
            </m:ctrlPr>
          </m:den>
        </m:f>
      </m:oMath>
      <w:r>
        <w:tab/>
      </w:r>
      <w:r>
        <w:t>(</w:t>
      </w:r>
      <w:r>
        <w:rPr>
          <w:rFonts w:hint="eastAsia"/>
        </w:rPr>
        <w:t>F</w:t>
      </w:r>
      <w:r>
        <w:t>.16)</w:t>
      </w:r>
    </w:p>
    <w:p w14:paraId="16F86C48">
      <w:pPr>
        <w:pStyle w:val="60"/>
        <w:ind w:firstLine="420"/>
      </w:pPr>
      <w:r>
        <w:rPr>
          <w:rFonts w:hint="eastAsia"/>
        </w:rPr>
        <w:t>饱和因子S</w:t>
      </w:r>
      <w:r>
        <w:rPr>
          <w:rFonts w:hint="eastAsia"/>
          <w:vertAlign w:val="subscript"/>
        </w:rPr>
        <w:t>x</w:t>
      </w:r>
      <w:r>
        <w:rPr>
          <w:rFonts w:hint="eastAsia"/>
        </w:rPr>
        <w:t>可以用标准二次方程求解。尽管方程包括两个根，公式</w:t>
      </w:r>
      <w:r>
        <w:t>(F.16)</w:t>
      </w:r>
      <w:r>
        <w:rPr>
          <w:rFonts w:hint="eastAsia"/>
        </w:rPr>
        <w:t>只写了一个有实际意义的根，因为S</w:t>
      </w:r>
      <w:r>
        <w:rPr>
          <w:rFonts w:hint="eastAsia"/>
          <w:vertAlign w:val="subscript"/>
        </w:rPr>
        <w:t>x</w:t>
      </w:r>
      <w:r>
        <w:rPr>
          <w:rFonts w:hint="eastAsia"/>
        </w:rPr>
        <w:t>必须是介于0-1之间的一个正数。</w:t>
      </w:r>
    </w:p>
    <w:p w14:paraId="535ED1FC">
      <w:pPr>
        <w:pStyle w:val="242"/>
      </w:pPr>
      <w:r>
        <w:tab/>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x</m:t>
            </m:r>
            <m:r>
              <m:rPr>
                <m:sty m:val="p"/>
              </m:rPr>
              <w:rPr>
                <w:rFonts w:ascii="Cambria Math" w:hAnsi="Cambria Math"/>
              </w:rPr>
              <m:t>=1</m:t>
            </m:r>
            <m:ctrlPr>
              <w:rPr>
                <w:rFonts w:ascii="Cambria Math" w:hAnsi="Cambria Math"/>
              </w:rPr>
            </m:ctrlPr>
          </m:sub>
        </m:sSub>
        <m:r>
          <m:rPr>
            <m:sty m:val="p"/>
          </m:rPr>
          <w:rPr>
            <w:rFonts w:ascii="Cambria Math" w:hAnsi="Cambria Math"/>
          </w:rPr>
          <m:t>=</m:t>
        </m:r>
        <m:f>
          <m:fPr>
            <m:ctrlPr>
              <w:rPr>
                <w:rFonts w:ascii="Cambria Math" w:hAnsi="Cambria Math"/>
              </w:rPr>
            </m:ctrlPr>
          </m:fPr>
          <m:num>
            <m:r>
              <m:rPr/>
              <w:rPr>
                <w:rFonts w:ascii="Cambria Math" w:hAnsi="Cambria Math"/>
              </w:rPr>
              <m:t>K</m:t>
            </m:r>
            <m:r>
              <m:rPr>
                <m:sty m:val="p"/>
              </m:rPr>
              <w:rPr>
                <w:rFonts w:ascii="Cambria Math" w:hAnsi="Cambria Math"/>
              </w:rPr>
              <m:t>×</m:t>
            </m:r>
            <m:r>
              <m:rPr/>
              <w:rPr>
                <w:rFonts w:ascii="Cambria Math" w:hAnsi="Cambria Math"/>
              </w:rPr>
              <m:t>A</m:t>
            </m:r>
            <m:ctrlPr>
              <w:rPr>
                <w:rFonts w:ascii="Cambria Math" w:hAnsi="Cambria Math"/>
              </w:rPr>
            </m:ctrlPr>
          </m:num>
          <m:den>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x</m:t>
                </m:r>
                <m:ctrlPr>
                  <w:rPr>
                    <w:rFonts w:ascii="Cambria Math" w:hAnsi="Cambria Math"/>
                  </w:rPr>
                </m:ctrlPr>
              </m:sub>
            </m:sSub>
            <m:r>
              <m:rPr/>
              <w:rPr>
                <w:rFonts w:ascii="Cambria Math" w:hAnsi="Cambria Math"/>
              </w:rPr>
              <m:t>A</m:t>
            </m:r>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nc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x</m:t>
                </m:r>
                <m:ctrlPr>
                  <w:rPr>
                    <w:rFonts w:ascii="Cambria Math" w:hAnsi="Cambria Math"/>
                  </w:rPr>
                </m:ctrlPr>
              </m:sub>
            </m:sSub>
            <m:sSubSup>
              <m:sSubSupPr>
                <m:ctrlPr>
                  <w:rPr>
                    <w:rFonts w:ascii="Cambria Math" w:hAnsi="Cambria Math"/>
                  </w:rPr>
                </m:ctrlPr>
              </m:sSubSupPr>
              <m:e>
                <m:r>
                  <m:rPr/>
                  <w:rPr>
                    <w:rFonts w:ascii="Cambria Math" w:hAnsi="Cambria Math"/>
                  </w:rPr>
                  <m:t>F</m:t>
                </m:r>
                <m:ctrlPr>
                  <w:rPr>
                    <w:rFonts w:ascii="Cambria Math" w:hAnsi="Cambria Math"/>
                  </w:rPr>
                </m:ctrlPr>
              </m:e>
              <m:sub>
                <m:r>
                  <m:rPr/>
                  <w:rPr>
                    <w:rFonts w:ascii="Cambria Math" w:hAnsi="Cambria Math"/>
                  </w:rPr>
                  <m:t>x</m:t>
                </m:r>
                <m:ctrlPr>
                  <w:rPr>
                    <w:rFonts w:ascii="Cambria Math" w:hAnsi="Cambria Math"/>
                  </w:rPr>
                </m:ctrlPr>
              </m:sub>
              <m:sup>
                <m:r>
                  <m:rPr/>
                  <w:rPr>
                    <w:rFonts w:ascii="Cambria Math" w:hAnsi="Cambria Math"/>
                  </w:rPr>
                  <m:t>sat</m:t>
                </m:r>
                <m:ctrlPr>
                  <w:rPr>
                    <w:rFonts w:ascii="Cambria Math" w:hAnsi="Cambria Math"/>
                  </w:rPr>
                </m:ctrlPr>
              </m:sup>
            </m:sSubSup>
            <m:r>
              <m:rPr>
                <m:sty m:val="p"/>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j</m:t>
                </m:r>
                <m:ctrlPr>
                  <w:rPr>
                    <w:rFonts w:ascii="Cambria Math" w:hAnsi="Cambria Math"/>
                  </w:rPr>
                </m:ctrlPr>
              </m:sub>
            </m:sSub>
            <m:sSubSup>
              <m:sSubSupPr>
                <m:ctrlPr>
                  <w:rPr>
                    <w:rFonts w:ascii="Cambria Math" w:hAnsi="Cambria Math"/>
                  </w:rPr>
                </m:ctrlPr>
              </m:sSubSupPr>
              <m:e>
                <m:r>
                  <m:rPr/>
                  <w:rPr>
                    <w:rFonts w:ascii="Cambria Math" w:hAnsi="Cambria Math"/>
                  </w:rPr>
                  <m:t>F</m:t>
                </m:r>
                <m:ctrlPr>
                  <w:rPr>
                    <w:rFonts w:ascii="Cambria Math" w:hAnsi="Cambria Math"/>
                  </w:rPr>
                </m:ctrlPr>
              </m:e>
              <m:sub>
                <m:r>
                  <m:rPr/>
                  <w:rPr>
                    <w:rFonts w:ascii="Cambria Math" w:hAnsi="Cambria Math"/>
                  </w:rPr>
                  <m:t>j</m:t>
                </m:r>
                <m:ctrlPr>
                  <w:rPr>
                    <w:rFonts w:ascii="Cambria Math" w:hAnsi="Cambria Math"/>
                  </w:rPr>
                </m:ctrlPr>
              </m:sub>
              <m:sup>
                <m:r>
                  <m:rPr/>
                  <w:rPr>
                    <w:rFonts w:ascii="Cambria Math" w:hAnsi="Cambria Math"/>
                  </w:rPr>
                  <m:t>sat</m:t>
                </m:r>
                <m:ctrlPr>
                  <w:rPr>
                    <w:rFonts w:ascii="Cambria Math" w:hAnsi="Cambria Math"/>
                  </w:rPr>
                </m:ctrlPr>
              </m:sup>
            </m:sSubSup>
            <m:r>
              <m:rPr>
                <m:sty m:val="p"/>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n</m:t>
                </m:r>
                <m:ctrlPr>
                  <w:rPr>
                    <w:rFonts w:ascii="Cambria Math" w:hAnsi="Cambria Math"/>
                  </w:rPr>
                </m:ctrlPr>
              </m:sub>
            </m:sSub>
            <m:sSubSup>
              <m:sSubSupPr>
                <m:ctrlPr>
                  <w:rPr>
                    <w:rFonts w:ascii="Cambria Math" w:hAnsi="Cambria Math"/>
                  </w:rPr>
                </m:ctrlPr>
              </m:sSubSupPr>
              <m:e>
                <m:r>
                  <m:rPr/>
                  <w:rPr>
                    <w:rFonts w:ascii="Cambria Math" w:hAnsi="Cambria Math"/>
                  </w:rPr>
                  <m:t>F</m:t>
                </m:r>
                <m:ctrlPr>
                  <w:rPr>
                    <w:rFonts w:ascii="Cambria Math" w:hAnsi="Cambria Math"/>
                  </w:rPr>
                </m:ctrlPr>
              </m:e>
              <m:sub>
                <m:r>
                  <m:rPr/>
                  <w:rPr>
                    <w:rFonts w:ascii="Cambria Math" w:hAnsi="Cambria Math"/>
                  </w:rPr>
                  <m:t>n</m:t>
                </m:r>
                <m:ctrlPr>
                  <w:rPr>
                    <w:rFonts w:ascii="Cambria Math" w:hAnsi="Cambria Math"/>
                  </w:rPr>
                </m:ctrlPr>
              </m:sub>
              <m:sup>
                <m:r>
                  <m:rPr/>
                  <w:rPr>
                    <w:rFonts w:ascii="Cambria Math" w:hAnsi="Cambria Math"/>
                  </w:rPr>
                  <m:t>sat</m:t>
                </m:r>
                <m:ctrlPr>
                  <w:rPr>
                    <w:rFonts w:ascii="Cambria Math" w:hAnsi="Cambria Math"/>
                  </w:rPr>
                </m:ctrlPr>
              </m:sup>
            </m:sSubSup>
            <m:ctrlPr>
              <w:rPr>
                <w:rFonts w:ascii="Cambria Math" w:hAnsi="Cambria Math"/>
              </w:rPr>
            </m:ctrlPr>
          </m:den>
        </m:f>
      </m:oMath>
      <w:r>
        <w:tab/>
      </w:r>
      <w:r>
        <w:t>(</w:t>
      </w:r>
      <w:r>
        <w:rPr>
          <w:rFonts w:hint="eastAsia"/>
        </w:rPr>
        <w:t>F</w:t>
      </w:r>
      <w:r>
        <w:t>.17)</w:t>
      </w:r>
    </w:p>
    <w:p w14:paraId="77AA837D">
      <w:pPr>
        <w:pStyle w:val="60"/>
        <w:ind w:firstLine="420"/>
      </w:pPr>
      <w:r>
        <w:rPr>
          <w:rFonts w:hint="eastAsia"/>
        </w:rPr>
        <w:t>最后VOCs组份X的产生量可以用公式</w:t>
      </w:r>
      <w:r>
        <w:t>(F.18)</w:t>
      </w:r>
      <w:r>
        <w:rPr>
          <w:rFonts w:hint="eastAsia"/>
        </w:rPr>
        <w:t>求解，与公式</w:t>
      </w:r>
      <w:r>
        <w:t>(F.11)</w:t>
      </w:r>
      <w:r>
        <w:rPr>
          <w:rFonts w:hint="eastAsia"/>
        </w:rPr>
        <w:t>类似，除了分压乘以了一个饱和因子。</w:t>
      </w:r>
    </w:p>
    <w:p w14:paraId="63835588">
      <w:pPr>
        <w:pStyle w:val="242"/>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=0.001×</m:t>
        </m:r>
        <m:f>
          <m:fPr>
            <m:ctrlPr>
              <w:rPr>
                <w:rFonts w:ascii="Cambria Math" w:hAnsi="Cambria Math"/>
              </w:rPr>
            </m:ctrlPr>
          </m:fPr>
          <m:num>
            <m:sSubSup>
              <m:sSubSupPr>
                <m:ctrlPr>
                  <w:rPr>
                    <w:rFonts w:ascii="Cambria Math" w:hAnsi="Cambria Math"/>
                  </w:rPr>
                </m:ctrlPr>
              </m:sSubSupPr>
              <m:e>
                <m:r>
                  <m:rPr/>
                  <w:rPr>
                    <w:rFonts w:ascii="Cambria Math" w:hAnsi="Cambria Math"/>
                  </w:rPr>
                  <m:t>P</m:t>
                </m:r>
                <m:ctrlPr>
                  <w:rPr>
                    <w:rFonts w:ascii="Cambria Math" w:hAnsi="Cambria Math"/>
                  </w:rPr>
                </m:ctrlPr>
              </m:e>
              <m:sub>
                <m:ctrlPr>
                  <w:rPr>
                    <w:rFonts w:ascii="Cambria Math" w:hAnsi="Cambria Math"/>
                  </w:rPr>
                </m:ctrlPr>
              </m:sub>
              <m:sup>
                <m:r>
                  <m:rPr/>
                  <w:rPr>
                    <w:rFonts w:ascii="Cambria Math" w:hAnsi="Cambria Math"/>
                  </w:rPr>
                  <m:t>sat</m:t>
                </m:r>
                <m:ctrlPr>
                  <w:rPr>
                    <w:rFonts w:ascii="Cambria Math" w:hAnsi="Cambria Math"/>
                  </w:rPr>
                </m:ctrlPr>
              </m:sup>
            </m:sSubSup>
            <m:r>
              <m:rPr>
                <m:sty m:val="p"/>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nc</m:t>
                </m:r>
                <m:ctrlPr>
                  <w:rPr>
                    <w:rFonts w:ascii="Cambria Math" w:hAnsi="Cambria Math"/>
                  </w:rPr>
                </m:ctrlPr>
              </m:sub>
            </m:sSub>
            <m:r>
              <m:rPr>
                <m:sty m:val="p"/>
              </m:rPr>
              <w:rPr>
                <w:rFonts w:ascii="Cambria Math" w:hAnsi="Cambria Math"/>
              </w:rPr>
              <m:t>×60×</m:t>
            </m:r>
            <m:r>
              <m:rPr/>
              <w:rPr>
                <w:rFonts w:ascii="Cambria Math" w:hAnsi="Cambria Math"/>
              </w:rPr>
              <m:t>OH</m:t>
            </m:r>
            <m:ctrlPr>
              <w:rPr>
                <w:rFonts w:ascii="Cambria Math" w:hAnsi="Cambria Math"/>
              </w:rPr>
            </m:ctrlPr>
          </m:num>
          <m:den>
            <m:r>
              <m:rPr/>
              <w:rPr>
                <w:rFonts w:ascii="Cambria Math" w:hAnsi="Cambria Math"/>
              </w:rPr>
              <m:t>R</m:t>
            </m:r>
            <m:r>
              <m:rPr>
                <m:sty m:val="p"/>
              </m:rPr>
              <w:rPr>
                <w:rFonts w:ascii="Cambria Math" w:hAnsi="Cambria Math"/>
              </w:rPr>
              <m:t>×</m:t>
            </m:r>
            <m:r>
              <m:rPr/>
              <w:rPr>
                <w:rFonts w:ascii="Cambria Math" w:hAnsi="Cambria Math"/>
              </w:rPr>
              <m:t>T</m:t>
            </m:r>
            <m:ctrlPr>
              <w:rPr>
                <w:rFonts w:ascii="Cambria Math" w:hAnsi="Cambria Math"/>
              </w:rPr>
            </m:ctrlP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T</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sSubSup>
                  <m:sSubSupPr>
                    <m:ctrlPr>
                      <w:rPr>
                        <w:rFonts w:ascii="Cambria Math" w:hAnsi="Cambria Math"/>
                      </w:rPr>
                    </m:ctrlPr>
                  </m:sSubSupPr>
                  <m:e>
                    <m:r>
                      <m:rPr/>
                      <w:rPr>
                        <w:rFonts w:ascii="Cambria Math" w:hAnsi="Cambria Math"/>
                      </w:rPr>
                      <m:t>P</m:t>
                    </m:r>
                    <m:ctrlPr>
                      <w:rPr>
                        <w:rFonts w:ascii="Cambria Math" w:hAnsi="Cambria Math"/>
                      </w:rPr>
                    </m:ctrlPr>
                  </m:e>
                  <m:sub>
                    <m:r>
                      <m:rPr/>
                      <w:rPr>
                        <w:rFonts w:ascii="Cambria Math" w:hAnsi="Cambria Math"/>
                      </w:rPr>
                      <m:t>x</m:t>
                    </m:r>
                    <m:ctrlPr>
                      <w:rPr>
                        <w:rFonts w:ascii="Cambria Math" w:hAnsi="Cambria Math"/>
                      </w:rPr>
                    </m:ctrlPr>
                  </m:sub>
                  <m:sup>
                    <m:r>
                      <m:rPr/>
                      <w:rPr>
                        <w:rFonts w:ascii="Cambria Math" w:hAnsi="Cambria Math"/>
                      </w:rPr>
                      <m:t>sat</m:t>
                    </m:r>
                    <m:ctrlPr>
                      <w:rPr>
                        <w:rFonts w:ascii="Cambria Math" w:hAnsi="Cambria Math"/>
                      </w:rPr>
                    </m:ctrlPr>
                  </m:sup>
                </m:sSubSup>
                <m:ctrlPr>
                  <w:rPr>
                    <w:rFonts w:ascii="Cambria Math" w:hAnsi="Cambria Math"/>
                  </w:rPr>
                </m:ctrlPr>
              </m:e>
            </m:nary>
            <m:ctrlPr>
              <w:rPr>
                <w:rFonts w:ascii="Cambria Math" w:hAnsi="Cambria Math"/>
              </w:rPr>
            </m:ctrlPr>
          </m:den>
        </m:f>
      </m:oMath>
      <w:r>
        <w:tab/>
      </w:r>
      <w:r>
        <w:t>(</w:t>
      </w:r>
      <w:r>
        <w:rPr>
          <w:rFonts w:hint="eastAsia"/>
        </w:rPr>
        <w:t>F</w:t>
      </w:r>
      <w:r>
        <w:t>.18)</w:t>
      </w:r>
    </w:p>
    <w:p w14:paraId="40753DD0">
      <w:pPr>
        <w:pStyle w:val="60"/>
        <w:ind w:firstLine="420"/>
      </w:pPr>
      <w:r>
        <w:rPr>
          <w:rFonts w:hint="eastAsia"/>
        </w:rPr>
        <w:t>对于多组分混合液体而言，公式</w:t>
      </w:r>
      <w:r>
        <w:t>(F.17)</w:t>
      </w:r>
      <w:r>
        <w:rPr>
          <w:rFonts w:hint="eastAsia"/>
        </w:rPr>
        <w:t>被扩展为包括液体中每种VOCs组分的体积流率。</w:t>
      </w:r>
    </w:p>
    <w:p w14:paraId="6CD1349E">
      <w:pPr>
        <w:pStyle w:val="60"/>
        <w:ind w:firstLine="420"/>
      </w:pPr>
      <w:r>
        <w:rPr>
          <w:rFonts w:hint="eastAsia"/>
        </w:rPr>
        <w:t>公式</w:t>
      </w:r>
      <w:r>
        <w:t>(F.17)</w:t>
      </w:r>
      <w:r>
        <w:rPr>
          <w:rFonts w:hint="eastAsia"/>
        </w:rPr>
        <w:t>中，饱和因子计算过程中下角标x代表了VOCs的种类，j到n代表了液体中的其他种类。</w:t>
      </w:r>
    </w:p>
    <w:p w14:paraId="30DC8C5B">
      <w:pPr>
        <w:pStyle w:val="82"/>
        <w:numPr>
          <w:ilvl w:val="0"/>
          <w:numId w:val="0"/>
        </w:numPr>
        <w:spacing w:before="120" w:after="120"/>
        <w:jc w:val="left"/>
        <w:rPr>
          <w:rFonts w:hint="eastAsia"/>
        </w:rPr>
      </w:pPr>
      <w:bookmarkStart w:id="286" w:name="_Toc170497034"/>
      <w:r>
        <w:t xml:space="preserve">F.3 </w:t>
      </w:r>
      <w:r>
        <w:rPr>
          <w:rFonts w:hint="eastAsia"/>
        </w:rPr>
        <w:t>系数法</w:t>
      </w:r>
      <w:bookmarkEnd w:id="286"/>
    </w:p>
    <w:p w14:paraId="7FE35385">
      <w:pPr>
        <w:pStyle w:val="60"/>
        <w:ind w:firstLine="420"/>
        <w:jc w:val="left"/>
        <w:rPr>
          <w:bCs/>
        </w:rPr>
      </w:pPr>
      <w:r>
        <w:rPr>
          <w:rFonts w:hint="eastAsia"/>
          <w:bCs/>
        </w:rPr>
        <w:t>在实测法和公式法使用条件均无法满足时，采用系数法计算VOCs排放量时可参考表F</w:t>
      </w:r>
      <w:r>
        <w:rPr>
          <w:bCs/>
        </w:rPr>
        <w:t>.3</w:t>
      </w:r>
      <w:r>
        <w:rPr>
          <w:rFonts w:hint="eastAsia"/>
          <w:bCs/>
        </w:rPr>
        <w:t>。</w:t>
      </w:r>
    </w:p>
    <w:p w14:paraId="18015BBF">
      <w:pPr>
        <w:pStyle w:val="60"/>
        <w:ind w:firstLine="420"/>
        <w:jc w:val="center"/>
        <w:rPr>
          <w:bCs/>
        </w:rPr>
      </w:pPr>
      <w:r>
        <w:rPr>
          <w:rFonts w:hint="eastAsia"/>
          <w:bCs/>
        </w:rPr>
        <w:t>表</w:t>
      </w:r>
      <w:r>
        <w:rPr>
          <w:bCs/>
        </w:rPr>
        <w:t xml:space="preserve">F.3 </w:t>
      </w:r>
      <w:r>
        <w:rPr>
          <w:rFonts w:hint="eastAsia"/>
          <w:bCs/>
        </w:rPr>
        <w:t>电子</w:t>
      </w:r>
      <w:r>
        <w:rPr>
          <w:bCs/>
        </w:rPr>
        <w:t>制造过程VOCs</w:t>
      </w:r>
      <w:r>
        <w:rPr>
          <w:rFonts w:hint="eastAsia"/>
          <w:bCs/>
        </w:rPr>
        <w:t>排放系数</w:t>
      </w:r>
    </w:p>
    <w:tbl>
      <w:tblPr>
        <w:tblStyle w:val="29"/>
        <w:tblW w:w="7796"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gridCol w:w="3969"/>
      </w:tblGrid>
      <w:tr w14:paraId="668D8FC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3827" w:type="dxa"/>
            <w:tcBorders>
              <w:bottom w:val="single" w:color="auto" w:sz="12" w:space="0"/>
            </w:tcBorders>
            <w:vAlign w:val="center"/>
          </w:tcPr>
          <w:p w14:paraId="07297C51">
            <w:pPr>
              <w:pStyle w:val="60"/>
              <w:ind w:firstLine="420"/>
              <w:jc w:val="center"/>
            </w:pPr>
            <w:r>
              <w:rPr>
                <w:rFonts w:hint="eastAsia"/>
              </w:rPr>
              <w:t>工艺名称</w:t>
            </w:r>
          </w:p>
        </w:tc>
        <w:tc>
          <w:tcPr>
            <w:tcW w:w="3969" w:type="dxa"/>
            <w:tcBorders>
              <w:bottom w:val="single" w:color="auto" w:sz="12" w:space="0"/>
            </w:tcBorders>
            <w:vAlign w:val="center"/>
          </w:tcPr>
          <w:p w14:paraId="5D92DF4E">
            <w:pPr>
              <w:pStyle w:val="60"/>
              <w:ind w:firstLine="420"/>
              <w:jc w:val="center"/>
            </w:pPr>
            <w:r>
              <w:rPr>
                <w:rFonts w:hint="eastAsia"/>
              </w:rPr>
              <w:t>排放系数</w:t>
            </w:r>
          </w:p>
        </w:tc>
      </w:tr>
      <w:tr w14:paraId="58C21C9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827" w:type="dxa"/>
            <w:tcBorders>
              <w:top w:val="single" w:color="auto" w:sz="12" w:space="0"/>
            </w:tcBorders>
            <w:vAlign w:val="center"/>
          </w:tcPr>
          <w:p w14:paraId="5FD2647E">
            <w:pPr>
              <w:pStyle w:val="60"/>
              <w:ind w:firstLine="420"/>
              <w:jc w:val="center"/>
            </w:pPr>
            <w:r>
              <w:rPr>
                <w:rFonts w:hint="eastAsia"/>
              </w:rPr>
              <w:t>覆铜板生产</w:t>
            </w:r>
          </w:p>
        </w:tc>
        <w:tc>
          <w:tcPr>
            <w:tcW w:w="3969" w:type="dxa"/>
            <w:tcBorders>
              <w:top w:val="single" w:color="auto" w:sz="12" w:space="0"/>
            </w:tcBorders>
            <w:vAlign w:val="center"/>
          </w:tcPr>
          <w:p w14:paraId="25661862">
            <w:pPr>
              <w:pStyle w:val="60"/>
              <w:ind w:firstLine="420"/>
              <w:jc w:val="center"/>
            </w:pPr>
            <w:r>
              <w:t xml:space="preserve">0.1 </w:t>
            </w:r>
            <w:r>
              <w:rPr>
                <w:rFonts w:hint="eastAsia"/>
              </w:rPr>
              <w:t>kg</w:t>
            </w:r>
            <w:r>
              <w:t>/m</w:t>
            </w:r>
            <w:r>
              <w:rPr>
                <w:vertAlign w:val="superscript"/>
              </w:rPr>
              <w:t>2</w:t>
            </w:r>
          </w:p>
        </w:tc>
      </w:tr>
      <w:tr w14:paraId="6716B03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827" w:type="dxa"/>
            <w:vAlign w:val="center"/>
          </w:tcPr>
          <w:p w14:paraId="29CF1D5A">
            <w:pPr>
              <w:pStyle w:val="60"/>
              <w:ind w:firstLine="420"/>
              <w:jc w:val="center"/>
            </w:pPr>
            <w:r>
              <w:rPr>
                <w:rFonts w:hint="eastAsia"/>
              </w:rPr>
              <w:t>漆包线生产</w:t>
            </w:r>
          </w:p>
          <w:p w14:paraId="09A5D965">
            <w:pPr>
              <w:pStyle w:val="60"/>
              <w:ind w:firstLine="420"/>
              <w:jc w:val="center"/>
            </w:pPr>
            <w:r>
              <w:rPr>
                <w:rFonts w:hint="eastAsia"/>
              </w:rPr>
              <w:t>印刷电路板生产</w:t>
            </w:r>
          </w:p>
          <w:p w14:paraId="3A91A70C">
            <w:pPr>
              <w:pStyle w:val="60"/>
              <w:ind w:firstLine="420"/>
              <w:jc w:val="center"/>
            </w:pPr>
            <w:r>
              <w:rPr>
                <w:rFonts w:hint="eastAsia"/>
              </w:rPr>
              <w:t>铝电解电容器</w:t>
            </w:r>
          </w:p>
          <w:p w14:paraId="00C24969">
            <w:pPr>
              <w:pStyle w:val="60"/>
              <w:ind w:firstLine="420"/>
              <w:jc w:val="center"/>
            </w:pPr>
            <w:r>
              <w:rPr>
                <w:rFonts w:hint="eastAsia"/>
              </w:rPr>
              <w:t>集成电路生产</w:t>
            </w:r>
          </w:p>
        </w:tc>
        <w:tc>
          <w:tcPr>
            <w:tcW w:w="3969" w:type="dxa"/>
            <w:vAlign w:val="center"/>
          </w:tcPr>
          <w:p w14:paraId="3886F0A6">
            <w:pPr>
              <w:pStyle w:val="60"/>
              <w:ind w:firstLine="420"/>
              <w:jc w:val="center"/>
            </w:pPr>
            <w:r>
              <w:t xml:space="preserve">40.08 </w:t>
            </w:r>
            <w:r>
              <w:rPr>
                <w:rFonts w:hint="eastAsia"/>
              </w:rPr>
              <w:t>kg</w:t>
            </w:r>
            <w:r>
              <w:t>/</w:t>
            </w:r>
            <w:r>
              <w:rPr>
                <w:rFonts w:hint="eastAsia"/>
              </w:rPr>
              <w:t>t</w:t>
            </w:r>
          </w:p>
          <w:p w14:paraId="2BCAF04A">
            <w:pPr>
              <w:pStyle w:val="60"/>
              <w:ind w:firstLine="420"/>
              <w:jc w:val="center"/>
            </w:pPr>
            <w:r>
              <w:rPr>
                <w:rFonts w:hint="eastAsia"/>
              </w:rPr>
              <w:t>0</w:t>
            </w:r>
            <w:r>
              <w:t xml:space="preserve">.2344 </w:t>
            </w:r>
            <w:r>
              <w:rPr>
                <w:rFonts w:hint="eastAsia"/>
              </w:rPr>
              <w:t>kg</w:t>
            </w:r>
            <w:r>
              <w:t>/m</w:t>
            </w:r>
            <w:r>
              <w:rPr>
                <w:vertAlign w:val="superscript"/>
              </w:rPr>
              <w:t>2</w:t>
            </w:r>
          </w:p>
          <w:p w14:paraId="23711FFA">
            <w:pPr>
              <w:pStyle w:val="60"/>
              <w:ind w:firstLine="420"/>
              <w:jc w:val="center"/>
            </w:pPr>
            <w:r>
              <w:rPr>
                <w:rFonts w:hint="eastAsia"/>
              </w:rPr>
              <w:t>1</w:t>
            </w:r>
            <w:r>
              <w:t xml:space="preserve">.16 </w:t>
            </w:r>
            <w:r>
              <w:rPr>
                <w:rFonts w:hint="eastAsia"/>
              </w:rPr>
              <w:t>kg</w:t>
            </w:r>
            <w:r>
              <w:t>/</w:t>
            </w:r>
            <w:r>
              <w:rPr>
                <w:rFonts w:hint="eastAsia"/>
              </w:rPr>
              <w:t>百万块</w:t>
            </w:r>
          </w:p>
          <w:p w14:paraId="45E46C2C">
            <w:pPr>
              <w:pStyle w:val="60"/>
              <w:ind w:firstLine="420"/>
              <w:jc w:val="center"/>
            </w:pPr>
            <w:r>
              <w:rPr>
                <w:rFonts w:hint="eastAsia"/>
              </w:rPr>
              <w:t>0</w:t>
            </w:r>
            <w:r>
              <w:t>.0709</w:t>
            </w:r>
            <w:r>
              <w:rPr>
                <w:rFonts w:hint="eastAsia"/>
              </w:rPr>
              <w:t>/万块</w:t>
            </w:r>
          </w:p>
        </w:tc>
      </w:tr>
    </w:tbl>
    <w:p w14:paraId="6325A15B">
      <w:pPr>
        <w:pStyle w:val="60"/>
        <w:ind w:firstLine="420"/>
      </w:pPr>
      <w:r>
        <w:rPr>
          <w:rFonts w:hint="eastAsia"/>
        </w:rPr>
        <w:t>注：数据摘自梁小明等.中国工业源挥发性有机物排放清单[J].环境科学,2020.</w:t>
      </w:r>
    </w:p>
    <w:p w14:paraId="7327143F">
      <w:pPr>
        <w:pStyle w:val="60"/>
        <w:ind w:firstLine="0" w:firstLineChars="0"/>
        <w:rPr>
          <w:rFonts w:hint="eastAsia"/>
        </w:rPr>
        <w:sectPr>
          <w:pgSz w:w="11906" w:h="16838"/>
          <w:pgMar w:top="2410" w:right="1134" w:bottom="1134" w:left="1134" w:header="1418" w:footer="1134" w:gutter="284"/>
          <w:cols w:space="425" w:num="1"/>
          <w:formProt w:val="0"/>
          <w:docGrid w:linePitch="312" w:charSpace="0"/>
        </w:sectPr>
      </w:pPr>
    </w:p>
    <w:p w14:paraId="75B47FE1">
      <w:pPr>
        <w:pStyle w:val="80"/>
        <w:spacing w:before="60" w:after="120"/>
        <w:ind w:left="0"/>
      </w:pPr>
      <w:bookmarkStart w:id="287" w:name="_Toc170497035"/>
      <w:r>
        <w:rPr>
          <w:rFonts w:hint="eastAsia"/>
        </w:rPr>
        <w:t>不确定性的计算</w:t>
      </w:r>
      <w:bookmarkEnd w:id="287"/>
    </w:p>
    <w:p w14:paraId="64D5B59D">
      <w:pPr>
        <w:pStyle w:val="69"/>
        <w:numPr>
          <w:ilvl w:val="0"/>
          <w:numId w:val="0"/>
        </w:numPr>
        <w:spacing w:before="120" w:after="120"/>
        <w:ind w:firstLine="420" w:firstLineChars="200"/>
        <w:outlineLvl w:val="9"/>
        <w:rPr>
          <w:rFonts w:ascii="宋体" w:hAnsi="宋体" w:eastAsia="宋体"/>
        </w:rPr>
      </w:pPr>
      <w:r>
        <w:rPr>
          <w:rFonts w:hint="eastAsia" w:ascii="宋体" w:hAnsi="宋体" w:eastAsia="宋体"/>
        </w:rPr>
        <w:t>t值与测量样本数的对应关系见附录表</w:t>
      </w:r>
      <w:r>
        <w:rPr>
          <w:rFonts w:ascii="宋体" w:hAnsi="宋体" w:eastAsia="宋体"/>
        </w:rPr>
        <w:t>G.</w:t>
      </w:r>
      <w:r>
        <w:rPr>
          <w:rFonts w:hint="eastAsia" w:ascii="宋体" w:hAnsi="宋体" w:eastAsia="宋体"/>
        </w:rPr>
        <w:t>1。</w:t>
      </w:r>
    </w:p>
    <w:p w14:paraId="75A538E0">
      <w:pPr>
        <w:pStyle w:val="60"/>
        <w:ind w:firstLine="420"/>
        <w:jc w:val="center"/>
        <w:rPr>
          <w:bCs/>
        </w:rPr>
      </w:pPr>
      <w:r>
        <w:rPr>
          <w:rFonts w:hint="eastAsia"/>
          <w:bCs/>
        </w:rPr>
        <w:t>表</w:t>
      </w:r>
      <w:r>
        <w:rPr>
          <w:bCs/>
        </w:rPr>
        <w:t>G.1 t</w:t>
      </w:r>
      <w:r>
        <w:rPr>
          <w:rFonts w:hint="eastAsia"/>
          <w:bCs/>
        </w:rPr>
        <w:t>值与测量样本数的对应关系</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autofit"/>
        <w:tblCellMar>
          <w:top w:w="0" w:type="dxa"/>
          <w:left w:w="108" w:type="dxa"/>
          <w:bottom w:w="0" w:type="dxa"/>
          <w:right w:w="108" w:type="dxa"/>
        </w:tblCellMar>
      </w:tblPr>
      <w:tblGrid>
        <w:gridCol w:w="1418"/>
        <w:gridCol w:w="982"/>
        <w:gridCol w:w="983"/>
        <w:gridCol w:w="982"/>
        <w:gridCol w:w="983"/>
        <w:gridCol w:w="982"/>
        <w:gridCol w:w="983"/>
        <w:gridCol w:w="983"/>
      </w:tblGrid>
      <w:tr w14:paraId="207AA8F0">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jc w:val="center"/>
        </w:trPr>
        <w:tc>
          <w:tcPr>
            <w:tcW w:w="1418" w:type="dxa"/>
            <w:vAlign w:val="center"/>
          </w:tcPr>
          <w:p w14:paraId="5E83EF58">
            <w:pPr>
              <w:spacing w:line="240" w:lineRule="auto"/>
              <w:jc w:val="center"/>
              <w:rPr>
                <w:rFonts w:ascii="宋体" w:hAnsi="宋体"/>
              </w:rPr>
            </w:pPr>
            <w:r>
              <w:rPr>
                <w:rFonts w:hint="eastAsia" w:ascii="宋体" w:hAnsi="宋体"/>
              </w:rPr>
              <w:t>测量样本数</w:t>
            </w:r>
          </w:p>
        </w:tc>
        <w:tc>
          <w:tcPr>
            <w:tcW w:w="982" w:type="dxa"/>
            <w:vAlign w:val="center"/>
          </w:tcPr>
          <w:p w14:paraId="0681FA7C">
            <w:pPr>
              <w:spacing w:line="240" w:lineRule="auto"/>
              <w:jc w:val="center"/>
              <w:rPr>
                <w:rFonts w:ascii="宋体" w:hAnsi="宋体"/>
              </w:rPr>
            </w:pPr>
            <w:r>
              <w:rPr>
                <w:rFonts w:hint="eastAsia" w:ascii="宋体" w:hAnsi="宋体"/>
              </w:rPr>
              <w:t>3</w:t>
            </w:r>
          </w:p>
        </w:tc>
        <w:tc>
          <w:tcPr>
            <w:tcW w:w="983" w:type="dxa"/>
            <w:vAlign w:val="center"/>
          </w:tcPr>
          <w:p w14:paraId="43730FA8">
            <w:pPr>
              <w:spacing w:line="240" w:lineRule="auto"/>
              <w:jc w:val="center"/>
              <w:rPr>
                <w:rFonts w:ascii="宋体" w:hAnsi="宋体"/>
              </w:rPr>
            </w:pPr>
            <w:r>
              <w:rPr>
                <w:rFonts w:hint="eastAsia" w:ascii="宋体" w:hAnsi="宋体"/>
              </w:rPr>
              <w:t>5</w:t>
            </w:r>
          </w:p>
        </w:tc>
        <w:tc>
          <w:tcPr>
            <w:tcW w:w="982" w:type="dxa"/>
            <w:vAlign w:val="center"/>
          </w:tcPr>
          <w:p w14:paraId="302C8B1B">
            <w:pPr>
              <w:spacing w:line="240" w:lineRule="auto"/>
              <w:jc w:val="center"/>
              <w:rPr>
                <w:rFonts w:ascii="宋体" w:hAnsi="宋体"/>
              </w:rPr>
            </w:pPr>
            <w:r>
              <w:rPr>
                <w:rFonts w:hint="eastAsia" w:ascii="宋体" w:hAnsi="宋体"/>
              </w:rPr>
              <w:t>8</w:t>
            </w:r>
          </w:p>
        </w:tc>
        <w:tc>
          <w:tcPr>
            <w:tcW w:w="983" w:type="dxa"/>
            <w:vAlign w:val="center"/>
          </w:tcPr>
          <w:p w14:paraId="37E153F0">
            <w:pPr>
              <w:spacing w:line="240" w:lineRule="auto"/>
              <w:jc w:val="center"/>
              <w:rPr>
                <w:rFonts w:ascii="宋体" w:hAnsi="宋体"/>
              </w:rPr>
            </w:pPr>
            <w:r>
              <w:rPr>
                <w:rFonts w:hint="eastAsia" w:ascii="宋体" w:hAnsi="宋体"/>
              </w:rPr>
              <w:t>1</w:t>
            </w:r>
            <w:r>
              <w:rPr>
                <w:rFonts w:ascii="宋体" w:hAnsi="宋体"/>
              </w:rPr>
              <w:t>0</w:t>
            </w:r>
          </w:p>
        </w:tc>
        <w:tc>
          <w:tcPr>
            <w:tcW w:w="982" w:type="dxa"/>
            <w:vAlign w:val="center"/>
          </w:tcPr>
          <w:p w14:paraId="5A5E02D1">
            <w:pPr>
              <w:spacing w:line="240" w:lineRule="auto"/>
              <w:jc w:val="center"/>
              <w:rPr>
                <w:rFonts w:ascii="宋体" w:hAnsi="宋体"/>
              </w:rPr>
            </w:pPr>
            <w:r>
              <w:rPr>
                <w:rFonts w:hint="eastAsia" w:ascii="宋体" w:hAnsi="宋体"/>
              </w:rPr>
              <w:t>5</w:t>
            </w:r>
            <w:r>
              <w:rPr>
                <w:rFonts w:ascii="宋体" w:hAnsi="宋体"/>
              </w:rPr>
              <w:t>0</w:t>
            </w:r>
          </w:p>
        </w:tc>
        <w:tc>
          <w:tcPr>
            <w:tcW w:w="983" w:type="dxa"/>
            <w:vAlign w:val="center"/>
          </w:tcPr>
          <w:p w14:paraId="639EE397">
            <w:pPr>
              <w:spacing w:line="240" w:lineRule="auto"/>
              <w:jc w:val="center"/>
              <w:rPr>
                <w:rFonts w:ascii="宋体" w:hAnsi="宋体"/>
              </w:rPr>
            </w:pPr>
            <w:r>
              <w:rPr>
                <w:rFonts w:hint="eastAsia" w:ascii="宋体" w:hAnsi="宋体"/>
              </w:rPr>
              <w:t>1</w:t>
            </w:r>
            <w:r>
              <w:rPr>
                <w:rFonts w:ascii="宋体" w:hAnsi="宋体"/>
              </w:rPr>
              <w:t>00</w:t>
            </w:r>
          </w:p>
        </w:tc>
        <w:tc>
          <w:tcPr>
            <w:tcW w:w="983" w:type="dxa"/>
            <w:vAlign w:val="center"/>
          </w:tcPr>
          <w:p w14:paraId="618E05A0">
            <w:pPr>
              <w:spacing w:line="240" w:lineRule="auto"/>
              <w:jc w:val="center"/>
              <w:rPr>
                <w:rFonts w:ascii="宋体" w:hAnsi="宋体"/>
              </w:rPr>
            </w:pPr>
            <w:r>
              <w:rPr>
                <w:rFonts w:ascii="宋体" w:hAnsi="宋体"/>
              </w:rPr>
              <w:t>∞</w:t>
            </w:r>
          </w:p>
        </w:tc>
      </w:tr>
      <w:tr w14:paraId="3C8B828E">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jc w:val="center"/>
        </w:trPr>
        <w:tc>
          <w:tcPr>
            <w:tcW w:w="1418" w:type="dxa"/>
            <w:vAlign w:val="center"/>
          </w:tcPr>
          <w:p w14:paraId="1CAFC28D">
            <w:pPr>
              <w:spacing w:line="240" w:lineRule="auto"/>
              <w:jc w:val="center"/>
              <w:rPr>
                <w:rFonts w:ascii="宋体" w:hAnsi="宋体"/>
              </w:rPr>
            </w:pPr>
            <w:r>
              <w:rPr>
                <w:rFonts w:hint="eastAsia" w:ascii="宋体" w:hAnsi="宋体"/>
              </w:rPr>
              <w:t>9</w:t>
            </w:r>
            <w:r>
              <w:rPr>
                <w:rFonts w:ascii="宋体" w:hAnsi="宋体"/>
              </w:rPr>
              <w:t>5</w:t>
            </w:r>
            <w:r>
              <w:rPr>
                <w:rFonts w:hint="eastAsia" w:ascii="宋体" w:hAnsi="宋体"/>
              </w:rPr>
              <w:t>置信度</w:t>
            </w:r>
          </w:p>
          <w:p w14:paraId="1DC75A04">
            <w:pPr>
              <w:spacing w:line="240" w:lineRule="auto"/>
              <w:jc w:val="center"/>
              <w:rPr>
                <w:rFonts w:ascii="宋体" w:hAnsi="宋体"/>
              </w:rPr>
            </w:pPr>
            <w:r>
              <w:rPr>
                <w:rFonts w:hint="eastAsia" w:ascii="宋体" w:hAnsi="宋体"/>
              </w:rPr>
              <w:t>下的t值</w:t>
            </w:r>
          </w:p>
        </w:tc>
        <w:tc>
          <w:tcPr>
            <w:tcW w:w="982" w:type="dxa"/>
            <w:vAlign w:val="center"/>
          </w:tcPr>
          <w:p w14:paraId="03D5072D">
            <w:pPr>
              <w:spacing w:line="240" w:lineRule="auto"/>
              <w:jc w:val="center"/>
              <w:rPr>
                <w:rFonts w:ascii="宋体" w:hAnsi="宋体"/>
              </w:rPr>
            </w:pPr>
            <w:r>
              <w:rPr>
                <w:rFonts w:hint="eastAsia" w:ascii="宋体" w:hAnsi="宋体"/>
              </w:rPr>
              <w:t>4</w:t>
            </w:r>
            <w:r>
              <w:rPr>
                <w:rFonts w:ascii="宋体" w:hAnsi="宋体"/>
              </w:rPr>
              <w:t>.30</w:t>
            </w:r>
          </w:p>
        </w:tc>
        <w:tc>
          <w:tcPr>
            <w:tcW w:w="983" w:type="dxa"/>
            <w:vAlign w:val="center"/>
          </w:tcPr>
          <w:p w14:paraId="1E80F3E9">
            <w:pPr>
              <w:spacing w:line="240" w:lineRule="auto"/>
              <w:jc w:val="center"/>
              <w:rPr>
                <w:rFonts w:ascii="宋体" w:hAnsi="宋体"/>
              </w:rPr>
            </w:pPr>
            <w:r>
              <w:rPr>
                <w:rFonts w:hint="eastAsia" w:ascii="宋体" w:hAnsi="宋体"/>
              </w:rPr>
              <w:t>2</w:t>
            </w:r>
            <w:r>
              <w:rPr>
                <w:rFonts w:ascii="宋体" w:hAnsi="宋体"/>
              </w:rPr>
              <w:t>.78</w:t>
            </w:r>
          </w:p>
        </w:tc>
        <w:tc>
          <w:tcPr>
            <w:tcW w:w="982" w:type="dxa"/>
            <w:vAlign w:val="center"/>
          </w:tcPr>
          <w:p w14:paraId="5419EBB7">
            <w:pPr>
              <w:spacing w:line="240" w:lineRule="auto"/>
              <w:jc w:val="center"/>
              <w:rPr>
                <w:rFonts w:ascii="宋体" w:hAnsi="宋体"/>
              </w:rPr>
            </w:pPr>
            <w:r>
              <w:rPr>
                <w:rFonts w:hint="eastAsia" w:ascii="宋体" w:hAnsi="宋体"/>
              </w:rPr>
              <w:t>2</w:t>
            </w:r>
            <w:r>
              <w:rPr>
                <w:rFonts w:ascii="宋体" w:hAnsi="宋体"/>
              </w:rPr>
              <w:t>.37</w:t>
            </w:r>
          </w:p>
        </w:tc>
        <w:tc>
          <w:tcPr>
            <w:tcW w:w="983" w:type="dxa"/>
            <w:vAlign w:val="center"/>
          </w:tcPr>
          <w:p w14:paraId="01749C8F">
            <w:pPr>
              <w:spacing w:line="240" w:lineRule="auto"/>
              <w:jc w:val="center"/>
              <w:rPr>
                <w:rFonts w:ascii="宋体" w:hAnsi="宋体"/>
              </w:rPr>
            </w:pPr>
            <w:r>
              <w:rPr>
                <w:rFonts w:hint="eastAsia" w:ascii="宋体" w:hAnsi="宋体"/>
              </w:rPr>
              <w:t>2</w:t>
            </w:r>
            <w:r>
              <w:rPr>
                <w:rFonts w:ascii="宋体" w:hAnsi="宋体"/>
              </w:rPr>
              <w:t>.26</w:t>
            </w:r>
          </w:p>
        </w:tc>
        <w:tc>
          <w:tcPr>
            <w:tcW w:w="982" w:type="dxa"/>
            <w:vAlign w:val="center"/>
          </w:tcPr>
          <w:p w14:paraId="71A6BB97">
            <w:pPr>
              <w:spacing w:line="240" w:lineRule="auto"/>
              <w:jc w:val="center"/>
              <w:rPr>
                <w:rFonts w:ascii="宋体" w:hAnsi="宋体"/>
              </w:rPr>
            </w:pPr>
            <w:r>
              <w:rPr>
                <w:rFonts w:hint="eastAsia" w:ascii="宋体" w:hAnsi="宋体"/>
              </w:rPr>
              <w:t>2</w:t>
            </w:r>
            <w:r>
              <w:rPr>
                <w:rFonts w:ascii="宋体" w:hAnsi="宋体"/>
              </w:rPr>
              <w:t>.01</w:t>
            </w:r>
          </w:p>
        </w:tc>
        <w:tc>
          <w:tcPr>
            <w:tcW w:w="983" w:type="dxa"/>
            <w:vAlign w:val="center"/>
          </w:tcPr>
          <w:p w14:paraId="24777F0D">
            <w:pPr>
              <w:spacing w:line="240" w:lineRule="auto"/>
              <w:jc w:val="center"/>
              <w:rPr>
                <w:rFonts w:ascii="宋体" w:hAnsi="宋体"/>
              </w:rPr>
            </w:pPr>
            <w:r>
              <w:rPr>
                <w:rFonts w:hint="eastAsia" w:ascii="宋体" w:hAnsi="宋体"/>
              </w:rPr>
              <w:t>1</w:t>
            </w:r>
            <w:r>
              <w:rPr>
                <w:rFonts w:ascii="宋体" w:hAnsi="宋体"/>
              </w:rPr>
              <w:t>.98</w:t>
            </w:r>
          </w:p>
        </w:tc>
        <w:tc>
          <w:tcPr>
            <w:tcW w:w="983" w:type="dxa"/>
            <w:vAlign w:val="center"/>
          </w:tcPr>
          <w:p w14:paraId="1751EA05">
            <w:pPr>
              <w:spacing w:line="240" w:lineRule="auto"/>
              <w:jc w:val="center"/>
              <w:rPr>
                <w:rFonts w:ascii="宋体" w:hAnsi="宋体"/>
              </w:rPr>
            </w:pPr>
            <w:r>
              <w:rPr>
                <w:rFonts w:hint="eastAsia" w:ascii="宋体" w:hAnsi="宋体"/>
              </w:rPr>
              <w:t>1</w:t>
            </w:r>
            <w:r>
              <w:rPr>
                <w:rFonts w:ascii="宋体" w:hAnsi="宋体"/>
              </w:rPr>
              <w:t>.96</w:t>
            </w:r>
          </w:p>
        </w:tc>
      </w:tr>
    </w:tbl>
    <w:p w14:paraId="4F1C5907">
      <w:pPr>
        <w:pStyle w:val="60"/>
        <w:ind w:firstLine="420"/>
      </w:pPr>
    </w:p>
    <w:p w14:paraId="0D903A69">
      <w:pPr>
        <w:pStyle w:val="60"/>
        <w:ind w:firstLine="420"/>
      </w:pPr>
      <w:r>
        <w:rPr>
          <w:rFonts w:hint="eastAsia"/>
        </w:rPr>
        <w:t>计算样本平均值以及标准偏差S：</w:t>
      </w:r>
    </w:p>
    <w:p w14:paraId="711D91F4">
      <w:pPr>
        <w:pStyle w:val="242"/>
      </w:pPr>
      <w:r>
        <w:tab/>
      </w:r>
      <m:oMath>
        <m:bar>
          <m:barPr>
            <m:pos m:val="top"/>
            <m:ctrlPr>
              <w:rPr>
                <w:rFonts w:ascii="Cambria Math" w:hAnsi="Cambria Math"/>
              </w:rPr>
            </m:ctrlPr>
          </m:barPr>
          <m:e>
            <m:r>
              <m:rPr/>
              <w:rPr>
                <w:rFonts w:ascii="Cambria Math" w:hAnsi="Cambria Math"/>
              </w:rPr>
              <m:t>X</m:t>
            </m:r>
            <m:ctrlPr>
              <w:rPr>
                <w:rFonts w:ascii="Cambria Math" w:hAnsi="Cambria Math"/>
              </w:rPr>
            </m:ctrlPr>
          </m:e>
        </m:bar>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
              <m:rPr/>
              <w:rPr>
                <w:rFonts w:ascii="Cambria Math" w:hAnsi="Cambria Math"/>
              </w:rPr>
              <m:t>n</m:t>
            </m:r>
            <m:ctrlPr>
              <w:rPr>
                <w:rFonts w:ascii="Cambria Math" w:hAnsi="Cambria Math"/>
              </w:rPr>
            </m:ctrlPr>
          </m:den>
        </m:f>
        <m:nary>
          <m:naryPr>
            <m:chr m:val="∑"/>
            <m:ctrlPr>
              <w:rPr>
                <w:rFonts w:ascii="Cambria Math" w:hAnsi="Cambria Math"/>
              </w:rPr>
            </m:ctrlPr>
          </m:naryPr>
          <m:sub>
            <m:r>
              <m:rPr/>
              <w:rPr>
                <w:rFonts w:ascii="Cambria Math" w:hAnsi="Cambria Math"/>
              </w:rPr>
              <m:t>k</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k</m:t>
                </m:r>
                <m:ctrlPr>
                  <w:rPr>
                    <w:rFonts w:ascii="Cambria Math" w:hAnsi="Cambria Math"/>
                  </w:rPr>
                </m:ctrlPr>
              </m:sub>
            </m:sSub>
            <m:ctrlPr>
              <w:rPr>
                <w:rFonts w:ascii="Cambria Math" w:hAnsi="Cambria Math"/>
              </w:rPr>
            </m:ctrlPr>
          </m:e>
        </m:nary>
      </m:oMath>
      <w:r>
        <w:tab/>
      </w:r>
      <w:r>
        <w:t>(</w:t>
      </w:r>
      <w:r>
        <w:rPr>
          <w:rFonts w:hint="eastAsia"/>
        </w:rPr>
        <w:t>G</w:t>
      </w:r>
      <w:r>
        <w:t>.1)</w:t>
      </w:r>
    </w:p>
    <w:p w14:paraId="1675263E">
      <w:pPr>
        <w:pStyle w:val="242"/>
      </w:pPr>
      <w:r>
        <w:tab/>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x</m:t>
            </m:r>
            <m:ctrlPr>
              <w:rPr>
                <w:rFonts w:ascii="Cambria Math" w:hAnsi="Cambria Math"/>
              </w:rPr>
            </m:ctrlPr>
          </m:sub>
        </m:sSub>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f>
              <m:fPr>
                <m:ctrlPr>
                  <w:rPr>
                    <w:rFonts w:ascii="Cambria Math" w:hAnsi="Cambria Math"/>
                  </w:rPr>
                </m:ctrlPr>
              </m:fPr>
              <m:num>
                <m:r>
                  <m:rPr>
                    <m:sty m:val="p"/>
                  </m:rPr>
                  <w:rPr>
                    <w:rFonts w:ascii="Cambria Math" w:hAnsi="Cambria Math"/>
                  </w:rPr>
                  <m:t>1</m:t>
                </m:r>
                <m:ctrlPr>
                  <w:rPr>
                    <w:rFonts w:ascii="Cambria Math" w:hAnsi="Cambria Math"/>
                  </w:rPr>
                </m:ctrlPr>
              </m:num>
              <m:den>
                <m:r>
                  <m:rPr/>
                  <w:rPr>
                    <w:rFonts w:ascii="Cambria Math" w:hAnsi="Cambria Math"/>
                  </w:rPr>
                  <m:t>n</m:t>
                </m:r>
                <m:r>
                  <m:rPr>
                    <m:sty m:val="p"/>
                  </m:rPr>
                  <w:rPr>
                    <w:rFonts w:ascii="Cambria Math" w:hAnsi="Cambria Math"/>
                  </w:rPr>
                  <m:t>−1</m:t>
                </m:r>
                <m:ctrlPr>
                  <w:rPr>
                    <w:rFonts w:ascii="Cambria Math" w:hAnsi="Cambria Math"/>
                  </w:rPr>
                </m:ctrlPr>
              </m:den>
            </m:f>
            <m:nary>
              <m:naryPr>
                <m:chr m:val="∑"/>
                <m:ctrlPr>
                  <w:rPr>
                    <w:rFonts w:ascii="Cambria Math" w:hAnsi="Cambria Math"/>
                  </w:rPr>
                </m:ctrlPr>
              </m:naryPr>
              <m:sub>
                <m:r>
                  <m:rPr/>
                  <w:rPr>
                    <w:rFonts w:ascii="Cambria Math" w:hAnsi="Cambria Math"/>
                  </w:rPr>
                  <m:t>k</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k</m:t>
                    </m:r>
                    <m:ctrlPr>
                      <w:rPr>
                        <w:rFonts w:ascii="Cambria Math" w:hAnsi="Cambria Math"/>
                      </w:rPr>
                    </m:ctrlPr>
                  </m:sub>
                </m:sSub>
                <m:r>
                  <m:rPr>
                    <m:sty m:val="p"/>
                  </m:rPr>
                  <w:rPr>
                    <w:rFonts w:ascii="Cambria Math" w:hAnsi="Cambria Math"/>
                  </w:rPr>
                  <m:t>−</m:t>
                </m:r>
                <m:bar>
                  <m:barPr>
                    <m:pos m:val="top"/>
                    <m:ctrlPr>
                      <w:rPr>
                        <w:rFonts w:ascii="Cambria Math" w:hAnsi="Cambria Math"/>
                      </w:rPr>
                    </m:ctrlPr>
                  </m:barPr>
                  <m:e>
                    <m:r>
                      <m:rPr/>
                      <w:rPr>
                        <w:rFonts w:ascii="Cambria Math" w:hAnsi="Cambria Math"/>
                      </w:rPr>
                      <m:t>X</m:t>
                    </m:r>
                    <m:ctrlPr>
                      <w:rPr>
                        <w:rFonts w:ascii="Cambria Math" w:hAnsi="Cambria Math"/>
                      </w:rPr>
                    </m:ctrlPr>
                  </m:e>
                </m:bar>
                <m:sSup>
                  <m:sSupPr>
                    <m:ctrlPr>
                      <w:rPr>
                        <w:rFonts w:ascii="Cambria Math" w:hAnsi="Cambria Math"/>
                      </w:rPr>
                    </m:ctrlPr>
                  </m:sSupPr>
                  <m:e>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e>
            </m:nary>
            <m:ctrlPr>
              <w:rPr>
                <w:rFonts w:ascii="Cambria Math" w:hAnsi="Cambria Math"/>
              </w:rPr>
            </m:ctrlPr>
          </m:e>
        </m:rad>
      </m:oMath>
      <w:r>
        <w:tab/>
      </w:r>
      <w:r>
        <w:t>(</w:t>
      </w:r>
      <w:r>
        <w:rPr>
          <w:rFonts w:hint="eastAsia"/>
        </w:rPr>
        <w:t>G</w:t>
      </w:r>
      <w:r>
        <w:t>.2)</w:t>
      </w:r>
    </w:p>
    <w:p w14:paraId="55502DE4">
      <w:pPr>
        <w:pStyle w:val="60"/>
        <w:ind w:firstLine="420"/>
      </w:pPr>
      <w:r>
        <w:rPr>
          <w:rFonts w:hint="eastAsia"/>
        </w:rPr>
        <w:t>式中：</w:t>
      </w:r>
    </w:p>
    <w:p w14:paraId="0936E4A5">
      <w:pPr>
        <w:pStyle w:val="60"/>
        <w:ind w:firstLine="420"/>
      </w:pPr>
      <m:oMath>
        <m:bar>
          <m:barPr>
            <m:pos m:val="top"/>
            <m:ctrlPr>
              <w:rPr>
                <w:rFonts w:ascii="Cambria Math"/>
                <w:i/>
              </w:rPr>
            </m:ctrlPr>
          </m:barPr>
          <m:e>
            <m:r>
              <m:rPr/>
              <w:rPr>
                <w:rFonts w:ascii="Cambria Math"/>
              </w:rPr>
              <m:t>X</m:t>
            </m:r>
            <m:ctrlPr>
              <w:rPr>
                <w:rFonts w:ascii="Cambria Math"/>
                <w:i/>
              </w:rPr>
            </m:ctrlPr>
          </m:e>
        </m:bar>
      </m:oMath>
      <w:r>
        <w:rPr>
          <w:rFonts w:hint="eastAsia"/>
          <w:spacing w:val="-20"/>
        </w:rPr>
        <w:t>——</w:t>
      </w:r>
      <w:r>
        <w:rPr>
          <w:rFonts w:hint="eastAsia"/>
        </w:rPr>
        <w:t>样本平均数，无量纲量；</w:t>
      </w:r>
    </w:p>
    <w:p w14:paraId="2748E1E1">
      <w:pPr>
        <w:pStyle w:val="60"/>
        <w:ind w:firstLine="420"/>
      </w:pPr>
      <w:r>
        <w:t>X</w:t>
      </w:r>
      <w:r>
        <w:rPr>
          <w:rFonts w:hint="eastAsia"/>
          <w:vertAlign w:val="subscript"/>
        </w:rPr>
        <w:t>k</w:t>
      </w:r>
      <w:r>
        <w:rPr>
          <w:rFonts w:hint="eastAsia"/>
          <w:spacing w:val="-20"/>
        </w:rPr>
        <w:t>——</w:t>
      </w:r>
      <w:r>
        <w:rPr>
          <w:rFonts w:hint="eastAsia"/>
        </w:rPr>
        <w:t>第</w:t>
      </w:r>
      <w:r>
        <w:t>k</w:t>
      </w:r>
      <w:r>
        <w:rPr>
          <w:rFonts w:hint="eastAsia"/>
        </w:rPr>
        <w:t>个随机变量;</w:t>
      </w:r>
      <m:oMath>
        <m:sSub>
          <m:sSubPr>
            <m:ctrlPr>
              <w:rPr>
                <w:rFonts w:ascii="Cambria Math"/>
                <w:i/>
              </w:rPr>
            </m:ctrlPr>
          </m:sSubPr>
          <m:e>
            <m:r>
              <m:rPr/>
              <w:rPr>
                <w:rFonts w:ascii="Cambria Math"/>
              </w:rPr>
              <m:t>S</m:t>
            </m:r>
            <m:ctrlPr>
              <w:rPr>
                <w:rFonts w:ascii="Cambria Math"/>
                <w:i/>
              </w:rPr>
            </m:ctrlPr>
          </m:e>
          <m:sub>
            <m:r>
              <m:rPr/>
              <w:rPr>
                <w:rFonts w:ascii="Cambria Math"/>
              </w:rPr>
              <m:t>x</m:t>
            </m:r>
            <m:ctrlPr>
              <w:rPr>
                <w:rFonts w:ascii="Cambria Math"/>
                <w:i/>
              </w:rPr>
            </m:ctrlPr>
          </m:sub>
        </m:sSub>
      </m:oMath>
      <w:r>
        <w:rPr>
          <w:rFonts w:hint="eastAsia"/>
        </w:rPr>
        <w:t>为标准偏差，无量纲量。</w:t>
      </w:r>
    </w:p>
    <w:p w14:paraId="320E47E9">
      <w:pPr>
        <w:pStyle w:val="60"/>
        <w:ind w:firstLine="420"/>
      </w:pPr>
      <w:r>
        <w:rPr>
          <w:rFonts w:hint="eastAsia"/>
        </w:rPr>
        <w:t>计算相关区间：</w:t>
      </w:r>
    </w:p>
    <w:p w14:paraId="68E980F2">
      <w:pPr>
        <w:pStyle w:val="242"/>
      </w:pPr>
      <w:r>
        <w:tab/>
      </w:r>
      <w:r>
        <w:t>[</w:t>
      </w:r>
      <m:oMath>
        <m:bar>
          <m:barPr>
            <m:pos m:val="top"/>
            <m:ctrlPr>
              <w:rPr>
                <w:rFonts w:ascii="Cambria Math" w:hAnsi="Cambria Math"/>
              </w:rPr>
            </m:ctrlPr>
          </m:barPr>
          <m:e>
            <m:r>
              <m:rPr/>
              <w:rPr>
                <w:rFonts w:ascii="Cambria Math" w:hAnsi="Cambria Math"/>
              </w:rPr>
              <m:t>X</m:t>
            </m:r>
            <m:ctrlPr>
              <w:rPr>
                <w:rFonts w:ascii="Cambria Math" w:hAnsi="Cambria Math"/>
              </w:rPr>
            </m:ctrlPr>
          </m:e>
        </m:bar>
        <m:r>
          <m:rPr>
            <m:sty m:val="p"/>
          </m:rPr>
          <w:rPr>
            <w:rFonts w:ascii="Cambria Math" w:hAnsi="Cambria Math"/>
          </w:rPr>
          <m:t>−</m:t>
        </m:r>
        <m:f>
          <m:fPr>
            <m:ctrlPr>
              <w:rPr>
                <w:rFonts w:ascii="Cambria Math" w:hAnsi="Cambria Math"/>
              </w:rPr>
            </m:ctrlPr>
          </m:fPr>
          <m:num>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n</m:t>
                </m:r>
                <m:ctrlPr>
                  <w:rPr>
                    <w:rFonts w:ascii="Cambria Math" w:hAnsi="Cambria Math"/>
                  </w:rPr>
                </m:ctrlPr>
              </m:e>
            </m:rad>
            <m:ctrlPr>
              <w:rPr>
                <w:rFonts w:ascii="Cambria Math" w:hAnsi="Cambria Math"/>
              </w:rPr>
            </m:ctrlPr>
          </m:den>
        </m:f>
      </m:oMath>
      <w:r>
        <w:t>;</w:t>
      </w:r>
      <m:oMath>
        <m:bar>
          <m:barPr>
            <m:pos m:val="top"/>
            <m:ctrlPr>
              <w:rPr>
                <w:rFonts w:ascii="Cambria Math" w:hAnsi="Cambria Math"/>
              </w:rPr>
            </m:ctrlPr>
          </m:barPr>
          <m:e>
            <m:r>
              <m:rPr/>
              <w:rPr>
                <w:rFonts w:ascii="Cambria Math" w:hAnsi="Cambria Math"/>
              </w:rPr>
              <m:t>X</m:t>
            </m:r>
            <m:ctrlPr>
              <w:rPr>
                <w:rFonts w:ascii="Cambria Math" w:hAnsi="Cambria Math"/>
              </w:rPr>
            </m:ctrlPr>
          </m:e>
        </m:bar>
        <m:r>
          <m:rPr>
            <m:sty m:val="p"/>
          </m:rPr>
          <w:rPr>
            <w:rFonts w:ascii="Cambria Math" w:hAnsi="Cambria Math"/>
          </w:rPr>
          <m:t>+</m:t>
        </m:r>
        <m:f>
          <m:fPr>
            <m:ctrlPr>
              <w:rPr>
                <w:rFonts w:ascii="Cambria Math" w:hAnsi="Cambria Math"/>
              </w:rPr>
            </m:ctrlPr>
          </m:fPr>
          <m:num>
            <m:r>
              <m:rPr/>
              <w:rPr>
                <w:rFonts w:ascii="Cambria Math" w:hAnsi="Cambria Math"/>
              </w:rPr>
              <m:t>S</m:t>
            </m:r>
            <m:r>
              <m:rPr>
                <m:sty m:val="p"/>
              </m:rPr>
              <w:rPr>
                <w:rFonts w:ascii="Cambria Math" w:hAnsi="Cambria Math"/>
              </w:rPr>
              <m:t>×</m:t>
            </m:r>
            <m:r>
              <m:rPr/>
              <w:rPr>
                <w:rFonts w:ascii="Cambria Math" w:hAnsi="Cambria Math"/>
              </w:rPr>
              <m:t>t</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n</m:t>
                </m:r>
                <m:ctrlPr>
                  <w:rPr>
                    <w:rFonts w:ascii="Cambria Math" w:hAnsi="Cambria Math"/>
                  </w:rPr>
                </m:ctrlPr>
              </m:e>
            </m:rad>
            <m:ctrlPr>
              <w:rPr>
                <w:rFonts w:ascii="Cambria Math" w:hAnsi="Cambria Math"/>
              </w:rPr>
            </m:ctrlPr>
          </m:den>
        </m:f>
      </m:oMath>
      <w:r>
        <w:t>]</w:t>
      </w:r>
      <w:r>
        <w:tab/>
      </w:r>
      <w:r>
        <w:t>(</w:t>
      </w:r>
      <w:r>
        <w:rPr>
          <w:rFonts w:hint="eastAsia"/>
        </w:rPr>
        <w:t>G</w:t>
      </w:r>
      <w:r>
        <w:t>.3)</w:t>
      </w:r>
    </w:p>
    <w:p w14:paraId="1134628C">
      <w:pPr>
        <w:pStyle w:val="60"/>
        <w:ind w:firstLine="420"/>
        <w:rPr>
          <w:rFonts w:hint="eastAsia"/>
        </w:rPr>
      </w:pPr>
      <w:r>
        <w:rPr>
          <w:rFonts w:hint="eastAsia"/>
        </w:rPr>
        <w:t>以上区间可转换成不确定性范围，并以</w:t>
      </w:r>
      <w:r>
        <w:t>±</w:t>
      </w:r>
      <w:r>
        <w:rPr>
          <w:rFonts w:hint="eastAsia"/>
        </w:rPr>
        <w:t>百分比来表示。</w:t>
      </w:r>
    </w:p>
    <w:p w14:paraId="0988323F">
      <w:pPr>
        <w:pStyle w:val="60"/>
        <w:ind w:firstLine="420"/>
      </w:pPr>
      <w:r>
        <w:rPr>
          <w:rFonts w:hint="eastAsia"/>
        </w:rPr>
        <w:t>合并不确定性有两种方法，一是使用简单的误差传递公式，二是使用蒙特卡罗或类似的技术，蒙特卡罗主要适用于模型方法，在此重点介绍误差传递公式，当某一估计值为n个估计值之和或差时，该估计值的不确定性采用公式</w:t>
      </w:r>
      <w:r>
        <w:t>4</w:t>
      </w:r>
      <w:r>
        <w:rPr>
          <w:rFonts w:hint="eastAsia"/>
        </w:rPr>
        <w:t>.</w:t>
      </w:r>
      <w:r>
        <w:t>9</w:t>
      </w:r>
      <w:r>
        <w:rPr>
          <w:rFonts w:hint="eastAsia"/>
        </w:rPr>
        <w:t>-4计算：</w:t>
      </w:r>
      <w:r>
        <w:t xml:space="preserve"> </w:t>
      </w:r>
    </w:p>
    <w:p w14:paraId="48FC497E">
      <w:pPr>
        <w:pStyle w:val="242"/>
      </w:pPr>
      <w:r>
        <w:tab/>
      </w:r>
      <m:oMath>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ctrlPr>
                  <w:rPr>
                    <w:rFonts w:ascii="Cambria Math" w:hAnsi="Cambria Math"/>
                  </w:rPr>
                </m:ctrlPr>
              </m:deg>
              <m:e>
                <m:r>
                  <m:rPr>
                    <m:sty m:val="p"/>
                  </m:rPr>
                  <w:rPr>
                    <w:rFonts w:ascii="Cambria Math" w:hAnsi="Cambria Math"/>
                  </w:rPr>
                  <m:t>(</m:t>
                </m:r>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S</m:t>
                    </m:r>
                    <m:r>
                      <m:rPr>
                        <m:sty m:val="p"/>
                      </m:rPr>
                      <w:rPr>
                        <w:rFonts w:ascii="Cambria Math" w:hAnsi="Cambria Math"/>
                      </w:rPr>
                      <m:t>1</m:t>
                    </m:r>
                    <m:ctrlPr>
                      <w:rPr>
                        <w:rFonts w:ascii="Cambria Math" w:hAnsi="Cambria Math"/>
                      </w:rPr>
                    </m:ctrlPr>
                  </m:sub>
                </m:sSub>
                <m:r>
                  <m:rPr>
                    <m:sty m:val="p"/>
                  </m:rPr>
                  <w:rPr>
                    <w:rFonts w:hint="eastAsia" w:ascii="Cambria Math" w:hAnsi="Cambria Math" w:eastAsia="MS Gothic" w:cs="MS Gothic"/>
                  </w:rPr>
                  <m:t>⋅</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s</m:t>
                    </m:r>
                    <m:r>
                      <m:rPr>
                        <m:sty m:val="p"/>
                      </m:rPr>
                      <w:rPr>
                        <w:rFonts w:ascii="Cambria Math" w:hAnsi="Cambria Math"/>
                      </w:rPr>
                      <m:t>1</m:t>
                    </m:r>
                    <m:ctrlPr>
                      <w:rPr>
                        <w:rFonts w:ascii="Cambria Math" w:hAnsi="Cambria Math"/>
                      </w:rPr>
                    </m:ctrlPr>
                  </m:sub>
                </m:sSub>
                <m:sSup>
                  <m:sSupPr>
                    <m:ctrlPr>
                      <w:rPr>
                        <w:rFonts w:ascii="Cambria Math" w:hAnsi="Cambria Math"/>
                      </w:rPr>
                    </m:ctrlPr>
                  </m:sSupPr>
                  <m:e>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S</m:t>
                    </m:r>
                    <m:r>
                      <m:rPr>
                        <m:sty m:val="p"/>
                      </m:rPr>
                      <w:rPr>
                        <w:rFonts w:ascii="Cambria Math" w:hAnsi="Cambria Math"/>
                      </w:rPr>
                      <m:t>2</m:t>
                    </m:r>
                    <m:ctrlPr>
                      <w:rPr>
                        <w:rFonts w:ascii="Cambria Math" w:hAnsi="Cambria Math"/>
                      </w:rPr>
                    </m:ctrlPr>
                  </m:sub>
                </m:sSub>
                <m:r>
                  <m:rPr>
                    <m:sty m:val="p"/>
                  </m:rPr>
                  <w:rPr>
                    <w:rFonts w:hint="eastAsia" w:ascii="Cambria Math" w:hAnsi="Cambria Math" w:eastAsia="MS Gothic" w:cs="MS Gothic"/>
                  </w:rPr>
                  <m:t>⋅</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s</m:t>
                    </m:r>
                    <m:r>
                      <m:rPr>
                        <m:sty m:val="p"/>
                      </m:rPr>
                      <w:rPr>
                        <w:rFonts w:ascii="Cambria Math" w:hAnsi="Cambria Math"/>
                      </w:rPr>
                      <m:t>2</m:t>
                    </m:r>
                    <m:ctrlPr>
                      <w:rPr>
                        <w:rFonts w:ascii="Cambria Math" w:hAnsi="Cambria Math"/>
                      </w:rPr>
                    </m:ctrlPr>
                  </m:sub>
                </m:sSub>
                <m:sSup>
                  <m:sSupPr>
                    <m:ctrlPr>
                      <w:rPr>
                        <w:rFonts w:ascii="Cambria Math" w:hAnsi="Cambria Math"/>
                      </w:rPr>
                    </m:ctrlPr>
                  </m:sSupPr>
                  <m:e>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Sn</m:t>
                    </m:r>
                    <m:ctrlPr>
                      <w:rPr>
                        <w:rFonts w:ascii="Cambria Math" w:hAnsi="Cambria Math"/>
                      </w:rPr>
                    </m:ctrlPr>
                  </m:sub>
                </m:sSub>
                <m:r>
                  <m:rPr>
                    <m:sty m:val="p"/>
                  </m:rPr>
                  <w:rPr>
                    <w:rFonts w:hint="eastAsia" w:ascii="Cambria Math" w:hAnsi="Cambria Math" w:eastAsia="MS Gothic" w:cs="MS Gothic"/>
                  </w:rPr>
                  <m:t>⋅</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sn</m:t>
                    </m:r>
                    <m:ctrlPr>
                      <w:rPr>
                        <w:rFonts w:ascii="Cambria Math" w:hAnsi="Cambria Math"/>
                      </w:rPr>
                    </m:ctrlPr>
                  </m:sub>
                </m:sSub>
                <m:sSup>
                  <m:sSupPr>
                    <m:ctrlPr>
                      <w:rPr>
                        <w:rFonts w:ascii="Cambria Math" w:hAnsi="Cambria Math"/>
                      </w:rPr>
                    </m:ctrlPr>
                  </m:sSupPr>
                  <m:e>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e>
            </m:rad>
            <m:ctrlPr>
              <w:rPr>
                <w:rFonts w:ascii="Cambria Math" w:hAnsi="Cambria Math"/>
              </w:rPr>
            </m:ctrlPr>
          </m:num>
          <m:den>
            <m:d>
              <m:dPr>
                <m:begChr m:val="|"/>
                <m:endChr m:val="|"/>
                <m:ctrlPr>
                  <w:rPr>
                    <w:rFonts w:ascii="Cambria Math" w:hAnsi="Cambria Math"/>
                  </w:rPr>
                </m:ctrlPr>
              </m:dPr>
              <m:e>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s</m:t>
                    </m:r>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s</m:t>
                    </m:r>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sn</m:t>
                    </m:r>
                    <m:ctrlPr>
                      <w:rPr>
                        <w:rFonts w:ascii="Cambria Math" w:hAnsi="Cambria Math"/>
                      </w:rPr>
                    </m:ctrlPr>
                  </m:sub>
                </m:sSub>
                <m:ctrlPr>
                  <w:rPr>
                    <w:rFonts w:ascii="Cambria Math" w:hAnsi="Cambria Math"/>
                  </w:rPr>
                </m:ctrlPr>
              </m:e>
            </m:d>
            <m:ctrlPr>
              <w:rPr>
                <w:rFonts w:ascii="Cambria Math" w:hAnsi="Cambria Math"/>
              </w:rPr>
            </m:ctrlPr>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ctrlPr>
                  <w:rPr>
                    <w:rFonts w:ascii="Cambria Math" w:hAnsi="Cambria Math"/>
                  </w:rPr>
                </m:ctrlPr>
              </m:deg>
              <m:e>
                <m:nary>
                  <m:naryPr>
                    <m:chr m:val="∑"/>
                    <m:ctrlPr>
                      <w:rPr>
                        <w:rFonts w:ascii="Cambria Math" w:hAnsi="Cambria Math"/>
                      </w:rPr>
                    </m:ctrlPr>
                  </m:naryPr>
                  <m:sub>
                    <m:r>
                      <m:rPr/>
                      <w:rPr>
                        <w:rFonts w:ascii="Cambria Math" w:hAnsi="Cambria Math"/>
                      </w:rPr>
                      <m:t>n</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r>
                      <m:rPr>
                        <m:sty m:val="p"/>
                      </m:rPr>
                      <w:rPr>
                        <w:rFonts w:ascii="Cambria Math" w:hAnsi="Cambria Math"/>
                      </w:rPr>
                      <m:t>(</m:t>
                    </m:r>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Sn</m:t>
                        </m:r>
                        <m:ctrlPr>
                          <w:rPr>
                            <w:rFonts w:ascii="Cambria Math" w:hAnsi="Cambria Math"/>
                          </w:rPr>
                        </m:ctrlPr>
                      </m:sub>
                    </m:sSub>
                    <m:r>
                      <m:rPr>
                        <m:sty m:val="p"/>
                      </m:rPr>
                      <w:rPr>
                        <w:rFonts w:hint="eastAsia" w:ascii="Cambria Math" w:hAnsi="Cambria Math" w:eastAsia="MS Gothic" w:cs="MS Gothic"/>
                      </w:rPr>
                      <m:t>⋅</m:t>
                    </m:r>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sn</m:t>
                        </m:r>
                        <m:ctrlPr>
                          <w:rPr>
                            <w:rFonts w:ascii="Cambria Math" w:hAnsi="Cambria Math"/>
                          </w:rPr>
                        </m:ctrlPr>
                      </m:sub>
                    </m:sSub>
                    <m:sSup>
                      <m:sSupPr>
                        <m:ctrlPr>
                          <w:rPr>
                            <w:rFonts w:ascii="Cambria Math" w:hAnsi="Cambria Math"/>
                          </w:rPr>
                        </m:ctrlPr>
                      </m:sSupPr>
                      <m:e>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e>
                </m:nary>
                <m:ctrlPr>
                  <w:rPr>
                    <w:rFonts w:ascii="Cambria Math" w:hAnsi="Cambria Math"/>
                  </w:rPr>
                </m:ctrlPr>
              </m:e>
            </m:rad>
            <m:ctrlPr>
              <w:rPr>
                <w:rFonts w:ascii="Cambria Math" w:hAnsi="Cambria Math"/>
              </w:rPr>
            </m:ctrlPr>
          </m:num>
          <m:den>
            <m:nary>
              <m:naryPr>
                <m:chr m:val="∑"/>
                <m:ctrlPr>
                  <w:rPr>
                    <w:rFonts w:ascii="Cambria Math" w:hAnsi="Cambria Math"/>
                  </w:rPr>
                </m:ctrlPr>
              </m:naryPr>
              <m:sub>
                <m:r>
                  <m:rPr/>
                  <w:rPr>
                    <w:rFonts w:ascii="Cambria Math" w:hAnsi="Cambria Math"/>
                  </w:rPr>
                  <m:t>n</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d>
                  <m:dPr>
                    <m:begChr m:val="|"/>
                    <m:endChr m:val="|"/>
                    <m:ctrlPr>
                      <w:rPr>
                        <w:rFonts w:ascii="Cambria Math" w:hAnsi="Cambria Math"/>
                      </w:rPr>
                    </m:ctrlPr>
                  </m:dPr>
                  <m:e>
                    <m:sSub>
                      <m:sSubPr>
                        <m:ctrlPr>
                          <w:rPr>
                            <w:rFonts w:ascii="Cambria Math" w:hAnsi="Cambria Math"/>
                          </w:rPr>
                        </m:ctrlPr>
                      </m:sSubPr>
                      <m:e>
                        <m:r>
                          <m:rPr/>
                          <w:rPr>
                            <w:rFonts w:ascii="Cambria Math" w:hAnsi="Cambria Math"/>
                          </w:rPr>
                          <m:t>μ</m:t>
                        </m:r>
                        <m:ctrlPr>
                          <w:rPr>
                            <w:rFonts w:ascii="Cambria Math" w:hAnsi="Cambria Math"/>
                          </w:rPr>
                        </m:ctrlPr>
                      </m:e>
                      <m:sub>
                        <m:r>
                          <m:rPr/>
                          <w:rPr>
                            <w:rFonts w:ascii="Cambria Math" w:hAnsi="Cambria Math"/>
                          </w:rPr>
                          <m:t>sn</m:t>
                        </m:r>
                        <m:ctrlPr>
                          <w:rPr>
                            <w:rFonts w:ascii="Cambria Math" w:hAnsi="Cambria Math"/>
                          </w:rPr>
                        </m:ctrlPr>
                      </m:sub>
                    </m:sSub>
                    <m:ctrlPr>
                      <w:rPr>
                        <w:rFonts w:ascii="Cambria Math" w:hAnsi="Cambria Math"/>
                      </w:rPr>
                    </m:ctrlPr>
                  </m:e>
                </m:d>
                <m:ctrlPr>
                  <w:rPr>
                    <w:rFonts w:ascii="Cambria Math" w:hAnsi="Cambria Math"/>
                  </w:rPr>
                </m:ctrlPr>
              </m:e>
            </m:nary>
            <m:ctrlPr>
              <w:rPr>
                <w:rFonts w:ascii="Cambria Math" w:hAnsi="Cambria Math"/>
              </w:rPr>
            </m:ctrlPr>
          </m:den>
        </m:f>
      </m:oMath>
      <w:r>
        <w:tab/>
      </w:r>
      <w:r>
        <w:t>(</w:t>
      </w:r>
      <w:r>
        <w:rPr>
          <w:rFonts w:hint="eastAsia"/>
        </w:rPr>
        <w:t>G</w:t>
      </w:r>
      <w:r>
        <w:t>.4)</w:t>
      </w:r>
    </w:p>
    <w:p w14:paraId="119C3FDE">
      <w:pPr>
        <w:pStyle w:val="60"/>
        <w:ind w:firstLine="420"/>
      </w:pPr>
      <w:r>
        <w:rPr>
          <w:rFonts w:hint="eastAsia"/>
        </w:rPr>
        <w:t>式中：</w:t>
      </w:r>
    </w:p>
    <w:p w14:paraId="324ADA00">
      <w:pPr>
        <w:pStyle w:val="60"/>
        <w:ind w:firstLine="420"/>
      </w:pPr>
      <w:r>
        <w:rPr>
          <w:rFonts w:hint="eastAsia"/>
        </w:rPr>
        <w:t>U</w:t>
      </w:r>
      <w:r>
        <w:rPr>
          <w:vertAlign w:val="subscript"/>
        </w:rPr>
        <w:t>C</w:t>
      </w:r>
      <w:r>
        <w:rPr>
          <w:rFonts w:hint="eastAsia"/>
          <w:spacing w:val="-20"/>
        </w:rPr>
        <w:t>——</w:t>
      </w:r>
      <w:r>
        <w:rPr>
          <w:rFonts w:hint="eastAsia"/>
        </w:rPr>
        <w:t>为</w:t>
      </w:r>
      <w:r>
        <w:t>n</w:t>
      </w:r>
      <w:r>
        <w:rPr>
          <w:rFonts w:hint="eastAsia"/>
        </w:rPr>
        <w:t>个估值之和或差的不确定性，%；</w:t>
      </w:r>
    </w:p>
    <w:p w14:paraId="7C9A0E3C">
      <w:pPr>
        <w:pStyle w:val="60"/>
        <w:ind w:firstLine="420"/>
      </w:pPr>
      <w:r>
        <w:rPr>
          <w:rFonts w:hint="eastAsia"/>
        </w:rPr>
        <w:t>U</w:t>
      </w:r>
      <w:r>
        <w:rPr>
          <w:vertAlign w:val="subscript"/>
        </w:rPr>
        <w:t>s1</w:t>
      </w:r>
      <w:r>
        <w:t>…U</w:t>
      </w:r>
      <w:r>
        <w:rPr>
          <w:rFonts w:hint="eastAsia"/>
          <w:vertAlign w:val="subscript"/>
        </w:rPr>
        <w:t>s</w:t>
      </w:r>
      <w:r>
        <w:rPr>
          <w:vertAlign w:val="subscript"/>
        </w:rPr>
        <w:t>2</w:t>
      </w:r>
      <w:r>
        <w:rPr>
          <w:rFonts w:hint="eastAsia"/>
          <w:spacing w:val="-20"/>
        </w:rPr>
        <w:t>——</w:t>
      </w:r>
      <w:r>
        <w:t>n</w:t>
      </w:r>
      <w:r>
        <w:rPr>
          <w:rFonts w:hint="eastAsia"/>
        </w:rPr>
        <w:t>个相加减的估值的不确定性，%；</w:t>
      </w:r>
    </w:p>
    <w:p w14:paraId="3D2104A4">
      <w:pPr>
        <w:pStyle w:val="60"/>
        <w:ind w:firstLine="420"/>
      </w:pPr>
      <w:r>
        <w:t>μ</w:t>
      </w:r>
      <w:r>
        <w:rPr>
          <w:vertAlign w:val="subscript"/>
        </w:rPr>
        <w:t>s1</w:t>
      </w:r>
      <w:r>
        <w:t>…μ</w:t>
      </w:r>
      <w:r>
        <w:rPr>
          <w:vertAlign w:val="subscript"/>
        </w:rPr>
        <w:t>sn</w:t>
      </w:r>
      <w:r>
        <w:rPr>
          <w:rFonts w:hint="eastAsia"/>
          <w:spacing w:val="-20"/>
        </w:rPr>
        <w:t>——</w:t>
      </w:r>
      <w:r>
        <w:rPr>
          <w:rFonts w:hint="eastAsia"/>
        </w:rPr>
        <w:t>n个相加减的估计值。</w:t>
      </w:r>
    </w:p>
    <w:p w14:paraId="36BBD056">
      <w:pPr>
        <w:pStyle w:val="60"/>
        <w:ind w:firstLine="420"/>
      </w:pPr>
      <w:r>
        <w:rPr>
          <w:rFonts w:hint="eastAsia"/>
        </w:rPr>
        <w:t>当某一估计值为n个估计值之积时，该估计值的不确定性采用公式</w:t>
      </w:r>
      <w:r>
        <w:t>4.9-5</w:t>
      </w:r>
      <w:r>
        <w:rPr>
          <w:rFonts w:hint="eastAsia"/>
        </w:rPr>
        <w:t>计算：</w:t>
      </w:r>
    </w:p>
    <w:p w14:paraId="5E343507">
      <w:pPr>
        <w:pStyle w:val="242"/>
      </w:pPr>
      <w:r>
        <w:tab/>
      </w:r>
      <m:oMath>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sSup>
              <m:sSupPr>
                <m:ctrlPr>
                  <w:rPr>
                    <w:rFonts w:ascii="Cambria Math" w:hAnsi="Cambria Math"/>
                  </w:rPr>
                </m:ctrlPr>
              </m:sSupPr>
              <m:e>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s</m:t>
                    </m:r>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s</m:t>
                    </m:r>
                    <m:r>
                      <m:rPr>
                        <m:sty m:val="p"/>
                      </m:rPr>
                      <w:rPr>
                        <w:rFonts w:ascii="Cambria Math" w:hAnsi="Cambria Math"/>
                      </w:rPr>
                      <m:t>2</m:t>
                    </m:r>
                    <m:ctrlPr>
                      <w:rPr>
                        <w:rFonts w:ascii="Cambria Math" w:hAnsi="Cambria Math"/>
                      </w:rPr>
                    </m:ctrlPr>
                  </m:sub>
                </m:sSub>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sn</m:t>
                    </m:r>
                    <m:ctrlPr>
                      <w:rPr>
                        <w:rFonts w:ascii="Cambria Math" w:hAnsi="Cambria Math"/>
                      </w:rPr>
                    </m:ctrlPr>
                  </m:sub>
                </m:sSub>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e>
        </m:rad>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nary>
              <m:naryPr>
                <m:chr m:val="∑"/>
                <m:ctrlPr>
                  <w:rPr>
                    <w:rFonts w:ascii="Cambria Math" w:hAnsi="Cambria Math"/>
                  </w:rPr>
                </m:ctrlPr>
              </m:naryPr>
              <m:sub>
                <m:r>
                  <m:rPr/>
                  <w:rPr>
                    <w:rFonts w:ascii="Cambria Math" w:hAnsi="Cambria Math"/>
                  </w:rPr>
                  <m:t>n</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p>
                  <m:sSupPr>
                    <m:ctrlPr>
                      <w:rPr>
                        <w:rFonts w:ascii="Cambria Math" w:hAnsi="Cambria Math"/>
                      </w:rPr>
                    </m:ctrlPr>
                  </m:sSupPr>
                  <m:e>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Sn</m:t>
                        </m:r>
                        <m:ctrlPr>
                          <w:rPr>
                            <w:rFonts w:ascii="Cambria Math" w:hAnsi="Cambria Math"/>
                          </w:rPr>
                        </m:ctrlPr>
                      </m:sub>
                    </m:sSub>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e>
            </m:nary>
            <m:ctrlPr>
              <w:rPr>
                <w:rFonts w:ascii="Cambria Math" w:hAnsi="Cambria Math"/>
              </w:rPr>
            </m:ctrlPr>
          </m:e>
        </m:rad>
      </m:oMath>
      <w:r>
        <w:tab/>
      </w:r>
      <w:r>
        <w:t>(</w:t>
      </w:r>
      <w:r>
        <w:rPr>
          <w:rFonts w:hint="eastAsia"/>
        </w:rPr>
        <w:t>G</w:t>
      </w:r>
      <w:r>
        <w:t>.5)</w:t>
      </w:r>
    </w:p>
    <w:p w14:paraId="13E339D1">
      <w:pPr>
        <w:pStyle w:val="60"/>
        <w:ind w:firstLine="420"/>
      </w:pPr>
      <w:r>
        <w:rPr>
          <w:rFonts w:hint="eastAsia"/>
        </w:rPr>
        <w:t>式中：</w:t>
      </w:r>
    </w:p>
    <w:p w14:paraId="0F2DCC76">
      <w:pPr>
        <w:pStyle w:val="60"/>
        <w:ind w:firstLine="420"/>
      </w:pPr>
      <w:r>
        <w:rPr>
          <w:rFonts w:hint="eastAsia"/>
        </w:rPr>
        <w:t>U</w:t>
      </w:r>
      <w:r>
        <w:rPr>
          <w:vertAlign w:val="subscript"/>
        </w:rPr>
        <w:t>C</w:t>
      </w:r>
      <w:r>
        <w:rPr>
          <w:rFonts w:hint="eastAsia"/>
          <w:spacing w:val="-20"/>
        </w:rPr>
        <w:t>——</w:t>
      </w:r>
      <w:r>
        <w:t>n</w:t>
      </w:r>
      <w:r>
        <w:rPr>
          <w:rFonts w:hint="eastAsia"/>
        </w:rPr>
        <w:t>个估值之积的不确定性，%；</w:t>
      </w:r>
    </w:p>
    <w:p w14:paraId="6B0993EC">
      <w:pPr>
        <w:pStyle w:val="60"/>
        <w:ind w:firstLine="420"/>
      </w:pPr>
      <w:r>
        <w:rPr>
          <w:rFonts w:hint="eastAsia"/>
        </w:rPr>
        <w:t>U</w:t>
      </w:r>
      <w:r>
        <w:rPr>
          <w:vertAlign w:val="subscript"/>
        </w:rPr>
        <w:t>s1</w:t>
      </w:r>
      <w:r>
        <w:t>…U</w:t>
      </w:r>
      <w:r>
        <w:rPr>
          <w:rFonts w:hint="eastAsia"/>
          <w:vertAlign w:val="subscript"/>
        </w:rPr>
        <w:t>s</w:t>
      </w:r>
      <w:r>
        <w:rPr>
          <w:vertAlign w:val="subscript"/>
        </w:rPr>
        <w:t>2</w:t>
      </w:r>
      <w:r>
        <w:rPr>
          <w:rFonts w:hint="eastAsia"/>
          <w:spacing w:val="-20"/>
        </w:rPr>
        <w:t>——</w:t>
      </w:r>
      <w:r>
        <w:t>n</w:t>
      </w:r>
      <w:r>
        <w:rPr>
          <w:rFonts w:hint="eastAsia"/>
        </w:rPr>
        <w:t>个相乘的估值的不确定性，%。</w:t>
      </w:r>
    </w:p>
    <w:p w14:paraId="5B6AE3A2">
      <w:pPr>
        <w:pStyle w:val="60"/>
        <w:ind w:firstLine="420"/>
        <w:rPr>
          <w:rFonts w:hint="eastAsia"/>
        </w:rPr>
        <w:sectPr>
          <w:pgSz w:w="11906" w:h="16838"/>
          <w:pgMar w:top="2410" w:right="1134" w:bottom="1134" w:left="1134" w:header="1418" w:footer="1134" w:gutter="284"/>
          <w:cols w:space="425" w:num="1"/>
          <w:formProt w:val="0"/>
          <w:docGrid w:linePitch="312" w:charSpace="0"/>
        </w:sectPr>
      </w:pPr>
    </w:p>
    <w:p w14:paraId="23DE7F49">
      <w:pPr>
        <w:spacing w:line="240" w:lineRule="auto"/>
        <w:ind w:firstLine="420" w:firstLineChars="200"/>
        <w:jc w:val="center"/>
        <w:rPr>
          <w:rFonts w:ascii="Times New Roman" w:hAnsi="Times New Roman"/>
          <w:bCs/>
        </w:rPr>
      </w:pPr>
      <w:r>
        <w:rPr>
          <w:rFonts w:hint="eastAsia" w:ascii="Times New Roman" w:hAnsi="Times New Roman"/>
          <w:bCs/>
        </w:rPr>
        <w:t>表</w:t>
      </w:r>
      <w:r>
        <w:rPr>
          <w:rFonts w:ascii="Times New Roman" w:hAnsi="Times New Roman"/>
          <w:bCs/>
        </w:rPr>
        <w:t xml:space="preserve">G.2 </w:t>
      </w:r>
      <w:r>
        <w:rPr>
          <w:rFonts w:hint="eastAsia" w:ascii="Times New Roman" w:hAnsi="Times New Roman"/>
          <w:bCs/>
        </w:rPr>
        <w:t>企业级挥发性有机物污染物清单编制一般质量控制程序</w:t>
      </w:r>
    </w:p>
    <w:p w14:paraId="6E4F2758">
      <w:pPr>
        <w:spacing w:line="240" w:lineRule="auto"/>
        <w:ind w:firstLine="480" w:firstLineChars="200"/>
        <w:jc w:val="center"/>
        <w:rPr>
          <w:rFonts w:hint="eastAsia" w:ascii="Times New Roman" w:hAnsi="Times New Roman"/>
          <w:bCs/>
          <w:sz w:val="24"/>
          <w:szCs w:val="24"/>
        </w:rPr>
      </w:pPr>
    </w:p>
    <w:tbl>
      <w:tblPr>
        <w:tblStyle w:val="30"/>
        <w:tblW w:w="9072" w:type="dxa"/>
        <w:jc w:val="center"/>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4677"/>
      </w:tblGrid>
      <w:tr w14:paraId="02C8C700">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vAlign w:val="center"/>
          </w:tcPr>
          <w:p w14:paraId="29C5E8A4">
            <w:pPr>
              <w:spacing w:line="240" w:lineRule="auto"/>
              <w:jc w:val="center"/>
              <w:rPr>
                <w:rFonts w:ascii="Times New Roman" w:hAnsi="Times New Roman"/>
              </w:rPr>
            </w:pPr>
            <w:r>
              <w:rPr>
                <w:rFonts w:ascii="Times New Roman" w:hAnsi="Times New Roman"/>
              </w:rPr>
              <w:t>质量控制活动</w:t>
            </w:r>
          </w:p>
        </w:tc>
        <w:tc>
          <w:tcPr>
            <w:tcW w:w="4677" w:type="dxa"/>
            <w:tcBorders>
              <w:top w:val="single" w:color="auto" w:sz="12" w:space="0"/>
              <w:bottom w:val="single" w:color="auto" w:sz="12" w:space="0"/>
            </w:tcBorders>
            <w:vAlign w:val="center"/>
          </w:tcPr>
          <w:p w14:paraId="287A9C3E">
            <w:pPr>
              <w:spacing w:line="240" w:lineRule="auto"/>
              <w:jc w:val="center"/>
              <w:rPr>
                <w:rFonts w:ascii="Times New Roman" w:hAnsi="Times New Roman"/>
              </w:rPr>
            </w:pPr>
            <w:r>
              <w:rPr>
                <w:rFonts w:ascii="Times New Roman" w:hAnsi="Times New Roman"/>
              </w:rPr>
              <w:t>程 序</w:t>
            </w:r>
          </w:p>
        </w:tc>
      </w:tr>
      <w:tr w14:paraId="4345E326">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vAlign w:val="center"/>
          </w:tcPr>
          <w:p w14:paraId="6B87019F">
            <w:pPr>
              <w:spacing w:line="240" w:lineRule="auto"/>
              <w:jc w:val="center"/>
              <w:rPr>
                <w:rFonts w:ascii="Times New Roman" w:hAnsi="Times New Roman"/>
              </w:rPr>
            </w:pPr>
            <w:r>
              <w:rPr>
                <w:rFonts w:hint="eastAsia" w:ascii="Times New Roman" w:hAnsi="Times New Roman"/>
              </w:rPr>
              <w:t>检查主要并归档</w:t>
            </w:r>
          </w:p>
        </w:tc>
        <w:tc>
          <w:tcPr>
            <w:tcW w:w="4677" w:type="dxa"/>
            <w:tcBorders>
              <w:top w:val="single" w:color="auto" w:sz="12" w:space="0"/>
              <w:bottom w:val="single" w:color="auto" w:sz="12" w:space="0"/>
            </w:tcBorders>
            <w:vAlign w:val="center"/>
          </w:tcPr>
          <w:p w14:paraId="35561A90">
            <w:pPr>
              <w:spacing w:line="240" w:lineRule="auto"/>
              <w:rPr>
                <w:rFonts w:ascii="Times New Roman" w:hAnsi="Times New Roman"/>
              </w:rPr>
            </w:pPr>
            <w:r>
              <w:rPr>
                <w:rFonts w:ascii="Times New Roman" w:hAnsi="Times New Roman"/>
              </w:rPr>
              <w:t>对活动水平数据、排放因子和其他估算参数进行交叉检查，并确保其正确记 录和归档。</w:t>
            </w:r>
          </w:p>
        </w:tc>
      </w:tr>
      <w:tr w14:paraId="55BA9C8C">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vAlign w:val="center"/>
          </w:tcPr>
          <w:p w14:paraId="6B2804AA">
            <w:pPr>
              <w:spacing w:line="240" w:lineRule="auto"/>
              <w:jc w:val="center"/>
              <w:rPr>
                <w:rFonts w:ascii="Times New Roman" w:hAnsi="Times New Roman"/>
              </w:rPr>
            </w:pPr>
            <w:r>
              <w:rPr>
                <w:rFonts w:ascii="Times New Roman" w:hAnsi="Times New Roman"/>
              </w:rPr>
              <w:t>检查数据输入和参考文献中的抄录误差</w:t>
            </w:r>
          </w:p>
        </w:tc>
        <w:tc>
          <w:tcPr>
            <w:tcW w:w="4677" w:type="dxa"/>
            <w:tcBorders>
              <w:top w:val="single" w:color="auto" w:sz="12" w:space="0"/>
              <w:bottom w:val="single" w:color="auto" w:sz="12" w:space="0"/>
            </w:tcBorders>
            <w:vAlign w:val="center"/>
          </w:tcPr>
          <w:p w14:paraId="7947E21E">
            <w:pPr>
              <w:spacing w:line="240" w:lineRule="auto"/>
              <w:rPr>
                <w:rFonts w:ascii="Times New Roman" w:hAnsi="Times New Roman"/>
              </w:rPr>
            </w:pPr>
            <w:r>
              <w:rPr>
                <w:rFonts w:ascii="Times New Roman" w:hAnsi="Times New Roman"/>
              </w:rPr>
              <w:t>确认内部文件是否正确引用了参考文献。 对各个类别的输入数据样本（计算中使用的测量值或参数）进行了抄录误差的交叉检查。</w:t>
            </w:r>
          </w:p>
        </w:tc>
      </w:tr>
      <w:tr w14:paraId="38D95C54">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vAlign w:val="center"/>
          </w:tcPr>
          <w:p w14:paraId="7314863E">
            <w:pPr>
              <w:spacing w:line="240" w:lineRule="auto"/>
              <w:jc w:val="center"/>
              <w:rPr>
                <w:rFonts w:ascii="Times New Roman" w:hAnsi="Times New Roman"/>
              </w:rPr>
            </w:pPr>
            <w:r>
              <w:rPr>
                <w:rFonts w:ascii="Times New Roman" w:hAnsi="Times New Roman"/>
              </w:rPr>
              <w:t>检查排放源计算的正确性</w:t>
            </w:r>
          </w:p>
        </w:tc>
        <w:tc>
          <w:tcPr>
            <w:tcW w:w="4677" w:type="dxa"/>
            <w:tcBorders>
              <w:top w:val="single" w:color="auto" w:sz="12" w:space="0"/>
              <w:bottom w:val="single" w:color="auto" w:sz="12" w:space="0"/>
            </w:tcBorders>
            <w:vAlign w:val="center"/>
          </w:tcPr>
          <w:p w14:paraId="756EDB20">
            <w:pPr>
              <w:spacing w:line="240" w:lineRule="auto"/>
              <w:rPr>
                <w:rFonts w:ascii="Times New Roman" w:hAnsi="Times New Roman"/>
              </w:rPr>
            </w:pPr>
            <w:r>
              <w:rPr>
                <w:rFonts w:ascii="Times New Roman" w:hAnsi="Times New Roman"/>
              </w:rPr>
              <w:t>复制一组排放计算。使用简单近似的方法得到与原始和更复杂计算相似的结果，以确保不存在数据输入误差或计算误差。</w:t>
            </w:r>
          </w:p>
        </w:tc>
      </w:tr>
      <w:tr w14:paraId="3E5A4FB0">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vAlign w:val="center"/>
          </w:tcPr>
          <w:p w14:paraId="05B7C62E">
            <w:pPr>
              <w:spacing w:line="240" w:lineRule="auto"/>
              <w:jc w:val="center"/>
              <w:rPr>
                <w:rFonts w:ascii="Times New Roman" w:hAnsi="Times New Roman"/>
              </w:rPr>
            </w:pPr>
            <w:r>
              <w:rPr>
                <w:rFonts w:ascii="Times New Roman" w:hAnsi="Times New Roman"/>
              </w:rPr>
              <w:t>检查是否正确记录了参数、单位</w:t>
            </w:r>
          </w:p>
        </w:tc>
        <w:tc>
          <w:tcPr>
            <w:tcW w:w="4677" w:type="dxa"/>
            <w:tcBorders>
              <w:top w:val="single" w:color="auto" w:sz="12" w:space="0"/>
              <w:bottom w:val="single" w:color="auto" w:sz="12" w:space="0"/>
            </w:tcBorders>
            <w:vAlign w:val="center"/>
          </w:tcPr>
          <w:p w14:paraId="763A8702">
            <w:pPr>
              <w:spacing w:line="240" w:lineRule="auto"/>
              <w:rPr>
                <w:rFonts w:ascii="Times New Roman" w:hAnsi="Times New Roman"/>
              </w:rPr>
            </w:pPr>
            <w:r>
              <w:rPr>
                <w:rFonts w:ascii="Times New Roman" w:hAnsi="Times New Roman"/>
              </w:rPr>
              <w:t>检查在计算表中是否正确标记了单位；检查在计算前后使用的单位是否正确。</w:t>
            </w:r>
          </w:p>
        </w:tc>
      </w:tr>
      <w:tr w14:paraId="4748D6D6">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vAlign w:val="center"/>
          </w:tcPr>
          <w:p w14:paraId="29AFE56F">
            <w:pPr>
              <w:spacing w:line="240" w:lineRule="auto"/>
              <w:jc w:val="center"/>
              <w:rPr>
                <w:rFonts w:ascii="Times New Roman" w:hAnsi="Times New Roman"/>
              </w:rPr>
            </w:pPr>
            <w:r>
              <w:rPr>
                <w:rFonts w:ascii="Times New Roman" w:hAnsi="Times New Roman"/>
              </w:rPr>
              <w:t>检查数据库文件的内在一致性</w:t>
            </w:r>
          </w:p>
        </w:tc>
        <w:tc>
          <w:tcPr>
            <w:tcW w:w="4677" w:type="dxa"/>
            <w:tcBorders>
              <w:top w:val="single" w:color="auto" w:sz="12" w:space="0"/>
              <w:bottom w:val="single" w:color="auto" w:sz="12" w:space="0"/>
            </w:tcBorders>
            <w:vAlign w:val="center"/>
          </w:tcPr>
          <w:p w14:paraId="5C01ACA3">
            <w:pPr>
              <w:spacing w:line="240" w:lineRule="auto"/>
              <w:rPr>
                <w:rFonts w:ascii="Times New Roman" w:hAnsi="Times New Roman"/>
              </w:rPr>
            </w:pPr>
            <w:r>
              <w:rPr>
                <w:rFonts w:ascii="Times New Roman" w:hAnsi="Times New Roman"/>
              </w:rPr>
              <w:t>检验包括的内部文件以：确认数据库中正确描述了合适的数据处理步骤；确认数据库中正确描述了数据关系；确保数据域标记正确以及有正确的设计规范。</w:t>
            </w:r>
          </w:p>
        </w:tc>
      </w:tr>
      <w:tr w14:paraId="6638B067">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vAlign w:val="center"/>
          </w:tcPr>
          <w:p w14:paraId="50669F9D">
            <w:pPr>
              <w:spacing w:line="240" w:lineRule="auto"/>
              <w:jc w:val="center"/>
              <w:rPr>
                <w:rFonts w:ascii="Times New Roman" w:hAnsi="Times New Roman"/>
              </w:rPr>
            </w:pPr>
            <w:r>
              <w:rPr>
                <w:rFonts w:ascii="Times New Roman" w:hAnsi="Times New Roman"/>
              </w:rPr>
              <w:t>检查类别间数据的一致性</w:t>
            </w:r>
          </w:p>
        </w:tc>
        <w:tc>
          <w:tcPr>
            <w:tcW w:w="4677" w:type="dxa"/>
            <w:tcBorders>
              <w:top w:val="single" w:color="auto" w:sz="12" w:space="0"/>
              <w:bottom w:val="single" w:color="auto" w:sz="12" w:space="0"/>
            </w:tcBorders>
            <w:vAlign w:val="center"/>
          </w:tcPr>
          <w:p w14:paraId="0C063C01">
            <w:pPr>
              <w:spacing w:line="240" w:lineRule="auto"/>
              <w:rPr>
                <w:rFonts w:ascii="Times New Roman" w:hAnsi="Times New Roman"/>
              </w:rPr>
            </w:pPr>
            <w:r>
              <w:rPr>
                <w:rFonts w:ascii="Times New Roman" w:hAnsi="Times New Roman"/>
              </w:rPr>
              <w:t>确定多种类别中的共同参数（如活动数据、常数）</w:t>
            </w:r>
            <w:r>
              <w:rPr>
                <w:rFonts w:hint="eastAsia" w:ascii="Times New Roman" w:hAnsi="Times New Roman"/>
              </w:rPr>
              <w:t>在</w:t>
            </w:r>
            <w:r>
              <w:rPr>
                <w:rFonts w:ascii="Times New Roman" w:hAnsi="Times New Roman"/>
              </w:rPr>
              <w:t>计算中使用了一致数值。</w:t>
            </w:r>
          </w:p>
        </w:tc>
      </w:tr>
      <w:tr w14:paraId="2C159D64">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vAlign w:val="center"/>
          </w:tcPr>
          <w:p w14:paraId="27D4488B">
            <w:pPr>
              <w:spacing w:line="240" w:lineRule="auto"/>
              <w:ind w:firstLine="420" w:firstLineChars="200"/>
              <w:jc w:val="center"/>
              <w:rPr>
                <w:rFonts w:ascii="Times New Roman" w:hAnsi="Times New Roman"/>
              </w:rPr>
            </w:pPr>
            <w:r>
              <w:rPr>
                <w:rFonts w:ascii="Times New Roman" w:hAnsi="Times New Roman"/>
              </w:rPr>
              <w:t>检查处理步骤中清单 数据移动的正确性</w:t>
            </w:r>
          </w:p>
        </w:tc>
        <w:tc>
          <w:tcPr>
            <w:tcW w:w="4677" w:type="dxa"/>
            <w:tcBorders>
              <w:top w:val="single" w:color="auto" w:sz="12" w:space="0"/>
              <w:bottom w:val="single" w:color="auto" w:sz="12" w:space="0"/>
            </w:tcBorders>
            <w:vAlign w:val="center"/>
          </w:tcPr>
          <w:p w14:paraId="15EFD045">
            <w:pPr>
              <w:spacing w:line="240" w:lineRule="auto"/>
              <w:rPr>
                <w:rFonts w:ascii="Times New Roman" w:hAnsi="Times New Roman"/>
              </w:rPr>
            </w:pPr>
            <w:r>
              <w:rPr>
                <w:rFonts w:ascii="Times New Roman" w:hAnsi="Times New Roman"/>
              </w:rPr>
              <w:t>排放数据从较低报告水平汇总时是否正确移动；检查不同的中间产物间排放数据是否正确转换。</w:t>
            </w:r>
          </w:p>
        </w:tc>
      </w:tr>
      <w:tr w14:paraId="753AC004">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vAlign w:val="center"/>
          </w:tcPr>
          <w:p w14:paraId="5443D341">
            <w:pPr>
              <w:spacing w:line="240" w:lineRule="auto"/>
              <w:jc w:val="center"/>
              <w:rPr>
                <w:rFonts w:ascii="Times New Roman" w:hAnsi="Times New Roman"/>
              </w:rPr>
            </w:pPr>
            <w:r>
              <w:rPr>
                <w:rFonts w:ascii="Times New Roman" w:hAnsi="Times New Roman"/>
              </w:rPr>
              <w:t>检查排放不确定性估算和计算的正确性</w:t>
            </w:r>
          </w:p>
        </w:tc>
        <w:tc>
          <w:tcPr>
            <w:tcW w:w="4677" w:type="dxa"/>
            <w:tcBorders>
              <w:top w:val="single" w:color="auto" w:sz="12" w:space="0"/>
              <w:bottom w:val="single" w:color="auto" w:sz="12" w:space="0"/>
            </w:tcBorders>
            <w:vAlign w:val="center"/>
          </w:tcPr>
          <w:p w14:paraId="490C3ADB">
            <w:pPr>
              <w:spacing w:line="240" w:lineRule="auto"/>
              <w:rPr>
                <w:rFonts w:ascii="Times New Roman" w:hAnsi="Times New Roman"/>
              </w:rPr>
            </w:pPr>
            <w:r>
              <w:rPr>
                <w:rFonts w:ascii="Times New Roman" w:hAnsi="Times New Roman"/>
              </w:rPr>
              <w:t>检查为不确定性估算提供专家判断的个人是否具有适当资格；检查记录资格、 假设和专家判断；检查计算得到的不确定性是否完整且正确计算。</w:t>
            </w:r>
          </w:p>
        </w:tc>
      </w:tr>
      <w:tr w14:paraId="5ACE758F">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395" w:type="dxa"/>
            <w:tcBorders>
              <w:top w:val="single" w:color="auto" w:sz="12" w:space="0"/>
              <w:bottom w:val="single" w:color="auto" w:sz="12" w:space="0"/>
            </w:tcBorders>
            <w:vAlign w:val="center"/>
          </w:tcPr>
          <w:p w14:paraId="69E55F33">
            <w:pPr>
              <w:spacing w:line="240" w:lineRule="auto"/>
              <w:jc w:val="center"/>
              <w:rPr>
                <w:rFonts w:ascii="Times New Roman" w:hAnsi="Times New Roman"/>
              </w:rPr>
            </w:pPr>
            <w:r>
              <w:rPr>
                <w:rFonts w:ascii="Times New Roman" w:hAnsi="Times New Roman"/>
              </w:rPr>
              <w:t>检查时间序列一致性</w:t>
            </w:r>
          </w:p>
        </w:tc>
        <w:tc>
          <w:tcPr>
            <w:tcW w:w="4677" w:type="dxa"/>
            <w:tcBorders>
              <w:top w:val="single" w:color="auto" w:sz="12" w:space="0"/>
              <w:bottom w:val="single" w:color="auto" w:sz="12" w:space="0"/>
            </w:tcBorders>
            <w:vAlign w:val="center"/>
          </w:tcPr>
          <w:p w14:paraId="1F820A36">
            <w:pPr>
              <w:spacing w:line="240" w:lineRule="auto"/>
              <w:rPr>
                <w:rFonts w:ascii="Times New Roman" w:hAnsi="Times New Roman"/>
              </w:rPr>
            </w:pPr>
            <w:r>
              <w:rPr>
                <w:rFonts w:ascii="Times New Roman" w:hAnsi="Times New Roman"/>
              </w:rPr>
              <w:t>检查各个类别输入数据时间序列的一致性；检查整个时间序列中计算方法的一致性；检查引起重新计算的方法学和数据变化；检查时间序列计算适当地反映了减排活动的结果。</w:t>
            </w:r>
          </w:p>
        </w:tc>
      </w:tr>
      <w:tr w14:paraId="60E783FB">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tcBorders>
            <w:vAlign w:val="center"/>
          </w:tcPr>
          <w:p w14:paraId="3D80D4C7">
            <w:pPr>
              <w:spacing w:line="240" w:lineRule="auto"/>
              <w:jc w:val="center"/>
              <w:rPr>
                <w:rFonts w:ascii="Times New Roman" w:hAnsi="Times New Roman"/>
              </w:rPr>
            </w:pPr>
            <w:r>
              <w:rPr>
                <w:rFonts w:ascii="Times New Roman" w:hAnsi="Times New Roman"/>
              </w:rPr>
              <w:t>检查完整性</w:t>
            </w:r>
          </w:p>
        </w:tc>
        <w:tc>
          <w:tcPr>
            <w:tcW w:w="4677" w:type="dxa"/>
            <w:tcBorders>
              <w:top w:val="single" w:color="auto" w:sz="12" w:space="0"/>
            </w:tcBorders>
            <w:vAlign w:val="center"/>
          </w:tcPr>
          <w:p w14:paraId="126FAA5E">
            <w:pPr>
              <w:spacing w:line="240" w:lineRule="auto"/>
              <w:rPr>
                <w:rFonts w:ascii="Times New Roman" w:hAnsi="Times New Roman"/>
              </w:rPr>
            </w:pPr>
            <w:r>
              <w:rPr>
                <w:rFonts w:ascii="Times New Roman" w:hAnsi="Times New Roman"/>
              </w:rPr>
              <w:t>确认从基年到目前清单编制的所有年份中对所有类别的估算进行了报告；关于子类别，确认包括了整个类别；提供‘其他’类型的类别的明晰定义；检查是否归档了引起不完整估算的已知数据漏缺，包括估算对于整个排放的重要性的定性评估。</w:t>
            </w:r>
          </w:p>
        </w:tc>
      </w:tr>
      <w:tr w14:paraId="6440010B">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vAlign w:val="center"/>
          </w:tcPr>
          <w:p w14:paraId="2CBF17FD">
            <w:pPr>
              <w:spacing w:line="240" w:lineRule="auto"/>
              <w:jc w:val="center"/>
              <w:rPr>
                <w:rFonts w:ascii="Times New Roman" w:hAnsi="Times New Roman"/>
              </w:rPr>
            </w:pPr>
            <w:r>
              <w:rPr>
                <w:rFonts w:ascii="Times New Roman" w:hAnsi="Times New Roman"/>
              </w:rPr>
              <w:t>趋势检查</w:t>
            </w:r>
          </w:p>
        </w:tc>
        <w:tc>
          <w:tcPr>
            <w:tcW w:w="4677" w:type="dxa"/>
            <w:tcBorders>
              <w:top w:val="single" w:color="auto" w:sz="12" w:space="0"/>
              <w:bottom w:val="single" w:color="auto" w:sz="12" w:space="0"/>
            </w:tcBorders>
            <w:vAlign w:val="center"/>
          </w:tcPr>
          <w:p w14:paraId="3A081CA7">
            <w:pPr>
              <w:spacing w:line="240" w:lineRule="auto"/>
              <w:rPr>
                <w:rFonts w:ascii="Times New Roman" w:hAnsi="Times New Roman"/>
              </w:rPr>
            </w:pPr>
            <w:r>
              <w:rPr>
                <w:rFonts w:ascii="Times New Roman" w:hAnsi="Times New Roman"/>
              </w:rPr>
              <w:t>对各个类别，目前的清单估算应该与先前的估算（如果可得）进行比较。如果趋势存在重大变化或偏离，重新检查估算并对任何差异做出解释。与以前年份的排放或清除有重大变化，可能说明出现了可能的输入或计算误差；检查时间序列的活动水平数据或其他参数中，是否存在任何异常和未解释的趋势。</w:t>
            </w:r>
          </w:p>
        </w:tc>
      </w:tr>
      <w:tr w14:paraId="43BD1B1E">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vAlign w:val="center"/>
          </w:tcPr>
          <w:p w14:paraId="0674DCB0">
            <w:pPr>
              <w:spacing w:line="240" w:lineRule="auto"/>
              <w:jc w:val="center"/>
              <w:rPr>
                <w:rFonts w:ascii="Times New Roman" w:hAnsi="Times New Roman"/>
              </w:rPr>
            </w:pPr>
            <w:r>
              <w:rPr>
                <w:rFonts w:ascii="Times New Roman" w:hAnsi="Times New Roman"/>
              </w:rPr>
              <w:t>评审内部文件和存档</w:t>
            </w:r>
          </w:p>
        </w:tc>
        <w:tc>
          <w:tcPr>
            <w:tcW w:w="4677" w:type="dxa"/>
            <w:tcBorders>
              <w:top w:val="single" w:color="auto" w:sz="12" w:space="0"/>
              <w:bottom w:val="single" w:color="auto" w:sz="12" w:space="0"/>
            </w:tcBorders>
            <w:vAlign w:val="center"/>
          </w:tcPr>
          <w:p w14:paraId="4C430FAC">
            <w:pPr>
              <w:spacing w:line="240" w:lineRule="auto"/>
              <w:rPr>
                <w:rFonts w:ascii="Times New Roman" w:hAnsi="Times New Roman"/>
              </w:rPr>
            </w:pPr>
            <w:r>
              <w:rPr>
                <w:rFonts w:ascii="Times New Roman" w:hAnsi="Times New Roman"/>
              </w:rPr>
              <w:t>检查是否有详细的内部文档记录，可支持估算并能够复制排放、清除和不确定性估算；检查清单数据、支持数据以及清单记录已经归档和储存，以便于详细评审；检查在清单完成后，存档密闭并保管在安全场所；检查参与清单编制的外部组织任何数据存档安排的内在一致性。</w:t>
            </w:r>
          </w:p>
        </w:tc>
      </w:tr>
      <w:bookmarkEnd w:id="259"/>
    </w:tbl>
    <w:p w14:paraId="731504AB">
      <w:pPr>
        <w:pStyle w:val="202"/>
        <w:spacing w:line="240" w:lineRule="auto"/>
        <w:rPr>
          <w:vanish w:val="0"/>
        </w:rPr>
      </w:pPr>
    </w:p>
    <w:sectPr>
      <w:headerReference r:id="rId34" w:type="default"/>
      <w:footerReference r:id="rId36" w:type="default"/>
      <w:headerReference r:id="rId35" w:type="even"/>
      <w:footerReference r:id="rId37" w:type="even"/>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730D">
    <w:pPr>
      <w:pStyle w:val="19"/>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94B4">
    <w:pPr>
      <w:pStyle w:val="55"/>
    </w:pPr>
    <w:r>
      <w:fldChar w:fldCharType="begin"/>
    </w:r>
    <w:r>
      <w:instrText xml:space="preserve"> PAGE   \* MERGEFORMAT \* MERGEFORMAT </w:instrText>
    </w:r>
    <w:r>
      <w:fldChar w:fldCharType="separate"/>
    </w:r>
    <w: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40CE7">
    <w:pPr>
      <w:pStyle w:val="56"/>
    </w:pPr>
    <w:r>
      <w:fldChar w:fldCharType="begin"/>
    </w:r>
    <w:r>
      <w:instrText xml:space="preserve">PAGE   \* MERGEFORMAT</w:instrText>
    </w:r>
    <w:r>
      <w:fldChar w:fldCharType="separate"/>
    </w:r>
    <w:r>
      <w:rPr>
        <w:lang w:val="zh-CN"/>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26DE">
    <w:pPr>
      <w:pStyle w:val="55"/>
    </w:pPr>
    <w:r>
      <w:fldChar w:fldCharType="begin"/>
    </w:r>
    <w:r>
      <w:instrText xml:space="preserve"> PAGE   \* MERGEFORMAT \* MERGEFORMAT </w:instrText>
    </w:r>
    <w:r>
      <w:fldChar w:fldCharType="separate"/>
    </w:r>
    <w: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6D5F">
    <w:pPr>
      <w:pStyle w:val="56"/>
    </w:pPr>
    <w:r>
      <w:fldChar w:fldCharType="begin"/>
    </w:r>
    <w:r>
      <w:instrText xml:space="preserve">PAGE   \* MERGEFORMAT</w:instrText>
    </w:r>
    <w:r>
      <w:fldChar w:fldCharType="separate"/>
    </w:r>
    <w:r>
      <w:rPr>
        <w:lang w:val="zh-CN"/>
      </w:rPr>
      <w:t>1</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7B18">
    <w:pPr>
      <w:pStyle w:val="56"/>
    </w:pPr>
    <w:r>
      <w:fldChar w:fldCharType="begin"/>
    </w:r>
    <w:r>
      <w:instrText xml:space="preserve">PAGE   \* MERGEFORMAT</w:instrText>
    </w:r>
    <w:r>
      <w:fldChar w:fldCharType="separate"/>
    </w:r>
    <w:r>
      <w:rPr>
        <w:lang w:val="zh-CN"/>
      </w:rPr>
      <w:t>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8C23C">
    <w:pPr>
      <w:pStyle w:val="55"/>
    </w:pPr>
    <w:r>
      <w:fldChar w:fldCharType="begin"/>
    </w:r>
    <w:r>
      <w:instrText xml:space="preserve"> PAGE   \* MERGEFORMAT \* MERGEFORMAT </w:instrText>
    </w:r>
    <w:r>
      <w:fldChar w:fldCharType="separate"/>
    </w:r>
    <w:r>
      <w:t>3</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DF7D0">
    <w:pPr>
      <w:pStyle w:val="56"/>
    </w:pPr>
    <w:r>
      <w:fldChar w:fldCharType="begin"/>
    </w:r>
    <w:r>
      <w:instrText xml:space="preserve">PAGE   \* MERGEFORMAT</w:instrText>
    </w:r>
    <w:r>
      <w:fldChar w:fldCharType="separate"/>
    </w:r>
    <w:r>
      <w:rPr>
        <w:lang w:val="zh-CN"/>
      </w:rPr>
      <w:t>5</w:t>
    </w:r>
    <w:r>
      <w:fldChar w:fldCharType="end"/>
    </w:r>
  </w:p>
  <w:p w14:paraId="7368C9B1"/>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4323B">
    <w:pPr>
      <w:pStyle w:val="55"/>
    </w:pPr>
    <w:r>
      <w:fldChar w:fldCharType="begin"/>
    </w:r>
    <w:r>
      <w:instrText xml:space="preserve"> PAGE   \* MERGEFORMAT \* MERGEFORMAT </w:instrText>
    </w:r>
    <w:r>
      <w:fldChar w:fldCharType="separate"/>
    </w:r>
    <w:r>
      <w:t>3</w:t>
    </w:r>
    <w:r>
      <w:fldChar w:fldCharType="end"/>
    </w:r>
  </w:p>
  <w:p w14:paraId="0B17F7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BD44">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CCB93">
    <w:pPr>
      <w:pStyle w:val="56"/>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5755A">
    <w:pPr>
      <w:pStyle w:val="55"/>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1BAB1">
    <w:pPr>
      <w:pStyle w:val="56"/>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D966C">
    <w:pPr>
      <w:pStyle w:val="55"/>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D3462">
    <w:pPr>
      <w:pStyle w:val="56"/>
    </w:pPr>
    <w:r>
      <w:fldChar w:fldCharType="begin"/>
    </w:r>
    <w:r>
      <w:instrText xml:space="preserve">PAGE   \* MERGEFORMAT</w:instrText>
    </w:r>
    <w:r>
      <w:fldChar w:fldCharType="separate"/>
    </w:r>
    <w:r>
      <w:rPr>
        <w:lang w:val="zh-CN"/>
      </w:rP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7420A">
    <w:pPr>
      <w:pStyle w:val="55"/>
    </w:pPr>
    <w:r>
      <w:fldChar w:fldCharType="begin"/>
    </w:r>
    <w:r>
      <w:instrText xml:space="preserve"> PAGE   \* MERGEFORMAT \* MERGEFORMAT </w:instrText>
    </w:r>
    <w:r>
      <w:fldChar w:fldCharType="separate"/>
    </w:r>
    <w:r>
      <w:t>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E690A">
    <w:pPr>
      <w:pStyle w:val="56"/>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B556F">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F83F">
    <w:pPr>
      <w:pStyle w:val="66"/>
    </w:pPr>
    <w:r>
      <w:fldChar w:fldCharType="begin"/>
    </w:r>
    <w:r>
      <w:instrText xml:space="preserve"> STYLEREF  标准文件_文件编号 \* MERGEFORMAT </w:instrText>
    </w:r>
    <w:r>
      <w:fldChar w:fldCharType="separate"/>
    </w:r>
    <w:r>
      <w:t>T/CSES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C86B5">
    <w:pPr>
      <w:pStyle w:val="65"/>
    </w:pPr>
    <w:r>
      <w:fldChar w:fldCharType="begin"/>
    </w:r>
    <w:r>
      <w:instrText xml:space="preserve"> STYLEREF  标准文件_文件编号  \* MERGEFORMAT </w:instrText>
    </w:r>
    <w:r>
      <w:fldChar w:fldCharType="separate"/>
    </w:r>
    <w:r>
      <w:t>T/CSES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62A4">
    <w:pPr>
      <w:pStyle w:val="66"/>
    </w:pPr>
    <w:r>
      <w:fldChar w:fldCharType="begin"/>
    </w:r>
    <w:r>
      <w:instrText xml:space="preserve"> STYLEREF  标准文件_文件编号 \* MERGEFORMAT </w:instrText>
    </w:r>
    <w:r>
      <w:fldChar w:fldCharType="separate"/>
    </w:r>
    <w:r>
      <w:t>T/CSES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BFD7F">
    <w:pPr>
      <w:pStyle w:val="65"/>
    </w:pPr>
    <w:r>
      <w:fldChar w:fldCharType="begin"/>
    </w:r>
    <w:r>
      <w:instrText xml:space="preserve"> STYLEREF  标准文件_文件编号  \* MERGEFORMAT </w:instrText>
    </w:r>
    <w:r>
      <w:fldChar w:fldCharType="separate"/>
    </w:r>
    <w:r>
      <w:t>T/CSES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84BAE">
    <w:pPr>
      <w:pStyle w:val="66"/>
    </w:pPr>
    <w:r>
      <w:fldChar w:fldCharType="begin"/>
    </w:r>
    <w:r>
      <w:instrText xml:space="preserve"> STYLEREF  标准文件_文件编号 \* MERGEFORMAT </w:instrText>
    </w:r>
    <w:r>
      <w:fldChar w:fldCharType="separate"/>
    </w:r>
    <w:r>
      <w:t>T/CSES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1213">
    <w:pPr>
      <w:pStyle w:val="65"/>
    </w:pPr>
    <w:r>
      <w:fldChar w:fldCharType="begin"/>
    </w:r>
    <w:r>
      <w:instrText xml:space="preserve"> STYLEREF  标准文件_文件编号  \* MERGEFORMAT </w:instrText>
    </w:r>
    <w:r>
      <w:fldChar w:fldCharType="separate"/>
    </w:r>
    <w:r>
      <w:t>T/CSES XXXX—XXXX</w:t>
    </w:r>
    <w:r>
      <w:fldChar w:fldCharType="end"/>
    </w:r>
  </w:p>
  <w:p w14:paraId="5ABA5D5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DC66">
    <w:pPr>
      <w:pStyle w:val="66"/>
    </w:pPr>
    <w:r>
      <w:fldChar w:fldCharType="begin"/>
    </w:r>
    <w:r>
      <w:instrText xml:space="preserve"> STYLEREF  标准文件_文件编号 \* MERGEFORMAT </w:instrText>
    </w:r>
    <w:r>
      <w:fldChar w:fldCharType="separate"/>
    </w:r>
    <w:r>
      <w:t>T/CSES XXXX—XXXX</w:t>
    </w:r>
    <w:r>
      <w:fldChar w:fldCharType="end"/>
    </w:r>
  </w:p>
  <w:p w14:paraId="7E690E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CB734">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9E33">
    <w:pPr>
      <w:pStyle w:val="65"/>
    </w:pPr>
    <w:r>
      <w:fldChar w:fldCharType="begin"/>
    </w:r>
    <w:r>
      <w:instrText xml:space="preserve"> STYLEREF  标准文件_文件编号  \* MERGEFORMAT </w:instrText>
    </w:r>
    <w:r>
      <w:fldChar w:fldCharType="separate"/>
    </w:r>
    <w:r>
      <w:t>T/CSES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5FBEA">
    <w:pPr>
      <w:pStyle w:val="66"/>
    </w:pPr>
    <w:r>
      <w:fldChar w:fldCharType="begin"/>
    </w:r>
    <w:r>
      <w:instrText xml:space="preserve"> STYLEREF  标准文件_文件编号 \* MERGEFORMAT </w:instrText>
    </w:r>
    <w:r>
      <w:fldChar w:fldCharType="separate"/>
    </w:r>
    <w:r>
      <w:t>T/CSES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BB145">
    <w:pPr>
      <w:pStyle w:val="65"/>
    </w:pPr>
    <w:r>
      <w:fldChar w:fldCharType="begin"/>
    </w:r>
    <w:r>
      <w:instrText xml:space="preserve"> STYLEREF  标准文件_文件编号  \* MERGEFORMAT </w:instrText>
    </w:r>
    <w:r>
      <w:fldChar w:fldCharType="separate"/>
    </w:r>
    <w:r>
      <w:t>T/CSES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17959">
    <w:pPr>
      <w:pStyle w:val="66"/>
    </w:pPr>
    <w:r>
      <w:fldChar w:fldCharType="begin"/>
    </w:r>
    <w:r>
      <w:instrText xml:space="preserve"> STYLEREF  标准文件_文件编号 \* MERGEFORMAT </w:instrText>
    </w:r>
    <w:r>
      <w:fldChar w:fldCharType="separate"/>
    </w:r>
    <w:r>
      <w:t>T/CSES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F373">
    <w:pPr>
      <w:pStyle w:val="65"/>
    </w:pPr>
    <w:r>
      <w:fldChar w:fldCharType="begin"/>
    </w:r>
    <w:r>
      <w:instrText xml:space="preserve"> STYLEREF  标准文件_文件编号  \* MERGEFORMAT </w:instrText>
    </w:r>
    <w:r>
      <w:fldChar w:fldCharType="separate"/>
    </w:r>
    <w:r>
      <w:t>T/CSES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CCC7">
    <w:pPr>
      <w:pStyle w:val="66"/>
    </w:pPr>
    <w:r>
      <w:fldChar w:fldCharType="begin"/>
    </w:r>
    <w:r>
      <w:instrText xml:space="preserve"> STYLEREF  标准文件_文件编号 \* MERGEFORMAT </w:instrText>
    </w:r>
    <w:r>
      <w:fldChar w:fldCharType="separate"/>
    </w:r>
    <w:r>
      <w:t>T/CSES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B6F5">
    <w:pPr>
      <w:pStyle w:val="65"/>
    </w:pPr>
    <w:r>
      <w:fldChar w:fldCharType="begin"/>
    </w:r>
    <w:r>
      <w:instrText xml:space="preserve"> STYLEREF  标准文件_文件编号  \* MERGEFORMAT </w:instrText>
    </w:r>
    <w:r>
      <w:fldChar w:fldCharType="separate"/>
    </w:r>
    <w:r>
      <w:t>T/CSES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6F3182C"/>
    <w:multiLevelType w:val="singleLevel"/>
    <w:tmpl w:val="56F3182C"/>
    <w:lvl w:ilvl="0" w:tentative="0">
      <w:start w:val="1"/>
      <w:numFmt w:val="lowerLetter"/>
      <w:suff w:val="nothing"/>
      <w:lvlText w:val="%1）"/>
      <w:lvlJc w:val="left"/>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6238" w:firstLine="0"/>
      </w:pPr>
      <w:rPr>
        <w:rFonts w:hint="eastAsia"/>
        <w:spacing w:val="100"/>
      </w:rPr>
    </w:lvl>
    <w:lvl w:ilvl="1" w:tentative="0">
      <w:start w:val="1"/>
      <w:numFmt w:val="decimal"/>
      <w:pStyle w:val="82"/>
      <w:suff w:val="nothing"/>
      <w:lvlText w:val="%1.%2　"/>
      <w:lvlJc w:val="left"/>
      <w:pPr>
        <w:ind w:left="425"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1276"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1NzBkNWI3NDEwM2NiMDNjM2RiZWUxMjNlYzZhN2YifQ=="/>
  </w:docVars>
  <w:rsids>
    <w:rsidRoot w:val="007C0375"/>
    <w:rsid w:val="0000013F"/>
    <w:rsid w:val="0000040A"/>
    <w:rsid w:val="00000A94"/>
    <w:rsid w:val="000012B8"/>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2C3"/>
    <w:rsid w:val="00033FF7"/>
    <w:rsid w:val="000346A5"/>
    <w:rsid w:val="00035001"/>
    <w:rsid w:val="000359C3"/>
    <w:rsid w:val="00035A7D"/>
    <w:rsid w:val="000365ED"/>
    <w:rsid w:val="0004249A"/>
    <w:rsid w:val="00042ACA"/>
    <w:rsid w:val="00043282"/>
    <w:rsid w:val="00044286"/>
    <w:rsid w:val="00044420"/>
    <w:rsid w:val="00044E24"/>
    <w:rsid w:val="00047F28"/>
    <w:rsid w:val="000503AA"/>
    <w:rsid w:val="000506A1"/>
    <w:rsid w:val="000515DD"/>
    <w:rsid w:val="0005265A"/>
    <w:rsid w:val="000539DD"/>
    <w:rsid w:val="00053BD3"/>
    <w:rsid w:val="000544B2"/>
    <w:rsid w:val="0005502E"/>
    <w:rsid w:val="000556ED"/>
    <w:rsid w:val="00055FE2"/>
    <w:rsid w:val="0005616F"/>
    <w:rsid w:val="00060C2E"/>
    <w:rsid w:val="00061033"/>
    <w:rsid w:val="000619E9"/>
    <w:rsid w:val="000622D4"/>
    <w:rsid w:val="0006357D"/>
    <w:rsid w:val="00067820"/>
    <w:rsid w:val="00067F1E"/>
    <w:rsid w:val="00071CC0"/>
    <w:rsid w:val="00071CFC"/>
    <w:rsid w:val="00073458"/>
    <w:rsid w:val="00073481"/>
    <w:rsid w:val="00073C8C"/>
    <w:rsid w:val="00077B64"/>
    <w:rsid w:val="00080A1C"/>
    <w:rsid w:val="00082317"/>
    <w:rsid w:val="00083D2C"/>
    <w:rsid w:val="0008401F"/>
    <w:rsid w:val="000869E4"/>
    <w:rsid w:val="00086AA1"/>
    <w:rsid w:val="00086C07"/>
    <w:rsid w:val="00087A77"/>
    <w:rsid w:val="00090CA6"/>
    <w:rsid w:val="00092B8A"/>
    <w:rsid w:val="00092FB0"/>
    <w:rsid w:val="000934C5"/>
    <w:rsid w:val="00093D25"/>
    <w:rsid w:val="00093DAB"/>
    <w:rsid w:val="00094D73"/>
    <w:rsid w:val="00096D63"/>
    <w:rsid w:val="000A0B60"/>
    <w:rsid w:val="000A0EB8"/>
    <w:rsid w:val="000A19FC"/>
    <w:rsid w:val="000A1E14"/>
    <w:rsid w:val="000A296B"/>
    <w:rsid w:val="000A3010"/>
    <w:rsid w:val="000A59A8"/>
    <w:rsid w:val="000A7311"/>
    <w:rsid w:val="000B060F"/>
    <w:rsid w:val="000B1592"/>
    <w:rsid w:val="000B1FF2"/>
    <w:rsid w:val="000B3CDA"/>
    <w:rsid w:val="000B4952"/>
    <w:rsid w:val="000B6A0B"/>
    <w:rsid w:val="000C0F6C"/>
    <w:rsid w:val="000C11DB"/>
    <w:rsid w:val="000C1492"/>
    <w:rsid w:val="000C2C65"/>
    <w:rsid w:val="000C2FBD"/>
    <w:rsid w:val="000C4B41"/>
    <w:rsid w:val="000C57D6"/>
    <w:rsid w:val="000C6362"/>
    <w:rsid w:val="000C7184"/>
    <w:rsid w:val="000C7666"/>
    <w:rsid w:val="000D0A9C"/>
    <w:rsid w:val="000D1795"/>
    <w:rsid w:val="000D329A"/>
    <w:rsid w:val="000D35D6"/>
    <w:rsid w:val="000D4B9C"/>
    <w:rsid w:val="000D4EB6"/>
    <w:rsid w:val="000D753B"/>
    <w:rsid w:val="000D7A96"/>
    <w:rsid w:val="000E3697"/>
    <w:rsid w:val="000E4C9E"/>
    <w:rsid w:val="000E6FD7"/>
    <w:rsid w:val="000E711B"/>
    <w:rsid w:val="000F06E1"/>
    <w:rsid w:val="000F0E3C"/>
    <w:rsid w:val="000F19D5"/>
    <w:rsid w:val="000F29DF"/>
    <w:rsid w:val="000F3EE0"/>
    <w:rsid w:val="000F4050"/>
    <w:rsid w:val="000F4AEA"/>
    <w:rsid w:val="000F6313"/>
    <w:rsid w:val="000F67E9"/>
    <w:rsid w:val="000F7CF6"/>
    <w:rsid w:val="00101A41"/>
    <w:rsid w:val="00104926"/>
    <w:rsid w:val="00113B1E"/>
    <w:rsid w:val="0011711C"/>
    <w:rsid w:val="00124E4F"/>
    <w:rsid w:val="001260B7"/>
    <w:rsid w:val="001265CB"/>
    <w:rsid w:val="001321C6"/>
    <w:rsid w:val="001325C4"/>
    <w:rsid w:val="001326C4"/>
    <w:rsid w:val="00132C10"/>
    <w:rsid w:val="00133010"/>
    <w:rsid w:val="001338EE"/>
    <w:rsid w:val="00133AAE"/>
    <w:rsid w:val="00135323"/>
    <w:rsid w:val="001356C4"/>
    <w:rsid w:val="001361FF"/>
    <w:rsid w:val="00137565"/>
    <w:rsid w:val="00141114"/>
    <w:rsid w:val="00141C1C"/>
    <w:rsid w:val="00142969"/>
    <w:rsid w:val="001446C2"/>
    <w:rsid w:val="001457E7"/>
    <w:rsid w:val="00145D9D"/>
    <w:rsid w:val="00146388"/>
    <w:rsid w:val="001528E3"/>
    <w:rsid w:val="001529E5"/>
    <w:rsid w:val="00152FB3"/>
    <w:rsid w:val="00153C7E"/>
    <w:rsid w:val="00153EF4"/>
    <w:rsid w:val="001560E0"/>
    <w:rsid w:val="00156B25"/>
    <w:rsid w:val="00156E1A"/>
    <w:rsid w:val="00157894"/>
    <w:rsid w:val="00157B55"/>
    <w:rsid w:val="001613E6"/>
    <w:rsid w:val="001642FA"/>
    <w:rsid w:val="001649EB"/>
    <w:rsid w:val="00164BAF"/>
    <w:rsid w:val="00164FA8"/>
    <w:rsid w:val="00165065"/>
    <w:rsid w:val="00165434"/>
    <w:rsid w:val="0016580B"/>
    <w:rsid w:val="00165F49"/>
    <w:rsid w:val="00166B88"/>
    <w:rsid w:val="0016770A"/>
    <w:rsid w:val="00167DB7"/>
    <w:rsid w:val="00170804"/>
    <w:rsid w:val="001708E9"/>
    <w:rsid w:val="0017340B"/>
    <w:rsid w:val="00173FB1"/>
    <w:rsid w:val="00176DFD"/>
    <w:rsid w:val="001852C9"/>
    <w:rsid w:val="00187A0B"/>
    <w:rsid w:val="00190087"/>
    <w:rsid w:val="001902BE"/>
    <w:rsid w:val="001913C4"/>
    <w:rsid w:val="001919A0"/>
    <w:rsid w:val="0019214D"/>
    <w:rsid w:val="0019348F"/>
    <w:rsid w:val="00193A07"/>
    <w:rsid w:val="00194C95"/>
    <w:rsid w:val="00195C34"/>
    <w:rsid w:val="0019616B"/>
    <w:rsid w:val="00196EF5"/>
    <w:rsid w:val="00197BAD"/>
    <w:rsid w:val="001A010D"/>
    <w:rsid w:val="001A1A53"/>
    <w:rsid w:val="001A234A"/>
    <w:rsid w:val="001A4CF3"/>
    <w:rsid w:val="001A6696"/>
    <w:rsid w:val="001B06E8"/>
    <w:rsid w:val="001B71D0"/>
    <w:rsid w:val="001B71EE"/>
    <w:rsid w:val="001C04A8"/>
    <w:rsid w:val="001C2C03"/>
    <w:rsid w:val="001C3B02"/>
    <w:rsid w:val="001C42F7"/>
    <w:rsid w:val="001C49E5"/>
    <w:rsid w:val="001C680C"/>
    <w:rsid w:val="001C7FEA"/>
    <w:rsid w:val="001D0499"/>
    <w:rsid w:val="001D0BBE"/>
    <w:rsid w:val="001D0ED4"/>
    <w:rsid w:val="001D212F"/>
    <w:rsid w:val="001D28F2"/>
    <w:rsid w:val="001D29D7"/>
    <w:rsid w:val="001D2DB1"/>
    <w:rsid w:val="001D2DE7"/>
    <w:rsid w:val="001D411C"/>
    <w:rsid w:val="001D5F11"/>
    <w:rsid w:val="001E1B6A"/>
    <w:rsid w:val="001E2484"/>
    <w:rsid w:val="001E2E1D"/>
    <w:rsid w:val="001E3CC4"/>
    <w:rsid w:val="001E4882"/>
    <w:rsid w:val="001E52B3"/>
    <w:rsid w:val="001E62EE"/>
    <w:rsid w:val="001E73AB"/>
    <w:rsid w:val="001F092D"/>
    <w:rsid w:val="001F143A"/>
    <w:rsid w:val="001F1605"/>
    <w:rsid w:val="001F2508"/>
    <w:rsid w:val="001F4816"/>
    <w:rsid w:val="001F69B4"/>
    <w:rsid w:val="001F77C7"/>
    <w:rsid w:val="00200183"/>
    <w:rsid w:val="00200333"/>
    <w:rsid w:val="0020107D"/>
    <w:rsid w:val="00202130"/>
    <w:rsid w:val="00202AA4"/>
    <w:rsid w:val="002031F7"/>
    <w:rsid w:val="002039DA"/>
    <w:rsid w:val="002040E6"/>
    <w:rsid w:val="0020527B"/>
    <w:rsid w:val="00205F2C"/>
    <w:rsid w:val="002105EB"/>
    <w:rsid w:val="00210B15"/>
    <w:rsid w:val="002142EA"/>
    <w:rsid w:val="00215ADD"/>
    <w:rsid w:val="002204BB"/>
    <w:rsid w:val="00221B79"/>
    <w:rsid w:val="00221C6B"/>
    <w:rsid w:val="002253A1"/>
    <w:rsid w:val="00225CF8"/>
    <w:rsid w:val="0022794E"/>
    <w:rsid w:val="0023038A"/>
    <w:rsid w:val="00233D64"/>
    <w:rsid w:val="0023482A"/>
    <w:rsid w:val="002359CB"/>
    <w:rsid w:val="00241EFF"/>
    <w:rsid w:val="00243540"/>
    <w:rsid w:val="0024497B"/>
    <w:rsid w:val="0024515B"/>
    <w:rsid w:val="00246021"/>
    <w:rsid w:val="0024666E"/>
    <w:rsid w:val="00247F52"/>
    <w:rsid w:val="00250B25"/>
    <w:rsid w:val="00250BBE"/>
    <w:rsid w:val="002515C2"/>
    <w:rsid w:val="0025194F"/>
    <w:rsid w:val="00253441"/>
    <w:rsid w:val="00254B71"/>
    <w:rsid w:val="0026148A"/>
    <w:rsid w:val="00262696"/>
    <w:rsid w:val="00263D25"/>
    <w:rsid w:val="002643C3"/>
    <w:rsid w:val="00264A0C"/>
    <w:rsid w:val="00266EEB"/>
    <w:rsid w:val="00267EF4"/>
    <w:rsid w:val="00270CB8"/>
    <w:rsid w:val="0027165D"/>
    <w:rsid w:val="00272B08"/>
    <w:rsid w:val="002760F5"/>
    <w:rsid w:val="00281BB8"/>
    <w:rsid w:val="00281E9E"/>
    <w:rsid w:val="00282405"/>
    <w:rsid w:val="00284DEE"/>
    <w:rsid w:val="00285170"/>
    <w:rsid w:val="00285361"/>
    <w:rsid w:val="002879F8"/>
    <w:rsid w:val="00290D31"/>
    <w:rsid w:val="00292D60"/>
    <w:rsid w:val="002933BA"/>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3"/>
    <w:rsid w:val="002A7F44"/>
    <w:rsid w:val="002B0C40"/>
    <w:rsid w:val="002B1966"/>
    <w:rsid w:val="002B4508"/>
    <w:rsid w:val="002B5779"/>
    <w:rsid w:val="002B7332"/>
    <w:rsid w:val="002B7F51"/>
    <w:rsid w:val="002C09E7"/>
    <w:rsid w:val="002C1E06"/>
    <w:rsid w:val="002C2C35"/>
    <w:rsid w:val="002C3F07"/>
    <w:rsid w:val="002C5278"/>
    <w:rsid w:val="002C7EBB"/>
    <w:rsid w:val="002D06C1"/>
    <w:rsid w:val="002D113F"/>
    <w:rsid w:val="002D42B5"/>
    <w:rsid w:val="002D4F1A"/>
    <w:rsid w:val="002D6EC6"/>
    <w:rsid w:val="002D79AC"/>
    <w:rsid w:val="002E039D"/>
    <w:rsid w:val="002E4D5A"/>
    <w:rsid w:val="002E6326"/>
    <w:rsid w:val="002F30E0"/>
    <w:rsid w:val="002F35E4"/>
    <w:rsid w:val="002F3730"/>
    <w:rsid w:val="002F38E1"/>
    <w:rsid w:val="002F5A92"/>
    <w:rsid w:val="002F622D"/>
    <w:rsid w:val="002F7AF6"/>
    <w:rsid w:val="00300E63"/>
    <w:rsid w:val="00302D83"/>
    <w:rsid w:val="00302F5F"/>
    <w:rsid w:val="0030441D"/>
    <w:rsid w:val="003053D9"/>
    <w:rsid w:val="00306063"/>
    <w:rsid w:val="00313B85"/>
    <w:rsid w:val="00314CE6"/>
    <w:rsid w:val="003162D5"/>
    <w:rsid w:val="00317988"/>
    <w:rsid w:val="00320789"/>
    <w:rsid w:val="003217E1"/>
    <w:rsid w:val="003221B4"/>
    <w:rsid w:val="0032258D"/>
    <w:rsid w:val="00322CD7"/>
    <w:rsid w:val="00322E62"/>
    <w:rsid w:val="00324D13"/>
    <w:rsid w:val="00324EDD"/>
    <w:rsid w:val="00333049"/>
    <w:rsid w:val="003331E4"/>
    <w:rsid w:val="0033631A"/>
    <w:rsid w:val="00336C64"/>
    <w:rsid w:val="00336D0F"/>
    <w:rsid w:val="00337162"/>
    <w:rsid w:val="00337C31"/>
    <w:rsid w:val="0034194F"/>
    <w:rsid w:val="00344605"/>
    <w:rsid w:val="0034634C"/>
    <w:rsid w:val="003474AA"/>
    <w:rsid w:val="00350D1D"/>
    <w:rsid w:val="003519E9"/>
    <w:rsid w:val="00352C83"/>
    <w:rsid w:val="00352F1A"/>
    <w:rsid w:val="00353AAD"/>
    <w:rsid w:val="003544F8"/>
    <w:rsid w:val="0036107C"/>
    <w:rsid w:val="003615D2"/>
    <w:rsid w:val="00361AD5"/>
    <w:rsid w:val="0036429C"/>
    <w:rsid w:val="00364A53"/>
    <w:rsid w:val="003654CB"/>
    <w:rsid w:val="00365AA9"/>
    <w:rsid w:val="00365F86"/>
    <w:rsid w:val="00365F87"/>
    <w:rsid w:val="00366E89"/>
    <w:rsid w:val="003705F4"/>
    <w:rsid w:val="00370D58"/>
    <w:rsid w:val="00371316"/>
    <w:rsid w:val="00373FCE"/>
    <w:rsid w:val="003740DB"/>
    <w:rsid w:val="00374834"/>
    <w:rsid w:val="00375CE0"/>
    <w:rsid w:val="00376713"/>
    <w:rsid w:val="003767FF"/>
    <w:rsid w:val="00377DDE"/>
    <w:rsid w:val="00381815"/>
    <w:rsid w:val="003819AF"/>
    <w:rsid w:val="003820E9"/>
    <w:rsid w:val="00382DE7"/>
    <w:rsid w:val="00384FFC"/>
    <w:rsid w:val="00385301"/>
    <w:rsid w:val="003872FC"/>
    <w:rsid w:val="00387ADC"/>
    <w:rsid w:val="00390020"/>
    <w:rsid w:val="003903D6"/>
    <w:rsid w:val="00390EE6"/>
    <w:rsid w:val="0039118F"/>
    <w:rsid w:val="003925BB"/>
    <w:rsid w:val="00392AD7"/>
    <w:rsid w:val="00392C92"/>
    <w:rsid w:val="003938D9"/>
    <w:rsid w:val="00394376"/>
    <w:rsid w:val="003943FF"/>
    <w:rsid w:val="003954D6"/>
    <w:rsid w:val="00396F1E"/>
    <w:rsid w:val="003974EB"/>
    <w:rsid w:val="00397CC5"/>
    <w:rsid w:val="003A1582"/>
    <w:rsid w:val="003A3D9C"/>
    <w:rsid w:val="003A4077"/>
    <w:rsid w:val="003A4227"/>
    <w:rsid w:val="003A4AA7"/>
    <w:rsid w:val="003B09AD"/>
    <w:rsid w:val="003B1F18"/>
    <w:rsid w:val="003B5BF0"/>
    <w:rsid w:val="003B60BF"/>
    <w:rsid w:val="003B6B93"/>
    <w:rsid w:val="003B6BE3"/>
    <w:rsid w:val="003C010C"/>
    <w:rsid w:val="003C0450"/>
    <w:rsid w:val="003C0A6C"/>
    <w:rsid w:val="003C14F8"/>
    <w:rsid w:val="003C2358"/>
    <w:rsid w:val="003C5A43"/>
    <w:rsid w:val="003D0519"/>
    <w:rsid w:val="003D0FF6"/>
    <w:rsid w:val="003D262C"/>
    <w:rsid w:val="003D5FA2"/>
    <w:rsid w:val="003D6D61"/>
    <w:rsid w:val="003E091D"/>
    <w:rsid w:val="003E1C53"/>
    <w:rsid w:val="003E2A69"/>
    <w:rsid w:val="003E2D49"/>
    <w:rsid w:val="003E2FD4"/>
    <w:rsid w:val="003E4219"/>
    <w:rsid w:val="003E49F6"/>
    <w:rsid w:val="003E660F"/>
    <w:rsid w:val="003F0841"/>
    <w:rsid w:val="003F10BF"/>
    <w:rsid w:val="003F23D3"/>
    <w:rsid w:val="003F3F08"/>
    <w:rsid w:val="003F49F1"/>
    <w:rsid w:val="003F567C"/>
    <w:rsid w:val="003F5690"/>
    <w:rsid w:val="003F6272"/>
    <w:rsid w:val="003F6FDE"/>
    <w:rsid w:val="00400E72"/>
    <w:rsid w:val="00401400"/>
    <w:rsid w:val="00402D4A"/>
    <w:rsid w:val="004042B6"/>
    <w:rsid w:val="00404869"/>
    <w:rsid w:val="00405884"/>
    <w:rsid w:val="00406409"/>
    <w:rsid w:val="004078DE"/>
    <w:rsid w:val="00407D39"/>
    <w:rsid w:val="0041477A"/>
    <w:rsid w:val="004167A3"/>
    <w:rsid w:val="00417862"/>
    <w:rsid w:val="00417FE3"/>
    <w:rsid w:val="00417FFC"/>
    <w:rsid w:val="004266EF"/>
    <w:rsid w:val="00430F35"/>
    <w:rsid w:val="00431DD3"/>
    <w:rsid w:val="00432DAA"/>
    <w:rsid w:val="00434305"/>
    <w:rsid w:val="00435BBB"/>
    <w:rsid w:val="00435DF7"/>
    <w:rsid w:val="0043602D"/>
    <w:rsid w:val="0044083F"/>
    <w:rsid w:val="00441AE7"/>
    <w:rsid w:val="00445574"/>
    <w:rsid w:val="004467FB"/>
    <w:rsid w:val="00446C7A"/>
    <w:rsid w:val="00452D6B"/>
    <w:rsid w:val="00454484"/>
    <w:rsid w:val="0045517B"/>
    <w:rsid w:val="00460190"/>
    <w:rsid w:val="00461E69"/>
    <w:rsid w:val="00463B77"/>
    <w:rsid w:val="00463C7B"/>
    <w:rsid w:val="004644A6"/>
    <w:rsid w:val="004659BD"/>
    <w:rsid w:val="00466CF1"/>
    <w:rsid w:val="00470775"/>
    <w:rsid w:val="00471C0E"/>
    <w:rsid w:val="00473BC2"/>
    <w:rsid w:val="004746B1"/>
    <w:rsid w:val="0047583F"/>
    <w:rsid w:val="00475DE8"/>
    <w:rsid w:val="00481C44"/>
    <w:rsid w:val="00484936"/>
    <w:rsid w:val="00485C89"/>
    <w:rsid w:val="00486BE3"/>
    <w:rsid w:val="004905E4"/>
    <w:rsid w:val="00490A89"/>
    <w:rsid w:val="00490AB4"/>
    <w:rsid w:val="00492F02"/>
    <w:rsid w:val="004939AE"/>
    <w:rsid w:val="0049562E"/>
    <w:rsid w:val="00495C07"/>
    <w:rsid w:val="004A0E36"/>
    <w:rsid w:val="004A1126"/>
    <w:rsid w:val="004A12DF"/>
    <w:rsid w:val="004A1BA8"/>
    <w:rsid w:val="004A2711"/>
    <w:rsid w:val="004A4B57"/>
    <w:rsid w:val="004A63FA"/>
    <w:rsid w:val="004A67FD"/>
    <w:rsid w:val="004A6A3C"/>
    <w:rsid w:val="004A6A3D"/>
    <w:rsid w:val="004B0272"/>
    <w:rsid w:val="004B2109"/>
    <w:rsid w:val="004B24D8"/>
    <w:rsid w:val="004B2701"/>
    <w:rsid w:val="004B2E1B"/>
    <w:rsid w:val="004B3AA8"/>
    <w:rsid w:val="004B3E93"/>
    <w:rsid w:val="004B4850"/>
    <w:rsid w:val="004C0274"/>
    <w:rsid w:val="004C1FBC"/>
    <w:rsid w:val="004C25A2"/>
    <w:rsid w:val="004C3C8D"/>
    <w:rsid w:val="004C3F1D"/>
    <w:rsid w:val="004C458D"/>
    <w:rsid w:val="004C7556"/>
    <w:rsid w:val="004C7E8B"/>
    <w:rsid w:val="004C7E9D"/>
    <w:rsid w:val="004C7F67"/>
    <w:rsid w:val="004D076D"/>
    <w:rsid w:val="004D0EF1"/>
    <w:rsid w:val="004D2253"/>
    <w:rsid w:val="004D2391"/>
    <w:rsid w:val="004D4406"/>
    <w:rsid w:val="004D55B1"/>
    <w:rsid w:val="004D7C42"/>
    <w:rsid w:val="004D7E01"/>
    <w:rsid w:val="004E0465"/>
    <w:rsid w:val="004E0EAD"/>
    <w:rsid w:val="004E127B"/>
    <w:rsid w:val="004E1C0A"/>
    <w:rsid w:val="004E256E"/>
    <w:rsid w:val="004E30C5"/>
    <w:rsid w:val="004E368F"/>
    <w:rsid w:val="004E4AA5"/>
    <w:rsid w:val="004E4AEE"/>
    <w:rsid w:val="004E59E3"/>
    <w:rsid w:val="004E67C0"/>
    <w:rsid w:val="004F08CC"/>
    <w:rsid w:val="004F391A"/>
    <w:rsid w:val="004F3CFB"/>
    <w:rsid w:val="004F6456"/>
    <w:rsid w:val="004F696E"/>
    <w:rsid w:val="004F6C71"/>
    <w:rsid w:val="00501139"/>
    <w:rsid w:val="0050363E"/>
    <w:rsid w:val="005039BC"/>
    <w:rsid w:val="005043BB"/>
    <w:rsid w:val="00504A3D"/>
    <w:rsid w:val="00505767"/>
    <w:rsid w:val="005073F0"/>
    <w:rsid w:val="00510A7B"/>
    <w:rsid w:val="00511DF8"/>
    <w:rsid w:val="005129AA"/>
    <w:rsid w:val="00512F6E"/>
    <w:rsid w:val="00513038"/>
    <w:rsid w:val="00514174"/>
    <w:rsid w:val="00515545"/>
    <w:rsid w:val="00516088"/>
    <w:rsid w:val="00516B0B"/>
    <w:rsid w:val="00517251"/>
    <w:rsid w:val="00521C01"/>
    <w:rsid w:val="005220EC"/>
    <w:rsid w:val="00523F95"/>
    <w:rsid w:val="00524D65"/>
    <w:rsid w:val="00525B16"/>
    <w:rsid w:val="00533D04"/>
    <w:rsid w:val="00534804"/>
    <w:rsid w:val="00534BDF"/>
    <w:rsid w:val="005353A9"/>
    <w:rsid w:val="005354EA"/>
    <w:rsid w:val="0053585F"/>
    <w:rsid w:val="00535EC4"/>
    <w:rsid w:val="00535ED9"/>
    <w:rsid w:val="0053692B"/>
    <w:rsid w:val="00536A39"/>
    <w:rsid w:val="00540318"/>
    <w:rsid w:val="00541853"/>
    <w:rsid w:val="00543BDA"/>
    <w:rsid w:val="00543E1E"/>
    <w:rsid w:val="005441CC"/>
    <w:rsid w:val="005479DA"/>
    <w:rsid w:val="00547BCC"/>
    <w:rsid w:val="0055013B"/>
    <w:rsid w:val="0055128E"/>
    <w:rsid w:val="00551F6F"/>
    <w:rsid w:val="005531D3"/>
    <w:rsid w:val="00555044"/>
    <w:rsid w:val="00561475"/>
    <w:rsid w:val="00562308"/>
    <w:rsid w:val="0056268C"/>
    <w:rsid w:val="0056487B"/>
    <w:rsid w:val="00564FB9"/>
    <w:rsid w:val="00573386"/>
    <w:rsid w:val="00573B81"/>
    <w:rsid w:val="00573D9E"/>
    <w:rsid w:val="0057524C"/>
    <w:rsid w:val="005801E3"/>
    <w:rsid w:val="00581802"/>
    <w:rsid w:val="005836A8"/>
    <w:rsid w:val="005838F8"/>
    <w:rsid w:val="00583FF9"/>
    <w:rsid w:val="0058409C"/>
    <w:rsid w:val="00584262"/>
    <w:rsid w:val="00586630"/>
    <w:rsid w:val="00587ADD"/>
    <w:rsid w:val="00593A49"/>
    <w:rsid w:val="00596160"/>
    <w:rsid w:val="005966E2"/>
    <w:rsid w:val="00597007"/>
    <w:rsid w:val="005A0966"/>
    <w:rsid w:val="005A11B7"/>
    <w:rsid w:val="005A260B"/>
    <w:rsid w:val="005A4580"/>
    <w:rsid w:val="005A4A1B"/>
    <w:rsid w:val="005A7830"/>
    <w:rsid w:val="005A7AA8"/>
    <w:rsid w:val="005A7FCE"/>
    <w:rsid w:val="005B0F3F"/>
    <w:rsid w:val="005B191C"/>
    <w:rsid w:val="005B4903"/>
    <w:rsid w:val="005B51CE"/>
    <w:rsid w:val="005B5885"/>
    <w:rsid w:val="005B5CD7"/>
    <w:rsid w:val="005B6CF6"/>
    <w:rsid w:val="005B7422"/>
    <w:rsid w:val="005B7AF5"/>
    <w:rsid w:val="005C29B8"/>
    <w:rsid w:val="005C5F21"/>
    <w:rsid w:val="005C7156"/>
    <w:rsid w:val="005D07D0"/>
    <w:rsid w:val="005D0C75"/>
    <w:rsid w:val="005D4171"/>
    <w:rsid w:val="005D52CB"/>
    <w:rsid w:val="005D6A95"/>
    <w:rsid w:val="005D6B2C"/>
    <w:rsid w:val="005D6D9C"/>
    <w:rsid w:val="005E09B4"/>
    <w:rsid w:val="005E2335"/>
    <w:rsid w:val="005E34CA"/>
    <w:rsid w:val="005E3C18"/>
    <w:rsid w:val="005E4250"/>
    <w:rsid w:val="005E6812"/>
    <w:rsid w:val="005E7881"/>
    <w:rsid w:val="005E78E0"/>
    <w:rsid w:val="005F0D9C"/>
    <w:rsid w:val="005F284E"/>
    <w:rsid w:val="005F64CB"/>
    <w:rsid w:val="005F6615"/>
    <w:rsid w:val="005F6D61"/>
    <w:rsid w:val="005F7489"/>
    <w:rsid w:val="006015CE"/>
    <w:rsid w:val="00603061"/>
    <w:rsid w:val="00604784"/>
    <w:rsid w:val="00606419"/>
    <w:rsid w:val="00607D29"/>
    <w:rsid w:val="00612952"/>
    <w:rsid w:val="006138FE"/>
    <w:rsid w:val="00614CC1"/>
    <w:rsid w:val="00615A9D"/>
    <w:rsid w:val="006166A4"/>
    <w:rsid w:val="00617387"/>
    <w:rsid w:val="006205D6"/>
    <w:rsid w:val="006252D8"/>
    <w:rsid w:val="006259BC"/>
    <w:rsid w:val="0062636B"/>
    <w:rsid w:val="00632182"/>
    <w:rsid w:val="00632AE0"/>
    <w:rsid w:val="00633A4C"/>
    <w:rsid w:val="00633C17"/>
    <w:rsid w:val="00634D9E"/>
    <w:rsid w:val="00635D0C"/>
    <w:rsid w:val="00636E3E"/>
    <w:rsid w:val="006379F7"/>
    <w:rsid w:val="00637E4D"/>
    <w:rsid w:val="00640620"/>
    <w:rsid w:val="00641A1F"/>
    <w:rsid w:val="0064292C"/>
    <w:rsid w:val="00642B45"/>
    <w:rsid w:val="00644FBF"/>
    <w:rsid w:val="00645904"/>
    <w:rsid w:val="00651ACB"/>
    <w:rsid w:val="00651C47"/>
    <w:rsid w:val="00652AB2"/>
    <w:rsid w:val="00653FED"/>
    <w:rsid w:val="00654EC0"/>
    <w:rsid w:val="0065525B"/>
    <w:rsid w:val="00655B19"/>
    <w:rsid w:val="00655D4F"/>
    <w:rsid w:val="00656D29"/>
    <w:rsid w:val="00660DD9"/>
    <w:rsid w:val="006640E5"/>
    <w:rsid w:val="006646F1"/>
    <w:rsid w:val="00664929"/>
    <w:rsid w:val="00664F62"/>
    <w:rsid w:val="006655E1"/>
    <w:rsid w:val="00665CBA"/>
    <w:rsid w:val="00666B84"/>
    <w:rsid w:val="00672060"/>
    <w:rsid w:val="00672BFD"/>
    <w:rsid w:val="006770F4"/>
    <w:rsid w:val="00677A84"/>
    <w:rsid w:val="0068026D"/>
    <w:rsid w:val="00680A27"/>
    <w:rsid w:val="006816A4"/>
    <w:rsid w:val="006819B8"/>
    <w:rsid w:val="006840A6"/>
    <w:rsid w:val="006850CD"/>
    <w:rsid w:val="00685AAB"/>
    <w:rsid w:val="00686990"/>
    <w:rsid w:val="00695DBC"/>
    <w:rsid w:val="00696CFE"/>
    <w:rsid w:val="006A07AA"/>
    <w:rsid w:val="006A135B"/>
    <w:rsid w:val="006A25E5"/>
    <w:rsid w:val="006A2B46"/>
    <w:rsid w:val="006A336D"/>
    <w:rsid w:val="006A37B9"/>
    <w:rsid w:val="006A5C41"/>
    <w:rsid w:val="006A777E"/>
    <w:rsid w:val="006B2672"/>
    <w:rsid w:val="006B2AB2"/>
    <w:rsid w:val="006B54BF"/>
    <w:rsid w:val="006B5F44"/>
    <w:rsid w:val="006B5F90"/>
    <w:rsid w:val="006B62E4"/>
    <w:rsid w:val="006C1BBA"/>
    <w:rsid w:val="006C2079"/>
    <w:rsid w:val="006C4904"/>
    <w:rsid w:val="006C5A62"/>
    <w:rsid w:val="006C5D68"/>
    <w:rsid w:val="006C6976"/>
    <w:rsid w:val="006C6DD0"/>
    <w:rsid w:val="006D04EA"/>
    <w:rsid w:val="006D16C4"/>
    <w:rsid w:val="006D30CF"/>
    <w:rsid w:val="006D3E96"/>
    <w:rsid w:val="006D4515"/>
    <w:rsid w:val="006D4BB1"/>
    <w:rsid w:val="006D6593"/>
    <w:rsid w:val="006F03A8"/>
    <w:rsid w:val="006F2ACA"/>
    <w:rsid w:val="006F2ADC"/>
    <w:rsid w:val="006F2BFE"/>
    <w:rsid w:val="006F2CCC"/>
    <w:rsid w:val="006F31E9"/>
    <w:rsid w:val="006F6284"/>
    <w:rsid w:val="006F7848"/>
    <w:rsid w:val="007002C5"/>
    <w:rsid w:val="00702FA5"/>
    <w:rsid w:val="00704387"/>
    <w:rsid w:val="00707644"/>
    <w:rsid w:val="00707669"/>
    <w:rsid w:val="00710407"/>
    <w:rsid w:val="00711CBA"/>
    <w:rsid w:val="00711FB5"/>
    <w:rsid w:val="00712A01"/>
    <w:rsid w:val="00714F58"/>
    <w:rsid w:val="00720ADD"/>
    <w:rsid w:val="00722FBF"/>
    <w:rsid w:val="00722FC2"/>
    <w:rsid w:val="00724E1B"/>
    <w:rsid w:val="00725949"/>
    <w:rsid w:val="00727722"/>
    <w:rsid w:val="00727FA2"/>
    <w:rsid w:val="007322D9"/>
    <w:rsid w:val="007325B0"/>
    <w:rsid w:val="00732BC0"/>
    <w:rsid w:val="00734245"/>
    <w:rsid w:val="0073720F"/>
    <w:rsid w:val="00737796"/>
    <w:rsid w:val="0074165C"/>
    <w:rsid w:val="00742C35"/>
    <w:rsid w:val="007432CA"/>
    <w:rsid w:val="007439EB"/>
    <w:rsid w:val="00743CB4"/>
    <w:rsid w:val="00743F0A"/>
    <w:rsid w:val="007444E8"/>
    <w:rsid w:val="00744FE8"/>
    <w:rsid w:val="0074548E"/>
    <w:rsid w:val="00745773"/>
    <w:rsid w:val="00746800"/>
    <w:rsid w:val="007501A8"/>
    <w:rsid w:val="00750D61"/>
    <w:rsid w:val="00750EE1"/>
    <w:rsid w:val="00752B4D"/>
    <w:rsid w:val="00752E85"/>
    <w:rsid w:val="00755402"/>
    <w:rsid w:val="00756B26"/>
    <w:rsid w:val="00756E85"/>
    <w:rsid w:val="00756EDF"/>
    <w:rsid w:val="007600E3"/>
    <w:rsid w:val="007604F8"/>
    <w:rsid w:val="00760955"/>
    <w:rsid w:val="00765C43"/>
    <w:rsid w:val="00765EFB"/>
    <w:rsid w:val="007671CA"/>
    <w:rsid w:val="00767C61"/>
    <w:rsid w:val="0077008A"/>
    <w:rsid w:val="00770875"/>
    <w:rsid w:val="00773C1F"/>
    <w:rsid w:val="00774DA4"/>
    <w:rsid w:val="00776599"/>
    <w:rsid w:val="007775C0"/>
    <w:rsid w:val="00780045"/>
    <w:rsid w:val="0078114B"/>
    <w:rsid w:val="00781DD2"/>
    <w:rsid w:val="00783469"/>
    <w:rsid w:val="00783ECF"/>
    <w:rsid w:val="00783F14"/>
    <w:rsid w:val="0078413A"/>
    <w:rsid w:val="00791693"/>
    <w:rsid w:val="00792204"/>
    <w:rsid w:val="00792F4D"/>
    <w:rsid w:val="007944DE"/>
    <w:rsid w:val="007959E8"/>
    <w:rsid w:val="00795E9C"/>
    <w:rsid w:val="007A0521"/>
    <w:rsid w:val="007A0DD7"/>
    <w:rsid w:val="007A14D3"/>
    <w:rsid w:val="007A2E12"/>
    <w:rsid w:val="007A3475"/>
    <w:rsid w:val="007A41C8"/>
    <w:rsid w:val="007A54CE"/>
    <w:rsid w:val="007A6FD9"/>
    <w:rsid w:val="007A7FFA"/>
    <w:rsid w:val="007B04EB"/>
    <w:rsid w:val="007B0798"/>
    <w:rsid w:val="007B0929"/>
    <w:rsid w:val="007B0D4F"/>
    <w:rsid w:val="007B3F0F"/>
    <w:rsid w:val="007B4A9C"/>
    <w:rsid w:val="007B5A3D"/>
    <w:rsid w:val="007B5B95"/>
    <w:rsid w:val="007B6032"/>
    <w:rsid w:val="007B68EA"/>
    <w:rsid w:val="007B7453"/>
    <w:rsid w:val="007C0375"/>
    <w:rsid w:val="007C2D89"/>
    <w:rsid w:val="007C4593"/>
    <w:rsid w:val="007C5309"/>
    <w:rsid w:val="007C6069"/>
    <w:rsid w:val="007C6429"/>
    <w:rsid w:val="007C76A3"/>
    <w:rsid w:val="007D06C4"/>
    <w:rsid w:val="007D0BA2"/>
    <w:rsid w:val="007D1352"/>
    <w:rsid w:val="007D177C"/>
    <w:rsid w:val="007D2508"/>
    <w:rsid w:val="007D346A"/>
    <w:rsid w:val="007D3C1F"/>
    <w:rsid w:val="007D6518"/>
    <w:rsid w:val="007D66CA"/>
    <w:rsid w:val="007D76BD"/>
    <w:rsid w:val="007E0BF1"/>
    <w:rsid w:val="007E1D41"/>
    <w:rsid w:val="007E243C"/>
    <w:rsid w:val="007F0ED8"/>
    <w:rsid w:val="007F0F63"/>
    <w:rsid w:val="007F75CE"/>
    <w:rsid w:val="007F7C87"/>
    <w:rsid w:val="0080032D"/>
    <w:rsid w:val="008013A4"/>
    <w:rsid w:val="008013A9"/>
    <w:rsid w:val="008021F6"/>
    <w:rsid w:val="008027CE"/>
    <w:rsid w:val="00802F42"/>
    <w:rsid w:val="0080414C"/>
    <w:rsid w:val="00804383"/>
    <w:rsid w:val="00804BB7"/>
    <w:rsid w:val="00804D41"/>
    <w:rsid w:val="0080611E"/>
    <w:rsid w:val="00810257"/>
    <w:rsid w:val="008104F5"/>
    <w:rsid w:val="008106E8"/>
    <w:rsid w:val="00811072"/>
    <w:rsid w:val="00811369"/>
    <w:rsid w:val="00814FB2"/>
    <w:rsid w:val="00815419"/>
    <w:rsid w:val="008163C8"/>
    <w:rsid w:val="008164A1"/>
    <w:rsid w:val="00817325"/>
    <w:rsid w:val="008209E6"/>
    <w:rsid w:val="00823303"/>
    <w:rsid w:val="008233B2"/>
    <w:rsid w:val="00823A9F"/>
    <w:rsid w:val="00823C85"/>
    <w:rsid w:val="00825138"/>
    <w:rsid w:val="0082578D"/>
    <w:rsid w:val="008265FE"/>
    <w:rsid w:val="008269DD"/>
    <w:rsid w:val="00826F74"/>
    <w:rsid w:val="00830621"/>
    <w:rsid w:val="0083348C"/>
    <w:rsid w:val="008373D3"/>
    <w:rsid w:val="008401F8"/>
    <w:rsid w:val="00840617"/>
    <w:rsid w:val="00840F84"/>
    <w:rsid w:val="008429FE"/>
    <w:rsid w:val="00842A47"/>
    <w:rsid w:val="00842EEF"/>
    <w:rsid w:val="00843C13"/>
    <w:rsid w:val="008454F8"/>
    <w:rsid w:val="00847AE4"/>
    <w:rsid w:val="0085173A"/>
    <w:rsid w:val="008603CE"/>
    <w:rsid w:val="008620FC"/>
    <w:rsid w:val="008627A5"/>
    <w:rsid w:val="00863E05"/>
    <w:rsid w:val="00865ACA"/>
    <w:rsid w:val="00865D28"/>
    <w:rsid w:val="00865F85"/>
    <w:rsid w:val="00867C10"/>
    <w:rsid w:val="00870439"/>
    <w:rsid w:val="00870DA1"/>
    <w:rsid w:val="00872AE2"/>
    <w:rsid w:val="00873F4C"/>
    <w:rsid w:val="00875B55"/>
    <w:rsid w:val="008812B4"/>
    <w:rsid w:val="0088184C"/>
    <w:rsid w:val="008835E3"/>
    <w:rsid w:val="00883F93"/>
    <w:rsid w:val="00884DB3"/>
    <w:rsid w:val="00885A9D"/>
    <w:rsid w:val="008864F6"/>
    <w:rsid w:val="00887018"/>
    <w:rsid w:val="0089049D"/>
    <w:rsid w:val="008928C9"/>
    <w:rsid w:val="008930CB"/>
    <w:rsid w:val="008938DC"/>
    <w:rsid w:val="00893FD1"/>
    <w:rsid w:val="00894836"/>
    <w:rsid w:val="00895172"/>
    <w:rsid w:val="00895680"/>
    <w:rsid w:val="00896DFF"/>
    <w:rsid w:val="0089762C"/>
    <w:rsid w:val="008977C6"/>
    <w:rsid w:val="008A173B"/>
    <w:rsid w:val="008A1893"/>
    <w:rsid w:val="008A3BB4"/>
    <w:rsid w:val="008A57E6"/>
    <w:rsid w:val="008A6F81"/>
    <w:rsid w:val="008A769A"/>
    <w:rsid w:val="008B0731"/>
    <w:rsid w:val="008B0C9C"/>
    <w:rsid w:val="008B166D"/>
    <w:rsid w:val="008B17F4"/>
    <w:rsid w:val="008B3615"/>
    <w:rsid w:val="008B4AC4"/>
    <w:rsid w:val="008B50C8"/>
    <w:rsid w:val="008B5281"/>
    <w:rsid w:val="008B5616"/>
    <w:rsid w:val="008B5861"/>
    <w:rsid w:val="008B7E05"/>
    <w:rsid w:val="008C1797"/>
    <w:rsid w:val="008C219C"/>
    <w:rsid w:val="008C475E"/>
    <w:rsid w:val="008C5AD5"/>
    <w:rsid w:val="008C5EC3"/>
    <w:rsid w:val="008C619A"/>
    <w:rsid w:val="008C6672"/>
    <w:rsid w:val="008D0CE8"/>
    <w:rsid w:val="008D0E06"/>
    <w:rsid w:val="008D2D1D"/>
    <w:rsid w:val="008D453D"/>
    <w:rsid w:val="008D53AD"/>
    <w:rsid w:val="008D562B"/>
    <w:rsid w:val="008D5733"/>
    <w:rsid w:val="008D622B"/>
    <w:rsid w:val="008D666C"/>
    <w:rsid w:val="008D7B54"/>
    <w:rsid w:val="008E02F3"/>
    <w:rsid w:val="008E0C9D"/>
    <w:rsid w:val="008E1533"/>
    <w:rsid w:val="008E1648"/>
    <w:rsid w:val="008E1B3E"/>
    <w:rsid w:val="008E2319"/>
    <w:rsid w:val="008E4BB6"/>
    <w:rsid w:val="008E5344"/>
    <w:rsid w:val="008E5518"/>
    <w:rsid w:val="008E6A84"/>
    <w:rsid w:val="008E77E5"/>
    <w:rsid w:val="008F0CDC"/>
    <w:rsid w:val="008F17A3"/>
    <w:rsid w:val="008F1ED3"/>
    <w:rsid w:val="008F4C29"/>
    <w:rsid w:val="008F70BD"/>
    <w:rsid w:val="008F788F"/>
    <w:rsid w:val="008F7918"/>
    <w:rsid w:val="008F7EA2"/>
    <w:rsid w:val="00902722"/>
    <w:rsid w:val="009027BC"/>
    <w:rsid w:val="009040F0"/>
    <w:rsid w:val="0090430C"/>
    <w:rsid w:val="009062E6"/>
    <w:rsid w:val="0091129B"/>
    <w:rsid w:val="009119B5"/>
    <w:rsid w:val="00911BE5"/>
    <w:rsid w:val="00913CA9"/>
    <w:rsid w:val="009145AE"/>
    <w:rsid w:val="009146CE"/>
    <w:rsid w:val="00914CA7"/>
    <w:rsid w:val="00914FB1"/>
    <w:rsid w:val="00915C3E"/>
    <w:rsid w:val="009161A8"/>
    <w:rsid w:val="009245AE"/>
    <w:rsid w:val="009245F5"/>
    <w:rsid w:val="009249EC"/>
    <w:rsid w:val="009273B3"/>
    <w:rsid w:val="009305B5"/>
    <w:rsid w:val="009312A9"/>
    <w:rsid w:val="0093222E"/>
    <w:rsid w:val="00933D92"/>
    <w:rsid w:val="009364B2"/>
    <w:rsid w:val="009378DD"/>
    <w:rsid w:val="009429D5"/>
    <w:rsid w:val="00942B15"/>
    <w:rsid w:val="00942BF1"/>
    <w:rsid w:val="00943520"/>
    <w:rsid w:val="00943599"/>
    <w:rsid w:val="009437F0"/>
    <w:rsid w:val="00945180"/>
    <w:rsid w:val="00945428"/>
    <w:rsid w:val="0094607B"/>
    <w:rsid w:val="00946B35"/>
    <w:rsid w:val="009475C4"/>
    <w:rsid w:val="00950EF3"/>
    <w:rsid w:val="0095161C"/>
    <w:rsid w:val="00953604"/>
    <w:rsid w:val="0095496B"/>
    <w:rsid w:val="009551AD"/>
    <w:rsid w:val="00960F1E"/>
    <w:rsid w:val="009610DC"/>
    <w:rsid w:val="00961490"/>
    <w:rsid w:val="0096381A"/>
    <w:rsid w:val="00965E04"/>
    <w:rsid w:val="009674AD"/>
    <w:rsid w:val="00970CDC"/>
    <w:rsid w:val="00975727"/>
    <w:rsid w:val="00977010"/>
    <w:rsid w:val="00977D02"/>
    <w:rsid w:val="00977FF9"/>
    <w:rsid w:val="009809BB"/>
    <w:rsid w:val="0098364B"/>
    <w:rsid w:val="00983F82"/>
    <w:rsid w:val="009908A3"/>
    <w:rsid w:val="009911AF"/>
    <w:rsid w:val="00991875"/>
    <w:rsid w:val="00991F92"/>
    <w:rsid w:val="00992985"/>
    <w:rsid w:val="00993889"/>
    <w:rsid w:val="00993945"/>
    <w:rsid w:val="00993F37"/>
    <w:rsid w:val="00994FDC"/>
    <w:rsid w:val="0099551B"/>
    <w:rsid w:val="00996BD2"/>
    <w:rsid w:val="00997B0B"/>
    <w:rsid w:val="00997BF1"/>
    <w:rsid w:val="009A05C7"/>
    <w:rsid w:val="009A089C"/>
    <w:rsid w:val="009A118E"/>
    <w:rsid w:val="009A21CD"/>
    <w:rsid w:val="009A24A4"/>
    <w:rsid w:val="009A278C"/>
    <w:rsid w:val="009A2BC2"/>
    <w:rsid w:val="009A3190"/>
    <w:rsid w:val="009A42C1"/>
    <w:rsid w:val="009A5429"/>
    <w:rsid w:val="009A7210"/>
    <w:rsid w:val="009A72AD"/>
    <w:rsid w:val="009B09E0"/>
    <w:rsid w:val="009B0BC5"/>
    <w:rsid w:val="009B1247"/>
    <w:rsid w:val="009B2758"/>
    <w:rsid w:val="009B3B75"/>
    <w:rsid w:val="009B3D27"/>
    <w:rsid w:val="009B47C5"/>
    <w:rsid w:val="009B6029"/>
    <w:rsid w:val="009B6971"/>
    <w:rsid w:val="009C27F1"/>
    <w:rsid w:val="009C3152"/>
    <w:rsid w:val="009C3257"/>
    <w:rsid w:val="009C4CFA"/>
    <w:rsid w:val="009C5070"/>
    <w:rsid w:val="009C687E"/>
    <w:rsid w:val="009D112C"/>
    <w:rsid w:val="009D1385"/>
    <w:rsid w:val="009D1F9E"/>
    <w:rsid w:val="009D47FA"/>
    <w:rsid w:val="009D4C5B"/>
    <w:rsid w:val="009D50D2"/>
    <w:rsid w:val="009D59F9"/>
    <w:rsid w:val="009D6BCA"/>
    <w:rsid w:val="009E0F62"/>
    <w:rsid w:val="009E2C20"/>
    <w:rsid w:val="009E4A58"/>
    <w:rsid w:val="009E5A2D"/>
    <w:rsid w:val="009E5AB2"/>
    <w:rsid w:val="009E6219"/>
    <w:rsid w:val="009E6CD0"/>
    <w:rsid w:val="009F03B3"/>
    <w:rsid w:val="009F0C92"/>
    <w:rsid w:val="009F67E0"/>
    <w:rsid w:val="009F6C96"/>
    <w:rsid w:val="00A0096C"/>
    <w:rsid w:val="00A01757"/>
    <w:rsid w:val="00A028C0"/>
    <w:rsid w:val="00A02BAE"/>
    <w:rsid w:val="00A06A6B"/>
    <w:rsid w:val="00A06B80"/>
    <w:rsid w:val="00A07E47"/>
    <w:rsid w:val="00A129D0"/>
    <w:rsid w:val="00A12C33"/>
    <w:rsid w:val="00A138BA"/>
    <w:rsid w:val="00A14C8E"/>
    <w:rsid w:val="00A153D9"/>
    <w:rsid w:val="00A15F09"/>
    <w:rsid w:val="00A169B6"/>
    <w:rsid w:val="00A2271D"/>
    <w:rsid w:val="00A22EFA"/>
    <w:rsid w:val="00A237D5"/>
    <w:rsid w:val="00A26854"/>
    <w:rsid w:val="00A30EFC"/>
    <w:rsid w:val="00A31984"/>
    <w:rsid w:val="00A32766"/>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320"/>
    <w:rsid w:val="00A554A7"/>
    <w:rsid w:val="00A55BD6"/>
    <w:rsid w:val="00A55D50"/>
    <w:rsid w:val="00A57142"/>
    <w:rsid w:val="00A62B5B"/>
    <w:rsid w:val="00A63A80"/>
    <w:rsid w:val="00A648CD"/>
    <w:rsid w:val="00A6537A"/>
    <w:rsid w:val="00A6537F"/>
    <w:rsid w:val="00A67866"/>
    <w:rsid w:val="00A70B07"/>
    <w:rsid w:val="00A723F8"/>
    <w:rsid w:val="00A77143"/>
    <w:rsid w:val="00A77CCB"/>
    <w:rsid w:val="00A83D8D"/>
    <w:rsid w:val="00A8446B"/>
    <w:rsid w:val="00A8473F"/>
    <w:rsid w:val="00A85722"/>
    <w:rsid w:val="00A862D6"/>
    <w:rsid w:val="00A8715E"/>
    <w:rsid w:val="00A9295B"/>
    <w:rsid w:val="00A93493"/>
    <w:rsid w:val="00A93B09"/>
    <w:rsid w:val="00A952D7"/>
    <w:rsid w:val="00A963F7"/>
    <w:rsid w:val="00A96AD8"/>
    <w:rsid w:val="00A973C0"/>
    <w:rsid w:val="00AA052C"/>
    <w:rsid w:val="00AA0D15"/>
    <w:rsid w:val="00AA0F5A"/>
    <w:rsid w:val="00AA1E45"/>
    <w:rsid w:val="00AA3E64"/>
    <w:rsid w:val="00AA4286"/>
    <w:rsid w:val="00AA456B"/>
    <w:rsid w:val="00AA57F5"/>
    <w:rsid w:val="00AA672E"/>
    <w:rsid w:val="00AA6959"/>
    <w:rsid w:val="00AA6EC9"/>
    <w:rsid w:val="00AB0264"/>
    <w:rsid w:val="00AB2852"/>
    <w:rsid w:val="00AB395A"/>
    <w:rsid w:val="00AB5055"/>
    <w:rsid w:val="00AB6309"/>
    <w:rsid w:val="00AB6C5F"/>
    <w:rsid w:val="00AB7129"/>
    <w:rsid w:val="00AB7156"/>
    <w:rsid w:val="00AC27A6"/>
    <w:rsid w:val="00AC30F7"/>
    <w:rsid w:val="00AC3A5A"/>
    <w:rsid w:val="00AC4D95"/>
    <w:rsid w:val="00AC5DF4"/>
    <w:rsid w:val="00AC5F07"/>
    <w:rsid w:val="00AC7531"/>
    <w:rsid w:val="00AD0AEF"/>
    <w:rsid w:val="00AD11B7"/>
    <w:rsid w:val="00AD1455"/>
    <w:rsid w:val="00AD1A94"/>
    <w:rsid w:val="00AD1C05"/>
    <w:rsid w:val="00AD4126"/>
    <w:rsid w:val="00AD421C"/>
    <w:rsid w:val="00AD44FA"/>
    <w:rsid w:val="00AE070A"/>
    <w:rsid w:val="00AE0E63"/>
    <w:rsid w:val="00AE101C"/>
    <w:rsid w:val="00AE1134"/>
    <w:rsid w:val="00AE2A69"/>
    <w:rsid w:val="00AE37E5"/>
    <w:rsid w:val="00AE47F6"/>
    <w:rsid w:val="00AE5EB4"/>
    <w:rsid w:val="00AF0C18"/>
    <w:rsid w:val="00AF3DE1"/>
    <w:rsid w:val="00AF47C5"/>
    <w:rsid w:val="00AF49E4"/>
    <w:rsid w:val="00AF5398"/>
    <w:rsid w:val="00B049AF"/>
    <w:rsid w:val="00B04A92"/>
    <w:rsid w:val="00B07242"/>
    <w:rsid w:val="00B10534"/>
    <w:rsid w:val="00B113DB"/>
    <w:rsid w:val="00B11D8A"/>
    <w:rsid w:val="00B12981"/>
    <w:rsid w:val="00B147DD"/>
    <w:rsid w:val="00B156FD"/>
    <w:rsid w:val="00B161EC"/>
    <w:rsid w:val="00B21F61"/>
    <w:rsid w:val="00B261F1"/>
    <w:rsid w:val="00B265BC"/>
    <w:rsid w:val="00B31658"/>
    <w:rsid w:val="00B31FB1"/>
    <w:rsid w:val="00B32724"/>
    <w:rsid w:val="00B33952"/>
    <w:rsid w:val="00B33C5E"/>
    <w:rsid w:val="00B342F4"/>
    <w:rsid w:val="00B34369"/>
    <w:rsid w:val="00B34DC2"/>
    <w:rsid w:val="00B378E5"/>
    <w:rsid w:val="00B4346D"/>
    <w:rsid w:val="00B43951"/>
    <w:rsid w:val="00B440F4"/>
    <w:rsid w:val="00B447A5"/>
    <w:rsid w:val="00B4654C"/>
    <w:rsid w:val="00B47293"/>
    <w:rsid w:val="00B50E50"/>
    <w:rsid w:val="00B52120"/>
    <w:rsid w:val="00B54ABC"/>
    <w:rsid w:val="00B56FBE"/>
    <w:rsid w:val="00B60ACF"/>
    <w:rsid w:val="00B62B58"/>
    <w:rsid w:val="00B65149"/>
    <w:rsid w:val="00B66567"/>
    <w:rsid w:val="00B66677"/>
    <w:rsid w:val="00B66F52"/>
    <w:rsid w:val="00B66FE5"/>
    <w:rsid w:val="00B72880"/>
    <w:rsid w:val="00B72F81"/>
    <w:rsid w:val="00B73FA3"/>
    <w:rsid w:val="00B7520A"/>
    <w:rsid w:val="00B758BF"/>
    <w:rsid w:val="00B76315"/>
    <w:rsid w:val="00B77EC8"/>
    <w:rsid w:val="00B827A6"/>
    <w:rsid w:val="00B831CE"/>
    <w:rsid w:val="00B856D5"/>
    <w:rsid w:val="00B86677"/>
    <w:rsid w:val="00B87131"/>
    <w:rsid w:val="00B939B1"/>
    <w:rsid w:val="00B96D40"/>
    <w:rsid w:val="00B97386"/>
    <w:rsid w:val="00BA263B"/>
    <w:rsid w:val="00BA42B2"/>
    <w:rsid w:val="00BA58D4"/>
    <w:rsid w:val="00BA5B9E"/>
    <w:rsid w:val="00BA7C9A"/>
    <w:rsid w:val="00BB4C6D"/>
    <w:rsid w:val="00BB5F8F"/>
    <w:rsid w:val="00BB657A"/>
    <w:rsid w:val="00BC1A4E"/>
    <w:rsid w:val="00BC5DC7"/>
    <w:rsid w:val="00BC6B8B"/>
    <w:rsid w:val="00BC73D8"/>
    <w:rsid w:val="00BC7FE9"/>
    <w:rsid w:val="00BD52D7"/>
    <w:rsid w:val="00BD58A6"/>
    <w:rsid w:val="00BD5AD2"/>
    <w:rsid w:val="00BE22F3"/>
    <w:rsid w:val="00BE4D1D"/>
    <w:rsid w:val="00BE5B52"/>
    <w:rsid w:val="00BE718E"/>
    <w:rsid w:val="00BE7B8D"/>
    <w:rsid w:val="00BF0993"/>
    <w:rsid w:val="00BF10A9"/>
    <w:rsid w:val="00BF1703"/>
    <w:rsid w:val="00BF231C"/>
    <w:rsid w:val="00BF3DFD"/>
    <w:rsid w:val="00BF51E5"/>
    <w:rsid w:val="00BF74A6"/>
    <w:rsid w:val="00C00DAA"/>
    <w:rsid w:val="00C013AD"/>
    <w:rsid w:val="00C04904"/>
    <w:rsid w:val="00C056B3"/>
    <w:rsid w:val="00C103E5"/>
    <w:rsid w:val="00C13319"/>
    <w:rsid w:val="00C13EE9"/>
    <w:rsid w:val="00C15254"/>
    <w:rsid w:val="00C16611"/>
    <w:rsid w:val="00C21540"/>
    <w:rsid w:val="00C21906"/>
    <w:rsid w:val="00C21BFA"/>
    <w:rsid w:val="00C24C8D"/>
    <w:rsid w:val="00C2526A"/>
    <w:rsid w:val="00C25ED8"/>
    <w:rsid w:val="00C25FE2"/>
    <w:rsid w:val="00C26B53"/>
    <w:rsid w:val="00C279B2"/>
    <w:rsid w:val="00C33E50"/>
    <w:rsid w:val="00C34C20"/>
    <w:rsid w:val="00C35A3E"/>
    <w:rsid w:val="00C4113A"/>
    <w:rsid w:val="00C418D6"/>
    <w:rsid w:val="00C42130"/>
    <w:rsid w:val="00C423A4"/>
    <w:rsid w:val="00C423E3"/>
    <w:rsid w:val="00C44BF5"/>
    <w:rsid w:val="00C473AD"/>
    <w:rsid w:val="00C503A8"/>
    <w:rsid w:val="00C5183A"/>
    <w:rsid w:val="00C521D6"/>
    <w:rsid w:val="00C53AB9"/>
    <w:rsid w:val="00C54B81"/>
    <w:rsid w:val="00C55232"/>
    <w:rsid w:val="00C553A4"/>
    <w:rsid w:val="00C55A06"/>
    <w:rsid w:val="00C55D03"/>
    <w:rsid w:val="00C601BC"/>
    <w:rsid w:val="00C6329F"/>
    <w:rsid w:val="00C63340"/>
    <w:rsid w:val="00C643F9"/>
    <w:rsid w:val="00C64E95"/>
    <w:rsid w:val="00C71372"/>
    <w:rsid w:val="00C72410"/>
    <w:rsid w:val="00C7287F"/>
    <w:rsid w:val="00C739D7"/>
    <w:rsid w:val="00C75466"/>
    <w:rsid w:val="00C80CB8"/>
    <w:rsid w:val="00C81878"/>
    <w:rsid w:val="00C819F8"/>
    <w:rsid w:val="00C8248C"/>
    <w:rsid w:val="00C84E33"/>
    <w:rsid w:val="00C863ED"/>
    <w:rsid w:val="00C86D6F"/>
    <w:rsid w:val="00C905FC"/>
    <w:rsid w:val="00C92D03"/>
    <w:rsid w:val="00C9319C"/>
    <w:rsid w:val="00C9435D"/>
    <w:rsid w:val="00C94DF2"/>
    <w:rsid w:val="00C96741"/>
    <w:rsid w:val="00CA2D1B"/>
    <w:rsid w:val="00CA375D"/>
    <w:rsid w:val="00CA60FF"/>
    <w:rsid w:val="00CA662A"/>
    <w:rsid w:val="00CA68C5"/>
    <w:rsid w:val="00CA7AFD"/>
    <w:rsid w:val="00CA7C3C"/>
    <w:rsid w:val="00CB0189"/>
    <w:rsid w:val="00CB0BA2"/>
    <w:rsid w:val="00CB152E"/>
    <w:rsid w:val="00CB1A42"/>
    <w:rsid w:val="00CB1B0C"/>
    <w:rsid w:val="00CB2C0B"/>
    <w:rsid w:val="00CB516C"/>
    <w:rsid w:val="00CB517D"/>
    <w:rsid w:val="00CC038D"/>
    <w:rsid w:val="00CC08DB"/>
    <w:rsid w:val="00CC0948"/>
    <w:rsid w:val="00CC39FF"/>
    <w:rsid w:val="00CC3C2F"/>
    <w:rsid w:val="00CC4AC8"/>
    <w:rsid w:val="00CC5233"/>
    <w:rsid w:val="00CC5595"/>
    <w:rsid w:val="00CC5DE6"/>
    <w:rsid w:val="00CC6E4E"/>
    <w:rsid w:val="00CC6FE8"/>
    <w:rsid w:val="00CC7202"/>
    <w:rsid w:val="00CD1CB3"/>
    <w:rsid w:val="00CD2808"/>
    <w:rsid w:val="00CD28BF"/>
    <w:rsid w:val="00CD28F0"/>
    <w:rsid w:val="00CD4092"/>
    <w:rsid w:val="00CD47CE"/>
    <w:rsid w:val="00CD4A20"/>
    <w:rsid w:val="00CD50A1"/>
    <w:rsid w:val="00CD519E"/>
    <w:rsid w:val="00CD7183"/>
    <w:rsid w:val="00CE0C4F"/>
    <w:rsid w:val="00CE30EA"/>
    <w:rsid w:val="00CE4ED0"/>
    <w:rsid w:val="00CF048A"/>
    <w:rsid w:val="00CF155A"/>
    <w:rsid w:val="00CF2398"/>
    <w:rsid w:val="00CF2947"/>
    <w:rsid w:val="00CF686F"/>
    <w:rsid w:val="00CF6E60"/>
    <w:rsid w:val="00CF7BCA"/>
    <w:rsid w:val="00D0055E"/>
    <w:rsid w:val="00D008FD"/>
    <w:rsid w:val="00D00D2C"/>
    <w:rsid w:val="00D018B1"/>
    <w:rsid w:val="00D01BD8"/>
    <w:rsid w:val="00D02FB1"/>
    <w:rsid w:val="00D0321C"/>
    <w:rsid w:val="00D035EC"/>
    <w:rsid w:val="00D06AB1"/>
    <w:rsid w:val="00D06FC1"/>
    <w:rsid w:val="00D072ED"/>
    <w:rsid w:val="00D07A16"/>
    <w:rsid w:val="00D1067E"/>
    <w:rsid w:val="00D10F50"/>
    <w:rsid w:val="00D11272"/>
    <w:rsid w:val="00D126F5"/>
    <w:rsid w:val="00D13789"/>
    <w:rsid w:val="00D1489E"/>
    <w:rsid w:val="00D20737"/>
    <w:rsid w:val="00D21E81"/>
    <w:rsid w:val="00D223DE"/>
    <w:rsid w:val="00D25E37"/>
    <w:rsid w:val="00D2661A"/>
    <w:rsid w:val="00D27582"/>
    <w:rsid w:val="00D27DB0"/>
    <w:rsid w:val="00D27EC4"/>
    <w:rsid w:val="00D32719"/>
    <w:rsid w:val="00D33333"/>
    <w:rsid w:val="00D33F58"/>
    <w:rsid w:val="00D352A2"/>
    <w:rsid w:val="00D35C93"/>
    <w:rsid w:val="00D40AC2"/>
    <w:rsid w:val="00D4162B"/>
    <w:rsid w:val="00D42DD0"/>
    <w:rsid w:val="00D4514F"/>
    <w:rsid w:val="00D451E2"/>
    <w:rsid w:val="00D45E89"/>
    <w:rsid w:val="00D45E8D"/>
    <w:rsid w:val="00D466AE"/>
    <w:rsid w:val="00D4734F"/>
    <w:rsid w:val="00D51BF3"/>
    <w:rsid w:val="00D53BF6"/>
    <w:rsid w:val="00D56D79"/>
    <w:rsid w:val="00D61FA8"/>
    <w:rsid w:val="00D66846"/>
    <w:rsid w:val="00D66D18"/>
    <w:rsid w:val="00D67535"/>
    <w:rsid w:val="00D675FB"/>
    <w:rsid w:val="00D71F25"/>
    <w:rsid w:val="00D72A9C"/>
    <w:rsid w:val="00D7505B"/>
    <w:rsid w:val="00D77031"/>
    <w:rsid w:val="00D83946"/>
    <w:rsid w:val="00D84941"/>
    <w:rsid w:val="00D84FA1"/>
    <w:rsid w:val="00D851F0"/>
    <w:rsid w:val="00D86DB7"/>
    <w:rsid w:val="00D86E6E"/>
    <w:rsid w:val="00D87BF5"/>
    <w:rsid w:val="00D90721"/>
    <w:rsid w:val="00D91D9D"/>
    <w:rsid w:val="00D926D0"/>
    <w:rsid w:val="00D93030"/>
    <w:rsid w:val="00D9333A"/>
    <w:rsid w:val="00D94759"/>
    <w:rsid w:val="00D950E1"/>
    <w:rsid w:val="00D952A6"/>
    <w:rsid w:val="00D957C9"/>
    <w:rsid w:val="00D97F99"/>
    <w:rsid w:val="00DA1E08"/>
    <w:rsid w:val="00DA24F8"/>
    <w:rsid w:val="00DA28E8"/>
    <w:rsid w:val="00DA38D3"/>
    <w:rsid w:val="00DA3932"/>
    <w:rsid w:val="00DA3AFC"/>
    <w:rsid w:val="00DA64F8"/>
    <w:rsid w:val="00DA6C15"/>
    <w:rsid w:val="00DB0258"/>
    <w:rsid w:val="00DB1E63"/>
    <w:rsid w:val="00DB38EE"/>
    <w:rsid w:val="00DB3EE2"/>
    <w:rsid w:val="00DB498B"/>
    <w:rsid w:val="00DB66CA"/>
    <w:rsid w:val="00DB6BCA"/>
    <w:rsid w:val="00DB6F54"/>
    <w:rsid w:val="00DB73F7"/>
    <w:rsid w:val="00DC0321"/>
    <w:rsid w:val="00DC3067"/>
    <w:rsid w:val="00DC370B"/>
    <w:rsid w:val="00DC5B90"/>
    <w:rsid w:val="00DC5C9A"/>
    <w:rsid w:val="00DD00FF"/>
    <w:rsid w:val="00DD0619"/>
    <w:rsid w:val="00DD07FB"/>
    <w:rsid w:val="00DD25C6"/>
    <w:rsid w:val="00DD4FE5"/>
    <w:rsid w:val="00DD54B0"/>
    <w:rsid w:val="00DD57EE"/>
    <w:rsid w:val="00DD6BCC"/>
    <w:rsid w:val="00DE0867"/>
    <w:rsid w:val="00DE0A4B"/>
    <w:rsid w:val="00DE1C83"/>
    <w:rsid w:val="00DE21B5"/>
    <w:rsid w:val="00DE2410"/>
    <w:rsid w:val="00DE2939"/>
    <w:rsid w:val="00DE3311"/>
    <w:rsid w:val="00DE3910"/>
    <w:rsid w:val="00DE6E81"/>
    <w:rsid w:val="00DE703F"/>
    <w:rsid w:val="00DE7595"/>
    <w:rsid w:val="00DF147D"/>
    <w:rsid w:val="00DF1893"/>
    <w:rsid w:val="00DF1961"/>
    <w:rsid w:val="00DF21BD"/>
    <w:rsid w:val="00DF2E62"/>
    <w:rsid w:val="00DF35F2"/>
    <w:rsid w:val="00DF44DE"/>
    <w:rsid w:val="00DF6B2A"/>
    <w:rsid w:val="00E01138"/>
    <w:rsid w:val="00E027BD"/>
    <w:rsid w:val="00E02DFB"/>
    <w:rsid w:val="00E030F9"/>
    <w:rsid w:val="00E0311A"/>
    <w:rsid w:val="00E03138"/>
    <w:rsid w:val="00E0333A"/>
    <w:rsid w:val="00E03C13"/>
    <w:rsid w:val="00E03D2C"/>
    <w:rsid w:val="00E06404"/>
    <w:rsid w:val="00E1188C"/>
    <w:rsid w:val="00E11A85"/>
    <w:rsid w:val="00E12495"/>
    <w:rsid w:val="00E12DB3"/>
    <w:rsid w:val="00E15CCD"/>
    <w:rsid w:val="00E164D1"/>
    <w:rsid w:val="00E202EF"/>
    <w:rsid w:val="00E206F0"/>
    <w:rsid w:val="00E210B5"/>
    <w:rsid w:val="00E233F4"/>
    <w:rsid w:val="00E2552F"/>
    <w:rsid w:val="00E3137A"/>
    <w:rsid w:val="00E32CCF"/>
    <w:rsid w:val="00E32DCE"/>
    <w:rsid w:val="00E34A98"/>
    <w:rsid w:val="00E35D1E"/>
    <w:rsid w:val="00E364F9"/>
    <w:rsid w:val="00E365FA"/>
    <w:rsid w:val="00E36789"/>
    <w:rsid w:val="00E379A2"/>
    <w:rsid w:val="00E44A83"/>
    <w:rsid w:val="00E502C1"/>
    <w:rsid w:val="00E502DD"/>
    <w:rsid w:val="00E50D3A"/>
    <w:rsid w:val="00E51387"/>
    <w:rsid w:val="00E51E68"/>
    <w:rsid w:val="00E52CAA"/>
    <w:rsid w:val="00E52EFD"/>
    <w:rsid w:val="00E5408A"/>
    <w:rsid w:val="00E56800"/>
    <w:rsid w:val="00E60131"/>
    <w:rsid w:val="00E60C63"/>
    <w:rsid w:val="00E61ACB"/>
    <w:rsid w:val="00E62FF9"/>
    <w:rsid w:val="00E635D6"/>
    <w:rsid w:val="00E639BC"/>
    <w:rsid w:val="00E6645C"/>
    <w:rsid w:val="00E664CC"/>
    <w:rsid w:val="00E70388"/>
    <w:rsid w:val="00E70A5B"/>
    <w:rsid w:val="00E70F92"/>
    <w:rsid w:val="00E74313"/>
    <w:rsid w:val="00E74C54"/>
    <w:rsid w:val="00E77A03"/>
    <w:rsid w:val="00E80454"/>
    <w:rsid w:val="00E80563"/>
    <w:rsid w:val="00E822E8"/>
    <w:rsid w:val="00E82554"/>
    <w:rsid w:val="00E82606"/>
    <w:rsid w:val="00E82E0B"/>
    <w:rsid w:val="00E831C1"/>
    <w:rsid w:val="00E836E8"/>
    <w:rsid w:val="00E846C8"/>
    <w:rsid w:val="00E84957"/>
    <w:rsid w:val="00E84A55"/>
    <w:rsid w:val="00E85BFF"/>
    <w:rsid w:val="00E85EE6"/>
    <w:rsid w:val="00E90391"/>
    <w:rsid w:val="00E906C2"/>
    <w:rsid w:val="00E9311F"/>
    <w:rsid w:val="00E934D1"/>
    <w:rsid w:val="00E94AF0"/>
    <w:rsid w:val="00E95D13"/>
    <w:rsid w:val="00E95DD3"/>
    <w:rsid w:val="00E969D5"/>
    <w:rsid w:val="00E96F1A"/>
    <w:rsid w:val="00EA58D1"/>
    <w:rsid w:val="00EA61BC"/>
    <w:rsid w:val="00EA681A"/>
    <w:rsid w:val="00EA6AC0"/>
    <w:rsid w:val="00EA735B"/>
    <w:rsid w:val="00EB1E69"/>
    <w:rsid w:val="00EB2086"/>
    <w:rsid w:val="00EB31ED"/>
    <w:rsid w:val="00EB336F"/>
    <w:rsid w:val="00EB5EDF"/>
    <w:rsid w:val="00EB60FE"/>
    <w:rsid w:val="00EB6D0E"/>
    <w:rsid w:val="00EB74DB"/>
    <w:rsid w:val="00EC5359"/>
    <w:rsid w:val="00EC562A"/>
    <w:rsid w:val="00ED067A"/>
    <w:rsid w:val="00ED15CB"/>
    <w:rsid w:val="00ED226D"/>
    <w:rsid w:val="00ED2748"/>
    <w:rsid w:val="00ED2B50"/>
    <w:rsid w:val="00ED3AD2"/>
    <w:rsid w:val="00ED6D16"/>
    <w:rsid w:val="00EE0350"/>
    <w:rsid w:val="00EE0719"/>
    <w:rsid w:val="00EE0E80"/>
    <w:rsid w:val="00EE1BC2"/>
    <w:rsid w:val="00EE2C37"/>
    <w:rsid w:val="00EE613F"/>
    <w:rsid w:val="00EE61C6"/>
    <w:rsid w:val="00EE7295"/>
    <w:rsid w:val="00EE7869"/>
    <w:rsid w:val="00EF054A"/>
    <w:rsid w:val="00EF3235"/>
    <w:rsid w:val="00EF77CD"/>
    <w:rsid w:val="00EF7E72"/>
    <w:rsid w:val="00F01755"/>
    <w:rsid w:val="00F04C92"/>
    <w:rsid w:val="00F0688E"/>
    <w:rsid w:val="00F06D37"/>
    <w:rsid w:val="00F07B9D"/>
    <w:rsid w:val="00F07C9B"/>
    <w:rsid w:val="00F11586"/>
    <w:rsid w:val="00F1183B"/>
    <w:rsid w:val="00F11C9F"/>
    <w:rsid w:val="00F12263"/>
    <w:rsid w:val="00F1409D"/>
    <w:rsid w:val="00F14214"/>
    <w:rsid w:val="00F157A9"/>
    <w:rsid w:val="00F16F00"/>
    <w:rsid w:val="00F25BB6"/>
    <w:rsid w:val="00F25E1C"/>
    <w:rsid w:val="00F26B7E"/>
    <w:rsid w:val="00F26F88"/>
    <w:rsid w:val="00F27A3B"/>
    <w:rsid w:val="00F31653"/>
    <w:rsid w:val="00F31A3F"/>
    <w:rsid w:val="00F32E7F"/>
    <w:rsid w:val="00F33817"/>
    <w:rsid w:val="00F40C61"/>
    <w:rsid w:val="00F41A95"/>
    <w:rsid w:val="00F420D5"/>
    <w:rsid w:val="00F451EA"/>
    <w:rsid w:val="00F45447"/>
    <w:rsid w:val="00F456C6"/>
    <w:rsid w:val="00F4577B"/>
    <w:rsid w:val="00F46496"/>
    <w:rsid w:val="00F474D0"/>
    <w:rsid w:val="00F50179"/>
    <w:rsid w:val="00F51552"/>
    <w:rsid w:val="00F515EE"/>
    <w:rsid w:val="00F51828"/>
    <w:rsid w:val="00F55072"/>
    <w:rsid w:val="00F55FB0"/>
    <w:rsid w:val="00F56511"/>
    <w:rsid w:val="00F6194E"/>
    <w:rsid w:val="00F623AC"/>
    <w:rsid w:val="00F6412A"/>
    <w:rsid w:val="00F65893"/>
    <w:rsid w:val="00F66A4A"/>
    <w:rsid w:val="00F71E22"/>
    <w:rsid w:val="00F72142"/>
    <w:rsid w:val="00F72AE7"/>
    <w:rsid w:val="00F833BA"/>
    <w:rsid w:val="00F83E1C"/>
    <w:rsid w:val="00F84FD0"/>
    <w:rsid w:val="00F859A8"/>
    <w:rsid w:val="00F86D87"/>
    <w:rsid w:val="00F9108B"/>
    <w:rsid w:val="00F91349"/>
    <w:rsid w:val="00F91DCE"/>
    <w:rsid w:val="00F92744"/>
    <w:rsid w:val="00F93077"/>
    <w:rsid w:val="00F9307C"/>
    <w:rsid w:val="00F934A2"/>
    <w:rsid w:val="00F93A8A"/>
    <w:rsid w:val="00F94384"/>
    <w:rsid w:val="00F95248"/>
    <w:rsid w:val="00F956A9"/>
    <w:rsid w:val="00F963ED"/>
    <w:rsid w:val="00F966CF"/>
    <w:rsid w:val="00F96CAE"/>
    <w:rsid w:val="00F97C99"/>
    <w:rsid w:val="00FA662D"/>
    <w:rsid w:val="00FA73B1"/>
    <w:rsid w:val="00FB0CB9"/>
    <w:rsid w:val="00FB231D"/>
    <w:rsid w:val="00FB25B9"/>
    <w:rsid w:val="00FB3A9F"/>
    <w:rsid w:val="00FB45F1"/>
    <w:rsid w:val="00FB4A72"/>
    <w:rsid w:val="00FB54E8"/>
    <w:rsid w:val="00FB7054"/>
    <w:rsid w:val="00FC17B7"/>
    <w:rsid w:val="00FC2571"/>
    <w:rsid w:val="00FC2BE1"/>
    <w:rsid w:val="00FC2CB7"/>
    <w:rsid w:val="00FC4090"/>
    <w:rsid w:val="00FC4F5D"/>
    <w:rsid w:val="00FC55B4"/>
    <w:rsid w:val="00FC69F7"/>
    <w:rsid w:val="00FD00E6"/>
    <w:rsid w:val="00FD09A1"/>
    <w:rsid w:val="00FD2A7C"/>
    <w:rsid w:val="00FD37BE"/>
    <w:rsid w:val="00FD57D0"/>
    <w:rsid w:val="00FD5833"/>
    <w:rsid w:val="00FD59EB"/>
    <w:rsid w:val="00FD5F28"/>
    <w:rsid w:val="00FD7299"/>
    <w:rsid w:val="00FE0B0C"/>
    <w:rsid w:val="00FE1FBE"/>
    <w:rsid w:val="00FE255D"/>
    <w:rsid w:val="00FE3901"/>
    <w:rsid w:val="00FE39D3"/>
    <w:rsid w:val="00FE4BCE"/>
    <w:rsid w:val="00FE54AE"/>
    <w:rsid w:val="00FE576A"/>
    <w:rsid w:val="00FE7E79"/>
    <w:rsid w:val="00FF129C"/>
    <w:rsid w:val="00FF3E7D"/>
    <w:rsid w:val="00FF5B99"/>
    <w:rsid w:val="00FF5FC6"/>
    <w:rsid w:val="00FF730C"/>
    <w:rsid w:val="00FF73F4"/>
    <w:rsid w:val="00FF7CE4"/>
    <w:rsid w:val="00FF7E39"/>
    <w:rsid w:val="06744454"/>
    <w:rsid w:val="07DC0503"/>
    <w:rsid w:val="0F0A5656"/>
    <w:rsid w:val="0F4C5F6E"/>
    <w:rsid w:val="1C424981"/>
    <w:rsid w:val="264D464E"/>
    <w:rsid w:val="32A61CB5"/>
    <w:rsid w:val="33445F36"/>
    <w:rsid w:val="374D6BA3"/>
    <w:rsid w:val="3FE112A0"/>
    <w:rsid w:val="499A72FA"/>
    <w:rsid w:val="4CBD57DA"/>
    <w:rsid w:val="575E2731"/>
    <w:rsid w:val="5B5163B3"/>
    <w:rsid w:val="772A140E"/>
    <w:rsid w:val="77C74EAF"/>
    <w:rsid w:val="7A41363F"/>
    <w:rsid w:val="7E97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qFormat/>
    <w:uiPriority w:val="35"/>
    <w:pPr>
      <w:snapToGrid w:val="0"/>
      <w:spacing w:line="240" w:lineRule="auto"/>
      <w:jc w:val="center"/>
    </w:pPr>
    <w:rPr>
      <w:rFonts w:ascii="Times New Roman" w:hAnsi="Times New Roman" w:eastAsia="仿宋_GB2312"/>
      <w:sz w:val="24"/>
      <w:szCs w:val="20"/>
    </w:rPr>
  </w:style>
  <w:style w:type="paragraph" w:styleId="14">
    <w:name w:val="annotation text"/>
    <w:basedOn w:val="1"/>
    <w:link w:val="234"/>
    <w:semiHidden/>
    <w:unhideWhenUsed/>
    <w:qFormat/>
    <w:uiPriority w:val="99"/>
    <w:pPr>
      <w:jc w:val="left"/>
    </w:pPr>
  </w:style>
  <w:style w:type="paragraph" w:styleId="15">
    <w:name w:val="Body Text"/>
    <w:basedOn w:val="1"/>
    <w:link w:val="90"/>
    <w:qFormat/>
    <w:uiPriority w:val="0"/>
    <w:pPr>
      <w:spacing w:after="120"/>
    </w:pPr>
  </w:style>
  <w:style w:type="paragraph" w:styleId="16">
    <w:name w:val="toc 5"/>
    <w:basedOn w:val="1"/>
    <w:next w:val="1"/>
    <w:autoRedefine/>
    <w:unhideWhenUsed/>
    <w:qFormat/>
    <w:uiPriority w:val="39"/>
    <w:pPr>
      <w:ind w:left="839"/>
    </w:pPr>
    <w:rPr>
      <w:rFonts w:ascii="宋体"/>
    </w:rPr>
  </w:style>
  <w:style w:type="paragraph" w:styleId="17">
    <w:name w:val="toc 3"/>
    <w:basedOn w:val="1"/>
    <w:next w:val="1"/>
    <w:autoRedefine/>
    <w:unhideWhenUsed/>
    <w:qFormat/>
    <w:uiPriority w:val="3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pPr>
      <w:tabs>
        <w:tab w:val="right" w:leader="dot" w:pos="9344"/>
      </w:tabs>
    </w:pPr>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35"/>
    <w:semiHidden/>
    <w:unhideWhenUsed/>
    <w:qFormat/>
    <w:uiPriority w:val="99"/>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20"/>
    <w:qFormat/>
    <w:uiPriority w:val="99"/>
    <w:rPr>
      <w:rFonts w:ascii="Times New Roman" w:hAnsi="Times New Roman" w:eastAsia="宋体" w:cs="Times New Roman"/>
      <w:sz w:val="18"/>
      <w:szCs w:val="18"/>
    </w:rPr>
  </w:style>
  <w:style w:type="character" w:customStyle="1" w:styleId="48">
    <w:name w:val="页脚 字符"/>
    <w:link w:val="19"/>
    <w:qFormat/>
    <w:uiPriority w:val="99"/>
    <w:rPr>
      <w:rFonts w:ascii="宋体" w:hAnsi="Times New Roman" w:eastAsia="宋体" w:cs="Times New Roman"/>
      <w:sz w:val="18"/>
      <w:szCs w:val="18"/>
    </w:rPr>
  </w:style>
  <w:style w:type="character" w:customStyle="1" w:styleId="49">
    <w:name w:val="批注框文本 字符"/>
    <w:link w:val="18"/>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25" w:beforeLines="25" w:after="50" w:afterLines="50"/>
      <w:ind w:left="5388"/>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5"/>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hAnsi="Times New Roman" w:eastAsia="宋体" w:cs="Times New Roman"/>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批注文字 字符"/>
    <w:basedOn w:val="31"/>
    <w:link w:val="14"/>
    <w:semiHidden/>
    <w:qFormat/>
    <w:uiPriority w:val="99"/>
    <w:rPr>
      <w:kern w:val="2"/>
      <w:sz w:val="21"/>
      <w:szCs w:val="21"/>
    </w:rPr>
  </w:style>
  <w:style w:type="character" w:customStyle="1" w:styleId="235">
    <w:name w:val="批注主题 字符"/>
    <w:basedOn w:val="234"/>
    <w:link w:val="28"/>
    <w:semiHidden/>
    <w:qFormat/>
    <w:uiPriority w:val="99"/>
    <w:rPr>
      <w:b/>
      <w:bCs/>
      <w:kern w:val="2"/>
      <w:sz w:val="21"/>
      <w:szCs w:val="21"/>
    </w:rPr>
  </w:style>
  <w:style w:type="paragraph" w:customStyle="1" w:styleId="236">
    <w:name w:val="图表内容"/>
    <w:basedOn w:val="1"/>
    <w:qFormat/>
    <w:uiPriority w:val="0"/>
    <w:pPr>
      <w:snapToGrid w:val="0"/>
      <w:spacing w:line="240" w:lineRule="auto"/>
      <w:jc w:val="center"/>
    </w:pPr>
    <w:rPr>
      <w:rFonts w:ascii="Times New Roman" w:hAnsi="Times New Roman" w:eastAsia="仿宋_GB2312"/>
      <w:kern w:val="0"/>
      <w:sz w:val="20"/>
      <w:szCs w:val="20"/>
    </w:rPr>
  </w:style>
  <w:style w:type="paragraph" w:customStyle="1" w:styleId="237">
    <w:name w:val="公式"/>
    <w:basedOn w:val="1"/>
    <w:qFormat/>
    <w:uiPriority w:val="0"/>
    <w:pPr>
      <w:adjustRightInd/>
      <w:spacing w:line="360" w:lineRule="auto"/>
      <w:jc w:val="center"/>
    </w:pPr>
    <w:rPr>
      <w:rFonts w:ascii="Times New Roman" w:hAnsi="Times New Roman" w:eastAsia="仿宋_GB2312"/>
      <w:sz w:val="28"/>
      <w:szCs w:val="28"/>
    </w:rPr>
  </w:style>
  <w:style w:type="paragraph" w:customStyle="1" w:styleId="238">
    <w:name w:val="表格内容"/>
    <w:basedOn w:val="1"/>
    <w:qFormat/>
    <w:uiPriority w:val="0"/>
    <w:pPr>
      <w:snapToGrid w:val="0"/>
      <w:spacing w:line="240" w:lineRule="auto"/>
      <w:jc w:val="center"/>
    </w:pPr>
    <w:rPr>
      <w:rFonts w:ascii="Times New Roman" w:hAnsi="Times New Roman" w:eastAsia="仿宋_GB2312"/>
      <w:kern w:val="0"/>
      <w:sz w:val="20"/>
      <w:szCs w:val="20"/>
    </w:rPr>
  </w:style>
  <w:style w:type="paragraph" w:customStyle="1" w:styleId="239">
    <w:name w:val="列表段落1"/>
    <w:basedOn w:val="1"/>
    <w:qFormat/>
    <w:uiPriority w:val="34"/>
    <w:pPr>
      <w:adjustRightInd/>
      <w:spacing w:line="360" w:lineRule="auto"/>
      <w:ind w:firstLine="420" w:firstLineChars="200"/>
    </w:pPr>
    <w:rPr>
      <w:rFonts w:ascii="Times New Roman" w:hAnsi="Times New Roman" w:eastAsia="仿宋_GB2312"/>
      <w:sz w:val="32"/>
      <w:szCs w:val="24"/>
    </w:rPr>
  </w:style>
  <w:style w:type="paragraph" w:customStyle="1" w:styleId="240">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41">
    <w:name w:val="修订1"/>
    <w:hidden/>
    <w:semiHidden/>
    <w:qFormat/>
    <w:uiPriority w:val="99"/>
    <w:rPr>
      <w:rFonts w:ascii="Calibri" w:hAnsi="Calibri" w:eastAsia="宋体" w:cs="Times New Roman"/>
      <w:kern w:val="2"/>
      <w:sz w:val="21"/>
      <w:szCs w:val="21"/>
      <w:lang w:val="en-US" w:eastAsia="zh-CN" w:bidi="ar-SA"/>
    </w:rPr>
  </w:style>
  <w:style w:type="paragraph" w:customStyle="1" w:styleId="242">
    <w:name w:val="公式编号"/>
    <w:basedOn w:val="60"/>
    <w:link w:val="243"/>
    <w:qFormat/>
    <w:uiPriority w:val="0"/>
    <w:pPr>
      <w:tabs>
        <w:tab w:val="center" w:pos="4820"/>
        <w:tab w:val="center" w:leader="dot" w:pos="10773"/>
      </w:tabs>
      <w:ind w:firstLine="420"/>
    </w:pPr>
  </w:style>
  <w:style w:type="character" w:customStyle="1" w:styleId="243">
    <w:name w:val="公式编号 字符"/>
    <w:basedOn w:val="188"/>
    <w:link w:val="242"/>
    <w:qFormat/>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0" Type="http://schemas.openxmlformats.org/officeDocument/2006/relationships/glossaryDocument" Target="glossary/document.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4.emf"/><Relationship Id="rId44" Type="http://schemas.openxmlformats.org/officeDocument/2006/relationships/image" Target="media/image3.wmf"/><Relationship Id="rId43" Type="http://schemas.openxmlformats.org/officeDocument/2006/relationships/oleObject" Target="embeddings/oleObject3.bin"/><Relationship Id="rId42" Type="http://schemas.openxmlformats.org/officeDocument/2006/relationships/image" Target="media/image2.wmf"/><Relationship Id="rId41" Type="http://schemas.openxmlformats.org/officeDocument/2006/relationships/oleObject" Target="embeddings/oleObject2.bin"/><Relationship Id="rId40" Type="http://schemas.openxmlformats.org/officeDocument/2006/relationships/image" Target="media/image1.wmf"/><Relationship Id="rId4" Type="http://schemas.openxmlformats.org/officeDocument/2006/relationships/endnotes" Target="endnotes.xml"/><Relationship Id="rId39" Type="http://schemas.openxmlformats.org/officeDocument/2006/relationships/oleObject" Target="embeddings/oleObject1.bin"/><Relationship Id="rId38" Type="http://schemas.openxmlformats.org/officeDocument/2006/relationships/theme" Target="theme/theme1.xml"/><Relationship Id="rId37" Type="http://schemas.openxmlformats.org/officeDocument/2006/relationships/footer" Target="foot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72F4FE3A5242C98876936A4D5A7CDD"/>
        <w:style w:val=""/>
        <w:category>
          <w:name w:val="常规"/>
          <w:gallery w:val="placeholder"/>
        </w:category>
        <w:types>
          <w:type w:val="bbPlcHdr"/>
        </w:types>
        <w:behaviors>
          <w:behavior w:val="content"/>
        </w:behaviors>
        <w:description w:val=""/>
        <w:guid w:val="{393FDA10-800D-41B1-A2C0-45E5DBD84985}"/>
      </w:docPartPr>
      <w:docPartBody>
        <w:p w14:paraId="742A805D">
          <w:pPr>
            <w:pStyle w:val="5"/>
          </w:pPr>
          <w:r>
            <w:rPr>
              <w:rStyle w:val="4"/>
              <w:rFonts w:hint="eastAsia"/>
            </w:rPr>
            <w:t>单击或点击此处输入文字。</w:t>
          </w:r>
        </w:p>
      </w:docPartBody>
    </w:docPart>
    <w:docPart>
      <w:docPartPr>
        <w:name w:val="DC964944E7AE40958021BBAF26211563"/>
        <w:style w:val=""/>
        <w:category>
          <w:name w:val="常规"/>
          <w:gallery w:val="placeholder"/>
        </w:category>
        <w:types>
          <w:type w:val="bbPlcHdr"/>
        </w:types>
        <w:behaviors>
          <w:behavior w:val="content"/>
        </w:behaviors>
        <w:description w:val=""/>
        <w:guid w:val="{5EB0063D-84F0-465C-915E-3EA293316F66}"/>
      </w:docPartPr>
      <w:docPartBody>
        <w:p w14:paraId="07B909EB">
          <w:pPr>
            <w:pStyle w:val="6"/>
          </w:pPr>
          <w:r>
            <w:rPr>
              <w:rStyle w:val="4"/>
              <w:rFonts w:hint="eastAsia"/>
            </w:rPr>
            <w:t>选择一项。</w:t>
          </w:r>
        </w:p>
      </w:docPartBody>
    </w:docPart>
    <w:docPart>
      <w:docPartPr>
        <w:name w:val="A454B307285A4DAEA22E8E1D89E19A89"/>
        <w:style w:val=""/>
        <w:category>
          <w:name w:val="常规"/>
          <w:gallery w:val="placeholder"/>
        </w:category>
        <w:types>
          <w:type w:val="bbPlcHdr"/>
        </w:types>
        <w:behaviors>
          <w:behavior w:val="content"/>
        </w:behaviors>
        <w:description w:val=""/>
        <w:guid w:val="{B9ACC384-0DC7-4433-ACD3-5CBE303AD6A0}"/>
      </w:docPartPr>
      <w:docPartBody>
        <w:p w14:paraId="34FCB31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73"/>
    <w:rsid w:val="0007496A"/>
    <w:rsid w:val="00117EE5"/>
    <w:rsid w:val="001A6808"/>
    <w:rsid w:val="0021187C"/>
    <w:rsid w:val="00227628"/>
    <w:rsid w:val="002C721C"/>
    <w:rsid w:val="00352846"/>
    <w:rsid w:val="00402723"/>
    <w:rsid w:val="00474BFA"/>
    <w:rsid w:val="00796325"/>
    <w:rsid w:val="00835739"/>
    <w:rsid w:val="00860BF6"/>
    <w:rsid w:val="00866A68"/>
    <w:rsid w:val="0095615F"/>
    <w:rsid w:val="009C6FC8"/>
    <w:rsid w:val="00A37D6A"/>
    <w:rsid w:val="00A7170C"/>
    <w:rsid w:val="00A95838"/>
    <w:rsid w:val="00C74098"/>
    <w:rsid w:val="00D84D73"/>
    <w:rsid w:val="00DE111C"/>
    <w:rsid w:val="00E85299"/>
    <w:rsid w:val="00ED77E1"/>
    <w:rsid w:val="00F245AA"/>
    <w:rsid w:val="00FA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372F4FE3A5242C98876936A4D5A7C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C964944E7AE40958021BBAF262115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454B307285A4DAEA22E8E1D89E19A8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21EEB5-B2D5-40EC-AAAD-1DAC5992911B}">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46</Pages>
  <Words>3439</Words>
  <Characters>4067</Characters>
  <Lines>283</Lines>
  <Paragraphs>79</Paragraphs>
  <TotalTime>1679</TotalTime>
  <ScaleCrop>false</ScaleCrop>
  <LinksUpToDate>false</LinksUpToDate>
  <CharactersWithSpaces>4248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2023-06-07T11:54:00Z</dcterms:created>
  <dc:creator>54257</dc:creator>
  <dc:description>&lt;config cover="true" show_menu="true" version="1.0.0" doctype="SDKXY"&gt;_x000d_
&lt;/config&gt;</dc:description>
  <cp:lastModifiedBy>xry</cp:lastModifiedBy>
  <cp:lastPrinted>2021-02-02T08:22:00Z</cp:lastPrinted>
  <dcterms:modified xsi:type="dcterms:W3CDTF">2024-11-05T08:27:46Z</dcterms:modified>
  <dc:title>团体标准</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90061A5D1F5F4AD9ABCA51640B397549_13</vt:lpwstr>
  </property>
</Properties>
</file>