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DF" w:rsidRDefault="0027472A">
      <w:pPr>
        <w:overflowPunct w:val="0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8636DF" w:rsidRDefault="0027472A">
      <w:pPr>
        <w:pStyle w:val="Default"/>
      </w:pPr>
      <w:r>
        <w:rPr>
          <w:rFonts w:hint="eastAsia"/>
        </w:rPr>
        <w:t>中国环境科学学会2026年科学技术年会</w:t>
      </w:r>
      <w:r>
        <w:rPr>
          <w:rFonts w:hint="eastAsia"/>
        </w:rPr>
        <w:br w:type="textWrapping" w:clear="all"/>
        <w:t>分会场组织方案</w:t>
      </w:r>
    </w:p>
    <w:p w:rsidR="008636DF" w:rsidRDefault="0027472A">
      <w:pPr>
        <w:overflowPunct w:val="0"/>
        <w:spacing w:line="580" w:lineRule="exact"/>
        <w:ind w:firstLineChars="200" w:firstLine="688"/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为保障2026年科学技术年会（以下简称“年会”）分会场规范、高效举办，确保学术质量与组织实效，特制定本方案。</w:t>
      </w:r>
    </w:p>
    <w:p w:rsidR="008636DF" w:rsidRDefault="0027472A">
      <w:pPr>
        <w:overflowPunct w:val="0"/>
        <w:autoSpaceDE w:val="0"/>
        <w:autoSpaceDN w:val="0"/>
        <w:spacing w:beforeLines="50" w:before="156" w:line="580" w:lineRule="exact"/>
        <w:ind w:firstLineChars="200" w:firstLine="688"/>
        <w:jc w:val="left"/>
        <w:rPr>
          <w:rFonts w:ascii="黑体" w:eastAsia="黑体" w:hAnsi="黑体" w:cs="仿宋"/>
          <w:spacing w:val="12"/>
          <w:kern w:val="0"/>
          <w:sz w:val="32"/>
          <w:szCs w:val="32"/>
          <w:lang w:val="zh-CN" w:bidi="zh-CN"/>
        </w:rPr>
      </w:pPr>
      <w:r>
        <w:rPr>
          <w:rFonts w:ascii="黑体" w:eastAsia="黑体" w:hAnsi="黑体" w:cs="仿宋" w:hint="eastAsia"/>
          <w:spacing w:val="12"/>
          <w:kern w:val="0"/>
          <w:sz w:val="32"/>
          <w:szCs w:val="32"/>
          <w:lang w:val="zh-CN" w:bidi="zh-CN"/>
        </w:rPr>
        <w:t>一、议题设置</w:t>
      </w:r>
    </w:p>
    <w:p w:rsidR="008636DF" w:rsidRDefault="0027472A">
      <w:pPr>
        <w:overflowPunct w:val="0"/>
        <w:spacing w:line="580" w:lineRule="exact"/>
        <w:ind w:firstLineChars="200" w:firstLine="688"/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</w:pPr>
      <w:r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  <w:t>分会场议题</w:t>
      </w: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应</w:t>
      </w:r>
      <w:r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  <w:t>紧扣生态环境领域发展趋势与国家重大战略需求，包含但不限于以下方向，鼓励聚焦前沿热点、关键技术瓶颈及跨学科交叉议题：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636DF">
        <w:tc>
          <w:tcPr>
            <w:tcW w:w="5000" w:type="pct"/>
          </w:tcPr>
          <w:p w:rsidR="008636DF" w:rsidRDefault="0027472A">
            <w:pPr>
              <w:pStyle w:val="a"/>
              <w:overflowPunct w:val="0"/>
              <w:ind w:left="0" w:firstLineChars="200" w:firstLine="640"/>
              <w:rPr>
                <w:rFonts w:ascii="仿宋" w:eastAsia="仿宋" w:hAnsi="仿宋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napToGrid w:val="0"/>
                <w:kern w:val="0"/>
                <w:sz w:val="32"/>
                <w:szCs w:val="32"/>
              </w:rPr>
              <w:t>生态文明体制改革与制度创新</w:t>
            </w:r>
          </w:p>
          <w:p w:rsidR="008636DF" w:rsidRDefault="0027472A">
            <w:pPr>
              <w:pStyle w:val="a"/>
              <w:overflowPunct w:val="0"/>
              <w:ind w:left="0" w:firstLineChars="200" w:firstLine="640"/>
              <w:rPr>
                <w:rFonts w:ascii="仿宋" w:eastAsia="仿宋" w:hAnsi="仿宋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napToGrid w:val="0"/>
                <w:kern w:val="0"/>
                <w:sz w:val="32"/>
                <w:szCs w:val="32"/>
              </w:rPr>
              <w:t>美丽中国建设提质增效路径</w:t>
            </w:r>
          </w:p>
          <w:p w:rsidR="008636DF" w:rsidRDefault="0027472A">
            <w:pPr>
              <w:pStyle w:val="a"/>
              <w:overflowPunct w:val="0"/>
              <w:ind w:left="0" w:firstLineChars="200" w:firstLine="640"/>
              <w:rPr>
                <w:rFonts w:ascii="仿宋" w:eastAsia="仿宋" w:hAnsi="仿宋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napToGrid w:val="0"/>
                <w:kern w:val="0"/>
                <w:sz w:val="32"/>
                <w:szCs w:val="32"/>
              </w:rPr>
              <w:t>蓝天保卫战</w:t>
            </w:r>
          </w:p>
          <w:p w:rsidR="008636DF" w:rsidRDefault="0027472A">
            <w:pPr>
              <w:pStyle w:val="a"/>
              <w:overflowPunct w:val="0"/>
              <w:ind w:left="0" w:firstLineChars="200" w:firstLine="640"/>
              <w:rPr>
                <w:rFonts w:ascii="仿宋" w:eastAsia="仿宋" w:hAnsi="仿宋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napToGrid w:val="0"/>
                <w:kern w:val="0"/>
                <w:sz w:val="32"/>
                <w:szCs w:val="32"/>
              </w:rPr>
              <w:t>碧水保卫战</w:t>
            </w:r>
          </w:p>
          <w:p w:rsidR="008636DF" w:rsidRDefault="0027472A">
            <w:pPr>
              <w:pStyle w:val="a"/>
              <w:overflowPunct w:val="0"/>
              <w:ind w:left="0" w:firstLineChars="200" w:firstLine="640"/>
              <w:rPr>
                <w:rFonts w:ascii="仿宋" w:eastAsia="仿宋" w:hAnsi="仿宋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napToGrid w:val="0"/>
                <w:kern w:val="0"/>
                <w:sz w:val="32"/>
                <w:szCs w:val="32"/>
              </w:rPr>
              <w:t>净土保卫战</w:t>
            </w:r>
          </w:p>
          <w:p w:rsidR="008636DF" w:rsidRDefault="0027472A">
            <w:pPr>
              <w:pStyle w:val="a"/>
              <w:overflowPunct w:val="0"/>
              <w:ind w:left="0" w:firstLineChars="200" w:firstLine="640"/>
              <w:rPr>
                <w:rFonts w:ascii="仿宋" w:eastAsia="仿宋" w:hAnsi="仿宋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napToGrid w:val="0"/>
                <w:kern w:val="0"/>
                <w:sz w:val="32"/>
                <w:szCs w:val="32"/>
              </w:rPr>
              <w:t>固体废物全过程污染控制与资源化利用</w:t>
            </w:r>
          </w:p>
          <w:p w:rsidR="008636DF" w:rsidRDefault="0027472A">
            <w:pPr>
              <w:pStyle w:val="a"/>
              <w:overflowPunct w:val="0"/>
              <w:ind w:left="0" w:firstLineChars="200" w:firstLine="640"/>
              <w:rPr>
                <w:rFonts w:ascii="仿宋" w:eastAsia="仿宋" w:hAnsi="仿宋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napToGrid w:val="0"/>
                <w:kern w:val="0"/>
                <w:sz w:val="32"/>
                <w:szCs w:val="32"/>
              </w:rPr>
              <w:t>新污染物精准识别、风险评估与协同治理</w:t>
            </w:r>
          </w:p>
          <w:p w:rsidR="008636DF" w:rsidRDefault="0027472A">
            <w:pPr>
              <w:pStyle w:val="a"/>
              <w:overflowPunct w:val="0"/>
              <w:ind w:left="0" w:firstLineChars="200" w:firstLine="640"/>
              <w:rPr>
                <w:rFonts w:ascii="仿宋" w:eastAsia="仿宋" w:hAnsi="仿宋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napToGrid w:val="0"/>
                <w:kern w:val="0"/>
                <w:sz w:val="32"/>
                <w:szCs w:val="32"/>
              </w:rPr>
              <w:t>绿色低碳高质量发展与应对气候变化</w:t>
            </w:r>
          </w:p>
          <w:p w:rsidR="008636DF" w:rsidRDefault="0027472A">
            <w:pPr>
              <w:pStyle w:val="a"/>
              <w:overflowPunct w:val="0"/>
              <w:ind w:left="0" w:firstLineChars="200" w:firstLine="640"/>
              <w:rPr>
                <w:rFonts w:ascii="仿宋" w:eastAsia="仿宋" w:hAnsi="仿宋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napToGrid w:val="0"/>
                <w:kern w:val="0"/>
                <w:sz w:val="32"/>
                <w:szCs w:val="32"/>
              </w:rPr>
              <w:t>生态环境科技创新与监测体系建设</w:t>
            </w:r>
          </w:p>
        </w:tc>
      </w:tr>
    </w:tbl>
    <w:p w:rsidR="008636DF" w:rsidRDefault="0027472A">
      <w:pPr>
        <w:overflowPunct w:val="0"/>
        <w:autoSpaceDE w:val="0"/>
        <w:autoSpaceDN w:val="0"/>
        <w:spacing w:beforeLines="50" w:before="156" w:line="580" w:lineRule="exact"/>
        <w:ind w:firstLineChars="200" w:firstLine="688"/>
        <w:jc w:val="left"/>
        <w:rPr>
          <w:rFonts w:ascii="黑体" w:eastAsia="黑体" w:hAnsi="黑体" w:cs="仿宋"/>
          <w:spacing w:val="12"/>
          <w:kern w:val="0"/>
          <w:sz w:val="32"/>
          <w:szCs w:val="32"/>
          <w:lang w:val="zh-CN" w:bidi="zh-CN"/>
        </w:rPr>
      </w:pPr>
      <w:r>
        <w:rPr>
          <w:rFonts w:ascii="黑体" w:eastAsia="黑体" w:hAnsi="黑体" w:cs="仿宋" w:hint="eastAsia"/>
          <w:spacing w:val="12"/>
          <w:kern w:val="0"/>
          <w:sz w:val="32"/>
          <w:szCs w:val="32"/>
          <w:lang w:val="zh-CN" w:bidi="zh-CN"/>
        </w:rPr>
        <w:t>二、分会场组织形式</w:t>
      </w:r>
    </w:p>
    <w:p w:rsidR="008636DF" w:rsidRDefault="0027472A">
      <w:pPr>
        <w:overflowPunct w:val="0"/>
        <w:spacing w:line="580" w:lineRule="exact"/>
        <w:ind w:firstLineChars="200" w:firstLine="688"/>
        <w:rPr>
          <w:rFonts w:ascii="楷体" w:eastAsia="楷体" w:hAnsi="楷体" w:cs="仿宋"/>
          <w:snapToGrid w:val="0"/>
          <w:spacing w:val="12"/>
          <w:kern w:val="0"/>
          <w:sz w:val="32"/>
          <w:szCs w:val="32"/>
        </w:rPr>
      </w:pPr>
      <w:r>
        <w:rPr>
          <w:rFonts w:ascii="楷体" w:eastAsia="楷体" w:hAnsi="楷体" w:cs="仿宋" w:hint="eastAsia"/>
          <w:snapToGrid w:val="0"/>
          <w:spacing w:val="12"/>
          <w:kern w:val="0"/>
          <w:sz w:val="32"/>
          <w:szCs w:val="32"/>
        </w:rPr>
        <w:t>（一）组织形式</w:t>
      </w:r>
    </w:p>
    <w:p w:rsidR="008636DF" w:rsidRDefault="0027472A" w:rsidP="0027472A">
      <w:pPr>
        <w:overflowPunct w:val="0"/>
        <w:spacing w:line="580" w:lineRule="exact"/>
        <w:ind w:firstLineChars="200" w:firstLine="691"/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napToGrid w:val="0"/>
          <w:spacing w:val="12"/>
          <w:kern w:val="0"/>
          <w:sz w:val="32"/>
          <w:szCs w:val="32"/>
        </w:rPr>
        <w:t>1.报告会形式：</w:t>
      </w: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以学术报告为核心，配套互动问答</w:t>
      </w: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lastRenderedPageBreak/>
        <w:t>环节。设特邀报告（20分钟/人）、邀请报告（15分钟/人）、一般报告（10分钟/人）三个类别，报告顺序由分会场主席统筹确定。</w:t>
      </w:r>
    </w:p>
    <w:p w:rsidR="008636DF" w:rsidRDefault="0027472A" w:rsidP="0027472A">
      <w:pPr>
        <w:overflowPunct w:val="0"/>
        <w:spacing w:line="580" w:lineRule="exact"/>
        <w:ind w:firstLineChars="200" w:firstLine="691"/>
        <w:rPr>
          <w:rFonts w:ascii="仿宋" w:eastAsia="仿宋" w:hAnsi="仿宋" w:cs="仿宋"/>
          <w:bCs/>
          <w:snapToGrid w:val="0"/>
          <w:spacing w:val="12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napToGrid w:val="0"/>
          <w:spacing w:val="12"/>
          <w:kern w:val="0"/>
          <w:sz w:val="32"/>
          <w:szCs w:val="32"/>
        </w:rPr>
        <w:t>2.</w:t>
      </w:r>
      <w:r>
        <w:rPr>
          <w:rFonts w:ascii="仿宋" w:eastAsia="仿宋" w:hAnsi="仿宋" w:cs="仿宋"/>
          <w:b/>
          <w:snapToGrid w:val="0"/>
          <w:spacing w:val="12"/>
          <w:kern w:val="0"/>
          <w:sz w:val="32"/>
          <w:szCs w:val="32"/>
        </w:rPr>
        <w:t>研讨类</w:t>
      </w:r>
      <w:r>
        <w:rPr>
          <w:rFonts w:ascii="仿宋" w:eastAsia="仿宋" w:hAnsi="仿宋" w:cs="仿宋" w:hint="eastAsia"/>
          <w:b/>
          <w:snapToGrid w:val="0"/>
          <w:spacing w:val="12"/>
          <w:kern w:val="0"/>
          <w:sz w:val="32"/>
          <w:szCs w:val="32"/>
        </w:rPr>
        <w:t>形式：</w:t>
      </w:r>
      <w:r>
        <w:rPr>
          <w:rFonts w:ascii="仿宋" w:eastAsia="仿宋" w:hAnsi="仿宋" w:cs="仿宋" w:hint="eastAsia"/>
          <w:bCs/>
          <w:snapToGrid w:val="0"/>
          <w:spacing w:val="12"/>
          <w:kern w:val="0"/>
          <w:sz w:val="32"/>
          <w:szCs w:val="32"/>
        </w:rPr>
        <w:t>可采用学术沙龙、圆桌论坛、专题研讨等形式，突出自由交流与思想碰撞，每个主题发言后设置集中讨论与答疑环节。</w:t>
      </w:r>
    </w:p>
    <w:p w:rsidR="008636DF" w:rsidRDefault="0027472A" w:rsidP="0027472A">
      <w:pPr>
        <w:overflowPunct w:val="0"/>
        <w:spacing w:line="580" w:lineRule="exact"/>
        <w:ind w:firstLineChars="200" w:firstLine="691"/>
        <w:rPr>
          <w:rFonts w:ascii="仿宋" w:eastAsia="仿宋" w:hAnsi="仿宋" w:cs="仿宋"/>
          <w:bCs/>
          <w:snapToGrid w:val="0"/>
          <w:spacing w:val="12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napToGrid w:val="0"/>
          <w:spacing w:val="12"/>
          <w:kern w:val="0"/>
          <w:sz w:val="32"/>
          <w:szCs w:val="32"/>
        </w:rPr>
        <w:t>3.混合形式：</w:t>
      </w:r>
      <w:r>
        <w:rPr>
          <w:rFonts w:ascii="仿宋" w:eastAsia="仿宋" w:hAnsi="仿宋" w:cs="仿宋" w:hint="eastAsia"/>
          <w:bCs/>
          <w:snapToGrid w:val="0"/>
          <w:spacing w:val="12"/>
          <w:kern w:val="0"/>
          <w:sz w:val="32"/>
          <w:szCs w:val="32"/>
        </w:rPr>
        <w:t>可结合报告会与研讨类形式特点，灵活设计议程，提升交流深度与参与度。</w:t>
      </w:r>
    </w:p>
    <w:p w:rsidR="008636DF" w:rsidRDefault="0027472A">
      <w:pPr>
        <w:overflowPunct w:val="0"/>
        <w:spacing w:line="580" w:lineRule="exact"/>
        <w:ind w:firstLineChars="200" w:firstLine="688"/>
        <w:rPr>
          <w:rFonts w:ascii="楷体" w:eastAsia="楷体" w:hAnsi="楷体" w:cs="仿宋"/>
          <w:snapToGrid w:val="0"/>
          <w:spacing w:val="12"/>
          <w:kern w:val="0"/>
          <w:sz w:val="32"/>
          <w:szCs w:val="32"/>
        </w:rPr>
      </w:pPr>
      <w:r>
        <w:rPr>
          <w:rFonts w:ascii="楷体" w:eastAsia="楷体" w:hAnsi="楷体" w:cs="仿宋" w:hint="eastAsia"/>
          <w:snapToGrid w:val="0"/>
          <w:spacing w:val="12"/>
          <w:kern w:val="0"/>
          <w:sz w:val="32"/>
          <w:szCs w:val="32"/>
        </w:rPr>
        <w:t>（二）时长要求</w:t>
      </w:r>
    </w:p>
    <w:p w:rsidR="008636DF" w:rsidRDefault="0027472A">
      <w:pPr>
        <w:overflowPunct w:val="0"/>
        <w:spacing w:line="580" w:lineRule="exact"/>
        <w:ind w:firstLineChars="200" w:firstLine="688"/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分会场时长以半天（约3.5小时，含茶歇）为基本单元，最多可设置3个单元（累计1.5天）。基本参考配置如下：</w:t>
      </w:r>
    </w:p>
    <w:p w:rsidR="008636DF" w:rsidRDefault="0027472A">
      <w:pPr>
        <w:overflowPunct w:val="0"/>
        <w:spacing w:line="580" w:lineRule="exact"/>
        <w:ind w:firstLineChars="200" w:firstLine="688"/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（1）特邀报告：2位（领域知名专家），共计40分钟；</w:t>
      </w:r>
    </w:p>
    <w:p w:rsidR="008636DF" w:rsidRDefault="0027472A">
      <w:pPr>
        <w:overflowPunct w:val="0"/>
        <w:spacing w:line="580" w:lineRule="exact"/>
        <w:ind w:firstLineChars="200" w:firstLine="688"/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（2）邀请报告：6位（领域优秀专家），共计90分钟；</w:t>
      </w:r>
    </w:p>
    <w:p w:rsidR="008636DF" w:rsidRDefault="0027472A">
      <w:pPr>
        <w:overflowPunct w:val="0"/>
        <w:spacing w:line="580" w:lineRule="exact"/>
        <w:ind w:firstLineChars="200" w:firstLine="688"/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（3）一般报告：6位（从征集论文或申报中遴选），共计60分钟；</w:t>
      </w:r>
    </w:p>
    <w:p w:rsidR="008636DF" w:rsidRDefault="0027472A">
      <w:pPr>
        <w:overflowPunct w:val="0"/>
        <w:spacing w:line="580" w:lineRule="exact"/>
        <w:ind w:firstLineChars="200" w:firstLine="688"/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（4）互动交流与总结：30分钟。</w:t>
      </w:r>
    </w:p>
    <w:p w:rsidR="008636DF" w:rsidRDefault="0027472A">
      <w:pPr>
        <w:overflowPunct w:val="0"/>
        <w:spacing w:line="580" w:lineRule="exact"/>
        <w:ind w:firstLineChars="200" w:firstLine="688"/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具体时长与报告配置可由分会场主席根据筹备情况灵活调整，报组委会备案。</w:t>
      </w:r>
    </w:p>
    <w:p w:rsidR="008636DF" w:rsidRDefault="0027472A" w:rsidP="0027472A">
      <w:pPr>
        <w:overflowPunct w:val="0"/>
        <w:autoSpaceDE w:val="0"/>
        <w:autoSpaceDN w:val="0"/>
        <w:spacing w:beforeLines="50" w:before="156" w:line="580" w:lineRule="exact"/>
        <w:ind w:firstLineChars="200" w:firstLine="691"/>
        <w:jc w:val="left"/>
        <w:rPr>
          <w:rFonts w:ascii="黑体" w:eastAsia="黑体" w:hAnsi="黑体" w:cs="仿宋"/>
          <w:b/>
          <w:bCs/>
          <w:spacing w:val="12"/>
          <w:kern w:val="0"/>
          <w:sz w:val="32"/>
          <w:szCs w:val="32"/>
          <w:lang w:bidi="zh-CN"/>
        </w:rPr>
      </w:pPr>
      <w:r>
        <w:rPr>
          <w:rFonts w:ascii="黑体" w:eastAsia="黑体" w:hAnsi="黑体" w:cs="仿宋"/>
          <w:b/>
          <w:bCs/>
          <w:spacing w:val="12"/>
          <w:kern w:val="0"/>
          <w:sz w:val="32"/>
          <w:szCs w:val="32"/>
          <w:lang w:bidi="zh-CN"/>
        </w:rPr>
        <w:t>三、组织架构与职责</w:t>
      </w:r>
    </w:p>
    <w:p w:rsidR="008636DF" w:rsidRDefault="0027472A">
      <w:pPr>
        <w:overflowPunct w:val="0"/>
        <w:spacing w:line="580" w:lineRule="exact"/>
        <w:ind w:firstLineChars="200" w:firstLine="688"/>
        <w:rPr>
          <w:rFonts w:ascii="楷体" w:eastAsia="楷体" w:hAnsi="楷体" w:cs="仿宋"/>
          <w:snapToGrid w:val="0"/>
          <w:spacing w:val="12"/>
          <w:kern w:val="0"/>
          <w:sz w:val="32"/>
          <w:szCs w:val="32"/>
        </w:rPr>
      </w:pPr>
      <w:r>
        <w:rPr>
          <w:rFonts w:ascii="楷体" w:eastAsia="楷体" w:hAnsi="楷体" w:cs="仿宋"/>
          <w:snapToGrid w:val="0"/>
          <w:spacing w:val="12"/>
          <w:kern w:val="0"/>
          <w:sz w:val="32"/>
          <w:szCs w:val="32"/>
        </w:rPr>
        <w:t>（一）组织架构</w:t>
      </w:r>
    </w:p>
    <w:p w:rsidR="008636DF" w:rsidRDefault="0027472A">
      <w:pPr>
        <w:overflowPunct w:val="0"/>
        <w:spacing w:line="580" w:lineRule="exact"/>
        <w:ind w:firstLineChars="200" w:firstLine="688"/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</w:pPr>
      <w:r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  <w:lastRenderedPageBreak/>
        <w:t>每个分会场设主席1-2名（</w:t>
      </w: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若</w:t>
      </w:r>
      <w:r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  <w:t>2名</w:t>
      </w: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，应来自不同单位</w:t>
      </w:r>
      <w:r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  <w:t>）、秘书长1名，每半天设主持人1-2名。分会场主席自动纳入年会学术委员会，秘书长自动纳入年会组织委员会。</w:t>
      </w:r>
    </w:p>
    <w:p w:rsidR="008636DF" w:rsidRDefault="0027472A">
      <w:pPr>
        <w:overflowPunct w:val="0"/>
        <w:spacing w:line="580" w:lineRule="exact"/>
        <w:ind w:firstLineChars="200" w:firstLine="688"/>
        <w:rPr>
          <w:rFonts w:ascii="楷体" w:eastAsia="楷体" w:hAnsi="楷体" w:cs="仿宋"/>
          <w:snapToGrid w:val="0"/>
          <w:spacing w:val="12"/>
          <w:kern w:val="0"/>
          <w:sz w:val="32"/>
          <w:szCs w:val="32"/>
        </w:rPr>
      </w:pPr>
      <w:r>
        <w:rPr>
          <w:rFonts w:ascii="楷体" w:eastAsia="楷体" w:hAnsi="楷体" w:cs="仿宋"/>
          <w:snapToGrid w:val="0"/>
          <w:spacing w:val="12"/>
          <w:kern w:val="0"/>
          <w:sz w:val="32"/>
          <w:szCs w:val="32"/>
        </w:rPr>
        <w:t>（二）主要职责</w:t>
      </w:r>
    </w:p>
    <w:p w:rsidR="008636DF" w:rsidRDefault="0027472A">
      <w:pPr>
        <w:tabs>
          <w:tab w:val="left" w:pos="720"/>
        </w:tabs>
        <w:overflowPunct w:val="0"/>
        <w:spacing w:line="580" w:lineRule="exact"/>
        <w:ind w:firstLineChars="200" w:firstLine="688"/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1.</w:t>
      </w:r>
      <w:r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  <w:t>分会场主席：负责学术统筹（确定议题、组织论文与报告遴选）；负责会务协调（发动参会、协调资源）；负责现场组织（把控议程、引导交流）。须于2026年5月20日前向组委会报送分会场执行团队</w:t>
      </w: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（</w:t>
      </w:r>
      <w:r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  <w:t>含秘书长、主持人</w:t>
      </w: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）</w:t>
      </w:r>
      <w:r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  <w:t>及报告人信息。</w:t>
      </w:r>
    </w:p>
    <w:p w:rsidR="008636DF" w:rsidRDefault="0027472A">
      <w:pPr>
        <w:overflowPunct w:val="0"/>
        <w:spacing w:line="580" w:lineRule="exact"/>
        <w:ind w:firstLineChars="200" w:firstLine="688"/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2.</w:t>
      </w:r>
      <w:r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  <w:t>分会场秘书长</w:t>
      </w: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：</w:t>
      </w:r>
      <w:r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  <w:t>作为与组委会的日常联络人，协助主席落实报告人邀请、参会统计、议程细化等工作，</w:t>
      </w: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以及分会场</w:t>
      </w:r>
      <w:r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  <w:t>会务执行。</w:t>
      </w:r>
    </w:p>
    <w:p w:rsidR="008636DF" w:rsidRDefault="0027472A">
      <w:pPr>
        <w:overflowPunct w:val="0"/>
        <w:spacing w:line="580" w:lineRule="exact"/>
        <w:ind w:firstLineChars="200" w:firstLine="688"/>
        <w:rPr>
          <w:rFonts w:ascii="楷体" w:eastAsia="楷体" w:hAnsi="楷体" w:cs="仿宋"/>
          <w:snapToGrid w:val="0"/>
          <w:spacing w:val="12"/>
          <w:kern w:val="0"/>
          <w:sz w:val="32"/>
          <w:szCs w:val="32"/>
        </w:rPr>
      </w:pPr>
      <w:r>
        <w:rPr>
          <w:rFonts w:ascii="楷体" w:eastAsia="楷体" w:hAnsi="楷体" w:cs="仿宋"/>
          <w:snapToGrid w:val="0"/>
          <w:spacing w:val="12"/>
          <w:kern w:val="0"/>
          <w:sz w:val="32"/>
          <w:szCs w:val="32"/>
        </w:rPr>
        <w:t>（三）分会场合并与取消规则</w:t>
      </w:r>
    </w:p>
    <w:p w:rsidR="008636DF" w:rsidRDefault="0027472A">
      <w:pPr>
        <w:overflowPunct w:val="0"/>
        <w:spacing w:line="580" w:lineRule="exact"/>
        <w:ind w:firstLineChars="200" w:firstLine="688"/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</w:pPr>
      <w:r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  <w:t>若截至2026年5月20日，分会场确认参会人数不足50人，组委会将与承办</w:t>
      </w: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方</w:t>
      </w:r>
      <w:r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  <w:t>协商，采取分会场合并、调整议题或取消等措施，确保会议资源高效利用。</w:t>
      </w:r>
    </w:p>
    <w:p w:rsidR="008636DF" w:rsidRDefault="0027472A">
      <w:pPr>
        <w:overflowPunct w:val="0"/>
        <w:autoSpaceDE w:val="0"/>
        <w:autoSpaceDN w:val="0"/>
        <w:spacing w:beforeLines="50" w:before="156" w:line="580" w:lineRule="exact"/>
        <w:ind w:firstLineChars="200" w:firstLine="688"/>
        <w:jc w:val="left"/>
        <w:rPr>
          <w:rFonts w:ascii="黑体" w:eastAsia="黑体" w:hAnsi="黑体" w:cs="仿宋"/>
          <w:spacing w:val="12"/>
          <w:kern w:val="0"/>
          <w:sz w:val="32"/>
          <w:szCs w:val="32"/>
          <w:lang w:val="zh-CN" w:bidi="zh-CN"/>
        </w:rPr>
      </w:pPr>
      <w:r>
        <w:rPr>
          <w:rFonts w:ascii="黑体" w:eastAsia="黑体" w:hAnsi="黑体" w:cs="仿宋" w:hint="eastAsia"/>
          <w:spacing w:val="12"/>
          <w:kern w:val="0"/>
          <w:sz w:val="32"/>
          <w:szCs w:val="32"/>
          <w:lang w:val="zh-CN" w:bidi="zh-CN"/>
        </w:rPr>
        <w:t>四、相关费用说明</w:t>
      </w:r>
    </w:p>
    <w:p w:rsidR="008636DF" w:rsidRDefault="0027472A">
      <w:pPr>
        <w:overflowPunct w:val="0"/>
        <w:spacing w:line="580" w:lineRule="exact"/>
        <w:ind w:firstLineChars="200" w:firstLine="688"/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1.所有参会人员（包括嘉宾、主席、邀请报告等）</w:t>
      </w:r>
      <w:r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  <w:t>均需按年会统一标准缴纳注册费，食宿及交通费用自理。</w:t>
      </w:r>
    </w:p>
    <w:p w:rsidR="008636DF" w:rsidRDefault="0027472A">
      <w:pPr>
        <w:overflowPunct w:val="0"/>
        <w:spacing w:line="580" w:lineRule="exact"/>
        <w:ind w:firstLineChars="200" w:firstLine="688"/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2.组委会为分会场提供</w:t>
      </w:r>
      <w:r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  <w:t>核心专家</w:t>
      </w: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免会议注册费或</w:t>
      </w:r>
      <w:r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  <w:t>咨询费补贴</w:t>
      </w: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支持。</w:t>
      </w:r>
    </w:p>
    <w:p w:rsidR="008636DF" w:rsidRDefault="0027472A">
      <w:pPr>
        <w:overflowPunct w:val="0"/>
        <w:spacing w:line="580" w:lineRule="exact"/>
        <w:ind w:firstLineChars="200" w:firstLine="688"/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3.</w:t>
      </w:r>
      <w:r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  <w:t>鼓励分会场按年会合作方案</w:t>
      </w: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筹措</w:t>
      </w:r>
      <w:r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  <w:t>合作经费</w:t>
      </w: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，做为</w:t>
      </w: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lastRenderedPageBreak/>
        <w:t>分会场活动经费</w:t>
      </w:r>
      <w:r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  <w:t>。</w:t>
      </w:r>
    </w:p>
    <w:p w:rsidR="008636DF" w:rsidRDefault="0027472A">
      <w:pPr>
        <w:overflowPunct w:val="0"/>
        <w:autoSpaceDE w:val="0"/>
        <w:autoSpaceDN w:val="0"/>
        <w:spacing w:beforeLines="50" w:before="156" w:line="580" w:lineRule="exact"/>
        <w:ind w:firstLineChars="200" w:firstLine="688"/>
        <w:jc w:val="left"/>
        <w:rPr>
          <w:rFonts w:ascii="黑体" w:eastAsia="黑体" w:hAnsi="黑体" w:cs="仿宋"/>
          <w:spacing w:val="12"/>
          <w:kern w:val="0"/>
          <w:sz w:val="32"/>
          <w:szCs w:val="32"/>
          <w:lang w:val="zh-CN" w:bidi="zh-CN"/>
        </w:rPr>
      </w:pPr>
      <w:r>
        <w:rPr>
          <w:rFonts w:ascii="黑体" w:eastAsia="黑体" w:hAnsi="黑体" w:cs="仿宋" w:hint="eastAsia"/>
          <w:spacing w:val="12"/>
          <w:kern w:val="0"/>
          <w:sz w:val="32"/>
          <w:szCs w:val="32"/>
          <w:lang w:val="zh-CN" w:bidi="zh-CN"/>
        </w:rPr>
        <w:t>六、工作进度安排（初步）</w:t>
      </w:r>
    </w:p>
    <w:p w:rsidR="008636DF" w:rsidRDefault="0027472A">
      <w:pPr>
        <w:overflowPunct w:val="0"/>
        <w:spacing w:line="580" w:lineRule="exact"/>
        <w:ind w:firstLineChars="200" w:firstLine="688"/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（一）2026年1月20日：分会场征集截止；</w:t>
      </w:r>
    </w:p>
    <w:p w:rsidR="008636DF" w:rsidRDefault="0027472A">
      <w:pPr>
        <w:overflowPunct w:val="0"/>
        <w:spacing w:line="580" w:lineRule="exact"/>
        <w:ind w:firstLineChars="200" w:firstLine="688"/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（二）2026年2月10日：确定分会场承办单位；</w:t>
      </w:r>
    </w:p>
    <w:p w:rsidR="008636DF" w:rsidRDefault="0027472A">
      <w:pPr>
        <w:overflowPunct w:val="0"/>
        <w:spacing w:line="580" w:lineRule="exact"/>
        <w:ind w:firstLineChars="200" w:firstLine="688"/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（三）2026年2月：印发年会第一轮会议通知，启动论文征集；</w:t>
      </w:r>
    </w:p>
    <w:p w:rsidR="008636DF" w:rsidRDefault="0027472A">
      <w:pPr>
        <w:overflowPunct w:val="0"/>
        <w:spacing w:line="580" w:lineRule="exact"/>
        <w:ind w:firstLineChars="200" w:firstLine="688"/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（四）2026年5月10日：年会论文征集截止；</w:t>
      </w:r>
    </w:p>
    <w:p w:rsidR="008636DF" w:rsidRDefault="0027472A">
      <w:pPr>
        <w:overflowPunct w:val="0"/>
        <w:spacing w:line="580" w:lineRule="exact"/>
        <w:ind w:firstLineChars="200" w:firstLine="688"/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（五）2026年5月20日：</w:t>
      </w:r>
      <w:r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  <w:t>分会场报告人</w:t>
      </w: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及</w:t>
      </w:r>
      <w:r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  <w:t>执行团队名单报送截止；</w:t>
      </w:r>
    </w:p>
    <w:p w:rsidR="008636DF" w:rsidRDefault="0027472A">
      <w:pPr>
        <w:overflowPunct w:val="0"/>
        <w:spacing w:line="580" w:lineRule="exact"/>
        <w:ind w:firstLineChars="200" w:firstLine="688"/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（六）2026年6月10日：</w:t>
      </w:r>
      <w:r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  <w:t>完成论文评审与录用结果公布，收齐分会场最终议程；</w:t>
      </w:r>
    </w:p>
    <w:p w:rsidR="008636DF" w:rsidRDefault="0027472A">
      <w:pPr>
        <w:overflowPunct w:val="0"/>
        <w:spacing w:line="580" w:lineRule="exact"/>
        <w:ind w:firstLineChars="200" w:firstLine="688"/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（七）2026年6月中旬：</w:t>
      </w:r>
      <w:r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  <w:t>集中开展年会及分会场宣传；</w:t>
      </w:r>
    </w:p>
    <w:p w:rsidR="008636DF" w:rsidRDefault="0027472A">
      <w:pPr>
        <w:overflowPunct w:val="0"/>
        <w:spacing w:line="580" w:lineRule="exact"/>
        <w:ind w:firstLineChars="200" w:firstLine="688"/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（八）2026年7月：</w:t>
      </w:r>
      <w:r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  <w:t>年会召开，分会场按议程组织实施；</w:t>
      </w:r>
    </w:p>
    <w:p w:rsidR="008636DF" w:rsidRDefault="0027472A">
      <w:pPr>
        <w:overflowPunct w:val="0"/>
        <w:spacing w:line="580" w:lineRule="exact"/>
        <w:ind w:firstLineChars="200" w:firstLine="688"/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注：</w:t>
      </w:r>
      <w:r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  <w:t>以上时间节点为初步安排，组委会将根据实际情况适当调整</w:t>
      </w:r>
      <w:r>
        <w:rPr>
          <w:rFonts w:ascii="仿宋" w:eastAsia="仿宋" w:hAnsi="仿宋" w:cs="仿宋" w:hint="eastAsia"/>
          <w:snapToGrid w:val="0"/>
          <w:spacing w:val="12"/>
          <w:kern w:val="0"/>
          <w:sz w:val="32"/>
          <w:szCs w:val="32"/>
        </w:rPr>
        <w:t>并及时通知</w:t>
      </w:r>
      <w:r>
        <w:rPr>
          <w:rFonts w:ascii="仿宋" w:eastAsia="仿宋" w:hAnsi="仿宋" w:cs="仿宋"/>
          <w:snapToGrid w:val="0"/>
          <w:spacing w:val="12"/>
          <w:kern w:val="0"/>
          <w:sz w:val="32"/>
          <w:szCs w:val="32"/>
        </w:rPr>
        <w:t>。</w:t>
      </w:r>
    </w:p>
    <w:sectPr w:rsidR="00863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38E"/>
    <w:multiLevelType w:val="multilevel"/>
    <w:tmpl w:val="2279338E"/>
    <w:lvl w:ilvl="0">
      <w:start w:val="1"/>
      <w:numFmt w:val="bullet"/>
      <w:pStyle w:val="a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ZmZjMWU4ZGZiZDMyNTQ0NWNmZjk4NDllODRmZDgifQ=="/>
  </w:docVars>
  <w:rsids>
    <w:rsidRoot w:val="004C6D71"/>
    <w:rsid w:val="D7EF5417"/>
    <w:rsid w:val="00000931"/>
    <w:rsid w:val="00024254"/>
    <w:rsid w:val="00030D51"/>
    <w:rsid w:val="00037F1E"/>
    <w:rsid w:val="00044A09"/>
    <w:rsid w:val="0006600D"/>
    <w:rsid w:val="000D5358"/>
    <w:rsid w:val="000F6B99"/>
    <w:rsid w:val="001339C2"/>
    <w:rsid w:val="001342E2"/>
    <w:rsid w:val="00146ACD"/>
    <w:rsid w:val="00146B92"/>
    <w:rsid w:val="0015535E"/>
    <w:rsid w:val="00176878"/>
    <w:rsid w:val="001865BD"/>
    <w:rsid w:val="001A3E8E"/>
    <w:rsid w:val="001D578F"/>
    <w:rsid w:val="001D5DC4"/>
    <w:rsid w:val="0025104A"/>
    <w:rsid w:val="0027472A"/>
    <w:rsid w:val="002A66C6"/>
    <w:rsid w:val="002B58FA"/>
    <w:rsid w:val="002E01E2"/>
    <w:rsid w:val="0036230F"/>
    <w:rsid w:val="00367FB0"/>
    <w:rsid w:val="00496DC1"/>
    <w:rsid w:val="004A7714"/>
    <w:rsid w:val="004B110A"/>
    <w:rsid w:val="004C6D71"/>
    <w:rsid w:val="004E3ACC"/>
    <w:rsid w:val="0052641B"/>
    <w:rsid w:val="005F156C"/>
    <w:rsid w:val="0063139C"/>
    <w:rsid w:val="0063594D"/>
    <w:rsid w:val="006B0B52"/>
    <w:rsid w:val="006C501A"/>
    <w:rsid w:val="006F37D9"/>
    <w:rsid w:val="007C2739"/>
    <w:rsid w:val="007E40E1"/>
    <w:rsid w:val="0081218C"/>
    <w:rsid w:val="00820B7D"/>
    <w:rsid w:val="00821F13"/>
    <w:rsid w:val="00833C5F"/>
    <w:rsid w:val="00836DE5"/>
    <w:rsid w:val="0084268D"/>
    <w:rsid w:val="008636DF"/>
    <w:rsid w:val="008823A9"/>
    <w:rsid w:val="00882B3A"/>
    <w:rsid w:val="008B06AA"/>
    <w:rsid w:val="008B611A"/>
    <w:rsid w:val="008C49AE"/>
    <w:rsid w:val="008D4FA6"/>
    <w:rsid w:val="008E54D0"/>
    <w:rsid w:val="008F7159"/>
    <w:rsid w:val="00922B8E"/>
    <w:rsid w:val="00933C61"/>
    <w:rsid w:val="0097702A"/>
    <w:rsid w:val="00990C39"/>
    <w:rsid w:val="009D1D81"/>
    <w:rsid w:val="009E5D38"/>
    <w:rsid w:val="00A41914"/>
    <w:rsid w:val="00A42E00"/>
    <w:rsid w:val="00A5644D"/>
    <w:rsid w:val="00B513D5"/>
    <w:rsid w:val="00BA0F7C"/>
    <w:rsid w:val="00BA74A9"/>
    <w:rsid w:val="00C0063C"/>
    <w:rsid w:val="00C17087"/>
    <w:rsid w:val="00C309DF"/>
    <w:rsid w:val="00D210A8"/>
    <w:rsid w:val="00D41054"/>
    <w:rsid w:val="00D57536"/>
    <w:rsid w:val="00DE30AC"/>
    <w:rsid w:val="00DF651E"/>
    <w:rsid w:val="00E45D45"/>
    <w:rsid w:val="00E511F2"/>
    <w:rsid w:val="00E8141C"/>
    <w:rsid w:val="00EC21F0"/>
    <w:rsid w:val="00F0292E"/>
    <w:rsid w:val="00F03111"/>
    <w:rsid w:val="00F053DE"/>
    <w:rsid w:val="00F056DF"/>
    <w:rsid w:val="00F42610"/>
    <w:rsid w:val="00F62482"/>
    <w:rsid w:val="00F75293"/>
    <w:rsid w:val="00FA574B"/>
    <w:rsid w:val="00FC3DAA"/>
    <w:rsid w:val="00FD3FEC"/>
    <w:rsid w:val="18E828F8"/>
    <w:rsid w:val="238D6EC3"/>
    <w:rsid w:val="2FFD88D1"/>
    <w:rsid w:val="36B77FD3"/>
    <w:rsid w:val="44D02D5D"/>
    <w:rsid w:val="580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2"/>
    <w:next w:val="a0"/>
    <w:link w:val="1Char"/>
    <w:autoRedefine/>
    <w:qFormat/>
    <w:pPr>
      <w:widowControl/>
      <w:spacing w:beforeLines="200" w:before="624" w:after="0" w:line="640" w:lineRule="exact"/>
      <w:jc w:val="center"/>
      <w:outlineLvl w:val="0"/>
    </w:pPr>
    <w:rPr>
      <w:rFonts w:ascii="方正小标宋简体" w:eastAsia="方正小标宋简体" w:hAnsi="方正小标宋简体" w:cs="方正小标宋简体"/>
      <w:b w:val="0"/>
      <w:bCs w:val="0"/>
      <w:spacing w:val="10"/>
      <w:kern w:val="44"/>
      <w:sz w:val="44"/>
      <w:szCs w:val="44"/>
    </w:rPr>
  </w:style>
  <w:style w:type="paragraph" w:styleId="2">
    <w:name w:val="heading 2"/>
    <w:basedOn w:val="a0"/>
    <w:next w:val="a0"/>
    <w:link w:val="2Char"/>
    <w:autoRedefine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uiPriority w:val="22"/>
    <w:qFormat/>
    <w:rPr>
      <w:b/>
      <w:bCs/>
    </w:rPr>
  </w:style>
  <w:style w:type="character" w:styleId="aa">
    <w:name w:val="Hyperlink"/>
    <w:basedOn w:val="a1"/>
    <w:uiPriority w:val="99"/>
    <w:unhideWhenUsed/>
    <w:qFormat/>
    <w:rPr>
      <w:color w:val="0000FF" w:themeColor="hyperlink"/>
      <w:u w:val="single"/>
    </w:rPr>
  </w:style>
  <w:style w:type="paragraph" w:styleId="a">
    <w:name w:val="List Paragraph"/>
    <w:basedOn w:val="a0"/>
    <w:autoRedefine/>
    <w:uiPriority w:val="34"/>
    <w:qFormat/>
    <w:pPr>
      <w:widowControl/>
      <w:numPr>
        <w:numId w:val="1"/>
      </w:numPr>
      <w:spacing w:line="580" w:lineRule="exact"/>
    </w:pPr>
  </w:style>
  <w:style w:type="paragraph" w:customStyle="1" w:styleId="Default">
    <w:name w:val="Default"/>
    <w:autoRedefine/>
    <w:qFormat/>
    <w:pPr>
      <w:widowControl w:val="0"/>
      <w:overflowPunct w:val="0"/>
      <w:autoSpaceDE w:val="0"/>
      <w:autoSpaceDN w:val="0"/>
      <w:adjustRightInd w:val="0"/>
      <w:spacing w:afterLines="50" w:after="156" w:line="700" w:lineRule="exact"/>
      <w:jc w:val="center"/>
    </w:pPr>
    <w:rPr>
      <w:rFonts w:ascii="方正小标宋简体" w:eastAsia="方正小标宋简体" w:hAnsiTheme="minorHAnsi" w:cs="黑体"/>
      <w:color w:val="000000"/>
      <w:sz w:val="44"/>
      <w:szCs w:val="44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1"/>
    <w:link w:val="1"/>
    <w:qFormat/>
    <w:rPr>
      <w:rFonts w:ascii="方正小标宋简体" w:eastAsia="方正小标宋简体" w:hAnsi="方正小标宋简体" w:cs="方正小标宋简体"/>
      <w:spacing w:val="10"/>
      <w:kern w:val="44"/>
      <w:sz w:val="44"/>
      <w:szCs w:val="44"/>
    </w:rPr>
  </w:style>
  <w:style w:type="character" w:customStyle="1" w:styleId="2Char">
    <w:name w:val="标题 2 Char"/>
    <w:basedOn w:val="a1"/>
    <w:link w:val="2"/>
    <w:autoRedefine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页眉 Char"/>
    <w:basedOn w:val="a1"/>
    <w:link w:val="a6"/>
    <w:autoRedefine/>
    <w:uiPriority w:val="99"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UnresolvedMention">
    <w:name w:val="Unresolved Mention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3Char">
    <w:name w:val="标题 3 Char"/>
    <w:basedOn w:val="a1"/>
    <w:link w:val="3"/>
    <w:uiPriority w:val="9"/>
    <w:semiHidden/>
    <w:rPr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2"/>
    <w:next w:val="a0"/>
    <w:link w:val="1Char"/>
    <w:autoRedefine/>
    <w:qFormat/>
    <w:pPr>
      <w:widowControl/>
      <w:spacing w:beforeLines="200" w:before="624" w:after="0" w:line="640" w:lineRule="exact"/>
      <w:jc w:val="center"/>
      <w:outlineLvl w:val="0"/>
    </w:pPr>
    <w:rPr>
      <w:rFonts w:ascii="方正小标宋简体" w:eastAsia="方正小标宋简体" w:hAnsi="方正小标宋简体" w:cs="方正小标宋简体"/>
      <w:b w:val="0"/>
      <w:bCs w:val="0"/>
      <w:spacing w:val="10"/>
      <w:kern w:val="44"/>
      <w:sz w:val="44"/>
      <w:szCs w:val="44"/>
    </w:rPr>
  </w:style>
  <w:style w:type="paragraph" w:styleId="2">
    <w:name w:val="heading 2"/>
    <w:basedOn w:val="a0"/>
    <w:next w:val="a0"/>
    <w:link w:val="2Char"/>
    <w:autoRedefine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uiPriority w:val="22"/>
    <w:qFormat/>
    <w:rPr>
      <w:b/>
      <w:bCs/>
    </w:rPr>
  </w:style>
  <w:style w:type="character" w:styleId="aa">
    <w:name w:val="Hyperlink"/>
    <w:basedOn w:val="a1"/>
    <w:uiPriority w:val="99"/>
    <w:unhideWhenUsed/>
    <w:qFormat/>
    <w:rPr>
      <w:color w:val="0000FF" w:themeColor="hyperlink"/>
      <w:u w:val="single"/>
    </w:rPr>
  </w:style>
  <w:style w:type="paragraph" w:styleId="a">
    <w:name w:val="List Paragraph"/>
    <w:basedOn w:val="a0"/>
    <w:autoRedefine/>
    <w:uiPriority w:val="34"/>
    <w:qFormat/>
    <w:pPr>
      <w:widowControl/>
      <w:numPr>
        <w:numId w:val="1"/>
      </w:numPr>
      <w:spacing w:line="580" w:lineRule="exact"/>
    </w:pPr>
  </w:style>
  <w:style w:type="paragraph" w:customStyle="1" w:styleId="Default">
    <w:name w:val="Default"/>
    <w:autoRedefine/>
    <w:qFormat/>
    <w:pPr>
      <w:widowControl w:val="0"/>
      <w:overflowPunct w:val="0"/>
      <w:autoSpaceDE w:val="0"/>
      <w:autoSpaceDN w:val="0"/>
      <w:adjustRightInd w:val="0"/>
      <w:spacing w:afterLines="50" w:after="156" w:line="700" w:lineRule="exact"/>
      <w:jc w:val="center"/>
    </w:pPr>
    <w:rPr>
      <w:rFonts w:ascii="方正小标宋简体" w:eastAsia="方正小标宋简体" w:hAnsiTheme="minorHAnsi" w:cs="黑体"/>
      <w:color w:val="000000"/>
      <w:sz w:val="44"/>
      <w:szCs w:val="44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1"/>
    <w:link w:val="1"/>
    <w:qFormat/>
    <w:rPr>
      <w:rFonts w:ascii="方正小标宋简体" w:eastAsia="方正小标宋简体" w:hAnsi="方正小标宋简体" w:cs="方正小标宋简体"/>
      <w:spacing w:val="10"/>
      <w:kern w:val="44"/>
      <w:sz w:val="44"/>
      <w:szCs w:val="44"/>
    </w:rPr>
  </w:style>
  <w:style w:type="character" w:customStyle="1" w:styleId="2Char">
    <w:name w:val="标题 2 Char"/>
    <w:basedOn w:val="a1"/>
    <w:link w:val="2"/>
    <w:autoRedefine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页眉 Char"/>
    <w:basedOn w:val="a1"/>
    <w:link w:val="a6"/>
    <w:autoRedefine/>
    <w:uiPriority w:val="99"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UnresolvedMention">
    <w:name w:val="Unresolved Mention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3Char">
    <w:name w:val="标题 3 Char"/>
    <w:basedOn w:val="a1"/>
    <w:link w:val="3"/>
    <w:uiPriority w:val="9"/>
    <w:semiHidden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CEFC1036-704A-47CA-9A8D-4332DD01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xb21cn</cp:lastModifiedBy>
  <cp:revision>4</cp:revision>
  <cp:lastPrinted>2024-08-19T23:52:00Z</cp:lastPrinted>
  <dcterms:created xsi:type="dcterms:W3CDTF">2025-12-24T18:05:00Z</dcterms:created>
  <dcterms:modified xsi:type="dcterms:W3CDTF">2025-12-31T06:52:00Z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2052-12.9.0.23663</vt:lpwstr>
  </property>
  <property fmtid="{D5CDD505-2E9C-101B-9397-08002B2CF9AE}" pid="3" name="ICV">
    <vt:lpwstr>4CCCAEA495C3EB26C9E34D691D39B901_43</vt:lpwstr>
  </property>
</Properties>
</file>