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9E25D6">
      <w:pPr>
        <w:autoSpaceDE w:val="0"/>
        <w:autoSpaceDN w:val="0"/>
        <w:adjustRightInd w:val="0"/>
        <w:spacing w:line="588" w:lineRule="exact"/>
        <w:jc w:val="center"/>
        <w:rPr>
          <w:rFonts w:ascii="方正小标宋简体" w:hAnsi="Times New Roman" w:eastAsia="方正小标宋简体" w:cs="Times New Roman"/>
          <w:bCs/>
          <w:sz w:val="36"/>
          <w:szCs w:val="36"/>
        </w:rPr>
      </w:pPr>
    </w:p>
    <w:p w14:paraId="7E9FFF27">
      <w:pPr>
        <w:spacing w:line="588" w:lineRule="exact"/>
        <w:jc w:val="center"/>
        <w:rPr>
          <w:rFonts w:hint="eastAsia" w:ascii="方正小标宋_GBK" w:hAnsi="Times New Roman" w:eastAsia="方正小标宋_GBK" w:cs="Times New Roman"/>
          <w:bCs/>
          <w:sz w:val="36"/>
          <w:szCs w:val="36"/>
        </w:rPr>
      </w:pPr>
      <w:r>
        <w:rPr>
          <w:rFonts w:hint="eastAsia" w:ascii="方正小标宋_GBK" w:hAnsi="Times New Roman" w:eastAsia="方正小标宋_GBK" w:cs="Times New Roman"/>
          <w:bCs/>
          <w:sz w:val="36"/>
          <w:szCs w:val="36"/>
        </w:rPr>
        <w:t>《能源费用托管服务评价技术要求》</w:t>
      </w:r>
    </w:p>
    <w:p w14:paraId="37B8B825">
      <w:pPr>
        <w:spacing w:line="588" w:lineRule="exact"/>
        <w:jc w:val="center"/>
        <w:rPr>
          <w:rFonts w:hint="eastAsia" w:ascii="方正小标宋_GBK" w:hAnsi="Times New Roman" w:eastAsia="方正小标宋_GBK" w:cs="Times New Roman"/>
          <w:bCs/>
          <w:sz w:val="36"/>
          <w:szCs w:val="36"/>
        </w:rPr>
      </w:pPr>
      <w:r>
        <w:rPr>
          <w:rFonts w:hint="eastAsia" w:ascii="方正小标宋_GBK" w:hAnsi="Times New Roman" w:eastAsia="方正小标宋_GBK" w:cs="Times New Roman"/>
          <w:bCs/>
          <w:sz w:val="36"/>
          <w:szCs w:val="36"/>
        </w:rPr>
        <w:t>编制说明</w:t>
      </w:r>
    </w:p>
    <w:p w14:paraId="143A148C">
      <w:pPr>
        <w:spacing w:line="588" w:lineRule="exact"/>
        <w:jc w:val="center"/>
        <w:rPr>
          <w:rFonts w:hint="eastAsia" w:ascii="方正楷体_GBK" w:hAnsi="方正楷体_GBK" w:eastAsia="方正楷体_GBK" w:cs="方正楷体_GBK"/>
          <w:bCs/>
          <w:kern w:val="0"/>
          <w:sz w:val="30"/>
          <w:szCs w:val="30"/>
        </w:rPr>
      </w:pPr>
    </w:p>
    <w:p w14:paraId="32027BC6">
      <w:pPr>
        <w:widowControl/>
        <w:spacing w:line="588" w:lineRule="exact"/>
        <w:ind w:firstLine="640"/>
        <w:rPr>
          <w:rFonts w:hint="eastAsia" w:ascii="方正黑体_GBK" w:hAnsi="Times New Roman" w:eastAsia="方正黑体_GBK" w:cs="Times New Roman"/>
          <w:sz w:val="30"/>
          <w:szCs w:val="30"/>
        </w:rPr>
      </w:pPr>
      <w:r>
        <w:rPr>
          <w:rFonts w:hint="eastAsia" w:ascii="方正黑体_GBK" w:hAnsi="Times New Roman" w:eastAsia="方正黑体_GBK" w:cs="Times New Roman"/>
          <w:sz w:val="30"/>
          <w:szCs w:val="30"/>
        </w:rPr>
        <w:t>一、工作简况</w:t>
      </w:r>
    </w:p>
    <w:p w14:paraId="4BF2A921">
      <w:pPr>
        <w:widowControl/>
        <w:spacing w:line="588" w:lineRule="exact"/>
        <w:ind w:firstLine="450" w:firstLineChars="150"/>
        <w:rPr>
          <w:rFonts w:hint="eastAsia" w:ascii="方正楷体_GBK" w:hAnsi="Times New Roman" w:eastAsia="方正楷体_GBK" w:cs="Times New Roman"/>
          <w:sz w:val="30"/>
          <w:szCs w:val="30"/>
        </w:rPr>
      </w:pPr>
      <w:r>
        <w:rPr>
          <w:rFonts w:hint="eastAsia" w:ascii="方正楷体_GBK" w:hAnsi="Times New Roman" w:eastAsia="方正楷体_GBK" w:cs="Times New Roman"/>
          <w:sz w:val="30"/>
          <w:szCs w:val="30"/>
        </w:rPr>
        <w:t>（一）背景和任务来源</w:t>
      </w:r>
    </w:p>
    <w:p w14:paraId="2AA61D05">
      <w:pPr>
        <w:widowControl/>
        <w:spacing w:line="588" w:lineRule="exact"/>
        <w:ind w:firstLine="450" w:firstLineChars="150"/>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在“双碳”目标引领下，能源费用托管作为合同能源管理的重要创新模式，成为建筑、公共机构、工业、市政等领域提升能源利用效率、降低用能成本的重要手段，行业发展迎来政策与市场双重红利。</w:t>
      </w:r>
    </w:p>
    <w:p w14:paraId="183F69BA">
      <w:pPr>
        <w:widowControl/>
        <w:spacing w:line="588" w:lineRule="exact"/>
        <w:ind w:firstLine="450" w:firstLineChars="150"/>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lang w:val="en-US" w:eastAsia="zh-CN"/>
        </w:rPr>
        <w:t>1.</w:t>
      </w:r>
      <w:r>
        <w:rPr>
          <w:rFonts w:hint="eastAsia" w:ascii="Times New Roman" w:hAnsi="Times New Roman" w:eastAsia="方正仿宋_GBK" w:cs="Times New Roman"/>
          <w:bCs/>
          <w:kern w:val="0"/>
          <w:sz w:val="30"/>
          <w:szCs w:val="30"/>
        </w:rPr>
        <w:t>政策层面持续加码引导</w:t>
      </w:r>
    </w:p>
    <w:p w14:paraId="512D6113">
      <w:pPr>
        <w:widowControl/>
        <w:spacing w:line="588" w:lineRule="exact"/>
        <w:ind w:firstLine="450" w:firstLineChars="150"/>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国家层面先后出台多项政策推动能源费用托管模式落地：2017 年国务院《“十三五” 节能减排综合工作方案》提出探索用能托管模式；2018年中共中央、国务院《关于全面加强生态环境保护 坚决打好污染防治攻坚战的意见》鼓励推行区域环境托管等新模式；2020年国家</w:t>
      </w:r>
      <w:r>
        <w:rPr>
          <w:rFonts w:hint="eastAsia" w:ascii="Times New Roman" w:hAnsi="Times New Roman" w:eastAsia="方正仿宋_GBK" w:cs="Times New Roman"/>
          <w:bCs/>
          <w:kern w:val="0"/>
          <w:sz w:val="30"/>
          <w:szCs w:val="30"/>
          <w:lang w:val="en-US" w:eastAsia="zh-CN"/>
        </w:rPr>
        <w:t>发展改革委</w:t>
      </w:r>
      <w:r>
        <w:rPr>
          <w:rFonts w:hint="eastAsia" w:ascii="Times New Roman" w:hAnsi="Times New Roman" w:eastAsia="方正仿宋_GBK" w:cs="Times New Roman"/>
          <w:bCs/>
          <w:kern w:val="0"/>
          <w:sz w:val="30"/>
          <w:szCs w:val="30"/>
        </w:rPr>
        <w:t>等六部门《关于营造更好发展环境 支持民营节能环保企业健康发展的实施意见》明确鼓励创新能源托管等新商业模式；2021年国务院《关于加快建立健全绿色低碳循环发展经济体系的指导意见》提出鼓励公共机构推行能源托管服务；2022年国管局、国家</w:t>
      </w:r>
      <w:r>
        <w:rPr>
          <w:rFonts w:hint="eastAsia" w:ascii="Times New Roman" w:hAnsi="Times New Roman" w:eastAsia="方正仿宋_GBK" w:cs="Times New Roman"/>
          <w:bCs/>
          <w:kern w:val="0"/>
          <w:sz w:val="30"/>
          <w:szCs w:val="30"/>
          <w:lang w:val="en-US" w:eastAsia="zh-CN"/>
        </w:rPr>
        <w:t>发展改革委</w:t>
      </w:r>
      <w:r>
        <w:rPr>
          <w:rFonts w:hint="eastAsia" w:ascii="Times New Roman" w:hAnsi="Times New Roman" w:eastAsia="方正仿宋_GBK" w:cs="Times New Roman"/>
          <w:bCs/>
          <w:kern w:val="0"/>
          <w:sz w:val="30"/>
          <w:szCs w:val="30"/>
        </w:rPr>
        <w:t>、财政部联合印发《关于鼓励和支持公共机构采用能源费用托管服务的意见》，为公共机构领域能源托管服务实施提供直接指导。一系列政策的出台，为能源费用托管服务的推广奠定了坚实的政策基础。</w:t>
      </w:r>
    </w:p>
    <w:p w14:paraId="696242C3">
      <w:pPr>
        <w:widowControl/>
        <w:spacing w:line="588" w:lineRule="exact"/>
        <w:ind w:firstLine="450" w:firstLineChars="150"/>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lang w:val="en-US" w:eastAsia="zh-CN"/>
        </w:rPr>
        <w:t xml:space="preserve">2. </w:t>
      </w:r>
      <w:r>
        <w:rPr>
          <w:rFonts w:hint="eastAsia" w:ascii="Times New Roman" w:hAnsi="Times New Roman" w:eastAsia="方正仿宋_GBK" w:cs="Times New Roman"/>
          <w:bCs/>
          <w:kern w:val="0"/>
          <w:sz w:val="30"/>
          <w:szCs w:val="30"/>
        </w:rPr>
        <w:t>市场层面规模快速增长</w:t>
      </w:r>
    </w:p>
    <w:p w14:paraId="5F604297">
      <w:pPr>
        <w:widowControl/>
        <w:spacing w:line="588" w:lineRule="exact"/>
        <w:ind w:firstLine="450" w:firstLineChars="150"/>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政策推动下，能源费用托管服务市场活跃度持续提升，应用领域不断拓展。据国管局统计，2022年9月《意见》印发以来，全国公共机构累计实施能源费用托管项目数量突破1000个，合同金额超过380亿元，覆盖公共机构7000余家；2025年新增项目340余个，新增合同金额达160亿元，项目节能率普遍在8%到25%之间；从节能服务行业整体来看，</w:t>
      </w:r>
      <w:r>
        <w:rPr>
          <w:rFonts w:hint="eastAsia" w:ascii="Times New Roman" w:hAnsi="Times New Roman" w:eastAsia="方正仿宋_GBK" w:cs="Times New Roman"/>
          <w:bCs/>
          <w:kern w:val="0"/>
          <w:sz w:val="30"/>
          <w:szCs w:val="30"/>
          <w:lang w:val="en-US" w:eastAsia="zh-CN"/>
        </w:rPr>
        <w:t>2025年</w:t>
      </w:r>
      <w:r>
        <w:rPr>
          <w:rFonts w:hint="eastAsia" w:ascii="Times New Roman" w:hAnsi="Times New Roman" w:eastAsia="方正仿宋_GBK" w:cs="Times New Roman"/>
          <w:bCs/>
          <w:kern w:val="0"/>
          <w:sz w:val="30"/>
          <w:szCs w:val="30"/>
        </w:rPr>
        <w:t>能源托管模式</w:t>
      </w:r>
      <w:r>
        <w:rPr>
          <w:rFonts w:hint="eastAsia" w:ascii="Times New Roman" w:hAnsi="Times New Roman" w:eastAsia="方正仿宋_GBK" w:cs="Times New Roman"/>
          <w:bCs/>
          <w:kern w:val="0"/>
          <w:sz w:val="30"/>
          <w:szCs w:val="30"/>
          <w:lang w:val="en-US" w:eastAsia="zh-CN"/>
        </w:rPr>
        <w:t>约</w:t>
      </w:r>
      <w:r>
        <w:rPr>
          <w:rFonts w:hint="eastAsia" w:ascii="Times New Roman" w:hAnsi="Times New Roman" w:eastAsia="方正仿宋_GBK" w:cs="Times New Roman"/>
          <w:bCs/>
          <w:kern w:val="0"/>
          <w:sz w:val="30"/>
          <w:szCs w:val="30"/>
        </w:rPr>
        <w:t>占节能服务公司全部实施项目数量的</w:t>
      </w:r>
      <w:r>
        <w:rPr>
          <w:rFonts w:hint="eastAsia" w:ascii="Times New Roman" w:hAnsi="Times New Roman" w:eastAsia="方正仿宋_GBK" w:cs="Times New Roman"/>
          <w:bCs/>
          <w:kern w:val="0"/>
          <w:sz w:val="30"/>
          <w:szCs w:val="30"/>
          <w:lang w:val="en-US" w:eastAsia="zh-CN"/>
        </w:rPr>
        <w:t>1/4</w:t>
      </w:r>
      <w:r>
        <w:rPr>
          <w:rFonts w:hint="eastAsia" w:ascii="Times New Roman" w:hAnsi="Times New Roman" w:eastAsia="方正仿宋_GBK" w:cs="Times New Roman"/>
          <w:bCs/>
          <w:kern w:val="0"/>
          <w:sz w:val="30"/>
          <w:szCs w:val="30"/>
        </w:rPr>
        <w:t>，且呈明显上升趋势，应用场景从公共机构、商业建筑逐步延伸至市政路灯、地铁、工业等多个领域，市场需求持续释放。</w:t>
      </w:r>
    </w:p>
    <w:p w14:paraId="50B2C320">
      <w:pPr>
        <w:widowControl/>
        <w:spacing w:line="588" w:lineRule="exact"/>
        <w:ind w:firstLine="450" w:firstLineChars="150"/>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lang w:val="en-US" w:eastAsia="zh-CN"/>
        </w:rPr>
        <w:t xml:space="preserve">3. </w:t>
      </w:r>
      <w:r>
        <w:rPr>
          <w:rFonts w:hint="eastAsia" w:ascii="Times New Roman" w:hAnsi="Times New Roman" w:eastAsia="方正仿宋_GBK" w:cs="Times New Roman"/>
          <w:bCs/>
          <w:kern w:val="0"/>
          <w:sz w:val="30"/>
          <w:szCs w:val="30"/>
        </w:rPr>
        <w:t>行业发展面临标准缺失痛点</w:t>
      </w:r>
    </w:p>
    <w:p w14:paraId="01CBA096">
      <w:pPr>
        <w:widowControl/>
        <w:spacing w:line="588" w:lineRule="exact"/>
        <w:ind w:firstLine="450" w:firstLineChars="150"/>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尽管能源费用托管服务发展势头良好，但当前尚未出台专门针对能源托管服务评价的国家标准和行业标准，现有合同能源管理相关标准仅能提供通用指导，无法充分适配能源托管服务在投资、运维、全流程管理等方面的特殊性。行业内服务水平参差不齐，缺乏统一的评价尺度和技术规范，用能单位难以科学甄别节能服务公司的服务能力，节能服务公司缺乏明确的发展提升指引，同时也影响了行业规范化、高质量发展，亟需制定专项评价技术要求填补行业空白。</w:t>
      </w:r>
    </w:p>
    <w:p w14:paraId="757754BC">
      <w:pPr>
        <w:widowControl/>
        <w:spacing w:line="588" w:lineRule="exact"/>
        <w:ind w:firstLine="450" w:firstLineChars="150"/>
        <w:rPr>
          <w:rFonts w:hint="eastAsia" w:ascii="方正楷体_GBK" w:hAnsi="Times New Roman" w:eastAsia="方正楷体_GBK" w:cs="Times New Roman"/>
          <w:sz w:val="30"/>
          <w:szCs w:val="30"/>
        </w:rPr>
      </w:pPr>
      <w:r>
        <w:rPr>
          <w:rFonts w:hint="eastAsia" w:ascii="方正楷体_GBK" w:hAnsi="Times New Roman" w:eastAsia="方正楷体_GBK" w:cs="Times New Roman"/>
          <w:sz w:val="30"/>
          <w:szCs w:val="30"/>
        </w:rPr>
        <w:t>（二）项目起草单位简况</w:t>
      </w:r>
    </w:p>
    <w:p w14:paraId="56C8CF94">
      <w:pPr>
        <w:adjustRightInd w:val="0"/>
        <w:snapToGrid w:val="0"/>
        <w:spacing w:line="588" w:lineRule="exact"/>
        <w:ind w:firstLine="600" w:firstLineChars="200"/>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本标准由中国</w:t>
      </w:r>
      <w:r>
        <w:rPr>
          <w:rFonts w:hint="eastAsia" w:ascii="Times New Roman" w:hAnsi="Times New Roman" w:eastAsia="方正仿宋_GBK" w:cs="Times New Roman"/>
          <w:bCs/>
          <w:kern w:val="0"/>
          <w:sz w:val="30"/>
          <w:szCs w:val="30"/>
          <w:lang w:val="en-US" w:eastAsia="zh-CN"/>
        </w:rPr>
        <w:t>节能</w:t>
      </w:r>
      <w:r>
        <w:rPr>
          <w:rFonts w:hint="eastAsia" w:ascii="Times New Roman" w:hAnsi="Times New Roman" w:eastAsia="方正仿宋_GBK" w:cs="Times New Roman"/>
          <w:bCs/>
          <w:kern w:val="0"/>
          <w:sz w:val="30"/>
          <w:szCs w:val="30"/>
        </w:rPr>
        <w:t>协会</w:t>
      </w:r>
      <w:r>
        <w:rPr>
          <w:rFonts w:hint="eastAsia" w:ascii="Times New Roman" w:hAnsi="Times New Roman" w:eastAsia="方正仿宋_GBK" w:cs="Times New Roman"/>
          <w:bCs/>
          <w:kern w:val="0"/>
          <w:sz w:val="30"/>
          <w:szCs w:val="30"/>
          <w:lang w:val="en-US" w:eastAsia="zh-CN"/>
        </w:rPr>
        <w:t>归口</w:t>
      </w:r>
      <w:r>
        <w:rPr>
          <w:rFonts w:hint="eastAsia" w:ascii="Times New Roman" w:hAnsi="Times New Roman" w:eastAsia="方正仿宋_GBK" w:cs="Times New Roman"/>
          <w:bCs/>
          <w:kern w:val="0"/>
          <w:sz w:val="30"/>
          <w:szCs w:val="30"/>
        </w:rPr>
        <w:t>，广西桂物节能集团有限公司、国联绿色科技（无锡）股份有限公司、上海时链节能科技有限公司、新瑞数城技术有限公司、浙江新创源综合能源有限公司、北京市煤气热力工程设计院有限公司、中粮集团有限公司、中国节能协会节能服务产业委员会等</w:t>
      </w:r>
      <w:r>
        <w:rPr>
          <w:rFonts w:hint="eastAsia" w:ascii="Times New Roman" w:hAnsi="Times New Roman" w:eastAsia="方正仿宋_GBK" w:cs="Times New Roman"/>
          <w:bCs/>
          <w:kern w:val="0"/>
          <w:sz w:val="30"/>
          <w:szCs w:val="30"/>
          <w:lang w:val="en-US" w:eastAsia="zh-CN"/>
        </w:rPr>
        <w:t>单位</w:t>
      </w:r>
      <w:r>
        <w:rPr>
          <w:rFonts w:hint="eastAsia" w:ascii="Times New Roman" w:hAnsi="Times New Roman" w:eastAsia="方正仿宋_GBK" w:cs="Times New Roman"/>
          <w:bCs/>
          <w:kern w:val="0"/>
          <w:sz w:val="30"/>
          <w:szCs w:val="30"/>
        </w:rPr>
        <w:t>共同起草。</w:t>
      </w:r>
    </w:p>
    <w:p w14:paraId="0B09B91C">
      <w:pPr>
        <w:widowControl/>
        <w:spacing w:line="588" w:lineRule="exact"/>
        <w:ind w:firstLine="450" w:firstLineChars="150"/>
        <w:rPr>
          <w:rFonts w:hint="eastAsia" w:ascii="方正楷体_GBK" w:hAnsi="Times New Roman" w:eastAsia="方正楷体_GBK" w:cs="Times New Roman"/>
          <w:sz w:val="30"/>
          <w:szCs w:val="30"/>
        </w:rPr>
      </w:pPr>
      <w:r>
        <w:rPr>
          <w:rFonts w:hint="eastAsia" w:ascii="方正楷体_GBK" w:hAnsi="Times New Roman" w:eastAsia="方正楷体_GBK" w:cs="Times New Roman"/>
          <w:sz w:val="30"/>
          <w:szCs w:val="30"/>
        </w:rPr>
        <w:t>（三）规范编制原则</w:t>
      </w:r>
    </w:p>
    <w:p w14:paraId="5BC5CC1B">
      <w:pPr>
        <w:adjustRightInd w:val="0"/>
        <w:snapToGrid w:val="0"/>
        <w:spacing w:line="588" w:lineRule="exact"/>
        <w:ind w:firstLine="600" w:firstLineChars="200"/>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在标准</w:t>
      </w:r>
      <w:r>
        <w:rPr>
          <w:rFonts w:hint="eastAsia" w:ascii="Times New Roman" w:hAnsi="Times New Roman" w:eastAsia="方正仿宋_GBK" w:cs="Times New Roman"/>
          <w:bCs/>
          <w:kern w:val="0"/>
          <w:sz w:val="30"/>
          <w:szCs w:val="30"/>
          <w:lang w:val="en-US" w:eastAsia="zh-CN"/>
        </w:rPr>
        <w:t>制订</w:t>
      </w:r>
      <w:r>
        <w:rPr>
          <w:rFonts w:hint="eastAsia" w:ascii="Times New Roman" w:hAnsi="Times New Roman" w:eastAsia="方正仿宋_GBK" w:cs="Times New Roman"/>
          <w:bCs/>
          <w:kern w:val="0"/>
          <w:sz w:val="30"/>
          <w:szCs w:val="30"/>
        </w:rPr>
        <w:t xml:space="preserve">过程中遵循了以下几个原则： </w:t>
      </w:r>
    </w:p>
    <w:p w14:paraId="2E96AE51">
      <w:pPr>
        <w:adjustRightInd w:val="0"/>
        <w:snapToGrid w:val="0"/>
        <w:spacing w:line="588" w:lineRule="exact"/>
        <w:ind w:firstLine="600" w:firstLineChars="200"/>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lang w:val="en-US" w:eastAsia="zh-CN"/>
        </w:rPr>
        <w:t xml:space="preserve">1. </w:t>
      </w:r>
      <w:r>
        <w:rPr>
          <w:rFonts w:hint="eastAsia" w:ascii="Times New Roman" w:hAnsi="Times New Roman" w:eastAsia="方正仿宋_GBK" w:cs="Times New Roman"/>
          <w:bCs/>
          <w:kern w:val="0"/>
          <w:sz w:val="30"/>
          <w:szCs w:val="30"/>
        </w:rPr>
        <w:t>标准编制规范：按照GB/T 1.1—2020《标准化工作导则 第 1 部分：标准化文件的结构和起草规则》的规定起草，保证标准体例的规范性、科学性和统一性。</w:t>
      </w:r>
    </w:p>
    <w:p w14:paraId="0AAF9C34">
      <w:pPr>
        <w:adjustRightInd w:val="0"/>
        <w:snapToGrid w:val="0"/>
        <w:spacing w:line="588" w:lineRule="exact"/>
        <w:ind w:firstLine="600" w:firstLineChars="200"/>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lang w:val="en-US" w:eastAsia="zh-CN"/>
        </w:rPr>
        <w:t>2. 符合政策标准</w:t>
      </w:r>
      <w:r>
        <w:rPr>
          <w:rFonts w:hint="eastAsia" w:ascii="Times New Roman" w:hAnsi="Times New Roman" w:eastAsia="方正仿宋_GBK" w:cs="Times New Roman"/>
          <w:bCs/>
          <w:kern w:val="0"/>
          <w:sz w:val="30"/>
          <w:szCs w:val="30"/>
        </w:rPr>
        <w:t>相关</w:t>
      </w:r>
      <w:r>
        <w:rPr>
          <w:rFonts w:hint="eastAsia" w:ascii="Times New Roman" w:hAnsi="Times New Roman" w:eastAsia="方正仿宋_GBK" w:cs="Times New Roman"/>
          <w:bCs/>
          <w:kern w:val="0"/>
          <w:sz w:val="30"/>
          <w:szCs w:val="30"/>
          <w:lang w:val="en-US" w:eastAsia="zh-CN"/>
        </w:rPr>
        <w:t>导向</w:t>
      </w:r>
      <w:r>
        <w:rPr>
          <w:rFonts w:hint="eastAsia" w:ascii="Times New Roman" w:hAnsi="Times New Roman" w:eastAsia="方正仿宋_GBK" w:cs="Times New Roman"/>
          <w:bCs/>
          <w:kern w:val="0"/>
          <w:sz w:val="30"/>
          <w:szCs w:val="30"/>
        </w:rPr>
        <w:t>：结合《关于鼓励和支持公共机构采用能源费用托管服务的意见》等能源托管相关政策要求，贴合行业政策导向和实际实施需求。本标准的制定参考了国内现行的合同能源管理、能源托管实施、服务评价相关标准，主要包括GB/T 40010《合同能源管理服务评价技术导则》、RB/T 302—2016《合同能源管理服务认证要求》、JS/T 301—2024《公共机构能源费用托管实施规程》等。上述标准尚无专门针对能源托管服务评价的具体要求，本标准是对现有节能服务标准体系的补充和细化。</w:t>
      </w:r>
    </w:p>
    <w:p w14:paraId="588CDAF6">
      <w:pPr>
        <w:adjustRightInd w:val="0"/>
        <w:snapToGrid w:val="0"/>
        <w:spacing w:line="588" w:lineRule="exact"/>
        <w:ind w:firstLine="600" w:firstLineChars="200"/>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lang w:val="en-US" w:eastAsia="zh-CN"/>
        </w:rPr>
        <w:t>3. 结合</w:t>
      </w:r>
      <w:r>
        <w:rPr>
          <w:rFonts w:hint="eastAsia" w:ascii="Times New Roman" w:hAnsi="Times New Roman" w:eastAsia="方正仿宋_GBK" w:cs="Times New Roman"/>
          <w:bCs/>
          <w:kern w:val="0"/>
          <w:sz w:val="30"/>
          <w:szCs w:val="30"/>
        </w:rPr>
        <w:t>行业实际发展情况：基于全国能源费用托管服务市场的实际应用数据、节能服务公司的运营实践、用能单位的实际需求，确保标准内容的实用性和可操作性。</w:t>
      </w:r>
    </w:p>
    <w:p w14:paraId="69F194B8">
      <w:pPr>
        <w:widowControl/>
        <w:spacing w:line="588" w:lineRule="exact"/>
        <w:ind w:firstLine="640"/>
        <w:rPr>
          <w:rFonts w:hint="eastAsia" w:ascii="方正黑体_GBK" w:hAnsi="Times New Roman" w:eastAsia="方正黑体_GBK" w:cs="Times New Roman"/>
          <w:sz w:val="30"/>
          <w:szCs w:val="30"/>
        </w:rPr>
      </w:pPr>
      <w:r>
        <w:rPr>
          <w:rFonts w:hint="eastAsia" w:ascii="方正黑体_GBK" w:hAnsi="Times New Roman" w:eastAsia="方正黑体_GBK" w:cs="Times New Roman"/>
          <w:sz w:val="30"/>
          <w:szCs w:val="30"/>
        </w:rPr>
        <w:t>二、标准制定的依据与主要工作研究过程</w:t>
      </w:r>
    </w:p>
    <w:p w14:paraId="1DB0C1E8">
      <w:pPr>
        <w:widowControl/>
        <w:spacing w:line="588" w:lineRule="exact"/>
        <w:ind w:firstLine="450" w:firstLineChars="150"/>
        <w:rPr>
          <w:rFonts w:hint="eastAsia" w:ascii="方正楷体_GBK" w:hAnsi="Times New Roman" w:eastAsia="方正楷体_GBK" w:cs="Times New Roman"/>
          <w:sz w:val="30"/>
          <w:szCs w:val="30"/>
        </w:rPr>
      </w:pPr>
      <w:r>
        <w:rPr>
          <w:rFonts w:hint="eastAsia" w:ascii="方正楷体_GBK" w:hAnsi="Times New Roman" w:eastAsia="方正楷体_GBK" w:cs="Times New Roman"/>
          <w:sz w:val="30"/>
          <w:szCs w:val="30"/>
        </w:rPr>
        <w:t>（一）制定依据</w:t>
      </w:r>
    </w:p>
    <w:p w14:paraId="3CA3EECC">
      <w:pPr>
        <w:adjustRightInd w:val="0"/>
        <w:snapToGrid w:val="0"/>
        <w:spacing w:line="588" w:lineRule="exact"/>
        <w:ind w:firstLine="600" w:firstLineChars="200"/>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 xml:space="preserve">本标准依据 GB/T 1.1《标准化工作导则 第1部分：标准化文件的结构和起草规则》等相关标准制定。 </w:t>
      </w:r>
    </w:p>
    <w:p w14:paraId="78802EC0">
      <w:pPr>
        <w:widowControl/>
        <w:spacing w:line="588" w:lineRule="exact"/>
        <w:ind w:firstLine="450" w:firstLineChars="150"/>
        <w:rPr>
          <w:rFonts w:hint="eastAsia" w:ascii="方正楷体_GBK" w:hAnsi="Times New Roman" w:eastAsia="方正楷体_GBK" w:cs="Times New Roman"/>
          <w:sz w:val="30"/>
          <w:szCs w:val="30"/>
        </w:rPr>
      </w:pPr>
      <w:r>
        <w:rPr>
          <w:rFonts w:hint="eastAsia" w:ascii="方正楷体_GBK" w:hAnsi="Times New Roman" w:eastAsia="方正楷体_GBK" w:cs="Times New Roman"/>
          <w:sz w:val="30"/>
          <w:szCs w:val="30"/>
        </w:rPr>
        <w:t>（二）主要工作过程</w:t>
      </w:r>
    </w:p>
    <w:p w14:paraId="2FC20168">
      <w:pPr>
        <w:widowControl/>
        <w:spacing w:line="588" w:lineRule="exact"/>
        <w:ind w:firstLine="600" w:firstLineChars="200"/>
        <w:rPr>
          <w:rFonts w:hint="eastAsia" w:ascii="方正楷体_GBK" w:hAnsi="Times New Roman" w:eastAsia="方正楷体_GBK" w:cs="Times New Roman"/>
          <w:sz w:val="30"/>
          <w:szCs w:val="30"/>
        </w:rPr>
      </w:pPr>
      <w:r>
        <w:rPr>
          <w:rFonts w:hint="eastAsia" w:ascii="方正楷体_GBK" w:hAnsi="Times New Roman" w:eastAsia="方正楷体_GBK" w:cs="Times New Roman"/>
          <w:sz w:val="30"/>
          <w:szCs w:val="30"/>
        </w:rPr>
        <w:t>1</w:t>
      </w:r>
      <w:r>
        <w:rPr>
          <w:rFonts w:hint="eastAsia" w:ascii="方正楷体_GBK" w:hAnsi="Times New Roman" w:eastAsia="方正楷体_GBK" w:cs="Times New Roman"/>
          <w:sz w:val="30"/>
          <w:szCs w:val="30"/>
          <w:lang w:val="en-US" w:eastAsia="zh-CN"/>
        </w:rPr>
        <w:t>.</w:t>
      </w:r>
      <w:r>
        <w:rPr>
          <w:rFonts w:hint="eastAsia" w:ascii="方正楷体_GBK" w:hAnsi="Times New Roman" w:eastAsia="方正楷体_GBK" w:cs="Times New Roman"/>
          <w:sz w:val="30"/>
          <w:szCs w:val="30"/>
        </w:rPr>
        <w:t>前期研究</w:t>
      </w:r>
    </w:p>
    <w:p w14:paraId="5EA2880D">
      <w:pPr>
        <w:adjustRightInd w:val="0"/>
        <w:snapToGrid w:val="0"/>
        <w:spacing w:line="588" w:lineRule="exact"/>
        <w:ind w:firstLine="600" w:firstLineChars="200"/>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lang w:val="en-US" w:eastAsia="zh-CN"/>
        </w:rPr>
        <w:t>节能服务实践过程中仍存在服务标准不健全、节能服务标准缺乏统一规范等问题，导致服务纠纷频发，亟需建立标准化评价技术规范服务行为，推动能源费用托管服务高质量发展。</w:t>
      </w:r>
      <w:r>
        <w:rPr>
          <w:rFonts w:hint="eastAsia" w:ascii="Times New Roman" w:hAnsi="Times New Roman" w:eastAsia="方正仿宋_GBK" w:cs="Times New Roman"/>
          <w:bCs/>
          <w:kern w:val="0"/>
          <w:sz w:val="30"/>
          <w:szCs w:val="30"/>
        </w:rPr>
        <w:t>鉴于以上情况，</w:t>
      </w:r>
      <w:r>
        <w:rPr>
          <w:rFonts w:hint="eastAsia" w:ascii="Times New Roman" w:hAnsi="Times New Roman" w:eastAsia="方正仿宋_GBK" w:cs="Times New Roman"/>
          <w:bCs/>
          <w:kern w:val="0"/>
          <w:sz w:val="30"/>
          <w:szCs w:val="30"/>
          <w:lang w:val="en-US" w:eastAsia="zh-CN"/>
        </w:rPr>
        <w:t>编制组</w:t>
      </w:r>
      <w:r>
        <w:rPr>
          <w:rFonts w:hint="eastAsia" w:ascii="Times New Roman" w:hAnsi="Times New Roman" w:eastAsia="方正仿宋_GBK" w:cs="Times New Roman"/>
          <w:bCs/>
          <w:kern w:val="0"/>
          <w:sz w:val="30"/>
          <w:szCs w:val="30"/>
        </w:rPr>
        <w:t>通过资料研究和案例整理，起草了项目建议书和标准草案。</w:t>
      </w:r>
    </w:p>
    <w:p w14:paraId="50BE215D">
      <w:pPr>
        <w:widowControl/>
        <w:spacing w:line="588" w:lineRule="exact"/>
        <w:ind w:firstLine="600" w:firstLineChars="200"/>
        <w:rPr>
          <w:rFonts w:hint="eastAsia" w:ascii="方正楷体_GBK" w:hAnsi="Times New Roman" w:eastAsia="方正楷体_GBK" w:cs="Times New Roman"/>
          <w:sz w:val="30"/>
          <w:szCs w:val="30"/>
        </w:rPr>
      </w:pPr>
      <w:r>
        <w:rPr>
          <w:rFonts w:hint="eastAsia" w:ascii="方正楷体_GBK" w:hAnsi="Times New Roman" w:eastAsia="方正楷体_GBK" w:cs="Times New Roman"/>
          <w:sz w:val="30"/>
          <w:szCs w:val="30"/>
        </w:rPr>
        <w:t>2</w:t>
      </w:r>
      <w:r>
        <w:rPr>
          <w:rFonts w:hint="eastAsia" w:ascii="方正楷体_GBK" w:hAnsi="Times New Roman" w:eastAsia="方正楷体_GBK" w:cs="Times New Roman"/>
          <w:sz w:val="30"/>
          <w:szCs w:val="30"/>
          <w:lang w:eastAsia="zh-CN"/>
        </w:rPr>
        <w:t>.</w:t>
      </w:r>
      <w:r>
        <w:rPr>
          <w:rFonts w:hint="eastAsia" w:ascii="方正楷体_GBK" w:hAnsi="Times New Roman" w:eastAsia="方正楷体_GBK" w:cs="Times New Roman"/>
          <w:sz w:val="30"/>
          <w:szCs w:val="30"/>
        </w:rPr>
        <w:t>标准立项</w:t>
      </w:r>
    </w:p>
    <w:p w14:paraId="55076152">
      <w:pPr>
        <w:adjustRightInd w:val="0"/>
        <w:snapToGrid w:val="0"/>
        <w:spacing w:line="588" w:lineRule="exact"/>
        <w:ind w:firstLine="600" w:firstLineChars="200"/>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lang w:val="en-US" w:eastAsia="zh-CN"/>
        </w:rPr>
        <w:t>编制组于2025年6月</w:t>
      </w:r>
      <w:r>
        <w:rPr>
          <w:rFonts w:hint="eastAsia" w:ascii="Times New Roman" w:hAnsi="Times New Roman" w:eastAsia="方正仿宋_GBK" w:cs="Times New Roman"/>
          <w:bCs/>
          <w:kern w:val="0"/>
          <w:sz w:val="30"/>
          <w:szCs w:val="30"/>
        </w:rPr>
        <w:t>向中国节能协会提出立项申请，并于202</w:t>
      </w:r>
      <w:r>
        <w:rPr>
          <w:rFonts w:hint="eastAsia" w:ascii="Times New Roman" w:hAnsi="Times New Roman" w:eastAsia="方正仿宋_GBK" w:cs="Times New Roman"/>
          <w:bCs/>
          <w:kern w:val="0"/>
          <w:sz w:val="30"/>
          <w:szCs w:val="30"/>
          <w:lang w:val="en-US" w:eastAsia="zh-CN"/>
        </w:rPr>
        <w:t>5</w:t>
      </w:r>
      <w:r>
        <w:rPr>
          <w:rFonts w:hint="eastAsia" w:ascii="Times New Roman" w:hAnsi="Times New Roman" w:eastAsia="方正仿宋_GBK" w:cs="Times New Roman"/>
          <w:bCs/>
          <w:kern w:val="0"/>
          <w:sz w:val="30"/>
          <w:szCs w:val="30"/>
        </w:rPr>
        <w:t>年</w:t>
      </w:r>
      <w:r>
        <w:rPr>
          <w:rFonts w:hint="eastAsia" w:ascii="Times New Roman" w:hAnsi="Times New Roman" w:eastAsia="方正仿宋_GBK" w:cs="Times New Roman"/>
          <w:bCs/>
          <w:kern w:val="0"/>
          <w:sz w:val="30"/>
          <w:szCs w:val="30"/>
          <w:lang w:val="en-US" w:eastAsia="zh-CN"/>
        </w:rPr>
        <w:t>7</w:t>
      </w:r>
      <w:r>
        <w:rPr>
          <w:rFonts w:hint="eastAsia" w:ascii="Times New Roman" w:hAnsi="Times New Roman" w:eastAsia="方正仿宋_GBK" w:cs="Times New Roman"/>
          <w:bCs/>
          <w:kern w:val="0"/>
          <w:sz w:val="30"/>
          <w:szCs w:val="30"/>
        </w:rPr>
        <w:t>月正式获得立项批准（立项编号：TB-202</w:t>
      </w:r>
      <w:r>
        <w:rPr>
          <w:rFonts w:hint="eastAsia" w:ascii="Times New Roman" w:hAnsi="Times New Roman" w:eastAsia="方正仿宋_GBK" w:cs="Times New Roman"/>
          <w:bCs/>
          <w:kern w:val="0"/>
          <w:sz w:val="30"/>
          <w:szCs w:val="30"/>
          <w:lang w:val="en-US" w:eastAsia="zh-CN"/>
        </w:rPr>
        <w:t>5</w:t>
      </w:r>
      <w:r>
        <w:rPr>
          <w:rFonts w:hint="eastAsia" w:ascii="Times New Roman" w:hAnsi="Times New Roman" w:eastAsia="方正仿宋_GBK" w:cs="Times New Roman"/>
          <w:bCs/>
          <w:kern w:val="0"/>
          <w:sz w:val="30"/>
          <w:szCs w:val="30"/>
        </w:rPr>
        <w:t>00</w:t>
      </w:r>
      <w:r>
        <w:rPr>
          <w:rFonts w:hint="eastAsia" w:ascii="Times New Roman" w:hAnsi="Times New Roman" w:eastAsia="方正仿宋_GBK" w:cs="Times New Roman"/>
          <w:bCs/>
          <w:kern w:val="0"/>
          <w:sz w:val="30"/>
          <w:szCs w:val="30"/>
          <w:lang w:val="en-US" w:eastAsia="zh-CN"/>
        </w:rPr>
        <w:t>51</w:t>
      </w:r>
      <w:r>
        <w:rPr>
          <w:rFonts w:hint="eastAsia" w:ascii="Times New Roman" w:hAnsi="Times New Roman" w:eastAsia="方正仿宋_GBK" w:cs="Times New Roman"/>
          <w:bCs/>
          <w:kern w:val="0"/>
          <w:sz w:val="30"/>
          <w:szCs w:val="30"/>
        </w:rPr>
        <w:t>）。</w:t>
      </w:r>
    </w:p>
    <w:p w14:paraId="221C4C49">
      <w:pPr>
        <w:widowControl/>
        <w:spacing w:line="588" w:lineRule="exact"/>
        <w:ind w:firstLine="600" w:firstLineChars="200"/>
        <w:rPr>
          <w:rFonts w:hint="eastAsia" w:ascii="方正楷体_GBK" w:hAnsi="Times New Roman" w:eastAsia="方正楷体_GBK" w:cs="Times New Roman"/>
          <w:sz w:val="30"/>
          <w:szCs w:val="30"/>
        </w:rPr>
      </w:pPr>
      <w:r>
        <w:rPr>
          <w:rFonts w:hint="eastAsia" w:ascii="方正楷体_GBK" w:hAnsi="Times New Roman" w:eastAsia="方正楷体_GBK" w:cs="Times New Roman"/>
          <w:sz w:val="30"/>
          <w:szCs w:val="30"/>
        </w:rPr>
        <w:t>3</w:t>
      </w:r>
      <w:r>
        <w:rPr>
          <w:rFonts w:hint="eastAsia" w:ascii="方正楷体_GBK" w:hAnsi="Times New Roman" w:eastAsia="方正楷体_GBK" w:cs="Times New Roman"/>
          <w:sz w:val="30"/>
          <w:szCs w:val="30"/>
          <w:lang w:eastAsia="zh-CN"/>
        </w:rPr>
        <w:t>.</w:t>
      </w:r>
      <w:r>
        <w:rPr>
          <w:rFonts w:hint="eastAsia" w:ascii="方正楷体_GBK" w:hAnsi="Times New Roman" w:eastAsia="方正楷体_GBK" w:cs="Times New Roman"/>
          <w:sz w:val="30"/>
          <w:szCs w:val="30"/>
        </w:rPr>
        <w:t>成立标准编制小组</w:t>
      </w:r>
    </w:p>
    <w:p w14:paraId="7CF93665">
      <w:pPr>
        <w:adjustRightInd w:val="0"/>
        <w:snapToGrid w:val="0"/>
        <w:spacing w:line="588" w:lineRule="exact"/>
        <w:ind w:firstLine="600" w:firstLineChars="200"/>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202</w:t>
      </w:r>
      <w:r>
        <w:rPr>
          <w:rFonts w:hint="eastAsia" w:ascii="Times New Roman" w:hAnsi="Times New Roman" w:eastAsia="方正仿宋_GBK" w:cs="Times New Roman"/>
          <w:bCs/>
          <w:kern w:val="0"/>
          <w:sz w:val="30"/>
          <w:szCs w:val="30"/>
          <w:lang w:val="en-US" w:eastAsia="zh-CN"/>
        </w:rPr>
        <w:t>5</w:t>
      </w:r>
      <w:r>
        <w:rPr>
          <w:rFonts w:hint="eastAsia" w:ascii="Times New Roman" w:hAnsi="Times New Roman" w:eastAsia="方正仿宋_GBK" w:cs="Times New Roman"/>
          <w:bCs/>
          <w:kern w:val="0"/>
          <w:sz w:val="30"/>
          <w:szCs w:val="30"/>
        </w:rPr>
        <w:t>年</w:t>
      </w:r>
      <w:r>
        <w:rPr>
          <w:rFonts w:hint="eastAsia" w:ascii="Times New Roman" w:hAnsi="Times New Roman" w:eastAsia="方正仿宋_GBK" w:cs="Times New Roman"/>
          <w:bCs/>
          <w:kern w:val="0"/>
          <w:sz w:val="30"/>
          <w:szCs w:val="30"/>
          <w:lang w:val="en-US" w:eastAsia="zh-CN"/>
        </w:rPr>
        <w:t>8</w:t>
      </w:r>
      <w:r>
        <w:rPr>
          <w:rFonts w:hint="eastAsia" w:ascii="Times New Roman" w:hAnsi="Times New Roman" w:eastAsia="方正仿宋_GBK" w:cs="Times New Roman"/>
          <w:bCs/>
          <w:kern w:val="0"/>
          <w:sz w:val="30"/>
          <w:szCs w:val="30"/>
        </w:rPr>
        <w:t>月，</w:t>
      </w:r>
      <w:r>
        <w:rPr>
          <w:rFonts w:hint="eastAsia" w:ascii="Times New Roman" w:hAnsi="Times New Roman" w:eastAsia="方正仿宋_GBK" w:cs="Times New Roman"/>
          <w:bCs/>
          <w:kern w:val="0"/>
          <w:sz w:val="30"/>
          <w:szCs w:val="30"/>
          <w:lang w:val="en-US" w:eastAsia="zh-CN"/>
        </w:rPr>
        <w:t>编制组</w:t>
      </w:r>
      <w:r>
        <w:rPr>
          <w:rFonts w:hint="eastAsia" w:ascii="Times New Roman" w:hAnsi="Times New Roman" w:eastAsia="方正仿宋_GBK" w:cs="Times New Roman"/>
          <w:bCs/>
          <w:kern w:val="0"/>
          <w:sz w:val="30"/>
          <w:szCs w:val="30"/>
        </w:rPr>
        <w:t>开始</w:t>
      </w:r>
      <w:r>
        <w:rPr>
          <w:rFonts w:hint="eastAsia" w:ascii="Times New Roman" w:hAnsi="Times New Roman" w:eastAsia="方正仿宋_GBK" w:cs="Times New Roman"/>
          <w:bCs/>
          <w:kern w:val="0"/>
          <w:sz w:val="30"/>
          <w:szCs w:val="30"/>
          <w:lang w:val="en-US" w:eastAsia="zh-CN"/>
        </w:rPr>
        <w:t>启动调研及</w:t>
      </w:r>
      <w:r>
        <w:rPr>
          <w:rFonts w:hint="eastAsia" w:ascii="Times New Roman" w:hAnsi="Times New Roman" w:eastAsia="方正仿宋_GBK" w:cs="Times New Roman"/>
          <w:bCs/>
          <w:kern w:val="0"/>
          <w:sz w:val="30"/>
          <w:szCs w:val="30"/>
        </w:rPr>
        <w:t>起草工作。</w:t>
      </w:r>
    </w:p>
    <w:p w14:paraId="7960BC1C">
      <w:pPr>
        <w:widowControl/>
        <w:spacing w:line="588" w:lineRule="exact"/>
        <w:ind w:firstLine="600" w:firstLineChars="200"/>
        <w:rPr>
          <w:rFonts w:hint="eastAsia" w:ascii="方正楷体_GBK" w:hAnsi="Times New Roman" w:eastAsia="方正楷体_GBK" w:cs="Times New Roman"/>
          <w:sz w:val="30"/>
          <w:szCs w:val="30"/>
        </w:rPr>
      </w:pPr>
      <w:r>
        <w:rPr>
          <w:rFonts w:hint="eastAsia" w:ascii="方正楷体_GBK" w:hAnsi="Times New Roman" w:eastAsia="方正楷体_GBK" w:cs="Times New Roman"/>
          <w:sz w:val="30"/>
          <w:szCs w:val="30"/>
        </w:rPr>
        <w:t>4</w:t>
      </w:r>
      <w:r>
        <w:rPr>
          <w:rFonts w:hint="eastAsia" w:ascii="方正楷体_GBK" w:hAnsi="Times New Roman" w:eastAsia="方正楷体_GBK" w:cs="Times New Roman"/>
          <w:sz w:val="30"/>
          <w:szCs w:val="30"/>
          <w:lang w:eastAsia="zh-CN"/>
        </w:rPr>
        <w:t>.</w:t>
      </w:r>
      <w:r>
        <w:rPr>
          <w:rFonts w:hint="eastAsia" w:ascii="方正楷体_GBK" w:hAnsi="Times New Roman" w:eastAsia="方正楷体_GBK" w:cs="Times New Roman"/>
          <w:sz w:val="30"/>
          <w:szCs w:val="30"/>
        </w:rPr>
        <w:t>多方讨论后形成征求意见稿，公开并定向征集意见</w:t>
      </w:r>
    </w:p>
    <w:p w14:paraId="3F651F3F">
      <w:pPr>
        <w:adjustRightInd w:val="0"/>
        <w:snapToGrid w:val="0"/>
        <w:spacing w:line="588" w:lineRule="exact"/>
        <w:ind w:firstLine="600" w:firstLineChars="200"/>
        <w:rPr>
          <w:rFonts w:hint="eastAsia" w:ascii="Times New Roman" w:hAnsi="Times New Roman" w:eastAsia="方正仿宋_GBK" w:cs="Times New Roman"/>
          <w:bCs/>
          <w:kern w:val="0"/>
          <w:sz w:val="30"/>
          <w:szCs w:val="30"/>
          <w:lang w:val="en-US" w:eastAsia="zh-CN"/>
        </w:rPr>
      </w:pPr>
      <w:r>
        <w:rPr>
          <w:rFonts w:hint="eastAsia" w:ascii="Times New Roman" w:hAnsi="Times New Roman" w:eastAsia="方正仿宋_GBK" w:cs="Times New Roman"/>
          <w:bCs/>
          <w:kern w:val="0"/>
          <w:sz w:val="30"/>
          <w:szCs w:val="30"/>
        </w:rPr>
        <w:t>202</w:t>
      </w:r>
      <w:r>
        <w:rPr>
          <w:rFonts w:hint="eastAsia" w:ascii="Times New Roman" w:hAnsi="Times New Roman" w:eastAsia="方正仿宋_GBK" w:cs="Times New Roman"/>
          <w:bCs/>
          <w:kern w:val="0"/>
          <w:sz w:val="30"/>
          <w:szCs w:val="30"/>
          <w:lang w:val="en-US" w:eastAsia="zh-CN"/>
        </w:rPr>
        <w:t>5</w:t>
      </w:r>
      <w:r>
        <w:rPr>
          <w:rFonts w:hint="eastAsia" w:ascii="Times New Roman" w:hAnsi="Times New Roman" w:eastAsia="方正仿宋_GBK" w:cs="Times New Roman"/>
          <w:bCs/>
          <w:kern w:val="0"/>
          <w:sz w:val="30"/>
          <w:szCs w:val="30"/>
        </w:rPr>
        <w:t>年</w:t>
      </w:r>
      <w:r>
        <w:rPr>
          <w:rFonts w:hint="eastAsia" w:ascii="Times New Roman" w:hAnsi="Times New Roman" w:eastAsia="方正仿宋_GBK" w:cs="Times New Roman"/>
          <w:bCs/>
          <w:kern w:val="0"/>
          <w:sz w:val="30"/>
          <w:szCs w:val="30"/>
          <w:lang w:val="en-US" w:eastAsia="zh-CN"/>
        </w:rPr>
        <w:t>9</w:t>
      </w:r>
      <w:r>
        <w:rPr>
          <w:rFonts w:hint="eastAsia" w:ascii="Times New Roman" w:hAnsi="Times New Roman" w:eastAsia="方正仿宋_GBK" w:cs="Times New Roman"/>
          <w:bCs/>
          <w:kern w:val="0"/>
          <w:sz w:val="30"/>
          <w:szCs w:val="30"/>
        </w:rPr>
        <w:t>月—202</w:t>
      </w:r>
      <w:r>
        <w:rPr>
          <w:rFonts w:hint="eastAsia" w:ascii="Times New Roman" w:hAnsi="Times New Roman" w:eastAsia="方正仿宋_GBK" w:cs="Times New Roman"/>
          <w:bCs/>
          <w:kern w:val="0"/>
          <w:sz w:val="30"/>
          <w:szCs w:val="30"/>
          <w:lang w:val="en-US" w:eastAsia="zh-CN"/>
        </w:rPr>
        <w:t>5</w:t>
      </w:r>
      <w:r>
        <w:rPr>
          <w:rFonts w:hint="eastAsia" w:ascii="Times New Roman" w:hAnsi="Times New Roman" w:eastAsia="方正仿宋_GBK" w:cs="Times New Roman"/>
          <w:bCs/>
          <w:kern w:val="0"/>
          <w:sz w:val="30"/>
          <w:szCs w:val="30"/>
        </w:rPr>
        <w:t>年</w:t>
      </w:r>
      <w:r>
        <w:rPr>
          <w:rFonts w:hint="eastAsia" w:ascii="Times New Roman" w:hAnsi="Times New Roman" w:eastAsia="方正仿宋_GBK" w:cs="Times New Roman"/>
          <w:bCs/>
          <w:kern w:val="0"/>
          <w:sz w:val="30"/>
          <w:szCs w:val="30"/>
          <w:lang w:val="en-US" w:eastAsia="zh-CN"/>
        </w:rPr>
        <w:t>12</w:t>
      </w:r>
      <w:r>
        <w:rPr>
          <w:rFonts w:hint="eastAsia" w:ascii="Times New Roman" w:hAnsi="Times New Roman" w:eastAsia="方正仿宋_GBK" w:cs="Times New Roman"/>
          <w:bCs/>
          <w:kern w:val="0"/>
          <w:sz w:val="30"/>
          <w:szCs w:val="30"/>
        </w:rPr>
        <w:t>月，</w:t>
      </w:r>
      <w:r>
        <w:rPr>
          <w:rFonts w:hint="eastAsia" w:ascii="Times New Roman" w:hAnsi="Times New Roman" w:eastAsia="方正仿宋_GBK" w:cs="Times New Roman"/>
          <w:bCs/>
          <w:kern w:val="0"/>
          <w:sz w:val="30"/>
          <w:szCs w:val="30"/>
          <w:lang w:val="en-US" w:eastAsia="zh-CN"/>
        </w:rPr>
        <w:t>经过调研编制了标准初稿。</w:t>
      </w:r>
    </w:p>
    <w:p w14:paraId="2EFC48D5">
      <w:pPr>
        <w:adjustRightInd w:val="0"/>
        <w:snapToGrid w:val="0"/>
        <w:spacing w:line="588" w:lineRule="exact"/>
        <w:ind w:firstLine="600" w:firstLineChars="200"/>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lang w:val="en-US" w:eastAsia="zh-CN"/>
        </w:rPr>
        <w:t>2026年1月—3月，</w:t>
      </w:r>
      <w:r>
        <w:rPr>
          <w:rFonts w:hint="eastAsia" w:ascii="Times New Roman" w:hAnsi="Times New Roman" w:eastAsia="方正仿宋_GBK" w:cs="Times New Roman"/>
          <w:bCs/>
          <w:kern w:val="0"/>
          <w:sz w:val="30"/>
          <w:szCs w:val="30"/>
        </w:rPr>
        <w:t>多次召开讨论会，根据各方意见修改整理，形成征求意见稿。</w:t>
      </w:r>
    </w:p>
    <w:p w14:paraId="27A4D1A6">
      <w:pPr>
        <w:adjustRightInd w:val="0"/>
        <w:snapToGrid w:val="0"/>
        <w:spacing w:line="588" w:lineRule="exact"/>
        <w:ind w:firstLine="600" w:firstLineChars="200"/>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rPr>
        <w:t>202</w:t>
      </w:r>
      <w:r>
        <w:rPr>
          <w:rFonts w:hint="eastAsia" w:ascii="Times New Roman" w:hAnsi="Times New Roman" w:eastAsia="方正仿宋_GBK" w:cs="Times New Roman"/>
          <w:bCs/>
          <w:kern w:val="0"/>
          <w:sz w:val="30"/>
          <w:szCs w:val="30"/>
          <w:lang w:val="en-US" w:eastAsia="zh-CN"/>
        </w:rPr>
        <w:t>6</w:t>
      </w:r>
      <w:r>
        <w:rPr>
          <w:rFonts w:hint="eastAsia" w:ascii="Times New Roman" w:hAnsi="Times New Roman" w:eastAsia="方正仿宋_GBK" w:cs="Times New Roman"/>
          <w:bCs/>
          <w:kern w:val="0"/>
          <w:sz w:val="30"/>
          <w:szCs w:val="30"/>
        </w:rPr>
        <w:t>年</w:t>
      </w:r>
      <w:r>
        <w:rPr>
          <w:rFonts w:hint="eastAsia" w:ascii="Times New Roman" w:hAnsi="Times New Roman" w:eastAsia="方正仿宋_GBK" w:cs="Times New Roman"/>
          <w:bCs/>
          <w:kern w:val="0"/>
          <w:sz w:val="30"/>
          <w:szCs w:val="30"/>
          <w:lang w:val="en-US" w:eastAsia="zh-CN"/>
        </w:rPr>
        <w:t>3</w:t>
      </w:r>
      <w:r>
        <w:rPr>
          <w:rFonts w:hint="eastAsia" w:ascii="Times New Roman" w:hAnsi="Times New Roman" w:eastAsia="方正仿宋_GBK" w:cs="Times New Roman"/>
          <w:bCs/>
          <w:kern w:val="0"/>
          <w:sz w:val="30"/>
          <w:szCs w:val="30"/>
        </w:rPr>
        <w:t>月，向社会各界公开征求意见。</w:t>
      </w:r>
    </w:p>
    <w:p w14:paraId="416838D9">
      <w:pPr>
        <w:widowControl/>
        <w:spacing w:line="588" w:lineRule="exact"/>
        <w:ind w:firstLine="600" w:firstLineChars="200"/>
        <w:rPr>
          <w:rFonts w:hint="eastAsia" w:ascii="方正楷体_GBK" w:hAnsi="Times New Roman" w:eastAsia="方正楷体_GBK" w:cs="Times New Roman"/>
          <w:sz w:val="30"/>
          <w:szCs w:val="30"/>
        </w:rPr>
      </w:pPr>
      <w:r>
        <w:rPr>
          <w:rFonts w:hint="eastAsia" w:ascii="方正楷体_GBK" w:hAnsi="Times New Roman" w:eastAsia="方正楷体_GBK" w:cs="Times New Roman"/>
          <w:sz w:val="30"/>
          <w:szCs w:val="30"/>
        </w:rPr>
        <w:t>5</w:t>
      </w:r>
      <w:r>
        <w:rPr>
          <w:rFonts w:hint="eastAsia" w:ascii="方正楷体_GBK" w:hAnsi="Times New Roman" w:eastAsia="方正楷体_GBK" w:cs="Times New Roman"/>
          <w:sz w:val="30"/>
          <w:szCs w:val="30"/>
          <w:lang w:eastAsia="zh-CN"/>
        </w:rPr>
        <w:t>.</w:t>
      </w:r>
      <w:r>
        <w:rPr>
          <w:rFonts w:hint="eastAsia" w:ascii="方正楷体_GBK" w:hAnsi="Times New Roman" w:eastAsia="方正楷体_GBK" w:cs="Times New Roman"/>
          <w:sz w:val="30"/>
          <w:szCs w:val="30"/>
        </w:rPr>
        <w:t>召开标准审定会</w:t>
      </w:r>
    </w:p>
    <w:p w14:paraId="7EEBB3AB">
      <w:pPr>
        <w:adjustRightInd w:val="0"/>
        <w:snapToGrid w:val="0"/>
        <w:spacing w:line="588" w:lineRule="exact"/>
        <w:ind w:firstLine="600" w:firstLineChars="200"/>
        <w:rPr>
          <w:rFonts w:hint="eastAsia" w:ascii="Times New Roman" w:hAnsi="Times New Roman" w:eastAsia="方正仿宋_GBK" w:cs="Times New Roman"/>
          <w:bCs/>
          <w:kern w:val="0"/>
          <w:sz w:val="30"/>
          <w:szCs w:val="30"/>
        </w:rPr>
      </w:pPr>
      <w:r>
        <w:rPr>
          <w:rFonts w:hint="eastAsia" w:ascii="Times New Roman" w:hAnsi="Times New Roman" w:eastAsia="方正仿宋_GBK" w:cs="Times New Roman"/>
          <w:bCs/>
          <w:kern w:val="0"/>
          <w:sz w:val="30"/>
          <w:szCs w:val="30"/>
          <w:lang w:val="en-US" w:eastAsia="zh-CN"/>
        </w:rPr>
        <w:t>计划于2026年6—7月</w:t>
      </w:r>
      <w:r>
        <w:rPr>
          <w:rFonts w:hint="eastAsia" w:ascii="Times New Roman" w:hAnsi="Times New Roman" w:eastAsia="方正仿宋_GBK" w:cs="Times New Roman"/>
          <w:bCs/>
          <w:kern w:val="0"/>
          <w:sz w:val="30"/>
          <w:szCs w:val="30"/>
          <w:lang w:eastAsia="zh-CN"/>
        </w:rPr>
        <w:t>，</w:t>
      </w:r>
      <w:r>
        <w:rPr>
          <w:rFonts w:hint="eastAsia" w:ascii="Times New Roman" w:hAnsi="Times New Roman" w:eastAsia="方正仿宋_GBK" w:cs="Times New Roman"/>
          <w:bCs/>
          <w:kern w:val="0"/>
          <w:sz w:val="30"/>
          <w:szCs w:val="30"/>
        </w:rPr>
        <w:t>根据各</w:t>
      </w:r>
      <w:r>
        <w:rPr>
          <w:rFonts w:hint="eastAsia" w:ascii="Times New Roman" w:hAnsi="Times New Roman" w:eastAsia="方正仿宋_GBK" w:cs="Times New Roman"/>
          <w:bCs/>
          <w:kern w:val="0"/>
          <w:sz w:val="30"/>
          <w:szCs w:val="30"/>
          <w:lang w:val="en-US" w:eastAsia="zh-CN"/>
        </w:rPr>
        <w:t>方</w:t>
      </w:r>
      <w:r>
        <w:rPr>
          <w:rFonts w:hint="eastAsia" w:ascii="Times New Roman" w:hAnsi="Times New Roman" w:eastAsia="方正仿宋_GBK" w:cs="Times New Roman"/>
          <w:bCs/>
          <w:kern w:val="0"/>
          <w:sz w:val="30"/>
          <w:szCs w:val="30"/>
        </w:rPr>
        <w:t>意见修改形成送审稿，并召开专家审定会。</w:t>
      </w:r>
    </w:p>
    <w:p w14:paraId="63421AE4">
      <w:pPr>
        <w:widowControl/>
        <w:spacing w:line="588" w:lineRule="exact"/>
        <w:ind w:firstLine="600" w:firstLineChars="200"/>
        <w:rPr>
          <w:rFonts w:hint="eastAsia" w:ascii="方正黑体_GBK" w:hAnsi="Times New Roman" w:eastAsia="方正黑体_GBK" w:cs="Times New Roman"/>
          <w:sz w:val="30"/>
          <w:szCs w:val="30"/>
        </w:rPr>
      </w:pPr>
      <w:r>
        <w:rPr>
          <w:rFonts w:hint="eastAsia" w:ascii="方正黑体_GBK" w:hAnsi="Times New Roman" w:eastAsia="方正黑体_GBK" w:cs="Times New Roman"/>
          <w:sz w:val="30"/>
          <w:szCs w:val="30"/>
        </w:rPr>
        <w:t>三、文件的主要内容及各项指标来源</w:t>
      </w:r>
    </w:p>
    <w:p w14:paraId="78455A1C">
      <w:pPr>
        <w:widowControl/>
        <w:spacing w:line="588" w:lineRule="exact"/>
        <w:ind w:firstLine="450" w:firstLineChars="150"/>
        <w:rPr>
          <w:rFonts w:hint="eastAsia" w:ascii="方正楷体_GBK" w:hAnsi="Times New Roman" w:eastAsia="方正楷体_GBK" w:cs="Times New Roman"/>
          <w:sz w:val="30"/>
          <w:szCs w:val="30"/>
        </w:rPr>
      </w:pPr>
      <w:r>
        <w:rPr>
          <w:rFonts w:hint="eastAsia" w:ascii="方正楷体_GBK" w:hAnsi="Times New Roman" w:eastAsia="方正楷体_GBK" w:cs="Times New Roman"/>
          <w:sz w:val="30"/>
          <w:szCs w:val="30"/>
        </w:rPr>
        <w:t>（一）文件的主要内容</w:t>
      </w:r>
    </w:p>
    <w:p w14:paraId="54F01331">
      <w:pPr>
        <w:widowControl/>
        <w:spacing w:line="588" w:lineRule="exact"/>
        <w:ind w:firstLine="600" w:firstLineChars="200"/>
        <w:rPr>
          <w:rFonts w:hint="eastAsia" w:ascii="Times New Roman" w:hAnsi="Times New Roman" w:eastAsia="方正仿宋_GBK" w:cs="Times New Roman"/>
          <w:bCs/>
          <w:kern w:val="0"/>
          <w:sz w:val="30"/>
          <w:szCs w:val="30"/>
          <w:lang w:val="en-US" w:eastAsia="zh-CN"/>
        </w:rPr>
      </w:pPr>
      <w:r>
        <w:rPr>
          <w:rFonts w:hint="eastAsia" w:ascii="Times New Roman" w:hAnsi="Times New Roman" w:eastAsia="方正仿宋_GBK" w:cs="Times New Roman"/>
          <w:bCs/>
          <w:kern w:val="0"/>
          <w:sz w:val="30"/>
          <w:szCs w:val="30"/>
          <w:lang w:val="en-US" w:eastAsia="zh-CN"/>
        </w:rPr>
        <w:t>本标准包含范围、规范性引用文件、术语和定义、评价原则、评价机构认定、评价内容、评价实施、评价结果及附录 A（资料性）能源费用托管服务评价指标体系及赋值示例等核心章节，构建了从评价主体资质到评价流程实施再到评价结果应用的完整评价体系，各部分核心内容说明如下：</w:t>
      </w:r>
    </w:p>
    <w:p w14:paraId="0F3879EF">
      <w:pPr>
        <w:widowControl/>
        <w:spacing w:line="588" w:lineRule="exact"/>
        <w:ind w:firstLine="600" w:firstLineChars="200"/>
        <w:rPr>
          <w:rFonts w:hint="eastAsia" w:ascii="Times New Roman" w:hAnsi="Times New Roman" w:eastAsia="方正仿宋_GBK" w:cs="Times New Roman"/>
          <w:bCs/>
          <w:kern w:val="0"/>
          <w:sz w:val="30"/>
          <w:szCs w:val="30"/>
          <w:lang w:val="en-US" w:eastAsia="zh-CN"/>
        </w:rPr>
      </w:pPr>
      <w:r>
        <w:rPr>
          <w:rFonts w:hint="eastAsia" w:ascii="Times New Roman" w:hAnsi="Times New Roman" w:eastAsia="方正仿宋_GBK" w:cs="Times New Roman"/>
          <w:bCs/>
          <w:kern w:val="0"/>
          <w:sz w:val="30"/>
          <w:szCs w:val="30"/>
          <w:lang w:val="en-US" w:eastAsia="zh-CN"/>
        </w:rPr>
        <w:t>1 范围：明确标准规定了能源费用托管服务的评价原则、评价内容和评价实施，核心适用于节能服务公司提供的建筑、公共机构领域能源费用托管服务质量评价，工业、市政等其他领域可参照使用，清晰界定标准的适用边界。</w:t>
      </w:r>
    </w:p>
    <w:p w14:paraId="1479FB9D">
      <w:pPr>
        <w:widowControl/>
        <w:spacing w:line="588" w:lineRule="exact"/>
        <w:ind w:firstLine="600" w:firstLineChars="200"/>
        <w:rPr>
          <w:rFonts w:hint="eastAsia" w:ascii="Times New Roman" w:hAnsi="Times New Roman" w:eastAsia="方正仿宋_GBK" w:cs="Times New Roman"/>
          <w:bCs/>
          <w:kern w:val="0"/>
          <w:sz w:val="30"/>
          <w:szCs w:val="30"/>
          <w:lang w:val="en-US" w:eastAsia="zh-CN"/>
        </w:rPr>
      </w:pPr>
      <w:r>
        <w:rPr>
          <w:rFonts w:hint="eastAsia" w:ascii="Times New Roman" w:hAnsi="Times New Roman" w:eastAsia="方正仿宋_GBK" w:cs="Times New Roman"/>
          <w:bCs/>
          <w:kern w:val="0"/>
          <w:sz w:val="30"/>
          <w:szCs w:val="30"/>
          <w:lang w:val="en-US" w:eastAsia="zh-CN"/>
        </w:rPr>
        <w:t>2 规范性引用文件：列出标准编制所引用的能源管理、合同能源管理、能源托管实施、服务认证等方面的现行标准，明确相关条款的引用依据，保证标准内容的合法性和科学性。</w:t>
      </w:r>
    </w:p>
    <w:p w14:paraId="080E5849">
      <w:pPr>
        <w:widowControl/>
        <w:spacing w:line="588" w:lineRule="exact"/>
        <w:ind w:firstLine="600" w:firstLineChars="200"/>
        <w:rPr>
          <w:rFonts w:hint="eastAsia" w:ascii="Times New Roman" w:hAnsi="Times New Roman" w:eastAsia="方正仿宋_GBK" w:cs="Times New Roman"/>
          <w:bCs/>
          <w:kern w:val="0"/>
          <w:sz w:val="30"/>
          <w:szCs w:val="30"/>
          <w:lang w:val="en-US" w:eastAsia="zh-CN"/>
        </w:rPr>
      </w:pPr>
      <w:r>
        <w:rPr>
          <w:rFonts w:hint="eastAsia" w:ascii="Times New Roman" w:hAnsi="Times New Roman" w:eastAsia="方正仿宋_GBK" w:cs="Times New Roman"/>
          <w:bCs/>
          <w:kern w:val="0"/>
          <w:sz w:val="30"/>
          <w:szCs w:val="30"/>
          <w:lang w:val="en-US" w:eastAsia="zh-CN"/>
        </w:rPr>
        <w:t>3 术语和定义：沿用GB/T 24915中节能服务公司/合同能源管理的核心定义，结合行业实际修改完善能源费用托管的定义，统一行业术语理解，避免概念歧义，为标准的实施奠定术语基础。</w:t>
      </w:r>
    </w:p>
    <w:p w14:paraId="00762D41">
      <w:pPr>
        <w:widowControl/>
        <w:spacing w:line="588" w:lineRule="exact"/>
        <w:ind w:firstLine="600" w:firstLineChars="200"/>
        <w:rPr>
          <w:rFonts w:hint="eastAsia" w:ascii="Times New Roman" w:hAnsi="Times New Roman" w:eastAsia="方正仿宋_GBK" w:cs="Times New Roman"/>
          <w:bCs/>
          <w:kern w:val="0"/>
          <w:sz w:val="30"/>
          <w:szCs w:val="30"/>
          <w:lang w:val="en-US" w:eastAsia="zh-CN"/>
        </w:rPr>
      </w:pPr>
      <w:r>
        <w:rPr>
          <w:rFonts w:hint="eastAsia" w:ascii="Times New Roman" w:hAnsi="Times New Roman" w:eastAsia="方正仿宋_GBK" w:cs="Times New Roman"/>
          <w:bCs/>
          <w:kern w:val="0"/>
          <w:sz w:val="30"/>
          <w:szCs w:val="30"/>
          <w:lang w:val="en-US" w:eastAsia="zh-CN"/>
        </w:rPr>
        <w:t>4 评价原则：规定评价工作需遵循GB/T 40010 中的目的性、可操作性、全面性三大原则，并结合能源费用托管服务的特殊性，充分考虑节能服务公司在投资能力、运维能力等方面的特殊要求，为评价工作开展确立基本原则。</w:t>
      </w:r>
    </w:p>
    <w:p w14:paraId="0F2116E4">
      <w:pPr>
        <w:widowControl/>
        <w:spacing w:line="588" w:lineRule="exact"/>
        <w:ind w:firstLine="600" w:firstLineChars="200"/>
        <w:rPr>
          <w:rFonts w:hint="eastAsia" w:ascii="Times New Roman" w:hAnsi="Times New Roman" w:eastAsia="方正仿宋_GBK" w:cs="Times New Roman"/>
          <w:bCs/>
          <w:kern w:val="0"/>
          <w:sz w:val="30"/>
          <w:szCs w:val="30"/>
          <w:lang w:val="en-US" w:eastAsia="zh-CN"/>
        </w:rPr>
      </w:pPr>
      <w:r>
        <w:rPr>
          <w:rFonts w:hint="eastAsia" w:ascii="Times New Roman" w:hAnsi="Times New Roman" w:eastAsia="方正仿宋_GBK" w:cs="Times New Roman"/>
          <w:bCs/>
          <w:kern w:val="0"/>
          <w:sz w:val="30"/>
          <w:szCs w:val="30"/>
          <w:lang w:val="en-US" w:eastAsia="zh-CN"/>
        </w:rPr>
        <w:t>5 评价机构认定：明确开展能源托管服务评价的机构需满足的四项核心条件（独立法人资格、10 年及以上节能领域从业基础、不少于5名专职评价人员且高级工程师占比≥30%、近三年无不良执业记录），同时规定行业协会依据相关办法认定评价机构并定期公布名单，保障评价工作的专业性、权威性和公正性。</w:t>
      </w:r>
    </w:p>
    <w:p w14:paraId="21AEF600">
      <w:pPr>
        <w:widowControl/>
        <w:spacing w:line="588" w:lineRule="exact"/>
        <w:ind w:firstLine="600" w:firstLineChars="200"/>
        <w:rPr>
          <w:rFonts w:hint="eastAsia" w:ascii="Times New Roman" w:hAnsi="Times New Roman" w:eastAsia="方正仿宋_GBK" w:cs="Times New Roman"/>
          <w:bCs/>
          <w:kern w:val="0"/>
          <w:sz w:val="30"/>
          <w:szCs w:val="30"/>
          <w:lang w:val="en-US" w:eastAsia="zh-CN"/>
        </w:rPr>
      </w:pPr>
      <w:r>
        <w:rPr>
          <w:rFonts w:hint="eastAsia" w:ascii="Times New Roman" w:hAnsi="Times New Roman" w:eastAsia="方正仿宋_GBK" w:cs="Times New Roman"/>
          <w:bCs/>
          <w:kern w:val="0"/>
          <w:sz w:val="30"/>
          <w:szCs w:val="30"/>
          <w:lang w:val="en-US" w:eastAsia="zh-CN"/>
        </w:rPr>
        <w:t>6 评价内容：分为基本要求和评价指标体系两部分。基本要求明确节能服务公司的法人资格、经营场所、资料真实性等基础要求，同时规定形式初审、现场调研、专家评议等评审核心过程；评价指标体系构建服务能力、服务过程、服务绩效三个一级指标，下设技术提供能力、用能状况诊断、节能效果等15个二级指标，全面覆盖节能服务公司的核心能力、服务全流程实施及服务最终效果，明确各指标的具体技术要求。</w:t>
      </w:r>
    </w:p>
    <w:p w14:paraId="2C4C7247">
      <w:pPr>
        <w:widowControl/>
        <w:spacing w:line="588" w:lineRule="exact"/>
        <w:ind w:firstLine="600" w:firstLineChars="200"/>
        <w:rPr>
          <w:rFonts w:hint="eastAsia" w:ascii="Times New Roman" w:hAnsi="Times New Roman" w:eastAsia="方正仿宋_GBK" w:cs="Times New Roman"/>
          <w:bCs/>
          <w:kern w:val="0"/>
          <w:sz w:val="30"/>
          <w:szCs w:val="30"/>
          <w:lang w:val="en-US" w:eastAsia="zh-CN"/>
        </w:rPr>
      </w:pPr>
      <w:r>
        <w:rPr>
          <w:rFonts w:hint="eastAsia" w:ascii="Times New Roman" w:hAnsi="Times New Roman" w:eastAsia="方正仿宋_GBK" w:cs="Times New Roman"/>
          <w:bCs/>
          <w:kern w:val="0"/>
          <w:sz w:val="30"/>
          <w:szCs w:val="30"/>
          <w:lang w:val="en-US" w:eastAsia="zh-CN"/>
        </w:rPr>
        <w:t>7 评价实施：要求评价工作结合服务专业类别、客户需求、实施模式制定针对性评价标准，明确评价计划的编制内容（评价目的、范围、人员、进度等），规定文件查阅、现场观察、客户访谈、项目抽样等评价方式，同时明确评价结果可采用综合性指标或单独维度指标呈现，保证评价实施的灵活性和可操作性。</w:t>
      </w:r>
    </w:p>
    <w:p w14:paraId="12B35161">
      <w:pPr>
        <w:widowControl/>
        <w:spacing w:line="588" w:lineRule="exact"/>
        <w:ind w:firstLine="600" w:firstLineChars="200"/>
        <w:rPr>
          <w:rFonts w:hint="eastAsia" w:ascii="Times New Roman" w:hAnsi="Times New Roman" w:eastAsia="方正仿宋_GBK" w:cs="Times New Roman"/>
          <w:bCs/>
          <w:kern w:val="0"/>
          <w:sz w:val="30"/>
          <w:szCs w:val="30"/>
          <w:lang w:val="en-US" w:eastAsia="zh-CN"/>
        </w:rPr>
      </w:pPr>
      <w:r>
        <w:rPr>
          <w:rFonts w:hint="eastAsia" w:ascii="Times New Roman" w:hAnsi="Times New Roman" w:eastAsia="方正仿宋_GBK" w:cs="Times New Roman"/>
          <w:bCs/>
          <w:kern w:val="0"/>
          <w:sz w:val="30"/>
          <w:szCs w:val="30"/>
          <w:lang w:val="en-US" w:eastAsia="zh-CN"/>
        </w:rPr>
        <w:t>8 评价结果：给出评价总得分的加权计算公式，将服务能力、服务过程、服务绩效三个一级指标按权重计算总得分；同时将评价结果划分为AAAAA、AAAA、AAA、AA、A五个等级，明确各等级的得分阈值（50分及以上分级，90分及以上为AAAAA），为评价结果的实际应用提供清晰标准。</w:t>
      </w:r>
    </w:p>
    <w:p w14:paraId="162EE271">
      <w:pPr>
        <w:widowControl/>
        <w:spacing w:line="588" w:lineRule="exact"/>
        <w:ind w:firstLine="600" w:firstLineChars="200"/>
        <w:rPr>
          <w:rFonts w:hint="eastAsia" w:ascii="Times New Roman" w:hAnsi="Times New Roman" w:eastAsia="方正仿宋_GBK" w:cs="Times New Roman"/>
          <w:bCs/>
          <w:kern w:val="0"/>
          <w:sz w:val="30"/>
          <w:szCs w:val="30"/>
          <w:lang w:val="en-US" w:eastAsia="zh-CN"/>
        </w:rPr>
      </w:pPr>
      <w:r>
        <w:rPr>
          <w:rFonts w:hint="eastAsia" w:ascii="Times New Roman" w:hAnsi="Times New Roman" w:eastAsia="方正仿宋_GBK" w:cs="Times New Roman"/>
          <w:bCs/>
          <w:kern w:val="0"/>
          <w:sz w:val="30"/>
          <w:szCs w:val="30"/>
          <w:lang w:val="en-US" w:eastAsia="zh-CN"/>
        </w:rPr>
        <w:t>附录 A：作为资料性附录，提供能源费用托管服务评价指标体系权重赋值和具体评分示例，对15个二级指标分别设定分值范围、分级评分标准，细化各指标的评价要求，为实际评价工作提供直接、可操作的参考依据。</w:t>
      </w:r>
    </w:p>
    <w:p w14:paraId="32111231">
      <w:pPr>
        <w:widowControl/>
        <w:spacing w:line="588" w:lineRule="exact"/>
        <w:ind w:firstLine="600" w:firstLineChars="200"/>
        <w:rPr>
          <w:rFonts w:hint="eastAsia" w:ascii="方正黑体_GBK" w:hAnsi="Times New Roman" w:eastAsia="方正黑体_GBK" w:cs="Times New Roman"/>
          <w:sz w:val="30"/>
          <w:szCs w:val="30"/>
        </w:rPr>
      </w:pPr>
      <w:r>
        <w:rPr>
          <w:rFonts w:hint="eastAsia" w:ascii="方正黑体_GBK" w:hAnsi="Times New Roman" w:eastAsia="方正黑体_GBK" w:cs="Times New Roman"/>
          <w:sz w:val="30"/>
          <w:szCs w:val="30"/>
        </w:rPr>
        <w:t>四、采用国际标准和国外先进标准的程度，以及与国际、国外同类标准水平的对比情况</w:t>
      </w:r>
    </w:p>
    <w:p w14:paraId="2CFCF386">
      <w:pPr>
        <w:numPr>
          <w:ilvl w:val="0"/>
          <w:numId w:val="0"/>
        </w:numPr>
        <w:adjustRightInd w:val="0"/>
        <w:snapToGrid w:val="0"/>
        <w:spacing w:line="588" w:lineRule="exact"/>
        <w:ind w:firstLine="600" w:firstLineChars="200"/>
        <w:rPr>
          <w:rFonts w:hint="default" w:ascii="Times New Roman" w:hAnsi="Times New Roman" w:eastAsia="方正仿宋_GBK" w:cs="Times New Roman"/>
          <w:bCs/>
          <w:kern w:val="0"/>
          <w:sz w:val="30"/>
          <w:szCs w:val="30"/>
          <w:lang w:val="en-US" w:eastAsia="zh-CN"/>
        </w:rPr>
      </w:pPr>
      <w:r>
        <w:rPr>
          <w:rFonts w:hint="eastAsia" w:ascii="Times New Roman" w:hAnsi="Times New Roman" w:eastAsia="方正仿宋_GBK" w:cs="Times New Roman"/>
          <w:bCs/>
          <w:kern w:val="0"/>
          <w:sz w:val="30"/>
          <w:szCs w:val="30"/>
          <w:lang w:val="en-US" w:eastAsia="zh-CN"/>
        </w:rPr>
        <w:t>本标准制定过程中未采用国际、国外相关标准。</w:t>
      </w:r>
    </w:p>
    <w:p w14:paraId="189334E0">
      <w:pPr>
        <w:widowControl/>
        <w:spacing w:line="588" w:lineRule="exact"/>
        <w:ind w:firstLine="600" w:firstLineChars="200"/>
        <w:rPr>
          <w:rFonts w:hint="eastAsia" w:ascii="方正黑体_GBK" w:hAnsi="Times New Roman" w:eastAsia="方正黑体_GBK" w:cs="Times New Roman"/>
          <w:sz w:val="30"/>
          <w:szCs w:val="30"/>
        </w:rPr>
      </w:pPr>
      <w:r>
        <w:rPr>
          <w:rFonts w:hint="eastAsia" w:ascii="方正黑体_GBK" w:hAnsi="Times New Roman" w:eastAsia="方正黑体_GBK" w:cs="Times New Roman"/>
          <w:sz w:val="30"/>
          <w:szCs w:val="30"/>
        </w:rPr>
        <w:t>五、与有关的现行法律、法规和强制性国家标准的关系</w:t>
      </w:r>
    </w:p>
    <w:p w14:paraId="45C67B46">
      <w:pPr>
        <w:numPr>
          <w:ilvl w:val="0"/>
          <w:numId w:val="0"/>
        </w:numPr>
        <w:adjustRightInd w:val="0"/>
        <w:snapToGrid w:val="0"/>
        <w:spacing w:line="588" w:lineRule="exact"/>
        <w:ind w:firstLine="600" w:firstLineChars="200"/>
        <w:rPr>
          <w:rFonts w:hint="eastAsia" w:ascii="Times New Roman" w:hAnsi="Times New Roman" w:eastAsia="方正仿宋_GBK" w:cs="Times New Roman"/>
          <w:bCs/>
          <w:kern w:val="0"/>
          <w:sz w:val="30"/>
          <w:szCs w:val="30"/>
          <w:lang w:val="en-US" w:eastAsia="zh-CN"/>
        </w:rPr>
      </w:pPr>
      <w:r>
        <w:rPr>
          <w:rFonts w:hint="eastAsia" w:ascii="Times New Roman" w:hAnsi="Times New Roman" w:eastAsia="方正仿宋_GBK" w:cs="Times New Roman"/>
          <w:bCs/>
          <w:kern w:val="0"/>
          <w:sz w:val="30"/>
          <w:szCs w:val="30"/>
          <w:lang w:val="en-US" w:eastAsia="zh-CN"/>
        </w:rPr>
        <w:t>本标准与现行法律、法规及相关标准协调一致。</w:t>
      </w:r>
    </w:p>
    <w:p w14:paraId="2E95147F">
      <w:pPr>
        <w:widowControl/>
        <w:spacing w:line="588" w:lineRule="exact"/>
        <w:ind w:firstLine="600" w:firstLineChars="200"/>
        <w:rPr>
          <w:rFonts w:hint="eastAsia" w:ascii="方正黑体_GBK" w:hAnsi="Times New Roman" w:eastAsia="方正黑体_GBK" w:cs="Times New Roman"/>
          <w:sz w:val="30"/>
          <w:szCs w:val="30"/>
        </w:rPr>
      </w:pPr>
      <w:r>
        <w:rPr>
          <w:rFonts w:hint="eastAsia" w:ascii="方正黑体_GBK" w:hAnsi="Times New Roman" w:eastAsia="方正黑体_GBK" w:cs="Times New Roman"/>
          <w:sz w:val="30"/>
          <w:szCs w:val="30"/>
        </w:rPr>
        <w:t>六、重大分歧意见的处理经过和依据</w:t>
      </w:r>
    </w:p>
    <w:p w14:paraId="2A13F94F">
      <w:pPr>
        <w:numPr>
          <w:ilvl w:val="0"/>
          <w:numId w:val="0"/>
        </w:numPr>
        <w:adjustRightInd w:val="0"/>
        <w:snapToGrid w:val="0"/>
        <w:spacing w:line="588" w:lineRule="exact"/>
        <w:ind w:firstLine="600" w:firstLineChars="200"/>
        <w:rPr>
          <w:rFonts w:hint="eastAsia" w:ascii="Times New Roman" w:hAnsi="Times New Roman" w:eastAsia="方正仿宋_GBK" w:cs="Times New Roman"/>
          <w:bCs/>
          <w:kern w:val="0"/>
          <w:sz w:val="30"/>
          <w:szCs w:val="30"/>
          <w:lang w:val="en-US" w:eastAsia="zh-CN"/>
        </w:rPr>
      </w:pPr>
      <w:r>
        <w:rPr>
          <w:rFonts w:hint="eastAsia" w:ascii="Times New Roman" w:hAnsi="Times New Roman" w:eastAsia="方正仿宋_GBK" w:cs="Times New Roman"/>
          <w:bCs/>
          <w:kern w:val="0"/>
          <w:sz w:val="30"/>
          <w:szCs w:val="30"/>
          <w:lang w:val="en-US" w:eastAsia="zh-CN"/>
        </w:rPr>
        <w:t>本标准无重大分歧。</w:t>
      </w:r>
    </w:p>
    <w:p w14:paraId="1BD20D91">
      <w:pPr>
        <w:widowControl/>
        <w:spacing w:line="588" w:lineRule="exact"/>
        <w:ind w:firstLine="600" w:firstLineChars="200"/>
        <w:rPr>
          <w:rFonts w:hint="eastAsia" w:ascii="方正黑体_GBK" w:hAnsi="Times New Roman" w:eastAsia="方正黑体_GBK" w:cs="Times New Roman"/>
          <w:sz w:val="30"/>
          <w:szCs w:val="30"/>
        </w:rPr>
      </w:pPr>
      <w:r>
        <w:rPr>
          <w:rFonts w:hint="eastAsia" w:ascii="方正黑体_GBK" w:hAnsi="Times New Roman" w:eastAsia="方正黑体_GBK" w:cs="Times New Roman"/>
          <w:sz w:val="30"/>
          <w:szCs w:val="30"/>
        </w:rPr>
        <w:t>七、标准作为强制性标准或推荐性标准的建议</w:t>
      </w:r>
    </w:p>
    <w:p w14:paraId="712F5445">
      <w:pPr>
        <w:numPr>
          <w:ilvl w:val="0"/>
          <w:numId w:val="0"/>
        </w:numPr>
        <w:adjustRightInd w:val="0"/>
        <w:snapToGrid w:val="0"/>
        <w:spacing w:line="588" w:lineRule="exact"/>
        <w:ind w:firstLine="600" w:firstLineChars="200"/>
        <w:rPr>
          <w:rFonts w:hint="eastAsia" w:ascii="Times New Roman" w:hAnsi="Times New Roman" w:eastAsia="方正仿宋_GBK" w:cs="Times New Roman"/>
          <w:bCs/>
          <w:kern w:val="0"/>
          <w:sz w:val="30"/>
          <w:szCs w:val="30"/>
          <w:lang w:val="en-US" w:eastAsia="zh-CN"/>
        </w:rPr>
      </w:pPr>
      <w:r>
        <w:rPr>
          <w:rFonts w:hint="eastAsia" w:ascii="Times New Roman" w:hAnsi="Times New Roman" w:eastAsia="方正仿宋_GBK" w:cs="Times New Roman"/>
          <w:bCs/>
          <w:kern w:val="0"/>
          <w:sz w:val="30"/>
          <w:szCs w:val="30"/>
          <w:lang w:val="en-US" w:eastAsia="zh-CN"/>
        </w:rPr>
        <w:t>本文件作为推荐性团体标准发布。</w:t>
      </w:r>
    </w:p>
    <w:p w14:paraId="680B8007">
      <w:pPr>
        <w:widowControl/>
        <w:spacing w:line="588" w:lineRule="exact"/>
        <w:ind w:firstLine="600" w:firstLineChars="200"/>
        <w:rPr>
          <w:rFonts w:hint="eastAsia" w:ascii="方正黑体_GBK" w:hAnsi="Times New Roman" w:eastAsia="方正黑体_GBK" w:cs="Times New Roman"/>
          <w:sz w:val="30"/>
          <w:szCs w:val="30"/>
        </w:rPr>
      </w:pPr>
      <w:r>
        <w:rPr>
          <w:rFonts w:hint="eastAsia" w:ascii="方正黑体_GBK" w:hAnsi="Times New Roman" w:eastAsia="方正黑体_GBK" w:cs="Times New Roman"/>
          <w:sz w:val="30"/>
          <w:szCs w:val="30"/>
        </w:rPr>
        <w:t>八、代替或废止现行有关标准</w:t>
      </w:r>
    </w:p>
    <w:p w14:paraId="7E59A1A0">
      <w:pPr>
        <w:numPr>
          <w:ilvl w:val="0"/>
          <w:numId w:val="0"/>
        </w:numPr>
        <w:adjustRightInd w:val="0"/>
        <w:snapToGrid w:val="0"/>
        <w:spacing w:line="588" w:lineRule="exact"/>
        <w:ind w:firstLine="600" w:firstLineChars="200"/>
        <w:rPr>
          <w:rFonts w:hint="eastAsia" w:ascii="Times New Roman" w:hAnsi="Times New Roman" w:eastAsia="方正仿宋_GBK" w:cs="Times New Roman"/>
          <w:bCs/>
          <w:kern w:val="0"/>
          <w:sz w:val="30"/>
          <w:szCs w:val="30"/>
          <w:lang w:val="en-US" w:eastAsia="zh-CN"/>
        </w:rPr>
      </w:pPr>
      <w:r>
        <w:rPr>
          <w:rFonts w:hint="eastAsia" w:ascii="Times New Roman" w:hAnsi="Times New Roman" w:eastAsia="方正仿宋_GBK" w:cs="Times New Roman"/>
          <w:bCs/>
          <w:kern w:val="0"/>
          <w:sz w:val="30"/>
          <w:szCs w:val="30"/>
          <w:lang w:val="en-US" w:eastAsia="zh-CN"/>
        </w:rPr>
        <w:t>本文件为新制定标准。</w:t>
      </w:r>
    </w:p>
    <w:p w14:paraId="56202943">
      <w:pPr>
        <w:widowControl/>
        <w:spacing w:line="588" w:lineRule="exact"/>
        <w:ind w:firstLine="600" w:firstLineChars="200"/>
        <w:rPr>
          <w:rFonts w:hint="eastAsia" w:ascii="方正黑体_GBK" w:hAnsi="Times New Roman" w:eastAsia="方正黑体_GBK" w:cs="Times New Roman"/>
          <w:sz w:val="30"/>
          <w:szCs w:val="30"/>
        </w:rPr>
      </w:pPr>
      <w:r>
        <w:rPr>
          <w:rFonts w:hint="eastAsia" w:ascii="方正黑体_GBK" w:hAnsi="Times New Roman" w:eastAsia="方正黑体_GBK" w:cs="Times New Roman"/>
          <w:sz w:val="30"/>
          <w:szCs w:val="30"/>
        </w:rPr>
        <w:t>九、贯彻标准的要求和措施建议</w:t>
      </w:r>
    </w:p>
    <w:p w14:paraId="7613AB1B">
      <w:pPr>
        <w:numPr>
          <w:ilvl w:val="0"/>
          <w:numId w:val="0"/>
        </w:numPr>
        <w:adjustRightInd w:val="0"/>
        <w:snapToGrid w:val="0"/>
        <w:spacing w:line="588" w:lineRule="exact"/>
        <w:ind w:firstLine="600" w:firstLineChars="200"/>
        <w:rPr>
          <w:rFonts w:hint="eastAsia" w:ascii="Times New Roman" w:hAnsi="Times New Roman" w:eastAsia="方正仿宋_GBK" w:cs="Times New Roman"/>
          <w:bCs/>
          <w:kern w:val="0"/>
          <w:sz w:val="30"/>
          <w:szCs w:val="30"/>
          <w:lang w:val="en-US" w:eastAsia="zh-CN"/>
        </w:rPr>
      </w:pPr>
      <w:r>
        <w:rPr>
          <w:rFonts w:hint="eastAsia" w:ascii="Times New Roman" w:hAnsi="Times New Roman" w:eastAsia="方正仿宋_GBK" w:cs="Times New Roman"/>
          <w:bCs/>
          <w:kern w:val="0"/>
          <w:sz w:val="30"/>
          <w:szCs w:val="30"/>
          <w:lang w:val="en-US" w:eastAsia="zh-CN"/>
        </w:rPr>
        <w:t>加强标准宣贯培训：由中国节能协会牵头，组织开展标准宣贯培训活动，通过线上线下相结合的方式，向节能服务企业、用能单位、评价机构等相关方解读标准核心内容、评价指标和操作方法，确保各方准确理解和掌握标准要求。</w:t>
      </w:r>
    </w:p>
    <w:p w14:paraId="02100C2E">
      <w:pPr>
        <w:numPr>
          <w:ilvl w:val="0"/>
          <w:numId w:val="0"/>
        </w:numPr>
        <w:adjustRightInd w:val="0"/>
        <w:snapToGrid w:val="0"/>
        <w:spacing w:line="588" w:lineRule="exact"/>
        <w:ind w:firstLine="600" w:firstLineChars="200"/>
        <w:rPr>
          <w:rFonts w:hint="eastAsia" w:ascii="Times New Roman" w:hAnsi="Times New Roman" w:eastAsia="方正仿宋_GBK" w:cs="Times New Roman"/>
          <w:bCs/>
          <w:kern w:val="0"/>
          <w:sz w:val="30"/>
          <w:szCs w:val="30"/>
          <w:lang w:val="en-US" w:eastAsia="zh-CN"/>
        </w:rPr>
      </w:pPr>
      <w:r>
        <w:rPr>
          <w:rFonts w:hint="eastAsia" w:ascii="Times New Roman" w:hAnsi="Times New Roman" w:eastAsia="方正仿宋_GBK" w:cs="Times New Roman"/>
          <w:bCs/>
          <w:kern w:val="0"/>
          <w:sz w:val="30"/>
          <w:szCs w:val="30"/>
          <w:lang w:val="en-US" w:eastAsia="zh-CN"/>
        </w:rPr>
        <w:t>开展标准试点应用：选择公共机构、商业建筑领域的典型节能服务公司和用能单位开展标准试点应用，积累评价工作实践经验，针对试点过程中发现的问题对标准进行进一步优化完善，为标准的全面实施奠定基础。</w:t>
      </w:r>
    </w:p>
    <w:p w14:paraId="2726FF24">
      <w:pPr>
        <w:numPr>
          <w:ilvl w:val="0"/>
          <w:numId w:val="0"/>
        </w:numPr>
        <w:adjustRightInd w:val="0"/>
        <w:snapToGrid w:val="0"/>
        <w:spacing w:line="588" w:lineRule="exact"/>
        <w:ind w:firstLine="600" w:firstLineChars="200"/>
        <w:rPr>
          <w:rFonts w:hint="eastAsia" w:ascii="Times New Roman" w:hAnsi="Times New Roman" w:eastAsia="方正仿宋_GBK" w:cs="Times New Roman"/>
          <w:bCs/>
          <w:kern w:val="0"/>
          <w:sz w:val="30"/>
          <w:szCs w:val="30"/>
          <w:lang w:val="en-US" w:eastAsia="zh-CN"/>
        </w:rPr>
      </w:pPr>
      <w:r>
        <w:rPr>
          <w:rFonts w:hint="eastAsia" w:ascii="Times New Roman" w:hAnsi="Times New Roman" w:eastAsia="方正仿宋_GBK" w:cs="Times New Roman"/>
          <w:bCs/>
          <w:kern w:val="0"/>
          <w:sz w:val="30"/>
          <w:szCs w:val="30"/>
          <w:lang w:val="en-US" w:eastAsia="zh-CN"/>
        </w:rPr>
        <w:t>推动评价结果落地应用：鼓励用能单位将本标准的评价结果作为选择节能服务公司的重要依据，引导行业主管部门在相关项目招标、政策扶持中参考标准评价结果，推动评价结果与市场应用、政策支持相结合，提升标准的行业影响力。</w:t>
      </w:r>
    </w:p>
    <w:p w14:paraId="042D967D">
      <w:pPr>
        <w:numPr>
          <w:ilvl w:val="0"/>
          <w:numId w:val="0"/>
        </w:numPr>
        <w:adjustRightInd w:val="0"/>
        <w:snapToGrid w:val="0"/>
        <w:spacing w:line="588" w:lineRule="exact"/>
        <w:ind w:firstLine="600" w:firstLineChars="200"/>
        <w:rPr>
          <w:rFonts w:hint="eastAsia" w:ascii="Times New Roman" w:hAnsi="Times New Roman" w:eastAsia="方正仿宋_GBK" w:cs="Times New Roman"/>
          <w:bCs/>
          <w:kern w:val="0"/>
          <w:sz w:val="30"/>
          <w:szCs w:val="30"/>
          <w:lang w:val="en-US" w:eastAsia="zh-CN"/>
        </w:rPr>
      </w:pPr>
      <w:r>
        <w:rPr>
          <w:rFonts w:hint="eastAsia" w:ascii="Times New Roman" w:hAnsi="Times New Roman" w:eastAsia="方正仿宋_GBK" w:cs="Times New Roman"/>
          <w:bCs/>
          <w:kern w:val="0"/>
          <w:sz w:val="30"/>
          <w:szCs w:val="30"/>
          <w:lang w:val="en-US" w:eastAsia="zh-CN"/>
        </w:rPr>
        <w:t>建立动态更新机制：结合能源费用托管服务行业的发展新趋势、新要求（如新技术应用、新领域拓展、新政策出台等），适时组织开展标准复审和修订工作，及时完善评价指标和评分标准，保证标准的时效性和适用性。</w:t>
      </w:r>
    </w:p>
    <w:p w14:paraId="1BCC9A29">
      <w:pPr>
        <w:widowControl/>
        <w:spacing w:line="588" w:lineRule="exact"/>
        <w:ind w:firstLine="600" w:firstLineChars="200"/>
        <w:rPr>
          <w:rFonts w:hint="eastAsia" w:ascii="方正黑体_GBK" w:hAnsi="Times New Roman" w:eastAsia="方正黑体_GBK" w:cs="Times New Roman"/>
          <w:sz w:val="30"/>
          <w:szCs w:val="30"/>
        </w:rPr>
      </w:pPr>
      <w:r>
        <w:rPr>
          <w:rFonts w:hint="eastAsia" w:ascii="方正黑体_GBK" w:hAnsi="Times New Roman" w:eastAsia="方正黑体_GBK" w:cs="Times New Roman"/>
          <w:sz w:val="30"/>
          <w:szCs w:val="30"/>
        </w:rPr>
        <w:t>十、其它需要说明的事项</w:t>
      </w:r>
    </w:p>
    <w:p w14:paraId="68517FE6">
      <w:pPr>
        <w:numPr>
          <w:ilvl w:val="0"/>
          <w:numId w:val="0"/>
        </w:numPr>
        <w:adjustRightInd w:val="0"/>
        <w:snapToGrid w:val="0"/>
        <w:spacing w:line="588" w:lineRule="exact"/>
        <w:ind w:firstLine="600" w:firstLineChars="200"/>
        <w:rPr>
          <w:rFonts w:hint="eastAsia" w:ascii="Times New Roman" w:hAnsi="Times New Roman" w:eastAsia="方正仿宋_GBK" w:cs="Times New Roman"/>
          <w:bCs/>
          <w:kern w:val="0"/>
          <w:sz w:val="30"/>
          <w:szCs w:val="30"/>
          <w:lang w:val="en-US" w:eastAsia="zh-CN"/>
        </w:rPr>
      </w:pPr>
      <w:r>
        <w:rPr>
          <w:rFonts w:hint="eastAsia" w:ascii="Times New Roman" w:hAnsi="Times New Roman" w:eastAsia="方正仿宋_GBK" w:cs="Times New Roman"/>
          <w:bCs/>
          <w:kern w:val="0"/>
          <w:sz w:val="30"/>
          <w:szCs w:val="30"/>
          <w:lang w:val="en-US" w:eastAsia="zh-CN"/>
        </w:rPr>
        <w:t>无。</w:t>
      </w:r>
    </w:p>
    <w:p w14:paraId="4500C478">
      <w:pPr>
        <w:numPr>
          <w:ilvl w:val="0"/>
          <w:numId w:val="0"/>
        </w:numPr>
        <w:adjustRightInd w:val="0"/>
        <w:snapToGrid w:val="0"/>
        <w:spacing w:line="588" w:lineRule="exact"/>
        <w:ind w:firstLine="600" w:firstLineChars="200"/>
        <w:jc w:val="center"/>
        <w:rPr>
          <w:rFonts w:hint="default" w:ascii="Times New Roman" w:hAnsi="Times New Roman" w:eastAsia="方正仿宋_GBK" w:cs="Times New Roman"/>
          <w:bCs/>
          <w:kern w:val="0"/>
          <w:sz w:val="30"/>
          <w:szCs w:val="30"/>
          <w:lang w:val="en-US" w:eastAsia="zh-CN"/>
        </w:rPr>
      </w:pPr>
      <w:r>
        <w:rPr>
          <w:rFonts w:hint="eastAsia" w:ascii="Times New Roman" w:hAnsi="Times New Roman" w:eastAsia="方正仿宋_GBK" w:cs="Times New Roman"/>
          <w:bCs/>
          <w:kern w:val="0"/>
          <w:sz w:val="30"/>
          <w:szCs w:val="30"/>
          <w:lang w:val="en-US" w:eastAsia="zh-CN"/>
        </w:rPr>
        <w:t xml:space="preserve">                           </w:t>
      </w:r>
      <w:bookmarkStart w:id="0" w:name="_GoBack"/>
      <w:bookmarkEnd w:id="0"/>
      <w:r>
        <w:rPr>
          <w:rFonts w:hint="eastAsia" w:ascii="Times New Roman" w:hAnsi="Times New Roman" w:eastAsia="方正仿宋_GBK" w:cs="Times New Roman"/>
          <w:bCs/>
          <w:kern w:val="0"/>
          <w:sz w:val="30"/>
          <w:szCs w:val="30"/>
          <w:lang w:val="en-US" w:eastAsia="zh-CN"/>
        </w:rPr>
        <w:t xml:space="preserve">标准编制组        </w:t>
      </w:r>
    </w:p>
    <w:p w14:paraId="12E69F72">
      <w:pPr>
        <w:numPr>
          <w:ilvl w:val="0"/>
          <w:numId w:val="0"/>
        </w:numPr>
        <w:wordWrap w:val="0"/>
        <w:adjustRightInd w:val="0"/>
        <w:snapToGrid w:val="0"/>
        <w:spacing w:line="588" w:lineRule="exact"/>
        <w:ind w:firstLine="600" w:firstLineChars="200"/>
        <w:jc w:val="right"/>
        <w:rPr>
          <w:rFonts w:hint="eastAsia" w:ascii="方正黑体_GBK" w:hAnsi="Times New Roman" w:eastAsia="方正黑体_GBK" w:cs="Times New Roman"/>
          <w:sz w:val="30"/>
          <w:szCs w:val="30"/>
        </w:rPr>
      </w:pPr>
      <w:r>
        <w:rPr>
          <w:rFonts w:hint="eastAsia" w:ascii="Times New Roman" w:hAnsi="Times New Roman" w:eastAsia="方正仿宋_GBK" w:cs="Times New Roman"/>
          <w:bCs/>
          <w:kern w:val="0"/>
          <w:sz w:val="30"/>
          <w:szCs w:val="30"/>
          <w:lang w:val="en-US" w:eastAsia="zh-CN"/>
        </w:rPr>
        <w:t xml:space="preserve">2026年3月9日      </w:t>
      </w:r>
    </w:p>
    <w:sectPr>
      <w:footerReference r:id="rId3" w:type="default"/>
      <w:footerReference r:id="rId4" w:type="even"/>
      <w:pgSz w:w="11906" w:h="16838"/>
      <w:pgMar w:top="1985" w:right="1588" w:bottom="170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392AD8C7-97FB-42D0-AC31-BA23F67395A6}"/>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61DD6CDA-B35C-4235-9643-086B2DCD4819}"/>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embedRegular r:id="rId3" w:fontKey="{233AA188-E617-4A5F-AE25-18096CA9C5B0}"/>
  </w:font>
  <w:font w:name="方正小标宋_GBK">
    <w:panose1 w:val="02000000000000000000"/>
    <w:charset w:val="86"/>
    <w:family w:val="script"/>
    <w:pitch w:val="default"/>
    <w:sig w:usb0="00000001" w:usb1="080E0000" w:usb2="00000000" w:usb3="00000000" w:csb0="00040000" w:csb1="00000000"/>
    <w:embedRegular r:id="rId4" w:fontKey="{CB6EB645-87FC-4E52-BDFE-50A2E3F79CB5}"/>
  </w:font>
  <w:font w:name="方正楷体_GBK">
    <w:panose1 w:val="03000509000000000000"/>
    <w:charset w:val="86"/>
    <w:family w:val="script"/>
    <w:pitch w:val="default"/>
    <w:sig w:usb0="00000001" w:usb1="080E0000" w:usb2="00000000" w:usb3="00000000" w:csb0="00040000" w:csb1="00000000"/>
    <w:embedRegular r:id="rId5" w:fontKey="{804B142D-A22E-4904-B4D1-C14438AEDBE7}"/>
  </w:font>
  <w:font w:name="方正黑体_GBK">
    <w:panose1 w:val="03000509000000000000"/>
    <w:charset w:val="86"/>
    <w:family w:val="script"/>
    <w:pitch w:val="default"/>
    <w:sig w:usb0="00000001" w:usb1="080E0000" w:usb2="00000000" w:usb3="00000000" w:csb0="00040000" w:csb1="00000000"/>
    <w:embedRegular r:id="rId6" w:fontKey="{F019D6C8-9482-480B-9516-8EE0A49041DD}"/>
  </w:font>
  <w:font w:name="方正仿宋_GBK">
    <w:panose1 w:val="03000509000000000000"/>
    <w:charset w:val="86"/>
    <w:family w:val="script"/>
    <w:pitch w:val="default"/>
    <w:sig w:usb0="00000001" w:usb1="080E0000" w:usb2="00000000" w:usb3="00000000" w:csb0="00040000" w:csb1="00000000"/>
    <w:embedRegular r:id="rId7" w:fontKey="{D642E848-9248-4987-9E4A-6E82A7D969D8}"/>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20D75">
    <w:pPr>
      <w:pStyle w:val="10"/>
      <w:ind w:right="360"/>
      <w:jc w:val="center"/>
      <w:rPr>
        <w:rFonts w:hint="eastAsia" w:ascii="Times New Roman" w:hAnsi="Times New Roman" w:eastAsia="仿宋_GB2312"/>
        <w:szCs w:val="30"/>
      </w:rPr>
    </w:pPr>
    <w:r>
      <w:rPr>
        <w:rStyle w:val="20"/>
        <w:rFonts w:ascii="Times New Roman" w:hAnsi="Times New Roman"/>
        <w:szCs w:val="28"/>
      </w:rPr>
      <w:fldChar w:fldCharType="begin"/>
    </w:r>
    <w:r>
      <w:rPr>
        <w:rStyle w:val="20"/>
        <w:rFonts w:ascii="Times New Roman" w:hAnsi="Times New Roman"/>
        <w:szCs w:val="28"/>
      </w:rPr>
      <w:instrText xml:space="preserve"> PAGE </w:instrText>
    </w:r>
    <w:r>
      <w:rPr>
        <w:rStyle w:val="20"/>
        <w:rFonts w:ascii="Times New Roman" w:hAnsi="Times New Roman"/>
        <w:szCs w:val="28"/>
      </w:rPr>
      <w:fldChar w:fldCharType="separate"/>
    </w:r>
    <w:r>
      <w:rPr>
        <w:rStyle w:val="20"/>
        <w:rFonts w:ascii="Times New Roman" w:hAnsi="Times New Roman"/>
        <w:szCs w:val="28"/>
      </w:rPr>
      <w:t>5</w:t>
    </w:r>
    <w:r>
      <w:rPr>
        <w:rStyle w:val="20"/>
        <w:rFonts w:ascii="Times New Roman" w:hAnsi="Times New Roman"/>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37EF0">
    <w:pPr>
      <w:pStyle w:val="10"/>
      <w:ind w:right="360"/>
      <w:jc w:val="center"/>
      <w:rPr>
        <w:rFonts w:cs="Calibri"/>
      </w:rPr>
    </w:pPr>
    <w:r>
      <w:rPr>
        <w:rStyle w:val="20"/>
        <w:rFonts w:cs="Calibri"/>
        <w:szCs w:val="28"/>
      </w:rPr>
      <w:fldChar w:fldCharType="begin"/>
    </w:r>
    <w:r>
      <w:rPr>
        <w:rStyle w:val="20"/>
        <w:rFonts w:cs="Calibri"/>
        <w:szCs w:val="28"/>
      </w:rPr>
      <w:instrText xml:space="preserve"> PAGE </w:instrText>
    </w:r>
    <w:r>
      <w:rPr>
        <w:rStyle w:val="20"/>
        <w:rFonts w:cs="Calibri"/>
        <w:szCs w:val="28"/>
      </w:rPr>
      <w:fldChar w:fldCharType="separate"/>
    </w:r>
    <w:r>
      <w:rPr>
        <w:rStyle w:val="20"/>
        <w:rFonts w:cs="Calibri"/>
        <w:szCs w:val="28"/>
      </w:rPr>
      <w:t>6</w:t>
    </w:r>
    <w:r>
      <w:rPr>
        <w:rStyle w:val="20"/>
        <w:rFonts w:cs="Calibri"/>
        <w:szCs w:val="2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FC0EC5"/>
    <w:multiLevelType w:val="multilevel"/>
    <w:tmpl w:val="54FC0EC5"/>
    <w:lvl w:ilvl="0" w:tentative="0">
      <w:start w:val="1"/>
      <w:numFmt w:val="decimal"/>
      <w:pStyle w:val="2"/>
      <w:lvlText w:val="%1"/>
      <w:lvlJc w:val="left"/>
      <w:pPr>
        <w:ind w:left="432" w:hanging="432"/>
      </w:pPr>
    </w:lvl>
    <w:lvl w:ilvl="1" w:tentative="0">
      <w:start w:val="1"/>
      <w:numFmt w:val="decimal"/>
      <w:lvlText w:val="%1.%2"/>
      <w:lvlJc w:val="left"/>
      <w:pPr>
        <w:ind w:left="2702"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oNotHyphenateCaps/>
  <w:evenAndOddHeaders w:val="1"/>
  <w:drawingGridVerticalSpacing w:val="156"/>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0C7"/>
    <w:rsid w:val="00000EB5"/>
    <w:rsid w:val="000036DF"/>
    <w:rsid w:val="00003AC2"/>
    <w:rsid w:val="00004762"/>
    <w:rsid w:val="00005AB7"/>
    <w:rsid w:val="000062E3"/>
    <w:rsid w:val="000071E8"/>
    <w:rsid w:val="00007385"/>
    <w:rsid w:val="00007E87"/>
    <w:rsid w:val="00010BD7"/>
    <w:rsid w:val="00011256"/>
    <w:rsid w:val="00012499"/>
    <w:rsid w:val="0001333C"/>
    <w:rsid w:val="00014874"/>
    <w:rsid w:val="00016442"/>
    <w:rsid w:val="000167EF"/>
    <w:rsid w:val="00016987"/>
    <w:rsid w:val="00017C42"/>
    <w:rsid w:val="00017ECB"/>
    <w:rsid w:val="000201E7"/>
    <w:rsid w:val="000205C1"/>
    <w:rsid w:val="00020914"/>
    <w:rsid w:val="00022777"/>
    <w:rsid w:val="00022C2A"/>
    <w:rsid w:val="0002336D"/>
    <w:rsid w:val="000238F1"/>
    <w:rsid w:val="00023AAE"/>
    <w:rsid w:val="00023E49"/>
    <w:rsid w:val="00023F78"/>
    <w:rsid w:val="0002404A"/>
    <w:rsid w:val="000259DB"/>
    <w:rsid w:val="00025E6E"/>
    <w:rsid w:val="00026379"/>
    <w:rsid w:val="00030606"/>
    <w:rsid w:val="00032157"/>
    <w:rsid w:val="000324FA"/>
    <w:rsid w:val="00032869"/>
    <w:rsid w:val="00033796"/>
    <w:rsid w:val="0003407F"/>
    <w:rsid w:val="00035181"/>
    <w:rsid w:val="000361AD"/>
    <w:rsid w:val="000368A2"/>
    <w:rsid w:val="0003713E"/>
    <w:rsid w:val="000377FC"/>
    <w:rsid w:val="00041492"/>
    <w:rsid w:val="000414B7"/>
    <w:rsid w:val="00042556"/>
    <w:rsid w:val="0004261C"/>
    <w:rsid w:val="00042F7E"/>
    <w:rsid w:val="00043245"/>
    <w:rsid w:val="000452FE"/>
    <w:rsid w:val="000455A9"/>
    <w:rsid w:val="00045971"/>
    <w:rsid w:val="000461CE"/>
    <w:rsid w:val="000465DB"/>
    <w:rsid w:val="00046E9F"/>
    <w:rsid w:val="000476E5"/>
    <w:rsid w:val="000503A6"/>
    <w:rsid w:val="00050D08"/>
    <w:rsid w:val="00050DF7"/>
    <w:rsid w:val="00051943"/>
    <w:rsid w:val="00051E04"/>
    <w:rsid w:val="00052441"/>
    <w:rsid w:val="000526B6"/>
    <w:rsid w:val="00052916"/>
    <w:rsid w:val="000531F3"/>
    <w:rsid w:val="00053398"/>
    <w:rsid w:val="000534AA"/>
    <w:rsid w:val="00056205"/>
    <w:rsid w:val="0005659E"/>
    <w:rsid w:val="00057723"/>
    <w:rsid w:val="00061D7B"/>
    <w:rsid w:val="00064896"/>
    <w:rsid w:val="00064C61"/>
    <w:rsid w:val="00065797"/>
    <w:rsid w:val="00065A3E"/>
    <w:rsid w:val="00066AB2"/>
    <w:rsid w:val="00067990"/>
    <w:rsid w:val="00070EF5"/>
    <w:rsid w:val="0007101C"/>
    <w:rsid w:val="00073A19"/>
    <w:rsid w:val="00075ED2"/>
    <w:rsid w:val="00075FA3"/>
    <w:rsid w:val="00077028"/>
    <w:rsid w:val="00080407"/>
    <w:rsid w:val="000818DC"/>
    <w:rsid w:val="0008247A"/>
    <w:rsid w:val="000828A1"/>
    <w:rsid w:val="00084156"/>
    <w:rsid w:val="0008431F"/>
    <w:rsid w:val="000850DA"/>
    <w:rsid w:val="00086249"/>
    <w:rsid w:val="000874AF"/>
    <w:rsid w:val="000874B9"/>
    <w:rsid w:val="0008757A"/>
    <w:rsid w:val="000876AA"/>
    <w:rsid w:val="00090822"/>
    <w:rsid w:val="00092A5C"/>
    <w:rsid w:val="00093EFF"/>
    <w:rsid w:val="00094C70"/>
    <w:rsid w:val="00094D91"/>
    <w:rsid w:val="0009711B"/>
    <w:rsid w:val="00097ACB"/>
    <w:rsid w:val="000A05F9"/>
    <w:rsid w:val="000A1336"/>
    <w:rsid w:val="000A13F5"/>
    <w:rsid w:val="000A24F8"/>
    <w:rsid w:val="000A2D88"/>
    <w:rsid w:val="000A4536"/>
    <w:rsid w:val="000A4BF7"/>
    <w:rsid w:val="000A659B"/>
    <w:rsid w:val="000A6BC4"/>
    <w:rsid w:val="000A79FA"/>
    <w:rsid w:val="000A7D87"/>
    <w:rsid w:val="000B0926"/>
    <w:rsid w:val="000B14F5"/>
    <w:rsid w:val="000B1E51"/>
    <w:rsid w:val="000B2EEC"/>
    <w:rsid w:val="000B4225"/>
    <w:rsid w:val="000B489D"/>
    <w:rsid w:val="000C05C7"/>
    <w:rsid w:val="000C06DC"/>
    <w:rsid w:val="000C0B5E"/>
    <w:rsid w:val="000C0BA2"/>
    <w:rsid w:val="000C1039"/>
    <w:rsid w:val="000C1058"/>
    <w:rsid w:val="000C259B"/>
    <w:rsid w:val="000C2F5A"/>
    <w:rsid w:val="000C308D"/>
    <w:rsid w:val="000C337E"/>
    <w:rsid w:val="000C4CA5"/>
    <w:rsid w:val="000C5270"/>
    <w:rsid w:val="000C6DC3"/>
    <w:rsid w:val="000C7818"/>
    <w:rsid w:val="000D04C8"/>
    <w:rsid w:val="000D06BD"/>
    <w:rsid w:val="000D1003"/>
    <w:rsid w:val="000D4790"/>
    <w:rsid w:val="000D4840"/>
    <w:rsid w:val="000D55BB"/>
    <w:rsid w:val="000D60E4"/>
    <w:rsid w:val="000D66A6"/>
    <w:rsid w:val="000D6E1F"/>
    <w:rsid w:val="000D6E88"/>
    <w:rsid w:val="000E0B54"/>
    <w:rsid w:val="000E0D5F"/>
    <w:rsid w:val="000E0EC7"/>
    <w:rsid w:val="000E2EB9"/>
    <w:rsid w:val="000E359D"/>
    <w:rsid w:val="000E5A07"/>
    <w:rsid w:val="000E5A80"/>
    <w:rsid w:val="000E72AF"/>
    <w:rsid w:val="000F077D"/>
    <w:rsid w:val="000F1AD8"/>
    <w:rsid w:val="000F23CD"/>
    <w:rsid w:val="000F2704"/>
    <w:rsid w:val="000F28DE"/>
    <w:rsid w:val="000F43B7"/>
    <w:rsid w:val="000F4B52"/>
    <w:rsid w:val="000F4FDC"/>
    <w:rsid w:val="000F52D3"/>
    <w:rsid w:val="000F5C72"/>
    <w:rsid w:val="000F6565"/>
    <w:rsid w:val="000F74F9"/>
    <w:rsid w:val="000F7750"/>
    <w:rsid w:val="00100E23"/>
    <w:rsid w:val="00100F6E"/>
    <w:rsid w:val="001017A6"/>
    <w:rsid w:val="00101E21"/>
    <w:rsid w:val="0010319C"/>
    <w:rsid w:val="001047EA"/>
    <w:rsid w:val="00104974"/>
    <w:rsid w:val="00105D17"/>
    <w:rsid w:val="00107F9D"/>
    <w:rsid w:val="00111542"/>
    <w:rsid w:val="00112B5F"/>
    <w:rsid w:val="00112C4A"/>
    <w:rsid w:val="00113550"/>
    <w:rsid w:val="001138D7"/>
    <w:rsid w:val="00113E76"/>
    <w:rsid w:val="0011424B"/>
    <w:rsid w:val="001151F6"/>
    <w:rsid w:val="00115977"/>
    <w:rsid w:val="00115C18"/>
    <w:rsid w:val="00115E6F"/>
    <w:rsid w:val="00115E8B"/>
    <w:rsid w:val="001161D9"/>
    <w:rsid w:val="00116664"/>
    <w:rsid w:val="00121AE6"/>
    <w:rsid w:val="001234C2"/>
    <w:rsid w:val="0012484F"/>
    <w:rsid w:val="00125A2A"/>
    <w:rsid w:val="00126480"/>
    <w:rsid w:val="00126DB7"/>
    <w:rsid w:val="00126FD2"/>
    <w:rsid w:val="00127750"/>
    <w:rsid w:val="00127CBB"/>
    <w:rsid w:val="00130EBD"/>
    <w:rsid w:val="00131314"/>
    <w:rsid w:val="00132B03"/>
    <w:rsid w:val="00132B96"/>
    <w:rsid w:val="00133692"/>
    <w:rsid w:val="00134A23"/>
    <w:rsid w:val="00134A33"/>
    <w:rsid w:val="00134DFB"/>
    <w:rsid w:val="00134EF2"/>
    <w:rsid w:val="001352A7"/>
    <w:rsid w:val="00135EB2"/>
    <w:rsid w:val="00136691"/>
    <w:rsid w:val="001366B7"/>
    <w:rsid w:val="0013698C"/>
    <w:rsid w:val="00137481"/>
    <w:rsid w:val="001375E4"/>
    <w:rsid w:val="00137FE9"/>
    <w:rsid w:val="001404AE"/>
    <w:rsid w:val="00142273"/>
    <w:rsid w:val="00142ECD"/>
    <w:rsid w:val="00143785"/>
    <w:rsid w:val="001439DF"/>
    <w:rsid w:val="001446EC"/>
    <w:rsid w:val="0014477B"/>
    <w:rsid w:val="00144F4B"/>
    <w:rsid w:val="001459D7"/>
    <w:rsid w:val="00145FBB"/>
    <w:rsid w:val="001461AB"/>
    <w:rsid w:val="001469C7"/>
    <w:rsid w:val="00146B37"/>
    <w:rsid w:val="0014711B"/>
    <w:rsid w:val="00147D22"/>
    <w:rsid w:val="00150926"/>
    <w:rsid w:val="00150CFD"/>
    <w:rsid w:val="00153D59"/>
    <w:rsid w:val="00154361"/>
    <w:rsid w:val="00155A64"/>
    <w:rsid w:val="0015686B"/>
    <w:rsid w:val="00156D37"/>
    <w:rsid w:val="001578A4"/>
    <w:rsid w:val="00157F9E"/>
    <w:rsid w:val="00157FD1"/>
    <w:rsid w:val="00160F5E"/>
    <w:rsid w:val="00161FC0"/>
    <w:rsid w:val="00164614"/>
    <w:rsid w:val="0016750C"/>
    <w:rsid w:val="0016787E"/>
    <w:rsid w:val="00170132"/>
    <w:rsid w:val="001714FD"/>
    <w:rsid w:val="00171BF5"/>
    <w:rsid w:val="00172BC0"/>
    <w:rsid w:val="00173D74"/>
    <w:rsid w:val="00173F45"/>
    <w:rsid w:val="00175346"/>
    <w:rsid w:val="0017570A"/>
    <w:rsid w:val="0017585E"/>
    <w:rsid w:val="00175D12"/>
    <w:rsid w:val="001760E4"/>
    <w:rsid w:val="00176409"/>
    <w:rsid w:val="0017719F"/>
    <w:rsid w:val="001772F3"/>
    <w:rsid w:val="001775A2"/>
    <w:rsid w:val="00177732"/>
    <w:rsid w:val="00177869"/>
    <w:rsid w:val="0018047A"/>
    <w:rsid w:val="00180C6A"/>
    <w:rsid w:val="0018139C"/>
    <w:rsid w:val="00184D4C"/>
    <w:rsid w:val="001878B1"/>
    <w:rsid w:val="001941DF"/>
    <w:rsid w:val="00194641"/>
    <w:rsid w:val="00195A78"/>
    <w:rsid w:val="00195ABC"/>
    <w:rsid w:val="00195CEA"/>
    <w:rsid w:val="00196A5F"/>
    <w:rsid w:val="00196C1E"/>
    <w:rsid w:val="00197446"/>
    <w:rsid w:val="0019784E"/>
    <w:rsid w:val="001A02E4"/>
    <w:rsid w:val="001A1916"/>
    <w:rsid w:val="001A1C5E"/>
    <w:rsid w:val="001A282F"/>
    <w:rsid w:val="001A32A4"/>
    <w:rsid w:val="001A4F26"/>
    <w:rsid w:val="001A523D"/>
    <w:rsid w:val="001A63A8"/>
    <w:rsid w:val="001A6D4F"/>
    <w:rsid w:val="001B012E"/>
    <w:rsid w:val="001B0EE1"/>
    <w:rsid w:val="001B1D1C"/>
    <w:rsid w:val="001B2656"/>
    <w:rsid w:val="001B34A3"/>
    <w:rsid w:val="001B418A"/>
    <w:rsid w:val="001B48BC"/>
    <w:rsid w:val="001B5253"/>
    <w:rsid w:val="001B553E"/>
    <w:rsid w:val="001B6B8B"/>
    <w:rsid w:val="001B7B35"/>
    <w:rsid w:val="001C02EC"/>
    <w:rsid w:val="001C084E"/>
    <w:rsid w:val="001C27C0"/>
    <w:rsid w:val="001C5F32"/>
    <w:rsid w:val="001C627E"/>
    <w:rsid w:val="001C6CF0"/>
    <w:rsid w:val="001C6FAB"/>
    <w:rsid w:val="001C6FAD"/>
    <w:rsid w:val="001C74F7"/>
    <w:rsid w:val="001C7757"/>
    <w:rsid w:val="001D054B"/>
    <w:rsid w:val="001D099C"/>
    <w:rsid w:val="001D1512"/>
    <w:rsid w:val="001D2773"/>
    <w:rsid w:val="001D2EF4"/>
    <w:rsid w:val="001D31D4"/>
    <w:rsid w:val="001D37EF"/>
    <w:rsid w:val="001D5A83"/>
    <w:rsid w:val="001D61F9"/>
    <w:rsid w:val="001D637F"/>
    <w:rsid w:val="001D716D"/>
    <w:rsid w:val="001D7508"/>
    <w:rsid w:val="001D7A67"/>
    <w:rsid w:val="001D7BBD"/>
    <w:rsid w:val="001E0F21"/>
    <w:rsid w:val="001E1D4A"/>
    <w:rsid w:val="001E37BB"/>
    <w:rsid w:val="001E646B"/>
    <w:rsid w:val="001E6916"/>
    <w:rsid w:val="001E772A"/>
    <w:rsid w:val="001F0FD1"/>
    <w:rsid w:val="001F100A"/>
    <w:rsid w:val="001F29A5"/>
    <w:rsid w:val="001F2AA1"/>
    <w:rsid w:val="001F2FCE"/>
    <w:rsid w:val="001F371E"/>
    <w:rsid w:val="001F3D86"/>
    <w:rsid w:val="001F3DFD"/>
    <w:rsid w:val="001F493D"/>
    <w:rsid w:val="001F58DD"/>
    <w:rsid w:val="001F5C13"/>
    <w:rsid w:val="001F60F3"/>
    <w:rsid w:val="00200365"/>
    <w:rsid w:val="002006EF"/>
    <w:rsid w:val="00200E6D"/>
    <w:rsid w:val="00202D58"/>
    <w:rsid w:val="00205927"/>
    <w:rsid w:val="002061B9"/>
    <w:rsid w:val="002064F8"/>
    <w:rsid w:val="00206771"/>
    <w:rsid w:val="00206BF8"/>
    <w:rsid w:val="00206E77"/>
    <w:rsid w:val="00207114"/>
    <w:rsid w:val="00211115"/>
    <w:rsid w:val="0021225D"/>
    <w:rsid w:val="002147AC"/>
    <w:rsid w:val="00215726"/>
    <w:rsid w:val="002157C8"/>
    <w:rsid w:val="00217A65"/>
    <w:rsid w:val="00217ED5"/>
    <w:rsid w:val="0022002D"/>
    <w:rsid w:val="002201E9"/>
    <w:rsid w:val="00221DEC"/>
    <w:rsid w:val="0022517E"/>
    <w:rsid w:val="002317F3"/>
    <w:rsid w:val="002328FD"/>
    <w:rsid w:val="00232973"/>
    <w:rsid w:val="00233785"/>
    <w:rsid w:val="0023431E"/>
    <w:rsid w:val="00234AB7"/>
    <w:rsid w:val="00235D2D"/>
    <w:rsid w:val="00241184"/>
    <w:rsid w:val="00241385"/>
    <w:rsid w:val="00241CD3"/>
    <w:rsid w:val="002434F4"/>
    <w:rsid w:val="00243D38"/>
    <w:rsid w:val="0024530D"/>
    <w:rsid w:val="00246104"/>
    <w:rsid w:val="00247073"/>
    <w:rsid w:val="00247E8F"/>
    <w:rsid w:val="00250359"/>
    <w:rsid w:val="002507FC"/>
    <w:rsid w:val="0025084D"/>
    <w:rsid w:val="00250E94"/>
    <w:rsid w:val="0025280A"/>
    <w:rsid w:val="00252A1E"/>
    <w:rsid w:val="00253105"/>
    <w:rsid w:val="00253487"/>
    <w:rsid w:val="0025388C"/>
    <w:rsid w:val="002538AB"/>
    <w:rsid w:val="00253A4F"/>
    <w:rsid w:val="00254AB9"/>
    <w:rsid w:val="00255233"/>
    <w:rsid w:val="00255C4A"/>
    <w:rsid w:val="00260FDF"/>
    <w:rsid w:val="00262762"/>
    <w:rsid w:val="00262F86"/>
    <w:rsid w:val="00263517"/>
    <w:rsid w:val="002646E5"/>
    <w:rsid w:val="00264B7B"/>
    <w:rsid w:val="00264BD2"/>
    <w:rsid w:val="00265B3D"/>
    <w:rsid w:val="00265B8E"/>
    <w:rsid w:val="002664E1"/>
    <w:rsid w:val="0026691A"/>
    <w:rsid w:val="00266F04"/>
    <w:rsid w:val="00267401"/>
    <w:rsid w:val="00267E2E"/>
    <w:rsid w:val="0027026A"/>
    <w:rsid w:val="00270433"/>
    <w:rsid w:val="00270934"/>
    <w:rsid w:val="00270F84"/>
    <w:rsid w:val="0027218A"/>
    <w:rsid w:val="00273185"/>
    <w:rsid w:val="002764F5"/>
    <w:rsid w:val="00281911"/>
    <w:rsid w:val="00282EB8"/>
    <w:rsid w:val="00283013"/>
    <w:rsid w:val="00283508"/>
    <w:rsid w:val="002852CD"/>
    <w:rsid w:val="00285EEA"/>
    <w:rsid w:val="002860C0"/>
    <w:rsid w:val="00286DAD"/>
    <w:rsid w:val="00290332"/>
    <w:rsid w:val="002909B3"/>
    <w:rsid w:val="00290B26"/>
    <w:rsid w:val="00291955"/>
    <w:rsid w:val="00291CB4"/>
    <w:rsid w:val="00292B32"/>
    <w:rsid w:val="0029482D"/>
    <w:rsid w:val="00294ADE"/>
    <w:rsid w:val="00295146"/>
    <w:rsid w:val="00295460"/>
    <w:rsid w:val="002963DA"/>
    <w:rsid w:val="00297B1C"/>
    <w:rsid w:val="002A078A"/>
    <w:rsid w:val="002A0CF2"/>
    <w:rsid w:val="002A0D22"/>
    <w:rsid w:val="002A0D32"/>
    <w:rsid w:val="002A0E17"/>
    <w:rsid w:val="002A12F4"/>
    <w:rsid w:val="002A208E"/>
    <w:rsid w:val="002A2D56"/>
    <w:rsid w:val="002A30B3"/>
    <w:rsid w:val="002A3F6D"/>
    <w:rsid w:val="002A4A89"/>
    <w:rsid w:val="002A5BF9"/>
    <w:rsid w:val="002A6BD8"/>
    <w:rsid w:val="002A6C86"/>
    <w:rsid w:val="002A74BE"/>
    <w:rsid w:val="002A7A4E"/>
    <w:rsid w:val="002A7DF4"/>
    <w:rsid w:val="002B026F"/>
    <w:rsid w:val="002B0F26"/>
    <w:rsid w:val="002B1216"/>
    <w:rsid w:val="002B173B"/>
    <w:rsid w:val="002B1757"/>
    <w:rsid w:val="002B2D71"/>
    <w:rsid w:val="002B539D"/>
    <w:rsid w:val="002B55DE"/>
    <w:rsid w:val="002B69F4"/>
    <w:rsid w:val="002B730A"/>
    <w:rsid w:val="002C0817"/>
    <w:rsid w:val="002C1799"/>
    <w:rsid w:val="002C201C"/>
    <w:rsid w:val="002C3F9C"/>
    <w:rsid w:val="002C3FE3"/>
    <w:rsid w:val="002C4911"/>
    <w:rsid w:val="002C4A9B"/>
    <w:rsid w:val="002C4ADB"/>
    <w:rsid w:val="002C61A5"/>
    <w:rsid w:val="002C75ED"/>
    <w:rsid w:val="002D05F1"/>
    <w:rsid w:val="002D0A4D"/>
    <w:rsid w:val="002D0BCB"/>
    <w:rsid w:val="002D0C8A"/>
    <w:rsid w:val="002D190F"/>
    <w:rsid w:val="002D2390"/>
    <w:rsid w:val="002D42CC"/>
    <w:rsid w:val="002D491A"/>
    <w:rsid w:val="002D4A3A"/>
    <w:rsid w:val="002D534A"/>
    <w:rsid w:val="002D73D6"/>
    <w:rsid w:val="002D7437"/>
    <w:rsid w:val="002E04E8"/>
    <w:rsid w:val="002E08EC"/>
    <w:rsid w:val="002E10FF"/>
    <w:rsid w:val="002E1A09"/>
    <w:rsid w:val="002E6642"/>
    <w:rsid w:val="002E7958"/>
    <w:rsid w:val="002F03D9"/>
    <w:rsid w:val="002F147A"/>
    <w:rsid w:val="002F1B35"/>
    <w:rsid w:val="002F2B0D"/>
    <w:rsid w:val="002F2E65"/>
    <w:rsid w:val="002F59E0"/>
    <w:rsid w:val="002F5FCE"/>
    <w:rsid w:val="002F7D07"/>
    <w:rsid w:val="003006F0"/>
    <w:rsid w:val="003009BD"/>
    <w:rsid w:val="00300E67"/>
    <w:rsid w:val="003015AC"/>
    <w:rsid w:val="00303731"/>
    <w:rsid w:val="00303851"/>
    <w:rsid w:val="00304923"/>
    <w:rsid w:val="00304F7E"/>
    <w:rsid w:val="0030525A"/>
    <w:rsid w:val="0030593C"/>
    <w:rsid w:val="0030594D"/>
    <w:rsid w:val="00306118"/>
    <w:rsid w:val="00310A5B"/>
    <w:rsid w:val="003112CF"/>
    <w:rsid w:val="0031147F"/>
    <w:rsid w:val="0031260D"/>
    <w:rsid w:val="00312A2E"/>
    <w:rsid w:val="00313F08"/>
    <w:rsid w:val="00314102"/>
    <w:rsid w:val="00314442"/>
    <w:rsid w:val="00314792"/>
    <w:rsid w:val="00317535"/>
    <w:rsid w:val="00320AA5"/>
    <w:rsid w:val="00321263"/>
    <w:rsid w:val="0032230B"/>
    <w:rsid w:val="0032445B"/>
    <w:rsid w:val="003250AB"/>
    <w:rsid w:val="003258FF"/>
    <w:rsid w:val="00325E6E"/>
    <w:rsid w:val="00326187"/>
    <w:rsid w:val="00326DE3"/>
    <w:rsid w:val="00326F2C"/>
    <w:rsid w:val="00330CA4"/>
    <w:rsid w:val="003331E3"/>
    <w:rsid w:val="00333F34"/>
    <w:rsid w:val="003362A3"/>
    <w:rsid w:val="003370C7"/>
    <w:rsid w:val="00337533"/>
    <w:rsid w:val="00340DE9"/>
    <w:rsid w:val="003426AB"/>
    <w:rsid w:val="00342EBF"/>
    <w:rsid w:val="0034349F"/>
    <w:rsid w:val="00343BF6"/>
    <w:rsid w:val="00343C77"/>
    <w:rsid w:val="0034416E"/>
    <w:rsid w:val="00344D30"/>
    <w:rsid w:val="00344D4F"/>
    <w:rsid w:val="003453A4"/>
    <w:rsid w:val="00345FF1"/>
    <w:rsid w:val="00346405"/>
    <w:rsid w:val="00346BDB"/>
    <w:rsid w:val="00350630"/>
    <w:rsid w:val="003506D8"/>
    <w:rsid w:val="00350C07"/>
    <w:rsid w:val="00351A94"/>
    <w:rsid w:val="00351FE6"/>
    <w:rsid w:val="003522AD"/>
    <w:rsid w:val="00353A78"/>
    <w:rsid w:val="00353B0F"/>
    <w:rsid w:val="003568E2"/>
    <w:rsid w:val="003578E9"/>
    <w:rsid w:val="0037026C"/>
    <w:rsid w:val="003708F5"/>
    <w:rsid w:val="00371B06"/>
    <w:rsid w:val="00371E6D"/>
    <w:rsid w:val="00372919"/>
    <w:rsid w:val="00372A92"/>
    <w:rsid w:val="00372AA5"/>
    <w:rsid w:val="00372BAA"/>
    <w:rsid w:val="00374217"/>
    <w:rsid w:val="003749E2"/>
    <w:rsid w:val="00377688"/>
    <w:rsid w:val="0037787A"/>
    <w:rsid w:val="00380181"/>
    <w:rsid w:val="00380C0E"/>
    <w:rsid w:val="00380E6C"/>
    <w:rsid w:val="00381BA6"/>
    <w:rsid w:val="0038402C"/>
    <w:rsid w:val="003848E5"/>
    <w:rsid w:val="00384DC3"/>
    <w:rsid w:val="00384FDF"/>
    <w:rsid w:val="003851A2"/>
    <w:rsid w:val="003856F9"/>
    <w:rsid w:val="00385770"/>
    <w:rsid w:val="00385782"/>
    <w:rsid w:val="00386AC8"/>
    <w:rsid w:val="00387BE3"/>
    <w:rsid w:val="00390002"/>
    <w:rsid w:val="0039193E"/>
    <w:rsid w:val="00391FAD"/>
    <w:rsid w:val="0039208F"/>
    <w:rsid w:val="00392F60"/>
    <w:rsid w:val="00393229"/>
    <w:rsid w:val="0039354B"/>
    <w:rsid w:val="0039378D"/>
    <w:rsid w:val="003937E2"/>
    <w:rsid w:val="00393E64"/>
    <w:rsid w:val="003970C8"/>
    <w:rsid w:val="003A2B8F"/>
    <w:rsid w:val="003A37D4"/>
    <w:rsid w:val="003A3F9F"/>
    <w:rsid w:val="003A4049"/>
    <w:rsid w:val="003A42C3"/>
    <w:rsid w:val="003A4376"/>
    <w:rsid w:val="003A4773"/>
    <w:rsid w:val="003A5525"/>
    <w:rsid w:val="003A5F0E"/>
    <w:rsid w:val="003A6346"/>
    <w:rsid w:val="003A7713"/>
    <w:rsid w:val="003B00B1"/>
    <w:rsid w:val="003B0797"/>
    <w:rsid w:val="003B1324"/>
    <w:rsid w:val="003B15E4"/>
    <w:rsid w:val="003B366F"/>
    <w:rsid w:val="003B3BD4"/>
    <w:rsid w:val="003B4D2E"/>
    <w:rsid w:val="003B5953"/>
    <w:rsid w:val="003B669A"/>
    <w:rsid w:val="003B7138"/>
    <w:rsid w:val="003B74C7"/>
    <w:rsid w:val="003C12D4"/>
    <w:rsid w:val="003C1374"/>
    <w:rsid w:val="003C18F9"/>
    <w:rsid w:val="003C1CB8"/>
    <w:rsid w:val="003C3A6B"/>
    <w:rsid w:val="003C4100"/>
    <w:rsid w:val="003C41C8"/>
    <w:rsid w:val="003C4525"/>
    <w:rsid w:val="003C50FE"/>
    <w:rsid w:val="003C5631"/>
    <w:rsid w:val="003C5667"/>
    <w:rsid w:val="003C5AD3"/>
    <w:rsid w:val="003C6530"/>
    <w:rsid w:val="003D0AF2"/>
    <w:rsid w:val="003D179A"/>
    <w:rsid w:val="003D285F"/>
    <w:rsid w:val="003D2B67"/>
    <w:rsid w:val="003D327C"/>
    <w:rsid w:val="003D387E"/>
    <w:rsid w:val="003D38C4"/>
    <w:rsid w:val="003D3967"/>
    <w:rsid w:val="003D4F69"/>
    <w:rsid w:val="003D6CBC"/>
    <w:rsid w:val="003D703D"/>
    <w:rsid w:val="003D77C4"/>
    <w:rsid w:val="003E0149"/>
    <w:rsid w:val="003E03D7"/>
    <w:rsid w:val="003E0757"/>
    <w:rsid w:val="003E07CF"/>
    <w:rsid w:val="003E26A9"/>
    <w:rsid w:val="003E322C"/>
    <w:rsid w:val="003E377B"/>
    <w:rsid w:val="003E5644"/>
    <w:rsid w:val="003E79AD"/>
    <w:rsid w:val="003E7B99"/>
    <w:rsid w:val="003F1808"/>
    <w:rsid w:val="003F2EFE"/>
    <w:rsid w:val="003F35D9"/>
    <w:rsid w:val="003F4243"/>
    <w:rsid w:val="003F45D3"/>
    <w:rsid w:val="003F5D75"/>
    <w:rsid w:val="003F63DC"/>
    <w:rsid w:val="00400869"/>
    <w:rsid w:val="00401EDD"/>
    <w:rsid w:val="004026EF"/>
    <w:rsid w:val="00402E85"/>
    <w:rsid w:val="00403129"/>
    <w:rsid w:val="00405FCB"/>
    <w:rsid w:val="004067CE"/>
    <w:rsid w:val="00410ADD"/>
    <w:rsid w:val="004111A5"/>
    <w:rsid w:val="00411DC0"/>
    <w:rsid w:val="00412820"/>
    <w:rsid w:val="00412DD8"/>
    <w:rsid w:val="00413AC2"/>
    <w:rsid w:val="00416697"/>
    <w:rsid w:val="00416D3C"/>
    <w:rsid w:val="00420B8D"/>
    <w:rsid w:val="00420BE7"/>
    <w:rsid w:val="00421517"/>
    <w:rsid w:val="00423846"/>
    <w:rsid w:val="00423F11"/>
    <w:rsid w:val="00424C43"/>
    <w:rsid w:val="00425093"/>
    <w:rsid w:val="0042604E"/>
    <w:rsid w:val="00426331"/>
    <w:rsid w:val="00426769"/>
    <w:rsid w:val="00430195"/>
    <w:rsid w:val="0043024E"/>
    <w:rsid w:val="0043167A"/>
    <w:rsid w:val="00431731"/>
    <w:rsid w:val="00434612"/>
    <w:rsid w:val="00434848"/>
    <w:rsid w:val="00434E08"/>
    <w:rsid w:val="004352BB"/>
    <w:rsid w:val="004354D2"/>
    <w:rsid w:val="004356F3"/>
    <w:rsid w:val="00436421"/>
    <w:rsid w:val="004368AE"/>
    <w:rsid w:val="00440622"/>
    <w:rsid w:val="00440CC3"/>
    <w:rsid w:val="00441648"/>
    <w:rsid w:val="00441767"/>
    <w:rsid w:val="0044299B"/>
    <w:rsid w:val="004460C8"/>
    <w:rsid w:val="004467A3"/>
    <w:rsid w:val="00446ABF"/>
    <w:rsid w:val="004472C8"/>
    <w:rsid w:val="00450C22"/>
    <w:rsid w:val="00451699"/>
    <w:rsid w:val="004529D4"/>
    <w:rsid w:val="00452DDB"/>
    <w:rsid w:val="004535A9"/>
    <w:rsid w:val="004543E5"/>
    <w:rsid w:val="0045497F"/>
    <w:rsid w:val="0045503B"/>
    <w:rsid w:val="0045560E"/>
    <w:rsid w:val="00457150"/>
    <w:rsid w:val="00461088"/>
    <w:rsid w:val="004617B2"/>
    <w:rsid w:val="004638D5"/>
    <w:rsid w:val="0046668F"/>
    <w:rsid w:val="0047003A"/>
    <w:rsid w:val="00470590"/>
    <w:rsid w:val="004705FF"/>
    <w:rsid w:val="00471553"/>
    <w:rsid w:val="004715BE"/>
    <w:rsid w:val="00473371"/>
    <w:rsid w:val="004734F9"/>
    <w:rsid w:val="00474CB1"/>
    <w:rsid w:val="00476334"/>
    <w:rsid w:val="0047662D"/>
    <w:rsid w:val="00476FCC"/>
    <w:rsid w:val="0048006F"/>
    <w:rsid w:val="004805ED"/>
    <w:rsid w:val="004807C3"/>
    <w:rsid w:val="00480E15"/>
    <w:rsid w:val="004816F7"/>
    <w:rsid w:val="0048186E"/>
    <w:rsid w:val="004818F9"/>
    <w:rsid w:val="00481B4F"/>
    <w:rsid w:val="00482679"/>
    <w:rsid w:val="00482847"/>
    <w:rsid w:val="00484071"/>
    <w:rsid w:val="00484D74"/>
    <w:rsid w:val="00484DD4"/>
    <w:rsid w:val="00484E47"/>
    <w:rsid w:val="00485A56"/>
    <w:rsid w:val="004862C6"/>
    <w:rsid w:val="00486D0A"/>
    <w:rsid w:val="00487844"/>
    <w:rsid w:val="00490843"/>
    <w:rsid w:val="00490AE2"/>
    <w:rsid w:val="00490CFA"/>
    <w:rsid w:val="00491105"/>
    <w:rsid w:val="00491A48"/>
    <w:rsid w:val="00491A4E"/>
    <w:rsid w:val="00493BDE"/>
    <w:rsid w:val="00493E51"/>
    <w:rsid w:val="004947AB"/>
    <w:rsid w:val="004948F2"/>
    <w:rsid w:val="00495797"/>
    <w:rsid w:val="0049610E"/>
    <w:rsid w:val="004963B1"/>
    <w:rsid w:val="0049657D"/>
    <w:rsid w:val="0049703D"/>
    <w:rsid w:val="0049717C"/>
    <w:rsid w:val="004A082D"/>
    <w:rsid w:val="004A10B8"/>
    <w:rsid w:val="004A19C4"/>
    <w:rsid w:val="004A1F27"/>
    <w:rsid w:val="004A1F59"/>
    <w:rsid w:val="004A3C00"/>
    <w:rsid w:val="004A4276"/>
    <w:rsid w:val="004A475E"/>
    <w:rsid w:val="004A4F55"/>
    <w:rsid w:val="004A5C48"/>
    <w:rsid w:val="004A65C3"/>
    <w:rsid w:val="004A6B3D"/>
    <w:rsid w:val="004A734A"/>
    <w:rsid w:val="004A77C3"/>
    <w:rsid w:val="004B001A"/>
    <w:rsid w:val="004B0463"/>
    <w:rsid w:val="004B15D1"/>
    <w:rsid w:val="004B1E0C"/>
    <w:rsid w:val="004B4469"/>
    <w:rsid w:val="004B4F58"/>
    <w:rsid w:val="004B63D8"/>
    <w:rsid w:val="004B6641"/>
    <w:rsid w:val="004B6930"/>
    <w:rsid w:val="004B768D"/>
    <w:rsid w:val="004C0E45"/>
    <w:rsid w:val="004C1CC1"/>
    <w:rsid w:val="004C1FCC"/>
    <w:rsid w:val="004C242A"/>
    <w:rsid w:val="004C355A"/>
    <w:rsid w:val="004C4D83"/>
    <w:rsid w:val="004C5580"/>
    <w:rsid w:val="004C72FF"/>
    <w:rsid w:val="004C74B0"/>
    <w:rsid w:val="004D079A"/>
    <w:rsid w:val="004D0ABD"/>
    <w:rsid w:val="004D18EE"/>
    <w:rsid w:val="004D20D2"/>
    <w:rsid w:val="004D2E11"/>
    <w:rsid w:val="004D2F5F"/>
    <w:rsid w:val="004D327F"/>
    <w:rsid w:val="004D3C1E"/>
    <w:rsid w:val="004D408E"/>
    <w:rsid w:val="004D441D"/>
    <w:rsid w:val="004D59C3"/>
    <w:rsid w:val="004D6ED4"/>
    <w:rsid w:val="004E0108"/>
    <w:rsid w:val="004E0DEC"/>
    <w:rsid w:val="004E1562"/>
    <w:rsid w:val="004E18D8"/>
    <w:rsid w:val="004E19FF"/>
    <w:rsid w:val="004E2A4B"/>
    <w:rsid w:val="004E2E7F"/>
    <w:rsid w:val="004E3601"/>
    <w:rsid w:val="004E372F"/>
    <w:rsid w:val="004E3AA8"/>
    <w:rsid w:val="004E404B"/>
    <w:rsid w:val="004E4BA1"/>
    <w:rsid w:val="004E4D24"/>
    <w:rsid w:val="004E61F4"/>
    <w:rsid w:val="004E639F"/>
    <w:rsid w:val="004E7DE4"/>
    <w:rsid w:val="004F0D99"/>
    <w:rsid w:val="004F1A1D"/>
    <w:rsid w:val="004F1B44"/>
    <w:rsid w:val="004F23D2"/>
    <w:rsid w:val="004F27E9"/>
    <w:rsid w:val="004F32BC"/>
    <w:rsid w:val="004F3349"/>
    <w:rsid w:val="004F3439"/>
    <w:rsid w:val="004F4244"/>
    <w:rsid w:val="004F4CF7"/>
    <w:rsid w:val="004F5A2C"/>
    <w:rsid w:val="004F76CC"/>
    <w:rsid w:val="004F7FFB"/>
    <w:rsid w:val="005002BE"/>
    <w:rsid w:val="00500E4E"/>
    <w:rsid w:val="005016DB"/>
    <w:rsid w:val="005017A1"/>
    <w:rsid w:val="00501870"/>
    <w:rsid w:val="00501F1F"/>
    <w:rsid w:val="005030D2"/>
    <w:rsid w:val="0050318A"/>
    <w:rsid w:val="00503CC4"/>
    <w:rsid w:val="005052AA"/>
    <w:rsid w:val="00505F36"/>
    <w:rsid w:val="0050670E"/>
    <w:rsid w:val="00506A7E"/>
    <w:rsid w:val="00510396"/>
    <w:rsid w:val="0051105A"/>
    <w:rsid w:val="0051282A"/>
    <w:rsid w:val="00512DF2"/>
    <w:rsid w:val="0051396A"/>
    <w:rsid w:val="00514445"/>
    <w:rsid w:val="00514585"/>
    <w:rsid w:val="00514ED4"/>
    <w:rsid w:val="00515643"/>
    <w:rsid w:val="005164A4"/>
    <w:rsid w:val="00516C11"/>
    <w:rsid w:val="00516F79"/>
    <w:rsid w:val="00517184"/>
    <w:rsid w:val="005174E6"/>
    <w:rsid w:val="005178F1"/>
    <w:rsid w:val="00517E41"/>
    <w:rsid w:val="005202F1"/>
    <w:rsid w:val="005206F3"/>
    <w:rsid w:val="00521C3E"/>
    <w:rsid w:val="00522527"/>
    <w:rsid w:val="005229E2"/>
    <w:rsid w:val="00523429"/>
    <w:rsid w:val="00523548"/>
    <w:rsid w:val="00523C4C"/>
    <w:rsid w:val="00524A7E"/>
    <w:rsid w:val="005258E7"/>
    <w:rsid w:val="00525FA2"/>
    <w:rsid w:val="005260E1"/>
    <w:rsid w:val="0052654D"/>
    <w:rsid w:val="005265A6"/>
    <w:rsid w:val="005277BB"/>
    <w:rsid w:val="00527B32"/>
    <w:rsid w:val="005310AD"/>
    <w:rsid w:val="00532D3A"/>
    <w:rsid w:val="00533AB2"/>
    <w:rsid w:val="00534276"/>
    <w:rsid w:val="00534E9D"/>
    <w:rsid w:val="00535E35"/>
    <w:rsid w:val="00536C11"/>
    <w:rsid w:val="00537F55"/>
    <w:rsid w:val="00540B16"/>
    <w:rsid w:val="00541961"/>
    <w:rsid w:val="00543545"/>
    <w:rsid w:val="00543819"/>
    <w:rsid w:val="00543A05"/>
    <w:rsid w:val="00543F80"/>
    <w:rsid w:val="005443D2"/>
    <w:rsid w:val="005448EB"/>
    <w:rsid w:val="00545DC0"/>
    <w:rsid w:val="0054654A"/>
    <w:rsid w:val="00546B3D"/>
    <w:rsid w:val="005471B3"/>
    <w:rsid w:val="00547A97"/>
    <w:rsid w:val="00550341"/>
    <w:rsid w:val="0055174B"/>
    <w:rsid w:val="005517B3"/>
    <w:rsid w:val="00552B10"/>
    <w:rsid w:val="00552FFC"/>
    <w:rsid w:val="00554CEF"/>
    <w:rsid w:val="00555276"/>
    <w:rsid w:val="00555B2D"/>
    <w:rsid w:val="00556354"/>
    <w:rsid w:val="0055678B"/>
    <w:rsid w:val="005567D8"/>
    <w:rsid w:val="00556FF9"/>
    <w:rsid w:val="0055718B"/>
    <w:rsid w:val="0056013C"/>
    <w:rsid w:val="00560D24"/>
    <w:rsid w:val="0056190B"/>
    <w:rsid w:val="00561AF3"/>
    <w:rsid w:val="00562068"/>
    <w:rsid w:val="005626FA"/>
    <w:rsid w:val="00562E1A"/>
    <w:rsid w:val="00563458"/>
    <w:rsid w:val="005649DB"/>
    <w:rsid w:val="00565761"/>
    <w:rsid w:val="0056618F"/>
    <w:rsid w:val="00566645"/>
    <w:rsid w:val="00566685"/>
    <w:rsid w:val="005666BA"/>
    <w:rsid w:val="005716DF"/>
    <w:rsid w:val="0057329B"/>
    <w:rsid w:val="00574190"/>
    <w:rsid w:val="00574625"/>
    <w:rsid w:val="00574E46"/>
    <w:rsid w:val="00575065"/>
    <w:rsid w:val="00575CB7"/>
    <w:rsid w:val="00575DDF"/>
    <w:rsid w:val="00575F41"/>
    <w:rsid w:val="00576017"/>
    <w:rsid w:val="005804B5"/>
    <w:rsid w:val="00580583"/>
    <w:rsid w:val="00581DEE"/>
    <w:rsid w:val="00581E81"/>
    <w:rsid w:val="00582635"/>
    <w:rsid w:val="005829C1"/>
    <w:rsid w:val="00582B9B"/>
    <w:rsid w:val="00582D80"/>
    <w:rsid w:val="005841DC"/>
    <w:rsid w:val="00584D04"/>
    <w:rsid w:val="00585149"/>
    <w:rsid w:val="005868F4"/>
    <w:rsid w:val="00586915"/>
    <w:rsid w:val="00586E0A"/>
    <w:rsid w:val="00586EC7"/>
    <w:rsid w:val="0059076A"/>
    <w:rsid w:val="00591441"/>
    <w:rsid w:val="0059166E"/>
    <w:rsid w:val="0059277C"/>
    <w:rsid w:val="0059294C"/>
    <w:rsid w:val="00592A13"/>
    <w:rsid w:val="00592D6A"/>
    <w:rsid w:val="005933DA"/>
    <w:rsid w:val="005951AF"/>
    <w:rsid w:val="005975A1"/>
    <w:rsid w:val="005A0333"/>
    <w:rsid w:val="005A15BF"/>
    <w:rsid w:val="005A1715"/>
    <w:rsid w:val="005A1AC5"/>
    <w:rsid w:val="005A1BE2"/>
    <w:rsid w:val="005A237B"/>
    <w:rsid w:val="005A359C"/>
    <w:rsid w:val="005A3E49"/>
    <w:rsid w:val="005A484B"/>
    <w:rsid w:val="005A48CD"/>
    <w:rsid w:val="005A54B3"/>
    <w:rsid w:val="005A57E9"/>
    <w:rsid w:val="005A67E2"/>
    <w:rsid w:val="005A709C"/>
    <w:rsid w:val="005A71FE"/>
    <w:rsid w:val="005A7F5D"/>
    <w:rsid w:val="005B0E92"/>
    <w:rsid w:val="005B1D95"/>
    <w:rsid w:val="005B27A5"/>
    <w:rsid w:val="005B3065"/>
    <w:rsid w:val="005B31FA"/>
    <w:rsid w:val="005B4FB2"/>
    <w:rsid w:val="005B592A"/>
    <w:rsid w:val="005B674D"/>
    <w:rsid w:val="005B7BA7"/>
    <w:rsid w:val="005C073D"/>
    <w:rsid w:val="005C188E"/>
    <w:rsid w:val="005C3FFF"/>
    <w:rsid w:val="005C4945"/>
    <w:rsid w:val="005C49F2"/>
    <w:rsid w:val="005C541E"/>
    <w:rsid w:val="005C5B6A"/>
    <w:rsid w:val="005C6F04"/>
    <w:rsid w:val="005D30AA"/>
    <w:rsid w:val="005D3AF6"/>
    <w:rsid w:val="005D488C"/>
    <w:rsid w:val="005D55A5"/>
    <w:rsid w:val="005D55B1"/>
    <w:rsid w:val="005D699F"/>
    <w:rsid w:val="005D6D50"/>
    <w:rsid w:val="005D7BB1"/>
    <w:rsid w:val="005D7E88"/>
    <w:rsid w:val="005D7F24"/>
    <w:rsid w:val="005E1C83"/>
    <w:rsid w:val="005E4916"/>
    <w:rsid w:val="005E5057"/>
    <w:rsid w:val="005E51A7"/>
    <w:rsid w:val="005E5309"/>
    <w:rsid w:val="005E609E"/>
    <w:rsid w:val="005E72F8"/>
    <w:rsid w:val="005E74F3"/>
    <w:rsid w:val="005E7FDF"/>
    <w:rsid w:val="005F03A2"/>
    <w:rsid w:val="005F1247"/>
    <w:rsid w:val="005F1C38"/>
    <w:rsid w:val="005F1D63"/>
    <w:rsid w:val="005F2DC6"/>
    <w:rsid w:val="005F352D"/>
    <w:rsid w:val="005F401B"/>
    <w:rsid w:val="005F4214"/>
    <w:rsid w:val="005F4461"/>
    <w:rsid w:val="005F4522"/>
    <w:rsid w:val="005F52C8"/>
    <w:rsid w:val="005F69F8"/>
    <w:rsid w:val="005F7374"/>
    <w:rsid w:val="005F792F"/>
    <w:rsid w:val="005F79EB"/>
    <w:rsid w:val="0060018F"/>
    <w:rsid w:val="00600B29"/>
    <w:rsid w:val="0060160B"/>
    <w:rsid w:val="00601663"/>
    <w:rsid w:val="00601A2C"/>
    <w:rsid w:val="006020A6"/>
    <w:rsid w:val="00602493"/>
    <w:rsid w:val="00602EC3"/>
    <w:rsid w:val="00603130"/>
    <w:rsid w:val="006040B5"/>
    <w:rsid w:val="006048DC"/>
    <w:rsid w:val="0060644E"/>
    <w:rsid w:val="00606FBB"/>
    <w:rsid w:val="00607C44"/>
    <w:rsid w:val="00607CC7"/>
    <w:rsid w:val="00611392"/>
    <w:rsid w:val="00611BB3"/>
    <w:rsid w:val="006122DC"/>
    <w:rsid w:val="006129E1"/>
    <w:rsid w:val="00614CFD"/>
    <w:rsid w:val="006151F1"/>
    <w:rsid w:val="006154AA"/>
    <w:rsid w:val="00615B79"/>
    <w:rsid w:val="00615EB8"/>
    <w:rsid w:val="00615FEF"/>
    <w:rsid w:val="0061606F"/>
    <w:rsid w:val="00616EA1"/>
    <w:rsid w:val="00617A45"/>
    <w:rsid w:val="006214D5"/>
    <w:rsid w:val="0062195D"/>
    <w:rsid w:val="00623A64"/>
    <w:rsid w:val="00624710"/>
    <w:rsid w:val="00625352"/>
    <w:rsid w:val="00627528"/>
    <w:rsid w:val="006275C6"/>
    <w:rsid w:val="00627D54"/>
    <w:rsid w:val="006316DA"/>
    <w:rsid w:val="006322F4"/>
    <w:rsid w:val="006330E2"/>
    <w:rsid w:val="00633184"/>
    <w:rsid w:val="00633343"/>
    <w:rsid w:val="0063343A"/>
    <w:rsid w:val="00633EA2"/>
    <w:rsid w:val="00634258"/>
    <w:rsid w:val="006350DD"/>
    <w:rsid w:val="006354E8"/>
    <w:rsid w:val="0063707B"/>
    <w:rsid w:val="00637863"/>
    <w:rsid w:val="00637BF9"/>
    <w:rsid w:val="00637E4A"/>
    <w:rsid w:val="0064003E"/>
    <w:rsid w:val="00640BA5"/>
    <w:rsid w:val="0064193D"/>
    <w:rsid w:val="00642697"/>
    <w:rsid w:val="006432DF"/>
    <w:rsid w:val="00643C2C"/>
    <w:rsid w:val="00644494"/>
    <w:rsid w:val="00644533"/>
    <w:rsid w:val="006476DF"/>
    <w:rsid w:val="00647DD9"/>
    <w:rsid w:val="00650D22"/>
    <w:rsid w:val="006513F2"/>
    <w:rsid w:val="00651965"/>
    <w:rsid w:val="00651B4A"/>
    <w:rsid w:val="00652FB4"/>
    <w:rsid w:val="00655085"/>
    <w:rsid w:val="00655F2F"/>
    <w:rsid w:val="00656515"/>
    <w:rsid w:val="00657041"/>
    <w:rsid w:val="00657B3A"/>
    <w:rsid w:val="00657EC4"/>
    <w:rsid w:val="006603CA"/>
    <w:rsid w:val="0066073F"/>
    <w:rsid w:val="006613A6"/>
    <w:rsid w:val="00665F1E"/>
    <w:rsid w:val="0066674E"/>
    <w:rsid w:val="00666B16"/>
    <w:rsid w:val="00666F55"/>
    <w:rsid w:val="0067009D"/>
    <w:rsid w:val="0067078C"/>
    <w:rsid w:val="00671A1C"/>
    <w:rsid w:val="00673094"/>
    <w:rsid w:val="006733E5"/>
    <w:rsid w:val="006738D2"/>
    <w:rsid w:val="006755B5"/>
    <w:rsid w:val="00676F54"/>
    <w:rsid w:val="00677696"/>
    <w:rsid w:val="006807C3"/>
    <w:rsid w:val="0068181A"/>
    <w:rsid w:val="0068188C"/>
    <w:rsid w:val="00682550"/>
    <w:rsid w:val="006825C9"/>
    <w:rsid w:val="0068387E"/>
    <w:rsid w:val="00684315"/>
    <w:rsid w:val="0068454E"/>
    <w:rsid w:val="00685173"/>
    <w:rsid w:val="00685F6D"/>
    <w:rsid w:val="006861AD"/>
    <w:rsid w:val="00687DFA"/>
    <w:rsid w:val="00690051"/>
    <w:rsid w:val="006906A9"/>
    <w:rsid w:val="00691E10"/>
    <w:rsid w:val="00692355"/>
    <w:rsid w:val="00692EBB"/>
    <w:rsid w:val="00694C97"/>
    <w:rsid w:val="0069504B"/>
    <w:rsid w:val="006960B5"/>
    <w:rsid w:val="00697575"/>
    <w:rsid w:val="006977F8"/>
    <w:rsid w:val="006A01C4"/>
    <w:rsid w:val="006A06FB"/>
    <w:rsid w:val="006A09C7"/>
    <w:rsid w:val="006A1E23"/>
    <w:rsid w:val="006A2F90"/>
    <w:rsid w:val="006A5AD6"/>
    <w:rsid w:val="006A5EC8"/>
    <w:rsid w:val="006A7166"/>
    <w:rsid w:val="006A7259"/>
    <w:rsid w:val="006A7A2C"/>
    <w:rsid w:val="006B1157"/>
    <w:rsid w:val="006B2113"/>
    <w:rsid w:val="006B27BE"/>
    <w:rsid w:val="006B3031"/>
    <w:rsid w:val="006B3704"/>
    <w:rsid w:val="006B42EE"/>
    <w:rsid w:val="006B4518"/>
    <w:rsid w:val="006B555A"/>
    <w:rsid w:val="006B5D43"/>
    <w:rsid w:val="006B654A"/>
    <w:rsid w:val="006B712F"/>
    <w:rsid w:val="006C2752"/>
    <w:rsid w:val="006C2A88"/>
    <w:rsid w:val="006C315A"/>
    <w:rsid w:val="006C3669"/>
    <w:rsid w:val="006C4884"/>
    <w:rsid w:val="006C54C1"/>
    <w:rsid w:val="006C55D1"/>
    <w:rsid w:val="006C5DA2"/>
    <w:rsid w:val="006C60C9"/>
    <w:rsid w:val="006C6F9A"/>
    <w:rsid w:val="006C6FBD"/>
    <w:rsid w:val="006C7E7E"/>
    <w:rsid w:val="006D04E4"/>
    <w:rsid w:val="006D18BE"/>
    <w:rsid w:val="006D1DE9"/>
    <w:rsid w:val="006D2E61"/>
    <w:rsid w:val="006D3382"/>
    <w:rsid w:val="006D62EA"/>
    <w:rsid w:val="006D7EF1"/>
    <w:rsid w:val="006E0310"/>
    <w:rsid w:val="006E12FC"/>
    <w:rsid w:val="006E1E3A"/>
    <w:rsid w:val="006E2232"/>
    <w:rsid w:val="006E2643"/>
    <w:rsid w:val="006E2A38"/>
    <w:rsid w:val="006E3177"/>
    <w:rsid w:val="006E45E8"/>
    <w:rsid w:val="006E4839"/>
    <w:rsid w:val="006E5B0C"/>
    <w:rsid w:val="006E5FD4"/>
    <w:rsid w:val="006E682D"/>
    <w:rsid w:val="006E7758"/>
    <w:rsid w:val="006F0FD2"/>
    <w:rsid w:val="006F1064"/>
    <w:rsid w:val="006F1679"/>
    <w:rsid w:val="006F1830"/>
    <w:rsid w:val="006F1F31"/>
    <w:rsid w:val="006F27A9"/>
    <w:rsid w:val="006F4239"/>
    <w:rsid w:val="006F44B3"/>
    <w:rsid w:val="006F46C3"/>
    <w:rsid w:val="006F4C47"/>
    <w:rsid w:val="006F51BD"/>
    <w:rsid w:val="006F5214"/>
    <w:rsid w:val="006F65E8"/>
    <w:rsid w:val="006F7870"/>
    <w:rsid w:val="00700D9C"/>
    <w:rsid w:val="00703358"/>
    <w:rsid w:val="00703D3A"/>
    <w:rsid w:val="007045FE"/>
    <w:rsid w:val="00704DE8"/>
    <w:rsid w:val="0070583F"/>
    <w:rsid w:val="00710E1F"/>
    <w:rsid w:val="0071163D"/>
    <w:rsid w:val="007121F6"/>
    <w:rsid w:val="007129E7"/>
    <w:rsid w:val="00712ACB"/>
    <w:rsid w:val="00712FBA"/>
    <w:rsid w:val="007149B0"/>
    <w:rsid w:val="0071520B"/>
    <w:rsid w:val="007158F7"/>
    <w:rsid w:val="00715D80"/>
    <w:rsid w:val="00715F77"/>
    <w:rsid w:val="00716F9A"/>
    <w:rsid w:val="0071781D"/>
    <w:rsid w:val="00717B81"/>
    <w:rsid w:val="007201DD"/>
    <w:rsid w:val="0072027E"/>
    <w:rsid w:val="00720B97"/>
    <w:rsid w:val="007210FC"/>
    <w:rsid w:val="00723D3F"/>
    <w:rsid w:val="00723EFA"/>
    <w:rsid w:val="00725082"/>
    <w:rsid w:val="007250A3"/>
    <w:rsid w:val="00726784"/>
    <w:rsid w:val="00727613"/>
    <w:rsid w:val="007327B4"/>
    <w:rsid w:val="00734952"/>
    <w:rsid w:val="0073522A"/>
    <w:rsid w:val="007363E5"/>
    <w:rsid w:val="00736F32"/>
    <w:rsid w:val="0074031B"/>
    <w:rsid w:val="0074088F"/>
    <w:rsid w:val="00741EDE"/>
    <w:rsid w:val="00741F03"/>
    <w:rsid w:val="00742090"/>
    <w:rsid w:val="00742157"/>
    <w:rsid w:val="00743073"/>
    <w:rsid w:val="00743E28"/>
    <w:rsid w:val="00743FC5"/>
    <w:rsid w:val="007444CE"/>
    <w:rsid w:val="00744EDA"/>
    <w:rsid w:val="0074548F"/>
    <w:rsid w:val="00746FF6"/>
    <w:rsid w:val="00747F54"/>
    <w:rsid w:val="0075127B"/>
    <w:rsid w:val="00751B10"/>
    <w:rsid w:val="0075278E"/>
    <w:rsid w:val="00752F1A"/>
    <w:rsid w:val="0075555A"/>
    <w:rsid w:val="00756907"/>
    <w:rsid w:val="00756935"/>
    <w:rsid w:val="00757347"/>
    <w:rsid w:val="00760CCC"/>
    <w:rsid w:val="0076193C"/>
    <w:rsid w:val="00762BC8"/>
    <w:rsid w:val="00762E4B"/>
    <w:rsid w:val="00763FEE"/>
    <w:rsid w:val="007641A2"/>
    <w:rsid w:val="00764E9D"/>
    <w:rsid w:val="007651B6"/>
    <w:rsid w:val="00765228"/>
    <w:rsid w:val="00766BE9"/>
    <w:rsid w:val="0076720F"/>
    <w:rsid w:val="00770375"/>
    <w:rsid w:val="00770DC9"/>
    <w:rsid w:val="00771B3C"/>
    <w:rsid w:val="0077228A"/>
    <w:rsid w:val="007726EE"/>
    <w:rsid w:val="0077298F"/>
    <w:rsid w:val="00772D44"/>
    <w:rsid w:val="00774E3E"/>
    <w:rsid w:val="00775EB4"/>
    <w:rsid w:val="007767A1"/>
    <w:rsid w:val="007769C9"/>
    <w:rsid w:val="007772EF"/>
    <w:rsid w:val="00777DB9"/>
    <w:rsid w:val="00781236"/>
    <w:rsid w:val="00782D8C"/>
    <w:rsid w:val="0078517B"/>
    <w:rsid w:val="00785F9B"/>
    <w:rsid w:val="00786E2F"/>
    <w:rsid w:val="0078717C"/>
    <w:rsid w:val="007923E9"/>
    <w:rsid w:val="00793107"/>
    <w:rsid w:val="007941C5"/>
    <w:rsid w:val="00794A42"/>
    <w:rsid w:val="00795528"/>
    <w:rsid w:val="00795908"/>
    <w:rsid w:val="007A0A84"/>
    <w:rsid w:val="007A0A9E"/>
    <w:rsid w:val="007A101F"/>
    <w:rsid w:val="007A3566"/>
    <w:rsid w:val="007A3784"/>
    <w:rsid w:val="007A3A77"/>
    <w:rsid w:val="007A3C8F"/>
    <w:rsid w:val="007A4869"/>
    <w:rsid w:val="007A7CF1"/>
    <w:rsid w:val="007B0067"/>
    <w:rsid w:val="007B13AF"/>
    <w:rsid w:val="007B3370"/>
    <w:rsid w:val="007B3820"/>
    <w:rsid w:val="007B38EA"/>
    <w:rsid w:val="007B3ABD"/>
    <w:rsid w:val="007B4D1A"/>
    <w:rsid w:val="007B5702"/>
    <w:rsid w:val="007B5A24"/>
    <w:rsid w:val="007B5ADE"/>
    <w:rsid w:val="007B5B6C"/>
    <w:rsid w:val="007B65A3"/>
    <w:rsid w:val="007B6930"/>
    <w:rsid w:val="007B6B4A"/>
    <w:rsid w:val="007C0242"/>
    <w:rsid w:val="007C285C"/>
    <w:rsid w:val="007C285D"/>
    <w:rsid w:val="007C41C4"/>
    <w:rsid w:val="007C47F6"/>
    <w:rsid w:val="007C4E2A"/>
    <w:rsid w:val="007C64FF"/>
    <w:rsid w:val="007C6A56"/>
    <w:rsid w:val="007C6FA2"/>
    <w:rsid w:val="007C75DA"/>
    <w:rsid w:val="007C7617"/>
    <w:rsid w:val="007D1670"/>
    <w:rsid w:val="007D2052"/>
    <w:rsid w:val="007D2892"/>
    <w:rsid w:val="007D311A"/>
    <w:rsid w:val="007D4E65"/>
    <w:rsid w:val="007D5109"/>
    <w:rsid w:val="007D5692"/>
    <w:rsid w:val="007D63BA"/>
    <w:rsid w:val="007D7BB1"/>
    <w:rsid w:val="007E0063"/>
    <w:rsid w:val="007E019A"/>
    <w:rsid w:val="007E0580"/>
    <w:rsid w:val="007E1AC5"/>
    <w:rsid w:val="007E3719"/>
    <w:rsid w:val="007E3849"/>
    <w:rsid w:val="007E4048"/>
    <w:rsid w:val="007E424F"/>
    <w:rsid w:val="007E45FC"/>
    <w:rsid w:val="007E49E5"/>
    <w:rsid w:val="007E5268"/>
    <w:rsid w:val="007E5893"/>
    <w:rsid w:val="007E6616"/>
    <w:rsid w:val="007F0045"/>
    <w:rsid w:val="007F03A3"/>
    <w:rsid w:val="007F06B9"/>
    <w:rsid w:val="007F1007"/>
    <w:rsid w:val="007F1599"/>
    <w:rsid w:val="007F23CA"/>
    <w:rsid w:val="007F24C6"/>
    <w:rsid w:val="007F2B90"/>
    <w:rsid w:val="007F2F28"/>
    <w:rsid w:val="007F34FA"/>
    <w:rsid w:val="007F3D52"/>
    <w:rsid w:val="007F3E95"/>
    <w:rsid w:val="007F546B"/>
    <w:rsid w:val="007F59B5"/>
    <w:rsid w:val="007F5F76"/>
    <w:rsid w:val="007F736C"/>
    <w:rsid w:val="00800619"/>
    <w:rsid w:val="0080264B"/>
    <w:rsid w:val="00802925"/>
    <w:rsid w:val="00802AC6"/>
    <w:rsid w:val="00802B89"/>
    <w:rsid w:val="00803ED8"/>
    <w:rsid w:val="0080556A"/>
    <w:rsid w:val="00805A43"/>
    <w:rsid w:val="008064A8"/>
    <w:rsid w:val="00806707"/>
    <w:rsid w:val="00807586"/>
    <w:rsid w:val="00810FEC"/>
    <w:rsid w:val="00811140"/>
    <w:rsid w:val="00811A6A"/>
    <w:rsid w:val="00811B86"/>
    <w:rsid w:val="00812976"/>
    <w:rsid w:val="00812B9A"/>
    <w:rsid w:val="00813301"/>
    <w:rsid w:val="0081391D"/>
    <w:rsid w:val="00815D16"/>
    <w:rsid w:val="00816125"/>
    <w:rsid w:val="00816979"/>
    <w:rsid w:val="00816D43"/>
    <w:rsid w:val="0081719F"/>
    <w:rsid w:val="00817ABF"/>
    <w:rsid w:val="0082122C"/>
    <w:rsid w:val="0082148B"/>
    <w:rsid w:val="00823111"/>
    <w:rsid w:val="00824252"/>
    <w:rsid w:val="008243D7"/>
    <w:rsid w:val="008250A5"/>
    <w:rsid w:val="00825CCC"/>
    <w:rsid w:val="00826A68"/>
    <w:rsid w:val="00826AAB"/>
    <w:rsid w:val="00830470"/>
    <w:rsid w:val="008305C7"/>
    <w:rsid w:val="00830674"/>
    <w:rsid w:val="00832095"/>
    <w:rsid w:val="0083314A"/>
    <w:rsid w:val="00833211"/>
    <w:rsid w:val="00834A5A"/>
    <w:rsid w:val="00834AEF"/>
    <w:rsid w:val="00835FF2"/>
    <w:rsid w:val="00836075"/>
    <w:rsid w:val="0084088E"/>
    <w:rsid w:val="008411EE"/>
    <w:rsid w:val="00841C4D"/>
    <w:rsid w:val="00841C86"/>
    <w:rsid w:val="0084329D"/>
    <w:rsid w:val="0084400E"/>
    <w:rsid w:val="00844EDD"/>
    <w:rsid w:val="00846316"/>
    <w:rsid w:val="00850D0D"/>
    <w:rsid w:val="00850F13"/>
    <w:rsid w:val="00851C35"/>
    <w:rsid w:val="0085207A"/>
    <w:rsid w:val="008524AE"/>
    <w:rsid w:val="00853BFB"/>
    <w:rsid w:val="0085632F"/>
    <w:rsid w:val="008565F1"/>
    <w:rsid w:val="008567CB"/>
    <w:rsid w:val="00857C32"/>
    <w:rsid w:val="008611C5"/>
    <w:rsid w:val="00861585"/>
    <w:rsid w:val="00862426"/>
    <w:rsid w:val="008624AE"/>
    <w:rsid w:val="00862857"/>
    <w:rsid w:val="00862D62"/>
    <w:rsid w:val="00863124"/>
    <w:rsid w:val="00863CD1"/>
    <w:rsid w:val="00863E41"/>
    <w:rsid w:val="0086402C"/>
    <w:rsid w:val="008643BC"/>
    <w:rsid w:val="008647FE"/>
    <w:rsid w:val="00864DA8"/>
    <w:rsid w:val="00864F60"/>
    <w:rsid w:val="008652DD"/>
    <w:rsid w:val="008668D2"/>
    <w:rsid w:val="0086783C"/>
    <w:rsid w:val="00867AC6"/>
    <w:rsid w:val="0087190F"/>
    <w:rsid w:val="00872593"/>
    <w:rsid w:val="00872778"/>
    <w:rsid w:val="00874186"/>
    <w:rsid w:val="00874C6A"/>
    <w:rsid w:val="00875A25"/>
    <w:rsid w:val="0088093F"/>
    <w:rsid w:val="008818A9"/>
    <w:rsid w:val="00884646"/>
    <w:rsid w:val="00884746"/>
    <w:rsid w:val="008849E3"/>
    <w:rsid w:val="00885B9A"/>
    <w:rsid w:val="0088658A"/>
    <w:rsid w:val="00887E81"/>
    <w:rsid w:val="008912F2"/>
    <w:rsid w:val="00891770"/>
    <w:rsid w:val="008927E8"/>
    <w:rsid w:val="00892855"/>
    <w:rsid w:val="00893A60"/>
    <w:rsid w:val="00893F38"/>
    <w:rsid w:val="008972E2"/>
    <w:rsid w:val="008A06E9"/>
    <w:rsid w:val="008A13B3"/>
    <w:rsid w:val="008A14B5"/>
    <w:rsid w:val="008A20A7"/>
    <w:rsid w:val="008A20FF"/>
    <w:rsid w:val="008A24FD"/>
    <w:rsid w:val="008A2AC2"/>
    <w:rsid w:val="008A2EAD"/>
    <w:rsid w:val="008A3564"/>
    <w:rsid w:val="008A48E6"/>
    <w:rsid w:val="008A4CAF"/>
    <w:rsid w:val="008A52C6"/>
    <w:rsid w:val="008A537E"/>
    <w:rsid w:val="008A5CBB"/>
    <w:rsid w:val="008A5EA6"/>
    <w:rsid w:val="008A617F"/>
    <w:rsid w:val="008B149F"/>
    <w:rsid w:val="008B1E4A"/>
    <w:rsid w:val="008B2112"/>
    <w:rsid w:val="008B2F27"/>
    <w:rsid w:val="008B3ABE"/>
    <w:rsid w:val="008B4715"/>
    <w:rsid w:val="008B5952"/>
    <w:rsid w:val="008B5995"/>
    <w:rsid w:val="008B5B18"/>
    <w:rsid w:val="008B6058"/>
    <w:rsid w:val="008B757C"/>
    <w:rsid w:val="008B774D"/>
    <w:rsid w:val="008B7FC6"/>
    <w:rsid w:val="008C03E6"/>
    <w:rsid w:val="008C054A"/>
    <w:rsid w:val="008C1315"/>
    <w:rsid w:val="008C182A"/>
    <w:rsid w:val="008C50E3"/>
    <w:rsid w:val="008C541E"/>
    <w:rsid w:val="008C562B"/>
    <w:rsid w:val="008C5CF2"/>
    <w:rsid w:val="008C6F47"/>
    <w:rsid w:val="008C79D5"/>
    <w:rsid w:val="008C7D57"/>
    <w:rsid w:val="008D10FD"/>
    <w:rsid w:val="008D240F"/>
    <w:rsid w:val="008D26AC"/>
    <w:rsid w:val="008D2A35"/>
    <w:rsid w:val="008D3134"/>
    <w:rsid w:val="008D39AB"/>
    <w:rsid w:val="008D4301"/>
    <w:rsid w:val="008D432A"/>
    <w:rsid w:val="008D4AF8"/>
    <w:rsid w:val="008D4CA9"/>
    <w:rsid w:val="008D550D"/>
    <w:rsid w:val="008D63FE"/>
    <w:rsid w:val="008D661A"/>
    <w:rsid w:val="008D686C"/>
    <w:rsid w:val="008D6944"/>
    <w:rsid w:val="008E0894"/>
    <w:rsid w:val="008E16DF"/>
    <w:rsid w:val="008E1733"/>
    <w:rsid w:val="008E19D3"/>
    <w:rsid w:val="008E23CA"/>
    <w:rsid w:val="008E33CB"/>
    <w:rsid w:val="008E36ED"/>
    <w:rsid w:val="008E53FE"/>
    <w:rsid w:val="008E71B5"/>
    <w:rsid w:val="008F03D3"/>
    <w:rsid w:val="008F0565"/>
    <w:rsid w:val="008F0914"/>
    <w:rsid w:val="008F0999"/>
    <w:rsid w:val="008F1BE2"/>
    <w:rsid w:val="008F3DDC"/>
    <w:rsid w:val="008F4651"/>
    <w:rsid w:val="008F5762"/>
    <w:rsid w:val="008F5E9D"/>
    <w:rsid w:val="008F61EB"/>
    <w:rsid w:val="008F653E"/>
    <w:rsid w:val="008F65B5"/>
    <w:rsid w:val="008F77DE"/>
    <w:rsid w:val="008F7FFD"/>
    <w:rsid w:val="00901C18"/>
    <w:rsid w:val="00901DB4"/>
    <w:rsid w:val="00901F6F"/>
    <w:rsid w:val="00901FF9"/>
    <w:rsid w:val="00902D30"/>
    <w:rsid w:val="00903651"/>
    <w:rsid w:val="00903AD3"/>
    <w:rsid w:val="00903CBC"/>
    <w:rsid w:val="009057C5"/>
    <w:rsid w:val="00906866"/>
    <w:rsid w:val="0090687C"/>
    <w:rsid w:val="009117FE"/>
    <w:rsid w:val="009127A4"/>
    <w:rsid w:val="0091298B"/>
    <w:rsid w:val="009130CC"/>
    <w:rsid w:val="00913E21"/>
    <w:rsid w:val="00914A43"/>
    <w:rsid w:val="00914AC7"/>
    <w:rsid w:val="00914EB1"/>
    <w:rsid w:val="009153C6"/>
    <w:rsid w:val="009156D6"/>
    <w:rsid w:val="009165AE"/>
    <w:rsid w:val="00916BB5"/>
    <w:rsid w:val="00916BEE"/>
    <w:rsid w:val="00917DA3"/>
    <w:rsid w:val="0092004D"/>
    <w:rsid w:val="00920546"/>
    <w:rsid w:val="00920F96"/>
    <w:rsid w:val="0092160C"/>
    <w:rsid w:val="0092406D"/>
    <w:rsid w:val="00924B7A"/>
    <w:rsid w:val="009255CB"/>
    <w:rsid w:val="009261CD"/>
    <w:rsid w:val="0092628A"/>
    <w:rsid w:val="00926A6B"/>
    <w:rsid w:val="00926B98"/>
    <w:rsid w:val="009278EF"/>
    <w:rsid w:val="0093042F"/>
    <w:rsid w:val="009306F2"/>
    <w:rsid w:val="009310A6"/>
    <w:rsid w:val="0093136E"/>
    <w:rsid w:val="00931F99"/>
    <w:rsid w:val="00932C8A"/>
    <w:rsid w:val="0093306A"/>
    <w:rsid w:val="00933612"/>
    <w:rsid w:val="0093374D"/>
    <w:rsid w:val="009338FD"/>
    <w:rsid w:val="00933DE1"/>
    <w:rsid w:val="0093468D"/>
    <w:rsid w:val="009349EB"/>
    <w:rsid w:val="00935F93"/>
    <w:rsid w:val="009366DC"/>
    <w:rsid w:val="00936E52"/>
    <w:rsid w:val="0094101F"/>
    <w:rsid w:val="00941492"/>
    <w:rsid w:val="00941BF5"/>
    <w:rsid w:val="00943568"/>
    <w:rsid w:val="0094413F"/>
    <w:rsid w:val="009446D6"/>
    <w:rsid w:val="00944DD7"/>
    <w:rsid w:val="009452B5"/>
    <w:rsid w:val="009455D3"/>
    <w:rsid w:val="00946536"/>
    <w:rsid w:val="00946A0A"/>
    <w:rsid w:val="009476B0"/>
    <w:rsid w:val="00950724"/>
    <w:rsid w:val="00950AF4"/>
    <w:rsid w:val="00950F9F"/>
    <w:rsid w:val="0095396E"/>
    <w:rsid w:val="00954945"/>
    <w:rsid w:val="00954C01"/>
    <w:rsid w:val="00955CF9"/>
    <w:rsid w:val="00956B1E"/>
    <w:rsid w:val="0096056A"/>
    <w:rsid w:val="00961FBF"/>
    <w:rsid w:val="009622E7"/>
    <w:rsid w:val="00963146"/>
    <w:rsid w:val="009635C7"/>
    <w:rsid w:val="009636E0"/>
    <w:rsid w:val="00963DFA"/>
    <w:rsid w:val="00964E2B"/>
    <w:rsid w:val="00965B5A"/>
    <w:rsid w:val="00965E3D"/>
    <w:rsid w:val="00966B48"/>
    <w:rsid w:val="00967EC4"/>
    <w:rsid w:val="009708D7"/>
    <w:rsid w:val="00970E34"/>
    <w:rsid w:val="0097111A"/>
    <w:rsid w:val="009712C1"/>
    <w:rsid w:val="00973315"/>
    <w:rsid w:val="00973908"/>
    <w:rsid w:val="00973E6A"/>
    <w:rsid w:val="00975668"/>
    <w:rsid w:val="00975D4C"/>
    <w:rsid w:val="00976498"/>
    <w:rsid w:val="00976EBB"/>
    <w:rsid w:val="009775BF"/>
    <w:rsid w:val="009777E7"/>
    <w:rsid w:val="009779B1"/>
    <w:rsid w:val="009802A5"/>
    <w:rsid w:val="0098414C"/>
    <w:rsid w:val="00984BAD"/>
    <w:rsid w:val="00985847"/>
    <w:rsid w:val="00985AC1"/>
    <w:rsid w:val="00985C0A"/>
    <w:rsid w:val="00991BD3"/>
    <w:rsid w:val="0099235B"/>
    <w:rsid w:val="00992C70"/>
    <w:rsid w:val="009931D3"/>
    <w:rsid w:val="00993D4B"/>
    <w:rsid w:val="00994995"/>
    <w:rsid w:val="00995099"/>
    <w:rsid w:val="00996CF1"/>
    <w:rsid w:val="00996DD3"/>
    <w:rsid w:val="00997096"/>
    <w:rsid w:val="00997137"/>
    <w:rsid w:val="009A313E"/>
    <w:rsid w:val="009A34E7"/>
    <w:rsid w:val="009A3C91"/>
    <w:rsid w:val="009A474C"/>
    <w:rsid w:val="009A6653"/>
    <w:rsid w:val="009A71CD"/>
    <w:rsid w:val="009A7C81"/>
    <w:rsid w:val="009B0421"/>
    <w:rsid w:val="009B0B0A"/>
    <w:rsid w:val="009B19A7"/>
    <w:rsid w:val="009B2CCB"/>
    <w:rsid w:val="009B396E"/>
    <w:rsid w:val="009B5287"/>
    <w:rsid w:val="009B52DB"/>
    <w:rsid w:val="009B5871"/>
    <w:rsid w:val="009B6289"/>
    <w:rsid w:val="009B67A9"/>
    <w:rsid w:val="009B728F"/>
    <w:rsid w:val="009B7886"/>
    <w:rsid w:val="009B7BE8"/>
    <w:rsid w:val="009B7C55"/>
    <w:rsid w:val="009C1971"/>
    <w:rsid w:val="009C1B19"/>
    <w:rsid w:val="009C2986"/>
    <w:rsid w:val="009C31E7"/>
    <w:rsid w:val="009C6249"/>
    <w:rsid w:val="009C7F1A"/>
    <w:rsid w:val="009D0229"/>
    <w:rsid w:val="009D0543"/>
    <w:rsid w:val="009D060D"/>
    <w:rsid w:val="009D13F3"/>
    <w:rsid w:val="009D151A"/>
    <w:rsid w:val="009D15E4"/>
    <w:rsid w:val="009D3701"/>
    <w:rsid w:val="009D3721"/>
    <w:rsid w:val="009D46EE"/>
    <w:rsid w:val="009D46F1"/>
    <w:rsid w:val="009D51AE"/>
    <w:rsid w:val="009D6BFD"/>
    <w:rsid w:val="009D6EEA"/>
    <w:rsid w:val="009D6F02"/>
    <w:rsid w:val="009D75EB"/>
    <w:rsid w:val="009E03A6"/>
    <w:rsid w:val="009E1AEE"/>
    <w:rsid w:val="009E6926"/>
    <w:rsid w:val="009E6C1A"/>
    <w:rsid w:val="009E74F7"/>
    <w:rsid w:val="009E7EDA"/>
    <w:rsid w:val="009F1294"/>
    <w:rsid w:val="009F15D6"/>
    <w:rsid w:val="009F19FA"/>
    <w:rsid w:val="009F233B"/>
    <w:rsid w:val="009F4877"/>
    <w:rsid w:val="009F4A75"/>
    <w:rsid w:val="009F5189"/>
    <w:rsid w:val="009F56B9"/>
    <w:rsid w:val="009F5FA5"/>
    <w:rsid w:val="009F7D8D"/>
    <w:rsid w:val="00A00224"/>
    <w:rsid w:val="00A01E55"/>
    <w:rsid w:val="00A02E3C"/>
    <w:rsid w:val="00A0351C"/>
    <w:rsid w:val="00A073CC"/>
    <w:rsid w:val="00A073E3"/>
    <w:rsid w:val="00A106D2"/>
    <w:rsid w:val="00A10B57"/>
    <w:rsid w:val="00A11A8A"/>
    <w:rsid w:val="00A134E1"/>
    <w:rsid w:val="00A13DF7"/>
    <w:rsid w:val="00A152CE"/>
    <w:rsid w:val="00A15D25"/>
    <w:rsid w:val="00A16B05"/>
    <w:rsid w:val="00A173A2"/>
    <w:rsid w:val="00A17959"/>
    <w:rsid w:val="00A17D5B"/>
    <w:rsid w:val="00A21D4E"/>
    <w:rsid w:val="00A21DFE"/>
    <w:rsid w:val="00A2243C"/>
    <w:rsid w:val="00A22F12"/>
    <w:rsid w:val="00A235BF"/>
    <w:rsid w:val="00A237F4"/>
    <w:rsid w:val="00A23AB7"/>
    <w:rsid w:val="00A24DE2"/>
    <w:rsid w:val="00A252D9"/>
    <w:rsid w:val="00A25D05"/>
    <w:rsid w:val="00A26791"/>
    <w:rsid w:val="00A273DD"/>
    <w:rsid w:val="00A3005A"/>
    <w:rsid w:val="00A303F1"/>
    <w:rsid w:val="00A30402"/>
    <w:rsid w:val="00A31659"/>
    <w:rsid w:val="00A31B0F"/>
    <w:rsid w:val="00A3220A"/>
    <w:rsid w:val="00A33027"/>
    <w:rsid w:val="00A339E7"/>
    <w:rsid w:val="00A347F6"/>
    <w:rsid w:val="00A35078"/>
    <w:rsid w:val="00A352BF"/>
    <w:rsid w:val="00A35F6B"/>
    <w:rsid w:val="00A36845"/>
    <w:rsid w:val="00A369F6"/>
    <w:rsid w:val="00A36EEC"/>
    <w:rsid w:val="00A41BCE"/>
    <w:rsid w:val="00A43A10"/>
    <w:rsid w:val="00A464FB"/>
    <w:rsid w:val="00A47B61"/>
    <w:rsid w:val="00A506F7"/>
    <w:rsid w:val="00A50D72"/>
    <w:rsid w:val="00A5115F"/>
    <w:rsid w:val="00A520A8"/>
    <w:rsid w:val="00A52963"/>
    <w:rsid w:val="00A53804"/>
    <w:rsid w:val="00A54099"/>
    <w:rsid w:val="00A54613"/>
    <w:rsid w:val="00A54ABF"/>
    <w:rsid w:val="00A56CD6"/>
    <w:rsid w:val="00A57927"/>
    <w:rsid w:val="00A6022D"/>
    <w:rsid w:val="00A609B1"/>
    <w:rsid w:val="00A61715"/>
    <w:rsid w:val="00A6676A"/>
    <w:rsid w:val="00A702D7"/>
    <w:rsid w:val="00A70DB0"/>
    <w:rsid w:val="00A72355"/>
    <w:rsid w:val="00A73D44"/>
    <w:rsid w:val="00A73F22"/>
    <w:rsid w:val="00A750D1"/>
    <w:rsid w:val="00A75782"/>
    <w:rsid w:val="00A7660C"/>
    <w:rsid w:val="00A775F8"/>
    <w:rsid w:val="00A8000C"/>
    <w:rsid w:val="00A80A96"/>
    <w:rsid w:val="00A80F5A"/>
    <w:rsid w:val="00A80FDD"/>
    <w:rsid w:val="00A81A9D"/>
    <w:rsid w:val="00A81E8D"/>
    <w:rsid w:val="00A82792"/>
    <w:rsid w:val="00A829A7"/>
    <w:rsid w:val="00A83201"/>
    <w:rsid w:val="00A84902"/>
    <w:rsid w:val="00A8614E"/>
    <w:rsid w:val="00A879DD"/>
    <w:rsid w:val="00A87A24"/>
    <w:rsid w:val="00A87D03"/>
    <w:rsid w:val="00A911F9"/>
    <w:rsid w:val="00A92483"/>
    <w:rsid w:val="00A93085"/>
    <w:rsid w:val="00A93546"/>
    <w:rsid w:val="00A939B5"/>
    <w:rsid w:val="00A93CA0"/>
    <w:rsid w:val="00A93F02"/>
    <w:rsid w:val="00A94D61"/>
    <w:rsid w:val="00A95009"/>
    <w:rsid w:val="00A953B2"/>
    <w:rsid w:val="00A95CB7"/>
    <w:rsid w:val="00A95E09"/>
    <w:rsid w:val="00A970AA"/>
    <w:rsid w:val="00AA07A8"/>
    <w:rsid w:val="00AA2B09"/>
    <w:rsid w:val="00AA3003"/>
    <w:rsid w:val="00AA317E"/>
    <w:rsid w:val="00AA37D7"/>
    <w:rsid w:val="00AA38B9"/>
    <w:rsid w:val="00AA4687"/>
    <w:rsid w:val="00AA485C"/>
    <w:rsid w:val="00AA58A1"/>
    <w:rsid w:val="00AA6F10"/>
    <w:rsid w:val="00AB1DB0"/>
    <w:rsid w:val="00AB1F09"/>
    <w:rsid w:val="00AB2D0B"/>
    <w:rsid w:val="00AB36B5"/>
    <w:rsid w:val="00AB457F"/>
    <w:rsid w:val="00AB50FD"/>
    <w:rsid w:val="00AB6CE8"/>
    <w:rsid w:val="00AC08A1"/>
    <w:rsid w:val="00AC171F"/>
    <w:rsid w:val="00AC1D0E"/>
    <w:rsid w:val="00AC22B2"/>
    <w:rsid w:val="00AC25AF"/>
    <w:rsid w:val="00AC2C8A"/>
    <w:rsid w:val="00AC2FD3"/>
    <w:rsid w:val="00AC3735"/>
    <w:rsid w:val="00AC37A5"/>
    <w:rsid w:val="00AC66BA"/>
    <w:rsid w:val="00AC7546"/>
    <w:rsid w:val="00AD052C"/>
    <w:rsid w:val="00AD1318"/>
    <w:rsid w:val="00AD1F20"/>
    <w:rsid w:val="00AD21B9"/>
    <w:rsid w:val="00AD6C21"/>
    <w:rsid w:val="00AD6C50"/>
    <w:rsid w:val="00AD7052"/>
    <w:rsid w:val="00AD70C9"/>
    <w:rsid w:val="00AD799F"/>
    <w:rsid w:val="00AD7EC0"/>
    <w:rsid w:val="00AE01A6"/>
    <w:rsid w:val="00AE057B"/>
    <w:rsid w:val="00AE3290"/>
    <w:rsid w:val="00AE4572"/>
    <w:rsid w:val="00AE5CEF"/>
    <w:rsid w:val="00AE7212"/>
    <w:rsid w:val="00AE7691"/>
    <w:rsid w:val="00AF0191"/>
    <w:rsid w:val="00AF0729"/>
    <w:rsid w:val="00AF0F73"/>
    <w:rsid w:val="00AF23C9"/>
    <w:rsid w:val="00AF2783"/>
    <w:rsid w:val="00AF3A29"/>
    <w:rsid w:val="00AF3F28"/>
    <w:rsid w:val="00AF46FA"/>
    <w:rsid w:val="00AF47BC"/>
    <w:rsid w:val="00AF498B"/>
    <w:rsid w:val="00AF7730"/>
    <w:rsid w:val="00B004B8"/>
    <w:rsid w:val="00B00DAD"/>
    <w:rsid w:val="00B020EC"/>
    <w:rsid w:val="00B02702"/>
    <w:rsid w:val="00B030B0"/>
    <w:rsid w:val="00B0353F"/>
    <w:rsid w:val="00B036D6"/>
    <w:rsid w:val="00B03CD8"/>
    <w:rsid w:val="00B03F74"/>
    <w:rsid w:val="00B05284"/>
    <w:rsid w:val="00B05861"/>
    <w:rsid w:val="00B05C0D"/>
    <w:rsid w:val="00B0607C"/>
    <w:rsid w:val="00B0724F"/>
    <w:rsid w:val="00B10CAD"/>
    <w:rsid w:val="00B1117B"/>
    <w:rsid w:val="00B11659"/>
    <w:rsid w:val="00B12641"/>
    <w:rsid w:val="00B13EB4"/>
    <w:rsid w:val="00B145EB"/>
    <w:rsid w:val="00B147FD"/>
    <w:rsid w:val="00B1491B"/>
    <w:rsid w:val="00B150E3"/>
    <w:rsid w:val="00B15CF9"/>
    <w:rsid w:val="00B1623A"/>
    <w:rsid w:val="00B16CDF"/>
    <w:rsid w:val="00B17253"/>
    <w:rsid w:val="00B17943"/>
    <w:rsid w:val="00B20835"/>
    <w:rsid w:val="00B21025"/>
    <w:rsid w:val="00B2133A"/>
    <w:rsid w:val="00B2279A"/>
    <w:rsid w:val="00B23788"/>
    <w:rsid w:val="00B237AE"/>
    <w:rsid w:val="00B23DF7"/>
    <w:rsid w:val="00B242A6"/>
    <w:rsid w:val="00B24A43"/>
    <w:rsid w:val="00B24B7F"/>
    <w:rsid w:val="00B25D9B"/>
    <w:rsid w:val="00B25E5B"/>
    <w:rsid w:val="00B26A52"/>
    <w:rsid w:val="00B27A5D"/>
    <w:rsid w:val="00B27E12"/>
    <w:rsid w:val="00B30520"/>
    <w:rsid w:val="00B305BD"/>
    <w:rsid w:val="00B313AB"/>
    <w:rsid w:val="00B33B85"/>
    <w:rsid w:val="00B34076"/>
    <w:rsid w:val="00B353CB"/>
    <w:rsid w:val="00B36086"/>
    <w:rsid w:val="00B36194"/>
    <w:rsid w:val="00B368DF"/>
    <w:rsid w:val="00B37FC1"/>
    <w:rsid w:val="00B4010D"/>
    <w:rsid w:val="00B41319"/>
    <w:rsid w:val="00B41B1C"/>
    <w:rsid w:val="00B431BD"/>
    <w:rsid w:val="00B4381E"/>
    <w:rsid w:val="00B43E07"/>
    <w:rsid w:val="00B452B1"/>
    <w:rsid w:val="00B456A9"/>
    <w:rsid w:val="00B45993"/>
    <w:rsid w:val="00B4600D"/>
    <w:rsid w:val="00B508BD"/>
    <w:rsid w:val="00B50969"/>
    <w:rsid w:val="00B52463"/>
    <w:rsid w:val="00B534C9"/>
    <w:rsid w:val="00B536B5"/>
    <w:rsid w:val="00B54908"/>
    <w:rsid w:val="00B55CB7"/>
    <w:rsid w:val="00B56C96"/>
    <w:rsid w:val="00B5713F"/>
    <w:rsid w:val="00B571FC"/>
    <w:rsid w:val="00B60820"/>
    <w:rsid w:val="00B6094B"/>
    <w:rsid w:val="00B60F42"/>
    <w:rsid w:val="00B614C4"/>
    <w:rsid w:val="00B61528"/>
    <w:rsid w:val="00B62298"/>
    <w:rsid w:val="00B637E3"/>
    <w:rsid w:val="00B63F51"/>
    <w:rsid w:val="00B64021"/>
    <w:rsid w:val="00B65AEF"/>
    <w:rsid w:val="00B66DCF"/>
    <w:rsid w:val="00B676FF"/>
    <w:rsid w:val="00B70D4B"/>
    <w:rsid w:val="00B71D9A"/>
    <w:rsid w:val="00B720C3"/>
    <w:rsid w:val="00B7250D"/>
    <w:rsid w:val="00B72B21"/>
    <w:rsid w:val="00B7400E"/>
    <w:rsid w:val="00B746F2"/>
    <w:rsid w:val="00B7552B"/>
    <w:rsid w:val="00B814FB"/>
    <w:rsid w:val="00B81920"/>
    <w:rsid w:val="00B84404"/>
    <w:rsid w:val="00B84457"/>
    <w:rsid w:val="00B8565D"/>
    <w:rsid w:val="00B87778"/>
    <w:rsid w:val="00B87CB0"/>
    <w:rsid w:val="00B932F5"/>
    <w:rsid w:val="00B93844"/>
    <w:rsid w:val="00B93A0F"/>
    <w:rsid w:val="00B93A1C"/>
    <w:rsid w:val="00B93FA8"/>
    <w:rsid w:val="00B94445"/>
    <w:rsid w:val="00B97770"/>
    <w:rsid w:val="00B97A87"/>
    <w:rsid w:val="00B97FB1"/>
    <w:rsid w:val="00BA2AEF"/>
    <w:rsid w:val="00BA2DDE"/>
    <w:rsid w:val="00BA3024"/>
    <w:rsid w:val="00BA4F70"/>
    <w:rsid w:val="00BA51DE"/>
    <w:rsid w:val="00BA55F1"/>
    <w:rsid w:val="00BA6BED"/>
    <w:rsid w:val="00BA6C61"/>
    <w:rsid w:val="00BA6E64"/>
    <w:rsid w:val="00BA747E"/>
    <w:rsid w:val="00BA7B1B"/>
    <w:rsid w:val="00BB140D"/>
    <w:rsid w:val="00BB1A0A"/>
    <w:rsid w:val="00BB4E04"/>
    <w:rsid w:val="00BB5211"/>
    <w:rsid w:val="00BB7516"/>
    <w:rsid w:val="00BB78C3"/>
    <w:rsid w:val="00BB7EE7"/>
    <w:rsid w:val="00BC00A3"/>
    <w:rsid w:val="00BC0F16"/>
    <w:rsid w:val="00BC13AA"/>
    <w:rsid w:val="00BC1826"/>
    <w:rsid w:val="00BC198A"/>
    <w:rsid w:val="00BC24BC"/>
    <w:rsid w:val="00BC264F"/>
    <w:rsid w:val="00BC3BC1"/>
    <w:rsid w:val="00BC3C12"/>
    <w:rsid w:val="00BC40A1"/>
    <w:rsid w:val="00BC44D1"/>
    <w:rsid w:val="00BC5C28"/>
    <w:rsid w:val="00BC6AE3"/>
    <w:rsid w:val="00BC7405"/>
    <w:rsid w:val="00BD1261"/>
    <w:rsid w:val="00BD15AA"/>
    <w:rsid w:val="00BD164B"/>
    <w:rsid w:val="00BD239A"/>
    <w:rsid w:val="00BD25DC"/>
    <w:rsid w:val="00BD275E"/>
    <w:rsid w:val="00BD28AF"/>
    <w:rsid w:val="00BD2AB6"/>
    <w:rsid w:val="00BD2C94"/>
    <w:rsid w:val="00BD2F56"/>
    <w:rsid w:val="00BD39D8"/>
    <w:rsid w:val="00BD52AC"/>
    <w:rsid w:val="00BD6933"/>
    <w:rsid w:val="00BD73AB"/>
    <w:rsid w:val="00BD7823"/>
    <w:rsid w:val="00BD7920"/>
    <w:rsid w:val="00BE092E"/>
    <w:rsid w:val="00BE131F"/>
    <w:rsid w:val="00BE1522"/>
    <w:rsid w:val="00BE1579"/>
    <w:rsid w:val="00BE23E5"/>
    <w:rsid w:val="00BE3090"/>
    <w:rsid w:val="00BE355B"/>
    <w:rsid w:val="00BE3C42"/>
    <w:rsid w:val="00BE3E98"/>
    <w:rsid w:val="00BE4181"/>
    <w:rsid w:val="00BE43ED"/>
    <w:rsid w:val="00BE4586"/>
    <w:rsid w:val="00BE4792"/>
    <w:rsid w:val="00BE50E4"/>
    <w:rsid w:val="00BE5ACE"/>
    <w:rsid w:val="00BE5D43"/>
    <w:rsid w:val="00BE66E7"/>
    <w:rsid w:val="00BE68DE"/>
    <w:rsid w:val="00BE6ADA"/>
    <w:rsid w:val="00BE70B7"/>
    <w:rsid w:val="00BE71A7"/>
    <w:rsid w:val="00BF09AF"/>
    <w:rsid w:val="00BF2C46"/>
    <w:rsid w:val="00BF3401"/>
    <w:rsid w:val="00BF46C1"/>
    <w:rsid w:val="00BF570C"/>
    <w:rsid w:val="00BF5B1C"/>
    <w:rsid w:val="00BF5C76"/>
    <w:rsid w:val="00BF5E03"/>
    <w:rsid w:val="00BF6049"/>
    <w:rsid w:val="00BF6265"/>
    <w:rsid w:val="00C0056B"/>
    <w:rsid w:val="00C0109B"/>
    <w:rsid w:val="00C033DE"/>
    <w:rsid w:val="00C04A6B"/>
    <w:rsid w:val="00C04AAB"/>
    <w:rsid w:val="00C05330"/>
    <w:rsid w:val="00C0590E"/>
    <w:rsid w:val="00C07D79"/>
    <w:rsid w:val="00C11712"/>
    <w:rsid w:val="00C13A1C"/>
    <w:rsid w:val="00C14976"/>
    <w:rsid w:val="00C14C79"/>
    <w:rsid w:val="00C155BC"/>
    <w:rsid w:val="00C15AC9"/>
    <w:rsid w:val="00C16BB7"/>
    <w:rsid w:val="00C16C7F"/>
    <w:rsid w:val="00C17762"/>
    <w:rsid w:val="00C20DC1"/>
    <w:rsid w:val="00C21C5A"/>
    <w:rsid w:val="00C223AB"/>
    <w:rsid w:val="00C237E3"/>
    <w:rsid w:val="00C23D71"/>
    <w:rsid w:val="00C24182"/>
    <w:rsid w:val="00C24418"/>
    <w:rsid w:val="00C248FA"/>
    <w:rsid w:val="00C24BD4"/>
    <w:rsid w:val="00C24E66"/>
    <w:rsid w:val="00C258C6"/>
    <w:rsid w:val="00C27486"/>
    <w:rsid w:val="00C31C06"/>
    <w:rsid w:val="00C32377"/>
    <w:rsid w:val="00C32B02"/>
    <w:rsid w:val="00C32BE8"/>
    <w:rsid w:val="00C3312C"/>
    <w:rsid w:val="00C353D6"/>
    <w:rsid w:val="00C35534"/>
    <w:rsid w:val="00C358FE"/>
    <w:rsid w:val="00C359B5"/>
    <w:rsid w:val="00C36C74"/>
    <w:rsid w:val="00C371ED"/>
    <w:rsid w:val="00C3751C"/>
    <w:rsid w:val="00C40BAC"/>
    <w:rsid w:val="00C40E05"/>
    <w:rsid w:val="00C41980"/>
    <w:rsid w:val="00C41EFF"/>
    <w:rsid w:val="00C42CC0"/>
    <w:rsid w:val="00C4330F"/>
    <w:rsid w:val="00C43A1A"/>
    <w:rsid w:val="00C43AA4"/>
    <w:rsid w:val="00C44CA4"/>
    <w:rsid w:val="00C45A80"/>
    <w:rsid w:val="00C45CAB"/>
    <w:rsid w:val="00C4615A"/>
    <w:rsid w:val="00C463D2"/>
    <w:rsid w:val="00C466FD"/>
    <w:rsid w:val="00C46A7F"/>
    <w:rsid w:val="00C46B09"/>
    <w:rsid w:val="00C46EBC"/>
    <w:rsid w:val="00C5267A"/>
    <w:rsid w:val="00C5267F"/>
    <w:rsid w:val="00C526FA"/>
    <w:rsid w:val="00C544D7"/>
    <w:rsid w:val="00C547D6"/>
    <w:rsid w:val="00C550BA"/>
    <w:rsid w:val="00C55429"/>
    <w:rsid w:val="00C55C48"/>
    <w:rsid w:val="00C55E91"/>
    <w:rsid w:val="00C563ED"/>
    <w:rsid w:val="00C56BFB"/>
    <w:rsid w:val="00C57271"/>
    <w:rsid w:val="00C57C8F"/>
    <w:rsid w:val="00C6039A"/>
    <w:rsid w:val="00C60D16"/>
    <w:rsid w:val="00C62772"/>
    <w:rsid w:val="00C6515C"/>
    <w:rsid w:val="00C65A71"/>
    <w:rsid w:val="00C669A7"/>
    <w:rsid w:val="00C7050D"/>
    <w:rsid w:val="00C7194A"/>
    <w:rsid w:val="00C7298D"/>
    <w:rsid w:val="00C73016"/>
    <w:rsid w:val="00C746F9"/>
    <w:rsid w:val="00C7472C"/>
    <w:rsid w:val="00C74BC9"/>
    <w:rsid w:val="00C762A1"/>
    <w:rsid w:val="00C76304"/>
    <w:rsid w:val="00C76679"/>
    <w:rsid w:val="00C82CC1"/>
    <w:rsid w:val="00C832FF"/>
    <w:rsid w:val="00C834D3"/>
    <w:rsid w:val="00C83503"/>
    <w:rsid w:val="00C83D3F"/>
    <w:rsid w:val="00C83EA7"/>
    <w:rsid w:val="00C847A2"/>
    <w:rsid w:val="00C84C6B"/>
    <w:rsid w:val="00C851D4"/>
    <w:rsid w:val="00C86A0F"/>
    <w:rsid w:val="00C87475"/>
    <w:rsid w:val="00C9002F"/>
    <w:rsid w:val="00C90CDF"/>
    <w:rsid w:val="00C91F57"/>
    <w:rsid w:val="00C93200"/>
    <w:rsid w:val="00C934D8"/>
    <w:rsid w:val="00C94306"/>
    <w:rsid w:val="00C951EF"/>
    <w:rsid w:val="00C96215"/>
    <w:rsid w:val="00CA0EE7"/>
    <w:rsid w:val="00CA1027"/>
    <w:rsid w:val="00CA240B"/>
    <w:rsid w:val="00CA25A9"/>
    <w:rsid w:val="00CA298B"/>
    <w:rsid w:val="00CA363A"/>
    <w:rsid w:val="00CA4EB7"/>
    <w:rsid w:val="00CA53FB"/>
    <w:rsid w:val="00CA7665"/>
    <w:rsid w:val="00CB018E"/>
    <w:rsid w:val="00CB05F2"/>
    <w:rsid w:val="00CB1454"/>
    <w:rsid w:val="00CB18E9"/>
    <w:rsid w:val="00CB208D"/>
    <w:rsid w:val="00CB2492"/>
    <w:rsid w:val="00CB3650"/>
    <w:rsid w:val="00CB4B41"/>
    <w:rsid w:val="00CB59F2"/>
    <w:rsid w:val="00CB5EFF"/>
    <w:rsid w:val="00CB6920"/>
    <w:rsid w:val="00CB6959"/>
    <w:rsid w:val="00CB7676"/>
    <w:rsid w:val="00CB7B01"/>
    <w:rsid w:val="00CC1465"/>
    <w:rsid w:val="00CC2171"/>
    <w:rsid w:val="00CC28FA"/>
    <w:rsid w:val="00CC29C3"/>
    <w:rsid w:val="00CC2C3F"/>
    <w:rsid w:val="00CC38BC"/>
    <w:rsid w:val="00CC482D"/>
    <w:rsid w:val="00CC4A40"/>
    <w:rsid w:val="00CC5B49"/>
    <w:rsid w:val="00CC6E6C"/>
    <w:rsid w:val="00CC6F38"/>
    <w:rsid w:val="00CC72D3"/>
    <w:rsid w:val="00CC7403"/>
    <w:rsid w:val="00CD2AEA"/>
    <w:rsid w:val="00CD444F"/>
    <w:rsid w:val="00CD509A"/>
    <w:rsid w:val="00CD5B4E"/>
    <w:rsid w:val="00CD5C0E"/>
    <w:rsid w:val="00CD5F50"/>
    <w:rsid w:val="00CD6846"/>
    <w:rsid w:val="00CE1251"/>
    <w:rsid w:val="00CE299E"/>
    <w:rsid w:val="00CE3061"/>
    <w:rsid w:val="00CE36EF"/>
    <w:rsid w:val="00CE3DF6"/>
    <w:rsid w:val="00CE4777"/>
    <w:rsid w:val="00CE539C"/>
    <w:rsid w:val="00CE582C"/>
    <w:rsid w:val="00CE7219"/>
    <w:rsid w:val="00CE7525"/>
    <w:rsid w:val="00CF0E22"/>
    <w:rsid w:val="00CF0FAD"/>
    <w:rsid w:val="00CF22FB"/>
    <w:rsid w:val="00CF3E76"/>
    <w:rsid w:val="00CF3EA4"/>
    <w:rsid w:val="00CF5E3A"/>
    <w:rsid w:val="00CF7913"/>
    <w:rsid w:val="00CF7C3E"/>
    <w:rsid w:val="00CF7E7A"/>
    <w:rsid w:val="00D00411"/>
    <w:rsid w:val="00D00804"/>
    <w:rsid w:val="00D00B99"/>
    <w:rsid w:val="00D00DAA"/>
    <w:rsid w:val="00D0204F"/>
    <w:rsid w:val="00D02304"/>
    <w:rsid w:val="00D02D82"/>
    <w:rsid w:val="00D037DD"/>
    <w:rsid w:val="00D04496"/>
    <w:rsid w:val="00D04649"/>
    <w:rsid w:val="00D0472D"/>
    <w:rsid w:val="00D04AF2"/>
    <w:rsid w:val="00D059BE"/>
    <w:rsid w:val="00D05B3B"/>
    <w:rsid w:val="00D104A1"/>
    <w:rsid w:val="00D106B7"/>
    <w:rsid w:val="00D118D4"/>
    <w:rsid w:val="00D11A34"/>
    <w:rsid w:val="00D13F52"/>
    <w:rsid w:val="00D14A51"/>
    <w:rsid w:val="00D162E3"/>
    <w:rsid w:val="00D16E83"/>
    <w:rsid w:val="00D170D3"/>
    <w:rsid w:val="00D17794"/>
    <w:rsid w:val="00D17B16"/>
    <w:rsid w:val="00D17D28"/>
    <w:rsid w:val="00D17EDB"/>
    <w:rsid w:val="00D20177"/>
    <w:rsid w:val="00D217B0"/>
    <w:rsid w:val="00D23301"/>
    <w:rsid w:val="00D23F24"/>
    <w:rsid w:val="00D25BA0"/>
    <w:rsid w:val="00D31F93"/>
    <w:rsid w:val="00D321A7"/>
    <w:rsid w:val="00D322B5"/>
    <w:rsid w:val="00D32364"/>
    <w:rsid w:val="00D32651"/>
    <w:rsid w:val="00D32BAA"/>
    <w:rsid w:val="00D32CE2"/>
    <w:rsid w:val="00D35DE5"/>
    <w:rsid w:val="00D4084B"/>
    <w:rsid w:val="00D40883"/>
    <w:rsid w:val="00D40A05"/>
    <w:rsid w:val="00D43B6B"/>
    <w:rsid w:val="00D443C5"/>
    <w:rsid w:val="00D44A2D"/>
    <w:rsid w:val="00D44C4F"/>
    <w:rsid w:val="00D45B35"/>
    <w:rsid w:val="00D460B0"/>
    <w:rsid w:val="00D4631C"/>
    <w:rsid w:val="00D4699F"/>
    <w:rsid w:val="00D4794B"/>
    <w:rsid w:val="00D47FDB"/>
    <w:rsid w:val="00D50F0C"/>
    <w:rsid w:val="00D519FE"/>
    <w:rsid w:val="00D528F6"/>
    <w:rsid w:val="00D52BC2"/>
    <w:rsid w:val="00D531A3"/>
    <w:rsid w:val="00D539DD"/>
    <w:rsid w:val="00D53AF2"/>
    <w:rsid w:val="00D53DE6"/>
    <w:rsid w:val="00D541FB"/>
    <w:rsid w:val="00D55552"/>
    <w:rsid w:val="00D55C6C"/>
    <w:rsid w:val="00D563B9"/>
    <w:rsid w:val="00D5654C"/>
    <w:rsid w:val="00D56EE9"/>
    <w:rsid w:val="00D5710F"/>
    <w:rsid w:val="00D6118B"/>
    <w:rsid w:val="00D61567"/>
    <w:rsid w:val="00D62034"/>
    <w:rsid w:val="00D63BD3"/>
    <w:rsid w:val="00D64D5F"/>
    <w:rsid w:val="00D66BB8"/>
    <w:rsid w:val="00D66F2C"/>
    <w:rsid w:val="00D708F9"/>
    <w:rsid w:val="00D709B4"/>
    <w:rsid w:val="00D710C3"/>
    <w:rsid w:val="00D71210"/>
    <w:rsid w:val="00D718C9"/>
    <w:rsid w:val="00D71934"/>
    <w:rsid w:val="00D73CD9"/>
    <w:rsid w:val="00D73D30"/>
    <w:rsid w:val="00D747C7"/>
    <w:rsid w:val="00D75848"/>
    <w:rsid w:val="00D76058"/>
    <w:rsid w:val="00D760DF"/>
    <w:rsid w:val="00D775EB"/>
    <w:rsid w:val="00D778DD"/>
    <w:rsid w:val="00D77CCE"/>
    <w:rsid w:val="00D819E4"/>
    <w:rsid w:val="00D81B5A"/>
    <w:rsid w:val="00D81C6C"/>
    <w:rsid w:val="00D821D2"/>
    <w:rsid w:val="00D82262"/>
    <w:rsid w:val="00D82581"/>
    <w:rsid w:val="00D8336D"/>
    <w:rsid w:val="00D84006"/>
    <w:rsid w:val="00D905A3"/>
    <w:rsid w:val="00D90DB8"/>
    <w:rsid w:val="00D9106C"/>
    <w:rsid w:val="00D91C06"/>
    <w:rsid w:val="00D91F87"/>
    <w:rsid w:val="00D923CA"/>
    <w:rsid w:val="00D924D9"/>
    <w:rsid w:val="00D94954"/>
    <w:rsid w:val="00D95289"/>
    <w:rsid w:val="00D960A4"/>
    <w:rsid w:val="00D96714"/>
    <w:rsid w:val="00D97C34"/>
    <w:rsid w:val="00DA09F8"/>
    <w:rsid w:val="00DA0D0A"/>
    <w:rsid w:val="00DA1397"/>
    <w:rsid w:val="00DA24C0"/>
    <w:rsid w:val="00DA27E6"/>
    <w:rsid w:val="00DA3F96"/>
    <w:rsid w:val="00DA4E7D"/>
    <w:rsid w:val="00DA5230"/>
    <w:rsid w:val="00DA56E1"/>
    <w:rsid w:val="00DA6649"/>
    <w:rsid w:val="00DA6DFD"/>
    <w:rsid w:val="00DA77C2"/>
    <w:rsid w:val="00DA7814"/>
    <w:rsid w:val="00DA7840"/>
    <w:rsid w:val="00DA7C30"/>
    <w:rsid w:val="00DB09AD"/>
    <w:rsid w:val="00DB09D2"/>
    <w:rsid w:val="00DB1493"/>
    <w:rsid w:val="00DB4A93"/>
    <w:rsid w:val="00DB65E2"/>
    <w:rsid w:val="00DB6C76"/>
    <w:rsid w:val="00DB6DDA"/>
    <w:rsid w:val="00DB70C3"/>
    <w:rsid w:val="00DB7EC9"/>
    <w:rsid w:val="00DB7F38"/>
    <w:rsid w:val="00DC0200"/>
    <w:rsid w:val="00DC07DA"/>
    <w:rsid w:val="00DC178F"/>
    <w:rsid w:val="00DC1B4B"/>
    <w:rsid w:val="00DC3770"/>
    <w:rsid w:val="00DC63A5"/>
    <w:rsid w:val="00DC6817"/>
    <w:rsid w:val="00DD2782"/>
    <w:rsid w:val="00DD2BB3"/>
    <w:rsid w:val="00DD35AD"/>
    <w:rsid w:val="00DD3F63"/>
    <w:rsid w:val="00DD5A5E"/>
    <w:rsid w:val="00DD6D1F"/>
    <w:rsid w:val="00DD7138"/>
    <w:rsid w:val="00DD78D8"/>
    <w:rsid w:val="00DD79A2"/>
    <w:rsid w:val="00DE0010"/>
    <w:rsid w:val="00DE0091"/>
    <w:rsid w:val="00DE06A4"/>
    <w:rsid w:val="00DE097A"/>
    <w:rsid w:val="00DE10F3"/>
    <w:rsid w:val="00DE12B7"/>
    <w:rsid w:val="00DE22FF"/>
    <w:rsid w:val="00DE3435"/>
    <w:rsid w:val="00DE34AD"/>
    <w:rsid w:val="00DE3AE3"/>
    <w:rsid w:val="00DE4CB2"/>
    <w:rsid w:val="00DE4F14"/>
    <w:rsid w:val="00DE522B"/>
    <w:rsid w:val="00DE5467"/>
    <w:rsid w:val="00DE76B8"/>
    <w:rsid w:val="00DF16CB"/>
    <w:rsid w:val="00DF1EB6"/>
    <w:rsid w:val="00DF22CE"/>
    <w:rsid w:val="00DF276B"/>
    <w:rsid w:val="00DF2C14"/>
    <w:rsid w:val="00DF2EC3"/>
    <w:rsid w:val="00DF36D4"/>
    <w:rsid w:val="00DF3B65"/>
    <w:rsid w:val="00DF4A17"/>
    <w:rsid w:val="00DF4E8A"/>
    <w:rsid w:val="00DF51CA"/>
    <w:rsid w:val="00DF51F0"/>
    <w:rsid w:val="00DF5331"/>
    <w:rsid w:val="00DF6226"/>
    <w:rsid w:val="00DF651F"/>
    <w:rsid w:val="00DF6765"/>
    <w:rsid w:val="00DF6DB7"/>
    <w:rsid w:val="00DF78A1"/>
    <w:rsid w:val="00E01F93"/>
    <w:rsid w:val="00E028A3"/>
    <w:rsid w:val="00E04FE3"/>
    <w:rsid w:val="00E07191"/>
    <w:rsid w:val="00E10381"/>
    <w:rsid w:val="00E11038"/>
    <w:rsid w:val="00E1237E"/>
    <w:rsid w:val="00E126A0"/>
    <w:rsid w:val="00E12B76"/>
    <w:rsid w:val="00E12D08"/>
    <w:rsid w:val="00E134AE"/>
    <w:rsid w:val="00E13600"/>
    <w:rsid w:val="00E14062"/>
    <w:rsid w:val="00E148F9"/>
    <w:rsid w:val="00E1564B"/>
    <w:rsid w:val="00E16473"/>
    <w:rsid w:val="00E16764"/>
    <w:rsid w:val="00E169D4"/>
    <w:rsid w:val="00E16A9D"/>
    <w:rsid w:val="00E16CC9"/>
    <w:rsid w:val="00E22258"/>
    <w:rsid w:val="00E2327C"/>
    <w:rsid w:val="00E24B87"/>
    <w:rsid w:val="00E251FC"/>
    <w:rsid w:val="00E26055"/>
    <w:rsid w:val="00E26180"/>
    <w:rsid w:val="00E2694B"/>
    <w:rsid w:val="00E27274"/>
    <w:rsid w:val="00E2796A"/>
    <w:rsid w:val="00E3026D"/>
    <w:rsid w:val="00E3082D"/>
    <w:rsid w:val="00E31A68"/>
    <w:rsid w:val="00E31EC5"/>
    <w:rsid w:val="00E323CF"/>
    <w:rsid w:val="00E34C46"/>
    <w:rsid w:val="00E3718E"/>
    <w:rsid w:val="00E37311"/>
    <w:rsid w:val="00E404EF"/>
    <w:rsid w:val="00E40BB0"/>
    <w:rsid w:val="00E40D87"/>
    <w:rsid w:val="00E40F87"/>
    <w:rsid w:val="00E42779"/>
    <w:rsid w:val="00E43654"/>
    <w:rsid w:val="00E43959"/>
    <w:rsid w:val="00E45B23"/>
    <w:rsid w:val="00E478F9"/>
    <w:rsid w:val="00E509BA"/>
    <w:rsid w:val="00E50E88"/>
    <w:rsid w:val="00E51079"/>
    <w:rsid w:val="00E51750"/>
    <w:rsid w:val="00E51B84"/>
    <w:rsid w:val="00E532F1"/>
    <w:rsid w:val="00E544A7"/>
    <w:rsid w:val="00E549CD"/>
    <w:rsid w:val="00E54AE7"/>
    <w:rsid w:val="00E5552D"/>
    <w:rsid w:val="00E56679"/>
    <w:rsid w:val="00E56B29"/>
    <w:rsid w:val="00E57301"/>
    <w:rsid w:val="00E60508"/>
    <w:rsid w:val="00E615A1"/>
    <w:rsid w:val="00E61752"/>
    <w:rsid w:val="00E63248"/>
    <w:rsid w:val="00E637B4"/>
    <w:rsid w:val="00E63BA8"/>
    <w:rsid w:val="00E657A6"/>
    <w:rsid w:val="00E6584F"/>
    <w:rsid w:val="00E65FAE"/>
    <w:rsid w:val="00E6648C"/>
    <w:rsid w:val="00E665D9"/>
    <w:rsid w:val="00E667F2"/>
    <w:rsid w:val="00E6697C"/>
    <w:rsid w:val="00E704A7"/>
    <w:rsid w:val="00E71898"/>
    <w:rsid w:val="00E7449C"/>
    <w:rsid w:val="00E75C9F"/>
    <w:rsid w:val="00E76970"/>
    <w:rsid w:val="00E76D8D"/>
    <w:rsid w:val="00E77E72"/>
    <w:rsid w:val="00E80206"/>
    <w:rsid w:val="00E80614"/>
    <w:rsid w:val="00E808F9"/>
    <w:rsid w:val="00E81A69"/>
    <w:rsid w:val="00E82BF7"/>
    <w:rsid w:val="00E83484"/>
    <w:rsid w:val="00E83968"/>
    <w:rsid w:val="00E83AA2"/>
    <w:rsid w:val="00E83F38"/>
    <w:rsid w:val="00E85E12"/>
    <w:rsid w:val="00E86D84"/>
    <w:rsid w:val="00E876AD"/>
    <w:rsid w:val="00E90544"/>
    <w:rsid w:val="00E914C9"/>
    <w:rsid w:val="00E9165A"/>
    <w:rsid w:val="00E92439"/>
    <w:rsid w:val="00E93C2E"/>
    <w:rsid w:val="00E94BBA"/>
    <w:rsid w:val="00E94CE3"/>
    <w:rsid w:val="00E95A8B"/>
    <w:rsid w:val="00E95BC1"/>
    <w:rsid w:val="00E96383"/>
    <w:rsid w:val="00E97385"/>
    <w:rsid w:val="00EA0454"/>
    <w:rsid w:val="00EA095D"/>
    <w:rsid w:val="00EA218E"/>
    <w:rsid w:val="00EA231E"/>
    <w:rsid w:val="00EA54C7"/>
    <w:rsid w:val="00EA557B"/>
    <w:rsid w:val="00EA6CF3"/>
    <w:rsid w:val="00EB0D91"/>
    <w:rsid w:val="00EB11B8"/>
    <w:rsid w:val="00EB44D2"/>
    <w:rsid w:val="00EB4740"/>
    <w:rsid w:val="00EB4A97"/>
    <w:rsid w:val="00EB5C4A"/>
    <w:rsid w:val="00EB6ADC"/>
    <w:rsid w:val="00EB6B0A"/>
    <w:rsid w:val="00EB6FF0"/>
    <w:rsid w:val="00EB7335"/>
    <w:rsid w:val="00EB76D0"/>
    <w:rsid w:val="00EB786B"/>
    <w:rsid w:val="00EC01DE"/>
    <w:rsid w:val="00EC29BE"/>
    <w:rsid w:val="00EC29C8"/>
    <w:rsid w:val="00EC4296"/>
    <w:rsid w:val="00EC439D"/>
    <w:rsid w:val="00EC44EF"/>
    <w:rsid w:val="00EC4A58"/>
    <w:rsid w:val="00EC58A8"/>
    <w:rsid w:val="00EC5A8A"/>
    <w:rsid w:val="00EC64F6"/>
    <w:rsid w:val="00ED055D"/>
    <w:rsid w:val="00ED0D7A"/>
    <w:rsid w:val="00ED0E71"/>
    <w:rsid w:val="00ED1169"/>
    <w:rsid w:val="00ED1A5A"/>
    <w:rsid w:val="00ED2A13"/>
    <w:rsid w:val="00ED3042"/>
    <w:rsid w:val="00ED32E4"/>
    <w:rsid w:val="00ED3441"/>
    <w:rsid w:val="00ED3592"/>
    <w:rsid w:val="00ED3A43"/>
    <w:rsid w:val="00ED3A9B"/>
    <w:rsid w:val="00ED3CD4"/>
    <w:rsid w:val="00ED527E"/>
    <w:rsid w:val="00ED55A8"/>
    <w:rsid w:val="00ED5A31"/>
    <w:rsid w:val="00EE044C"/>
    <w:rsid w:val="00EE1010"/>
    <w:rsid w:val="00EE116A"/>
    <w:rsid w:val="00EE21C6"/>
    <w:rsid w:val="00EE269F"/>
    <w:rsid w:val="00EE2A1E"/>
    <w:rsid w:val="00EE2F82"/>
    <w:rsid w:val="00EE3CB2"/>
    <w:rsid w:val="00EE3EB7"/>
    <w:rsid w:val="00EE4306"/>
    <w:rsid w:val="00EE44EE"/>
    <w:rsid w:val="00EE58B7"/>
    <w:rsid w:val="00EE6FE8"/>
    <w:rsid w:val="00EE706A"/>
    <w:rsid w:val="00EE76F5"/>
    <w:rsid w:val="00EF012C"/>
    <w:rsid w:val="00EF16D3"/>
    <w:rsid w:val="00EF20B2"/>
    <w:rsid w:val="00EF244C"/>
    <w:rsid w:val="00EF265D"/>
    <w:rsid w:val="00EF2794"/>
    <w:rsid w:val="00EF325A"/>
    <w:rsid w:val="00EF5186"/>
    <w:rsid w:val="00EF5F6A"/>
    <w:rsid w:val="00EF6419"/>
    <w:rsid w:val="00EF64DC"/>
    <w:rsid w:val="00EF659F"/>
    <w:rsid w:val="00EF678A"/>
    <w:rsid w:val="00EF6947"/>
    <w:rsid w:val="00EF6D43"/>
    <w:rsid w:val="00EF766A"/>
    <w:rsid w:val="00F0003C"/>
    <w:rsid w:val="00F00679"/>
    <w:rsid w:val="00F01676"/>
    <w:rsid w:val="00F01907"/>
    <w:rsid w:val="00F019C6"/>
    <w:rsid w:val="00F02322"/>
    <w:rsid w:val="00F0265F"/>
    <w:rsid w:val="00F0280B"/>
    <w:rsid w:val="00F03125"/>
    <w:rsid w:val="00F0316D"/>
    <w:rsid w:val="00F03A35"/>
    <w:rsid w:val="00F043F0"/>
    <w:rsid w:val="00F04ED6"/>
    <w:rsid w:val="00F069EA"/>
    <w:rsid w:val="00F0794D"/>
    <w:rsid w:val="00F10559"/>
    <w:rsid w:val="00F10C8A"/>
    <w:rsid w:val="00F10DAD"/>
    <w:rsid w:val="00F119DE"/>
    <w:rsid w:val="00F11E10"/>
    <w:rsid w:val="00F130F9"/>
    <w:rsid w:val="00F13438"/>
    <w:rsid w:val="00F134D0"/>
    <w:rsid w:val="00F1580E"/>
    <w:rsid w:val="00F17F65"/>
    <w:rsid w:val="00F21464"/>
    <w:rsid w:val="00F216EF"/>
    <w:rsid w:val="00F23290"/>
    <w:rsid w:val="00F243E7"/>
    <w:rsid w:val="00F258B4"/>
    <w:rsid w:val="00F27091"/>
    <w:rsid w:val="00F27482"/>
    <w:rsid w:val="00F27D08"/>
    <w:rsid w:val="00F30E95"/>
    <w:rsid w:val="00F3462A"/>
    <w:rsid w:val="00F34E62"/>
    <w:rsid w:val="00F3524F"/>
    <w:rsid w:val="00F35AFC"/>
    <w:rsid w:val="00F35F54"/>
    <w:rsid w:val="00F36C51"/>
    <w:rsid w:val="00F36F5B"/>
    <w:rsid w:val="00F40F1F"/>
    <w:rsid w:val="00F423D1"/>
    <w:rsid w:val="00F42794"/>
    <w:rsid w:val="00F4327F"/>
    <w:rsid w:val="00F4544F"/>
    <w:rsid w:val="00F45F63"/>
    <w:rsid w:val="00F46213"/>
    <w:rsid w:val="00F47963"/>
    <w:rsid w:val="00F50851"/>
    <w:rsid w:val="00F50B03"/>
    <w:rsid w:val="00F529D8"/>
    <w:rsid w:val="00F52EC1"/>
    <w:rsid w:val="00F53008"/>
    <w:rsid w:val="00F530A5"/>
    <w:rsid w:val="00F53302"/>
    <w:rsid w:val="00F5404E"/>
    <w:rsid w:val="00F54A0B"/>
    <w:rsid w:val="00F54D1D"/>
    <w:rsid w:val="00F5537B"/>
    <w:rsid w:val="00F557F4"/>
    <w:rsid w:val="00F605BC"/>
    <w:rsid w:val="00F6375B"/>
    <w:rsid w:val="00F6415C"/>
    <w:rsid w:val="00F641A7"/>
    <w:rsid w:val="00F644FA"/>
    <w:rsid w:val="00F6660E"/>
    <w:rsid w:val="00F70C00"/>
    <w:rsid w:val="00F74451"/>
    <w:rsid w:val="00F746CA"/>
    <w:rsid w:val="00F77F06"/>
    <w:rsid w:val="00F77FC9"/>
    <w:rsid w:val="00F8061B"/>
    <w:rsid w:val="00F806FC"/>
    <w:rsid w:val="00F8105A"/>
    <w:rsid w:val="00F8444E"/>
    <w:rsid w:val="00F84518"/>
    <w:rsid w:val="00F846C1"/>
    <w:rsid w:val="00F85299"/>
    <w:rsid w:val="00F86716"/>
    <w:rsid w:val="00F86BFC"/>
    <w:rsid w:val="00F86C1F"/>
    <w:rsid w:val="00F90517"/>
    <w:rsid w:val="00F909EA"/>
    <w:rsid w:val="00F90AC5"/>
    <w:rsid w:val="00F90B06"/>
    <w:rsid w:val="00F9239C"/>
    <w:rsid w:val="00F925C2"/>
    <w:rsid w:val="00F93AFB"/>
    <w:rsid w:val="00F93FA6"/>
    <w:rsid w:val="00F940D9"/>
    <w:rsid w:val="00F94562"/>
    <w:rsid w:val="00F959BF"/>
    <w:rsid w:val="00F95D10"/>
    <w:rsid w:val="00F9614B"/>
    <w:rsid w:val="00F9726C"/>
    <w:rsid w:val="00F973B6"/>
    <w:rsid w:val="00F97A0B"/>
    <w:rsid w:val="00FA2B70"/>
    <w:rsid w:val="00FA3A39"/>
    <w:rsid w:val="00FA4271"/>
    <w:rsid w:val="00FA54A7"/>
    <w:rsid w:val="00FA60D9"/>
    <w:rsid w:val="00FA75FE"/>
    <w:rsid w:val="00FA767E"/>
    <w:rsid w:val="00FA76C6"/>
    <w:rsid w:val="00FA7972"/>
    <w:rsid w:val="00FB0041"/>
    <w:rsid w:val="00FB02FD"/>
    <w:rsid w:val="00FB07B9"/>
    <w:rsid w:val="00FB0C3C"/>
    <w:rsid w:val="00FB0CE3"/>
    <w:rsid w:val="00FB3E86"/>
    <w:rsid w:val="00FB4150"/>
    <w:rsid w:val="00FB5259"/>
    <w:rsid w:val="00FB59B4"/>
    <w:rsid w:val="00FB5D6D"/>
    <w:rsid w:val="00FC0431"/>
    <w:rsid w:val="00FC0BC6"/>
    <w:rsid w:val="00FC5101"/>
    <w:rsid w:val="00FC5BEB"/>
    <w:rsid w:val="00FC60D3"/>
    <w:rsid w:val="00FC6487"/>
    <w:rsid w:val="00FC7D93"/>
    <w:rsid w:val="00FC7D94"/>
    <w:rsid w:val="00FD0867"/>
    <w:rsid w:val="00FD12A6"/>
    <w:rsid w:val="00FD14B7"/>
    <w:rsid w:val="00FD1903"/>
    <w:rsid w:val="00FD3702"/>
    <w:rsid w:val="00FD3CF9"/>
    <w:rsid w:val="00FD4709"/>
    <w:rsid w:val="00FD4D7C"/>
    <w:rsid w:val="00FD4E30"/>
    <w:rsid w:val="00FD6A32"/>
    <w:rsid w:val="00FD6BB3"/>
    <w:rsid w:val="00FD6E7A"/>
    <w:rsid w:val="00FD752B"/>
    <w:rsid w:val="00FD7CBF"/>
    <w:rsid w:val="00FE0C57"/>
    <w:rsid w:val="00FE25B3"/>
    <w:rsid w:val="00FE3C81"/>
    <w:rsid w:val="00FE3DE4"/>
    <w:rsid w:val="00FE4C8B"/>
    <w:rsid w:val="00FE5024"/>
    <w:rsid w:val="00FE59FA"/>
    <w:rsid w:val="00FE71EB"/>
    <w:rsid w:val="00FE7262"/>
    <w:rsid w:val="00FE76C8"/>
    <w:rsid w:val="00FF08EB"/>
    <w:rsid w:val="00FF10EF"/>
    <w:rsid w:val="00FF1144"/>
    <w:rsid w:val="00FF11BA"/>
    <w:rsid w:val="00FF1983"/>
    <w:rsid w:val="00FF2D6E"/>
    <w:rsid w:val="00FF309D"/>
    <w:rsid w:val="00FF329C"/>
    <w:rsid w:val="00FF4048"/>
    <w:rsid w:val="00FF406B"/>
    <w:rsid w:val="00FF6017"/>
    <w:rsid w:val="00FF6061"/>
    <w:rsid w:val="00FF6A9A"/>
    <w:rsid w:val="00FF6E3B"/>
    <w:rsid w:val="00FF7ADB"/>
    <w:rsid w:val="00FF7B6C"/>
    <w:rsid w:val="02CB1837"/>
    <w:rsid w:val="02E96621"/>
    <w:rsid w:val="059F7BA3"/>
    <w:rsid w:val="09C92FBF"/>
    <w:rsid w:val="0AC7563B"/>
    <w:rsid w:val="0C3D7138"/>
    <w:rsid w:val="17F55C43"/>
    <w:rsid w:val="196D36B1"/>
    <w:rsid w:val="1C723D3B"/>
    <w:rsid w:val="1D4F70CD"/>
    <w:rsid w:val="21B43C74"/>
    <w:rsid w:val="2486202F"/>
    <w:rsid w:val="2C5575DC"/>
    <w:rsid w:val="2D087978"/>
    <w:rsid w:val="2DD678F6"/>
    <w:rsid w:val="2E8E1F12"/>
    <w:rsid w:val="30ED7935"/>
    <w:rsid w:val="3530432C"/>
    <w:rsid w:val="418D4040"/>
    <w:rsid w:val="450C1635"/>
    <w:rsid w:val="4665371A"/>
    <w:rsid w:val="4A352BF2"/>
    <w:rsid w:val="4F404207"/>
    <w:rsid w:val="5A961277"/>
    <w:rsid w:val="5C0F024E"/>
    <w:rsid w:val="5CB64591"/>
    <w:rsid w:val="5D8C7953"/>
    <w:rsid w:val="611C3EB2"/>
    <w:rsid w:val="620C65AF"/>
    <w:rsid w:val="66235DCD"/>
    <w:rsid w:val="6B701119"/>
    <w:rsid w:val="6F397303"/>
    <w:rsid w:val="731351F6"/>
    <w:rsid w:val="75B44A8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qFormat="1" w:unhideWhenUsed="0" w:uiPriority="0"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nhideWhenUsed="0" w:uiPriority="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qFormat/>
    <w:uiPriority w:val="9"/>
    <w:pPr>
      <w:keepNext/>
      <w:keepLines/>
      <w:numPr>
        <w:ilvl w:val="0"/>
        <w:numId w:val="1"/>
      </w:numPr>
      <w:spacing w:after="120"/>
      <w:outlineLvl w:val="0"/>
    </w:pPr>
    <w:rPr>
      <w:rFonts w:ascii="Calibri" w:hAnsi="Calibri" w:eastAsia="宋体" w:cs="Times New Roman"/>
      <w:b/>
      <w:bCs/>
      <w:kern w:val="44"/>
      <w:sz w:val="44"/>
      <w:szCs w:val="44"/>
    </w:rPr>
  </w:style>
  <w:style w:type="paragraph" w:styleId="3">
    <w:name w:val="heading 4"/>
    <w:basedOn w:val="1"/>
    <w:next w:val="1"/>
    <w:qFormat/>
    <w:uiPriority w:val="0"/>
    <w:pPr>
      <w:keepNext/>
      <w:keepLines/>
      <w:spacing w:before="280" w:after="290" w:line="376" w:lineRule="auto"/>
      <w:ind w:firstLine="200" w:firstLineChars="200"/>
      <w:outlineLvl w:val="3"/>
    </w:pPr>
    <w:rPr>
      <w:rFonts w:ascii="Arial" w:hAnsi="Arial" w:eastAsia="黑体" w:cs="Times New Roman"/>
      <w:b/>
      <w:bCs/>
      <w:sz w:val="28"/>
      <w:szCs w:val="28"/>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4">
    <w:name w:val="Document Map"/>
    <w:basedOn w:val="1"/>
    <w:link w:val="22"/>
    <w:unhideWhenUsed/>
    <w:qFormat/>
    <w:uiPriority w:val="99"/>
    <w:rPr>
      <w:rFonts w:ascii="宋体" w:cs="Times New Roman"/>
      <w:sz w:val="18"/>
      <w:szCs w:val="18"/>
    </w:rPr>
  </w:style>
  <w:style w:type="paragraph" w:styleId="5">
    <w:name w:val="annotation text"/>
    <w:basedOn w:val="1"/>
    <w:link w:val="23"/>
    <w:unhideWhenUsed/>
    <w:qFormat/>
    <w:uiPriority w:val="99"/>
    <w:pPr>
      <w:jc w:val="left"/>
    </w:pPr>
    <w:rPr>
      <w:rFonts w:cs="Times New Roman"/>
    </w:rPr>
  </w:style>
  <w:style w:type="paragraph" w:styleId="6">
    <w:name w:val="Body Text Indent"/>
    <w:basedOn w:val="1"/>
    <w:qFormat/>
    <w:uiPriority w:val="0"/>
    <w:pPr>
      <w:spacing w:after="120"/>
      <w:ind w:left="420" w:leftChars="200"/>
    </w:pPr>
  </w:style>
  <w:style w:type="paragraph" w:styleId="7">
    <w:name w:val="Date"/>
    <w:basedOn w:val="1"/>
    <w:next w:val="1"/>
    <w:link w:val="24"/>
    <w:qFormat/>
    <w:uiPriority w:val="0"/>
    <w:pPr>
      <w:ind w:left="100" w:leftChars="2500"/>
    </w:pPr>
    <w:rPr>
      <w:rFonts w:cs="Times New Roman"/>
      <w:kern w:val="0"/>
    </w:rPr>
  </w:style>
  <w:style w:type="paragraph" w:styleId="8">
    <w:name w:val="Body Text Indent 2"/>
    <w:basedOn w:val="1"/>
    <w:qFormat/>
    <w:uiPriority w:val="0"/>
    <w:pPr>
      <w:spacing w:after="120" w:line="480" w:lineRule="auto"/>
      <w:ind w:left="420" w:leftChars="200"/>
    </w:pPr>
    <w:rPr>
      <w:rFonts w:ascii="Times New Roman" w:hAnsi="Times New Roman" w:cs="Times New Roman"/>
      <w:szCs w:val="24"/>
    </w:rPr>
  </w:style>
  <w:style w:type="paragraph" w:styleId="9">
    <w:name w:val="Balloon Text"/>
    <w:basedOn w:val="1"/>
    <w:semiHidden/>
    <w:qFormat/>
    <w:uiPriority w:val="0"/>
    <w:rPr>
      <w:sz w:val="18"/>
      <w:szCs w:val="18"/>
    </w:rPr>
  </w:style>
  <w:style w:type="paragraph" w:styleId="10">
    <w:name w:val="footer"/>
    <w:basedOn w:val="1"/>
    <w:link w:val="25"/>
    <w:semiHidden/>
    <w:qFormat/>
    <w:uiPriority w:val="0"/>
    <w:pPr>
      <w:tabs>
        <w:tab w:val="center" w:pos="4153"/>
        <w:tab w:val="right" w:pos="8306"/>
      </w:tabs>
      <w:snapToGrid w:val="0"/>
      <w:jc w:val="left"/>
    </w:pPr>
    <w:rPr>
      <w:rFonts w:cs="Times New Roman"/>
      <w:kern w:val="0"/>
      <w:sz w:val="18"/>
      <w:szCs w:val="18"/>
    </w:rPr>
  </w:style>
  <w:style w:type="paragraph" w:styleId="11">
    <w:name w:val="header"/>
    <w:basedOn w:val="1"/>
    <w:link w:val="26"/>
    <w:semiHidden/>
    <w:qFormat/>
    <w:uiPriority w:val="0"/>
    <w:pPr>
      <w:pBdr>
        <w:bottom w:val="single" w:color="auto" w:sz="6" w:space="1"/>
      </w:pBdr>
      <w:tabs>
        <w:tab w:val="center" w:pos="4153"/>
        <w:tab w:val="right" w:pos="8306"/>
      </w:tabs>
      <w:snapToGrid w:val="0"/>
      <w:jc w:val="center"/>
    </w:pPr>
    <w:rPr>
      <w:rFonts w:cs="Times New Roman"/>
      <w:kern w:val="0"/>
      <w:sz w:val="18"/>
      <w:szCs w:val="18"/>
    </w:rPr>
  </w:style>
  <w:style w:type="paragraph" w:styleId="12">
    <w:name w:val="Subtitle"/>
    <w:basedOn w:val="1"/>
    <w:next w:val="1"/>
    <w:link w:val="27"/>
    <w:qFormat/>
    <w:locked/>
    <w:uiPriority w:val="0"/>
    <w:pPr>
      <w:spacing w:before="240" w:after="60" w:line="312" w:lineRule="auto"/>
      <w:jc w:val="center"/>
      <w:outlineLvl w:val="1"/>
    </w:pPr>
    <w:rPr>
      <w:rFonts w:ascii="Cambria" w:hAnsi="Cambria" w:cs="Times New Roman"/>
      <w:b/>
      <w:bCs/>
      <w:kern w:val="28"/>
      <w:sz w:val="32"/>
      <w:szCs w:val="32"/>
    </w:rPr>
  </w:style>
  <w:style w:type="paragraph" w:styleId="13">
    <w:name w:val="toc 6"/>
    <w:basedOn w:val="1"/>
    <w:next w:val="1"/>
    <w:semiHidden/>
    <w:qFormat/>
    <w:uiPriority w:val="0"/>
    <w:pPr>
      <w:adjustRightInd w:val="0"/>
      <w:spacing w:line="360" w:lineRule="atLeast"/>
      <w:jc w:val="center"/>
      <w:textAlignment w:val="baseline"/>
    </w:pPr>
    <w:rPr>
      <w:rFonts w:ascii="Times New Roman" w:hAnsi="Times New Roman" w:cs="Times New Roman"/>
      <w:kern w:val="0"/>
      <w:sz w:val="18"/>
      <w:szCs w:val="18"/>
    </w:rPr>
  </w:style>
  <w:style w:type="paragraph" w:styleId="1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15">
    <w:name w:val="annotation subject"/>
    <w:basedOn w:val="5"/>
    <w:next w:val="5"/>
    <w:link w:val="28"/>
    <w:unhideWhenUsed/>
    <w:qFormat/>
    <w:uiPriority w:val="99"/>
    <w:rPr>
      <w:b/>
      <w:bCs/>
    </w:rPr>
  </w:style>
  <w:style w:type="paragraph" w:styleId="16">
    <w:name w:val="Body Text First Indent 2"/>
    <w:basedOn w:val="6"/>
    <w:qFormat/>
    <w:uiPriority w:val="0"/>
    <w:pPr>
      <w:ind w:firstLine="420" w:firstLineChars="200"/>
    </w:pPr>
  </w:style>
  <w:style w:type="table" w:styleId="18">
    <w:name w:val="Table Grid"/>
    <w:basedOn w:val="17"/>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0">
    <w:name w:val="page number"/>
    <w:qFormat/>
    <w:uiPriority w:val="0"/>
  </w:style>
  <w:style w:type="character" w:styleId="21">
    <w:name w:val="annotation reference"/>
    <w:unhideWhenUsed/>
    <w:qFormat/>
    <w:uiPriority w:val="99"/>
    <w:rPr>
      <w:sz w:val="21"/>
      <w:szCs w:val="21"/>
    </w:rPr>
  </w:style>
  <w:style w:type="character" w:customStyle="1" w:styleId="22">
    <w:name w:val="文档结构图 字符"/>
    <w:link w:val="4"/>
    <w:semiHidden/>
    <w:qFormat/>
    <w:uiPriority w:val="99"/>
    <w:rPr>
      <w:rFonts w:ascii="宋体" w:cs="Calibri"/>
      <w:kern w:val="2"/>
      <w:sz w:val="18"/>
      <w:szCs w:val="18"/>
    </w:rPr>
  </w:style>
  <w:style w:type="character" w:customStyle="1" w:styleId="23">
    <w:name w:val="批注文字 字符"/>
    <w:link w:val="5"/>
    <w:semiHidden/>
    <w:qFormat/>
    <w:uiPriority w:val="99"/>
    <w:rPr>
      <w:rFonts w:cs="Calibri"/>
      <w:kern w:val="2"/>
      <w:sz w:val="21"/>
      <w:szCs w:val="21"/>
    </w:rPr>
  </w:style>
  <w:style w:type="character" w:customStyle="1" w:styleId="24">
    <w:name w:val="日期 字符"/>
    <w:link w:val="7"/>
    <w:semiHidden/>
    <w:qFormat/>
    <w:uiPriority w:val="0"/>
    <w:rPr>
      <w:rFonts w:cs="Times New Roman"/>
      <w:sz w:val="21"/>
      <w:szCs w:val="21"/>
    </w:rPr>
  </w:style>
  <w:style w:type="character" w:customStyle="1" w:styleId="25">
    <w:name w:val="页脚 字符"/>
    <w:link w:val="10"/>
    <w:semiHidden/>
    <w:qFormat/>
    <w:uiPriority w:val="0"/>
    <w:rPr>
      <w:rFonts w:cs="Times New Roman"/>
      <w:sz w:val="18"/>
      <w:szCs w:val="18"/>
    </w:rPr>
  </w:style>
  <w:style w:type="character" w:customStyle="1" w:styleId="26">
    <w:name w:val="页眉 字符"/>
    <w:link w:val="11"/>
    <w:semiHidden/>
    <w:qFormat/>
    <w:uiPriority w:val="0"/>
    <w:rPr>
      <w:rFonts w:cs="Times New Roman"/>
      <w:sz w:val="18"/>
      <w:szCs w:val="18"/>
    </w:rPr>
  </w:style>
  <w:style w:type="character" w:customStyle="1" w:styleId="27">
    <w:name w:val="副标题 字符"/>
    <w:link w:val="12"/>
    <w:qFormat/>
    <w:uiPriority w:val="0"/>
    <w:rPr>
      <w:rFonts w:ascii="Cambria" w:hAnsi="Cambria"/>
      <w:b/>
      <w:bCs/>
      <w:kern w:val="28"/>
      <w:sz w:val="32"/>
      <w:szCs w:val="32"/>
    </w:rPr>
  </w:style>
  <w:style w:type="character" w:customStyle="1" w:styleId="28">
    <w:name w:val="批注主题 字符"/>
    <w:link w:val="15"/>
    <w:semiHidden/>
    <w:qFormat/>
    <w:uiPriority w:val="99"/>
    <w:rPr>
      <w:rFonts w:cs="Calibri"/>
      <w:b/>
      <w:bCs/>
      <w:kern w:val="2"/>
      <w:sz w:val="21"/>
      <w:szCs w:val="21"/>
    </w:rPr>
  </w:style>
  <w:style w:type="paragraph" w:customStyle="1" w:styleId="29">
    <w:name w:val="List Paragraph1"/>
    <w:basedOn w:val="1"/>
    <w:qFormat/>
    <w:uiPriority w:val="0"/>
    <w:pPr>
      <w:ind w:firstLine="420" w:firstLineChars="200"/>
    </w:pPr>
  </w:style>
  <w:style w:type="paragraph" w:customStyle="1" w:styleId="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1">
    <w:name w:val=" Char Char2 Char Char Char"/>
    <w:basedOn w:val="1"/>
    <w:qFormat/>
    <w:uiPriority w:val="0"/>
    <w:rPr>
      <w:rFonts w:ascii="仿宋_GB2312" w:hAnsi="Times New Roman" w:eastAsia="仿宋_GB2312" w:cs="Times New Roman"/>
      <w:b/>
      <w:sz w:val="32"/>
      <w:szCs w:val="32"/>
    </w:rPr>
  </w:style>
  <w:style w:type="paragraph" w:customStyle="1" w:styleId="32">
    <w:name w:val=" Char Char1 Char Char Char Char Char Char Char Char Char Char Char Char Char Char Char"/>
    <w:basedOn w:val="1"/>
    <w:qFormat/>
    <w:uiPriority w:val="0"/>
    <w:rPr>
      <w:rFonts w:ascii="仿宋_GB2312" w:hAnsi="Times New Roman" w:eastAsia="仿宋_GB2312" w:cs="Times New Roman"/>
      <w:b/>
      <w:sz w:val="32"/>
      <w:szCs w:val="32"/>
    </w:rPr>
  </w:style>
  <w:style w:type="paragraph" w:customStyle="1" w:styleId="33">
    <w:name w:val=" Char Char Char Char2"/>
    <w:basedOn w:val="1"/>
    <w:qFormat/>
    <w:uiPriority w:val="0"/>
    <w:pPr>
      <w:spacing w:line="360" w:lineRule="auto"/>
      <w:ind w:firstLine="200" w:firstLineChars="200"/>
    </w:pPr>
    <w:rPr>
      <w:rFonts w:ascii="宋体" w:hAnsi="宋体" w:cs="宋体"/>
      <w:sz w:val="24"/>
      <w:szCs w:val="24"/>
    </w:rPr>
  </w:style>
  <w:style w:type="paragraph" w:styleId="34">
    <w:name w:val="List Paragraph"/>
    <w:basedOn w:val="1"/>
    <w:qFormat/>
    <w:uiPriority w:val="99"/>
    <w:pPr>
      <w:ind w:firstLine="420" w:firstLineChars="200"/>
    </w:pPr>
  </w:style>
  <w:style w:type="paragraph" w:customStyle="1" w:styleId="35">
    <w:name w:val="样式 首行缩进:  2 字符 段前: 0.5 行 段后: 0.5 行"/>
    <w:basedOn w:val="1"/>
    <w:qFormat/>
    <w:uiPriority w:val="0"/>
    <w:pPr>
      <w:spacing w:before="156" w:beforeLines="50" w:after="156" w:afterLines="50" w:line="360" w:lineRule="auto"/>
      <w:ind w:firstLine="420" w:firstLineChars="200"/>
      <w:jc w:val="left"/>
    </w:pPr>
    <w:rPr>
      <w:rFonts w:ascii="Times New Roman" w:hAnsi="Times New Roman" w:cs="宋体"/>
      <w:sz w:val="24"/>
      <w:szCs w:val="24"/>
    </w:rPr>
  </w:style>
  <w:style w:type="paragraph" w:customStyle="1" w:styleId="36">
    <w:name w:val="表格文字中"/>
    <w:basedOn w:val="1"/>
    <w:qFormat/>
    <w:uiPriority w:val="0"/>
    <w:pPr>
      <w:keepNext/>
      <w:spacing w:line="160" w:lineRule="atLeast"/>
      <w:jc w:val="center"/>
    </w:pPr>
    <w:rPr>
      <w:rFonts w:ascii="Times New Roman" w:hAnsi="Times New Roman" w:cs="Times New Roman"/>
    </w:rPr>
  </w:style>
  <w:style w:type="paragraph" w:customStyle="1" w:styleId="37">
    <w:name w:val="char"/>
    <w:basedOn w:val="1"/>
    <w:qFormat/>
    <w:uiPriority w:val="0"/>
    <w:pPr>
      <w:widowControl/>
      <w:spacing w:before="156" w:beforeLines="50" w:line="360" w:lineRule="exact"/>
      <w:ind w:firstLine="482" w:firstLineChars="200"/>
    </w:pPr>
    <w:rPr>
      <w:rFonts w:ascii="Times New Roman" w:hAnsi="Times New Roman" w:cs="Times New Roman"/>
      <w:b/>
      <w:color w:val="000000"/>
      <w:kern w:val="0"/>
      <w:sz w:val="24"/>
      <w:szCs w:val="24"/>
    </w:rPr>
  </w:style>
  <w:style w:type="paragraph" w:customStyle="1" w:styleId="38">
    <w:name w:val="p0"/>
    <w:basedOn w:val="1"/>
    <w:qFormat/>
    <w:uiPriority w:val="0"/>
    <w:pPr>
      <w:widowControl/>
    </w:pPr>
    <w:rPr>
      <w:rFonts w:ascii="Times New Roman" w:hAnsi="Times New Roman" w:cs="Times New Roman"/>
      <w:kern w:val="0"/>
    </w:rPr>
  </w:style>
  <w:style w:type="paragraph" w:customStyle="1" w:styleId="39">
    <w:name w:val="CM60"/>
    <w:basedOn w:val="30"/>
    <w:next w:val="30"/>
    <w:qFormat/>
    <w:uiPriority w:val="0"/>
    <w:pPr>
      <w:spacing w:after="123"/>
    </w:pPr>
    <w:rPr>
      <w:rFonts w:ascii="华文中宋" w:hAnsi="Times New Roman" w:eastAsia="华文中宋" w:cs="华文中宋"/>
      <w:color w:val="auto"/>
    </w:rPr>
  </w:style>
  <w:style w:type="paragraph" w:customStyle="1" w:styleId="40">
    <w:name w:val=" Char Char Char1 Char Char Char1 Char Char"/>
    <w:basedOn w:val="1"/>
    <w:qFormat/>
    <w:uiPriority w:val="0"/>
    <w:pPr>
      <w:spacing w:line="360" w:lineRule="auto"/>
      <w:ind w:firstLine="200" w:firstLineChars="200"/>
    </w:pPr>
    <w:rPr>
      <w:rFonts w:ascii="宋体" w:hAnsi="宋体" w:cs="宋体"/>
      <w:sz w:val="24"/>
      <w:szCs w:val="24"/>
    </w:rPr>
  </w:style>
  <w:style w:type="paragraph" w:customStyle="1" w:styleId="41">
    <w:name w:val="Char Char Char Char"/>
    <w:basedOn w:val="1"/>
    <w:qFormat/>
    <w:uiPriority w:val="0"/>
    <w:pPr>
      <w:keepNext/>
      <w:widowControl/>
      <w:tabs>
        <w:tab w:val="left" w:pos="425"/>
      </w:tabs>
      <w:autoSpaceDE w:val="0"/>
      <w:autoSpaceDN w:val="0"/>
      <w:adjustRightInd w:val="0"/>
      <w:spacing w:before="80" w:after="80"/>
      <w:ind w:hanging="425"/>
    </w:pPr>
    <w:rPr>
      <w:rFonts w:ascii="Arial" w:hAnsi="Arial" w:cs="Arial"/>
      <w:sz w:val="20"/>
      <w:szCs w:val="20"/>
    </w:rPr>
  </w:style>
  <w:style w:type="paragraph" w:customStyle="1" w:styleId="42">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NECC</Company>
  <Pages>8</Pages>
  <Words>2468</Words>
  <Characters>2617</Characters>
  <Lines>29</Lines>
  <Paragraphs>28</Paragraphs>
  <TotalTime>92</TotalTime>
  <ScaleCrop>false</ScaleCrop>
  <LinksUpToDate>false</LinksUpToDate>
  <CharactersWithSpaces>2710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2015-01-29T06:16:00Z</dcterms:created>
  <dc:creator>user</dc:creator>
  <cp:lastModifiedBy>王珏旻</cp:lastModifiedBy>
  <cp:lastPrinted>2025-03-24T06:07:00Z</cp:lastPrinted>
  <dcterms:modified xsi:type="dcterms:W3CDTF">2026-03-09T05:25:02Z</dcterms:modified>
  <dc:title>专家组评审意见</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eyJoZGlkIjoiZmJiZTM2ZGE1Yzc5YmEwZjhhYWIzMDA4YzM5Y2NhMjciLCJ1c2VySWQiOiIzODk1NjY5ODUifQ==</vt:lpwstr>
  </property>
  <property fmtid="{D5CDD505-2E9C-101B-9397-08002B2CF9AE}" pid="3" name="KSOProductBuildVer">
    <vt:lpwstr>2052-12.1.0.25225</vt:lpwstr>
  </property>
  <property fmtid="{D5CDD505-2E9C-101B-9397-08002B2CF9AE}" pid="4" name="ICV">
    <vt:lpwstr>2FB827816F3F493CAC91F41282A55829_13</vt:lpwstr>
  </property>
</Properties>
</file>