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CD4C0A1">
      <w:pPr>
        <w:keepLines w:val="0"/>
        <w:pBdr>
          <w:top w:val="none" w:color="auto" w:sz="0" w:space="1"/>
          <w:left w:val="none" w:color="auto" w:sz="0" w:space="4"/>
          <w:bottom w:val="none" w:color="auto" w:sz="0" w:space="1"/>
          <w:right w:val="none" w:color="auto" w:sz="0" w:space="4"/>
          <w:between w:val="none" w:color="auto" w:sz="0" w:space="0"/>
        </w:pBdr>
        <w:kinsoku/>
        <w:wordWrap/>
        <w:overflowPunct/>
        <w:topLinePunct w:val="0"/>
        <w:bidi w:val="0"/>
        <w:spacing w:line="240" w:lineRule="auto"/>
        <w:jc w:val="right"/>
        <w:rPr>
          <w:rFonts w:hint="eastAsia" w:ascii="黑体" w:hAnsi="黑体" w:eastAsia="黑体" w:cs="黑体"/>
          <w:spacing w:val="750"/>
          <w:kern w:val="0"/>
        </w:rPr>
      </w:pPr>
    </w:p>
    <w:p w14:paraId="0C93C2ED">
      <w:pPr>
        <w:keepLines w:val="0"/>
        <w:kinsoku/>
        <w:wordWrap/>
        <w:overflowPunct/>
        <w:topLinePunct w:val="0"/>
        <w:bidi w:val="0"/>
        <w:spacing w:line="240" w:lineRule="auto"/>
        <w:jc w:val="right"/>
        <w:rPr>
          <w:rFonts w:hint="eastAsia" w:ascii="黑体" w:hAnsi="黑体" w:eastAsia="黑体" w:cs="黑体"/>
          <w:kern w:val="0"/>
        </w:rPr>
      </w:pPr>
      <w:r>
        <w:drawing>
          <wp:inline distT="0" distB="0" distL="114300" distR="114300">
            <wp:extent cx="744855" cy="759460"/>
            <wp:effectExtent l="0" t="0" r="7620" b="254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8">
                      <a:extLst>
                        <a:ext uri="{28A0092B-C50C-407E-A947-70E740481C1C}">
                          <a14:useLocalDpi xmlns:a14="http://schemas.microsoft.com/office/drawing/2010/main" val="0"/>
                        </a:ext>
                      </a:extLst>
                    </a:blip>
                    <a:srcRect l="18647" t="14169" r="77054" b="78038"/>
                    <a:stretch>
                      <a:fillRect/>
                    </a:stretch>
                  </pic:blipFill>
                  <pic:spPr>
                    <a:xfrm>
                      <a:off x="0" y="0"/>
                      <a:ext cx="744855" cy="759460"/>
                    </a:xfrm>
                    <a:prstGeom prst="rect">
                      <a:avLst/>
                    </a:prstGeom>
                    <a:ln>
                      <a:noFill/>
                    </a:ln>
                  </pic:spPr>
                </pic:pic>
              </a:graphicData>
            </a:graphic>
          </wp:inline>
        </w:drawing>
      </w:r>
    </w:p>
    <w:p w14:paraId="16B1D710">
      <w:pPr>
        <w:keepLines w:val="0"/>
        <w:kinsoku/>
        <w:wordWrap/>
        <w:overflowPunct/>
        <w:topLinePunct w:val="0"/>
        <w:bidi w:val="0"/>
        <w:spacing w:line="240" w:lineRule="auto"/>
        <w:jc w:val="right"/>
        <w:rPr>
          <w:rFonts w:hint="eastAsia" w:ascii="Times New Roman" w:hAnsi="Times New Roman" w:eastAsia="方正小标宋简体" w:cs="Times New Roman"/>
          <w:kern w:val="0"/>
          <w:sz w:val="72"/>
          <w:szCs w:val="72"/>
        </w:rPr>
      </w:pPr>
      <w:r>
        <w:rPr>
          <w:rFonts w:hint="eastAsia" w:ascii="Times New Roman" w:hAnsi="Times New Roman" w:eastAsia="方正小标宋简体" w:cs="Times New Roman"/>
          <w:spacing w:val="240"/>
          <w:kern w:val="0"/>
          <w:sz w:val="72"/>
          <w:szCs w:val="72"/>
          <w:fitText w:val="9360" w:id="1328446230"/>
        </w:rPr>
        <w:t>团</w:t>
      </w:r>
      <w:r>
        <w:rPr>
          <w:rFonts w:ascii="Times New Roman" w:hAnsi="Times New Roman" w:eastAsia="方正小标宋简体" w:cs="Times New Roman"/>
          <w:spacing w:val="240"/>
          <w:kern w:val="0"/>
          <w:sz w:val="72"/>
          <w:szCs w:val="72"/>
          <w:fitText w:val="9360" w:id="1328446230"/>
        </w:rPr>
        <w:t xml:space="preserve">  </w:t>
      </w:r>
      <w:r>
        <w:rPr>
          <w:rFonts w:hint="eastAsia" w:ascii="Times New Roman" w:hAnsi="Times New Roman" w:eastAsia="方正小标宋简体" w:cs="Times New Roman"/>
          <w:spacing w:val="240"/>
          <w:kern w:val="0"/>
          <w:sz w:val="72"/>
          <w:szCs w:val="72"/>
          <w:fitText w:val="9360" w:id="1328446230"/>
        </w:rPr>
        <w:t>体</w:t>
      </w:r>
      <w:r>
        <w:rPr>
          <w:rFonts w:ascii="Times New Roman" w:hAnsi="Times New Roman" w:eastAsia="方正小标宋简体" w:cs="Times New Roman"/>
          <w:spacing w:val="240"/>
          <w:kern w:val="0"/>
          <w:sz w:val="72"/>
          <w:szCs w:val="72"/>
          <w:fitText w:val="9360" w:id="1328446230"/>
        </w:rPr>
        <w:t xml:space="preserve">  </w:t>
      </w:r>
      <w:r>
        <w:rPr>
          <w:rFonts w:hint="eastAsia" w:ascii="Times New Roman" w:hAnsi="Times New Roman" w:eastAsia="方正小标宋简体" w:cs="Times New Roman"/>
          <w:spacing w:val="240"/>
          <w:kern w:val="0"/>
          <w:sz w:val="72"/>
          <w:szCs w:val="72"/>
          <w:fitText w:val="9360" w:id="1328446230"/>
        </w:rPr>
        <w:t>标</w:t>
      </w:r>
      <w:r>
        <w:rPr>
          <w:rFonts w:ascii="Times New Roman" w:hAnsi="Times New Roman" w:eastAsia="方正小标宋简体" w:cs="Times New Roman"/>
          <w:spacing w:val="240"/>
          <w:kern w:val="0"/>
          <w:sz w:val="72"/>
          <w:szCs w:val="72"/>
          <w:fitText w:val="9360" w:id="1328446230"/>
        </w:rPr>
        <w:t xml:space="preserve">  </w:t>
      </w:r>
      <w:r>
        <w:rPr>
          <w:rFonts w:hint="eastAsia" w:ascii="Times New Roman" w:hAnsi="Times New Roman" w:eastAsia="方正小标宋简体" w:cs="Times New Roman"/>
          <w:spacing w:val="0"/>
          <w:kern w:val="0"/>
          <w:sz w:val="72"/>
          <w:szCs w:val="72"/>
          <w:fitText w:val="9360" w:id="1328446230"/>
        </w:rPr>
        <w:t>准</w:t>
      </w:r>
      <w:bookmarkStart w:id="0" w:name="_Hlk203494660"/>
    </w:p>
    <w:p w14:paraId="43498204">
      <w:pPr>
        <w:keepLines w:val="0"/>
        <w:kinsoku/>
        <w:wordWrap/>
        <w:overflowPunct/>
        <w:topLinePunct w:val="0"/>
        <w:bidi w:val="0"/>
        <w:spacing w:line="240" w:lineRule="auto"/>
        <w:jc w:val="right"/>
        <w:rPr>
          <w:rFonts w:hint="eastAsia" w:ascii="黑体" w:hAnsi="黑体" w:eastAsia="黑体" w:cs="黑体"/>
          <w:b w:val="0"/>
          <w:bCs/>
          <w:spacing w:val="6"/>
          <w:sz w:val="28"/>
          <w:szCs w:val="28"/>
          <w:lang w:val="en-US" w:eastAsia="zh-CN"/>
        </w:rPr>
      </w:pPr>
      <w:r>
        <w:rPr>
          <w:rFonts w:hint="eastAsia" w:ascii="黑体" w:hAnsi="黑体" w:eastAsia="黑体" w:cs="黑体"/>
          <w:b w:val="0"/>
          <w:bCs/>
          <w:spacing w:val="6"/>
          <w:sz w:val="28"/>
          <w:szCs w:val="28"/>
        </w:rPr>
        <w:t>T/CECA-</w:t>
      </w:r>
      <w:r>
        <w:rPr>
          <w:rFonts w:hint="eastAsia" w:ascii="黑体" w:hAnsi="黑体" w:eastAsia="黑体" w:cs="黑体"/>
          <w:b w:val="0"/>
          <w:bCs/>
          <w:spacing w:val="6"/>
          <w:sz w:val="28"/>
          <w:szCs w:val="28"/>
          <w:lang w:eastAsia="zh-CN"/>
        </w:rPr>
        <w:t xml:space="preserve">G </w:t>
      </w:r>
      <w:r>
        <w:rPr>
          <w:rFonts w:hint="eastAsia" w:ascii="黑体" w:hAnsi="黑体" w:eastAsia="黑体" w:cs="黑体"/>
          <w:b w:val="0"/>
          <w:bCs/>
          <w:spacing w:val="6"/>
          <w:sz w:val="28"/>
          <w:szCs w:val="28"/>
          <w:lang w:val="en-US" w:eastAsia="zh-CN"/>
        </w:rPr>
        <w:t>0415</w:t>
      </w:r>
      <w:r>
        <w:rPr>
          <w:rFonts w:hint="eastAsia" w:ascii="黑体" w:hAnsi="黑体" w:eastAsia="黑体" w:cs="黑体"/>
          <w:b w:val="0"/>
          <w:bCs/>
          <w:spacing w:val="6"/>
          <w:sz w:val="28"/>
          <w:szCs w:val="28"/>
        </w:rPr>
        <w:t>—20</w:t>
      </w:r>
      <w:bookmarkEnd w:id="0"/>
      <w:r>
        <w:rPr>
          <w:rFonts w:hint="eastAsia" w:ascii="黑体" w:hAnsi="黑体" w:eastAsia="黑体" w:cs="黑体"/>
          <w:b w:val="0"/>
          <w:bCs/>
          <w:spacing w:val="6"/>
          <w:sz w:val="28"/>
          <w:szCs w:val="28"/>
          <w:lang w:val="en-US" w:eastAsia="zh-CN"/>
        </w:rPr>
        <w:t>26</w:t>
      </w:r>
    </w:p>
    <w:p w14:paraId="0E27AC23">
      <w:pPr>
        <w:keepLines w:val="0"/>
        <w:kinsoku/>
        <w:wordWrap/>
        <w:overflowPunct/>
        <w:topLinePunct w:val="0"/>
        <w:bidi w:val="0"/>
        <w:spacing w:line="240" w:lineRule="auto"/>
        <w:rPr>
          <w:rFonts w:hint="eastAsia" w:ascii="黑体" w:hAnsi="黑体" w:eastAsia="黑体" w:cs="黑体"/>
          <w:sz w:val="48"/>
          <w:szCs w:val="48"/>
        </w:rPr>
      </w:pPr>
      <w:r>
        <w:rPr>
          <w:rFonts w:hint="eastAsia" w:ascii="黑体" w:hAnsi="黑体" w:eastAsia="黑体" w:cs="黑体"/>
          <w:sz w:val="48"/>
          <w:szCs w:val="48"/>
        </w:rPr>
        <mc:AlternateContent>
          <mc:Choice Requires="wps">
            <w:drawing>
              <wp:anchor distT="0" distB="0" distL="114300" distR="114300" simplePos="0" relativeHeight="251659264" behindDoc="0" locked="0" layoutInCell="1" allowOverlap="1">
                <wp:simplePos x="0" y="0"/>
                <wp:positionH relativeFrom="column">
                  <wp:posOffset>-63500</wp:posOffset>
                </wp:positionH>
                <wp:positionV relativeFrom="paragraph">
                  <wp:posOffset>12700</wp:posOffset>
                </wp:positionV>
                <wp:extent cx="5904230" cy="0"/>
                <wp:effectExtent l="0" t="4445" r="0" b="5080"/>
                <wp:wrapNone/>
                <wp:docPr id="2" name="自选图形 2"/>
                <wp:cNvGraphicFramePr/>
                <a:graphic xmlns:a="http://schemas.openxmlformats.org/drawingml/2006/main">
                  <a:graphicData uri="http://schemas.microsoft.com/office/word/2010/wordprocessingShape">
                    <wps:wsp>
                      <wps:cNvCnPr/>
                      <wps:spPr>
                        <a:xfrm>
                          <a:off x="0" y="0"/>
                          <a:ext cx="5904230" cy="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自选图形 2" o:spid="_x0000_s1026" o:spt="32" type="#_x0000_t32" style="position:absolute;left:0pt;margin-left:-5pt;margin-top:1pt;height:0pt;width:464.9pt;z-index:251659264;mso-width-relative:page;mso-height-relative:page;" filled="f" stroked="t" coordsize="21600,21600" o:gfxdata="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Fjh6BNUAAAAHAQAADwAAAAAAAAABACAAAAAiAAAAZHJzL2Rvd25yZXYueG1sUEsBAhQA&#10;FAAAAAgAh07iQEyEYyz1AQAA4wMAAA4AAAAAAAAAAQAgAAAAJAEAAGRycy9lMm9Eb2MueG1sUEsF&#10;BgAAAAAGAAYAWQEAAIsFAAAAAA==&#10;">
                <v:fill on="f" focussize="0,0"/>
                <v:stroke color="#000000" joinstyle="round"/>
                <v:imagedata o:title=""/>
                <o:lock v:ext="edit" aspectratio="f"/>
              </v:shape>
            </w:pict>
          </mc:Fallback>
        </mc:AlternateContent>
      </w:r>
    </w:p>
    <w:p w14:paraId="5C1D82DF">
      <w:pPr>
        <w:keepLines w:val="0"/>
        <w:kinsoku/>
        <w:wordWrap/>
        <w:overflowPunct/>
        <w:topLinePunct w:val="0"/>
        <w:bidi w:val="0"/>
        <w:spacing w:line="240" w:lineRule="auto"/>
        <w:rPr>
          <w:rFonts w:hint="eastAsia" w:ascii="黑体" w:hAnsi="黑体" w:eastAsia="黑体" w:cs="黑体"/>
          <w:sz w:val="48"/>
          <w:szCs w:val="48"/>
        </w:rPr>
      </w:pPr>
    </w:p>
    <w:p w14:paraId="4B214AA8">
      <w:pPr>
        <w:keepLines w:val="0"/>
        <w:kinsoku/>
        <w:wordWrap/>
        <w:overflowPunct/>
        <w:topLinePunct w:val="0"/>
        <w:bidi w:val="0"/>
        <w:spacing w:line="240" w:lineRule="auto"/>
        <w:rPr>
          <w:rFonts w:hint="eastAsia" w:ascii="黑体" w:hAnsi="黑体" w:eastAsia="黑体" w:cs="黑体"/>
          <w:sz w:val="48"/>
          <w:szCs w:val="48"/>
        </w:rPr>
      </w:pPr>
    </w:p>
    <w:p w14:paraId="2CBDB8C5">
      <w:pPr>
        <w:keepLines w:val="0"/>
        <w:kinsoku/>
        <w:wordWrap/>
        <w:overflowPunct/>
        <w:topLinePunct w:val="0"/>
        <w:bidi w:val="0"/>
        <w:spacing w:line="240" w:lineRule="auto"/>
        <w:rPr>
          <w:rFonts w:hint="eastAsia" w:ascii="黑体" w:hAnsi="黑体" w:eastAsia="黑体" w:cs="黑体"/>
          <w:sz w:val="48"/>
          <w:szCs w:val="48"/>
        </w:rPr>
      </w:pPr>
    </w:p>
    <w:p w14:paraId="26CD11EF">
      <w:pPr>
        <w:keepLines w:val="0"/>
        <w:kinsoku/>
        <w:wordWrap/>
        <w:overflowPunct/>
        <w:topLinePunct w:val="0"/>
        <w:bidi w:val="0"/>
        <w:spacing w:line="240" w:lineRule="auto"/>
        <w:rPr>
          <w:rFonts w:hint="eastAsia" w:ascii="黑体" w:hAnsi="黑体" w:eastAsia="黑体" w:cs="黑体"/>
          <w:sz w:val="48"/>
          <w:szCs w:val="48"/>
        </w:rPr>
      </w:pPr>
    </w:p>
    <w:p w14:paraId="79E136A1">
      <w:pPr>
        <w:keepLines w:val="0"/>
        <w:widowControl/>
        <w:kinsoku/>
        <w:wordWrap/>
        <w:overflowPunct/>
        <w:topLinePunct w:val="0"/>
        <w:bidi w:val="0"/>
        <w:spacing w:before="156" w:beforeLines="50" w:line="240" w:lineRule="auto"/>
        <w:jc w:val="center"/>
        <w:rPr>
          <w:rFonts w:hint="default" w:ascii="Times New Roman" w:hAnsi="Times New Roman" w:eastAsia="黑体" w:cs="Times New Roman"/>
          <w:b w:val="0"/>
          <w:bCs/>
          <w:sz w:val="52"/>
          <w:szCs w:val="52"/>
          <w:lang w:val="en-US" w:eastAsia="zh-CN"/>
        </w:rPr>
      </w:pPr>
      <w:r>
        <w:rPr>
          <w:rFonts w:hint="eastAsia" w:ascii="Times New Roman" w:hAnsi="Times New Roman" w:eastAsia="黑体" w:cs="Times New Roman"/>
          <w:b w:val="0"/>
          <w:bCs/>
          <w:sz w:val="52"/>
          <w:szCs w:val="52"/>
          <w:lang w:val="en-US" w:eastAsia="zh-CN"/>
        </w:rPr>
        <w:t>能源费用托管服务评价技术要求</w:t>
      </w:r>
    </w:p>
    <w:p w14:paraId="5D2578AC">
      <w:pPr>
        <w:pStyle w:val="24"/>
        <w:keepLines w:val="0"/>
        <w:kinsoku/>
        <w:wordWrap/>
        <w:overflowPunct/>
        <w:topLinePunct w:val="0"/>
        <w:bidi w:val="0"/>
        <w:spacing w:line="240" w:lineRule="auto"/>
        <w:textAlignment w:val="bottom"/>
        <w:rPr>
          <w:rFonts w:hint="default" w:ascii="Times New Roman" w:hAnsi="Times New Roman" w:eastAsia="黑体" w:cs="Times New Roman"/>
        </w:rPr>
      </w:pPr>
      <w:r>
        <w:rPr>
          <w:rFonts w:hint="default" w:ascii="Times New Roman" w:hAnsi="Times New Roman" w:eastAsia="黑体" w:cs="Times New Roman"/>
          <w:szCs w:val="28"/>
          <w:lang w:val="en-US" w:eastAsia="zh-CN"/>
        </w:rPr>
        <w:t>Technical requirements for evaluation of energy cost outsourcing service</w:t>
      </w:r>
    </w:p>
    <w:p w14:paraId="081D7A91">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ascii="Times New Roman" w:hAnsi="Times New Roman" w:cs="Times New Roman"/>
        </w:rPr>
      </w:pPr>
    </w:p>
    <w:p w14:paraId="3C0FB43C">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ascii="Times New Roman" w:hAnsi="Times New Roman" w:cs="Times New Roman"/>
        </w:rPr>
      </w:pPr>
    </w:p>
    <w:p w14:paraId="0D4BD3A5">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ascii="Times New Roman" w:hAnsi="Times New Roman" w:cs="Times New Roman"/>
        </w:rPr>
      </w:pPr>
    </w:p>
    <w:p w14:paraId="44581EFE">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ascii="Times New Roman" w:hAnsi="Times New Roman" w:cs="Times New Roman"/>
        </w:rPr>
      </w:pPr>
    </w:p>
    <w:p w14:paraId="637CB919">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ascii="Times New Roman" w:hAnsi="Times New Roman" w:cs="Times New Roman"/>
        </w:rPr>
      </w:pPr>
    </w:p>
    <w:p w14:paraId="4C33A3C2">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ascii="Times New Roman" w:hAnsi="Times New Roman" w:cs="Times New Roman"/>
        </w:rPr>
      </w:pPr>
    </w:p>
    <w:p w14:paraId="33286A41">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ascii="Times New Roman" w:hAnsi="Times New Roman" w:cs="Times New Roman"/>
        </w:rPr>
      </w:pPr>
    </w:p>
    <w:p w14:paraId="79F70A8E">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ascii="Times New Roman" w:hAnsi="Times New Roman" w:cs="Times New Roman"/>
        </w:rPr>
      </w:pPr>
    </w:p>
    <w:p w14:paraId="5C6817E9">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ascii="Times New Roman" w:hAnsi="Times New Roman" w:cs="Times New Roman"/>
        </w:rPr>
      </w:pPr>
    </w:p>
    <w:p w14:paraId="26D8472D">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ascii="Times New Roman" w:hAnsi="Times New Roman" w:cs="Times New Roman"/>
        </w:rPr>
      </w:pPr>
    </w:p>
    <w:p w14:paraId="30E9CE82">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ascii="Times New Roman" w:hAnsi="Times New Roman" w:cs="Times New Roman"/>
        </w:rPr>
      </w:pPr>
    </w:p>
    <w:p w14:paraId="4A833F4D">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ascii="Times New Roman" w:hAnsi="Times New Roman" w:cs="Times New Roman"/>
        </w:rPr>
      </w:pPr>
    </w:p>
    <w:p w14:paraId="380938A0">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ascii="Times New Roman" w:hAnsi="Times New Roman" w:cs="Times New Roman"/>
        </w:rPr>
      </w:pPr>
    </w:p>
    <w:p w14:paraId="65B36501">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ascii="Times New Roman" w:hAnsi="Times New Roman" w:cs="Times New Roman"/>
        </w:rPr>
      </w:pPr>
    </w:p>
    <w:p w14:paraId="0ED90999">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ascii="Times New Roman" w:hAnsi="Times New Roman" w:cs="Times New Roman"/>
        </w:rPr>
      </w:pPr>
    </w:p>
    <w:p w14:paraId="13E0EC60">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ascii="Times New Roman" w:hAnsi="Times New Roman" w:cs="Times New Roman"/>
        </w:rPr>
      </w:pPr>
    </w:p>
    <w:p w14:paraId="50EE3F3B">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ascii="Times New Roman" w:hAnsi="Times New Roman" w:cs="Times New Roman"/>
        </w:rPr>
      </w:pPr>
    </w:p>
    <w:p w14:paraId="6BDAD24B">
      <w:pPr>
        <w:keepNext w:val="0"/>
        <w:keepLines w:val="0"/>
        <w:pageBreakBefore w:val="0"/>
        <w:widowControl w:val="0"/>
        <w:kinsoku/>
        <w:wordWrap/>
        <w:overflowPunct/>
        <w:topLinePunct w:val="0"/>
        <w:autoSpaceDE/>
        <w:autoSpaceDN/>
        <w:bidi w:val="0"/>
        <w:adjustRightInd w:val="0"/>
        <w:snapToGrid w:val="0"/>
        <w:jc w:val="distribute"/>
        <w:textAlignment w:val="auto"/>
        <w:rPr>
          <w:rFonts w:hint="eastAsia" w:ascii="黑体" w:hAnsi="黑体" w:eastAsia="黑体" w:cs="黑体"/>
          <w:spacing w:val="6"/>
          <w:sz w:val="28"/>
          <w:szCs w:val="28"/>
        </w:rPr>
      </w:pPr>
      <w:r>
        <w:rPr>
          <w:rFonts w:hint="eastAsia" w:ascii="黑体" w:hAnsi="黑体" w:eastAsia="黑体" w:cs="黑体"/>
          <w:spacing w:val="6"/>
          <w:sz w:val="28"/>
          <w:szCs w:val="28"/>
        </w:rPr>
        <w:t>202</w:t>
      </w:r>
      <w:r>
        <w:rPr>
          <w:rFonts w:hint="eastAsia" w:ascii="黑体" w:hAnsi="黑体" w:eastAsia="黑体" w:cs="黑体"/>
          <w:spacing w:val="6"/>
          <w:sz w:val="28"/>
          <w:szCs w:val="28"/>
          <w:lang w:val="en-US" w:eastAsia="zh-CN"/>
        </w:rPr>
        <w:t>6</w:t>
      </w:r>
      <w:r>
        <w:rPr>
          <w:rFonts w:hint="eastAsia" w:ascii="黑体" w:hAnsi="黑体" w:eastAsia="黑体" w:cs="黑体"/>
          <w:spacing w:val="6"/>
          <w:sz w:val="28"/>
          <w:szCs w:val="28"/>
        </w:rPr>
        <w:t>-</w:t>
      </w:r>
      <w:r>
        <w:rPr>
          <w:rFonts w:hint="eastAsia" w:ascii="黑体" w:hAnsi="黑体" w:eastAsia="黑体" w:cs="黑体"/>
          <w:spacing w:val="6"/>
          <w:sz w:val="28"/>
          <w:szCs w:val="28"/>
          <w:lang w:val="en-US" w:eastAsia="zh-CN"/>
        </w:rPr>
        <w:t>07</w:t>
      </w:r>
      <w:r>
        <w:rPr>
          <w:rFonts w:hint="eastAsia" w:ascii="黑体" w:hAnsi="黑体" w:eastAsia="黑体" w:cs="黑体"/>
          <w:spacing w:val="6"/>
          <w:sz w:val="28"/>
          <w:szCs w:val="28"/>
        </w:rPr>
        <w:t>-</w:t>
      </w:r>
      <w:r>
        <w:rPr>
          <w:rFonts w:hint="eastAsia" w:ascii="黑体" w:hAnsi="黑体" w:eastAsia="黑体" w:cs="黑体"/>
          <w:spacing w:val="6"/>
          <w:sz w:val="28"/>
          <w:szCs w:val="28"/>
          <w:lang w:val="en-US" w:eastAsia="zh-CN"/>
        </w:rPr>
        <w:t>06</w:t>
      </w:r>
      <w:r>
        <w:rPr>
          <w:rFonts w:hint="eastAsia" w:ascii="黑体" w:hAnsi="黑体" w:eastAsia="黑体" w:cs="黑体"/>
          <w:spacing w:val="6"/>
          <w:sz w:val="28"/>
          <w:szCs w:val="28"/>
        </w:rPr>
        <w:t xml:space="preserve"> 发布                  </w:t>
      </w:r>
      <w:r>
        <w:rPr>
          <w:rFonts w:hint="eastAsia" w:ascii="黑体" w:hAnsi="黑体" w:eastAsia="黑体" w:cs="黑体"/>
          <w:spacing w:val="6"/>
          <w:sz w:val="28"/>
          <w:szCs w:val="28"/>
          <w:lang w:val="en-US" w:eastAsia="zh-CN"/>
        </w:rPr>
        <w:t xml:space="preserve">   </w:t>
      </w:r>
      <w:r>
        <w:rPr>
          <w:rFonts w:hint="eastAsia" w:ascii="黑体" w:hAnsi="黑体" w:eastAsia="黑体" w:cs="黑体"/>
          <w:spacing w:val="6"/>
          <w:sz w:val="28"/>
          <w:szCs w:val="28"/>
        </w:rPr>
        <w:t xml:space="preserve">  </w:t>
      </w:r>
      <w:r>
        <w:rPr>
          <w:rFonts w:hint="eastAsia" w:ascii="黑体" w:hAnsi="黑体" w:eastAsia="黑体" w:cs="黑体"/>
          <w:spacing w:val="6"/>
          <w:sz w:val="28"/>
          <w:szCs w:val="28"/>
          <w:lang w:val="en-US" w:eastAsia="zh-CN"/>
        </w:rPr>
        <w:t xml:space="preserve">   </w:t>
      </w:r>
      <w:r>
        <w:rPr>
          <w:rFonts w:hint="eastAsia" w:ascii="黑体" w:hAnsi="黑体" w:eastAsia="黑体" w:cs="黑体"/>
          <w:spacing w:val="6"/>
          <w:sz w:val="28"/>
          <w:szCs w:val="28"/>
        </w:rPr>
        <w:t xml:space="preserve">    202</w:t>
      </w:r>
      <w:r>
        <w:rPr>
          <w:rFonts w:hint="eastAsia" w:ascii="黑体" w:hAnsi="黑体" w:eastAsia="黑体" w:cs="黑体"/>
          <w:spacing w:val="6"/>
          <w:sz w:val="28"/>
          <w:szCs w:val="28"/>
          <w:lang w:val="en-US" w:eastAsia="zh-CN"/>
        </w:rPr>
        <w:t>6</w:t>
      </w:r>
      <w:r>
        <w:rPr>
          <w:rFonts w:hint="eastAsia" w:ascii="黑体" w:hAnsi="黑体" w:eastAsia="黑体" w:cs="黑体"/>
          <w:spacing w:val="6"/>
          <w:sz w:val="28"/>
          <w:szCs w:val="28"/>
        </w:rPr>
        <w:t>-</w:t>
      </w:r>
      <w:r>
        <w:rPr>
          <w:rFonts w:hint="eastAsia" w:ascii="黑体" w:hAnsi="黑体" w:eastAsia="黑体" w:cs="黑体"/>
          <w:spacing w:val="6"/>
          <w:sz w:val="28"/>
          <w:szCs w:val="28"/>
          <w:lang w:val="en-US" w:eastAsia="zh-CN"/>
        </w:rPr>
        <w:t>08</w:t>
      </w:r>
      <w:r>
        <w:rPr>
          <w:rFonts w:hint="eastAsia" w:ascii="黑体" w:hAnsi="黑体" w:eastAsia="黑体" w:cs="黑体"/>
          <w:spacing w:val="6"/>
          <w:sz w:val="28"/>
          <w:szCs w:val="28"/>
        </w:rPr>
        <w:t>-</w:t>
      </w:r>
      <w:r>
        <w:rPr>
          <w:rFonts w:hint="eastAsia" w:ascii="黑体" w:hAnsi="黑体" w:eastAsia="黑体" w:cs="黑体"/>
          <w:spacing w:val="6"/>
          <w:sz w:val="28"/>
          <w:szCs w:val="28"/>
          <w:lang w:val="en-US" w:eastAsia="zh-CN"/>
        </w:rPr>
        <w:t>01</w:t>
      </w:r>
      <w:r>
        <w:rPr>
          <w:rFonts w:hint="eastAsia" w:ascii="黑体" w:hAnsi="黑体" w:eastAsia="黑体" w:cs="黑体"/>
          <w:spacing w:val="6"/>
          <w:sz w:val="28"/>
          <w:szCs w:val="28"/>
        </w:rPr>
        <w:t xml:space="preserve"> 实施</w:t>
      </w:r>
    </w:p>
    <w:p w14:paraId="4AD7FF9E">
      <w:pPr>
        <w:keepNext w:val="0"/>
        <w:keepLines w:val="0"/>
        <w:pageBreakBefore w:val="0"/>
        <w:widowControl w:val="0"/>
        <w:kinsoku/>
        <w:wordWrap/>
        <w:overflowPunct/>
        <w:topLinePunct w:val="0"/>
        <w:autoSpaceDE/>
        <w:autoSpaceDN/>
        <w:bidi w:val="0"/>
        <w:adjustRightInd w:val="0"/>
        <w:snapToGrid w:val="0"/>
        <w:spacing w:before="313" w:beforeLines="100"/>
        <w:jc w:val="center"/>
        <w:textAlignment w:val="auto"/>
        <w:rPr>
          <w:rFonts w:hint="eastAsia" w:ascii="Times New Roman" w:hAnsi="Times New Roman" w:eastAsia="方正小标宋简体" w:cs="Times New Roman"/>
          <w:sz w:val="2"/>
          <w:szCs w:val="2"/>
          <w:lang w:val="en-US" w:eastAsia="zh-CN"/>
        </w:rPr>
        <w:sectPr>
          <w:headerReference r:id="rId5" w:type="first"/>
          <w:footerReference r:id="rId7" w:type="first"/>
          <w:headerReference r:id="rId3" w:type="default"/>
          <w:footerReference r:id="rId6" w:type="default"/>
          <w:headerReference r:id="rId4" w:type="even"/>
          <w:pgSz w:w="11907" w:h="16839"/>
          <w:pgMar w:top="1417" w:right="1417" w:bottom="1134" w:left="1418" w:header="567" w:footer="850" w:gutter="0"/>
          <w:pgBorders>
            <w:top w:val="none" w:sz="0" w:space="0"/>
            <w:left w:val="none" w:sz="0" w:space="0"/>
            <w:bottom w:val="none" w:sz="0" w:space="0"/>
            <w:right w:val="none" w:sz="0" w:space="0"/>
          </w:pgBorders>
          <w:cols w:space="0" w:num="1"/>
          <w:titlePg/>
          <w:docGrid w:type="lines" w:linePitch="312" w:charSpace="0"/>
        </w:sectPr>
      </w:pPr>
      <w:r>
        <w:rPr>
          <w:rFonts w:ascii="Times New Roman" w:hAnsi="Times New Roman" w:eastAsia="方正小标宋简体" w:cs="Times New Roman"/>
          <w:sz w:val="52"/>
          <w:szCs w:val="52"/>
        </w:rPr>
        <mc:AlternateContent>
          <mc:Choice Requires="wps">
            <w:drawing>
              <wp:anchor distT="0" distB="0" distL="114300" distR="114300" simplePos="0" relativeHeight="251663360" behindDoc="0" locked="0" layoutInCell="1" allowOverlap="1">
                <wp:simplePos x="0" y="0"/>
                <wp:positionH relativeFrom="column">
                  <wp:posOffset>-59690</wp:posOffset>
                </wp:positionH>
                <wp:positionV relativeFrom="paragraph">
                  <wp:posOffset>44450</wp:posOffset>
                </wp:positionV>
                <wp:extent cx="5874385" cy="0"/>
                <wp:effectExtent l="0" t="9525" r="12065" b="9525"/>
                <wp:wrapNone/>
                <wp:docPr id="17" name="自选图形 3"/>
                <wp:cNvGraphicFramePr/>
                <a:graphic xmlns:a="http://schemas.openxmlformats.org/drawingml/2006/main">
                  <a:graphicData uri="http://schemas.microsoft.com/office/word/2010/wordprocessingShape">
                    <wps:wsp>
                      <wps:cNvCnPr/>
                      <wps:spPr>
                        <a:xfrm>
                          <a:off x="0" y="0"/>
                          <a:ext cx="5874385" cy="0"/>
                        </a:xfrm>
                        <a:prstGeom prst="straightConnector1">
                          <a:avLst/>
                        </a:prstGeom>
                        <a:ln w="19050" cap="flat" cmpd="sng">
                          <a:solidFill>
                            <a:srgbClr val="000000"/>
                          </a:solidFill>
                          <a:prstDash val="solid"/>
                          <a:headEnd type="none" w="med" len="med"/>
                          <a:tailEnd type="none" w="med" len="med"/>
                        </a:ln>
                      </wps:spPr>
                      <wps:bodyPr/>
                    </wps:wsp>
                  </a:graphicData>
                </a:graphic>
              </wp:anchor>
            </w:drawing>
          </mc:Choice>
          <mc:Fallback>
            <w:pict>
              <v:shape id="自选图形 3" o:spid="_x0000_s1026" o:spt="32" type="#_x0000_t32" style="position:absolute;left:0pt;margin-left:-4.7pt;margin-top:3.5pt;height:0pt;width:462.55pt;z-index:251663360;mso-width-relative:page;mso-height-relative:page;" filled="f" stroked="t" coordsize="21600,21600" o:gfxdata="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c/4mW9IAAAAGAQAADwAAAAAAAAABACAAAAAiAAAAZHJzL2Rvd25yZXYueG1sUEsBAhQA&#10;FAAAAAgAh07iQAhsRfr4AQAA5QMAAA4AAAAAAAAAAQAgAAAAIQEAAGRycy9lMm9Eb2MueG1sUEsF&#10;BgAAAAAGAAYAWQEAAIsFAAAAAA==&#10;">
                <v:fill on="f" focussize="0,0"/>
                <v:stroke weight="1.5pt" color="#000000" joinstyle="round"/>
                <v:imagedata o:title=""/>
                <o:lock v:ext="edit" aspectratio="f"/>
              </v:shape>
            </w:pict>
          </mc:Fallback>
        </mc:AlternateContent>
      </w:r>
      <w:r>
        <w:rPr>
          <w:rFonts w:ascii="Times New Roman" w:hAnsi="Times New Roman" w:eastAsia="方正小标宋简体" w:cs="Times New Roman"/>
          <w:sz w:val="28"/>
          <w:szCs w:val="28"/>
        </w:rPr>
        <w:t>中国节能协会  发</w:t>
      </w:r>
      <w:r>
        <w:rPr>
          <w:rFonts w:hint="eastAsia" w:ascii="Times New Roman" w:hAnsi="Times New Roman" w:eastAsia="方正小标宋简体" w:cs="Times New Roman"/>
          <w:sz w:val="28"/>
          <w:szCs w:val="28"/>
          <w:lang w:val="en-US" w:eastAsia="zh-CN"/>
        </w:rPr>
        <w:t xml:space="preserve"> 布</w:t>
      </w:r>
    </w:p>
    <w:p w14:paraId="3907B913">
      <w:pPr>
        <w:spacing w:line="340" w:lineRule="exact"/>
        <w:jc w:val="left"/>
        <w:rPr>
          <w:rFonts w:ascii="FangSong_GB2312" w:hAnsi="FangSong_GB2312" w:eastAsia="FangSong_GB2312" w:cs="FangSong_GB2312"/>
          <w:szCs w:val="21"/>
        </w:rPr>
      </w:pPr>
      <w:bookmarkStart w:id="1" w:name="_Toc20312"/>
      <w:bookmarkStart w:id="2" w:name="_Toc21529"/>
    </w:p>
    <w:p w14:paraId="5E564B07">
      <w:pPr>
        <w:spacing w:line="340" w:lineRule="exact"/>
        <w:jc w:val="left"/>
        <w:rPr>
          <w:rFonts w:hint="eastAsia" w:ascii="FangSong_GB2312" w:hAnsi="FangSong_GB2312" w:eastAsia="FangSong_GB2312" w:cs="FangSong_GB2312"/>
          <w:szCs w:val="21"/>
        </w:rPr>
      </w:pPr>
    </w:p>
    <w:p w14:paraId="11C28577">
      <w:pPr>
        <w:spacing w:line="340" w:lineRule="exact"/>
        <w:jc w:val="left"/>
        <w:rPr>
          <w:rFonts w:hint="eastAsia" w:ascii="FangSong_GB2312" w:hAnsi="FangSong_GB2312" w:eastAsia="FangSong_GB2312" w:cs="FangSong_GB2312"/>
          <w:szCs w:val="21"/>
        </w:rPr>
      </w:pPr>
    </w:p>
    <w:p w14:paraId="327009E4">
      <w:pPr>
        <w:spacing w:line="340" w:lineRule="exact"/>
        <w:jc w:val="left"/>
        <w:rPr>
          <w:rFonts w:hint="eastAsia" w:ascii="FangSong_GB2312" w:hAnsi="FangSong_GB2312" w:eastAsia="FangSong_GB2312" w:cs="FangSong_GB2312"/>
          <w:szCs w:val="21"/>
        </w:rPr>
      </w:pPr>
    </w:p>
    <w:p w14:paraId="532E2BC4">
      <w:pPr>
        <w:spacing w:line="340" w:lineRule="exact"/>
        <w:jc w:val="left"/>
        <w:rPr>
          <w:rFonts w:hint="eastAsia" w:ascii="FangSong_GB2312" w:hAnsi="FangSong_GB2312" w:eastAsia="FangSong_GB2312" w:cs="FangSong_GB2312"/>
          <w:szCs w:val="21"/>
        </w:rPr>
      </w:pPr>
    </w:p>
    <w:p w14:paraId="23197215">
      <w:pPr>
        <w:spacing w:line="340" w:lineRule="exact"/>
        <w:jc w:val="left"/>
        <w:rPr>
          <w:rFonts w:hint="eastAsia" w:ascii="FangSong_GB2312" w:hAnsi="FangSong_GB2312" w:eastAsia="FangSong_GB2312" w:cs="FangSong_GB2312"/>
          <w:szCs w:val="21"/>
        </w:rPr>
      </w:pPr>
    </w:p>
    <w:p w14:paraId="5DF7E056">
      <w:pPr>
        <w:spacing w:line="340" w:lineRule="exact"/>
        <w:jc w:val="left"/>
        <w:rPr>
          <w:rFonts w:hint="eastAsia" w:ascii="FangSong_GB2312" w:hAnsi="FangSong_GB2312" w:eastAsia="FangSong_GB2312" w:cs="FangSong_GB2312"/>
          <w:szCs w:val="21"/>
        </w:rPr>
      </w:pPr>
    </w:p>
    <w:p w14:paraId="439D423C">
      <w:pPr>
        <w:spacing w:line="340" w:lineRule="exact"/>
        <w:jc w:val="left"/>
        <w:rPr>
          <w:rFonts w:hint="eastAsia" w:ascii="FangSong_GB2312" w:hAnsi="FangSong_GB2312" w:eastAsia="FangSong_GB2312" w:cs="FangSong_GB2312"/>
          <w:szCs w:val="21"/>
        </w:rPr>
      </w:pPr>
    </w:p>
    <w:p w14:paraId="08774BE8">
      <w:pPr>
        <w:spacing w:line="340" w:lineRule="exact"/>
        <w:jc w:val="left"/>
        <w:rPr>
          <w:rFonts w:hint="eastAsia" w:ascii="FangSong_GB2312" w:hAnsi="FangSong_GB2312" w:eastAsia="FangSong_GB2312" w:cs="FangSong_GB2312"/>
          <w:szCs w:val="21"/>
        </w:rPr>
      </w:pPr>
    </w:p>
    <w:p w14:paraId="6F96095E">
      <w:pPr>
        <w:spacing w:line="340" w:lineRule="exact"/>
        <w:jc w:val="left"/>
        <w:rPr>
          <w:rFonts w:hint="eastAsia" w:ascii="FangSong_GB2312" w:hAnsi="FangSong_GB2312" w:eastAsia="FangSong_GB2312" w:cs="FangSong_GB2312"/>
          <w:szCs w:val="21"/>
        </w:rPr>
      </w:pPr>
    </w:p>
    <w:p w14:paraId="57B4B70D">
      <w:pPr>
        <w:spacing w:line="340" w:lineRule="exact"/>
        <w:jc w:val="left"/>
        <w:rPr>
          <w:rFonts w:hint="eastAsia" w:ascii="FangSong_GB2312" w:hAnsi="FangSong_GB2312" w:eastAsia="FangSong_GB2312" w:cs="FangSong_GB2312"/>
          <w:szCs w:val="21"/>
        </w:rPr>
      </w:pPr>
    </w:p>
    <w:p w14:paraId="501C39CA">
      <w:pPr>
        <w:spacing w:line="340" w:lineRule="exact"/>
        <w:jc w:val="left"/>
        <w:rPr>
          <w:rFonts w:hint="eastAsia" w:ascii="FangSong_GB2312" w:hAnsi="FangSong_GB2312" w:eastAsia="FangSong_GB2312" w:cs="FangSong_GB2312"/>
          <w:szCs w:val="21"/>
        </w:rPr>
      </w:pPr>
    </w:p>
    <w:p w14:paraId="3A415BBD">
      <w:pPr>
        <w:spacing w:line="340" w:lineRule="exact"/>
        <w:jc w:val="left"/>
        <w:rPr>
          <w:rFonts w:hint="eastAsia" w:ascii="FangSong_GB2312" w:hAnsi="FangSong_GB2312" w:eastAsia="FangSong_GB2312" w:cs="FangSong_GB2312"/>
          <w:szCs w:val="21"/>
        </w:rPr>
      </w:pPr>
    </w:p>
    <w:p w14:paraId="47AE566B">
      <w:pPr>
        <w:spacing w:line="340" w:lineRule="exact"/>
        <w:jc w:val="left"/>
        <w:rPr>
          <w:rFonts w:hint="eastAsia" w:ascii="FangSong_GB2312" w:hAnsi="FangSong_GB2312" w:eastAsia="FangSong_GB2312" w:cs="FangSong_GB2312"/>
          <w:szCs w:val="21"/>
        </w:rPr>
      </w:pPr>
    </w:p>
    <w:p w14:paraId="03CAF951">
      <w:pPr>
        <w:spacing w:line="340" w:lineRule="exact"/>
        <w:jc w:val="left"/>
        <w:rPr>
          <w:rFonts w:hint="eastAsia" w:ascii="FangSong_GB2312" w:hAnsi="FangSong_GB2312" w:eastAsia="FangSong_GB2312" w:cs="FangSong_GB2312"/>
          <w:szCs w:val="21"/>
        </w:rPr>
      </w:pPr>
    </w:p>
    <w:p w14:paraId="4D39A882">
      <w:pPr>
        <w:spacing w:line="340" w:lineRule="exact"/>
        <w:jc w:val="left"/>
        <w:rPr>
          <w:rFonts w:hint="eastAsia" w:ascii="FangSong_GB2312" w:hAnsi="FangSong_GB2312" w:eastAsia="FangSong_GB2312" w:cs="FangSong_GB2312"/>
          <w:szCs w:val="21"/>
        </w:rPr>
      </w:pPr>
    </w:p>
    <w:p w14:paraId="4CDCD915">
      <w:pPr>
        <w:spacing w:line="340" w:lineRule="exact"/>
        <w:jc w:val="left"/>
        <w:rPr>
          <w:rFonts w:hint="eastAsia" w:ascii="FangSong_GB2312" w:hAnsi="FangSong_GB2312" w:eastAsia="FangSong_GB2312" w:cs="FangSong_GB2312"/>
          <w:szCs w:val="21"/>
        </w:rPr>
      </w:pPr>
    </w:p>
    <w:p w14:paraId="309D94FE">
      <w:pPr>
        <w:spacing w:line="340" w:lineRule="exact"/>
        <w:jc w:val="left"/>
        <w:rPr>
          <w:rFonts w:hint="eastAsia" w:ascii="FangSong_GB2312" w:hAnsi="FangSong_GB2312" w:eastAsia="FangSong_GB2312" w:cs="FangSong_GB2312"/>
          <w:szCs w:val="21"/>
        </w:rPr>
      </w:pPr>
    </w:p>
    <w:p w14:paraId="1E89A96D">
      <w:pPr>
        <w:spacing w:line="340" w:lineRule="exact"/>
        <w:jc w:val="left"/>
        <w:rPr>
          <w:rFonts w:hint="eastAsia" w:ascii="FangSong_GB2312" w:hAnsi="FangSong_GB2312" w:eastAsia="FangSong_GB2312" w:cs="FangSong_GB2312"/>
          <w:szCs w:val="21"/>
        </w:rPr>
      </w:pPr>
    </w:p>
    <w:p w14:paraId="568DA3B8">
      <w:pPr>
        <w:spacing w:line="340" w:lineRule="exact"/>
        <w:jc w:val="left"/>
        <w:rPr>
          <w:rFonts w:hint="eastAsia" w:ascii="FangSong_GB2312" w:hAnsi="FangSong_GB2312" w:eastAsia="FangSong_GB2312" w:cs="FangSong_GB2312"/>
          <w:szCs w:val="21"/>
        </w:rPr>
      </w:pPr>
    </w:p>
    <w:p w14:paraId="3D160A90">
      <w:pPr>
        <w:spacing w:line="340" w:lineRule="exact"/>
        <w:jc w:val="left"/>
        <w:rPr>
          <w:rFonts w:hint="eastAsia" w:ascii="FangSong_GB2312" w:hAnsi="FangSong_GB2312" w:eastAsia="FangSong_GB2312" w:cs="FangSong_GB2312"/>
          <w:szCs w:val="21"/>
        </w:rPr>
      </w:pPr>
    </w:p>
    <w:p w14:paraId="39EC5FF4">
      <w:pPr>
        <w:spacing w:line="340" w:lineRule="exact"/>
        <w:jc w:val="left"/>
        <w:rPr>
          <w:rFonts w:hint="eastAsia" w:ascii="FangSong_GB2312" w:hAnsi="FangSong_GB2312" w:eastAsia="FangSong_GB2312" w:cs="FangSong_GB2312"/>
          <w:szCs w:val="21"/>
        </w:rPr>
      </w:pPr>
    </w:p>
    <w:p w14:paraId="14EE5E7E">
      <w:pPr>
        <w:spacing w:line="340" w:lineRule="exact"/>
        <w:jc w:val="left"/>
        <w:rPr>
          <w:rFonts w:hint="eastAsia" w:ascii="FangSong_GB2312" w:hAnsi="FangSong_GB2312" w:eastAsia="FangSong_GB2312" w:cs="FangSong_GB2312"/>
          <w:szCs w:val="21"/>
        </w:rPr>
      </w:pPr>
    </w:p>
    <w:p w14:paraId="66CA3E1A">
      <w:pPr>
        <w:spacing w:line="340" w:lineRule="exact"/>
        <w:jc w:val="left"/>
        <w:rPr>
          <w:rFonts w:hint="eastAsia" w:ascii="FangSong_GB2312" w:hAnsi="FangSong_GB2312" w:eastAsia="FangSong_GB2312" w:cs="FangSong_GB2312"/>
          <w:szCs w:val="21"/>
        </w:rPr>
      </w:pPr>
    </w:p>
    <w:p w14:paraId="0276959D">
      <w:pPr>
        <w:spacing w:line="340" w:lineRule="exact"/>
        <w:jc w:val="left"/>
        <w:rPr>
          <w:rFonts w:hint="eastAsia" w:ascii="FangSong_GB2312" w:hAnsi="FangSong_GB2312" w:eastAsia="FangSong_GB2312" w:cs="FangSong_GB2312"/>
          <w:szCs w:val="21"/>
        </w:rPr>
      </w:pPr>
    </w:p>
    <w:p w14:paraId="2B56D7FD">
      <w:pPr>
        <w:spacing w:line="340" w:lineRule="exact"/>
        <w:jc w:val="left"/>
        <w:rPr>
          <w:rFonts w:hint="eastAsia" w:ascii="FangSong_GB2312" w:hAnsi="FangSong_GB2312" w:eastAsia="FangSong_GB2312" w:cs="FangSong_GB2312"/>
          <w:szCs w:val="21"/>
        </w:rPr>
      </w:pPr>
    </w:p>
    <w:p w14:paraId="0D18D8A8">
      <w:pPr>
        <w:spacing w:line="340" w:lineRule="exact"/>
        <w:jc w:val="left"/>
        <w:rPr>
          <w:rFonts w:hint="eastAsia" w:ascii="FangSong_GB2312" w:hAnsi="FangSong_GB2312" w:eastAsia="FangSong_GB2312" w:cs="FangSong_GB2312"/>
          <w:szCs w:val="21"/>
        </w:rPr>
      </w:pPr>
    </w:p>
    <w:p w14:paraId="6DA0A2FC">
      <w:pPr>
        <w:spacing w:line="340" w:lineRule="exact"/>
        <w:jc w:val="left"/>
        <w:rPr>
          <w:rFonts w:hint="eastAsia" w:ascii="FangSong_GB2312" w:hAnsi="FangSong_GB2312" w:eastAsia="FangSong_GB2312" w:cs="FangSong_GB2312"/>
          <w:szCs w:val="21"/>
        </w:rPr>
      </w:pPr>
    </w:p>
    <w:p w14:paraId="133C240A">
      <w:pPr>
        <w:spacing w:line="340" w:lineRule="exact"/>
        <w:jc w:val="left"/>
        <w:rPr>
          <w:rFonts w:hint="eastAsia" w:ascii="FangSong_GB2312" w:hAnsi="FangSong_GB2312" w:eastAsia="FangSong_GB2312" w:cs="FangSong_GB2312"/>
          <w:szCs w:val="21"/>
        </w:rPr>
      </w:pPr>
    </w:p>
    <w:p w14:paraId="1C1A35D3">
      <w:pPr>
        <w:spacing w:line="340" w:lineRule="exact"/>
        <w:jc w:val="left"/>
        <w:rPr>
          <w:rFonts w:hint="eastAsia" w:ascii="FangSong_GB2312" w:hAnsi="FangSong_GB2312" w:eastAsia="FangSong_GB2312" w:cs="FangSong_GB2312"/>
          <w:szCs w:val="21"/>
        </w:rPr>
      </w:pPr>
    </w:p>
    <w:p w14:paraId="68AA8559">
      <w:pPr>
        <w:spacing w:line="340" w:lineRule="exact"/>
        <w:jc w:val="left"/>
        <w:rPr>
          <w:rFonts w:hint="eastAsia" w:ascii="FangSong_GB2312" w:hAnsi="FangSong_GB2312" w:eastAsia="FangSong_GB2312" w:cs="FangSong_GB2312"/>
          <w:szCs w:val="21"/>
        </w:rPr>
      </w:pPr>
    </w:p>
    <w:p w14:paraId="6FD282E3">
      <w:pPr>
        <w:spacing w:line="340" w:lineRule="exact"/>
        <w:jc w:val="left"/>
        <w:rPr>
          <w:rFonts w:hint="eastAsia" w:ascii="FangSong_GB2312" w:hAnsi="FangSong_GB2312" w:eastAsia="FangSong_GB2312" w:cs="FangSong_GB2312"/>
          <w:szCs w:val="21"/>
        </w:rPr>
      </w:pPr>
    </w:p>
    <w:p w14:paraId="52374B7D">
      <w:pPr>
        <w:spacing w:line="340" w:lineRule="exact"/>
        <w:jc w:val="left"/>
        <w:rPr>
          <w:rFonts w:hint="eastAsia" w:ascii="FangSong_GB2312" w:hAnsi="FangSong_GB2312" w:eastAsia="FangSong_GB2312" w:cs="FangSong_GB2312"/>
          <w:szCs w:val="21"/>
        </w:rPr>
      </w:pPr>
      <w:r>
        <w:rPr>
          <w:rFonts w:ascii="宋体" w:hAnsi="宋体" w:cs="宋体"/>
          <w:kern w:val="0"/>
          <w:sz w:val="24"/>
          <w:szCs w:val="21"/>
        </w:rPr>
        <w:drawing>
          <wp:anchor distT="0" distB="0" distL="0" distR="0" simplePos="0" relativeHeight="251665408" behindDoc="1" locked="0" layoutInCell="1" allowOverlap="1">
            <wp:simplePos x="0" y="0"/>
            <wp:positionH relativeFrom="column">
              <wp:posOffset>-14605</wp:posOffset>
            </wp:positionH>
            <wp:positionV relativeFrom="paragraph">
              <wp:posOffset>153670</wp:posOffset>
            </wp:positionV>
            <wp:extent cx="809625" cy="771525"/>
            <wp:effectExtent l="0" t="0" r="9525" b="9525"/>
            <wp:wrapNone/>
            <wp:docPr id="12" name="图片 5" descr="IMG_256"/>
            <wp:cNvGraphicFramePr/>
            <a:graphic xmlns:a="http://schemas.openxmlformats.org/drawingml/2006/main">
              <a:graphicData uri="http://schemas.openxmlformats.org/drawingml/2006/picture">
                <pic:pic xmlns:pic="http://schemas.openxmlformats.org/drawingml/2006/picture">
                  <pic:nvPicPr>
                    <pic:cNvPr id="12" name="图片 5" descr="IMG_256"/>
                    <pic:cNvPicPr/>
                  </pic:nvPicPr>
                  <pic:blipFill>
                    <a:blip r:embed="rId19" cstate="print"/>
                    <a:srcRect/>
                    <a:stretch>
                      <a:fillRect/>
                    </a:stretch>
                  </pic:blipFill>
                  <pic:spPr>
                    <a:xfrm>
                      <a:off x="0" y="0"/>
                      <a:ext cx="809625" cy="771525"/>
                    </a:xfrm>
                    <a:prstGeom prst="rect">
                      <a:avLst/>
                    </a:prstGeom>
                    <a:ln>
                      <a:noFill/>
                    </a:ln>
                  </pic:spPr>
                </pic:pic>
              </a:graphicData>
            </a:graphic>
          </wp:anchor>
        </w:drawing>
      </w:r>
    </w:p>
    <w:p w14:paraId="6E0F0245">
      <w:pPr>
        <w:spacing w:line="340" w:lineRule="exact"/>
        <w:jc w:val="left"/>
        <w:rPr>
          <w:rFonts w:hint="eastAsia" w:ascii="FangSong_GB2312" w:hAnsi="FangSong_GB2312" w:eastAsia="FangSong_GB2312" w:cs="FangSong_GB2312"/>
          <w:szCs w:val="21"/>
        </w:rPr>
      </w:pPr>
    </w:p>
    <w:p w14:paraId="7EA2F6AE">
      <w:pPr>
        <w:spacing w:line="340" w:lineRule="exact"/>
        <w:jc w:val="left"/>
        <w:rPr>
          <w:rFonts w:hint="eastAsia" w:ascii="FangSong_GB2312" w:hAnsi="FangSong_GB2312" w:eastAsia="FangSong_GB2312" w:cs="FangSong_GB2312"/>
          <w:szCs w:val="21"/>
        </w:rPr>
      </w:pPr>
    </w:p>
    <w:p w14:paraId="1957305E">
      <w:pPr>
        <w:spacing w:line="340" w:lineRule="exact"/>
        <w:jc w:val="left"/>
        <w:rPr>
          <w:rFonts w:hint="eastAsia" w:ascii="宋体" w:hAnsi="宋体" w:cs="FangSong_GB2312"/>
          <w:sz w:val="21"/>
          <w:szCs w:val="21"/>
        </w:rPr>
      </w:pPr>
      <w:r>
        <w:rPr>
          <w:rFonts w:hint="eastAsia" w:ascii="FangSong_GB2312" w:hAnsi="FangSong_GB2312" w:eastAsia="FangSong_GB2312" w:cs="FangSong_GB2312"/>
          <w:sz w:val="21"/>
          <w:szCs w:val="21"/>
        </w:rPr>
        <w:t xml:space="preserve">             </w:t>
      </w:r>
      <w:r>
        <w:rPr>
          <w:rFonts w:hint="eastAsia" w:ascii="宋体" w:hAnsi="宋体" w:cs="FangSong_GB2312"/>
          <w:sz w:val="21"/>
          <w:szCs w:val="21"/>
        </w:rPr>
        <w:t>版权保护文件</w:t>
      </w:r>
    </w:p>
    <w:p w14:paraId="326492F3">
      <w:pPr>
        <w:spacing w:line="340" w:lineRule="exact"/>
        <w:jc w:val="left"/>
        <w:rPr>
          <w:rFonts w:hint="eastAsia" w:ascii="宋体" w:hAnsi="宋体" w:cs="FangSong_GB2312"/>
          <w:sz w:val="21"/>
          <w:szCs w:val="21"/>
        </w:rPr>
      </w:pPr>
    </w:p>
    <w:p w14:paraId="6E1DF390">
      <w:pPr>
        <w:spacing w:line="340" w:lineRule="exact"/>
        <w:jc w:val="left"/>
        <w:rPr>
          <w:rFonts w:hint="eastAsia" w:ascii="宋体" w:hAnsi="宋体" w:eastAsia="宋体" w:cs="宋体"/>
          <w:sz w:val="21"/>
          <w:szCs w:val="21"/>
        </w:rPr>
        <w:sectPr>
          <w:footerReference r:id="rId8" w:type="default"/>
          <w:pgSz w:w="11906" w:h="16838"/>
          <w:pgMar w:top="1417" w:right="1134" w:bottom="1134" w:left="1134" w:header="1417" w:footer="1134" w:gutter="0"/>
          <w:pgBorders>
            <w:top w:val="none" w:sz="0" w:space="0"/>
            <w:left w:val="none" w:sz="0" w:space="0"/>
            <w:bottom w:val="none" w:sz="0" w:space="0"/>
            <w:right w:val="none" w:sz="0" w:space="0"/>
          </w:pgBorders>
          <w:pgNumType w:fmt="upperRoman" w:start="1"/>
          <w:cols w:space="425" w:num="1"/>
          <w:docGrid w:type="lines" w:linePitch="312" w:charSpace="0"/>
        </w:sectPr>
      </w:pPr>
      <w:r>
        <w:rPr>
          <w:rFonts w:hint="eastAsia" w:ascii="宋体" w:hAnsi="宋体" w:eastAsia="宋体" w:cs="宋体"/>
          <w:sz w:val="21"/>
          <w:szCs w:val="21"/>
        </w:rPr>
        <w:t>版权所有归属于该标准的发布机构，除非有其他规定，否则未经许可，此发行物及其章节不得以其他形式或任何手段进行复制、再版或使用，包括电子版、影印版，或发布在互联网及内部网络等。使用许可请与发布机构获取。</w:t>
      </w:r>
    </w:p>
    <w:bookmarkEnd w:id="1"/>
    <w:bookmarkEnd w:id="2"/>
    <w:sdt>
      <w:sdtPr>
        <w:rPr>
          <w:rFonts w:hint="eastAsia" w:hAnsi="黑体" w:cs="Arial"/>
          <w:lang w:val="en-US" w:eastAsia="zh-CN"/>
        </w:rPr>
        <w:id w:val="147470012"/>
        <w15:color w:val="DBDBDB"/>
        <w:docPartObj>
          <w:docPartGallery w:val="Table of Contents"/>
          <w:docPartUnique/>
        </w:docPartObj>
      </w:sdtPr>
      <w:sdtEndPr>
        <w:rPr>
          <w:rFonts w:hint="eastAsia" w:asciiTheme="minorEastAsia" w:hAnsiTheme="minorEastAsia" w:eastAsiaTheme="minorEastAsia" w:cstheme="minorEastAsia"/>
          <w:sz w:val="21"/>
          <w:lang w:val="en-US" w:eastAsia="zh-CN" w:bidi="ar-SA"/>
        </w:rPr>
      </w:sdtEndPr>
      <w:sdtContent>
        <w:p w14:paraId="665A4F7B">
          <w:pPr>
            <w:pStyle w:val="19"/>
            <w:keepLines w:val="0"/>
            <w:shd w:val="clear" w:color="FFFFFF" w:fill="FFFFFF"/>
            <w:kinsoku/>
            <w:wordWrap/>
            <w:overflowPunct/>
            <w:topLinePunct w:val="0"/>
            <w:bidi w:val="0"/>
            <w:spacing w:line="240" w:lineRule="auto"/>
            <w:rPr>
              <w:rFonts w:hint="default" w:hAnsi="黑体" w:eastAsia="黑体" w:cs="Arial"/>
              <w:lang w:val="en-US" w:eastAsia="zh-CN"/>
            </w:rPr>
          </w:pPr>
          <w:r>
            <w:rPr>
              <w:rFonts w:hint="eastAsia" w:hAnsi="黑体" w:cs="Arial"/>
            </w:rPr>
            <w:t>目</w:t>
          </w:r>
          <w:r>
            <w:rPr>
              <w:rFonts w:hint="eastAsia" w:hAnsi="黑体" w:cs="Arial"/>
              <w:lang w:val="en-US" w:eastAsia="zh-CN"/>
            </w:rPr>
            <w:t xml:space="preserve">    次</w:t>
          </w:r>
        </w:p>
        <w:p w14:paraId="04EF57B2">
          <w:pPr>
            <w:pStyle w:val="7"/>
            <w:keepNext w:val="0"/>
            <w:keepLines w:val="0"/>
            <w:pageBreakBefore w:val="0"/>
            <w:widowControl w:val="0"/>
            <w:tabs>
              <w:tab w:val="right" w:leader="dot" w:pos="9637"/>
            </w:tabs>
            <w:kinsoku/>
            <w:wordWrap/>
            <w:overflowPunct/>
            <w:topLinePunct w:val="0"/>
            <w:autoSpaceDE/>
            <w:autoSpaceDN/>
            <w:bidi w:val="0"/>
            <w:adjustRightInd/>
            <w:snapToGrid/>
            <w:ind w:left="0" w:leftChars="0"/>
            <w:textAlignment w:val="auto"/>
            <w:rPr>
              <w:rFonts w:hint="eastAsia" w:ascii="宋体" w:hAnsi="宋体" w:eastAsia="宋体" w:cs="宋体"/>
            </w:rPr>
          </w:pPr>
          <w:r>
            <w:rPr>
              <w:rFonts w:hint="eastAsia" w:ascii="宋体" w:hAnsi="宋体" w:eastAsia="宋体" w:cs="宋体"/>
              <w:sz w:val="21"/>
              <w:lang w:val="en-US" w:eastAsia="zh-CN" w:bidi="ar-SA"/>
            </w:rPr>
            <w:fldChar w:fldCharType="begin"/>
          </w:r>
          <w:r>
            <w:rPr>
              <w:rFonts w:hint="eastAsia" w:ascii="宋体" w:hAnsi="宋体" w:eastAsia="宋体" w:cs="宋体"/>
              <w:sz w:val="21"/>
              <w:lang w:val="en-US" w:eastAsia="zh-CN" w:bidi="ar-SA"/>
            </w:rPr>
            <w:instrText xml:space="preserve">TOC \o "1-2" \h \u </w:instrText>
          </w:r>
          <w:r>
            <w:rPr>
              <w:rFonts w:hint="eastAsia" w:ascii="宋体" w:hAnsi="宋体" w:eastAsia="宋体" w:cs="宋体"/>
              <w:sz w:val="21"/>
              <w:lang w:val="en-US" w:eastAsia="zh-CN" w:bidi="ar-SA"/>
            </w:rPr>
            <w:fldChar w:fldCharType="separate"/>
          </w:r>
          <w:r>
            <w:rPr>
              <w:rFonts w:hint="eastAsia" w:ascii="宋体" w:hAnsi="宋体" w:eastAsia="宋体" w:cs="宋体"/>
              <w:lang w:val="en-US" w:eastAsia="zh-CN" w:bidi="ar-SA"/>
            </w:rPr>
            <w:fldChar w:fldCharType="begin"/>
          </w:r>
          <w:r>
            <w:rPr>
              <w:rFonts w:hint="eastAsia" w:ascii="宋体" w:hAnsi="宋体" w:eastAsia="宋体" w:cs="宋体"/>
              <w:lang w:val="en-US" w:eastAsia="zh-CN" w:bidi="ar-SA"/>
            </w:rPr>
            <w:instrText xml:space="preserve"> HYPERLINK \l _Toc32417 </w:instrText>
          </w:r>
          <w:r>
            <w:rPr>
              <w:rFonts w:hint="eastAsia" w:ascii="宋体" w:hAnsi="宋体" w:eastAsia="宋体" w:cs="宋体"/>
              <w:lang w:val="en-US" w:eastAsia="zh-CN" w:bidi="ar-SA"/>
            </w:rPr>
            <w:fldChar w:fldCharType="separate"/>
          </w:r>
          <w:r>
            <w:rPr>
              <w:rFonts w:hint="eastAsia" w:ascii="宋体" w:hAnsi="宋体" w:eastAsia="宋体" w:cs="宋体"/>
            </w:rPr>
            <w:t>前言</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_Toc32417 \h </w:instrText>
          </w:r>
          <w:r>
            <w:rPr>
              <w:rFonts w:hint="eastAsia" w:ascii="宋体" w:hAnsi="宋体" w:eastAsia="宋体" w:cs="宋体"/>
            </w:rPr>
            <w:fldChar w:fldCharType="separate"/>
          </w:r>
          <w:r>
            <w:rPr>
              <w:rFonts w:hint="eastAsia" w:ascii="宋体" w:hAnsi="宋体" w:eastAsia="宋体" w:cs="宋体"/>
            </w:rPr>
            <w:t>II</w:t>
          </w:r>
          <w:r>
            <w:rPr>
              <w:rFonts w:hint="eastAsia" w:ascii="宋体" w:hAnsi="宋体" w:eastAsia="宋体" w:cs="宋体"/>
            </w:rPr>
            <w:fldChar w:fldCharType="end"/>
          </w:r>
          <w:r>
            <w:rPr>
              <w:rFonts w:hint="eastAsia" w:ascii="宋体" w:hAnsi="宋体" w:eastAsia="宋体" w:cs="宋体"/>
              <w:lang w:val="en-US" w:eastAsia="zh-CN" w:bidi="ar-SA"/>
            </w:rPr>
            <w:fldChar w:fldCharType="end"/>
          </w:r>
        </w:p>
        <w:p w14:paraId="46C5FE17">
          <w:pPr>
            <w:pStyle w:val="8"/>
            <w:keepNext w:val="0"/>
            <w:keepLines w:val="0"/>
            <w:pageBreakBefore w:val="0"/>
            <w:widowControl w:val="0"/>
            <w:tabs>
              <w:tab w:val="right" w:leader="dot" w:pos="9637"/>
            </w:tabs>
            <w:kinsoku/>
            <w:wordWrap/>
            <w:overflowPunct/>
            <w:topLinePunct w:val="0"/>
            <w:autoSpaceDE/>
            <w:autoSpaceDN/>
            <w:bidi w:val="0"/>
            <w:adjustRightInd/>
            <w:snapToGrid/>
            <w:ind w:left="0" w:leftChars="0"/>
            <w:textAlignment w:val="auto"/>
            <w:rPr>
              <w:rFonts w:hint="eastAsia" w:ascii="宋体" w:hAnsi="宋体" w:eastAsia="宋体" w:cs="宋体"/>
            </w:rPr>
          </w:pPr>
          <w:r>
            <w:rPr>
              <w:rFonts w:hint="eastAsia" w:ascii="宋体" w:hAnsi="宋体" w:eastAsia="宋体" w:cs="宋体"/>
              <w:lang w:val="en-US" w:eastAsia="zh-CN" w:bidi="ar-SA"/>
            </w:rPr>
            <w:fldChar w:fldCharType="begin"/>
          </w:r>
          <w:r>
            <w:rPr>
              <w:rFonts w:hint="eastAsia" w:ascii="宋体" w:hAnsi="宋体" w:eastAsia="宋体" w:cs="宋体"/>
              <w:lang w:val="en-US" w:eastAsia="zh-CN" w:bidi="ar-SA"/>
            </w:rPr>
            <w:instrText xml:space="preserve"> HYPERLINK \l _Toc15420 </w:instrText>
          </w:r>
          <w:r>
            <w:rPr>
              <w:rFonts w:hint="eastAsia" w:ascii="宋体" w:hAnsi="宋体" w:eastAsia="宋体" w:cs="宋体"/>
              <w:lang w:val="en-US" w:eastAsia="zh-CN" w:bidi="ar-SA"/>
            </w:rPr>
            <w:fldChar w:fldCharType="separate"/>
          </w:r>
          <w:r>
            <w:rPr>
              <w:rFonts w:hint="eastAsia" w:ascii="宋体" w:hAnsi="宋体" w:eastAsia="宋体" w:cs="宋体"/>
              <w:i w:val="0"/>
              <w:szCs w:val="21"/>
            </w:rPr>
            <w:t xml:space="preserve">1 </w:t>
          </w:r>
          <w:r>
            <w:rPr>
              <w:rFonts w:hint="eastAsia" w:ascii="宋体" w:hAnsi="宋体" w:eastAsia="宋体" w:cs="宋体"/>
              <w:szCs w:val="21"/>
            </w:rPr>
            <w:t>范围</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_Toc15420 \h </w:instrText>
          </w:r>
          <w:r>
            <w:rPr>
              <w:rFonts w:hint="eastAsia" w:ascii="宋体" w:hAnsi="宋体" w:eastAsia="宋体" w:cs="宋体"/>
            </w:rPr>
            <w:fldChar w:fldCharType="separate"/>
          </w:r>
          <w:r>
            <w:rPr>
              <w:rFonts w:hint="eastAsia" w:ascii="宋体" w:hAnsi="宋体" w:eastAsia="宋体" w:cs="宋体"/>
            </w:rPr>
            <w:t>1</w:t>
          </w:r>
          <w:r>
            <w:rPr>
              <w:rFonts w:hint="eastAsia" w:ascii="宋体" w:hAnsi="宋体" w:eastAsia="宋体" w:cs="宋体"/>
            </w:rPr>
            <w:fldChar w:fldCharType="end"/>
          </w:r>
          <w:r>
            <w:rPr>
              <w:rFonts w:hint="eastAsia" w:ascii="宋体" w:hAnsi="宋体" w:eastAsia="宋体" w:cs="宋体"/>
              <w:lang w:val="en-US" w:eastAsia="zh-CN" w:bidi="ar-SA"/>
            </w:rPr>
            <w:fldChar w:fldCharType="end"/>
          </w:r>
        </w:p>
        <w:p w14:paraId="4360E1B2">
          <w:pPr>
            <w:pStyle w:val="8"/>
            <w:keepNext w:val="0"/>
            <w:keepLines w:val="0"/>
            <w:pageBreakBefore w:val="0"/>
            <w:widowControl w:val="0"/>
            <w:tabs>
              <w:tab w:val="right" w:leader="dot" w:pos="9637"/>
            </w:tabs>
            <w:kinsoku/>
            <w:wordWrap/>
            <w:overflowPunct/>
            <w:topLinePunct w:val="0"/>
            <w:autoSpaceDE/>
            <w:autoSpaceDN/>
            <w:bidi w:val="0"/>
            <w:adjustRightInd/>
            <w:snapToGrid/>
            <w:ind w:left="0" w:leftChars="0"/>
            <w:textAlignment w:val="auto"/>
            <w:rPr>
              <w:rFonts w:hint="eastAsia" w:ascii="宋体" w:hAnsi="宋体" w:eastAsia="宋体" w:cs="宋体"/>
            </w:rPr>
          </w:pPr>
          <w:r>
            <w:rPr>
              <w:rFonts w:hint="eastAsia" w:ascii="宋体" w:hAnsi="宋体" w:eastAsia="宋体" w:cs="宋体"/>
              <w:lang w:val="en-US" w:eastAsia="zh-CN" w:bidi="ar-SA"/>
            </w:rPr>
            <w:fldChar w:fldCharType="begin"/>
          </w:r>
          <w:r>
            <w:rPr>
              <w:rFonts w:hint="eastAsia" w:ascii="宋体" w:hAnsi="宋体" w:eastAsia="宋体" w:cs="宋体"/>
              <w:lang w:val="en-US" w:eastAsia="zh-CN" w:bidi="ar-SA"/>
            </w:rPr>
            <w:instrText xml:space="preserve"> HYPERLINK \l _Toc26818 </w:instrText>
          </w:r>
          <w:r>
            <w:rPr>
              <w:rFonts w:hint="eastAsia" w:ascii="宋体" w:hAnsi="宋体" w:eastAsia="宋体" w:cs="宋体"/>
              <w:lang w:val="en-US" w:eastAsia="zh-CN" w:bidi="ar-SA"/>
            </w:rPr>
            <w:fldChar w:fldCharType="separate"/>
          </w:r>
          <w:r>
            <w:rPr>
              <w:rFonts w:hint="eastAsia" w:ascii="宋体" w:hAnsi="宋体" w:eastAsia="宋体" w:cs="宋体"/>
              <w:i w:val="0"/>
              <w:szCs w:val="21"/>
            </w:rPr>
            <w:t xml:space="preserve">2 </w:t>
          </w:r>
          <w:r>
            <w:rPr>
              <w:rFonts w:hint="eastAsia" w:ascii="宋体" w:hAnsi="宋体" w:eastAsia="宋体" w:cs="宋体"/>
              <w:szCs w:val="21"/>
            </w:rPr>
            <w:t>规范性引用文件</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_Toc26818 \h </w:instrText>
          </w:r>
          <w:r>
            <w:rPr>
              <w:rFonts w:hint="eastAsia" w:ascii="宋体" w:hAnsi="宋体" w:eastAsia="宋体" w:cs="宋体"/>
            </w:rPr>
            <w:fldChar w:fldCharType="separate"/>
          </w:r>
          <w:r>
            <w:rPr>
              <w:rFonts w:hint="eastAsia" w:ascii="宋体" w:hAnsi="宋体" w:eastAsia="宋体" w:cs="宋体"/>
            </w:rPr>
            <w:t>1</w:t>
          </w:r>
          <w:r>
            <w:rPr>
              <w:rFonts w:hint="eastAsia" w:ascii="宋体" w:hAnsi="宋体" w:eastAsia="宋体" w:cs="宋体"/>
            </w:rPr>
            <w:fldChar w:fldCharType="end"/>
          </w:r>
          <w:r>
            <w:rPr>
              <w:rFonts w:hint="eastAsia" w:ascii="宋体" w:hAnsi="宋体" w:eastAsia="宋体" w:cs="宋体"/>
              <w:lang w:val="en-US" w:eastAsia="zh-CN" w:bidi="ar-SA"/>
            </w:rPr>
            <w:fldChar w:fldCharType="end"/>
          </w:r>
        </w:p>
        <w:p w14:paraId="10C5F044">
          <w:pPr>
            <w:pStyle w:val="8"/>
            <w:keepNext w:val="0"/>
            <w:keepLines w:val="0"/>
            <w:pageBreakBefore w:val="0"/>
            <w:widowControl w:val="0"/>
            <w:tabs>
              <w:tab w:val="right" w:leader="dot" w:pos="9637"/>
            </w:tabs>
            <w:kinsoku/>
            <w:wordWrap/>
            <w:overflowPunct/>
            <w:topLinePunct w:val="0"/>
            <w:autoSpaceDE/>
            <w:autoSpaceDN/>
            <w:bidi w:val="0"/>
            <w:adjustRightInd/>
            <w:snapToGrid/>
            <w:ind w:left="0" w:leftChars="0"/>
            <w:textAlignment w:val="auto"/>
            <w:rPr>
              <w:rFonts w:hint="eastAsia" w:ascii="宋体" w:hAnsi="宋体" w:eastAsia="宋体" w:cs="宋体"/>
            </w:rPr>
          </w:pPr>
          <w:r>
            <w:rPr>
              <w:rFonts w:hint="eastAsia" w:ascii="宋体" w:hAnsi="宋体" w:eastAsia="宋体" w:cs="宋体"/>
              <w:lang w:val="en-US" w:eastAsia="zh-CN" w:bidi="ar-SA"/>
            </w:rPr>
            <w:fldChar w:fldCharType="begin"/>
          </w:r>
          <w:r>
            <w:rPr>
              <w:rFonts w:hint="eastAsia" w:ascii="宋体" w:hAnsi="宋体" w:eastAsia="宋体" w:cs="宋体"/>
              <w:lang w:val="en-US" w:eastAsia="zh-CN" w:bidi="ar-SA"/>
            </w:rPr>
            <w:instrText xml:space="preserve"> HYPERLINK \l _Toc16924 </w:instrText>
          </w:r>
          <w:r>
            <w:rPr>
              <w:rFonts w:hint="eastAsia" w:ascii="宋体" w:hAnsi="宋体" w:eastAsia="宋体" w:cs="宋体"/>
              <w:lang w:val="en-US" w:eastAsia="zh-CN" w:bidi="ar-SA"/>
            </w:rPr>
            <w:fldChar w:fldCharType="separate"/>
          </w:r>
          <w:r>
            <w:rPr>
              <w:rFonts w:hint="eastAsia" w:ascii="宋体" w:hAnsi="宋体" w:eastAsia="宋体" w:cs="宋体"/>
              <w:i w:val="0"/>
              <w:szCs w:val="21"/>
            </w:rPr>
            <w:t xml:space="preserve">3 </w:t>
          </w:r>
          <w:r>
            <w:rPr>
              <w:rFonts w:hint="eastAsia" w:ascii="宋体" w:hAnsi="宋体" w:eastAsia="宋体" w:cs="宋体"/>
              <w:szCs w:val="21"/>
            </w:rPr>
            <w:t>术语和定义</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_Toc16924 \h </w:instrText>
          </w:r>
          <w:r>
            <w:rPr>
              <w:rFonts w:hint="eastAsia" w:ascii="宋体" w:hAnsi="宋体" w:eastAsia="宋体" w:cs="宋体"/>
            </w:rPr>
            <w:fldChar w:fldCharType="separate"/>
          </w:r>
          <w:r>
            <w:rPr>
              <w:rFonts w:hint="eastAsia" w:ascii="宋体" w:hAnsi="宋体" w:eastAsia="宋体" w:cs="宋体"/>
            </w:rPr>
            <w:t>1</w:t>
          </w:r>
          <w:r>
            <w:rPr>
              <w:rFonts w:hint="eastAsia" w:ascii="宋体" w:hAnsi="宋体" w:eastAsia="宋体" w:cs="宋体"/>
            </w:rPr>
            <w:fldChar w:fldCharType="end"/>
          </w:r>
          <w:r>
            <w:rPr>
              <w:rFonts w:hint="eastAsia" w:ascii="宋体" w:hAnsi="宋体" w:eastAsia="宋体" w:cs="宋体"/>
              <w:lang w:val="en-US" w:eastAsia="zh-CN" w:bidi="ar-SA"/>
            </w:rPr>
            <w:fldChar w:fldCharType="end"/>
          </w:r>
        </w:p>
        <w:p w14:paraId="31205B5A">
          <w:pPr>
            <w:pStyle w:val="8"/>
            <w:keepNext w:val="0"/>
            <w:keepLines w:val="0"/>
            <w:pageBreakBefore w:val="0"/>
            <w:widowControl w:val="0"/>
            <w:tabs>
              <w:tab w:val="right" w:leader="dot" w:pos="9637"/>
            </w:tabs>
            <w:kinsoku/>
            <w:wordWrap/>
            <w:overflowPunct/>
            <w:topLinePunct w:val="0"/>
            <w:autoSpaceDE/>
            <w:autoSpaceDN/>
            <w:bidi w:val="0"/>
            <w:adjustRightInd/>
            <w:snapToGrid/>
            <w:ind w:left="0" w:leftChars="0"/>
            <w:textAlignment w:val="auto"/>
            <w:rPr>
              <w:rFonts w:hint="eastAsia" w:ascii="宋体" w:hAnsi="宋体" w:eastAsia="宋体" w:cs="宋体"/>
            </w:rPr>
          </w:pPr>
          <w:r>
            <w:rPr>
              <w:rFonts w:hint="eastAsia" w:ascii="宋体" w:hAnsi="宋体" w:eastAsia="宋体" w:cs="宋体"/>
              <w:lang w:val="en-US" w:eastAsia="zh-CN" w:bidi="ar-SA"/>
            </w:rPr>
            <w:fldChar w:fldCharType="begin"/>
          </w:r>
          <w:r>
            <w:rPr>
              <w:rFonts w:hint="eastAsia" w:ascii="宋体" w:hAnsi="宋体" w:eastAsia="宋体" w:cs="宋体"/>
              <w:lang w:val="en-US" w:eastAsia="zh-CN" w:bidi="ar-SA"/>
            </w:rPr>
            <w:instrText xml:space="preserve"> HYPERLINK \l _Toc11390 </w:instrText>
          </w:r>
          <w:r>
            <w:rPr>
              <w:rFonts w:hint="eastAsia" w:ascii="宋体" w:hAnsi="宋体" w:eastAsia="宋体" w:cs="宋体"/>
              <w:lang w:val="en-US" w:eastAsia="zh-CN" w:bidi="ar-SA"/>
            </w:rPr>
            <w:fldChar w:fldCharType="separate"/>
          </w:r>
          <w:r>
            <w:rPr>
              <w:rFonts w:hint="eastAsia" w:ascii="宋体" w:hAnsi="宋体" w:eastAsia="宋体" w:cs="宋体"/>
              <w:i w:val="0"/>
              <w:szCs w:val="21"/>
              <w:lang w:val="en-US" w:eastAsia="zh-CN"/>
            </w:rPr>
            <w:t xml:space="preserve">4 </w:t>
          </w:r>
          <w:r>
            <w:rPr>
              <w:rFonts w:hint="eastAsia" w:ascii="宋体" w:hAnsi="宋体" w:eastAsia="宋体" w:cs="宋体"/>
              <w:szCs w:val="21"/>
              <w:lang w:val="en-US" w:eastAsia="zh-CN"/>
            </w:rPr>
            <w:t>评价原则</w:t>
          </w:r>
          <w:bookmarkStart w:id="77" w:name="_GoBack"/>
          <w:bookmarkEnd w:id="77"/>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_Toc11390 \h </w:instrText>
          </w:r>
          <w:r>
            <w:rPr>
              <w:rFonts w:hint="eastAsia" w:ascii="宋体" w:hAnsi="宋体" w:eastAsia="宋体" w:cs="宋体"/>
            </w:rPr>
            <w:fldChar w:fldCharType="separate"/>
          </w:r>
          <w:r>
            <w:rPr>
              <w:rFonts w:hint="eastAsia" w:ascii="宋体" w:hAnsi="宋体" w:eastAsia="宋体" w:cs="宋体"/>
            </w:rPr>
            <w:t>2</w:t>
          </w:r>
          <w:r>
            <w:rPr>
              <w:rFonts w:hint="eastAsia" w:ascii="宋体" w:hAnsi="宋体" w:eastAsia="宋体" w:cs="宋体"/>
            </w:rPr>
            <w:fldChar w:fldCharType="end"/>
          </w:r>
          <w:r>
            <w:rPr>
              <w:rFonts w:hint="eastAsia" w:ascii="宋体" w:hAnsi="宋体" w:eastAsia="宋体" w:cs="宋体"/>
              <w:lang w:val="en-US" w:eastAsia="zh-CN" w:bidi="ar-SA"/>
            </w:rPr>
            <w:fldChar w:fldCharType="end"/>
          </w:r>
        </w:p>
        <w:p w14:paraId="4B3DA174">
          <w:pPr>
            <w:pStyle w:val="8"/>
            <w:keepNext w:val="0"/>
            <w:keepLines w:val="0"/>
            <w:pageBreakBefore w:val="0"/>
            <w:widowControl w:val="0"/>
            <w:tabs>
              <w:tab w:val="right" w:leader="dot" w:pos="9637"/>
            </w:tabs>
            <w:kinsoku/>
            <w:wordWrap/>
            <w:overflowPunct/>
            <w:topLinePunct w:val="0"/>
            <w:autoSpaceDE/>
            <w:autoSpaceDN/>
            <w:bidi w:val="0"/>
            <w:adjustRightInd/>
            <w:snapToGrid/>
            <w:ind w:left="0" w:leftChars="0"/>
            <w:textAlignment w:val="auto"/>
            <w:rPr>
              <w:rFonts w:hint="eastAsia" w:ascii="宋体" w:hAnsi="宋体" w:eastAsia="宋体" w:cs="宋体"/>
            </w:rPr>
          </w:pPr>
          <w:r>
            <w:rPr>
              <w:rFonts w:hint="eastAsia" w:ascii="宋体" w:hAnsi="宋体" w:eastAsia="宋体" w:cs="宋体"/>
              <w:lang w:val="en-US" w:eastAsia="zh-CN" w:bidi="ar-SA"/>
            </w:rPr>
            <w:fldChar w:fldCharType="begin"/>
          </w:r>
          <w:r>
            <w:rPr>
              <w:rFonts w:hint="eastAsia" w:ascii="宋体" w:hAnsi="宋体" w:eastAsia="宋体" w:cs="宋体"/>
              <w:lang w:val="en-US" w:eastAsia="zh-CN" w:bidi="ar-SA"/>
            </w:rPr>
            <w:instrText xml:space="preserve"> HYPERLINK \l _Toc4220 </w:instrText>
          </w:r>
          <w:r>
            <w:rPr>
              <w:rFonts w:hint="eastAsia" w:ascii="宋体" w:hAnsi="宋体" w:eastAsia="宋体" w:cs="宋体"/>
              <w:lang w:val="en-US" w:eastAsia="zh-CN" w:bidi="ar-SA"/>
            </w:rPr>
            <w:fldChar w:fldCharType="separate"/>
          </w:r>
          <w:r>
            <w:rPr>
              <w:rFonts w:hint="eastAsia" w:ascii="宋体" w:hAnsi="宋体" w:eastAsia="宋体" w:cs="宋体"/>
              <w:i w:val="0"/>
              <w:szCs w:val="21"/>
              <w:lang w:val="en-US" w:eastAsia="zh-CN"/>
            </w:rPr>
            <w:t xml:space="preserve">5 </w:t>
          </w:r>
          <w:r>
            <w:rPr>
              <w:rFonts w:hint="eastAsia" w:ascii="宋体" w:hAnsi="宋体" w:eastAsia="宋体" w:cs="宋体"/>
              <w:szCs w:val="21"/>
              <w:lang w:val="en-US" w:eastAsia="zh-CN"/>
            </w:rPr>
            <w:t>评价机构与人员要求</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_Toc4220 \h </w:instrText>
          </w:r>
          <w:r>
            <w:rPr>
              <w:rFonts w:hint="eastAsia" w:ascii="宋体" w:hAnsi="宋体" w:eastAsia="宋体" w:cs="宋体"/>
            </w:rPr>
            <w:fldChar w:fldCharType="separate"/>
          </w:r>
          <w:r>
            <w:rPr>
              <w:rFonts w:hint="eastAsia" w:ascii="宋体" w:hAnsi="宋体" w:eastAsia="宋体" w:cs="宋体"/>
            </w:rPr>
            <w:t>2</w:t>
          </w:r>
          <w:r>
            <w:rPr>
              <w:rFonts w:hint="eastAsia" w:ascii="宋体" w:hAnsi="宋体" w:eastAsia="宋体" w:cs="宋体"/>
            </w:rPr>
            <w:fldChar w:fldCharType="end"/>
          </w:r>
          <w:r>
            <w:rPr>
              <w:rFonts w:hint="eastAsia" w:ascii="宋体" w:hAnsi="宋体" w:eastAsia="宋体" w:cs="宋体"/>
              <w:lang w:val="en-US" w:eastAsia="zh-CN" w:bidi="ar-SA"/>
            </w:rPr>
            <w:fldChar w:fldCharType="end"/>
          </w:r>
        </w:p>
        <w:p w14:paraId="7D048AF2">
          <w:pPr>
            <w:pStyle w:val="8"/>
            <w:keepNext w:val="0"/>
            <w:keepLines w:val="0"/>
            <w:pageBreakBefore w:val="0"/>
            <w:widowControl w:val="0"/>
            <w:tabs>
              <w:tab w:val="right" w:leader="dot" w:pos="9637"/>
            </w:tabs>
            <w:kinsoku/>
            <w:wordWrap/>
            <w:overflowPunct/>
            <w:topLinePunct w:val="0"/>
            <w:autoSpaceDE/>
            <w:autoSpaceDN/>
            <w:bidi w:val="0"/>
            <w:adjustRightInd/>
            <w:snapToGrid/>
            <w:ind w:left="0" w:leftChars="0"/>
            <w:textAlignment w:val="auto"/>
            <w:rPr>
              <w:rFonts w:hint="eastAsia" w:ascii="宋体" w:hAnsi="宋体" w:eastAsia="宋体" w:cs="宋体"/>
            </w:rPr>
          </w:pPr>
          <w:r>
            <w:rPr>
              <w:rFonts w:hint="eastAsia" w:ascii="宋体" w:hAnsi="宋体" w:eastAsia="宋体" w:cs="宋体"/>
              <w:lang w:val="en-US" w:eastAsia="zh-CN" w:bidi="ar-SA"/>
            </w:rPr>
            <w:fldChar w:fldCharType="begin"/>
          </w:r>
          <w:r>
            <w:rPr>
              <w:rFonts w:hint="eastAsia" w:ascii="宋体" w:hAnsi="宋体" w:eastAsia="宋体" w:cs="宋体"/>
              <w:lang w:val="en-US" w:eastAsia="zh-CN" w:bidi="ar-SA"/>
            </w:rPr>
            <w:instrText xml:space="preserve"> HYPERLINK \l _Toc10183 </w:instrText>
          </w:r>
          <w:r>
            <w:rPr>
              <w:rFonts w:hint="eastAsia" w:ascii="宋体" w:hAnsi="宋体" w:eastAsia="宋体" w:cs="宋体"/>
              <w:lang w:val="en-US" w:eastAsia="zh-CN" w:bidi="ar-SA"/>
            </w:rPr>
            <w:fldChar w:fldCharType="separate"/>
          </w:r>
          <w:r>
            <w:rPr>
              <w:rFonts w:hint="eastAsia" w:ascii="宋体" w:hAnsi="宋体" w:eastAsia="宋体" w:cs="宋体"/>
              <w:i w:val="0"/>
              <w:szCs w:val="21"/>
              <w:lang w:val="en-US" w:eastAsia="zh-CN"/>
            </w:rPr>
            <w:t xml:space="preserve">6 </w:t>
          </w:r>
          <w:r>
            <w:rPr>
              <w:rFonts w:hint="eastAsia" w:ascii="宋体" w:hAnsi="宋体" w:eastAsia="宋体" w:cs="宋体"/>
              <w:szCs w:val="21"/>
              <w:lang w:val="en-US" w:eastAsia="zh-CN"/>
            </w:rPr>
            <w:t>评价内容与指标</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_Toc10183 \h </w:instrText>
          </w:r>
          <w:r>
            <w:rPr>
              <w:rFonts w:hint="eastAsia" w:ascii="宋体" w:hAnsi="宋体" w:eastAsia="宋体" w:cs="宋体"/>
            </w:rPr>
            <w:fldChar w:fldCharType="separate"/>
          </w:r>
          <w:r>
            <w:rPr>
              <w:rFonts w:hint="eastAsia" w:ascii="宋体" w:hAnsi="宋体" w:eastAsia="宋体" w:cs="宋体"/>
            </w:rPr>
            <w:t>2</w:t>
          </w:r>
          <w:r>
            <w:rPr>
              <w:rFonts w:hint="eastAsia" w:ascii="宋体" w:hAnsi="宋体" w:eastAsia="宋体" w:cs="宋体"/>
            </w:rPr>
            <w:fldChar w:fldCharType="end"/>
          </w:r>
          <w:r>
            <w:rPr>
              <w:rFonts w:hint="eastAsia" w:ascii="宋体" w:hAnsi="宋体" w:eastAsia="宋体" w:cs="宋体"/>
              <w:lang w:val="en-US" w:eastAsia="zh-CN" w:bidi="ar-SA"/>
            </w:rPr>
            <w:fldChar w:fldCharType="end"/>
          </w:r>
        </w:p>
        <w:p w14:paraId="112BA125">
          <w:pPr>
            <w:pStyle w:val="8"/>
            <w:keepNext w:val="0"/>
            <w:keepLines w:val="0"/>
            <w:pageBreakBefore w:val="0"/>
            <w:widowControl w:val="0"/>
            <w:tabs>
              <w:tab w:val="right" w:leader="dot" w:pos="9637"/>
            </w:tabs>
            <w:kinsoku/>
            <w:wordWrap/>
            <w:overflowPunct/>
            <w:topLinePunct w:val="0"/>
            <w:autoSpaceDE/>
            <w:autoSpaceDN/>
            <w:bidi w:val="0"/>
            <w:adjustRightInd/>
            <w:snapToGrid/>
            <w:ind w:left="0" w:leftChars="0"/>
            <w:textAlignment w:val="auto"/>
            <w:rPr>
              <w:rFonts w:hint="eastAsia" w:ascii="宋体" w:hAnsi="宋体" w:eastAsia="宋体" w:cs="宋体"/>
            </w:rPr>
          </w:pPr>
          <w:r>
            <w:rPr>
              <w:rFonts w:hint="eastAsia" w:ascii="宋体" w:hAnsi="宋体" w:eastAsia="宋体" w:cs="宋体"/>
              <w:lang w:val="en-US" w:eastAsia="zh-CN" w:bidi="ar-SA"/>
            </w:rPr>
            <w:fldChar w:fldCharType="begin"/>
          </w:r>
          <w:r>
            <w:rPr>
              <w:rFonts w:hint="eastAsia" w:ascii="宋体" w:hAnsi="宋体" w:eastAsia="宋体" w:cs="宋体"/>
              <w:lang w:val="en-US" w:eastAsia="zh-CN" w:bidi="ar-SA"/>
            </w:rPr>
            <w:instrText xml:space="preserve"> HYPERLINK \l _Toc20997 </w:instrText>
          </w:r>
          <w:r>
            <w:rPr>
              <w:rFonts w:hint="eastAsia" w:ascii="宋体" w:hAnsi="宋体" w:eastAsia="宋体" w:cs="宋体"/>
              <w:lang w:val="en-US" w:eastAsia="zh-CN" w:bidi="ar-SA"/>
            </w:rPr>
            <w:fldChar w:fldCharType="separate"/>
          </w:r>
          <w:r>
            <w:rPr>
              <w:rFonts w:hint="eastAsia" w:ascii="宋体" w:hAnsi="宋体" w:eastAsia="宋体" w:cs="宋体"/>
              <w:i w:val="0"/>
              <w:szCs w:val="21"/>
              <w:lang w:val="en-US" w:eastAsia="zh-CN"/>
            </w:rPr>
            <w:t xml:space="preserve">7 </w:t>
          </w:r>
          <w:r>
            <w:rPr>
              <w:rFonts w:hint="eastAsia" w:ascii="宋体" w:hAnsi="宋体" w:eastAsia="宋体" w:cs="宋体"/>
              <w:szCs w:val="21"/>
              <w:lang w:val="en-US" w:eastAsia="zh-CN"/>
            </w:rPr>
            <w:t>评价实施</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_Toc20997 \h </w:instrText>
          </w:r>
          <w:r>
            <w:rPr>
              <w:rFonts w:hint="eastAsia" w:ascii="宋体" w:hAnsi="宋体" w:eastAsia="宋体" w:cs="宋体"/>
            </w:rPr>
            <w:fldChar w:fldCharType="separate"/>
          </w:r>
          <w:r>
            <w:rPr>
              <w:rFonts w:hint="eastAsia" w:ascii="宋体" w:hAnsi="宋体" w:eastAsia="宋体" w:cs="宋体"/>
            </w:rPr>
            <w:t>3</w:t>
          </w:r>
          <w:r>
            <w:rPr>
              <w:rFonts w:hint="eastAsia" w:ascii="宋体" w:hAnsi="宋体" w:eastAsia="宋体" w:cs="宋体"/>
            </w:rPr>
            <w:fldChar w:fldCharType="end"/>
          </w:r>
          <w:r>
            <w:rPr>
              <w:rFonts w:hint="eastAsia" w:ascii="宋体" w:hAnsi="宋体" w:eastAsia="宋体" w:cs="宋体"/>
              <w:lang w:val="en-US" w:eastAsia="zh-CN" w:bidi="ar-SA"/>
            </w:rPr>
            <w:fldChar w:fldCharType="end"/>
          </w:r>
        </w:p>
        <w:p w14:paraId="27854332">
          <w:pPr>
            <w:pStyle w:val="8"/>
            <w:keepNext w:val="0"/>
            <w:keepLines w:val="0"/>
            <w:pageBreakBefore w:val="0"/>
            <w:widowControl w:val="0"/>
            <w:tabs>
              <w:tab w:val="right" w:leader="dot" w:pos="9637"/>
            </w:tabs>
            <w:kinsoku/>
            <w:wordWrap/>
            <w:overflowPunct/>
            <w:topLinePunct w:val="0"/>
            <w:autoSpaceDE/>
            <w:autoSpaceDN/>
            <w:bidi w:val="0"/>
            <w:adjustRightInd/>
            <w:snapToGrid/>
            <w:ind w:left="0" w:leftChars="0"/>
            <w:textAlignment w:val="auto"/>
            <w:rPr>
              <w:rFonts w:hint="eastAsia" w:ascii="宋体" w:hAnsi="宋体" w:eastAsia="宋体" w:cs="宋体"/>
            </w:rPr>
          </w:pPr>
          <w:r>
            <w:rPr>
              <w:rFonts w:hint="eastAsia" w:ascii="宋体" w:hAnsi="宋体" w:eastAsia="宋体" w:cs="宋体"/>
              <w:lang w:val="en-US" w:eastAsia="zh-CN" w:bidi="ar-SA"/>
            </w:rPr>
            <w:fldChar w:fldCharType="begin"/>
          </w:r>
          <w:r>
            <w:rPr>
              <w:rFonts w:hint="eastAsia" w:ascii="宋体" w:hAnsi="宋体" w:eastAsia="宋体" w:cs="宋体"/>
              <w:lang w:val="en-US" w:eastAsia="zh-CN" w:bidi="ar-SA"/>
            </w:rPr>
            <w:instrText xml:space="preserve"> HYPERLINK \l _Toc5407 </w:instrText>
          </w:r>
          <w:r>
            <w:rPr>
              <w:rFonts w:hint="eastAsia" w:ascii="宋体" w:hAnsi="宋体" w:eastAsia="宋体" w:cs="宋体"/>
              <w:lang w:val="en-US" w:eastAsia="zh-CN" w:bidi="ar-SA"/>
            </w:rPr>
            <w:fldChar w:fldCharType="separate"/>
          </w:r>
          <w:r>
            <w:rPr>
              <w:rFonts w:hint="eastAsia" w:ascii="宋体" w:hAnsi="宋体" w:eastAsia="宋体" w:cs="宋体"/>
              <w:i w:val="0"/>
              <w:szCs w:val="21"/>
              <w:lang w:val="en-US" w:eastAsia="zh-CN"/>
            </w:rPr>
            <w:t xml:space="preserve">8 </w:t>
          </w:r>
          <w:r>
            <w:rPr>
              <w:rFonts w:hint="eastAsia" w:ascii="宋体" w:hAnsi="宋体" w:eastAsia="宋体" w:cs="宋体"/>
              <w:szCs w:val="21"/>
              <w:highlight w:val="none"/>
              <w:lang w:val="en-US" w:eastAsia="zh-CN"/>
            </w:rPr>
            <w:t>评价结果与等级划分</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_Toc5407 \h </w:instrText>
          </w:r>
          <w:r>
            <w:rPr>
              <w:rFonts w:hint="eastAsia" w:ascii="宋体" w:hAnsi="宋体" w:eastAsia="宋体" w:cs="宋体"/>
            </w:rPr>
            <w:fldChar w:fldCharType="separate"/>
          </w:r>
          <w:r>
            <w:rPr>
              <w:rFonts w:hint="eastAsia" w:ascii="宋体" w:hAnsi="宋体" w:eastAsia="宋体" w:cs="宋体"/>
            </w:rPr>
            <w:t>3</w:t>
          </w:r>
          <w:r>
            <w:rPr>
              <w:rFonts w:hint="eastAsia" w:ascii="宋体" w:hAnsi="宋体" w:eastAsia="宋体" w:cs="宋体"/>
            </w:rPr>
            <w:fldChar w:fldCharType="end"/>
          </w:r>
          <w:r>
            <w:rPr>
              <w:rFonts w:hint="eastAsia" w:ascii="宋体" w:hAnsi="宋体" w:eastAsia="宋体" w:cs="宋体"/>
              <w:lang w:val="en-US" w:eastAsia="zh-CN" w:bidi="ar-SA"/>
            </w:rPr>
            <w:fldChar w:fldCharType="end"/>
          </w:r>
        </w:p>
        <w:p w14:paraId="20F644D9">
          <w:pPr>
            <w:pStyle w:val="7"/>
            <w:keepNext w:val="0"/>
            <w:keepLines w:val="0"/>
            <w:pageBreakBefore w:val="0"/>
            <w:widowControl w:val="0"/>
            <w:tabs>
              <w:tab w:val="right" w:leader="dot" w:pos="9637"/>
            </w:tabs>
            <w:kinsoku/>
            <w:wordWrap/>
            <w:overflowPunct/>
            <w:topLinePunct w:val="0"/>
            <w:autoSpaceDE/>
            <w:autoSpaceDN/>
            <w:bidi w:val="0"/>
            <w:adjustRightInd/>
            <w:snapToGrid/>
            <w:ind w:left="0" w:leftChars="0"/>
            <w:textAlignment w:val="auto"/>
            <w:rPr>
              <w:rFonts w:hint="eastAsia" w:ascii="宋体" w:hAnsi="宋体" w:eastAsia="宋体" w:cs="宋体"/>
            </w:rPr>
          </w:pPr>
          <w:r>
            <w:rPr>
              <w:rFonts w:hint="eastAsia" w:ascii="宋体" w:hAnsi="宋体" w:eastAsia="宋体" w:cs="宋体"/>
              <w:lang w:val="en-US" w:eastAsia="zh-CN" w:bidi="ar-SA"/>
            </w:rPr>
            <w:fldChar w:fldCharType="begin"/>
          </w:r>
          <w:r>
            <w:rPr>
              <w:rFonts w:hint="eastAsia" w:ascii="宋体" w:hAnsi="宋体" w:eastAsia="宋体" w:cs="宋体"/>
              <w:lang w:val="en-US" w:eastAsia="zh-CN" w:bidi="ar-SA"/>
            </w:rPr>
            <w:instrText xml:space="preserve"> HYPERLINK \l _Toc4037 </w:instrText>
          </w:r>
          <w:r>
            <w:rPr>
              <w:rFonts w:hint="eastAsia" w:ascii="宋体" w:hAnsi="宋体" w:eastAsia="宋体" w:cs="宋体"/>
              <w:lang w:val="en-US" w:eastAsia="zh-CN" w:bidi="ar-SA"/>
            </w:rPr>
            <w:fldChar w:fldCharType="separate"/>
          </w:r>
          <w:r>
            <w:rPr>
              <w:rFonts w:hint="eastAsia" w:ascii="宋体" w:hAnsi="宋体" w:eastAsia="宋体" w:cs="宋体"/>
              <w:i w:val="0"/>
              <w:spacing w:val="0"/>
              <w:w w:val="100"/>
            </w:rPr>
            <w:t>附录A</w:t>
          </w:r>
          <w:r>
            <w:rPr>
              <w:rFonts w:hint="eastAsia" w:ascii="宋体" w:hAnsi="宋体" w:eastAsia="宋体" w:cs="宋体"/>
              <w:strike w:val="0"/>
              <w:highlight w:val="none"/>
            </w:rPr>
            <w:t>（</w:t>
          </w:r>
          <w:r>
            <w:rPr>
              <w:rFonts w:hint="eastAsia" w:ascii="宋体" w:hAnsi="宋体" w:eastAsia="宋体" w:cs="宋体"/>
              <w:strike w:val="0"/>
              <w:highlight w:val="none"/>
              <w:lang w:val="en-US" w:eastAsia="zh-CN"/>
            </w:rPr>
            <w:t>规范</w:t>
          </w:r>
          <w:r>
            <w:rPr>
              <w:rFonts w:hint="eastAsia" w:ascii="宋体" w:hAnsi="宋体" w:eastAsia="宋体" w:cs="宋体"/>
              <w:strike w:val="0"/>
              <w:highlight w:val="none"/>
            </w:rPr>
            <w:t>性）</w:t>
          </w:r>
          <w:r>
            <w:rPr>
              <w:rFonts w:hint="eastAsia" w:ascii="宋体" w:hAnsi="宋体" w:eastAsia="宋体" w:cs="宋体"/>
              <w:szCs w:val="21"/>
              <w:highlight w:val="none"/>
              <w:lang w:val="en-US" w:eastAsia="zh-CN"/>
            </w:rPr>
            <w:t>能源费用托管服务评价指标体系及赋值</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_Toc4037 \h </w:instrText>
          </w:r>
          <w:r>
            <w:rPr>
              <w:rFonts w:hint="eastAsia" w:ascii="宋体" w:hAnsi="宋体" w:eastAsia="宋体" w:cs="宋体"/>
            </w:rPr>
            <w:fldChar w:fldCharType="separate"/>
          </w:r>
          <w:r>
            <w:rPr>
              <w:rFonts w:hint="eastAsia" w:ascii="宋体" w:hAnsi="宋体" w:eastAsia="宋体" w:cs="宋体"/>
            </w:rPr>
            <w:t>5</w:t>
          </w:r>
          <w:r>
            <w:rPr>
              <w:rFonts w:hint="eastAsia" w:ascii="宋体" w:hAnsi="宋体" w:eastAsia="宋体" w:cs="宋体"/>
            </w:rPr>
            <w:fldChar w:fldCharType="end"/>
          </w:r>
          <w:r>
            <w:rPr>
              <w:rFonts w:hint="eastAsia" w:ascii="宋体" w:hAnsi="宋体" w:eastAsia="宋体" w:cs="宋体"/>
              <w:lang w:val="en-US" w:eastAsia="zh-CN" w:bidi="ar-SA"/>
            </w:rPr>
            <w:fldChar w:fldCharType="end"/>
          </w:r>
        </w:p>
        <w:p w14:paraId="505A29E6">
          <w:pPr>
            <w:pStyle w:val="17"/>
            <w:keepLines w:val="0"/>
            <w:kinsoku/>
            <w:wordWrap/>
            <w:overflowPunct/>
            <w:topLinePunct w:val="0"/>
            <w:bidi w:val="0"/>
            <w:spacing w:line="240" w:lineRule="auto"/>
            <w:ind w:firstLine="0" w:firstLineChars="0"/>
            <w:rPr>
              <w:rFonts w:hint="eastAsia" w:asciiTheme="minorEastAsia" w:hAnsiTheme="minorEastAsia" w:eastAsiaTheme="minorEastAsia" w:cstheme="minorEastAsia"/>
              <w:sz w:val="21"/>
              <w:lang w:val="en-US" w:eastAsia="zh-CN" w:bidi="ar-SA"/>
            </w:rPr>
          </w:pPr>
          <w:r>
            <w:rPr>
              <w:rFonts w:hint="eastAsia" w:ascii="宋体" w:hAnsi="宋体" w:eastAsia="宋体" w:cs="宋体"/>
              <w:lang w:val="en-US" w:eastAsia="zh-CN" w:bidi="ar-SA"/>
            </w:rPr>
            <w:fldChar w:fldCharType="end"/>
          </w:r>
        </w:p>
      </w:sdtContent>
    </w:sdt>
    <w:p w14:paraId="090BC59A">
      <w:pPr>
        <w:pStyle w:val="17"/>
        <w:keepLines w:val="0"/>
        <w:kinsoku/>
        <w:wordWrap/>
        <w:overflowPunct/>
        <w:topLinePunct w:val="0"/>
        <w:bidi w:val="0"/>
        <w:spacing w:line="240" w:lineRule="auto"/>
        <w:ind w:firstLine="0" w:firstLineChars="0"/>
        <w:rPr>
          <w:rFonts w:hint="eastAsia" w:asciiTheme="minorEastAsia" w:hAnsiTheme="minorEastAsia" w:eastAsiaTheme="minorEastAsia" w:cstheme="minorEastAsia"/>
          <w:sz w:val="21"/>
          <w:lang w:val="en-US" w:eastAsia="zh-CN" w:bidi="ar-SA"/>
        </w:rPr>
        <w:sectPr>
          <w:headerReference r:id="rId9" w:type="default"/>
          <w:footerReference r:id="rId10" w:type="default"/>
          <w:pgSz w:w="11905" w:h="16838"/>
          <w:pgMar w:top="1417" w:right="1134" w:bottom="1134" w:left="1134" w:header="1417" w:footer="1134" w:gutter="0"/>
          <w:pgBorders>
            <w:top w:val="none" w:sz="0" w:space="0"/>
            <w:left w:val="none" w:sz="0" w:space="0"/>
            <w:bottom w:val="none" w:sz="0" w:space="0"/>
            <w:right w:val="none" w:sz="0" w:space="0"/>
          </w:pgBorders>
          <w:pgNumType w:fmt="upperRoman" w:start="1"/>
          <w:cols w:space="0" w:num="1"/>
          <w:docGrid w:linePitch="312" w:charSpace="0"/>
        </w:sectPr>
      </w:pPr>
    </w:p>
    <w:p w14:paraId="6B50018C">
      <w:pPr>
        <w:pStyle w:val="19"/>
        <w:keepLines w:val="0"/>
        <w:kinsoku/>
        <w:wordWrap/>
        <w:overflowPunct/>
        <w:topLinePunct w:val="0"/>
        <w:bidi w:val="0"/>
        <w:spacing w:line="240" w:lineRule="auto"/>
        <w:rPr>
          <w:rFonts w:hAnsi="黑体" w:cs="Arial"/>
        </w:rPr>
      </w:pPr>
      <w:bookmarkStart w:id="3" w:name="_Toc11177"/>
      <w:bookmarkStart w:id="4" w:name="_Toc32417"/>
      <w:r>
        <w:rPr>
          <w:rFonts w:hint="eastAsia" w:hAnsi="黑体" w:cs="Arial"/>
        </w:rPr>
        <w:t>前    言</w:t>
      </w:r>
      <w:bookmarkEnd w:id="3"/>
      <w:bookmarkEnd w:id="4"/>
    </w:p>
    <w:p w14:paraId="0DE43350">
      <w:pPr>
        <w:keepLines w:val="0"/>
        <w:kinsoku/>
        <w:wordWrap/>
        <w:overflowPunct/>
        <w:topLinePunct w:val="0"/>
        <w:bidi w:val="0"/>
        <w:snapToGrid/>
        <w:spacing w:line="240" w:lineRule="auto"/>
        <w:ind w:firstLine="420" w:firstLineChars="200"/>
        <w:textAlignment w:val="auto"/>
        <w:rPr>
          <w:rFonts w:hint="eastAsia" w:ascii="宋体" w:hAnsi="宋体" w:eastAsia="宋体" w:cs="宋体"/>
          <w:szCs w:val="21"/>
        </w:rPr>
      </w:pPr>
      <w:r>
        <w:rPr>
          <w:rFonts w:hint="eastAsia" w:ascii="宋体" w:hAnsi="宋体" w:eastAsia="宋体" w:cs="宋体"/>
          <w:szCs w:val="21"/>
        </w:rPr>
        <w:t>本文件按照GB/T 1.1—2020《标准化工作导则  第1部分：标准化文件的结构和起草规则》的规定起草。</w:t>
      </w:r>
    </w:p>
    <w:p w14:paraId="5FC73FA8">
      <w:pPr>
        <w:keepLines w:val="0"/>
        <w:kinsoku/>
        <w:wordWrap/>
        <w:overflowPunct/>
        <w:topLinePunct w:val="0"/>
        <w:bidi w:val="0"/>
        <w:snapToGrid/>
        <w:spacing w:line="240" w:lineRule="auto"/>
        <w:ind w:firstLine="420" w:firstLineChars="200"/>
        <w:textAlignment w:val="auto"/>
        <w:rPr>
          <w:rFonts w:hint="eastAsia" w:ascii="宋体" w:hAnsi="宋体" w:eastAsia="宋体" w:cs="宋体"/>
          <w:szCs w:val="21"/>
        </w:rPr>
      </w:pPr>
      <w:r>
        <w:rPr>
          <w:rFonts w:hint="eastAsia" w:ascii="宋体" w:hAnsi="宋体" w:eastAsia="宋体" w:cs="宋体"/>
          <w:szCs w:val="21"/>
        </w:rPr>
        <w:t>请注意本文件的某些内容可能涉及专利。本文件的发布机构不承担识别专利的责任。</w:t>
      </w:r>
    </w:p>
    <w:p w14:paraId="498C0CE8">
      <w:pPr>
        <w:keepLines w:val="0"/>
        <w:kinsoku/>
        <w:wordWrap/>
        <w:overflowPunct/>
        <w:topLinePunct w:val="0"/>
        <w:bidi w:val="0"/>
        <w:snapToGrid/>
        <w:spacing w:line="240" w:lineRule="auto"/>
        <w:ind w:firstLine="420" w:firstLineChars="200"/>
        <w:textAlignment w:val="auto"/>
        <w:rPr>
          <w:rFonts w:hint="eastAsia" w:ascii="宋体" w:hAnsi="宋体" w:eastAsia="宋体" w:cs="宋体"/>
          <w:szCs w:val="21"/>
        </w:rPr>
      </w:pPr>
      <w:r>
        <w:rPr>
          <w:rFonts w:hint="eastAsia" w:ascii="宋体" w:hAnsi="宋体" w:eastAsia="宋体" w:cs="宋体"/>
          <w:szCs w:val="21"/>
        </w:rPr>
        <w:t>本文件由中国节能协会节能服务产业委员会提出。</w:t>
      </w:r>
    </w:p>
    <w:p w14:paraId="38483C99">
      <w:pPr>
        <w:keepLines w:val="0"/>
        <w:kinsoku/>
        <w:wordWrap/>
        <w:overflowPunct/>
        <w:topLinePunct w:val="0"/>
        <w:bidi w:val="0"/>
        <w:snapToGrid/>
        <w:spacing w:line="240" w:lineRule="auto"/>
        <w:ind w:firstLine="420" w:firstLineChars="200"/>
        <w:textAlignment w:val="auto"/>
        <w:rPr>
          <w:rFonts w:hint="eastAsia" w:ascii="宋体" w:hAnsi="宋体" w:eastAsia="宋体" w:cs="宋体"/>
          <w:szCs w:val="21"/>
        </w:rPr>
      </w:pPr>
      <w:r>
        <w:rPr>
          <w:rFonts w:hint="eastAsia" w:ascii="宋体" w:hAnsi="宋体" w:eastAsia="宋体" w:cs="宋体"/>
          <w:szCs w:val="21"/>
        </w:rPr>
        <w:t>本文件由中国节能协会归口。</w:t>
      </w:r>
    </w:p>
    <w:p w14:paraId="21C08717">
      <w:pPr>
        <w:keepLines w:val="0"/>
        <w:kinsoku/>
        <w:wordWrap/>
        <w:overflowPunct/>
        <w:topLinePunct w:val="0"/>
        <w:bidi w:val="0"/>
        <w:snapToGrid/>
        <w:spacing w:line="240" w:lineRule="auto"/>
        <w:ind w:firstLine="420" w:firstLineChars="200"/>
        <w:textAlignment w:val="auto"/>
        <w:rPr>
          <w:rFonts w:hint="eastAsia" w:ascii="宋体" w:hAnsi="宋体" w:eastAsia="宋体" w:cs="宋体"/>
          <w:szCs w:val="21"/>
        </w:rPr>
      </w:pPr>
      <w:r>
        <w:rPr>
          <w:rFonts w:hint="eastAsia" w:ascii="宋体" w:hAnsi="宋体" w:eastAsia="宋体" w:cs="宋体"/>
          <w:szCs w:val="21"/>
        </w:rPr>
        <w:t>本文件起草单位：广西桂物节能集团有限公司、国联绿色科技（无锡）股份有限公司、上海时链节能科技有限公司、新瑞数城技术有限公司、浙江新创源综合能源有限公司、北京市煤气热力工程设计院有限公司、中粮集团有限公司、苏州派勒斯冷暖设备有限公司、天津华德智慧科技集团有限公司、江西云之云数字科技有限公司。</w:t>
      </w:r>
    </w:p>
    <w:p w14:paraId="24B83B2A">
      <w:pPr>
        <w:keepLines w:val="0"/>
        <w:kinsoku/>
        <w:wordWrap/>
        <w:overflowPunct/>
        <w:topLinePunct w:val="0"/>
        <w:bidi w:val="0"/>
        <w:snapToGrid/>
        <w:spacing w:line="240" w:lineRule="auto"/>
        <w:ind w:firstLine="420" w:firstLineChars="200"/>
        <w:textAlignment w:val="auto"/>
        <w:rPr>
          <w:rFonts w:hint="eastAsia" w:ascii="宋体" w:hAnsi="宋体" w:eastAsia="宋体" w:cs="宋体"/>
          <w:szCs w:val="21"/>
        </w:rPr>
      </w:pPr>
      <w:r>
        <w:rPr>
          <w:rFonts w:hint="eastAsia" w:ascii="宋体" w:hAnsi="宋体" w:eastAsia="宋体" w:cs="宋体"/>
          <w:szCs w:val="21"/>
        </w:rPr>
        <w:t>本文件主要起草人：王魁、孙小亮、胡秋霞、董晓然、衡思泽、王珏旻、付馨瑶、邓品、曹高峰、谭帅、刘源、宋静、李强、杨彦、赵德春、闫磊、王伟、王灵坚、罗迎宾、王震、胡小毛、黄玉龙、赵昆。</w:t>
      </w:r>
    </w:p>
    <w:p w14:paraId="2D139CE7">
      <w:pPr>
        <w:keepLines w:val="0"/>
        <w:kinsoku/>
        <w:wordWrap/>
        <w:overflowPunct/>
        <w:topLinePunct w:val="0"/>
        <w:bidi w:val="0"/>
        <w:snapToGrid/>
        <w:spacing w:line="240" w:lineRule="auto"/>
        <w:ind w:firstLine="420" w:firstLineChars="200"/>
        <w:textAlignment w:val="auto"/>
        <w:rPr>
          <w:rFonts w:hint="eastAsia" w:ascii="宋体" w:hAnsi="宋体" w:eastAsia="宋体" w:cs="宋体"/>
          <w:szCs w:val="21"/>
        </w:rPr>
      </w:pPr>
      <w:r>
        <w:rPr>
          <w:rFonts w:hint="eastAsia" w:ascii="宋体" w:hAnsi="宋体" w:eastAsia="宋体" w:cs="宋体"/>
          <w:szCs w:val="21"/>
        </w:rPr>
        <w:t>本文件为首次发布。</w:t>
      </w:r>
    </w:p>
    <w:p w14:paraId="213FEE30">
      <w:pPr>
        <w:keepLines w:val="0"/>
        <w:kinsoku/>
        <w:wordWrap/>
        <w:overflowPunct/>
        <w:topLinePunct w:val="0"/>
        <w:bidi w:val="0"/>
        <w:snapToGrid/>
        <w:spacing w:line="240" w:lineRule="auto"/>
        <w:textAlignment w:val="auto"/>
        <w:rPr>
          <w:rFonts w:hint="eastAsia" w:ascii="宋体" w:hAnsi="宋体" w:eastAsia="宋体" w:cs="宋体"/>
          <w:szCs w:val="21"/>
        </w:rPr>
      </w:pPr>
    </w:p>
    <w:p w14:paraId="104F0BFA">
      <w:pPr>
        <w:pStyle w:val="14"/>
        <w:keepLines w:val="0"/>
        <w:kinsoku/>
        <w:wordWrap/>
        <w:overflowPunct/>
        <w:topLinePunct w:val="0"/>
        <w:bidi w:val="0"/>
        <w:snapToGrid/>
        <w:spacing w:before="0" w:after="0" w:line="240" w:lineRule="auto"/>
        <w:ind w:firstLine="640" w:firstLineChars="200"/>
        <w:jc w:val="both"/>
        <w:textAlignment w:val="auto"/>
        <w:rPr>
          <w:rFonts w:hint="eastAsia" w:ascii="宋体" w:hAnsi="宋体" w:eastAsia="宋体" w:cs="宋体"/>
        </w:rPr>
        <w:sectPr>
          <w:headerReference r:id="rId12" w:type="first"/>
          <w:footerReference r:id="rId14" w:type="first"/>
          <w:headerReference r:id="rId11" w:type="default"/>
          <w:footerReference r:id="rId13" w:type="default"/>
          <w:type w:val="continuous"/>
          <w:pgSz w:w="11905" w:h="16838"/>
          <w:pgMar w:top="1417" w:right="1417" w:bottom="1134" w:left="1134" w:header="1417" w:footer="1134" w:gutter="0"/>
          <w:pgBorders>
            <w:top w:val="none" w:sz="0" w:space="0"/>
            <w:left w:val="none" w:sz="0" w:space="0"/>
            <w:bottom w:val="none" w:sz="0" w:space="0"/>
            <w:right w:val="none" w:sz="0" w:space="0"/>
          </w:pgBorders>
          <w:pgNumType w:fmt="upperRoman"/>
          <w:cols w:space="0" w:num="1"/>
          <w:titlePg/>
          <w:docGrid w:linePitch="312" w:charSpace="0"/>
        </w:sectPr>
      </w:pPr>
    </w:p>
    <w:sdt>
      <w:sdtPr>
        <w:tag w:val="NEW_STAND_NAME"/>
        <w:id w:val="595910757"/>
        <w:lock w:val="sdtLocked"/>
        <w:placeholder>
          <w:docPart w:val="{38b498ac-57e3-4d70-a69c-8a6c8c9c2d80}"/>
        </w:placeholder>
      </w:sdtPr>
      <w:sdtEndPr>
        <w:rPr>
          <w:rFonts w:hint="eastAsia"/>
        </w:rPr>
      </w:sdtEndPr>
      <w:sdtContent>
        <w:p w14:paraId="1D58211E">
          <w:pPr>
            <w:pStyle w:val="25"/>
            <w:keepLines w:val="0"/>
            <w:kinsoku/>
            <w:wordWrap/>
            <w:overflowPunct/>
            <w:topLinePunct w:val="0"/>
            <w:bidi w:val="0"/>
            <w:spacing w:after="687" w:afterLines="220" w:line="240" w:lineRule="auto"/>
            <w:rPr>
              <w:rFonts w:hint="eastAsia"/>
            </w:rPr>
          </w:pPr>
          <w:bookmarkStart w:id="5" w:name="_Toc9505"/>
          <w:bookmarkStart w:id="6" w:name="_Toc23943"/>
          <w:bookmarkStart w:id="7" w:name="_Toc25514"/>
          <w:bookmarkStart w:id="8" w:name="_Toc25746"/>
          <w:bookmarkStart w:id="9" w:name="_Toc6739"/>
          <w:bookmarkStart w:id="10" w:name="_Toc20601"/>
          <w:r>
            <w:rPr>
              <w:rFonts w:hint="eastAsia"/>
            </w:rPr>
            <w:t>能源费用托管服务评价技术要求</w:t>
          </w:r>
        </w:p>
      </w:sdtContent>
    </w:sdt>
    <w:p w14:paraId="49161A2D">
      <w:pPr>
        <w:pStyle w:val="15"/>
        <w:keepLines w:val="0"/>
        <w:kinsoku/>
        <w:wordWrap/>
        <w:overflowPunct/>
        <w:topLinePunct w:val="0"/>
        <w:bidi w:val="0"/>
        <w:spacing w:before="240" w:after="240" w:line="240" w:lineRule="auto"/>
        <w:ind w:left="0"/>
        <w:rPr>
          <w:szCs w:val="21"/>
        </w:rPr>
      </w:pPr>
      <w:bookmarkStart w:id="11" w:name="_Toc15420"/>
      <w:bookmarkStart w:id="12" w:name="_Toc7770"/>
      <w:r>
        <w:rPr>
          <w:rFonts w:hint="eastAsia"/>
          <w:szCs w:val="21"/>
        </w:rPr>
        <w:t>范围</w:t>
      </w:r>
      <w:bookmarkEnd w:id="5"/>
      <w:bookmarkEnd w:id="6"/>
      <w:bookmarkEnd w:id="7"/>
      <w:bookmarkEnd w:id="8"/>
      <w:bookmarkEnd w:id="9"/>
      <w:bookmarkEnd w:id="10"/>
      <w:bookmarkEnd w:id="11"/>
      <w:bookmarkEnd w:id="12"/>
    </w:p>
    <w:p w14:paraId="050C3D39">
      <w:pPr>
        <w:pStyle w:val="17"/>
        <w:keepLines w:val="0"/>
        <w:kinsoku/>
        <w:wordWrap/>
        <w:overflowPunct/>
        <w:topLinePunct w:val="0"/>
        <w:bidi w:val="0"/>
        <w:spacing w:line="240" w:lineRule="auto"/>
        <w:ind w:firstLineChars="0"/>
        <w:rPr>
          <w:rFonts w:hint="eastAsia" w:ascii="宋体" w:hAnsi="宋体" w:eastAsia="宋体" w:cs="宋体"/>
          <w:szCs w:val="21"/>
          <w:lang w:val="en-US" w:eastAsia="zh-CN"/>
        </w:rPr>
      </w:pPr>
      <w:r>
        <w:rPr>
          <w:rFonts w:hint="eastAsia" w:ascii="宋体" w:hAnsi="宋体" w:eastAsia="宋体" w:cs="宋体"/>
          <w:szCs w:val="21"/>
          <w:lang w:val="en-US" w:eastAsia="zh-CN"/>
        </w:rPr>
        <w:t>本文件规定了能源费用托管服务的评价原则、评价机构与人员要求、评价内容与指标、评价实施、评价结果与等级划分。</w:t>
      </w:r>
    </w:p>
    <w:p w14:paraId="70397EF7">
      <w:pPr>
        <w:pStyle w:val="17"/>
        <w:keepLines w:val="0"/>
        <w:kinsoku/>
        <w:wordWrap/>
        <w:overflowPunct/>
        <w:topLinePunct w:val="0"/>
        <w:bidi w:val="0"/>
        <w:spacing w:line="240" w:lineRule="auto"/>
        <w:ind w:firstLineChars="0"/>
        <w:rPr>
          <w:rFonts w:hint="eastAsia" w:ascii="宋体" w:hAnsi="宋体" w:eastAsia="宋体" w:cs="宋体"/>
          <w:szCs w:val="21"/>
          <w:lang w:val="en-US" w:eastAsia="zh-CN"/>
        </w:rPr>
      </w:pPr>
      <w:r>
        <w:rPr>
          <w:rFonts w:hint="eastAsia" w:ascii="宋体" w:hAnsi="宋体" w:eastAsia="宋体" w:cs="宋体"/>
          <w:szCs w:val="21"/>
          <w:lang w:val="en-US" w:eastAsia="zh-CN"/>
        </w:rPr>
        <w:t>本文件适用于节能服务公司所提供的建筑、公共机构领域能源费用托管</w:t>
      </w:r>
      <w:r>
        <w:rPr>
          <w:rFonts w:hint="eastAsia" w:ascii="宋体" w:hAnsi="宋体" w:eastAsia="宋体" w:cs="宋体"/>
          <w:szCs w:val="21"/>
          <w:highlight w:val="none"/>
          <w:lang w:val="en-US" w:eastAsia="zh-CN"/>
        </w:rPr>
        <w:t>服务</w:t>
      </w:r>
      <w:r>
        <w:rPr>
          <w:rFonts w:hint="eastAsia" w:ascii="宋体" w:hAnsi="宋体" w:eastAsia="宋体" w:cs="宋体"/>
          <w:szCs w:val="21"/>
          <w:lang w:val="en-US" w:eastAsia="zh-CN"/>
        </w:rPr>
        <w:t>的评价，工业和市政等其他领域的能源费用托管服务评价可参照使用。</w:t>
      </w:r>
    </w:p>
    <w:p w14:paraId="7925D115">
      <w:pPr>
        <w:pStyle w:val="15"/>
        <w:keepLines w:val="0"/>
        <w:kinsoku/>
        <w:wordWrap/>
        <w:overflowPunct/>
        <w:topLinePunct w:val="0"/>
        <w:bidi w:val="0"/>
        <w:spacing w:before="240" w:after="240" w:line="240" w:lineRule="auto"/>
        <w:ind w:left="0"/>
        <w:rPr>
          <w:szCs w:val="21"/>
        </w:rPr>
      </w:pPr>
      <w:bookmarkStart w:id="13" w:name="bookmark3"/>
      <w:bookmarkEnd w:id="13"/>
      <w:bookmarkStart w:id="14" w:name="_Toc23565"/>
      <w:bookmarkStart w:id="15" w:name="_Toc30614"/>
      <w:bookmarkStart w:id="16" w:name="_Toc207832809"/>
      <w:bookmarkStart w:id="17" w:name="_Toc26818"/>
      <w:r>
        <w:rPr>
          <w:rFonts w:hint="eastAsia"/>
          <w:szCs w:val="21"/>
        </w:rPr>
        <w:t>规范性引用文件</w:t>
      </w:r>
      <w:bookmarkEnd w:id="14"/>
      <w:bookmarkEnd w:id="15"/>
      <w:bookmarkEnd w:id="16"/>
      <w:bookmarkEnd w:id="17"/>
    </w:p>
    <w:p w14:paraId="0D8F3608">
      <w:pPr>
        <w:pStyle w:val="16"/>
        <w:keepLines w:val="0"/>
        <w:kinsoku/>
        <w:wordWrap/>
        <w:overflowPunct/>
        <w:topLinePunct w:val="0"/>
        <w:bidi w:val="0"/>
        <w:spacing w:line="240" w:lineRule="auto"/>
        <w:ind w:firstLine="420"/>
        <w:rPr>
          <w:rFonts w:hint="eastAsia"/>
        </w:rPr>
      </w:pPr>
      <w:bookmarkStart w:id="18" w:name="bookmark6"/>
      <w:bookmarkEnd w:id="18"/>
      <w:bookmarkStart w:id="19" w:name="bookmark4"/>
      <w:bookmarkEnd w:id="19"/>
      <w:bookmarkStart w:id="20" w:name="bookmark5"/>
      <w:bookmarkEnd w:id="20"/>
      <w:bookmarkStart w:id="21" w:name="_Toc12821"/>
      <w:bookmarkStart w:id="22" w:name="_Toc207832810"/>
      <w:bookmarkStart w:id="23" w:name="_Toc27014"/>
      <w:bookmarkStart w:id="24" w:name="_Toc207832811"/>
      <w:r>
        <w:rPr>
          <w:rFonts w:hint="eastAsia"/>
        </w:rPr>
        <w:t>下列文件中的内容通过文中的规范性引用而构成本文件必不可少的条款。其中，注日期的引用文件，仅该日期对应的版本适用于本文件；不注日期的引用文件，其最新版本（包括所有的修改单）适用于本文件。</w:t>
      </w:r>
    </w:p>
    <w:p w14:paraId="2F9EF039">
      <w:pPr>
        <w:pStyle w:val="16"/>
        <w:keepLines w:val="0"/>
        <w:kinsoku/>
        <w:wordWrap/>
        <w:overflowPunct/>
        <w:topLinePunct w:val="0"/>
        <w:bidi w:val="0"/>
        <w:spacing w:line="240" w:lineRule="auto"/>
        <w:ind w:firstLine="420"/>
        <w:rPr>
          <w:rFonts w:hint="default"/>
          <w:lang w:val="en-US" w:eastAsia="zh-CN"/>
        </w:rPr>
      </w:pPr>
      <w:r>
        <w:rPr>
          <w:rFonts w:hint="eastAsia"/>
          <w:lang w:val="en-US" w:eastAsia="zh-CN"/>
        </w:rPr>
        <w:t>GB/T 23331  能源管理体系  要求及使用指南</w:t>
      </w:r>
    </w:p>
    <w:p w14:paraId="354E4CAF">
      <w:pPr>
        <w:pStyle w:val="16"/>
        <w:keepLines w:val="0"/>
        <w:kinsoku/>
        <w:wordWrap/>
        <w:overflowPunct/>
        <w:topLinePunct w:val="0"/>
        <w:bidi w:val="0"/>
        <w:spacing w:line="240" w:lineRule="auto"/>
        <w:ind w:firstLine="420"/>
        <w:rPr>
          <w:rFonts w:hint="eastAsia"/>
          <w:lang w:val="en-US" w:eastAsia="zh-CN"/>
        </w:rPr>
      </w:pPr>
      <w:r>
        <w:rPr>
          <w:rFonts w:hint="eastAsia"/>
          <w:lang w:val="en-US" w:eastAsia="zh-CN"/>
        </w:rPr>
        <w:t>GB/T 24915  合同能源管理技术通则</w:t>
      </w:r>
    </w:p>
    <w:p w14:paraId="48C9DBB2">
      <w:pPr>
        <w:pStyle w:val="16"/>
        <w:keepLines w:val="0"/>
        <w:kinsoku/>
        <w:wordWrap/>
        <w:overflowPunct/>
        <w:topLinePunct w:val="0"/>
        <w:bidi w:val="0"/>
        <w:spacing w:line="240" w:lineRule="auto"/>
        <w:ind w:firstLine="420"/>
        <w:rPr>
          <w:rFonts w:hint="eastAsia"/>
          <w:color w:val="auto"/>
          <w:lang w:val="en-US" w:eastAsia="zh-CN"/>
        </w:rPr>
      </w:pPr>
      <w:r>
        <w:rPr>
          <w:rFonts w:hint="eastAsia"/>
          <w:color w:val="auto"/>
          <w:lang w:val="en-US" w:eastAsia="zh-CN"/>
        </w:rPr>
        <w:t>GB/T 28750  节能量测量和验证技术通则</w:t>
      </w:r>
    </w:p>
    <w:p w14:paraId="3E1288EF">
      <w:pPr>
        <w:pStyle w:val="16"/>
        <w:keepLines w:val="0"/>
        <w:kinsoku/>
        <w:wordWrap/>
        <w:overflowPunct/>
        <w:topLinePunct w:val="0"/>
        <w:bidi w:val="0"/>
        <w:spacing w:line="240" w:lineRule="auto"/>
        <w:ind w:firstLine="420"/>
        <w:rPr>
          <w:rFonts w:hint="eastAsia"/>
          <w:lang w:val="en-US" w:eastAsia="zh-CN"/>
        </w:rPr>
      </w:pPr>
      <w:r>
        <w:rPr>
          <w:rFonts w:hint="eastAsia"/>
          <w:lang w:val="en-US" w:eastAsia="zh-CN"/>
        </w:rPr>
        <w:t>GB/T 40010  合同能源管理服务评价技术导则</w:t>
      </w:r>
    </w:p>
    <w:p w14:paraId="05BC5AEF">
      <w:pPr>
        <w:pStyle w:val="15"/>
        <w:keepLines w:val="0"/>
        <w:kinsoku/>
        <w:wordWrap/>
        <w:overflowPunct/>
        <w:topLinePunct w:val="0"/>
        <w:bidi w:val="0"/>
        <w:spacing w:before="240" w:after="240" w:line="240" w:lineRule="auto"/>
        <w:ind w:left="0"/>
        <w:rPr>
          <w:szCs w:val="21"/>
        </w:rPr>
      </w:pPr>
      <w:bookmarkStart w:id="25" w:name="_Toc16924"/>
      <w:bookmarkStart w:id="26" w:name="_Toc7058"/>
      <w:r>
        <w:rPr>
          <w:rFonts w:hint="eastAsia"/>
          <w:szCs w:val="21"/>
        </w:rPr>
        <w:t>术语和定义</w:t>
      </w:r>
      <w:bookmarkEnd w:id="21"/>
      <w:bookmarkEnd w:id="22"/>
      <w:bookmarkEnd w:id="25"/>
      <w:bookmarkEnd w:id="26"/>
    </w:p>
    <w:sdt>
      <w:sdtPr>
        <w:rPr>
          <w:rFonts w:hint="eastAsia" w:ascii="宋体" w:hAnsi="宋体" w:eastAsia="宋体" w:cs="宋体"/>
          <w:lang w:val="en-US" w:eastAsia="zh-CN"/>
        </w:rPr>
        <w:id w:val="147481299"/>
        <w:placeholder>
          <w:docPart w:val="{28f67b24-bf02-4eb0-985a-56460364374e}"/>
        </w:placeholder>
        <w:comboBox>
          <w:listItem w:displayText="请选择适当的引导语" w:value="请选择适当的引导语"/>
          <w:listItem w:displayText="下列术语和定义适用于本文件。" w:value="下列术语和定义适用于本文件。"/>
          <w:listItem w:displayText="……界定的术语和定义适用于本文件。" w:value="……界定的术语和定义适用于本文件。"/>
          <w:listItem w:displayText="……界定的以及下列术语和定义适用于本文件。" w:value="……界定的以及下列术语和定义适用于本文件。"/>
          <w:listItem w:displayText="本文件没有需要界定的术语和定义。" w:value="本文件没有需要界定的术语和定义。"/>
        </w:comboBox>
      </w:sdtPr>
      <w:sdtEndPr>
        <w:rPr>
          <w:rFonts w:hint="eastAsia" w:ascii="宋体" w:hAnsi="Times New Roman" w:eastAsia="宋体" w:cs="Times New Roman"/>
          <w:lang w:val="en-US" w:eastAsia="zh-CN"/>
        </w:rPr>
      </w:sdtEndPr>
      <w:sdtContent>
        <w:p w14:paraId="0AD03B62">
          <w:pPr>
            <w:pStyle w:val="16"/>
            <w:keepLines w:val="0"/>
            <w:kinsoku/>
            <w:wordWrap/>
            <w:overflowPunct/>
            <w:topLinePunct w:val="0"/>
            <w:bidi w:val="0"/>
            <w:spacing w:line="240" w:lineRule="auto"/>
            <w:ind w:firstLine="420"/>
            <w:rPr>
              <w:rFonts w:hint="eastAsia" w:ascii="宋体" w:hAnsi="Times New Roman" w:eastAsia="宋体" w:cs="Times New Roman"/>
              <w:lang w:val="en-US" w:eastAsia="zh-CN"/>
            </w:rPr>
          </w:pPr>
          <w:bookmarkStart w:id="27" w:name="_Toc26986532"/>
          <w:bookmarkEnd w:id="27"/>
          <w:r>
            <w:rPr>
              <w:rFonts w:hint="eastAsia" w:ascii="宋体" w:hAnsi="宋体" w:eastAsia="宋体" w:cs="宋体"/>
              <w:color w:val="000000"/>
              <w:sz w:val="21"/>
              <w:szCs w:val="21"/>
              <w:highlight w:val="none"/>
              <w:lang w:val="en-US" w:eastAsia="zh-CN" w:bidi="ar-SA"/>
            </w:rPr>
            <w:t>GB/T 24915界定的术语和定义适用于本文件。为了便于使用，以下重复列出了GB/T 24915中的某些术语和定义。</w:t>
          </w:r>
        </w:p>
      </w:sdtContent>
    </w:sdt>
    <w:p w14:paraId="4BACEF5B">
      <w:pPr>
        <w:pStyle w:val="18"/>
        <w:keepNext w:val="0"/>
        <w:keepLines w:val="0"/>
        <w:pageBreakBefore w:val="0"/>
        <w:widowControl/>
        <w:kinsoku/>
        <w:wordWrap/>
        <w:overflowPunct/>
        <w:topLinePunct w:val="0"/>
        <w:autoSpaceDE/>
        <w:autoSpaceDN/>
        <w:bidi w:val="0"/>
        <w:adjustRightInd/>
        <w:snapToGrid/>
        <w:spacing w:line="240" w:lineRule="auto"/>
        <w:ind w:left="0" w:leftChars="0" w:firstLine="0" w:firstLineChars="0"/>
        <w:textAlignment w:val="auto"/>
        <w:rPr>
          <w:rFonts w:hint="eastAsia"/>
          <w:lang w:val="en-US" w:eastAsia="zh-CN"/>
        </w:rPr>
      </w:pPr>
      <w:bookmarkStart w:id="28" w:name="_Toc1366"/>
      <w:bookmarkEnd w:id="28"/>
      <w:bookmarkStart w:id="29" w:name="_Toc15893"/>
      <w:bookmarkEnd w:id="29"/>
    </w:p>
    <w:p w14:paraId="75D22EA8">
      <w:pPr>
        <w:pStyle w:val="26"/>
        <w:keepNext w:val="0"/>
        <w:keepLines w:val="0"/>
        <w:pageBreakBefore w:val="0"/>
        <w:widowControl/>
        <w:numPr>
          <w:ilvl w:val="2"/>
          <w:numId w:val="0"/>
        </w:numPr>
        <w:kinsoku/>
        <w:wordWrap/>
        <w:overflowPunct/>
        <w:topLinePunct w:val="0"/>
        <w:autoSpaceDE/>
        <w:autoSpaceDN/>
        <w:bidi w:val="0"/>
        <w:adjustRightInd/>
        <w:snapToGrid/>
        <w:spacing w:before="157" w:beforeLines="50" w:after="157" w:afterLines="50" w:line="240" w:lineRule="auto"/>
        <w:ind w:leftChars="-200" w:firstLine="840" w:firstLineChars="400"/>
        <w:textAlignment w:val="auto"/>
        <w:rPr>
          <w:rFonts w:hint="eastAsia" w:ascii="黑体" w:hAnsi="黑体" w:eastAsia="黑体" w:cs="黑体"/>
          <w:lang w:val="en-US" w:eastAsia="zh-CN"/>
        </w:rPr>
      </w:pPr>
      <w:r>
        <w:rPr>
          <w:rFonts w:hint="eastAsia" w:ascii="黑体" w:hAnsi="黑体" w:eastAsia="黑体" w:cs="黑体"/>
          <w:lang w:val="en-US" w:eastAsia="zh-CN"/>
        </w:rPr>
        <w:t>节能服务公司  energy service company；ESCO</w:t>
      </w:r>
    </w:p>
    <w:p w14:paraId="31A78ADD">
      <w:pPr>
        <w:pStyle w:val="16"/>
        <w:keepLines w:val="0"/>
        <w:kinsoku/>
        <w:wordWrap/>
        <w:overflowPunct/>
        <w:topLinePunct w:val="0"/>
        <w:bidi w:val="0"/>
        <w:spacing w:line="240" w:lineRule="auto"/>
        <w:ind w:firstLine="420"/>
        <w:rPr>
          <w:rFonts w:hint="eastAsia" w:ascii="宋体" w:hAnsi="Times New Roman" w:eastAsia="宋体" w:cs="Times New Roman"/>
        </w:rPr>
      </w:pPr>
      <w:r>
        <w:rPr>
          <w:rFonts w:hint="eastAsia" w:ascii="宋体" w:hAnsi="Times New Roman" w:eastAsia="宋体" w:cs="Times New Roman"/>
          <w:lang w:val="en-US" w:eastAsia="zh-CN"/>
        </w:rPr>
        <w:t>提供用能状况诊断、节能项目设计、融资、改造（施工、设备安装、调试）、运行管理等服务的专业化公司。</w:t>
      </w:r>
    </w:p>
    <w:p w14:paraId="5D7C2BCD">
      <w:pPr>
        <w:pStyle w:val="16"/>
        <w:keepLines w:val="0"/>
        <w:kinsoku/>
        <w:wordWrap/>
        <w:overflowPunct/>
        <w:topLinePunct w:val="0"/>
        <w:bidi w:val="0"/>
        <w:spacing w:line="240" w:lineRule="auto"/>
        <w:ind w:left="0" w:leftChars="0" w:firstLine="420" w:firstLineChars="0"/>
      </w:pPr>
      <w:r>
        <w:rPr>
          <w:rFonts w:hint="default" w:ascii="宋体" w:hAnsi="Times New Roman" w:eastAsia="宋体" w:cs="Times New Roman"/>
          <w:lang w:val="en-US" w:eastAsia="zh-CN"/>
        </w:rPr>
        <w:t>[</w:t>
      </w:r>
      <w:r>
        <w:rPr>
          <w:rFonts w:hint="eastAsia" w:ascii="宋体" w:hAnsi="Times New Roman" w:eastAsia="宋体" w:cs="Times New Roman"/>
          <w:lang w:val="en-US" w:eastAsia="zh-CN"/>
        </w:rPr>
        <w:t>来源：</w:t>
      </w:r>
      <w:r>
        <w:rPr>
          <w:rFonts w:hint="default" w:ascii="宋体" w:hAnsi="Times New Roman" w:eastAsia="宋体" w:cs="Times New Roman"/>
          <w:lang w:val="en-US" w:eastAsia="zh-CN"/>
        </w:rPr>
        <w:t>GB/T 24915</w:t>
      </w:r>
      <w:r>
        <w:rPr>
          <w:rFonts w:hint="eastAsia" w:ascii="宋体" w:hAnsi="Times New Roman" w:eastAsia="宋体" w:cs="Times New Roman"/>
          <w:lang w:val="en-US" w:eastAsia="zh-CN"/>
        </w:rPr>
        <w:t>，3.3</w:t>
      </w:r>
      <w:r>
        <w:rPr>
          <w:rFonts w:hint="default" w:ascii="宋体" w:hAnsi="Times New Roman" w:eastAsia="宋体" w:cs="Times New Roman"/>
          <w:lang w:val="en-US" w:eastAsia="zh-CN"/>
        </w:rPr>
        <w:t>]</w:t>
      </w:r>
    </w:p>
    <w:p w14:paraId="2FEC5AF4">
      <w:pPr>
        <w:pStyle w:val="18"/>
        <w:keepLines w:val="0"/>
        <w:kinsoku/>
        <w:wordWrap/>
        <w:overflowPunct/>
        <w:topLinePunct w:val="0"/>
        <w:bidi w:val="0"/>
        <w:spacing w:line="240" w:lineRule="auto"/>
        <w:ind w:left="0" w:leftChars="0" w:firstLine="0" w:firstLineChars="0"/>
        <w:rPr>
          <w:rFonts w:hint="eastAsia"/>
          <w:lang w:val="en-US" w:eastAsia="zh-CN"/>
        </w:rPr>
      </w:pPr>
      <w:bookmarkStart w:id="30" w:name="_Toc24389"/>
      <w:bookmarkEnd w:id="30"/>
      <w:bookmarkStart w:id="31" w:name="_Toc22657"/>
      <w:bookmarkEnd w:id="31"/>
    </w:p>
    <w:p w14:paraId="2E47D4FB">
      <w:pPr>
        <w:pStyle w:val="26"/>
        <w:keepNext w:val="0"/>
        <w:keepLines w:val="0"/>
        <w:pageBreakBefore w:val="0"/>
        <w:widowControl/>
        <w:numPr>
          <w:ilvl w:val="2"/>
          <w:numId w:val="0"/>
        </w:numPr>
        <w:kinsoku/>
        <w:wordWrap/>
        <w:overflowPunct/>
        <w:topLinePunct w:val="0"/>
        <w:autoSpaceDE/>
        <w:autoSpaceDN/>
        <w:bidi w:val="0"/>
        <w:adjustRightInd/>
        <w:snapToGrid/>
        <w:spacing w:before="157" w:beforeLines="50" w:after="157" w:afterLines="50" w:line="240" w:lineRule="auto"/>
        <w:ind w:leftChars="-200" w:firstLine="840" w:firstLineChars="400"/>
        <w:textAlignment w:val="auto"/>
        <w:rPr>
          <w:rFonts w:hint="eastAsia" w:ascii="黑体" w:hAnsi="黑体" w:eastAsia="黑体" w:cs="黑体"/>
          <w:lang w:val="en-US" w:eastAsia="zh-CN"/>
        </w:rPr>
      </w:pPr>
      <w:r>
        <w:rPr>
          <w:rFonts w:hint="eastAsia" w:ascii="黑体" w:hAnsi="黑体" w:eastAsia="黑体" w:cs="黑体"/>
          <w:lang w:val="en-US" w:eastAsia="zh-CN"/>
        </w:rPr>
        <w:t>合同能源管理  energy performance contracting；EPC</w:t>
      </w:r>
    </w:p>
    <w:p w14:paraId="53D15FF0">
      <w:pPr>
        <w:pStyle w:val="16"/>
        <w:keepLines w:val="0"/>
        <w:kinsoku/>
        <w:wordWrap/>
        <w:overflowPunct/>
        <w:topLinePunct w:val="0"/>
        <w:bidi w:val="0"/>
        <w:spacing w:line="240" w:lineRule="auto"/>
        <w:ind w:firstLine="420"/>
        <w:rPr>
          <w:rFonts w:hint="eastAsia" w:ascii="宋体" w:hAnsi="Times New Roman" w:eastAsia="宋体" w:cs="Times New Roman"/>
          <w:lang w:val="en-US" w:eastAsia="zh-CN"/>
        </w:rPr>
      </w:pPr>
      <w:r>
        <w:rPr>
          <w:rFonts w:hint="eastAsia" w:ascii="宋体" w:hAnsi="Times New Roman" w:eastAsia="宋体" w:cs="Times New Roman"/>
          <w:lang w:val="en-US" w:eastAsia="zh-CN"/>
        </w:rPr>
        <w:t>节能服务公司与用能单位以契约形式约定节能项目的节能目标,节能服务公司为实现节能目标向用能单位提供必要的服务,用能单位以节能效益、节能服务费或能源托管费支付节能服务公司的投入及其合理利润的节能服务机制。</w:t>
      </w:r>
    </w:p>
    <w:p w14:paraId="10886545">
      <w:pPr>
        <w:pStyle w:val="16"/>
        <w:keepLines w:val="0"/>
        <w:kinsoku/>
        <w:wordWrap/>
        <w:overflowPunct/>
        <w:topLinePunct w:val="0"/>
        <w:bidi w:val="0"/>
        <w:spacing w:line="240" w:lineRule="auto"/>
        <w:ind w:firstLine="420"/>
        <w:rPr>
          <w:rFonts w:hint="default" w:ascii="宋体" w:hAnsi="Times New Roman" w:eastAsia="宋体" w:cs="Times New Roman"/>
          <w:lang w:val="en-US" w:eastAsia="zh-CN"/>
        </w:rPr>
      </w:pPr>
      <w:r>
        <w:rPr>
          <w:rFonts w:hint="default" w:ascii="宋体" w:hAnsi="Times New Roman" w:eastAsia="宋体" w:cs="Times New Roman"/>
          <w:lang w:val="en-US" w:eastAsia="zh-CN"/>
        </w:rPr>
        <w:t>[</w:t>
      </w:r>
      <w:r>
        <w:rPr>
          <w:rFonts w:hint="eastAsia" w:ascii="宋体" w:hAnsi="Times New Roman" w:eastAsia="宋体" w:cs="Times New Roman"/>
          <w:lang w:val="en-US" w:eastAsia="zh-CN"/>
        </w:rPr>
        <w:t>来源：</w:t>
      </w:r>
      <w:r>
        <w:rPr>
          <w:rFonts w:hint="default" w:ascii="宋体" w:hAnsi="Times New Roman" w:eastAsia="宋体" w:cs="Times New Roman"/>
          <w:lang w:val="en-US" w:eastAsia="zh-CN"/>
        </w:rPr>
        <w:t>GB/T 24915</w:t>
      </w:r>
      <w:r>
        <w:rPr>
          <w:rFonts w:hint="eastAsia" w:ascii="宋体" w:hAnsi="Times New Roman" w:eastAsia="宋体" w:cs="Times New Roman"/>
          <w:lang w:val="en-US" w:eastAsia="zh-CN"/>
        </w:rPr>
        <w:t>，3.1</w:t>
      </w:r>
      <w:r>
        <w:rPr>
          <w:rFonts w:hint="default" w:ascii="宋体" w:hAnsi="Times New Roman" w:eastAsia="宋体" w:cs="Times New Roman"/>
          <w:lang w:val="en-US" w:eastAsia="zh-CN"/>
        </w:rPr>
        <w:t>]</w:t>
      </w:r>
    </w:p>
    <w:p w14:paraId="04A588B2">
      <w:pPr>
        <w:pStyle w:val="18"/>
        <w:keepLines w:val="0"/>
        <w:kinsoku/>
        <w:wordWrap/>
        <w:overflowPunct/>
        <w:topLinePunct w:val="0"/>
        <w:bidi w:val="0"/>
        <w:spacing w:line="240" w:lineRule="auto"/>
        <w:ind w:left="0" w:leftChars="0" w:firstLine="0" w:firstLineChars="0"/>
        <w:rPr>
          <w:rFonts w:hint="eastAsia"/>
          <w:lang w:val="en-US" w:eastAsia="zh-CN"/>
        </w:rPr>
      </w:pPr>
      <w:bookmarkStart w:id="32" w:name="_Toc20816"/>
      <w:bookmarkEnd w:id="32"/>
    </w:p>
    <w:p w14:paraId="4FFCF3E4">
      <w:pPr>
        <w:pStyle w:val="26"/>
        <w:keepNext w:val="0"/>
        <w:keepLines w:val="0"/>
        <w:pageBreakBefore w:val="0"/>
        <w:widowControl/>
        <w:numPr>
          <w:ilvl w:val="2"/>
          <w:numId w:val="0"/>
        </w:numPr>
        <w:kinsoku/>
        <w:wordWrap/>
        <w:overflowPunct/>
        <w:topLinePunct w:val="0"/>
        <w:autoSpaceDE/>
        <w:autoSpaceDN/>
        <w:bidi w:val="0"/>
        <w:adjustRightInd/>
        <w:snapToGrid/>
        <w:spacing w:before="157" w:beforeLines="50" w:after="157" w:afterLines="50" w:line="240" w:lineRule="auto"/>
        <w:ind w:leftChars="-200" w:firstLine="840" w:firstLineChars="400"/>
        <w:textAlignment w:val="auto"/>
        <w:rPr>
          <w:rFonts w:hint="eastAsia" w:ascii="黑体" w:hAnsi="黑体" w:eastAsia="黑体" w:cs="黑体"/>
          <w:lang w:val="en-US" w:eastAsia="zh-CN"/>
        </w:rPr>
      </w:pPr>
      <w:r>
        <w:rPr>
          <w:rFonts w:hint="eastAsia" w:ascii="黑体" w:hAnsi="黑体" w:eastAsia="黑体" w:cs="黑体"/>
          <w:lang w:val="en-US" w:eastAsia="zh-CN"/>
        </w:rPr>
        <w:t>能源费用托管  energy cost outsourcing</w:t>
      </w:r>
    </w:p>
    <w:p w14:paraId="443496B1">
      <w:pPr>
        <w:pStyle w:val="16"/>
        <w:keepLines w:val="0"/>
        <w:kinsoku/>
        <w:wordWrap/>
        <w:overflowPunct/>
        <w:topLinePunct w:val="0"/>
        <w:bidi w:val="0"/>
        <w:spacing w:line="240" w:lineRule="auto"/>
        <w:ind w:firstLine="420"/>
        <w:rPr>
          <w:rFonts w:hint="eastAsia" w:ascii="宋体" w:hAnsi="Times New Roman" w:eastAsia="宋体" w:cs="Times New Roman"/>
        </w:rPr>
      </w:pPr>
      <w:r>
        <w:rPr>
          <w:rFonts w:hint="eastAsia" w:ascii="宋体" w:hAnsi="Times New Roman" w:eastAsia="宋体" w:cs="Times New Roman"/>
          <w:lang w:val="en-US" w:eastAsia="zh-CN"/>
        </w:rPr>
        <w:t>简称“能源托管”，是合同能源管理的一种形式。由用能单位委托节能服务公司进行能源系统的运行、管理、维护或（和）节能改造。用能单位根据能源基准确定的能源系统运行、管理、维护和能源使用的费用，支付给节能服务公司作为托管费用。节能服务公司通过科学的管理运行和节能技术的应用达到节约能源，减少费用支出或增加收益，获取合理的利润。</w:t>
      </w:r>
    </w:p>
    <w:p w14:paraId="7BC6C85A">
      <w:pPr>
        <w:pStyle w:val="16"/>
        <w:keepLines w:val="0"/>
        <w:kinsoku/>
        <w:wordWrap/>
        <w:overflowPunct/>
        <w:topLinePunct w:val="0"/>
        <w:bidi w:val="0"/>
        <w:spacing w:line="240" w:lineRule="auto"/>
        <w:ind w:firstLine="420"/>
        <w:rPr>
          <w:rFonts w:hint="eastAsia" w:ascii="宋体" w:hAnsi="Times New Roman" w:eastAsia="宋体" w:cs="Times New Roman"/>
        </w:rPr>
      </w:pPr>
      <w:r>
        <w:rPr>
          <w:rFonts w:hint="default" w:ascii="宋体" w:hAnsi="Times New Roman" w:eastAsia="宋体" w:cs="Times New Roman"/>
          <w:lang w:val="en-US" w:eastAsia="zh-CN"/>
        </w:rPr>
        <w:t>[</w:t>
      </w:r>
      <w:r>
        <w:rPr>
          <w:rFonts w:hint="eastAsia" w:ascii="宋体" w:hAnsi="Times New Roman" w:eastAsia="宋体" w:cs="Times New Roman"/>
          <w:lang w:val="en-US" w:eastAsia="zh-CN"/>
        </w:rPr>
        <w:t>来源：</w:t>
      </w:r>
      <w:r>
        <w:rPr>
          <w:rFonts w:hint="default" w:ascii="宋体" w:hAnsi="Times New Roman" w:eastAsia="宋体" w:cs="Times New Roman"/>
          <w:lang w:val="en-US" w:eastAsia="zh-CN"/>
        </w:rPr>
        <w:t>GB/T 24915</w:t>
      </w:r>
      <w:r>
        <w:rPr>
          <w:rFonts w:hint="eastAsia" w:ascii="宋体" w:hAnsi="Times New Roman" w:eastAsia="宋体" w:cs="Times New Roman"/>
          <w:lang w:val="en-US" w:eastAsia="zh-CN"/>
        </w:rPr>
        <w:t>，附录</w:t>
      </w:r>
      <w:r>
        <w:rPr>
          <w:rFonts w:hint="default" w:ascii="宋体" w:hAnsi="Times New Roman" w:eastAsia="宋体" w:cs="Times New Roman"/>
          <w:lang w:val="en-US" w:eastAsia="zh-CN"/>
        </w:rPr>
        <w:t>C 1.9</w:t>
      </w:r>
      <w:r>
        <w:rPr>
          <w:rFonts w:hint="eastAsia" w:ascii="宋体" w:hAnsi="Times New Roman" w:eastAsia="宋体" w:cs="Times New Roman"/>
          <w:lang w:val="en-US" w:eastAsia="zh-CN"/>
        </w:rPr>
        <w:t>，有修改</w:t>
      </w:r>
      <w:r>
        <w:rPr>
          <w:rFonts w:hint="default" w:ascii="宋体" w:hAnsi="Times New Roman" w:eastAsia="宋体" w:cs="Times New Roman"/>
          <w:lang w:val="en-US" w:eastAsia="zh-CN"/>
        </w:rPr>
        <w:t>]</w:t>
      </w:r>
    </w:p>
    <w:p w14:paraId="2497D93E">
      <w:pPr>
        <w:pStyle w:val="15"/>
        <w:keepLines w:val="0"/>
        <w:kinsoku/>
        <w:wordWrap/>
        <w:overflowPunct/>
        <w:topLinePunct w:val="0"/>
        <w:bidi w:val="0"/>
        <w:spacing w:before="240" w:after="240" w:line="240" w:lineRule="auto"/>
        <w:ind w:left="0"/>
        <w:rPr>
          <w:rFonts w:hint="eastAsia"/>
          <w:szCs w:val="21"/>
          <w:lang w:val="en-US" w:eastAsia="zh-CN"/>
        </w:rPr>
      </w:pPr>
      <w:bookmarkStart w:id="33" w:name="_Toc2081"/>
      <w:bookmarkEnd w:id="33"/>
      <w:bookmarkStart w:id="34" w:name="_Toc31838"/>
      <w:bookmarkStart w:id="35" w:name="_Toc11390"/>
      <w:bookmarkStart w:id="36" w:name="_Toc25824"/>
      <w:r>
        <w:rPr>
          <w:rFonts w:hint="eastAsia"/>
          <w:szCs w:val="21"/>
          <w:lang w:val="en-US" w:eastAsia="zh-CN"/>
        </w:rPr>
        <w:t>评价原则</w:t>
      </w:r>
      <w:bookmarkEnd w:id="34"/>
      <w:bookmarkEnd w:id="35"/>
      <w:bookmarkEnd w:id="36"/>
    </w:p>
    <w:p w14:paraId="21E78E74">
      <w:pPr>
        <w:pStyle w:val="16"/>
        <w:keepLines w:val="0"/>
        <w:kinsoku/>
        <w:wordWrap/>
        <w:overflowPunct/>
        <w:topLinePunct w:val="0"/>
        <w:bidi w:val="0"/>
        <w:spacing w:line="240" w:lineRule="auto"/>
        <w:rPr>
          <w:rFonts w:hint="default"/>
          <w:lang w:val="en-US" w:eastAsia="zh-CN"/>
        </w:rPr>
      </w:pPr>
      <w:r>
        <w:rPr>
          <w:rFonts w:hint="eastAsia"/>
          <w:lang w:val="en-US" w:eastAsia="zh-CN"/>
        </w:rPr>
        <w:t>评价原则应符合GB/T 40010中的目的性原则、可操作性原则和全面性原则，并充分考虑能源费用托管服务对节能服务公司投资、运维等能力的特殊要求。</w:t>
      </w:r>
    </w:p>
    <w:bookmarkEnd w:id="23"/>
    <w:bookmarkEnd w:id="24"/>
    <w:p w14:paraId="1E2DAF4E">
      <w:pPr>
        <w:pStyle w:val="15"/>
        <w:keepLines w:val="0"/>
        <w:kinsoku/>
        <w:wordWrap/>
        <w:overflowPunct/>
        <w:topLinePunct w:val="0"/>
        <w:bidi w:val="0"/>
        <w:spacing w:before="240" w:after="240" w:line="240" w:lineRule="auto"/>
        <w:ind w:left="0"/>
        <w:rPr>
          <w:rFonts w:hint="eastAsia"/>
          <w:szCs w:val="21"/>
          <w:lang w:val="en-US" w:eastAsia="zh-CN"/>
        </w:rPr>
      </w:pPr>
      <w:bookmarkStart w:id="37" w:name="_Toc4220"/>
      <w:bookmarkStart w:id="38" w:name="_Toc29028"/>
      <w:bookmarkStart w:id="39" w:name="_Toc3275"/>
      <w:r>
        <w:rPr>
          <w:rFonts w:hint="eastAsia"/>
          <w:szCs w:val="21"/>
          <w:lang w:val="en-US" w:eastAsia="zh-CN"/>
        </w:rPr>
        <w:t>评价机构与人员要求</w:t>
      </w:r>
      <w:bookmarkEnd w:id="37"/>
      <w:bookmarkEnd w:id="38"/>
    </w:p>
    <w:p w14:paraId="56EBBE5E">
      <w:pPr>
        <w:pStyle w:val="16"/>
        <w:spacing w:beforeLines="0" w:afterLines="0"/>
        <w:ind w:firstLineChars="200"/>
        <w:rPr>
          <w:rFonts w:hint="eastAsia" w:ascii="宋体" w:eastAsia="宋体"/>
          <w:szCs w:val="20"/>
          <w:lang w:val="en-US" w:eastAsia="zh-CN"/>
        </w:rPr>
      </w:pPr>
      <w:bookmarkStart w:id="40" w:name="_Toc29355"/>
      <w:r>
        <w:rPr>
          <w:rFonts w:hint="eastAsia" w:ascii="宋体" w:eastAsia="宋体"/>
          <w:szCs w:val="20"/>
          <w:lang w:val="en-US" w:eastAsia="zh-CN"/>
        </w:rPr>
        <w:t>评价机构应满足以下基本条件：</w:t>
      </w:r>
      <w:bookmarkEnd w:id="40"/>
    </w:p>
    <w:p w14:paraId="5CC0E761">
      <w:pPr>
        <w:pStyle w:val="33"/>
        <w:numPr>
          <w:ilvl w:val="0"/>
          <w:numId w:val="8"/>
        </w:numPr>
        <w:ind w:left="425" w:firstLine="0"/>
        <w:rPr>
          <w:rFonts w:hint="eastAsia"/>
          <w:lang w:bidi="ar"/>
        </w:rPr>
      </w:pPr>
      <w:r>
        <w:rPr>
          <w:rFonts w:hint="eastAsia"/>
          <w:lang w:bidi="ar"/>
        </w:rPr>
        <w:t>在中华人民共和国境内依法设立并具备独立法人资格，拥有固定的办公场所及配套办公条件；</w:t>
      </w:r>
    </w:p>
    <w:p w14:paraId="2673D8C1">
      <w:pPr>
        <w:pStyle w:val="33"/>
        <w:numPr>
          <w:ilvl w:val="0"/>
          <w:numId w:val="8"/>
        </w:numPr>
        <w:ind w:left="425" w:leftChars="0" w:firstLine="0" w:firstLineChars="0"/>
        <w:rPr>
          <w:rFonts w:hint="eastAsia"/>
          <w:lang w:bidi="ar"/>
        </w:rPr>
      </w:pPr>
      <w:r>
        <w:rPr>
          <w:rFonts w:hint="eastAsia"/>
          <w:lang w:bidi="ar"/>
        </w:rPr>
        <w:t>具备10年及以上节能</w:t>
      </w:r>
      <w:r>
        <w:rPr>
          <w:rFonts w:hint="eastAsia"/>
          <w:lang w:val="en-US" w:eastAsia="zh-CN" w:bidi="ar"/>
        </w:rPr>
        <w:t>降碳</w:t>
      </w:r>
      <w:r>
        <w:rPr>
          <w:rFonts w:hint="eastAsia"/>
          <w:lang w:bidi="ar"/>
        </w:rPr>
        <w:t>领域研究、咨询、评价等从业基础，</w:t>
      </w:r>
      <w:r>
        <w:rPr>
          <w:rFonts w:hint="eastAsia"/>
          <w:lang w:val="en-US" w:eastAsia="zh-CN" w:bidi="ar"/>
        </w:rPr>
        <w:t>熟悉</w:t>
      </w:r>
      <w:r>
        <w:rPr>
          <w:rFonts w:hint="eastAsia"/>
          <w:lang w:bidi="ar"/>
        </w:rPr>
        <w:t>能源托管服务相关政策、标准与规范要求；</w:t>
      </w:r>
    </w:p>
    <w:p w14:paraId="2DB3A560">
      <w:pPr>
        <w:pStyle w:val="33"/>
        <w:numPr>
          <w:ilvl w:val="0"/>
          <w:numId w:val="8"/>
        </w:numPr>
        <w:ind w:left="425" w:leftChars="0" w:firstLine="0" w:firstLineChars="0"/>
        <w:rPr>
          <w:rFonts w:hint="eastAsia"/>
          <w:lang w:bidi="ar"/>
        </w:rPr>
      </w:pPr>
      <w:r>
        <w:rPr>
          <w:rFonts w:hint="eastAsia"/>
          <w:lang w:bidi="ar"/>
        </w:rPr>
        <w:t>配备不少于5名能源托管服务专职评价人员，高级工程师及以上职称人员占比不低于30%；</w:t>
      </w:r>
    </w:p>
    <w:p w14:paraId="4D3388AE">
      <w:pPr>
        <w:pStyle w:val="33"/>
        <w:numPr>
          <w:ilvl w:val="0"/>
          <w:numId w:val="8"/>
        </w:numPr>
        <w:ind w:left="425" w:leftChars="0" w:firstLine="0" w:firstLineChars="0"/>
        <w:rPr>
          <w:rFonts w:hint="eastAsia"/>
          <w:lang w:bidi="ar"/>
        </w:rPr>
      </w:pPr>
      <w:r>
        <w:rPr>
          <w:rFonts w:hint="eastAsia"/>
          <w:lang w:bidi="ar"/>
        </w:rPr>
        <w:t>近三年内无不良执业记录。</w:t>
      </w:r>
    </w:p>
    <w:p w14:paraId="038D0821">
      <w:pPr>
        <w:pStyle w:val="15"/>
        <w:keepLines w:val="0"/>
        <w:kinsoku/>
        <w:wordWrap/>
        <w:overflowPunct/>
        <w:topLinePunct w:val="0"/>
        <w:bidi w:val="0"/>
        <w:spacing w:before="240" w:after="240" w:line="240" w:lineRule="auto"/>
        <w:ind w:left="0"/>
        <w:rPr>
          <w:rFonts w:hint="eastAsia"/>
          <w:szCs w:val="21"/>
          <w:lang w:val="en-US" w:eastAsia="zh-CN"/>
        </w:rPr>
      </w:pPr>
      <w:bookmarkStart w:id="41" w:name="_Toc11059"/>
      <w:bookmarkStart w:id="42" w:name="_Toc10183"/>
      <w:r>
        <w:rPr>
          <w:rFonts w:hint="eastAsia"/>
          <w:szCs w:val="21"/>
          <w:lang w:val="en-US" w:eastAsia="zh-CN"/>
        </w:rPr>
        <w:t>评价</w:t>
      </w:r>
      <w:r>
        <w:rPr>
          <w:rFonts w:hint="default"/>
          <w:szCs w:val="21"/>
          <w:lang w:val="en-US" w:eastAsia="zh-CN"/>
        </w:rPr>
        <w:t>内容</w:t>
      </w:r>
      <w:bookmarkEnd w:id="39"/>
      <w:r>
        <w:rPr>
          <w:rFonts w:hint="eastAsia"/>
          <w:szCs w:val="21"/>
          <w:lang w:val="en-US" w:eastAsia="zh-CN"/>
        </w:rPr>
        <w:t>与指标</w:t>
      </w:r>
      <w:bookmarkEnd w:id="41"/>
      <w:bookmarkEnd w:id="42"/>
    </w:p>
    <w:p w14:paraId="337DF00A">
      <w:pPr>
        <w:pStyle w:val="18"/>
        <w:keepLines w:val="0"/>
        <w:kinsoku/>
        <w:wordWrap/>
        <w:overflowPunct/>
        <w:topLinePunct w:val="0"/>
        <w:bidi w:val="0"/>
        <w:spacing w:line="240" w:lineRule="auto"/>
        <w:ind w:left="0" w:leftChars="0" w:firstLine="0" w:firstLineChars="0"/>
        <w:rPr>
          <w:rFonts w:hint="eastAsia"/>
          <w:lang w:val="en-US" w:eastAsia="zh-CN"/>
        </w:rPr>
      </w:pPr>
      <w:bookmarkStart w:id="43" w:name="_Toc273"/>
      <w:r>
        <w:rPr>
          <w:rFonts w:hint="eastAsia"/>
          <w:lang w:val="en-US" w:eastAsia="zh-CN"/>
        </w:rPr>
        <w:t>基本要求</w:t>
      </w:r>
      <w:bookmarkEnd w:id="43"/>
    </w:p>
    <w:p w14:paraId="3173806B">
      <w:pPr>
        <w:pStyle w:val="18"/>
        <w:keepLines w:val="0"/>
        <w:numPr>
          <w:ilvl w:val="2"/>
          <w:numId w:val="1"/>
        </w:numPr>
        <w:kinsoku/>
        <w:wordWrap/>
        <w:overflowPunct/>
        <w:topLinePunct w:val="0"/>
        <w:bidi w:val="0"/>
        <w:spacing w:line="240" w:lineRule="auto"/>
        <w:ind w:left="0" w:leftChars="0" w:firstLine="0" w:firstLineChars="0"/>
        <w:rPr>
          <w:rFonts w:hint="eastAsia" w:ascii="宋体" w:hAnsi="Times New Roman" w:eastAsia="宋体" w:cs="Times New Roman"/>
          <w:sz w:val="21"/>
          <w:szCs w:val="20"/>
          <w:lang w:val="en-US" w:eastAsia="zh-CN" w:bidi="ar-SA"/>
        </w:rPr>
      </w:pPr>
      <w:bookmarkStart w:id="44" w:name="_Toc17907"/>
      <w:bookmarkStart w:id="45" w:name="_Toc32491"/>
      <w:r>
        <w:rPr>
          <w:rFonts w:hint="eastAsia" w:ascii="宋体" w:hAnsi="Times New Roman" w:eastAsia="宋体" w:cs="Times New Roman"/>
          <w:sz w:val="21"/>
          <w:szCs w:val="20"/>
          <w:lang w:val="en-US" w:eastAsia="zh-CN" w:bidi="ar-SA"/>
        </w:rPr>
        <w:t>节能服务公司应具有独立法人资格，具有与能源费用托管服务相适应的固定经营场所，确保所提供资料</w:t>
      </w:r>
      <w:r>
        <w:rPr>
          <w:rFonts w:hint="eastAsia" w:ascii="宋体" w:eastAsia="宋体" w:cs="Times New Roman"/>
          <w:sz w:val="21"/>
          <w:szCs w:val="20"/>
          <w:lang w:val="en-US" w:eastAsia="zh-CN" w:bidi="ar-SA"/>
        </w:rPr>
        <w:t>的</w:t>
      </w:r>
      <w:r>
        <w:rPr>
          <w:rFonts w:hint="eastAsia" w:ascii="宋体" w:hAnsi="Times New Roman" w:eastAsia="宋体" w:cs="Times New Roman"/>
          <w:sz w:val="21"/>
          <w:szCs w:val="20"/>
          <w:lang w:val="en-US" w:eastAsia="zh-CN" w:bidi="ar-SA"/>
        </w:rPr>
        <w:t>真实性、有效性。</w:t>
      </w:r>
      <w:bookmarkEnd w:id="44"/>
      <w:bookmarkEnd w:id="45"/>
    </w:p>
    <w:p w14:paraId="0F236707">
      <w:pPr>
        <w:pStyle w:val="18"/>
        <w:keepLines w:val="0"/>
        <w:numPr>
          <w:ilvl w:val="2"/>
          <w:numId w:val="1"/>
        </w:numPr>
        <w:kinsoku/>
        <w:wordWrap/>
        <w:overflowPunct/>
        <w:topLinePunct w:val="0"/>
        <w:bidi w:val="0"/>
        <w:spacing w:line="240" w:lineRule="auto"/>
        <w:ind w:left="0" w:leftChars="0" w:firstLine="0" w:firstLineChars="0"/>
        <w:rPr>
          <w:rFonts w:hint="default" w:ascii="宋体" w:hAnsi="Times New Roman" w:eastAsia="宋体" w:cs="Times New Roman"/>
          <w:sz w:val="21"/>
          <w:lang w:val="en-US" w:eastAsia="zh-CN" w:bidi="ar-SA"/>
        </w:rPr>
      </w:pPr>
      <w:bookmarkStart w:id="46" w:name="_Toc30537"/>
      <w:bookmarkStart w:id="47" w:name="_Toc17799"/>
      <w:r>
        <w:rPr>
          <w:rFonts w:hint="eastAsia" w:ascii="宋体" w:hAnsi="Times New Roman" w:eastAsia="宋体" w:cs="Times New Roman"/>
          <w:sz w:val="21"/>
          <w:lang w:val="en-US" w:eastAsia="zh-CN" w:bidi="ar-SA"/>
        </w:rPr>
        <w:t>评审过程</w:t>
      </w:r>
      <w:r>
        <w:rPr>
          <w:rFonts w:hint="eastAsia" w:ascii="宋体" w:eastAsia="宋体" w:cs="Times New Roman"/>
          <w:sz w:val="21"/>
          <w:lang w:val="en-US" w:eastAsia="zh-CN" w:bidi="ar-SA"/>
        </w:rPr>
        <w:t>包括但不限于：形式初审、文件资料和记录查阅、现场调研、相关方走访询问、项目抽样审查、专家评议、形成评估结果。</w:t>
      </w:r>
      <w:bookmarkEnd w:id="46"/>
      <w:bookmarkEnd w:id="47"/>
    </w:p>
    <w:p w14:paraId="32BDBCC8">
      <w:pPr>
        <w:pStyle w:val="18"/>
        <w:keepLines w:val="0"/>
        <w:kinsoku/>
        <w:wordWrap/>
        <w:overflowPunct/>
        <w:topLinePunct w:val="0"/>
        <w:bidi w:val="0"/>
        <w:spacing w:line="240" w:lineRule="auto"/>
        <w:ind w:left="0" w:leftChars="0" w:firstLine="0" w:firstLineChars="0"/>
        <w:rPr>
          <w:rFonts w:hint="eastAsia"/>
          <w:lang w:val="en-US" w:eastAsia="zh-CN"/>
        </w:rPr>
      </w:pPr>
      <w:bookmarkStart w:id="48" w:name="_Toc14093"/>
      <w:r>
        <w:rPr>
          <w:rFonts w:hint="eastAsia"/>
          <w:lang w:val="en-US" w:eastAsia="zh-CN"/>
        </w:rPr>
        <w:t>评价指标体系</w:t>
      </w:r>
      <w:bookmarkEnd w:id="48"/>
    </w:p>
    <w:p w14:paraId="070637C9">
      <w:pPr>
        <w:pStyle w:val="16"/>
        <w:keepLines w:val="0"/>
        <w:kinsoku/>
        <w:wordWrap/>
        <w:overflowPunct/>
        <w:topLinePunct w:val="0"/>
        <w:bidi w:val="0"/>
        <w:spacing w:line="240" w:lineRule="auto"/>
        <w:ind w:left="0" w:leftChars="0" w:firstLine="420" w:firstLineChars="200"/>
        <w:rPr>
          <w:rFonts w:hint="eastAsia"/>
          <w:lang w:val="en-US" w:eastAsia="zh-CN"/>
        </w:rPr>
      </w:pPr>
      <w:r>
        <w:rPr>
          <w:rFonts w:hint="eastAsia"/>
          <w:lang w:val="en-US" w:eastAsia="zh-CN"/>
        </w:rPr>
        <w:t>主要包括服务能力、服务过程、服务绩效三个</w:t>
      </w:r>
      <w:r>
        <w:rPr>
          <w:rFonts w:hint="default"/>
          <w:lang w:val="en-US" w:eastAsia="zh-CN"/>
        </w:rPr>
        <w:t>维度的</w:t>
      </w:r>
      <w:r>
        <w:rPr>
          <w:rFonts w:hint="eastAsia"/>
          <w:lang w:val="en-US" w:eastAsia="zh-CN"/>
        </w:rPr>
        <w:t>指标。能源托管服务评价指标体系及说明见表1。能源费用托管服务评价指标体系权重赋值见附录A。</w:t>
      </w:r>
    </w:p>
    <w:p w14:paraId="716E9D0C">
      <w:pPr>
        <w:pStyle w:val="35"/>
        <w:keepLines w:val="0"/>
        <w:kinsoku/>
        <w:wordWrap/>
        <w:overflowPunct/>
        <w:topLinePunct w:val="0"/>
        <w:bidi w:val="0"/>
        <w:spacing w:line="240" w:lineRule="auto"/>
      </w:pPr>
      <w:bookmarkStart w:id="49" w:name="_Toc31420"/>
      <w:r>
        <w:rPr>
          <w:rFonts w:hint="eastAsia"/>
          <w:lang w:val="en-US" w:eastAsia="zh-CN"/>
        </w:rPr>
        <w:t>能源费用托管服务评价指标体系及说明</w:t>
      </w:r>
    </w:p>
    <w:tbl>
      <w:tblPr>
        <w:tblStyle w:val="10"/>
        <w:tblW w:w="4998"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0" w:type="dxa"/>
          <w:bottom w:w="0" w:type="dxa"/>
          <w:right w:w="100" w:type="dxa"/>
        </w:tblCellMar>
      </w:tblPr>
      <w:tblGrid>
        <w:gridCol w:w="1168"/>
        <w:gridCol w:w="1543"/>
        <w:gridCol w:w="7123"/>
      </w:tblGrid>
      <w:tr w14:paraId="14AFD2D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0" w:type="dxa"/>
            <w:bottom w:w="0" w:type="dxa"/>
            <w:right w:w="100" w:type="dxa"/>
          </w:tblCellMar>
        </w:tblPrEx>
        <w:trPr>
          <w:tblHeader/>
          <w:jc w:val="center"/>
        </w:trPr>
        <w:tc>
          <w:tcPr>
            <w:tcW w:w="594" w:type="pct"/>
            <w:tcBorders>
              <w:bottom w:val="single" w:color="auto" w:sz="8" w:space="0"/>
            </w:tcBorders>
            <w:vAlign w:val="center"/>
          </w:tcPr>
          <w:p w14:paraId="005E657B">
            <w:pPr>
              <w:pStyle w:val="36"/>
              <w:keepLines w:val="0"/>
              <w:kinsoku/>
              <w:wordWrap/>
              <w:overflowPunct/>
              <w:topLinePunct w:val="0"/>
              <w:bidi w:val="0"/>
              <w:spacing w:line="240" w:lineRule="auto"/>
              <w:jc w:val="center"/>
              <w:rPr>
                <w:rFonts w:hint="default" w:eastAsia="宋体"/>
                <w:lang w:val="en-US" w:eastAsia="zh-CN"/>
              </w:rPr>
            </w:pPr>
            <w:r>
              <w:rPr>
                <w:rFonts w:hint="eastAsia"/>
                <w:lang w:val="en-US" w:eastAsia="zh-CN"/>
              </w:rPr>
              <w:t>一级指标</w:t>
            </w:r>
          </w:p>
        </w:tc>
        <w:tc>
          <w:tcPr>
            <w:tcW w:w="784" w:type="pct"/>
            <w:tcBorders>
              <w:bottom w:val="single" w:color="auto" w:sz="8" w:space="0"/>
            </w:tcBorders>
            <w:vAlign w:val="center"/>
          </w:tcPr>
          <w:p w14:paraId="012852C9">
            <w:pPr>
              <w:pStyle w:val="36"/>
              <w:keepLines w:val="0"/>
              <w:kinsoku/>
              <w:wordWrap/>
              <w:overflowPunct/>
              <w:topLinePunct w:val="0"/>
              <w:bidi w:val="0"/>
              <w:spacing w:line="240" w:lineRule="auto"/>
              <w:jc w:val="center"/>
              <w:rPr>
                <w:rFonts w:hint="default" w:eastAsia="宋体"/>
                <w:lang w:val="en-US" w:eastAsia="zh-CN"/>
              </w:rPr>
            </w:pPr>
            <w:r>
              <w:rPr>
                <w:rFonts w:hint="eastAsia"/>
                <w:lang w:val="en-US" w:eastAsia="zh-CN"/>
              </w:rPr>
              <w:t>二级指标</w:t>
            </w:r>
          </w:p>
        </w:tc>
        <w:tc>
          <w:tcPr>
            <w:tcW w:w="3620" w:type="pct"/>
            <w:tcBorders>
              <w:bottom w:val="single" w:color="auto" w:sz="8" w:space="0"/>
            </w:tcBorders>
            <w:vAlign w:val="center"/>
          </w:tcPr>
          <w:p w14:paraId="1D501AB9">
            <w:pPr>
              <w:pStyle w:val="36"/>
              <w:keepLines w:val="0"/>
              <w:kinsoku/>
              <w:wordWrap/>
              <w:overflowPunct/>
              <w:topLinePunct w:val="0"/>
              <w:bidi w:val="0"/>
              <w:spacing w:line="240" w:lineRule="auto"/>
              <w:jc w:val="center"/>
              <w:rPr>
                <w:rFonts w:hint="default" w:eastAsia="宋体"/>
                <w:lang w:val="en-US" w:eastAsia="zh-CN"/>
              </w:rPr>
            </w:pPr>
            <w:r>
              <w:rPr>
                <w:rFonts w:hint="eastAsia"/>
                <w:lang w:val="en-US" w:eastAsia="zh-CN"/>
              </w:rPr>
              <w:t>指标说明</w:t>
            </w:r>
          </w:p>
        </w:tc>
      </w:tr>
      <w:tr w14:paraId="68EAE98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0" w:type="dxa"/>
            <w:bottom w:w="0" w:type="dxa"/>
            <w:right w:w="100" w:type="dxa"/>
          </w:tblCellMar>
        </w:tblPrEx>
        <w:trPr>
          <w:jc w:val="center"/>
        </w:trPr>
        <w:tc>
          <w:tcPr>
            <w:tcW w:w="594" w:type="pct"/>
            <w:vMerge w:val="restart"/>
            <w:tcBorders>
              <w:top w:val="single" w:color="auto" w:sz="8" w:space="0"/>
            </w:tcBorders>
            <w:vAlign w:val="center"/>
          </w:tcPr>
          <w:p w14:paraId="27E6057A">
            <w:pPr>
              <w:pStyle w:val="36"/>
              <w:keepLines w:val="0"/>
              <w:kinsoku/>
              <w:wordWrap/>
              <w:overflowPunct/>
              <w:topLinePunct w:val="0"/>
              <w:bidi w:val="0"/>
              <w:spacing w:line="240" w:lineRule="auto"/>
              <w:jc w:val="center"/>
              <w:rPr>
                <w:rFonts w:hint="default" w:eastAsia="宋体"/>
                <w:lang w:val="en-US" w:eastAsia="zh-CN"/>
              </w:rPr>
            </w:pPr>
            <w:r>
              <w:rPr>
                <w:rFonts w:hint="eastAsia"/>
                <w:lang w:val="en-US" w:eastAsia="zh-CN"/>
              </w:rPr>
              <w:t>服务能力</w:t>
            </w:r>
          </w:p>
        </w:tc>
        <w:tc>
          <w:tcPr>
            <w:tcW w:w="784" w:type="pct"/>
            <w:tcBorders>
              <w:top w:val="single" w:color="auto" w:sz="8" w:space="0"/>
            </w:tcBorders>
            <w:vAlign w:val="center"/>
          </w:tcPr>
          <w:p w14:paraId="4FD58B90">
            <w:pPr>
              <w:pStyle w:val="36"/>
              <w:keepLines w:val="0"/>
              <w:kinsoku/>
              <w:wordWrap/>
              <w:overflowPunct/>
              <w:topLinePunct w:val="0"/>
              <w:bidi w:val="0"/>
              <w:spacing w:line="240" w:lineRule="auto"/>
              <w:jc w:val="center"/>
              <w:rPr>
                <w:rFonts w:hint="default" w:eastAsia="宋体"/>
                <w:lang w:val="en-US" w:eastAsia="zh-CN"/>
              </w:rPr>
            </w:pPr>
            <w:r>
              <w:rPr>
                <w:rFonts w:hint="eastAsia"/>
                <w:lang w:val="en-US" w:eastAsia="zh-CN"/>
              </w:rPr>
              <w:t>技术提供能力</w:t>
            </w:r>
          </w:p>
        </w:tc>
        <w:tc>
          <w:tcPr>
            <w:tcW w:w="3620" w:type="pct"/>
            <w:tcBorders>
              <w:top w:val="single" w:color="auto" w:sz="8" w:space="0"/>
            </w:tcBorders>
            <w:vAlign w:val="center"/>
          </w:tcPr>
          <w:p w14:paraId="080699A5">
            <w:pPr>
              <w:pStyle w:val="36"/>
              <w:keepLines w:val="0"/>
              <w:kinsoku/>
              <w:wordWrap/>
              <w:overflowPunct/>
              <w:topLinePunct w:val="0"/>
              <w:bidi w:val="0"/>
              <w:spacing w:line="240" w:lineRule="auto"/>
              <w:jc w:val="left"/>
              <w:rPr>
                <w:rFonts w:hint="default" w:ascii="Times New Roman" w:hAnsi="Times New Roman" w:eastAsia="宋体" w:cs="Times New Roman"/>
                <w:lang w:val="en-US" w:eastAsia="zh-CN"/>
              </w:rPr>
            </w:pPr>
            <w:r>
              <w:rPr>
                <w:rFonts w:hint="eastAsia"/>
                <w:lang w:val="en-US" w:eastAsia="zh-CN"/>
              </w:rPr>
              <w:t>节能服务公司</w:t>
            </w:r>
            <w:r>
              <w:rPr>
                <w:rFonts w:hint="eastAsia" w:ascii="Times New Roman" w:hAnsi="Times New Roman" w:eastAsia="宋体" w:cs="Times New Roman"/>
                <w:lang w:val="en-US" w:eastAsia="zh-CN"/>
              </w:rPr>
              <w:t>应具备提供电、气、煤、油、市政热力、水等能源资源系统的节能方案设计、建设或改造、管理和维护等方面的技术能力</w:t>
            </w:r>
            <w:r>
              <w:rPr>
                <w:rFonts w:hint="eastAsia" w:ascii="Times New Roman" w:cs="Times New Roman"/>
                <w:lang w:val="en-US" w:eastAsia="zh-CN"/>
              </w:rPr>
              <w:t>，拥有一定数量自主研发的专利技术</w:t>
            </w:r>
            <w:r>
              <w:rPr>
                <w:rFonts w:hint="eastAsia" w:ascii="Times New Roman" w:hAnsi="Times New Roman" w:eastAsia="宋体" w:cs="Times New Roman"/>
                <w:lang w:val="en-US" w:eastAsia="zh-CN"/>
              </w:rPr>
              <w:t>。</w:t>
            </w:r>
          </w:p>
        </w:tc>
      </w:tr>
      <w:tr w14:paraId="3295D57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0" w:type="dxa"/>
            <w:bottom w:w="0" w:type="dxa"/>
            <w:right w:w="100" w:type="dxa"/>
          </w:tblCellMar>
        </w:tblPrEx>
        <w:trPr>
          <w:jc w:val="center"/>
        </w:trPr>
        <w:tc>
          <w:tcPr>
            <w:tcW w:w="594" w:type="pct"/>
            <w:vMerge w:val="continue"/>
            <w:vAlign w:val="center"/>
          </w:tcPr>
          <w:p w14:paraId="4254FA42">
            <w:pPr>
              <w:pStyle w:val="36"/>
              <w:keepLines w:val="0"/>
              <w:kinsoku/>
              <w:wordWrap/>
              <w:overflowPunct/>
              <w:topLinePunct w:val="0"/>
              <w:bidi w:val="0"/>
              <w:spacing w:line="240" w:lineRule="auto"/>
              <w:jc w:val="center"/>
            </w:pPr>
          </w:p>
        </w:tc>
        <w:tc>
          <w:tcPr>
            <w:tcW w:w="784" w:type="pct"/>
            <w:vAlign w:val="center"/>
          </w:tcPr>
          <w:p w14:paraId="7C53D665">
            <w:pPr>
              <w:pStyle w:val="36"/>
              <w:keepLines w:val="0"/>
              <w:kinsoku/>
              <w:wordWrap/>
              <w:overflowPunct/>
              <w:topLinePunct w:val="0"/>
              <w:bidi w:val="0"/>
              <w:spacing w:line="240" w:lineRule="auto"/>
              <w:jc w:val="center"/>
            </w:pPr>
            <w:r>
              <w:rPr>
                <w:rFonts w:hint="eastAsia" w:ascii="Times New Roman" w:hAnsi="Times New Roman" w:eastAsia="宋体" w:cs="Times New Roman"/>
                <w:lang w:val="en-US" w:eastAsia="zh-CN"/>
              </w:rPr>
              <w:t>人员资源配置</w:t>
            </w:r>
          </w:p>
        </w:tc>
        <w:tc>
          <w:tcPr>
            <w:tcW w:w="3620" w:type="pct"/>
            <w:vAlign w:val="center"/>
          </w:tcPr>
          <w:p w14:paraId="437DE224">
            <w:pPr>
              <w:pStyle w:val="36"/>
              <w:keepLines w:val="0"/>
              <w:kinsoku/>
              <w:wordWrap/>
              <w:overflowPunct/>
              <w:topLinePunct w:val="0"/>
              <w:bidi w:val="0"/>
              <w:spacing w:line="240" w:lineRule="auto"/>
              <w:jc w:val="left"/>
            </w:pPr>
            <w:r>
              <w:rPr>
                <w:rFonts w:hint="eastAsia"/>
                <w:lang w:val="en-US" w:eastAsia="zh-CN"/>
              </w:rPr>
              <w:t>节能服务公司</w:t>
            </w:r>
            <w:r>
              <w:rPr>
                <w:rFonts w:hint="eastAsia" w:ascii="Times New Roman" w:hAnsi="Times New Roman" w:eastAsia="宋体" w:cs="Times New Roman"/>
                <w:lang w:val="en-US" w:eastAsia="zh-CN"/>
              </w:rPr>
              <w:t>应配备符合所提供能源托管服务有关要求的人员，包括节能改造、运行维护、财务管理等方面的人员。</w:t>
            </w:r>
          </w:p>
        </w:tc>
      </w:tr>
      <w:tr w14:paraId="4794D61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0" w:type="dxa"/>
            <w:bottom w:w="0" w:type="dxa"/>
            <w:right w:w="100" w:type="dxa"/>
          </w:tblCellMar>
        </w:tblPrEx>
        <w:trPr>
          <w:jc w:val="center"/>
        </w:trPr>
        <w:tc>
          <w:tcPr>
            <w:tcW w:w="594" w:type="pct"/>
            <w:vMerge w:val="continue"/>
            <w:vAlign w:val="center"/>
          </w:tcPr>
          <w:p w14:paraId="357BABA5">
            <w:pPr>
              <w:pStyle w:val="36"/>
              <w:keepLines w:val="0"/>
              <w:kinsoku/>
              <w:wordWrap/>
              <w:overflowPunct/>
              <w:topLinePunct w:val="0"/>
              <w:bidi w:val="0"/>
              <w:spacing w:line="240" w:lineRule="auto"/>
              <w:jc w:val="center"/>
            </w:pPr>
          </w:p>
        </w:tc>
        <w:tc>
          <w:tcPr>
            <w:tcW w:w="784" w:type="pct"/>
            <w:vAlign w:val="center"/>
          </w:tcPr>
          <w:p w14:paraId="10F046E7">
            <w:pPr>
              <w:pStyle w:val="36"/>
              <w:keepLines w:val="0"/>
              <w:kinsoku/>
              <w:wordWrap/>
              <w:overflowPunct/>
              <w:topLinePunct w:val="0"/>
              <w:bidi w:val="0"/>
              <w:spacing w:line="240" w:lineRule="auto"/>
              <w:jc w:val="center"/>
              <w:rPr>
                <w:rFonts w:hint="default" w:eastAsia="宋体"/>
                <w:lang w:val="en-US" w:eastAsia="zh-CN"/>
              </w:rPr>
            </w:pPr>
            <w:r>
              <w:rPr>
                <w:rFonts w:hint="eastAsia"/>
                <w:lang w:val="en-US" w:eastAsia="zh-CN"/>
              </w:rPr>
              <w:t>组织管理水平</w:t>
            </w:r>
          </w:p>
        </w:tc>
        <w:tc>
          <w:tcPr>
            <w:tcW w:w="3620" w:type="pct"/>
            <w:vAlign w:val="center"/>
          </w:tcPr>
          <w:p w14:paraId="0A361635">
            <w:pPr>
              <w:pStyle w:val="36"/>
              <w:keepLines w:val="0"/>
              <w:kinsoku/>
              <w:wordWrap/>
              <w:overflowPunct/>
              <w:topLinePunct w:val="0"/>
              <w:bidi w:val="0"/>
              <w:spacing w:line="240" w:lineRule="auto"/>
              <w:jc w:val="both"/>
              <w:rPr>
                <w:rFonts w:hint="default" w:eastAsia="宋体"/>
                <w:lang w:val="en-US" w:eastAsia="zh-CN"/>
              </w:rPr>
            </w:pPr>
            <w:r>
              <w:rPr>
                <w:rFonts w:hint="eastAsia"/>
                <w:lang w:val="en-US" w:eastAsia="zh-CN"/>
              </w:rPr>
              <w:t>节能服务公司应具有较为完善的组织机构、管理制度，依据GB/T 23331建立能源管理体系。</w:t>
            </w:r>
          </w:p>
        </w:tc>
      </w:tr>
      <w:tr w14:paraId="4A42200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0" w:type="dxa"/>
            <w:bottom w:w="0" w:type="dxa"/>
            <w:right w:w="100" w:type="dxa"/>
          </w:tblCellMar>
        </w:tblPrEx>
        <w:trPr>
          <w:jc w:val="center"/>
        </w:trPr>
        <w:tc>
          <w:tcPr>
            <w:tcW w:w="594" w:type="pct"/>
            <w:vMerge w:val="continue"/>
            <w:vAlign w:val="center"/>
          </w:tcPr>
          <w:p w14:paraId="76D927D6">
            <w:pPr>
              <w:pStyle w:val="36"/>
              <w:keepLines w:val="0"/>
              <w:kinsoku/>
              <w:wordWrap/>
              <w:overflowPunct/>
              <w:topLinePunct w:val="0"/>
              <w:bidi w:val="0"/>
              <w:spacing w:line="240" w:lineRule="auto"/>
              <w:jc w:val="center"/>
            </w:pPr>
          </w:p>
        </w:tc>
        <w:tc>
          <w:tcPr>
            <w:tcW w:w="784" w:type="pct"/>
            <w:vAlign w:val="center"/>
          </w:tcPr>
          <w:p w14:paraId="0921F8D1">
            <w:pPr>
              <w:pStyle w:val="36"/>
              <w:keepLines w:val="0"/>
              <w:kinsoku/>
              <w:wordWrap/>
              <w:overflowPunct/>
              <w:topLinePunct w:val="0"/>
              <w:bidi w:val="0"/>
              <w:spacing w:line="240" w:lineRule="auto"/>
              <w:jc w:val="center"/>
              <w:rPr>
                <w:rFonts w:hint="default" w:eastAsia="宋体"/>
                <w:lang w:val="en-US" w:eastAsia="zh-CN"/>
              </w:rPr>
            </w:pPr>
            <w:r>
              <w:rPr>
                <w:rFonts w:hint="eastAsia"/>
                <w:lang w:val="en-US" w:eastAsia="zh-CN"/>
              </w:rPr>
              <w:t>资金及财务管理</w:t>
            </w:r>
          </w:p>
        </w:tc>
        <w:tc>
          <w:tcPr>
            <w:tcW w:w="3620" w:type="pct"/>
            <w:vAlign w:val="center"/>
          </w:tcPr>
          <w:p w14:paraId="182CF0A4">
            <w:pPr>
              <w:pStyle w:val="36"/>
              <w:keepLines w:val="0"/>
              <w:kinsoku/>
              <w:wordWrap/>
              <w:overflowPunct/>
              <w:topLinePunct w:val="0"/>
              <w:bidi w:val="0"/>
              <w:spacing w:line="240" w:lineRule="auto"/>
              <w:jc w:val="both"/>
              <w:rPr>
                <w:rFonts w:hint="default" w:eastAsia="宋体"/>
                <w:lang w:val="en-US" w:eastAsia="zh-CN"/>
              </w:rPr>
            </w:pPr>
            <w:r>
              <w:rPr>
                <w:rFonts w:hint="eastAsia"/>
                <w:lang w:val="en-US" w:eastAsia="zh-CN"/>
              </w:rPr>
              <w:t>节能服务公司应具有满足能源托管服务所需的投资能力（包含自有资金和融资能力）和财务管理能力。</w:t>
            </w:r>
          </w:p>
        </w:tc>
      </w:tr>
      <w:tr w14:paraId="2E3BF74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0" w:type="dxa"/>
            <w:bottom w:w="0" w:type="dxa"/>
            <w:right w:w="100" w:type="dxa"/>
          </w:tblCellMar>
        </w:tblPrEx>
        <w:trPr>
          <w:jc w:val="center"/>
        </w:trPr>
        <w:tc>
          <w:tcPr>
            <w:tcW w:w="594" w:type="pct"/>
            <w:vMerge w:val="continue"/>
            <w:vAlign w:val="center"/>
          </w:tcPr>
          <w:p w14:paraId="06AC6FB7">
            <w:pPr>
              <w:pStyle w:val="36"/>
              <w:keepLines w:val="0"/>
              <w:kinsoku/>
              <w:wordWrap/>
              <w:overflowPunct/>
              <w:topLinePunct w:val="0"/>
              <w:bidi w:val="0"/>
              <w:spacing w:line="240" w:lineRule="auto"/>
              <w:jc w:val="center"/>
            </w:pPr>
          </w:p>
        </w:tc>
        <w:tc>
          <w:tcPr>
            <w:tcW w:w="784" w:type="pct"/>
            <w:vAlign w:val="center"/>
          </w:tcPr>
          <w:p w14:paraId="33AB6F1C">
            <w:pPr>
              <w:pStyle w:val="36"/>
              <w:keepLines w:val="0"/>
              <w:kinsoku/>
              <w:wordWrap/>
              <w:overflowPunct/>
              <w:topLinePunct w:val="0"/>
              <w:bidi w:val="0"/>
              <w:spacing w:line="240" w:lineRule="auto"/>
              <w:jc w:val="center"/>
              <w:rPr>
                <w:rFonts w:hint="default" w:eastAsia="宋体"/>
                <w:lang w:val="en-US" w:eastAsia="zh-CN"/>
              </w:rPr>
            </w:pPr>
            <w:r>
              <w:rPr>
                <w:rFonts w:hint="eastAsia"/>
                <w:lang w:val="en-US" w:eastAsia="zh-CN"/>
              </w:rPr>
              <w:t>风险防控能力</w:t>
            </w:r>
          </w:p>
        </w:tc>
        <w:tc>
          <w:tcPr>
            <w:tcW w:w="3620" w:type="pct"/>
            <w:vAlign w:val="center"/>
          </w:tcPr>
          <w:p w14:paraId="717DA795">
            <w:pPr>
              <w:pStyle w:val="36"/>
              <w:keepLines w:val="0"/>
              <w:kinsoku/>
              <w:wordWrap/>
              <w:overflowPunct/>
              <w:topLinePunct w:val="0"/>
              <w:bidi w:val="0"/>
              <w:spacing w:line="240" w:lineRule="auto"/>
              <w:jc w:val="both"/>
              <w:rPr>
                <w:rFonts w:hint="default" w:eastAsia="宋体"/>
                <w:lang w:val="en-US" w:eastAsia="zh-CN"/>
              </w:rPr>
            </w:pPr>
            <w:r>
              <w:rPr>
                <w:rFonts w:hint="eastAsia"/>
                <w:lang w:val="en-US" w:eastAsia="zh-CN"/>
              </w:rPr>
              <w:t>节能服务公司应对技术、运营、收益等潜在的能源托管服务有关风险因素进行识别，并具有相应的风险防范和控制能力。</w:t>
            </w:r>
          </w:p>
        </w:tc>
      </w:tr>
      <w:tr w14:paraId="0A4F7A1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0" w:type="dxa"/>
            <w:bottom w:w="0" w:type="dxa"/>
            <w:right w:w="100" w:type="dxa"/>
          </w:tblCellMar>
        </w:tblPrEx>
        <w:trPr>
          <w:jc w:val="center"/>
        </w:trPr>
        <w:tc>
          <w:tcPr>
            <w:tcW w:w="594" w:type="pct"/>
            <w:vMerge w:val="restart"/>
            <w:vAlign w:val="center"/>
          </w:tcPr>
          <w:p w14:paraId="50B08B42">
            <w:pPr>
              <w:pStyle w:val="36"/>
              <w:keepLines w:val="0"/>
              <w:kinsoku/>
              <w:wordWrap/>
              <w:overflowPunct/>
              <w:topLinePunct w:val="0"/>
              <w:bidi w:val="0"/>
              <w:spacing w:line="240" w:lineRule="auto"/>
              <w:jc w:val="center"/>
              <w:rPr>
                <w:rFonts w:hint="default"/>
                <w:lang w:val="en-US" w:eastAsia="zh-CN"/>
              </w:rPr>
            </w:pPr>
            <w:r>
              <w:rPr>
                <w:rFonts w:hint="eastAsia"/>
                <w:lang w:val="en-US" w:eastAsia="zh-CN"/>
              </w:rPr>
              <w:t>服务过程</w:t>
            </w:r>
          </w:p>
        </w:tc>
        <w:tc>
          <w:tcPr>
            <w:tcW w:w="784" w:type="pct"/>
            <w:vAlign w:val="center"/>
          </w:tcPr>
          <w:p w14:paraId="711FDA4E">
            <w:pPr>
              <w:pStyle w:val="36"/>
              <w:keepLines w:val="0"/>
              <w:kinsoku/>
              <w:wordWrap/>
              <w:overflowPunct/>
              <w:topLinePunct w:val="0"/>
              <w:bidi w:val="0"/>
              <w:spacing w:line="240" w:lineRule="auto"/>
              <w:jc w:val="center"/>
              <w:rPr>
                <w:rFonts w:hint="default" w:eastAsia="宋体"/>
                <w:lang w:val="en-US" w:eastAsia="zh-CN"/>
              </w:rPr>
            </w:pPr>
            <w:r>
              <w:rPr>
                <w:rFonts w:hint="eastAsia"/>
                <w:lang w:val="en-US" w:eastAsia="zh-CN"/>
              </w:rPr>
              <w:t>用能状况诊断</w:t>
            </w:r>
          </w:p>
        </w:tc>
        <w:tc>
          <w:tcPr>
            <w:tcW w:w="3620" w:type="pct"/>
            <w:vAlign w:val="center"/>
          </w:tcPr>
          <w:p w14:paraId="6ADBDB09">
            <w:pPr>
              <w:pStyle w:val="36"/>
              <w:keepLines w:val="0"/>
              <w:kinsoku/>
              <w:wordWrap/>
              <w:overflowPunct/>
              <w:topLinePunct w:val="0"/>
              <w:bidi w:val="0"/>
              <w:spacing w:line="240" w:lineRule="auto"/>
              <w:jc w:val="both"/>
              <w:rPr>
                <w:rFonts w:hint="default" w:eastAsia="宋体"/>
                <w:lang w:val="en-US" w:eastAsia="zh-CN"/>
              </w:rPr>
            </w:pPr>
            <w:r>
              <w:rPr>
                <w:rFonts w:hint="eastAsia"/>
                <w:lang w:val="en-US" w:eastAsia="zh-CN"/>
              </w:rPr>
              <w:t>节能服务公司具备对用能单位的能源利用、能源效率和能源管理等方面的诊断能力，通过诊断及时发现用能单位的节能潜力，并出具用能状况诊断报告。</w:t>
            </w:r>
          </w:p>
        </w:tc>
      </w:tr>
      <w:tr w14:paraId="35D49BE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0" w:type="dxa"/>
            <w:bottom w:w="0" w:type="dxa"/>
            <w:right w:w="100" w:type="dxa"/>
          </w:tblCellMar>
        </w:tblPrEx>
        <w:trPr>
          <w:jc w:val="center"/>
        </w:trPr>
        <w:tc>
          <w:tcPr>
            <w:tcW w:w="594" w:type="pct"/>
            <w:vMerge w:val="continue"/>
            <w:vAlign w:val="center"/>
          </w:tcPr>
          <w:p w14:paraId="3B842CC8">
            <w:pPr>
              <w:pStyle w:val="36"/>
              <w:keepLines w:val="0"/>
              <w:kinsoku/>
              <w:wordWrap/>
              <w:overflowPunct/>
              <w:topLinePunct w:val="0"/>
              <w:bidi w:val="0"/>
              <w:spacing w:line="240" w:lineRule="auto"/>
              <w:jc w:val="center"/>
            </w:pPr>
          </w:p>
        </w:tc>
        <w:tc>
          <w:tcPr>
            <w:tcW w:w="784" w:type="pct"/>
            <w:vAlign w:val="center"/>
          </w:tcPr>
          <w:p w14:paraId="660EA4E9">
            <w:pPr>
              <w:pStyle w:val="36"/>
              <w:keepLines w:val="0"/>
              <w:kinsoku/>
              <w:wordWrap/>
              <w:overflowPunct/>
              <w:topLinePunct w:val="0"/>
              <w:bidi w:val="0"/>
              <w:spacing w:line="240" w:lineRule="auto"/>
              <w:jc w:val="center"/>
              <w:rPr>
                <w:rFonts w:hint="eastAsia" w:eastAsia="宋体"/>
                <w:lang w:val="en-US" w:eastAsia="zh-CN"/>
              </w:rPr>
            </w:pPr>
            <w:r>
              <w:rPr>
                <w:rFonts w:hint="eastAsia"/>
                <w:lang w:val="en-US" w:eastAsia="zh-CN"/>
              </w:rPr>
              <w:t>节能方案设计</w:t>
            </w:r>
          </w:p>
        </w:tc>
        <w:tc>
          <w:tcPr>
            <w:tcW w:w="3620" w:type="pct"/>
            <w:vAlign w:val="center"/>
          </w:tcPr>
          <w:p w14:paraId="0F088014">
            <w:pPr>
              <w:pStyle w:val="36"/>
              <w:keepLines w:val="0"/>
              <w:kinsoku/>
              <w:wordWrap/>
              <w:overflowPunct/>
              <w:topLinePunct w:val="0"/>
              <w:bidi w:val="0"/>
              <w:spacing w:line="240" w:lineRule="auto"/>
              <w:jc w:val="both"/>
              <w:rPr>
                <w:rFonts w:hint="default" w:eastAsia="宋体"/>
                <w:lang w:val="en-US" w:eastAsia="zh-CN"/>
              </w:rPr>
            </w:pPr>
            <w:r>
              <w:rPr>
                <w:rFonts w:hint="eastAsia"/>
                <w:lang w:val="en-US" w:eastAsia="zh-CN"/>
              </w:rPr>
              <w:t>节</w:t>
            </w:r>
            <w:r>
              <w:rPr>
                <w:rFonts w:hint="eastAsia" w:ascii="Times New Roman" w:hAnsi="Times New Roman" w:eastAsia="宋体" w:cs="Times New Roman"/>
                <w:lang w:val="en-US" w:eastAsia="zh-CN"/>
              </w:rPr>
              <w:t>能服务公司应具备制定符合合同约定的专项或综合节能设计方案的能力。节能方案应满足相关标准规范要求，并具有技术可行性、经济合理性和保障措施。</w:t>
            </w:r>
          </w:p>
        </w:tc>
      </w:tr>
      <w:tr w14:paraId="11053D5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0" w:type="dxa"/>
            <w:bottom w:w="0" w:type="dxa"/>
            <w:right w:w="100" w:type="dxa"/>
          </w:tblCellMar>
        </w:tblPrEx>
        <w:trPr>
          <w:jc w:val="center"/>
        </w:trPr>
        <w:tc>
          <w:tcPr>
            <w:tcW w:w="594" w:type="pct"/>
            <w:vMerge w:val="continue"/>
            <w:vAlign w:val="center"/>
          </w:tcPr>
          <w:p w14:paraId="269021DA">
            <w:pPr>
              <w:pStyle w:val="36"/>
              <w:keepLines w:val="0"/>
              <w:kinsoku/>
              <w:wordWrap/>
              <w:overflowPunct/>
              <w:topLinePunct w:val="0"/>
              <w:bidi w:val="0"/>
              <w:spacing w:line="240" w:lineRule="auto"/>
              <w:jc w:val="center"/>
            </w:pPr>
          </w:p>
        </w:tc>
        <w:tc>
          <w:tcPr>
            <w:tcW w:w="784" w:type="pct"/>
            <w:vAlign w:val="center"/>
          </w:tcPr>
          <w:p w14:paraId="55F6CAD5">
            <w:pPr>
              <w:pStyle w:val="36"/>
              <w:keepLines w:val="0"/>
              <w:kinsoku/>
              <w:wordWrap/>
              <w:overflowPunct/>
              <w:topLinePunct w:val="0"/>
              <w:bidi w:val="0"/>
              <w:spacing w:line="240" w:lineRule="auto"/>
              <w:jc w:val="center"/>
              <w:rPr>
                <w:rFonts w:hint="default" w:eastAsia="宋体"/>
                <w:lang w:val="en-US" w:eastAsia="zh-CN"/>
              </w:rPr>
            </w:pPr>
            <w:r>
              <w:rPr>
                <w:rFonts w:hint="eastAsia"/>
                <w:lang w:val="en-US" w:eastAsia="zh-CN"/>
              </w:rPr>
              <w:t>施工管理能力</w:t>
            </w:r>
          </w:p>
        </w:tc>
        <w:tc>
          <w:tcPr>
            <w:tcW w:w="3620" w:type="pct"/>
            <w:vAlign w:val="center"/>
          </w:tcPr>
          <w:p w14:paraId="72D70337">
            <w:pPr>
              <w:pStyle w:val="36"/>
              <w:keepLines w:val="0"/>
              <w:kinsoku/>
              <w:wordWrap/>
              <w:overflowPunct/>
              <w:topLinePunct w:val="0"/>
              <w:bidi w:val="0"/>
              <w:spacing w:line="240" w:lineRule="auto"/>
              <w:jc w:val="both"/>
              <w:rPr>
                <w:rFonts w:hint="eastAsia"/>
              </w:rPr>
            </w:pPr>
            <w:r>
              <w:rPr>
                <w:rFonts w:hint="eastAsia" w:ascii="宋体" w:hAnsi="Times New Roman" w:eastAsia="宋体" w:cs="Times New Roman"/>
                <w:lang w:val="en-US" w:eastAsia="zh-CN"/>
              </w:rPr>
              <w:t>节能服务公司应具备能源托管服务建设施工管理能力，或聘请具备施工资质的机构和人员提供。包括但不限于：施工前对项目现状（包括但不限于用能设备及系统）开展检查、确认的能力；评估施工单位在施工及后勤人员管理制度、设备验收流程、施工过程检查机制、定期沟通汇报体系等方面保障能力与完善程度的能力；如采取外包形式，应建立外包控制措施；建立竣工验收管理制度和文件等。</w:t>
            </w:r>
          </w:p>
        </w:tc>
      </w:tr>
      <w:tr w14:paraId="04A2258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0" w:type="dxa"/>
            <w:bottom w:w="0" w:type="dxa"/>
            <w:right w:w="100" w:type="dxa"/>
          </w:tblCellMar>
        </w:tblPrEx>
        <w:trPr>
          <w:jc w:val="center"/>
        </w:trPr>
        <w:tc>
          <w:tcPr>
            <w:tcW w:w="594" w:type="pct"/>
            <w:vMerge w:val="continue"/>
            <w:vAlign w:val="center"/>
          </w:tcPr>
          <w:p w14:paraId="2B40D6BA">
            <w:pPr>
              <w:pStyle w:val="36"/>
              <w:keepLines w:val="0"/>
              <w:kinsoku/>
              <w:wordWrap/>
              <w:overflowPunct/>
              <w:topLinePunct w:val="0"/>
              <w:bidi w:val="0"/>
              <w:spacing w:line="240" w:lineRule="auto"/>
              <w:jc w:val="center"/>
            </w:pPr>
          </w:p>
        </w:tc>
        <w:tc>
          <w:tcPr>
            <w:tcW w:w="784" w:type="pct"/>
            <w:vAlign w:val="center"/>
          </w:tcPr>
          <w:p w14:paraId="12375DBD">
            <w:pPr>
              <w:pStyle w:val="36"/>
              <w:keepLines w:val="0"/>
              <w:kinsoku/>
              <w:wordWrap/>
              <w:overflowPunct/>
              <w:topLinePunct w:val="0"/>
              <w:bidi w:val="0"/>
              <w:spacing w:line="240" w:lineRule="auto"/>
              <w:jc w:val="center"/>
              <w:rPr>
                <w:rFonts w:hint="default" w:eastAsia="宋体"/>
                <w:lang w:val="en-US" w:eastAsia="zh-CN"/>
              </w:rPr>
            </w:pPr>
            <w:r>
              <w:rPr>
                <w:rFonts w:hint="eastAsia"/>
                <w:lang w:val="en-US" w:eastAsia="zh-CN"/>
              </w:rPr>
              <w:t>运行维护能力</w:t>
            </w:r>
          </w:p>
        </w:tc>
        <w:tc>
          <w:tcPr>
            <w:tcW w:w="3620" w:type="pct"/>
            <w:vAlign w:val="center"/>
          </w:tcPr>
          <w:p w14:paraId="72C38023">
            <w:pPr>
              <w:pStyle w:val="36"/>
              <w:keepLines w:val="0"/>
              <w:kinsoku/>
              <w:wordWrap/>
              <w:overflowPunct/>
              <w:topLinePunct w:val="0"/>
              <w:bidi w:val="0"/>
              <w:spacing w:line="240" w:lineRule="auto"/>
              <w:jc w:val="both"/>
              <w:rPr>
                <w:rFonts w:hint="eastAsia"/>
              </w:rPr>
            </w:pPr>
            <w:r>
              <w:rPr>
                <w:rFonts w:hint="eastAsia" w:ascii="宋体" w:hAnsi="Times New Roman" w:eastAsia="宋体" w:cs="Times New Roman"/>
                <w:i w:val="0"/>
                <w:iCs w:val="0"/>
                <w:caps w:val="0"/>
                <w:spacing w:val="0"/>
                <w:sz w:val="18"/>
                <w:szCs w:val="20"/>
                <w:shd w:val="clear"/>
              </w:rPr>
              <w:t>节能服务公司应具备</w:t>
            </w:r>
            <w:r>
              <w:rPr>
                <w:rFonts w:hint="eastAsia" w:ascii="宋体" w:hAnsi="Times New Roman" w:cs="Times New Roman"/>
                <w:i w:val="0"/>
                <w:iCs w:val="0"/>
                <w:caps w:val="0"/>
                <w:spacing w:val="0"/>
                <w:sz w:val="18"/>
                <w:szCs w:val="20"/>
                <w:shd w:val="clear"/>
                <w:lang w:val="en-US" w:eastAsia="zh-CN"/>
              </w:rPr>
              <w:t>能源托管项目的运维服务能力，</w:t>
            </w:r>
            <w:r>
              <w:rPr>
                <w:rFonts w:hint="eastAsia" w:ascii="宋体" w:hAnsi="Times New Roman" w:eastAsia="宋体" w:cs="Times New Roman"/>
                <w:i w:val="0"/>
                <w:iCs w:val="0"/>
                <w:caps w:val="0"/>
                <w:spacing w:val="0"/>
                <w:sz w:val="18"/>
                <w:szCs w:val="20"/>
                <w:shd w:val="clear"/>
              </w:rPr>
              <w:t>保障能源托管项目规范高效运行。</w:t>
            </w:r>
            <w:r>
              <w:rPr>
                <w:rFonts w:hint="eastAsia" w:ascii="宋体" w:hAnsi="Times New Roman" w:cs="Times New Roman"/>
                <w:i w:val="0"/>
                <w:iCs w:val="0"/>
                <w:caps w:val="0"/>
                <w:spacing w:val="0"/>
                <w:sz w:val="18"/>
                <w:szCs w:val="20"/>
                <w:shd w:val="clear"/>
                <w:lang w:val="en-US" w:eastAsia="zh-CN"/>
              </w:rPr>
              <w:t>包括</w:t>
            </w:r>
            <w:r>
              <w:rPr>
                <w:rFonts w:hint="eastAsia" w:ascii="宋体" w:hAnsi="Times New Roman" w:eastAsia="宋体" w:cs="Times New Roman"/>
                <w:i w:val="0"/>
                <w:iCs w:val="0"/>
                <w:caps w:val="0"/>
                <w:spacing w:val="0"/>
                <w:sz w:val="18"/>
                <w:szCs w:val="20"/>
              </w:rPr>
              <w:t>是否建立能源统计及分析、值班、巡回检查、设备维护保养、维修、定期运行分析等制度</w:t>
            </w:r>
            <w:r>
              <w:rPr>
                <w:rFonts w:hint="eastAsia" w:ascii="宋体" w:hAnsi="Times New Roman" w:cs="Times New Roman"/>
                <w:i w:val="0"/>
                <w:iCs w:val="0"/>
                <w:caps w:val="0"/>
                <w:spacing w:val="0"/>
                <w:sz w:val="18"/>
                <w:szCs w:val="20"/>
                <w:lang w:eastAsia="zh-CN"/>
              </w:rPr>
              <w:t>；</w:t>
            </w:r>
            <w:r>
              <w:rPr>
                <w:rFonts w:hint="eastAsia" w:ascii="宋体" w:hAnsi="Times New Roman" w:cs="Times New Roman"/>
                <w:i w:val="0"/>
                <w:iCs w:val="0"/>
                <w:caps w:val="0"/>
                <w:spacing w:val="0"/>
                <w:sz w:val="18"/>
                <w:szCs w:val="20"/>
                <w:lang w:val="en-US" w:eastAsia="zh-CN"/>
              </w:rPr>
              <w:t>是否建立运维人员能力培训、管理考核等制度。</w:t>
            </w:r>
          </w:p>
        </w:tc>
      </w:tr>
      <w:tr w14:paraId="5030412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0" w:type="dxa"/>
            <w:bottom w:w="0" w:type="dxa"/>
            <w:right w:w="100" w:type="dxa"/>
          </w:tblCellMar>
        </w:tblPrEx>
        <w:trPr>
          <w:jc w:val="center"/>
        </w:trPr>
        <w:tc>
          <w:tcPr>
            <w:tcW w:w="594" w:type="pct"/>
            <w:vMerge w:val="continue"/>
            <w:vAlign w:val="center"/>
          </w:tcPr>
          <w:p w14:paraId="3CC73AED">
            <w:pPr>
              <w:pStyle w:val="36"/>
              <w:keepLines w:val="0"/>
              <w:kinsoku/>
              <w:wordWrap/>
              <w:overflowPunct/>
              <w:topLinePunct w:val="0"/>
              <w:bidi w:val="0"/>
              <w:spacing w:line="240" w:lineRule="auto"/>
              <w:jc w:val="center"/>
            </w:pPr>
          </w:p>
        </w:tc>
        <w:tc>
          <w:tcPr>
            <w:tcW w:w="784" w:type="pct"/>
            <w:vAlign w:val="center"/>
          </w:tcPr>
          <w:p w14:paraId="50DD704E">
            <w:pPr>
              <w:pStyle w:val="36"/>
              <w:keepLines w:val="0"/>
              <w:kinsoku/>
              <w:wordWrap/>
              <w:overflowPunct/>
              <w:topLinePunct w:val="0"/>
              <w:bidi w:val="0"/>
              <w:spacing w:line="240" w:lineRule="auto"/>
              <w:jc w:val="center"/>
              <w:rPr>
                <w:rFonts w:hint="default" w:eastAsia="宋体"/>
                <w:lang w:val="en-US" w:eastAsia="zh-CN"/>
              </w:rPr>
            </w:pPr>
            <w:r>
              <w:rPr>
                <w:rFonts w:hint="eastAsia"/>
                <w:lang w:val="en-US" w:eastAsia="zh-CN"/>
              </w:rPr>
              <w:t>项目移交</w:t>
            </w:r>
          </w:p>
        </w:tc>
        <w:tc>
          <w:tcPr>
            <w:tcW w:w="3620" w:type="pct"/>
            <w:vAlign w:val="center"/>
          </w:tcPr>
          <w:p w14:paraId="10567550">
            <w:pPr>
              <w:pStyle w:val="36"/>
              <w:keepLines w:val="0"/>
              <w:kinsoku/>
              <w:wordWrap/>
              <w:overflowPunct/>
              <w:topLinePunct w:val="0"/>
              <w:bidi w:val="0"/>
              <w:spacing w:line="240" w:lineRule="auto"/>
              <w:jc w:val="both"/>
              <w:rPr>
                <w:rFonts w:hint="eastAsia" w:ascii="宋体" w:hAnsi="Times New Roman" w:eastAsia="宋体" w:cs="Times New Roman"/>
                <w:i w:val="0"/>
                <w:iCs w:val="0"/>
                <w:caps w:val="0"/>
                <w:spacing w:val="0"/>
                <w:sz w:val="18"/>
                <w:szCs w:val="20"/>
                <w:shd w:val="clear"/>
                <w:lang w:val="en-US" w:eastAsia="zh-CN"/>
              </w:rPr>
            </w:pPr>
            <w:r>
              <w:rPr>
                <w:rFonts w:hint="eastAsia" w:ascii="宋体" w:hAnsi="Times New Roman" w:eastAsia="宋体" w:cs="Times New Roman"/>
                <w:i w:val="0"/>
                <w:iCs w:val="0"/>
                <w:caps w:val="0"/>
                <w:spacing w:val="0"/>
                <w:sz w:val="18"/>
                <w:szCs w:val="20"/>
                <w:shd w:val="clear"/>
                <w:lang w:val="en-US" w:eastAsia="zh-CN"/>
              </w:rPr>
              <w:t>托管合同结束前1个月，节能服务公司应对托管范围内的用能系统或设备进行全面排查检修，保证用能系统或设备能正常运行；托管合同结束后，节能服务公司将托管范围内的设备设施无偿移交给用能单位，并对用能单位的相关人员开展培训。</w:t>
            </w:r>
          </w:p>
        </w:tc>
      </w:tr>
      <w:tr w14:paraId="6F046C2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0" w:type="dxa"/>
            <w:bottom w:w="0" w:type="dxa"/>
            <w:right w:w="100" w:type="dxa"/>
          </w:tblCellMar>
        </w:tblPrEx>
        <w:trPr>
          <w:jc w:val="center"/>
        </w:trPr>
        <w:tc>
          <w:tcPr>
            <w:tcW w:w="594" w:type="pct"/>
            <w:vMerge w:val="restart"/>
            <w:vAlign w:val="center"/>
          </w:tcPr>
          <w:p w14:paraId="2658072B">
            <w:pPr>
              <w:pStyle w:val="36"/>
              <w:keepLines w:val="0"/>
              <w:kinsoku/>
              <w:wordWrap/>
              <w:overflowPunct/>
              <w:topLinePunct w:val="0"/>
              <w:bidi w:val="0"/>
              <w:spacing w:line="240" w:lineRule="auto"/>
              <w:jc w:val="center"/>
              <w:rPr>
                <w:rFonts w:hint="default" w:eastAsia="宋体"/>
                <w:lang w:val="en-US" w:eastAsia="zh-CN"/>
              </w:rPr>
            </w:pPr>
            <w:r>
              <w:rPr>
                <w:rFonts w:hint="eastAsia"/>
                <w:lang w:val="en-US" w:eastAsia="zh-CN"/>
              </w:rPr>
              <w:t>服务绩效</w:t>
            </w:r>
          </w:p>
        </w:tc>
        <w:tc>
          <w:tcPr>
            <w:tcW w:w="784" w:type="pct"/>
            <w:vAlign w:val="center"/>
          </w:tcPr>
          <w:p w14:paraId="1B7EE97C">
            <w:pPr>
              <w:pStyle w:val="36"/>
              <w:keepLines w:val="0"/>
              <w:kinsoku/>
              <w:wordWrap/>
              <w:overflowPunct/>
              <w:topLinePunct w:val="0"/>
              <w:bidi w:val="0"/>
              <w:spacing w:line="240" w:lineRule="auto"/>
              <w:jc w:val="center"/>
              <w:rPr>
                <w:rFonts w:hint="default" w:eastAsia="宋体"/>
                <w:lang w:val="en-US" w:eastAsia="zh-CN"/>
              </w:rPr>
            </w:pPr>
            <w:r>
              <w:rPr>
                <w:rFonts w:hint="eastAsia"/>
                <w:lang w:val="en-US" w:eastAsia="zh-CN"/>
              </w:rPr>
              <w:t>项目数量</w:t>
            </w:r>
          </w:p>
        </w:tc>
        <w:tc>
          <w:tcPr>
            <w:tcW w:w="3620" w:type="pct"/>
            <w:vAlign w:val="center"/>
          </w:tcPr>
          <w:p w14:paraId="00E8B151">
            <w:pPr>
              <w:pStyle w:val="36"/>
              <w:keepLines w:val="0"/>
              <w:kinsoku/>
              <w:wordWrap/>
              <w:overflowPunct/>
              <w:topLinePunct w:val="0"/>
              <w:bidi w:val="0"/>
              <w:spacing w:line="240" w:lineRule="auto"/>
              <w:jc w:val="both"/>
              <w:rPr>
                <w:rFonts w:hint="eastAsia" w:eastAsia="宋体"/>
                <w:lang w:val="en-US" w:eastAsia="zh-CN"/>
              </w:rPr>
            </w:pPr>
            <w:r>
              <w:rPr>
                <w:rFonts w:hint="eastAsia"/>
                <w:lang w:val="en-US" w:eastAsia="zh-CN"/>
              </w:rPr>
              <w:t>节能服务公司应成功实施过一定数量的能源托管项目。</w:t>
            </w:r>
          </w:p>
        </w:tc>
      </w:tr>
      <w:tr w14:paraId="7FF1F12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0" w:type="dxa"/>
            <w:bottom w:w="0" w:type="dxa"/>
            <w:right w:w="100" w:type="dxa"/>
          </w:tblCellMar>
        </w:tblPrEx>
        <w:trPr>
          <w:jc w:val="center"/>
        </w:trPr>
        <w:tc>
          <w:tcPr>
            <w:tcW w:w="594" w:type="pct"/>
            <w:vMerge w:val="continue"/>
            <w:vAlign w:val="center"/>
          </w:tcPr>
          <w:p w14:paraId="3377893B">
            <w:pPr>
              <w:pStyle w:val="36"/>
              <w:keepLines w:val="0"/>
              <w:kinsoku/>
              <w:wordWrap/>
              <w:overflowPunct/>
              <w:topLinePunct w:val="0"/>
              <w:bidi w:val="0"/>
              <w:spacing w:line="240" w:lineRule="auto"/>
              <w:jc w:val="center"/>
            </w:pPr>
          </w:p>
        </w:tc>
        <w:tc>
          <w:tcPr>
            <w:tcW w:w="784" w:type="pct"/>
            <w:vAlign w:val="center"/>
          </w:tcPr>
          <w:p w14:paraId="70A5C0A0">
            <w:pPr>
              <w:pStyle w:val="36"/>
              <w:keepLines w:val="0"/>
              <w:kinsoku/>
              <w:wordWrap/>
              <w:overflowPunct/>
              <w:topLinePunct w:val="0"/>
              <w:bidi w:val="0"/>
              <w:spacing w:line="240" w:lineRule="auto"/>
              <w:jc w:val="center"/>
              <w:rPr>
                <w:rFonts w:hint="eastAsia" w:eastAsia="宋体"/>
                <w:lang w:val="en-US" w:eastAsia="zh-CN"/>
              </w:rPr>
            </w:pPr>
            <w:r>
              <w:rPr>
                <w:rFonts w:hint="eastAsia"/>
                <w:lang w:val="en-US" w:eastAsia="zh-CN"/>
              </w:rPr>
              <w:t>客户满意度</w:t>
            </w:r>
          </w:p>
        </w:tc>
        <w:tc>
          <w:tcPr>
            <w:tcW w:w="3620" w:type="pct"/>
            <w:vAlign w:val="center"/>
          </w:tcPr>
          <w:p w14:paraId="643E5D69">
            <w:pPr>
              <w:pStyle w:val="36"/>
              <w:keepLines w:val="0"/>
              <w:kinsoku/>
              <w:wordWrap/>
              <w:overflowPunct/>
              <w:topLinePunct w:val="0"/>
              <w:bidi w:val="0"/>
              <w:spacing w:line="240" w:lineRule="auto"/>
              <w:jc w:val="both"/>
              <w:rPr>
                <w:rFonts w:hint="eastAsia" w:ascii="宋体" w:hAnsi="Times New Roman" w:eastAsia="宋体" w:cs="Times New Roman"/>
                <w:i w:val="0"/>
                <w:iCs w:val="0"/>
                <w:caps w:val="0"/>
                <w:spacing w:val="0"/>
                <w:sz w:val="18"/>
                <w:szCs w:val="20"/>
                <w:shd w:val="clear"/>
                <w:lang w:val="en-US" w:eastAsia="zh-CN"/>
              </w:rPr>
            </w:pPr>
            <w:r>
              <w:rPr>
                <w:rFonts w:hint="eastAsia" w:ascii="宋体" w:hAnsi="Times New Roman" w:eastAsia="宋体" w:cs="Times New Roman"/>
                <w:i w:val="0"/>
                <w:iCs w:val="0"/>
                <w:caps w:val="0"/>
                <w:spacing w:val="0"/>
                <w:sz w:val="18"/>
                <w:szCs w:val="20"/>
                <w:shd w:val="clear"/>
                <w:lang w:val="en-US" w:eastAsia="zh-CN"/>
              </w:rPr>
              <w:t>客户对节能服务公司提供能源托管服务的总体满意度较高。</w:t>
            </w:r>
          </w:p>
        </w:tc>
      </w:tr>
      <w:tr w14:paraId="48D2D9F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0" w:type="dxa"/>
            <w:bottom w:w="0" w:type="dxa"/>
            <w:right w:w="100" w:type="dxa"/>
          </w:tblCellMar>
        </w:tblPrEx>
        <w:trPr>
          <w:jc w:val="center"/>
        </w:trPr>
        <w:tc>
          <w:tcPr>
            <w:tcW w:w="594" w:type="pct"/>
            <w:vMerge w:val="continue"/>
            <w:vAlign w:val="center"/>
          </w:tcPr>
          <w:p w14:paraId="386D08DC">
            <w:pPr>
              <w:pStyle w:val="36"/>
              <w:keepLines w:val="0"/>
              <w:kinsoku/>
              <w:wordWrap/>
              <w:overflowPunct/>
              <w:topLinePunct w:val="0"/>
              <w:bidi w:val="0"/>
              <w:spacing w:line="240" w:lineRule="auto"/>
              <w:jc w:val="center"/>
            </w:pPr>
          </w:p>
        </w:tc>
        <w:tc>
          <w:tcPr>
            <w:tcW w:w="784" w:type="pct"/>
            <w:vAlign w:val="center"/>
          </w:tcPr>
          <w:p w14:paraId="0A4E255D">
            <w:pPr>
              <w:pStyle w:val="36"/>
              <w:keepLines w:val="0"/>
              <w:kinsoku/>
              <w:wordWrap/>
              <w:overflowPunct/>
              <w:topLinePunct w:val="0"/>
              <w:bidi w:val="0"/>
              <w:spacing w:line="240" w:lineRule="auto"/>
              <w:ind w:firstLine="0" w:firstLineChars="0"/>
              <w:jc w:val="center"/>
            </w:pPr>
            <w:r>
              <w:rPr>
                <w:rFonts w:hint="eastAsia"/>
                <w:lang w:val="en-US" w:eastAsia="zh-CN"/>
              </w:rPr>
              <w:t>节能效果</w:t>
            </w:r>
          </w:p>
        </w:tc>
        <w:tc>
          <w:tcPr>
            <w:tcW w:w="3620" w:type="pct"/>
            <w:vAlign w:val="center"/>
          </w:tcPr>
          <w:p w14:paraId="51453EF2">
            <w:pPr>
              <w:pStyle w:val="36"/>
              <w:keepLines w:val="0"/>
              <w:kinsoku/>
              <w:wordWrap/>
              <w:overflowPunct/>
              <w:topLinePunct w:val="0"/>
              <w:bidi w:val="0"/>
              <w:spacing w:line="240" w:lineRule="auto"/>
              <w:ind w:firstLine="0" w:firstLineChars="0"/>
              <w:jc w:val="both"/>
              <w:rPr>
                <w:rFonts w:hint="eastAsia"/>
                <w:lang w:val="en-US"/>
              </w:rPr>
            </w:pPr>
            <w:r>
              <w:rPr>
                <w:rFonts w:hint="eastAsia" w:ascii="宋体" w:hAnsi="Times New Roman" w:eastAsia="宋体" w:cs="Times New Roman"/>
                <w:i w:val="0"/>
                <w:iCs w:val="0"/>
                <w:caps w:val="0"/>
                <w:spacing w:val="0"/>
                <w:sz w:val="18"/>
                <w:szCs w:val="20"/>
                <w:shd w:val="clear"/>
                <w:lang w:val="en-US" w:eastAsia="zh-CN"/>
              </w:rPr>
              <w:t>节能服务公司应提供满足合同约定的设备和服务，节能量达到合同要求。</w:t>
            </w:r>
          </w:p>
        </w:tc>
      </w:tr>
      <w:tr w14:paraId="4F4C11D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0" w:type="dxa"/>
            <w:bottom w:w="0" w:type="dxa"/>
            <w:right w:w="100" w:type="dxa"/>
          </w:tblCellMar>
        </w:tblPrEx>
        <w:trPr>
          <w:jc w:val="center"/>
        </w:trPr>
        <w:tc>
          <w:tcPr>
            <w:tcW w:w="594" w:type="pct"/>
            <w:vMerge w:val="continue"/>
            <w:vAlign w:val="center"/>
          </w:tcPr>
          <w:p w14:paraId="5F0DCEFD">
            <w:pPr>
              <w:pStyle w:val="36"/>
              <w:keepLines w:val="0"/>
              <w:kinsoku/>
              <w:wordWrap/>
              <w:overflowPunct/>
              <w:topLinePunct w:val="0"/>
              <w:bidi w:val="0"/>
              <w:spacing w:line="240" w:lineRule="auto"/>
              <w:jc w:val="center"/>
            </w:pPr>
          </w:p>
        </w:tc>
        <w:tc>
          <w:tcPr>
            <w:tcW w:w="784" w:type="pct"/>
            <w:vAlign w:val="center"/>
          </w:tcPr>
          <w:p w14:paraId="1A178B4B">
            <w:pPr>
              <w:pStyle w:val="36"/>
              <w:keepLines w:val="0"/>
              <w:kinsoku/>
              <w:wordWrap/>
              <w:overflowPunct/>
              <w:topLinePunct w:val="0"/>
              <w:bidi w:val="0"/>
              <w:spacing w:line="240" w:lineRule="auto"/>
              <w:ind w:firstLine="0" w:firstLineChars="0"/>
              <w:jc w:val="center"/>
            </w:pPr>
            <w:r>
              <w:rPr>
                <w:rFonts w:hint="default" w:ascii="Times New Roman" w:hAnsi="Times New Roman" w:eastAsia="宋体" w:cs="Times New Roman"/>
                <w:lang w:val="en-US" w:eastAsia="zh-CN"/>
              </w:rPr>
              <w:t>运维响应时效</w:t>
            </w:r>
          </w:p>
        </w:tc>
        <w:tc>
          <w:tcPr>
            <w:tcW w:w="3620" w:type="pct"/>
            <w:vAlign w:val="center"/>
          </w:tcPr>
          <w:p w14:paraId="19024143">
            <w:pPr>
              <w:pStyle w:val="36"/>
              <w:keepLines w:val="0"/>
              <w:kinsoku/>
              <w:wordWrap/>
              <w:overflowPunct/>
              <w:topLinePunct w:val="0"/>
              <w:bidi w:val="0"/>
              <w:spacing w:line="240" w:lineRule="auto"/>
              <w:ind w:firstLine="0" w:firstLineChars="0"/>
              <w:jc w:val="both"/>
              <w:rPr>
                <w:rFonts w:hint="eastAsia" w:ascii="宋体" w:hAnsi="Times New Roman" w:eastAsia="宋体" w:cs="Times New Roman"/>
                <w:i w:val="0"/>
                <w:iCs w:val="0"/>
                <w:caps w:val="0"/>
                <w:spacing w:val="0"/>
                <w:sz w:val="18"/>
                <w:szCs w:val="20"/>
                <w:shd w:val="clear"/>
                <w:lang w:val="en-US" w:eastAsia="zh-CN"/>
              </w:rPr>
            </w:pPr>
            <w:r>
              <w:rPr>
                <w:rFonts w:hint="eastAsia" w:ascii="宋体" w:hAnsi="Times New Roman" w:eastAsia="宋体" w:cs="Times New Roman"/>
                <w:i w:val="0"/>
                <w:iCs w:val="0"/>
                <w:caps w:val="0"/>
                <w:spacing w:val="0"/>
                <w:sz w:val="18"/>
                <w:szCs w:val="20"/>
                <w:shd w:val="clear"/>
                <w:lang w:val="en-US" w:eastAsia="zh-CN"/>
              </w:rPr>
              <w:t>节能服务公司针对能源托管项目的设备故障、运维需求，需在约定时限内响应并处置，保障用能系统稳定运行。</w:t>
            </w:r>
          </w:p>
        </w:tc>
      </w:tr>
      <w:tr w14:paraId="57AF2A7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0" w:type="dxa"/>
            <w:bottom w:w="0" w:type="dxa"/>
            <w:right w:w="100" w:type="dxa"/>
          </w:tblCellMar>
        </w:tblPrEx>
        <w:trPr>
          <w:jc w:val="center"/>
        </w:trPr>
        <w:tc>
          <w:tcPr>
            <w:tcW w:w="594" w:type="pct"/>
            <w:vMerge w:val="continue"/>
            <w:vAlign w:val="center"/>
          </w:tcPr>
          <w:p w14:paraId="08725923">
            <w:pPr>
              <w:pStyle w:val="36"/>
              <w:keepLines w:val="0"/>
              <w:kinsoku/>
              <w:wordWrap/>
              <w:overflowPunct/>
              <w:topLinePunct w:val="0"/>
              <w:bidi w:val="0"/>
              <w:spacing w:line="240" w:lineRule="auto"/>
              <w:jc w:val="center"/>
            </w:pPr>
          </w:p>
        </w:tc>
        <w:tc>
          <w:tcPr>
            <w:tcW w:w="784" w:type="pct"/>
            <w:vAlign w:val="center"/>
          </w:tcPr>
          <w:p w14:paraId="05CB71F6">
            <w:pPr>
              <w:pStyle w:val="36"/>
              <w:keepLines w:val="0"/>
              <w:kinsoku/>
              <w:wordWrap/>
              <w:overflowPunct/>
              <w:topLinePunct w:val="0"/>
              <w:bidi w:val="0"/>
              <w:spacing w:line="240" w:lineRule="auto"/>
              <w:jc w:val="center"/>
              <w:rPr>
                <w:rFonts w:hint="eastAsia" w:eastAsia="宋体"/>
                <w:lang w:val="en-US" w:eastAsia="zh-CN"/>
              </w:rPr>
            </w:pPr>
            <w:r>
              <w:rPr>
                <w:rFonts w:hint="eastAsia"/>
                <w:lang w:val="en-US" w:eastAsia="zh-CN"/>
              </w:rPr>
              <w:t>信誉度</w:t>
            </w:r>
          </w:p>
        </w:tc>
        <w:tc>
          <w:tcPr>
            <w:tcW w:w="3620" w:type="pct"/>
            <w:vAlign w:val="center"/>
          </w:tcPr>
          <w:p w14:paraId="73968157">
            <w:pPr>
              <w:pStyle w:val="36"/>
              <w:keepLines w:val="0"/>
              <w:kinsoku/>
              <w:wordWrap/>
              <w:overflowPunct/>
              <w:topLinePunct w:val="0"/>
              <w:bidi w:val="0"/>
              <w:spacing w:line="240" w:lineRule="auto"/>
              <w:jc w:val="both"/>
              <w:rPr>
                <w:rFonts w:hint="eastAsia" w:eastAsia="宋体"/>
                <w:lang w:val="en-US" w:eastAsia="zh-CN"/>
              </w:rPr>
            </w:pPr>
            <w:r>
              <w:rPr>
                <w:rFonts w:hint="eastAsia"/>
                <w:lang w:val="en-US" w:eastAsia="zh-CN"/>
              </w:rPr>
              <w:t>节能服务公司应合法、诚信经营，具备较好的企业信用，无重大处罚记录。</w:t>
            </w:r>
          </w:p>
        </w:tc>
      </w:tr>
    </w:tbl>
    <w:p w14:paraId="3EBB116B">
      <w:pPr>
        <w:pStyle w:val="15"/>
        <w:keepLines w:val="0"/>
        <w:kinsoku/>
        <w:wordWrap/>
        <w:overflowPunct/>
        <w:topLinePunct w:val="0"/>
        <w:bidi w:val="0"/>
        <w:spacing w:before="240" w:after="240" w:line="240" w:lineRule="auto"/>
        <w:ind w:left="0"/>
        <w:rPr>
          <w:rFonts w:hint="default"/>
          <w:szCs w:val="21"/>
          <w:lang w:val="en-US" w:eastAsia="zh-CN"/>
        </w:rPr>
      </w:pPr>
      <w:bookmarkStart w:id="50" w:name="_Toc16614"/>
      <w:bookmarkStart w:id="51" w:name="_Toc20997"/>
      <w:r>
        <w:rPr>
          <w:rFonts w:hint="eastAsia"/>
          <w:szCs w:val="21"/>
          <w:lang w:val="en-US" w:eastAsia="zh-CN"/>
        </w:rPr>
        <w:t>评价实施</w:t>
      </w:r>
      <w:bookmarkEnd w:id="49"/>
      <w:bookmarkEnd w:id="50"/>
      <w:bookmarkEnd w:id="51"/>
    </w:p>
    <w:p w14:paraId="12D18E6D">
      <w:pPr>
        <w:pStyle w:val="18"/>
        <w:keepLines w:val="0"/>
        <w:kinsoku/>
        <w:wordWrap/>
        <w:overflowPunct/>
        <w:topLinePunct w:val="0"/>
        <w:bidi w:val="0"/>
        <w:spacing w:line="240" w:lineRule="auto"/>
        <w:ind w:left="0" w:leftChars="0" w:firstLine="0" w:firstLineChars="0"/>
        <w:rPr>
          <w:rFonts w:hint="eastAsia" w:ascii="宋体" w:hAnsi="宋体" w:eastAsia="宋体" w:cs="宋体"/>
          <w:lang w:val="en-US" w:eastAsia="zh-CN"/>
        </w:rPr>
      </w:pPr>
      <w:bookmarkStart w:id="52" w:name="_Toc11471"/>
      <w:bookmarkStart w:id="53" w:name="_Toc12467"/>
      <w:r>
        <w:rPr>
          <w:rFonts w:hint="eastAsia" w:ascii="宋体" w:hAnsi="宋体" w:eastAsia="宋体" w:cs="宋体"/>
          <w:lang w:val="en-US" w:eastAsia="zh-CN"/>
        </w:rPr>
        <w:t>评价应制定计划，计划中宜包括评价目的、评价范围、评价依据、评价人员、进度安排、评价内容、评价方式、评价结果的形式等。</w:t>
      </w:r>
      <w:bookmarkEnd w:id="52"/>
      <w:bookmarkEnd w:id="53"/>
    </w:p>
    <w:p w14:paraId="364AFE6D">
      <w:pPr>
        <w:pStyle w:val="18"/>
        <w:keepLines w:val="0"/>
        <w:kinsoku/>
        <w:wordWrap/>
        <w:overflowPunct/>
        <w:topLinePunct w:val="0"/>
        <w:bidi w:val="0"/>
        <w:spacing w:line="240" w:lineRule="auto"/>
        <w:ind w:left="0" w:leftChars="0" w:firstLine="0" w:firstLineChars="0"/>
        <w:rPr>
          <w:rFonts w:hint="eastAsia" w:ascii="宋体" w:hAnsi="宋体" w:eastAsia="宋体" w:cs="宋体"/>
          <w:highlight w:val="none"/>
          <w:lang w:val="en-US" w:eastAsia="zh-CN"/>
        </w:rPr>
      </w:pPr>
      <w:bookmarkStart w:id="54" w:name="_Toc19813"/>
      <w:bookmarkStart w:id="55" w:name="_Toc27365"/>
      <w:r>
        <w:rPr>
          <w:rFonts w:hint="eastAsia" w:ascii="宋体" w:hAnsi="宋体" w:eastAsia="宋体" w:cs="宋体"/>
          <w:lang w:val="en-US" w:eastAsia="zh-CN"/>
        </w:rPr>
        <w:t>评价方式包括但不限于文件资料和记录查</w:t>
      </w:r>
      <w:r>
        <w:rPr>
          <w:rFonts w:hint="eastAsia" w:ascii="宋体" w:hAnsi="宋体" w:eastAsia="宋体" w:cs="宋体"/>
          <w:highlight w:val="none"/>
          <w:lang w:val="en-US" w:eastAsia="zh-CN"/>
        </w:rPr>
        <w:t>阅，项目人员询问、现场观察、档案调阅，项目抽样审查、客户及相关方访谈、问卷调查等。</w:t>
      </w:r>
      <w:bookmarkEnd w:id="54"/>
      <w:bookmarkEnd w:id="55"/>
    </w:p>
    <w:p w14:paraId="30293AA8">
      <w:pPr>
        <w:pStyle w:val="18"/>
        <w:keepLines w:val="0"/>
        <w:kinsoku/>
        <w:wordWrap/>
        <w:overflowPunct/>
        <w:topLinePunct w:val="0"/>
        <w:bidi w:val="0"/>
        <w:spacing w:line="240" w:lineRule="auto"/>
        <w:ind w:left="0" w:leftChars="0" w:firstLine="0" w:firstLineChars="0"/>
        <w:rPr>
          <w:rFonts w:hint="eastAsia" w:ascii="宋体" w:hAnsi="宋体" w:eastAsia="宋体" w:cs="宋体"/>
          <w:highlight w:val="none"/>
          <w:lang w:val="en-US" w:eastAsia="zh-CN"/>
        </w:rPr>
      </w:pPr>
      <w:bookmarkStart w:id="56" w:name="_Toc8801"/>
      <w:bookmarkStart w:id="57" w:name="_Toc21645"/>
      <w:r>
        <w:rPr>
          <w:rFonts w:hint="eastAsia" w:ascii="宋体" w:hAnsi="宋体" w:eastAsia="宋体" w:cs="宋体"/>
          <w:highlight w:val="none"/>
          <w:lang w:val="en-US" w:eastAsia="zh-CN"/>
        </w:rPr>
        <w:t>评价结果的形式宜综合考虑服务能力、服务过程、服务绩效三个维度的评价指标，以综合性评价指标来反映能源托管服务水平。也可根据评价目的和需求，对服务能力、服务过程或服务绩效得出单独的评价结果。可用不同级别来表示评价结果。</w:t>
      </w:r>
      <w:bookmarkEnd w:id="56"/>
      <w:bookmarkEnd w:id="57"/>
    </w:p>
    <w:p w14:paraId="48D7CA6B">
      <w:pPr>
        <w:pStyle w:val="15"/>
        <w:keepLines w:val="0"/>
        <w:kinsoku/>
        <w:wordWrap/>
        <w:overflowPunct/>
        <w:topLinePunct w:val="0"/>
        <w:bidi w:val="0"/>
        <w:spacing w:before="240" w:after="240" w:line="240" w:lineRule="auto"/>
        <w:ind w:left="0"/>
        <w:rPr>
          <w:rFonts w:hint="default"/>
          <w:szCs w:val="21"/>
          <w:highlight w:val="none"/>
          <w:lang w:val="en-US" w:eastAsia="zh-CN"/>
        </w:rPr>
      </w:pPr>
      <w:bookmarkStart w:id="58" w:name="_Toc7791"/>
      <w:bookmarkStart w:id="59" w:name="_Toc5407"/>
      <w:bookmarkStart w:id="60" w:name="_Toc17483"/>
      <w:r>
        <w:rPr>
          <w:rFonts w:hint="eastAsia"/>
          <w:szCs w:val="21"/>
          <w:highlight w:val="none"/>
          <w:lang w:val="en-US" w:eastAsia="zh-CN"/>
        </w:rPr>
        <w:t>评价结果</w:t>
      </w:r>
      <w:bookmarkEnd w:id="58"/>
      <w:r>
        <w:rPr>
          <w:rFonts w:hint="eastAsia"/>
          <w:szCs w:val="21"/>
          <w:highlight w:val="none"/>
          <w:lang w:val="en-US" w:eastAsia="zh-CN"/>
        </w:rPr>
        <w:t>与等级划分</w:t>
      </w:r>
      <w:bookmarkEnd w:id="59"/>
      <w:bookmarkEnd w:id="60"/>
    </w:p>
    <w:p w14:paraId="6AC46384">
      <w:pPr>
        <w:pStyle w:val="18"/>
        <w:keepLines w:val="0"/>
        <w:kinsoku/>
        <w:wordWrap/>
        <w:overflowPunct/>
        <w:topLinePunct w:val="0"/>
        <w:bidi w:val="0"/>
        <w:spacing w:line="240" w:lineRule="auto"/>
        <w:ind w:left="0" w:leftChars="0" w:firstLine="0" w:firstLineChars="0"/>
        <w:rPr>
          <w:rFonts w:hint="default"/>
          <w:highlight w:val="none"/>
          <w:lang w:val="en-US" w:eastAsia="zh-CN"/>
        </w:rPr>
      </w:pPr>
      <w:bookmarkStart w:id="61" w:name="_Toc20132"/>
      <w:r>
        <w:rPr>
          <w:rFonts w:hint="eastAsia"/>
          <w:highlight w:val="none"/>
          <w:lang w:val="en-US" w:eastAsia="zh-CN"/>
        </w:rPr>
        <w:t>评价结果的计算</w:t>
      </w:r>
      <w:bookmarkEnd w:id="61"/>
    </w:p>
    <w:p w14:paraId="6D4DB327">
      <w:pPr>
        <w:pStyle w:val="16"/>
        <w:keepLines w:val="0"/>
        <w:kinsoku/>
        <w:wordWrap/>
        <w:overflowPunct/>
        <w:topLinePunct w:val="0"/>
        <w:bidi w:val="0"/>
        <w:spacing w:line="240" w:lineRule="auto"/>
        <w:rPr>
          <w:rFonts w:hint="eastAsia"/>
          <w:highlight w:val="none"/>
          <w:lang w:val="en-US" w:eastAsia="zh-CN"/>
        </w:rPr>
      </w:pPr>
      <w:r>
        <w:rPr>
          <w:rFonts w:hint="eastAsia"/>
          <w:highlight w:val="none"/>
          <w:lang w:val="en-US" w:eastAsia="zh-CN"/>
        </w:rPr>
        <w:t>按公式（1）计算能源费用托管服务的评价结果，附录</w:t>
      </w:r>
      <w:r>
        <w:rPr>
          <w:rFonts w:hint="eastAsia" w:ascii="宋体" w:hAnsi="宋体" w:eastAsia="宋体" w:cs="宋体"/>
          <w:highlight w:val="none"/>
          <w:lang w:val="en-US" w:eastAsia="zh-CN"/>
        </w:rPr>
        <w:t>A</w:t>
      </w:r>
      <w:r>
        <w:rPr>
          <w:rFonts w:hint="eastAsia"/>
          <w:highlight w:val="none"/>
          <w:lang w:val="en-US" w:eastAsia="zh-CN"/>
        </w:rPr>
        <w:t>规定了</w:t>
      </w:r>
      <m:oMath>
        <m:sSub>
          <m:sSubPr>
            <m:ctrlPr>
              <w:rPr>
                <w:rFonts w:hint="default" w:ascii="Cambria Math" w:hAnsi="Cambria Math" w:cs="Times New Roman"/>
                <w:i/>
                <w:kern w:val="2"/>
                <w:sz w:val="21"/>
                <w:szCs w:val="21"/>
                <w:highlight w:val="none"/>
                <w:lang w:val="en-US" w:eastAsia="zh-CN" w:bidi="ar-SA"/>
              </w:rPr>
            </m:ctrlPr>
          </m:sSubPr>
          <m:e>
            <m:r>
              <m:rPr>
                <m:nor/>
              </m:rPr>
              <w:rPr>
                <w:rFonts w:hint="default" w:ascii="Times New Roman" w:hAnsi="Times New Roman" w:cs="Times New Roman"/>
                <w:i/>
                <w:kern w:val="2"/>
                <w:sz w:val="21"/>
                <w:szCs w:val="21"/>
                <w:highlight w:val="none"/>
                <w:lang w:val="en-US" w:eastAsia="zh-CN" w:bidi="ar-SA"/>
              </w:rPr>
              <m:t>S</m:t>
            </m:r>
            <m:ctrlPr>
              <w:rPr>
                <w:rFonts w:hint="default" w:ascii="Cambria Math" w:hAnsi="Cambria Math" w:cs="Times New Roman"/>
                <w:i/>
                <w:kern w:val="2"/>
                <w:sz w:val="21"/>
                <w:szCs w:val="21"/>
                <w:highlight w:val="none"/>
                <w:lang w:val="en-US" w:eastAsia="zh-CN" w:bidi="ar-SA"/>
              </w:rPr>
            </m:ctrlPr>
          </m:e>
          <m:sub>
            <m:r>
              <m:rPr>
                <m:nor/>
                <m:sty m:val="p"/>
              </m:rPr>
              <w:rPr>
                <w:rFonts w:hint="default" w:ascii="Times New Roman" w:hAnsi="Times New Roman" w:cs="Times New Roman"/>
                <w:b w:val="0"/>
                <w:i w:val="0"/>
                <w:kern w:val="2"/>
                <w:sz w:val="21"/>
                <w:szCs w:val="21"/>
                <w:highlight w:val="none"/>
                <w:lang w:val="en-US" w:eastAsia="zh-CN" w:bidi="ar-SA"/>
              </w:rPr>
              <m:t>1</m:t>
            </m:r>
            <m:ctrlPr>
              <w:rPr>
                <w:rFonts w:hint="default" w:ascii="Cambria Math" w:hAnsi="Cambria Math" w:cs="Times New Roman"/>
                <w:i/>
                <w:kern w:val="2"/>
                <w:sz w:val="21"/>
                <w:szCs w:val="21"/>
                <w:highlight w:val="none"/>
                <w:lang w:val="en-US" w:eastAsia="zh-CN" w:bidi="ar-SA"/>
              </w:rPr>
            </m:ctrlPr>
          </m:sub>
        </m:sSub>
      </m:oMath>
      <w:r>
        <w:rPr>
          <w:rFonts w:hint="default" w:ascii="Times New Roman" w:hAnsi="Times New Roman" w:cs="Times New Roman"/>
          <w:highlight w:val="none"/>
          <w:lang w:val="en-US" w:eastAsia="zh-CN"/>
        </w:rPr>
        <w:t>、</w:t>
      </w:r>
      <m:oMath>
        <m:sSub>
          <m:sSubPr>
            <m:ctrlPr>
              <w:rPr>
                <w:rFonts w:hint="default" w:ascii="Cambria Math" w:hAnsi="Cambria Math" w:cs="Times New Roman"/>
                <w:i/>
                <w:kern w:val="2"/>
                <w:sz w:val="21"/>
                <w:szCs w:val="21"/>
                <w:highlight w:val="none"/>
                <w:lang w:val="en-US" w:eastAsia="zh-CN" w:bidi="ar-SA"/>
              </w:rPr>
            </m:ctrlPr>
          </m:sSubPr>
          <m:e>
            <m:r>
              <m:rPr>
                <m:nor/>
              </m:rPr>
              <w:rPr>
                <w:rFonts w:hint="default" w:ascii="Times New Roman" w:hAnsi="Times New Roman" w:cs="Times New Roman"/>
                <w:i/>
                <w:kern w:val="2"/>
                <w:sz w:val="21"/>
                <w:szCs w:val="21"/>
                <w:highlight w:val="none"/>
                <w:lang w:val="en-US" w:eastAsia="zh-CN" w:bidi="ar-SA"/>
              </w:rPr>
              <m:t>S</m:t>
            </m:r>
            <m:ctrlPr>
              <w:rPr>
                <w:rFonts w:hint="default" w:ascii="Cambria Math" w:hAnsi="Cambria Math" w:cs="Times New Roman"/>
                <w:i/>
                <w:kern w:val="2"/>
                <w:sz w:val="21"/>
                <w:szCs w:val="21"/>
                <w:highlight w:val="none"/>
                <w:lang w:val="en-US" w:eastAsia="zh-CN" w:bidi="ar-SA"/>
              </w:rPr>
            </m:ctrlPr>
          </m:e>
          <m:sub>
            <m:r>
              <m:rPr>
                <m:nor/>
                <m:sty m:val="p"/>
              </m:rPr>
              <w:rPr>
                <w:rFonts w:hint="default" w:ascii="Times New Roman" w:hAnsi="Times New Roman" w:cs="Times New Roman"/>
                <w:b w:val="0"/>
                <w:i w:val="0"/>
                <w:kern w:val="2"/>
                <w:sz w:val="21"/>
                <w:szCs w:val="21"/>
                <w:highlight w:val="none"/>
                <w:lang w:val="en-US" w:eastAsia="zh-CN" w:bidi="ar-SA"/>
              </w:rPr>
              <m:t>2</m:t>
            </m:r>
            <m:ctrlPr>
              <w:rPr>
                <w:rFonts w:hint="default" w:ascii="Cambria Math" w:hAnsi="Cambria Math" w:cs="Times New Roman"/>
                <w:i/>
                <w:kern w:val="2"/>
                <w:sz w:val="21"/>
                <w:szCs w:val="21"/>
                <w:highlight w:val="none"/>
                <w:lang w:val="en-US" w:eastAsia="zh-CN" w:bidi="ar-SA"/>
              </w:rPr>
            </m:ctrlPr>
          </m:sub>
        </m:sSub>
      </m:oMath>
      <w:r>
        <w:rPr>
          <w:rFonts w:hint="default" w:ascii="Times New Roman" w:hAnsi="Times New Roman" w:cs="Times New Roman"/>
          <w:i w:val="0"/>
          <w:kern w:val="2"/>
          <w:sz w:val="21"/>
          <w:szCs w:val="21"/>
          <w:highlight w:val="none"/>
          <w:lang w:val="en-US" w:eastAsia="zh-CN" w:bidi="ar-SA"/>
        </w:rPr>
        <w:t>、</w:t>
      </w:r>
      <m:oMath>
        <m:sSub>
          <m:sSubPr>
            <m:ctrlPr>
              <w:rPr>
                <w:rFonts w:hint="default" w:ascii="Cambria Math" w:hAnsi="Cambria Math" w:cs="Times New Roman"/>
                <w:i/>
                <w:kern w:val="2"/>
                <w:sz w:val="21"/>
                <w:szCs w:val="21"/>
                <w:highlight w:val="none"/>
                <w:lang w:val="en-US" w:eastAsia="zh-CN" w:bidi="ar-SA"/>
              </w:rPr>
            </m:ctrlPr>
          </m:sSubPr>
          <m:e>
            <m:r>
              <m:rPr>
                <m:nor/>
              </m:rPr>
              <w:rPr>
                <w:rFonts w:hint="default" w:ascii="Times New Roman" w:hAnsi="Times New Roman" w:cs="Times New Roman"/>
                <w:i/>
                <w:kern w:val="2"/>
                <w:sz w:val="21"/>
                <w:szCs w:val="21"/>
                <w:highlight w:val="none"/>
                <w:lang w:val="en-US" w:eastAsia="zh-CN" w:bidi="ar-SA"/>
              </w:rPr>
              <m:t>S</m:t>
            </m:r>
            <m:ctrlPr>
              <w:rPr>
                <w:rFonts w:hint="default" w:ascii="Cambria Math" w:hAnsi="Cambria Math" w:cs="Times New Roman"/>
                <w:i/>
                <w:kern w:val="2"/>
                <w:sz w:val="21"/>
                <w:szCs w:val="21"/>
                <w:highlight w:val="none"/>
                <w:lang w:val="en-US" w:eastAsia="zh-CN" w:bidi="ar-SA"/>
              </w:rPr>
            </m:ctrlPr>
          </m:e>
          <m:sub>
            <m:r>
              <m:rPr>
                <m:nor/>
                <m:sty m:val="p"/>
              </m:rPr>
              <w:rPr>
                <w:rFonts w:hint="default" w:ascii="Times New Roman" w:hAnsi="Times New Roman" w:cs="Times New Roman"/>
                <w:b w:val="0"/>
                <w:i w:val="0"/>
                <w:kern w:val="2"/>
                <w:sz w:val="21"/>
                <w:szCs w:val="21"/>
                <w:highlight w:val="none"/>
                <w:lang w:val="en-US" w:eastAsia="zh-CN" w:bidi="ar-SA"/>
              </w:rPr>
              <m:t>3</m:t>
            </m:r>
            <m:ctrlPr>
              <w:rPr>
                <w:rFonts w:hint="default" w:ascii="Cambria Math" w:hAnsi="Cambria Math" w:cs="Times New Roman"/>
                <w:i/>
                <w:kern w:val="2"/>
                <w:sz w:val="21"/>
                <w:szCs w:val="21"/>
                <w:highlight w:val="none"/>
                <w:lang w:val="en-US" w:eastAsia="zh-CN" w:bidi="ar-SA"/>
              </w:rPr>
            </m:ctrlPr>
          </m:sub>
        </m:sSub>
      </m:oMath>
      <w:r>
        <w:rPr>
          <w:rFonts w:hint="eastAsia" w:hAnsi="Cambria Math" w:cs="Times New Roman"/>
          <w:i w:val="0"/>
          <w:kern w:val="2"/>
          <w:sz w:val="21"/>
          <w:szCs w:val="21"/>
          <w:highlight w:val="none"/>
          <w:lang w:val="en-US" w:eastAsia="zh-CN" w:bidi="ar-SA"/>
        </w:rPr>
        <w:t>的得分标准</w:t>
      </w:r>
      <w:r>
        <w:rPr>
          <w:rFonts w:hint="eastAsia"/>
          <w:highlight w:val="none"/>
          <w:lang w:val="en-US" w:eastAsia="zh-CN"/>
        </w:rPr>
        <w:t>。</w:t>
      </w:r>
    </w:p>
    <w:p w14:paraId="56034307">
      <w:pPr>
        <w:pStyle w:val="37"/>
        <w:keepLines w:val="0"/>
        <w:kinsoku/>
        <w:wordWrap/>
        <w:overflowPunct/>
        <w:topLinePunct w:val="0"/>
        <w:bidi w:val="0"/>
        <w:spacing w:line="240" w:lineRule="auto"/>
        <w:rPr>
          <w:rFonts w:hint="eastAsia"/>
          <w:highlight w:val="none"/>
          <w:lang w:eastAsia="zh-CN"/>
        </w:rPr>
      </w:pPr>
      <w:r>
        <w:rPr>
          <w:rFonts w:hint="eastAsia"/>
          <w:highlight w:val="none"/>
          <w:lang w:eastAsia="zh-CN"/>
        </w:rPr>
        <w:tab/>
      </w:r>
      <m:oMath>
        <m:r>
          <m:rPr>
            <m:nor/>
          </m:rPr>
          <w:rPr>
            <w:rFonts w:hint="default" w:ascii="Times New Roman" w:hAnsi="Times New Roman" w:cs="Times New Roman"/>
            <w:i/>
            <w:kern w:val="2"/>
            <w:sz w:val="21"/>
            <w:szCs w:val="21"/>
            <w:highlight w:val="none"/>
            <w:lang w:val="en-US" w:eastAsia="zh-CN" w:bidi="ar-SA"/>
          </w:rPr>
          <m:t>S</m:t>
        </m:r>
        <m:r>
          <m:rPr>
            <m:nor/>
            <m:sty m:val="p"/>
          </m:rPr>
          <w:rPr>
            <w:rFonts w:hint="default" w:ascii="Times New Roman" w:hAnsi="Times New Roman" w:cs="Times New Roman"/>
            <w:b w:val="0"/>
            <w:i w:val="0"/>
            <w:kern w:val="2"/>
            <w:sz w:val="21"/>
            <w:szCs w:val="21"/>
            <w:highlight w:val="none"/>
            <w:lang w:val="en-US" w:eastAsia="zh-CN" w:bidi="ar-SA"/>
          </w:rPr>
          <m:t>=</m:t>
        </m:r>
        <m:sSub>
          <m:sSubPr>
            <m:ctrlPr>
              <w:rPr>
                <w:rFonts w:hint="default" w:ascii="Cambria Math" w:hAnsi="Cambria Math" w:cs="Times New Roman"/>
                <w:i/>
                <w:kern w:val="2"/>
                <w:sz w:val="21"/>
                <w:szCs w:val="21"/>
                <w:highlight w:val="none"/>
                <w:lang w:val="en-US" w:eastAsia="zh-CN" w:bidi="ar-SA"/>
              </w:rPr>
            </m:ctrlPr>
          </m:sSubPr>
          <m:e>
            <m:r>
              <m:rPr>
                <m:nor/>
              </m:rPr>
              <w:rPr>
                <w:rFonts w:hint="default" w:ascii="Times New Roman" w:hAnsi="Times New Roman" w:cs="Times New Roman"/>
                <w:i/>
                <w:kern w:val="2"/>
                <w:sz w:val="21"/>
                <w:szCs w:val="21"/>
                <w:highlight w:val="none"/>
                <w:lang w:val="en-US" w:eastAsia="zh-CN" w:bidi="ar-SA"/>
              </w:rPr>
              <m:t>S</m:t>
            </m:r>
            <m:ctrlPr>
              <w:rPr>
                <w:rFonts w:hint="default" w:ascii="Cambria Math" w:hAnsi="Cambria Math" w:cs="Times New Roman"/>
                <w:i/>
                <w:kern w:val="2"/>
                <w:sz w:val="21"/>
                <w:szCs w:val="21"/>
                <w:highlight w:val="none"/>
                <w:lang w:val="en-US" w:eastAsia="zh-CN" w:bidi="ar-SA"/>
              </w:rPr>
            </m:ctrlPr>
          </m:e>
          <m:sub>
            <m:r>
              <m:rPr>
                <m:nor/>
                <m:sty m:val="p"/>
              </m:rPr>
              <w:rPr>
                <w:rFonts w:hint="default" w:ascii="Times New Roman" w:hAnsi="Times New Roman" w:cs="Times New Roman"/>
                <w:b w:val="0"/>
                <w:i w:val="0"/>
                <w:kern w:val="2"/>
                <w:sz w:val="21"/>
                <w:szCs w:val="21"/>
                <w:highlight w:val="none"/>
                <w:lang w:val="en-US" w:eastAsia="zh-CN" w:bidi="ar-SA"/>
              </w:rPr>
              <m:t>1</m:t>
            </m:r>
            <m:ctrlPr>
              <w:rPr>
                <w:rFonts w:hint="default" w:ascii="Cambria Math" w:hAnsi="Cambria Math" w:cs="Times New Roman"/>
                <w:i/>
                <w:kern w:val="2"/>
                <w:sz w:val="21"/>
                <w:szCs w:val="21"/>
                <w:highlight w:val="none"/>
                <w:lang w:val="en-US" w:eastAsia="zh-CN" w:bidi="ar-SA"/>
              </w:rPr>
            </m:ctrlPr>
          </m:sub>
        </m:sSub>
        <m:r>
          <m:rPr>
            <m:nor/>
            <m:sty m:val="p"/>
          </m:rPr>
          <w:rPr>
            <w:rFonts w:hint="default" w:ascii="Times New Roman" w:hAnsi="Times New Roman" w:cs="Times New Roman"/>
            <w:b w:val="0"/>
            <w:i w:val="0"/>
            <w:kern w:val="2"/>
            <w:sz w:val="21"/>
            <w:szCs w:val="21"/>
            <w:highlight w:val="none"/>
            <w:lang w:val="en-US" w:eastAsia="zh-CN" w:bidi="ar-SA"/>
          </w:rPr>
          <m:t>+</m:t>
        </m:r>
        <m:sSub>
          <m:sSubPr>
            <m:ctrlPr>
              <w:rPr>
                <w:rFonts w:hint="default" w:ascii="Cambria Math" w:hAnsi="Cambria Math" w:cs="Times New Roman"/>
                <w:i/>
                <w:kern w:val="2"/>
                <w:sz w:val="21"/>
                <w:szCs w:val="21"/>
                <w:highlight w:val="none"/>
                <w:lang w:val="en-US" w:eastAsia="zh-CN" w:bidi="ar-SA"/>
              </w:rPr>
            </m:ctrlPr>
          </m:sSubPr>
          <m:e>
            <m:r>
              <m:rPr>
                <m:nor/>
              </m:rPr>
              <w:rPr>
                <w:rFonts w:hint="default" w:ascii="Times New Roman" w:hAnsi="Times New Roman" w:cs="Times New Roman"/>
                <w:i/>
                <w:kern w:val="2"/>
                <w:sz w:val="21"/>
                <w:szCs w:val="21"/>
                <w:highlight w:val="none"/>
                <w:lang w:val="en-US" w:eastAsia="zh-CN" w:bidi="ar-SA"/>
              </w:rPr>
              <m:t>S</m:t>
            </m:r>
            <m:ctrlPr>
              <w:rPr>
                <w:rFonts w:hint="default" w:ascii="Cambria Math" w:hAnsi="Cambria Math" w:cs="Times New Roman"/>
                <w:i/>
                <w:kern w:val="2"/>
                <w:sz w:val="21"/>
                <w:szCs w:val="21"/>
                <w:highlight w:val="none"/>
                <w:lang w:val="en-US" w:eastAsia="zh-CN" w:bidi="ar-SA"/>
              </w:rPr>
            </m:ctrlPr>
          </m:e>
          <m:sub>
            <m:r>
              <m:rPr>
                <m:nor/>
                <m:sty m:val="p"/>
              </m:rPr>
              <w:rPr>
                <w:rFonts w:hint="default" w:ascii="Times New Roman" w:hAnsi="Times New Roman" w:cs="Times New Roman"/>
                <w:b w:val="0"/>
                <w:i w:val="0"/>
                <w:kern w:val="2"/>
                <w:sz w:val="21"/>
                <w:szCs w:val="21"/>
                <w:highlight w:val="none"/>
                <w:lang w:val="en-US" w:eastAsia="zh-CN" w:bidi="ar-SA"/>
              </w:rPr>
              <m:t>2</m:t>
            </m:r>
            <m:ctrlPr>
              <w:rPr>
                <w:rFonts w:hint="default" w:ascii="Cambria Math" w:hAnsi="Cambria Math" w:cs="Times New Roman"/>
                <w:i/>
                <w:kern w:val="2"/>
                <w:sz w:val="21"/>
                <w:szCs w:val="21"/>
                <w:highlight w:val="none"/>
                <w:lang w:val="en-US" w:eastAsia="zh-CN" w:bidi="ar-SA"/>
              </w:rPr>
            </m:ctrlPr>
          </m:sub>
        </m:sSub>
        <m:r>
          <m:rPr>
            <m:nor/>
            <m:sty m:val="p"/>
          </m:rPr>
          <w:rPr>
            <w:rFonts w:hint="default" w:ascii="Times New Roman" w:hAnsi="Times New Roman" w:cs="Times New Roman"/>
            <w:b w:val="0"/>
            <w:i w:val="0"/>
            <w:kern w:val="2"/>
            <w:sz w:val="21"/>
            <w:szCs w:val="21"/>
            <w:highlight w:val="none"/>
            <w:lang w:val="en-US" w:eastAsia="zh-CN" w:bidi="ar-SA"/>
          </w:rPr>
          <m:t>+</m:t>
        </m:r>
        <m:sSub>
          <m:sSubPr>
            <m:ctrlPr>
              <w:rPr>
                <w:rFonts w:hint="default" w:ascii="Cambria Math" w:hAnsi="Cambria Math" w:cs="Times New Roman"/>
                <w:i/>
                <w:kern w:val="2"/>
                <w:sz w:val="21"/>
                <w:szCs w:val="21"/>
                <w:highlight w:val="none"/>
                <w:lang w:val="en-US" w:eastAsia="zh-CN" w:bidi="ar-SA"/>
              </w:rPr>
            </m:ctrlPr>
          </m:sSubPr>
          <m:e>
            <m:r>
              <m:rPr>
                <m:nor/>
              </m:rPr>
              <w:rPr>
                <w:rFonts w:hint="default" w:ascii="Times New Roman" w:hAnsi="Times New Roman" w:cs="Times New Roman"/>
                <w:i/>
                <w:kern w:val="2"/>
                <w:sz w:val="21"/>
                <w:szCs w:val="21"/>
                <w:highlight w:val="none"/>
                <w:lang w:val="en-US" w:eastAsia="zh-CN" w:bidi="ar-SA"/>
              </w:rPr>
              <m:t>S</m:t>
            </m:r>
            <m:ctrlPr>
              <w:rPr>
                <w:rFonts w:hint="default" w:ascii="Cambria Math" w:hAnsi="Cambria Math" w:cs="Times New Roman"/>
                <w:i/>
                <w:kern w:val="2"/>
                <w:sz w:val="21"/>
                <w:szCs w:val="21"/>
                <w:highlight w:val="none"/>
                <w:lang w:val="en-US" w:eastAsia="zh-CN" w:bidi="ar-SA"/>
              </w:rPr>
            </m:ctrlPr>
          </m:e>
          <m:sub>
            <m:r>
              <m:rPr>
                <m:nor/>
                <m:sty m:val="p"/>
              </m:rPr>
              <w:rPr>
                <w:rFonts w:hint="default" w:ascii="Times New Roman" w:hAnsi="Times New Roman" w:cs="Times New Roman"/>
                <w:b w:val="0"/>
                <w:i w:val="0"/>
                <w:kern w:val="2"/>
                <w:sz w:val="21"/>
                <w:szCs w:val="21"/>
                <w:highlight w:val="none"/>
                <w:lang w:val="en-US" w:eastAsia="zh-CN" w:bidi="ar-SA"/>
              </w:rPr>
              <m:t>3</m:t>
            </m:r>
            <m:ctrlPr>
              <w:rPr>
                <w:rFonts w:hint="default" w:ascii="Cambria Math" w:hAnsi="Cambria Math" w:cs="Times New Roman"/>
                <w:i/>
                <w:kern w:val="2"/>
                <w:sz w:val="21"/>
                <w:szCs w:val="21"/>
                <w:highlight w:val="none"/>
                <w:lang w:val="en-US" w:eastAsia="zh-CN" w:bidi="ar-SA"/>
              </w:rPr>
            </m:ctrlPr>
          </m:sub>
        </m:sSub>
      </m:oMath>
      <w:r>
        <w:rPr>
          <w:rFonts w:hint="eastAsia" w:ascii="宋体" w:hAnsi="宋体" w:eastAsia="宋体" w:cs="宋体"/>
          <w:highlight w:val="none"/>
          <w:lang w:eastAsia="zh-CN"/>
        </w:rPr>
        <w:tab/>
      </w:r>
      <w:r>
        <w:rPr>
          <w:rFonts w:hint="eastAsia" w:ascii="宋体" w:hAnsi="宋体" w:eastAsia="宋体" w:cs="宋体"/>
          <w:highlight w:val="none"/>
          <w:lang w:eastAsia="zh-CN"/>
        </w:rPr>
        <w:t>(</w:t>
      </w:r>
      <w:r>
        <w:rPr>
          <w:rFonts w:hint="eastAsia" w:ascii="宋体" w:hAnsi="宋体" w:eastAsia="宋体" w:cs="宋体"/>
          <w:highlight w:val="none"/>
          <w:lang w:eastAsia="zh-CN"/>
        </w:rPr>
        <w:fldChar w:fldCharType="begin"/>
      </w:r>
      <w:r>
        <w:rPr>
          <w:rFonts w:hint="eastAsia" w:ascii="宋体" w:hAnsi="宋体" w:eastAsia="宋体" w:cs="宋体"/>
          <w:highlight w:val="none"/>
          <w:lang w:eastAsia="zh-CN"/>
        </w:rPr>
        <w:instrText xml:space="preserve"> SEQ 公式 \* ARABIC </w:instrText>
      </w:r>
      <w:r>
        <w:rPr>
          <w:rFonts w:hint="eastAsia" w:ascii="宋体" w:hAnsi="宋体" w:eastAsia="宋体" w:cs="宋体"/>
          <w:highlight w:val="none"/>
          <w:lang w:eastAsia="zh-CN"/>
        </w:rPr>
        <w:fldChar w:fldCharType="separate"/>
      </w:r>
      <w:r>
        <w:rPr>
          <w:rFonts w:hint="eastAsia" w:ascii="宋体" w:hAnsi="宋体" w:eastAsia="宋体" w:cs="宋体"/>
          <w:highlight w:val="none"/>
          <w:lang w:eastAsia="zh-CN"/>
        </w:rPr>
        <w:t>1</w:t>
      </w:r>
      <w:r>
        <w:rPr>
          <w:rFonts w:hint="eastAsia" w:ascii="宋体" w:hAnsi="宋体" w:eastAsia="宋体" w:cs="宋体"/>
          <w:highlight w:val="none"/>
          <w:lang w:eastAsia="zh-CN"/>
        </w:rPr>
        <w:fldChar w:fldCharType="end"/>
      </w:r>
      <w:r>
        <w:rPr>
          <w:rFonts w:hint="eastAsia" w:ascii="宋体" w:hAnsi="宋体" w:eastAsia="宋体" w:cs="宋体"/>
          <w:highlight w:val="none"/>
          <w:lang w:eastAsia="zh-CN"/>
        </w:rPr>
        <w:t>)</w:t>
      </w:r>
    </w:p>
    <w:p w14:paraId="60666ADD">
      <w:pPr>
        <w:pStyle w:val="38"/>
        <w:keepLines w:val="0"/>
        <w:kinsoku/>
        <w:wordWrap/>
        <w:overflowPunct/>
        <w:topLinePunct w:val="0"/>
        <w:bidi w:val="0"/>
        <w:spacing w:line="240" w:lineRule="auto"/>
        <w:rPr>
          <w:rFonts w:hint="eastAsia" w:ascii="宋体" w:hAnsi="宋体" w:eastAsia="宋体" w:cs="宋体"/>
          <w:highlight w:val="none"/>
          <w:lang w:eastAsia="zh-CN"/>
        </w:rPr>
      </w:pPr>
      <w:r>
        <w:rPr>
          <w:rFonts w:hint="eastAsia" w:ascii="宋体" w:hAnsi="宋体" w:eastAsia="宋体" w:cs="宋体"/>
          <w:highlight w:val="none"/>
          <w:lang w:eastAsia="zh-CN"/>
        </w:rPr>
        <w:t>式中：</w:t>
      </w:r>
    </w:p>
    <w:p w14:paraId="562F4327">
      <w:pPr>
        <w:pStyle w:val="16"/>
        <w:keepLines w:val="0"/>
        <w:kinsoku/>
        <w:wordWrap/>
        <w:overflowPunct/>
        <w:topLinePunct w:val="0"/>
        <w:bidi w:val="0"/>
        <w:spacing w:line="240" w:lineRule="auto"/>
        <w:ind w:firstLine="420"/>
        <w:rPr>
          <w:rFonts w:hint="eastAsia" w:hAnsi="Cambria Math" w:cs="Times New Roman"/>
          <w:i w:val="0"/>
          <w:kern w:val="2"/>
          <w:sz w:val="21"/>
          <w:szCs w:val="21"/>
          <w:highlight w:val="none"/>
          <w:lang w:val="en-US" w:eastAsia="zh-CN" w:bidi="ar-SA"/>
        </w:rPr>
      </w:pPr>
      <m:oMath>
        <m:r>
          <m:rPr>
            <m:nor/>
          </m:rPr>
          <w:rPr>
            <w:rFonts w:hint="default" w:ascii="Times New Roman" w:hAnsi="Times New Roman" w:cs="Times New Roman"/>
            <w:i/>
            <w:kern w:val="2"/>
            <w:sz w:val="21"/>
            <w:szCs w:val="21"/>
            <w:highlight w:val="none"/>
            <w:lang w:val="en-US" w:eastAsia="zh-CN" w:bidi="ar-SA"/>
          </w:rPr>
          <m:t>S</m:t>
        </m:r>
      </m:oMath>
      <w:r>
        <w:rPr>
          <w:rFonts w:hint="default" w:ascii="Times New Roman" w:hAnsi="Times New Roman" w:cs="Times New Roman"/>
          <w:i w:val="0"/>
          <w:kern w:val="2"/>
          <w:sz w:val="21"/>
          <w:szCs w:val="21"/>
          <w:highlight w:val="none"/>
          <w:lang w:val="en-US" w:eastAsia="zh-CN" w:bidi="ar-SA"/>
        </w:rPr>
        <w:t>——</w:t>
      </w:r>
      <w:r>
        <w:rPr>
          <w:rFonts w:hint="eastAsia" w:hAnsi="Cambria Math" w:cs="Times New Roman"/>
          <w:i w:val="0"/>
          <w:kern w:val="2"/>
          <w:sz w:val="21"/>
          <w:szCs w:val="21"/>
          <w:highlight w:val="none"/>
          <w:lang w:val="en-US" w:eastAsia="zh-CN" w:bidi="ar-SA"/>
        </w:rPr>
        <w:t>能源费用托管服务评价总得分；</w:t>
      </w:r>
    </w:p>
    <w:p w14:paraId="05BDCE97">
      <w:pPr>
        <w:pStyle w:val="16"/>
        <w:keepLines w:val="0"/>
        <w:kinsoku/>
        <w:wordWrap/>
        <w:overflowPunct/>
        <w:topLinePunct w:val="0"/>
        <w:bidi w:val="0"/>
        <w:spacing w:line="240" w:lineRule="auto"/>
        <w:ind w:firstLine="420"/>
        <w:rPr>
          <w:rFonts w:hint="default" w:hAnsi="Cambria Math" w:cs="Times New Roman"/>
          <w:i w:val="0"/>
          <w:kern w:val="2"/>
          <w:sz w:val="21"/>
          <w:szCs w:val="21"/>
          <w:highlight w:val="none"/>
          <w:lang w:val="en-US" w:eastAsia="zh-CN" w:bidi="ar-SA"/>
        </w:rPr>
      </w:pPr>
      <m:oMath>
        <m:sSub>
          <m:sSubPr>
            <m:ctrlPr>
              <w:rPr>
                <w:rFonts w:hint="default" w:ascii="Cambria Math" w:hAnsi="Cambria Math" w:cs="Times New Roman"/>
                <w:i/>
                <w:kern w:val="2"/>
                <w:sz w:val="21"/>
                <w:szCs w:val="21"/>
                <w:highlight w:val="none"/>
                <w:lang w:val="en-US" w:eastAsia="zh-CN" w:bidi="ar-SA"/>
              </w:rPr>
            </m:ctrlPr>
          </m:sSubPr>
          <m:e>
            <m:r>
              <m:rPr>
                <m:nor/>
              </m:rPr>
              <w:rPr>
                <w:rFonts w:hint="default" w:ascii="Times New Roman" w:hAnsi="Times New Roman" w:cs="Times New Roman"/>
                <w:i/>
                <w:kern w:val="2"/>
                <w:sz w:val="21"/>
                <w:szCs w:val="21"/>
                <w:highlight w:val="none"/>
                <w:lang w:val="en-US" w:eastAsia="zh-CN" w:bidi="ar-SA"/>
              </w:rPr>
              <m:t>S</m:t>
            </m:r>
            <m:ctrlPr>
              <w:rPr>
                <w:rFonts w:hint="default" w:ascii="Cambria Math" w:hAnsi="Cambria Math" w:cs="Times New Roman"/>
                <w:i/>
                <w:kern w:val="2"/>
                <w:sz w:val="21"/>
                <w:szCs w:val="21"/>
                <w:highlight w:val="none"/>
                <w:lang w:val="en-US" w:eastAsia="zh-CN" w:bidi="ar-SA"/>
              </w:rPr>
            </m:ctrlPr>
          </m:e>
          <m:sub>
            <m:r>
              <m:rPr>
                <m:nor/>
                <m:sty m:val="p"/>
              </m:rPr>
              <w:rPr>
                <w:rFonts w:hint="default" w:ascii="Times New Roman" w:hAnsi="Times New Roman" w:cs="Times New Roman"/>
                <w:b w:val="0"/>
                <w:i w:val="0"/>
                <w:kern w:val="2"/>
                <w:sz w:val="21"/>
                <w:szCs w:val="21"/>
                <w:highlight w:val="none"/>
                <w:lang w:val="en-US" w:eastAsia="zh-CN" w:bidi="ar-SA"/>
              </w:rPr>
              <m:t>1</m:t>
            </m:r>
            <m:ctrlPr>
              <w:rPr>
                <w:rFonts w:hint="default" w:ascii="Cambria Math" w:hAnsi="Cambria Math" w:cs="Times New Roman"/>
                <w:i/>
                <w:kern w:val="2"/>
                <w:sz w:val="21"/>
                <w:szCs w:val="21"/>
                <w:highlight w:val="none"/>
                <w:lang w:val="en-US" w:eastAsia="zh-CN" w:bidi="ar-SA"/>
              </w:rPr>
            </m:ctrlPr>
          </m:sub>
        </m:sSub>
      </m:oMath>
      <w:r>
        <w:rPr>
          <w:rFonts w:hint="default" w:ascii="Times New Roman" w:hAnsi="Times New Roman" w:cs="Times New Roman"/>
          <w:i w:val="0"/>
          <w:kern w:val="2"/>
          <w:sz w:val="21"/>
          <w:szCs w:val="21"/>
          <w:highlight w:val="none"/>
          <w:lang w:val="en-US" w:eastAsia="zh-CN" w:bidi="ar-SA"/>
        </w:rPr>
        <w:t>——</w:t>
      </w:r>
      <w:r>
        <w:rPr>
          <w:rFonts w:hint="eastAsia" w:hAnsi="Cambria Math" w:cs="Times New Roman"/>
          <w:i w:val="0"/>
          <w:kern w:val="2"/>
          <w:sz w:val="21"/>
          <w:szCs w:val="21"/>
          <w:highlight w:val="none"/>
          <w:lang w:val="en-US" w:eastAsia="zh-CN" w:bidi="ar-SA"/>
        </w:rPr>
        <w:t>服务能力指标得分；</w:t>
      </w:r>
    </w:p>
    <w:p w14:paraId="7E632331">
      <w:pPr>
        <w:pStyle w:val="16"/>
        <w:keepLines w:val="0"/>
        <w:kinsoku/>
        <w:wordWrap/>
        <w:overflowPunct/>
        <w:topLinePunct w:val="0"/>
        <w:bidi w:val="0"/>
        <w:spacing w:line="240" w:lineRule="auto"/>
        <w:ind w:firstLine="420"/>
        <w:rPr>
          <w:rFonts w:hint="eastAsia" w:hAnsi="Cambria Math" w:cs="Times New Roman"/>
          <w:i w:val="0"/>
          <w:kern w:val="2"/>
          <w:sz w:val="21"/>
          <w:szCs w:val="21"/>
          <w:highlight w:val="none"/>
          <w:lang w:val="en-US" w:eastAsia="zh-CN" w:bidi="ar-SA"/>
        </w:rPr>
      </w:pPr>
      <m:oMath>
        <m:sSub>
          <m:sSubPr>
            <m:ctrlPr>
              <w:rPr>
                <w:rFonts w:hint="default" w:ascii="Cambria Math" w:hAnsi="Cambria Math" w:cs="Times New Roman"/>
                <w:i/>
                <w:kern w:val="2"/>
                <w:sz w:val="21"/>
                <w:szCs w:val="21"/>
                <w:highlight w:val="none"/>
                <w:lang w:val="en-US" w:eastAsia="zh-CN" w:bidi="ar-SA"/>
              </w:rPr>
            </m:ctrlPr>
          </m:sSubPr>
          <m:e>
            <m:r>
              <m:rPr>
                <m:nor/>
              </m:rPr>
              <w:rPr>
                <w:rFonts w:hint="default" w:ascii="Times New Roman" w:hAnsi="Times New Roman" w:cs="Times New Roman"/>
                <w:i/>
                <w:kern w:val="2"/>
                <w:sz w:val="21"/>
                <w:szCs w:val="21"/>
                <w:highlight w:val="none"/>
                <w:lang w:val="en-US" w:eastAsia="zh-CN" w:bidi="ar-SA"/>
              </w:rPr>
              <m:t>S</m:t>
            </m:r>
            <m:ctrlPr>
              <w:rPr>
                <w:rFonts w:hint="default" w:ascii="Cambria Math" w:hAnsi="Cambria Math" w:cs="Times New Roman"/>
                <w:i/>
                <w:kern w:val="2"/>
                <w:sz w:val="21"/>
                <w:szCs w:val="21"/>
                <w:highlight w:val="none"/>
                <w:lang w:val="en-US" w:eastAsia="zh-CN" w:bidi="ar-SA"/>
              </w:rPr>
            </m:ctrlPr>
          </m:e>
          <m:sub>
            <m:r>
              <m:rPr>
                <m:nor/>
                <m:sty m:val="p"/>
              </m:rPr>
              <w:rPr>
                <w:rFonts w:hint="default" w:ascii="Times New Roman" w:hAnsi="Times New Roman" w:cs="Times New Roman"/>
                <w:b w:val="0"/>
                <w:i w:val="0"/>
                <w:kern w:val="2"/>
                <w:sz w:val="21"/>
                <w:szCs w:val="21"/>
                <w:highlight w:val="none"/>
                <w:lang w:val="en-US" w:eastAsia="zh-CN" w:bidi="ar-SA"/>
              </w:rPr>
              <m:t>2</m:t>
            </m:r>
            <m:ctrlPr>
              <w:rPr>
                <w:rFonts w:hint="default" w:ascii="Cambria Math" w:hAnsi="Cambria Math" w:cs="Times New Roman"/>
                <w:i/>
                <w:kern w:val="2"/>
                <w:sz w:val="21"/>
                <w:szCs w:val="21"/>
                <w:highlight w:val="none"/>
                <w:lang w:val="en-US" w:eastAsia="zh-CN" w:bidi="ar-SA"/>
              </w:rPr>
            </m:ctrlPr>
          </m:sub>
        </m:sSub>
      </m:oMath>
      <w:r>
        <w:rPr>
          <w:rFonts w:hint="default" w:ascii="Times New Roman" w:hAnsi="Times New Roman" w:cs="Times New Roman"/>
          <w:i w:val="0"/>
          <w:kern w:val="2"/>
          <w:sz w:val="21"/>
          <w:szCs w:val="21"/>
          <w:highlight w:val="none"/>
          <w:lang w:val="en-US" w:eastAsia="zh-CN" w:bidi="ar-SA"/>
        </w:rPr>
        <w:t>——</w:t>
      </w:r>
      <w:r>
        <w:rPr>
          <w:rFonts w:hint="eastAsia" w:hAnsi="Cambria Math" w:cs="Times New Roman"/>
          <w:i w:val="0"/>
          <w:kern w:val="2"/>
          <w:sz w:val="21"/>
          <w:szCs w:val="21"/>
          <w:highlight w:val="none"/>
          <w:lang w:val="en-US" w:eastAsia="zh-CN" w:bidi="ar-SA"/>
        </w:rPr>
        <w:t>服务过程指标得分；</w:t>
      </w:r>
    </w:p>
    <w:p w14:paraId="0BBDFAB3">
      <w:pPr>
        <w:pStyle w:val="16"/>
        <w:keepLines w:val="0"/>
        <w:kinsoku/>
        <w:wordWrap/>
        <w:overflowPunct/>
        <w:topLinePunct w:val="0"/>
        <w:bidi w:val="0"/>
        <w:spacing w:line="240" w:lineRule="auto"/>
        <w:ind w:firstLine="420"/>
        <w:rPr>
          <w:rFonts w:hint="default" w:hAnsi="Cambria Math" w:cs="Times New Roman"/>
          <w:i w:val="0"/>
          <w:kern w:val="2"/>
          <w:sz w:val="21"/>
          <w:szCs w:val="21"/>
          <w:highlight w:val="none"/>
          <w:lang w:val="en-US" w:eastAsia="zh-CN" w:bidi="ar-SA"/>
        </w:rPr>
      </w:pPr>
      <m:oMath>
        <m:sSub>
          <m:sSubPr>
            <m:ctrlPr>
              <w:rPr>
                <w:rFonts w:hint="default" w:ascii="Cambria Math" w:hAnsi="Cambria Math" w:cs="Times New Roman"/>
                <w:i/>
                <w:kern w:val="2"/>
                <w:sz w:val="21"/>
                <w:szCs w:val="21"/>
                <w:highlight w:val="none"/>
                <w:lang w:val="en-US" w:eastAsia="zh-CN" w:bidi="ar-SA"/>
              </w:rPr>
            </m:ctrlPr>
          </m:sSubPr>
          <m:e>
            <m:r>
              <m:rPr>
                <m:nor/>
              </m:rPr>
              <w:rPr>
                <w:rFonts w:hint="default" w:ascii="Times New Roman" w:hAnsi="Times New Roman" w:cs="Times New Roman"/>
                <w:i/>
                <w:kern w:val="2"/>
                <w:sz w:val="21"/>
                <w:szCs w:val="21"/>
                <w:highlight w:val="none"/>
                <w:lang w:val="en-US" w:eastAsia="zh-CN" w:bidi="ar-SA"/>
              </w:rPr>
              <m:t>S</m:t>
            </m:r>
            <m:ctrlPr>
              <w:rPr>
                <w:rFonts w:hint="default" w:ascii="Cambria Math" w:hAnsi="Cambria Math" w:cs="Times New Roman"/>
                <w:i/>
                <w:kern w:val="2"/>
                <w:sz w:val="21"/>
                <w:szCs w:val="21"/>
                <w:highlight w:val="none"/>
                <w:lang w:val="en-US" w:eastAsia="zh-CN" w:bidi="ar-SA"/>
              </w:rPr>
            </m:ctrlPr>
          </m:e>
          <m:sub>
            <m:r>
              <m:rPr>
                <m:nor/>
                <m:sty m:val="p"/>
              </m:rPr>
              <w:rPr>
                <w:rFonts w:hint="default" w:ascii="Times New Roman" w:hAnsi="Times New Roman" w:cs="Times New Roman"/>
                <w:b w:val="0"/>
                <w:i w:val="0"/>
                <w:kern w:val="2"/>
                <w:sz w:val="21"/>
                <w:szCs w:val="21"/>
                <w:highlight w:val="none"/>
                <w:lang w:val="en-US" w:eastAsia="zh-CN" w:bidi="ar-SA"/>
              </w:rPr>
              <m:t>3</m:t>
            </m:r>
            <m:ctrlPr>
              <w:rPr>
                <w:rFonts w:hint="default" w:ascii="Cambria Math" w:hAnsi="Cambria Math" w:cs="Times New Roman"/>
                <w:i/>
                <w:kern w:val="2"/>
                <w:sz w:val="21"/>
                <w:szCs w:val="21"/>
                <w:highlight w:val="none"/>
                <w:lang w:val="en-US" w:eastAsia="zh-CN" w:bidi="ar-SA"/>
              </w:rPr>
            </m:ctrlPr>
          </m:sub>
        </m:sSub>
      </m:oMath>
      <w:r>
        <w:rPr>
          <w:rFonts w:hint="default" w:ascii="Times New Roman" w:hAnsi="Times New Roman" w:cs="Times New Roman"/>
          <w:i w:val="0"/>
          <w:kern w:val="2"/>
          <w:sz w:val="21"/>
          <w:szCs w:val="21"/>
          <w:highlight w:val="none"/>
          <w:lang w:val="en-US" w:eastAsia="zh-CN" w:bidi="ar-SA"/>
        </w:rPr>
        <w:t>——</w:t>
      </w:r>
      <w:r>
        <w:rPr>
          <w:rFonts w:hint="eastAsia" w:hAnsi="Cambria Math" w:cs="Times New Roman"/>
          <w:i w:val="0"/>
          <w:kern w:val="2"/>
          <w:sz w:val="21"/>
          <w:szCs w:val="21"/>
          <w:highlight w:val="none"/>
          <w:lang w:val="en-US" w:eastAsia="zh-CN" w:bidi="ar-SA"/>
        </w:rPr>
        <w:t>服务绩效指标得分。</w:t>
      </w:r>
    </w:p>
    <w:p w14:paraId="42F6EAE7">
      <w:pPr>
        <w:pStyle w:val="18"/>
        <w:keepLines w:val="0"/>
        <w:kinsoku/>
        <w:wordWrap/>
        <w:overflowPunct/>
        <w:topLinePunct w:val="0"/>
        <w:bidi w:val="0"/>
        <w:spacing w:line="240" w:lineRule="auto"/>
        <w:ind w:left="0" w:leftChars="0" w:firstLine="0" w:firstLineChars="0"/>
        <w:rPr>
          <w:rFonts w:hint="default"/>
          <w:highlight w:val="none"/>
          <w:lang w:val="en-US" w:eastAsia="zh-CN"/>
        </w:rPr>
      </w:pPr>
      <w:bookmarkStart w:id="62" w:name="_Toc17357"/>
      <w:r>
        <w:rPr>
          <w:rFonts w:hint="eastAsia"/>
          <w:highlight w:val="none"/>
          <w:lang w:val="en-US" w:eastAsia="zh-CN"/>
        </w:rPr>
        <w:t>评价结果应用</w:t>
      </w:r>
      <w:bookmarkEnd w:id="62"/>
    </w:p>
    <w:p w14:paraId="7F874062">
      <w:pPr>
        <w:keepLines w:val="0"/>
        <w:kinsoku/>
        <w:wordWrap/>
        <w:overflowPunct/>
        <w:topLinePunct w:val="0"/>
        <w:bidi w:val="0"/>
        <w:spacing w:before="240" w:after="240" w:line="240" w:lineRule="auto"/>
        <w:ind w:leftChars="0" w:firstLine="420" w:firstLineChars="200"/>
        <w:rPr>
          <w:rFonts w:hint="default" w:ascii="Times New Roman" w:hAnsi="Times New Roman" w:cs="Times New Roman"/>
          <w:szCs w:val="21"/>
          <w:highlight w:val="none"/>
          <w:lang w:val="en-US" w:eastAsia="zh-CN"/>
        </w:rPr>
      </w:pPr>
      <w:r>
        <w:rPr>
          <w:rFonts w:hint="eastAsia" w:ascii="宋体" w:hAnsi="宋体" w:eastAsia="宋体" w:cs="宋体"/>
          <w:highlight w:val="none"/>
          <w:lang w:val="en-US" w:eastAsia="zh-CN"/>
        </w:rPr>
        <w:t>评价结果依据总得分</w:t>
      </w:r>
      <m:oMath>
        <m:r>
          <m:rPr>
            <m:nor/>
          </m:rPr>
          <w:rPr>
            <w:rFonts w:hint="default" w:ascii="Times New Roman" w:hAnsi="Times New Roman" w:cs="Times New Roman"/>
            <w:i/>
            <w:kern w:val="2"/>
            <w:sz w:val="21"/>
            <w:szCs w:val="21"/>
            <w:highlight w:val="none"/>
            <w:lang w:val="en-US" w:eastAsia="zh-CN" w:bidi="ar-SA"/>
          </w:rPr>
          <m:t>S</m:t>
        </m:r>
      </m:oMath>
      <w:r>
        <w:rPr>
          <w:rFonts w:hint="eastAsia" w:ascii="宋体" w:hAnsi="宋体" w:eastAsia="宋体" w:cs="宋体"/>
          <w:highlight w:val="none"/>
          <w:lang w:val="en-US" w:eastAsia="zh-CN"/>
        </w:rPr>
        <w:t>按表2可划分为5个等级</w:t>
      </w:r>
      <w:r>
        <w:rPr>
          <w:rFonts w:hint="default" w:ascii="Times New Roman" w:hAnsi="Times New Roman" w:cs="Times New Roman"/>
          <w:highlight w:val="none"/>
          <w:lang w:val="en-US" w:eastAsia="zh-CN"/>
        </w:rPr>
        <w:t>。</w:t>
      </w:r>
    </w:p>
    <w:p w14:paraId="562F1830">
      <w:pPr>
        <w:pStyle w:val="35"/>
        <w:keepLines w:val="0"/>
        <w:kinsoku/>
        <w:wordWrap/>
        <w:overflowPunct/>
        <w:topLinePunct w:val="0"/>
        <w:bidi w:val="0"/>
        <w:spacing w:line="240" w:lineRule="auto"/>
        <w:rPr>
          <w:highlight w:val="none"/>
        </w:rPr>
      </w:pPr>
      <w:r>
        <w:rPr>
          <w:rFonts w:hint="eastAsia"/>
          <w:highlight w:val="none"/>
          <w:lang w:val="en-US" w:eastAsia="zh-CN"/>
        </w:rPr>
        <w:t>能源费用托管服务等级划分</w:t>
      </w:r>
    </w:p>
    <w:tbl>
      <w:tblPr>
        <w:tblStyle w:val="10"/>
        <w:tblW w:w="5000"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0" w:type="dxa"/>
          <w:bottom w:w="0" w:type="dxa"/>
          <w:right w:w="100" w:type="dxa"/>
        </w:tblCellMar>
      </w:tblPr>
      <w:tblGrid>
        <w:gridCol w:w="4919"/>
        <w:gridCol w:w="4919"/>
      </w:tblGrid>
      <w:tr w14:paraId="49F89B6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0" w:type="dxa"/>
            <w:bottom w:w="0" w:type="dxa"/>
            <w:right w:w="100" w:type="dxa"/>
          </w:tblCellMar>
        </w:tblPrEx>
        <w:trPr>
          <w:tblHeader/>
          <w:jc w:val="center"/>
        </w:trPr>
        <w:tc>
          <w:tcPr>
            <w:tcW w:w="2500" w:type="pct"/>
            <w:tcBorders>
              <w:top w:val="single" w:color="auto" w:sz="8" w:space="0"/>
              <w:left w:val="single" w:color="auto" w:sz="8" w:space="0"/>
              <w:bottom w:val="single" w:color="auto" w:sz="8" w:space="0"/>
              <w:tl2br w:val="nil"/>
              <w:tr2bl w:val="nil"/>
            </w:tcBorders>
            <w:vAlign w:val="top"/>
          </w:tcPr>
          <w:p w14:paraId="3EEFC21A">
            <w:pPr>
              <w:pStyle w:val="36"/>
              <w:keepLines w:val="0"/>
              <w:kinsoku/>
              <w:wordWrap/>
              <w:overflowPunct/>
              <w:topLinePunct w:val="0"/>
              <w:bidi w:val="0"/>
              <w:spacing w:line="240" w:lineRule="auto"/>
              <w:jc w:val="center"/>
              <w:rPr>
                <w:highlight w:val="none"/>
              </w:rPr>
            </w:pPr>
            <w:r>
              <w:rPr>
                <w:rFonts w:hint="eastAsia"/>
                <w:highlight w:val="none"/>
                <w:lang w:val="en-US" w:eastAsia="zh-CN"/>
              </w:rPr>
              <w:t>服务等级</w:t>
            </w:r>
          </w:p>
        </w:tc>
        <w:tc>
          <w:tcPr>
            <w:tcW w:w="2500" w:type="pct"/>
            <w:tcBorders>
              <w:top w:val="single" w:color="auto" w:sz="8" w:space="0"/>
              <w:bottom w:val="single" w:color="auto" w:sz="8" w:space="0"/>
              <w:right w:val="single" w:color="auto" w:sz="8" w:space="0"/>
              <w:tl2br w:val="nil"/>
              <w:tr2bl w:val="nil"/>
            </w:tcBorders>
            <w:vAlign w:val="top"/>
          </w:tcPr>
          <w:p w14:paraId="4BEBC95F">
            <w:pPr>
              <w:pStyle w:val="36"/>
              <w:keepLines w:val="0"/>
              <w:kinsoku/>
              <w:wordWrap/>
              <w:overflowPunct/>
              <w:topLinePunct w:val="0"/>
              <w:bidi w:val="0"/>
              <w:spacing w:line="240" w:lineRule="auto"/>
              <w:jc w:val="center"/>
              <w:rPr>
                <w:highlight w:val="none"/>
              </w:rPr>
            </w:pPr>
            <w:r>
              <w:rPr>
                <w:rFonts w:hint="eastAsia"/>
                <w:highlight w:val="none"/>
                <w:lang w:val="en-US" w:eastAsia="zh-CN"/>
              </w:rPr>
              <w:t>划分依据</w:t>
            </w:r>
          </w:p>
        </w:tc>
      </w:tr>
      <w:tr w14:paraId="45FEAD0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0" w:type="dxa"/>
            <w:bottom w:w="0" w:type="dxa"/>
            <w:right w:w="100" w:type="dxa"/>
          </w:tblCellMar>
        </w:tblPrEx>
        <w:trPr>
          <w:jc w:val="center"/>
        </w:trPr>
        <w:tc>
          <w:tcPr>
            <w:tcW w:w="2500" w:type="pct"/>
            <w:tcBorders>
              <w:top w:val="single" w:color="auto" w:sz="8" w:space="0"/>
              <w:left w:val="single" w:color="auto" w:sz="8" w:space="0"/>
              <w:tl2br w:val="nil"/>
              <w:tr2bl w:val="nil"/>
            </w:tcBorders>
            <w:vAlign w:val="top"/>
          </w:tcPr>
          <w:p w14:paraId="776E17C6">
            <w:pPr>
              <w:pStyle w:val="36"/>
              <w:keepLines w:val="0"/>
              <w:kinsoku/>
              <w:wordWrap/>
              <w:overflowPunct/>
              <w:topLinePunct w:val="0"/>
              <w:bidi w:val="0"/>
              <w:spacing w:line="240" w:lineRule="auto"/>
              <w:jc w:val="center"/>
              <w:rPr>
                <w:highlight w:val="none"/>
              </w:rPr>
            </w:pPr>
            <w:r>
              <w:rPr>
                <w:rFonts w:hint="default" w:ascii="Times New Roman" w:hAnsi="Times New Roman" w:cs="Times New Roman"/>
                <w:highlight w:val="none"/>
                <w:lang w:val="en-US" w:eastAsia="zh-CN"/>
              </w:rPr>
              <w:t>AAAAA</w:t>
            </w:r>
          </w:p>
        </w:tc>
        <w:tc>
          <w:tcPr>
            <w:tcW w:w="2500" w:type="pct"/>
            <w:tcBorders>
              <w:top w:val="single" w:color="auto" w:sz="8" w:space="0"/>
              <w:right w:val="single" w:color="auto" w:sz="8" w:space="0"/>
              <w:tl2br w:val="nil"/>
              <w:tr2bl w:val="nil"/>
            </w:tcBorders>
            <w:vAlign w:val="top"/>
          </w:tcPr>
          <w:p w14:paraId="64A2EFAB">
            <w:pPr>
              <w:pStyle w:val="36"/>
              <w:keepLines w:val="0"/>
              <w:kinsoku/>
              <w:wordWrap/>
              <w:overflowPunct/>
              <w:topLinePunct w:val="0"/>
              <w:bidi w:val="0"/>
              <w:spacing w:line="240" w:lineRule="auto"/>
              <w:jc w:val="center"/>
              <w:rPr>
                <w:highlight w:val="none"/>
              </w:rPr>
            </w:pPr>
            <m:oMath>
              <m:r>
                <m:rPr>
                  <m:nor/>
                  <m:sty m:val="p"/>
                </m:rPr>
                <w:rPr>
                  <w:rFonts w:hint="default" w:ascii="Times New Roman" w:hAnsi="Times New Roman" w:cs="Times New Roman"/>
                  <w:b w:val="0"/>
                  <w:i w:val="0"/>
                  <w:highlight w:val="none"/>
                  <w:lang w:val="en-US" w:eastAsia="zh-CN"/>
                </w:rPr>
                <m:t>S</m:t>
              </m:r>
            </m:oMath>
            <w:r>
              <w:rPr>
                <w:rFonts w:hint="eastAsia"/>
                <w:highlight w:val="none"/>
                <w:lang w:val="en-US" w:eastAsia="zh-CN"/>
              </w:rPr>
              <w:t>≥90</w:t>
            </w:r>
          </w:p>
        </w:tc>
      </w:tr>
      <w:tr w14:paraId="4EECC8A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0" w:type="dxa"/>
            <w:bottom w:w="0" w:type="dxa"/>
            <w:right w:w="100" w:type="dxa"/>
          </w:tblCellMar>
        </w:tblPrEx>
        <w:trPr>
          <w:jc w:val="center"/>
        </w:trPr>
        <w:tc>
          <w:tcPr>
            <w:tcW w:w="2500" w:type="pct"/>
            <w:tcBorders>
              <w:left w:val="single" w:color="auto" w:sz="8" w:space="0"/>
              <w:tl2br w:val="nil"/>
              <w:tr2bl w:val="nil"/>
            </w:tcBorders>
            <w:vAlign w:val="top"/>
          </w:tcPr>
          <w:p w14:paraId="174C736E">
            <w:pPr>
              <w:pStyle w:val="36"/>
              <w:keepLines w:val="0"/>
              <w:kinsoku/>
              <w:wordWrap/>
              <w:overflowPunct/>
              <w:topLinePunct w:val="0"/>
              <w:bidi w:val="0"/>
              <w:spacing w:line="240" w:lineRule="auto"/>
              <w:jc w:val="center"/>
              <w:rPr>
                <w:rFonts w:hint="default" w:ascii="Times New Roman" w:hAnsi="Times New Roman" w:cs="Times New Roman"/>
                <w:highlight w:val="none"/>
              </w:rPr>
            </w:pPr>
            <w:r>
              <w:rPr>
                <w:rFonts w:hint="default" w:ascii="Times New Roman" w:hAnsi="Times New Roman" w:cs="Times New Roman"/>
                <w:highlight w:val="none"/>
                <w:lang w:val="en-US" w:eastAsia="zh-CN"/>
              </w:rPr>
              <w:t>AAAA</w:t>
            </w:r>
          </w:p>
        </w:tc>
        <w:tc>
          <w:tcPr>
            <w:tcW w:w="2500" w:type="pct"/>
            <w:tcBorders>
              <w:right w:val="single" w:color="auto" w:sz="8" w:space="0"/>
              <w:tl2br w:val="nil"/>
              <w:tr2bl w:val="nil"/>
            </w:tcBorders>
            <w:vAlign w:val="top"/>
          </w:tcPr>
          <w:p w14:paraId="70BE8D90">
            <w:pPr>
              <w:pStyle w:val="36"/>
              <w:keepLines w:val="0"/>
              <w:kinsoku/>
              <w:wordWrap/>
              <w:overflowPunct/>
              <w:topLinePunct w:val="0"/>
              <w:bidi w:val="0"/>
              <w:spacing w:line="240" w:lineRule="auto"/>
              <w:jc w:val="center"/>
              <w:rPr>
                <w:highlight w:val="none"/>
              </w:rPr>
            </w:pPr>
            <w:r>
              <w:rPr>
                <w:rFonts w:hint="eastAsia"/>
                <w:highlight w:val="none"/>
                <w:lang w:val="en-US" w:eastAsia="zh-CN"/>
              </w:rPr>
              <w:t>90＞</w:t>
            </w:r>
            <m:oMath>
              <m:r>
                <m:rPr>
                  <m:nor/>
                  <m:sty m:val="p"/>
                </m:rPr>
                <w:rPr>
                  <w:rFonts w:hint="default" w:ascii="Times New Roman" w:hAnsi="Times New Roman" w:cs="Times New Roman"/>
                  <w:b w:val="0"/>
                  <w:i w:val="0"/>
                  <w:highlight w:val="none"/>
                  <w:lang w:val="en-US" w:eastAsia="zh-CN"/>
                </w:rPr>
                <m:t>S</m:t>
              </m:r>
            </m:oMath>
            <w:r>
              <w:rPr>
                <w:rFonts w:hint="eastAsia"/>
                <w:highlight w:val="none"/>
                <w:lang w:val="en-US" w:eastAsia="zh-CN"/>
              </w:rPr>
              <w:t>≥80</w:t>
            </w:r>
          </w:p>
        </w:tc>
      </w:tr>
      <w:tr w14:paraId="60133DF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0" w:type="dxa"/>
            <w:bottom w:w="0" w:type="dxa"/>
            <w:right w:w="100" w:type="dxa"/>
          </w:tblCellMar>
        </w:tblPrEx>
        <w:trPr>
          <w:jc w:val="center"/>
        </w:trPr>
        <w:tc>
          <w:tcPr>
            <w:tcW w:w="2500" w:type="pct"/>
            <w:tcBorders>
              <w:left w:val="single" w:color="auto" w:sz="8" w:space="0"/>
              <w:tl2br w:val="nil"/>
              <w:tr2bl w:val="nil"/>
            </w:tcBorders>
            <w:vAlign w:val="top"/>
          </w:tcPr>
          <w:p w14:paraId="27A25CBB">
            <w:pPr>
              <w:pStyle w:val="36"/>
              <w:keepLines w:val="0"/>
              <w:kinsoku/>
              <w:wordWrap/>
              <w:overflowPunct/>
              <w:topLinePunct w:val="0"/>
              <w:bidi w:val="0"/>
              <w:spacing w:line="240" w:lineRule="auto"/>
              <w:jc w:val="center"/>
              <w:rPr>
                <w:rFonts w:hint="default" w:ascii="Times New Roman" w:hAnsi="Times New Roman" w:cs="Times New Roman"/>
                <w:highlight w:val="none"/>
              </w:rPr>
            </w:pPr>
            <w:r>
              <w:rPr>
                <w:rFonts w:hint="default" w:ascii="Times New Roman" w:hAnsi="Times New Roman" w:cs="Times New Roman"/>
                <w:highlight w:val="none"/>
                <w:lang w:val="en-US" w:eastAsia="zh-CN"/>
              </w:rPr>
              <w:t>AAA</w:t>
            </w:r>
          </w:p>
        </w:tc>
        <w:tc>
          <w:tcPr>
            <w:tcW w:w="2500" w:type="pct"/>
            <w:tcBorders>
              <w:right w:val="single" w:color="auto" w:sz="8" w:space="0"/>
              <w:tl2br w:val="nil"/>
              <w:tr2bl w:val="nil"/>
            </w:tcBorders>
            <w:vAlign w:val="top"/>
          </w:tcPr>
          <w:p w14:paraId="522B9C73">
            <w:pPr>
              <w:pStyle w:val="36"/>
              <w:keepLines w:val="0"/>
              <w:kinsoku/>
              <w:wordWrap/>
              <w:overflowPunct/>
              <w:topLinePunct w:val="0"/>
              <w:bidi w:val="0"/>
              <w:spacing w:line="240" w:lineRule="auto"/>
              <w:jc w:val="center"/>
              <w:rPr>
                <w:highlight w:val="none"/>
              </w:rPr>
            </w:pPr>
            <w:r>
              <w:rPr>
                <w:rFonts w:hint="eastAsia"/>
                <w:highlight w:val="none"/>
                <w:lang w:val="en-US" w:eastAsia="zh-CN"/>
              </w:rPr>
              <w:t>80＞</w:t>
            </w:r>
            <m:oMath>
              <m:r>
                <m:rPr>
                  <m:nor/>
                  <m:sty m:val="p"/>
                </m:rPr>
                <w:rPr>
                  <w:rFonts w:hint="default" w:ascii="Times New Roman" w:hAnsi="Times New Roman" w:cs="Times New Roman"/>
                  <w:b w:val="0"/>
                  <w:i w:val="0"/>
                  <w:highlight w:val="none"/>
                  <w:lang w:val="en-US" w:eastAsia="zh-CN"/>
                </w:rPr>
                <m:t>S</m:t>
              </m:r>
            </m:oMath>
            <w:r>
              <w:rPr>
                <w:rFonts w:hint="eastAsia"/>
                <w:highlight w:val="none"/>
                <w:lang w:val="en-US" w:eastAsia="zh-CN"/>
              </w:rPr>
              <w:t>≥70</w:t>
            </w:r>
          </w:p>
        </w:tc>
      </w:tr>
      <w:tr w14:paraId="1287C93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0" w:type="dxa"/>
            <w:bottom w:w="0" w:type="dxa"/>
            <w:right w:w="100" w:type="dxa"/>
          </w:tblCellMar>
        </w:tblPrEx>
        <w:trPr>
          <w:jc w:val="center"/>
        </w:trPr>
        <w:tc>
          <w:tcPr>
            <w:tcW w:w="2500" w:type="pct"/>
            <w:tcBorders>
              <w:left w:val="single" w:color="auto" w:sz="8" w:space="0"/>
              <w:tl2br w:val="nil"/>
              <w:tr2bl w:val="nil"/>
            </w:tcBorders>
            <w:vAlign w:val="top"/>
          </w:tcPr>
          <w:p w14:paraId="543DC2F0">
            <w:pPr>
              <w:pStyle w:val="36"/>
              <w:keepLines w:val="0"/>
              <w:kinsoku/>
              <w:wordWrap/>
              <w:overflowPunct/>
              <w:topLinePunct w:val="0"/>
              <w:bidi w:val="0"/>
              <w:spacing w:line="240" w:lineRule="auto"/>
              <w:jc w:val="center"/>
              <w:rPr>
                <w:rFonts w:hint="default" w:ascii="Times New Roman" w:hAnsi="Times New Roman" w:cs="Times New Roman"/>
                <w:highlight w:val="none"/>
              </w:rPr>
            </w:pPr>
            <w:r>
              <w:rPr>
                <w:rFonts w:hint="default" w:ascii="Times New Roman" w:hAnsi="Times New Roman" w:cs="Times New Roman"/>
                <w:highlight w:val="none"/>
                <w:lang w:val="en-US" w:eastAsia="zh-CN"/>
              </w:rPr>
              <w:t>AA</w:t>
            </w:r>
          </w:p>
        </w:tc>
        <w:tc>
          <w:tcPr>
            <w:tcW w:w="2500" w:type="pct"/>
            <w:tcBorders>
              <w:right w:val="single" w:color="auto" w:sz="8" w:space="0"/>
              <w:tl2br w:val="nil"/>
              <w:tr2bl w:val="nil"/>
            </w:tcBorders>
            <w:vAlign w:val="top"/>
          </w:tcPr>
          <w:p w14:paraId="2F0ECEFB">
            <w:pPr>
              <w:pStyle w:val="36"/>
              <w:keepLines w:val="0"/>
              <w:kinsoku/>
              <w:wordWrap/>
              <w:overflowPunct/>
              <w:topLinePunct w:val="0"/>
              <w:bidi w:val="0"/>
              <w:spacing w:line="240" w:lineRule="auto"/>
              <w:jc w:val="center"/>
              <w:rPr>
                <w:highlight w:val="none"/>
              </w:rPr>
            </w:pPr>
            <w:r>
              <w:rPr>
                <w:rFonts w:hint="eastAsia"/>
                <w:highlight w:val="none"/>
                <w:lang w:val="en-US" w:eastAsia="zh-CN"/>
              </w:rPr>
              <w:t>70＞</w:t>
            </w:r>
            <m:oMath>
              <m:r>
                <m:rPr>
                  <m:nor/>
                  <m:sty m:val="p"/>
                </m:rPr>
                <w:rPr>
                  <w:rFonts w:hint="default" w:ascii="Times New Roman" w:hAnsi="Times New Roman" w:cs="Times New Roman"/>
                  <w:b w:val="0"/>
                  <w:i w:val="0"/>
                  <w:highlight w:val="none"/>
                  <w:lang w:val="en-US" w:eastAsia="zh-CN"/>
                </w:rPr>
                <m:t>S</m:t>
              </m:r>
            </m:oMath>
            <w:r>
              <w:rPr>
                <w:rFonts w:hint="eastAsia"/>
                <w:highlight w:val="none"/>
                <w:lang w:val="en-US" w:eastAsia="zh-CN"/>
              </w:rPr>
              <w:t>≥60</w:t>
            </w:r>
          </w:p>
        </w:tc>
      </w:tr>
      <w:tr w14:paraId="7675BE1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0" w:type="dxa"/>
            <w:bottom w:w="0" w:type="dxa"/>
            <w:right w:w="100" w:type="dxa"/>
          </w:tblCellMar>
        </w:tblPrEx>
        <w:trPr>
          <w:jc w:val="center"/>
        </w:trPr>
        <w:tc>
          <w:tcPr>
            <w:tcW w:w="2500" w:type="pct"/>
            <w:tcBorders>
              <w:left w:val="single" w:color="auto" w:sz="8" w:space="0"/>
              <w:tl2br w:val="nil"/>
              <w:tr2bl w:val="nil"/>
            </w:tcBorders>
            <w:vAlign w:val="top"/>
          </w:tcPr>
          <w:p w14:paraId="06329045">
            <w:pPr>
              <w:pStyle w:val="36"/>
              <w:keepLines w:val="0"/>
              <w:kinsoku/>
              <w:wordWrap/>
              <w:overflowPunct/>
              <w:topLinePunct w:val="0"/>
              <w:bidi w:val="0"/>
              <w:spacing w:line="240" w:lineRule="auto"/>
              <w:jc w:val="center"/>
              <w:rPr>
                <w:rFonts w:hint="default" w:ascii="Times New Roman" w:hAnsi="Times New Roman" w:cs="Times New Roman"/>
                <w:highlight w:val="none"/>
              </w:rPr>
            </w:pPr>
            <w:r>
              <w:rPr>
                <w:rFonts w:hint="default" w:ascii="Times New Roman" w:hAnsi="Times New Roman" w:cs="Times New Roman"/>
                <w:highlight w:val="none"/>
                <w:lang w:val="en-US" w:eastAsia="zh-CN"/>
              </w:rPr>
              <w:t>A</w:t>
            </w:r>
          </w:p>
        </w:tc>
        <w:tc>
          <w:tcPr>
            <w:tcW w:w="2500" w:type="pct"/>
            <w:tcBorders>
              <w:right w:val="single" w:color="auto" w:sz="8" w:space="0"/>
              <w:tl2br w:val="nil"/>
              <w:tr2bl w:val="nil"/>
            </w:tcBorders>
            <w:vAlign w:val="top"/>
          </w:tcPr>
          <w:p w14:paraId="294F5ED5">
            <w:pPr>
              <w:pStyle w:val="36"/>
              <w:keepLines w:val="0"/>
              <w:kinsoku/>
              <w:wordWrap/>
              <w:overflowPunct/>
              <w:topLinePunct w:val="0"/>
              <w:bidi w:val="0"/>
              <w:spacing w:line="240" w:lineRule="auto"/>
              <w:jc w:val="center"/>
              <w:rPr>
                <w:highlight w:val="none"/>
              </w:rPr>
            </w:pPr>
            <w:r>
              <w:rPr>
                <w:rFonts w:hint="eastAsia"/>
                <w:highlight w:val="none"/>
                <w:lang w:val="en-US" w:eastAsia="zh-CN"/>
              </w:rPr>
              <w:t>60＞</w:t>
            </w:r>
            <m:oMath>
              <m:r>
                <m:rPr>
                  <m:nor/>
                  <m:sty m:val="p"/>
                </m:rPr>
                <w:rPr>
                  <w:rFonts w:hint="default" w:ascii="Times New Roman" w:hAnsi="Times New Roman" w:cs="Times New Roman"/>
                  <w:b w:val="0"/>
                  <w:i w:val="0"/>
                  <w:highlight w:val="none"/>
                  <w:lang w:val="en-US" w:eastAsia="zh-CN"/>
                </w:rPr>
                <m:t>S</m:t>
              </m:r>
            </m:oMath>
            <w:r>
              <w:rPr>
                <w:rFonts w:hint="eastAsia"/>
                <w:highlight w:val="none"/>
                <w:lang w:val="en-US" w:eastAsia="zh-CN"/>
              </w:rPr>
              <w:t>≥50</w:t>
            </w:r>
          </w:p>
        </w:tc>
      </w:tr>
      <w:tr w14:paraId="2D5294E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0" w:type="dxa"/>
            <w:bottom w:w="0" w:type="dxa"/>
            <w:right w:w="100" w:type="dxa"/>
          </w:tblCellMar>
        </w:tblPrEx>
        <w:trPr>
          <w:jc w:val="center"/>
        </w:trPr>
        <w:tc>
          <w:tcPr>
            <w:tcW w:w="2500" w:type="pct"/>
            <w:tcBorders>
              <w:left w:val="single" w:color="auto" w:sz="8" w:space="0"/>
              <w:bottom w:val="single" w:color="auto" w:sz="8" w:space="0"/>
              <w:tl2br w:val="nil"/>
              <w:tr2bl w:val="nil"/>
            </w:tcBorders>
            <w:vAlign w:val="top"/>
          </w:tcPr>
          <w:p w14:paraId="4BE4196A">
            <w:pPr>
              <w:pStyle w:val="36"/>
              <w:keepLines w:val="0"/>
              <w:kinsoku/>
              <w:wordWrap/>
              <w:overflowPunct/>
              <w:topLinePunct w:val="0"/>
              <w:bidi w:val="0"/>
              <w:spacing w:line="240" w:lineRule="auto"/>
              <w:jc w:val="center"/>
              <w:rPr>
                <w:rFonts w:hint="default"/>
                <w:highlight w:val="none"/>
                <w:lang w:val="en-US" w:eastAsia="zh-CN"/>
              </w:rPr>
            </w:pPr>
            <w:r>
              <w:rPr>
                <w:rFonts w:hint="eastAsia"/>
                <w:highlight w:val="none"/>
                <w:lang w:val="en-US" w:eastAsia="zh-CN"/>
              </w:rPr>
              <w:t>不授予等级</w:t>
            </w:r>
          </w:p>
        </w:tc>
        <w:tc>
          <w:tcPr>
            <w:tcW w:w="2500" w:type="pct"/>
            <w:tcBorders>
              <w:bottom w:val="single" w:color="auto" w:sz="8" w:space="0"/>
              <w:right w:val="single" w:color="auto" w:sz="8" w:space="0"/>
              <w:tl2br w:val="nil"/>
              <w:tr2bl w:val="nil"/>
            </w:tcBorders>
            <w:vAlign w:val="top"/>
          </w:tcPr>
          <w:p w14:paraId="55FFD2BA">
            <w:pPr>
              <w:pStyle w:val="36"/>
              <w:keepLines w:val="0"/>
              <w:kinsoku/>
              <w:wordWrap/>
              <w:overflowPunct/>
              <w:topLinePunct w:val="0"/>
              <w:bidi w:val="0"/>
              <w:spacing w:line="240" w:lineRule="auto"/>
              <w:jc w:val="center"/>
              <w:rPr>
                <w:rFonts w:hint="default"/>
                <w:highlight w:val="none"/>
                <w:lang w:val="en-US" w:eastAsia="zh-CN"/>
              </w:rPr>
            </w:pPr>
            <w:r>
              <w:rPr>
                <w:rFonts w:hint="default" w:ascii="Times New Roman" w:hAnsi="Times New Roman" w:cs="Times New Roman"/>
                <w:highlight w:val="none"/>
                <w:lang w:val="en-US" w:eastAsia="zh-CN"/>
              </w:rPr>
              <w:t>S</w:t>
            </w:r>
            <w:r>
              <w:rPr>
                <w:rFonts w:hint="eastAsia"/>
                <w:highlight w:val="none"/>
                <w:lang w:val="en-US" w:eastAsia="zh-CN"/>
              </w:rPr>
              <w:t>＜50</w:t>
            </w:r>
          </w:p>
        </w:tc>
      </w:tr>
    </w:tbl>
    <w:p w14:paraId="5C17CD63">
      <w:pPr>
        <w:keepLines w:val="0"/>
        <w:kinsoku/>
        <w:wordWrap/>
        <w:overflowPunct/>
        <w:topLinePunct w:val="0"/>
        <w:bidi w:val="0"/>
        <w:spacing w:line="240" w:lineRule="auto"/>
        <w:rPr>
          <w:rFonts w:hint="eastAsia" w:cs="Times New Roman"/>
          <w:szCs w:val="21"/>
          <w:highlight w:val="none"/>
          <w:lang w:val="en-US" w:eastAsia="zh-CN"/>
        </w:rPr>
      </w:pPr>
      <w:r>
        <w:rPr>
          <w:rFonts w:hint="eastAsia" w:cs="Times New Roman"/>
          <w:szCs w:val="21"/>
          <w:highlight w:val="none"/>
          <w:lang w:val="en-US" w:eastAsia="zh-CN"/>
        </w:rPr>
        <w:br w:type="page"/>
      </w:r>
    </w:p>
    <w:p w14:paraId="122AC7CA">
      <w:pPr>
        <w:pStyle w:val="20"/>
        <w:keepLines w:val="0"/>
        <w:kinsoku/>
        <w:wordWrap/>
        <w:overflowPunct/>
        <w:topLinePunct w:val="0"/>
        <w:bidi w:val="0"/>
        <w:spacing w:line="240" w:lineRule="auto"/>
        <w:rPr>
          <w:rFonts w:hint="eastAsia" w:ascii="黑体" w:hAnsi="黑体" w:eastAsia="黑体" w:cs="黑体"/>
          <w:highlight w:val="none"/>
        </w:rPr>
      </w:pPr>
      <w:bookmarkStart w:id="63" w:name="_Toc1250"/>
      <w:bookmarkEnd w:id="63"/>
      <w:bookmarkStart w:id="64" w:name="_Toc4037"/>
      <w:bookmarkEnd w:id="64"/>
    </w:p>
    <w:p w14:paraId="09FF354C">
      <w:pPr>
        <w:pStyle w:val="21"/>
        <w:keepLines w:val="0"/>
        <w:kinsoku/>
        <w:wordWrap/>
        <w:overflowPunct/>
        <w:topLinePunct w:val="0"/>
        <w:bidi w:val="0"/>
        <w:spacing w:beforeLines="0" w:afterLines="0" w:line="240" w:lineRule="auto"/>
        <w:ind w:firstLineChars="0"/>
        <w:rPr>
          <w:rFonts w:hint="eastAsia" w:ascii="黑体" w:hAnsi="黑体" w:eastAsia="黑体" w:cs="黑体"/>
          <w:strike w:val="0"/>
          <w:szCs w:val="21"/>
          <w:highlight w:val="none"/>
        </w:rPr>
      </w:pPr>
      <w:bookmarkStart w:id="65" w:name="_Toc2149"/>
      <w:bookmarkStart w:id="66" w:name="_Toc207832840"/>
      <w:bookmarkStart w:id="67" w:name="_Toc30627"/>
      <w:bookmarkStart w:id="68" w:name="_Toc7845"/>
      <w:r>
        <w:rPr>
          <w:rFonts w:hint="eastAsia" w:ascii="黑体" w:hAnsi="黑体" w:eastAsia="黑体" w:cs="黑体"/>
          <w:strike w:val="0"/>
          <w:highlight w:val="none"/>
        </w:rPr>
        <w:t>（</w:t>
      </w:r>
      <w:r>
        <w:rPr>
          <w:rFonts w:hint="eastAsia" w:hAnsi="黑体" w:cs="黑体"/>
          <w:strike w:val="0"/>
          <w:highlight w:val="none"/>
          <w:lang w:val="en-US" w:eastAsia="zh-CN"/>
        </w:rPr>
        <w:t>规范</w:t>
      </w:r>
      <w:r>
        <w:rPr>
          <w:rFonts w:hint="eastAsia" w:ascii="黑体" w:hAnsi="黑体" w:eastAsia="黑体" w:cs="黑体"/>
          <w:strike w:val="0"/>
          <w:highlight w:val="none"/>
        </w:rPr>
        <w:t>性）</w:t>
      </w:r>
      <w:bookmarkEnd w:id="65"/>
      <w:bookmarkEnd w:id="66"/>
      <w:bookmarkEnd w:id="67"/>
      <w:bookmarkEnd w:id="68"/>
      <w:bookmarkStart w:id="69" w:name="bookmark29"/>
      <w:bookmarkEnd w:id="69"/>
      <w:bookmarkStart w:id="70" w:name="_Toc207832841"/>
    </w:p>
    <w:bookmarkEnd w:id="70"/>
    <w:p w14:paraId="097926D8">
      <w:pPr>
        <w:pStyle w:val="21"/>
        <w:keepLines w:val="0"/>
        <w:kinsoku/>
        <w:wordWrap/>
        <w:overflowPunct/>
        <w:topLinePunct w:val="0"/>
        <w:bidi w:val="0"/>
        <w:spacing w:beforeLines="0" w:afterLines="0" w:line="240" w:lineRule="auto"/>
        <w:ind w:firstLineChars="0"/>
        <w:rPr>
          <w:rFonts w:hint="default" w:ascii="黑体" w:hAnsi="黑体" w:eastAsia="黑体" w:cs="黑体"/>
          <w:szCs w:val="21"/>
          <w:highlight w:val="none"/>
          <w:lang w:val="en-US" w:eastAsia="zh-CN"/>
        </w:rPr>
      </w:pPr>
      <w:bookmarkStart w:id="71" w:name="_Toc3465"/>
      <w:bookmarkStart w:id="72" w:name="_Toc28743"/>
      <w:bookmarkStart w:id="73" w:name="_Toc207832842"/>
      <w:r>
        <w:rPr>
          <w:rFonts w:hint="eastAsia" w:hAnsi="黑体" w:cs="黑体"/>
          <w:szCs w:val="21"/>
          <w:highlight w:val="none"/>
          <w:lang w:val="en-US" w:eastAsia="zh-CN"/>
        </w:rPr>
        <w:t>能源费用托管服务评价指标体系及</w:t>
      </w:r>
      <w:r>
        <w:rPr>
          <w:rFonts w:hint="default" w:hAnsi="黑体" w:cs="黑体"/>
          <w:szCs w:val="21"/>
          <w:highlight w:val="none"/>
          <w:lang w:val="en-US" w:eastAsia="zh-CN"/>
        </w:rPr>
        <w:t>赋值</w:t>
      </w:r>
      <w:bookmarkEnd w:id="71"/>
      <w:bookmarkEnd w:id="72"/>
    </w:p>
    <w:bookmarkEnd w:id="73"/>
    <w:p w14:paraId="41DA2EBA">
      <w:pPr>
        <w:pStyle w:val="16"/>
        <w:keepNext w:val="0"/>
        <w:keepLines w:val="0"/>
        <w:pageBreakBefore w:val="0"/>
        <w:widowControl/>
        <w:numPr>
          <w:ilvl w:val="-1"/>
          <w:numId w:val="0"/>
        </w:numPr>
        <w:kinsoku/>
        <w:wordWrap/>
        <w:overflowPunct/>
        <w:topLinePunct w:val="0"/>
        <w:autoSpaceDE w:val="0"/>
        <w:autoSpaceDN w:val="0"/>
        <w:bidi w:val="0"/>
        <w:adjustRightInd/>
        <w:snapToGrid/>
        <w:spacing w:before="157" w:beforeLines="50" w:after="0" w:afterLines="0" w:line="240" w:lineRule="auto"/>
        <w:ind w:left="0" w:firstLine="420" w:firstLineChars="200"/>
        <w:jc w:val="left"/>
        <w:textAlignment w:val="auto"/>
        <w:rPr>
          <w:rFonts w:hint="eastAsia" w:ascii="宋体" w:hAnsi="宋体" w:eastAsia="宋体" w:cs="宋体"/>
          <w:lang w:val="en-US" w:eastAsia="zh-CN"/>
        </w:rPr>
      </w:pPr>
      <w:bookmarkStart w:id="74" w:name="_Toc24805"/>
      <w:bookmarkEnd w:id="74"/>
      <w:r>
        <w:rPr>
          <w:rFonts w:hint="eastAsia" w:ascii="宋体" w:hAnsi="宋体" w:eastAsia="宋体" w:cs="宋体"/>
          <w:highlight w:val="none"/>
          <w:lang w:val="en-US" w:eastAsia="zh-CN"/>
        </w:rPr>
        <w:t>表A.1</w:t>
      </w:r>
      <w:r>
        <w:rPr>
          <w:rFonts w:hint="eastAsia" w:ascii="Times New Roman" w:cs="Times New Roman"/>
          <w:highlight w:val="none"/>
          <w:lang w:val="en-US" w:eastAsia="zh-CN"/>
        </w:rPr>
        <w:t>给出了能源</w:t>
      </w:r>
      <w:r>
        <w:rPr>
          <w:rFonts w:hint="eastAsia" w:ascii="宋体" w:hAnsi="宋体" w:eastAsia="宋体" w:cs="宋体"/>
          <w:highlight w:val="none"/>
          <w:lang w:val="en-US" w:eastAsia="zh-CN"/>
        </w:rPr>
        <w:t>费用托管服务评价指标体系权重赋值，指</w:t>
      </w:r>
      <w:r>
        <w:rPr>
          <w:rFonts w:hint="eastAsia" w:ascii="宋体" w:hAnsi="宋体" w:eastAsia="宋体" w:cs="宋体"/>
          <w:lang w:val="en-US" w:eastAsia="zh-CN"/>
        </w:rPr>
        <w:t>标体系由3个一级指标、15个二级指标组成。</w:t>
      </w:r>
    </w:p>
    <w:p w14:paraId="44B6E5F0">
      <w:pPr>
        <w:pStyle w:val="39"/>
        <w:keepLines w:val="0"/>
        <w:kinsoku/>
        <w:wordWrap/>
        <w:overflowPunct/>
        <w:topLinePunct w:val="0"/>
        <w:bidi w:val="0"/>
        <w:spacing w:line="240" w:lineRule="auto"/>
        <w:rPr>
          <w:rFonts w:hint="eastAsia" w:ascii="黑体" w:hAnsi="Times New Roman" w:cs="Times New Roman"/>
          <w:b w:val="0"/>
          <w:bCs w:val="0"/>
          <w:kern w:val="21"/>
          <w:szCs w:val="20"/>
          <w:lang w:val="en-US" w:eastAsia="zh-CN"/>
        </w:rPr>
      </w:pPr>
      <w:bookmarkStart w:id="75" w:name="_Toc26469"/>
      <w:bookmarkStart w:id="76" w:name="_Toc207832854"/>
      <w:r>
        <w:rPr>
          <w:rFonts w:hint="eastAsia" w:cs="Times New Roman"/>
          <w:b w:val="0"/>
          <w:bCs w:val="0"/>
          <w:kern w:val="21"/>
          <w:szCs w:val="20"/>
          <w:lang w:val="en-US" w:eastAsia="zh-CN"/>
        </w:rPr>
        <w:t xml:space="preserve"> 能源费用托管服务评价指标体系及</w:t>
      </w:r>
      <w:r>
        <w:rPr>
          <w:rFonts w:hint="default" w:cs="Times New Roman"/>
          <w:b w:val="0"/>
          <w:bCs w:val="0"/>
          <w:kern w:val="21"/>
          <w:szCs w:val="20"/>
          <w:lang w:val="en-US" w:eastAsia="zh-CN"/>
        </w:rPr>
        <w:t>赋值</w:t>
      </w:r>
    </w:p>
    <w:tbl>
      <w:tblPr>
        <w:tblStyle w:val="10"/>
        <w:tblW w:w="4991"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0" w:type="dxa"/>
          <w:bottom w:w="0" w:type="dxa"/>
          <w:right w:w="100" w:type="dxa"/>
        </w:tblCellMar>
      </w:tblPr>
      <w:tblGrid>
        <w:gridCol w:w="984"/>
        <w:gridCol w:w="1309"/>
        <w:gridCol w:w="1000"/>
        <w:gridCol w:w="6527"/>
      </w:tblGrid>
      <w:tr w14:paraId="4AC10CA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0" w:type="dxa"/>
            <w:bottom w:w="0" w:type="dxa"/>
            <w:right w:w="100" w:type="dxa"/>
          </w:tblCellMar>
        </w:tblPrEx>
        <w:trPr>
          <w:tblHeader/>
          <w:jc w:val="center"/>
        </w:trPr>
        <w:tc>
          <w:tcPr>
            <w:tcW w:w="501" w:type="pct"/>
            <w:tcBorders>
              <w:bottom w:val="single" w:color="auto" w:sz="12" w:space="0"/>
            </w:tcBorders>
            <w:vAlign w:val="center"/>
          </w:tcPr>
          <w:p w14:paraId="294A5ACD">
            <w:pPr>
              <w:pStyle w:val="36"/>
              <w:keepLines w:val="0"/>
              <w:kinsoku/>
              <w:wordWrap/>
              <w:overflowPunct/>
              <w:topLinePunct w:val="0"/>
              <w:bidi w:val="0"/>
              <w:spacing w:line="240" w:lineRule="auto"/>
              <w:jc w:val="center"/>
              <w:rPr>
                <w:rFonts w:hint="default" w:ascii="Times New Roman" w:hAnsi="Times New Roman" w:eastAsia="宋体" w:cs="Times New Roman"/>
                <w:lang w:val="en-US" w:eastAsia="zh-CN"/>
              </w:rPr>
            </w:pPr>
            <w:r>
              <w:rPr>
                <w:rFonts w:hint="default" w:ascii="Times New Roman" w:hAnsi="Times New Roman" w:cs="Times New Roman"/>
                <w:lang w:val="en-US" w:eastAsia="zh-CN"/>
              </w:rPr>
              <w:t>一级指标</w:t>
            </w:r>
          </w:p>
        </w:tc>
        <w:tc>
          <w:tcPr>
            <w:tcW w:w="666" w:type="pct"/>
            <w:tcBorders>
              <w:bottom w:val="single" w:color="auto" w:sz="12" w:space="0"/>
            </w:tcBorders>
            <w:vAlign w:val="center"/>
          </w:tcPr>
          <w:p w14:paraId="38252701">
            <w:pPr>
              <w:pStyle w:val="36"/>
              <w:keepLines w:val="0"/>
              <w:kinsoku/>
              <w:wordWrap/>
              <w:overflowPunct/>
              <w:topLinePunct w:val="0"/>
              <w:bidi w:val="0"/>
              <w:spacing w:line="240" w:lineRule="auto"/>
              <w:jc w:val="center"/>
              <w:rPr>
                <w:rFonts w:hint="default" w:ascii="Times New Roman" w:hAnsi="Times New Roman" w:eastAsia="宋体" w:cs="Times New Roman"/>
                <w:lang w:val="en-US" w:eastAsia="zh-CN"/>
              </w:rPr>
            </w:pPr>
            <w:r>
              <w:rPr>
                <w:rFonts w:hint="default" w:ascii="Times New Roman" w:hAnsi="Times New Roman" w:cs="Times New Roman"/>
                <w:lang w:val="en-US" w:eastAsia="zh-CN"/>
              </w:rPr>
              <w:t>二级指标</w:t>
            </w:r>
          </w:p>
        </w:tc>
        <w:tc>
          <w:tcPr>
            <w:tcW w:w="509" w:type="pct"/>
            <w:tcBorders>
              <w:bottom w:val="single" w:color="auto" w:sz="12" w:space="0"/>
            </w:tcBorders>
            <w:vAlign w:val="center"/>
          </w:tcPr>
          <w:p w14:paraId="31F847BA">
            <w:pPr>
              <w:pStyle w:val="36"/>
              <w:keepLines w:val="0"/>
              <w:kinsoku/>
              <w:wordWrap/>
              <w:overflowPunct/>
              <w:topLinePunct w:val="0"/>
              <w:bidi w:val="0"/>
              <w:spacing w:line="240" w:lineRule="auto"/>
              <w:jc w:val="center"/>
              <w:rPr>
                <w:rFonts w:hint="default" w:ascii="Times New Roman" w:hAnsi="Times New Roman" w:cs="Times New Roman"/>
                <w:lang w:val="en-US" w:eastAsia="zh-CN"/>
              </w:rPr>
            </w:pPr>
            <w:r>
              <w:rPr>
                <w:rFonts w:hint="default" w:ascii="Times New Roman" w:hAnsi="Times New Roman" w:cs="Times New Roman"/>
                <w:lang w:val="en-US" w:eastAsia="zh-CN"/>
              </w:rPr>
              <w:t>指标赋值</w:t>
            </w:r>
          </w:p>
        </w:tc>
        <w:tc>
          <w:tcPr>
            <w:tcW w:w="3322" w:type="pct"/>
            <w:tcBorders>
              <w:bottom w:val="single" w:color="auto" w:sz="12" w:space="0"/>
            </w:tcBorders>
            <w:vAlign w:val="center"/>
          </w:tcPr>
          <w:p w14:paraId="6FAAA043">
            <w:pPr>
              <w:pStyle w:val="36"/>
              <w:keepLines w:val="0"/>
              <w:kinsoku/>
              <w:wordWrap/>
              <w:overflowPunct/>
              <w:topLinePunct w:val="0"/>
              <w:bidi w:val="0"/>
              <w:spacing w:line="240" w:lineRule="auto"/>
              <w:jc w:val="center"/>
              <w:rPr>
                <w:rFonts w:hint="default" w:ascii="Times New Roman" w:hAnsi="Times New Roman" w:eastAsia="宋体" w:cs="Times New Roman"/>
                <w:lang w:val="en-US" w:eastAsia="zh-CN"/>
              </w:rPr>
            </w:pPr>
            <w:r>
              <w:rPr>
                <w:rFonts w:hint="default" w:ascii="Times New Roman" w:hAnsi="Times New Roman" w:cs="Times New Roman"/>
                <w:lang w:val="en-US" w:eastAsia="zh-CN"/>
              </w:rPr>
              <w:t>指标说明</w:t>
            </w:r>
          </w:p>
        </w:tc>
      </w:tr>
      <w:tr w14:paraId="0E02F07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0" w:type="dxa"/>
            <w:bottom w:w="0" w:type="dxa"/>
            <w:right w:w="100" w:type="dxa"/>
          </w:tblCellMar>
        </w:tblPrEx>
        <w:trPr>
          <w:jc w:val="center"/>
        </w:trPr>
        <w:tc>
          <w:tcPr>
            <w:tcW w:w="501" w:type="pct"/>
            <w:vMerge w:val="restart"/>
            <w:tcBorders>
              <w:top w:val="single" w:color="auto" w:sz="12" w:space="0"/>
              <w:tl2br w:val="nil"/>
              <w:tr2bl w:val="nil"/>
            </w:tcBorders>
            <w:vAlign w:val="center"/>
          </w:tcPr>
          <w:p w14:paraId="5844AEDD">
            <w:pPr>
              <w:pStyle w:val="36"/>
              <w:keepLines w:val="0"/>
              <w:kinsoku/>
              <w:wordWrap/>
              <w:overflowPunct/>
              <w:topLinePunct w:val="0"/>
              <w:bidi w:val="0"/>
              <w:spacing w:line="240" w:lineRule="auto"/>
              <w:jc w:val="center"/>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服务能力</w:t>
            </w:r>
          </w:p>
          <w:p w14:paraId="157E8561">
            <w:pPr>
              <w:pStyle w:val="36"/>
              <w:keepLines w:val="0"/>
              <w:kinsoku/>
              <w:wordWrap/>
              <w:overflowPunct/>
              <w:topLinePunct w:val="0"/>
              <w:bidi w:val="0"/>
              <w:spacing w:line="240" w:lineRule="auto"/>
              <w:jc w:val="center"/>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（S</w:t>
            </w:r>
            <w:r>
              <w:rPr>
                <w:rFonts w:hint="default" w:ascii="Times New Roman" w:hAnsi="Times New Roman" w:eastAsia="宋体" w:cs="Times New Roman"/>
                <w:vertAlign w:val="subscript"/>
                <w:lang w:val="en-US" w:eastAsia="zh-CN"/>
              </w:rPr>
              <w:t>1</w:t>
            </w:r>
            <w:r>
              <w:rPr>
                <w:rFonts w:hint="default" w:ascii="Times New Roman" w:hAnsi="Times New Roman" w:eastAsia="宋体" w:cs="Times New Roman"/>
                <w:lang w:val="en-US" w:eastAsia="zh-CN"/>
              </w:rPr>
              <w:t>）</w:t>
            </w:r>
          </w:p>
        </w:tc>
        <w:tc>
          <w:tcPr>
            <w:tcW w:w="666" w:type="pct"/>
            <w:tcBorders>
              <w:top w:val="single" w:color="auto" w:sz="12" w:space="0"/>
              <w:tl2br w:val="nil"/>
              <w:tr2bl w:val="nil"/>
            </w:tcBorders>
            <w:vAlign w:val="center"/>
          </w:tcPr>
          <w:p w14:paraId="7600DD1E">
            <w:pPr>
              <w:pStyle w:val="36"/>
              <w:keepLines w:val="0"/>
              <w:kinsoku/>
              <w:wordWrap/>
              <w:overflowPunct/>
              <w:topLinePunct w:val="0"/>
              <w:bidi w:val="0"/>
              <w:spacing w:line="240" w:lineRule="auto"/>
              <w:jc w:val="center"/>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技术提供能力</w:t>
            </w:r>
          </w:p>
        </w:tc>
        <w:tc>
          <w:tcPr>
            <w:tcW w:w="509" w:type="pct"/>
            <w:tcBorders>
              <w:top w:val="single" w:color="auto" w:sz="12" w:space="0"/>
              <w:tl2br w:val="nil"/>
              <w:tr2bl w:val="nil"/>
            </w:tcBorders>
            <w:vAlign w:val="center"/>
          </w:tcPr>
          <w:p w14:paraId="0D20F29B">
            <w:pPr>
              <w:pStyle w:val="36"/>
              <w:keepLines w:val="0"/>
              <w:kinsoku/>
              <w:wordWrap/>
              <w:overflowPunct/>
              <w:topLinePunct w:val="0"/>
              <w:bidi w:val="0"/>
              <w:spacing w:line="240" w:lineRule="auto"/>
              <w:jc w:val="center"/>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0～8分</w:t>
            </w:r>
          </w:p>
        </w:tc>
        <w:tc>
          <w:tcPr>
            <w:tcW w:w="3322" w:type="pct"/>
            <w:tcBorders>
              <w:top w:val="single" w:color="auto" w:sz="12" w:space="0"/>
              <w:tl2br w:val="nil"/>
              <w:tr2bl w:val="nil"/>
            </w:tcBorders>
            <w:vAlign w:val="center"/>
          </w:tcPr>
          <w:p w14:paraId="170B596C">
            <w:pPr>
              <w:pStyle w:val="36"/>
              <w:keepLines w:val="0"/>
              <w:kinsoku/>
              <w:wordWrap/>
              <w:overflowPunct/>
              <w:topLinePunct w:val="0"/>
              <w:bidi w:val="0"/>
              <w:spacing w:line="240" w:lineRule="auto"/>
              <w:jc w:val="left"/>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5～8分。节能服务公司具备较强的节能方案设计、新建或改造、管理和维护等方面的技术能力。自主研发专利技术不少于5项（其中发明专利不少于2项），或曾获得过省部级及以上节能降碳相关科技奖项。</w:t>
            </w:r>
          </w:p>
          <w:p w14:paraId="27B8227C">
            <w:pPr>
              <w:pStyle w:val="36"/>
              <w:keepLines w:val="0"/>
              <w:kinsoku/>
              <w:wordWrap/>
              <w:overflowPunct/>
              <w:topLinePunct w:val="0"/>
              <w:bidi w:val="0"/>
              <w:spacing w:line="240" w:lineRule="auto"/>
              <w:jc w:val="left"/>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0～4分。节能服务公司具备一定的节能方案设计、建设或改造、管理和维护等方面的技术能力。拥有至少1项自主研发专利技术，或具有一定的技术整合能力和应用经验。</w:t>
            </w:r>
          </w:p>
        </w:tc>
      </w:tr>
      <w:tr w14:paraId="698159E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0" w:type="dxa"/>
            <w:bottom w:w="0" w:type="dxa"/>
            <w:right w:w="100" w:type="dxa"/>
          </w:tblCellMar>
        </w:tblPrEx>
        <w:trPr>
          <w:jc w:val="center"/>
        </w:trPr>
        <w:tc>
          <w:tcPr>
            <w:tcW w:w="501" w:type="pct"/>
            <w:vMerge w:val="continue"/>
            <w:tcBorders>
              <w:tl2br w:val="nil"/>
              <w:tr2bl w:val="nil"/>
            </w:tcBorders>
            <w:vAlign w:val="center"/>
          </w:tcPr>
          <w:p w14:paraId="0E914AD7">
            <w:pPr>
              <w:pStyle w:val="36"/>
              <w:keepLines w:val="0"/>
              <w:kinsoku/>
              <w:wordWrap/>
              <w:overflowPunct/>
              <w:topLinePunct w:val="0"/>
              <w:bidi w:val="0"/>
              <w:spacing w:line="240" w:lineRule="auto"/>
              <w:jc w:val="center"/>
              <w:rPr>
                <w:rFonts w:hint="default" w:ascii="Times New Roman" w:hAnsi="Times New Roman" w:eastAsia="宋体" w:cs="Times New Roman"/>
              </w:rPr>
            </w:pPr>
          </w:p>
        </w:tc>
        <w:tc>
          <w:tcPr>
            <w:tcW w:w="666" w:type="pct"/>
            <w:tcBorders>
              <w:tl2br w:val="nil"/>
              <w:tr2bl w:val="nil"/>
            </w:tcBorders>
            <w:vAlign w:val="center"/>
          </w:tcPr>
          <w:p w14:paraId="01CC2B73">
            <w:pPr>
              <w:pStyle w:val="36"/>
              <w:keepLines w:val="0"/>
              <w:kinsoku/>
              <w:wordWrap/>
              <w:overflowPunct/>
              <w:topLinePunct w:val="0"/>
              <w:bidi w:val="0"/>
              <w:spacing w:line="240" w:lineRule="auto"/>
              <w:jc w:val="center"/>
              <w:rPr>
                <w:rFonts w:hint="default" w:ascii="Times New Roman" w:hAnsi="Times New Roman" w:eastAsia="宋体" w:cs="Times New Roman"/>
              </w:rPr>
            </w:pPr>
            <w:r>
              <w:rPr>
                <w:rFonts w:hint="default" w:ascii="Times New Roman" w:hAnsi="Times New Roman" w:eastAsia="宋体" w:cs="Times New Roman"/>
                <w:lang w:val="en-US" w:eastAsia="zh-CN"/>
              </w:rPr>
              <w:t>人员资源配置</w:t>
            </w:r>
          </w:p>
        </w:tc>
        <w:tc>
          <w:tcPr>
            <w:tcW w:w="509" w:type="pct"/>
            <w:tcBorders>
              <w:tl2br w:val="nil"/>
              <w:tr2bl w:val="nil"/>
            </w:tcBorders>
            <w:vAlign w:val="center"/>
          </w:tcPr>
          <w:p w14:paraId="0943F874">
            <w:pPr>
              <w:pStyle w:val="36"/>
              <w:keepLines w:val="0"/>
              <w:kinsoku/>
              <w:wordWrap/>
              <w:overflowPunct/>
              <w:topLinePunct w:val="0"/>
              <w:bidi w:val="0"/>
              <w:spacing w:line="240" w:lineRule="auto"/>
              <w:jc w:val="center"/>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0～8分</w:t>
            </w:r>
          </w:p>
        </w:tc>
        <w:tc>
          <w:tcPr>
            <w:tcW w:w="3322" w:type="pct"/>
            <w:tcBorders>
              <w:tl2br w:val="nil"/>
              <w:tr2bl w:val="nil"/>
            </w:tcBorders>
            <w:vAlign w:val="center"/>
          </w:tcPr>
          <w:p w14:paraId="40E7EDD6">
            <w:pPr>
              <w:pStyle w:val="36"/>
              <w:keepLines w:val="0"/>
              <w:kinsoku/>
              <w:wordWrap/>
              <w:overflowPunct/>
              <w:topLinePunct w:val="0"/>
              <w:bidi w:val="0"/>
              <w:spacing w:line="240" w:lineRule="auto"/>
              <w:jc w:val="left"/>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5～8分。节能服务公司配备与项目规模相匹配的专职技术团队（含节能设计、设备运维等岗位）和财务管理团队。</w:t>
            </w:r>
          </w:p>
          <w:p w14:paraId="2DE33DDA">
            <w:pPr>
              <w:pStyle w:val="36"/>
              <w:keepLines w:val="0"/>
              <w:kinsoku/>
              <w:wordWrap/>
              <w:overflowPunct/>
              <w:topLinePunct w:val="0"/>
              <w:bidi w:val="0"/>
              <w:spacing w:line="240" w:lineRule="auto"/>
              <w:jc w:val="left"/>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0～4分。技术和财务专职人员数量不足，未达到项目配置最低标准；人员专业能力与项目需求存在差距。</w:t>
            </w:r>
          </w:p>
        </w:tc>
      </w:tr>
      <w:tr w14:paraId="0C978EB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0" w:type="dxa"/>
            <w:bottom w:w="0" w:type="dxa"/>
            <w:right w:w="100" w:type="dxa"/>
          </w:tblCellMar>
        </w:tblPrEx>
        <w:trPr>
          <w:jc w:val="center"/>
        </w:trPr>
        <w:tc>
          <w:tcPr>
            <w:tcW w:w="501" w:type="pct"/>
            <w:vMerge w:val="continue"/>
            <w:tcBorders>
              <w:tl2br w:val="nil"/>
              <w:tr2bl w:val="nil"/>
            </w:tcBorders>
            <w:vAlign w:val="center"/>
          </w:tcPr>
          <w:p w14:paraId="593E3A3B">
            <w:pPr>
              <w:pStyle w:val="36"/>
              <w:keepLines w:val="0"/>
              <w:kinsoku/>
              <w:wordWrap/>
              <w:overflowPunct/>
              <w:topLinePunct w:val="0"/>
              <w:bidi w:val="0"/>
              <w:spacing w:line="240" w:lineRule="auto"/>
              <w:jc w:val="center"/>
              <w:rPr>
                <w:rFonts w:hint="default" w:ascii="Times New Roman" w:hAnsi="Times New Roman" w:eastAsia="宋体" w:cs="Times New Roman"/>
              </w:rPr>
            </w:pPr>
          </w:p>
        </w:tc>
        <w:tc>
          <w:tcPr>
            <w:tcW w:w="666" w:type="pct"/>
            <w:tcBorders>
              <w:tl2br w:val="nil"/>
              <w:tr2bl w:val="nil"/>
            </w:tcBorders>
            <w:vAlign w:val="center"/>
          </w:tcPr>
          <w:p w14:paraId="7302746C">
            <w:pPr>
              <w:pStyle w:val="36"/>
              <w:keepLines w:val="0"/>
              <w:kinsoku/>
              <w:wordWrap/>
              <w:overflowPunct/>
              <w:topLinePunct w:val="0"/>
              <w:bidi w:val="0"/>
              <w:spacing w:line="240" w:lineRule="auto"/>
              <w:jc w:val="center"/>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组织管理水平</w:t>
            </w:r>
          </w:p>
        </w:tc>
        <w:tc>
          <w:tcPr>
            <w:tcW w:w="509" w:type="pct"/>
            <w:tcBorders>
              <w:tl2br w:val="nil"/>
              <w:tr2bl w:val="nil"/>
            </w:tcBorders>
            <w:vAlign w:val="center"/>
          </w:tcPr>
          <w:p w14:paraId="66A27430">
            <w:pPr>
              <w:pStyle w:val="36"/>
              <w:keepLines w:val="0"/>
              <w:kinsoku/>
              <w:wordWrap/>
              <w:overflowPunct/>
              <w:topLinePunct w:val="0"/>
              <w:bidi w:val="0"/>
              <w:spacing w:line="240" w:lineRule="auto"/>
              <w:jc w:val="center"/>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0～8分</w:t>
            </w:r>
          </w:p>
        </w:tc>
        <w:tc>
          <w:tcPr>
            <w:tcW w:w="3322" w:type="pct"/>
            <w:tcBorders>
              <w:tl2br w:val="nil"/>
              <w:tr2bl w:val="nil"/>
            </w:tcBorders>
            <w:vAlign w:val="center"/>
          </w:tcPr>
          <w:p w14:paraId="0BD1B439">
            <w:pPr>
              <w:pStyle w:val="36"/>
              <w:keepLines w:val="0"/>
              <w:kinsoku/>
              <w:wordWrap/>
              <w:overflowPunct/>
              <w:topLinePunct w:val="0"/>
              <w:bidi w:val="0"/>
              <w:spacing w:line="240" w:lineRule="auto"/>
              <w:jc w:val="both"/>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5～8分。节能服务公司应具有较为完善的组织机构、管理制度，依照GB/T 23331建立能源管理体系，且制度执行记录和效果可验证。</w:t>
            </w:r>
          </w:p>
          <w:p w14:paraId="0D428B9B">
            <w:pPr>
              <w:pStyle w:val="36"/>
              <w:keepLines w:val="0"/>
              <w:kinsoku/>
              <w:wordWrap/>
              <w:overflowPunct/>
              <w:topLinePunct w:val="0"/>
              <w:bidi w:val="0"/>
              <w:spacing w:line="240" w:lineRule="auto"/>
              <w:jc w:val="both"/>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0～4分。组织机构、管理制度、质量管理体系有待完善，现有制度缺乏执行记录。</w:t>
            </w:r>
          </w:p>
        </w:tc>
      </w:tr>
      <w:tr w14:paraId="600C572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0" w:type="dxa"/>
            <w:bottom w:w="0" w:type="dxa"/>
            <w:right w:w="100" w:type="dxa"/>
          </w:tblCellMar>
        </w:tblPrEx>
        <w:trPr>
          <w:jc w:val="center"/>
        </w:trPr>
        <w:tc>
          <w:tcPr>
            <w:tcW w:w="501" w:type="pct"/>
            <w:vMerge w:val="continue"/>
            <w:tcBorders>
              <w:tl2br w:val="nil"/>
              <w:tr2bl w:val="nil"/>
            </w:tcBorders>
            <w:vAlign w:val="center"/>
          </w:tcPr>
          <w:p w14:paraId="15E789AE">
            <w:pPr>
              <w:pStyle w:val="36"/>
              <w:keepLines w:val="0"/>
              <w:kinsoku/>
              <w:wordWrap/>
              <w:overflowPunct/>
              <w:topLinePunct w:val="0"/>
              <w:bidi w:val="0"/>
              <w:spacing w:line="240" w:lineRule="auto"/>
              <w:jc w:val="center"/>
              <w:rPr>
                <w:rFonts w:hint="default" w:ascii="Times New Roman" w:hAnsi="Times New Roman" w:eastAsia="宋体" w:cs="Times New Roman"/>
              </w:rPr>
            </w:pPr>
          </w:p>
        </w:tc>
        <w:tc>
          <w:tcPr>
            <w:tcW w:w="666" w:type="pct"/>
            <w:tcBorders>
              <w:tl2br w:val="nil"/>
              <w:tr2bl w:val="nil"/>
            </w:tcBorders>
            <w:vAlign w:val="center"/>
          </w:tcPr>
          <w:p w14:paraId="7A9EBB22">
            <w:pPr>
              <w:pStyle w:val="36"/>
              <w:keepLines w:val="0"/>
              <w:kinsoku/>
              <w:wordWrap/>
              <w:overflowPunct/>
              <w:topLinePunct w:val="0"/>
              <w:bidi w:val="0"/>
              <w:spacing w:line="240" w:lineRule="auto"/>
              <w:jc w:val="center"/>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财务管理</w:t>
            </w:r>
          </w:p>
        </w:tc>
        <w:tc>
          <w:tcPr>
            <w:tcW w:w="509" w:type="pct"/>
            <w:tcBorders>
              <w:tl2br w:val="nil"/>
              <w:tr2bl w:val="nil"/>
            </w:tcBorders>
            <w:vAlign w:val="center"/>
          </w:tcPr>
          <w:p w14:paraId="027230C2">
            <w:pPr>
              <w:pStyle w:val="36"/>
              <w:keepLines w:val="0"/>
              <w:kinsoku/>
              <w:wordWrap/>
              <w:overflowPunct/>
              <w:topLinePunct w:val="0"/>
              <w:bidi w:val="0"/>
              <w:spacing w:line="240" w:lineRule="auto"/>
              <w:jc w:val="center"/>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0～8分</w:t>
            </w:r>
          </w:p>
        </w:tc>
        <w:tc>
          <w:tcPr>
            <w:tcW w:w="3322" w:type="pct"/>
            <w:tcBorders>
              <w:tl2br w:val="nil"/>
              <w:tr2bl w:val="nil"/>
            </w:tcBorders>
            <w:vAlign w:val="center"/>
          </w:tcPr>
          <w:p w14:paraId="16F5BCDB">
            <w:pPr>
              <w:pStyle w:val="36"/>
              <w:keepLines w:val="0"/>
              <w:kinsoku/>
              <w:wordWrap/>
              <w:overflowPunct/>
              <w:topLinePunct w:val="0"/>
              <w:bidi w:val="0"/>
              <w:spacing w:line="240" w:lineRule="auto"/>
              <w:jc w:val="both"/>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5～8分。节能服务公司应具有能源托管项目投资能力（包含自有资金和融资能力）和财务管理能力，能够提供第三方财务审计报告或银行A级以上资信证明。</w:t>
            </w:r>
          </w:p>
          <w:p w14:paraId="37DD23B0">
            <w:pPr>
              <w:pStyle w:val="36"/>
              <w:keepLines w:val="0"/>
              <w:kinsoku/>
              <w:wordWrap/>
              <w:overflowPunct/>
              <w:topLinePunct w:val="0"/>
              <w:bidi w:val="0"/>
              <w:spacing w:line="240" w:lineRule="auto"/>
              <w:jc w:val="both"/>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0～4分。自有资金不足或外部融资能力不强，难以匹配能源托管项目对于投资能力的需求。</w:t>
            </w:r>
          </w:p>
        </w:tc>
      </w:tr>
      <w:tr w14:paraId="60FEAF8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0" w:type="dxa"/>
            <w:bottom w:w="0" w:type="dxa"/>
            <w:right w:w="100" w:type="dxa"/>
          </w:tblCellMar>
        </w:tblPrEx>
        <w:trPr>
          <w:jc w:val="center"/>
        </w:trPr>
        <w:tc>
          <w:tcPr>
            <w:tcW w:w="501" w:type="pct"/>
            <w:vMerge w:val="continue"/>
            <w:tcBorders>
              <w:tl2br w:val="nil"/>
              <w:tr2bl w:val="nil"/>
            </w:tcBorders>
            <w:vAlign w:val="center"/>
          </w:tcPr>
          <w:p w14:paraId="06766725">
            <w:pPr>
              <w:pStyle w:val="36"/>
              <w:keepLines w:val="0"/>
              <w:kinsoku/>
              <w:wordWrap/>
              <w:overflowPunct/>
              <w:topLinePunct w:val="0"/>
              <w:bidi w:val="0"/>
              <w:spacing w:line="240" w:lineRule="auto"/>
              <w:jc w:val="center"/>
              <w:rPr>
                <w:rFonts w:hint="default" w:ascii="Times New Roman" w:hAnsi="Times New Roman" w:eastAsia="宋体" w:cs="Times New Roman"/>
              </w:rPr>
            </w:pPr>
          </w:p>
        </w:tc>
        <w:tc>
          <w:tcPr>
            <w:tcW w:w="666" w:type="pct"/>
            <w:tcBorders>
              <w:tl2br w:val="nil"/>
              <w:tr2bl w:val="nil"/>
            </w:tcBorders>
            <w:vAlign w:val="center"/>
          </w:tcPr>
          <w:p w14:paraId="16440339">
            <w:pPr>
              <w:pStyle w:val="36"/>
              <w:keepLines w:val="0"/>
              <w:kinsoku/>
              <w:wordWrap/>
              <w:overflowPunct/>
              <w:topLinePunct w:val="0"/>
              <w:bidi w:val="0"/>
              <w:spacing w:line="240" w:lineRule="auto"/>
              <w:jc w:val="center"/>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风险防控能力</w:t>
            </w:r>
          </w:p>
        </w:tc>
        <w:tc>
          <w:tcPr>
            <w:tcW w:w="509" w:type="pct"/>
            <w:tcBorders>
              <w:tl2br w:val="nil"/>
              <w:tr2bl w:val="nil"/>
            </w:tcBorders>
            <w:vAlign w:val="center"/>
          </w:tcPr>
          <w:p w14:paraId="0BF7E07D">
            <w:pPr>
              <w:pStyle w:val="36"/>
              <w:keepLines w:val="0"/>
              <w:kinsoku/>
              <w:wordWrap/>
              <w:overflowPunct/>
              <w:topLinePunct w:val="0"/>
              <w:bidi w:val="0"/>
              <w:spacing w:line="240" w:lineRule="auto"/>
              <w:jc w:val="center"/>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0～8分</w:t>
            </w:r>
          </w:p>
        </w:tc>
        <w:tc>
          <w:tcPr>
            <w:tcW w:w="3322" w:type="pct"/>
            <w:tcBorders>
              <w:tl2br w:val="nil"/>
              <w:tr2bl w:val="nil"/>
            </w:tcBorders>
            <w:vAlign w:val="center"/>
          </w:tcPr>
          <w:p w14:paraId="013E4597">
            <w:pPr>
              <w:pStyle w:val="36"/>
              <w:keepLines w:val="0"/>
              <w:kinsoku/>
              <w:wordWrap/>
              <w:overflowPunct/>
              <w:topLinePunct w:val="0"/>
              <w:bidi w:val="0"/>
              <w:spacing w:line="240" w:lineRule="auto"/>
              <w:jc w:val="both"/>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5～8分。节能服务公司对技术、运营、收益等潜在的能源托管风险因素进行有效识别，明确风险等级、责任主体、应对措施，并定期开展风险评估与预案演练。</w:t>
            </w:r>
          </w:p>
          <w:p w14:paraId="25921927">
            <w:pPr>
              <w:pStyle w:val="36"/>
              <w:keepLines w:val="0"/>
              <w:kinsoku/>
              <w:wordWrap/>
              <w:overflowPunct/>
              <w:topLinePunct w:val="0"/>
              <w:bidi w:val="0"/>
              <w:spacing w:line="240" w:lineRule="auto"/>
              <w:jc w:val="both"/>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0～4分。节能服务公司风险防控制度不够完善，应对措施有效性不足。</w:t>
            </w:r>
          </w:p>
        </w:tc>
      </w:tr>
      <w:tr w14:paraId="7D83E78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0" w:type="dxa"/>
            <w:bottom w:w="0" w:type="dxa"/>
            <w:right w:w="100" w:type="dxa"/>
          </w:tblCellMar>
        </w:tblPrEx>
        <w:trPr>
          <w:jc w:val="center"/>
        </w:trPr>
        <w:tc>
          <w:tcPr>
            <w:tcW w:w="501" w:type="pct"/>
            <w:vMerge w:val="restart"/>
            <w:tcBorders>
              <w:tl2br w:val="nil"/>
              <w:tr2bl w:val="nil"/>
            </w:tcBorders>
            <w:vAlign w:val="center"/>
          </w:tcPr>
          <w:p w14:paraId="7DD68D34">
            <w:pPr>
              <w:pStyle w:val="36"/>
              <w:keepLines w:val="0"/>
              <w:kinsoku/>
              <w:wordWrap/>
              <w:overflowPunct/>
              <w:topLinePunct w:val="0"/>
              <w:bidi w:val="0"/>
              <w:spacing w:line="240" w:lineRule="auto"/>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服务过程</w:t>
            </w:r>
          </w:p>
          <w:p w14:paraId="0DEEA4A3">
            <w:pPr>
              <w:pStyle w:val="36"/>
              <w:keepLines w:val="0"/>
              <w:kinsoku/>
              <w:wordWrap/>
              <w:overflowPunct/>
              <w:topLinePunct w:val="0"/>
              <w:bidi w:val="0"/>
              <w:spacing w:line="240" w:lineRule="auto"/>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（S</w:t>
            </w:r>
            <w:r>
              <w:rPr>
                <w:rFonts w:hint="default" w:ascii="Times New Roman" w:hAnsi="Times New Roman" w:eastAsia="宋体" w:cs="Times New Roman"/>
                <w:sz w:val="18"/>
                <w:szCs w:val="18"/>
                <w:vertAlign w:val="subscript"/>
                <w:lang w:val="en-US" w:eastAsia="zh-CN"/>
              </w:rPr>
              <w:t>2</w:t>
            </w:r>
            <w:r>
              <w:rPr>
                <w:rFonts w:hint="default" w:ascii="Times New Roman" w:hAnsi="Times New Roman" w:eastAsia="宋体" w:cs="Times New Roman"/>
                <w:sz w:val="18"/>
                <w:szCs w:val="18"/>
                <w:lang w:val="en-US" w:eastAsia="zh-CN"/>
              </w:rPr>
              <w:t>）</w:t>
            </w:r>
          </w:p>
        </w:tc>
        <w:tc>
          <w:tcPr>
            <w:tcW w:w="666" w:type="pct"/>
            <w:tcBorders>
              <w:tl2br w:val="nil"/>
              <w:tr2bl w:val="nil"/>
            </w:tcBorders>
            <w:vAlign w:val="center"/>
          </w:tcPr>
          <w:p w14:paraId="27F2C7AB">
            <w:pPr>
              <w:pStyle w:val="36"/>
              <w:keepLines w:val="0"/>
              <w:kinsoku/>
              <w:wordWrap/>
              <w:overflowPunct/>
              <w:topLinePunct w:val="0"/>
              <w:bidi w:val="0"/>
              <w:spacing w:line="240" w:lineRule="auto"/>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用能状况诊断</w:t>
            </w:r>
          </w:p>
        </w:tc>
        <w:tc>
          <w:tcPr>
            <w:tcW w:w="509" w:type="pct"/>
            <w:tcBorders>
              <w:tl2br w:val="nil"/>
              <w:tr2bl w:val="nil"/>
            </w:tcBorders>
            <w:vAlign w:val="center"/>
          </w:tcPr>
          <w:p w14:paraId="4A5BF390">
            <w:pPr>
              <w:pStyle w:val="36"/>
              <w:keepLines w:val="0"/>
              <w:kinsoku/>
              <w:wordWrap/>
              <w:overflowPunct/>
              <w:topLinePunct w:val="0"/>
              <w:bidi w:val="0"/>
              <w:spacing w:line="240" w:lineRule="auto"/>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0～6分</w:t>
            </w:r>
          </w:p>
        </w:tc>
        <w:tc>
          <w:tcPr>
            <w:tcW w:w="3322" w:type="pct"/>
            <w:tcBorders>
              <w:tl2br w:val="nil"/>
              <w:tr2bl w:val="nil"/>
            </w:tcBorders>
            <w:vAlign w:val="center"/>
          </w:tcPr>
          <w:p w14:paraId="5F9697F7">
            <w:pPr>
              <w:pStyle w:val="36"/>
              <w:keepLines w:val="0"/>
              <w:kinsoku/>
              <w:wordWrap/>
              <w:overflowPunct/>
              <w:topLinePunct w:val="0"/>
              <w:bidi w:val="0"/>
              <w:spacing w:line="240" w:lineRule="auto"/>
              <w:jc w:val="both"/>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4～6分。节能服务公司具备较强的对用能单位的能源利用、能源效率和能源管理等方面的诊断能力，能够通过诊断及时发现用能单位的节能潜力，用能状况诊断报告编制规范、结论和建议科学、准确。</w:t>
            </w:r>
          </w:p>
          <w:p w14:paraId="3F94A792">
            <w:pPr>
              <w:pStyle w:val="36"/>
              <w:keepLines w:val="0"/>
              <w:kinsoku/>
              <w:wordWrap/>
              <w:overflowPunct/>
              <w:topLinePunct w:val="0"/>
              <w:bidi w:val="0"/>
              <w:spacing w:line="240" w:lineRule="auto"/>
              <w:jc w:val="both"/>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0～3分。对用能状况诊断的能力不足，节能潜力挖掘不充分，结论不够准确。</w:t>
            </w:r>
          </w:p>
        </w:tc>
      </w:tr>
      <w:tr w14:paraId="70A6DB0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0" w:type="dxa"/>
            <w:bottom w:w="0" w:type="dxa"/>
            <w:right w:w="100" w:type="dxa"/>
          </w:tblCellMar>
        </w:tblPrEx>
        <w:trPr>
          <w:jc w:val="center"/>
        </w:trPr>
        <w:tc>
          <w:tcPr>
            <w:tcW w:w="501" w:type="pct"/>
            <w:vMerge w:val="continue"/>
            <w:tcBorders>
              <w:tl2br w:val="nil"/>
              <w:tr2bl w:val="nil"/>
            </w:tcBorders>
            <w:vAlign w:val="center"/>
          </w:tcPr>
          <w:p w14:paraId="62733A33">
            <w:pPr>
              <w:pStyle w:val="36"/>
              <w:keepLines w:val="0"/>
              <w:kinsoku/>
              <w:wordWrap/>
              <w:overflowPunct/>
              <w:topLinePunct w:val="0"/>
              <w:bidi w:val="0"/>
              <w:spacing w:line="240" w:lineRule="auto"/>
              <w:jc w:val="center"/>
              <w:rPr>
                <w:rFonts w:hint="default" w:ascii="Times New Roman" w:hAnsi="Times New Roman" w:eastAsia="宋体" w:cs="Times New Roman"/>
                <w:sz w:val="18"/>
                <w:szCs w:val="18"/>
              </w:rPr>
            </w:pPr>
          </w:p>
        </w:tc>
        <w:tc>
          <w:tcPr>
            <w:tcW w:w="666" w:type="pct"/>
            <w:tcBorders>
              <w:tl2br w:val="nil"/>
              <w:tr2bl w:val="nil"/>
            </w:tcBorders>
            <w:vAlign w:val="center"/>
          </w:tcPr>
          <w:p w14:paraId="7C613675">
            <w:pPr>
              <w:pStyle w:val="36"/>
              <w:keepLines w:val="0"/>
              <w:kinsoku/>
              <w:wordWrap/>
              <w:overflowPunct/>
              <w:topLinePunct w:val="0"/>
              <w:bidi w:val="0"/>
              <w:spacing w:line="240" w:lineRule="auto"/>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节能方案设计</w:t>
            </w:r>
          </w:p>
        </w:tc>
        <w:tc>
          <w:tcPr>
            <w:tcW w:w="509" w:type="pct"/>
            <w:tcBorders>
              <w:tl2br w:val="nil"/>
              <w:tr2bl w:val="nil"/>
            </w:tcBorders>
            <w:vAlign w:val="center"/>
          </w:tcPr>
          <w:p w14:paraId="73D127DB">
            <w:pPr>
              <w:pStyle w:val="36"/>
              <w:keepLines w:val="0"/>
              <w:kinsoku/>
              <w:wordWrap/>
              <w:overflowPunct/>
              <w:topLinePunct w:val="0"/>
              <w:bidi w:val="0"/>
              <w:spacing w:line="240" w:lineRule="auto"/>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0～6分</w:t>
            </w:r>
          </w:p>
        </w:tc>
        <w:tc>
          <w:tcPr>
            <w:tcW w:w="3322" w:type="pct"/>
            <w:tcBorders>
              <w:tl2br w:val="nil"/>
              <w:tr2bl w:val="nil"/>
            </w:tcBorders>
            <w:vAlign w:val="center"/>
          </w:tcPr>
          <w:p w14:paraId="6C6081D4">
            <w:pPr>
              <w:pStyle w:val="36"/>
              <w:keepLines w:val="0"/>
              <w:kinsoku/>
              <w:wordWrap/>
              <w:overflowPunct/>
              <w:topLinePunct w:val="0"/>
              <w:bidi w:val="0"/>
              <w:spacing w:line="240" w:lineRule="auto"/>
              <w:jc w:val="both"/>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4～6分。节能服务公司制定的节能方案符合合同约定和相关标准规范要求，并具有较好的技术可行性、经济合理性（投资回收期不超过同行业平均水平）。</w:t>
            </w:r>
          </w:p>
          <w:p w14:paraId="513562DC">
            <w:pPr>
              <w:pStyle w:val="36"/>
              <w:keepLines w:val="0"/>
              <w:kinsoku/>
              <w:wordWrap/>
              <w:overflowPunct/>
              <w:topLinePunct w:val="0"/>
              <w:bidi w:val="0"/>
              <w:spacing w:line="240" w:lineRule="auto"/>
              <w:jc w:val="both"/>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0～3分。节能方案未完全符合合同约定或相关标准要求；缺乏核心技术论证和投资效益分析，无法充分满足用能单位实际需求。</w:t>
            </w:r>
          </w:p>
        </w:tc>
      </w:tr>
      <w:tr w14:paraId="7BC91BF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0" w:type="dxa"/>
            <w:bottom w:w="0" w:type="dxa"/>
            <w:right w:w="100" w:type="dxa"/>
          </w:tblCellMar>
        </w:tblPrEx>
        <w:trPr>
          <w:jc w:val="center"/>
        </w:trPr>
        <w:tc>
          <w:tcPr>
            <w:tcW w:w="501" w:type="pct"/>
            <w:vMerge w:val="continue"/>
            <w:tcBorders>
              <w:tl2br w:val="nil"/>
              <w:tr2bl w:val="nil"/>
            </w:tcBorders>
            <w:vAlign w:val="center"/>
          </w:tcPr>
          <w:p w14:paraId="5CA9FA10">
            <w:pPr>
              <w:pStyle w:val="36"/>
              <w:keepLines w:val="0"/>
              <w:kinsoku/>
              <w:wordWrap/>
              <w:overflowPunct/>
              <w:topLinePunct w:val="0"/>
              <w:bidi w:val="0"/>
              <w:spacing w:line="240" w:lineRule="auto"/>
              <w:jc w:val="center"/>
              <w:rPr>
                <w:rFonts w:hint="default" w:ascii="Times New Roman" w:hAnsi="Times New Roman" w:eastAsia="宋体" w:cs="Times New Roman"/>
                <w:sz w:val="18"/>
                <w:szCs w:val="18"/>
              </w:rPr>
            </w:pPr>
          </w:p>
        </w:tc>
        <w:tc>
          <w:tcPr>
            <w:tcW w:w="666" w:type="pct"/>
            <w:tcBorders>
              <w:tl2br w:val="nil"/>
              <w:tr2bl w:val="nil"/>
            </w:tcBorders>
            <w:vAlign w:val="center"/>
          </w:tcPr>
          <w:p w14:paraId="330D92C0">
            <w:pPr>
              <w:pStyle w:val="36"/>
              <w:keepLines w:val="0"/>
              <w:kinsoku/>
              <w:wordWrap/>
              <w:overflowPunct/>
              <w:topLinePunct w:val="0"/>
              <w:bidi w:val="0"/>
              <w:spacing w:line="240" w:lineRule="auto"/>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施工管理能力</w:t>
            </w:r>
          </w:p>
        </w:tc>
        <w:tc>
          <w:tcPr>
            <w:tcW w:w="509" w:type="pct"/>
            <w:tcBorders>
              <w:tl2br w:val="nil"/>
              <w:tr2bl w:val="nil"/>
            </w:tcBorders>
            <w:vAlign w:val="center"/>
          </w:tcPr>
          <w:p w14:paraId="0A0C3C70">
            <w:pPr>
              <w:pStyle w:val="36"/>
              <w:keepLines w:val="0"/>
              <w:kinsoku/>
              <w:wordWrap/>
              <w:overflowPunct/>
              <w:topLinePunct w:val="0"/>
              <w:bidi w:val="0"/>
              <w:spacing w:line="240" w:lineRule="auto"/>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0～6分</w:t>
            </w:r>
          </w:p>
        </w:tc>
        <w:tc>
          <w:tcPr>
            <w:tcW w:w="3322" w:type="pct"/>
            <w:tcBorders>
              <w:tl2br w:val="nil"/>
              <w:tr2bl w:val="nil"/>
            </w:tcBorders>
            <w:vAlign w:val="center"/>
          </w:tcPr>
          <w:p w14:paraId="6640DA86">
            <w:pPr>
              <w:pStyle w:val="36"/>
              <w:keepLines w:val="0"/>
              <w:kinsoku/>
              <w:wordWrap/>
              <w:overflowPunct/>
              <w:topLinePunct w:val="0"/>
              <w:bidi w:val="0"/>
              <w:spacing w:line="240" w:lineRule="auto"/>
              <w:jc w:val="both"/>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4～6分。节能服务公司应具备较强的能源托管项目建设施工管理能力，或委托具备相应施工资质的专业机构与人员，保障施工服务高质量开展。具体工作包括：施工前期完成对项目现场现状的全面核查与确认，重点覆盖各类用能设备及能源系统的运行参数、配置情况等关键内容；施工过程中统筹做好现场后勤保障、人员调度、施工质量巡检；建立竣工验收管理制度等。若采用施工外包模式，需建立健全外包服务商筛选、过程管控、质量追溯等全流程管控机制。</w:t>
            </w:r>
          </w:p>
          <w:p w14:paraId="69E4AB06">
            <w:pPr>
              <w:pStyle w:val="36"/>
              <w:keepLines w:val="0"/>
              <w:kinsoku/>
              <w:wordWrap/>
              <w:overflowPunct/>
              <w:topLinePunct w:val="0"/>
              <w:bidi w:val="0"/>
              <w:spacing w:line="240" w:lineRule="auto"/>
              <w:jc w:val="both"/>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0～3分。节能服务公司的能源托管项目建设施工管理能力较弱，或委托的施工合作方不具备对应施工资质与专业服务能力，无法保障施工服务质量。若采用施工外包模式，未建立外包服务商筛选、过程管控、质量追溯等相关管控机制，或机制执行不到位。</w:t>
            </w:r>
          </w:p>
        </w:tc>
      </w:tr>
      <w:tr w14:paraId="021C30F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0" w:type="dxa"/>
            <w:bottom w:w="0" w:type="dxa"/>
            <w:right w:w="100" w:type="dxa"/>
          </w:tblCellMar>
        </w:tblPrEx>
        <w:trPr>
          <w:jc w:val="center"/>
        </w:trPr>
        <w:tc>
          <w:tcPr>
            <w:tcW w:w="501" w:type="pct"/>
            <w:vMerge w:val="continue"/>
            <w:tcBorders>
              <w:tl2br w:val="nil"/>
              <w:tr2bl w:val="nil"/>
            </w:tcBorders>
            <w:vAlign w:val="center"/>
          </w:tcPr>
          <w:p w14:paraId="1575FAD1">
            <w:pPr>
              <w:pStyle w:val="36"/>
              <w:keepLines w:val="0"/>
              <w:kinsoku/>
              <w:wordWrap/>
              <w:overflowPunct/>
              <w:topLinePunct w:val="0"/>
              <w:bidi w:val="0"/>
              <w:spacing w:line="240" w:lineRule="auto"/>
              <w:jc w:val="center"/>
              <w:rPr>
                <w:rFonts w:hint="default" w:ascii="Times New Roman" w:hAnsi="Times New Roman" w:eastAsia="宋体" w:cs="Times New Roman"/>
                <w:sz w:val="18"/>
                <w:szCs w:val="18"/>
              </w:rPr>
            </w:pPr>
          </w:p>
        </w:tc>
        <w:tc>
          <w:tcPr>
            <w:tcW w:w="666" w:type="pct"/>
            <w:tcBorders>
              <w:tl2br w:val="nil"/>
              <w:tr2bl w:val="nil"/>
            </w:tcBorders>
            <w:vAlign w:val="center"/>
          </w:tcPr>
          <w:p w14:paraId="3CAEF321">
            <w:pPr>
              <w:pStyle w:val="36"/>
              <w:keepLines w:val="0"/>
              <w:kinsoku/>
              <w:wordWrap/>
              <w:overflowPunct/>
              <w:topLinePunct w:val="0"/>
              <w:bidi w:val="0"/>
              <w:spacing w:line="240" w:lineRule="auto"/>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运行维护能力</w:t>
            </w:r>
          </w:p>
        </w:tc>
        <w:tc>
          <w:tcPr>
            <w:tcW w:w="509" w:type="pct"/>
            <w:tcBorders>
              <w:tl2br w:val="nil"/>
              <w:tr2bl w:val="nil"/>
            </w:tcBorders>
            <w:vAlign w:val="center"/>
          </w:tcPr>
          <w:p w14:paraId="782FCC37">
            <w:pPr>
              <w:pStyle w:val="36"/>
              <w:keepLines w:val="0"/>
              <w:kinsoku/>
              <w:wordWrap/>
              <w:overflowPunct/>
              <w:topLinePunct w:val="0"/>
              <w:bidi w:val="0"/>
              <w:spacing w:line="240" w:lineRule="auto"/>
              <w:jc w:val="center"/>
              <w:rPr>
                <w:rFonts w:hint="default" w:ascii="Times New Roman" w:hAnsi="Times New Roman" w:eastAsia="宋体" w:cs="Times New Roman"/>
                <w:i w:val="0"/>
                <w:iCs w:val="0"/>
                <w:caps w:val="0"/>
                <w:spacing w:val="0"/>
                <w:sz w:val="18"/>
                <w:szCs w:val="18"/>
                <w:shd w:val="clear" w:fill="FFFFFF"/>
              </w:rPr>
            </w:pPr>
            <w:r>
              <w:rPr>
                <w:rFonts w:hint="default" w:ascii="Times New Roman" w:hAnsi="Times New Roman" w:eastAsia="宋体" w:cs="Times New Roman"/>
                <w:sz w:val="18"/>
                <w:szCs w:val="18"/>
                <w:lang w:val="en-US" w:eastAsia="zh-CN"/>
              </w:rPr>
              <w:t>0～6分</w:t>
            </w:r>
          </w:p>
        </w:tc>
        <w:tc>
          <w:tcPr>
            <w:tcW w:w="3322" w:type="pct"/>
            <w:tcBorders>
              <w:tl2br w:val="nil"/>
              <w:tr2bl w:val="nil"/>
            </w:tcBorders>
            <w:vAlign w:val="center"/>
          </w:tcPr>
          <w:p w14:paraId="08F980CA">
            <w:pPr>
              <w:pStyle w:val="36"/>
              <w:keepLines w:val="0"/>
              <w:kinsoku/>
              <w:wordWrap/>
              <w:overflowPunct/>
              <w:topLinePunct w:val="0"/>
              <w:bidi w:val="0"/>
              <w:spacing w:line="240" w:lineRule="auto"/>
              <w:jc w:val="both"/>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4～6分。节能服务公司具备完善的能源托管项目运维服务能力，建立能源统计分析、值班、定期巡回检查、设备维护保养等制度，并针对运维人员建立能力培训、岗位管理、绩效考评体系。</w:t>
            </w:r>
          </w:p>
          <w:p w14:paraId="2960BB92">
            <w:pPr>
              <w:pStyle w:val="36"/>
              <w:keepLines w:val="0"/>
              <w:kinsoku/>
              <w:wordWrap/>
              <w:overflowPunct/>
              <w:topLinePunct w:val="0"/>
              <w:bidi w:val="0"/>
              <w:spacing w:line="240" w:lineRule="auto"/>
              <w:jc w:val="both"/>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0～3分。节能服务公司能源托管项目运维服务能力薄弱，无法保障项目规范高效运行。如，未建立科学合理的运维管理制度，或相关制度不健全；未针对运维人员建立能力培训、岗位管理、绩效考评等相关制度，运维团队专业能力与服务水平不足。</w:t>
            </w:r>
          </w:p>
        </w:tc>
      </w:tr>
      <w:tr w14:paraId="2A05EB1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0" w:type="dxa"/>
            <w:bottom w:w="0" w:type="dxa"/>
            <w:right w:w="100" w:type="dxa"/>
          </w:tblCellMar>
        </w:tblPrEx>
        <w:trPr>
          <w:jc w:val="center"/>
        </w:trPr>
        <w:tc>
          <w:tcPr>
            <w:tcW w:w="501" w:type="pct"/>
            <w:vMerge w:val="continue"/>
            <w:tcBorders>
              <w:tl2br w:val="nil"/>
              <w:tr2bl w:val="nil"/>
            </w:tcBorders>
            <w:vAlign w:val="center"/>
          </w:tcPr>
          <w:p w14:paraId="7F91292A">
            <w:pPr>
              <w:pStyle w:val="36"/>
              <w:keepLines w:val="0"/>
              <w:kinsoku/>
              <w:wordWrap/>
              <w:overflowPunct/>
              <w:topLinePunct w:val="0"/>
              <w:bidi w:val="0"/>
              <w:spacing w:line="240" w:lineRule="auto"/>
              <w:jc w:val="center"/>
              <w:rPr>
                <w:rFonts w:hint="default" w:ascii="Times New Roman" w:hAnsi="Times New Roman" w:eastAsia="宋体" w:cs="Times New Roman"/>
                <w:sz w:val="18"/>
                <w:szCs w:val="18"/>
              </w:rPr>
            </w:pPr>
          </w:p>
        </w:tc>
        <w:tc>
          <w:tcPr>
            <w:tcW w:w="666" w:type="pct"/>
            <w:tcBorders>
              <w:tl2br w:val="nil"/>
              <w:tr2bl w:val="nil"/>
            </w:tcBorders>
            <w:vAlign w:val="center"/>
          </w:tcPr>
          <w:p w14:paraId="75A2236D">
            <w:pPr>
              <w:pStyle w:val="36"/>
              <w:keepLines w:val="0"/>
              <w:kinsoku/>
              <w:wordWrap/>
              <w:overflowPunct/>
              <w:topLinePunct w:val="0"/>
              <w:bidi w:val="0"/>
              <w:spacing w:line="240" w:lineRule="auto"/>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项目移交</w:t>
            </w:r>
          </w:p>
        </w:tc>
        <w:tc>
          <w:tcPr>
            <w:tcW w:w="509" w:type="pct"/>
            <w:tcBorders>
              <w:tl2br w:val="nil"/>
              <w:tr2bl w:val="nil"/>
            </w:tcBorders>
            <w:vAlign w:val="center"/>
          </w:tcPr>
          <w:p w14:paraId="436A68CF">
            <w:pPr>
              <w:pStyle w:val="36"/>
              <w:keepLines w:val="0"/>
              <w:kinsoku/>
              <w:wordWrap/>
              <w:overflowPunct/>
              <w:topLinePunct w:val="0"/>
              <w:bidi w:val="0"/>
              <w:spacing w:line="240" w:lineRule="auto"/>
              <w:jc w:val="center"/>
              <w:rPr>
                <w:rFonts w:hint="default" w:ascii="Times New Roman" w:hAnsi="Times New Roman" w:eastAsia="宋体" w:cs="Times New Roman"/>
                <w:i w:val="0"/>
                <w:iCs w:val="0"/>
                <w:caps w:val="0"/>
                <w:spacing w:val="0"/>
                <w:sz w:val="18"/>
                <w:szCs w:val="18"/>
                <w:shd w:val="clear" w:fill="FFFFFF"/>
                <w:lang w:val="en-US" w:eastAsia="zh-CN"/>
              </w:rPr>
            </w:pPr>
            <w:r>
              <w:rPr>
                <w:rFonts w:hint="default" w:ascii="Times New Roman" w:hAnsi="Times New Roman" w:eastAsia="宋体" w:cs="Times New Roman"/>
                <w:sz w:val="18"/>
                <w:szCs w:val="18"/>
                <w:lang w:val="en-US" w:eastAsia="zh-CN"/>
              </w:rPr>
              <w:t>0～6分</w:t>
            </w:r>
          </w:p>
        </w:tc>
        <w:tc>
          <w:tcPr>
            <w:tcW w:w="3322" w:type="pct"/>
            <w:tcBorders>
              <w:tl2br w:val="nil"/>
              <w:tr2bl w:val="nil"/>
            </w:tcBorders>
            <w:vAlign w:val="center"/>
          </w:tcPr>
          <w:p w14:paraId="67477C69">
            <w:pPr>
              <w:pStyle w:val="36"/>
              <w:keepLines w:val="0"/>
              <w:kinsoku/>
              <w:wordWrap/>
              <w:overflowPunct/>
              <w:topLinePunct w:val="0"/>
              <w:bidi w:val="0"/>
              <w:spacing w:line="240" w:lineRule="auto"/>
              <w:jc w:val="both"/>
              <w:rPr>
                <w:rFonts w:hint="default" w:ascii="Times New Roman" w:hAnsi="Times New Roman" w:eastAsia="宋体" w:cs="Times New Roman"/>
                <w:i w:val="0"/>
                <w:iCs w:val="0"/>
                <w:caps w:val="0"/>
                <w:spacing w:val="0"/>
                <w:sz w:val="18"/>
                <w:szCs w:val="18"/>
                <w:shd w:val="clear" w:fill="FFFFFF"/>
                <w:lang w:val="en-US" w:eastAsia="zh-CN"/>
              </w:rPr>
            </w:pPr>
            <w:r>
              <w:rPr>
                <w:rFonts w:hint="default" w:ascii="Times New Roman" w:hAnsi="Times New Roman" w:eastAsia="宋体" w:cs="Times New Roman"/>
                <w:sz w:val="18"/>
                <w:szCs w:val="18"/>
                <w:lang w:val="en-US" w:eastAsia="zh-CN"/>
              </w:rPr>
              <w:t>4～6分。</w:t>
            </w:r>
            <w:r>
              <w:rPr>
                <w:rFonts w:hint="default" w:ascii="Times New Roman" w:hAnsi="Times New Roman" w:eastAsia="宋体" w:cs="Times New Roman"/>
                <w:i w:val="0"/>
                <w:iCs w:val="0"/>
                <w:caps w:val="0"/>
                <w:spacing w:val="0"/>
                <w:sz w:val="18"/>
                <w:szCs w:val="18"/>
                <w:shd w:val="clear" w:fill="FFFFFF"/>
                <w:lang w:val="en-US" w:eastAsia="zh-CN"/>
              </w:rPr>
              <w:t>托管合同结束前1个月，节能服务公司对托管范围内的用能系统或设备进行全面排查检修，保证用能系统或设备能正常运行（达到合同约定的技术参数）；托管合同结束后，无偿向用能单位移交设备设施及完整技术资料（含设备台账、运维记录、竣工图纸、操作手册等），并对用能单位操作人员开展培训。</w:t>
            </w:r>
          </w:p>
          <w:p w14:paraId="38C1E9A6">
            <w:pPr>
              <w:pStyle w:val="36"/>
              <w:keepLines w:val="0"/>
              <w:kinsoku/>
              <w:wordWrap/>
              <w:overflowPunct/>
              <w:topLinePunct w:val="0"/>
              <w:bidi w:val="0"/>
              <w:spacing w:line="240" w:lineRule="auto"/>
              <w:jc w:val="both"/>
              <w:rPr>
                <w:rFonts w:hint="default" w:ascii="Times New Roman" w:hAnsi="Times New Roman" w:eastAsia="宋体" w:cs="Times New Roman"/>
                <w:i w:val="0"/>
                <w:iCs w:val="0"/>
                <w:caps w:val="0"/>
                <w:spacing w:val="0"/>
                <w:sz w:val="18"/>
                <w:szCs w:val="18"/>
                <w:shd w:val="clear" w:fill="FFFFFF"/>
                <w:lang w:val="en-US" w:eastAsia="zh-CN"/>
              </w:rPr>
            </w:pPr>
            <w:r>
              <w:rPr>
                <w:rFonts w:hint="default" w:ascii="Times New Roman" w:hAnsi="Times New Roman" w:eastAsia="宋体" w:cs="Times New Roman"/>
                <w:sz w:val="18"/>
                <w:szCs w:val="18"/>
                <w:lang w:val="en-US" w:eastAsia="zh-CN"/>
              </w:rPr>
              <w:t>0～3分。节能服务公司移交给用能单位的设备设施不能稳定、高效运行，或存在故障未解决，未开展对用能单位的技术培训，移交的技术资料不完整。</w:t>
            </w:r>
          </w:p>
        </w:tc>
      </w:tr>
      <w:tr w14:paraId="3B0B662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0" w:type="dxa"/>
            <w:bottom w:w="0" w:type="dxa"/>
            <w:right w:w="100" w:type="dxa"/>
          </w:tblCellMar>
        </w:tblPrEx>
        <w:trPr>
          <w:jc w:val="center"/>
        </w:trPr>
        <w:tc>
          <w:tcPr>
            <w:tcW w:w="501" w:type="pct"/>
            <w:vMerge w:val="restart"/>
            <w:tcBorders>
              <w:tl2br w:val="nil"/>
              <w:tr2bl w:val="nil"/>
            </w:tcBorders>
            <w:vAlign w:val="center"/>
          </w:tcPr>
          <w:p w14:paraId="2E18589A">
            <w:pPr>
              <w:pStyle w:val="36"/>
              <w:keepLines w:val="0"/>
              <w:kinsoku/>
              <w:wordWrap/>
              <w:overflowPunct/>
              <w:topLinePunct w:val="0"/>
              <w:bidi w:val="0"/>
              <w:spacing w:line="240" w:lineRule="auto"/>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服务绩效</w:t>
            </w:r>
          </w:p>
          <w:p w14:paraId="06522577">
            <w:pPr>
              <w:pStyle w:val="36"/>
              <w:keepLines w:val="0"/>
              <w:kinsoku/>
              <w:wordWrap/>
              <w:overflowPunct/>
              <w:topLinePunct w:val="0"/>
              <w:bidi w:val="0"/>
              <w:spacing w:line="240" w:lineRule="auto"/>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（S</w:t>
            </w:r>
            <w:r>
              <w:rPr>
                <w:rFonts w:hint="default" w:ascii="Times New Roman" w:hAnsi="Times New Roman" w:eastAsia="宋体" w:cs="Times New Roman"/>
                <w:sz w:val="18"/>
                <w:szCs w:val="18"/>
                <w:vertAlign w:val="subscript"/>
                <w:lang w:val="en-US" w:eastAsia="zh-CN"/>
              </w:rPr>
              <w:t>3</w:t>
            </w:r>
            <w:r>
              <w:rPr>
                <w:rFonts w:hint="default" w:ascii="Times New Roman" w:hAnsi="Times New Roman" w:eastAsia="宋体" w:cs="Times New Roman"/>
                <w:sz w:val="18"/>
                <w:szCs w:val="18"/>
                <w:lang w:val="en-US" w:eastAsia="zh-CN"/>
              </w:rPr>
              <w:t>）</w:t>
            </w:r>
          </w:p>
        </w:tc>
        <w:tc>
          <w:tcPr>
            <w:tcW w:w="666" w:type="pct"/>
            <w:tcBorders>
              <w:tl2br w:val="nil"/>
              <w:tr2bl w:val="nil"/>
            </w:tcBorders>
            <w:vAlign w:val="center"/>
          </w:tcPr>
          <w:p w14:paraId="06454F8B">
            <w:pPr>
              <w:pStyle w:val="36"/>
              <w:keepLines w:val="0"/>
              <w:kinsoku/>
              <w:wordWrap/>
              <w:overflowPunct/>
              <w:topLinePunct w:val="0"/>
              <w:bidi w:val="0"/>
              <w:spacing w:line="240" w:lineRule="auto"/>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项目数量</w:t>
            </w:r>
          </w:p>
        </w:tc>
        <w:tc>
          <w:tcPr>
            <w:tcW w:w="509" w:type="pct"/>
            <w:tcBorders>
              <w:tl2br w:val="nil"/>
              <w:tr2bl w:val="nil"/>
            </w:tcBorders>
            <w:vAlign w:val="center"/>
          </w:tcPr>
          <w:p w14:paraId="7FB4E245">
            <w:pPr>
              <w:pStyle w:val="36"/>
              <w:keepLines w:val="0"/>
              <w:kinsoku/>
              <w:wordWrap/>
              <w:overflowPunct/>
              <w:topLinePunct w:val="0"/>
              <w:bidi w:val="0"/>
              <w:spacing w:line="240" w:lineRule="auto"/>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0～6分</w:t>
            </w:r>
          </w:p>
        </w:tc>
        <w:tc>
          <w:tcPr>
            <w:tcW w:w="3322" w:type="pct"/>
            <w:tcBorders>
              <w:tl2br w:val="nil"/>
              <w:tr2bl w:val="nil"/>
            </w:tcBorders>
            <w:vAlign w:val="center"/>
          </w:tcPr>
          <w:p w14:paraId="591720E5">
            <w:pPr>
              <w:pStyle w:val="36"/>
              <w:keepLines w:val="0"/>
              <w:kinsoku/>
              <w:wordWrap/>
              <w:overflowPunct/>
              <w:topLinePunct w:val="0"/>
              <w:bidi w:val="0"/>
              <w:spacing w:line="240" w:lineRule="auto"/>
              <w:jc w:val="both"/>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4～6分。节能服务公司成功实施过5个以上能源托管项目。</w:t>
            </w:r>
          </w:p>
          <w:p w14:paraId="6CE89735">
            <w:pPr>
              <w:pStyle w:val="36"/>
              <w:keepLines w:val="0"/>
              <w:kinsoku/>
              <w:wordWrap/>
              <w:overflowPunct/>
              <w:topLinePunct w:val="0"/>
              <w:bidi w:val="0"/>
              <w:spacing w:line="240" w:lineRule="auto"/>
              <w:jc w:val="both"/>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0～3分。节能服务公司实施过0～4个能源托管项目。</w:t>
            </w:r>
          </w:p>
        </w:tc>
      </w:tr>
      <w:tr w14:paraId="582CA1C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0" w:type="dxa"/>
            <w:bottom w:w="0" w:type="dxa"/>
            <w:right w:w="100" w:type="dxa"/>
          </w:tblCellMar>
        </w:tblPrEx>
        <w:trPr>
          <w:jc w:val="center"/>
        </w:trPr>
        <w:tc>
          <w:tcPr>
            <w:tcW w:w="501" w:type="pct"/>
            <w:vMerge w:val="continue"/>
            <w:tcBorders>
              <w:tl2br w:val="nil"/>
              <w:tr2bl w:val="nil"/>
            </w:tcBorders>
            <w:vAlign w:val="center"/>
          </w:tcPr>
          <w:p w14:paraId="6FC7F2D8">
            <w:pPr>
              <w:pStyle w:val="36"/>
              <w:keepLines w:val="0"/>
              <w:kinsoku/>
              <w:wordWrap/>
              <w:overflowPunct/>
              <w:topLinePunct w:val="0"/>
              <w:bidi w:val="0"/>
              <w:spacing w:line="240" w:lineRule="auto"/>
              <w:jc w:val="center"/>
              <w:rPr>
                <w:rFonts w:hint="default" w:ascii="Times New Roman" w:hAnsi="Times New Roman" w:eastAsia="宋体" w:cs="Times New Roman"/>
                <w:sz w:val="18"/>
                <w:szCs w:val="18"/>
              </w:rPr>
            </w:pPr>
          </w:p>
        </w:tc>
        <w:tc>
          <w:tcPr>
            <w:tcW w:w="666" w:type="pct"/>
            <w:tcBorders>
              <w:tl2br w:val="nil"/>
              <w:tr2bl w:val="nil"/>
            </w:tcBorders>
            <w:vAlign w:val="center"/>
          </w:tcPr>
          <w:p w14:paraId="756219D1">
            <w:pPr>
              <w:pStyle w:val="36"/>
              <w:keepLines w:val="0"/>
              <w:kinsoku/>
              <w:wordWrap/>
              <w:overflowPunct/>
              <w:topLinePunct w:val="0"/>
              <w:bidi w:val="0"/>
              <w:spacing w:line="240" w:lineRule="auto"/>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客户满意度</w:t>
            </w:r>
          </w:p>
        </w:tc>
        <w:tc>
          <w:tcPr>
            <w:tcW w:w="509" w:type="pct"/>
            <w:tcBorders>
              <w:tl2br w:val="nil"/>
              <w:tr2bl w:val="nil"/>
            </w:tcBorders>
            <w:vAlign w:val="center"/>
          </w:tcPr>
          <w:p w14:paraId="4A489DA9">
            <w:pPr>
              <w:pStyle w:val="36"/>
              <w:keepLines w:val="0"/>
              <w:kinsoku/>
              <w:wordWrap/>
              <w:overflowPunct/>
              <w:topLinePunct w:val="0"/>
              <w:bidi w:val="0"/>
              <w:spacing w:line="240" w:lineRule="auto"/>
              <w:jc w:val="center"/>
              <w:rPr>
                <w:rFonts w:hint="default" w:ascii="Times New Roman" w:hAnsi="Times New Roman" w:eastAsia="宋体" w:cs="Times New Roman"/>
                <w:i w:val="0"/>
                <w:iCs w:val="0"/>
                <w:caps w:val="0"/>
                <w:spacing w:val="0"/>
                <w:sz w:val="18"/>
                <w:szCs w:val="18"/>
                <w:shd w:val="clear" w:fill="FFFFFF"/>
                <w:lang w:val="en-US" w:eastAsia="zh-CN"/>
              </w:rPr>
            </w:pPr>
            <w:r>
              <w:rPr>
                <w:rFonts w:hint="default" w:ascii="Times New Roman" w:hAnsi="Times New Roman" w:eastAsia="宋体" w:cs="Times New Roman"/>
                <w:sz w:val="18"/>
                <w:szCs w:val="18"/>
                <w:lang w:val="en-US" w:eastAsia="zh-CN"/>
              </w:rPr>
              <w:t>0～6分</w:t>
            </w:r>
          </w:p>
        </w:tc>
        <w:tc>
          <w:tcPr>
            <w:tcW w:w="3322" w:type="pct"/>
            <w:tcBorders>
              <w:tl2br w:val="nil"/>
              <w:tr2bl w:val="nil"/>
            </w:tcBorders>
            <w:vAlign w:val="center"/>
          </w:tcPr>
          <w:p w14:paraId="3C4F22B0">
            <w:pPr>
              <w:pStyle w:val="36"/>
              <w:keepLines w:val="0"/>
              <w:kinsoku/>
              <w:wordWrap/>
              <w:overflowPunct/>
              <w:topLinePunct w:val="0"/>
              <w:bidi w:val="0"/>
              <w:spacing w:line="240" w:lineRule="auto"/>
              <w:jc w:val="both"/>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5～6分。客户总体满意度达到90%以上。</w:t>
            </w:r>
          </w:p>
          <w:p w14:paraId="16BB1BB9">
            <w:pPr>
              <w:pStyle w:val="36"/>
              <w:keepLines w:val="0"/>
              <w:kinsoku/>
              <w:wordWrap/>
              <w:overflowPunct/>
              <w:topLinePunct w:val="0"/>
              <w:bidi w:val="0"/>
              <w:spacing w:line="240" w:lineRule="auto"/>
              <w:jc w:val="both"/>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3～4分。客户总体满意度达到80%以上。</w:t>
            </w:r>
          </w:p>
          <w:p w14:paraId="153F211F">
            <w:pPr>
              <w:pStyle w:val="36"/>
              <w:keepLines w:val="0"/>
              <w:kinsoku/>
              <w:wordWrap/>
              <w:overflowPunct/>
              <w:topLinePunct w:val="0"/>
              <w:bidi w:val="0"/>
              <w:spacing w:line="240" w:lineRule="auto"/>
              <w:jc w:val="both"/>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0～2分。客户总体满意度低于80%。</w:t>
            </w:r>
          </w:p>
        </w:tc>
      </w:tr>
      <w:tr w14:paraId="5AD5614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0" w:type="dxa"/>
            <w:bottom w:w="0" w:type="dxa"/>
            <w:right w:w="100" w:type="dxa"/>
          </w:tblCellMar>
        </w:tblPrEx>
        <w:trPr>
          <w:jc w:val="center"/>
        </w:trPr>
        <w:tc>
          <w:tcPr>
            <w:tcW w:w="501" w:type="pct"/>
            <w:vMerge w:val="continue"/>
            <w:tcBorders>
              <w:tl2br w:val="nil"/>
              <w:tr2bl w:val="nil"/>
            </w:tcBorders>
            <w:vAlign w:val="center"/>
          </w:tcPr>
          <w:p w14:paraId="7D6D214E">
            <w:pPr>
              <w:pStyle w:val="36"/>
              <w:keepLines w:val="0"/>
              <w:kinsoku/>
              <w:wordWrap/>
              <w:overflowPunct/>
              <w:topLinePunct w:val="0"/>
              <w:bidi w:val="0"/>
              <w:spacing w:line="240" w:lineRule="auto"/>
              <w:jc w:val="center"/>
              <w:rPr>
                <w:rFonts w:hint="default" w:ascii="Times New Roman" w:hAnsi="Times New Roman" w:eastAsia="宋体" w:cs="Times New Roman"/>
                <w:sz w:val="18"/>
                <w:szCs w:val="18"/>
              </w:rPr>
            </w:pPr>
          </w:p>
        </w:tc>
        <w:tc>
          <w:tcPr>
            <w:tcW w:w="666" w:type="pct"/>
            <w:tcBorders>
              <w:tl2br w:val="nil"/>
              <w:tr2bl w:val="nil"/>
            </w:tcBorders>
            <w:vAlign w:val="center"/>
          </w:tcPr>
          <w:p w14:paraId="58A84583">
            <w:pPr>
              <w:pStyle w:val="36"/>
              <w:keepLines w:val="0"/>
              <w:kinsoku/>
              <w:wordWrap/>
              <w:overflowPunct/>
              <w:topLinePunct w:val="0"/>
              <w:bidi w:val="0"/>
              <w:spacing w:line="240" w:lineRule="auto"/>
              <w:ind w:firstLine="0" w:firstLineChars="0"/>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lang w:val="en-US" w:eastAsia="zh-CN"/>
              </w:rPr>
              <w:t>节能效果</w:t>
            </w:r>
          </w:p>
        </w:tc>
        <w:tc>
          <w:tcPr>
            <w:tcW w:w="509" w:type="pct"/>
            <w:tcBorders>
              <w:tl2br w:val="nil"/>
              <w:tr2bl w:val="nil"/>
            </w:tcBorders>
            <w:vAlign w:val="center"/>
          </w:tcPr>
          <w:p w14:paraId="40DF21E7">
            <w:pPr>
              <w:pStyle w:val="36"/>
              <w:keepLines w:val="0"/>
              <w:kinsoku/>
              <w:wordWrap/>
              <w:overflowPunct/>
              <w:topLinePunct w:val="0"/>
              <w:bidi w:val="0"/>
              <w:spacing w:line="240" w:lineRule="auto"/>
              <w:ind w:firstLine="0" w:firstLineChars="0"/>
              <w:jc w:val="center"/>
              <w:rPr>
                <w:rFonts w:hint="default" w:ascii="Times New Roman" w:hAnsi="Times New Roman" w:eastAsia="宋体" w:cs="Times New Roman"/>
                <w:i w:val="0"/>
                <w:iCs w:val="0"/>
                <w:caps w:val="0"/>
                <w:spacing w:val="0"/>
                <w:sz w:val="18"/>
                <w:szCs w:val="18"/>
                <w:shd w:val="clear" w:fill="FFFFFF"/>
                <w:lang w:val="en-US" w:eastAsia="zh-CN"/>
              </w:rPr>
            </w:pPr>
            <w:r>
              <w:rPr>
                <w:rFonts w:hint="default" w:ascii="Times New Roman" w:hAnsi="Times New Roman" w:eastAsia="宋体" w:cs="Times New Roman"/>
                <w:sz w:val="18"/>
                <w:szCs w:val="18"/>
                <w:lang w:val="en-US" w:eastAsia="zh-CN"/>
              </w:rPr>
              <w:t>0～6分</w:t>
            </w:r>
          </w:p>
        </w:tc>
        <w:tc>
          <w:tcPr>
            <w:tcW w:w="3322" w:type="pct"/>
            <w:tcBorders>
              <w:tl2br w:val="nil"/>
              <w:tr2bl w:val="nil"/>
            </w:tcBorders>
            <w:vAlign w:val="center"/>
          </w:tcPr>
          <w:p w14:paraId="61F24B03">
            <w:pPr>
              <w:pStyle w:val="36"/>
              <w:keepLines w:val="0"/>
              <w:kinsoku/>
              <w:wordWrap/>
              <w:overflowPunct/>
              <w:topLinePunct w:val="0"/>
              <w:bidi w:val="0"/>
              <w:spacing w:line="240" w:lineRule="auto"/>
              <w:jc w:val="both"/>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4～6分。经业主或第三方节能量审核机构确认，节能服务公司所实施托管项目，依据GB/T 28750核定的年节能量累计超过5000吨标准煤。</w:t>
            </w:r>
          </w:p>
          <w:p w14:paraId="23B1751F">
            <w:pPr>
              <w:pStyle w:val="36"/>
              <w:keepLines w:val="0"/>
              <w:kinsoku/>
              <w:wordWrap/>
              <w:overflowPunct/>
              <w:topLinePunct w:val="0"/>
              <w:bidi w:val="0"/>
              <w:spacing w:line="240" w:lineRule="auto"/>
              <w:jc w:val="both"/>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0～3分。节能服务公司所实施托管项目，依据GB/T 28750核定的年节能量累计低于5000吨标准煤。</w:t>
            </w:r>
          </w:p>
        </w:tc>
      </w:tr>
      <w:tr w14:paraId="0A72DB3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0" w:type="dxa"/>
            <w:bottom w:w="0" w:type="dxa"/>
            <w:right w:w="100" w:type="dxa"/>
          </w:tblCellMar>
        </w:tblPrEx>
        <w:trPr>
          <w:jc w:val="center"/>
        </w:trPr>
        <w:tc>
          <w:tcPr>
            <w:tcW w:w="501" w:type="pct"/>
            <w:vMerge w:val="continue"/>
            <w:tcBorders>
              <w:tl2br w:val="nil"/>
              <w:tr2bl w:val="nil"/>
            </w:tcBorders>
            <w:vAlign w:val="center"/>
          </w:tcPr>
          <w:p w14:paraId="2986B0AF">
            <w:pPr>
              <w:pStyle w:val="36"/>
              <w:keepLines w:val="0"/>
              <w:kinsoku/>
              <w:wordWrap/>
              <w:overflowPunct/>
              <w:topLinePunct w:val="0"/>
              <w:bidi w:val="0"/>
              <w:spacing w:line="240" w:lineRule="auto"/>
              <w:jc w:val="center"/>
              <w:rPr>
                <w:rFonts w:hint="default" w:ascii="Times New Roman" w:hAnsi="Times New Roman" w:eastAsia="宋体" w:cs="Times New Roman"/>
                <w:sz w:val="18"/>
                <w:szCs w:val="18"/>
              </w:rPr>
            </w:pPr>
          </w:p>
        </w:tc>
        <w:tc>
          <w:tcPr>
            <w:tcW w:w="666" w:type="pct"/>
            <w:tcBorders>
              <w:tl2br w:val="nil"/>
              <w:tr2bl w:val="nil"/>
            </w:tcBorders>
            <w:vAlign w:val="center"/>
          </w:tcPr>
          <w:p w14:paraId="29079F6D">
            <w:pPr>
              <w:pStyle w:val="36"/>
              <w:keepLines w:val="0"/>
              <w:kinsoku/>
              <w:wordWrap/>
              <w:overflowPunct/>
              <w:topLinePunct w:val="0"/>
              <w:bidi w:val="0"/>
              <w:spacing w:line="240" w:lineRule="auto"/>
              <w:ind w:firstLine="0" w:firstLineChars="0"/>
              <w:jc w:val="center"/>
              <w:rPr>
                <w:rFonts w:hint="default" w:ascii="Times New Roman" w:hAnsi="Times New Roman" w:eastAsia="宋体" w:cs="Times New Roman"/>
                <w:sz w:val="18"/>
                <w:szCs w:val="18"/>
              </w:rPr>
            </w:pPr>
            <w:r>
              <w:rPr>
                <w:rFonts w:hint="default" w:ascii="Times New Roman" w:hAnsi="Times New Roman" w:eastAsia="宋体" w:cs="Times New Roman"/>
                <w:sz w:val="18"/>
                <w:szCs w:val="18"/>
                <w:lang w:val="en-US" w:eastAsia="zh-CN"/>
              </w:rPr>
              <w:t>响应时效</w:t>
            </w:r>
          </w:p>
        </w:tc>
        <w:tc>
          <w:tcPr>
            <w:tcW w:w="509" w:type="pct"/>
            <w:tcBorders>
              <w:tl2br w:val="nil"/>
              <w:tr2bl w:val="nil"/>
            </w:tcBorders>
            <w:vAlign w:val="center"/>
          </w:tcPr>
          <w:p w14:paraId="22549753">
            <w:pPr>
              <w:pStyle w:val="36"/>
              <w:keepLines w:val="0"/>
              <w:kinsoku/>
              <w:wordWrap/>
              <w:overflowPunct/>
              <w:topLinePunct w:val="0"/>
              <w:bidi w:val="0"/>
              <w:spacing w:line="240" w:lineRule="auto"/>
              <w:ind w:firstLine="0" w:firstLineChars="0"/>
              <w:jc w:val="center"/>
              <w:rPr>
                <w:rFonts w:hint="default" w:ascii="Times New Roman" w:hAnsi="Times New Roman" w:eastAsia="宋体" w:cs="Times New Roman"/>
                <w:i w:val="0"/>
                <w:iCs w:val="0"/>
                <w:caps w:val="0"/>
                <w:spacing w:val="0"/>
                <w:sz w:val="18"/>
                <w:szCs w:val="18"/>
                <w:shd w:val="clear" w:fill="FFFFFF"/>
                <w:lang w:val="en-US" w:eastAsia="zh-CN"/>
              </w:rPr>
            </w:pPr>
            <w:r>
              <w:rPr>
                <w:rFonts w:hint="default" w:ascii="Times New Roman" w:hAnsi="Times New Roman" w:eastAsia="宋体" w:cs="Times New Roman"/>
                <w:sz w:val="18"/>
                <w:szCs w:val="18"/>
                <w:lang w:val="en-US" w:eastAsia="zh-CN"/>
              </w:rPr>
              <w:t>0～6分</w:t>
            </w:r>
          </w:p>
        </w:tc>
        <w:tc>
          <w:tcPr>
            <w:tcW w:w="3322" w:type="pct"/>
            <w:tcBorders>
              <w:tl2br w:val="nil"/>
              <w:tr2bl w:val="nil"/>
            </w:tcBorders>
            <w:vAlign w:val="center"/>
          </w:tcPr>
          <w:p w14:paraId="39F7A5CB">
            <w:pPr>
              <w:pStyle w:val="36"/>
              <w:keepLines w:val="0"/>
              <w:kinsoku/>
              <w:wordWrap/>
              <w:overflowPunct/>
              <w:topLinePunct w:val="0"/>
              <w:bidi w:val="0"/>
              <w:spacing w:line="240" w:lineRule="auto"/>
              <w:jc w:val="both"/>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4～6分。节能服务公司针对能源托管项目的设备故障、运维需求，能够在约定时限内响应并处置，保障用能系统稳定运行。</w:t>
            </w:r>
          </w:p>
          <w:p w14:paraId="24E290AC">
            <w:pPr>
              <w:pStyle w:val="36"/>
              <w:keepLines w:val="0"/>
              <w:kinsoku/>
              <w:wordWrap/>
              <w:overflowPunct/>
              <w:topLinePunct w:val="0"/>
              <w:bidi w:val="0"/>
              <w:spacing w:line="240" w:lineRule="auto"/>
              <w:jc w:val="both"/>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0～3分。节能服务公司故障处理和运维需求响应不够及时，不能充分保障用能系统的连续、稳定运行。</w:t>
            </w:r>
          </w:p>
        </w:tc>
      </w:tr>
      <w:tr w14:paraId="01B5BF8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0" w:type="dxa"/>
            <w:bottom w:w="0" w:type="dxa"/>
            <w:right w:w="100" w:type="dxa"/>
          </w:tblCellMar>
        </w:tblPrEx>
        <w:trPr>
          <w:jc w:val="center"/>
        </w:trPr>
        <w:tc>
          <w:tcPr>
            <w:tcW w:w="501" w:type="pct"/>
            <w:vMerge w:val="continue"/>
            <w:tcBorders>
              <w:tl2br w:val="nil"/>
              <w:tr2bl w:val="nil"/>
            </w:tcBorders>
            <w:vAlign w:val="center"/>
          </w:tcPr>
          <w:p w14:paraId="537C953C">
            <w:pPr>
              <w:pStyle w:val="36"/>
              <w:keepLines w:val="0"/>
              <w:kinsoku/>
              <w:wordWrap/>
              <w:overflowPunct/>
              <w:topLinePunct w:val="0"/>
              <w:bidi w:val="0"/>
              <w:spacing w:line="240" w:lineRule="auto"/>
              <w:jc w:val="center"/>
              <w:rPr>
                <w:rFonts w:hint="default" w:ascii="Times New Roman" w:hAnsi="Times New Roman" w:eastAsia="宋体" w:cs="Times New Roman"/>
                <w:sz w:val="18"/>
                <w:szCs w:val="18"/>
              </w:rPr>
            </w:pPr>
          </w:p>
        </w:tc>
        <w:tc>
          <w:tcPr>
            <w:tcW w:w="666" w:type="pct"/>
            <w:tcBorders>
              <w:tl2br w:val="nil"/>
              <w:tr2bl w:val="nil"/>
            </w:tcBorders>
            <w:vAlign w:val="center"/>
          </w:tcPr>
          <w:p w14:paraId="02522AA0">
            <w:pPr>
              <w:pStyle w:val="36"/>
              <w:keepLines w:val="0"/>
              <w:kinsoku/>
              <w:wordWrap/>
              <w:overflowPunct/>
              <w:topLinePunct w:val="0"/>
              <w:bidi w:val="0"/>
              <w:spacing w:line="240" w:lineRule="auto"/>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信誉度</w:t>
            </w:r>
          </w:p>
        </w:tc>
        <w:tc>
          <w:tcPr>
            <w:tcW w:w="509" w:type="pct"/>
            <w:tcBorders>
              <w:tl2br w:val="nil"/>
              <w:tr2bl w:val="nil"/>
            </w:tcBorders>
            <w:vAlign w:val="center"/>
          </w:tcPr>
          <w:p w14:paraId="062B284E">
            <w:pPr>
              <w:pStyle w:val="36"/>
              <w:keepLines w:val="0"/>
              <w:kinsoku/>
              <w:wordWrap/>
              <w:overflowPunct/>
              <w:topLinePunct w:val="0"/>
              <w:bidi w:val="0"/>
              <w:spacing w:line="240" w:lineRule="auto"/>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0～6分</w:t>
            </w:r>
          </w:p>
        </w:tc>
        <w:tc>
          <w:tcPr>
            <w:tcW w:w="3322" w:type="pct"/>
            <w:tcBorders>
              <w:tl2br w:val="nil"/>
              <w:tr2bl w:val="nil"/>
            </w:tcBorders>
            <w:vAlign w:val="center"/>
          </w:tcPr>
          <w:p w14:paraId="028CDB8C">
            <w:pPr>
              <w:pStyle w:val="36"/>
              <w:keepLines w:val="0"/>
              <w:kinsoku/>
              <w:wordWrap/>
              <w:overflowPunct/>
              <w:topLinePunct w:val="0"/>
              <w:bidi w:val="0"/>
              <w:spacing w:line="240" w:lineRule="auto"/>
              <w:jc w:val="both"/>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4～6分。节能服务公司合法、诚信经营，具备较好的企业信用。近三年内无行政处罚、失信被执行人、重大合同纠纷败诉等不良记录，获得过国家、省部级或行业协会颁发的奖励。</w:t>
            </w:r>
          </w:p>
          <w:p w14:paraId="4EA9D778">
            <w:pPr>
              <w:pStyle w:val="36"/>
              <w:keepLines w:val="0"/>
              <w:kinsoku/>
              <w:wordWrap/>
              <w:overflowPunct/>
              <w:topLinePunct w:val="0"/>
              <w:bidi w:val="0"/>
              <w:spacing w:line="240" w:lineRule="auto"/>
              <w:jc w:val="both"/>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0～3分。节能服务公司近三年内存在行政处罚、失信被执行人、重大合同纠纷败诉等不良经营记录。</w:t>
            </w:r>
          </w:p>
        </w:tc>
      </w:tr>
    </w:tbl>
    <w:p w14:paraId="05FE3EBC">
      <w:pPr>
        <w:pStyle w:val="16"/>
        <w:keepLines w:val="0"/>
        <w:kinsoku/>
        <w:wordWrap/>
        <w:overflowPunct/>
        <w:topLinePunct w:val="0"/>
        <w:bidi w:val="0"/>
        <w:spacing w:line="240" w:lineRule="auto"/>
        <w:ind w:left="0" w:leftChars="0" w:firstLine="0" w:firstLineChars="0"/>
        <w:rPr>
          <w:rFonts w:hint="eastAsia"/>
          <w:lang w:val="en-US" w:eastAsia="zh-CN"/>
        </w:rPr>
      </w:pPr>
    </w:p>
    <w:p w14:paraId="666297C7">
      <w:pPr>
        <w:keepLines w:val="0"/>
        <w:kinsoku/>
        <w:wordWrap/>
        <w:overflowPunct/>
        <w:topLinePunct w:val="0"/>
        <w:bidi w:val="0"/>
        <w:spacing w:line="240" w:lineRule="auto"/>
      </w:pPr>
    </w:p>
    <w:bookmarkEnd w:id="75"/>
    <w:bookmarkEnd w:id="76"/>
    <w:p w14:paraId="39EC982C">
      <w:pPr>
        <w:pStyle w:val="17"/>
        <w:keepLines w:val="0"/>
        <w:numPr>
          <w:ilvl w:val="0"/>
          <w:numId w:val="0"/>
        </w:numPr>
        <w:kinsoku/>
        <w:wordWrap/>
        <w:overflowPunct/>
        <w:topLinePunct w:val="0"/>
        <w:autoSpaceDE w:val="0"/>
        <w:autoSpaceDN w:val="0"/>
        <w:bidi w:val="0"/>
        <w:spacing w:line="240" w:lineRule="auto"/>
        <w:jc w:val="both"/>
        <w:rPr>
          <w:rFonts w:hint="eastAsia" w:ascii="Times New Roman"/>
          <w:szCs w:val="21"/>
        </w:rPr>
      </w:pPr>
    </w:p>
    <w:p w14:paraId="6F721E9F">
      <w:pPr>
        <w:pStyle w:val="17"/>
        <w:keepLines w:val="0"/>
        <w:numPr>
          <w:ilvl w:val="0"/>
          <w:numId w:val="0"/>
        </w:numPr>
        <w:kinsoku/>
        <w:wordWrap/>
        <w:overflowPunct/>
        <w:topLinePunct w:val="0"/>
        <w:autoSpaceDE w:val="0"/>
        <w:autoSpaceDN w:val="0"/>
        <w:bidi w:val="0"/>
        <w:spacing w:line="240" w:lineRule="auto"/>
        <w:jc w:val="both"/>
        <w:rPr>
          <w:rFonts w:hint="eastAsia" w:ascii="Times New Roman"/>
          <w:szCs w:val="21"/>
        </w:rPr>
      </w:pPr>
    </w:p>
    <w:p w14:paraId="22229E2C">
      <w:pPr>
        <w:keepLines w:val="0"/>
        <w:widowControl/>
        <w:tabs>
          <w:tab w:val="center" w:pos="4201"/>
          <w:tab w:val="right" w:leader="dot" w:pos="9298"/>
        </w:tabs>
        <w:kinsoku/>
        <w:wordWrap/>
        <w:overflowPunct/>
        <w:topLinePunct w:val="0"/>
        <w:autoSpaceDE w:val="0"/>
        <w:autoSpaceDN w:val="0"/>
        <w:bidi w:val="0"/>
        <w:spacing w:line="240" w:lineRule="auto"/>
        <w:jc w:val="center"/>
        <w:rPr>
          <w:rFonts w:hint="default" w:ascii="Times New Roman" w:hAnsi="Times New Roman" w:cs="Times New Roman"/>
        </w:rPr>
      </w:pPr>
      <w:r>
        <w:rPr>
          <w:rFonts w:hint="default" w:ascii="Times New Roman" w:hAnsi="Times New Roman" w:eastAsia="宋体" w:cs="Times New Roman"/>
          <w:spacing w:val="-2"/>
        </w:rPr>
        <w:t>_____________________________________</w:t>
      </w:r>
    </w:p>
    <w:sectPr>
      <w:headerReference r:id="rId15" w:type="default"/>
      <w:footerReference r:id="rId16" w:type="default"/>
      <w:pgSz w:w="11906" w:h="16838"/>
      <w:pgMar w:top="1417" w:right="1134" w:bottom="1134" w:left="1134" w:header="1418" w:footer="1134" w:gutter="0"/>
      <w:pgBorders>
        <w:top w:val="none" w:sz="0" w:space="0"/>
        <w:left w:val="none" w:sz="0" w:space="0"/>
        <w:bottom w:val="none" w:sz="0" w:space="0"/>
        <w:right w:val="none" w:sz="0" w:space="0"/>
      </w:pgBorders>
      <w:pgNumType w:fmt="decimal" w:start="1"/>
      <w:cols w:space="0" w:num="1"/>
      <w:rtlGutter w:val="0"/>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5E8D27EB-5F1E-4418-A957-EE68DE4764C9}"/>
  </w:font>
  <w:font w:name="黑体">
    <w:panose1 w:val="02010609060101010101"/>
    <w:charset w:val="86"/>
    <w:family w:val="auto"/>
    <w:pitch w:val="default"/>
    <w:sig w:usb0="800002BF" w:usb1="38CF7CFA" w:usb2="00000016" w:usb3="00000000" w:csb0="00040001" w:csb1="00000000"/>
    <w:embedRegular r:id="rId2" w:fontKey="{DB473237-06CA-41BD-8DD2-08690D3293A4}"/>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3000509000000000000"/>
    <w:charset w:val="86"/>
    <w:family w:val="auto"/>
    <w:pitch w:val="default"/>
    <w:sig w:usb0="00000001" w:usb1="080E0000" w:usb2="00000000" w:usb3="00000000" w:csb0="00040000" w:csb1="00000000"/>
    <w:embedRegular r:id="rId3" w:fontKey="{30F36B66-B773-4747-B756-7E8B5CCA71AA}"/>
  </w:font>
  <w:font w:name="FangSong_GB2312">
    <w:altName w:val="仿宋_GB2312"/>
    <w:panose1 w:val="02010609030101010101"/>
    <w:charset w:val="86"/>
    <w:family w:val="modern"/>
    <w:pitch w:val="default"/>
    <w:sig w:usb0="00000000" w:usb1="00000000" w:usb2="00000016" w:usb3="00000000" w:csb0="00040001" w:csb1="00000000"/>
    <w:embedRegular r:id="rId4" w:fontKey="{3093B19E-4BE7-41DF-845F-9C88D591F0E8}"/>
  </w:font>
  <w:font w:name="仿宋_GB2312">
    <w:panose1 w:val="02010609030101010101"/>
    <w:charset w:val="86"/>
    <w:family w:val="auto"/>
    <w:pitch w:val="default"/>
    <w:sig w:usb0="00000001" w:usb1="080E0000" w:usb2="00000000" w:usb3="00000000" w:csb0="00040000" w:csb1="00000000"/>
  </w:font>
  <w:font w:name="Cambria Math">
    <w:panose1 w:val="02040503050406030204"/>
    <w:charset w:val="00"/>
    <w:family w:val="auto"/>
    <w:pitch w:val="default"/>
    <w:sig w:usb0="E00006FF" w:usb1="420024FF" w:usb2="02000000" w:usb3="00000000" w:csb0="2000019F" w:csb1="00000000"/>
    <w:embedRegular r:id="rId5" w:fontKey="{486539E3-66F0-486C-BEC2-6AF19F7B14E6}"/>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6560C7">
    <w:pPr>
      <w:pStyle w:val="5"/>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E7534DB">
                          <w:pPr>
                            <w:pStyle w:val="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m63mMr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Jut5jKwIAAFcEAAAOAAAAAAAAAAEAIAAAAB8BAABkcnMvZTJvRG9jLnhtbFBLBQYAAAAABgAG&#10;AFkBAAC8BQAAAAA=&#10;">
              <v:fill on="f" focussize="0,0"/>
              <v:stroke on="f" weight="0.5pt"/>
              <v:imagedata o:title=""/>
              <o:lock v:ext="edit" aspectratio="f"/>
              <v:textbox inset="0mm,0mm,0mm,0mm" style="mso-fit-shape-to-text:t;">
                <w:txbxContent>
                  <w:p w14:paraId="4E7534DB">
                    <w:pPr>
                      <w:pStyle w:val="5"/>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353352">
    <w:pPr>
      <w:pStyle w:val="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F2E24A">
    <w:pPr>
      <w:pStyle w:val="5"/>
      <w:adjustRightInd w:val="0"/>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7AFFF3">
    <w:pPr>
      <w:pStyle w:val="5"/>
      <w:adjustRightInd w:val="0"/>
      <w:jc w:val="cente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E784558">
                          <w:pPr>
                            <w:pStyle w:val="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9bQWsyAgAAYw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1tBazICAABjBAAADgAAAAAAAAABACAAAAAfAQAAZHJzL2Uyb0RvYy54bWxQSwUG&#10;AAAAAAYABgBZAQAAwwUAAAAA&#10;">
              <v:fill on="f" focussize="0,0"/>
              <v:stroke on="f" weight="0.5pt"/>
              <v:imagedata o:title=""/>
              <o:lock v:ext="edit" aspectratio="f"/>
              <v:textbox inset="0mm,0mm,0mm,0mm" style="mso-fit-shape-to-text:t;">
                <w:txbxContent>
                  <w:p w14:paraId="0E784558">
                    <w:pPr>
                      <w:pStyle w:val="5"/>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14C463">
    <w:pPr>
      <w:pStyle w:val="5"/>
      <w:adjustRightInd w:val="0"/>
      <w:jc w:val="cente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13D2E5D">
                          <w:pPr>
                            <w:pStyle w:val="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13D2E5D">
                    <w:pPr>
                      <w:pStyle w:val="5"/>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74238D">
    <w:pPr>
      <w:pStyle w:val="5"/>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39C382F">
                          <w:pPr>
                            <w:pStyle w:val="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139C382F">
                    <w:pPr>
                      <w:pStyle w:val="5"/>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8690AC">
    <w:pPr>
      <w:pStyle w:val="5"/>
      <w:jc w:val="cente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39B50F9">
                          <w:pPr>
                            <w:pStyle w:val="5"/>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PAGE  \* MERGEFORMAT </w:instrText>
                          </w:r>
                          <w:r>
                            <w:rPr>
                              <w:rFonts w:ascii="Times New Roman" w:hAnsi="Times New Roman" w:cs="Times New Roman"/>
                            </w:rPr>
                            <w:fldChar w:fldCharType="separate"/>
                          </w:r>
                          <w:r>
                            <w:rPr>
                              <w:rFonts w:ascii="Times New Roman" w:hAnsi="Times New Roman" w:cs="Times New Roman"/>
                            </w:rPr>
                            <w:t>IV</w:t>
                          </w:r>
                          <w:r>
                            <w:rPr>
                              <w:rFonts w:ascii="Times New Roman" w:hAnsi="Times New Roman" w:cs="Times New Roman"/>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LQ8m0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y0PJtKwIAAFUEAAAOAAAAAAAAAAEAIAAAAB8BAABkcnMvZTJvRG9jLnhtbFBLBQYAAAAABgAG&#10;AFkBAAC8BQAAAAA=&#10;">
              <v:fill on="f" focussize="0,0"/>
              <v:stroke on="f" weight="0.5pt"/>
              <v:imagedata o:title=""/>
              <o:lock v:ext="edit" aspectratio="f"/>
              <v:textbox inset="0mm,0mm,0mm,0mm" style="mso-fit-shape-to-text:t;">
                <w:txbxContent>
                  <w:p w14:paraId="439B50F9">
                    <w:pPr>
                      <w:pStyle w:val="5"/>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PAGE  \* MERGEFORMAT </w:instrText>
                    </w:r>
                    <w:r>
                      <w:rPr>
                        <w:rFonts w:ascii="Times New Roman" w:hAnsi="Times New Roman" w:cs="Times New Roman"/>
                      </w:rPr>
                      <w:fldChar w:fldCharType="separate"/>
                    </w:r>
                    <w:r>
                      <w:rPr>
                        <w:rFonts w:ascii="Times New Roman" w:hAnsi="Times New Roman" w:cs="Times New Roman"/>
                      </w:rPr>
                      <w:t>IV</w:t>
                    </w:r>
                    <w:r>
                      <w:rPr>
                        <w:rFonts w:ascii="Times New Roman" w:hAnsi="Times New Roman" w:cs="Times New Roma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C0344D">
    <w:pPr>
      <w:pStyle w:val="6"/>
      <w:pBdr>
        <w:bottom w:val="none" w:color="auto" w:sz="0" w:space="0"/>
      </w:pBdr>
      <w:adjustRightInd w:val="0"/>
      <w:spacing w:after="170"/>
      <w:jc w:val="right"/>
      <w:rPr>
        <w:sz w:val="21"/>
        <w:szCs w:val="21"/>
      </w:rPr>
    </w:pPr>
    <w:r>
      <w:rPr>
        <w:sz w:val="18"/>
      </w:rPr>
      <w:drawing>
        <wp:anchor distT="0" distB="0" distL="114300" distR="114300" simplePos="0" relativeHeight="251665408" behindDoc="1" locked="0" layoutInCell="1" allowOverlap="1">
          <wp:simplePos x="0" y="0"/>
          <wp:positionH relativeFrom="margin">
            <wp:align>center</wp:align>
          </wp:positionH>
          <wp:positionV relativeFrom="margin">
            <wp:align>center</wp:align>
          </wp:positionV>
          <wp:extent cx="7558405" cy="10692130"/>
          <wp:effectExtent l="0" t="0" r="4445" b="13970"/>
          <wp:wrapNone/>
          <wp:docPr id="3" name="WordPictureWatermark74872" descr="CECA水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74872" descr="CECA水印"/>
                  <pic:cNvPicPr>
                    <a:picLocks noChangeAspect="1"/>
                  </pic:cNvPicPr>
                </pic:nvPicPr>
                <pic:blipFill>
                  <a:blip r:embed="rId1"/>
                  <a:stretch>
                    <a:fillRect/>
                  </a:stretch>
                </pic:blipFill>
                <pic:spPr>
                  <a:xfrm>
                    <a:off x="0" y="0"/>
                    <a:ext cx="7558405" cy="10692130"/>
                  </a:xfrm>
                  <a:prstGeom prst="rect">
                    <a:avLst/>
                  </a:prstGeom>
                  <a:noFill/>
                  <a:ln>
                    <a:noFill/>
                  </a:ln>
                </pic:spPr>
              </pic:pic>
            </a:graphicData>
          </a:graphic>
        </wp:anchor>
      </w:drawing>
    </w:r>
    <w:r>
      <w:rPr>
        <w:rFonts w:hint="eastAsia" w:ascii="黑体" w:hAnsi="黑体" w:eastAsia="黑体" w:cs="黑体"/>
        <w:sz w:val="21"/>
        <w:szCs w:val="21"/>
      </w:rPr>
      <w:t>T</w:t>
    </w:r>
    <w:r>
      <w:rPr>
        <w:rFonts w:hint="eastAsia" w:ascii="黑体" w:hAnsi="黑体" w:eastAsia="黑体" w:cs="黑体"/>
        <w:color w:val="000000"/>
        <w:kern w:val="0"/>
        <w:sz w:val="21"/>
        <w:szCs w:val="21"/>
      </w:rPr>
      <w:t>/</w:t>
    </w:r>
    <w:r>
      <w:rPr>
        <w:rFonts w:hint="eastAsia" w:ascii="黑体" w:hAnsi="黑体" w:eastAsia="黑体" w:cs="黑体"/>
        <w:sz w:val="21"/>
        <w:szCs w:val="21"/>
      </w:rPr>
      <w:t>CECA-</w:t>
    </w:r>
    <w:r>
      <w:rPr>
        <w:rFonts w:hint="eastAsia" w:ascii="黑体" w:hAnsi="黑体" w:eastAsia="黑体" w:cs="黑体"/>
        <w:sz w:val="21"/>
        <w:szCs w:val="21"/>
        <w:lang w:eastAsia="zh-CN"/>
      </w:rPr>
      <w:t xml:space="preserve">G </w:t>
    </w:r>
    <w:r>
      <w:rPr>
        <w:rFonts w:hint="eastAsia" w:ascii="黑体" w:hAnsi="黑体" w:eastAsia="黑体" w:cs="黑体"/>
        <w:sz w:val="21"/>
        <w:szCs w:val="21"/>
        <w:lang w:val="en-US" w:eastAsia="zh-CN"/>
      </w:rPr>
      <w:t>0415</w:t>
    </w:r>
    <w:r>
      <w:rPr>
        <w:rFonts w:hint="eastAsia" w:ascii="黑体" w:hAnsi="黑体" w:eastAsia="黑体" w:cs="黑体"/>
        <w:sz w:val="21"/>
        <w:szCs w:val="21"/>
      </w:rPr>
      <w:t>—20</w:t>
    </w:r>
    <w:r>
      <w:rPr>
        <w:rFonts w:hint="eastAsia" w:ascii="黑体" w:hAnsi="黑体" w:eastAsia="黑体" w:cs="黑体"/>
        <w:sz w:val="21"/>
        <w:szCs w:val="21"/>
        <w:lang w:val="en-US" w:eastAsia="zh-CN"/>
      </w:rPr>
      <w:t>26</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55BC5A">
    <w:pPr>
      <w:pStyle w:val="13"/>
      <w:tabs>
        <w:tab w:val="left" w:pos="9355"/>
      </w:tabs>
      <w:ind w:right="-1"/>
      <w:jc w:val="center"/>
      <w:rPr>
        <w:b/>
      </w:rPr>
    </w:pPr>
    <w:r>
      <w:t xml:space="preserve">                                                                XXXXX—2015</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6C6F9B">
    <w:pPr>
      <w:rPr>
        <w:rFonts w:hint="default" w:ascii="黑体" w:hAnsi="黑体" w:eastAsia="黑体" w:cs="黑体"/>
        <w:color w:val="000000" w:themeColor="text1"/>
        <w:sz w:val="21"/>
        <w:szCs w:val="21"/>
        <w:lang w:val="en-US" w:eastAsia="zh-CN"/>
        <w14:textFill>
          <w14:solidFill>
            <w14:schemeClr w14:val="tx1"/>
          </w14:solidFill>
        </w14:textFill>
      </w:rPr>
    </w:pPr>
    <w:r>
      <w:rPr>
        <w:rFonts w:hint="eastAsia" w:ascii="黑体" w:hAnsi="黑体" w:eastAsia="黑体" w:cs="黑体"/>
        <w:color w:val="000000" w:themeColor="text1"/>
        <w:sz w:val="21"/>
        <w:szCs w:val="21"/>
        <w14:textFill>
          <w14:solidFill>
            <w14:schemeClr w14:val="tx1"/>
          </w14:solidFill>
        </w14:textFill>
      </w:rPr>
      <w:t xml:space="preserve">ICS </w:t>
    </w:r>
    <w:r>
      <w:rPr>
        <w:rFonts w:hint="default" w:ascii="黑体" w:hAnsi="黑体" w:eastAsia="黑体" w:cs="黑体"/>
        <w:color w:val="000000" w:themeColor="text1"/>
        <w:sz w:val="21"/>
        <w:szCs w:val="21"/>
        <w:lang w:val="en-US" w:eastAsia="zh-CN"/>
        <w14:textFill>
          <w14:solidFill>
            <w14:schemeClr w14:val="tx1"/>
          </w14:solidFill>
        </w14:textFill>
      </w:rPr>
      <w:t>27.010</w:t>
    </w:r>
  </w:p>
  <w:p w14:paraId="7FAB48E1">
    <w:pPr>
      <w:pStyle w:val="6"/>
      <w:pBdr>
        <w:bottom w:val="none" w:color="auto" w:sz="0" w:space="0"/>
      </w:pBdr>
      <w:jc w:val="both"/>
      <w:rPr>
        <w:rFonts w:hint="default"/>
        <w:lang w:val="en-US"/>
      </w:rPr>
    </w:pPr>
    <w:r>
      <w:rPr>
        <w:sz w:val="18"/>
      </w:rPr>
      <w:drawing>
        <wp:anchor distT="0" distB="0" distL="114300" distR="114300" simplePos="0" relativeHeight="251666432" behindDoc="1" locked="0" layoutInCell="1" allowOverlap="1">
          <wp:simplePos x="0" y="0"/>
          <wp:positionH relativeFrom="margin">
            <wp:align>center</wp:align>
          </wp:positionH>
          <wp:positionV relativeFrom="margin">
            <wp:align>center</wp:align>
          </wp:positionV>
          <wp:extent cx="7558405" cy="10692130"/>
          <wp:effectExtent l="0" t="0" r="4445" b="13970"/>
          <wp:wrapNone/>
          <wp:docPr id="5" name="WordPictureWatermark74872" descr="CECA水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74872" descr="CECA水印"/>
                  <pic:cNvPicPr>
                    <a:picLocks noChangeAspect="1"/>
                  </pic:cNvPicPr>
                </pic:nvPicPr>
                <pic:blipFill>
                  <a:blip r:embed="rId1"/>
                  <a:stretch>
                    <a:fillRect/>
                  </a:stretch>
                </pic:blipFill>
                <pic:spPr>
                  <a:xfrm>
                    <a:off x="0" y="0"/>
                    <a:ext cx="7558405" cy="10692130"/>
                  </a:xfrm>
                  <a:prstGeom prst="rect">
                    <a:avLst/>
                  </a:prstGeom>
                  <a:noFill/>
                  <a:ln>
                    <a:noFill/>
                  </a:ln>
                </pic:spPr>
              </pic:pic>
            </a:graphicData>
          </a:graphic>
        </wp:anchor>
      </w:drawing>
    </w:r>
    <w:r>
      <w:rPr>
        <w:rFonts w:hint="eastAsia" w:ascii="黑体" w:hAnsi="黑体" w:eastAsia="黑体" w:cs="黑体"/>
        <w:color w:val="000000" w:themeColor="text1"/>
        <w:sz w:val="21"/>
        <w:szCs w:val="21"/>
        <w14:textFill>
          <w14:solidFill>
            <w14:schemeClr w14:val="tx1"/>
          </w14:solidFill>
        </w14:textFill>
      </w:rPr>
      <w:t xml:space="preserve">CCS </w:t>
    </w:r>
    <w:r>
      <w:rPr>
        <w:rFonts w:hint="default" w:ascii="黑体" w:hAnsi="黑体" w:eastAsia="黑体" w:cs="黑体"/>
        <w:color w:val="000000" w:themeColor="text1"/>
        <w:sz w:val="21"/>
        <w:szCs w:val="21"/>
        <w:lang w:val="en-US"/>
        <w14:textFill>
          <w14:solidFill>
            <w14:schemeClr w14:val="tx1"/>
          </w14:solidFill>
        </w14:textFill>
      </w:rPr>
      <w:t>F01</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3776F0">
    <w:pPr>
      <w:keepNext w:val="0"/>
      <w:keepLines w:val="0"/>
      <w:pageBreakBefore w:val="0"/>
      <w:widowControl w:val="0"/>
      <w:kinsoku/>
      <w:wordWrap/>
      <w:overflowPunct/>
      <w:topLinePunct w:val="0"/>
      <w:bidi w:val="0"/>
      <w:adjustRightInd/>
      <w:snapToGrid/>
      <w:spacing w:after="170" w:line="238" w:lineRule="auto"/>
      <w:ind w:left="6270"/>
      <w:jc w:val="right"/>
      <w:textAlignment w:val="auto"/>
      <w:rPr>
        <w:rFonts w:hint="default"/>
        <w:sz w:val="21"/>
        <w:szCs w:val="21"/>
        <w:lang w:val="en-US"/>
      </w:rPr>
    </w:pPr>
    <w:r>
      <w:rPr>
        <w:sz w:val="18"/>
      </w:rPr>
      <w:drawing>
        <wp:anchor distT="0" distB="0" distL="114300" distR="114300" simplePos="0" relativeHeight="251667456" behindDoc="1" locked="0" layoutInCell="1" allowOverlap="1">
          <wp:simplePos x="0" y="0"/>
          <wp:positionH relativeFrom="margin">
            <wp:align>center</wp:align>
          </wp:positionH>
          <wp:positionV relativeFrom="margin">
            <wp:align>center</wp:align>
          </wp:positionV>
          <wp:extent cx="7558405" cy="10692130"/>
          <wp:effectExtent l="0" t="0" r="4445" b="13970"/>
          <wp:wrapNone/>
          <wp:docPr id="6" name="WordPictureWatermark74872" descr="CECA水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WordPictureWatermark74872" descr="CECA水印"/>
                  <pic:cNvPicPr>
                    <a:picLocks noChangeAspect="1"/>
                  </pic:cNvPicPr>
                </pic:nvPicPr>
                <pic:blipFill>
                  <a:blip r:embed="rId1"/>
                  <a:stretch>
                    <a:fillRect/>
                  </a:stretch>
                </pic:blipFill>
                <pic:spPr>
                  <a:xfrm>
                    <a:off x="0" y="0"/>
                    <a:ext cx="7558405" cy="10692130"/>
                  </a:xfrm>
                  <a:prstGeom prst="rect">
                    <a:avLst/>
                  </a:prstGeom>
                  <a:noFill/>
                  <a:ln>
                    <a:noFill/>
                  </a:ln>
                </pic:spPr>
              </pic:pic>
            </a:graphicData>
          </a:graphic>
        </wp:anchor>
      </w:drawing>
    </w:r>
    <w:r>
      <w:rPr>
        <w:rFonts w:hint="eastAsia" w:ascii="黑体" w:hAnsi="黑体" w:eastAsia="黑体" w:cs="黑体"/>
        <w:sz w:val="21"/>
        <w:szCs w:val="21"/>
      </w:rPr>
      <w:t>T</w:t>
    </w:r>
    <w:r>
      <w:rPr>
        <w:rFonts w:hint="eastAsia" w:ascii="黑体" w:hAnsi="黑体" w:eastAsia="黑体" w:cs="黑体"/>
        <w:color w:val="000000"/>
        <w:kern w:val="0"/>
        <w:sz w:val="21"/>
        <w:szCs w:val="21"/>
      </w:rPr>
      <w:t>/</w:t>
    </w:r>
    <w:r>
      <w:rPr>
        <w:rFonts w:hint="eastAsia" w:ascii="黑体" w:hAnsi="黑体" w:eastAsia="黑体" w:cs="黑体"/>
        <w:sz w:val="21"/>
        <w:szCs w:val="21"/>
      </w:rPr>
      <w:t>CECA-</w:t>
    </w:r>
    <w:r>
      <w:rPr>
        <w:rFonts w:hint="eastAsia" w:ascii="黑体" w:hAnsi="黑体" w:eastAsia="黑体" w:cs="黑体"/>
        <w:sz w:val="21"/>
        <w:szCs w:val="21"/>
        <w:lang w:eastAsia="zh-CN"/>
      </w:rPr>
      <w:t xml:space="preserve">G </w:t>
    </w:r>
    <w:r>
      <w:rPr>
        <w:rFonts w:hint="eastAsia" w:ascii="黑体" w:hAnsi="黑体" w:eastAsia="黑体" w:cs="黑体"/>
        <w:sz w:val="21"/>
        <w:szCs w:val="21"/>
        <w:lang w:val="en-US" w:eastAsia="zh-CN"/>
      </w:rPr>
      <w:t>0415</w:t>
    </w:r>
    <w:r>
      <w:rPr>
        <w:rFonts w:hint="eastAsia" w:ascii="黑体" w:hAnsi="黑体" w:eastAsia="黑体" w:cs="黑体"/>
        <w:sz w:val="21"/>
        <w:szCs w:val="21"/>
      </w:rPr>
      <w:t>—20</w:t>
    </w:r>
    <w:r>
      <w:rPr>
        <w:rFonts w:hint="eastAsia" w:ascii="黑体" w:hAnsi="黑体" w:eastAsia="黑体" w:cs="黑体"/>
        <w:sz w:val="21"/>
        <w:szCs w:val="21"/>
        <w:lang w:val="en-US" w:eastAsia="zh-CN"/>
      </w:rPr>
      <w:t>26</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601646">
    <w:pPr>
      <w:pStyle w:val="6"/>
      <w:pBdr>
        <w:bottom w:val="none" w:color="auto" w:sz="0" w:space="1"/>
      </w:pBdr>
      <w:jc w:val="right"/>
      <w:rPr>
        <w:szCs w:val="21"/>
      </w:rPr>
    </w:pPr>
    <w:r>
      <w:rPr>
        <w:sz w:val="18"/>
      </w:rPr>
      <w:drawing>
        <wp:anchor distT="0" distB="0" distL="114300" distR="114300" simplePos="0" relativeHeight="251668480" behindDoc="1" locked="0" layoutInCell="1" allowOverlap="1">
          <wp:simplePos x="0" y="0"/>
          <wp:positionH relativeFrom="margin">
            <wp:align>center</wp:align>
          </wp:positionH>
          <wp:positionV relativeFrom="margin">
            <wp:align>center</wp:align>
          </wp:positionV>
          <wp:extent cx="7558405" cy="10692130"/>
          <wp:effectExtent l="0" t="0" r="4445" b="13970"/>
          <wp:wrapNone/>
          <wp:docPr id="9" name="WordPictureWatermark74872" descr="CECA水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WordPictureWatermark74872" descr="CECA水印"/>
                  <pic:cNvPicPr>
                    <a:picLocks noChangeAspect="1"/>
                  </pic:cNvPicPr>
                </pic:nvPicPr>
                <pic:blipFill>
                  <a:blip r:embed="rId1"/>
                  <a:stretch>
                    <a:fillRect/>
                  </a:stretch>
                </pic:blipFill>
                <pic:spPr>
                  <a:xfrm>
                    <a:off x="0" y="0"/>
                    <a:ext cx="7558405" cy="10692130"/>
                  </a:xfrm>
                  <a:prstGeom prst="rect">
                    <a:avLst/>
                  </a:prstGeom>
                  <a:noFill/>
                  <a:ln>
                    <a:noFill/>
                  </a:ln>
                </pic:spPr>
              </pic:pic>
            </a:graphicData>
          </a:graphic>
        </wp:anchor>
      </w:drawing>
    </w:r>
    <w:r>
      <w:rPr>
        <w:rFonts w:hint="eastAsia" w:ascii="Times New Roman" w:hAnsi="Times New Roman" w:cs="Times New Roman"/>
      </w:rPr>
      <w:t>T/</w:t>
    </w:r>
    <w:r>
      <w:rPr>
        <w:rFonts w:hint="eastAsia" w:ascii="Times New Roman" w:hAnsi="Times New Roman" w:cs="Times New Roman"/>
        <w:lang w:val="en-US" w:eastAsia="zh-CN"/>
      </w:rPr>
      <w:t>CECA-G XXXX</w:t>
    </w:r>
    <w:r>
      <w:rPr>
        <w:rFonts w:hint="eastAsia" w:ascii="Times New Roman" w:hAnsi="Times New Roman" w:cs="Times New Roman"/>
      </w:rPr>
      <w:t>—202</w:t>
    </w:r>
    <w:r>
      <w:rPr>
        <w:rFonts w:hint="eastAsia" w:ascii="Times New Roman" w:hAnsi="Times New Roman" w:cs="Times New Roman"/>
        <w:lang w:val="en-US" w:eastAsia="zh-CN"/>
      </w:rPr>
      <w:t>X</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047B7E">
    <w:pPr>
      <w:keepNext w:val="0"/>
      <w:keepLines w:val="0"/>
      <w:pageBreakBefore w:val="0"/>
      <w:widowControl w:val="0"/>
      <w:kinsoku/>
      <w:wordWrap/>
      <w:overflowPunct/>
      <w:topLinePunct w:val="0"/>
      <w:bidi w:val="0"/>
      <w:adjustRightInd/>
      <w:snapToGrid/>
      <w:spacing w:after="170" w:line="238" w:lineRule="auto"/>
      <w:ind w:left="6270"/>
      <w:jc w:val="right"/>
      <w:textAlignment w:val="auto"/>
      <w:rPr>
        <w:rFonts w:hint="default"/>
        <w:lang w:val="en-US"/>
      </w:rPr>
    </w:pPr>
    <w:r>
      <w:rPr>
        <w:sz w:val="18"/>
      </w:rPr>
      <w:drawing>
        <wp:anchor distT="0" distB="0" distL="114300" distR="114300" simplePos="0" relativeHeight="251669504" behindDoc="1" locked="0" layoutInCell="1" allowOverlap="1">
          <wp:simplePos x="0" y="0"/>
          <wp:positionH relativeFrom="margin">
            <wp:align>center</wp:align>
          </wp:positionH>
          <wp:positionV relativeFrom="margin">
            <wp:align>center</wp:align>
          </wp:positionV>
          <wp:extent cx="7558405" cy="10692130"/>
          <wp:effectExtent l="0" t="0" r="4445" b="13970"/>
          <wp:wrapNone/>
          <wp:docPr id="10" name="WordPictureWatermark74872" descr="CECA水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WordPictureWatermark74872" descr="CECA水印"/>
                  <pic:cNvPicPr>
                    <a:picLocks noChangeAspect="1"/>
                  </pic:cNvPicPr>
                </pic:nvPicPr>
                <pic:blipFill>
                  <a:blip r:embed="rId1"/>
                  <a:stretch>
                    <a:fillRect/>
                  </a:stretch>
                </pic:blipFill>
                <pic:spPr>
                  <a:xfrm>
                    <a:off x="0" y="0"/>
                    <a:ext cx="7558405" cy="10692130"/>
                  </a:xfrm>
                  <a:prstGeom prst="rect">
                    <a:avLst/>
                  </a:prstGeom>
                  <a:noFill/>
                  <a:ln>
                    <a:noFill/>
                  </a:ln>
                </pic:spPr>
              </pic:pic>
            </a:graphicData>
          </a:graphic>
        </wp:anchor>
      </w:drawing>
    </w:r>
    <w:r>
      <w:rPr>
        <w:rFonts w:hint="eastAsia" w:ascii="黑体" w:hAnsi="黑体" w:eastAsia="黑体" w:cs="黑体"/>
        <w:sz w:val="21"/>
        <w:szCs w:val="21"/>
      </w:rPr>
      <w:t>T</w:t>
    </w:r>
    <w:r>
      <w:rPr>
        <w:rFonts w:hint="eastAsia" w:ascii="黑体" w:hAnsi="黑体" w:eastAsia="黑体" w:cs="黑体"/>
        <w:color w:val="000000"/>
        <w:kern w:val="0"/>
        <w:sz w:val="21"/>
        <w:szCs w:val="21"/>
      </w:rPr>
      <w:t>/</w:t>
    </w:r>
    <w:r>
      <w:rPr>
        <w:rFonts w:hint="eastAsia" w:ascii="黑体" w:hAnsi="黑体" w:eastAsia="黑体" w:cs="黑体"/>
        <w:sz w:val="21"/>
        <w:szCs w:val="21"/>
      </w:rPr>
      <w:t>CECA-</w:t>
    </w:r>
    <w:r>
      <w:rPr>
        <w:rFonts w:hint="eastAsia" w:ascii="黑体" w:hAnsi="黑体" w:eastAsia="黑体" w:cs="黑体"/>
        <w:sz w:val="21"/>
        <w:szCs w:val="21"/>
        <w:lang w:eastAsia="zh-CN"/>
      </w:rPr>
      <w:t xml:space="preserve">G </w:t>
    </w:r>
    <w:r>
      <w:rPr>
        <w:rFonts w:hint="eastAsia" w:ascii="黑体" w:hAnsi="黑体" w:eastAsia="黑体" w:cs="黑体"/>
        <w:sz w:val="21"/>
        <w:szCs w:val="21"/>
        <w:lang w:val="en-US" w:eastAsia="zh-CN"/>
      </w:rPr>
      <w:t>0415</w:t>
    </w:r>
    <w:r>
      <w:rPr>
        <w:rFonts w:hint="eastAsia" w:ascii="黑体" w:hAnsi="黑体" w:eastAsia="黑体" w:cs="黑体"/>
        <w:sz w:val="21"/>
        <w:szCs w:val="21"/>
      </w:rPr>
      <w:t>—20</w:t>
    </w:r>
    <w:r>
      <w:rPr>
        <w:rFonts w:hint="eastAsia" w:ascii="黑体" w:hAnsi="黑体" w:eastAsia="黑体" w:cs="黑体"/>
        <w:sz w:val="21"/>
        <w:szCs w:val="21"/>
        <w:lang w:val="en-US" w:eastAsia="zh-CN"/>
      </w:rPr>
      <w:t>26</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84E2F6">
    <w:pPr>
      <w:keepNext w:val="0"/>
      <w:keepLines w:val="0"/>
      <w:pageBreakBefore w:val="0"/>
      <w:widowControl w:val="0"/>
      <w:kinsoku/>
      <w:wordWrap/>
      <w:overflowPunct/>
      <w:topLinePunct w:val="0"/>
      <w:bidi w:val="0"/>
      <w:adjustRightInd/>
      <w:snapToGrid/>
      <w:spacing w:after="170" w:line="238" w:lineRule="auto"/>
      <w:ind w:left="6270"/>
      <w:jc w:val="right"/>
      <w:textAlignment w:val="auto"/>
      <w:rPr>
        <w:rFonts w:hint="default" w:eastAsia="黑体"/>
        <w:lang w:val="en-US" w:eastAsia="zh-CN"/>
      </w:rPr>
    </w:pPr>
    <w:r>
      <w:rPr>
        <w:sz w:val="18"/>
      </w:rPr>
      <w:drawing>
        <wp:anchor distT="0" distB="0" distL="114300" distR="114300" simplePos="0" relativeHeight="251670528" behindDoc="1" locked="0" layoutInCell="1" allowOverlap="1">
          <wp:simplePos x="0" y="0"/>
          <wp:positionH relativeFrom="margin">
            <wp:align>center</wp:align>
          </wp:positionH>
          <wp:positionV relativeFrom="margin">
            <wp:align>center</wp:align>
          </wp:positionV>
          <wp:extent cx="7558405" cy="10692130"/>
          <wp:effectExtent l="0" t="0" r="4445" b="13970"/>
          <wp:wrapNone/>
          <wp:docPr id="11" name="WordPictureWatermark74872" descr="CECA水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WordPictureWatermark74872" descr="CECA水印"/>
                  <pic:cNvPicPr>
                    <a:picLocks noChangeAspect="1"/>
                  </pic:cNvPicPr>
                </pic:nvPicPr>
                <pic:blipFill>
                  <a:blip r:embed="rId1"/>
                  <a:stretch>
                    <a:fillRect/>
                  </a:stretch>
                </pic:blipFill>
                <pic:spPr>
                  <a:xfrm>
                    <a:off x="0" y="0"/>
                    <a:ext cx="7558405" cy="10692130"/>
                  </a:xfrm>
                  <a:prstGeom prst="rect">
                    <a:avLst/>
                  </a:prstGeom>
                  <a:noFill/>
                  <a:ln>
                    <a:noFill/>
                  </a:ln>
                </pic:spPr>
              </pic:pic>
            </a:graphicData>
          </a:graphic>
        </wp:anchor>
      </w:drawing>
    </w:r>
    <w:r>
      <w:rPr>
        <w:rFonts w:hint="eastAsia" w:ascii="黑体" w:hAnsi="黑体" w:eastAsia="黑体" w:cs="黑体"/>
        <w:sz w:val="21"/>
        <w:szCs w:val="21"/>
      </w:rPr>
      <w:t>T</w:t>
    </w:r>
    <w:r>
      <w:rPr>
        <w:rFonts w:hint="eastAsia" w:ascii="黑体" w:hAnsi="黑体" w:eastAsia="黑体" w:cs="黑体"/>
        <w:color w:val="000000"/>
        <w:kern w:val="0"/>
        <w:sz w:val="21"/>
        <w:szCs w:val="21"/>
      </w:rPr>
      <w:t>/</w:t>
    </w:r>
    <w:r>
      <w:rPr>
        <w:rFonts w:hint="eastAsia" w:ascii="黑体" w:hAnsi="黑体" w:eastAsia="黑体" w:cs="黑体"/>
        <w:sz w:val="21"/>
        <w:szCs w:val="21"/>
      </w:rPr>
      <w:t>CECA-</w:t>
    </w:r>
    <w:r>
      <w:rPr>
        <w:rFonts w:hint="eastAsia" w:ascii="黑体" w:hAnsi="黑体" w:eastAsia="黑体" w:cs="黑体"/>
        <w:sz w:val="21"/>
        <w:szCs w:val="21"/>
        <w:lang w:eastAsia="zh-CN"/>
      </w:rPr>
      <w:t xml:space="preserve">G </w:t>
    </w:r>
    <w:r>
      <w:rPr>
        <w:rFonts w:hint="eastAsia" w:ascii="黑体" w:hAnsi="黑体" w:eastAsia="黑体" w:cs="黑体"/>
        <w:sz w:val="21"/>
        <w:szCs w:val="21"/>
        <w:lang w:val="en-US" w:eastAsia="zh-CN"/>
      </w:rPr>
      <w:t>0415</w:t>
    </w:r>
    <w:r>
      <w:rPr>
        <w:rFonts w:hint="eastAsia" w:ascii="黑体" w:hAnsi="黑体" w:eastAsia="黑体" w:cs="黑体"/>
        <w:sz w:val="21"/>
        <w:szCs w:val="21"/>
      </w:rPr>
      <w:t>—20</w:t>
    </w:r>
    <w:r>
      <w:rPr>
        <w:rFonts w:hint="eastAsia" w:ascii="黑体" w:hAnsi="黑体" w:eastAsia="黑体" w:cs="黑体"/>
        <w:sz w:val="21"/>
        <w:szCs w:val="21"/>
        <w:lang w:val="en-US" w:eastAsia="zh-CN"/>
      </w:rPr>
      <w:t>26</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9FB8563"/>
    <w:multiLevelType w:val="multilevel"/>
    <w:tmpl w:val="89FB8563"/>
    <w:lvl w:ilvl="0" w:tentative="0">
      <w:start w:val="1"/>
      <w:numFmt w:val="lowerLetter"/>
      <w:pStyle w:val="34"/>
      <w:lvlText w:val="%1)"/>
      <w:lvlJc w:val="left"/>
      <w:pPr>
        <w:tabs>
          <w:tab w:val="left" w:pos="851"/>
        </w:tabs>
        <w:ind w:left="851" w:hanging="426"/>
      </w:pPr>
      <w:rPr>
        <w:rFonts w:hint="eastAsia" w:ascii="宋体" w:hAnsi="Times New Roman" w:eastAsia="宋体"/>
        <w:sz w:val="21"/>
      </w:rPr>
    </w:lvl>
    <w:lvl w:ilvl="1" w:tentative="0">
      <w:start w:val="1"/>
      <w:numFmt w:val="decimal"/>
      <w:lvlText w:val="%2)"/>
      <w:lvlJc w:val="left"/>
      <w:pPr>
        <w:tabs>
          <w:tab w:val="left" w:pos="1276"/>
        </w:tabs>
        <w:ind w:left="1276" w:hanging="425"/>
      </w:pPr>
      <w:rPr>
        <w:rFonts w:hint="eastAsia" w:ascii="宋体" w:hAnsi="Times New Roman" w:eastAsia="宋体"/>
        <w:sz w:val="21"/>
      </w:rPr>
    </w:lvl>
    <w:lvl w:ilvl="2" w:tentative="0">
      <w:start w:val="1"/>
      <w:numFmt w:val="decimal"/>
      <w:lvlText w:val="(%3)"/>
      <w:lvlJc w:val="left"/>
      <w:pPr>
        <w:ind w:left="1701" w:hanging="425"/>
      </w:pPr>
      <w:rPr>
        <w:rFonts w:hint="eastAsia" w:ascii="宋体" w:hAnsi="Times New Roman" w:eastAsia="宋体"/>
        <w:sz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1">
    <w:nsid w:val="C348FE31"/>
    <w:multiLevelType w:val="singleLevel"/>
    <w:tmpl w:val="C348FE31"/>
    <w:lvl w:ilvl="0" w:tentative="0">
      <w:start w:val="1"/>
      <w:numFmt w:val="lowerLetter"/>
      <w:suff w:val="space"/>
      <w:lvlText w:val="%1）"/>
      <w:lvlJc w:val="left"/>
    </w:lvl>
  </w:abstractNum>
  <w:abstractNum w:abstractNumId="2">
    <w:nsid w:val="1FC91163"/>
    <w:multiLevelType w:val="multilevel"/>
    <w:tmpl w:val="1FC91163"/>
    <w:lvl w:ilvl="0" w:tentative="0">
      <w:start w:val="1"/>
      <w:numFmt w:val="decimal"/>
      <w:pStyle w:val="15"/>
      <w:suff w:val="nothing"/>
      <w:lvlText w:val="%1　"/>
      <w:lvlJc w:val="left"/>
      <w:pPr>
        <w:ind w:left="142" w:firstLine="0"/>
      </w:pPr>
      <w:rPr>
        <w:rFonts w:hint="eastAsia" w:ascii="黑体" w:hAnsi="Times New Roman" w:eastAsia="黑体"/>
        <w:b w:val="0"/>
        <w:i w:val="0"/>
        <w:sz w:val="21"/>
        <w:szCs w:val="21"/>
      </w:rPr>
    </w:lvl>
    <w:lvl w:ilvl="1" w:tentative="0">
      <w:start w:val="1"/>
      <w:numFmt w:val="decimal"/>
      <w:pStyle w:val="18"/>
      <w:suff w:val="nothing"/>
      <w:lvlText w:val="%1.%2　"/>
      <w:lvlJc w:val="left"/>
      <w:rPr>
        <w:rFonts w:hint="eastAsia" w:ascii="黑体" w:hAnsi="Times New Roman" w:eastAsia="黑体" w:cs="Times New Roman"/>
        <w:b w:val="0"/>
        <w:bCs w:val="0"/>
        <w:i w:val="0"/>
        <w:iCs w:val="0"/>
        <w:caps w:val="0"/>
        <w:strike w:val="0"/>
        <w:dstrike w:val="0"/>
        <w:vanish w:val="0"/>
        <w:color w:val="000000"/>
        <w:spacing w:val="0"/>
        <w:kern w:val="0"/>
        <w:position w:val="0"/>
        <w:sz w:val="21"/>
        <w:szCs w:val="21"/>
        <w:u w:val="none"/>
        <w:vertAlign w:val="baseline"/>
        <w14:shadow w14:blurRad="0" w14:dist="0" w14:dir="0" w14:sx="0" w14:sy="0" w14:kx="0" w14:ky="0" w14:algn="none">
          <w14:srgbClr w14:val="000000"/>
        </w14:shadow>
      </w:rPr>
    </w:lvl>
    <w:lvl w:ilvl="2" w:tentative="0">
      <w:start w:val="1"/>
      <w:numFmt w:val="decimal"/>
      <w:suff w:val="nothing"/>
      <w:lvlText w:val="%1.%2.%3　"/>
      <w:lvlJc w:val="left"/>
      <w:pPr>
        <w:ind w:left="0" w:firstLine="0"/>
      </w:pPr>
      <w:rPr>
        <w:rFonts w:hint="eastAsia" w:ascii="黑体" w:hAnsi="Times New Roman" w:eastAsia="黑体"/>
        <w:b w:val="0"/>
        <w:i w:val="0"/>
        <w:sz w:val="21"/>
      </w:rPr>
    </w:lvl>
    <w:lvl w:ilvl="3" w:tentative="0">
      <w:start w:val="1"/>
      <w:numFmt w:val="decimal"/>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3">
    <w:nsid w:val="2C5917C3"/>
    <w:multiLevelType w:val="multilevel"/>
    <w:tmpl w:val="2C5917C3"/>
    <w:lvl w:ilvl="0" w:tentative="0">
      <w:start w:val="1"/>
      <w:numFmt w:val="none"/>
      <w:pStyle w:val="33"/>
      <w:lvlText w:val="%1——"/>
      <w:lvlJc w:val="left"/>
      <w:pPr>
        <w:tabs>
          <w:tab w:val="left" w:pos="851"/>
        </w:tabs>
        <w:ind w:left="851" w:hanging="426"/>
      </w:pPr>
      <w:rPr>
        <w:rFonts w:hint="eastAsia" w:ascii="宋体" w:hAnsi="Times New Roman" w:eastAsia="宋体"/>
        <w:b w:val="0"/>
        <w:i w:val="0"/>
        <w:sz w:val="21"/>
      </w:rPr>
    </w:lvl>
    <w:lvl w:ilvl="1" w:tentative="0">
      <w:start w:val="1"/>
      <w:numFmt w:val="none"/>
      <w:lvlText w:val=""/>
      <w:lvlJc w:val="left"/>
      <w:pPr>
        <w:ind w:left="851" w:hanging="431"/>
      </w:pPr>
      <w:rPr>
        <w:rFonts w:hint="default" w:ascii="Symbol" w:hAnsi="Symbol"/>
        <w:sz w:val="21"/>
      </w:rPr>
    </w:lvl>
    <w:lvl w:ilvl="2" w:tentative="0">
      <w:start w:val="1"/>
      <w:numFmt w:val="bullet"/>
      <w:lvlText w:val=""/>
      <w:lvlJc w:val="left"/>
      <w:pPr>
        <w:ind w:left="851" w:hanging="426"/>
      </w:pPr>
      <w:rPr>
        <w:rFonts w:hint="default" w:ascii="Wingdings" w:hAnsi="Wingdings"/>
        <w:sz w:val="21"/>
      </w:rPr>
    </w:lvl>
    <w:lvl w:ilvl="3" w:tentative="0">
      <w:start w:val="1"/>
      <w:numFmt w:val="decimal"/>
      <w:lvlText w:val="%4."/>
      <w:lvlJc w:val="left"/>
      <w:pPr>
        <w:tabs>
          <w:tab w:val="left" w:pos="2071"/>
        </w:tabs>
        <w:ind w:left="1884" w:hanging="528"/>
      </w:pPr>
      <w:rPr>
        <w:rFonts w:hint="eastAsia"/>
      </w:rPr>
    </w:lvl>
    <w:lvl w:ilvl="4" w:tentative="0">
      <w:start w:val="1"/>
      <w:numFmt w:val="lowerLetter"/>
      <w:lvlText w:val="%5)"/>
      <w:lvlJc w:val="left"/>
      <w:pPr>
        <w:tabs>
          <w:tab w:val="left" w:pos="2383"/>
        </w:tabs>
        <w:ind w:left="2196" w:hanging="528"/>
      </w:pPr>
      <w:rPr>
        <w:rFonts w:hint="eastAsia"/>
      </w:rPr>
    </w:lvl>
    <w:lvl w:ilvl="5" w:tentative="0">
      <w:start w:val="1"/>
      <w:numFmt w:val="lowerRoman"/>
      <w:lvlText w:val="%6."/>
      <w:lvlJc w:val="right"/>
      <w:pPr>
        <w:tabs>
          <w:tab w:val="left" w:pos="2695"/>
        </w:tabs>
        <w:ind w:left="2508" w:hanging="528"/>
      </w:pPr>
      <w:rPr>
        <w:rFonts w:hint="eastAsia"/>
      </w:rPr>
    </w:lvl>
    <w:lvl w:ilvl="6" w:tentative="0">
      <w:start w:val="1"/>
      <w:numFmt w:val="decimal"/>
      <w:lvlText w:val="%7."/>
      <w:lvlJc w:val="left"/>
      <w:pPr>
        <w:tabs>
          <w:tab w:val="left" w:pos="3007"/>
        </w:tabs>
        <w:ind w:left="2820" w:hanging="528"/>
      </w:pPr>
      <w:rPr>
        <w:rFonts w:hint="eastAsia"/>
      </w:rPr>
    </w:lvl>
    <w:lvl w:ilvl="7" w:tentative="0">
      <w:start w:val="1"/>
      <w:numFmt w:val="lowerLetter"/>
      <w:lvlText w:val="%8)"/>
      <w:lvlJc w:val="left"/>
      <w:pPr>
        <w:tabs>
          <w:tab w:val="left" w:pos="3319"/>
        </w:tabs>
        <w:ind w:left="3132" w:hanging="528"/>
      </w:pPr>
      <w:rPr>
        <w:rFonts w:hint="eastAsia"/>
      </w:rPr>
    </w:lvl>
    <w:lvl w:ilvl="8" w:tentative="0">
      <w:start w:val="1"/>
      <w:numFmt w:val="lowerRoman"/>
      <w:lvlText w:val="%9."/>
      <w:lvlJc w:val="right"/>
      <w:pPr>
        <w:tabs>
          <w:tab w:val="left" w:pos="3631"/>
        </w:tabs>
        <w:ind w:left="3444" w:hanging="528"/>
      </w:pPr>
      <w:rPr>
        <w:rFonts w:hint="eastAsia"/>
      </w:rPr>
    </w:lvl>
  </w:abstractNum>
  <w:abstractNum w:abstractNumId="4">
    <w:nsid w:val="5603797C"/>
    <w:multiLevelType w:val="multilevel"/>
    <w:tmpl w:val="5603797C"/>
    <w:lvl w:ilvl="0" w:tentative="0">
      <w:start w:val="1"/>
      <w:numFmt w:val="upperLetter"/>
      <w:suff w:val="space"/>
      <w:lvlText w:val="%1"/>
      <w:lvlJc w:val="left"/>
      <w:pPr>
        <w:ind w:left="425" w:hanging="425"/>
      </w:pPr>
      <w:rPr>
        <w:rFonts w:hint="eastAsia"/>
      </w:rPr>
    </w:lvl>
    <w:lvl w:ilvl="1" w:tentative="0">
      <w:start w:val="1"/>
      <w:numFmt w:val="decimal"/>
      <w:pStyle w:val="39"/>
      <w:suff w:val="space"/>
      <w:lvlText w:val="表%1.%2"/>
      <w:lvlJc w:val="center"/>
      <w:pPr>
        <w:ind w:left="0" w:firstLine="0"/>
      </w:pPr>
      <w:rPr>
        <w:rFonts w:hint="eastAsia" w:ascii="黑体" w:eastAsia="黑体"/>
        <w:sz w:val="21"/>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5">
    <w:nsid w:val="646260FA"/>
    <w:multiLevelType w:val="multilevel"/>
    <w:tmpl w:val="646260FA"/>
    <w:lvl w:ilvl="0" w:tentative="0">
      <w:start w:val="1"/>
      <w:numFmt w:val="decimal"/>
      <w:pStyle w:val="35"/>
      <w:suff w:val="nothing"/>
      <w:lvlText w:val="表%1　"/>
      <w:lvlJc w:val="left"/>
      <w:pPr>
        <w:ind w:left="0" w:firstLine="0"/>
      </w:pPr>
    </w:lvl>
    <w:lvl w:ilvl="1" w:tentative="0">
      <w:start w:val="1"/>
      <w:numFmt w:val="decimal"/>
      <w:lvlText w:val="%1.%2"/>
      <w:lvlJc w:val="left"/>
      <w:pPr>
        <w:tabs>
          <w:tab w:val="left" w:pos="992"/>
        </w:tabs>
        <w:ind w:left="992" w:hanging="567"/>
      </w:pPr>
    </w:lvl>
    <w:lvl w:ilvl="2" w:tentative="0">
      <w:start w:val="1"/>
      <w:numFmt w:val="decimal"/>
      <w:lvlText w:val="%1.%2.%3"/>
      <w:lvlJc w:val="left"/>
      <w:pPr>
        <w:tabs>
          <w:tab w:val="left" w:pos="1417"/>
        </w:tabs>
        <w:ind w:left="1417" w:hanging="567"/>
      </w:pPr>
    </w:lvl>
    <w:lvl w:ilvl="3" w:tentative="0">
      <w:start w:val="1"/>
      <w:numFmt w:val="decimal"/>
      <w:lvlText w:val="%1.%2.%3.%4"/>
      <w:lvlJc w:val="left"/>
      <w:pPr>
        <w:tabs>
          <w:tab w:val="left" w:pos="1984"/>
        </w:tabs>
        <w:ind w:left="1984" w:hanging="708"/>
      </w:pPr>
    </w:lvl>
    <w:lvl w:ilvl="4" w:tentative="0">
      <w:start w:val="1"/>
      <w:numFmt w:val="decimal"/>
      <w:lvlText w:val="%1.%2.%3.%4.%5"/>
      <w:lvlJc w:val="left"/>
      <w:pPr>
        <w:tabs>
          <w:tab w:val="left" w:pos="2551"/>
        </w:tabs>
        <w:ind w:left="2551" w:hanging="850"/>
      </w:pPr>
    </w:lvl>
    <w:lvl w:ilvl="5" w:tentative="0">
      <w:start w:val="1"/>
      <w:numFmt w:val="decimal"/>
      <w:lvlText w:val="%1.%2.%3.%4.%5.%6"/>
      <w:lvlJc w:val="left"/>
      <w:pPr>
        <w:tabs>
          <w:tab w:val="left" w:pos="3260"/>
        </w:tabs>
        <w:ind w:left="3260" w:hanging="1134"/>
      </w:pPr>
    </w:lvl>
    <w:lvl w:ilvl="6" w:tentative="0">
      <w:start w:val="1"/>
      <w:numFmt w:val="decimal"/>
      <w:lvlText w:val="%1.%2.%3.%4.%5.%6.%7"/>
      <w:lvlJc w:val="left"/>
      <w:pPr>
        <w:tabs>
          <w:tab w:val="left" w:pos="3827"/>
        </w:tabs>
        <w:ind w:left="3827" w:hanging="1276"/>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6">
    <w:nsid w:val="657D3FBC"/>
    <w:multiLevelType w:val="multilevel"/>
    <w:tmpl w:val="657D3FBC"/>
    <w:lvl w:ilvl="0" w:tentative="0">
      <w:start w:val="1"/>
      <w:numFmt w:val="upperLetter"/>
      <w:pStyle w:val="20"/>
      <w:suff w:val="nothing"/>
      <w:lvlText w:val="附　录　%1"/>
      <w:lvlJc w:val="left"/>
      <w:pPr>
        <w:ind w:left="0" w:firstLine="0"/>
      </w:pPr>
      <w:rPr>
        <w:rFonts w:hint="eastAsia" w:ascii="黑体" w:hAnsi="Times New Roman" w:eastAsia="黑体"/>
        <w:b w:val="0"/>
        <w:i w:val="0"/>
        <w:spacing w:val="0"/>
        <w:w w:val="100"/>
        <w:sz w:val="21"/>
      </w:rPr>
    </w:lvl>
    <w:lvl w:ilvl="1" w:tentative="0">
      <w:start w:val="1"/>
      <w:numFmt w:val="decimal"/>
      <w:pStyle w:val="22"/>
      <w:suff w:val="nothing"/>
      <w:lvlText w:val="%1.%2　"/>
      <w:lvlJc w:val="left"/>
      <w:pPr>
        <w:ind w:left="0" w:firstLine="0"/>
      </w:pPr>
      <w:rPr>
        <w:rFonts w:hint="eastAsia" w:ascii="黑体" w:hAnsi="Times New Roman" w:eastAsia="黑体"/>
        <w:b w:val="0"/>
        <w:i w:val="0"/>
        <w:snapToGrid/>
        <w:spacing w:val="0"/>
        <w:w w:val="100"/>
        <w:kern w:val="21"/>
        <w:sz w:val="21"/>
      </w:rPr>
    </w:lvl>
    <w:lvl w:ilvl="2" w:tentative="0">
      <w:start w:val="1"/>
      <w:numFmt w:val="decimal"/>
      <w:pStyle w:val="23"/>
      <w:suff w:val="nothing"/>
      <w:lvlText w:val="%1.%2.%3　"/>
      <w:lvlJc w:val="left"/>
      <w:pPr>
        <w:ind w:left="315" w:firstLine="0"/>
      </w:pPr>
      <w:rPr>
        <w:rFonts w:hint="eastAsia" w:ascii="黑体" w:hAnsi="Times New Roman" w:eastAsia="黑体"/>
        <w:b w:val="0"/>
        <w:i w:val="0"/>
        <w:sz w:val="21"/>
      </w:rPr>
    </w:lvl>
    <w:lvl w:ilvl="3" w:tentative="0">
      <w:start w:val="1"/>
      <w:numFmt w:val="decimal"/>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7">
    <w:nsid w:val="6CEA2025"/>
    <w:multiLevelType w:val="multilevel"/>
    <w:tmpl w:val="6CEA2025"/>
    <w:lvl w:ilvl="0" w:tentative="0">
      <w:start w:val="1"/>
      <w:numFmt w:val="none"/>
      <w:suff w:val="nothing"/>
      <w:lvlText w:val="%1"/>
      <w:lvlJc w:val="left"/>
      <w:pPr>
        <w:ind w:left="0" w:firstLine="0"/>
      </w:pPr>
      <w:rPr>
        <w:rFonts w:hint="eastAsia"/>
      </w:rPr>
    </w:lvl>
    <w:lvl w:ilvl="1" w:tentative="0">
      <w:start w:val="1"/>
      <w:numFmt w:val="decimal"/>
      <w:pStyle w:val="29"/>
      <w:suff w:val="nothing"/>
      <w:lvlText w:val="%1%2　"/>
      <w:lvlJc w:val="left"/>
      <w:pPr>
        <w:ind w:left="0" w:firstLine="0"/>
      </w:pPr>
      <w:rPr>
        <w:rFonts w:hint="eastAsia" w:ascii="黑体" w:eastAsia="黑体"/>
        <w:b w:val="0"/>
        <w:i w:val="0"/>
        <w:sz w:val="21"/>
      </w:rPr>
    </w:lvl>
    <w:lvl w:ilvl="2" w:tentative="0">
      <w:start w:val="1"/>
      <w:numFmt w:val="decimal"/>
      <w:pStyle w:val="28"/>
      <w:suff w:val="nothing"/>
      <w:lvlText w:val="%1%2.%3　"/>
      <w:lvlJc w:val="left"/>
      <w:pPr>
        <w:ind w:left="0" w:firstLine="0"/>
      </w:pPr>
      <w:rPr>
        <w:rFonts w:hint="eastAsia" w:ascii="黑体" w:hAnsi="Times New Roman" w:eastAsia="黑体" w:cs="Times New Roman"/>
        <w:b w:val="0"/>
        <w:bCs w:val="0"/>
        <w:i w:val="0"/>
        <w:iCs w:val="0"/>
        <w:caps w:val="0"/>
        <w:smallCaps w:val="0"/>
        <w:strike w:val="0"/>
        <w:dstrike w:val="0"/>
        <w:vanish w:val="0"/>
        <w:color w:val="000000"/>
        <w:spacing w:val="0"/>
        <w:kern w:val="0"/>
        <w:position w:val="0"/>
        <w:sz w:val="21"/>
        <w:u w:val="none"/>
        <w:vertAlign w:val="baseline"/>
      </w:rPr>
    </w:lvl>
    <w:lvl w:ilvl="3" w:tentative="0">
      <w:start w:val="1"/>
      <w:numFmt w:val="decimal"/>
      <w:pStyle w:val="30"/>
      <w:suff w:val="nothing"/>
      <w:lvlText w:val="%1%2.%3.%4　"/>
      <w:lvlJc w:val="left"/>
      <w:pPr>
        <w:ind w:left="0" w:firstLine="0"/>
      </w:pPr>
      <w:rPr>
        <w:rFonts w:hint="eastAsia" w:ascii="黑体" w:eastAsia="黑体"/>
        <w:b w:val="0"/>
        <w:i w:val="0"/>
        <w:sz w:val="21"/>
      </w:rPr>
    </w:lvl>
    <w:lvl w:ilvl="4" w:tentative="0">
      <w:start w:val="1"/>
      <w:numFmt w:val="decimal"/>
      <w:pStyle w:val="32"/>
      <w:suff w:val="nothing"/>
      <w:lvlText w:val="%1%2.%3.%4.%5　"/>
      <w:lvlJc w:val="left"/>
      <w:pPr>
        <w:ind w:left="0" w:firstLine="0"/>
      </w:pPr>
      <w:rPr>
        <w:rFonts w:hint="eastAsia" w:ascii="黑体" w:eastAsia="黑体"/>
        <w:b w:val="0"/>
        <w:i w:val="0"/>
        <w:sz w:val="21"/>
      </w:rPr>
    </w:lvl>
    <w:lvl w:ilvl="5" w:tentative="0">
      <w:start w:val="1"/>
      <w:numFmt w:val="decimal"/>
      <w:suff w:val="nothing"/>
      <w:lvlText w:val="%1%2.%3.%4.%5.%6　"/>
      <w:lvlJc w:val="left"/>
      <w:pPr>
        <w:ind w:left="0" w:firstLine="0"/>
      </w:pPr>
      <w:rPr>
        <w:rFonts w:hint="eastAsia" w:ascii="黑体" w:eastAsia="黑体"/>
        <w:b w:val="0"/>
        <w:i w:val="0"/>
        <w:sz w:val="21"/>
      </w:rPr>
    </w:lvl>
    <w:lvl w:ilvl="6" w:tentative="0">
      <w:start w:val="1"/>
      <w:numFmt w:val="decimal"/>
      <w:suff w:val="nothing"/>
      <w:lvlText w:val="%1%2.%3.%4.%5.%6.%7　"/>
      <w:lvlJc w:val="left"/>
      <w:pPr>
        <w:ind w:left="0" w:firstLine="0"/>
      </w:pPr>
      <w:rPr>
        <w:rFonts w:hint="eastAsia" w:ascii="黑体"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num w:numId="1">
    <w:abstractNumId w:val="2"/>
  </w:num>
  <w:num w:numId="2">
    <w:abstractNumId w:val="6"/>
  </w:num>
  <w:num w:numId="3">
    <w:abstractNumId w:val="7"/>
  </w:num>
  <w:num w:numId="4">
    <w:abstractNumId w:val="3"/>
  </w:num>
  <w:num w:numId="5">
    <w:abstractNumId w:val="0"/>
  </w:num>
  <w:num w:numId="6">
    <w:abstractNumId w:val="5"/>
  </w:num>
  <w:num w:numId="7">
    <w:abstractNumId w:val="4"/>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E3B7507"/>
    <w:rsid w:val="00A91156"/>
    <w:rsid w:val="00CD690B"/>
    <w:rsid w:val="00D31459"/>
    <w:rsid w:val="011E0236"/>
    <w:rsid w:val="019F1377"/>
    <w:rsid w:val="02320E0B"/>
    <w:rsid w:val="026D5EA6"/>
    <w:rsid w:val="03803D14"/>
    <w:rsid w:val="043E164F"/>
    <w:rsid w:val="07104B65"/>
    <w:rsid w:val="07C87A92"/>
    <w:rsid w:val="080C2D5D"/>
    <w:rsid w:val="09F72F1A"/>
    <w:rsid w:val="0AE918B4"/>
    <w:rsid w:val="0CC66554"/>
    <w:rsid w:val="0DE31D0B"/>
    <w:rsid w:val="0E52366A"/>
    <w:rsid w:val="0F6C6610"/>
    <w:rsid w:val="105F7E70"/>
    <w:rsid w:val="11A227BD"/>
    <w:rsid w:val="13242C67"/>
    <w:rsid w:val="14AD5701"/>
    <w:rsid w:val="156F4137"/>
    <w:rsid w:val="15EF3AF7"/>
    <w:rsid w:val="175C46B8"/>
    <w:rsid w:val="19196C9C"/>
    <w:rsid w:val="1B974AF9"/>
    <w:rsid w:val="1EDB10BC"/>
    <w:rsid w:val="1FFB35E3"/>
    <w:rsid w:val="235048FF"/>
    <w:rsid w:val="23FB7AB3"/>
    <w:rsid w:val="24EB3C9B"/>
    <w:rsid w:val="275B7A51"/>
    <w:rsid w:val="28EC7580"/>
    <w:rsid w:val="29346F27"/>
    <w:rsid w:val="29DF63C8"/>
    <w:rsid w:val="2B786611"/>
    <w:rsid w:val="2BA21CCC"/>
    <w:rsid w:val="2BE22247"/>
    <w:rsid w:val="2EDB2C98"/>
    <w:rsid w:val="30FF3707"/>
    <w:rsid w:val="31E92DA6"/>
    <w:rsid w:val="34056568"/>
    <w:rsid w:val="351017AD"/>
    <w:rsid w:val="3715158E"/>
    <w:rsid w:val="377C3BA8"/>
    <w:rsid w:val="3781019A"/>
    <w:rsid w:val="381F0910"/>
    <w:rsid w:val="386277F5"/>
    <w:rsid w:val="3A6541E4"/>
    <w:rsid w:val="3BCF0136"/>
    <w:rsid w:val="3C133B46"/>
    <w:rsid w:val="3D450A77"/>
    <w:rsid w:val="3F3D5D44"/>
    <w:rsid w:val="3FF44B6B"/>
    <w:rsid w:val="40924F40"/>
    <w:rsid w:val="40C97778"/>
    <w:rsid w:val="429B15D2"/>
    <w:rsid w:val="440F37B8"/>
    <w:rsid w:val="442E77EA"/>
    <w:rsid w:val="45746B64"/>
    <w:rsid w:val="472F201A"/>
    <w:rsid w:val="48C978A6"/>
    <w:rsid w:val="4ABE0DE4"/>
    <w:rsid w:val="4DAE0055"/>
    <w:rsid w:val="4F40228D"/>
    <w:rsid w:val="4F8B6063"/>
    <w:rsid w:val="520E714F"/>
    <w:rsid w:val="534826E3"/>
    <w:rsid w:val="5583020D"/>
    <w:rsid w:val="55FD374A"/>
    <w:rsid w:val="562A1075"/>
    <w:rsid w:val="56B43F00"/>
    <w:rsid w:val="57273B0D"/>
    <w:rsid w:val="581B1B4F"/>
    <w:rsid w:val="58706042"/>
    <w:rsid w:val="5A310202"/>
    <w:rsid w:val="5E3B7507"/>
    <w:rsid w:val="60670075"/>
    <w:rsid w:val="6264627D"/>
    <w:rsid w:val="62FB2789"/>
    <w:rsid w:val="640D295A"/>
    <w:rsid w:val="6CDC142C"/>
    <w:rsid w:val="6D833210"/>
    <w:rsid w:val="6DF250CF"/>
    <w:rsid w:val="6E7106C5"/>
    <w:rsid w:val="6E9D11B4"/>
    <w:rsid w:val="6F422DC3"/>
    <w:rsid w:val="726F1FE3"/>
    <w:rsid w:val="729A118F"/>
    <w:rsid w:val="744C7205"/>
    <w:rsid w:val="748F3B68"/>
    <w:rsid w:val="749E63DE"/>
    <w:rsid w:val="750E3AC8"/>
    <w:rsid w:val="76390D34"/>
    <w:rsid w:val="7734249D"/>
    <w:rsid w:val="78D37573"/>
    <w:rsid w:val="7A85177D"/>
    <w:rsid w:val="7B397370"/>
    <w:rsid w:val="7B5E2943"/>
    <w:rsid w:val="7B9C325E"/>
    <w:rsid w:val="7D4E7714"/>
    <w:rsid w:val="7F6B0F97"/>
    <w:rsid w:val="7FA4477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1"/>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11">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3">
    <w:name w:val="annotation text"/>
    <w:basedOn w:val="1"/>
    <w:qFormat/>
    <w:uiPriority w:val="0"/>
    <w:pPr>
      <w:jc w:val="left"/>
    </w:pPr>
  </w:style>
  <w:style w:type="paragraph" w:styleId="4">
    <w:name w:val="toc 3"/>
    <w:basedOn w:val="1"/>
    <w:next w:val="1"/>
    <w:qFormat/>
    <w:uiPriority w:val="0"/>
    <w:pPr>
      <w:ind w:left="840" w:leftChars="400"/>
    </w:pPr>
  </w:style>
  <w:style w:type="paragraph" w:styleId="5">
    <w:name w:val="footer"/>
    <w:basedOn w:val="1"/>
    <w:unhideWhenUsed/>
    <w:qFormat/>
    <w:uiPriority w:val="99"/>
    <w:pPr>
      <w:tabs>
        <w:tab w:val="center" w:pos="4153"/>
        <w:tab w:val="right" w:pos="8306"/>
      </w:tabs>
      <w:snapToGrid w:val="0"/>
      <w:jc w:val="left"/>
    </w:pPr>
    <w:rPr>
      <w:sz w:val="18"/>
      <w:szCs w:val="18"/>
    </w:rPr>
  </w:style>
  <w:style w:type="paragraph" w:styleId="6">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toc 1"/>
    <w:basedOn w:val="1"/>
    <w:next w:val="1"/>
    <w:qFormat/>
    <w:uiPriority w:val="0"/>
  </w:style>
  <w:style w:type="paragraph" w:styleId="8">
    <w:name w:val="toc 2"/>
    <w:basedOn w:val="1"/>
    <w:next w:val="1"/>
    <w:qFormat/>
    <w:uiPriority w:val="0"/>
    <w:pPr>
      <w:ind w:left="420" w:leftChars="200"/>
    </w:pPr>
  </w:style>
  <w:style w:type="table" w:styleId="10">
    <w:name w:val="Table Grid"/>
    <w:basedOn w:val="9"/>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Strong"/>
    <w:basedOn w:val="11"/>
    <w:qFormat/>
    <w:uiPriority w:val="0"/>
    <w:rPr>
      <w:b/>
    </w:rPr>
  </w:style>
  <w:style w:type="paragraph" w:customStyle="1" w:styleId="13">
    <w:name w:val="标准书眉_偶数页"/>
    <w:basedOn w:val="1"/>
    <w:next w:val="1"/>
    <w:qFormat/>
    <w:uiPriority w:val="99"/>
    <w:pPr>
      <w:widowControl/>
      <w:tabs>
        <w:tab w:val="center" w:pos="4154"/>
        <w:tab w:val="right" w:pos="8306"/>
      </w:tabs>
      <w:spacing w:after="120"/>
      <w:jc w:val="left"/>
    </w:pPr>
    <w:rPr>
      <w:rFonts w:ascii="Times New Roman" w:hAnsi="Times New Roman" w:eastAsia="宋体" w:cs="Times New Roman"/>
      <w:kern w:val="0"/>
      <w:szCs w:val="20"/>
    </w:rPr>
  </w:style>
  <w:style w:type="paragraph" w:customStyle="1" w:styleId="14">
    <w:name w:val="目次、标准名称标题"/>
    <w:basedOn w:val="1"/>
    <w:next w:val="1"/>
    <w:qFormat/>
    <w:uiPriority w:val="99"/>
    <w:pPr>
      <w:keepNext/>
      <w:pageBreakBefore/>
      <w:widowControl/>
      <w:shd w:val="clear" w:color="FFFFFF" w:fill="FFFFFF"/>
      <w:spacing w:before="640" w:after="560" w:line="460" w:lineRule="exact"/>
      <w:jc w:val="center"/>
      <w:outlineLvl w:val="0"/>
    </w:pPr>
    <w:rPr>
      <w:rFonts w:ascii="黑体" w:hAnsi="Times New Roman" w:eastAsia="黑体" w:cs="Times New Roman"/>
      <w:kern w:val="0"/>
      <w:sz w:val="32"/>
      <w:szCs w:val="20"/>
    </w:rPr>
  </w:style>
  <w:style w:type="paragraph" w:customStyle="1" w:styleId="15">
    <w:name w:val="章标题"/>
    <w:next w:val="16"/>
    <w:qFormat/>
    <w:uiPriority w:val="0"/>
    <w:pPr>
      <w:numPr>
        <w:ilvl w:val="0"/>
        <w:numId w:val="1"/>
      </w:numPr>
      <w:spacing w:beforeLines="100" w:afterLines="100"/>
      <w:jc w:val="both"/>
      <w:outlineLvl w:val="1"/>
    </w:pPr>
    <w:rPr>
      <w:rFonts w:ascii="黑体" w:hAnsi="Times New Roman" w:eastAsia="黑体" w:cs="Times New Roman"/>
      <w:sz w:val="21"/>
      <w:lang w:val="en-US" w:eastAsia="zh-CN" w:bidi="ar-SA"/>
    </w:rPr>
  </w:style>
  <w:style w:type="paragraph" w:customStyle="1" w:styleId="16">
    <w:name w:val="标准文件_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17">
    <w:name w:val="段"/>
    <w:qFormat/>
    <w:uiPriority w:val="0"/>
    <w:pPr>
      <w:tabs>
        <w:tab w:val="center" w:pos="4201"/>
        <w:tab w:val="right" w:leader="dot" w:pos="9298"/>
      </w:tabs>
      <w:autoSpaceDE w:val="0"/>
      <w:autoSpaceDN w:val="0"/>
      <w:ind w:firstLine="420" w:firstLineChars="200"/>
      <w:jc w:val="both"/>
    </w:pPr>
    <w:rPr>
      <w:rFonts w:ascii="宋体" w:hAnsi="Times New Roman" w:eastAsia="宋体" w:cs="Times New Roman"/>
      <w:sz w:val="21"/>
      <w:lang w:val="en-US" w:eastAsia="zh-CN" w:bidi="ar-SA"/>
    </w:rPr>
  </w:style>
  <w:style w:type="paragraph" w:customStyle="1" w:styleId="18">
    <w:name w:val="一级条标题"/>
    <w:basedOn w:val="15"/>
    <w:next w:val="16"/>
    <w:qFormat/>
    <w:uiPriority w:val="0"/>
    <w:pPr>
      <w:numPr>
        <w:ilvl w:val="1"/>
      </w:numPr>
      <w:spacing w:beforeLines="50" w:afterLines="50"/>
      <w:outlineLvl w:val="2"/>
    </w:pPr>
    <w:rPr>
      <w:szCs w:val="21"/>
    </w:rPr>
  </w:style>
  <w:style w:type="paragraph" w:customStyle="1" w:styleId="19">
    <w:name w:val="前言、引言标题"/>
    <w:next w:val="17"/>
    <w:qFormat/>
    <w:uiPriority w:val="99"/>
    <w:pPr>
      <w:keepNext/>
      <w:pageBreakBefore/>
      <w:shd w:val="clear" w:color="FFFFFF" w:fill="FFFFFF"/>
      <w:spacing w:before="640" w:after="560"/>
      <w:jc w:val="center"/>
      <w:outlineLvl w:val="0"/>
    </w:pPr>
    <w:rPr>
      <w:rFonts w:ascii="黑体" w:hAnsi="Times New Roman" w:eastAsia="黑体" w:cs="Times New Roman"/>
      <w:sz w:val="32"/>
      <w:lang w:val="en-US" w:eastAsia="zh-CN" w:bidi="ar-SA"/>
    </w:rPr>
  </w:style>
  <w:style w:type="paragraph" w:customStyle="1" w:styleId="20">
    <w:name w:val="附录标识"/>
    <w:basedOn w:val="1"/>
    <w:next w:val="17"/>
    <w:qFormat/>
    <w:uiPriority w:val="0"/>
    <w:pPr>
      <w:keepNext/>
      <w:widowControl/>
      <w:numPr>
        <w:ilvl w:val="0"/>
        <w:numId w:val="2"/>
      </w:numPr>
      <w:shd w:val="clear" w:color="FFFFFF" w:fill="FFFFFF"/>
      <w:tabs>
        <w:tab w:val="left" w:pos="360"/>
        <w:tab w:val="left" w:pos="6405"/>
      </w:tabs>
      <w:jc w:val="center"/>
      <w:outlineLvl w:val="0"/>
    </w:pPr>
    <w:rPr>
      <w:rFonts w:ascii="黑体" w:hAnsi="黑体" w:eastAsia="黑体" w:cs="Times New Roman"/>
      <w:kern w:val="0"/>
      <w:szCs w:val="20"/>
    </w:rPr>
  </w:style>
  <w:style w:type="paragraph" w:customStyle="1" w:styleId="21">
    <w:name w:val="标准文件_附录标识"/>
    <w:next w:val="16"/>
    <w:qFormat/>
    <w:uiPriority w:val="0"/>
    <w:pPr>
      <w:shd w:val="clear" w:color="FFFFFF" w:fill="FFFFFF"/>
      <w:tabs>
        <w:tab w:val="left" w:pos="6406"/>
      </w:tabs>
      <w:spacing w:before="25" w:beforeLines="25" w:after="50" w:afterLines="50"/>
      <w:jc w:val="center"/>
      <w:outlineLvl w:val="0"/>
    </w:pPr>
    <w:rPr>
      <w:rFonts w:ascii="黑体" w:hAnsi="Times New Roman" w:eastAsia="黑体" w:cs="Times New Roman"/>
      <w:sz w:val="21"/>
      <w:lang w:val="en-US" w:eastAsia="zh-CN" w:bidi="ar-SA"/>
    </w:rPr>
  </w:style>
  <w:style w:type="paragraph" w:customStyle="1" w:styleId="22">
    <w:name w:val="附录章标题"/>
    <w:next w:val="17"/>
    <w:qFormat/>
    <w:uiPriority w:val="0"/>
    <w:pPr>
      <w:numPr>
        <w:ilvl w:val="1"/>
        <w:numId w:val="2"/>
      </w:numPr>
      <w:tabs>
        <w:tab w:val="left" w:pos="360"/>
      </w:tabs>
      <w:wordWrap w:val="0"/>
      <w:overflowPunct w:val="0"/>
      <w:autoSpaceDE w:val="0"/>
      <w:spacing w:before="50" w:beforeLines="50" w:after="50" w:afterLines="50"/>
      <w:jc w:val="both"/>
      <w:textAlignment w:val="baseline"/>
      <w:outlineLvl w:val="1"/>
    </w:pPr>
    <w:rPr>
      <w:rFonts w:ascii="黑体" w:hAnsi="黑体" w:eastAsia="黑体" w:cs="Times New Roman"/>
      <w:kern w:val="21"/>
      <w:sz w:val="21"/>
      <w:lang w:val="en-US" w:eastAsia="zh-CN" w:bidi="ar-SA"/>
    </w:rPr>
  </w:style>
  <w:style w:type="paragraph" w:customStyle="1" w:styleId="23">
    <w:name w:val="附录一级条标题"/>
    <w:basedOn w:val="22"/>
    <w:next w:val="17"/>
    <w:qFormat/>
    <w:uiPriority w:val="0"/>
    <w:pPr>
      <w:numPr>
        <w:ilvl w:val="2"/>
      </w:numPr>
      <w:autoSpaceDN w:val="0"/>
      <w:ind w:left="0"/>
      <w:outlineLvl w:val="2"/>
    </w:pPr>
  </w:style>
  <w:style w:type="paragraph" w:customStyle="1" w:styleId="24">
    <w:name w:val="封面标准英文名称"/>
    <w:qFormat/>
    <w:uiPriority w:val="0"/>
    <w:pPr>
      <w:widowControl w:val="0"/>
      <w:spacing w:line="360" w:lineRule="exact"/>
      <w:jc w:val="center"/>
    </w:pPr>
    <w:rPr>
      <w:rFonts w:ascii="Times New Roman" w:hAnsi="Times New Roman" w:eastAsia="宋体" w:cs="Times New Roman"/>
      <w:sz w:val="28"/>
      <w:lang w:val="en-US" w:eastAsia="zh-CN" w:bidi="ar-SA"/>
    </w:rPr>
  </w:style>
  <w:style w:type="paragraph" w:customStyle="1" w:styleId="25">
    <w:name w:val="标准文件_正文标准名称"/>
    <w:qFormat/>
    <w:uiPriority w:val="0"/>
    <w:pPr>
      <w:spacing w:before="560" w:after="640" w:line="400" w:lineRule="exact"/>
      <w:jc w:val="center"/>
    </w:pPr>
    <w:rPr>
      <w:rFonts w:ascii="黑体" w:hAnsi="黑体" w:eastAsia="黑体" w:cs="Times New Roman"/>
      <w:kern w:val="2"/>
      <w:sz w:val="32"/>
      <w:szCs w:val="32"/>
      <w:lang w:val="en-US" w:eastAsia="zh-CN" w:bidi="ar-SA"/>
    </w:rPr>
  </w:style>
  <w:style w:type="paragraph" w:customStyle="1" w:styleId="26">
    <w:name w:val="标准文件_术语条一"/>
    <w:basedOn w:val="27"/>
    <w:next w:val="16"/>
    <w:qFormat/>
    <w:uiPriority w:val="0"/>
    <w:rPr>
      <w:rFonts w:ascii="黑体" w:hAnsi="黑体" w:eastAsia="黑体" w:cs="黑体"/>
    </w:rPr>
  </w:style>
  <w:style w:type="paragraph" w:customStyle="1" w:styleId="27">
    <w:name w:val="标准文件_一级无标题"/>
    <w:basedOn w:val="28"/>
    <w:qFormat/>
    <w:uiPriority w:val="0"/>
    <w:pPr>
      <w:spacing w:before="0" w:beforeLines="0" w:after="0" w:afterLines="0"/>
      <w:outlineLvl w:val="9"/>
    </w:pPr>
    <w:rPr>
      <w:rFonts w:ascii="宋体" w:eastAsia="宋体"/>
    </w:rPr>
  </w:style>
  <w:style w:type="paragraph" w:customStyle="1" w:styleId="28">
    <w:name w:val="标准文件_一级条标题"/>
    <w:basedOn w:val="29"/>
    <w:next w:val="16"/>
    <w:qFormat/>
    <w:uiPriority w:val="0"/>
    <w:pPr>
      <w:numPr>
        <w:ilvl w:val="2"/>
      </w:numPr>
      <w:spacing w:before="50" w:beforeLines="50" w:after="50" w:afterLines="50"/>
      <w:outlineLvl w:val="1"/>
    </w:pPr>
  </w:style>
  <w:style w:type="paragraph" w:customStyle="1" w:styleId="29">
    <w:name w:val="标准文件_章标题"/>
    <w:next w:val="16"/>
    <w:qFormat/>
    <w:uiPriority w:val="0"/>
    <w:pPr>
      <w:numPr>
        <w:ilvl w:val="1"/>
        <w:numId w:val="3"/>
      </w:numPr>
      <w:spacing w:before="100" w:beforeLines="100" w:after="100" w:afterLines="100"/>
      <w:jc w:val="both"/>
      <w:outlineLvl w:val="0"/>
    </w:pPr>
    <w:rPr>
      <w:rFonts w:ascii="黑体" w:hAnsi="Times New Roman" w:eastAsia="黑体" w:cs="Times New Roman"/>
      <w:sz w:val="21"/>
      <w:lang w:val="en-US" w:eastAsia="zh-CN" w:bidi="ar-SA"/>
    </w:rPr>
  </w:style>
  <w:style w:type="paragraph" w:customStyle="1" w:styleId="30">
    <w:name w:val="标准文件_二级条标题"/>
    <w:next w:val="16"/>
    <w:qFormat/>
    <w:uiPriority w:val="0"/>
    <w:pPr>
      <w:widowControl w:val="0"/>
      <w:numPr>
        <w:ilvl w:val="3"/>
        <w:numId w:val="3"/>
      </w:numPr>
      <w:spacing w:before="50" w:beforeLines="50" w:after="50" w:afterLines="50"/>
      <w:jc w:val="both"/>
      <w:outlineLvl w:val="2"/>
    </w:pPr>
    <w:rPr>
      <w:rFonts w:ascii="黑体" w:hAnsi="Times New Roman" w:eastAsia="黑体" w:cs="Times New Roman"/>
      <w:sz w:val="21"/>
      <w:lang w:val="en-US" w:eastAsia="zh-CN" w:bidi="ar-SA"/>
    </w:rPr>
  </w:style>
  <w:style w:type="paragraph" w:customStyle="1" w:styleId="31">
    <w:name w:val="标准文件_三级无标题"/>
    <w:basedOn w:val="32"/>
    <w:qFormat/>
    <w:uiPriority w:val="0"/>
    <w:pPr>
      <w:spacing w:before="0" w:beforeLines="0" w:after="0" w:afterLines="0"/>
      <w:outlineLvl w:val="9"/>
    </w:pPr>
    <w:rPr>
      <w:rFonts w:ascii="宋体" w:eastAsia="宋体"/>
    </w:rPr>
  </w:style>
  <w:style w:type="paragraph" w:customStyle="1" w:styleId="32">
    <w:name w:val="标准文件_三级条标题"/>
    <w:basedOn w:val="30"/>
    <w:next w:val="16"/>
    <w:qFormat/>
    <w:uiPriority w:val="0"/>
    <w:pPr>
      <w:widowControl/>
      <w:numPr>
        <w:ilvl w:val="4"/>
      </w:numPr>
      <w:outlineLvl w:val="3"/>
    </w:pPr>
  </w:style>
  <w:style w:type="paragraph" w:customStyle="1" w:styleId="33">
    <w:name w:val="标准文件_一级项"/>
    <w:qFormat/>
    <w:uiPriority w:val="0"/>
    <w:pPr>
      <w:numPr>
        <w:ilvl w:val="0"/>
        <w:numId w:val="4"/>
      </w:numPr>
    </w:pPr>
    <w:rPr>
      <w:rFonts w:ascii="宋体" w:hAnsi="Times New Roman" w:eastAsia="宋体" w:cs="Times New Roman"/>
      <w:sz w:val="21"/>
      <w:lang w:val="en-US" w:eastAsia="zh-CN" w:bidi="ar-SA"/>
    </w:rPr>
  </w:style>
  <w:style w:type="paragraph" w:customStyle="1" w:styleId="34">
    <w:name w:val="标准文件_字母编号列项（一级）"/>
    <w:qFormat/>
    <w:uiPriority w:val="0"/>
    <w:pPr>
      <w:numPr>
        <w:ilvl w:val="0"/>
        <w:numId w:val="5"/>
      </w:numPr>
      <w:jc w:val="both"/>
    </w:pPr>
    <w:rPr>
      <w:rFonts w:ascii="宋体" w:hAnsi="Times New Roman" w:eastAsia="宋体" w:cs="Times New Roman"/>
      <w:sz w:val="21"/>
      <w:lang w:val="en-US" w:eastAsia="zh-CN" w:bidi="ar-SA"/>
    </w:rPr>
  </w:style>
  <w:style w:type="paragraph" w:customStyle="1" w:styleId="35">
    <w:name w:val="标准文件_正文表标题"/>
    <w:next w:val="16"/>
    <w:qFormat/>
    <w:uiPriority w:val="0"/>
    <w:pPr>
      <w:numPr>
        <w:ilvl w:val="0"/>
        <w:numId w:val="6"/>
      </w:numPr>
      <w:tabs>
        <w:tab w:val="left" w:pos="0"/>
      </w:tabs>
      <w:spacing w:before="50" w:beforeLines="50" w:after="50" w:afterLines="50"/>
      <w:jc w:val="center"/>
    </w:pPr>
    <w:rPr>
      <w:rFonts w:ascii="黑体" w:hAnsi="Times New Roman" w:eastAsia="黑体" w:cs="Times New Roman"/>
      <w:sz w:val="21"/>
      <w:lang w:val="en-US" w:eastAsia="zh-CN" w:bidi="ar-SA"/>
    </w:rPr>
  </w:style>
  <w:style w:type="paragraph" w:customStyle="1" w:styleId="36">
    <w:name w:val="标准文件_表格"/>
    <w:basedOn w:val="16"/>
    <w:qFormat/>
    <w:uiPriority w:val="0"/>
    <w:pPr>
      <w:ind w:firstLine="0" w:firstLineChars="0"/>
      <w:jc w:val="center"/>
    </w:pPr>
    <w:rPr>
      <w:sz w:val="18"/>
    </w:rPr>
  </w:style>
  <w:style w:type="paragraph" w:customStyle="1" w:styleId="37">
    <w:name w:val="标准文件_正文公式"/>
    <w:basedOn w:val="1"/>
    <w:next w:val="38"/>
    <w:qFormat/>
    <w:uiPriority w:val="0"/>
    <w:pPr>
      <w:tabs>
        <w:tab w:val="center" w:pos="4678"/>
        <w:tab w:val="right" w:leader="middleDot" w:pos="9356"/>
      </w:tabs>
      <w:spacing w:line="240" w:lineRule="auto"/>
    </w:pPr>
    <w:rPr>
      <w:rFonts w:ascii="宋体" w:hAnsi="宋体"/>
    </w:rPr>
  </w:style>
  <w:style w:type="paragraph" w:customStyle="1" w:styleId="38">
    <w:name w:val="标准文件_标准正文"/>
    <w:basedOn w:val="1"/>
    <w:next w:val="16"/>
    <w:qFormat/>
    <w:uiPriority w:val="0"/>
    <w:pPr>
      <w:snapToGrid w:val="0"/>
      <w:ind w:firstLine="200" w:firstLineChars="200"/>
    </w:pPr>
    <w:rPr>
      <w:kern w:val="0"/>
    </w:rPr>
  </w:style>
  <w:style w:type="paragraph" w:customStyle="1" w:styleId="39">
    <w:name w:val="标准文件_附录表标题"/>
    <w:next w:val="16"/>
    <w:qFormat/>
    <w:uiPriority w:val="0"/>
    <w:pPr>
      <w:numPr>
        <w:ilvl w:val="1"/>
        <w:numId w:val="7"/>
      </w:numPr>
      <w:adjustRightInd w:val="0"/>
      <w:snapToGrid w:val="0"/>
      <w:spacing w:before="50" w:beforeLines="50" w:after="50" w:afterLines="50"/>
      <w:jc w:val="center"/>
      <w:textAlignment w:val="baseline"/>
    </w:pPr>
    <w:rPr>
      <w:rFonts w:ascii="黑体" w:hAnsi="Times New Roman" w:eastAsia="黑体" w:cs="Times New Roman"/>
      <w:kern w:val="21"/>
      <w:sz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4" Type="http://schemas.openxmlformats.org/officeDocument/2006/relationships/glossaryDocument" Target="glossary/document.xml"/><Relationship Id="rId23" Type="http://schemas.openxmlformats.org/officeDocument/2006/relationships/fontTable" Target="fontTable.xml"/><Relationship Id="rId22" Type="http://schemas.openxmlformats.org/officeDocument/2006/relationships/customXml" Target="../customXml/item2.xml"/><Relationship Id="rId21" Type="http://schemas.openxmlformats.org/officeDocument/2006/relationships/numbering" Target="numbering.xml"/><Relationship Id="rId20" Type="http://schemas.openxmlformats.org/officeDocument/2006/relationships/customXml" Target="../customXml/item1.xml"/><Relationship Id="rId2" Type="http://schemas.openxmlformats.org/officeDocument/2006/relationships/settings" Target="settings.xml"/><Relationship Id="rId19" Type="http://schemas.openxmlformats.org/officeDocument/2006/relationships/image" Target="media/image3.jpeg"/><Relationship Id="rId18" Type="http://schemas.openxmlformats.org/officeDocument/2006/relationships/image" Target="media/image2.png"/><Relationship Id="rId17" Type="http://schemas.openxmlformats.org/officeDocument/2006/relationships/theme" Target="theme/theme1.xml"/><Relationship Id="rId16" Type="http://schemas.openxmlformats.org/officeDocument/2006/relationships/footer" Target="footer7.xml"/><Relationship Id="rId15" Type="http://schemas.openxmlformats.org/officeDocument/2006/relationships/header" Target="header7.xml"/><Relationship Id="rId14" Type="http://schemas.openxmlformats.org/officeDocument/2006/relationships/footer" Target="footer6.xml"/><Relationship Id="rId13" Type="http://schemas.openxmlformats.org/officeDocument/2006/relationships/footer" Target="footer5.xml"/><Relationship Id="rId12" Type="http://schemas.openxmlformats.org/officeDocument/2006/relationships/header" Target="header6.xml"/><Relationship Id="rId11" Type="http://schemas.openxmlformats.org/officeDocument/2006/relationships/header" Target="header5.xml"/><Relationship Id="rId10" Type="http://schemas.openxmlformats.org/officeDocument/2006/relationships/footer" Target="footer4.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s>
</file>

<file path=word/_rels/header7.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38b498ac-57e3-4d70-a69c-8a6c8c9c2d80}"/>
        <w:style w:val=""/>
        <w:category>
          <w:name w:val="常规"/>
          <w:gallery w:val="placeholder"/>
        </w:category>
        <w:types>
          <w:type w:val="bbPlcHdr"/>
        </w:types>
        <w:behaviors>
          <w:behavior w:val="content"/>
        </w:behaviors>
        <w:description w:val=""/>
        <w:guid w:val="{38b498ac-57e3-4d70-a69c-8a6c8c9c2d80}"/>
      </w:docPartPr>
      <w:docPartBody>
        <w:p w14:paraId="251BB738">
          <w:pPr>
            <w:pStyle w:val="2"/>
          </w:pPr>
          <w:r>
            <w:rPr>
              <w:rStyle w:val="3"/>
              <w:rFonts w:hint="eastAsia"/>
            </w:rPr>
            <w:t>单击或点击此处输入文字。</w:t>
          </w:r>
        </w:p>
      </w:docPartBody>
    </w:docPart>
    <w:docPart>
      <w:docPartPr>
        <w:name w:val="{28f67b24-bf02-4eb0-985a-56460364374e}"/>
        <w:style w:val=""/>
        <w:category>
          <w:name w:val="常规"/>
          <w:gallery w:val="placeholder"/>
        </w:category>
        <w:types>
          <w:type w:val="bbPlcHdr"/>
        </w:types>
        <w:behaviors>
          <w:behavior w:val="content"/>
        </w:behaviors>
        <w:description w:val=""/>
        <w:guid w:val="{28f67b24-bf02-4eb0-985a-56460364374e}"/>
      </w:docPartPr>
      <w:docPartBody>
        <w:p w14:paraId="20C71726">
          <w:pPr>
            <w:pStyle w:val="4"/>
          </w:pPr>
          <w:r>
            <w:rPr>
              <w:rStyle w:val="3"/>
              <w:rFonts w:hint="eastAsia"/>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compat>
    <w:useFELayout/>
    <w:splitPgBreakAndParaMark/>
    <w:compatSetting w:name="compatibilityMode" w:uri="http://schemas.microsoft.com/office/word" w:val="14"/>
  </w:compat>
  <w:rsids>
    <w:rsidRoot w:val="0000000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iPriority="1" w:name="Default Paragraph Font"/>
    <w:lsdException w:qFormat="1" w:unhideWhenUsed="0" w:uiPriority="99" w:name="Placeholder Text"/>
  </w:latentStyles>
  <w:style w:type="character" w:default="1" w:styleId="1">
    <w:name w:val="Default Paragraph Font"/>
    <w:semiHidden/>
    <w:unhideWhenUsed/>
    <w:qFormat/>
    <w:uiPriority w:val="1"/>
  </w:style>
  <w:style w:type="paragraph" w:customStyle="1" w:styleId="2">
    <w:name w:val="9B3BEDB4F2724F9D81F4444A5CCE266D"/>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character" w:styleId="3">
    <w:name w:val="Placeholder Text"/>
    <w:basedOn w:val="1"/>
    <w:semiHidden/>
    <w:qFormat/>
    <w:uiPriority w:val="99"/>
    <w:rPr>
      <w:color w:val="808080"/>
    </w:rPr>
  </w:style>
  <w:style w:type="paragraph" w:customStyle="1" w:styleId="4">
    <w:name w:val="904DA047CBB94B408D5F9DC8398F0F02"/>
    <w:qFormat/>
    <w:uiPriority w:val="0"/>
    <w:pPr>
      <w:widowControl w:val="0"/>
      <w:jc w:val="both"/>
    </w:pPr>
    <w:rPr>
      <w:rFonts w:asciiTheme="minorHAnsi" w:hAnsiTheme="minorHAnsi" w:eastAsiaTheme="minorEastAsia" w:cstheme="minorBidi"/>
      <w:kern w:val="2"/>
      <w:sz w:val="21"/>
      <w:szCs w:val="22"/>
      <w:lang w:val="en-US" w:eastAsia="zh-CN" w:bidi="ar-SA"/>
    </w:rPr>
  </w:style>
</w:style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8cb11e8e-dd13-409f-8d28-54e14a9427e5</errorID>
      <errorWord>获取</errorWord>
      <group>L1_Grammar</group>
      <groupName>语法问题</groupName>
      <ability>L2_Grammar</ability>
      <abilityName>语法错误</abilityName>
      <candidateList>
        <item>联系获取</item>
      </candidateList>
      <explain/>
      <paraID> 9F1F0D1</paraID>
      <start>96</start>
      <end>98</end>
      <status>unmodified</status>
      <modifiedWord/>
      <trackRevisions>false</trackRevisions>
    </reviewItem>
    <reviewItem>
      <errorID>8fb309d5-6d1c-4903-a6f0-28d00498e0b4</errorID>
      <errorWord>,</errorWord>
      <group>L1_Format</group>
      <groupName>格式问题</groupName>
      <ability>L2_HalfPunc_CN</ability>
      <abilityName>全半角问题</abilityName>
      <candidateList>
        <item>，</item>
      </candidateList>
      <explain>文本全半角错误。</explain>
      <paraID>53D15FF0</paraID>
      <start>27</start>
      <end>28</end>
      <status>unmodified</status>
      <modifiedWord/>
      <trackRevisions>false</trackRevisions>
    </reviewItem>
    <reviewItem>
      <errorID>0cbecdde-ddb7-4179-9b0a-eaaa3e3f3b44</errorID>
      <errorWord>,</errorWord>
      <group>L1_Format</group>
      <groupName>格式问题</groupName>
      <ability>L2_HalfPunc_CN</ability>
      <abilityName>全半角问题</abilityName>
      <candidateList>
        <item>，</item>
      </candidateList>
      <explain>文本全半角错误。</explain>
      <paraID>53D15FF0</paraID>
      <start>53</start>
      <end>54</end>
      <status>unmodified</status>
      <modifiedWord/>
      <trackRevisions>false</trackRevisions>
    </reviewItem>
    <reviewItem>
      <errorID>58e76106-ac6d-407c-8e3a-712a1722e047</errorID>
      <errorWord>,</errorWord>
      <group>L1_Format</group>
      <groupName>格式问题</groupName>
      <ability>L2_HalfPunc_CN</ability>
      <abilityName>全半角问题</abilityName>
      <candidateList>
        <item>，</item>
      </candidateList>
      <explain>文本全半角错误。</explain>
      <paraID>21E78E74</paraID>
      <start>37</start>
      <end>38</end>
      <status>unmodified</status>
      <modifiedWord/>
      <trackRevisions>false</trackRevisions>
    </reviewItem>
    <reviewItem>
      <errorID>7751c93b-838b-47c6-a201-cad629702752</errorID>
      <errorWord>：</errorWord>
      <group>L1_Punc</group>
      <groupName>标点问题</groupName>
      <ability>L2_Punc_CN</ability>
      <abilityName>标点符号问题</abilityName>
      <candidateList>
        <item/>
      </candidateList>
      <explain/>
      <paraID> F236707</paraID>
      <start>10</start>
      <end>11</end>
      <status>unmodified</status>
      <modifiedWord/>
      <trackRevisions>false</trackRevisions>
    </reviewItem>
    <reviewItem>
      <errorID>682fc4f6-41ac-4287-9cf1-422b491ed88f</errorID>
      <errorWord>包括是否</errorWord>
      <group>L1_Grammar</group>
      <groupName>语法问题</groupName>
      <ability>L2_Grammar</ability>
      <abilityName>语法错误</abilityName>
      <candidateList>
        <item>包括</item>
      </candidateList>
      <explain/>
      <paraID>72C38023</paraID>
      <start>38</start>
      <end>42</end>
      <status>unmodified</status>
      <modifiedWord/>
      <trackRevisions>false</trackRevisions>
    </reviewItem>
    <reviewItem>
      <errorID>287bfd2a-55af-434f-88f4-f95c170a56eb</errorID>
      <errorWord>；是否</errorWord>
      <group>L1_Grammar</group>
      <groupName>语法问题</groupName>
      <ability>L2_Grammar</ability>
      <abilityName>语法错误</abilityName>
      <candidateList>
        <item>；</item>
      </candidateList>
      <explain/>
      <paraID>72C38023</paraID>
      <start>79</start>
      <end>82</end>
      <status>unmodified</status>
      <modifiedWord/>
      <trackRevisions>false</trackRevisions>
    </reviewItem>
    <reviewItem>
      <errorID>0d30310b-ae86-4541-951f-13c720d0175c</errorID>
      <errorWord>制定计划</errorWord>
      <group>L1_Word</group>
      <groupName>字词问题</groupName>
      <ability>L2_Typo</ability>
      <abilityName>字词错误</abilityName>
      <candidateList>
        <item>制订计划</item>
      </candidateList>
      <explain/>
      <paraID>12D18E6D</paraID>
      <start>3</start>
      <end>7</end>
      <status>unmodified</status>
      <modifiedWord/>
      <trackRevisions>false</trackRevisions>
    </reviewItem>
    <reviewItem>
      <errorID>ec008781-0a56-48c5-88d0-9bce660749d8</errorID>
      <errorWord> </errorWord>
      <group>L1_Punc</group>
      <groupName>标点问题</groupName>
      <ability>L2_Punc_CN</ability>
      <abilityName>标点符号问题</abilityName>
      <candidateList>
        <item/>
      </candidateList>
      <explain>此处空格冗余，建议删除。</explain>
      <paraID>6D4DB327</paraID>
      <start>39</start>
      <end>40</end>
      <status>unmodified</status>
      <modifiedWord/>
      <trackRevisions>false</trackRevisions>
    </reviewItem>
    <reviewItem>
      <errorID>30321820-35a8-4fba-82b0-ec29bf2d2c96</errorID>
      <errorWord> </errorWord>
      <group>L1_Punc</group>
      <groupName>标点问题</groupName>
      <ability>L2_Punc_CN</ability>
      <abilityName>标点符号问题</abilityName>
      <candidateList>
        <item/>
      </candidateList>
      <explain>此处空格冗余，建议删除。</explain>
      <paraID>6D4DB327</paraID>
      <start>46</start>
      <end>47</end>
      <status>unmodified</status>
      <modifiedWord/>
      <trackRevisions>false</trackRevisions>
    </reviewItem>
    <reviewItem>
      <errorID>ea921d40-6b6f-4382-a8c3-d20c97c6d0fe</errorID>
      <errorWord>  </errorWord>
      <group>L1_Punc</group>
      <groupName>标点问题</groupName>
      <ability>L2_Punc_CN</ability>
      <abilityName>标点符号问题</abilityName>
      <candidateList>
        <item/>
      </candidateList>
      <explain>此处空格冗余，建议删除。</explain>
      <paraID>7F874062</paraID>
      <start>9</start>
      <end>11</end>
      <status>unmodified</status>
      <modifiedWord/>
      <trackRevisions>false</trackRevisions>
    </reviewItem>
    <reviewItem>
      <errorID>98d6bd54-ba4c-4059-9a93-fd6dabc1dee7</errorID>
      <errorWord>（</errorWord>
      <group>L1_Format</group>
      <groupName>格式问题</groupName>
      <ability>L2_HalfPunc_CN</ability>
      <abilityName>全半角问题</abilityName>
      <candidateList>
        <item>(</item>
      </candidateList>
      <explain>文本全半角错误。</explain>
      <paraID>157E8561</paraID>
      <start>0</start>
      <end>1</end>
      <status>unmodified</status>
      <modifiedWord/>
      <trackRevisions>false</trackRevisions>
    </reviewItem>
    <reviewItem>
      <errorID>c3b54136-52d3-43d2-abe0-f4c9298cbdd8</errorID>
      <errorWord>）</errorWord>
      <group>L1_Format</group>
      <groupName>格式问题</groupName>
      <ability>L2_HalfPunc_CN</ability>
      <abilityName>全半角问题</abilityName>
      <candidateList>
        <item>)</item>
      </candidateList>
      <explain>文本全半角错误。</explain>
      <paraID>157E8561</paraID>
      <start>3</start>
      <end>4</end>
      <status>unmodified</status>
      <modifiedWord/>
      <trackRevisions>false</trackRevisions>
    </reviewItem>
    <reviewItem>
      <errorID>6d9e5257-d8a0-4227-b448-4065bfef5d68</errorID>
      <errorWord>对于</errorWord>
      <group>L1_Word</group>
      <groupName>字词问题</groupName>
      <ability>L2_Typo</ability>
      <abilityName>字词错误</abilityName>
      <candidateList>
        <item>对</item>
      </candidateList>
      <explain>（對）duì❶回答：～答｜无言以～。❷〈动〉对待；对付：～事不～人｜～症下药｜刀～刀，枪～枪。❸〈动〉朝着；向着（常跟“着”）：～着镜子理理头发｜枪口～着敌人。❹二者相对；彼此相向：～调｜～流｜～立｜～抗。❺对面的；敌对的：～岸｜～方｜～手｜作～。❻〈动〉使两个东西配合或接触：～对子｜把门～上｜～个火儿。</explain>
      <paraID>37DD23B0</paraID>
      <start>31</start>
      <end>33</end>
      <status>unmodified</status>
      <modifiedWord/>
      <trackRevisions>false</trackRevisions>
    </reviewItem>
    <reviewItem>
      <errorID>571d293c-5956-46f1-bdc2-d160f75d5452</errorID>
      <errorWord>（</errorWord>
      <group>L1_Format</group>
      <groupName>格式问题</groupName>
      <ability>L2_HalfPunc_CN</ability>
      <abilityName>全半角问题</abilityName>
      <candidateList>
        <item>(</item>
      </candidateList>
      <explain>文本全半角错误。</explain>
      <paraID>61849B65</paraID>
      <start>0</start>
      <end>1</end>
      <status>unmodified</status>
      <modifiedWord/>
      <trackRevisions>false</trackRevisions>
    </reviewItem>
    <reviewItem>
      <errorID>d0e75b13-5607-4768-bcd3-ed0813bcfcb1</errorID>
      <errorWord>）</errorWord>
      <group>L1_Format</group>
      <groupName>格式问题</groupName>
      <ability>L2_HalfPunc_CN</ability>
      <abilityName>全半角问题</abilityName>
      <candidateList>
        <item>)</item>
      </candidateList>
      <explain>文本全半角错误。</explain>
      <paraID>61849B65</paraID>
      <start>3</start>
      <end>4</end>
      <status>unmodified</status>
      <modifiedWord/>
      <trackRevisions>false</trackRevisions>
    </reviewItem>
    <reviewItem>
      <errorID>ad5441c2-16f7-4c91-9362-2c4fb7345fcc</errorID>
      <errorWord>（</errorWord>
      <group>L1_Format</group>
      <groupName>格式问题</groupName>
      <ability>L2_HalfPunc_CN</ability>
      <abilityName>全半角问题</abilityName>
      <candidateList>
        <item>(</item>
      </candidateList>
      <explain>文本全半角错误。</explain>
      <paraID> DEEA4A3</paraID>
      <start>0</start>
      <end>1</end>
      <status>unmodified</status>
      <modifiedWord/>
      <trackRevisions>false</trackRevisions>
    </reviewItem>
    <reviewItem>
      <errorID>de3a81c1-9364-4fe4-83c9-749e0e8e3044</errorID>
      <errorWord>）</errorWord>
      <group>L1_Format</group>
      <groupName>格式问题</groupName>
      <ability>L2_HalfPunc_CN</ability>
      <abilityName>全半角问题</abilityName>
      <candidateList>
        <item>)</item>
      </candidateList>
      <explain>文本全半角错误。</explain>
      <paraID> DEEA4A3</paraID>
      <start>3</start>
      <end>4</end>
      <status>unmodified</status>
      <modifiedWord/>
      <trackRevisions>false</trackRevisions>
    </reviewItem>
    <reviewItem>
      <errorID>952065f3-f491-436b-85f6-31cb026e69a5</errorID>
      <errorWord>；</errorWord>
      <group>L1_Word</group>
      <groupName>字词问题</groupName>
      <ability>L2_Typo</ability>
      <abilityName>字词错误</abilityName>
      <candidateList>
        <item>；在</item>
      </candidateList>
      <explain/>
      <paraID>6640DA86</paraID>
      <start>123</start>
      <end>124</end>
      <status>unmodified</status>
      <modifiedWord/>
      <trackRevisions>false</trackRevisions>
    </reviewItem>
    <reviewItem>
      <errorID>d0cb770c-2b1f-4b6a-bea6-0ab86c089d9b</errorID>
      <errorWord>（</errorWord>
      <group>L1_Format</group>
      <groupName>格式问题</groupName>
      <ability>L2_HalfPunc_CN</ability>
      <abilityName>全半角问题</abilityName>
      <candidateList>
        <item>(</item>
      </candidateList>
      <explain>文本全半角错误。</explain>
      <paraID> 6522577</paraID>
      <start>0</start>
      <end>1</end>
      <status>unmodified</status>
      <modifiedWord/>
      <trackRevisions>false</trackRevisions>
    </reviewItem>
    <reviewItem>
      <errorID>976a54e7-7e02-4974-91b9-5b6dee67053e</errorID>
      <errorWord>）</errorWord>
      <group>L1_Format</group>
      <groupName>格式问题</groupName>
      <ability>L2_HalfPunc_CN</ability>
      <abilityName>全半角问题</abilityName>
      <candidateList>
        <item>)</item>
      </candidateList>
      <explain>文本全半角错误。</explain>
      <paraID> 6522577</paraID>
      <start>3</start>
      <end>4</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b8f3165-ea5a-447b-ab93-fdcad33b6c28}">
  <ds:schemaRefs/>
</ds:datastoreItem>
</file>

<file path=docProps/app.xml><?xml version="1.0" encoding="utf-8"?>
<Properties xmlns="http://schemas.openxmlformats.org/officeDocument/2006/extended-properties" xmlns:vt="http://schemas.openxmlformats.org/officeDocument/2006/docPropsVTypes">
  <Template>Normal.dotm</Template>
  <Pages>10</Pages>
  <Words>2616</Words>
  <Characters>2864</Characters>
  <Lines>0</Lines>
  <Paragraphs>0</Paragraphs>
  <TotalTime>3</TotalTime>
  <ScaleCrop>false</ScaleCrop>
  <LinksUpToDate>false</LinksUpToDate>
  <CharactersWithSpaces>3010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2025-11-04T06:40:00Z</dcterms:created>
  <dc:creator>沐雨轻澄</dc:creator>
  <cp:lastModifiedBy>王珏旻</cp:lastModifiedBy>
  <dcterms:modified xsi:type="dcterms:W3CDTF">2026-08-07T02:06:07Z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6C60CBF0D5F749A8A42A308EE6317776_13</vt:lpwstr>
  </property>
  <property fmtid="{D5CDD505-2E9C-101B-9397-08002B2CF9AE}" pid="4" name="KSOTemplateDocerSaveRecord">
    <vt:lpwstr>eyJoZGlkIjoiMmEyMzZkODUzM2ZlNWNmY2Y1YjNjZjcxYjk1ODJjYTciLCJ1c2VySWQiOiIzODk1NjY5ODUifQ==</vt:lpwstr>
  </property>
</Properties>
</file>