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1FDDDA">
      <w:pPr>
        <w:jc w:val="right"/>
        <w:rPr>
          <w:rFonts w:hint="eastAsia" w:ascii="黑体" w:hAnsi="黑体" w:eastAsia="黑体" w:cs="黑体"/>
          <w:kern w:val="0"/>
        </w:rPr>
      </w:pPr>
      <w:r>
        <w:drawing>
          <wp:inline distT="0" distB="0" distL="114300" distR="114300">
            <wp:extent cx="744855" cy="759460"/>
            <wp:effectExtent l="0" t="0" r="762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extLst>
                        <a:ext uri="{28A0092B-C50C-407E-A947-70E740481C1C}">
                          <a14:useLocalDpi xmlns:a14="http://schemas.microsoft.com/office/drawing/2010/main" val="0"/>
                        </a:ext>
                      </a:extLst>
                    </a:blip>
                    <a:srcRect l="18647" t="14169" r="77054" b="78038"/>
                    <a:stretch>
                      <a:fillRect/>
                    </a:stretch>
                  </pic:blipFill>
                  <pic:spPr>
                    <a:xfrm>
                      <a:off x="0" y="0"/>
                      <a:ext cx="744855" cy="759460"/>
                    </a:xfrm>
                    <a:prstGeom prst="rect">
                      <a:avLst/>
                    </a:prstGeom>
                    <a:ln>
                      <a:noFill/>
                    </a:ln>
                  </pic:spPr>
                </pic:pic>
              </a:graphicData>
            </a:graphic>
          </wp:inline>
        </w:drawing>
      </w:r>
    </w:p>
    <w:p w14:paraId="148EC233">
      <w:pPr>
        <w:jc w:val="right"/>
        <w:rPr>
          <w:rFonts w:ascii="Times New Roman" w:hAnsi="Times New Roman" w:eastAsia="微软雅黑" w:cs="Times New Roman"/>
          <w:b/>
          <w:sz w:val="28"/>
          <w:szCs w:val="28"/>
        </w:rPr>
      </w:pPr>
      <w:r>
        <w:rPr>
          <w:rFonts w:hint="eastAsia" w:ascii="Times New Roman" w:hAnsi="Times New Roman" w:eastAsia="方正小标宋简体" w:cs="Times New Roman"/>
          <w:spacing w:val="240"/>
          <w:kern w:val="0"/>
          <w:sz w:val="72"/>
          <w:szCs w:val="72"/>
          <w:fitText w:val="9360" w:id="1328446230"/>
        </w:rPr>
        <w:t>团</w:t>
      </w:r>
      <w:r>
        <w:rPr>
          <w:rFonts w:ascii="Times New Roman" w:hAnsi="Times New Roman" w:eastAsia="方正小标宋简体" w:cs="Times New Roman"/>
          <w:spacing w:val="240"/>
          <w:kern w:val="0"/>
          <w:sz w:val="72"/>
          <w:szCs w:val="72"/>
          <w:fitText w:val="9360" w:id="1328446230"/>
        </w:rPr>
        <w:t xml:space="preserve">  </w:t>
      </w:r>
      <w:r>
        <w:rPr>
          <w:rFonts w:hint="eastAsia" w:ascii="Times New Roman" w:hAnsi="Times New Roman" w:eastAsia="方正小标宋简体" w:cs="Times New Roman"/>
          <w:spacing w:val="240"/>
          <w:kern w:val="0"/>
          <w:sz w:val="72"/>
          <w:szCs w:val="72"/>
          <w:fitText w:val="9360" w:id="1328446230"/>
        </w:rPr>
        <w:t>体</w:t>
      </w:r>
      <w:r>
        <w:rPr>
          <w:rFonts w:ascii="Times New Roman" w:hAnsi="Times New Roman" w:eastAsia="方正小标宋简体" w:cs="Times New Roman"/>
          <w:spacing w:val="240"/>
          <w:kern w:val="0"/>
          <w:sz w:val="72"/>
          <w:szCs w:val="72"/>
          <w:fitText w:val="9360" w:id="1328446230"/>
        </w:rPr>
        <w:t xml:space="preserve">  </w:t>
      </w:r>
      <w:r>
        <w:rPr>
          <w:rFonts w:hint="eastAsia" w:ascii="Times New Roman" w:hAnsi="Times New Roman" w:eastAsia="方正小标宋简体" w:cs="Times New Roman"/>
          <w:spacing w:val="240"/>
          <w:kern w:val="0"/>
          <w:sz w:val="72"/>
          <w:szCs w:val="72"/>
          <w:fitText w:val="9360" w:id="1328446230"/>
        </w:rPr>
        <w:t>标</w:t>
      </w:r>
      <w:r>
        <w:rPr>
          <w:rFonts w:ascii="Times New Roman" w:hAnsi="Times New Roman" w:eastAsia="方正小标宋简体" w:cs="Times New Roman"/>
          <w:spacing w:val="240"/>
          <w:kern w:val="0"/>
          <w:sz w:val="72"/>
          <w:szCs w:val="72"/>
          <w:fitText w:val="9360" w:id="1328446230"/>
        </w:rPr>
        <w:t xml:space="preserve">  </w:t>
      </w:r>
      <w:r>
        <w:rPr>
          <w:rFonts w:hint="eastAsia" w:ascii="Times New Roman" w:hAnsi="Times New Roman" w:eastAsia="方正小标宋简体" w:cs="Times New Roman"/>
          <w:spacing w:val="0"/>
          <w:kern w:val="0"/>
          <w:sz w:val="72"/>
          <w:szCs w:val="72"/>
          <w:fitText w:val="9360" w:id="1328446230"/>
        </w:rPr>
        <w:t>准</w:t>
      </w:r>
      <w:bookmarkStart w:id="0" w:name="_Hlk203494660"/>
      <w:r>
        <w:rPr>
          <w:rFonts w:ascii="Times New Roman" w:hAnsi="Times New Roman" w:eastAsia="方正小标宋简体" w:cs="Times New Roman"/>
          <w:b/>
          <w:spacing w:val="6"/>
          <w:sz w:val="28"/>
          <w:szCs w:val="28"/>
        </w:rPr>
        <w:t>T/CECA-</w:t>
      </w:r>
      <w:r>
        <w:rPr>
          <w:rFonts w:hint="eastAsia" w:ascii="Times New Roman" w:hAnsi="Times New Roman" w:eastAsia="方正小标宋简体" w:cs="Times New Roman"/>
          <w:b/>
          <w:spacing w:val="6"/>
          <w:sz w:val="28"/>
          <w:szCs w:val="28"/>
        </w:rPr>
        <w:t>G XXXX</w:t>
      </w:r>
      <w:r>
        <w:rPr>
          <w:rFonts w:ascii="Times New Roman" w:hAnsi="Times New Roman" w:eastAsia="微软雅黑" w:cs="Times New Roman"/>
          <w:b/>
          <w:spacing w:val="6"/>
          <w:sz w:val="28"/>
          <w:szCs w:val="28"/>
        </w:rPr>
        <w:t>—20</w:t>
      </w:r>
      <w:bookmarkEnd w:id="0"/>
      <w:r>
        <w:rPr>
          <w:rFonts w:hint="eastAsia" w:ascii="Times New Roman" w:hAnsi="Times New Roman" w:eastAsia="微软雅黑" w:cs="Times New Roman"/>
          <w:b/>
          <w:spacing w:val="6"/>
          <w:sz w:val="28"/>
          <w:szCs w:val="28"/>
        </w:rPr>
        <w:t>XX</w:t>
      </w:r>
    </w:p>
    <w:p w14:paraId="43BCD560">
      <w:pPr>
        <w:rPr>
          <w:rFonts w:hint="eastAsia" w:ascii="黑体" w:hAnsi="黑体" w:eastAsia="黑体" w:cs="黑体"/>
          <w:sz w:val="48"/>
          <w:szCs w:val="48"/>
        </w:rPr>
      </w:pPr>
      <w:r>
        <w:rPr>
          <w:rFonts w:hint="eastAsia" w:ascii="黑体" w:hAnsi="黑体" w:eastAsia="黑体" w:cs="黑体"/>
          <w:sz w:val="48"/>
          <w:szCs w:val="48"/>
        </w:rPr>
        <mc:AlternateContent>
          <mc:Choice Requires="wps">
            <w:drawing>
              <wp:anchor distT="0" distB="0" distL="114300" distR="114300" simplePos="0" relativeHeight="251660288" behindDoc="0" locked="0" layoutInCell="1" allowOverlap="1">
                <wp:simplePos x="0" y="0"/>
                <wp:positionH relativeFrom="column">
                  <wp:posOffset>-102870</wp:posOffset>
                </wp:positionH>
                <wp:positionV relativeFrom="paragraph">
                  <wp:posOffset>12700</wp:posOffset>
                </wp:positionV>
                <wp:extent cx="6098540" cy="0"/>
                <wp:effectExtent l="0" t="4445" r="6985" b="5080"/>
                <wp:wrapNone/>
                <wp:docPr id="2" name="自选图形 2"/>
                <wp:cNvGraphicFramePr/>
                <a:graphic xmlns:a="http://schemas.openxmlformats.org/drawingml/2006/main">
                  <a:graphicData uri="http://schemas.microsoft.com/office/word/2010/wordprocessingShape">
                    <wps:wsp>
                      <wps:cNvCnPr/>
                      <wps:spPr>
                        <a:xfrm>
                          <a:off x="0" y="0"/>
                          <a:ext cx="6098540"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2" o:spid="_x0000_s1026" o:spt="32" type="#_x0000_t32" style="position:absolute;left:0pt;margin-left:-8.1pt;margin-top:1pt;height:0pt;width:480.2pt;z-index:251660288;mso-width-relative:page;mso-height-relative:page;" filled="f" stroked="t" coordsize="21600,21600" o:gfxdata="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kzi9e1AAAAAcBAAAPAAAAAAAAAAEAIAAAACIAAABkcnMvZG93bnJldi54bWxQSwECFAAU&#10;AAAACACHTuJAfaGjefUBAADjAwAADgAAAAAAAAABACAAAAAjAQAAZHJzL2Uyb0RvYy54bWxQSwUG&#10;AAAAAAYABgBZAQAAigUAAAAA&#10;">
                <v:fill on="f" focussize="0,0"/>
                <v:stroke color="#000000" joinstyle="round"/>
                <v:imagedata o:title=""/>
                <o:lock v:ext="edit" aspectratio="f"/>
              </v:shape>
            </w:pict>
          </mc:Fallback>
        </mc:AlternateContent>
      </w:r>
    </w:p>
    <w:p w14:paraId="3E529C37">
      <w:pPr>
        <w:rPr>
          <w:rFonts w:hint="eastAsia" w:ascii="黑体" w:hAnsi="黑体" w:eastAsia="黑体" w:cs="黑体"/>
          <w:sz w:val="48"/>
          <w:szCs w:val="48"/>
        </w:rPr>
      </w:pPr>
    </w:p>
    <w:p w14:paraId="023FC9BE">
      <w:pPr>
        <w:rPr>
          <w:rFonts w:hint="eastAsia" w:ascii="黑体" w:hAnsi="黑体" w:eastAsia="黑体" w:cs="黑体"/>
          <w:sz w:val="48"/>
          <w:szCs w:val="48"/>
        </w:rPr>
      </w:pPr>
    </w:p>
    <w:p w14:paraId="642B36BE">
      <w:pPr>
        <w:rPr>
          <w:rFonts w:hint="eastAsia" w:ascii="黑体" w:hAnsi="黑体" w:eastAsia="黑体" w:cs="黑体"/>
          <w:sz w:val="48"/>
          <w:szCs w:val="48"/>
        </w:rPr>
      </w:pPr>
    </w:p>
    <w:p w14:paraId="68E0041F">
      <w:pPr>
        <w:widowControl/>
        <w:spacing w:before="156" w:beforeLines="50" w:line="360" w:lineRule="auto"/>
        <w:jc w:val="center"/>
        <w:rPr>
          <w:rFonts w:ascii="Times New Roman" w:hAnsi="Times New Roman" w:eastAsia="黑体" w:cs="Times New Roman"/>
          <w:bCs/>
          <w:sz w:val="52"/>
          <w:szCs w:val="52"/>
        </w:rPr>
      </w:pPr>
      <w:r>
        <w:rPr>
          <w:rFonts w:ascii="Times New Roman" w:hAnsi="Times New Roman" w:eastAsia="黑体" w:cs="Times New Roman"/>
          <w:bCs/>
          <w:sz w:val="52"/>
          <w:szCs w:val="52"/>
        </w:rPr>
        <w:t>零碳散粮港口创建与评价技术规范</w:t>
      </w:r>
    </w:p>
    <w:p w14:paraId="750AF5B8">
      <w:pPr>
        <w:widowControl/>
        <w:spacing w:before="156" w:beforeLines="50" w:line="360" w:lineRule="auto"/>
        <w:jc w:val="center"/>
        <w:rPr>
          <w:rFonts w:ascii="Times New Roman" w:hAnsi="Times New Roman" w:eastAsia="黑体" w:cs="Times New Roman"/>
          <w:bCs/>
          <w:sz w:val="28"/>
          <w:szCs w:val="28"/>
        </w:rPr>
      </w:pPr>
      <w:r>
        <w:rPr>
          <w:rFonts w:hint="eastAsia" w:ascii="Times New Roman" w:hAnsi="Times New Roman" w:eastAsia="黑体" w:cs="Times New Roman"/>
          <w:bCs/>
          <w:sz w:val="28"/>
          <w:szCs w:val="28"/>
        </w:rPr>
        <w:t>Technical Specification for Development and Evaluation of Zero-Carbon Bulk Grain Ports</w:t>
      </w:r>
    </w:p>
    <w:p w14:paraId="40819997">
      <w:pPr>
        <w:widowControl/>
        <w:spacing w:before="156" w:beforeLines="50" w:line="360" w:lineRule="auto"/>
        <w:jc w:val="center"/>
        <w:rPr>
          <w:rFonts w:hint="eastAsia" w:ascii="宋体" w:hAnsi="宋体" w:eastAsia="宋体" w:cs="宋体"/>
          <w:bCs/>
          <w:color w:val="000000" w:themeColor="text1"/>
          <w:sz w:val="28"/>
          <w:szCs w:val="28"/>
          <w14:textFill>
            <w14:solidFill>
              <w14:schemeClr w14:val="tx1"/>
            </w14:solidFill>
          </w14:textFill>
        </w:rPr>
      </w:pPr>
      <w:r>
        <w:rPr>
          <w:rFonts w:hint="eastAsia" w:ascii="宋体" w:hAnsi="宋体" w:eastAsia="宋体" w:cs="宋体"/>
          <w:bCs/>
          <w:color w:val="000000" w:themeColor="text1"/>
          <w:sz w:val="28"/>
          <w:szCs w:val="28"/>
          <w14:textFill>
            <w14:solidFill>
              <w14:schemeClr w14:val="tx1"/>
            </w14:solidFill>
          </w14:textFill>
        </w:rPr>
        <w:t>（</w:t>
      </w:r>
      <w:r>
        <w:rPr>
          <w:rFonts w:hint="eastAsia" w:ascii="宋体" w:hAnsi="宋体" w:eastAsia="宋体" w:cs="宋体"/>
          <w:bCs/>
          <w:color w:val="000000" w:themeColor="text1"/>
          <w:sz w:val="28"/>
          <w:szCs w:val="28"/>
          <w:lang w:val="en-US" w:eastAsia="zh-CN"/>
          <w14:textFill>
            <w14:solidFill>
              <w14:schemeClr w14:val="tx1"/>
            </w14:solidFill>
          </w14:textFill>
        </w:rPr>
        <w:t>征求意见</w:t>
      </w:r>
      <w:r>
        <w:rPr>
          <w:rFonts w:hint="eastAsia" w:ascii="宋体" w:hAnsi="宋体" w:eastAsia="宋体" w:cs="宋体"/>
          <w:bCs/>
          <w:color w:val="000000" w:themeColor="text1"/>
          <w:sz w:val="28"/>
          <w:szCs w:val="28"/>
          <w14:textFill>
            <w14:solidFill>
              <w14:schemeClr w14:val="tx1"/>
            </w14:solidFill>
          </w14:textFill>
        </w:rPr>
        <w:t>稿）</w:t>
      </w:r>
    </w:p>
    <w:p w14:paraId="46EE1889">
      <w:pPr>
        <w:spacing w:before="156" w:beforeLines="50" w:after="156" w:afterLines="50" w:line="360" w:lineRule="auto"/>
        <w:jc w:val="center"/>
        <w:rPr>
          <w:rFonts w:ascii="Times New Roman" w:hAnsi="Times New Roman" w:cs="Times New Roman"/>
        </w:rPr>
      </w:pPr>
    </w:p>
    <w:p w14:paraId="37302214">
      <w:pPr>
        <w:spacing w:before="156" w:beforeLines="50" w:after="156" w:afterLines="50" w:line="360" w:lineRule="auto"/>
        <w:rPr>
          <w:rFonts w:ascii="Times New Roman" w:hAnsi="Times New Roman" w:eastAsia="黑体" w:cs="Times New Roman"/>
          <w:sz w:val="24"/>
          <w:szCs w:val="24"/>
        </w:rPr>
      </w:pPr>
    </w:p>
    <w:p w14:paraId="4C9818BB">
      <w:pPr>
        <w:rPr>
          <w:rFonts w:ascii="Times New Roman" w:hAnsi="Times New Roman" w:cs="Times New Roman"/>
        </w:rPr>
      </w:pPr>
    </w:p>
    <w:p w14:paraId="01F99202">
      <w:pPr>
        <w:rPr>
          <w:rFonts w:ascii="Times New Roman" w:hAnsi="Times New Roman" w:cs="Times New Roman"/>
        </w:rPr>
      </w:pPr>
    </w:p>
    <w:p w14:paraId="5E63028F">
      <w:pPr>
        <w:rPr>
          <w:rFonts w:ascii="Times New Roman" w:hAnsi="Times New Roman" w:cs="Times New Roman"/>
        </w:rPr>
      </w:pPr>
    </w:p>
    <w:p w14:paraId="17660BC2">
      <w:pPr>
        <w:adjustRightInd w:val="0"/>
        <w:snapToGrid w:val="0"/>
        <w:rPr>
          <w:rFonts w:ascii="Times New Roman" w:hAnsi="Times New Roman" w:cs="Times New Roman"/>
        </w:rPr>
      </w:pPr>
    </w:p>
    <w:p w14:paraId="40DDD9DC">
      <w:pPr>
        <w:adjustRightInd w:val="0"/>
        <w:snapToGrid w:val="0"/>
        <w:rPr>
          <w:rFonts w:ascii="Times New Roman" w:hAnsi="Times New Roman" w:cs="Times New Roman"/>
        </w:rPr>
      </w:pPr>
    </w:p>
    <w:p w14:paraId="016AFDDB">
      <w:pPr>
        <w:adjustRightInd w:val="0"/>
        <w:snapToGrid w:val="0"/>
        <w:rPr>
          <w:rFonts w:ascii="Times New Roman" w:hAnsi="Times New Roman" w:cs="Times New Roman"/>
        </w:rPr>
      </w:pPr>
    </w:p>
    <w:p w14:paraId="009965CC">
      <w:pPr>
        <w:adjustRightInd w:val="0"/>
        <w:snapToGrid w:val="0"/>
        <w:jc w:val="center"/>
        <w:rPr>
          <w:rFonts w:hint="eastAsia" w:ascii="微软雅黑" w:hAnsi="微软雅黑" w:eastAsia="微软雅黑" w:cs="Times New Roman"/>
          <w:spacing w:val="6"/>
          <w:sz w:val="28"/>
          <w:szCs w:val="28"/>
        </w:rPr>
      </w:pPr>
      <w:r>
        <w:rPr>
          <w:rFonts w:hint="eastAsia" w:ascii="微软雅黑" w:hAnsi="微软雅黑" w:eastAsia="微软雅黑" w:cs="Times New Roman"/>
          <w:spacing w:val="6"/>
          <w:sz w:val="28"/>
          <w:szCs w:val="28"/>
        </w:rPr>
        <w:t xml:space="preserve">2026-XX-XX </w:t>
      </w:r>
      <w:r>
        <w:rPr>
          <w:rFonts w:hint="eastAsia" w:ascii="黑体" w:hAnsi="黑体" w:eastAsia="黑体" w:cs="Times New Roman"/>
          <w:spacing w:val="6"/>
          <w:sz w:val="28"/>
          <w:szCs w:val="28"/>
        </w:rPr>
        <w:t>发布</w:t>
      </w:r>
      <w:r>
        <w:rPr>
          <w:rFonts w:hint="eastAsia" w:ascii="微软雅黑" w:hAnsi="微软雅黑" w:eastAsia="微软雅黑" w:cs="Times New Roman"/>
          <w:spacing w:val="6"/>
          <w:sz w:val="28"/>
          <w:szCs w:val="28"/>
        </w:rPr>
        <w:t xml:space="preserve">                           2026-XX-XX </w:t>
      </w:r>
      <w:r>
        <w:rPr>
          <w:rFonts w:hint="eastAsia" w:ascii="黑体" w:hAnsi="黑体" w:eastAsia="黑体" w:cs="Times New Roman"/>
          <w:spacing w:val="6"/>
          <w:sz w:val="28"/>
          <w:szCs w:val="28"/>
        </w:rPr>
        <w:t>实施</w:t>
      </w:r>
    </w:p>
    <w:p w14:paraId="4AD7FF9E">
      <w:pPr>
        <w:adjustRightInd w:val="0"/>
        <w:snapToGrid w:val="0"/>
        <w:spacing w:before="312" w:beforeLines="100"/>
        <w:jc w:val="center"/>
        <w:rPr>
          <w:rFonts w:ascii="Times New Roman" w:hAnsi="Times New Roman" w:eastAsia="方正小标宋简体" w:cs="Times New Roman"/>
          <w:sz w:val="2"/>
          <w:szCs w:val="2"/>
        </w:rPr>
      </w:pPr>
      <w:r>
        <w:rPr>
          <w:rFonts w:ascii="Times New Roman" w:hAnsi="Times New Roman" w:eastAsia="方正小标宋简体" w:cs="Times New Roman"/>
          <w:sz w:val="52"/>
          <w:szCs w:val="52"/>
        </w:rPr>
        <mc:AlternateContent>
          <mc:Choice Requires="wps">
            <w:drawing>
              <wp:anchor distT="0" distB="0" distL="114300" distR="114300" simplePos="0" relativeHeight="251663360" behindDoc="0" locked="0" layoutInCell="1" allowOverlap="1">
                <wp:simplePos x="0" y="0"/>
                <wp:positionH relativeFrom="column">
                  <wp:posOffset>-59690</wp:posOffset>
                </wp:positionH>
                <wp:positionV relativeFrom="paragraph">
                  <wp:posOffset>44450</wp:posOffset>
                </wp:positionV>
                <wp:extent cx="5874385" cy="0"/>
                <wp:effectExtent l="0" t="9525" r="5715" b="15875"/>
                <wp:wrapNone/>
                <wp:docPr id="17" name="自选图形 3"/>
                <wp:cNvGraphicFramePr/>
                <a:graphic xmlns:a="http://schemas.openxmlformats.org/drawingml/2006/main">
                  <a:graphicData uri="http://schemas.microsoft.com/office/word/2010/wordprocessingShape">
                    <wps:wsp>
                      <wps:cNvCnPr/>
                      <wps:spPr>
                        <a:xfrm>
                          <a:off x="0" y="0"/>
                          <a:ext cx="5874385" cy="0"/>
                        </a:xfrm>
                        <a:prstGeom prst="straightConnector1">
                          <a:avLst/>
                        </a:prstGeom>
                        <a:ln w="19050" cap="flat" cmpd="sng">
                          <a:solidFill>
                            <a:srgbClr val="000000"/>
                          </a:solidFill>
                          <a:prstDash val="solid"/>
                          <a:headEnd type="none" w="med" len="med"/>
                          <a:tailEnd type="none" w="med" len="med"/>
                        </a:ln>
                      </wps:spPr>
                      <wps:bodyPr/>
                    </wps:wsp>
                  </a:graphicData>
                </a:graphic>
              </wp:anchor>
            </w:drawing>
          </mc:Choice>
          <mc:Fallback>
            <w:pict>
              <v:shape id="自选图形 3" o:spid="_x0000_s1026" o:spt="32" type="#_x0000_t32" style="position:absolute;left:0pt;margin-left:-4.7pt;margin-top:3.5pt;height:0pt;width:462.55pt;z-index:251663360;mso-width-relative:page;mso-height-relative:page;" filled="f" stroked="t" coordsize="21600,21600" o:gfxdata="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c/4mW9IAAAAGAQAADwAAAAAAAAABACAAAAAiAAAAZHJzL2Rvd25yZXYueG1sUEsBAhQA&#10;FAAAAAgAh07iQAhsRfr4AQAA5QMAAA4AAAAAAAAAAQAgAAAAIQEAAGRycy9lMm9Eb2MueG1sUEsF&#10;BgAAAAAGAAYAWQEAAIsFAAAAAA==&#10;">
                <v:fill on="f" focussize="0,0"/>
                <v:stroke weight="1.5pt" color="#000000" joinstyle="round"/>
                <v:imagedata o:title=""/>
                <o:lock v:ext="edit" aspectratio="f"/>
              </v:shape>
            </w:pict>
          </mc:Fallback>
        </mc:AlternateContent>
      </w:r>
      <w:r>
        <w:rPr>
          <w:rFonts w:ascii="Times New Roman" w:hAnsi="Times New Roman" w:eastAsia="方正小标宋简体" w:cs="Times New Roman"/>
          <w:sz w:val="28"/>
          <w:szCs w:val="28"/>
        </w:rPr>
        <w:t>中国节能协会  发</w:t>
      </w:r>
      <w:r>
        <w:rPr>
          <w:rFonts w:hint="eastAsia" w:ascii="Times New Roman" w:hAnsi="Times New Roman" w:eastAsia="方正小标宋简体" w:cs="Times New Roman"/>
          <w:sz w:val="28"/>
          <w:szCs w:val="28"/>
        </w:rPr>
        <w:t xml:space="preserve"> 布</w:t>
      </w:r>
    </w:p>
    <w:p w14:paraId="39263E7D">
      <w:pPr>
        <w:spacing w:line="340" w:lineRule="exact"/>
        <w:jc w:val="left"/>
        <w:rPr>
          <w:rFonts w:hint="eastAsia" w:ascii="仿宋_GB2312" w:hAnsi="仿宋_GB2312" w:eastAsia="仿宋_GB2312" w:cs="仿宋_GB2312"/>
        </w:rPr>
        <w:sectPr>
          <w:headerReference r:id="rId4" w:type="first"/>
          <w:headerReference r:id="rId3" w:type="default"/>
          <w:footerReference r:id="rId5" w:type="default"/>
          <w:pgSz w:w="11906" w:h="16838"/>
          <w:pgMar w:top="1417" w:right="1417" w:bottom="1134" w:left="1417" w:header="1417" w:footer="1134" w:gutter="0"/>
          <w:pgNumType w:fmt="upperRoman" w:start="1"/>
          <w:cols w:space="425" w:num="1"/>
          <w:docGrid w:type="lines" w:linePitch="312" w:charSpace="0"/>
        </w:sectPr>
      </w:pPr>
    </w:p>
    <w:p w14:paraId="65B75F87">
      <w:pPr>
        <w:spacing w:line="340" w:lineRule="exact"/>
        <w:jc w:val="left"/>
        <w:rPr>
          <w:rFonts w:hint="eastAsia" w:ascii="仿宋_GB2312" w:hAnsi="仿宋_GB2312" w:eastAsia="仿宋_GB2312" w:cs="仿宋_GB2312"/>
        </w:rPr>
      </w:pPr>
    </w:p>
    <w:p w14:paraId="0B381A34">
      <w:pPr>
        <w:spacing w:line="340" w:lineRule="exact"/>
        <w:jc w:val="left"/>
        <w:rPr>
          <w:rFonts w:hint="eastAsia" w:ascii="仿宋_GB2312" w:hAnsi="仿宋_GB2312" w:eastAsia="仿宋_GB2312" w:cs="仿宋_GB2312"/>
        </w:rPr>
      </w:pPr>
    </w:p>
    <w:p w14:paraId="0251F9BD">
      <w:pPr>
        <w:spacing w:line="340" w:lineRule="exact"/>
        <w:jc w:val="left"/>
        <w:rPr>
          <w:rFonts w:hint="eastAsia" w:ascii="仿宋_GB2312" w:hAnsi="仿宋_GB2312" w:eastAsia="仿宋_GB2312" w:cs="仿宋_GB2312"/>
        </w:rPr>
      </w:pPr>
    </w:p>
    <w:p w14:paraId="1DE667A8">
      <w:pPr>
        <w:spacing w:line="340" w:lineRule="exact"/>
        <w:jc w:val="left"/>
        <w:rPr>
          <w:rFonts w:hint="eastAsia" w:ascii="仿宋_GB2312" w:hAnsi="仿宋_GB2312" w:eastAsia="仿宋_GB2312" w:cs="仿宋_GB2312"/>
        </w:rPr>
      </w:pPr>
    </w:p>
    <w:p w14:paraId="2B236104">
      <w:pPr>
        <w:spacing w:line="340" w:lineRule="exact"/>
        <w:jc w:val="left"/>
        <w:rPr>
          <w:rFonts w:hint="eastAsia" w:ascii="仿宋_GB2312" w:hAnsi="仿宋_GB2312" w:eastAsia="仿宋_GB2312" w:cs="仿宋_GB2312"/>
        </w:rPr>
      </w:pPr>
    </w:p>
    <w:p w14:paraId="074D9DCA">
      <w:pPr>
        <w:spacing w:line="340" w:lineRule="exact"/>
        <w:jc w:val="left"/>
        <w:rPr>
          <w:rFonts w:hint="eastAsia" w:ascii="仿宋_GB2312" w:hAnsi="仿宋_GB2312" w:eastAsia="仿宋_GB2312" w:cs="仿宋_GB2312"/>
        </w:rPr>
      </w:pPr>
    </w:p>
    <w:p w14:paraId="47AAFEDC">
      <w:pPr>
        <w:spacing w:line="340" w:lineRule="exact"/>
        <w:jc w:val="left"/>
        <w:rPr>
          <w:rFonts w:hint="eastAsia" w:ascii="仿宋_GB2312" w:hAnsi="仿宋_GB2312" w:eastAsia="仿宋_GB2312" w:cs="仿宋_GB2312"/>
        </w:rPr>
      </w:pPr>
    </w:p>
    <w:p w14:paraId="06002BC5">
      <w:pPr>
        <w:spacing w:line="340" w:lineRule="exact"/>
        <w:jc w:val="left"/>
        <w:rPr>
          <w:rFonts w:hint="eastAsia" w:ascii="仿宋_GB2312" w:hAnsi="仿宋_GB2312" w:eastAsia="仿宋_GB2312" w:cs="仿宋_GB2312"/>
        </w:rPr>
      </w:pPr>
    </w:p>
    <w:p w14:paraId="4F9BE2FB">
      <w:pPr>
        <w:spacing w:line="340" w:lineRule="exact"/>
        <w:jc w:val="left"/>
        <w:rPr>
          <w:rFonts w:hint="eastAsia" w:ascii="仿宋_GB2312" w:hAnsi="仿宋_GB2312" w:eastAsia="仿宋_GB2312" w:cs="仿宋_GB2312"/>
        </w:rPr>
      </w:pPr>
    </w:p>
    <w:p w14:paraId="2A5F9CCA">
      <w:pPr>
        <w:spacing w:line="340" w:lineRule="exact"/>
        <w:jc w:val="left"/>
        <w:rPr>
          <w:rFonts w:hint="eastAsia" w:ascii="仿宋_GB2312" w:hAnsi="仿宋_GB2312" w:eastAsia="仿宋_GB2312" w:cs="仿宋_GB2312"/>
        </w:rPr>
      </w:pPr>
    </w:p>
    <w:p w14:paraId="310EB08C">
      <w:pPr>
        <w:spacing w:line="340" w:lineRule="exact"/>
        <w:jc w:val="left"/>
        <w:rPr>
          <w:rFonts w:hint="eastAsia" w:ascii="仿宋_GB2312" w:hAnsi="仿宋_GB2312" w:eastAsia="仿宋_GB2312" w:cs="仿宋_GB2312"/>
        </w:rPr>
      </w:pPr>
    </w:p>
    <w:p w14:paraId="1B97C96C">
      <w:pPr>
        <w:spacing w:line="340" w:lineRule="exact"/>
        <w:jc w:val="left"/>
        <w:rPr>
          <w:rFonts w:hint="eastAsia" w:ascii="仿宋_GB2312" w:hAnsi="仿宋_GB2312" w:eastAsia="仿宋_GB2312" w:cs="仿宋_GB2312"/>
        </w:rPr>
      </w:pPr>
    </w:p>
    <w:p w14:paraId="2916F08E">
      <w:pPr>
        <w:spacing w:line="340" w:lineRule="exact"/>
        <w:jc w:val="left"/>
        <w:rPr>
          <w:rFonts w:hint="eastAsia" w:ascii="仿宋_GB2312" w:hAnsi="仿宋_GB2312" w:eastAsia="仿宋_GB2312" w:cs="仿宋_GB2312"/>
        </w:rPr>
      </w:pPr>
    </w:p>
    <w:p w14:paraId="70173387">
      <w:pPr>
        <w:spacing w:line="340" w:lineRule="exact"/>
        <w:jc w:val="left"/>
        <w:rPr>
          <w:rFonts w:hint="eastAsia" w:ascii="仿宋_GB2312" w:hAnsi="仿宋_GB2312" w:eastAsia="仿宋_GB2312" w:cs="仿宋_GB2312"/>
        </w:rPr>
      </w:pPr>
    </w:p>
    <w:p w14:paraId="4520A7DF">
      <w:pPr>
        <w:spacing w:line="340" w:lineRule="exact"/>
        <w:jc w:val="left"/>
        <w:rPr>
          <w:rFonts w:hint="eastAsia" w:ascii="仿宋_GB2312" w:hAnsi="仿宋_GB2312" w:eastAsia="仿宋_GB2312" w:cs="仿宋_GB2312"/>
        </w:rPr>
      </w:pPr>
    </w:p>
    <w:p w14:paraId="10D4EA29">
      <w:pPr>
        <w:spacing w:line="340" w:lineRule="exact"/>
        <w:jc w:val="left"/>
        <w:rPr>
          <w:rFonts w:hint="eastAsia" w:ascii="仿宋_GB2312" w:hAnsi="仿宋_GB2312" w:eastAsia="仿宋_GB2312" w:cs="仿宋_GB2312"/>
        </w:rPr>
      </w:pPr>
    </w:p>
    <w:p w14:paraId="5327D9B2">
      <w:pPr>
        <w:spacing w:line="340" w:lineRule="exact"/>
        <w:jc w:val="left"/>
        <w:rPr>
          <w:rFonts w:hint="eastAsia" w:ascii="仿宋_GB2312" w:hAnsi="仿宋_GB2312" w:eastAsia="仿宋_GB2312" w:cs="仿宋_GB2312"/>
        </w:rPr>
      </w:pPr>
    </w:p>
    <w:p w14:paraId="3AD76159">
      <w:pPr>
        <w:spacing w:line="340" w:lineRule="exact"/>
        <w:jc w:val="left"/>
        <w:rPr>
          <w:rFonts w:hint="eastAsia" w:ascii="仿宋_GB2312" w:hAnsi="仿宋_GB2312" w:eastAsia="仿宋_GB2312" w:cs="仿宋_GB2312"/>
        </w:rPr>
      </w:pPr>
    </w:p>
    <w:p w14:paraId="73BE6B72">
      <w:pPr>
        <w:spacing w:line="340" w:lineRule="exact"/>
        <w:jc w:val="left"/>
        <w:rPr>
          <w:rFonts w:hint="eastAsia" w:ascii="仿宋_GB2312" w:hAnsi="仿宋_GB2312" w:eastAsia="仿宋_GB2312" w:cs="仿宋_GB2312"/>
        </w:rPr>
      </w:pPr>
    </w:p>
    <w:p w14:paraId="6B2CE5A1">
      <w:pPr>
        <w:tabs>
          <w:tab w:val="left" w:pos="4061"/>
        </w:tabs>
        <w:spacing w:line="340" w:lineRule="exact"/>
        <w:jc w:val="left"/>
        <w:rPr>
          <w:rFonts w:hint="eastAsia" w:ascii="仿宋_GB2312" w:hAnsi="仿宋_GB2312" w:eastAsia="仿宋_GB2312" w:cs="仿宋_GB2312"/>
        </w:rPr>
      </w:pPr>
      <w:r>
        <w:rPr>
          <w:rFonts w:hint="eastAsia" w:ascii="仿宋_GB2312" w:hAnsi="仿宋_GB2312" w:eastAsia="仿宋_GB2312" w:cs="仿宋_GB2312"/>
        </w:rPr>
        <w:tab/>
      </w:r>
    </w:p>
    <w:p w14:paraId="34723D03">
      <w:pPr>
        <w:spacing w:line="340" w:lineRule="exact"/>
        <w:jc w:val="left"/>
        <w:rPr>
          <w:rFonts w:hint="eastAsia" w:ascii="仿宋_GB2312" w:hAnsi="仿宋_GB2312" w:eastAsia="仿宋_GB2312" w:cs="仿宋_GB2312"/>
        </w:rPr>
      </w:pPr>
    </w:p>
    <w:p w14:paraId="1D9B68BE">
      <w:pPr>
        <w:spacing w:line="340" w:lineRule="exact"/>
        <w:jc w:val="left"/>
        <w:rPr>
          <w:rFonts w:hint="eastAsia" w:ascii="仿宋_GB2312" w:hAnsi="仿宋_GB2312" w:eastAsia="仿宋_GB2312" w:cs="仿宋_GB2312"/>
        </w:rPr>
      </w:pPr>
    </w:p>
    <w:p w14:paraId="6E0E13E4">
      <w:pPr>
        <w:spacing w:line="340" w:lineRule="exact"/>
        <w:jc w:val="left"/>
        <w:rPr>
          <w:rFonts w:hint="eastAsia" w:ascii="仿宋_GB2312" w:hAnsi="仿宋_GB2312" w:eastAsia="仿宋_GB2312" w:cs="仿宋_GB2312"/>
        </w:rPr>
      </w:pPr>
    </w:p>
    <w:p w14:paraId="2D1E0DFC">
      <w:pPr>
        <w:spacing w:line="340" w:lineRule="exact"/>
        <w:jc w:val="left"/>
        <w:rPr>
          <w:rFonts w:hint="eastAsia" w:ascii="仿宋_GB2312" w:hAnsi="仿宋_GB2312" w:eastAsia="仿宋_GB2312" w:cs="仿宋_GB2312"/>
        </w:rPr>
      </w:pPr>
    </w:p>
    <w:p w14:paraId="750B55A2">
      <w:pPr>
        <w:spacing w:line="340" w:lineRule="exact"/>
        <w:jc w:val="left"/>
        <w:rPr>
          <w:rFonts w:hint="eastAsia" w:ascii="仿宋_GB2312" w:hAnsi="仿宋_GB2312" w:eastAsia="仿宋_GB2312" w:cs="仿宋_GB2312"/>
        </w:rPr>
      </w:pPr>
    </w:p>
    <w:p w14:paraId="4EE126EE">
      <w:pPr>
        <w:spacing w:line="340" w:lineRule="exact"/>
        <w:jc w:val="left"/>
        <w:rPr>
          <w:rFonts w:hint="eastAsia" w:ascii="仿宋_GB2312" w:hAnsi="仿宋_GB2312" w:eastAsia="仿宋_GB2312" w:cs="仿宋_GB2312"/>
        </w:rPr>
      </w:pPr>
    </w:p>
    <w:p w14:paraId="2E9F54B3">
      <w:pPr>
        <w:spacing w:line="340" w:lineRule="exact"/>
        <w:jc w:val="left"/>
        <w:rPr>
          <w:rFonts w:hint="eastAsia" w:ascii="仿宋_GB2312" w:hAnsi="仿宋_GB2312" w:eastAsia="仿宋_GB2312" w:cs="仿宋_GB2312"/>
        </w:rPr>
      </w:pPr>
    </w:p>
    <w:p w14:paraId="31812182">
      <w:pPr>
        <w:spacing w:line="340" w:lineRule="exact"/>
        <w:jc w:val="left"/>
        <w:rPr>
          <w:rFonts w:hint="eastAsia" w:ascii="仿宋_GB2312" w:hAnsi="仿宋_GB2312" w:eastAsia="仿宋_GB2312" w:cs="仿宋_GB2312"/>
        </w:rPr>
      </w:pPr>
    </w:p>
    <w:p w14:paraId="41EF40D5">
      <w:pPr>
        <w:spacing w:line="340" w:lineRule="exact"/>
        <w:jc w:val="left"/>
        <w:rPr>
          <w:rFonts w:hint="eastAsia" w:ascii="仿宋_GB2312" w:hAnsi="仿宋_GB2312" w:eastAsia="仿宋_GB2312" w:cs="仿宋_GB2312"/>
        </w:rPr>
      </w:pPr>
    </w:p>
    <w:p w14:paraId="12970598">
      <w:pPr>
        <w:spacing w:line="340" w:lineRule="exact"/>
        <w:jc w:val="left"/>
        <w:rPr>
          <w:rFonts w:hint="eastAsia" w:ascii="仿宋_GB2312" w:hAnsi="仿宋_GB2312" w:eastAsia="仿宋_GB2312" w:cs="仿宋_GB2312"/>
        </w:rPr>
      </w:pPr>
    </w:p>
    <w:p w14:paraId="46BE665E">
      <w:pPr>
        <w:spacing w:line="340" w:lineRule="exact"/>
        <w:jc w:val="left"/>
        <w:rPr>
          <w:rFonts w:hint="eastAsia" w:ascii="仿宋_GB2312" w:hAnsi="仿宋_GB2312" w:eastAsia="仿宋_GB2312" w:cs="仿宋_GB2312"/>
        </w:rPr>
      </w:pPr>
    </w:p>
    <w:p w14:paraId="116A0F4D">
      <w:pPr>
        <w:spacing w:line="340" w:lineRule="exact"/>
        <w:jc w:val="left"/>
        <w:rPr>
          <w:rFonts w:hint="eastAsia" w:ascii="仿宋_GB2312" w:hAnsi="仿宋_GB2312" w:eastAsia="仿宋_GB2312" w:cs="仿宋_GB2312"/>
        </w:rPr>
      </w:pPr>
    </w:p>
    <w:p w14:paraId="2CD9A6B6">
      <w:pPr>
        <w:spacing w:line="340" w:lineRule="exact"/>
        <w:jc w:val="left"/>
        <w:rPr>
          <w:rFonts w:hint="eastAsia" w:ascii="仿宋_GB2312" w:hAnsi="仿宋_GB2312" w:eastAsia="仿宋_GB2312" w:cs="仿宋_GB2312"/>
        </w:rPr>
      </w:pPr>
      <w:r>
        <w:rPr>
          <w:rFonts w:ascii="宋体" w:hAnsi="宋体" w:cs="宋体"/>
          <w:kern w:val="0"/>
          <w:sz w:val="24"/>
        </w:rPr>
        <w:drawing>
          <wp:anchor distT="0" distB="0" distL="0" distR="0" simplePos="0" relativeHeight="251661312" behindDoc="1" locked="0" layoutInCell="1" allowOverlap="1">
            <wp:simplePos x="0" y="0"/>
            <wp:positionH relativeFrom="column">
              <wp:posOffset>38100</wp:posOffset>
            </wp:positionH>
            <wp:positionV relativeFrom="paragraph">
              <wp:posOffset>183515</wp:posOffset>
            </wp:positionV>
            <wp:extent cx="809625" cy="771525"/>
            <wp:effectExtent l="0" t="0" r="0" b="0"/>
            <wp:wrapNone/>
            <wp:docPr id="10" name="图片 5" descr="IMG_256"/>
            <wp:cNvGraphicFramePr/>
            <a:graphic xmlns:a="http://schemas.openxmlformats.org/drawingml/2006/main">
              <a:graphicData uri="http://schemas.openxmlformats.org/drawingml/2006/picture">
                <pic:pic xmlns:pic="http://schemas.openxmlformats.org/drawingml/2006/picture">
                  <pic:nvPicPr>
                    <pic:cNvPr id="10" name="图片 5" descr="IMG_256"/>
                    <pic:cNvPicPr/>
                  </pic:nvPicPr>
                  <pic:blipFill>
                    <a:blip r:embed="rId18" cstate="print"/>
                    <a:srcRect/>
                    <a:stretch>
                      <a:fillRect/>
                    </a:stretch>
                  </pic:blipFill>
                  <pic:spPr>
                    <a:xfrm>
                      <a:off x="0" y="0"/>
                      <a:ext cx="809625" cy="771525"/>
                    </a:xfrm>
                    <a:prstGeom prst="rect">
                      <a:avLst/>
                    </a:prstGeom>
                    <a:ln>
                      <a:noFill/>
                    </a:ln>
                  </pic:spPr>
                </pic:pic>
              </a:graphicData>
            </a:graphic>
          </wp:anchor>
        </w:drawing>
      </w:r>
    </w:p>
    <w:p w14:paraId="34DD4E43">
      <w:pPr>
        <w:spacing w:line="340" w:lineRule="exact"/>
        <w:jc w:val="left"/>
        <w:rPr>
          <w:rFonts w:hint="eastAsia" w:ascii="仿宋_GB2312" w:hAnsi="仿宋_GB2312" w:eastAsia="仿宋_GB2312" w:cs="仿宋_GB2312"/>
        </w:rPr>
      </w:pPr>
    </w:p>
    <w:p w14:paraId="29103862">
      <w:pPr>
        <w:spacing w:line="340" w:lineRule="exact"/>
        <w:jc w:val="left"/>
        <w:rPr>
          <w:rFonts w:hint="eastAsia" w:ascii="仿宋_GB2312" w:hAnsi="仿宋_GB2312" w:eastAsia="仿宋_GB2312" w:cs="仿宋_GB2312"/>
        </w:rPr>
      </w:pPr>
    </w:p>
    <w:p w14:paraId="6E4FCB7C">
      <w:pPr>
        <w:spacing w:line="340" w:lineRule="exact"/>
        <w:jc w:val="left"/>
        <w:rPr>
          <w:rFonts w:hint="eastAsia" w:ascii="宋体" w:hAnsi="宋体" w:cs="仿宋_GB2312"/>
        </w:rPr>
      </w:pPr>
      <w:r>
        <w:rPr>
          <w:rFonts w:hint="eastAsia" w:ascii="仿宋_GB2312" w:hAnsi="仿宋_GB2312" w:eastAsia="仿宋_GB2312" w:cs="仿宋_GB2312"/>
        </w:rPr>
        <w:t xml:space="preserve">             </w:t>
      </w:r>
      <w:r>
        <w:rPr>
          <w:rFonts w:hint="eastAsia" w:ascii="宋体" w:hAnsi="宋体" w:cs="仿宋_GB2312"/>
        </w:rPr>
        <w:t>版权保护文件</w:t>
      </w:r>
    </w:p>
    <w:p w14:paraId="063E439E">
      <w:pPr>
        <w:spacing w:line="340" w:lineRule="exact"/>
        <w:jc w:val="left"/>
        <w:rPr>
          <w:rFonts w:hint="eastAsia" w:ascii="宋体" w:hAnsi="宋体" w:cs="仿宋_GB2312"/>
        </w:rPr>
      </w:pPr>
    </w:p>
    <w:p w14:paraId="1DB4C9B6">
      <w:pPr>
        <w:spacing w:line="340" w:lineRule="exact"/>
        <w:jc w:val="left"/>
        <w:rPr>
          <w:rFonts w:hint="eastAsia" w:ascii="宋体" w:hAnsi="宋体" w:eastAsia="宋体" w:cs="宋体"/>
        </w:rPr>
        <w:sectPr>
          <w:headerReference r:id="rId6" w:type="default"/>
          <w:footerReference r:id="rId7" w:type="default"/>
          <w:pgSz w:w="11906" w:h="16838"/>
          <w:pgMar w:top="1417" w:right="1417" w:bottom="1134" w:left="1417" w:header="1417" w:footer="1134" w:gutter="0"/>
          <w:pgNumType w:fmt="upperRoman" w:start="1"/>
          <w:cols w:space="425" w:num="1"/>
          <w:docGrid w:type="lines" w:linePitch="312" w:charSpace="0"/>
        </w:sectPr>
      </w:pPr>
      <w:r>
        <w:rPr>
          <w:rFonts w:hint="eastAsia" w:ascii="宋体" w:hAnsi="宋体" w:eastAsia="宋体" w:cs="宋体"/>
        </w:rPr>
        <w:t>版权所有归属于该标准的发布机构，除非有其他规定，否则未经许可，此发行物及其章节不得以其他形式或任何手段进行复制、再版或使用，包括电子版、影印版，或发布在互联网及内部网络等。使用许可请与发布机构获取。</w:t>
      </w:r>
    </w:p>
    <w:p w14:paraId="3BAAFF45">
      <w:pPr>
        <w:pStyle w:val="21"/>
        <w:rPr>
          <w:rFonts w:hint="eastAsia" w:hAnsi="黑体" w:cs="Arial"/>
        </w:rPr>
      </w:pPr>
      <w:bookmarkStart w:id="1" w:name="_Toc13152"/>
      <w:bookmarkStart w:id="2" w:name="_Toc19918"/>
      <w:bookmarkStart w:id="3" w:name="_Toc236437625"/>
      <w:bookmarkStart w:id="4" w:name="_Toc237881642"/>
      <w:bookmarkStart w:id="5" w:name="_Toc7447"/>
      <w:r>
        <w:rPr>
          <w:rFonts w:hint="eastAsia" w:hAnsi="黑体" w:cs="Arial"/>
        </w:rPr>
        <w:t>目    次</w:t>
      </w:r>
      <w:bookmarkEnd w:id="1"/>
      <w:bookmarkEnd w:id="2"/>
      <w:bookmarkEnd w:id="3"/>
      <w:bookmarkEnd w:id="4"/>
      <w:bookmarkEnd w:id="5"/>
    </w:p>
    <w:sdt>
      <w:sdtPr>
        <w:rPr>
          <w:rFonts w:hint="eastAsia" w:ascii="宋体" w:hAnsi="宋体" w:eastAsia="宋体" w:cs="宋体"/>
        </w:rPr>
        <w:id w:val="147481826"/>
        <w15:color w:val="DBDBDB"/>
        <w:docPartObj>
          <w:docPartGallery w:val="Table of Contents"/>
          <w:docPartUnique/>
        </w:docPartObj>
      </w:sdtPr>
      <w:sdtEndPr>
        <w:rPr>
          <w:rFonts w:hint="eastAsia" w:ascii="宋体" w:hAnsi="宋体" w:eastAsia="宋体" w:cs="宋体"/>
        </w:rPr>
      </w:sdtEndPr>
      <w:sdtContent>
        <w:p w14:paraId="5A11409B">
          <w:pPr>
            <w:pStyle w:val="8"/>
            <w:tabs>
              <w:tab w:val="right" w:leader="dot" w:pos="9061"/>
            </w:tabs>
            <w:rPr>
              <w:rFonts w:hint="eastAsia" w:ascii="宋体" w:hAnsi="宋体" w:eastAsia="宋体" w:cs="宋体"/>
              <w:sz w:val="22"/>
              <w:szCs w:val="24"/>
              <w14:ligatures w14:val="standardContextual"/>
            </w:rPr>
          </w:pPr>
          <w:r>
            <w:rPr>
              <w:rFonts w:hint="eastAsia" w:ascii="宋体" w:hAnsi="宋体" w:eastAsia="宋体" w:cs="宋体"/>
            </w:rPr>
            <w:fldChar w:fldCharType="begin"/>
          </w:r>
          <w:r>
            <w:rPr>
              <w:rFonts w:hint="eastAsia" w:ascii="宋体" w:hAnsi="宋体" w:eastAsia="宋体" w:cs="宋体"/>
            </w:rPr>
            <w:instrText xml:space="preserve">TOC \o "1-1" \h \u </w:instrText>
          </w:r>
          <w:r>
            <w:rPr>
              <w:rFonts w:hint="eastAsia" w:ascii="宋体" w:hAnsi="宋体" w:eastAsia="宋体" w:cs="宋体"/>
            </w:rPr>
            <w:fldChar w:fldCharType="separate"/>
          </w:r>
          <w:r>
            <w:rPr>
              <w:rFonts w:hint="eastAsia" w:ascii="宋体" w:hAnsi="宋体" w:eastAsia="宋体" w:cs="宋体"/>
            </w:rPr>
            <w:fldChar w:fldCharType="begin"/>
          </w:r>
          <w:r>
            <w:rPr>
              <w:rFonts w:hint="eastAsia" w:ascii="宋体" w:hAnsi="宋体" w:eastAsia="宋体" w:cs="宋体"/>
            </w:rPr>
            <w:instrText xml:space="preserve"> HYPERLINK \l "_Toc237881643" </w:instrText>
          </w:r>
          <w:r>
            <w:rPr>
              <w:rFonts w:hint="eastAsia" w:ascii="宋体" w:hAnsi="宋体" w:eastAsia="宋体" w:cs="宋体"/>
            </w:rPr>
            <w:fldChar w:fldCharType="separate"/>
          </w:r>
          <w:r>
            <w:rPr>
              <w:rStyle w:val="13"/>
              <w:rFonts w:hint="eastAsia" w:ascii="宋体" w:hAnsi="宋体" w:eastAsia="宋体" w:cs="宋体"/>
            </w:rPr>
            <w:t>前言</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_Toc237881643 \h </w:instrText>
          </w:r>
          <w:r>
            <w:rPr>
              <w:rFonts w:hint="eastAsia" w:ascii="宋体" w:hAnsi="宋体" w:eastAsia="宋体" w:cs="宋体"/>
            </w:rPr>
            <w:fldChar w:fldCharType="separate"/>
          </w:r>
          <w:r>
            <w:rPr>
              <w:rFonts w:hint="eastAsia" w:ascii="宋体" w:hAnsi="宋体" w:eastAsia="宋体" w:cs="宋体"/>
            </w:rPr>
            <w:t>III</w:t>
          </w:r>
          <w:r>
            <w:rPr>
              <w:rFonts w:hint="eastAsia" w:ascii="宋体" w:hAnsi="宋体" w:eastAsia="宋体" w:cs="宋体"/>
            </w:rPr>
            <w:fldChar w:fldCharType="end"/>
          </w:r>
          <w:r>
            <w:rPr>
              <w:rFonts w:hint="eastAsia" w:ascii="宋体" w:hAnsi="宋体" w:eastAsia="宋体" w:cs="宋体"/>
            </w:rPr>
            <w:fldChar w:fldCharType="end"/>
          </w:r>
        </w:p>
        <w:p w14:paraId="0A0A3847">
          <w:pPr>
            <w:pStyle w:val="8"/>
            <w:tabs>
              <w:tab w:val="right" w:leader="dot" w:pos="9061"/>
            </w:tabs>
            <w:rPr>
              <w:rFonts w:hint="eastAsia" w:ascii="宋体" w:hAnsi="宋体" w:eastAsia="宋体" w:cs="宋体"/>
              <w:sz w:val="22"/>
              <w:szCs w:val="24"/>
              <w14:ligatures w14:val="standardContextual"/>
            </w:rPr>
          </w:pPr>
          <w:r>
            <w:rPr>
              <w:rFonts w:hint="eastAsia" w:ascii="宋体" w:hAnsi="宋体" w:eastAsia="宋体" w:cs="宋体"/>
            </w:rPr>
            <w:fldChar w:fldCharType="begin"/>
          </w:r>
          <w:r>
            <w:rPr>
              <w:rFonts w:hint="eastAsia" w:ascii="宋体" w:hAnsi="宋体" w:eastAsia="宋体" w:cs="宋体"/>
            </w:rPr>
            <w:instrText xml:space="preserve"> HYPERLINK \l "_Toc237881645" </w:instrText>
          </w:r>
          <w:r>
            <w:rPr>
              <w:rFonts w:hint="eastAsia" w:ascii="宋体" w:hAnsi="宋体" w:eastAsia="宋体" w:cs="宋体"/>
            </w:rPr>
            <w:fldChar w:fldCharType="separate"/>
          </w:r>
          <w:r>
            <w:rPr>
              <w:rStyle w:val="13"/>
              <w:rFonts w:hint="eastAsia" w:ascii="宋体" w:hAnsi="宋体" w:eastAsia="宋体" w:cs="宋体"/>
            </w:rPr>
            <w:t>1 范围</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_Toc237881645 \h </w:instrText>
          </w:r>
          <w:r>
            <w:rPr>
              <w:rFonts w:hint="eastAsia" w:ascii="宋体" w:hAnsi="宋体" w:eastAsia="宋体" w:cs="宋体"/>
            </w:rPr>
            <w:fldChar w:fldCharType="separate"/>
          </w:r>
          <w:r>
            <w:rPr>
              <w:rFonts w:hint="eastAsia" w:ascii="宋体" w:hAnsi="宋体" w:eastAsia="宋体" w:cs="宋体"/>
            </w:rPr>
            <w:t>4</w:t>
          </w:r>
          <w:r>
            <w:rPr>
              <w:rFonts w:hint="eastAsia" w:ascii="宋体" w:hAnsi="宋体" w:eastAsia="宋体" w:cs="宋体"/>
            </w:rPr>
            <w:fldChar w:fldCharType="end"/>
          </w:r>
          <w:r>
            <w:rPr>
              <w:rFonts w:hint="eastAsia" w:ascii="宋体" w:hAnsi="宋体" w:eastAsia="宋体" w:cs="宋体"/>
            </w:rPr>
            <w:fldChar w:fldCharType="end"/>
          </w:r>
        </w:p>
        <w:p w14:paraId="451DA6CD">
          <w:pPr>
            <w:pStyle w:val="8"/>
            <w:tabs>
              <w:tab w:val="right" w:leader="dot" w:pos="9061"/>
            </w:tabs>
            <w:rPr>
              <w:rFonts w:hint="eastAsia" w:ascii="宋体" w:hAnsi="宋体" w:eastAsia="宋体" w:cs="宋体"/>
              <w:sz w:val="22"/>
              <w:szCs w:val="24"/>
              <w14:ligatures w14:val="standardContextual"/>
            </w:rPr>
          </w:pPr>
          <w:r>
            <w:rPr>
              <w:rFonts w:hint="eastAsia" w:ascii="宋体" w:hAnsi="宋体" w:eastAsia="宋体" w:cs="宋体"/>
            </w:rPr>
            <w:fldChar w:fldCharType="begin"/>
          </w:r>
          <w:r>
            <w:rPr>
              <w:rFonts w:hint="eastAsia" w:ascii="宋体" w:hAnsi="宋体" w:eastAsia="宋体" w:cs="宋体"/>
            </w:rPr>
            <w:instrText xml:space="preserve"> HYPERLINK \l "_Toc237881646" </w:instrText>
          </w:r>
          <w:r>
            <w:rPr>
              <w:rFonts w:hint="eastAsia" w:ascii="宋体" w:hAnsi="宋体" w:eastAsia="宋体" w:cs="宋体"/>
            </w:rPr>
            <w:fldChar w:fldCharType="separate"/>
          </w:r>
          <w:r>
            <w:rPr>
              <w:rStyle w:val="13"/>
              <w:rFonts w:hint="eastAsia" w:ascii="宋体" w:hAnsi="宋体" w:eastAsia="宋体" w:cs="宋体"/>
            </w:rPr>
            <w:t>2 规范性引用文件</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_Toc237881646 \h </w:instrText>
          </w:r>
          <w:r>
            <w:rPr>
              <w:rFonts w:hint="eastAsia" w:ascii="宋体" w:hAnsi="宋体" w:eastAsia="宋体" w:cs="宋体"/>
            </w:rPr>
            <w:fldChar w:fldCharType="separate"/>
          </w:r>
          <w:r>
            <w:rPr>
              <w:rFonts w:hint="eastAsia" w:ascii="宋体" w:hAnsi="宋体" w:eastAsia="宋体" w:cs="宋体"/>
            </w:rPr>
            <w:t>4</w:t>
          </w:r>
          <w:r>
            <w:rPr>
              <w:rFonts w:hint="eastAsia" w:ascii="宋体" w:hAnsi="宋体" w:eastAsia="宋体" w:cs="宋体"/>
            </w:rPr>
            <w:fldChar w:fldCharType="end"/>
          </w:r>
          <w:r>
            <w:rPr>
              <w:rFonts w:hint="eastAsia" w:ascii="宋体" w:hAnsi="宋体" w:eastAsia="宋体" w:cs="宋体"/>
            </w:rPr>
            <w:fldChar w:fldCharType="end"/>
          </w:r>
        </w:p>
        <w:p w14:paraId="1D94EA5B">
          <w:pPr>
            <w:pStyle w:val="8"/>
            <w:tabs>
              <w:tab w:val="right" w:leader="dot" w:pos="9061"/>
            </w:tabs>
            <w:rPr>
              <w:rFonts w:hint="eastAsia" w:ascii="宋体" w:hAnsi="宋体" w:eastAsia="宋体" w:cs="宋体"/>
              <w:sz w:val="22"/>
              <w:szCs w:val="24"/>
              <w14:ligatures w14:val="standardContextual"/>
            </w:rPr>
          </w:pPr>
          <w:r>
            <w:rPr>
              <w:rFonts w:hint="eastAsia" w:ascii="宋体" w:hAnsi="宋体" w:eastAsia="宋体" w:cs="宋体"/>
            </w:rPr>
            <w:fldChar w:fldCharType="begin"/>
          </w:r>
          <w:r>
            <w:rPr>
              <w:rFonts w:hint="eastAsia" w:ascii="宋体" w:hAnsi="宋体" w:eastAsia="宋体" w:cs="宋体"/>
            </w:rPr>
            <w:instrText xml:space="preserve"> HYPERLINK \l "_Toc237881647" </w:instrText>
          </w:r>
          <w:r>
            <w:rPr>
              <w:rFonts w:hint="eastAsia" w:ascii="宋体" w:hAnsi="宋体" w:eastAsia="宋体" w:cs="宋体"/>
            </w:rPr>
            <w:fldChar w:fldCharType="separate"/>
          </w:r>
          <w:r>
            <w:rPr>
              <w:rStyle w:val="13"/>
              <w:rFonts w:hint="eastAsia" w:ascii="宋体" w:hAnsi="宋体" w:eastAsia="宋体" w:cs="宋体"/>
            </w:rPr>
            <w:t>3 术语和定义</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_Toc237881647 \h </w:instrText>
          </w:r>
          <w:r>
            <w:rPr>
              <w:rFonts w:hint="eastAsia" w:ascii="宋体" w:hAnsi="宋体" w:eastAsia="宋体" w:cs="宋体"/>
            </w:rPr>
            <w:fldChar w:fldCharType="separate"/>
          </w:r>
          <w:r>
            <w:rPr>
              <w:rFonts w:hint="eastAsia" w:ascii="宋体" w:hAnsi="宋体" w:eastAsia="宋体" w:cs="宋体"/>
            </w:rPr>
            <w:t>4</w:t>
          </w:r>
          <w:r>
            <w:rPr>
              <w:rFonts w:hint="eastAsia" w:ascii="宋体" w:hAnsi="宋体" w:eastAsia="宋体" w:cs="宋体"/>
            </w:rPr>
            <w:fldChar w:fldCharType="end"/>
          </w:r>
          <w:r>
            <w:rPr>
              <w:rFonts w:hint="eastAsia" w:ascii="宋体" w:hAnsi="宋体" w:eastAsia="宋体" w:cs="宋体"/>
            </w:rPr>
            <w:fldChar w:fldCharType="end"/>
          </w:r>
        </w:p>
        <w:p w14:paraId="74EF5D67">
          <w:pPr>
            <w:pStyle w:val="8"/>
            <w:tabs>
              <w:tab w:val="right" w:leader="dot" w:pos="9061"/>
            </w:tabs>
            <w:rPr>
              <w:rFonts w:hint="eastAsia" w:ascii="宋体" w:hAnsi="宋体" w:eastAsia="宋体" w:cs="宋体"/>
              <w:sz w:val="22"/>
              <w:szCs w:val="24"/>
              <w14:ligatures w14:val="standardContextual"/>
            </w:rPr>
          </w:pPr>
          <w:r>
            <w:rPr>
              <w:rFonts w:hint="eastAsia" w:ascii="宋体" w:hAnsi="宋体" w:eastAsia="宋体" w:cs="宋体"/>
            </w:rPr>
            <w:fldChar w:fldCharType="begin"/>
          </w:r>
          <w:r>
            <w:rPr>
              <w:rFonts w:hint="eastAsia" w:ascii="宋体" w:hAnsi="宋体" w:eastAsia="宋体" w:cs="宋体"/>
            </w:rPr>
            <w:instrText xml:space="preserve"> HYPERLINK \l "_Toc237881648" </w:instrText>
          </w:r>
          <w:r>
            <w:rPr>
              <w:rFonts w:hint="eastAsia" w:ascii="宋体" w:hAnsi="宋体" w:eastAsia="宋体" w:cs="宋体"/>
            </w:rPr>
            <w:fldChar w:fldCharType="separate"/>
          </w:r>
          <w:r>
            <w:rPr>
              <w:rStyle w:val="13"/>
              <w:rFonts w:hint="eastAsia" w:ascii="宋体" w:hAnsi="宋体" w:eastAsia="宋体" w:cs="宋体"/>
            </w:rPr>
            <w:t>4 创建要求</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_Toc237881648 \h </w:instrText>
          </w:r>
          <w:r>
            <w:rPr>
              <w:rFonts w:hint="eastAsia" w:ascii="宋体" w:hAnsi="宋体" w:eastAsia="宋体" w:cs="宋体"/>
            </w:rPr>
            <w:fldChar w:fldCharType="separate"/>
          </w:r>
          <w:r>
            <w:rPr>
              <w:rFonts w:hint="eastAsia" w:ascii="宋体" w:hAnsi="宋体" w:eastAsia="宋体" w:cs="宋体"/>
            </w:rPr>
            <w:t>5</w:t>
          </w:r>
          <w:r>
            <w:rPr>
              <w:rFonts w:hint="eastAsia" w:ascii="宋体" w:hAnsi="宋体" w:eastAsia="宋体" w:cs="宋体"/>
            </w:rPr>
            <w:fldChar w:fldCharType="end"/>
          </w:r>
          <w:r>
            <w:rPr>
              <w:rFonts w:hint="eastAsia" w:ascii="宋体" w:hAnsi="宋体" w:eastAsia="宋体" w:cs="宋体"/>
            </w:rPr>
            <w:fldChar w:fldCharType="end"/>
          </w:r>
        </w:p>
        <w:p w14:paraId="1DDF290A">
          <w:pPr>
            <w:pStyle w:val="8"/>
            <w:tabs>
              <w:tab w:val="right" w:leader="dot" w:pos="9061"/>
            </w:tabs>
            <w:rPr>
              <w:rFonts w:hint="eastAsia" w:ascii="宋体" w:hAnsi="宋体" w:eastAsia="宋体" w:cs="宋体"/>
              <w:sz w:val="22"/>
              <w:szCs w:val="24"/>
              <w14:ligatures w14:val="standardContextual"/>
            </w:rPr>
          </w:pPr>
          <w:r>
            <w:rPr>
              <w:rFonts w:hint="eastAsia" w:ascii="宋体" w:hAnsi="宋体" w:eastAsia="宋体" w:cs="宋体"/>
            </w:rPr>
            <w:fldChar w:fldCharType="begin"/>
          </w:r>
          <w:r>
            <w:rPr>
              <w:rFonts w:hint="eastAsia" w:ascii="宋体" w:hAnsi="宋体" w:eastAsia="宋体" w:cs="宋体"/>
            </w:rPr>
            <w:instrText xml:space="preserve"> HYPERLINK \l "_Toc237881649" </w:instrText>
          </w:r>
          <w:r>
            <w:rPr>
              <w:rFonts w:hint="eastAsia" w:ascii="宋体" w:hAnsi="宋体" w:eastAsia="宋体" w:cs="宋体"/>
            </w:rPr>
            <w:fldChar w:fldCharType="separate"/>
          </w:r>
          <w:r>
            <w:rPr>
              <w:rStyle w:val="13"/>
              <w:rFonts w:hint="eastAsia" w:ascii="宋体" w:hAnsi="宋体" w:eastAsia="宋体" w:cs="宋体"/>
            </w:rPr>
            <w:t>5 评价方法</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_Toc237881649 \h </w:instrText>
          </w:r>
          <w:r>
            <w:rPr>
              <w:rFonts w:hint="eastAsia" w:ascii="宋体" w:hAnsi="宋体" w:eastAsia="宋体" w:cs="宋体"/>
            </w:rPr>
            <w:fldChar w:fldCharType="separate"/>
          </w:r>
          <w:r>
            <w:rPr>
              <w:rFonts w:hint="eastAsia" w:ascii="宋体" w:hAnsi="宋体" w:eastAsia="宋体" w:cs="宋体"/>
            </w:rPr>
            <w:t>7</w:t>
          </w:r>
          <w:r>
            <w:rPr>
              <w:rFonts w:hint="eastAsia" w:ascii="宋体" w:hAnsi="宋体" w:eastAsia="宋体" w:cs="宋体"/>
            </w:rPr>
            <w:fldChar w:fldCharType="end"/>
          </w:r>
          <w:r>
            <w:rPr>
              <w:rFonts w:hint="eastAsia" w:ascii="宋体" w:hAnsi="宋体" w:eastAsia="宋体" w:cs="宋体"/>
            </w:rPr>
            <w:fldChar w:fldCharType="end"/>
          </w:r>
        </w:p>
        <w:p w14:paraId="57533B53">
          <w:pPr>
            <w:pStyle w:val="8"/>
            <w:tabs>
              <w:tab w:val="right" w:leader="dot" w:pos="9061"/>
            </w:tabs>
            <w:rPr>
              <w:rFonts w:hint="eastAsia" w:ascii="宋体" w:hAnsi="宋体" w:eastAsia="宋体" w:cs="宋体"/>
              <w:sz w:val="22"/>
              <w:szCs w:val="24"/>
              <w14:ligatures w14:val="standardContextual"/>
            </w:rPr>
          </w:pPr>
          <w:r>
            <w:rPr>
              <w:rFonts w:hint="eastAsia" w:ascii="宋体" w:hAnsi="宋体" w:eastAsia="宋体" w:cs="宋体"/>
            </w:rPr>
            <w:fldChar w:fldCharType="begin"/>
          </w:r>
          <w:r>
            <w:rPr>
              <w:rFonts w:hint="eastAsia" w:ascii="宋体" w:hAnsi="宋体" w:eastAsia="宋体" w:cs="宋体"/>
            </w:rPr>
            <w:instrText xml:space="preserve"> HYPERLINK \l "_Toc237881650" </w:instrText>
          </w:r>
          <w:r>
            <w:rPr>
              <w:rFonts w:hint="eastAsia" w:ascii="宋体" w:hAnsi="宋体" w:eastAsia="宋体" w:cs="宋体"/>
            </w:rPr>
            <w:fldChar w:fldCharType="separate"/>
          </w:r>
          <w:r>
            <w:rPr>
              <w:rStyle w:val="13"/>
              <w:rFonts w:hint="eastAsia" w:ascii="宋体" w:hAnsi="宋体" w:eastAsia="宋体" w:cs="宋体"/>
            </w:rPr>
            <w:t>附录A（规范性）零碳散粮港口评价指标及评价等级</w:t>
          </w:r>
          <w:r>
            <w:rPr>
              <w:rStyle w:val="13"/>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_Toc237881650 \h </w:instrText>
          </w:r>
          <w:r>
            <w:rPr>
              <w:rFonts w:hint="eastAsia" w:ascii="宋体" w:hAnsi="宋体" w:eastAsia="宋体" w:cs="宋体"/>
            </w:rPr>
            <w:fldChar w:fldCharType="separate"/>
          </w:r>
          <w:r>
            <w:rPr>
              <w:rFonts w:hint="eastAsia" w:ascii="宋体" w:hAnsi="宋体" w:eastAsia="宋体" w:cs="宋体"/>
            </w:rPr>
            <w:t>10</w:t>
          </w:r>
          <w:r>
            <w:rPr>
              <w:rFonts w:hint="eastAsia" w:ascii="宋体" w:hAnsi="宋体" w:eastAsia="宋体" w:cs="宋体"/>
            </w:rPr>
            <w:fldChar w:fldCharType="end"/>
          </w:r>
          <w:r>
            <w:rPr>
              <w:rFonts w:hint="eastAsia" w:ascii="宋体" w:hAnsi="宋体" w:eastAsia="宋体" w:cs="宋体"/>
            </w:rPr>
            <w:fldChar w:fldCharType="end"/>
          </w:r>
        </w:p>
        <w:p w14:paraId="3F56D4F5">
          <w:pPr>
            <w:pStyle w:val="8"/>
            <w:tabs>
              <w:tab w:val="right" w:leader="dot" w:pos="9061"/>
            </w:tabs>
            <w:rPr>
              <w:rFonts w:hint="eastAsia" w:ascii="宋体" w:hAnsi="宋体" w:eastAsia="宋体" w:cs="宋体"/>
              <w:sz w:val="22"/>
              <w:szCs w:val="24"/>
              <w14:ligatures w14:val="standardContextual"/>
            </w:rPr>
          </w:pPr>
          <w:r>
            <w:rPr>
              <w:rFonts w:hint="eastAsia" w:ascii="宋体" w:hAnsi="宋体" w:eastAsia="宋体" w:cs="宋体"/>
            </w:rPr>
            <w:fldChar w:fldCharType="begin"/>
          </w:r>
          <w:r>
            <w:rPr>
              <w:rFonts w:hint="eastAsia" w:ascii="宋体" w:hAnsi="宋体" w:eastAsia="宋体" w:cs="宋体"/>
            </w:rPr>
            <w:instrText xml:space="preserve"> HYPERLINK \l "_Toc237881653" </w:instrText>
          </w:r>
          <w:r>
            <w:rPr>
              <w:rFonts w:hint="eastAsia" w:ascii="宋体" w:hAnsi="宋体" w:eastAsia="宋体" w:cs="宋体"/>
            </w:rPr>
            <w:fldChar w:fldCharType="separate"/>
          </w:r>
          <w:r>
            <w:rPr>
              <w:rStyle w:val="13"/>
              <w:rFonts w:hint="eastAsia" w:ascii="宋体" w:hAnsi="宋体" w:eastAsia="宋体" w:cs="宋体"/>
            </w:rPr>
            <w:t>附录B（规范性）散粮港口碳排放核算方法</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_Toc237881653 \h </w:instrText>
          </w:r>
          <w:r>
            <w:rPr>
              <w:rFonts w:hint="eastAsia" w:ascii="宋体" w:hAnsi="宋体" w:eastAsia="宋体" w:cs="宋体"/>
            </w:rPr>
            <w:fldChar w:fldCharType="separate"/>
          </w:r>
          <w:r>
            <w:rPr>
              <w:rFonts w:hint="eastAsia" w:ascii="宋体" w:hAnsi="宋体" w:eastAsia="宋体" w:cs="宋体"/>
            </w:rPr>
            <w:t>13</w:t>
          </w:r>
          <w:r>
            <w:rPr>
              <w:rFonts w:hint="eastAsia" w:ascii="宋体" w:hAnsi="宋体" w:eastAsia="宋体" w:cs="宋体"/>
            </w:rPr>
            <w:fldChar w:fldCharType="end"/>
          </w:r>
          <w:r>
            <w:rPr>
              <w:rFonts w:hint="eastAsia" w:ascii="宋体" w:hAnsi="宋体" w:eastAsia="宋体" w:cs="宋体"/>
            </w:rPr>
            <w:fldChar w:fldCharType="end"/>
          </w:r>
        </w:p>
        <w:p w14:paraId="74912399">
          <w:pPr>
            <w:pStyle w:val="8"/>
            <w:tabs>
              <w:tab w:val="right" w:leader="dot" w:pos="9061"/>
            </w:tabs>
            <w:rPr>
              <w:rFonts w:hint="eastAsia" w:ascii="宋体" w:hAnsi="宋体" w:eastAsia="宋体" w:cs="宋体"/>
              <w:sz w:val="22"/>
              <w:szCs w:val="24"/>
              <w14:ligatures w14:val="standardContextual"/>
            </w:rPr>
          </w:pPr>
          <w:r>
            <w:rPr>
              <w:rFonts w:hint="eastAsia" w:ascii="宋体" w:hAnsi="宋体" w:eastAsia="宋体" w:cs="宋体"/>
            </w:rPr>
            <w:fldChar w:fldCharType="begin"/>
          </w:r>
          <w:r>
            <w:rPr>
              <w:rFonts w:hint="eastAsia" w:ascii="宋体" w:hAnsi="宋体" w:eastAsia="宋体" w:cs="宋体"/>
            </w:rPr>
            <w:instrText xml:space="preserve"> HYPERLINK \l "_Toc237881656" </w:instrText>
          </w:r>
          <w:r>
            <w:rPr>
              <w:rFonts w:hint="eastAsia" w:ascii="宋体" w:hAnsi="宋体" w:eastAsia="宋体" w:cs="宋体"/>
            </w:rPr>
            <w:fldChar w:fldCharType="separate"/>
          </w:r>
          <w:r>
            <w:rPr>
              <w:rStyle w:val="13"/>
              <w:rFonts w:hint="eastAsia" w:ascii="宋体" w:hAnsi="宋体" w:eastAsia="宋体" w:cs="宋体"/>
            </w:rPr>
            <w:t>附录C（规范性）吞吐量碳排放弹性系数</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_Toc237881656 \h </w:instrText>
          </w:r>
          <w:r>
            <w:rPr>
              <w:rFonts w:hint="eastAsia" w:ascii="宋体" w:hAnsi="宋体" w:eastAsia="宋体" w:cs="宋体"/>
            </w:rPr>
            <w:fldChar w:fldCharType="separate"/>
          </w:r>
          <w:r>
            <w:rPr>
              <w:rFonts w:hint="eastAsia" w:ascii="宋体" w:hAnsi="宋体" w:eastAsia="宋体" w:cs="宋体"/>
            </w:rPr>
            <w:t>17</w:t>
          </w:r>
          <w:r>
            <w:rPr>
              <w:rFonts w:hint="eastAsia" w:ascii="宋体" w:hAnsi="宋体" w:eastAsia="宋体" w:cs="宋体"/>
            </w:rPr>
            <w:fldChar w:fldCharType="end"/>
          </w:r>
          <w:r>
            <w:rPr>
              <w:rFonts w:hint="eastAsia" w:ascii="宋体" w:hAnsi="宋体" w:eastAsia="宋体" w:cs="宋体"/>
            </w:rPr>
            <w:fldChar w:fldCharType="end"/>
          </w:r>
        </w:p>
        <w:p w14:paraId="79941577">
          <w:pPr>
            <w:pStyle w:val="8"/>
            <w:tabs>
              <w:tab w:val="right" w:leader="dot" w:pos="9061"/>
            </w:tabs>
            <w:rPr>
              <w:rFonts w:hint="eastAsia" w:ascii="宋体" w:hAnsi="宋体" w:eastAsia="宋体" w:cs="宋体"/>
              <w:sz w:val="22"/>
              <w:szCs w:val="24"/>
              <w14:ligatures w14:val="standardContextual"/>
            </w:rPr>
          </w:pPr>
          <w:r>
            <w:rPr>
              <w:rFonts w:hint="eastAsia" w:ascii="宋体" w:hAnsi="宋体" w:eastAsia="宋体" w:cs="宋体"/>
            </w:rPr>
            <w:fldChar w:fldCharType="begin"/>
          </w:r>
          <w:r>
            <w:rPr>
              <w:rFonts w:hint="eastAsia" w:ascii="宋体" w:hAnsi="宋体" w:eastAsia="宋体" w:cs="宋体"/>
            </w:rPr>
            <w:instrText xml:space="preserve"> HYPERLINK \l "_Toc237881659" </w:instrText>
          </w:r>
          <w:r>
            <w:rPr>
              <w:rFonts w:hint="eastAsia" w:ascii="宋体" w:hAnsi="宋体" w:eastAsia="宋体" w:cs="宋体"/>
            </w:rPr>
            <w:fldChar w:fldCharType="separate"/>
          </w:r>
          <w:r>
            <w:rPr>
              <w:rFonts w:hint="eastAsia" w:ascii="宋体" w:hAnsi="宋体" w:eastAsia="宋体" w:cs="宋体"/>
            </w:rPr>
            <w:t>参考文献</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_Toc237881659 \h </w:instrText>
          </w:r>
          <w:r>
            <w:rPr>
              <w:rFonts w:hint="eastAsia" w:ascii="宋体" w:hAnsi="宋体" w:eastAsia="宋体" w:cs="宋体"/>
            </w:rPr>
            <w:fldChar w:fldCharType="separate"/>
          </w:r>
          <w:r>
            <w:rPr>
              <w:rFonts w:hint="eastAsia" w:ascii="宋体" w:hAnsi="宋体" w:eastAsia="宋体" w:cs="宋体"/>
            </w:rPr>
            <w:t>18</w:t>
          </w:r>
          <w:r>
            <w:rPr>
              <w:rFonts w:hint="eastAsia" w:ascii="宋体" w:hAnsi="宋体" w:eastAsia="宋体" w:cs="宋体"/>
            </w:rPr>
            <w:fldChar w:fldCharType="end"/>
          </w:r>
          <w:r>
            <w:rPr>
              <w:rFonts w:hint="eastAsia" w:ascii="宋体" w:hAnsi="宋体" w:eastAsia="宋体" w:cs="宋体"/>
            </w:rPr>
            <w:fldChar w:fldCharType="end"/>
          </w:r>
        </w:p>
        <w:p w14:paraId="69DE266F">
          <w:pPr>
            <w:pStyle w:val="19"/>
            <w:ind w:firstLine="0" w:firstLineChars="0"/>
          </w:pPr>
          <w:r>
            <w:rPr>
              <w:rFonts w:hint="eastAsia" w:ascii="宋体" w:hAnsi="宋体" w:eastAsia="宋体" w:cs="宋体"/>
            </w:rPr>
            <w:fldChar w:fldCharType="end"/>
          </w:r>
        </w:p>
      </w:sdtContent>
    </w:sdt>
    <w:p w14:paraId="38EE633C">
      <w:pPr>
        <w:pStyle w:val="19"/>
        <w:ind w:firstLine="0" w:firstLineChars="0"/>
        <w:sectPr>
          <w:pgSz w:w="11905" w:h="16838"/>
          <w:pgMar w:top="1417" w:right="1417" w:bottom="1134" w:left="1417" w:header="1417" w:footer="1134" w:gutter="0"/>
          <w:pgNumType w:fmt="upperRoman"/>
          <w:cols w:space="0" w:num="1"/>
          <w:docGrid w:linePitch="312" w:charSpace="0"/>
        </w:sectPr>
      </w:pPr>
    </w:p>
    <w:p w14:paraId="2C61C665">
      <w:pPr>
        <w:pStyle w:val="21"/>
        <w:rPr>
          <w:rFonts w:hint="eastAsia" w:hAnsi="黑体" w:cs="Arial"/>
        </w:rPr>
      </w:pPr>
      <w:bookmarkStart w:id="6" w:name="_Toc23521"/>
      <w:bookmarkStart w:id="7" w:name="_Toc236437626"/>
      <w:bookmarkStart w:id="8" w:name="_Toc5972"/>
      <w:bookmarkStart w:id="9" w:name="_Toc237881643"/>
      <w:r>
        <w:rPr>
          <w:rFonts w:hint="eastAsia" w:hAnsi="黑体" w:cs="Arial"/>
        </w:rPr>
        <w:t>前    言</w:t>
      </w:r>
      <w:bookmarkEnd w:id="6"/>
      <w:bookmarkEnd w:id="7"/>
      <w:bookmarkEnd w:id="8"/>
      <w:bookmarkEnd w:id="9"/>
    </w:p>
    <w:p w14:paraId="3E04E31D">
      <w:pPr>
        <w:ind w:firstLine="420" w:firstLineChars="200"/>
        <w:rPr>
          <w:rFonts w:hint="eastAsia" w:ascii="宋体" w:hAnsi="宋体" w:eastAsia="宋体" w:cs="宋体"/>
        </w:rPr>
      </w:pPr>
      <w:r>
        <w:rPr>
          <w:rFonts w:hint="eastAsia" w:ascii="宋体" w:hAnsi="宋体" w:eastAsia="宋体" w:cs="宋体"/>
        </w:rPr>
        <w:t>本文件按照GB/T 1.1—2020《标准化工作导则  第1部分：标准化文件的结构和起草规则》的规定起草。</w:t>
      </w:r>
    </w:p>
    <w:p w14:paraId="5C89A1E1">
      <w:pPr>
        <w:autoSpaceDE w:val="0"/>
        <w:autoSpaceDN w:val="0"/>
        <w:adjustRightInd w:val="0"/>
        <w:ind w:firstLine="420" w:firstLineChars="200"/>
        <w:rPr>
          <w:rFonts w:hint="eastAsia" w:ascii="宋体" w:hAnsi="宋体" w:eastAsia="宋体" w:cs="宋体"/>
          <w:kern w:val="0"/>
        </w:rPr>
      </w:pPr>
      <w:r>
        <w:rPr>
          <w:rFonts w:hint="eastAsia" w:ascii="宋体" w:hAnsi="宋体" w:eastAsia="宋体" w:cs="宋体"/>
          <w:kern w:val="0"/>
        </w:rPr>
        <w:t>请注意本文件的某些内容可能涉及专利。本文件的发布机构不承担识别专利的责任。</w:t>
      </w:r>
    </w:p>
    <w:p w14:paraId="2714267B">
      <w:pPr>
        <w:ind w:firstLine="420" w:firstLineChars="200"/>
        <w:rPr>
          <w:rFonts w:hint="eastAsia" w:ascii="宋体" w:hAnsi="宋体" w:eastAsia="宋体" w:cs="宋体"/>
        </w:rPr>
      </w:pPr>
      <w:r>
        <w:rPr>
          <w:rFonts w:hint="eastAsia" w:ascii="宋体" w:hAnsi="宋体" w:eastAsia="宋体" w:cs="宋体"/>
        </w:rPr>
        <w:t>本文件由中国节能协会提出并归口。</w:t>
      </w:r>
    </w:p>
    <w:p w14:paraId="4B150C2F">
      <w:pPr>
        <w:ind w:firstLine="420" w:firstLineChars="200"/>
        <w:rPr>
          <w:rFonts w:hint="eastAsia" w:ascii="宋体" w:hAnsi="宋体" w:eastAsia="宋体" w:cs="宋体"/>
        </w:rPr>
      </w:pPr>
      <w:r>
        <w:rPr>
          <w:rFonts w:hint="eastAsia" w:ascii="宋体" w:hAnsi="宋体" w:eastAsia="宋体" w:cs="宋体"/>
        </w:rPr>
        <w:t>本文件起草单位：中粮贸易有限公司、中国华粮物流集团北良有限公司大连散粮港务分公司</w:t>
      </w:r>
      <w:r>
        <w:rPr>
          <w:rFonts w:hint="eastAsia" w:ascii="宋体" w:hAnsi="宋体" w:eastAsia="宋体" w:cs="宋体"/>
          <w:lang w:eastAsia="zh-CN"/>
        </w:rPr>
        <w:t>、</w:t>
      </w:r>
      <w:r>
        <w:rPr>
          <w:rFonts w:hint="eastAsia" w:ascii="宋体" w:hAnsi="宋体" w:eastAsia="宋体" w:cs="宋体"/>
        </w:rPr>
        <w:t>中粮贸易岳阳城陵矶港口有限公司</w:t>
      </w:r>
      <w:r>
        <w:rPr>
          <w:rFonts w:hint="eastAsia" w:ascii="宋体" w:hAnsi="宋体" w:eastAsia="宋体" w:cs="宋体"/>
          <w:lang w:eastAsia="zh-CN"/>
        </w:rPr>
        <w:t>、</w:t>
      </w:r>
      <w:r>
        <w:rPr>
          <w:rFonts w:hint="eastAsia" w:ascii="宋体" w:hAnsi="宋体" w:eastAsia="宋体" w:cs="宋体"/>
        </w:rPr>
        <w:t>中粮贸易（靖江）有限公司</w:t>
      </w:r>
      <w:r>
        <w:rPr>
          <w:rFonts w:hint="eastAsia" w:ascii="宋体" w:hAnsi="宋体" w:eastAsia="宋体" w:cs="宋体"/>
          <w:lang w:eastAsia="zh-CN"/>
        </w:rPr>
        <w:t>、</w:t>
      </w:r>
      <w:r>
        <w:rPr>
          <w:rFonts w:hint="eastAsia" w:ascii="宋体" w:hAnsi="宋体" w:eastAsia="宋体" w:cs="宋体"/>
        </w:rPr>
        <w:t>中达合丰（上海）低碳科技有限公司。</w:t>
      </w:r>
    </w:p>
    <w:p w14:paraId="01813634">
      <w:pPr>
        <w:ind w:firstLine="420" w:firstLineChars="200"/>
        <w:rPr>
          <w:rFonts w:hint="eastAsia" w:ascii="宋体" w:hAnsi="宋体" w:eastAsia="宋体" w:cs="宋体"/>
        </w:rPr>
      </w:pPr>
      <w:r>
        <w:rPr>
          <w:rFonts w:hint="eastAsia" w:ascii="宋体" w:hAnsi="宋体" w:eastAsia="宋体" w:cs="宋体"/>
        </w:rPr>
        <w:t>本文件主要起草人：XXXX。</w:t>
      </w:r>
    </w:p>
    <w:p w14:paraId="5509152C">
      <w:pPr>
        <w:ind w:firstLine="420" w:firstLineChars="200"/>
        <w:rPr>
          <w:rFonts w:hint="eastAsia" w:ascii="宋体" w:hAnsi="宋体" w:eastAsia="宋体" w:cs="宋体"/>
        </w:rPr>
      </w:pPr>
      <w:r>
        <w:rPr>
          <w:rFonts w:hint="eastAsia" w:ascii="宋体" w:hAnsi="宋体" w:eastAsia="宋体" w:cs="宋体"/>
        </w:rPr>
        <w:t>本文件为首次发布。</w:t>
      </w:r>
    </w:p>
    <w:p w14:paraId="587E203C">
      <w:pPr>
        <w:ind w:firstLine="420" w:firstLineChars="200"/>
        <w:rPr>
          <w:rFonts w:hint="eastAsia" w:ascii="宋体" w:hAnsi="宋体" w:eastAsia="宋体" w:cs="宋体"/>
        </w:rPr>
      </w:pPr>
    </w:p>
    <w:p w14:paraId="79A78EA3">
      <w:pPr>
        <w:pStyle w:val="16"/>
        <w:spacing w:before="0" w:after="0" w:line="240" w:lineRule="auto"/>
        <w:ind w:firstLine="640" w:firstLineChars="200"/>
        <w:rPr>
          <w:rFonts w:hint="eastAsia" w:ascii="宋体" w:hAnsi="宋体" w:eastAsia="宋体" w:cs="宋体"/>
        </w:rPr>
        <w:sectPr>
          <w:headerReference r:id="rId9" w:type="first"/>
          <w:footerReference r:id="rId11" w:type="first"/>
          <w:headerReference r:id="rId8" w:type="default"/>
          <w:footerReference r:id="rId10" w:type="default"/>
          <w:type w:val="continuous"/>
          <w:pgSz w:w="11905" w:h="16838"/>
          <w:pgMar w:top="1417" w:right="1417" w:bottom="1134" w:left="1417" w:header="1417" w:footer="1134" w:gutter="0"/>
          <w:pgNumType w:fmt="upperRoman"/>
          <w:cols w:space="0" w:num="1"/>
          <w:titlePg/>
          <w:docGrid w:linePitch="312" w:charSpace="0"/>
        </w:sectPr>
      </w:pPr>
    </w:p>
    <w:p w14:paraId="2C17F22F">
      <w:pPr>
        <w:pStyle w:val="16"/>
        <w:rPr>
          <w:rFonts w:ascii="Arial" w:hAnsi="Arial" w:cs="Arial"/>
        </w:rPr>
      </w:pPr>
      <w:bookmarkStart w:id="10" w:name="_Toc236437627"/>
      <w:bookmarkStart w:id="11" w:name="_Toc26572"/>
      <w:bookmarkStart w:id="12" w:name="_Toc5568"/>
      <w:bookmarkStart w:id="13" w:name="_Toc237881644"/>
      <w:bookmarkStart w:id="14" w:name="_Toc26751"/>
      <w:r>
        <w:rPr>
          <w:rFonts w:ascii="Arial" w:hAnsi="Arial" w:cs="Arial"/>
        </w:rPr>
        <w:t>零碳散粮港口创建与评价技术规范</w:t>
      </w:r>
      <w:bookmarkEnd w:id="10"/>
      <w:bookmarkEnd w:id="11"/>
      <w:bookmarkEnd w:id="12"/>
      <w:bookmarkEnd w:id="13"/>
      <w:bookmarkEnd w:id="14"/>
    </w:p>
    <w:p w14:paraId="58FB4D92">
      <w:pPr>
        <w:pStyle w:val="35"/>
        <w:spacing w:before="312" w:after="312"/>
      </w:pPr>
      <w:bookmarkStart w:id="15" w:name="_Toc24884218"/>
      <w:bookmarkStart w:id="16" w:name="_Toc26718930"/>
      <w:bookmarkStart w:id="17" w:name="_Toc24884211"/>
      <w:bookmarkStart w:id="18" w:name="_Toc26986771"/>
      <w:bookmarkStart w:id="19" w:name="_Toc237881645"/>
      <w:bookmarkStart w:id="20" w:name="_Toc17233325"/>
      <w:bookmarkStart w:id="21" w:name="_Toc97192964"/>
      <w:bookmarkStart w:id="22" w:name="_Toc26986530"/>
      <w:bookmarkStart w:id="23" w:name="_Toc17233333"/>
      <w:bookmarkStart w:id="24" w:name="_Toc26648465"/>
      <w:bookmarkStart w:id="25" w:name="_Toc25514"/>
      <w:bookmarkStart w:id="26" w:name="_Toc9505"/>
      <w:bookmarkStart w:id="27" w:name="_Toc20601"/>
      <w:bookmarkStart w:id="28" w:name="_Toc25746"/>
      <w:bookmarkStart w:id="29" w:name="_Toc236437628"/>
      <w:bookmarkStart w:id="30" w:name="_Toc30919"/>
      <w:bookmarkStart w:id="31" w:name="_Toc6739"/>
      <w:bookmarkStart w:id="32" w:name="_Toc21583"/>
      <w:bookmarkStart w:id="33" w:name="_Toc23943"/>
      <w:r>
        <w:rPr>
          <w:rFonts w:hint="eastAsia"/>
        </w:rPr>
        <w:t>范围</w:t>
      </w:r>
      <w:bookmarkEnd w:id="15"/>
      <w:bookmarkEnd w:id="16"/>
      <w:bookmarkEnd w:id="17"/>
      <w:bookmarkEnd w:id="18"/>
      <w:bookmarkEnd w:id="19"/>
      <w:bookmarkEnd w:id="20"/>
      <w:bookmarkEnd w:id="21"/>
      <w:bookmarkEnd w:id="22"/>
      <w:bookmarkEnd w:id="23"/>
      <w:bookmarkEnd w:id="24"/>
    </w:p>
    <w:bookmarkEnd w:id="25"/>
    <w:bookmarkEnd w:id="26"/>
    <w:bookmarkEnd w:id="27"/>
    <w:bookmarkEnd w:id="28"/>
    <w:bookmarkEnd w:id="29"/>
    <w:bookmarkEnd w:id="30"/>
    <w:bookmarkEnd w:id="31"/>
    <w:bookmarkEnd w:id="32"/>
    <w:bookmarkEnd w:id="33"/>
    <w:p w14:paraId="3FC9F7E7">
      <w:pPr>
        <w:pStyle w:val="19"/>
        <w:ind w:firstLineChars="0"/>
        <w:rPr>
          <w:rFonts w:hint="eastAsia" w:hAnsi="宋体" w:cs="宋体"/>
          <w:szCs w:val="21"/>
        </w:rPr>
      </w:pPr>
      <w:r>
        <w:rPr>
          <w:rFonts w:hint="eastAsia" w:hAnsi="宋体" w:cs="宋体"/>
          <w:szCs w:val="21"/>
        </w:rPr>
        <w:t>本文件规定了零碳散粮港口的创建要求和评价方法，以及对评价结果的应用和改进。</w:t>
      </w:r>
    </w:p>
    <w:p w14:paraId="42383FF2">
      <w:pPr>
        <w:pStyle w:val="19"/>
        <w:ind w:firstLineChars="0"/>
        <w:rPr>
          <w:rFonts w:hint="eastAsia" w:hAnsi="宋体" w:cs="宋体"/>
          <w:szCs w:val="21"/>
        </w:rPr>
      </w:pPr>
      <w:r>
        <w:rPr>
          <w:rFonts w:hint="eastAsia" w:hAnsi="宋体" w:cs="宋体"/>
          <w:szCs w:val="21"/>
        </w:rPr>
        <w:t>本文件适用于内河港口和海港零碳散粮港口的创建与评价。</w:t>
      </w:r>
    </w:p>
    <w:p w14:paraId="5504B70B">
      <w:pPr>
        <w:pStyle w:val="35"/>
        <w:spacing w:before="312" w:after="312"/>
      </w:pPr>
      <w:bookmarkStart w:id="34" w:name="bookmark3"/>
      <w:bookmarkEnd w:id="34"/>
      <w:bookmarkStart w:id="35" w:name="_Toc237881646"/>
      <w:bookmarkStart w:id="36" w:name="_Toc97192965"/>
      <w:bookmarkStart w:id="37" w:name="_Toc26718931"/>
      <w:bookmarkStart w:id="38" w:name="_Toc26986772"/>
      <w:bookmarkStart w:id="39" w:name="_Toc26986531"/>
      <w:bookmarkStart w:id="40" w:name="_Toc236437629"/>
      <w:bookmarkStart w:id="41" w:name="_Toc16095"/>
      <w:bookmarkStart w:id="42" w:name="_Toc207832809"/>
      <w:bookmarkStart w:id="43" w:name="_Toc31063"/>
      <w:bookmarkStart w:id="44" w:name="_Toc30614"/>
      <w:r>
        <w:rPr>
          <w:rFonts w:hint="eastAsia"/>
        </w:rPr>
        <w:t>规范性引用文件</w:t>
      </w:r>
      <w:bookmarkEnd w:id="35"/>
      <w:bookmarkEnd w:id="36"/>
      <w:bookmarkEnd w:id="37"/>
      <w:bookmarkEnd w:id="38"/>
      <w:bookmarkEnd w:id="39"/>
    </w:p>
    <w:sdt>
      <w:sdtPr>
        <w:rPr>
          <w:rFonts w:hint="eastAsia"/>
        </w:rPr>
        <w:id w:val="715848253"/>
        <w:placeholder>
          <w:docPart w:val="{704253b2-c345-4854-bc4e-82e6353a1f01}"/>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0D5A6A32">
          <w:pPr>
            <w:pStyle w:val="18"/>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5930DD1C">
      <w:pPr>
        <w:pStyle w:val="45"/>
        <w:rPr>
          <w:rFonts w:hint="eastAsia"/>
        </w:rPr>
      </w:pPr>
    </w:p>
    <w:p w14:paraId="64FB85E3">
      <w:pPr>
        <w:pStyle w:val="45"/>
        <w:rPr>
          <w:rFonts w:hint="eastAsia"/>
        </w:rPr>
      </w:pPr>
    </w:p>
    <w:bookmarkEnd w:id="40"/>
    <w:bookmarkEnd w:id="41"/>
    <w:bookmarkEnd w:id="42"/>
    <w:bookmarkEnd w:id="43"/>
    <w:bookmarkEnd w:id="44"/>
    <w:p w14:paraId="4697EE87">
      <w:pPr>
        <w:pStyle w:val="19"/>
        <w:ind w:firstLineChars="0"/>
        <w:rPr>
          <w:rFonts w:hint="eastAsia" w:hAnsi="宋体" w:cs="宋体"/>
          <w:szCs w:val="21"/>
        </w:rPr>
      </w:pPr>
      <w:bookmarkStart w:id="45" w:name="bookmark6"/>
      <w:bookmarkEnd w:id="45"/>
      <w:bookmarkStart w:id="46" w:name="_Toc27014"/>
      <w:bookmarkStart w:id="47" w:name="_Toc207832811"/>
      <w:bookmarkStart w:id="48" w:name="BookMark5"/>
      <w:r>
        <w:rPr>
          <w:rFonts w:hAnsi="宋体" w:cs="宋体"/>
          <w:szCs w:val="21"/>
        </w:rPr>
        <w:t>GB</w:t>
      </w:r>
      <w:r>
        <w:rPr>
          <w:rFonts w:hint="eastAsia" w:hAnsi="宋体" w:cs="宋体"/>
          <w:szCs w:val="21"/>
        </w:rPr>
        <w:t>/</w:t>
      </w:r>
      <w:r>
        <w:rPr>
          <w:rFonts w:hAnsi="宋体" w:cs="宋体"/>
          <w:szCs w:val="21"/>
        </w:rPr>
        <w:t>T 21339</w:t>
      </w:r>
      <w:r>
        <w:rPr>
          <w:rFonts w:hint="eastAsia" w:hAnsi="宋体" w:cs="宋体"/>
          <w:szCs w:val="21"/>
        </w:rPr>
        <w:t>—</w:t>
      </w:r>
      <w:r>
        <w:rPr>
          <w:rFonts w:hAnsi="宋体" w:cs="宋体"/>
          <w:szCs w:val="21"/>
        </w:rPr>
        <w:t xml:space="preserve">2020 </w:t>
      </w:r>
      <w:r>
        <w:rPr>
          <w:rFonts w:hint="eastAsia" w:hAnsi="宋体" w:cs="宋体"/>
          <w:szCs w:val="21"/>
        </w:rPr>
        <w:t xml:space="preserve"> </w:t>
      </w:r>
      <w:r>
        <w:rPr>
          <w:rFonts w:hAnsi="宋体" w:cs="宋体"/>
          <w:szCs w:val="21"/>
        </w:rPr>
        <w:t>港口能源消耗统计及分析方法</w:t>
      </w:r>
    </w:p>
    <w:p w14:paraId="730A4DC1">
      <w:pPr>
        <w:pStyle w:val="19"/>
        <w:ind w:firstLineChars="0"/>
        <w:rPr>
          <w:rFonts w:hint="eastAsia" w:hAnsi="宋体" w:cs="宋体"/>
          <w:szCs w:val="21"/>
        </w:rPr>
      </w:pPr>
      <w:r>
        <w:rPr>
          <w:rFonts w:hAnsi="宋体" w:cs="宋体"/>
          <w:szCs w:val="21"/>
        </w:rPr>
        <w:t>GB 31823</w:t>
      </w:r>
      <w:r>
        <w:rPr>
          <w:rFonts w:hint="eastAsia" w:hAnsi="宋体" w:cs="宋体"/>
          <w:szCs w:val="21"/>
        </w:rPr>
        <w:t>—</w:t>
      </w:r>
      <w:r>
        <w:rPr>
          <w:rFonts w:hAnsi="宋体" w:cs="宋体"/>
          <w:szCs w:val="21"/>
        </w:rPr>
        <w:t xml:space="preserve">2021 </w:t>
      </w:r>
      <w:r>
        <w:rPr>
          <w:rFonts w:hint="eastAsia" w:hAnsi="宋体" w:cs="宋体"/>
          <w:szCs w:val="21"/>
        </w:rPr>
        <w:t xml:space="preserve">   </w:t>
      </w:r>
      <w:r>
        <w:rPr>
          <w:rFonts w:hAnsi="宋体" w:cs="宋体"/>
          <w:szCs w:val="21"/>
        </w:rPr>
        <w:t>码头作业单位产品能源消耗限额</w:t>
      </w:r>
    </w:p>
    <w:p w14:paraId="29EA93C0">
      <w:pPr>
        <w:pStyle w:val="19"/>
        <w:ind w:firstLineChars="0"/>
        <w:rPr>
          <w:rFonts w:hint="eastAsia" w:hAnsi="宋体" w:cs="宋体"/>
          <w:szCs w:val="21"/>
        </w:rPr>
      </w:pPr>
      <w:r>
        <w:rPr>
          <w:rFonts w:hAnsi="宋体" w:cs="宋体"/>
          <w:szCs w:val="21"/>
        </w:rPr>
        <w:t>GB</w:t>
      </w:r>
      <w:r>
        <w:rPr>
          <w:rFonts w:hint="eastAsia" w:hAnsi="宋体" w:cs="宋体"/>
          <w:szCs w:val="21"/>
        </w:rPr>
        <w:t>/</w:t>
      </w:r>
      <w:r>
        <w:rPr>
          <w:rFonts w:hAnsi="宋体" w:cs="宋体"/>
          <w:szCs w:val="21"/>
        </w:rPr>
        <w:t>T 43380</w:t>
      </w:r>
      <w:r>
        <w:rPr>
          <w:rFonts w:hint="eastAsia" w:hAnsi="宋体" w:cs="宋体"/>
          <w:szCs w:val="21"/>
        </w:rPr>
        <w:t>—</w:t>
      </w:r>
      <w:r>
        <w:rPr>
          <w:rFonts w:hAnsi="宋体" w:cs="宋体"/>
          <w:szCs w:val="21"/>
        </w:rPr>
        <w:t xml:space="preserve">2023 </w:t>
      </w:r>
      <w:r>
        <w:rPr>
          <w:rFonts w:hint="eastAsia" w:hAnsi="宋体" w:cs="宋体"/>
          <w:szCs w:val="21"/>
        </w:rPr>
        <w:t xml:space="preserve"> </w:t>
      </w:r>
      <w:r>
        <w:rPr>
          <w:rFonts w:hAnsi="宋体" w:cs="宋体"/>
          <w:szCs w:val="21"/>
        </w:rPr>
        <w:t>自动化干散货码头综合管控系统技术要求</w:t>
      </w:r>
    </w:p>
    <w:p w14:paraId="54E706E1">
      <w:pPr>
        <w:pStyle w:val="19"/>
        <w:ind w:firstLineChars="0"/>
        <w:rPr>
          <w:rFonts w:hint="eastAsia" w:hAnsi="宋体" w:cs="宋体"/>
          <w:szCs w:val="21"/>
        </w:rPr>
      </w:pPr>
      <w:r>
        <w:rPr>
          <w:rFonts w:hAnsi="宋体" w:cs="宋体"/>
          <w:szCs w:val="21"/>
        </w:rPr>
        <w:t>GB</w:t>
      </w:r>
      <w:r>
        <w:rPr>
          <w:rFonts w:hint="eastAsia" w:hAnsi="宋体" w:cs="宋体"/>
          <w:szCs w:val="21"/>
        </w:rPr>
        <w:t>/</w:t>
      </w:r>
      <w:r>
        <w:rPr>
          <w:rFonts w:hAnsi="宋体" w:cs="宋体"/>
          <w:szCs w:val="21"/>
        </w:rPr>
        <w:t>T 46566</w:t>
      </w:r>
      <w:r>
        <w:rPr>
          <w:rFonts w:hint="eastAsia" w:hAnsi="宋体" w:cs="宋体"/>
          <w:szCs w:val="21"/>
        </w:rPr>
        <w:t>—</w:t>
      </w:r>
      <w:r>
        <w:rPr>
          <w:rFonts w:hAnsi="宋体" w:cs="宋体"/>
          <w:szCs w:val="21"/>
        </w:rPr>
        <w:t xml:space="preserve">2025 </w:t>
      </w:r>
      <w:r>
        <w:rPr>
          <w:rFonts w:hint="eastAsia" w:hAnsi="宋体" w:cs="宋体"/>
          <w:szCs w:val="21"/>
        </w:rPr>
        <w:t xml:space="preserve"> </w:t>
      </w:r>
      <w:r>
        <w:rPr>
          <w:rFonts w:hAnsi="宋体" w:cs="宋体"/>
          <w:szCs w:val="21"/>
        </w:rPr>
        <w:t>温室气体管理体系 要求</w:t>
      </w:r>
    </w:p>
    <w:p w14:paraId="3A3B261E">
      <w:pPr>
        <w:pStyle w:val="19"/>
        <w:ind w:firstLineChars="0"/>
        <w:rPr>
          <w:rFonts w:hint="eastAsia" w:hAnsi="宋体" w:cs="宋体"/>
          <w:szCs w:val="21"/>
        </w:rPr>
      </w:pPr>
      <w:r>
        <w:rPr>
          <w:rFonts w:hAnsi="宋体" w:cs="宋体"/>
          <w:szCs w:val="21"/>
        </w:rPr>
        <w:t>GB</w:t>
      </w:r>
      <w:r>
        <w:rPr>
          <w:rFonts w:hint="eastAsia" w:hAnsi="宋体" w:cs="宋体"/>
          <w:szCs w:val="21"/>
        </w:rPr>
        <w:t>/</w:t>
      </w:r>
      <w:r>
        <w:rPr>
          <w:rFonts w:hAnsi="宋体" w:cs="宋体"/>
          <w:szCs w:val="21"/>
        </w:rPr>
        <w:t>T 46905</w:t>
      </w:r>
      <w:r>
        <w:rPr>
          <w:rFonts w:hint="eastAsia" w:hAnsi="宋体" w:cs="宋体"/>
          <w:szCs w:val="21"/>
        </w:rPr>
        <w:t>—</w:t>
      </w:r>
      <w:r>
        <w:rPr>
          <w:rFonts w:hAnsi="宋体" w:cs="宋体"/>
          <w:szCs w:val="21"/>
        </w:rPr>
        <w:t xml:space="preserve">2025 </w:t>
      </w:r>
      <w:r>
        <w:rPr>
          <w:rFonts w:hint="eastAsia" w:hAnsi="宋体" w:cs="宋体"/>
          <w:szCs w:val="21"/>
        </w:rPr>
        <w:t xml:space="preserve"> </w:t>
      </w:r>
      <w:r>
        <w:rPr>
          <w:rFonts w:hAnsi="宋体" w:cs="宋体"/>
          <w:szCs w:val="21"/>
        </w:rPr>
        <w:t>码头二氧化碳排放强度等级及评定方法</w:t>
      </w:r>
    </w:p>
    <w:p w14:paraId="53B0865D">
      <w:pPr>
        <w:pStyle w:val="19"/>
        <w:ind w:firstLineChars="0"/>
        <w:rPr>
          <w:rFonts w:hint="eastAsia" w:hAnsi="宋体" w:cs="宋体"/>
          <w:szCs w:val="21"/>
        </w:rPr>
      </w:pPr>
      <w:r>
        <w:rPr>
          <w:rFonts w:hAnsi="宋体" w:cs="宋体"/>
          <w:szCs w:val="21"/>
        </w:rPr>
        <w:t>JTS</w:t>
      </w:r>
      <w:r>
        <w:rPr>
          <w:rFonts w:hint="eastAsia" w:hAnsi="宋体" w:cs="宋体"/>
          <w:szCs w:val="21"/>
        </w:rPr>
        <w:t>/</w:t>
      </w:r>
      <w:r>
        <w:rPr>
          <w:rFonts w:hAnsi="宋体" w:cs="宋体"/>
          <w:szCs w:val="21"/>
        </w:rPr>
        <w:t>T 244</w:t>
      </w:r>
      <w:r>
        <w:rPr>
          <w:rFonts w:hint="eastAsia" w:hAnsi="宋体" w:cs="宋体"/>
          <w:szCs w:val="21"/>
        </w:rPr>
        <w:t>—</w:t>
      </w:r>
      <w:r>
        <w:rPr>
          <w:rFonts w:hAnsi="宋体" w:cs="宋体"/>
          <w:szCs w:val="21"/>
        </w:rPr>
        <w:t xml:space="preserve">2022 </w:t>
      </w:r>
      <w:r>
        <w:rPr>
          <w:rFonts w:hint="eastAsia" w:hAnsi="宋体" w:cs="宋体"/>
          <w:szCs w:val="21"/>
        </w:rPr>
        <w:t xml:space="preserve">  </w:t>
      </w:r>
      <w:r>
        <w:rPr>
          <w:rFonts w:hAnsi="宋体" w:cs="宋体"/>
          <w:szCs w:val="21"/>
        </w:rPr>
        <w:t>港口作业机械能耗监测技术规范</w:t>
      </w:r>
    </w:p>
    <w:p w14:paraId="2869D98C">
      <w:pPr>
        <w:pStyle w:val="19"/>
        <w:ind w:firstLineChars="0"/>
        <w:rPr>
          <w:rFonts w:hint="eastAsia" w:hAnsi="宋体" w:cs="宋体"/>
          <w:szCs w:val="21"/>
        </w:rPr>
      </w:pPr>
      <w:r>
        <w:rPr>
          <w:rFonts w:hAnsi="宋体" w:cs="宋体"/>
          <w:szCs w:val="21"/>
        </w:rPr>
        <w:t>JT</w:t>
      </w:r>
      <w:r>
        <w:rPr>
          <w:rFonts w:hint="eastAsia" w:hAnsi="宋体" w:cs="宋体"/>
          <w:szCs w:val="21"/>
        </w:rPr>
        <w:t>/</w:t>
      </w:r>
      <w:r>
        <w:rPr>
          <w:rFonts w:hAnsi="宋体" w:cs="宋体"/>
          <w:szCs w:val="21"/>
        </w:rPr>
        <w:t>T 491</w:t>
      </w:r>
      <w:r>
        <w:rPr>
          <w:rFonts w:hint="eastAsia" w:hAnsi="宋体" w:cs="宋体"/>
          <w:szCs w:val="21"/>
        </w:rPr>
        <w:t>—</w:t>
      </w:r>
      <w:r>
        <w:rPr>
          <w:rFonts w:hAnsi="宋体" w:cs="宋体"/>
          <w:szCs w:val="21"/>
        </w:rPr>
        <w:t xml:space="preserve">2014 </w:t>
      </w:r>
      <w:r>
        <w:rPr>
          <w:rFonts w:hint="eastAsia" w:hAnsi="宋体" w:cs="宋体"/>
          <w:szCs w:val="21"/>
        </w:rPr>
        <w:t xml:space="preserve">   </w:t>
      </w:r>
      <w:r>
        <w:rPr>
          <w:rFonts w:hAnsi="宋体" w:cs="宋体"/>
          <w:szCs w:val="21"/>
        </w:rPr>
        <w:t>港口固定资产投资项目装卸生产设计可比能源单耗评估</w:t>
      </w:r>
    </w:p>
    <w:p w14:paraId="7EE338BE">
      <w:pPr>
        <w:pStyle w:val="19"/>
        <w:ind w:firstLineChars="0"/>
        <w:rPr>
          <w:rFonts w:hint="eastAsia" w:hAnsi="宋体" w:cs="宋体"/>
          <w:szCs w:val="21"/>
        </w:rPr>
      </w:pPr>
      <w:r>
        <w:rPr>
          <w:rFonts w:hAnsi="宋体" w:cs="宋体"/>
          <w:szCs w:val="21"/>
        </w:rPr>
        <w:t>JT</w:t>
      </w:r>
      <w:r>
        <w:rPr>
          <w:rFonts w:hint="eastAsia" w:hAnsi="宋体" w:cs="宋体"/>
          <w:szCs w:val="21"/>
        </w:rPr>
        <w:t>/</w:t>
      </w:r>
      <w:r>
        <w:rPr>
          <w:rFonts w:hAnsi="宋体" w:cs="宋体"/>
          <w:szCs w:val="21"/>
        </w:rPr>
        <w:t>T 1277</w:t>
      </w:r>
      <w:r>
        <w:rPr>
          <w:rFonts w:hint="eastAsia" w:hAnsi="宋体" w:cs="宋体"/>
          <w:szCs w:val="21"/>
        </w:rPr>
        <w:t>—</w:t>
      </w:r>
      <w:r>
        <w:rPr>
          <w:rFonts w:hAnsi="宋体" w:cs="宋体"/>
          <w:szCs w:val="21"/>
        </w:rPr>
        <w:t xml:space="preserve">2019 </w:t>
      </w:r>
      <w:r>
        <w:rPr>
          <w:rFonts w:hint="eastAsia" w:hAnsi="宋体" w:cs="宋体"/>
          <w:szCs w:val="21"/>
        </w:rPr>
        <w:t xml:space="preserve">  </w:t>
      </w:r>
      <w:r>
        <w:rPr>
          <w:rFonts w:hAnsi="宋体" w:cs="宋体"/>
          <w:szCs w:val="21"/>
        </w:rPr>
        <w:t>港口能耗在线监测系统技术要求</w:t>
      </w:r>
    </w:p>
    <w:p w14:paraId="4475F507">
      <w:pPr>
        <w:pStyle w:val="19"/>
        <w:ind w:firstLineChars="0"/>
        <w:rPr>
          <w:rFonts w:hint="eastAsia" w:hAnsi="宋体" w:cs="宋体"/>
          <w:szCs w:val="21"/>
        </w:rPr>
      </w:pPr>
      <w:r>
        <w:rPr>
          <w:rFonts w:hAnsi="宋体" w:cs="宋体"/>
          <w:szCs w:val="21"/>
        </w:rPr>
        <w:t>JT</w:t>
      </w:r>
      <w:r>
        <w:rPr>
          <w:rFonts w:hint="eastAsia" w:hAnsi="宋体" w:cs="宋体"/>
          <w:szCs w:val="21"/>
        </w:rPr>
        <w:t>/</w:t>
      </w:r>
      <w:r>
        <w:rPr>
          <w:rFonts w:hAnsi="宋体" w:cs="宋体"/>
          <w:szCs w:val="21"/>
        </w:rPr>
        <w:t>T 1491</w:t>
      </w:r>
      <w:r>
        <w:rPr>
          <w:rFonts w:hint="eastAsia" w:hAnsi="宋体" w:cs="宋体"/>
          <w:szCs w:val="21"/>
        </w:rPr>
        <w:t>—</w:t>
      </w:r>
      <w:r>
        <w:rPr>
          <w:rFonts w:hAnsi="宋体" w:cs="宋体"/>
          <w:szCs w:val="21"/>
        </w:rPr>
        <w:t xml:space="preserve">2024 </w:t>
      </w:r>
      <w:r>
        <w:rPr>
          <w:rFonts w:hint="eastAsia" w:hAnsi="宋体" w:cs="宋体"/>
          <w:szCs w:val="21"/>
        </w:rPr>
        <w:t xml:space="preserve">  </w:t>
      </w:r>
      <w:r>
        <w:rPr>
          <w:rFonts w:hAnsi="宋体" w:cs="宋体"/>
          <w:szCs w:val="21"/>
        </w:rPr>
        <w:t>散粮港口作业减损技术要求</w:t>
      </w:r>
    </w:p>
    <w:p w14:paraId="6146D4CC">
      <w:pPr>
        <w:pStyle w:val="19"/>
        <w:ind w:firstLineChars="0"/>
        <w:rPr>
          <w:rFonts w:hint="eastAsia" w:hAnsi="宋体" w:cs="宋体"/>
          <w:szCs w:val="21"/>
        </w:rPr>
      </w:pPr>
      <w:r>
        <w:rPr>
          <w:rFonts w:hAnsi="宋体" w:cs="宋体"/>
          <w:szCs w:val="21"/>
        </w:rPr>
        <w:t>JT</w:t>
      </w:r>
      <w:r>
        <w:rPr>
          <w:rFonts w:hint="eastAsia" w:hAnsi="宋体" w:cs="宋体"/>
          <w:szCs w:val="21"/>
        </w:rPr>
        <w:t>/</w:t>
      </w:r>
      <w:r>
        <w:rPr>
          <w:rFonts w:hAnsi="宋体" w:cs="宋体"/>
          <w:szCs w:val="21"/>
        </w:rPr>
        <w:t>T</w:t>
      </w:r>
      <w:r>
        <w:rPr>
          <w:rFonts w:hint="eastAsia" w:hAnsi="宋体" w:cs="宋体"/>
          <w:szCs w:val="21"/>
        </w:rPr>
        <w:t xml:space="preserve"> </w:t>
      </w:r>
      <w:r>
        <w:rPr>
          <w:rFonts w:hAnsi="宋体" w:cs="宋体"/>
          <w:szCs w:val="21"/>
        </w:rPr>
        <w:t>1537.3</w:t>
      </w:r>
      <w:r>
        <w:rPr>
          <w:rFonts w:hint="eastAsia" w:hAnsi="宋体" w:cs="宋体"/>
          <w:szCs w:val="21"/>
        </w:rPr>
        <w:t>—</w:t>
      </w:r>
      <w:r>
        <w:rPr>
          <w:rFonts w:hAnsi="宋体" w:cs="宋体"/>
          <w:szCs w:val="21"/>
        </w:rPr>
        <w:t>2025 近零碳交通设施技术要求 第3部分 港口作业区</w:t>
      </w:r>
    </w:p>
    <w:p w14:paraId="42167A20">
      <w:pPr>
        <w:pStyle w:val="19"/>
        <w:ind w:firstLineChars="0"/>
        <w:rPr>
          <w:rFonts w:hint="eastAsia" w:hAnsi="宋体" w:cs="宋体"/>
          <w:szCs w:val="21"/>
        </w:rPr>
      </w:pPr>
      <w:r>
        <w:rPr>
          <w:rFonts w:hAnsi="宋体" w:cs="宋体"/>
          <w:szCs w:val="21"/>
        </w:rPr>
        <w:t>LS</w:t>
      </w:r>
      <w:r>
        <w:rPr>
          <w:rFonts w:hint="eastAsia" w:hAnsi="宋体" w:cs="宋体"/>
          <w:szCs w:val="21"/>
        </w:rPr>
        <w:t>/</w:t>
      </w:r>
      <w:r>
        <w:rPr>
          <w:rFonts w:hAnsi="宋体" w:cs="宋体"/>
          <w:szCs w:val="21"/>
        </w:rPr>
        <w:t>T 1202</w:t>
      </w:r>
      <w:r>
        <w:rPr>
          <w:rFonts w:hint="eastAsia" w:hAnsi="宋体" w:cs="宋体"/>
          <w:szCs w:val="21"/>
        </w:rPr>
        <w:t>—</w:t>
      </w:r>
      <w:r>
        <w:rPr>
          <w:rFonts w:hAnsi="宋体" w:cs="宋体"/>
          <w:szCs w:val="21"/>
        </w:rPr>
        <w:t xml:space="preserve">2002 </w:t>
      </w:r>
      <w:r>
        <w:rPr>
          <w:rFonts w:hint="eastAsia" w:hAnsi="宋体" w:cs="宋体"/>
          <w:szCs w:val="21"/>
        </w:rPr>
        <w:t xml:space="preserve">  </w:t>
      </w:r>
      <w:r>
        <w:rPr>
          <w:rFonts w:hAnsi="宋体" w:cs="宋体"/>
          <w:szCs w:val="21"/>
        </w:rPr>
        <w:t>储粮机械通风技术规程</w:t>
      </w:r>
    </w:p>
    <w:p w14:paraId="3204A0B2">
      <w:pPr>
        <w:pStyle w:val="19"/>
        <w:ind w:firstLineChars="0"/>
        <w:rPr>
          <w:rFonts w:hint="eastAsia" w:hAnsi="宋体" w:cs="宋体"/>
          <w:szCs w:val="21"/>
        </w:rPr>
      </w:pPr>
      <w:r>
        <w:rPr>
          <w:rFonts w:hAnsi="宋体" w:cs="宋体"/>
          <w:szCs w:val="21"/>
        </w:rPr>
        <w:t>T/CECA-G 0317</w:t>
      </w:r>
      <w:r>
        <w:rPr>
          <w:rFonts w:hint="eastAsia" w:hAnsi="宋体" w:cs="宋体"/>
          <w:szCs w:val="21"/>
        </w:rPr>
        <w:t xml:space="preserve">     零碳粮库创建与评价技术规范</w:t>
      </w:r>
    </w:p>
    <w:p w14:paraId="7C45E26F">
      <w:pPr>
        <w:pStyle w:val="35"/>
        <w:spacing w:before="312" w:after="312"/>
      </w:pPr>
      <w:bookmarkStart w:id="49" w:name="bookmark4"/>
      <w:bookmarkEnd w:id="49"/>
      <w:bookmarkStart w:id="50" w:name="_Toc207832810"/>
      <w:bookmarkStart w:id="51" w:name="_Toc16620"/>
      <w:bookmarkStart w:id="52" w:name="_Toc12821"/>
      <w:bookmarkStart w:id="53" w:name="_Toc236437630"/>
      <w:bookmarkStart w:id="54" w:name="_Toc237881647"/>
      <w:bookmarkStart w:id="55" w:name="_Toc14476"/>
      <w:r>
        <w:rPr>
          <w:rFonts w:hint="eastAsia"/>
        </w:rPr>
        <w:t>术语和定义</w:t>
      </w:r>
      <w:bookmarkEnd w:id="50"/>
      <w:bookmarkEnd w:id="51"/>
      <w:bookmarkEnd w:id="52"/>
      <w:bookmarkEnd w:id="53"/>
      <w:bookmarkEnd w:id="54"/>
      <w:bookmarkEnd w:id="55"/>
    </w:p>
    <w:p w14:paraId="200CB4D0">
      <w:pPr>
        <w:pStyle w:val="19"/>
        <w:ind w:firstLineChars="0"/>
        <w:rPr>
          <w:rFonts w:hint="eastAsia" w:hAnsi="宋体" w:cs="宋体"/>
          <w:szCs w:val="21"/>
        </w:rPr>
      </w:pPr>
      <w:r>
        <w:rPr>
          <w:rFonts w:hAnsi="宋体" w:cs="宋体"/>
          <w:szCs w:val="21"/>
        </w:rPr>
        <w:t>GB 31823</w:t>
      </w:r>
      <w:r>
        <w:rPr>
          <w:rFonts w:hint="eastAsia" w:hAnsi="宋体" w:cs="宋体"/>
          <w:szCs w:val="21"/>
          <w:lang w:eastAsia="zh-CN"/>
        </w:rPr>
        <w:t>—</w:t>
      </w:r>
      <w:r>
        <w:rPr>
          <w:rFonts w:hAnsi="宋体" w:cs="宋体"/>
          <w:szCs w:val="21"/>
        </w:rPr>
        <w:t>2021</w:t>
      </w:r>
      <w:r>
        <w:rPr>
          <w:rFonts w:hint="eastAsia" w:hAnsi="宋体" w:cs="宋体"/>
          <w:szCs w:val="21"/>
        </w:rPr>
        <w:t>、</w:t>
      </w:r>
      <w:r>
        <w:rPr>
          <w:rFonts w:hAnsi="宋体" w:cs="宋体"/>
          <w:szCs w:val="21"/>
        </w:rPr>
        <w:t>GB/T 46566</w:t>
      </w:r>
      <w:r>
        <w:rPr>
          <w:rFonts w:hint="eastAsia" w:hAnsi="宋体" w:cs="宋体"/>
          <w:szCs w:val="21"/>
          <w:lang w:eastAsia="zh-CN"/>
        </w:rPr>
        <w:t>—</w:t>
      </w:r>
      <w:r>
        <w:rPr>
          <w:rFonts w:hAnsi="宋体" w:cs="宋体"/>
          <w:szCs w:val="21"/>
        </w:rPr>
        <w:t>2025</w:t>
      </w:r>
      <w:r>
        <w:rPr>
          <w:rFonts w:hint="eastAsia" w:hAnsi="宋体" w:cs="宋体"/>
          <w:szCs w:val="21"/>
        </w:rPr>
        <w:t>、</w:t>
      </w:r>
      <w:r>
        <w:rPr>
          <w:rFonts w:hAnsi="宋体" w:cs="宋体"/>
          <w:szCs w:val="21"/>
        </w:rPr>
        <w:t>GB/T 46905</w:t>
      </w:r>
      <w:r>
        <w:rPr>
          <w:rFonts w:hint="eastAsia" w:hAnsi="宋体" w:cs="宋体"/>
          <w:szCs w:val="21"/>
          <w:lang w:eastAsia="zh-CN"/>
        </w:rPr>
        <w:t>—</w:t>
      </w:r>
      <w:r>
        <w:rPr>
          <w:rFonts w:hAnsi="宋体" w:cs="宋体"/>
          <w:szCs w:val="21"/>
        </w:rPr>
        <w:t>2025</w:t>
      </w:r>
      <w:r>
        <w:rPr>
          <w:rFonts w:hint="eastAsia" w:hAnsi="宋体" w:cs="宋体"/>
          <w:szCs w:val="21"/>
        </w:rPr>
        <w:t>、</w:t>
      </w:r>
      <w:r>
        <w:rPr>
          <w:rFonts w:hAnsi="宋体" w:cs="宋体"/>
          <w:szCs w:val="21"/>
        </w:rPr>
        <w:t>JT/T</w:t>
      </w:r>
      <w:r>
        <w:rPr>
          <w:rFonts w:hint="eastAsia" w:hAnsi="宋体" w:cs="宋体"/>
          <w:szCs w:val="21"/>
        </w:rPr>
        <w:t xml:space="preserve"> </w:t>
      </w:r>
      <w:r>
        <w:rPr>
          <w:rFonts w:hAnsi="宋体" w:cs="宋体"/>
          <w:szCs w:val="21"/>
        </w:rPr>
        <w:t>1537.3</w:t>
      </w:r>
      <w:r>
        <w:rPr>
          <w:rFonts w:hint="eastAsia" w:hAnsi="宋体" w:cs="宋体"/>
          <w:szCs w:val="21"/>
          <w:lang w:eastAsia="zh-CN"/>
        </w:rPr>
        <w:t>—</w:t>
      </w:r>
      <w:r>
        <w:rPr>
          <w:rFonts w:hAnsi="宋体" w:cs="宋体"/>
          <w:szCs w:val="21"/>
        </w:rPr>
        <w:t>2025</w:t>
      </w:r>
      <w:r>
        <w:rPr>
          <w:rFonts w:hint="eastAsia" w:hAnsi="宋体" w:cs="宋体"/>
          <w:szCs w:val="21"/>
        </w:rPr>
        <w:t>、</w:t>
      </w:r>
      <w:r>
        <w:rPr>
          <w:rFonts w:hAnsi="宋体" w:cs="宋体"/>
          <w:szCs w:val="21"/>
        </w:rPr>
        <w:t>JT/T 1491</w:t>
      </w:r>
      <w:r>
        <w:rPr>
          <w:rFonts w:hint="eastAsia" w:hAnsi="宋体" w:cs="宋体"/>
          <w:szCs w:val="21"/>
          <w:lang w:eastAsia="zh-CN"/>
        </w:rPr>
        <w:t>—</w:t>
      </w:r>
      <w:bookmarkStart w:id="188" w:name="_GoBack"/>
      <w:bookmarkEnd w:id="188"/>
      <w:r>
        <w:rPr>
          <w:rFonts w:hAnsi="宋体" w:cs="宋体"/>
          <w:szCs w:val="21"/>
        </w:rPr>
        <w:t>2024</w:t>
      </w:r>
      <w:r>
        <w:rPr>
          <w:rFonts w:hint="eastAsia" w:hAnsi="宋体" w:cs="宋体"/>
          <w:szCs w:val="21"/>
        </w:rPr>
        <w:t>界定的以及下列术语和定义适用于本文件。</w:t>
      </w:r>
    </w:p>
    <w:p w14:paraId="630F41F8">
      <w:pPr>
        <w:pStyle w:val="38"/>
        <w:spacing w:before="156" w:after="156"/>
        <w:rPr>
          <w:b w:val="0"/>
          <w:bCs w:val="0"/>
        </w:rPr>
      </w:pPr>
      <w:bookmarkStart w:id="56" w:name="_Toc236437631"/>
      <w:bookmarkEnd w:id="56"/>
      <w:bookmarkStart w:id="57" w:name="_Toc16247"/>
      <w:bookmarkEnd w:id="57"/>
    </w:p>
    <w:p w14:paraId="6F2EBC80">
      <w:pPr>
        <w:pStyle w:val="36"/>
        <w:numPr>
          <w:ilvl w:val="0"/>
          <w:numId w:val="0"/>
        </w:numPr>
        <w:autoSpaceDE w:val="0"/>
        <w:autoSpaceDN w:val="0"/>
        <w:spacing w:before="157" w:after="157"/>
        <w:ind w:firstLine="420" w:firstLineChars="200"/>
        <w:rPr>
          <w:rFonts w:hint="eastAsia" w:ascii="黑体" w:hAnsi="黑体" w:eastAsia="黑体" w:cs="黑体"/>
        </w:rPr>
      </w:pPr>
      <w:r>
        <w:rPr>
          <w:rFonts w:hint="eastAsia" w:ascii="黑体" w:hAnsi="黑体" w:eastAsia="黑体" w:cs="黑体"/>
        </w:rPr>
        <w:t>自动化散粮港口  automatic bulk grain port</w:t>
      </w:r>
    </w:p>
    <w:p w14:paraId="2CAA58DB">
      <w:pPr>
        <w:pStyle w:val="18"/>
        <w:ind w:firstLine="420"/>
      </w:pPr>
      <w:r>
        <w:rPr>
          <w:rFonts w:hint="eastAsia"/>
        </w:rPr>
        <w:t>船舶装卸、水平运输、筒仓装卸等所有或部分主要作业环节的设备按照设定的作业流程,实现自动装卸和运输粮食的港口。</w:t>
      </w:r>
    </w:p>
    <w:p w14:paraId="71E18133">
      <w:pPr>
        <w:pStyle w:val="18"/>
        <w:ind w:firstLine="420"/>
        <w:rPr>
          <w:rFonts w:hint="eastAsia"/>
        </w:rPr>
      </w:pPr>
      <w:r>
        <w:t>[来源：GB/T 4</w:t>
      </w:r>
      <w:r>
        <w:rPr>
          <w:rFonts w:hint="eastAsia"/>
        </w:rPr>
        <w:t>3380</w:t>
      </w:r>
      <w:r>
        <w:t>-202</w:t>
      </w:r>
      <w:r>
        <w:rPr>
          <w:rFonts w:hint="eastAsia"/>
        </w:rPr>
        <w:t>3</w:t>
      </w:r>
      <w:r>
        <w:t>，3.</w:t>
      </w:r>
      <w:r>
        <w:rPr>
          <w:rFonts w:hint="eastAsia"/>
        </w:rPr>
        <w:t>1.1</w:t>
      </w:r>
      <w:r>
        <w:t>，有修改]</w:t>
      </w:r>
    </w:p>
    <w:p w14:paraId="6723387E">
      <w:pPr>
        <w:pStyle w:val="38"/>
        <w:spacing w:before="156" w:after="156"/>
        <w:rPr>
          <w:rFonts w:hint="eastAsia"/>
        </w:rPr>
      </w:pPr>
      <w:r>
        <w:rPr>
          <w:rFonts w:hint="eastAsia"/>
        </w:rPr>
        <w:br w:type="textWrapping"/>
      </w:r>
      <w:r>
        <w:rPr>
          <w:rFonts w:hint="eastAsia"/>
        </w:rPr>
        <w:t xml:space="preserve">    零碳散粮港口  zero-carbon bulk grain ports</w:t>
      </w:r>
    </w:p>
    <w:p w14:paraId="4D471D5A">
      <w:pPr>
        <w:pStyle w:val="19"/>
        <w:ind w:firstLineChars="0"/>
        <w:rPr>
          <w:rFonts w:hint="eastAsia" w:hAnsi="宋体" w:cs="宋体"/>
          <w:szCs w:val="21"/>
        </w:rPr>
      </w:pPr>
      <w:r>
        <w:rPr>
          <w:rFonts w:hint="eastAsia" w:hAnsi="宋体" w:cs="宋体"/>
          <w:szCs w:val="21"/>
        </w:rPr>
        <w:t>在满足自动化散粮港口使用功能的基础上，通过技术性和管理性措施降低散粮港口直接和间接二氧化碳排放量，剩余排放量实现相应数量的碳信用抵消的散粮港口。</w:t>
      </w:r>
    </w:p>
    <w:p w14:paraId="3C3DE2E8">
      <w:pPr>
        <w:pStyle w:val="19"/>
        <w:ind w:firstLineChars="0"/>
        <w:rPr>
          <w:rFonts w:hint="eastAsia" w:hAnsi="宋体" w:cs="宋体"/>
          <w:szCs w:val="21"/>
        </w:rPr>
      </w:pPr>
      <w:r>
        <w:rPr>
          <w:rFonts w:hint="eastAsia" w:hAnsi="宋体" w:cs="宋体"/>
          <w:szCs w:val="21"/>
        </w:rPr>
        <w:t>[来源：</w:t>
      </w:r>
      <w:r>
        <w:rPr>
          <w:rFonts w:hAnsi="宋体" w:cs="宋体"/>
          <w:szCs w:val="21"/>
        </w:rPr>
        <w:t>JT</w:t>
      </w:r>
      <w:r>
        <w:rPr>
          <w:rFonts w:hint="eastAsia" w:hAnsi="宋体" w:cs="宋体"/>
          <w:szCs w:val="21"/>
        </w:rPr>
        <w:t>/</w:t>
      </w:r>
      <w:r>
        <w:rPr>
          <w:rFonts w:hAnsi="宋体" w:cs="宋体"/>
          <w:szCs w:val="21"/>
        </w:rPr>
        <w:t>T1537.3</w:t>
      </w:r>
      <w:r>
        <w:rPr>
          <w:rFonts w:hint="eastAsia" w:hAnsi="宋体" w:cs="宋体"/>
          <w:szCs w:val="21"/>
        </w:rPr>
        <w:t>-</w:t>
      </w:r>
      <w:r>
        <w:rPr>
          <w:rFonts w:hAnsi="宋体" w:cs="宋体"/>
          <w:szCs w:val="21"/>
        </w:rPr>
        <w:t>2025</w:t>
      </w:r>
      <w:r>
        <w:rPr>
          <w:rFonts w:hint="eastAsia" w:hAnsi="宋体" w:cs="宋体"/>
          <w:szCs w:val="21"/>
        </w:rPr>
        <w:t>，3.2，有修改]</w:t>
      </w:r>
    </w:p>
    <w:p w14:paraId="762CEDE8">
      <w:pPr>
        <w:pStyle w:val="38"/>
        <w:spacing w:before="156" w:after="156"/>
        <w:rPr>
          <w:rFonts w:hint="eastAsia"/>
        </w:rPr>
      </w:pPr>
      <w:bookmarkStart w:id="58" w:name="_Toc26019"/>
      <w:bookmarkEnd w:id="58"/>
      <w:bookmarkStart w:id="59" w:name="_Toc236437633"/>
      <w:bookmarkEnd w:id="59"/>
    </w:p>
    <w:p w14:paraId="23E30AFB">
      <w:pPr>
        <w:pStyle w:val="36"/>
        <w:numPr>
          <w:ilvl w:val="255"/>
          <w:numId w:val="0"/>
        </w:numPr>
        <w:autoSpaceDE w:val="0"/>
        <w:autoSpaceDN w:val="0"/>
        <w:spacing w:before="156" w:beforeLines="50" w:after="156" w:afterLines="50"/>
        <w:ind w:left="-420" w:leftChars="-200" w:firstLine="840" w:firstLineChars="400"/>
        <w:rPr>
          <w:rFonts w:hint="eastAsia" w:ascii="黑体" w:hAnsi="黑体" w:eastAsia="黑体" w:cs="黑体"/>
        </w:rPr>
      </w:pPr>
      <w:bookmarkStart w:id="60" w:name="_Toc236437634"/>
      <w:bookmarkStart w:id="61" w:name="_Toc32600"/>
      <w:r>
        <w:rPr>
          <w:rFonts w:hint="eastAsia" w:ascii="黑体" w:hAnsi="黑体" w:eastAsia="黑体" w:cs="黑体"/>
        </w:rPr>
        <w:t>散粮港口二氧化碳排放强度  CO</w:t>
      </w:r>
      <w:r>
        <w:rPr>
          <w:rFonts w:hint="eastAsia" w:ascii="黑体" w:hAnsi="黑体" w:eastAsia="黑体" w:cs="黑体"/>
          <w:vertAlign w:val="subscript"/>
        </w:rPr>
        <w:t>2</w:t>
      </w:r>
      <w:r>
        <w:rPr>
          <w:rFonts w:hint="eastAsia" w:ascii="黑体" w:hAnsi="黑体" w:eastAsia="黑体" w:cs="黑体"/>
        </w:rPr>
        <w:t xml:space="preserve"> emission intensity for bulk grain ports</w:t>
      </w:r>
      <w:bookmarkEnd w:id="60"/>
      <w:bookmarkEnd w:id="61"/>
    </w:p>
    <w:p w14:paraId="58290757">
      <w:pPr>
        <w:pStyle w:val="18"/>
        <w:ind w:firstLine="420"/>
      </w:pPr>
      <w:r>
        <w:rPr>
          <w:rFonts w:hint="eastAsia"/>
        </w:rPr>
        <w:t>散粮港口在评价年</w:t>
      </w:r>
      <w:r>
        <w:t>完成单位货物吞吐量产生的二氧化碳排放量</w:t>
      </w:r>
      <w:r>
        <w:rPr>
          <w:rFonts w:hint="eastAsia"/>
        </w:rPr>
        <w:t>。</w:t>
      </w:r>
    </w:p>
    <w:p w14:paraId="4BF459E0">
      <w:pPr>
        <w:pStyle w:val="18"/>
        <w:ind w:firstLine="420"/>
      </w:pPr>
      <w:r>
        <w:t>[来源：GB/T 46905-2025，3.</w:t>
      </w:r>
      <w:r>
        <w:rPr>
          <w:rFonts w:hint="eastAsia"/>
        </w:rPr>
        <w:t>1</w:t>
      </w:r>
      <w:r>
        <w:t>，有修改]</w:t>
      </w:r>
    </w:p>
    <w:p w14:paraId="462207C5">
      <w:pPr>
        <w:pStyle w:val="38"/>
        <w:spacing w:before="156" w:after="156"/>
        <w:rPr>
          <w:rFonts w:hint="eastAsia"/>
        </w:rPr>
      </w:pPr>
      <w:bookmarkStart w:id="62" w:name="_Toc20811"/>
      <w:bookmarkEnd w:id="62"/>
      <w:bookmarkStart w:id="63" w:name="_Toc236437635"/>
      <w:bookmarkEnd w:id="63"/>
    </w:p>
    <w:p w14:paraId="2290EAB5">
      <w:pPr>
        <w:pStyle w:val="36"/>
        <w:numPr>
          <w:ilvl w:val="255"/>
          <w:numId w:val="0"/>
        </w:numPr>
        <w:autoSpaceDE w:val="0"/>
        <w:autoSpaceDN w:val="0"/>
        <w:spacing w:before="157" w:after="157"/>
        <w:ind w:left="-420" w:leftChars="-200" w:firstLine="840" w:firstLineChars="400"/>
        <w:rPr>
          <w:rFonts w:hint="eastAsia" w:ascii="黑体" w:hAnsi="黑体" w:eastAsia="黑体" w:cs="黑体"/>
        </w:rPr>
      </w:pPr>
      <w:bookmarkStart w:id="64" w:name="_Toc236437636"/>
      <w:bookmarkStart w:id="65" w:name="_Toc9265"/>
      <w:r>
        <w:rPr>
          <w:rFonts w:hint="eastAsia" w:ascii="黑体" w:hAnsi="黑体" w:eastAsia="黑体" w:cs="黑体"/>
        </w:rPr>
        <w:t>散粮港口吞吐量碳排放弹性系数  CO</w:t>
      </w:r>
      <w:r>
        <w:rPr>
          <w:rFonts w:hint="eastAsia" w:ascii="黑体" w:hAnsi="黑体" w:eastAsia="黑体" w:cs="黑体"/>
          <w:vertAlign w:val="subscript"/>
        </w:rPr>
        <w:t>2</w:t>
      </w:r>
      <w:r>
        <w:rPr>
          <w:rFonts w:hint="eastAsia" w:ascii="黑体" w:hAnsi="黑体" w:eastAsia="黑体" w:cs="黑体"/>
        </w:rPr>
        <w:t xml:space="preserve"> emission elasticity coefficient for bulk grain ports</w:t>
      </w:r>
      <w:bookmarkEnd w:id="64"/>
      <w:bookmarkEnd w:id="65"/>
    </w:p>
    <w:p w14:paraId="455B6444">
      <w:pPr>
        <w:pStyle w:val="18"/>
        <w:ind w:firstLine="420"/>
      </w:pPr>
      <w:r>
        <w:t>散粮港口碳排放总量增长率与货物吞吐量增长率的比值，用于衡量散粮港口生产规模扩张与碳排放增长之间的敏感程度与脱钩关系</w:t>
      </w:r>
      <w:r>
        <w:rPr>
          <w:rFonts w:hint="eastAsia"/>
        </w:rPr>
        <w:t>。</w:t>
      </w:r>
    </w:p>
    <w:p w14:paraId="703B41EE">
      <w:pPr>
        <w:pStyle w:val="38"/>
        <w:spacing w:before="156" w:after="156"/>
        <w:rPr>
          <w:rFonts w:hint="eastAsia"/>
        </w:rPr>
      </w:pPr>
      <w:bookmarkStart w:id="66" w:name="_Toc236437637"/>
      <w:bookmarkEnd w:id="66"/>
      <w:bookmarkStart w:id="67" w:name="_Toc8053"/>
      <w:bookmarkEnd w:id="67"/>
    </w:p>
    <w:p w14:paraId="2C5D2A98">
      <w:pPr>
        <w:pStyle w:val="36"/>
        <w:numPr>
          <w:ilvl w:val="255"/>
          <w:numId w:val="0"/>
        </w:numPr>
        <w:autoSpaceDE w:val="0"/>
        <w:autoSpaceDN w:val="0"/>
        <w:spacing w:before="157" w:after="157"/>
        <w:ind w:left="-420" w:leftChars="-200" w:firstLine="840" w:firstLineChars="400"/>
        <w:rPr>
          <w:rFonts w:hint="eastAsia" w:ascii="黑体" w:hAnsi="黑体" w:eastAsia="黑体" w:cs="黑体"/>
        </w:rPr>
      </w:pPr>
      <w:bookmarkStart w:id="68" w:name="_Toc10035"/>
      <w:bookmarkStart w:id="69" w:name="_Toc236437638"/>
      <w:r>
        <w:rPr>
          <w:rFonts w:hint="eastAsia" w:ascii="黑体" w:hAnsi="黑体" w:eastAsia="黑体" w:cs="黑体"/>
        </w:rPr>
        <w:t>温室气体管理体系  green house gas management system</w:t>
      </w:r>
      <w:bookmarkEnd w:id="68"/>
      <w:bookmarkEnd w:id="69"/>
    </w:p>
    <w:p w14:paraId="0D37C8B0">
      <w:pPr>
        <w:pStyle w:val="18"/>
        <w:ind w:firstLine="420"/>
      </w:pPr>
      <w:r>
        <w:rPr>
          <w:rFonts w:hint="eastAsia"/>
        </w:rPr>
        <w:t>管理温室气体排放和(或)温室气体清除、</w:t>
      </w:r>
      <w:r>
        <w:t>碳资产</w:t>
      </w:r>
      <w:r>
        <w:rPr>
          <w:rFonts w:hint="eastAsia"/>
        </w:rPr>
        <w:t>、</w:t>
      </w:r>
      <w:r>
        <w:t>碳中和</w:t>
      </w:r>
      <w:r>
        <w:rPr>
          <w:rFonts w:hint="eastAsia"/>
        </w:rPr>
        <w:t>、</w:t>
      </w:r>
      <w:r>
        <w:t>碳交易</w:t>
      </w:r>
      <w:r>
        <w:rPr>
          <w:rFonts w:hint="eastAsia"/>
        </w:rPr>
        <w:t>，履行合规义务，并应对风险和机遇的管理体系。</w:t>
      </w:r>
    </w:p>
    <w:p w14:paraId="301AB5A5">
      <w:pPr>
        <w:pStyle w:val="18"/>
        <w:ind w:firstLine="420"/>
      </w:pPr>
      <w:r>
        <w:t>[来源：GB/T 46</w:t>
      </w:r>
      <w:r>
        <w:rPr>
          <w:rFonts w:hint="eastAsia"/>
        </w:rPr>
        <w:t>566</w:t>
      </w:r>
      <w:r>
        <w:t>-2025，3.</w:t>
      </w:r>
      <w:r>
        <w:rPr>
          <w:rFonts w:hint="eastAsia"/>
        </w:rPr>
        <w:t>1.2</w:t>
      </w:r>
      <w:r>
        <w:t>，有修改]</w:t>
      </w:r>
    </w:p>
    <w:p w14:paraId="0D072E58">
      <w:pPr>
        <w:pStyle w:val="38"/>
        <w:spacing w:before="156" w:after="156"/>
        <w:rPr>
          <w:rFonts w:hint="eastAsia"/>
        </w:rPr>
      </w:pPr>
      <w:bookmarkStart w:id="70" w:name="_Toc236437639"/>
      <w:bookmarkEnd w:id="70"/>
      <w:bookmarkStart w:id="71" w:name="_Toc24603"/>
      <w:bookmarkEnd w:id="71"/>
      <w:bookmarkStart w:id="72" w:name="_Toc25349"/>
      <w:bookmarkEnd w:id="72"/>
      <w:bookmarkStart w:id="73" w:name="_Toc236437641"/>
      <w:bookmarkEnd w:id="73"/>
    </w:p>
    <w:p w14:paraId="6789A9B4">
      <w:pPr>
        <w:pStyle w:val="36"/>
        <w:numPr>
          <w:ilvl w:val="255"/>
          <w:numId w:val="0"/>
        </w:numPr>
        <w:autoSpaceDE w:val="0"/>
        <w:autoSpaceDN w:val="0"/>
        <w:spacing w:before="157" w:after="157"/>
        <w:ind w:left="-420" w:leftChars="-200" w:firstLine="840" w:firstLineChars="400"/>
        <w:rPr>
          <w:rFonts w:hint="eastAsia" w:ascii="黑体" w:hAnsi="黑体" w:eastAsia="黑体" w:cs="黑体"/>
        </w:rPr>
      </w:pPr>
      <w:bookmarkStart w:id="74" w:name="_Toc236437642"/>
      <w:bookmarkStart w:id="75" w:name="_Toc31997"/>
      <w:r>
        <w:rPr>
          <w:rFonts w:hint="eastAsia" w:ascii="黑体" w:hAnsi="黑体" w:eastAsia="黑体" w:cs="黑体"/>
        </w:rPr>
        <w:t>综合管控系统  integrated management and control system</w:t>
      </w:r>
      <w:bookmarkEnd w:id="74"/>
      <w:bookmarkEnd w:id="75"/>
    </w:p>
    <w:p w14:paraId="27404006">
      <w:pPr>
        <w:pStyle w:val="18"/>
        <w:ind w:firstLine="420"/>
      </w:pPr>
      <w:r>
        <w:rPr>
          <w:rFonts w:hint="eastAsia"/>
        </w:rPr>
        <w:t>面向自动化散粮装卸生产作业、运营综合管理、碳管理需求,通过数据交换与共享，实现生产控制系统、生产管理系统、辅助系统、碳管理系统及外部相关系统的数据整合应用与业务协同系统。</w:t>
      </w:r>
    </w:p>
    <w:p w14:paraId="79C085E4">
      <w:pPr>
        <w:pStyle w:val="18"/>
        <w:ind w:firstLine="420"/>
      </w:pPr>
      <w:r>
        <w:t>[来源：GB/T 43380-2023，3.</w:t>
      </w:r>
      <w:r>
        <w:rPr>
          <w:rFonts w:hint="eastAsia"/>
        </w:rPr>
        <w:t>1.2</w:t>
      </w:r>
      <w:r>
        <w:t>，有修改]</w:t>
      </w:r>
    </w:p>
    <w:p w14:paraId="2D36B6A0">
      <w:pPr>
        <w:pStyle w:val="35"/>
        <w:spacing w:before="312" w:after="312"/>
      </w:pPr>
      <w:bookmarkStart w:id="76" w:name="_Toc237881648"/>
      <w:bookmarkStart w:id="77" w:name="_Toc30962"/>
      <w:bookmarkStart w:id="78" w:name="_Toc236437643"/>
      <w:bookmarkStart w:id="79" w:name="_Toc1977"/>
      <w:r>
        <w:rPr>
          <w:rFonts w:hint="eastAsia"/>
        </w:rPr>
        <w:t>创建要求</w:t>
      </w:r>
      <w:bookmarkEnd w:id="46"/>
      <w:bookmarkEnd w:id="76"/>
      <w:bookmarkEnd w:id="77"/>
      <w:bookmarkEnd w:id="78"/>
      <w:bookmarkEnd w:id="79"/>
    </w:p>
    <w:bookmarkEnd w:id="47"/>
    <w:p w14:paraId="68FEC190">
      <w:pPr>
        <w:pStyle w:val="38"/>
        <w:spacing w:before="156" w:after="156"/>
      </w:pPr>
      <w:bookmarkStart w:id="80" w:name="bookmark7"/>
      <w:bookmarkEnd w:id="80"/>
      <w:bookmarkStart w:id="81" w:name="_Toc23906"/>
      <w:bookmarkStart w:id="82" w:name="_Toc236437645"/>
      <w:bookmarkStart w:id="83" w:name="_Toc19354"/>
      <w:bookmarkStart w:id="84" w:name="_Toc207832813"/>
      <w:r>
        <w:rPr>
          <w:rFonts w:hint="eastAsia"/>
        </w:rPr>
        <w:t>管理要求</w:t>
      </w:r>
      <w:bookmarkEnd w:id="81"/>
      <w:bookmarkEnd w:id="82"/>
    </w:p>
    <w:p w14:paraId="5C2BBBB3">
      <w:pPr>
        <w:pStyle w:val="39"/>
        <w:spacing w:before="156" w:after="156"/>
        <w:rPr>
          <w:rFonts w:hint="eastAsia" w:asciiTheme="majorEastAsia" w:hAnsiTheme="majorEastAsia" w:eastAsiaTheme="majorEastAsia" w:cstheme="majorEastAsia"/>
          <w:lang w:bidi="ar"/>
        </w:rPr>
      </w:pPr>
      <w:r>
        <w:rPr>
          <w:rFonts w:hint="eastAsia" w:asciiTheme="majorEastAsia" w:hAnsiTheme="majorEastAsia" w:eastAsiaTheme="majorEastAsia" w:cstheme="majorEastAsia"/>
          <w:lang w:bidi="ar"/>
        </w:rPr>
        <w:t>宜制定零碳散粮港口年度规划方案，方案要点包括但不限于：</w:t>
      </w:r>
    </w:p>
    <w:p w14:paraId="4687DF0B">
      <w:pPr>
        <w:pStyle w:val="26"/>
        <w:numPr>
          <w:ilvl w:val="0"/>
          <w:numId w:val="9"/>
        </w:numPr>
        <w:spacing w:before="0" w:beforeLines="0" w:after="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规划基础；</w:t>
      </w:r>
    </w:p>
    <w:p w14:paraId="0A979026">
      <w:pPr>
        <w:pStyle w:val="26"/>
        <w:numPr>
          <w:ilvl w:val="0"/>
          <w:numId w:val="9"/>
        </w:numPr>
        <w:spacing w:before="0" w:beforeLines="0" w:after="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规划目标设定及分析；</w:t>
      </w:r>
    </w:p>
    <w:p w14:paraId="59C46A32">
      <w:pPr>
        <w:pStyle w:val="26"/>
        <w:numPr>
          <w:ilvl w:val="0"/>
          <w:numId w:val="9"/>
        </w:numPr>
        <w:spacing w:before="0" w:beforeLines="0" w:after="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建设路径及重点项目；</w:t>
      </w:r>
    </w:p>
    <w:p w14:paraId="2F852BC3">
      <w:pPr>
        <w:pStyle w:val="26"/>
        <w:numPr>
          <w:ilvl w:val="0"/>
          <w:numId w:val="9"/>
        </w:numPr>
        <w:spacing w:before="0" w:beforeLines="0" w:after="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预期成效。</w:t>
      </w:r>
    </w:p>
    <w:p w14:paraId="4D1A8E93">
      <w:pPr>
        <w:pStyle w:val="39"/>
        <w:spacing w:before="156" w:after="156"/>
        <w:rPr>
          <w:rFonts w:hint="eastAsia" w:asciiTheme="majorEastAsia" w:hAnsiTheme="majorEastAsia" w:eastAsiaTheme="majorEastAsia" w:cstheme="majorEastAsia"/>
          <w:lang w:bidi="ar"/>
        </w:rPr>
      </w:pPr>
      <w:r>
        <w:rPr>
          <w:rFonts w:hint="eastAsia" w:asciiTheme="majorEastAsia" w:hAnsiTheme="majorEastAsia" w:eastAsiaTheme="majorEastAsia" w:cstheme="majorEastAsia"/>
          <w:lang w:bidi="ar"/>
        </w:rPr>
        <w:t>应按照GB/T 46566-2025建立完善的碳排放监测、核算、评价、改进的管理体系，执行碳排放全方位、全过程、精细化管控。</w:t>
      </w:r>
    </w:p>
    <w:p w14:paraId="116BC685">
      <w:pPr>
        <w:pStyle w:val="39"/>
        <w:spacing w:before="156" w:after="156"/>
        <w:rPr>
          <w:rFonts w:hint="eastAsia" w:asciiTheme="majorEastAsia" w:hAnsiTheme="majorEastAsia" w:eastAsiaTheme="majorEastAsia" w:cstheme="majorEastAsia"/>
          <w:lang w:bidi="ar"/>
        </w:rPr>
      </w:pPr>
      <w:r>
        <w:rPr>
          <w:rFonts w:hint="eastAsia" w:asciiTheme="majorEastAsia" w:hAnsiTheme="majorEastAsia" w:eastAsiaTheme="majorEastAsia" w:cstheme="majorEastAsia"/>
          <w:lang w:bidi="ar"/>
        </w:rPr>
        <w:t>能源消耗统计应符合GB/T 21339的要求</w:t>
      </w:r>
    </w:p>
    <w:p w14:paraId="2C91137E">
      <w:pPr>
        <w:pStyle w:val="38"/>
        <w:spacing w:before="156" w:after="156"/>
      </w:pPr>
      <w:bookmarkStart w:id="85" w:name="_Toc236437646"/>
      <w:bookmarkStart w:id="86" w:name="_Toc28699"/>
      <w:r>
        <w:rPr>
          <w:rFonts w:hint="eastAsia"/>
        </w:rPr>
        <w:t>技术要求</w:t>
      </w:r>
      <w:bookmarkEnd w:id="85"/>
      <w:bookmarkEnd w:id="86"/>
    </w:p>
    <w:p w14:paraId="48E8B733">
      <w:pPr>
        <w:pStyle w:val="39"/>
        <w:spacing w:before="156" w:after="156"/>
        <w:rPr>
          <w:lang w:bidi="ar"/>
        </w:rPr>
      </w:pPr>
      <w:r>
        <w:rPr>
          <w:lang w:bidi="ar"/>
        </w:rPr>
        <w:t>能源结构</w:t>
      </w:r>
    </w:p>
    <w:p w14:paraId="1DC3339C">
      <w:pPr>
        <w:pStyle w:val="51"/>
        <w:rPr>
          <w:rFonts w:hint="eastAsia"/>
          <w:lang w:bidi="ar"/>
        </w:rPr>
      </w:pPr>
      <w:r>
        <w:rPr>
          <w:rFonts w:hint="eastAsia"/>
          <w:lang w:bidi="ar"/>
        </w:rPr>
        <w:t>港口能源种类应与所在区域的能源发展规划相协调，应构建安全多元、保障有力、稳定高效的绿色能源供应体系，促进新能源、清洁能源和可再生能源全方位、规模化利用。</w:t>
      </w:r>
    </w:p>
    <w:p w14:paraId="07C57E61">
      <w:pPr>
        <w:pStyle w:val="51"/>
        <w:rPr>
          <w:rFonts w:hint="eastAsia"/>
          <w:lang w:bidi="ar"/>
        </w:rPr>
      </w:pPr>
      <w:r>
        <w:rPr>
          <w:rFonts w:hint="eastAsia"/>
          <w:lang w:bidi="ar"/>
        </w:rPr>
        <w:t>宜最大化利用港口优质的太阳能、风能资源建设可再生能源发电设施，配套建设储能设施，形成“清洁能源+储能”的能源供应体系。</w:t>
      </w:r>
    </w:p>
    <w:p w14:paraId="072143D1">
      <w:pPr>
        <w:pStyle w:val="51"/>
        <w:rPr>
          <w:lang w:bidi="ar"/>
        </w:rPr>
      </w:pPr>
      <w:r>
        <w:rPr>
          <w:rFonts w:hint="eastAsia"/>
          <w:lang w:bidi="ar"/>
        </w:rPr>
        <w:t>新建、改建和扩建码头工程应同步建设岸电设施。码头岸电设施的供电能力应与靠港船舶的用电需求相适应，并宜提高靠港船舶使用岸电的接电次数和接电量。</w:t>
      </w:r>
    </w:p>
    <w:p w14:paraId="0E70134F">
      <w:pPr>
        <w:pStyle w:val="51"/>
        <w:rPr>
          <w:rFonts w:hint="eastAsia"/>
          <w:lang w:bidi="ar"/>
        </w:rPr>
      </w:pPr>
      <w:r>
        <w:rPr>
          <w:lang w:bidi="ar"/>
        </w:rPr>
        <w:t>变压器容量选择应合理匹配港口实际负荷</w:t>
      </w:r>
      <w:r>
        <w:rPr>
          <w:rFonts w:hint="eastAsia"/>
          <w:lang w:bidi="ar"/>
        </w:rPr>
        <w:t>，预留</w:t>
      </w:r>
      <w:r>
        <w:rPr>
          <w:lang w:bidi="ar"/>
        </w:rPr>
        <w:t>分布式光伏、</w:t>
      </w:r>
      <w:r>
        <w:rPr>
          <w:rFonts w:hint="eastAsia"/>
          <w:lang w:bidi="ar"/>
        </w:rPr>
        <w:t>风电、</w:t>
      </w:r>
      <w:r>
        <w:rPr>
          <w:lang w:bidi="ar"/>
        </w:rPr>
        <w:t>储能系统、岸电负荷接入裕度</w:t>
      </w:r>
      <w:r>
        <w:rPr>
          <w:rFonts w:hint="eastAsia"/>
          <w:lang w:bidi="ar"/>
        </w:rPr>
        <w:t>，变压器能效应达到2级及以上能效等级，宜接入</w:t>
      </w:r>
      <w:r>
        <w:rPr>
          <w:lang w:bidi="ar"/>
        </w:rPr>
        <w:t>能碳管控系统，实现用电量的实时监测和统计分析</w:t>
      </w:r>
      <w:r>
        <w:rPr>
          <w:rFonts w:hint="eastAsia"/>
          <w:lang w:bidi="ar"/>
        </w:rPr>
        <w:t>。</w:t>
      </w:r>
    </w:p>
    <w:p w14:paraId="086DC003">
      <w:pPr>
        <w:pStyle w:val="51"/>
        <w:rPr>
          <w:rFonts w:hint="eastAsia"/>
          <w:lang w:bidi="ar"/>
        </w:rPr>
      </w:pPr>
      <w:r>
        <w:rPr>
          <w:rFonts w:hint="eastAsia"/>
          <w:lang w:bidi="ar"/>
        </w:rPr>
        <w:t>港口应不断优化用能结构，提高清洁能源消纳比例，运营期绿电消纳比例宜达到75%以上。</w:t>
      </w:r>
    </w:p>
    <w:p w14:paraId="7B070D02">
      <w:pPr>
        <w:pStyle w:val="51"/>
        <w:rPr>
          <w:rFonts w:hint="eastAsia"/>
          <w:lang w:bidi="ar"/>
        </w:rPr>
      </w:pPr>
      <w:r>
        <w:rPr>
          <w:rFonts w:hint="eastAsia"/>
          <w:lang w:bidi="ar"/>
        </w:rPr>
        <w:t>具备条件的港口宜配备加氢设施，布局和供氢能力应与用能设备和服务需求相适应。</w:t>
      </w:r>
    </w:p>
    <w:p w14:paraId="6644863E">
      <w:pPr>
        <w:pStyle w:val="39"/>
        <w:spacing w:before="156" w:after="156"/>
        <w:rPr>
          <w:lang w:bidi="ar"/>
        </w:rPr>
      </w:pPr>
      <w:r>
        <w:rPr>
          <w:lang w:bidi="ar"/>
        </w:rPr>
        <w:t>装卸生产</w:t>
      </w:r>
    </w:p>
    <w:p w14:paraId="13559862">
      <w:pPr>
        <w:pStyle w:val="51"/>
        <w:rPr>
          <w:rFonts w:hint="eastAsia"/>
          <w:lang w:bidi="ar"/>
        </w:rPr>
      </w:pPr>
      <w:r>
        <w:rPr>
          <w:rFonts w:hint="eastAsia"/>
          <w:lang w:bidi="ar"/>
        </w:rPr>
        <w:t>装卸工艺布置应有利于缩短散粮运输距离、减少周转次数，提高运输效率，降低能源消耗和碳排放，实现清洁生产；</w:t>
      </w:r>
    </w:p>
    <w:p w14:paraId="6B38B92D">
      <w:pPr>
        <w:pStyle w:val="51"/>
        <w:rPr>
          <w:rFonts w:hint="eastAsia"/>
          <w:lang w:bidi="ar"/>
        </w:rPr>
      </w:pPr>
      <w:r>
        <w:rPr>
          <w:rFonts w:hint="eastAsia"/>
          <w:lang w:bidi="ar"/>
        </w:rPr>
        <w:t>应结合生产实际优先选用具备电能驱动的装卸生产设备，主要装卸机械设备应实现电动化，包括但不限于：</w:t>
      </w:r>
    </w:p>
    <w:p w14:paraId="7A24F6B2">
      <w:pPr>
        <w:pStyle w:val="26"/>
        <w:numPr>
          <w:ilvl w:val="0"/>
          <w:numId w:val="10"/>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门座起重机、装船机、卸船机等岸边装卸设备使用电能驱动；</w:t>
      </w:r>
    </w:p>
    <w:p w14:paraId="7718F489">
      <w:pPr>
        <w:pStyle w:val="26"/>
        <w:numPr>
          <w:ilvl w:val="0"/>
          <w:numId w:val="10"/>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进出仓皮带输送设备使用电能驱动；</w:t>
      </w:r>
    </w:p>
    <w:p w14:paraId="5D5CF132">
      <w:pPr>
        <w:pStyle w:val="26"/>
        <w:numPr>
          <w:ilvl w:val="0"/>
          <w:numId w:val="10"/>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堆料机、取料机等设备使用电能驱动。</w:t>
      </w:r>
    </w:p>
    <w:p w14:paraId="5276AFCC">
      <w:pPr>
        <w:pStyle w:val="51"/>
        <w:rPr>
          <w:lang w:bidi="ar"/>
        </w:rPr>
      </w:pPr>
      <w:r>
        <w:rPr>
          <w:rFonts w:hint="eastAsia"/>
          <w:lang w:bidi="ar"/>
        </w:rPr>
        <w:t>装卸生产设备的能效等级应达到2级能效或以上等级。</w:t>
      </w:r>
    </w:p>
    <w:p w14:paraId="15355FDD">
      <w:pPr>
        <w:pStyle w:val="51"/>
        <w:rPr>
          <w:rFonts w:hint="eastAsia"/>
          <w:lang w:bidi="ar"/>
        </w:rPr>
      </w:pPr>
      <w:r>
        <w:rPr>
          <w:rFonts w:hint="eastAsia"/>
          <w:lang w:bidi="ar"/>
        </w:rPr>
        <w:t>港区内新购短倒车辆宜采用电能驱动，按照车辆报废年限逐步淘汰化石能源车辆。</w:t>
      </w:r>
    </w:p>
    <w:p w14:paraId="60576387">
      <w:pPr>
        <w:pStyle w:val="51"/>
        <w:rPr>
          <w:rFonts w:hint="eastAsia"/>
          <w:lang w:bidi="ar"/>
        </w:rPr>
      </w:pPr>
      <w:r>
        <w:rPr>
          <w:rFonts w:hint="eastAsia"/>
          <w:lang w:bidi="ar"/>
        </w:rPr>
        <w:t>应采用全密闭装卸、封闭式廊道输送，减少中转倒运次数。</w:t>
      </w:r>
    </w:p>
    <w:p w14:paraId="4092951A">
      <w:pPr>
        <w:pStyle w:val="51"/>
        <w:rPr>
          <w:rFonts w:hint="eastAsia"/>
          <w:lang w:bidi="ar"/>
        </w:rPr>
      </w:pPr>
      <w:r>
        <w:rPr>
          <w:rFonts w:hint="eastAsia"/>
          <w:lang w:bidi="ar"/>
        </w:rPr>
        <w:t>卸船码头带式输送机应设带落料口的机罩，且每个落料口设有防止粉尘外溢的封闭盖。</w:t>
      </w:r>
    </w:p>
    <w:p w14:paraId="676D0B08">
      <w:pPr>
        <w:pStyle w:val="51"/>
        <w:rPr>
          <w:rFonts w:hint="eastAsia"/>
          <w:lang w:bidi="ar"/>
        </w:rPr>
      </w:pPr>
      <w:r>
        <w:rPr>
          <w:rFonts w:hint="eastAsia"/>
          <w:lang w:bidi="ar"/>
        </w:rPr>
        <w:t>应具备粉尘在线监测功能。</w:t>
      </w:r>
    </w:p>
    <w:p w14:paraId="18B4A5E6">
      <w:pPr>
        <w:pStyle w:val="39"/>
        <w:spacing w:before="156" w:after="156"/>
        <w:rPr>
          <w:lang w:bidi="ar"/>
        </w:rPr>
      </w:pPr>
      <w:r>
        <w:rPr>
          <w:rFonts w:hint="eastAsia"/>
          <w:lang w:bidi="ar"/>
        </w:rPr>
        <w:t>散粮仓储</w:t>
      </w:r>
    </w:p>
    <w:p w14:paraId="0D24E98F">
      <w:pPr>
        <w:pStyle w:val="51"/>
        <w:rPr>
          <w:rFonts w:hint="eastAsia"/>
          <w:lang w:bidi="ar"/>
        </w:rPr>
      </w:pPr>
      <w:r>
        <w:rPr>
          <w:rFonts w:hint="eastAsia"/>
          <w:lang w:bidi="ar"/>
        </w:rPr>
        <w:t>港口散粮仓储应采用筒仓、平房仓。</w:t>
      </w:r>
    </w:p>
    <w:p w14:paraId="30A991CE">
      <w:pPr>
        <w:pStyle w:val="51"/>
        <w:rPr>
          <w:rFonts w:hint="eastAsia"/>
          <w:lang w:bidi="ar"/>
        </w:rPr>
      </w:pPr>
      <w:r>
        <w:rPr>
          <w:rFonts w:hint="eastAsia"/>
          <w:lang w:bidi="ar"/>
        </w:rPr>
        <w:t>港口散粮仓储设施应干燥、无污染、无虫鼠害、无残留粮食。</w:t>
      </w:r>
    </w:p>
    <w:p w14:paraId="37A85167">
      <w:pPr>
        <w:pStyle w:val="51"/>
        <w:rPr>
          <w:rFonts w:hint="eastAsia"/>
          <w:lang w:bidi="ar"/>
        </w:rPr>
      </w:pPr>
      <w:r>
        <w:rPr>
          <w:rFonts w:hint="eastAsia"/>
          <w:lang w:bidi="ar"/>
        </w:rPr>
        <w:t>根据降低粮食温度、降低粮食水分含量等需求可对散粮进行通风作业，通风的技术条件、操作条件、操作与管理等应符合LS/T 1202的要求。</w:t>
      </w:r>
    </w:p>
    <w:p w14:paraId="108C711C">
      <w:pPr>
        <w:pStyle w:val="51"/>
        <w:rPr>
          <w:rFonts w:hint="eastAsia"/>
          <w:lang w:bidi="ar"/>
        </w:rPr>
      </w:pPr>
      <w:r>
        <w:rPr>
          <w:rFonts w:hint="eastAsia"/>
          <w:lang w:bidi="ar"/>
        </w:rPr>
        <w:t>应对散粮温度进行监测，温度异常升高时增加通风时间及频次，或根据业主需要进行翻堆、倒仓等作业。</w:t>
      </w:r>
    </w:p>
    <w:p w14:paraId="5137043E">
      <w:pPr>
        <w:pStyle w:val="51"/>
        <w:rPr>
          <w:rFonts w:hint="eastAsia"/>
          <w:lang w:bidi="ar"/>
        </w:rPr>
      </w:pPr>
      <w:r>
        <w:rPr>
          <w:rFonts w:hint="eastAsia"/>
          <w:lang w:bidi="ar"/>
        </w:rPr>
        <w:t>应配置粮情测控系统。</w:t>
      </w:r>
    </w:p>
    <w:p w14:paraId="5B83F041">
      <w:pPr>
        <w:pStyle w:val="51"/>
        <w:rPr>
          <w:rFonts w:hint="eastAsia"/>
          <w:lang w:bidi="ar"/>
        </w:rPr>
      </w:pPr>
      <w:r>
        <w:rPr>
          <w:rFonts w:hint="eastAsia"/>
          <w:lang w:bidi="ar"/>
        </w:rPr>
        <w:t>筒仓和平房仓应采用富氮气调、环流熏蒸、谷冷降温等技术。</w:t>
      </w:r>
    </w:p>
    <w:p w14:paraId="0580FDA8">
      <w:pPr>
        <w:pStyle w:val="51"/>
        <w:rPr>
          <w:rFonts w:hint="eastAsia"/>
          <w:lang w:bidi="ar"/>
        </w:rPr>
      </w:pPr>
      <w:r>
        <w:rPr>
          <w:rFonts w:hint="eastAsia"/>
          <w:lang w:bidi="ar"/>
        </w:rPr>
        <w:t>应根据工艺流程、工艺设备、粉尘浓度等决定除尘方式及选用除尘器和风机。</w:t>
      </w:r>
    </w:p>
    <w:p w14:paraId="47DBA93A">
      <w:pPr>
        <w:pStyle w:val="51"/>
        <w:rPr>
          <w:lang w:bidi="ar"/>
        </w:rPr>
      </w:pPr>
      <w:r>
        <w:rPr>
          <w:rFonts w:hint="eastAsia"/>
          <w:lang w:bidi="ar"/>
        </w:rPr>
        <w:t>筒仓、提升机、埋刮板机、除尘器及计量装置等设备设施均应设置能有效泄压的泄爆装置。</w:t>
      </w:r>
    </w:p>
    <w:p w14:paraId="4BC2BE5A">
      <w:pPr>
        <w:pStyle w:val="51"/>
        <w:rPr>
          <w:rFonts w:hint="eastAsia"/>
          <w:lang w:bidi="ar"/>
        </w:rPr>
      </w:pPr>
      <w:r>
        <w:rPr>
          <w:rFonts w:hint="eastAsia"/>
          <w:lang w:bidi="ar"/>
        </w:rPr>
        <w:t>空压机能效应达到2级及以上能效等级，</w:t>
      </w:r>
      <w:r>
        <w:rPr>
          <w:lang w:bidi="ar"/>
        </w:rPr>
        <w:t>宜采用变频螺杆式空压机或永磁同步空压机，根据散粮仓储用气负荷自动调节排气量</w:t>
      </w:r>
      <w:r>
        <w:rPr>
          <w:rFonts w:hint="eastAsia"/>
          <w:lang w:bidi="ar"/>
        </w:rPr>
        <w:t>，宜接入</w:t>
      </w:r>
      <w:r>
        <w:rPr>
          <w:lang w:bidi="ar"/>
        </w:rPr>
        <w:t>能碳管控系统，实现用电量的实时监测和统计分析</w:t>
      </w:r>
      <w:r>
        <w:rPr>
          <w:rFonts w:hint="eastAsia"/>
          <w:lang w:bidi="ar"/>
        </w:rPr>
        <w:t>。</w:t>
      </w:r>
    </w:p>
    <w:p w14:paraId="4C45B316">
      <w:pPr>
        <w:pStyle w:val="51"/>
        <w:rPr>
          <w:rFonts w:hint="eastAsia"/>
          <w:lang w:bidi="ar"/>
        </w:rPr>
      </w:pPr>
      <w:r>
        <w:rPr>
          <w:rFonts w:hint="eastAsia"/>
          <w:lang w:bidi="ar"/>
        </w:rPr>
        <w:t>筒仓仓顶及封闭式工作楼（塔）应设置泄爆装置。</w:t>
      </w:r>
    </w:p>
    <w:p w14:paraId="4B62E931">
      <w:pPr>
        <w:pStyle w:val="51"/>
        <w:rPr>
          <w:rFonts w:hint="eastAsia"/>
          <w:lang w:bidi="ar"/>
        </w:rPr>
      </w:pPr>
      <w:r>
        <w:rPr>
          <w:rFonts w:hint="eastAsia"/>
          <w:lang w:bidi="ar"/>
        </w:rPr>
        <w:t>工艺流程的设计，宜避免不必要的反复提升，以减少产尘点、粮食破碎和可能的点火源。</w:t>
      </w:r>
    </w:p>
    <w:p w14:paraId="7B12B2E9">
      <w:pPr>
        <w:pStyle w:val="51"/>
        <w:rPr>
          <w:rFonts w:hint="eastAsia"/>
          <w:lang w:bidi="ar"/>
        </w:rPr>
      </w:pPr>
      <w:r>
        <w:rPr>
          <w:rFonts w:hint="eastAsia"/>
          <w:lang w:bidi="ar"/>
        </w:rPr>
        <w:t>应定期检查各电气设备，以防绝缘老化、动作失灵、接触不良等故障的发生。</w:t>
      </w:r>
    </w:p>
    <w:p w14:paraId="5C5B5801">
      <w:pPr>
        <w:pStyle w:val="39"/>
        <w:spacing w:before="156" w:after="156"/>
        <w:rPr>
          <w:lang w:bidi="ar"/>
        </w:rPr>
      </w:pPr>
      <w:r>
        <w:rPr>
          <w:rFonts w:hint="eastAsia"/>
          <w:lang w:bidi="ar"/>
        </w:rPr>
        <w:t>智慧</w:t>
      </w:r>
      <w:r>
        <w:rPr>
          <w:lang w:bidi="ar"/>
        </w:rPr>
        <w:t>管控</w:t>
      </w:r>
    </w:p>
    <w:p w14:paraId="1BEFAEF5">
      <w:pPr>
        <w:pStyle w:val="51"/>
        <w:rPr>
          <w:rFonts w:hint="eastAsia"/>
          <w:lang w:bidi="ar"/>
        </w:rPr>
      </w:pPr>
      <w:r>
        <w:rPr>
          <w:rFonts w:hint="eastAsia"/>
          <w:lang w:bidi="ar"/>
        </w:rPr>
        <w:t>自动化散粮港口综合管控系统宜按照GB/T 43380-2023建设，由生产控制系统、生产管理系统、辅助系统、能碳管控系统构成。</w:t>
      </w:r>
    </w:p>
    <w:p w14:paraId="33969165">
      <w:pPr>
        <w:pStyle w:val="51"/>
        <w:rPr>
          <w:rFonts w:hint="eastAsia"/>
          <w:lang w:bidi="ar"/>
        </w:rPr>
      </w:pPr>
      <w:r>
        <w:rPr>
          <w:rFonts w:hint="eastAsia"/>
          <w:lang w:bidi="ar"/>
        </w:rPr>
        <w:t>散粮港口宜依托数字孪生平台、全流程生产调度系统、智慧靠泊、全自动装卸设施等技术，实现装卸效能跨越式提升和散粮作业低碳化。</w:t>
      </w:r>
    </w:p>
    <w:p w14:paraId="5FE3885C">
      <w:pPr>
        <w:pStyle w:val="51"/>
        <w:rPr>
          <w:rFonts w:hint="eastAsia"/>
          <w:lang w:bidi="ar"/>
        </w:rPr>
      </w:pPr>
      <w:r>
        <w:rPr>
          <w:rFonts w:hint="eastAsia"/>
          <w:lang w:bidi="ar"/>
        </w:rPr>
        <w:t>宜建立基于5G、北斗、物联网等技术的全流程生产调度系统，系统具备优化作业路径、高效调度资源等降低作业能耗的功能，并不断提高港口生产运营智慧化程度。</w:t>
      </w:r>
    </w:p>
    <w:p w14:paraId="3E32B598">
      <w:pPr>
        <w:pStyle w:val="51"/>
        <w:rPr>
          <w:rFonts w:hint="eastAsia"/>
          <w:lang w:bidi="ar"/>
        </w:rPr>
      </w:pPr>
      <w:r>
        <w:rPr>
          <w:rFonts w:hint="eastAsia"/>
          <w:lang w:bidi="ar"/>
        </w:rPr>
        <w:t>应搭建能碳管控系统，并按照JT/T 1277的要求实现数据采集、目标预警、自动统计分析等功能。</w:t>
      </w:r>
    </w:p>
    <w:p w14:paraId="3A31A5DC">
      <w:pPr>
        <w:pStyle w:val="51"/>
        <w:rPr>
          <w:rFonts w:hint="eastAsia"/>
          <w:lang w:bidi="ar"/>
        </w:rPr>
      </w:pPr>
      <w:r>
        <w:rPr>
          <w:rFonts w:hint="eastAsia"/>
          <w:lang w:bidi="ar"/>
        </w:rPr>
        <w:t>能碳管控系统宜与全流程生产调度系统联动，与货物信息、作业量、路程轨迹等建立联系，通过设计算法实现二氧化碳排放强度、货物碳足迹监测和改进。</w:t>
      </w:r>
    </w:p>
    <w:p w14:paraId="51B6C44B">
      <w:pPr>
        <w:pStyle w:val="51"/>
        <w:rPr>
          <w:rFonts w:hint="eastAsia"/>
          <w:lang w:bidi="ar"/>
        </w:rPr>
      </w:pPr>
      <w:r>
        <w:rPr>
          <w:rFonts w:hint="eastAsia"/>
          <w:lang w:bidi="ar"/>
        </w:rPr>
        <w:t>筒仓和平房仓宜建设智能化信息系统，包括但不限于：</w:t>
      </w:r>
    </w:p>
    <w:p w14:paraId="1CB3D91F">
      <w:pPr>
        <w:pStyle w:val="26"/>
        <w:numPr>
          <w:ilvl w:val="0"/>
          <w:numId w:val="11"/>
        </w:numPr>
        <w:spacing w:before="0" w:beforeLines="0" w:after="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智能出入库系统；</w:t>
      </w:r>
    </w:p>
    <w:p w14:paraId="3A9D4B7C">
      <w:pPr>
        <w:pStyle w:val="26"/>
        <w:numPr>
          <w:ilvl w:val="0"/>
          <w:numId w:val="11"/>
        </w:numPr>
        <w:spacing w:before="0" w:beforeLines="0" w:after="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多参数粮情检测系统；</w:t>
      </w:r>
    </w:p>
    <w:p w14:paraId="3F65A9FD">
      <w:pPr>
        <w:pStyle w:val="26"/>
        <w:numPr>
          <w:ilvl w:val="0"/>
          <w:numId w:val="11"/>
        </w:numPr>
        <w:spacing w:before="0" w:beforeLines="0" w:after="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智能安防系统；</w:t>
      </w:r>
    </w:p>
    <w:p w14:paraId="3A3735DD">
      <w:pPr>
        <w:pStyle w:val="26"/>
        <w:numPr>
          <w:ilvl w:val="0"/>
          <w:numId w:val="11"/>
        </w:numPr>
        <w:spacing w:before="0" w:beforeLines="0" w:after="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三维可视化管理系统；</w:t>
      </w:r>
    </w:p>
    <w:p w14:paraId="731A28C9">
      <w:pPr>
        <w:pStyle w:val="26"/>
        <w:numPr>
          <w:ilvl w:val="0"/>
          <w:numId w:val="11"/>
        </w:numPr>
        <w:spacing w:before="0" w:beforeLines="0" w:after="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仓储业务管理系统；</w:t>
      </w:r>
    </w:p>
    <w:p w14:paraId="4D9BAE7D">
      <w:pPr>
        <w:pStyle w:val="26"/>
        <w:numPr>
          <w:ilvl w:val="0"/>
          <w:numId w:val="11"/>
        </w:numPr>
        <w:spacing w:before="0" w:beforeLines="0" w:after="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智能通风系统；</w:t>
      </w:r>
    </w:p>
    <w:p w14:paraId="6881DAD5">
      <w:pPr>
        <w:pStyle w:val="26"/>
        <w:numPr>
          <w:ilvl w:val="0"/>
          <w:numId w:val="11"/>
        </w:numPr>
        <w:spacing w:before="0" w:beforeLines="0" w:after="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智能气调系统；</w:t>
      </w:r>
    </w:p>
    <w:p w14:paraId="58B50D05">
      <w:pPr>
        <w:pStyle w:val="26"/>
        <w:numPr>
          <w:ilvl w:val="0"/>
          <w:numId w:val="11"/>
        </w:numPr>
        <w:spacing w:before="0" w:beforeLines="0" w:after="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智能控温储粮系统；</w:t>
      </w:r>
    </w:p>
    <w:p w14:paraId="34C16B62">
      <w:pPr>
        <w:pStyle w:val="26"/>
        <w:numPr>
          <w:ilvl w:val="0"/>
          <w:numId w:val="11"/>
        </w:numPr>
        <w:spacing w:before="0" w:beforeLines="0" w:after="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仓内数量在线监测系统；</w:t>
      </w:r>
    </w:p>
    <w:p w14:paraId="109C2706">
      <w:pPr>
        <w:pStyle w:val="26"/>
        <w:numPr>
          <w:ilvl w:val="0"/>
          <w:numId w:val="11"/>
        </w:numPr>
        <w:spacing w:before="0" w:beforeLines="0" w:after="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物联网、云计算、大数据、人工智能等新技术在储粮上的应用。</w:t>
      </w:r>
    </w:p>
    <w:p w14:paraId="7BD08E47">
      <w:pPr>
        <w:pStyle w:val="39"/>
        <w:spacing w:before="156" w:after="156"/>
        <w:rPr>
          <w:lang w:bidi="ar"/>
        </w:rPr>
      </w:pPr>
      <w:r>
        <w:rPr>
          <w:lang w:bidi="ar"/>
        </w:rPr>
        <w:t>建筑节能</w:t>
      </w:r>
    </w:p>
    <w:p w14:paraId="44ED8046">
      <w:pPr>
        <w:pStyle w:val="51"/>
        <w:rPr>
          <w:rFonts w:hint="eastAsia"/>
          <w:lang w:bidi="ar"/>
        </w:rPr>
      </w:pPr>
      <w:r>
        <w:rPr>
          <w:rFonts w:hint="eastAsia"/>
          <w:lang w:bidi="ar"/>
        </w:rPr>
        <w:t>既有办公、生活建筑宜开展节能评估和改造。</w:t>
      </w:r>
    </w:p>
    <w:p w14:paraId="2F3D7B05">
      <w:pPr>
        <w:pStyle w:val="51"/>
        <w:rPr>
          <w:rFonts w:hint="eastAsia"/>
          <w:lang w:bidi="ar"/>
        </w:rPr>
      </w:pPr>
      <w:r>
        <w:rPr>
          <w:rFonts w:hint="eastAsia"/>
          <w:lang w:bidi="ar"/>
        </w:rPr>
        <w:t>宜充分利用建筑屋顶、立面、车棚顶面等空间，安装光伏发电设施或微风发电设施。</w:t>
      </w:r>
    </w:p>
    <w:p w14:paraId="3A30DB3F">
      <w:pPr>
        <w:pStyle w:val="51"/>
        <w:rPr>
          <w:rFonts w:hint="eastAsia"/>
          <w:lang w:bidi="ar"/>
        </w:rPr>
      </w:pPr>
      <w:r>
        <w:rPr>
          <w:rFonts w:hint="eastAsia"/>
          <w:lang w:bidi="ar"/>
        </w:rPr>
        <w:t>既有办公、生活建筑宜采用江河海水源热泵系统供冷、供热。</w:t>
      </w:r>
    </w:p>
    <w:p w14:paraId="0728CACF">
      <w:pPr>
        <w:pStyle w:val="51"/>
        <w:rPr>
          <w:rFonts w:hint="eastAsia"/>
          <w:lang w:bidi="ar"/>
        </w:rPr>
      </w:pPr>
      <w:r>
        <w:rPr>
          <w:rFonts w:hint="eastAsia"/>
          <w:lang w:bidi="ar"/>
        </w:rPr>
        <w:t>建筑物配置的照明灯、空气调节器、电梯、卫生器具、热水器等的能效等级应达到2 级或以上。</w:t>
      </w:r>
    </w:p>
    <w:p w14:paraId="10D74379">
      <w:pPr>
        <w:pStyle w:val="39"/>
        <w:spacing w:before="156" w:after="156"/>
        <w:rPr>
          <w:lang w:bidi="ar"/>
        </w:rPr>
      </w:pPr>
      <w:r>
        <w:rPr>
          <w:lang w:bidi="ar"/>
        </w:rPr>
        <w:t>碳抵消</w:t>
      </w:r>
    </w:p>
    <w:p w14:paraId="2D9716E9">
      <w:pPr>
        <w:pStyle w:val="51"/>
        <w:rPr>
          <w:rFonts w:hint="eastAsia"/>
          <w:lang w:bidi="ar"/>
        </w:rPr>
      </w:pPr>
      <w:r>
        <w:rPr>
          <w:rFonts w:hint="eastAsia"/>
          <w:lang w:bidi="ar"/>
        </w:rPr>
        <w:t>宜使用国家核证自愿减排量（CCER）抵消剩余碳排放。</w:t>
      </w:r>
    </w:p>
    <w:p w14:paraId="55F8A820">
      <w:pPr>
        <w:pStyle w:val="51"/>
        <w:rPr>
          <w:rFonts w:hint="eastAsia"/>
          <w:lang w:bidi="ar"/>
        </w:rPr>
      </w:pPr>
      <w:r>
        <w:rPr>
          <w:rFonts w:hint="eastAsia"/>
          <w:lang w:bidi="ar"/>
        </w:rPr>
        <w:t>宜使用《巴黎协定》第六条碳市场机制产生的国际转让减缓成果（ITMOs）。</w:t>
      </w:r>
    </w:p>
    <w:p w14:paraId="185ABA67">
      <w:pPr>
        <w:pStyle w:val="35"/>
        <w:spacing w:before="312" w:after="312"/>
      </w:pPr>
      <w:bookmarkStart w:id="87" w:name="_Toc237881649"/>
      <w:bookmarkStart w:id="88" w:name="_Toc236437647"/>
      <w:bookmarkStart w:id="89" w:name="_Toc25306"/>
      <w:bookmarkStart w:id="90" w:name="_Toc32452"/>
      <w:r>
        <w:rPr>
          <w:rFonts w:hint="eastAsia"/>
        </w:rPr>
        <w:t>评价</w:t>
      </w:r>
      <w:bookmarkEnd w:id="83"/>
      <w:r>
        <w:rPr>
          <w:rFonts w:hint="eastAsia"/>
        </w:rPr>
        <w:t>方法</w:t>
      </w:r>
      <w:bookmarkEnd w:id="87"/>
      <w:bookmarkEnd w:id="88"/>
      <w:bookmarkEnd w:id="89"/>
      <w:bookmarkEnd w:id="90"/>
    </w:p>
    <w:bookmarkEnd w:id="84"/>
    <w:p w14:paraId="6BADC826">
      <w:pPr>
        <w:pStyle w:val="38"/>
        <w:spacing w:before="156" w:after="156"/>
      </w:pPr>
      <w:bookmarkStart w:id="91" w:name="_Toc236437648"/>
      <w:bookmarkStart w:id="92" w:name="_Toc1338"/>
      <w:r>
        <w:rPr>
          <w:rFonts w:hint="eastAsia"/>
        </w:rPr>
        <w:t>概述</w:t>
      </w:r>
      <w:bookmarkEnd w:id="91"/>
      <w:bookmarkEnd w:id="92"/>
    </w:p>
    <w:p w14:paraId="57BDEE1C">
      <w:pPr>
        <w:pStyle w:val="19"/>
        <w:rPr>
          <w:rFonts w:hint="eastAsia" w:hAnsi="宋体" w:cs="宋体"/>
          <w:szCs w:val="21"/>
        </w:rPr>
      </w:pPr>
      <w:r>
        <w:rPr>
          <w:rFonts w:hint="eastAsia" w:hAnsi="宋体" w:cs="宋体"/>
          <w:szCs w:val="21"/>
        </w:rPr>
        <w:t>评价流程遵循策划—实施—检查—处置（PDCA）方法论，包括评价准备、评价方案设计、评价实施、评价结果的应用与改进等关键环节,各环节依次展开并形成闭环，以确保评价工作的系统性、规范性和有效性。</w:t>
      </w:r>
    </w:p>
    <w:p w14:paraId="0551D230">
      <w:pPr>
        <w:pStyle w:val="38"/>
        <w:spacing w:before="156" w:after="156"/>
      </w:pPr>
      <w:bookmarkStart w:id="93" w:name="_Toc236437649"/>
      <w:bookmarkStart w:id="94" w:name="_Toc1461"/>
      <w:r>
        <w:rPr>
          <w:rFonts w:hint="eastAsia"/>
        </w:rPr>
        <w:t>评价准备</w:t>
      </w:r>
      <w:bookmarkEnd w:id="93"/>
      <w:bookmarkEnd w:id="94"/>
    </w:p>
    <w:p w14:paraId="2085386A">
      <w:pPr>
        <w:pStyle w:val="39"/>
        <w:spacing w:before="156" w:after="156"/>
        <w:rPr>
          <w:rFonts w:hint="eastAsia" w:asciiTheme="majorEastAsia" w:hAnsiTheme="majorEastAsia" w:eastAsiaTheme="majorEastAsia" w:cstheme="majorEastAsia"/>
          <w:lang w:bidi="ar"/>
        </w:rPr>
      </w:pPr>
      <w:r>
        <w:rPr>
          <w:rFonts w:hint="eastAsia" w:asciiTheme="majorEastAsia" w:hAnsiTheme="majorEastAsia" w:eastAsiaTheme="majorEastAsia" w:cstheme="majorEastAsia"/>
          <w:lang w:bidi="ar"/>
        </w:rPr>
        <w:t>应确定评价的范围和边界，包括：</w:t>
      </w:r>
    </w:p>
    <w:p w14:paraId="30310B77">
      <w:pPr>
        <w:pStyle w:val="26"/>
        <w:numPr>
          <w:ilvl w:val="0"/>
          <w:numId w:val="12"/>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碳排放核算的边界，应符合GB/T 46905中4.2的要求；碳排放核算依据本文件附录B的方法进行核算。</w:t>
      </w:r>
    </w:p>
    <w:p w14:paraId="48920D89">
      <w:pPr>
        <w:pStyle w:val="26"/>
        <w:numPr>
          <w:ilvl w:val="0"/>
          <w:numId w:val="12"/>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时间范围：采用自然年或一个完整的生产经营周期进行评价。</w:t>
      </w:r>
    </w:p>
    <w:p w14:paraId="3249D248">
      <w:pPr>
        <w:pStyle w:val="39"/>
        <w:spacing w:before="156" w:after="156"/>
        <w:rPr>
          <w:rFonts w:hint="eastAsia" w:asciiTheme="majorEastAsia" w:hAnsiTheme="majorEastAsia" w:eastAsiaTheme="majorEastAsia" w:cstheme="majorEastAsia"/>
          <w:lang w:bidi="ar"/>
        </w:rPr>
      </w:pPr>
      <w:r>
        <w:rPr>
          <w:rFonts w:hint="eastAsia" w:asciiTheme="majorEastAsia" w:hAnsiTheme="majorEastAsia" w:eastAsiaTheme="majorEastAsia" w:cstheme="majorEastAsia"/>
          <w:lang w:bidi="ar"/>
        </w:rPr>
        <w:t>应成立具备散粮港口运营、碳排放核算等能力的评价组，明确职责与分工，并确保评价活动的独立性和公正性。</w:t>
      </w:r>
    </w:p>
    <w:p w14:paraId="2EF928B2">
      <w:pPr>
        <w:pStyle w:val="38"/>
        <w:spacing w:before="156" w:after="156"/>
      </w:pPr>
      <w:bookmarkStart w:id="95" w:name="_Toc236437650"/>
      <w:bookmarkStart w:id="96" w:name="_Toc1823"/>
      <w:r>
        <w:rPr>
          <w:rFonts w:hint="eastAsia"/>
        </w:rPr>
        <w:t>评价方案设计</w:t>
      </w:r>
      <w:bookmarkEnd w:id="95"/>
      <w:bookmarkEnd w:id="96"/>
    </w:p>
    <w:p w14:paraId="00AA42EA">
      <w:pPr>
        <w:ind w:firstLine="420" w:firstLineChars="200"/>
        <w:rPr>
          <w:rFonts w:hint="eastAsia" w:ascii="宋体" w:hAnsi="宋体" w:eastAsia="宋体" w:cs="宋体"/>
          <w:kern w:val="0"/>
        </w:rPr>
      </w:pPr>
      <w:r>
        <w:rPr>
          <w:rFonts w:ascii="宋体" w:hAnsi="宋体" w:eastAsia="宋体" w:cs="宋体"/>
          <w:kern w:val="0"/>
        </w:rPr>
        <w:t>评价组应根据评价目的与范围，编制评价工作方案。方案的设计宜包括：</w:t>
      </w:r>
    </w:p>
    <w:p w14:paraId="7FD40678">
      <w:pPr>
        <w:pStyle w:val="26"/>
        <w:numPr>
          <w:ilvl w:val="0"/>
          <w:numId w:val="13"/>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制定评价细则：依据第4章给出的创建要求和附录A的评价指标框架，为各项指标明确数据来源、测量方法和具体的取值（评分）规则；</w:t>
      </w:r>
    </w:p>
    <w:p w14:paraId="40C79D21">
      <w:pPr>
        <w:pStyle w:val="26"/>
        <w:numPr>
          <w:ilvl w:val="0"/>
          <w:numId w:val="13"/>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形成工作方案：制定完整的评价工作方案，内容宜包括评价指标体系及权重、数据采集方法与工具、评分规则、人员分工、时间安排及质量保障措施。</w:t>
      </w:r>
    </w:p>
    <w:p w14:paraId="279B036A">
      <w:pPr>
        <w:pStyle w:val="38"/>
        <w:spacing w:before="156" w:after="156"/>
      </w:pPr>
      <w:bookmarkStart w:id="97" w:name="_Toc32515"/>
      <w:bookmarkStart w:id="98" w:name="_Toc236437651"/>
      <w:r>
        <w:rPr>
          <w:rFonts w:hint="eastAsia"/>
        </w:rPr>
        <w:t>评价实施</w:t>
      </w:r>
      <w:bookmarkEnd w:id="97"/>
      <w:bookmarkEnd w:id="98"/>
    </w:p>
    <w:p w14:paraId="663D5FD6">
      <w:pPr>
        <w:pStyle w:val="39"/>
        <w:spacing w:before="156" w:after="156"/>
        <w:rPr>
          <w:lang w:bidi="ar"/>
        </w:rPr>
      </w:pPr>
      <w:r>
        <w:rPr>
          <w:lang w:bidi="ar"/>
        </w:rPr>
        <w:t>数据与信息采集</w:t>
      </w:r>
    </w:p>
    <w:p w14:paraId="0EF4CCD3">
      <w:pPr>
        <w:pStyle w:val="19"/>
        <w:rPr>
          <w:rFonts w:hint="eastAsia" w:hAnsi="宋体" w:cs="宋体"/>
          <w:szCs w:val="21"/>
        </w:rPr>
      </w:pPr>
      <w:r>
        <w:rPr>
          <w:rFonts w:hAnsi="宋体" w:cs="宋体"/>
          <w:szCs w:val="21"/>
        </w:rPr>
        <w:t>评价组应按照评价工作方案，系统性地采集评价所需的数据与信息。数据采集方法可包括：文档审查、记录评审、信息系统数据提取、现场观察、问卷调查、访谈等。采集过程应确保数据的可追溯性。</w:t>
      </w:r>
    </w:p>
    <w:p w14:paraId="149FB03E">
      <w:pPr>
        <w:pStyle w:val="39"/>
        <w:spacing w:before="156" w:after="156"/>
        <w:rPr>
          <w:lang w:bidi="ar"/>
        </w:rPr>
      </w:pPr>
      <w:r>
        <w:rPr>
          <w:lang w:bidi="ar"/>
        </w:rPr>
        <w:t>数据质量评估与处理</w:t>
      </w:r>
    </w:p>
    <w:p w14:paraId="2589596B">
      <w:pPr>
        <w:pStyle w:val="19"/>
      </w:pPr>
      <w:r>
        <w:rPr>
          <w:rFonts w:hint="eastAsia"/>
        </w:rPr>
        <w:t>评价组</w:t>
      </w:r>
      <w:r>
        <w:t>应对所采集数据的质量进行评估，确保数据的真实性、准确性、完整性、一致性和时效性。评估方法可包括交叉验证、抽样复核等。对存在问题的数据应进行清洗、验证或补充采集，并记</w:t>
      </w:r>
      <w:r>
        <w:rPr>
          <w:rFonts w:hint="eastAsia"/>
        </w:rPr>
        <w:t>录处理过程。</w:t>
      </w:r>
    </w:p>
    <w:p w14:paraId="09F3EEBF">
      <w:pPr>
        <w:pStyle w:val="39"/>
        <w:spacing w:before="156" w:after="156"/>
        <w:rPr>
          <w:lang w:bidi="ar"/>
        </w:rPr>
      </w:pPr>
      <w:r>
        <w:rPr>
          <w:lang w:bidi="ar"/>
        </w:rPr>
        <w:t>指标计算与结果分析</w:t>
      </w:r>
    </w:p>
    <w:p w14:paraId="139303BB">
      <w:pPr>
        <w:pStyle w:val="19"/>
      </w:pPr>
      <w:r>
        <w:rPr>
          <w:rFonts w:hint="eastAsia"/>
        </w:rPr>
        <w:t>评价组根据评价工作方案和评价细则，对</w:t>
      </w:r>
      <w:r>
        <w:t>处理后的数据进行分析，计算各项指标的评价结果值</w:t>
      </w:r>
      <w:r>
        <w:rPr>
          <w:rFonts w:hint="eastAsia"/>
        </w:rPr>
        <w:t>，并</w:t>
      </w:r>
      <w:r>
        <w:t>与历史数据、预设目标或行业基准</w:t>
      </w:r>
      <w:r>
        <w:rPr>
          <w:rFonts w:hint="eastAsia"/>
        </w:rPr>
        <w:t>进行</w:t>
      </w:r>
      <w:r>
        <w:t>对比分析</w:t>
      </w:r>
      <w:r>
        <w:rPr>
          <w:rFonts w:hint="eastAsia"/>
        </w:rPr>
        <w:t>，确认比较优势和改进方向。</w:t>
      </w:r>
    </w:p>
    <w:p w14:paraId="275FEDAA">
      <w:pPr>
        <w:pStyle w:val="39"/>
        <w:spacing w:before="156" w:after="156"/>
        <w:rPr>
          <w:lang w:bidi="ar"/>
        </w:rPr>
      </w:pPr>
      <w:r>
        <w:rPr>
          <w:lang w:bidi="ar"/>
        </w:rPr>
        <w:t>评价报告编制</w:t>
      </w:r>
    </w:p>
    <w:p w14:paraId="0629A716">
      <w:pPr>
        <w:pStyle w:val="19"/>
      </w:pPr>
      <w:r>
        <w:t>评价组应基于评价结果，编制</w:t>
      </w:r>
      <w:r>
        <w:rPr>
          <w:rFonts w:hint="eastAsia"/>
        </w:rPr>
        <w:t>零碳散粮港口</w:t>
      </w:r>
      <w:r>
        <w:t>绩效评价报告。报告内容应真实、准确、完整、清晰，至少包括：</w:t>
      </w:r>
    </w:p>
    <w:p w14:paraId="7F09D7CC">
      <w:pPr>
        <w:pStyle w:val="26"/>
        <w:numPr>
          <w:ilvl w:val="0"/>
          <w:numId w:val="14"/>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评价活动概述（目的、范围、依据、方法、过程）；</w:t>
      </w:r>
    </w:p>
    <w:p w14:paraId="5D80A2A2">
      <w:pPr>
        <w:pStyle w:val="26"/>
        <w:numPr>
          <w:ilvl w:val="0"/>
          <w:numId w:val="14"/>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评价指标体系及权重；</w:t>
      </w:r>
    </w:p>
    <w:p w14:paraId="3F02102A">
      <w:pPr>
        <w:pStyle w:val="26"/>
        <w:numPr>
          <w:ilvl w:val="0"/>
          <w:numId w:val="14"/>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详细的分项评价结果；</w:t>
      </w:r>
    </w:p>
    <w:p w14:paraId="36C673B2">
      <w:pPr>
        <w:pStyle w:val="26"/>
        <w:numPr>
          <w:ilvl w:val="0"/>
          <w:numId w:val="14"/>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综合评价得分与结论；</w:t>
      </w:r>
    </w:p>
    <w:p w14:paraId="25C9DA0D">
      <w:pPr>
        <w:pStyle w:val="26"/>
        <w:numPr>
          <w:ilvl w:val="0"/>
          <w:numId w:val="14"/>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最佳实践与优势领域；</w:t>
      </w:r>
    </w:p>
    <w:p w14:paraId="36084E23">
      <w:pPr>
        <w:pStyle w:val="26"/>
        <w:numPr>
          <w:ilvl w:val="0"/>
          <w:numId w:val="14"/>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存在的问题与改进机会。</w:t>
      </w:r>
    </w:p>
    <w:p w14:paraId="5F35ED76">
      <w:pPr>
        <w:pStyle w:val="38"/>
        <w:spacing w:before="156" w:after="156"/>
      </w:pPr>
      <w:bookmarkStart w:id="99" w:name="_Toc236437652"/>
      <w:bookmarkStart w:id="100" w:name="_Toc21726"/>
      <w:r>
        <w:rPr>
          <w:rFonts w:hint="eastAsia"/>
        </w:rPr>
        <w:t>等级评定</w:t>
      </w:r>
      <w:bookmarkEnd w:id="99"/>
      <w:bookmarkEnd w:id="100"/>
    </w:p>
    <w:p w14:paraId="0B509090">
      <w:pPr>
        <w:pStyle w:val="39"/>
        <w:spacing w:before="156" w:after="156"/>
        <w:rPr>
          <w:rFonts w:hint="eastAsia" w:asciiTheme="majorEastAsia" w:hAnsiTheme="majorEastAsia" w:eastAsiaTheme="majorEastAsia" w:cstheme="majorEastAsia"/>
          <w:lang w:bidi="ar"/>
        </w:rPr>
      </w:pPr>
      <w:r>
        <w:rPr>
          <w:rFonts w:hint="eastAsia" w:asciiTheme="majorEastAsia" w:hAnsiTheme="majorEastAsia" w:eastAsiaTheme="majorEastAsia" w:cstheme="majorEastAsia"/>
          <w:lang w:bidi="ar"/>
        </w:rPr>
        <w:t>确认已按照本文件第4章要求进行了零碳散粮港口的创建工作。</w:t>
      </w:r>
    </w:p>
    <w:p w14:paraId="09304676">
      <w:pPr>
        <w:pStyle w:val="39"/>
        <w:spacing w:before="156" w:after="156"/>
        <w:rPr>
          <w:rFonts w:hint="eastAsia" w:asciiTheme="majorEastAsia" w:hAnsiTheme="majorEastAsia" w:eastAsiaTheme="majorEastAsia" w:cstheme="majorEastAsia"/>
          <w:lang w:bidi="ar"/>
        </w:rPr>
      </w:pPr>
      <w:r>
        <w:rPr>
          <w:rFonts w:hint="eastAsia" w:asciiTheme="majorEastAsia" w:hAnsiTheme="majorEastAsia" w:eastAsiaTheme="majorEastAsia" w:cstheme="majorEastAsia"/>
          <w:lang w:bidi="ar"/>
        </w:rPr>
        <w:t>等级评定按照本文件附录A表A.1及表A.2进行评级。</w:t>
      </w:r>
    </w:p>
    <w:p w14:paraId="00DECFAE">
      <w:pPr>
        <w:pStyle w:val="38"/>
        <w:spacing w:before="156" w:after="156"/>
      </w:pPr>
      <w:bookmarkStart w:id="101" w:name="_Toc17645"/>
      <w:bookmarkStart w:id="102" w:name="_Toc236437653"/>
      <w:r>
        <w:rPr>
          <w:rFonts w:hint="eastAsia"/>
        </w:rPr>
        <w:t>评价结果的应用与改进</w:t>
      </w:r>
      <w:bookmarkEnd w:id="101"/>
      <w:bookmarkEnd w:id="102"/>
    </w:p>
    <w:p w14:paraId="3A026510">
      <w:pPr>
        <w:pStyle w:val="39"/>
        <w:spacing w:before="156" w:after="156"/>
        <w:rPr>
          <w:lang w:bidi="ar"/>
        </w:rPr>
      </w:pPr>
      <w:r>
        <w:rPr>
          <w:lang w:bidi="ar"/>
        </w:rPr>
        <w:t>评价结果的应用</w:t>
      </w:r>
    </w:p>
    <w:p w14:paraId="24CACA82">
      <w:pPr>
        <w:pStyle w:val="19"/>
      </w:pPr>
      <w:r>
        <w:rPr>
          <w:rFonts w:hint="eastAsia"/>
        </w:rPr>
        <w:t>散粮港口运营方</w:t>
      </w:r>
      <w:r>
        <w:t>可将评</w:t>
      </w:r>
      <w:r>
        <w:rPr>
          <w:rFonts w:hint="eastAsia"/>
        </w:rPr>
        <w:t>级</w:t>
      </w:r>
      <w:r>
        <w:t>结果用于以下方面，以提升</w:t>
      </w:r>
      <w:r>
        <w:rPr>
          <w:rFonts w:hint="eastAsia"/>
        </w:rPr>
        <w:t>零碳散粮港口创建</w:t>
      </w:r>
      <w:r>
        <w:t>绩效：</w:t>
      </w:r>
    </w:p>
    <w:p w14:paraId="0EEFC515">
      <w:pPr>
        <w:pStyle w:val="19"/>
      </w:pPr>
      <w:r>
        <w:rPr>
          <w:rFonts w:hint="eastAsia"/>
        </w:rPr>
        <w:t>1</w:t>
      </w:r>
      <w:r>
        <w:t>) 战略与决策：为制定、评审和修订组织的</w:t>
      </w:r>
      <w:r>
        <w:rPr>
          <w:rFonts w:hint="eastAsia"/>
        </w:rPr>
        <w:t>零碳</w:t>
      </w:r>
      <w:r>
        <w:t>战略、方针、目标提供输入；</w:t>
      </w:r>
    </w:p>
    <w:p w14:paraId="0228F197">
      <w:pPr>
        <w:pStyle w:val="19"/>
      </w:pPr>
      <w:r>
        <w:rPr>
          <w:rFonts w:hint="eastAsia"/>
        </w:rPr>
        <w:t>2</w:t>
      </w:r>
      <w:r>
        <w:t>) 管理评审与改进：作为管理评审的重要输入，针对识别出的改进机会，制定并实施纠正和预防措施，推动管理体系持续改进；</w:t>
      </w:r>
    </w:p>
    <w:p w14:paraId="70A189BD">
      <w:pPr>
        <w:pStyle w:val="19"/>
      </w:pPr>
      <w:r>
        <w:rPr>
          <w:rFonts w:hint="eastAsia"/>
        </w:rPr>
        <w:t>3</w:t>
      </w:r>
      <w:r>
        <w:t>) 绩效管理：将评价结果纳入相关部门和人员的绩效考核体系；</w:t>
      </w:r>
    </w:p>
    <w:p w14:paraId="60439C19">
      <w:pPr>
        <w:pStyle w:val="19"/>
      </w:pPr>
      <w:r>
        <w:rPr>
          <w:rFonts w:hint="eastAsia"/>
        </w:rPr>
        <w:t>4</w:t>
      </w:r>
      <w:r>
        <w:t>) 沟通与报告：向内外部利益相关方（如管理层、员工、客户、投资者）沟通</w:t>
      </w:r>
      <w:r>
        <w:rPr>
          <w:rFonts w:hint="eastAsia"/>
        </w:rPr>
        <w:t>零碳港口创建</w:t>
      </w:r>
      <w:r>
        <w:t>绩效，增强透明度与信任，并在可持续发展报告或社会责任报告中予以披露；</w:t>
      </w:r>
    </w:p>
    <w:p w14:paraId="678D386C">
      <w:pPr>
        <w:pStyle w:val="19"/>
      </w:pPr>
      <w:r>
        <w:rPr>
          <w:rFonts w:hint="eastAsia"/>
        </w:rPr>
        <w:t>5</w:t>
      </w:r>
      <w:r>
        <w:t>) 对标分析：与历史绩效、行业标杆或最佳实践进行对比，明确自身定位与提升方向。</w:t>
      </w:r>
    </w:p>
    <w:p w14:paraId="3E2FD6BE">
      <w:pPr>
        <w:pStyle w:val="39"/>
        <w:spacing w:before="156" w:after="156"/>
        <w:rPr>
          <w:lang w:bidi="ar"/>
        </w:rPr>
      </w:pPr>
      <w:r>
        <w:rPr>
          <w:lang w:bidi="ar"/>
        </w:rPr>
        <w:t>改进与验证</w:t>
      </w:r>
    </w:p>
    <w:p w14:paraId="0152FB2B">
      <w:pPr>
        <w:pStyle w:val="19"/>
        <w:rPr>
          <w:rFonts w:hint="eastAsia" w:hAnsi="宋体" w:cs="宋体"/>
          <w:szCs w:val="21"/>
        </w:rPr>
      </w:pPr>
      <w:r>
        <w:rPr>
          <w:rFonts w:hAnsi="宋体" w:cs="宋体"/>
          <w:szCs w:val="21"/>
        </w:rPr>
        <w:t>散粮港口运营方</w:t>
      </w:r>
      <w:r>
        <w:rPr>
          <w:rFonts w:hint="eastAsia" w:hAnsi="宋体" w:cs="宋体"/>
          <w:szCs w:val="21"/>
        </w:rPr>
        <w:t>应开展以下改进与验证活动：</w:t>
      </w:r>
    </w:p>
    <w:p w14:paraId="0FB10A53">
      <w:pPr>
        <w:pStyle w:val="26"/>
        <w:numPr>
          <w:ilvl w:val="0"/>
          <w:numId w:val="15"/>
        </w:numPr>
        <w:spacing w:beforeLines="0" w:afterLines="0"/>
        <w:ind w:left="5" w:firstLine="415"/>
        <w:outlineLvl w:val="9"/>
        <w:rPr>
          <w:rFonts w:hint="eastAsia" w:asciiTheme="minorEastAsia" w:hAnsiTheme="minorEastAsia" w:eastAsiaTheme="minorEastAsia"/>
        </w:rPr>
      </w:pPr>
      <w:r>
        <w:rPr>
          <w:rFonts w:hint="eastAsia" w:asciiTheme="minorEastAsia" w:hAnsiTheme="minorEastAsia" w:eastAsiaTheme="minorEastAsia"/>
        </w:rPr>
        <w:t>应针对评价报告中识别的改进机会，制定具体的改进措施计划，明确责任部门、责任人、完成时限和预期效果；</w:t>
      </w:r>
    </w:p>
    <w:p w14:paraId="64290D7D">
      <w:pPr>
        <w:pStyle w:val="26"/>
        <w:numPr>
          <w:ilvl w:val="0"/>
          <w:numId w:val="15"/>
        </w:numPr>
        <w:spacing w:beforeLines="0" w:afterLines="0"/>
        <w:ind w:left="5" w:firstLine="415"/>
        <w:outlineLvl w:val="9"/>
        <w:rPr>
          <w:rFonts w:hint="eastAsia" w:asciiTheme="minorEastAsia" w:hAnsiTheme="minorEastAsia" w:eastAsiaTheme="minorEastAsia"/>
        </w:rPr>
      </w:pPr>
      <w:r>
        <w:rPr>
          <w:rFonts w:hint="eastAsia" w:asciiTheme="minorEastAsia" w:hAnsiTheme="minorEastAsia" w:eastAsiaTheme="minorEastAsia"/>
        </w:rPr>
        <w:t>应对改进措施的实施进度和效果进行定期跟踪、监测和记录；</w:t>
      </w:r>
    </w:p>
    <w:p w14:paraId="69D2C0FD">
      <w:pPr>
        <w:pStyle w:val="26"/>
        <w:numPr>
          <w:ilvl w:val="0"/>
          <w:numId w:val="15"/>
        </w:numPr>
        <w:spacing w:beforeLines="0" w:afterLines="0"/>
        <w:ind w:left="5" w:firstLine="415"/>
        <w:outlineLvl w:val="9"/>
        <w:rPr>
          <w:rFonts w:hint="eastAsia" w:asciiTheme="minorEastAsia" w:hAnsiTheme="minorEastAsia" w:eastAsiaTheme="minorEastAsia"/>
        </w:rPr>
      </w:pPr>
      <w:r>
        <w:rPr>
          <w:rFonts w:hint="eastAsia" w:asciiTheme="minorEastAsia" w:hAnsiTheme="minorEastAsia" w:eastAsiaTheme="minorEastAsia"/>
        </w:rPr>
        <w:t>宜通过后续评价、内部审核或专项检查等方式，对改进措施的有效性进行验证，确保形成持续改进的闭环管理。</w:t>
      </w:r>
    </w:p>
    <w:p w14:paraId="0672B44D">
      <w:pPr>
        <w:pStyle w:val="18"/>
        <w:ind w:firstLine="420"/>
      </w:pPr>
    </w:p>
    <w:p w14:paraId="797B9D8D">
      <w:pPr>
        <w:pStyle w:val="18"/>
        <w:ind w:firstLine="420"/>
      </w:pPr>
    </w:p>
    <w:p w14:paraId="1658112D">
      <w:pPr>
        <w:pStyle w:val="18"/>
        <w:ind w:firstLine="420"/>
      </w:pPr>
    </w:p>
    <w:p w14:paraId="4B97B500">
      <w:pPr>
        <w:pStyle w:val="18"/>
        <w:ind w:firstLine="420"/>
      </w:pPr>
    </w:p>
    <w:p w14:paraId="4D6842D9">
      <w:pPr>
        <w:numPr>
          <w:ilvl w:val="255"/>
          <w:numId w:val="0"/>
        </w:numPr>
        <w:tabs>
          <w:tab w:val="center" w:pos="4201"/>
          <w:tab w:val="right" w:leader="dot" w:pos="9298"/>
        </w:tabs>
        <w:sectPr>
          <w:headerReference r:id="rId12" w:type="default"/>
          <w:footerReference r:id="rId13" w:type="default"/>
          <w:pgSz w:w="11906" w:h="16838"/>
          <w:pgMar w:top="1417" w:right="1417" w:bottom="1134" w:left="1417" w:header="1417" w:footer="1134" w:gutter="0"/>
          <w:cols w:space="425" w:num="1"/>
          <w:docGrid w:type="lines" w:linePitch="312" w:charSpace="0"/>
        </w:sectPr>
      </w:pPr>
      <w:bookmarkStart w:id="103" w:name="apendix"/>
      <w:bookmarkEnd w:id="103"/>
    </w:p>
    <w:p w14:paraId="1E56CC2C">
      <w:pPr>
        <w:pStyle w:val="22"/>
        <w:rPr>
          <w:rFonts w:hint="eastAsia"/>
        </w:rPr>
      </w:pPr>
      <w:bookmarkStart w:id="104" w:name="_Toc236437654"/>
      <w:bookmarkEnd w:id="104"/>
      <w:bookmarkStart w:id="105" w:name="_Toc24906"/>
      <w:bookmarkEnd w:id="105"/>
      <w:bookmarkStart w:id="106" w:name="_Toc237881650"/>
      <w:bookmarkEnd w:id="106"/>
      <w:bookmarkStart w:id="107" w:name="_Toc29767"/>
      <w:bookmarkEnd w:id="107"/>
      <w:bookmarkStart w:id="108" w:name="_Toc8517"/>
      <w:bookmarkStart w:id="109" w:name="_Toc7845"/>
      <w:bookmarkStart w:id="110" w:name="_Toc207832840"/>
      <w:bookmarkStart w:id="111" w:name="_Toc236437655"/>
      <w:bookmarkStart w:id="112" w:name="_Toc16962"/>
    </w:p>
    <w:p w14:paraId="768D48FE">
      <w:pPr>
        <w:pStyle w:val="23"/>
        <w:spacing w:beforeLines="0" w:afterLines="0"/>
        <w:rPr>
          <w:rFonts w:hint="eastAsia" w:hAnsi="黑体" w:cs="黑体"/>
        </w:rPr>
      </w:pPr>
      <w:bookmarkStart w:id="113" w:name="_Toc237881651"/>
      <w:r>
        <w:rPr>
          <w:rFonts w:hint="eastAsia" w:hAnsi="黑体" w:cs="黑体"/>
        </w:rPr>
        <w:t>（规范性）</w:t>
      </w:r>
      <w:bookmarkEnd w:id="113"/>
    </w:p>
    <w:bookmarkEnd w:id="108"/>
    <w:bookmarkEnd w:id="109"/>
    <w:bookmarkEnd w:id="110"/>
    <w:bookmarkEnd w:id="111"/>
    <w:bookmarkEnd w:id="112"/>
    <w:p w14:paraId="397C1CAB">
      <w:pPr>
        <w:pStyle w:val="23"/>
        <w:spacing w:before="78" w:after="156"/>
        <w:rPr>
          <w:rFonts w:hint="eastAsia" w:hAnsi="黑体" w:cs="黑体"/>
          <w:szCs w:val="21"/>
        </w:rPr>
      </w:pPr>
      <w:bookmarkStart w:id="114" w:name="bookmark30"/>
      <w:bookmarkEnd w:id="114"/>
      <w:bookmarkStart w:id="115" w:name="_Toc18975"/>
      <w:bookmarkStart w:id="116" w:name="_Toc19054"/>
      <w:bookmarkStart w:id="117" w:name="_Toc237881652"/>
      <w:bookmarkStart w:id="118" w:name="_Toc236437656"/>
      <w:bookmarkStart w:id="119" w:name="_Toc207832842"/>
      <w:r>
        <w:rPr>
          <w:rFonts w:hint="eastAsia" w:hAnsi="黑体" w:cs="黑体"/>
          <w:szCs w:val="21"/>
        </w:rPr>
        <w:t>零碳散粮港口评价指标及评价等级</w:t>
      </w:r>
      <w:bookmarkEnd w:id="115"/>
      <w:bookmarkEnd w:id="116"/>
      <w:bookmarkEnd w:id="117"/>
      <w:bookmarkEnd w:id="118"/>
    </w:p>
    <w:bookmarkEnd w:id="119"/>
    <w:p w14:paraId="68A0142A">
      <w:pPr>
        <w:pStyle w:val="24"/>
        <w:spacing w:before="156" w:after="156"/>
        <w:rPr>
          <w:rFonts w:hint="eastAsia" w:cs="黑体"/>
          <w:szCs w:val="21"/>
        </w:rPr>
      </w:pPr>
      <w:bookmarkStart w:id="120" w:name="_Toc2923"/>
      <w:bookmarkStart w:id="121" w:name="_Toc236437657"/>
      <w:r>
        <w:rPr>
          <w:rFonts w:hint="eastAsia" w:cs="黑体"/>
          <w:szCs w:val="21"/>
        </w:rPr>
        <w:t>零碳散粮港口评价指标</w:t>
      </w:r>
      <w:bookmarkEnd w:id="120"/>
      <w:bookmarkEnd w:id="121"/>
    </w:p>
    <w:p w14:paraId="684BAF34">
      <w:pPr>
        <w:pStyle w:val="19"/>
      </w:pPr>
      <w:r>
        <w:rPr>
          <w:rFonts w:hint="eastAsia"/>
        </w:rPr>
        <w:t>零碳散粮港口的评价指标由管理水平、技术水平、效果评估三个一级指标构成，共设置13个二级指标，二级指标以定量指标为主。</w:t>
      </w:r>
    </w:p>
    <w:p w14:paraId="353D7990">
      <w:pPr>
        <w:pStyle w:val="40"/>
        <w:spacing w:before="156" w:after="156"/>
      </w:pPr>
      <w:r>
        <w:rPr>
          <w:rFonts w:hAnsi="黑体"/>
          <w:szCs w:val="21"/>
        </w:rPr>
        <w:t>零碳散粮港口评价指标</w:t>
      </w:r>
    </w:p>
    <w:tbl>
      <w:tblPr>
        <w:tblStyle w:val="11"/>
        <w:tblW w:w="985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625"/>
        <w:gridCol w:w="1160"/>
        <w:gridCol w:w="3843"/>
        <w:gridCol w:w="800"/>
        <w:gridCol w:w="3426"/>
      </w:tblGrid>
      <w:tr w14:paraId="387FF2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0" w:type="auto"/>
            <w:tcBorders>
              <w:bottom w:val="single" w:color="auto" w:sz="8" w:space="0"/>
            </w:tcBorders>
          </w:tcPr>
          <w:p w14:paraId="2715E38A">
            <w:pPr>
              <w:pStyle w:val="41"/>
            </w:pPr>
            <w:r>
              <w:rPr>
                <w:rFonts w:hint="eastAsia" w:ascii="Times New Roman"/>
              </w:rPr>
              <w:t>序号</w:t>
            </w:r>
          </w:p>
        </w:tc>
        <w:tc>
          <w:tcPr>
            <w:tcW w:w="1160" w:type="dxa"/>
            <w:tcBorders>
              <w:bottom w:val="single" w:color="auto" w:sz="8" w:space="0"/>
            </w:tcBorders>
          </w:tcPr>
          <w:p w14:paraId="20251BB6">
            <w:pPr>
              <w:pStyle w:val="41"/>
            </w:pPr>
            <w:r>
              <w:rPr>
                <w:rFonts w:hint="eastAsia" w:ascii="Times New Roman"/>
              </w:rPr>
              <w:t>一级指标</w:t>
            </w:r>
          </w:p>
        </w:tc>
        <w:tc>
          <w:tcPr>
            <w:tcW w:w="3843" w:type="dxa"/>
            <w:tcBorders>
              <w:bottom w:val="single" w:color="auto" w:sz="8" w:space="0"/>
            </w:tcBorders>
          </w:tcPr>
          <w:p w14:paraId="50B2CFDF">
            <w:pPr>
              <w:pStyle w:val="41"/>
            </w:pPr>
            <w:r>
              <w:rPr>
                <w:rFonts w:hint="eastAsia" w:ascii="Times New Roman"/>
              </w:rPr>
              <w:t>二级指标</w:t>
            </w:r>
          </w:p>
        </w:tc>
        <w:tc>
          <w:tcPr>
            <w:tcW w:w="800" w:type="dxa"/>
            <w:tcBorders>
              <w:bottom w:val="single" w:color="auto" w:sz="8" w:space="0"/>
            </w:tcBorders>
          </w:tcPr>
          <w:p w14:paraId="13D8875C">
            <w:pPr>
              <w:pStyle w:val="41"/>
            </w:pPr>
            <w:r>
              <w:rPr>
                <w:rFonts w:hint="eastAsia" w:ascii="Times New Roman"/>
              </w:rPr>
              <w:t>分值</w:t>
            </w:r>
          </w:p>
        </w:tc>
        <w:tc>
          <w:tcPr>
            <w:tcW w:w="3426" w:type="dxa"/>
            <w:tcBorders>
              <w:bottom w:val="single" w:color="auto" w:sz="8" w:space="0"/>
            </w:tcBorders>
          </w:tcPr>
          <w:p w14:paraId="4AA6D5E0">
            <w:pPr>
              <w:pStyle w:val="41"/>
            </w:pPr>
            <w:r>
              <w:rPr>
                <w:rFonts w:hint="eastAsia" w:ascii="Times New Roman"/>
              </w:rPr>
              <w:t>计分方法</w:t>
            </w:r>
          </w:p>
        </w:tc>
      </w:tr>
      <w:tr w14:paraId="7A447F0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0" w:type="auto"/>
            <w:tcBorders>
              <w:top w:val="single" w:color="auto" w:sz="8" w:space="0"/>
            </w:tcBorders>
            <w:vAlign w:val="center"/>
          </w:tcPr>
          <w:p w14:paraId="1A4A9804">
            <w:pPr>
              <w:pStyle w:val="41"/>
            </w:pPr>
            <w:r>
              <w:rPr>
                <w:rFonts w:hint="eastAsia" w:ascii="Times New Roman"/>
              </w:rPr>
              <w:t>1</w:t>
            </w:r>
          </w:p>
        </w:tc>
        <w:tc>
          <w:tcPr>
            <w:tcW w:w="1160" w:type="dxa"/>
            <w:vMerge w:val="restart"/>
            <w:tcBorders>
              <w:top w:val="single" w:color="auto" w:sz="8" w:space="0"/>
            </w:tcBorders>
            <w:vAlign w:val="center"/>
          </w:tcPr>
          <w:p w14:paraId="7E16EEC9">
            <w:pPr>
              <w:pStyle w:val="41"/>
            </w:pPr>
            <w:r>
              <w:rPr>
                <w:rFonts w:hint="eastAsia" w:ascii="Times New Roman"/>
              </w:rPr>
              <w:t>管理水平（20分）</w:t>
            </w:r>
          </w:p>
        </w:tc>
        <w:tc>
          <w:tcPr>
            <w:tcW w:w="3843" w:type="dxa"/>
            <w:tcBorders>
              <w:top w:val="single" w:color="auto" w:sz="8" w:space="0"/>
            </w:tcBorders>
            <w:vAlign w:val="center"/>
          </w:tcPr>
          <w:p w14:paraId="3B731929">
            <w:pPr>
              <w:pStyle w:val="41"/>
            </w:pPr>
            <w:r>
              <w:rPr>
                <w:rFonts w:hint="eastAsia" w:ascii="Times New Roman"/>
              </w:rPr>
              <w:t>建立碳管理体系、能碳统计制度</w:t>
            </w:r>
          </w:p>
        </w:tc>
        <w:tc>
          <w:tcPr>
            <w:tcW w:w="800" w:type="dxa"/>
            <w:tcBorders>
              <w:top w:val="single" w:color="auto" w:sz="8" w:space="0"/>
            </w:tcBorders>
            <w:vAlign w:val="center"/>
          </w:tcPr>
          <w:p w14:paraId="2C1280BC">
            <w:pPr>
              <w:pStyle w:val="41"/>
            </w:pPr>
            <w:r>
              <w:rPr>
                <w:rFonts w:hint="eastAsia" w:ascii="Times New Roman"/>
              </w:rPr>
              <w:t>10分</w:t>
            </w:r>
          </w:p>
        </w:tc>
        <w:tc>
          <w:tcPr>
            <w:tcW w:w="3426" w:type="dxa"/>
            <w:tcBorders>
              <w:top w:val="single" w:color="auto" w:sz="8" w:space="0"/>
            </w:tcBorders>
            <w:vAlign w:val="center"/>
          </w:tcPr>
          <w:p w14:paraId="17417E6B">
            <w:pPr>
              <w:pStyle w:val="41"/>
              <w:jc w:val="both"/>
            </w:pPr>
            <w:r>
              <w:rPr>
                <w:rFonts w:hint="eastAsia"/>
              </w:rPr>
              <w:t>1）制定碳管理体系制度文件，能源统计制度文件和统计报表，碳排放数据监测、核算制度文件，编制碳排放年报/快报，得10分；</w:t>
            </w:r>
          </w:p>
          <w:p w14:paraId="3CCA7F2C">
            <w:pPr>
              <w:pStyle w:val="41"/>
              <w:jc w:val="both"/>
            </w:pPr>
            <w:r>
              <w:rPr>
                <w:rFonts w:hint="eastAsia"/>
              </w:rPr>
              <w:t>2）制定碳管理体系制度文件，能源统计制度文件和统计报表，碳排放数据监测、核算制度文件，得7分；</w:t>
            </w:r>
          </w:p>
          <w:p w14:paraId="55104E91">
            <w:pPr>
              <w:pStyle w:val="41"/>
              <w:jc w:val="both"/>
            </w:pPr>
            <w:r>
              <w:rPr>
                <w:rFonts w:hint="eastAsia"/>
              </w:rPr>
              <w:t>3）未制定相关制度和编制相关统计报表，不得分。</w:t>
            </w:r>
          </w:p>
        </w:tc>
      </w:tr>
      <w:tr w14:paraId="027490F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0" w:type="auto"/>
            <w:vAlign w:val="center"/>
          </w:tcPr>
          <w:p w14:paraId="69DE8BD8">
            <w:pPr>
              <w:pStyle w:val="41"/>
            </w:pPr>
            <w:r>
              <w:rPr>
                <w:rFonts w:hint="eastAsia" w:ascii="Times New Roman"/>
              </w:rPr>
              <w:t>2</w:t>
            </w:r>
          </w:p>
        </w:tc>
        <w:tc>
          <w:tcPr>
            <w:tcW w:w="1160" w:type="dxa"/>
            <w:vMerge w:val="continue"/>
            <w:vAlign w:val="center"/>
          </w:tcPr>
          <w:p w14:paraId="0AB9FA4F">
            <w:pPr>
              <w:pStyle w:val="41"/>
            </w:pPr>
          </w:p>
        </w:tc>
        <w:tc>
          <w:tcPr>
            <w:tcW w:w="3843" w:type="dxa"/>
            <w:vAlign w:val="center"/>
          </w:tcPr>
          <w:p w14:paraId="64523E56">
            <w:pPr>
              <w:pStyle w:val="41"/>
            </w:pPr>
            <w:r>
              <w:rPr>
                <w:rFonts w:hint="eastAsia" w:ascii="Times New Roman"/>
              </w:rPr>
              <w:t>制定散粮港口零碳规划</w:t>
            </w:r>
          </w:p>
        </w:tc>
        <w:tc>
          <w:tcPr>
            <w:tcW w:w="800" w:type="dxa"/>
            <w:vAlign w:val="center"/>
          </w:tcPr>
          <w:p w14:paraId="62A09417">
            <w:pPr>
              <w:pStyle w:val="41"/>
            </w:pPr>
            <w:r>
              <w:rPr>
                <w:rFonts w:hint="eastAsia" w:ascii="Times New Roman"/>
              </w:rPr>
              <w:t>10分</w:t>
            </w:r>
          </w:p>
        </w:tc>
        <w:tc>
          <w:tcPr>
            <w:tcW w:w="3426" w:type="dxa"/>
            <w:vAlign w:val="center"/>
          </w:tcPr>
          <w:p w14:paraId="3B0EE4CA">
            <w:pPr>
              <w:pStyle w:val="41"/>
              <w:jc w:val="both"/>
            </w:pPr>
            <w:r>
              <w:rPr>
                <w:rFonts w:hint="eastAsia"/>
              </w:rPr>
              <w:t>1）</w:t>
            </w:r>
            <w:r>
              <w:t>制定零碳散粮港口中长期战略规划（含碳达峰、碳中和目标及路径），目标明确、路径清晰，得</w:t>
            </w:r>
            <w:r>
              <w:rPr>
                <w:rFonts w:hint="eastAsia"/>
              </w:rPr>
              <w:t>10</w:t>
            </w:r>
            <w:r>
              <w:t>分</w:t>
            </w:r>
            <w:r>
              <w:rPr>
                <w:rFonts w:hint="eastAsia"/>
              </w:rPr>
              <w:t>；</w:t>
            </w:r>
          </w:p>
          <w:p w14:paraId="40A86532">
            <w:pPr>
              <w:pStyle w:val="41"/>
              <w:jc w:val="both"/>
            </w:pPr>
            <w:r>
              <w:rPr>
                <w:rFonts w:hint="eastAsia"/>
              </w:rPr>
              <w:t>2）</w:t>
            </w:r>
            <w:r>
              <w:t>制定零碳散粮港口年度工作计划，得</w:t>
            </w:r>
            <w:r>
              <w:rPr>
                <w:rFonts w:hint="eastAsia"/>
              </w:rPr>
              <w:t>5</w:t>
            </w:r>
            <w:r>
              <w:t>分；</w:t>
            </w:r>
          </w:p>
          <w:p w14:paraId="6457E21F">
            <w:pPr>
              <w:pStyle w:val="41"/>
              <w:jc w:val="both"/>
            </w:pPr>
            <w:r>
              <w:rPr>
                <w:rFonts w:hint="eastAsia"/>
              </w:rPr>
              <w:t>3）</w:t>
            </w:r>
            <w:r>
              <w:t>未制定相关规划或计划，不得分。</w:t>
            </w:r>
          </w:p>
        </w:tc>
      </w:tr>
      <w:tr w14:paraId="4A29460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0" w:type="auto"/>
            <w:vAlign w:val="center"/>
          </w:tcPr>
          <w:p w14:paraId="54324450">
            <w:pPr>
              <w:pStyle w:val="41"/>
            </w:pPr>
            <w:r>
              <w:rPr>
                <w:rFonts w:hint="eastAsia" w:ascii="Times New Roman"/>
              </w:rPr>
              <w:t>3</w:t>
            </w:r>
          </w:p>
        </w:tc>
        <w:tc>
          <w:tcPr>
            <w:tcW w:w="1160" w:type="dxa"/>
            <w:vMerge w:val="restart"/>
            <w:vAlign w:val="center"/>
          </w:tcPr>
          <w:p w14:paraId="75104D4B">
            <w:pPr>
              <w:pStyle w:val="41"/>
            </w:pPr>
            <w:r>
              <w:rPr>
                <w:rFonts w:hint="eastAsia" w:ascii="Times New Roman"/>
              </w:rPr>
              <w:t>技术水平（60分）</w:t>
            </w:r>
          </w:p>
        </w:tc>
        <w:tc>
          <w:tcPr>
            <w:tcW w:w="3843" w:type="dxa"/>
            <w:vAlign w:val="center"/>
          </w:tcPr>
          <w:p w14:paraId="5FAD6C40">
            <w:pPr>
              <w:pStyle w:val="41"/>
            </w:pPr>
            <w:r>
              <w:rPr>
                <w:rFonts w:hint="eastAsia" w:ascii="Times New Roman"/>
              </w:rPr>
              <w:t>风电和光伏装机总容量</w:t>
            </w:r>
          </w:p>
        </w:tc>
        <w:tc>
          <w:tcPr>
            <w:tcW w:w="800" w:type="dxa"/>
            <w:vAlign w:val="center"/>
          </w:tcPr>
          <w:p w14:paraId="0B247F33">
            <w:pPr>
              <w:pStyle w:val="41"/>
            </w:pPr>
            <w:r>
              <w:rPr>
                <w:rFonts w:hint="eastAsia" w:ascii="Times New Roman"/>
              </w:rPr>
              <w:t>6分</w:t>
            </w:r>
          </w:p>
        </w:tc>
        <w:tc>
          <w:tcPr>
            <w:tcW w:w="3426" w:type="dxa"/>
            <w:vAlign w:val="center"/>
          </w:tcPr>
          <w:p w14:paraId="2D427607">
            <w:pPr>
              <w:pStyle w:val="41"/>
              <w:jc w:val="both"/>
              <w:rPr>
                <w:rFonts w:ascii="Times New Roman"/>
              </w:rPr>
            </w:pPr>
            <w:r>
              <w:rPr>
                <w:rFonts w:ascii="Times New Roman"/>
              </w:rPr>
              <w:t>1）港口风电、光伏装机总容量占港口总用电负荷比例≥30%，得6分；</w:t>
            </w:r>
          </w:p>
          <w:p w14:paraId="69B6C654">
            <w:pPr>
              <w:pStyle w:val="41"/>
              <w:jc w:val="both"/>
              <w:rPr>
                <w:rFonts w:ascii="Times New Roman"/>
              </w:rPr>
            </w:pPr>
            <w:r>
              <w:rPr>
                <w:rFonts w:ascii="Times New Roman"/>
              </w:rPr>
              <w:t>2）比例20%-30%，得4分；</w:t>
            </w:r>
          </w:p>
          <w:p w14:paraId="23E371EA">
            <w:pPr>
              <w:pStyle w:val="41"/>
              <w:jc w:val="both"/>
              <w:rPr>
                <w:rFonts w:ascii="Times New Roman"/>
              </w:rPr>
            </w:pPr>
            <w:r>
              <w:rPr>
                <w:rFonts w:ascii="Times New Roman"/>
              </w:rPr>
              <w:t>3）比例10%-20%，得2分；</w:t>
            </w:r>
          </w:p>
          <w:p w14:paraId="6795D8F9">
            <w:pPr>
              <w:pStyle w:val="41"/>
              <w:jc w:val="both"/>
              <w:rPr>
                <w:rFonts w:ascii="Times New Roman"/>
              </w:rPr>
            </w:pPr>
            <w:r>
              <w:rPr>
                <w:rFonts w:ascii="Times New Roman"/>
              </w:rPr>
              <w:t>4）比例&lt;10%，得1分；</w:t>
            </w:r>
          </w:p>
          <w:p w14:paraId="6CFD3E36">
            <w:pPr>
              <w:pStyle w:val="41"/>
              <w:jc w:val="both"/>
              <w:rPr>
                <w:rFonts w:ascii="Times New Roman"/>
              </w:rPr>
            </w:pPr>
            <w:r>
              <w:rPr>
                <w:rFonts w:ascii="Times New Roman"/>
              </w:rPr>
              <w:t>5）无清洁能源装机，不得分。</w:t>
            </w:r>
          </w:p>
        </w:tc>
      </w:tr>
      <w:tr w14:paraId="0EB53A6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0" w:type="auto"/>
            <w:vAlign w:val="center"/>
          </w:tcPr>
          <w:p w14:paraId="3CDA7B2F">
            <w:pPr>
              <w:pStyle w:val="41"/>
            </w:pPr>
            <w:r>
              <w:rPr>
                <w:rFonts w:hint="eastAsia" w:ascii="Times New Roman"/>
              </w:rPr>
              <w:t>4</w:t>
            </w:r>
          </w:p>
        </w:tc>
        <w:tc>
          <w:tcPr>
            <w:tcW w:w="1160" w:type="dxa"/>
            <w:vMerge w:val="continue"/>
            <w:vAlign w:val="center"/>
          </w:tcPr>
          <w:p w14:paraId="05F650BC">
            <w:pPr>
              <w:pStyle w:val="41"/>
            </w:pPr>
          </w:p>
        </w:tc>
        <w:tc>
          <w:tcPr>
            <w:tcW w:w="3843" w:type="dxa"/>
            <w:vAlign w:val="center"/>
          </w:tcPr>
          <w:p w14:paraId="08D04C78">
            <w:pPr>
              <w:pStyle w:val="41"/>
              <w:rPr>
                <w:vertAlign w:val="superscript"/>
              </w:rPr>
            </w:pPr>
            <w:r>
              <w:rPr>
                <w:rFonts w:hint="eastAsia" w:ascii="Times New Roman"/>
              </w:rPr>
              <w:t>绿电消纳率</w:t>
            </w:r>
            <w:r>
              <w:rPr>
                <w:rFonts w:hint="eastAsia" w:ascii="Times New Roman"/>
                <w:vertAlign w:val="superscript"/>
              </w:rPr>
              <w:t>1</w:t>
            </w:r>
          </w:p>
        </w:tc>
        <w:tc>
          <w:tcPr>
            <w:tcW w:w="800" w:type="dxa"/>
            <w:vAlign w:val="center"/>
          </w:tcPr>
          <w:p w14:paraId="55A32BFA">
            <w:pPr>
              <w:pStyle w:val="41"/>
            </w:pPr>
            <w:r>
              <w:rPr>
                <w:rFonts w:hint="eastAsia" w:ascii="Times New Roman"/>
              </w:rPr>
              <w:t>6分</w:t>
            </w:r>
          </w:p>
        </w:tc>
        <w:tc>
          <w:tcPr>
            <w:tcW w:w="3426" w:type="dxa"/>
            <w:vAlign w:val="center"/>
          </w:tcPr>
          <w:p w14:paraId="581D080F">
            <w:pPr>
              <w:pStyle w:val="41"/>
              <w:jc w:val="both"/>
              <w:rPr>
                <w:rFonts w:ascii="Times New Roman"/>
              </w:rPr>
            </w:pPr>
            <w:r>
              <w:rPr>
                <w:rFonts w:hint="eastAsia" w:ascii="Times New Roman"/>
              </w:rPr>
              <w:t>1）90%以上得6分；</w:t>
            </w:r>
          </w:p>
          <w:p w14:paraId="7F7F9DE9">
            <w:pPr>
              <w:pStyle w:val="41"/>
              <w:jc w:val="both"/>
              <w:rPr>
                <w:rFonts w:ascii="Times New Roman"/>
              </w:rPr>
            </w:pPr>
            <w:r>
              <w:rPr>
                <w:rFonts w:hint="eastAsia" w:ascii="Times New Roman"/>
              </w:rPr>
              <w:t>2）75%~90%，得3分；</w:t>
            </w:r>
          </w:p>
          <w:p w14:paraId="31EE0723">
            <w:pPr>
              <w:pStyle w:val="41"/>
              <w:jc w:val="both"/>
            </w:pPr>
            <w:r>
              <w:rPr>
                <w:rFonts w:hint="eastAsia" w:ascii="Times New Roman"/>
              </w:rPr>
              <w:t>3）75%以下，得0分。</w:t>
            </w:r>
          </w:p>
        </w:tc>
      </w:tr>
      <w:tr w14:paraId="2DB37A0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0" w:type="auto"/>
            <w:vAlign w:val="center"/>
          </w:tcPr>
          <w:p w14:paraId="5872A3B9">
            <w:pPr>
              <w:pStyle w:val="41"/>
            </w:pPr>
            <w:r>
              <w:rPr>
                <w:rFonts w:hint="eastAsia" w:ascii="Times New Roman"/>
              </w:rPr>
              <w:t>5</w:t>
            </w:r>
          </w:p>
        </w:tc>
        <w:tc>
          <w:tcPr>
            <w:tcW w:w="1160" w:type="dxa"/>
            <w:vMerge w:val="continue"/>
            <w:vAlign w:val="center"/>
          </w:tcPr>
          <w:p w14:paraId="73EB2CA5">
            <w:pPr>
              <w:pStyle w:val="41"/>
            </w:pPr>
          </w:p>
        </w:tc>
        <w:tc>
          <w:tcPr>
            <w:tcW w:w="3843" w:type="dxa"/>
            <w:vAlign w:val="center"/>
          </w:tcPr>
          <w:p w14:paraId="20992B02">
            <w:pPr>
              <w:pStyle w:val="41"/>
              <w:rPr>
                <w:vertAlign w:val="superscript"/>
              </w:rPr>
            </w:pPr>
            <w:r>
              <w:rPr>
                <w:rFonts w:hint="eastAsia" w:ascii="Times New Roman"/>
              </w:rPr>
              <w:t>岸电覆盖率和使用率</w:t>
            </w:r>
            <w:r>
              <w:rPr>
                <w:rFonts w:hint="eastAsia" w:ascii="Times New Roman"/>
                <w:vertAlign w:val="superscript"/>
              </w:rPr>
              <w:t>2</w:t>
            </w:r>
          </w:p>
        </w:tc>
        <w:tc>
          <w:tcPr>
            <w:tcW w:w="800" w:type="dxa"/>
            <w:vAlign w:val="center"/>
          </w:tcPr>
          <w:p w14:paraId="3A68E49D">
            <w:pPr>
              <w:pStyle w:val="41"/>
            </w:pPr>
            <w:r>
              <w:rPr>
                <w:rFonts w:hint="eastAsia" w:ascii="Times New Roman"/>
              </w:rPr>
              <w:t>6分</w:t>
            </w:r>
          </w:p>
        </w:tc>
        <w:tc>
          <w:tcPr>
            <w:tcW w:w="3426" w:type="dxa"/>
            <w:vAlign w:val="center"/>
          </w:tcPr>
          <w:p w14:paraId="436C6EF5">
            <w:pPr>
              <w:pStyle w:val="41"/>
              <w:jc w:val="both"/>
              <w:rPr>
                <w:rFonts w:ascii="Times New Roman"/>
              </w:rPr>
            </w:pPr>
            <w:r>
              <w:rPr>
                <w:rFonts w:ascii="Times New Roman"/>
              </w:rPr>
              <w:t>1）岸电覆盖率100%且使用率≥90%，得</w:t>
            </w:r>
            <w:r>
              <w:rPr>
                <w:rFonts w:hint="eastAsia" w:ascii="Times New Roman"/>
              </w:rPr>
              <w:t>6</w:t>
            </w:r>
            <w:r>
              <w:rPr>
                <w:rFonts w:ascii="Times New Roman"/>
              </w:rPr>
              <w:t>分；</w:t>
            </w:r>
          </w:p>
          <w:p w14:paraId="31E97F47">
            <w:pPr>
              <w:pStyle w:val="41"/>
              <w:jc w:val="both"/>
              <w:rPr>
                <w:rFonts w:ascii="Times New Roman"/>
              </w:rPr>
            </w:pPr>
            <w:r>
              <w:rPr>
                <w:rFonts w:ascii="Times New Roman"/>
              </w:rPr>
              <w:t>2）岸电覆盖率100%且使用率70%-90%，得3分；</w:t>
            </w:r>
          </w:p>
          <w:p w14:paraId="65C48B33">
            <w:pPr>
              <w:pStyle w:val="41"/>
              <w:jc w:val="both"/>
              <w:rPr>
                <w:rFonts w:ascii="Times New Roman"/>
              </w:rPr>
            </w:pPr>
            <w:r>
              <w:rPr>
                <w:rFonts w:ascii="Times New Roman"/>
              </w:rPr>
              <w:t>3）岸电覆盖率100%且使用率&lt;70%，得2分；</w:t>
            </w:r>
          </w:p>
          <w:p w14:paraId="23E0C88C">
            <w:pPr>
              <w:pStyle w:val="41"/>
              <w:jc w:val="both"/>
              <w:rPr>
                <w:rFonts w:ascii="Times New Roman"/>
              </w:rPr>
            </w:pPr>
            <w:r>
              <w:rPr>
                <w:rFonts w:hint="eastAsia" w:ascii="Times New Roman"/>
              </w:rPr>
              <w:t>4</w:t>
            </w:r>
            <w:r>
              <w:rPr>
                <w:rFonts w:ascii="Times New Roman"/>
              </w:rPr>
              <w:t>）未建设岸电设施，不得分。</w:t>
            </w:r>
          </w:p>
        </w:tc>
      </w:tr>
      <w:tr w14:paraId="19D779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0" w:type="auto"/>
            <w:vAlign w:val="center"/>
          </w:tcPr>
          <w:p w14:paraId="5DBE75A9">
            <w:pPr>
              <w:pStyle w:val="41"/>
            </w:pPr>
            <w:r>
              <w:rPr>
                <w:rFonts w:hint="eastAsia" w:ascii="Times New Roman"/>
              </w:rPr>
              <w:t>6</w:t>
            </w:r>
          </w:p>
        </w:tc>
        <w:tc>
          <w:tcPr>
            <w:tcW w:w="1160" w:type="dxa"/>
            <w:vMerge w:val="continue"/>
            <w:vAlign w:val="center"/>
          </w:tcPr>
          <w:p w14:paraId="6EB4CAE5">
            <w:pPr>
              <w:pStyle w:val="41"/>
            </w:pPr>
          </w:p>
        </w:tc>
        <w:tc>
          <w:tcPr>
            <w:tcW w:w="3843" w:type="dxa"/>
            <w:vAlign w:val="center"/>
          </w:tcPr>
          <w:p w14:paraId="4D5B9825">
            <w:pPr>
              <w:pStyle w:val="41"/>
            </w:pPr>
            <w:r>
              <w:rPr>
                <w:rFonts w:ascii="Times New Roman"/>
              </w:rPr>
              <w:t>散粮设备</w:t>
            </w:r>
            <w:r>
              <w:rPr>
                <w:rFonts w:hint="eastAsia" w:ascii="Times New Roman"/>
              </w:rPr>
              <w:t>设施</w:t>
            </w:r>
            <w:r>
              <w:rPr>
                <w:rFonts w:ascii="Times New Roman"/>
              </w:rPr>
              <w:t>电动化率</w:t>
            </w:r>
          </w:p>
        </w:tc>
        <w:tc>
          <w:tcPr>
            <w:tcW w:w="800" w:type="dxa"/>
            <w:vAlign w:val="center"/>
          </w:tcPr>
          <w:p w14:paraId="3FBF1DF0">
            <w:pPr>
              <w:pStyle w:val="41"/>
            </w:pPr>
            <w:r>
              <w:rPr>
                <w:rFonts w:hint="eastAsia" w:ascii="Times New Roman"/>
              </w:rPr>
              <w:t>6分</w:t>
            </w:r>
          </w:p>
        </w:tc>
        <w:tc>
          <w:tcPr>
            <w:tcW w:w="3426" w:type="dxa"/>
            <w:vAlign w:val="center"/>
          </w:tcPr>
          <w:p w14:paraId="02B474EB">
            <w:pPr>
              <w:pStyle w:val="41"/>
              <w:jc w:val="both"/>
              <w:rPr>
                <w:rFonts w:ascii="Times New Roman"/>
              </w:rPr>
            </w:pPr>
            <w:r>
              <w:rPr>
                <w:rFonts w:ascii="Times New Roman"/>
              </w:rPr>
              <w:t>1）散粮装卸、输送、仓储等主要设备电动化率</w:t>
            </w:r>
            <w:r>
              <w:rPr>
                <w:rFonts w:hint="eastAsia" w:ascii="Times New Roman"/>
              </w:rPr>
              <w:t>10</w:t>
            </w:r>
            <w:r>
              <w:rPr>
                <w:rFonts w:ascii="Times New Roman"/>
              </w:rPr>
              <w:t>0%，得</w:t>
            </w:r>
            <w:r>
              <w:rPr>
                <w:rFonts w:hint="eastAsia" w:ascii="Times New Roman"/>
              </w:rPr>
              <w:t>6</w:t>
            </w:r>
            <w:r>
              <w:rPr>
                <w:rFonts w:ascii="Times New Roman"/>
              </w:rPr>
              <w:t>分；</w:t>
            </w:r>
          </w:p>
          <w:p w14:paraId="7D81EE0E">
            <w:pPr>
              <w:pStyle w:val="41"/>
              <w:jc w:val="both"/>
              <w:rPr>
                <w:rFonts w:hint="eastAsia" w:ascii="Times New Roman"/>
              </w:rPr>
            </w:pPr>
            <w:r>
              <w:rPr>
                <w:rFonts w:ascii="Times New Roman"/>
              </w:rPr>
              <w:t>2）</w:t>
            </w:r>
            <w:r>
              <w:rPr>
                <w:rFonts w:hint="eastAsia" w:ascii="Times New Roman"/>
              </w:rPr>
              <w:t>8</w:t>
            </w:r>
            <w:r>
              <w:rPr>
                <w:rFonts w:ascii="Times New Roman"/>
              </w:rPr>
              <w:t>0%-</w:t>
            </w:r>
            <w:r>
              <w:rPr>
                <w:rFonts w:hint="eastAsia" w:ascii="Times New Roman"/>
              </w:rPr>
              <w:t>99</w:t>
            </w:r>
            <w:r>
              <w:rPr>
                <w:rFonts w:ascii="Times New Roman"/>
              </w:rPr>
              <w:t>%，得3分；</w:t>
            </w:r>
          </w:p>
          <w:p w14:paraId="73821200">
            <w:pPr>
              <w:pStyle w:val="41"/>
              <w:jc w:val="both"/>
              <w:rPr>
                <w:rFonts w:hint="eastAsia" w:ascii="Times New Roman"/>
              </w:rPr>
            </w:pPr>
            <w:r>
              <w:rPr>
                <w:rFonts w:hint="eastAsia" w:ascii="Times New Roman"/>
              </w:rPr>
              <w:t>3</w:t>
            </w:r>
            <w:r>
              <w:rPr>
                <w:rFonts w:ascii="Times New Roman"/>
              </w:rPr>
              <w:t>）&lt;</w:t>
            </w:r>
            <w:r>
              <w:rPr>
                <w:rFonts w:hint="eastAsia" w:ascii="Times New Roman"/>
              </w:rPr>
              <w:t>8</w:t>
            </w:r>
            <w:r>
              <w:rPr>
                <w:rFonts w:ascii="Times New Roman"/>
              </w:rPr>
              <w:t>0%，</w:t>
            </w:r>
            <w:r>
              <w:rPr>
                <w:rFonts w:hint="eastAsia" w:ascii="Times New Roman"/>
              </w:rPr>
              <w:t>不得分</w:t>
            </w:r>
            <w:r>
              <w:rPr>
                <w:rFonts w:ascii="Times New Roman"/>
              </w:rPr>
              <w:t>；</w:t>
            </w:r>
          </w:p>
        </w:tc>
      </w:tr>
      <w:tr w14:paraId="54F85D0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0" w:type="auto"/>
            <w:vAlign w:val="center"/>
          </w:tcPr>
          <w:p w14:paraId="03EE49DC">
            <w:pPr>
              <w:pStyle w:val="41"/>
            </w:pPr>
            <w:r>
              <w:rPr>
                <w:rFonts w:hint="eastAsia" w:ascii="Times New Roman"/>
              </w:rPr>
              <w:t>7</w:t>
            </w:r>
          </w:p>
        </w:tc>
        <w:tc>
          <w:tcPr>
            <w:tcW w:w="1160" w:type="dxa"/>
            <w:vMerge w:val="continue"/>
            <w:vAlign w:val="center"/>
          </w:tcPr>
          <w:p w14:paraId="332231CD">
            <w:pPr>
              <w:pStyle w:val="41"/>
            </w:pPr>
          </w:p>
        </w:tc>
        <w:tc>
          <w:tcPr>
            <w:tcW w:w="3843" w:type="dxa"/>
            <w:vAlign w:val="center"/>
          </w:tcPr>
          <w:p w14:paraId="488B3A11">
            <w:pPr>
              <w:pStyle w:val="41"/>
            </w:pPr>
            <w:r>
              <w:rPr>
                <w:rFonts w:hint="eastAsia"/>
              </w:rPr>
              <w:t>设备设施能效</w:t>
            </w:r>
          </w:p>
        </w:tc>
        <w:tc>
          <w:tcPr>
            <w:tcW w:w="800" w:type="dxa"/>
            <w:vAlign w:val="center"/>
          </w:tcPr>
          <w:p w14:paraId="13E64C8F">
            <w:pPr>
              <w:pStyle w:val="41"/>
            </w:pPr>
            <w:r>
              <w:rPr>
                <w:rFonts w:hint="eastAsia" w:ascii="Times New Roman"/>
              </w:rPr>
              <w:t>6分</w:t>
            </w:r>
          </w:p>
        </w:tc>
        <w:tc>
          <w:tcPr>
            <w:tcW w:w="3426" w:type="dxa"/>
            <w:vAlign w:val="center"/>
          </w:tcPr>
          <w:p w14:paraId="4DB9F6CA">
            <w:pPr>
              <w:pStyle w:val="41"/>
              <w:jc w:val="both"/>
            </w:pPr>
            <w:r>
              <w:t>对港口在运行关键设备（装卸设备、变压器、空压机、风机、防爆三相异步电机等）进行能效等级核查，按以下规则计分：</w:t>
            </w:r>
          </w:p>
          <w:p w14:paraId="06ECCD88">
            <w:pPr>
              <w:pStyle w:val="41"/>
              <w:jc w:val="both"/>
            </w:pPr>
            <w:r>
              <w:t>1）全部达到1级能效，得6分；</w:t>
            </w:r>
          </w:p>
          <w:p w14:paraId="01C8489D">
            <w:pPr>
              <w:pStyle w:val="41"/>
              <w:jc w:val="both"/>
            </w:pPr>
            <w:r>
              <w:t>2）全部达到2级及以上，且1级能效设备数量占比≥60%，得5分；</w:t>
            </w:r>
          </w:p>
          <w:p w14:paraId="58E56F17">
            <w:pPr>
              <w:pStyle w:val="41"/>
              <w:jc w:val="both"/>
            </w:pPr>
            <w:r>
              <w:t>3）全部达到2级及以上，且1级能效设备数量占比≥40%，得4分；</w:t>
            </w:r>
          </w:p>
          <w:p w14:paraId="08E8BC32">
            <w:pPr>
              <w:pStyle w:val="41"/>
              <w:jc w:val="both"/>
            </w:pPr>
            <w:r>
              <w:t>4）全部达到2级及以上，但1级能效设备数量占比&lt;40%，得3分；</w:t>
            </w:r>
          </w:p>
          <w:p w14:paraId="6E95D91A">
            <w:pPr>
              <w:pStyle w:val="41"/>
              <w:jc w:val="both"/>
            </w:pPr>
            <w:r>
              <w:t>5）存在3级能效设备（无低于3级的淘汰类设备），得1分；</w:t>
            </w:r>
          </w:p>
          <w:p w14:paraId="36C3DDAF">
            <w:pPr>
              <w:pStyle w:val="41"/>
              <w:jc w:val="both"/>
              <w:rPr>
                <w:rFonts w:hint="eastAsia"/>
              </w:rPr>
            </w:pPr>
            <w:r>
              <w:t>6）存在低于3级的淘汰类设备，不得分</w:t>
            </w:r>
            <w:r>
              <w:rPr>
                <w:rFonts w:hint="eastAsia"/>
              </w:rPr>
              <w:t>。</w:t>
            </w:r>
          </w:p>
        </w:tc>
      </w:tr>
      <w:tr w14:paraId="4C79307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0" w:type="auto"/>
            <w:vAlign w:val="center"/>
          </w:tcPr>
          <w:p w14:paraId="3EF899C4">
            <w:pPr>
              <w:pStyle w:val="41"/>
            </w:pPr>
            <w:r>
              <w:rPr>
                <w:rFonts w:hint="eastAsia" w:ascii="Times New Roman"/>
              </w:rPr>
              <w:t>8</w:t>
            </w:r>
          </w:p>
        </w:tc>
        <w:tc>
          <w:tcPr>
            <w:tcW w:w="1160" w:type="dxa"/>
            <w:vMerge w:val="continue"/>
            <w:vAlign w:val="center"/>
          </w:tcPr>
          <w:p w14:paraId="60AF67E4">
            <w:pPr>
              <w:pStyle w:val="41"/>
            </w:pPr>
          </w:p>
        </w:tc>
        <w:tc>
          <w:tcPr>
            <w:tcW w:w="3843" w:type="dxa"/>
            <w:vAlign w:val="center"/>
          </w:tcPr>
          <w:p w14:paraId="74388A24">
            <w:pPr>
              <w:pStyle w:val="41"/>
            </w:pPr>
            <w:r>
              <w:rPr>
                <w:rFonts w:ascii="Times New Roman"/>
              </w:rPr>
              <w:t>港口全流程生产调度系统</w:t>
            </w:r>
            <w:r>
              <w:rPr>
                <w:rFonts w:hint="eastAsia" w:ascii="Times New Roman"/>
              </w:rPr>
              <w:t>建设</w:t>
            </w:r>
          </w:p>
        </w:tc>
        <w:tc>
          <w:tcPr>
            <w:tcW w:w="800" w:type="dxa"/>
            <w:vAlign w:val="center"/>
          </w:tcPr>
          <w:p w14:paraId="5EE4A0A4">
            <w:pPr>
              <w:pStyle w:val="41"/>
            </w:pPr>
            <w:r>
              <w:rPr>
                <w:rFonts w:hint="eastAsia" w:ascii="Times New Roman"/>
              </w:rPr>
              <w:t>8分</w:t>
            </w:r>
          </w:p>
        </w:tc>
        <w:tc>
          <w:tcPr>
            <w:tcW w:w="3426" w:type="dxa"/>
            <w:vAlign w:val="center"/>
          </w:tcPr>
          <w:p w14:paraId="3809BCF4">
            <w:pPr>
              <w:pStyle w:val="41"/>
              <w:jc w:val="both"/>
              <w:rPr>
                <w:rFonts w:hint="eastAsia"/>
              </w:rPr>
            </w:pPr>
            <w:r>
              <w:rPr>
                <w:rFonts w:hint="eastAsia"/>
              </w:rPr>
              <w:t>1）建设覆盖</w:t>
            </w:r>
            <w:r>
              <w:t>智慧靠泊系统</w:t>
            </w:r>
            <w:r>
              <w:rPr>
                <w:rFonts w:hint="eastAsia"/>
              </w:rPr>
              <w:t>、</w:t>
            </w:r>
            <w:r>
              <w:t>全自动粮食装卸</w:t>
            </w:r>
            <w:r>
              <w:rPr>
                <w:rFonts w:hint="eastAsia"/>
              </w:rPr>
              <w:t>、输送、仓储、集疏运的全流程智能调度系统，得8分；</w:t>
            </w:r>
          </w:p>
          <w:p w14:paraId="68A29E93">
            <w:pPr>
              <w:pStyle w:val="41"/>
              <w:jc w:val="both"/>
              <w:rPr>
                <w:rFonts w:hint="eastAsia"/>
              </w:rPr>
            </w:pPr>
            <w:r>
              <w:rPr>
                <w:rFonts w:hint="eastAsia"/>
              </w:rPr>
              <w:t>2）建设部分环节智能调度系统，得3-5分；</w:t>
            </w:r>
          </w:p>
          <w:p w14:paraId="318F54ED">
            <w:pPr>
              <w:pStyle w:val="41"/>
              <w:jc w:val="both"/>
            </w:pPr>
            <w:r>
              <w:rPr>
                <w:rFonts w:hint="eastAsia"/>
              </w:rPr>
              <w:t>3）</w:t>
            </w:r>
            <w:r>
              <w:t>在零碳散粮港口中长期战略规划或年度零碳工作计划中承诺建设并有明确方案的，得1分。</w:t>
            </w:r>
          </w:p>
        </w:tc>
      </w:tr>
      <w:tr w14:paraId="1144B08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0" w:type="auto"/>
            <w:vAlign w:val="center"/>
          </w:tcPr>
          <w:p w14:paraId="4D96AA9C">
            <w:pPr>
              <w:pStyle w:val="41"/>
            </w:pPr>
            <w:r>
              <w:rPr>
                <w:rFonts w:hint="eastAsia" w:ascii="Times New Roman"/>
              </w:rPr>
              <w:t>9</w:t>
            </w:r>
          </w:p>
        </w:tc>
        <w:tc>
          <w:tcPr>
            <w:tcW w:w="1160" w:type="dxa"/>
            <w:vMerge w:val="continue"/>
            <w:vAlign w:val="center"/>
          </w:tcPr>
          <w:p w14:paraId="0374FC28">
            <w:pPr>
              <w:pStyle w:val="41"/>
            </w:pPr>
          </w:p>
        </w:tc>
        <w:tc>
          <w:tcPr>
            <w:tcW w:w="3843" w:type="dxa"/>
            <w:vAlign w:val="center"/>
          </w:tcPr>
          <w:p w14:paraId="5B95C112">
            <w:pPr>
              <w:pStyle w:val="41"/>
              <w:rPr>
                <w:vertAlign w:val="superscript"/>
              </w:rPr>
            </w:pPr>
            <w:r>
              <w:rPr>
                <w:rFonts w:hint="eastAsia" w:ascii="Times New Roman"/>
              </w:rPr>
              <w:t>能碳管控系统建设</w:t>
            </w:r>
            <w:r>
              <w:rPr>
                <w:rFonts w:hint="eastAsia" w:ascii="Times New Roman"/>
                <w:vertAlign w:val="superscript"/>
              </w:rPr>
              <w:t>3</w:t>
            </w:r>
          </w:p>
        </w:tc>
        <w:tc>
          <w:tcPr>
            <w:tcW w:w="800" w:type="dxa"/>
            <w:vAlign w:val="center"/>
          </w:tcPr>
          <w:p w14:paraId="1A0BB215">
            <w:pPr>
              <w:pStyle w:val="41"/>
            </w:pPr>
            <w:r>
              <w:rPr>
                <w:rFonts w:hint="eastAsia" w:ascii="Times New Roman"/>
              </w:rPr>
              <w:t>8分</w:t>
            </w:r>
          </w:p>
        </w:tc>
        <w:tc>
          <w:tcPr>
            <w:tcW w:w="3426" w:type="dxa"/>
            <w:vAlign w:val="center"/>
          </w:tcPr>
          <w:p w14:paraId="2359EAF0">
            <w:pPr>
              <w:pStyle w:val="41"/>
              <w:jc w:val="both"/>
              <w:rPr>
                <w:rFonts w:hint="eastAsia"/>
              </w:rPr>
            </w:pPr>
            <w:r>
              <w:rPr>
                <w:rFonts w:hint="eastAsia"/>
              </w:rPr>
              <w:t>1）建设覆盖全港区的能碳一体化管控平台，实现数据自动采集、实时监测、智能分析，得8分；</w:t>
            </w:r>
          </w:p>
          <w:p w14:paraId="4B96CBD5">
            <w:pPr>
              <w:pStyle w:val="41"/>
              <w:jc w:val="both"/>
              <w:rPr>
                <w:rFonts w:hint="eastAsia"/>
              </w:rPr>
            </w:pPr>
            <w:r>
              <w:rPr>
                <w:rFonts w:hint="eastAsia"/>
              </w:rPr>
              <w:t>2）建设基础能源管理系统，</w:t>
            </w:r>
            <w:r>
              <w:t>实现数据自动采集、实时监测、智能分析，</w:t>
            </w:r>
            <w:r>
              <w:rPr>
                <w:rFonts w:hint="eastAsia"/>
              </w:rPr>
              <w:t>得5分；</w:t>
            </w:r>
          </w:p>
          <w:p w14:paraId="5EE7975E">
            <w:pPr>
              <w:pStyle w:val="41"/>
              <w:jc w:val="both"/>
            </w:pPr>
            <w:r>
              <w:rPr>
                <w:rFonts w:hint="eastAsia"/>
              </w:rPr>
              <w:t>3）在</w:t>
            </w:r>
            <w:r>
              <w:t>零碳散粮港口中长期战略规划</w:t>
            </w:r>
            <w:r>
              <w:rPr>
                <w:rFonts w:hint="eastAsia"/>
              </w:rPr>
              <w:t>或年度零碳工作计划中承诺建设并有明确方案的，得1分。</w:t>
            </w:r>
          </w:p>
        </w:tc>
      </w:tr>
      <w:tr w14:paraId="690291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0" w:type="auto"/>
            <w:vAlign w:val="center"/>
          </w:tcPr>
          <w:p w14:paraId="6D4857FF">
            <w:pPr>
              <w:pStyle w:val="41"/>
            </w:pPr>
            <w:r>
              <w:rPr>
                <w:rFonts w:hint="eastAsia" w:ascii="Times New Roman"/>
              </w:rPr>
              <w:t>10</w:t>
            </w:r>
          </w:p>
        </w:tc>
        <w:tc>
          <w:tcPr>
            <w:tcW w:w="1160" w:type="dxa"/>
            <w:vMerge w:val="continue"/>
            <w:vAlign w:val="center"/>
          </w:tcPr>
          <w:p w14:paraId="14C890EB">
            <w:pPr>
              <w:pStyle w:val="41"/>
            </w:pPr>
          </w:p>
        </w:tc>
        <w:tc>
          <w:tcPr>
            <w:tcW w:w="3843" w:type="dxa"/>
            <w:vAlign w:val="center"/>
          </w:tcPr>
          <w:p w14:paraId="7757D48A">
            <w:pPr>
              <w:pStyle w:val="41"/>
            </w:pPr>
            <w:r>
              <w:rPr>
                <w:rFonts w:hint="eastAsia" w:ascii="Times New Roman"/>
              </w:rPr>
              <w:t>绿色储粮技术应用</w:t>
            </w:r>
          </w:p>
        </w:tc>
        <w:tc>
          <w:tcPr>
            <w:tcW w:w="800" w:type="dxa"/>
            <w:vAlign w:val="center"/>
          </w:tcPr>
          <w:p w14:paraId="750396F1">
            <w:pPr>
              <w:pStyle w:val="41"/>
            </w:pPr>
            <w:r>
              <w:rPr>
                <w:rFonts w:hint="eastAsia" w:ascii="Times New Roman"/>
              </w:rPr>
              <w:t>8分</w:t>
            </w:r>
          </w:p>
        </w:tc>
        <w:tc>
          <w:tcPr>
            <w:tcW w:w="3426" w:type="dxa"/>
            <w:vAlign w:val="center"/>
          </w:tcPr>
          <w:p w14:paraId="2E87CA4E">
            <w:pPr>
              <w:pStyle w:val="41"/>
              <w:jc w:val="both"/>
              <w:rPr>
                <w:rFonts w:hint="eastAsia" w:ascii="Times New Roman"/>
              </w:rPr>
            </w:pPr>
            <w:r>
              <w:rPr>
                <w:rFonts w:hint="eastAsia" w:ascii="Times New Roman"/>
              </w:rPr>
              <w:t>在满足</w:t>
            </w:r>
            <w:r>
              <w:rPr>
                <w:rFonts w:ascii="Times New Roman"/>
              </w:rPr>
              <w:t>JT</w:t>
            </w:r>
            <w:r>
              <w:rPr>
                <w:rFonts w:hint="eastAsia" w:ascii="Times New Roman"/>
              </w:rPr>
              <w:t>/</w:t>
            </w:r>
            <w:r>
              <w:rPr>
                <w:rFonts w:ascii="Times New Roman"/>
              </w:rPr>
              <w:t>T 1491—2024</w:t>
            </w:r>
            <w:r>
              <w:rPr>
                <w:rFonts w:hint="eastAsia" w:ascii="Times New Roman"/>
              </w:rPr>
              <w:t>规定的经检测品质没有异常的散粮损耗宜不大于0.25%的前提下，按以下规则计分：</w:t>
            </w:r>
          </w:p>
          <w:p w14:paraId="66895FDC">
            <w:pPr>
              <w:pStyle w:val="41"/>
              <w:jc w:val="both"/>
            </w:pPr>
            <w:r>
              <w:rPr>
                <w:rFonts w:hint="eastAsia"/>
              </w:rPr>
              <w:t>1）</w:t>
            </w:r>
            <w:r>
              <w:t>采用富氮气调、环流熏蒸、谷冷降温</w:t>
            </w:r>
            <w:r>
              <w:rPr>
                <w:rFonts w:hint="eastAsia"/>
              </w:rPr>
              <w:t>、智能化监测系统等绿色储粮技术的，得8分；</w:t>
            </w:r>
          </w:p>
          <w:p w14:paraId="6D839CD9">
            <w:pPr>
              <w:pStyle w:val="41"/>
              <w:jc w:val="both"/>
            </w:pPr>
            <w:r>
              <w:rPr>
                <w:rFonts w:hint="eastAsia"/>
              </w:rPr>
              <w:t>2）采用上述技术至少2项的，得6分；</w:t>
            </w:r>
          </w:p>
          <w:p w14:paraId="24F45E7C">
            <w:pPr>
              <w:pStyle w:val="41"/>
              <w:jc w:val="both"/>
              <w:rPr>
                <w:rFonts w:hint="eastAsia"/>
              </w:rPr>
            </w:pPr>
            <w:r>
              <w:rPr>
                <w:rFonts w:hint="eastAsia"/>
              </w:rPr>
              <w:t>3）采用上述技术至少1项的，得4分</w:t>
            </w:r>
          </w:p>
          <w:p w14:paraId="4BBC050D">
            <w:pPr>
              <w:pStyle w:val="41"/>
              <w:jc w:val="both"/>
              <w:rPr>
                <w:rFonts w:hint="eastAsia"/>
              </w:rPr>
            </w:pPr>
            <w:r>
              <w:rPr>
                <w:rFonts w:hint="eastAsia"/>
              </w:rPr>
              <w:t>4）未采用绿色储粮技术的，不得分。</w:t>
            </w:r>
          </w:p>
        </w:tc>
      </w:tr>
      <w:tr w14:paraId="0E80190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0" w:type="auto"/>
            <w:vAlign w:val="center"/>
          </w:tcPr>
          <w:p w14:paraId="4DF04BA1">
            <w:pPr>
              <w:pStyle w:val="41"/>
            </w:pPr>
            <w:r>
              <w:rPr>
                <w:rFonts w:hint="eastAsia" w:ascii="Times New Roman"/>
              </w:rPr>
              <w:t>11</w:t>
            </w:r>
          </w:p>
        </w:tc>
        <w:tc>
          <w:tcPr>
            <w:tcW w:w="1160" w:type="dxa"/>
            <w:vMerge w:val="continue"/>
            <w:vAlign w:val="center"/>
          </w:tcPr>
          <w:p w14:paraId="0FFCBB5A">
            <w:pPr>
              <w:pStyle w:val="41"/>
            </w:pPr>
          </w:p>
        </w:tc>
        <w:tc>
          <w:tcPr>
            <w:tcW w:w="3843" w:type="dxa"/>
            <w:vAlign w:val="center"/>
          </w:tcPr>
          <w:p w14:paraId="4F85CAEA">
            <w:pPr>
              <w:pStyle w:val="41"/>
            </w:pPr>
            <w:r>
              <w:rPr>
                <w:rFonts w:hint="eastAsia" w:ascii="Times New Roman"/>
              </w:rPr>
              <w:t>粉尘在线监测覆盖率</w:t>
            </w:r>
          </w:p>
        </w:tc>
        <w:tc>
          <w:tcPr>
            <w:tcW w:w="800" w:type="dxa"/>
            <w:vAlign w:val="center"/>
          </w:tcPr>
          <w:p w14:paraId="5ED53089">
            <w:pPr>
              <w:pStyle w:val="41"/>
            </w:pPr>
            <w:r>
              <w:rPr>
                <w:rFonts w:hint="eastAsia" w:ascii="Times New Roman"/>
              </w:rPr>
              <w:t>6分</w:t>
            </w:r>
          </w:p>
        </w:tc>
        <w:tc>
          <w:tcPr>
            <w:tcW w:w="3426" w:type="dxa"/>
            <w:vAlign w:val="center"/>
          </w:tcPr>
          <w:p w14:paraId="26CB7D42">
            <w:pPr>
              <w:pStyle w:val="41"/>
              <w:jc w:val="both"/>
            </w:pPr>
            <w:r>
              <w:rPr>
                <w:rFonts w:hint="eastAsia" w:ascii="Times New Roman"/>
              </w:rPr>
              <w:t>100%得6分，低于100%得0分。</w:t>
            </w:r>
          </w:p>
        </w:tc>
      </w:tr>
      <w:tr w14:paraId="6D8574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0" w:type="auto"/>
            <w:vAlign w:val="center"/>
          </w:tcPr>
          <w:p w14:paraId="25BEA759">
            <w:pPr>
              <w:pStyle w:val="41"/>
            </w:pPr>
            <w:r>
              <w:rPr>
                <w:rFonts w:hint="eastAsia" w:ascii="Times New Roman"/>
              </w:rPr>
              <w:t>12</w:t>
            </w:r>
          </w:p>
        </w:tc>
        <w:tc>
          <w:tcPr>
            <w:tcW w:w="1160" w:type="dxa"/>
            <w:vMerge w:val="restart"/>
            <w:vAlign w:val="center"/>
          </w:tcPr>
          <w:p w14:paraId="0AB7C24F">
            <w:pPr>
              <w:pStyle w:val="41"/>
            </w:pPr>
            <w:r>
              <w:rPr>
                <w:rFonts w:hint="eastAsia" w:ascii="Times New Roman"/>
              </w:rPr>
              <w:t>效果评估（20分）</w:t>
            </w:r>
          </w:p>
        </w:tc>
        <w:tc>
          <w:tcPr>
            <w:tcW w:w="3843" w:type="dxa"/>
            <w:vAlign w:val="center"/>
          </w:tcPr>
          <w:p w14:paraId="72F1065D">
            <w:pPr>
              <w:pStyle w:val="41"/>
              <w:rPr>
                <w:rFonts w:ascii="Times New Roman"/>
              </w:rPr>
            </w:pPr>
            <w:r>
              <w:rPr>
                <w:rFonts w:ascii="Times New Roman"/>
              </w:rPr>
              <w:t>单位吞吐量</w:t>
            </w:r>
            <w:r>
              <w:rPr>
                <w:rFonts w:hint="eastAsia" w:ascii="Times New Roman"/>
              </w:rPr>
              <w:t>碳</w:t>
            </w:r>
            <w:r>
              <w:rPr>
                <w:rFonts w:ascii="Times New Roman"/>
              </w:rPr>
              <w:t>排放强度</w:t>
            </w:r>
          </w:p>
        </w:tc>
        <w:tc>
          <w:tcPr>
            <w:tcW w:w="800" w:type="dxa"/>
            <w:vAlign w:val="center"/>
          </w:tcPr>
          <w:p w14:paraId="48AB3F01">
            <w:pPr>
              <w:pStyle w:val="41"/>
              <w:rPr>
                <w:rFonts w:ascii="Times New Roman"/>
              </w:rPr>
            </w:pPr>
            <w:r>
              <w:rPr>
                <w:rFonts w:hint="eastAsia" w:ascii="Times New Roman"/>
              </w:rPr>
              <w:t>10</w:t>
            </w:r>
            <w:r>
              <w:rPr>
                <w:rFonts w:ascii="Times New Roman"/>
              </w:rPr>
              <w:t>分</w:t>
            </w:r>
          </w:p>
        </w:tc>
        <w:tc>
          <w:tcPr>
            <w:tcW w:w="3426" w:type="dxa"/>
            <w:vAlign w:val="center"/>
          </w:tcPr>
          <w:p w14:paraId="2907EF8D">
            <w:pPr>
              <w:pStyle w:val="41"/>
              <w:jc w:val="both"/>
              <w:rPr>
                <w:rFonts w:ascii="Times New Roman"/>
              </w:rPr>
            </w:pPr>
            <w:r>
              <w:rPr>
                <w:rFonts w:ascii="Times New Roman"/>
              </w:rPr>
              <w:t>1）单位吞吐量</w:t>
            </w:r>
            <w:r>
              <w:rPr>
                <w:rFonts w:hint="eastAsia" w:ascii="Times New Roman"/>
              </w:rPr>
              <w:t>碳</w:t>
            </w:r>
            <w:r>
              <w:rPr>
                <w:rFonts w:ascii="Times New Roman"/>
              </w:rPr>
              <w:t>排放强度达到行业领先水平（具体数值依据港口类型和规模确定），得</w:t>
            </w:r>
            <w:r>
              <w:rPr>
                <w:rFonts w:hint="eastAsia" w:ascii="Times New Roman"/>
              </w:rPr>
              <w:t>10</w:t>
            </w:r>
            <w:r>
              <w:rPr>
                <w:rFonts w:ascii="Times New Roman"/>
              </w:rPr>
              <w:t>分；</w:t>
            </w:r>
          </w:p>
          <w:p w14:paraId="307DB244">
            <w:pPr>
              <w:pStyle w:val="41"/>
              <w:jc w:val="both"/>
              <w:rPr>
                <w:rFonts w:ascii="Times New Roman"/>
              </w:rPr>
            </w:pPr>
            <w:r>
              <w:rPr>
                <w:rFonts w:ascii="Times New Roman"/>
              </w:rPr>
              <w:t>2）达到行业先进水平，得</w:t>
            </w:r>
            <w:r>
              <w:rPr>
                <w:rFonts w:hint="eastAsia" w:ascii="Times New Roman"/>
              </w:rPr>
              <w:t>8</w:t>
            </w:r>
            <w:r>
              <w:rPr>
                <w:rFonts w:ascii="Times New Roman"/>
              </w:rPr>
              <w:t>分；</w:t>
            </w:r>
          </w:p>
          <w:p w14:paraId="612C9D76">
            <w:pPr>
              <w:pStyle w:val="41"/>
              <w:jc w:val="both"/>
              <w:rPr>
                <w:rFonts w:ascii="Times New Roman"/>
              </w:rPr>
            </w:pPr>
            <w:r>
              <w:rPr>
                <w:rFonts w:ascii="Times New Roman"/>
              </w:rPr>
              <w:t>3）达到行业平均水平，得</w:t>
            </w:r>
            <w:r>
              <w:rPr>
                <w:rFonts w:hint="eastAsia" w:ascii="Times New Roman"/>
              </w:rPr>
              <w:t>5</w:t>
            </w:r>
            <w:r>
              <w:rPr>
                <w:rFonts w:ascii="Times New Roman"/>
              </w:rPr>
              <w:t>分；</w:t>
            </w:r>
          </w:p>
          <w:p w14:paraId="065684FD">
            <w:pPr>
              <w:pStyle w:val="41"/>
              <w:jc w:val="both"/>
              <w:rPr>
                <w:rFonts w:ascii="Times New Roman"/>
              </w:rPr>
            </w:pPr>
            <w:r>
              <w:rPr>
                <w:rFonts w:ascii="Times New Roman"/>
              </w:rPr>
              <w:t>4）</w:t>
            </w:r>
            <w:r>
              <w:rPr>
                <w:rFonts w:hint="eastAsia" w:ascii="Times New Roman"/>
              </w:rPr>
              <w:t>低于</w:t>
            </w:r>
            <w:r>
              <w:rPr>
                <w:rFonts w:ascii="Times New Roman"/>
              </w:rPr>
              <w:t>行业平均水平，不得分。</w:t>
            </w:r>
          </w:p>
        </w:tc>
      </w:tr>
      <w:tr w14:paraId="0ADE9AC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625" w:type="dxa"/>
            <w:vAlign w:val="center"/>
          </w:tcPr>
          <w:p w14:paraId="11A7570E">
            <w:pPr>
              <w:pStyle w:val="41"/>
            </w:pPr>
            <w:r>
              <w:rPr>
                <w:rFonts w:hint="eastAsia" w:ascii="Times New Roman"/>
              </w:rPr>
              <w:t>13</w:t>
            </w:r>
          </w:p>
        </w:tc>
        <w:tc>
          <w:tcPr>
            <w:tcW w:w="1160" w:type="dxa"/>
            <w:vMerge w:val="continue"/>
            <w:vAlign w:val="center"/>
          </w:tcPr>
          <w:p w14:paraId="1DE9719D">
            <w:pPr>
              <w:pStyle w:val="41"/>
            </w:pPr>
          </w:p>
        </w:tc>
        <w:tc>
          <w:tcPr>
            <w:tcW w:w="3843" w:type="dxa"/>
            <w:vAlign w:val="center"/>
          </w:tcPr>
          <w:p w14:paraId="405324DA">
            <w:pPr>
              <w:pStyle w:val="41"/>
            </w:pPr>
            <w:r>
              <w:rPr>
                <w:rFonts w:ascii="Times New Roman"/>
              </w:rPr>
              <w:t>吞吐量碳排放弹性系数</w:t>
            </w:r>
          </w:p>
        </w:tc>
        <w:tc>
          <w:tcPr>
            <w:tcW w:w="800" w:type="dxa"/>
            <w:vAlign w:val="center"/>
          </w:tcPr>
          <w:p w14:paraId="26CC1A43">
            <w:pPr>
              <w:pStyle w:val="41"/>
            </w:pPr>
            <w:r>
              <w:rPr>
                <w:rFonts w:hint="eastAsia" w:ascii="Times New Roman"/>
              </w:rPr>
              <w:t>10分</w:t>
            </w:r>
          </w:p>
        </w:tc>
        <w:tc>
          <w:tcPr>
            <w:tcW w:w="3426" w:type="dxa"/>
            <w:vAlign w:val="center"/>
          </w:tcPr>
          <w:p w14:paraId="394A336F">
            <w:pPr>
              <w:pStyle w:val="41"/>
              <w:jc w:val="both"/>
              <w:rPr>
                <w:rFonts w:ascii="Times New Roman"/>
              </w:rPr>
            </w:pPr>
            <w:r>
              <w:rPr>
                <w:rFonts w:hint="eastAsia" w:ascii="Times New Roman"/>
              </w:rPr>
              <w:t>1）达到表C.1中一级水平，得10分；</w:t>
            </w:r>
          </w:p>
          <w:p w14:paraId="5A2B9B38">
            <w:pPr>
              <w:pStyle w:val="41"/>
              <w:jc w:val="both"/>
              <w:rPr>
                <w:rFonts w:ascii="Times New Roman"/>
              </w:rPr>
            </w:pPr>
            <w:r>
              <w:rPr>
                <w:rFonts w:hint="eastAsia" w:ascii="Times New Roman"/>
              </w:rPr>
              <w:t>2）达到表C.1中二级水平，得8分；</w:t>
            </w:r>
          </w:p>
          <w:p w14:paraId="0275C909">
            <w:pPr>
              <w:pStyle w:val="41"/>
              <w:jc w:val="both"/>
            </w:pPr>
            <w:r>
              <w:rPr>
                <w:rFonts w:hint="eastAsia" w:ascii="Times New Roman"/>
              </w:rPr>
              <w:t>3）达到表C.1中三级水平，得1分。</w:t>
            </w:r>
          </w:p>
        </w:tc>
      </w:tr>
      <w:tr w14:paraId="170BD3B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9854" w:type="dxa"/>
            <w:gridSpan w:val="5"/>
            <w:vAlign w:val="center"/>
          </w:tcPr>
          <w:p w14:paraId="5F16EC15">
            <w:pPr>
              <w:pStyle w:val="47"/>
              <w:ind w:left="811" w:hanging="448"/>
              <w:rPr>
                <w:rFonts w:hint="eastAsia" w:ascii="Times New Roman" w:hAnsi="Times New Roman" w:cs="Times New Roman" w:eastAsiaTheme="minorEastAsia"/>
                <w:b w:val="0"/>
                <w:bCs w:val="0"/>
                <w:sz w:val="18"/>
                <w:szCs w:val="18"/>
              </w:rPr>
            </w:pPr>
            <w:r>
              <w:rPr>
                <w:rFonts w:hint="eastAsia" w:ascii="Times New Roman" w:hAnsi="Times New Roman" w:cs="Times New Roman" w:eastAsiaTheme="minorEastAsia"/>
                <w:b w:val="0"/>
                <w:bCs w:val="0"/>
                <w:sz w:val="18"/>
                <w:szCs w:val="18"/>
              </w:rPr>
              <w:t>绿电消纳方式按照《可再生能源消费最低比重目标和可再生能源电力消纳责任权重制度实施办法》（发改委2026年第42号令）中自发自用、绿证绿电交易（划转）、绿电直连等方式认定。</w:t>
            </w:r>
          </w:p>
          <w:p w14:paraId="11396BFF">
            <w:pPr>
              <w:pStyle w:val="47"/>
              <w:ind w:left="811" w:hanging="448"/>
              <w:rPr>
                <w:rFonts w:hint="eastAsia" w:ascii="Times New Roman" w:hAnsi="Times New Roman" w:cs="Times New Roman" w:eastAsiaTheme="minorEastAsia"/>
                <w:b w:val="0"/>
                <w:bCs w:val="0"/>
                <w:sz w:val="18"/>
                <w:szCs w:val="18"/>
              </w:rPr>
            </w:pPr>
            <w:r>
              <w:rPr>
                <w:rFonts w:hint="eastAsia" w:ascii="Times New Roman" w:hAnsi="Times New Roman" w:cs="Times New Roman" w:eastAsiaTheme="minorEastAsia"/>
                <w:b w:val="0"/>
                <w:bCs w:val="0"/>
                <w:sz w:val="18"/>
                <w:szCs w:val="18"/>
              </w:rPr>
              <w:t>岸电覆盖率（%）=已建成岸电设施的泊位数量/港口泊位总数×100%；岸电使用率（%）=实际使用岸电的船舶艘次/靠港船舶总艘次×100%</w:t>
            </w:r>
            <w:r>
              <w:rPr>
                <w:rFonts w:hint="eastAsia" w:ascii="Times New Roman" w:hAnsi="Times New Roman" w:cs="Times New Roman" w:eastAsiaTheme="minorEastAsia"/>
                <w:b w:val="0"/>
                <w:bCs w:val="0"/>
                <w:sz w:val="18"/>
                <w:szCs w:val="18"/>
                <w:lang w:eastAsia="zh-CN"/>
              </w:rPr>
              <w:t>。</w:t>
            </w:r>
          </w:p>
          <w:p w14:paraId="4E7FC740">
            <w:pPr>
              <w:pStyle w:val="47"/>
              <w:ind w:left="811" w:hanging="448"/>
              <w:rPr>
                <w:rFonts w:hint="eastAsia" w:ascii="Times New Roman"/>
              </w:rPr>
            </w:pPr>
            <w:r>
              <w:rPr>
                <w:rFonts w:hint="eastAsia" w:ascii="Times New Roman" w:hAnsi="Times New Roman" w:cs="Times New Roman" w:eastAsiaTheme="minorEastAsia"/>
                <w:b w:val="0"/>
                <w:bCs w:val="0"/>
                <w:sz w:val="18"/>
                <w:szCs w:val="18"/>
              </w:rPr>
              <w:t>能碳管控系统宜与港口全流程生产调度系统集成为综合管控系统，实际评价时单独的能碳管控系统也是可行的。</w:t>
            </w:r>
          </w:p>
        </w:tc>
      </w:tr>
    </w:tbl>
    <w:p w14:paraId="7BD95932">
      <w:pPr>
        <w:pStyle w:val="24"/>
        <w:spacing w:before="156" w:after="156"/>
        <w:rPr>
          <w:rFonts w:hint="eastAsia" w:cs="黑体"/>
          <w:szCs w:val="21"/>
        </w:rPr>
      </w:pPr>
      <w:bookmarkStart w:id="122" w:name="_Toc29007"/>
      <w:bookmarkStart w:id="123" w:name="_Toc236437658"/>
      <w:r>
        <w:rPr>
          <w:rFonts w:hint="eastAsia" w:cs="黑体"/>
          <w:szCs w:val="21"/>
        </w:rPr>
        <w:t>零碳散粮港口评价等级</w:t>
      </w:r>
      <w:bookmarkEnd w:id="122"/>
      <w:bookmarkEnd w:id="123"/>
    </w:p>
    <w:p w14:paraId="1945FBC2">
      <w:pPr>
        <w:pStyle w:val="19"/>
        <w:rPr>
          <w:rFonts w:hint="eastAsia" w:hAnsi="宋体" w:cs="宋体"/>
          <w:szCs w:val="21"/>
        </w:rPr>
      </w:pPr>
      <w:r>
        <w:rPr>
          <w:rFonts w:ascii="Times New Roman"/>
          <w:szCs w:val="21"/>
        </w:rPr>
        <w:t>零碳散粮港口的评价结果依据附录A表A.1进行评价</w:t>
      </w:r>
      <w:r>
        <w:rPr>
          <w:rFonts w:hAnsi="宋体" w:cs="宋体"/>
          <w:szCs w:val="21"/>
        </w:rPr>
        <w:t>，满分为100分，评价结果依据得分情况分为4个等级，由高到低分别为：</w:t>
      </w:r>
      <w:r>
        <w:rPr>
          <w:rFonts w:hint="eastAsia" w:ascii="Times New Roman"/>
        </w:rPr>
        <w:t>零碳示范港口</w:t>
      </w:r>
      <w:r>
        <w:rPr>
          <w:rFonts w:hAnsi="宋体" w:cs="宋体"/>
          <w:szCs w:val="21"/>
        </w:rPr>
        <w:t>、</w:t>
      </w:r>
      <w:r>
        <w:rPr>
          <w:rFonts w:hint="eastAsia" w:ascii="Times New Roman"/>
        </w:rPr>
        <w:t>零碳先进港口</w:t>
      </w:r>
      <w:r>
        <w:rPr>
          <w:rFonts w:hAnsi="宋体" w:cs="宋体"/>
          <w:szCs w:val="21"/>
        </w:rPr>
        <w:t>、</w:t>
      </w:r>
      <w:r>
        <w:rPr>
          <w:rFonts w:hint="eastAsia" w:ascii="Times New Roman"/>
        </w:rPr>
        <w:t>零碳达标港口</w:t>
      </w:r>
      <w:r>
        <w:rPr>
          <w:rFonts w:hAnsi="宋体" w:cs="宋体"/>
          <w:szCs w:val="21"/>
        </w:rPr>
        <w:t>、</w:t>
      </w:r>
      <w:r>
        <w:rPr>
          <w:rFonts w:hint="eastAsia" w:ascii="Times New Roman"/>
        </w:rPr>
        <w:t>零碳培育港口</w:t>
      </w:r>
      <w:r>
        <w:rPr>
          <w:rFonts w:hAnsi="宋体" w:cs="宋体"/>
          <w:szCs w:val="21"/>
        </w:rPr>
        <w:t>。</w:t>
      </w:r>
    </w:p>
    <w:p w14:paraId="0752193E">
      <w:pPr>
        <w:pStyle w:val="40"/>
        <w:spacing w:before="156" w:after="156"/>
      </w:pPr>
      <w:r>
        <w:rPr>
          <w:rFonts w:hint="eastAsia" w:hAnsi="黑体"/>
          <w:szCs w:val="21"/>
        </w:rPr>
        <w:t>零碳散粮港口评价等级</w:t>
      </w:r>
    </w:p>
    <w:tbl>
      <w:tblPr>
        <w:tblStyle w:val="11"/>
        <w:tblW w:w="985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1729"/>
        <w:gridCol w:w="1720"/>
        <w:gridCol w:w="6405"/>
      </w:tblGrid>
      <w:tr w14:paraId="0F0C65A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1729" w:type="dxa"/>
            <w:tcBorders>
              <w:bottom w:val="single" w:color="auto" w:sz="8" w:space="0"/>
            </w:tcBorders>
            <w:vAlign w:val="center"/>
          </w:tcPr>
          <w:p w14:paraId="25E8BE86">
            <w:pPr>
              <w:pStyle w:val="41"/>
              <w:rPr>
                <w:rFonts w:ascii="Times New Roman"/>
              </w:rPr>
            </w:pPr>
            <w:r>
              <w:rPr>
                <w:rFonts w:hint="eastAsia" w:ascii="Times New Roman"/>
              </w:rPr>
              <w:t>评价得分</w:t>
            </w:r>
          </w:p>
        </w:tc>
        <w:tc>
          <w:tcPr>
            <w:tcW w:w="1720" w:type="dxa"/>
            <w:tcBorders>
              <w:bottom w:val="single" w:color="auto" w:sz="8" w:space="0"/>
            </w:tcBorders>
            <w:vAlign w:val="center"/>
          </w:tcPr>
          <w:p w14:paraId="67CDFFF8">
            <w:pPr>
              <w:pStyle w:val="41"/>
              <w:rPr>
                <w:rFonts w:ascii="Times New Roman"/>
              </w:rPr>
            </w:pPr>
            <w:r>
              <w:rPr>
                <w:rFonts w:hint="eastAsia" w:ascii="Times New Roman"/>
              </w:rPr>
              <w:t>评价等级</w:t>
            </w:r>
          </w:p>
        </w:tc>
        <w:tc>
          <w:tcPr>
            <w:tcW w:w="6405" w:type="dxa"/>
            <w:tcBorders>
              <w:bottom w:val="single" w:color="auto" w:sz="8" w:space="0"/>
            </w:tcBorders>
            <w:vAlign w:val="center"/>
          </w:tcPr>
          <w:p w14:paraId="476D0DAB">
            <w:pPr>
              <w:pStyle w:val="41"/>
              <w:rPr>
                <w:rFonts w:ascii="Times New Roman"/>
              </w:rPr>
            </w:pPr>
            <w:r>
              <w:rPr>
                <w:rFonts w:hint="eastAsia" w:ascii="Times New Roman"/>
              </w:rPr>
              <w:t>零碳散粮港口创建成效</w:t>
            </w:r>
          </w:p>
        </w:tc>
      </w:tr>
      <w:tr w14:paraId="406B811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729" w:type="dxa"/>
            <w:tcBorders>
              <w:top w:val="single" w:color="auto" w:sz="8" w:space="0"/>
            </w:tcBorders>
            <w:vAlign w:val="center"/>
          </w:tcPr>
          <w:p w14:paraId="56827AC1">
            <w:pPr>
              <w:pStyle w:val="41"/>
              <w:rPr>
                <w:rFonts w:ascii="Times New Roman"/>
              </w:rPr>
            </w:pPr>
            <w:r>
              <w:rPr>
                <w:rFonts w:hint="eastAsia" w:ascii="Times New Roman"/>
              </w:rPr>
              <w:drawing>
                <wp:inline distT="0" distB="0" distL="0" distR="0">
                  <wp:extent cx="63500" cy="11430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63500" cy="114300"/>
                          </a:xfrm>
                          <a:prstGeom prst="rect">
                            <a:avLst/>
                          </a:prstGeom>
                          <a:noFill/>
                          <a:ln>
                            <a:noFill/>
                          </a:ln>
                        </pic:spPr>
                      </pic:pic>
                    </a:graphicData>
                  </a:graphic>
                </wp:inline>
              </w:drawing>
            </w:r>
            <w:r>
              <w:rPr>
                <w:rFonts w:hint="eastAsia" w:ascii="Times New Roman"/>
              </w:rPr>
              <w:t>90</w:t>
            </w:r>
          </w:p>
        </w:tc>
        <w:tc>
          <w:tcPr>
            <w:tcW w:w="1720" w:type="dxa"/>
            <w:tcBorders>
              <w:top w:val="single" w:color="auto" w:sz="8" w:space="0"/>
            </w:tcBorders>
            <w:vAlign w:val="center"/>
          </w:tcPr>
          <w:p w14:paraId="772F5ADE">
            <w:pPr>
              <w:pStyle w:val="41"/>
              <w:rPr>
                <w:rFonts w:ascii="Times New Roman"/>
              </w:rPr>
            </w:pPr>
            <w:r>
              <w:rPr>
                <w:rFonts w:hint="eastAsia" w:ascii="Times New Roman"/>
              </w:rPr>
              <w:t>零碳示范港口</w:t>
            </w:r>
          </w:p>
        </w:tc>
        <w:tc>
          <w:tcPr>
            <w:tcW w:w="6405" w:type="dxa"/>
            <w:tcBorders>
              <w:top w:val="single" w:color="auto" w:sz="8" w:space="0"/>
            </w:tcBorders>
            <w:vAlign w:val="center"/>
          </w:tcPr>
          <w:p w14:paraId="256D90F7">
            <w:pPr>
              <w:pStyle w:val="41"/>
              <w:jc w:val="left"/>
              <w:rPr>
                <w:rFonts w:ascii="Times New Roman"/>
              </w:rPr>
            </w:pPr>
            <w:r>
              <w:rPr>
                <w:rFonts w:hint="eastAsia" w:ascii="Times New Roman"/>
              </w:rPr>
              <w:t>港口的管理水平、技术水平、效果评估绩效处于同行业领先地位；零碳散粮港口创建管理工具和手段卓越；创建措施完全满足本文件要求且成效显著。</w:t>
            </w:r>
          </w:p>
        </w:tc>
      </w:tr>
      <w:tr w14:paraId="369CBA5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729" w:type="dxa"/>
            <w:vAlign w:val="center"/>
          </w:tcPr>
          <w:p w14:paraId="2D09AF62">
            <w:pPr>
              <w:pStyle w:val="41"/>
              <w:rPr>
                <w:rFonts w:ascii="Times New Roman"/>
              </w:rPr>
            </w:pPr>
            <w:r>
              <w:rPr>
                <w:rFonts w:hint="eastAsia" w:ascii="Times New Roman"/>
              </w:rPr>
              <w:t>81~90</w:t>
            </w:r>
          </w:p>
        </w:tc>
        <w:tc>
          <w:tcPr>
            <w:tcW w:w="1720" w:type="dxa"/>
            <w:vAlign w:val="center"/>
          </w:tcPr>
          <w:p w14:paraId="054BAC8E">
            <w:pPr>
              <w:pStyle w:val="41"/>
              <w:rPr>
                <w:rFonts w:ascii="Times New Roman"/>
              </w:rPr>
            </w:pPr>
            <w:r>
              <w:rPr>
                <w:rFonts w:hint="eastAsia" w:ascii="Times New Roman"/>
              </w:rPr>
              <w:t>零碳先进港口</w:t>
            </w:r>
          </w:p>
        </w:tc>
        <w:tc>
          <w:tcPr>
            <w:tcW w:w="6405" w:type="dxa"/>
            <w:vAlign w:val="center"/>
          </w:tcPr>
          <w:p w14:paraId="202CB333">
            <w:pPr>
              <w:pStyle w:val="41"/>
              <w:jc w:val="left"/>
              <w:rPr>
                <w:rFonts w:ascii="Times New Roman"/>
              </w:rPr>
            </w:pPr>
            <w:r>
              <w:rPr>
                <w:rFonts w:hint="eastAsia" w:ascii="Times New Roman"/>
              </w:rPr>
              <w:t>港口的管理水平、技术水平、效果评估绩效处于同行业先进地位；零碳散粮港口创建管理工具和手段健全；创建措施基本满足本文件要求且成效明显。</w:t>
            </w:r>
          </w:p>
        </w:tc>
      </w:tr>
      <w:tr w14:paraId="4A03206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729" w:type="dxa"/>
            <w:vAlign w:val="center"/>
          </w:tcPr>
          <w:p w14:paraId="59F01DD5">
            <w:pPr>
              <w:pStyle w:val="41"/>
              <w:rPr>
                <w:rFonts w:ascii="Times New Roman"/>
              </w:rPr>
            </w:pPr>
            <w:r>
              <w:rPr>
                <w:rFonts w:hint="eastAsia" w:ascii="Times New Roman"/>
              </w:rPr>
              <w:t>60~80</w:t>
            </w:r>
          </w:p>
        </w:tc>
        <w:tc>
          <w:tcPr>
            <w:tcW w:w="1720" w:type="dxa"/>
            <w:vAlign w:val="center"/>
          </w:tcPr>
          <w:p w14:paraId="30DF7B82">
            <w:pPr>
              <w:pStyle w:val="41"/>
              <w:rPr>
                <w:rFonts w:ascii="Times New Roman"/>
              </w:rPr>
            </w:pPr>
            <w:r>
              <w:rPr>
                <w:rFonts w:hint="eastAsia" w:ascii="Times New Roman"/>
              </w:rPr>
              <w:t>零碳达标港口</w:t>
            </w:r>
          </w:p>
        </w:tc>
        <w:tc>
          <w:tcPr>
            <w:tcW w:w="6405" w:type="dxa"/>
            <w:vAlign w:val="center"/>
          </w:tcPr>
          <w:p w14:paraId="0CB67081">
            <w:pPr>
              <w:pStyle w:val="41"/>
              <w:jc w:val="left"/>
              <w:rPr>
                <w:rFonts w:ascii="Times New Roman"/>
              </w:rPr>
            </w:pPr>
            <w:r>
              <w:rPr>
                <w:rFonts w:hint="eastAsia" w:ascii="Times New Roman"/>
              </w:rPr>
              <w:t>港口的管理水平、技术水平、效果评估绩效基本满足本文件要求；具备一定的零碳散粮港口创建管理工具和手段；创建措施有较大提升空间。</w:t>
            </w:r>
          </w:p>
        </w:tc>
      </w:tr>
      <w:bookmarkEnd w:id="48"/>
      <w:tr w14:paraId="4C01421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1729" w:type="dxa"/>
            <w:vAlign w:val="center"/>
          </w:tcPr>
          <w:p w14:paraId="3781F833">
            <w:pPr>
              <w:pStyle w:val="41"/>
              <w:rPr>
                <w:rFonts w:ascii="Times New Roman"/>
              </w:rPr>
            </w:pPr>
            <w:r>
              <w:rPr>
                <w:rFonts w:hint="eastAsia" w:ascii="Times New Roman"/>
              </w:rPr>
              <w:t>＜60</w:t>
            </w:r>
          </w:p>
        </w:tc>
        <w:tc>
          <w:tcPr>
            <w:tcW w:w="1720" w:type="dxa"/>
            <w:vAlign w:val="center"/>
          </w:tcPr>
          <w:p w14:paraId="23982A55">
            <w:pPr>
              <w:pStyle w:val="41"/>
              <w:rPr>
                <w:rFonts w:ascii="Times New Roman"/>
              </w:rPr>
            </w:pPr>
            <w:r>
              <w:rPr>
                <w:rFonts w:hint="eastAsia" w:ascii="Times New Roman"/>
              </w:rPr>
              <w:t>零碳培育港口</w:t>
            </w:r>
          </w:p>
        </w:tc>
        <w:tc>
          <w:tcPr>
            <w:tcW w:w="6405" w:type="dxa"/>
            <w:vAlign w:val="center"/>
          </w:tcPr>
          <w:p w14:paraId="7C2A9409">
            <w:pPr>
              <w:pStyle w:val="41"/>
              <w:jc w:val="left"/>
              <w:rPr>
                <w:rFonts w:ascii="Times New Roman"/>
              </w:rPr>
            </w:pPr>
            <w:r>
              <w:rPr>
                <w:rFonts w:hint="eastAsia" w:ascii="Times New Roman"/>
              </w:rPr>
              <w:t>港口的管理水平、技术水平仅满足本文件最低要求，且效果评估绩效低于行业平均水平；零碳散粮港口创建管理工具和手段薄弱；在创建措施方面需要针对性培育。</w:t>
            </w:r>
          </w:p>
        </w:tc>
      </w:tr>
    </w:tbl>
    <w:p w14:paraId="1B83AF3C">
      <w:pPr>
        <w:pStyle w:val="19"/>
        <w:ind w:firstLine="0" w:firstLineChars="0"/>
        <w:rPr>
          <w:rFonts w:hint="eastAsia" w:hAnsi="宋体" w:cs="宋体"/>
          <w:szCs w:val="21"/>
        </w:rPr>
      </w:pPr>
    </w:p>
    <w:p w14:paraId="51B6596F">
      <w:pPr>
        <w:pStyle w:val="19"/>
        <w:ind w:firstLine="0" w:firstLineChars="0"/>
        <w:rPr>
          <w:rFonts w:hint="eastAsia" w:hAnsi="宋体" w:cs="宋体"/>
          <w:szCs w:val="21"/>
        </w:rPr>
      </w:pPr>
    </w:p>
    <w:p w14:paraId="72E71C41">
      <w:pPr>
        <w:pStyle w:val="19"/>
        <w:ind w:firstLine="0" w:firstLineChars="0"/>
        <w:rPr>
          <w:rFonts w:hint="eastAsia" w:hAnsi="宋体" w:cs="宋体"/>
          <w:szCs w:val="21"/>
        </w:rPr>
        <w:sectPr>
          <w:pgSz w:w="11906" w:h="16838"/>
          <w:pgMar w:top="1417" w:right="1417" w:bottom="1134" w:left="1417" w:header="1417" w:footer="1134" w:gutter="0"/>
          <w:cols w:space="425" w:num="1"/>
          <w:docGrid w:type="lines" w:linePitch="312" w:charSpace="0"/>
        </w:sectPr>
      </w:pPr>
    </w:p>
    <w:p w14:paraId="34EE7570">
      <w:pPr>
        <w:pStyle w:val="22"/>
        <w:rPr>
          <w:rFonts w:hint="eastAsia"/>
        </w:rPr>
      </w:pPr>
      <w:bookmarkStart w:id="124" w:name="_Toc237881653"/>
      <w:bookmarkEnd w:id="124"/>
      <w:bookmarkStart w:id="125" w:name="_Toc25847"/>
      <w:bookmarkEnd w:id="125"/>
      <w:bookmarkStart w:id="126" w:name="_Toc698"/>
      <w:bookmarkEnd w:id="126"/>
      <w:bookmarkStart w:id="127" w:name="_Toc236437659"/>
      <w:bookmarkEnd w:id="127"/>
    </w:p>
    <w:p w14:paraId="3B1C18E3">
      <w:pPr>
        <w:pStyle w:val="23"/>
        <w:spacing w:beforeLines="0" w:afterLines="0"/>
        <w:rPr>
          <w:rFonts w:hint="eastAsia" w:hAnsi="黑体" w:cs="黑体"/>
        </w:rPr>
      </w:pPr>
      <w:bookmarkStart w:id="128" w:name="_Toc29168"/>
      <w:bookmarkStart w:id="129" w:name="_Toc237881654"/>
      <w:bookmarkStart w:id="130" w:name="_Toc12787"/>
      <w:bookmarkStart w:id="131" w:name="_Toc236437660"/>
      <w:r>
        <w:rPr>
          <w:rFonts w:hint="eastAsia" w:hAnsi="黑体" w:cs="黑体"/>
        </w:rPr>
        <w:t>（规范性）</w:t>
      </w:r>
      <w:bookmarkEnd w:id="128"/>
      <w:bookmarkEnd w:id="129"/>
      <w:bookmarkEnd w:id="130"/>
      <w:bookmarkEnd w:id="131"/>
    </w:p>
    <w:p w14:paraId="7EE2508F">
      <w:pPr>
        <w:pStyle w:val="23"/>
        <w:spacing w:beforeLines="0" w:afterLines="0"/>
        <w:rPr>
          <w:rFonts w:hint="eastAsia" w:hAnsi="黑体" w:cs="黑体"/>
          <w:szCs w:val="21"/>
        </w:rPr>
      </w:pPr>
      <w:bookmarkStart w:id="132" w:name="_Toc236437661"/>
      <w:bookmarkStart w:id="133" w:name="_Toc237881655"/>
      <w:bookmarkStart w:id="134" w:name="_Toc415"/>
      <w:bookmarkStart w:id="135" w:name="_Toc19300"/>
      <w:r>
        <w:rPr>
          <w:rFonts w:hint="eastAsia" w:hAnsi="黑体" w:cs="黑体"/>
          <w:szCs w:val="21"/>
        </w:rPr>
        <w:t>散粮港口碳排放核算方法</w:t>
      </w:r>
      <w:bookmarkEnd w:id="132"/>
      <w:bookmarkEnd w:id="133"/>
      <w:bookmarkEnd w:id="134"/>
      <w:bookmarkEnd w:id="135"/>
    </w:p>
    <w:p w14:paraId="2839C7FD">
      <w:pPr>
        <w:pStyle w:val="24"/>
        <w:spacing w:before="156" w:after="156"/>
        <w:rPr>
          <w:rFonts w:hint="eastAsia"/>
        </w:rPr>
      </w:pPr>
      <w:bookmarkStart w:id="136" w:name="_Toc21850"/>
      <w:bookmarkStart w:id="137" w:name="_Toc236437662"/>
      <w:r>
        <w:rPr>
          <w:rFonts w:hint="eastAsia"/>
        </w:rPr>
        <w:t>核算边界确定</w:t>
      </w:r>
      <w:bookmarkEnd w:id="136"/>
      <w:bookmarkEnd w:id="137"/>
    </w:p>
    <w:p w14:paraId="27724ED1">
      <w:pPr>
        <w:pStyle w:val="19"/>
        <w:rPr>
          <w:rFonts w:hint="eastAsia" w:cs="Arial" w:asciiTheme="minorEastAsia" w:hAnsiTheme="minorEastAsia"/>
        </w:rPr>
      </w:pPr>
      <w:r>
        <w:rPr>
          <w:rFonts w:hint="eastAsia" w:cs="Arial" w:asciiTheme="minorEastAsia" w:hAnsiTheme="minorEastAsia"/>
        </w:rPr>
        <w:t>散粮港口</w:t>
      </w:r>
      <w:r>
        <w:rPr>
          <w:rFonts w:cs="Arial" w:asciiTheme="minorEastAsia" w:hAnsiTheme="minorEastAsia"/>
        </w:rPr>
        <w:t>温室气体</w:t>
      </w:r>
      <w:r>
        <w:rPr>
          <w:rFonts w:hint="eastAsia" w:cs="Arial" w:asciiTheme="minorEastAsia" w:hAnsiTheme="minorEastAsia"/>
        </w:rPr>
        <w:t>排放核算边界包括码头装卸生产系统、散粮仓储系统、辅助生产系统的设施设备能源消耗所产生的二氧化碳排放,并应符合以下要求:</w:t>
      </w:r>
    </w:p>
    <w:p w14:paraId="733D9B8A">
      <w:pPr>
        <w:pStyle w:val="26"/>
        <w:numPr>
          <w:ilvl w:val="0"/>
          <w:numId w:val="16"/>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装卸生产系统的核算边界包括码头装卸、水平运输等全部作业环节，计入由外包单位承担的作业环节能源消耗所产生的二氧化碳排放；</w:t>
      </w:r>
    </w:p>
    <w:p w14:paraId="0DB86042">
      <w:pPr>
        <w:pStyle w:val="26"/>
        <w:numPr>
          <w:ilvl w:val="0"/>
          <w:numId w:val="16"/>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散粮仓储系统的核算边界包括接发设施及工艺装备、粮食仓房、烘干设施、扦样房、空压机房、工作楼（塔）等消耗能源产生的二氧化碳排放；</w:t>
      </w:r>
    </w:p>
    <w:p w14:paraId="078B5DF2">
      <w:pPr>
        <w:pStyle w:val="26"/>
        <w:numPr>
          <w:ilvl w:val="0"/>
          <w:numId w:val="16"/>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辅助生产系统的核算边界为直接为装卸生产系统和散粮储存系统服务的附属生产系统，包括生产办公楼、食堂、机修等消耗能源产生的二氧化碳排放。</w:t>
      </w:r>
    </w:p>
    <w:p w14:paraId="2D676CE9">
      <w:pPr>
        <w:pStyle w:val="26"/>
        <w:numPr>
          <w:ilvl w:val="0"/>
          <w:numId w:val="16"/>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以下情况能源消耗所产生的二氧化碳排放量,不应计入核算范围：</w:t>
      </w:r>
    </w:p>
    <w:p w14:paraId="4E4BCDE1">
      <w:pPr>
        <w:pStyle w:val="26"/>
        <w:numPr>
          <w:ilvl w:val="0"/>
          <w:numId w:val="16"/>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港内冷藏箱、行政车辆、港作拖轮、铁路机车运输环节；</w:t>
      </w:r>
    </w:p>
    <w:p w14:paraId="3C045722">
      <w:pPr>
        <w:pStyle w:val="26"/>
        <w:numPr>
          <w:ilvl w:val="0"/>
          <w:numId w:val="16"/>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企业上一级变电所到本级变电所的电力损耗；</w:t>
      </w:r>
    </w:p>
    <w:p w14:paraId="6FAD99D0">
      <w:pPr>
        <w:pStyle w:val="26"/>
        <w:numPr>
          <w:ilvl w:val="0"/>
          <w:numId w:val="16"/>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港外集疏运车辆、船舶靠港使用岸电；</w:t>
      </w:r>
    </w:p>
    <w:p w14:paraId="3A1AFE48">
      <w:pPr>
        <w:pStyle w:val="26"/>
        <w:numPr>
          <w:ilvl w:val="0"/>
          <w:numId w:val="16"/>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多式联运中非港口生产作业环节；</w:t>
      </w:r>
    </w:p>
    <w:p w14:paraId="5C62AE2B">
      <w:pPr>
        <w:pStyle w:val="26"/>
        <w:numPr>
          <w:ilvl w:val="0"/>
          <w:numId w:val="16"/>
        </w:numPr>
        <w:spacing w:beforeLines="0" w:afterLines="0"/>
        <w:ind w:left="0" w:firstLine="420"/>
        <w:outlineLvl w:val="9"/>
        <w:rPr>
          <w:rFonts w:hint="eastAsia" w:asciiTheme="minorEastAsia" w:hAnsiTheme="minorEastAsia" w:eastAsiaTheme="minorEastAsia"/>
        </w:rPr>
      </w:pPr>
      <w:r>
        <w:rPr>
          <w:rFonts w:hint="eastAsia" w:asciiTheme="minorEastAsia" w:hAnsiTheme="minorEastAsia" w:eastAsiaTheme="minorEastAsia"/>
        </w:rPr>
        <w:t>与港口装卸生产无关的生产、餐饮、旅游、房地产等业务。</w:t>
      </w:r>
    </w:p>
    <w:p w14:paraId="12F078D1">
      <w:pPr>
        <w:pStyle w:val="24"/>
        <w:spacing w:before="156" w:after="156"/>
        <w:rPr>
          <w:rFonts w:hint="eastAsia"/>
        </w:rPr>
      </w:pPr>
      <w:bookmarkStart w:id="138" w:name="_Toc236437663"/>
      <w:bookmarkStart w:id="139" w:name="_Toc28209"/>
      <w:r>
        <w:rPr>
          <w:rFonts w:hint="eastAsia"/>
        </w:rPr>
        <w:t>碳排放量计算</w:t>
      </w:r>
      <w:bookmarkEnd w:id="138"/>
      <w:bookmarkEnd w:id="139"/>
    </w:p>
    <w:p w14:paraId="5D0C5BA2">
      <w:pPr>
        <w:pStyle w:val="25"/>
        <w:spacing w:before="156" w:after="156"/>
        <w:rPr>
          <w:rFonts w:hint="eastAsia"/>
        </w:rPr>
      </w:pPr>
      <w:bookmarkStart w:id="140" w:name="_Toc236437664"/>
      <w:bookmarkStart w:id="141" w:name="_Toc21110"/>
      <w:r>
        <w:rPr>
          <w:rFonts w:hint="eastAsia"/>
        </w:rPr>
        <w:t>港口二氧化碳总排放量计算</w:t>
      </w:r>
      <w:bookmarkEnd w:id="140"/>
      <w:bookmarkEnd w:id="141"/>
    </w:p>
    <w:p w14:paraId="6CE23676">
      <w:pPr>
        <w:pStyle w:val="42"/>
        <w:rPr>
          <w:rFonts w:hint="eastAsia"/>
        </w:rPr>
      </w:pPr>
      <w:r>
        <w:rPr>
          <w:rFonts w:hint="eastAsia"/>
        </w:rPr>
        <w:tab/>
      </w:r>
      <m:oMath>
        <m:sSub>
          <m:sSubPr>
            <m:ctrlPr>
              <w:rPr>
                <w:rFonts w:ascii="Cambria Math" w:hAnsi="Cambria Math"/>
              </w:rPr>
            </m:ctrlPr>
          </m:sSubPr>
          <m:e>
            <m:r>
              <m:rPr/>
              <w:rPr>
                <w:rFonts w:ascii="Cambria Math" w:hAnsi="Cambria Math"/>
              </w:rPr>
              <m:t>E</m:t>
            </m:r>
            <m:ctrlPr>
              <w:rPr>
                <w:rFonts w:ascii="Cambria Math" w:hAnsi="Cambria Math"/>
              </w:rPr>
            </m:ctrlPr>
          </m:e>
          <m:sub>
            <m:r>
              <m:rPr>
                <m:sty m:val="p"/>
              </m:rPr>
              <w:rPr>
                <w:rFonts w:ascii="Cambria Math" w:hAnsi="Cambria Math"/>
              </w:rPr>
              <m:t>总</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E</m:t>
            </m:r>
            <m:ctrlPr>
              <w:rPr>
                <w:rFonts w:ascii="Cambria Math" w:hAnsi="Cambria Math"/>
              </w:rPr>
            </m:ctrlPr>
          </m:e>
          <m:sub>
            <m:r>
              <m:rPr>
                <m:sty m:val="p"/>
              </m:rPr>
              <w:rPr>
                <w:rFonts w:hint="eastAsia" w:ascii="Cambria Math" w:hAnsi="Cambria Math"/>
              </w:rPr>
              <m:t>装卸生产</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E</m:t>
            </m:r>
            <m:ctrlPr>
              <w:rPr>
                <w:rFonts w:ascii="Cambria Math" w:hAnsi="Cambria Math"/>
              </w:rPr>
            </m:ctrlPr>
          </m:e>
          <m:sub>
            <m:r>
              <m:rPr>
                <m:sty m:val="p"/>
              </m:rPr>
              <w:rPr>
                <w:rFonts w:hint="eastAsia" w:ascii="Cambria Math" w:hAnsi="Cambria Math"/>
              </w:rPr>
              <m:t>散粮仓储</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E</m:t>
            </m:r>
            <m:ctrlPr>
              <w:rPr>
                <w:rFonts w:ascii="Cambria Math" w:hAnsi="Cambria Math"/>
              </w:rPr>
            </m:ctrlPr>
          </m:e>
          <m:sub>
            <m:r>
              <m:rPr>
                <m:sty m:val="p"/>
              </m:rPr>
              <w:rPr>
                <w:rFonts w:hint="eastAsia" w:ascii="Cambria Math" w:hAnsi="Cambria Math"/>
              </w:rPr>
              <m:t>辅助生产</m:t>
            </m:r>
            <m:ctrlPr>
              <w:rPr>
                <w:rFonts w:ascii="Cambria Math" w:hAnsi="Cambria Math"/>
              </w:rPr>
            </m:ctrlPr>
          </m:sub>
        </m:sSub>
      </m:oMath>
      <w:r>
        <w:rPr>
          <w:rFonts w:hint="eastAsia" w:ascii="微软雅黑" w:hAnsi="微软雅黑" w:eastAsia="微软雅黑" w:cs="微软雅黑"/>
        </w:rPr>
        <w:tab/>
      </w:r>
      <w:r>
        <w:rPr>
          <w:rFonts w:hint="eastAsia"/>
        </w:rPr>
        <w:t>(B.</w:t>
      </w:r>
      <w:r>
        <w:rPr>
          <w:rFonts w:hint="eastAsia"/>
        </w:rPr>
        <w:fldChar w:fldCharType="begin"/>
      </w:r>
      <w:r>
        <w:rPr>
          <w:rFonts w:hint="eastAsia"/>
        </w:rPr>
        <w:instrText xml:space="preserve"> seq fulu_equation_134308113360523857 </w:instrText>
      </w:r>
      <w:r>
        <w:rPr>
          <w:rFonts w:hint="eastAsia"/>
        </w:rPr>
        <w:fldChar w:fldCharType="separate"/>
      </w:r>
      <w:r>
        <w:rPr>
          <w:rFonts w:hint="eastAsia"/>
        </w:rPr>
        <w:t>1</w:t>
      </w:r>
      <w:r>
        <w:rPr>
          <w:rFonts w:hint="eastAsia"/>
        </w:rPr>
        <w:fldChar w:fldCharType="end"/>
      </w:r>
      <w:r>
        <w:rPr>
          <w:rFonts w:hint="eastAsia"/>
        </w:rPr>
        <w:t>)</w:t>
      </w:r>
    </w:p>
    <w:p w14:paraId="087887A7">
      <w:pPr>
        <w:pStyle w:val="19"/>
      </w:pPr>
      <w:r>
        <w:rPr>
          <w:rFonts w:hint="eastAsia"/>
        </w:rPr>
        <w:t>式中：</w:t>
      </w:r>
    </w:p>
    <w:p w14:paraId="12F8CC44">
      <w:pPr>
        <w:pStyle w:val="19"/>
        <w:ind w:firstLine="840" w:firstLineChars="400"/>
        <w:rPr>
          <w:rFonts w:ascii="Times New Roman"/>
        </w:rPr>
      </w:pPr>
      <w:r>
        <w:rPr>
          <w:rFonts w:ascii="Times New Roman"/>
          <w:i/>
          <w:iCs/>
        </w:rPr>
        <w:t>E</w:t>
      </w:r>
      <w:r>
        <w:rPr>
          <w:rFonts w:ascii="Times New Roman"/>
          <w:vertAlign w:val="subscript"/>
        </w:rPr>
        <w:t>总</w:t>
      </w:r>
      <w:r>
        <w:rPr>
          <w:rFonts w:ascii="Times New Roman"/>
        </w:rPr>
        <w:t>——散粮港口核算边界内的二氧化碳排放总量，单位为吨二氧化碳（tCO</w:t>
      </w:r>
      <w:r>
        <w:rPr>
          <w:rFonts w:ascii="Times New Roman"/>
          <w:vertAlign w:val="subscript"/>
        </w:rPr>
        <w:t>2</w:t>
      </w:r>
      <w:r>
        <w:rPr>
          <w:rFonts w:ascii="Times New Roman"/>
        </w:rPr>
        <w:t>）；</w:t>
      </w:r>
    </w:p>
    <w:p w14:paraId="6DC101D3">
      <w:pPr>
        <w:pStyle w:val="19"/>
        <w:ind w:firstLine="840" w:firstLineChars="400"/>
        <w:rPr>
          <w:rFonts w:ascii="Times New Roman"/>
        </w:rPr>
      </w:pPr>
      <w:r>
        <w:rPr>
          <w:rFonts w:ascii="Times New Roman"/>
          <w:i/>
          <w:iCs/>
        </w:rPr>
        <w:t>E</w:t>
      </w:r>
      <w:r>
        <w:rPr>
          <w:rFonts w:ascii="Times New Roman"/>
          <w:vertAlign w:val="subscript"/>
        </w:rPr>
        <w:t>装卸生产</w:t>
      </w:r>
      <w:r>
        <w:rPr>
          <w:rFonts w:ascii="Times New Roman"/>
        </w:rPr>
        <w:t>——装卸生产系统产生的二氧化碳排放量，单位为吨二氧化碳（tCO</w:t>
      </w:r>
      <w:r>
        <w:rPr>
          <w:rFonts w:ascii="Times New Roman"/>
          <w:vertAlign w:val="subscript"/>
        </w:rPr>
        <w:t>2</w:t>
      </w:r>
      <w:r>
        <w:rPr>
          <w:rFonts w:ascii="Times New Roman"/>
        </w:rPr>
        <w:t>）；</w:t>
      </w:r>
    </w:p>
    <w:p w14:paraId="206FF38A">
      <w:pPr>
        <w:pStyle w:val="19"/>
        <w:ind w:firstLine="840" w:firstLineChars="400"/>
        <w:rPr>
          <w:rFonts w:ascii="Times New Roman"/>
        </w:rPr>
      </w:pPr>
      <w:r>
        <w:rPr>
          <w:rFonts w:ascii="Times New Roman"/>
          <w:i/>
          <w:iCs/>
        </w:rPr>
        <w:t>E</w:t>
      </w:r>
      <w:r>
        <w:rPr>
          <w:rFonts w:ascii="Times New Roman"/>
          <w:vertAlign w:val="subscript"/>
        </w:rPr>
        <w:t>散粮</w:t>
      </w:r>
      <w:r>
        <w:rPr>
          <w:rFonts w:hint="eastAsia" w:ascii="Times New Roman"/>
          <w:vertAlign w:val="subscript"/>
        </w:rPr>
        <w:t>仓储</w:t>
      </w:r>
      <w:r>
        <w:rPr>
          <w:rFonts w:ascii="Times New Roman"/>
        </w:rPr>
        <w:t>——散粮</w:t>
      </w:r>
      <w:r>
        <w:rPr>
          <w:rFonts w:hint="eastAsia" w:ascii="Times New Roman"/>
        </w:rPr>
        <w:t>仓储</w:t>
      </w:r>
      <w:r>
        <w:rPr>
          <w:rFonts w:ascii="Times New Roman"/>
        </w:rPr>
        <w:t>系统产生的二氧化碳排放量，单位为吨二氧化碳（tCO</w:t>
      </w:r>
      <w:r>
        <w:rPr>
          <w:rFonts w:ascii="Times New Roman"/>
          <w:vertAlign w:val="subscript"/>
        </w:rPr>
        <w:t>2</w:t>
      </w:r>
      <w:r>
        <w:rPr>
          <w:rFonts w:ascii="Times New Roman"/>
        </w:rPr>
        <w:t>）；</w:t>
      </w:r>
    </w:p>
    <w:p w14:paraId="01DEC097">
      <w:pPr>
        <w:pStyle w:val="19"/>
        <w:ind w:firstLine="840" w:firstLineChars="400"/>
        <w:rPr>
          <w:rFonts w:ascii="Times New Roman"/>
        </w:rPr>
      </w:pPr>
      <w:r>
        <w:rPr>
          <w:rFonts w:ascii="Times New Roman"/>
          <w:i/>
          <w:iCs/>
        </w:rPr>
        <w:t>E</w:t>
      </w:r>
      <w:r>
        <w:rPr>
          <w:rFonts w:ascii="Times New Roman"/>
          <w:vertAlign w:val="subscript"/>
        </w:rPr>
        <w:t>辅助生产</w:t>
      </w:r>
      <w:r>
        <w:rPr>
          <w:rFonts w:ascii="Times New Roman"/>
        </w:rPr>
        <w:t>——辅助生产系统产生的二氧化碳排放量，单位为吨二氧化碳（tCO</w:t>
      </w:r>
      <w:r>
        <w:rPr>
          <w:rFonts w:ascii="Times New Roman"/>
          <w:vertAlign w:val="subscript"/>
        </w:rPr>
        <w:t>2</w:t>
      </w:r>
      <w:r>
        <w:rPr>
          <w:rFonts w:ascii="Times New Roman"/>
        </w:rPr>
        <w:t>）</w:t>
      </w:r>
    </w:p>
    <w:p w14:paraId="1274088B">
      <w:pPr>
        <w:pStyle w:val="19"/>
        <w:ind w:firstLine="0" w:firstLineChars="0"/>
        <w:jc w:val="center"/>
      </w:pPr>
    </w:p>
    <w:p w14:paraId="20A7B5E1">
      <w:pPr>
        <w:pStyle w:val="25"/>
        <w:spacing w:before="156" w:after="156"/>
        <w:rPr>
          <w:rFonts w:hint="eastAsia"/>
        </w:rPr>
      </w:pPr>
      <w:bookmarkStart w:id="142" w:name="_Toc236437665"/>
      <w:bookmarkStart w:id="143" w:name="_Toc24701"/>
      <w:r>
        <w:rPr>
          <w:rFonts w:hint="eastAsia"/>
        </w:rPr>
        <w:t>码头装卸生产系统排放量计算</w:t>
      </w:r>
      <w:bookmarkEnd w:id="142"/>
      <w:bookmarkEnd w:id="143"/>
    </w:p>
    <w:p w14:paraId="0CECDAD4">
      <w:pPr>
        <w:pStyle w:val="42"/>
        <w:rPr>
          <w:rFonts w:hint="eastAsia"/>
        </w:rPr>
      </w:pPr>
      <w:r>
        <w:rPr>
          <w:rFonts w:hint="eastAsia"/>
        </w:rPr>
        <w:tab/>
      </w:r>
      <m:oMath>
        <m:sSub>
          <m:sSubPr>
            <m:ctrlPr>
              <w:rPr>
                <w:rFonts w:hint="eastAsia" w:ascii="Cambria Math" w:hAnsi="Cambria Math" w:eastAsia="宋体" w:cs="Times New Roman"/>
                <w:iCs/>
              </w:rPr>
            </m:ctrlPr>
          </m:sSubPr>
          <m:e>
            <m:r>
              <m:rPr/>
              <w:rPr>
                <w:rFonts w:ascii="Cambria Math" w:hAnsi="Cambria Math" w:eastAsia="宋体" w:cs="Times New Roman"/>
              </w:rPr>
              <m:t>E</m:t>
            </m:r>
            <m:ctrlPr>
              <w:rPr>
                <w:rFonts w:hint="eastAsia" w:ascii="Cambria Math" w:hAnsi="Cambria Math" w:eastAsia="宋体" w:cs="Times New Roman"/>
                <w:iCs/>
              </w:rPr>
            </m:ctrlPr>
          </m:e>
          <m:sub>
            <m:r>
              <m:rPr>
                <m:sty m:val="p"/>
              </m:rPr>
              <w:rPr>
                <w:rFonts w:hint="eastAsia" w:ascii="Cambria Math" w:hAnsi="Cambria Math" w:eastAsia="宋体" w:cs="Times New Roman"/>
              </w:rPr>
              <m:t>装卸生产</m:t>
            </m:r>
            <m:ctrlPr>
              <w:rPr>
                <w:rFonts w:hint="eastAsia" w:ascii="Cambria Math" w:hAnsi="Cambria Math" w:eastAsia="宋体" w:cs="Times New Roman"/>
                <w:iCs/>
              </w:rPr>
            </m:ctrlPr>
          </m:sub>
        </m:sSub>
        <m:r>
          <m:rPr/>
          <w:rPr>
            <w:rFonts w:ascii="Cambria Math" w:hAnsi="Cambria Math"/>
          </w:rPr>
          <m:t>=</m:t>
        </m:r>
        <m:d>
          <m:dPr>
            <m:ctrlPr>
              <w:rPr>
                <w:rFonts w:ascii="Cambria Math" w:hAnsi="Cambria Math"/>
              </w:rPr>
            </m:ctrlPr>
          </m:dPr>
          <m:e>
            <m:r>
              <m:rPr/>
              <w:rPr>
                <w:rFonts w:ascii="Cambria Math" w:hAnsi="Cambria Math"/>
              </w:rPr>
              <m:t>A</m:t>
            </m:r>
            <m:sSub>
              <m:sSubPr>
                <m:ctrlPr>
                  <w:rPr>
                    <w:rFonts w:ascii="Cambria Math" w:hAnsi="Cambria Math"/>
                  </w:rPr>
                </m:ctrlPr>
              </m:sSubPr>
              <m:e>
                <m:r>
                  <m:rPr/>
                  <w:rPr>
                    <w:rFonts w:ascii="Cambria Math" w:hAnsi="Cambria Math"/>
                  </w:rPr>
                  <m:t>D</m:t>
                </m:r>
                <m:ctrlPr>
                  <w:rPr>
                    <w:rFonts w:ascii="Cambria Math" w:hAnsi="Cambria Math"/>
                  </w:rPr>
                </m:ctrlPr>
              </m:e>
              <m:sub>
                <m:r>
                  <m:rPr>
                    <m:nor/>
                    <m:sty m:val="p"/>
                  </m:rPr>
                  <w:rPr>
                    <w:b w:val="0"/>
                    <w:i w:val="0"/>
                  </w:rPr>
                  <m:t>总电</m:t>
                </m:r>
                <m:ctrlPr>
                  <w:rPr>
                    <w:rFonts w:ascii="Cambria Math" w:hAnsi="Cambria Math"/>
                  </w:rPr>
                </m:ctrlPr>
              </m:sub>
            </m:sSub>
            <m:r>
              <m:rPr/>
              <w:rPr>
                <w:rFonts w:ascii="Cambria Math" w:hAnsi="Cambria Math"/>
              </w:rPr>
              <m:t>−A</m:t>
            </m:r>
            <m:sSub>
              <m:sSubPr>
                <m:ctrlPr>
                  <w:rPr>
                    <w:rFonts w:ascii="Cambria Math" w:hAnsi="Cambria Math"/>
                  </w:rPr>
                </m:ctrlPr>
              </m:sSubPr>
              <m:e>
                <m:r>
                  <m:rPr/>
                  <w:rPr>
                    <w:rFonts w:ascii="Cambria Math" w:hAnsi="Cambria Math"/>
                  </w:rPr>
                  <m:t>D</m:t>
                </m:r>
                <m:ctrlPr>
                  <w:rPr>
                    <w:rFonts w:ascii="Cambria Math" w:hAnsi="Cambria Math"/>
                  </w:rPr>
                </m:ctrlPr>
              </m:e>
              <m:sub>
                <m:r>
                  <m:rPr>
                    <m:nor/>
                    <m:sty m:val="p"/>
                  </m:rPr>
                  <w:rPr>
                    <w:b w:val="0"/>
                    <w:i w:val="0"/>
                  </w:rPr>
                  <m:t>岸电</m:t>
                </m:r>
                <m:ctrlPr>
                  <w:rPr>
                    <w:rFonts w:ascii="Cambria Math" w:hAnsi="Cambria Math"/>
                  </w:rPr>
                </m:ctrlPr>
              </m:sub>
            </m:sSub>
            <m:ctrlPr>
              <w:rPr>
                <w:rFonts w:ascii="Cambria Math" w:hAnsi="Cambria Math"/>
              </w:rPr>
            </m:ctrlPr>
          </m:e>
        </m:d>
        <m:r>
          <m:rPr/>
          <w:rPr>
            <w:rFonts w:ascii="Cambria Math" w:hAnsi="Cambria Math"/>
          </w:rPr>
          <m:t>×E</m:t>
        </m:r>
        <m:sSub>
          <m:sSubPr>
            <m:ctrlPr>
              <w:rPr>
                <w:rFonts w:ascii="Cambria Math" w:hAnsi="Cambria Math"/>
              </w:rPr>
            </m:ctrlPr>
          </m:sSubPr>
          <m:e>
            <m:r>
              <m:rPr/>
              <w:rPr>
                <w:rFonts w:ascii="Cambria Math" w:hAnsi="Cambria Math"/>
              </w:rPr>
              <m:t>F</m:t>
            </m:r>
            <m:ctrlPr>
              <w:rPr>
                <w:rFonts w:ascii="Cambria Math" w:hAnsi="Cambria Math"/>
              </w:rPr>
            </m:ctrlPr>
          </m:e>
          <m:sub>
            <m:r>
              <m:rPr>
                <m:nor/>
                <m:sty m:val="p"/>
              </m:rPr>
              <w:rPr>
                <w:b w:val="0"/>
                <w:i w:val="0"/>
              </w:rPr>
              <m:t>电</m:t>
            </m:r>
            <m:ctrlPr>
              <w:rPr>
                <w:rFonts w:ascii="Cambria Math" w:hAnsi="Cambria Math"/>
              </w:rPr>
            </m:ctrlPr>
          </m:sub>
        </m:sSub>
      </m:oMath>
      <w:r>
        <w:rPr>
          <w:rFonts w:hint="eastAsia" w:ascii="微软雅黑" w:hAnsi="微软雅黑" w:eastAsia="微软雅黑" w:cs="微软雅黑"/>
        </w:rPr>
        <w:tab/>
      </w:r>
      <w:r>
        <w:rPr>
          <w:rFonts w:hint="eastAsia"/>
        </w:rPr>
        <w:t>(B.</w:t>
      </w:r>
      <w:r>
        <w:rPr>
          <w:rFonts w:hint="eastAsia"/>
        </w:rPr>
        <w:fldChar w:fldCharType="begin"/>
      </w:r>
      <w:r>
        <w:rPr>
          <w:rFonts w:hint="eastAsia"/>
        </w:rPr>
        <w:instrText xml:space="preserve"> seq fulu_equation_134308113360523857 </w:instrText>
      </w:r>
      <w:r>
        <w:rPr>
          <w:rFonts w:hint="eastAsia"/>
        </w:rPr>
        <w:fldChar w:fldCharType="separate"/>
      </w:r>
      <w:r>
        <w:rPr>
          <w:rFonts w:hint="eastAsia"/>
        </w:rPr>
        <w:t>2</w:t>
      </w:r>
      <w:r>
        <w:rPr>
          <w:rFonts w:hint="eastAsia"/>
        </w:rPr>
        <w:fldChar w:fldCharType="end"/>
      </w:r>
      <w:r>
        <w:rPr>
          <w:rFonts w:hint="eastAsia"/>
        </w:rPr>
        <w:t>)</w:t>
      </w:r>
    </w:p>
    <w:p w14:paraId="45DCD1B5">
      <w:pPr>
        <w:pStyle w:val="19"/>
      </w:pPr>
      <w:r>
        <w:rPr>
          <w:rFonts w:hint="eastAsia"/>
        </w:rPr>
        <w:t>式中：</w:t>
      </w:r>
    </w:p>
    <w:p w14:paraId="4365F4AE">
      <w:pPr>
        <w:pStyle w:val="19"/>
        <w:ind w:firstLine="840" w:firstLineChars="400"/>
        <w:rPr>
          <w:rFonts w:ascii="Times New Roman"/>
        </w:rPr>
      </w:pPr>
      <w:r>
        <w:rPr>
          <w:rFonts w:ascii="Times New Roman"/>
          <w:i/>
          <w:iCs/>
        </w:rPr>
        <w:t>E</w:t>
      </w:r>
      <w:r>
        <w:rPr>
          <w:rFonts w:ascii="Times New Roman"/>
          <w:vertAlign w:val="subscript"/>
        </w:rPr>
        <w:t>装卸生产</w:t>
      </w:r>
      <w:r>
        <w:rPr>
          <w:rFonts w:ascii="Times New Roman"/>
        </w:rPr>
        <w:t>——散粮港口码头装卸生产系统的二氧化碳排放量，单位为吨二氧化碳（tCO</w:t>
      </w:r>
      <w:r>
        <w:rPr>
          <w:rFonts w:ascii="Times New Roman"/>
          <w:vertAlign w:val="subscript"/>
        </w:rPr>
        <w:t>2</w:t>
      </w:r>
      <w:r>
        <w:rPr>
          <w:rFonts w:ascii="Times New Roman"/>
        </w:rPr>
        <w:t>）；</w:t>
      </w:r>
    </w:p>
    <w:p w14:paraId="39688E94">
      <w:pPr>
        <w:pStyle w:val="19"/>
        <w:ind w:firstLine="840" w:firstLineChars="400"/>
        <w:rPr>
          <w:rFonts w:ascii="Times New Roman"/>
        </w:rPr>
      </w:pPr>
      <w:r>
        <w:rPr>
          <w:rFonts w:ascii="Times New Roman"/>
          <w:i/>
          <w:iCs/>
        </w:rPr>
        <w:t>AD</w:t>
      </w:r>
      <w:r>
        <w:rPr>
          <w:rFonts w:ascii="Times New Roman"/>
          <w:vertAlign w:val="subscript"/>
        </w:rPr>
        <w:t>总电</w:t>
      </w:r>
      <w:r>
        <w:rPr>
          <w:rFonts w:ascii="Times New Roman"/>
          <w:i/>
          <w:iCs/>
        </w:rPr>
        <w:t>—</w:t>
      </w:r>
      <w:r>
        <w:rPr>
          <w:rFonts w:ascii="Times New Roman"/>
        </w:rPr>
        <w:t>—</w:t>
      </w:r>
      <w:r>
        <w:rPr>
          <w:rFonts w:hint="eastAsia" w:ascii="Times New Roman"/>
        </w:rPr>
        <w:t>码头</w:t>
      </w:r>
      <w:r>
        <w:rPr>
          <w:rFonts w:ascii="Times New Roman"/>
        </w:rPr>
        <w:t>装卸生产系统的</w:t>
      </w:r>
      <w:r>
        <w:rPr>
          <w:rFonts w:hint="eastAsia" w:ascii="Times New Roman"/>
        </w:rPr>
        <w:t>总用电量</w:t>
      </w:r>
      <w:r>
        <w:rPr>
          <w:rFonts w:ascii="Times New Roman"/>
        </w:rPr>
        <w:t>，单位为</w:t>
      </w:r>
      <w:r>
        <w:rPr>
          <w:rFonts w:hint="eastAsia" w:ascii="Times New Roman"/>
        </w:rPr>
        <w:t>MWh</w:t>
      </w:r>
      <w:r>
        <w:rPr>
          <w:rFonts w:ascii="Times New Roman"/>
        </w:rPr>
        <w:t>；</w:t>
      </w:r>
    </w:p>
    <w:p w14:paraId="6FF0A5F4">
      <w:pPr>
        <w:pStyle w:val="19"/>
        <w:ind w:firstLine="840" w:firstLineChars="400"/>
        <w:rPr>
          <w:rFonts w:ascii="Times New Roman"/>
        </w:rPr>
      </w:pPr>
      <w:r>
        <w:rPr>
          <w:rFonts w:ascii="Times New Roman"/>
          <w:i/>
          <w:iCs/>
        </w:rPr>
        <w:t>AD</w:t>
      </w:r>
      <w:r>
        <w:rPr>
          <w:rFonts w:hint="eastAsia" w:ascii="Times New Roman"/>
          <w:vertAlign w:val="subscript"/>
        </w:rPr>
        <w:t>岸</w:t>
      </w:r>
      <w:r>
        <w:rPr>
          <w:rFonts w:ascii="Times New Roman"/>
          <w:vertAlign w:val="subscript"/>
        </w:rPr>
        <w:t>电</w:t>
      </w:r>
      <w:r>
        <w:rPr>
          <w:rFonts w:ascii="Times New Roman"/>
          <w:i/>
          <w:iCs/>
        </w:rPr>
        <w:t>—</w:t>
      </w:r>
      <w:r>
        <w:rPr>
          <w:rFonts w:ascii="Times New Roman"/>
        </w:rPr>
        <w:t>—</w:t>
      </w:r>
      <w:r>
        <w:rPr>
          <w:rFonts w:hint="eastAsia" w:ascii="Times New Roman"/>
        </w:rPr>
        <w:t>码头岸电用电量</w:t>
      </w:r>
      <w:r>
        <w:rPr>
          <w:rFonts w:ascii="Times New Roman"/>
        </w:rPr>
        <w:t>，单位为</w:t>
      </w:r>
      <w:r>
        <w:rPr>
          <w:rFonts w:hint="eastAsia" w:ascii="Times New Roman"/>
        </w:rPr>
        <w:t>MWh</w:t>
      </w:r>
      <w:r>
        <w:rPr>
          <w:rFonts w:ascii="Times New Roman"/>
        </w:rPr>
        <w:t>；</w:t>
      </w:r>
    </w:p>
    <w:p w14:paraId="0B30F340">
      <w:pPr>
        <w:pStyle w:val="19"/>
        <w:ind w:firstLine="840" w:firstLineChars="400"/>
        <w:rPr>
          <w:rFonts w:ascii="Times New Roman"/>
        </w:rPr>
      </w:pPr>
      <w:r>
        <w:rPr>
          <w:rFonts w:hint="eastAsia" w:ascii="Times New Roman"/>
          <w:i/>
          <w:iCs/>
        </w:rPr>
        <w:t>EF</w:t>
      </w:r>
      <w:r>
        <w:rPr>
          <w:rFonts w:ascii="Times New Roman"/>
          <w:vertAlign w:val="subscript"/>
        </w:rPr>
        <w:t>电</w:t>
      </w:r>
      <w:r>
        <w:rPr>
          <w:rFonts w:ascii="Times New Roman"/>
          <w:i/>
          <w:iCs/>
        </w:rPr>
        <w:t>—</w:t>
      </w:r>
      <w:r>
        <w:rPr>
          <w:rFonts w:ascii="Times New Roman"/>
        </w:rPr>
        <w:t>—</w:t>
      </w:r>
      <w:r>
        <w:rPr>
          <w:rFonts w:hint="eastAsia" w:ascii="Times New Roman"/>
        </w:rPr>
        <w:t>电力排放因子</w:t>
      </w:r>
      <w:r>
        <w:rPr>
          <w:rFonts w:ascii="Times New Roman"/>
        </w:rPr>
        <w:t>，单位为</w:t>
      </w:r>
      <w:r>
        <w:rPr>
          <w:rFonts w:hint="eastAsia" w:ascii="Times New Roman"/>
        </w:rPr>
        <w:t>tCO</w:t>
      </w:r>
      <w:r>
        <w:rPr>
          <w:rFonts w:hint="eastAsia" w:ascii="Times New Roman"/>
          <w:vertAlign w:val="subscript"/>
        </w:rPr>
        <w:t>2</w:t>
      </w:r>
      <w:r>
        <w:rPr>
          <w:rFonts w:hint="eastAsia" w:ascii="Times New Roman"/>
        </w:rPr>
        <w:t>/MWh，采用生态环境部最新发布的</w:t>
      </w:r>
      <w:r>
        <w:rPr>
          <w:rFonts w:ascii="Times New Roman"/>
        </w:rPr>
        <w:t>全国电力平均二氧化碳排放因子</w:t>
      </w:r>
      <w:r>
        <w:rPr>
          <w:rFonts w:hint="eastAsia" w:ascii="Times New Roman"/>
        </w:rPr>
        <w:t>。</w:t>
      </w:r>
    </w:p>
    <w:p w14:paraId="6CC7AB62">
      <w:pPr>
        <w:pStyle w:val="25"/>
        <w:spacing w:before="156" w:after="156"/>
        <w:rPr>
          <w:rFonts w:hint="eastAsia"/>
        </w:rPr>
      </w:pPr>
      <w:bookmarkStart w:id="144" w:name="_Toc236437666"/>
      <w:bookmarkStart w:id="145" w:name="_Toc28753"/>
      <w:r>
        <w:rPr>
          <w:rFonts w:hint="eastAsia"/>
        </w:rPr>
        <w:t>散粮仓储系统排放量计算</w:t>
      </w:r>
      <w:bookmarkEnd w:id="144"/>
      <w:bookmarkEnd w:id="145"/>
    </w:p>
    <w:p w14:paraId="59F1D1D1">
      <w:pPr>
        <w:pStyle w:val="42"/>
        <w:rPr>
          <w:rFonts w:hint="eastAsia"/>
        </w:rPr>
      </w:pPr>
      <w:r>
        <w:rPr>
          <w:rFonts w:hint="eastAsia"/>
        </w:rPr>
        <w:tab/>
      </w:r>
      <m:oMath>
        <m:sSub>
          <m:sSubPr>
            <m:ctrlPr>
              <w:rPr>
                <w:rFonts w:hint="eastAsia" w:ascii="Cambria Math" w:hAnsi="Cambria Math" w:eastAsia="宋体" w:cs="Times New Roman"/>
                <w:i/>
                <w:iCs/>
              </w:rPr>
            </m:ctrlPr>
          </m:sSubPr>
          <m:e>
            <m:r>
              <m:rPr/>
              <w:rPr>
                <w:rFonts w:ascii="Cambria Math" w:hAnsi="Cambria Math" w:eastAsia="宋体" w:cs="Times New Roman"/>
              </w:rPr>
              <m:t>E</m:t>
            </m:r>
            <m:ctrlPr>
              <w:rPr>
                <w:rFonts w:hint="eastAsia" w:ascii="Cambria Math" w:hAnsi="Cambria Math" w:eastAsia="宋体" w:cs="Times New Roman"/>
                <w:i/>
                <w:iCs/>
              </w:rPr>
            </m:ctrlPr>
          </m:e>
          <m:sub>
            <m:r>
              <m:rPr>
                <m:sty m:val="p"/>
              </m:rPr>
              <w:rPr>
                <w:rFonts w:hint="eastAsia" w:ascii="Cambria Math" w:hAnsi="Cambria Math" w:eastAsia="宋体" w:cs="Times New Roman"/>
              </w:rPr>
              <m:t>散粮仓储</m:t>
            </m:r>
            <m:ctrlPr>
              <w:rPr>
                <w:rFonts w:hint="eastAsia" w:ascii="Cambria Math" w:hAnsi="Cambria Math" w:eastAsia="宋体" w:cs="Times New Roman"/>
                <w:i/>
                <w:iCs/>
              </w:rPr>
            </m:ctrlPr>
          </m:sub>
        </m:sSub>
        <m:r>
          <m:rPr/>
          <w:rPr>
            <w:rFonts w:ascii="Cambria Math" w:hAnsi="Cambria Math" w:eastAsia="宋体" w:cs="Times New Roman"/>
          </w:rPr>
          <m:t>=A</m:t>
        </m:r>
        <m:sSub>
          <m:sSubPr>
            <m:ctrlPr>
              <w:rPr>
                <w:rFonts w:hint="eastAsia" w:ascii="Cambria Math" w:hAnsi="Cambria Math" w:eastAsia="宋体" w:cs="Times New Roman"/>
                <w:iCs/>
              </w:rPr>
            </m:ctrlPr>
          </m:sSubPr>
          <m:e>
            <m:r>
              <m:rPr>
                <m:sty m:val="p"/>
              </m:rPr>
              <w:rPr>
                <w:rFonts w:hint="eastAsia" w:ascii="Cambria Math" w:hAnsi="Cambria Math" w:eastAsia="宋体" w:cs="Times New Roman"/>
              </w:rPr>
              <m:t>D</m:t>
            </m:r>
            <m:ctrlPr>
              <w:rPr>
                <w:rFonts w:hint="eastAsia" w:ascii="Cambria Math" w:hAnsi="Cambria Math" w:eastAsia="宋体" w:cs="Times New Roman"/>
                <w:iCs/>
              </w:rPr>
            </m:ctrlPr>
          </m:e>
          <m:sub>
            <m:r>
              <m:rPr>
                <m:nor/>
                <m:sty m:val="p"/>
              </m:rPr>
              <w:rPr>
                <w:rFonts w:hint="eastAsia" w:ascii="Cambria Math" w:hAnsi="Cambria Math" w:eastAsia="宋体" w:cs="Times New Roman"/>
                <w:b w:val="0"/>
                <w:i w:val="0"/>
                <w:iCs/>
              </w:rPr>
              <m:t>仓储用电</m:t>
            </m:r>
            <m:ctrlPr>
              <w:rPr>
                <w:rFonts w:hint="eastAsia" w:ascii="Cambria Math" w:hAnsi="Cambria Math" w:eastAsia="宋体" w:cs="Times New Roman"/>
                <w:iCs/>
              </w:rPr>
            </m:ctrlPr>
          </m:sub>
        </m:sSub>
        <m:r>
          <m:rPr/>
          <w:rPr>
            <w:rFonts w:ascii="Cambria Math" w:hAnsi="Cambria Math" w:eastAsia="宋体" w:cs="Times New Roman"/>
          </w:rPr>
          <m:t>×E</m:t>
        </m:r>
        <m:sSub>
          <m:sSubPr>
            <m:ctrlPr>
              <w:rPr>
                <w:rFonts w:hint="eastAsia" w:ascii="Cambria Math" w:hAnsi="Cambria Math" w:eastAsia="宋体" w:cs="Times New Roman"/>
                <w:i/>
                <w:iCs/>
              </w:rPr>
            </m:ctrlPr>
          </m:sSubPr>
          <m:e>
            <m:r>
              <m:rPr/>
              <w:rPr>
                <w:rFonts w:ascii="Cambria Math" w:hAnsi="Cambria Math" w:eastAsia="宋体" w:cs="Times New Roman"/>
              </w:rPr>
              <m:t>F</m:t>
            </m:r>
            <m:ctrlPr>
              <w:rPr>
                <w:rFonts w:hint="eastAsia" w:ascii="Cambria Math" w:hAnsi="Cambria Math" w:eastAsia="宋体" w:cs="Times New Roman"/>
                <w:i/>
                <w:iCs/>
              </w:rPr>
            </m:ctrlPr>
          </m:e>
          <m:sub>
            <m:r>
              <m:rPr>
                <m:nor/>
                <m:sty m:val="p"/>
              </m:rPr>
              <w:rPr>
                <w:rFonts w:hint="eastAsia" w:ascii="Cambria Math" w:hAnsi="Cambria Math" w:eastAsia="宋体" w:cs="Times New Roman"/>
                <w:b w:val="0"/>
                <w:i w:val="0"/>
                <w:iCs/>
              </w:rPr>
              <m:t>电</m:t>
            </m:r>
            <m:ctrlPr>
              <w:rPr>
                <w:rFonts w:hint="eastAsia" w:ascii="Cambria Math" w:hAnsi="Cambria Math" w:eastAsia="宋体" w:cs="Times New Roman"/>
                <w:i/>
                <w:iCs/>
              </w:rPr>
            </m:ctrlPr>
          </m:sub>
        </m:sSub>
        <m:r>
          <m:rPr>
            <m:sty m:val="p"/>
          </m:rPr>
          <w:rPr>
            <w:rFonts w:hint="eastAsia" w:eastAsia="宋体" w:cs="Times New Roman"/>
          </w:rPr>
          <m:t xml:space="preserve"> </m:t>
        </m:r>
      </m:oMath>
      <w:r>
        <w:rPr>
          <w:rFonts w:hint="eastAsia" w:ascii="微软雅黑" w:hAnsi="微软雅黑" w:eastAsia="微软雅黑" w:cs="微软雅黑"/>
        </w:rPr>
        <w:tab/>
      </w:r>
      <w:r>
        <w:rPr>
          <w:rFonts w:hint="eastAsia"/>
        </w:rPr>
        <w:t>(B.</w:t>
      </w:r>
      <w:r>
        <w:rPr>
          <w:rFonts w:hint="eastAsia"/>
        </w:rPr>
        <w:fldChar w:fldCharType="begin"/>
      </w:r>
      <w:r>
        <w:rPr>
          <w:rFonts w:hint="eastAsia"/>
        </w:rPr>
        <w:instrText xml:space="preserve">  seq fulu_equation_134308113360523857  </w:instrText>
      </w:r>
      <w:r>
        <w:rPr>
          <w:rFonts w:hint="eastAsia"/>
        </w:rPr>
        <w:fldChar w:fldCharType="separate"/>
      </w:r>
      <w:r>
        <w:rPr>
          <w:rFonts w:hint="eastAsia"/>
        </w:rPr>
        <w:t>3</w:t>
      </w:r>
      <w:r>
        <w:rPr>
          <w:rFonts w:hint="eastAsia"/>
        </w:rPr>
        <w:fldChar w:fldCharType="end"/>
      </w:r>
      <w:r>
        <w:rPr>
          <w:rFonts w:hint="eastAsia"/>
        </w:rPr>
        <w:t>)</w:t>
      </w:r>
    </w:p>
    <w:p w14:paraId="02C079D7">
      <w:pPr>
        <w:pStyle w:val="19"/>
      </w:pPr>
      <w:r>
        <w:rPr>
          <w:rFonts w:hint="eastAsia"/>
        </w:rPr>
        <w:t>式中：</w:t>
      </w:r>
    </w:p>
    <w:p w14:paraId="2D0EEE38">
      <w:pPr>
        <w:pStyle w:val="19"/>
        <w:ind w:firstLine="840" w:firstLineChars="400"/>
        <w:rPr>
          <w:rFonts w:ascii="Times New Roman"/>
        </w:rPr>
      </w:pPr>
      <w:r>
        <w:rPr>
          <w:rFonts w:ascii="Times New Roman"/>
          <w:i/>
          <w:iCs/>
        </w:rPr>
        <w:t>E</w:t>
      </w:r>
      <w:r>
        <w:rPr>
          <w:rFonts w:hint="eastAsia" w:ascii="Times New Roman"/>
          <w:vertAlign w:val="subscript"/>
        </w:rPr>
        <w:t>散粮仓储</w:t>
      </w:r>
      <w:r>
        <w:rPr>
          <w:rFonts w:ascii="Times New Roman"/>
        </w:rPr>
        <w:t>——散粮港口</w:t>
      </w:r>
      <w:r>
        <w:rPr>
          <w:rFonts w:hint="eastAsia" w:ascii="Times New Roman"/>
        </w:rPr>
        <w:t>仓储</w:t>
      </w:r>
      <w:r>
        <w:rPr>
          <w:rFonts w:ascii="Times New Roman"/>
        </w:rPr>
        <w:t>系统的二氧化碳排放量，单位为吨二氧化碳（tCO</w:t>
      </w:r>
      <w:r>
        <w:rPr>
          <w:rFonts w:ascii="Times New Roman"/>
          <w:vertAlign w:val="subscript"/>
        </w:rPr>
        <w:t>2</w:t>
      </w:r>
      <w:r>
        <w:rPr>
          <w:rFonts w:ascii="Times New Roman"/>
        </w:rPr>
        <w:t>）；</w:t>
      </w:r>
    </w:p>
    <w:p w14:paraId="30D5AE44">
      <w:pPr>
        <w:pStyle w:val="19"/>
        <w:ind w:firstLine="840" w:firstLineChars="400"/>
        <w:rPr>
          <w:rFonts w:ascii="Times New Roman"/>
        </w:rPr>
      </w:pPr>
      <w:r>
        <w:rPr>
          <w:rFonts w:ascii="Times New Roman"/>
          <w:i/>
          <w:iCs/>
        </w:rPr>
        <w:t>AD</w:t>
      </w:r>
      <w:r>
        <w:rPr>
          <w:rFonts w:hint="eastAsia" w:ascii="Times New Roman"/>
          <w:i/>
          <w:iCs/>
          <w:vertAlign w:val="subscript"/>
        </w:rPr>
        <w:t>仓储用</w:t>
      </w:r>
      <w:r>
        <w:rPr>
          <w:rFonts w:ascii="Times New Roman"/>
          <w:i/>
          <w:iCs/>
          <w:vertAlign w:val="subscript"/>
        </w:rPr>
        <w:t>电</w:t>
      </w:r>
      <w:r>
        <w:rPr>
          <w:rFonts w:ascii="Times New Roman"/>
          <w:i/>
          <w:iCs/>
        </w:rPr>
        <w:t>—</w:t>
      </w:r>
      <w:r>
        <w:rPr>
          <w:rFonts w:ascii="Times New Roman"/>
        </w:rPr>
        <w:t>—</w:t>
      </w:r>
      <w:r>
        <w:rPr>
          <w:rFonts w:hint="eastAsia" w:ascii="Times New Roman"/>
        </w:rPr>
        <w:t>仓储</w:t>
      </w:r>
      <w:r>
        <w:rPr>
          <w:rFonts w:ascii="Times New Roman"/>
        </w:rPr>
        <w:t>系统的</w:t>
      </w:r>
      <w:r>
        <w:rPr>
          <w:rFonts w:hint="eastAsia" w:ascii="Times New Roman"/>
        </w:rPr>
        <w:t>总用电量</w:t>
      </w:r>
      <w:r>
        <w:rPr>
          <w:rFonts w:ascii="Times New Roman"/>
        </w:rPr>
        <w:t>，单位为</w:t>
      </w:r>
      <w:r>
        <w:rPr>
          <w:rFonts w:hint="eastAsia" w:ascii="Times New Roman"/>
        </w:rPr>
        <w:t>MWh</w:t>
      </w:r>
      <w:r>
        <w:rPr>
          <w:rFonts w:ascii="Times New Roman"/>
        </w:rPr>
        <w:t>；</w:t>
      </w:r>
    </w:p>
    <w:p w14:paraId="00997380">
      <w:pPr>
        <w:pStyle w:val="19"/>
        <w:ind w:firstLine="840" w:firstLineChars="400"/>
        <w:rPr>
          <w:rFonts w:ascii="Times New Roman"/>
        </w:rPr>
      </w:pPr>
      <w:r>
        <w:rPr>
          <w:rFonts w:hint="eastAsia" w:ascii="Times New Roman"/>
          <w:i/>
          <w:iCs/>
        </w:rPr>
        <w:t>EF</w:t>
      </w:r>
      <w:r>
        <w:rPr>
          <w:rFonts w:ascii="Times New Roman"/>
          <w:vertAlign w:val="subscript"/>
        </w:rPr>
        <w:t>电</w:t>
      </w:r>
      <w:r>
        <w:rPr>
          <w:rFonts w:ascii="Times New Roman"/>
          <w:i/>
          <w:iCs/>
        </w:rPr>
        <w:t>—</w:t>
      </w:r>
      <w:r>
        <w:rPr>
          <w:rFonts w:ascii="Times New Roman"/>
        </w:rPr>
        <w:t>—</w:t>
      </w:r>
      <w:r>
        <w:rPr>
          <w:rFonts w:hint="eastAsia" w:ascii="Times New Roman"/>
        </w:rPr>
        <w:t>电力排放因子</w:t>
      </w:r>
      <w:r>
        <w:rPr>
          <w:rFonts w:ascii="Times New Roman"/>
        </w:rPr>
        <w:t>，单位为</w:t>
      </w:r>
      <w:r>
        <w:rPr>
          <w:rFonts w:hint="eastAsia" w:ascii="Times New Roman"/>
        </w:rPr>
        <w:t>tCO</w:t>
      </w:r>
      <w:r>
        <w:rPr>
          <w:rFonts w:hint="eastAsia" w:ascii="Times New Roman"/>
          <w:vertAlign w:val="subscript"/>
        </w:rPr>
        <w:t>2</w:t>
      </w:r>
      <w:r>
        <w:rPr>
          <w:rFonts w:hint="eastAsia" w:ascii="Times New Roman"/>
        </w:rPr>
        <w:t>/MWh，采用生态环境部最新发布的</w:t>
      </w:r>
      <w:r>
        <w:rPr>
          <w:rFonts w:ascii="Times New Roman"/>
        </w:rPr>
        <w:t>全国电力平均二氧化碳排放因子</w:t>
      </w:r>
      <w:r>
        <w:rPr>
          <w:rFonts w:hint="eastAsia" w:ascii="Times New Roman"/>
        </w:rPr>
        <w:t>。</w:t>
      </w:r>
    </w:p>
    <w:p w14:paraId="50FB9502">
      <w:pPr>
        <w:pStyle w:val="25"/>
        <w:spacing w:before="156" w:after="156"/>
        <w:rPr>
          <w:rFonts w:hint="eastAsia"/>
        </w:rPr>
      </w:pPr>
      <w:bookmarkStart w:id="146" w:name="_Toc5067"/>
      <w:bookmarkStart w:id="147" w:name="_Toc236437667"/>
      <w:r>
        <w:rPr>
          <w:rFonts w:hint="eastAsia"/>
        </w:rPr>
        <w:t>辅助生产系统排放量计算</w:t>
      </w:r>
      <w:bookmarkEnd w:id="146"/>
      <w:bookmarkEnd w:id="147"/>
    </w:p>
    <w:p w14:paraId="3A442C8A">
      <w:pPr>
        <w:pStyle w:val="42"/>
        <w:rPr>
          <w:rFonts w:hint="eastAsia"/>
        </w:rPr>
      </w:pPr>
      <w:r>
        <w:rPr>
          <w:rFonts w:hint="eastAsia"/>
        </w:rPr>
        <w:tab/>
      </w:r>
      <m:oMath>
        <m:sSub>
          <m:sSubPr>
            <m:ctrlPr>
              <w:rPr>
                <w:rFonts w:ascii="Cambria Math" w:hAnsi="Cambria Math"/>
              </w:rPr>
            </m:ctrlPr>
          </m:sSubPr>
          <m:e>
            <m:r>
              <m:rPr/>
              <w:rPr>
                <w:rFonts w:ascii="Cambria Math" w:hAnsi="Cambria Math"/>
              </w:rPr>
              <m:t>E</m:t>
            </m:r>
            <m:ctrlPr>
              <w:rPr>
                <w:rFonts w:ascii="Cambria Math" w:hAnsi="Cambria Math"/>
              </w:rPr>
            </m:ctrlPr>
          </m:e>
          <m:sub>
            <m:r>
              <m:rPr>
                <m:nor/>
                <m:sty m:val="p"/>
              </m:rPr>
              <w:rPr>
                <w:b w:val="0"/>
                <w:i w:val="0"/>
              </w:rPr>
              <m:t>辅助生产</m:t>
            </m:r>
            <m:ctrlPr>
              <w:rPr>
                <w:rFonts w:ascii="Cambria Math" w:hAnsi="Cambria Math"/>
              </w:rPr>
            </m:ctrlPr>
          </m:sub>
        </m:sSub>
        <m:r>
          <m:rPr/>
          <w:rPr>
            <w:rFonts w:ascii="Cambria Math" w:hAnsi="Cambria Math"/>
          </w:rPr>
          <m:t>=A</m:t>
        </m:r>
        <m:sSub>
          <m:sSubPr>
            <m:ctrlPr>
              <w:rPr>
                <w:rFonts w:ascii="Cambria Math" w:hAnsi="Cambria Math"/>
              </w:rPr>
            </m:ctrlPr>
          </m:sSubPr>
          <m:e>
            <m:r>
              <m:rPr/>
              <w:rPr>
                <w:rFonts w:ascii="Cambria Math" w:hAnsi="Cambria Math"/>
              </w:rPr>
              <m:t>D</m:t>
            </m:r>
            <m:ctrlPr>
              <w:rPr>
                <w:rFonts w:ascii="Cambria Math" w:hAnsi="Cambria Math"/>
              </w:rPr>
            </m:ctrlPr>
          </m:e>
          <m:sub>
            <m:r>
              <m:rPr>
                <m:nor/>
                <m:sty m:val="p"/>
              </m:rPr>
              <w:rPr>
                <w:rFonts w:hint="eastAsia"/>
                <w:b w:val="0"/>
                <w:i w:val="0"/>
              </w:rPr>
              <m:t>辅助</m:t>
            </m:r>
            <m:r>
              <m:rPr>
                <m:nor/>
                <m:sty m:val="p"/>
              </m:rPr>
              <w:rPr>
                <w:rFonts w:hint="eastAsia" w:ascii="Cambria Math"/>
                <w:b w:val="0"/>
                <w:i w:val="0"/>
              </w:rPr>
              <m:t>用电</m:t>
            </m:r>
            <m:ctrlPr>
              <w:rPr>
                <w:rFonts w:ascii="Cambria Math" w:hAnsi="Cambria Math"/>
              </w:rPr>
            </m:ctrlPr>
          </m:sub>
        </m:sSub>
        <m:r>
          <m:rPr/>
          <w:rPr>
            <w:rFonts w:ascii="Cambria Math" w:hAnsi="Cambria Math"/>
          </w:rPr>
          <m:t>×E</m:t>
        </m:r>
        <m:sSub>
          <m:sSubPr>
            <m:ctrlPr>
              <w:rPr>
                <w:rFonts w:ascii="Cambria Math" w:hAnsi="Cambria Math"/>
              </w:rPr>
            </m:ctrlPr>
          </m:sSubPr>
          <m:e>
            <m:r>
              <m:rPr/>
              <w:rPr>
                <w:rFonts w:ascii="Cambria Math" w:hAnsi="Cambria Math"/>
              </w:rPr>
              <m:t>F</m:t>
            </m:r>
            <m:ctrlPr>
              <w:rPr>
                <w:rFonts w:ascii="Cambria Math" w:hAnsi="Cambria Math"/>
              </w:rPr>
            </m:ctrlPr>
          </m:e>
          <m:sub>
            <m:r>
              <m:rPr>
                <m:nor/>
                <m:sty m:val="p"/>
              </m:rPr>
              <w:rPr>
                <w:b w:val="0"/>
                <w:i w:val="0"/>
              </w:rPr>
              <m:t>电</m:t>
            </m:r>
            <m:ctrlPr>
              <w:rPr>
                <w:rFonts w:ascii="Cambria Math" w:hAnsi="Cambria Math"/>
              </w:rPr>
            </m:ctrlPr>
          </m:sub>
        </m:sSub>
        <m:r>
          <m:rPr/>
          <w:rPr>
            <w:rFonts w:ascii="Cambria Math" w:hAnsi="Cambria Math"/>
          </w:rPr>
          <m:t>+A</m:t>
        </m:r>
        <m:sSub>
          <m:sSubPr>
            <m:ctrlPr>
              <w:rPr>
                <w:rFonts w:ascii="Cambria Math" w:hAnsi="Cambria Math"/>
              </w:rPr>
            </m:ctrlPr>
          </m:sSubPr>
          <m:e>
            <m:r>
              <m:rPr/>
              <w:rPr>
                <w:rFonts w:ascii="Cambria Math" w:hAnsi="Cambria Math"/>
              </w:rPr>
              <m:t>D</m:t>
            </m:r>
            <m:ctrlPr>
              <w:rPr>
                <w:rFonts w:ascii="Cambria Math" w:hAnsi="Cambria Math"/>
              </w:rPr>
            </m:ctrlPr>
          </m:e>
          <m:sub>
            <m:r>
              <m:rPr>
                <m:nor/>
                <m:sty m:val="p"/>
              </m:rPr>
              <w:rPr>
                <w:b w:val="0"/>
                <w:i w:val="0"/>
              </w:rPr>
              <m:t>天然气</m:t>
            </m:r>
            <m:ctrlPr>
              <w:rPr>
                <w:rFonts w:ascii="Cambria Math" w:hAnsi="Cambria Math"/>
              </w:rPr>
            </m:ctrlPr>
          </m:sub>
        </m:sSub>
        <m:r>
          <m:rPr/>
          <w:rPr>
            <w:rFonts w:ascii="Cambria Math" w:hAnsi="Cambria Math"/>
          </w:rPr>
          <m:t>×E</m:t>
        </m:r>
        <m:sSub>
          <m:sSubPr>
            <m:ctrlPr>
              <w:rPr>
                <w:rFonts w:ascii="Cambria Math" w:hAnsi="Cambria Math"/>
              </w:rPr>
            </m:ctrlPr>
          </m:sSubPr>
          <m:e>
            <m:r>
              <m:rPr/>
              <w:rPr>
                <w:rFonts w:ascii="Cambria Math" w:hAnsi="Cambria Math"/>
              </w:rPr>
              <m:t>F</m:t>
            </m:r>
            <m:ctrlPr>
              <w:rPr>
                <w:rFonts w:ascii="Cambria Math" w:hAnsi="Cambria Math"/>
              </w:rPr>
            </m:ctrlPr>
          </m:e>
          <m:sub>
            <m:r>
              <m:rPr>
                <m:nor/>
                <m:sty m:val="p"/>
              </m:rPr>
              <w:rPr>
                <w:b w:val="0"/>
                <w:i w:val="0"/>
              </w:rPr>
              <m:t>天然气</m:t>
            </m:r>
            <m:ctrlPr>
              <w:rPr>
                <w:rFonts w:ascii="Cambria Math" w:hAnsi="Cambria Math"/>
              </w:rPr>
            </m:ctrlPr>
          </m:sub>
        </m:sSub>
      </m:oMath>
      <w:r>
        <w:rPr>
          <w:rFonts w:hint="eastAsia" w:ascii="微软雅黑" w:hAnsi="微软雅黑" w:eastAsia="微软雅黑" w:cs="微软雅黑"/>
        </w:rPr>
        <w:tab/>
      </w:r>
      <w:r>
        <w:rPr>
          <w:rFonts w:hint="eastAsia"/>
        </w:rPr>
        <w:t>(B.</w:t>
      </w:r>
      <w:r>
        <w:rPr>
          <w:rFonts w:hint="eastAsia"/>
        </w:rPr>
        <w:fldChar w:fldCharType="begin"/>
      </w:r>
      <w:r>
        <w:rPr>
          <w:rFonts w:hint="eastAsia"/>
        </w:rPr>
        <w:instrText xml:space="preserve">  seq fulu_equation_134308113360523857  </w:instrText>
      </w:r>
      <w:r>
        <w:rPr>
          <w:rFonts w:hint="eastAsia"/>
        </w:rPr>
        <w:fldChar w:fldCharType="separate"/>
      </w:r>
      <w:r>
        <w:rPr>
          <w:rFonts w:hint="eastAsia"/>
        </w:rPr>
        <w:t>4</w:t>
      </w:r>
      <w:r>
        <w:rPr>
          <w:rFonts w:hint="eastAsia"/>
        </w:rPr>
        <w:fldChar w:fldCharType="end"/>
      </w:r>
      <w:r>
        <w:rPr>
          <w:rFonts w:hint="eastAsia"/>
        </w:rPr>
        <w:t>)</w:t>
      </w:r>
    </w:p>
    <w:p w14:paraId="43096FDA">
      <w:pPr>
        <w:pStyle w:val="19"/>
      </w:pPr>
      <w:r>
        <w:rPr>
          <w:rFonts w:hint="eastAsia"/>
        </w:rPr>
        <w:t>式中：</w:t>
      </w:r>
    </w:p>
    <w:p w14:paraId="5C14E70E">
      <w:pPr>
        <w:pStyle w:val="19"/>
        <w:ind w:firstLine="840" w:firstLineChars="400"/>
        <w:rPr>
          <w:rFonts w:ascii="Times New Roman"/>
        </w:rPr>
      </w:pPr>
      <w:r>
        <w:rPr>
          <w:rFonts w:ascii="Times New Roman"/>
          <w:i/>
          <w:iCs/>
        </w:rPr>
        <w:t>E</w:t>
      </w:r>
      <w:r>
        <w:rPr>
          <w:rFonts w:hint="eastAsia" w:ascii="Times New Roman"/>
          <w:vertAlign w:val="subscript"/>
        </w:rPr>
        <w:t>辅助生产</w:t>
      </w:r>
      <w:r>
        <w:rPr>
          <w:rFonts w:ascii="Times New Roman"/>
        </w:rPr>
        <w:t>——散粮港口</w:t>
      </w:r>
      <w:r>
        <w:rPr>
          <w:rFonts w:hint="eastAsia" w:ascii="Times New Roman"/>
        </w:rPr>
        <w:t>辅助生产</w:t>
      </w:r>
      <w:r>
        <w:rPr>
          <w:rFonts w:ascii="Times New Roman"/>
        </w:rPr>
        <w:t>系统的二氧化碳排放量，单位为吨二氧化碳（tCO</w:t>
      </w:r>
      <w:r>
        <w:rPr>
          <w:rFonts w:ascii="Times New Roman"/>
          <w:vertAlign w:val="subscript"/>
        </w:rPr>
        <w:t>2</w:t>
      </w:r>
      <w:r>
        <w:rPr>
          <w:rFonts w:ascii="Times New Roman"/>
        </w:rPr>
        <w:t>）；</w:t>
      </w:r>
    </w:p>
    <w:p w14:paraId="28F0F8FA">
      <w:pPr>
        <w:pStyle w:val="19"/>
        <w:ind w:firstLine="840" w:firstLineChars="400"/>
        <w:rPr>
          <w:rFonts w:ascii="Times New Roman"/>
        </w:rPr>
      </w:pPr>
      <w:r>
        <w:rPr>
          <w:rFonts w:ascii="Times New Roman"/>
          <w:i/>
          <w:iCs/>
        </w:rPr>
        <w:t>AD</w:t>
      </w:r>
      <w:r>
        <w:rPr>
          <w:rFonts w:hint="eastAsia" w:ascii="Times New Roman"/>
          <w:i/>
          <w:iCs/>
          <w:vertAlign w:val="subscript"/>
        </w:rPr>
        <w:t>辅助用</w:t>
      </w:r>
      <w:r>
        <w:rPr>
          <w:rFonts w:ascii="Times New Roman"/>
          <w:i/>
          <w:iCs/>
          <w:vertAlign w:val="subscript"/>
        </w:rPr>
        <w:t>电</w:t>
      </w:r>
      <w:r>
        <w:rPr>
          <w:rFonts w:ascii="Times New Roman"/>
          <w:i/>
          <w:iCs/>
        </w:rPr>
        <w:t>—</w:t>
      </w:r>
      <w:r>
        <w:rPr>
          <w:rFonts w:ascii="Times New Roman"/>
        </w:rPr>
        <w:t>—</w:t>
      </w:r>
      <w:r>
        <w:rPr>
          <w:rFonts w:hint="eastAsia" w:ascii="Times New Roman"/>
        </w:rPr>
        <w:t>辅助生产</w:t>
      </w:r>
      <w:r>
        <w:rPr>
          <w:rFonts w:ascii="Times New Roman"/>
        </w:rPr>
        <w:t>系统的</w:t>
      </w:r>
      <w:r>
        <w:rPr>
          <w:rFonts w:hint="eastAsia" w:ascii="Times New Roman"/>
        </w:rPr>
        <w:t>总用电量</w:t>
      </w:r>
      <w:r>
        <w:rPr>
          <w:rFonts w:ascii="Times New Roman"/>
        </w:rPr>
        <w:t>，单位为</w:t>
      </w:r>
      <w:r>
        <w:rPr>
          <w:rFonts w:hint="eastAsia" w:ascii="Times New Roman"/>
        </w:rPr>
        <w:t>MWh</w:t>
      </w:r>
      <w:r>
        <w:rPr>
          <w:rFonts w:ascii="Times New Roman"/>
        </w:rPr>
        <w:t>；</w:t>
      </w:r>
    </w:p>
    <w:p w14:paraId="3F8C5015">
      <w:pPr>
        <w:pStyle w:val="19"/>
        <w:ind w:firstLine="840" w:firstLineChars="400"/>
        <w:rPr>
          <w:rFonts w:ascii="Times New Roman"/>
        </w:rPr>
      </w:pPr>
      <w:r>
        <w:rPr>
          <w:rFonts w:hint="eastAsia" w:ascii="Times New Roman"/>
          <w:i/>
          <w:iCs/>
        </w:rPr>
        <w:t>EF</w:t>
      </w:r>
      <w:r>
        <w:rPr>
          <w:rFonts w:ascii="Times New Roman"/>
          <w:vertAlign w:val="subscript"/>
        </w:rPr>
        <w:t>电</w:t>
      </w:r>
      <w:r>
        <w:rPr>
          <w:rFonts w:ascii="Times New Roman"/>
          <w:i/>
          <w:iCs/>
        </w:rPr>
        <w:t>—</w:t>
      </w:r>
      <w:r>
        <w:rPr>
          <w:rFonts w:ascii="Times New Roman"/>
        </w:rPr>
        <w:t>—</w:t>
      </w:r>
      <w:r>
        <w:rPr>
          <w:rFonts w:hint="eastAsia" w:ascii="Times New Roman"/>
        </w:rPr>
        <w:t>电力排放因子</w:t>
      </w:r>
      <w:r>
        <w:rPr>
          <w:rFonts w:ascii="Times New Roman"/>
        </w:rPr>
        <w:t>，单位为</w:t>
      </w:r>
      <w:r>
        <w:rPr>
          <w:rFonts w:hint="eastAsia" w:ascii="Times New Roman"/>
        </w:rPr>
        <w:t>tCO</w:t>
      </w:r>
      <w:r>
        <w:rPr>
          <w:rFonts w:hint="eastAsia" w:ascii="Times New Roman"/>
          <w:vertAlign w:val="subscript"/>
        </w:rPr>
        <w:t>2</w:t>
      </w:r>
      <w:r>
        <w:rPr>
          <w:rFonts w:hint="eastAsia" w:ascii="Times New Roman"/>
        </w:rPr>
        <w:t>/MWh，采用生态环境部最新发布的</w:t>
      </w:r>
      <w:r>
        <w:rPr>
          <w:rFonts w:ascii="Times New Roman"/>
        </w:rPr>
        <w:t>全国电力平均二氧化碳排放因子</w:t>
      </w:r>
      <w:r>
        <w:rPr>
          <w:rFonts w:hint="eastAsia" w:ascii="Times New Roman"/>
        </w:rPr>
        <w:t>。</w:t>
      </w:r>
    </w:p>
    <w:p w14:paraId="7BA55CE4">
      <w:pPr>
        <w:pStyle w:val="19"/>
        <w:ind w:firstLine="840" w:firstLineChars="400"/>
        <w:rPr>
          <w:rFonts w:ascii="Times New Roman"/>
        </w:rPr>
      </w:pPr>
      <w:r>
        <w:rPr>
          <w:rFonts w:ascii="Times New Roman"/>
          <w:i/>
          <w:iCs/>
        </w:rPr>
        <w:t>AD</w:t>
      </w:r>
      <w:r>
        <w:rPr>
          <w:rFonts w:hint="eastAsia" w:ascii="Times New Roman"/>
          <w:vertAlign w:val="subscript"/>
        </w:rPr>
        <w:t>天然气</w:t>
      </w:r>
      <w:r>
        <w:rPr>
          <w:rFonts w:ascii="Times New Roman"/>
          <w:i/>
          <w:iCs/>
        </w:rPr>
        <w:t>—</w:t>
      </w:r>
      <w:r>
        <w:rPr>
          <w:rFonts w:ascii="Times New Roman"/>
        </w:rPr>
        <w:t>—</w:t>
      </w:r>
      <w:r>
        <w:rPr>
          <w:rFonts w:hint="eastAsia" w:ascii="Times New Roman"/>
        </w:rPr>
        <w:t>辅助生产</w:t>
      </w:r>
      <w:r>
        <w:rPr>
          <w:rFonts w:ascii="Times New Roman"/>
        </w:rPr>
        <w:t>系统的</w:t>
      </w:r>
      <w:r>
        <w:rPr>
          <w:rFonts w:hint="eastAsia" w:ascii="Times New Roman"/>
        </w:rPr>
        <w:t>天然气用量</w:t>
      </w:r>
      <w:r>
        <w:rPr>
          <w:rFonts w:ascii="Times New Roman"/>
        </w:rPr>
        <w:t>，单位为</w:t>
      </w:r>
      <w:r>
        <w:rPr>
          <w:rFonts w:hint="eastAsia" w:ascii="Times New Roman"/>
        </w:rPr>
        <w:t>万m³</w:t>
      </w:r>
      <w:r>
        <w:rPr>
          <w:rFonts w:ascii="Times New Roman"/>
        </w:rPr>
        <w:t>；</w:t>
      </w:r>
    </w:p>
    <w:p w14:paraId="672641AF">
      <w:pPr>
        <w:pStyle w:val="19"/>
        <w:ind w:firstLine="840" w:firstLineChars="400"/>
        <w:rPr>
          <w:rFonts w:ascii="Times New Roman"/>
        </w:rPr>
      </w:pPr>
      <w:r>
        <w:rPr>
          <w:rFonts w:hint="eastAsia" w:ascii="Times New Roman"/>
          <w:i/>
          <w:iCs/>
        </w:rPr>
        <w:t>EF</w:t>
      </w:r>
      <w:r>
        <w:rPr>
          <w:rFonts w:hint="eastAsia" w:ascii="Times New Roman"/>
          <w:vertAlign w:val="subscript"/>
        </w:rPr>
        <w:t>天然气</w:t>
      </w:r>
      <w:r>
        <w:rPr>
          <w:rFonts w:ascii="Times New Roman"/>
          <w:i/>
          <w:iCs/>
        </w:rPr>
        <w:t>—</w:t>
      </w:r>
      <w:r>
        <w:rPr>
          <w:rFonts w:ascii="Times New Roman"/>
        </w:rPr>
        <w:t>—</w:t>
      </w:r>
      <w:r>
        <w:rPr>
          <w:rFonts w:hint="eastAsia" w:ascii="Times New Roman"/>
        </w:rPr>
        <w:t>天然气排放因子</w:t>
      </w:r>
      <w:r>
        <w:rPr>
          <w:rFonts w:ascii="Times New Roman"/>
        </w:rPr>
        <w:t>，单位为</w:t>
      </w:r>
      <w:r>
        <w:rPr>
          <w:rFonts w:hint="eastAsia" w:ascii="Times New Roman"/>
        </w:rPr>
        <w:t>tCO</w:t>
      </w:r>
      <w:r>
        <w:rPr>
          <w:rFonts w:hint="eastAsia" w:ascii="Times New Roman"/>
          <w:vertAlign w:val="subscript"/>
        </w:rPr>
        <w:t>2</w:t>
      </w:r>
      <w:r>
        <w:rPr>
          <w:rFonts w:hint="eastAsia" w:ascii="Times New Roman"/>
        </w:rPr>
        <w:t>/万m³，采用21.62 tCO</w:t>
      </w:r>
      <w:r>
        <w:rPr>
          <w:rFonts w:hint="eastAsia" w:ascii="Times New Roman"/>
          <w:vertAlign w:val="subscript"/>
        </w:rPr>
        <w:t>2</w:t>
      </w:r>
      <w:r>
        <w:rPr>
          <w:rFonts w:hint="eastAsia" w:ascii="Times New Roman"/>
        </w:rPr>
        <w:t>/万m³。</w:t>
      </w:r>
    </w:p>
    <w:p w14:paraId="10595968">
      <w:pPr>
        <w:pStyle w:val="24"/>
        <w:spacing w:before="156" w:after="156"/>
        <w:rPr>
          <w:rFonts w:hint="eastAsia"/>
        </w:rPr>
      </w:pPr>
      <w:bookmarkStart w:id="148" w:name="_Toc236437668"/>
      <w:bookmarkStart w:id="149" w:name="_Toc28266"/>
      <w:r>
        <w:rPr>
          <w:rFonts w:hint="eastAsia"/>
        </w:rPr>
        <w:t>单位吞吐量碳排放强度计算</w:t>
      </w:r>
      <w:bookmarkEnd w:id="148"/>
      <w:bookmarkEnd w:id="149"/>
    </w:p>
    <w:p w14:paraId="67E4E8ED">
      <w:pPr>
        <w:pStyle w:val="25"/>
        <w:spacing w:before="156" w:after="156"/>
        <w:rPr>
          <w:rFonts w:hint="eastAsia"/>
        </w:rPr>
      </w:pPr>
      <w:bookmarkStart w:id="150" w:name="_Toc5528"/>
      <w:bookmarkStart w:id="151" w:name="_Toc236437669"/>
      <w:r>
        <w:rPr>
          <w:rFonts w:hint="eastAsia"/>
        </w:rPr>
        <w:t>河港单位吞吐量碳排放强度计算</w:t>
      </w:r>
      <w:bookmarkEnd w:id="150"/>
      <w:bookmarkEnd w:id="151"/>
    </w:p>
    <w:p w14:paraId="137D14D1">
      <w:pPr>
        <w:pStyle w:val="19"/>
      </w:pPr>
      <w:r>
        <w:rPr>
          <w:rFonts w:hint="eastAsia"/>
        </w:rPr>
        <w:t>河港碳排放强度采用公式（B.5）计算，为了消除不同规模和码头条件的港口差异，公式中引入修正系数。</w:t>
      </w:r>
    </w:p>
    <w:p w14:paraId="767B86AB">
      <w:pPr>
        <w:pStyle w:val="42"/>
        <w:rPr>
          <w:rFonts w:hint="eastAsia"/>
        </w:rPr>
      </w:pPr>
      <w:r>
        <w:rPr>
          <w:rFonts w:hint="eastAsia"/>
        </w:rPr>
        <w:tab/>
      </w:r>
      <m:oMath>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c</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hint="eastAsia" w:ascii="Cambria Math" w:hAnsi="Cambria Math"/>
                  </w:rPr>
                  <m:t>E</m:t>
                </m:r>
                <m:ctrlPr>
                  <w:rPr>
                    <w:rFonts w:ascii="Cambria Math" w:hAnsi="Cambria Math"/>
                  </w:rPr>
                </m:ctrlPr>
              </m:e>
              <m:sub>
                <m:r>
                  <m:rPr>
                    <m:sty m:val="p"/>
                  </m:rPr>
                  <w:rPr>
                    <w:rFonts w:hint="eastAsia" w:ascii="Cambria Math" w:hAnsi="Cambria Math"/>
                  </w:rPr>
                  <m:t>总</m:t>
                </m:r>
                <m:ctrlPr>
                  <w:rPr>
                    <w:rFonts w:ascii="Cambria Math" w:hAnsi="Cambria Math"/>
                  </w:rPr>
                </m:ctrlPr>
              </m:sub>
            </m:sSub>
            <m:ctrlPr>
              <w:rPr>
                <w:rFonts w:ascii="Cambria Math" w:hAnsi="Cambria Math"/>
              </w:rPr>
            </m:ctrlPr>
          </m:num>
          <m:den>
            <m:r>
              <m:rPr/>
              <w:rPr>
                <w:rFonts w:ascii="Cambria Math" w:hAnsi="Cambria Math"/>
              </w:rPr>
              <m:t>T</m:t>
            </m:r>
            <m:ctrlPr>
              <w:rPr>
                <w:rFonts w:ascii="Cambria Math" w:hAnsi="Cambria Math"/>
              </w:rPr>
            </m:ctrlPr>
          </m:den>
        </m:f>
        <m:r>
          <m:rPr/>
          <w:rPr>
            <w:rFonts w:ascii="Cambria Math" w:hAnsi="Cambria Math"/>
          </w:rPr>
          <m:t>×</m:t>
        </m:r>
        <m:sSub>
          <m:sSubPr>
            <m:ctrlPr>
              <w:rPr>
                <w:rFonts w:ascii="Cambria Math" w:hAnsi="Cambria Math"/>
              </w:rPr>
            </m:ctrlPr>
          </m:sSubPr>
          <m:e>
            <m:r>
              <m:rPr/>
              <w:rPr>
                <w:rFonts w:ascii="Cambria Math" w:hAnsi="Cambria Math"/>
              </w:rPr>
              <m:t>k</m:t>
            </m:r>
            <m:ctrlPr>
              <w:rPr>
                <w:rFonts w:ascii="Cambria Math" w:hAnsi="Cambria Math"/>
              </w:rPr>
            </m:ctrlPr>
          </m:e>
          <m:sub>
            <m:r>
              <m:rPr/>
              <w:rPr>
                <w:rFonts w:ascii="Cambria Math" w:hAnsi="Cambria Math"/>
              </w:rPr>
              <m:t>1</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k</m:t>
            </m:r>
            <m:ctrlPr>
              <w:rPr>
                <w:rFonts w:ascii="Cambria Math" w:hAnsi="Cambria Math"/>
              </w:rPr>
            </m:ctrlPr>
          </m:e>
          <m:sub>
            <m:r>
              <m:rPr/>
              <w:rPr>
                <w:rFonts w:ascii="Cambria Math" w:hAnsi="Cambria Math"/>
              </w:rPr>
              <m:t>2</m:t>
            </m:r>
            <m:ctrlPr>
              <w:rPr>
                <w:rFonts w:ascii="Cambria Math" w:hAnsi="Cambria Math"/>
              </w:rPr>
            </m:ctrlPr>
          </m:sub>
        </m:sSub>
        <m:r>
          <m:rPr/>
          <w:rPr>
            <w:rFonts w:ascii="Cambria Math" w:hAnsi="Cambria Math"/>
          </w:rPr>
          <m:t>×</m:t>
        </m:r>
        <m:r>
          <m:rPr/>
          <w:rPr>
            <w:rFonts w:hint="eastAsia" w:ascii="Cambria Math" w:hAnsi="Cambria Math"/>
          </w:rPr>
          <m:t>g</m:t>
        </m:r>
      </m:oMath>
      <w:r>
        <w:rPr>
          <w:rFonts w:hint="eastAsia" w:ascii="微软雅黑" w:hAnsi="微软雅黑" w:eastAsia="微软雅黑" w:cs="微软雅黑"/>
        </w:rPr>
        <w:tab/>
      </w:r>
      <w:r>
        <w:rPr>
          <w:rFonts w:hint="eastAsia"/>
        </w:rPr>
        <w:t>(B.</w:t>
      </w:r>
      <w:r>
        <w:rPr>
          <w:rFonts w:hint="eastAsia"/>
        </w:rPr>
        <w:fldChar w:fldCharType="begin"/>
      </w:r>
      <w:r>
        <w:rPr>
          <w:rFonts w:hint="eastAsia"/>
        </w:rPr>
        <w:instrText xml:space="preserve">  seq fulu_equation_134308113360523857  </w:instrText>
      </w:r>
      <w:r>
        <w:rPr>
          <w:rFonts w:hint="eastAsia"/>
        </w:rPr>
        <w:fldChar w:fldCharType="separate"/>
      </w:r>
      <w:r>
        <w:rPr>
          <w:rFonts w:hint="eastAsia"/>
        </w:rPr>
        <w:t>5</w:t>
      </w:r>
      <w:r>
        <w:rPr>
          <w:rFonts w:hint="eastAsia"/>
        </w:rPr>
        <w:fldChar w:fldCharType="end"/>
      </w:r>
      <w:r>
        <w:rPr>
          <w:rFonts w:hint="eastAsia"/>
        </w:rPr>
        <w:t>)</w:t>
      </w:r>
    </w:p>
    <w:p w14:paraId="455DF2FF">
      <w:pPr>
        <w:pStyle w:val="19"/>
      </w:pPr>
      <w:r>
        <w:rPr>
          <w:rFonts w:hint="eastAsia"/>
        </w:rPr>
        <w:t>式中：</w:t>
      </w:r>
    </w:p>
    <w:p w14:paraId="14D783D9">
      <w:pPr>
        <w:pStyle w:val="19"/>
      </w:pPr>
      <w:r>
        <w:rPr>
          <w:i/>
          <w:iCs/>
        </w:rPr>
        <w:t>θc</w:t>
      </w:r>
      <w:r>
        <w:rPr>
          <w:rFonts w:hint="eastAsia"/>
          <w:i/>
          <w:iCs/>
        </w:rPr>
        <w:t xml:space="preserve"> </w:t>
      </w:r>
      <w:r>
        <w:rPr>
          <w:rFonts w:hint="eastAsia"/>
        </w:rPr>
        <w:t>——</w:t>
      </w:r>
      <w:r>
        <w:t>单位</w:t>
      </w:r>
      <w:r>
        <w:rPr>
          <w:rFonts w:hint="eastAsia"/>
        </w:rPr>
        <w:t>吞吐量碳排放强度，单位</w:t>
      </w:r>
      <w:r>
        <w:t>为吨二氧化碳每万吨(tCO</w:t>
      </w:r>
      <w:r>
        <w:rPr>
          <w:vertAlign w:val="subscript"/>
        </w:rPr>
        <w:t>2/</w:t>
      </w:r>
      <w:r>
        <w:t>10</w:t>
      </w:r>
      <w:r>
        <w:rPr>
          <w:vertAlign w:val="superscript"/>
        </w:rPr>
        <w:t>4</w:t>
      </w:r>
      <w:r>
        <w:t>t)</w:t>
      </w:r>
    </w:p>
    <w:p w14:paraId="403FED37">
      <w:pPr>
        <w:pStyle w:val="19"/>
      </w:pPr>
      <w:r>
        <w:rPr>
          <w:rFonts w:hint="eastAsia"/>
          <w:i/>
          <w:iCs/>
        </w:rPr>
        <w:t>E</w:t>
      </w:r>
      <w:r>
        <w:rPr>
          <w:rFonts w:hint="eastAsia"/>
          <w:vertAlign w:val="subscript"/>
        </w:rPr>
        <w:t>总</w:t>
      </w:r>
      <w:r>
        <w:rPr>
          <w:rFonts w:hint="eastAsia"/>
        </w:rPr>
        <w:t>——散粮港口核算边界内的二氧化碳排放总量，单位为吨二氧化碳（tCO</w:t>
      </w:r>
      <w:r>
        <w:rPr>
          <w:rFonts w:hint="eastAsia"/>
          <w:vertAlign w:val="subscript"/>
        </w:rPr>
        <w:t>2</w:t>
      </w:r>
      <w:r>
        <w:rPr>
          <w:rFonts w:hint="eastAsia"/>
        </w:rPr>
        <w:t>）；</w:t>
      </w:r>
    </w:p>
    <w:p w14:paraId="67375BF1">
      <w:pPr>
        <w:pStyle w:val="19"/>
      </w:pPr>
      <w:r>
        <w:rPr>
          <w:rFonts w:hint="eastAsia"/>
          <w:i/>
          <w:iCs/>
        </w:rPr>
        <w:t xml:space="preserve">T </w:t>
      </w:r>
      <w:r>
        <w:rPr>
          <w:rFonts w:hint="eastAsia"/>
        </w:rPr>
        <w:t>——散粮</w:t>
      </w:r>
      <w:r>
        <w:t>吞吐量,单位为万吨(10</w:t>
      </w:r>
      <w:r>
        <w:rPr>
          <w:vertAlign w:val="superscript"/>
        </w:rPr>
        <w:t>4</w:t>
      </w:r>
      <w:r>
        <w:t>t)</w:t>
      </w:r>
      <w:r>
        <w:rPr>
          <w:rFonts w:hint="eastAsia"/>
        </w:rPr>
        <w:t>；</w:t>
      </w:r>
    </w:p>
    <w:p w14:paraId="71DA9B1B">
      <w:pPr>
        <w:pStyle w:val="19"/>
      </w:pPr>
      <w:r>
        <w:rPr>
          <w:i/>
          <w:iCs/>
        </w:rPr>
        <w:t>k</w:t>
      </w:r>
      <w:r>
        <w:rPr>
          <w:i/>
          <w:iCs/>
          <w:vertAlign w:val="subscript"/>
        </w:rPr>
        <w:t>1</w:t>
      </w:r>
      <w:r>
        <w:rPr>
          <w:rFonts w:hint="eastAsia"/>
        </w:rPr>
        <w:t>—— 作业线长度修正系数</w:t>
      </w:r>
      <w:r>
        <w:t>,</w:t>
      </w:r>
      <w:r>
        <w:rPr>
          <w:rFonts w:hint="eastAsia"/>
        </w:rPr>
        <w:t>无量纲；</w:t>
      </w:r>
    </w:p>
    <w:p w14:paraId="2767CCC2">
      <w:pPr>
        <w:pStyle w:val="19"/>
      </w:pPr>
      <w:r>
        <w:rPr>
          <w:i/>
          <w:iCs/>
        </w:rPr>
        <w:t>k</w:t>
      </w:r>
      <w:r>
        <w:rPr>
          <w:rFonts w:hint="eastAsia"/>
          <w:i/>
          <w:iCs/>
          <w:vertAlign w:val="subscript"/>
        </w:rPr>
        <w:t>2</w:t>
      </w:r>
      <w:r>
        <w:rPr>
          <w:rFonts w:hint="eastAsia"/>
        </w:rPr>
        <w:t>—— 河港水位落差修正系数</w:t>
      </w:r>
      <w:r>
        <w:t>,</w:t>
      </w:r>
      <w:r>
        <w:rPr>
          <w:rFonts w:hint="eastAsia"/>
        </w:rPr>
        <w:t>无量纲；</w:t>
      </w:r>
    </w:p>
    <w:p w14:paraId="1D6F2298">
      <w:pPr>
        <w:pStyle w:val="19"/>
      </w:pPr>
      <w:r>
        <w:rPr>
          <w:rFonts w:hint="eastAsia"/>
          <w:i/>
          <w:iCs/>
        </w:rPr>
        <w:t xml:space="preserve">g </w:t>
      </w:r>
      <w:r>
        <w:rPr>
          <w:rFonts w:hint="eastAsia"/>
        </w:rPr>
        <w:t>—— 卸船量修正系数</w:t>
      </w:r>
      <w:r>
        <w:t>,</w:t>
      </w:r>
      <w:r>
        <w:rPr>
          <w:rFonts w:hint="eastAsia"/>
        </w:rPr>
        <w:t>无量纲。</w:t>
      </w:r>
    </w:p>
    <w:p w14:paraId="27B1A021">
      <w:pPr>
        <w:pStyle w:val="25"/>
        <w:spacing w:before="156" w:after="156"/>
        <w:rPr>
          <w:rFonts w:hint="eastAsia"/>
        </w:rPr>
      </w:pPr>
      <w:bookmarkStart w:id="152" w:name="_Toc236437670"/>
      <w:bookmarkStart w:id="153" w:name="_Toc10330"/>
      <w:r>
        <w:rPr>
          <w:rFonts w:hint="eastAsia"/>
        </w:rPr>
        <w:t>海港单位吞吐量碳排放强度计算</w:t>
      </w:r>
      <w:bookmarkEnd w:id="152"/>
      <w:bookmarkEnd w:id="153"/>
    </w:p>
    <w:p w14:paraId="6458E47C">
      <w:pPr>
        <w:pStyle w:val="19"/>
      </w:pPr>
      <w:r>
        <w:rPr>
          <w:rFonts w:hint="eastAsia"/>
        </w:rPr>
        <w:t>海港碳排放强度采用公式（B.6）计算，为了消除不同规模和码头条件的港口差异，公式中引入修正系数。</w:t>
      </w:r>
    </w:p>
    <w:p w14:paraId="0A1A5B1D">
      <w:pPr>
        <w:pStyle w:val="42"/>
        <w:rPr>
          <w:rFonts w:hint="eastAsia"/>
        </w:rPr>
      </w:pPr>
      <w:r>
        <w:rPr>
          <w:rFonts w:hint="eastAsia"/>
        </w:rPr>
        <w:tab/>
      </w:r>
      <m:oMath>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c</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hint="eastAsia" w:ascii="Cambria Math" w:hAnsi="Cambria Math"/>
                  </w:rPr>
                  <m:t>E</m:t>
                </m:r>
                <m:ctrlPr>
                  <w:rPr>
                    <w:rFonts w:ascii="Cambria Math" w:hAnsi="Cambria Math"/>
                  </w:rPr>
                </m:ctrlPr>
              </m:e>
              <m:sub>
                <m:r>
                  <m:rPr>
                    <m:sty m:val="p"/>
                  </m:rPr>
                  <w:rPr>
                    <w:rFonts w:hint="eastAsia" w:ascii="Cambria Math" w:hAnsi="Cambria Math"/>
                  </w:rPr>
                  <m:t>总</m:t>
                </m:r>
                <m:ctrlPr>
                  <w:rPr>
                    <w:rFonts w:ascii="Cambria Math" w:hAnsi="Cambria Math"/>
                  </w:rPr>
                </m:ctrlPr>
              </m:sub>
            </m:sSub>
            <m:ctrlPr>
              <w:rPr>
                <w:rFonts w:ascii="Cambria Math" w:hAnsi="Cambria Math"/>
              </w:rPr>
            </m:ctrlPr>
          </m:num>
          <m:den>
            <m:r>
              <m:rPr/>
              <w:rPr>
                <w:rFonts w:ascii="Cambria Math" w:hAnsi="Cambria Math"/>
              </w:rPr>
              <m:t>T</m:t>
            </m:r>
            <m:ctrlPr>
              <w:rPr>
                <w:rFonts w:ascii="Cambria Math" w:hAnsi="Cambria Math"/>
              </w:rPr>
            </m:ctrlPr>
          </m:den>
        </m:f>
        <m:r>
          <m:rPr/>
          <w:rPr>
            <w:rFonts w:ascii="Cambria Math" w:hAnsi="Cambria Math"/>
          </w:rPr>
          <m:t>×</m:t>
        </m:r>
        <m:sSub>
          <m:sSubPr>
            <m:ctrlPr>
              <w:rPr>
                <w:rFonts w:ascii="Cambria Math" w:hAnsi="Cambria Math"/>
              </w:rPr>
            </m:ctrlPr>
          </m:sSubPr>
          <m:e>
            <m:r>
              <m:rPr/>
              <w:rPr>
                <w:rFonts w:ascii="Cambria Math" w:hAnsi="Cambria Math"/>
              </w:rPr>
              <m:t>k</m:t>
            </m:r>
            <m:ctrlPr>
              <w:rPr>
                <w:rFonts w:ascii="Cambria Math" w:hAnsi="Cambria Math"/>
              </w:rPr>
            </m:ctrlPr>
          </m:e>
          <m:sub>
            <m:r>
              <m:rPr/>
              <w:rPr>
                <w:rFonts w:ascii="Cambria Math" w:hAnsi="Cambria Math"/>
              </w:rPr>
              <m:t>1</m:t>
            </m:r>
            <m:ctrlPr>
              <w:rPr>
                <w:rFonts w:ascii="Cambria Math" w:hAnsi="Cambria Math"/>
              </w:rPr>
            </m:ctrlPr>
          </m:sub>
        </m:sSub>
        <m:r>
          <m:rPr/>
          <w:rPr>
            <w:rFonts w:ascii="Cambria Math" w:hAnsi="Cambria Math"/>
          </w:rPr>
          <m:t>×</m:t>
        </m:r>
        <m:r>
          <m:rPr/>
          <w:rPr>
            <w:rFonts w:hint="eastAsia" w:ascii="Cambria Math" w:hAnsi="Cambria Math"/>
          </w:rPr>
          <m:t>g</m:t>
        </m:r>
      </m:oMath>
      <w:r>
        <w:rPr>
          <w:rFonts w:hint="eastAsia" w:ascii="微软雅黑" w:hAnsi="微软雅黑" w:eastAsia="微软雅黑" w:cs="微软雅黑"/>
        </w:rPr>
        <w:tab/>
      </w:r>
      <w:r>
        <w:rPr>
          <w:rFonts w:hint="eastAsia"/>
        </w:rPr>
        <w:t>(B.</w:t>
      </w:r>
      <w:r>
        <w:rPr>
          <w:rFonts w:hint="eastAsia"/>
        </w:rPr>
        <w:fldChar w:fldCharType="begin"/>
      </w:r>
      <w:r>
        <w:rPr>
          <w:rFonts w:hint="eastAsia"/>
        </w:rPr>
        <w:instrText xml:space="preserve">  seq fulu_equation_134308113360523857  </w:instrText>
      </w:r>
      <w:r>
        <w:rPr>
          <w:rFonts w:hint="eastAsia"/>
        </w:rPr>
        <w:fldChar w:fldCharType="separate"/>
      </w:r>
      <w:r>
        <w:rPr>
          <w:rFonts w:hint="eastAsia"/>
        </w:rPr>
        <w:t>6</w:t>
      </w:r>
      <w:r>
        <w:rPr>
          <w:rFonts w:hint="eastAsia"/>
        </w:rPr>
        <w:fldChar w:fldCharType="end"/>
      </w:r>
      <w:r>
        <w:rPr>
          <w:rFonts w:hint="eastAsia"/>
        </w:rPr>
        <w:t>)</w:t>
      </w:r>
    </w:p>
    <w:p w14:paraId="25F8B10B">
      <w:pPr>
        <w:pStyle w:val="19"/>
      </w:pPr>
      <w:r>
        <w:rPr>
          <w:rFonts w:hint="eastAsia"/>
        </w:rPr>
        <w:t>式中：</w:t>
      </w:r>
    </w:p>
    <w:p w14:paraId="50ACC2DE">
      <w:pPr>
        <w:pStyle w:val="19"/>
      </w:pPr>
      <w:r>
        <w:rPr>
          <w:i/>
          <w:iCs/>
        </w:rPr>
        <w:t>θc</w:t>
      </w:r>
      <w:r>
        <w:rPr>
          <w:rFonts w:hint="eastAsia"/>
          <w:i/>
          <w:iCs/>
        </w:rPr>
        <w:t xml:space="preserve"> </w:t>
      </w:r>
      <w:r>
        <w:rPr>
          <w:rFonts w:hint="eastAsia"/>
        </w:rPr>
        <w:t>——</w:t>
      </w:r>
      <w:r>
        <w:t>单位</w:t>
      </w:r>
      <w:r>
        <w:rPr>
          <w:rFonts w:hint="eastAsia"/>
        </w:rPr>
        <w:t>吞吐量碳排放强度，单位为</w:t>
      </w:r>
      <w:r>
        <w:t>为吨二氧化碳每万吨(tCO</w:t>
      </w:r>
      <w:r>
        <w:rPr>
          <w:vertAlign w:val="subscript"/>
        </w:rPr>
        <w:t>2/</w:t>
      </w:r>
      <w:r>
        <w:t>10</w:t>
      </w:r>
      <w:r>
        <w:rPr>
          <w:vertAlign w:val="superscript"/>
        </w:rPr>
        <w:t>4</w:t>
      </w:r>
      <w:r>
        <w:t>t)</w:t>
      </w:r>
    </w:p>
    <w:p w14:paraId="0EBCB09E">
      <w:pPr>
        <w:pStyle w:val="19"/>
      </w:pPr>
      <w:r>
        <w:rPr>
          <w:rFonts w:hint="eastAsia"/>
          <w:i/>
          <w:iCs/>
        </w:rPr>
        <w:t>E</w:t>
      </w:r>
      <w:r>
        <w:rPr>
          <w:rFonts w:hint="eastAsia"/>
          <w:vertAlign w:val="subscript"/>
        </w:rPr>
        <w:t>总</w:t>
      </w:r>
      <w:r>
        <w:rPr>
          <w:rFonts w:hint="eastAsia"/>
        </w:rPr>
        <w:t>——散粮港口核算边界内的二氧化碳排放总量，单位为吨二氧化碳（tCO</w:t>
      </w:r>
      <w:r>
        <w:rPr>
          <w:rFonts w:hint="eastAsia"/>
          <w:vertAlign w:val="subscript"/>
        </w:rPr>
        <w:t>2</w:t>
      </w:r>
      <w:r>
        <w:rPr>
          <w:rFonts w:hint="eastAsia"/>
        </w:rPr>
        <w:t>）；</w:t>
      </w:r>
    </w:p>
    <w:p w14:paraId="77D05B70">
      <w:pPr>
        <w:pStyle w:val="19"/>
      </w:pPr>
      <w:r>
        <w:rPr>
          <w:rFonts w:hint="eastAsia"/>
          <w:i/>
          <w:iCs/>
        </w:rPr>
        <w:t xml:space="preserve">T </w:t>
      </w:r>
      <w:r>
        <w:rPr>
          <w:rFonts w:hint="eastAsia"/>
        </w:rPr>
        <w:t>——散粮</w:t>
      </w:r>
      <w:r>
        <w:t>吞吐量,单位为万吨(10</w:t>
      </w:r>
      <w:r>
        <w:rPr>
          <w:vertAlign w:val="superscript"/>
        </w:rPr>
        <w:t>4</w:t>
      </w:r>
      <w:r>
        <w:t>t)</w:t>
      </w:r>
      <w:r>
        <w:rPr>
          <w:rFonts w:hint="eastAsia"/>
        </w:rPr>
        <w:t>；</w:t>
      </w:r>
    </w:p>
    <w:p w14:paraId="0F50C0D1">
      <w:pPr>
        <w:pStyle w:val="19"/>
      </w:pPr>
      <w:r>
        <w:rPr>
          <w:i/>
          <w:iCs/>
        </w:rPr>
        <w:t>k</w:t>
      </w:r>
      <w:r>
        <w:rPr>
          <w:i/>
          <w:iCs/>
          <w:vertAlign w:val="subscript"/>
        </w:rPr>
        <w:t>1</w:t>
      </w:r>
      <w:r>
        <w:rPr>
          <w:rFonts w:hint="eastAsia"/>
        </w:rPr>
        <w:t>—— 作业线长度修正系数</w:t>
      </w:r>
      <w:r>
        <w:t>,</w:t>
      </w:r>
      <w:r>
        <w:rPr>
          <w:rFonts w:hint="eastAsia"/>
        </w:rPr>
        <w:t>无量纲；</w:t>
      </w:r>
    </w:p>
    <w:p w14:paraId="6AC444F6">
      <w:pPr>
        <w:pStyle w:val="19"/>
      </w:pPr>
      <w:r>
        <w:rPr>
          <w:rFonts w:hint="eastAsia"/>
          <w:i/>
          <w:iCs/>
        </w:rPr>
        <w:t xml:space="preserve">g </w:t>
      </w:r>
      <w:r>
        <w:rPr>
          <w:rFonts w:hint="eastAsia"/>
        </w:rPr>
        <w:t>—— 卸船量修正系数</w:t>
      </w:r>
      <w:r>
        <w:t>,</w:t>
      </w:r>
      <w:r>
        <w:rPr>
          <w:rFonts w:hint="eastAsia"/>
        </w:rPr>
        <w:t>无量纲。</w:t>
      </w:r>
    </w:p>
    <w:p w14:paraId="216A3ED5">
      <w:pPr>
        <w:pStyle w:val="24"/>
        <w:spacing w:before="156" w:after="156"/>
        <w:rPr>
          <w:rFonts w:hint="eastAsia"/>
        </w:rPr>
      </w:pPr>
      <w:bookmarkStart w:id="154" w:name="_Toc3813"/>
      <w:bookmarkStart w:id="155" w:name="_Toc236437671"/>
      <w:r>
        <w:rPr>
          <w:rFonts w:hint="eastAsia"/>
        </w:rPr>
        <w:t>碳排放强度计算中用到的修正系数</w:t>
      </w:r>
      <w:bookmarkEnd w:id="154"/>
      <w:bookmarkEnd w:id="155"/>
    </w:p>
    <w:p w14:paraId="57700FDA">
      <w:pPr>
        <w:pStyle w:val="25"/>
        <w:spacing w:before="156" w:after="156"/>
        <w:rPr>
          <w:rFonts w:hint="eastAsia"/>
        </w:rPr>
      </w:pPr>
      <w:bookmarkStart w:id="156" w:name="_Toc6080"/>
      <w:bookmarkStart w:id="157" w:name="_Toc236437672"/>
      <w:r>
        <w:rPr>
          <w:rFonts w:hint="eastAsia"/>
        </w:rPr>
        <w:t>作业线长度修正系数</w:t>
      </w:r>
      <w:r>
        <w:t>k</w:t>
      </w:r>
      <w:r>
        <w:rPr>
          <w:vertAlign w:val="subscript"/>
        </w:rPr>
        <w:t>1</w:t>
      </w:r>
      <w:bookmarkEnd w:id="156"/>
      <w:bookmarkEnd w:id="157"/>
    </w:p>
    <w:p w14:paraId="40399CBE">
      <w:pPr>
        <w:pStyle w:val="19"/>
      </w:pPr>
      <w:r>
        <w:rPr>
          <w:rFonts w:hint="eastAsia"/>
        </w:rPr>
        <w:t>作业线长度修正系数</w:t>
      </w:r>
      <w:r>
        <w:t>k</w:t>
      </w:r>
      <w:r>
        <w:rPr>
          <w:vertAlign w:val="subscript"/>
        </w:rPr>
        <w:t>1</w:t>
      </w:r>
      <w:r>
        <w:rPr>
          <w:rFonts w:hint="eastAsia"/>
        </w:rPr>
        <w:t>采用公式（B.7）计算，取值范围见表B.1。</w:t>
      </w:r>
    </w:p>
    <w:p w14:paraId="6603C7C5">
      <w:pPr>
        <w:pStyle w:val="42"/>
        <w:autoSpaceDE w:val="0"/>
        <w:autoSpaceDN w:val="0"/>
        <w:rPr>
          <w:rFonts w:hint="eastAsia"/>
        </w:rPr>
      </w:pPr>
      <w:r>
        <w:rPr>
          <w:rFonts w:hint="eastAsia"/>
        </w:rPr>
        <w:tab/>
      </w:r>
      <m:oMath>
        <m:r>
          <m:rPr/>
          <w:rPr>
            <w:rFonts w:ascii="Times New Roman" w:hAnsi="Times New Roman" w:eastAsia="黑体"/>
          </w:rPr>
          <m:t>L= (</m:t>
        </m:r>
        <m:sSub>
          <m:sSubPr>
            <m:ctrlPr>
              <w:rPr>
                <w:rFonts w:ascii="Cambria Math" w:hAnsi="Cambria Math" w:eastAsia="黑体"/>
                <w:i/>
                <w:iCs/>
              </w:rPr>
            </m:ctrlPr>
          </m:sSubPr>
          <m:e>
            <m:r>
              <m:rPr/>
              <w:rPr>
                <w:rFonts w:ascii="Times New Roman" w:hAnsi="Times New Roman" w:eastAsia="黑体"/>
              </w:rPr>
              <m:t>L</m:t>
            </m:r>
            <m:ctrlPr>
              <w:rPr>
                <w:rFonts w:ascii="Cambria Math" w:hAnsi="Cambria Math" w:eastAsia="黑体"/>
                <w:i/>
                <w:iCs/>
              </w:rPr>
            </m:ctrlPr>
          </m:e>
          <m:sub>
            <m:r>
              <m:rPr/>
              <w:rPr>
                <w:rFonts w:ascii="Times New Roman" w:hAnsi="Times New Roman" w:eastAsia="黑体"/>
              </w:rPr>
              <m:t>s</m:t>
            </m:r>
            <m:ctrlPr>
              <w:rPr>
                <w:rFonts w:ascii="Cambria Math" w:hAnsi="Cambria Math" w:eastAsia="黑体"/>
                <w:i/>
                <w:iCs/>
              </w:rPr>
            </m:ctrlPr>
          </m:sub>
        </m:sSub>
        <m:r>
          <m:rPr/>
          <w:rPr>
            <w:rFonts w:ascii="Times New Roman" w:hAnsi="Times New Roman" w:eastAsia="黑体"/>
          </w:rPr>
          <m:t xml:space="preserve">+ </m:t>
        </m:r>
        <m:sSub>
          <m:sSubPr>
            <m:ctrlPr>
              <w:rPr>
                <w:rFonts w:ascii="Cambria Math" w:hAnsi="Cambria Math" w:eastAsia="黑体"/>
                <w:i/>
                <w:iCs/>
              </w:rPr>
            </m:ctrlPr>
          </m:sSubPr>
          <m:e>
            <m:r>
              <m:rPr/>
              <w:rPr>
                <w:rFonts w:ascii="Times New Roman" w:hAnsi="Times New Roman" w:eastAsia="黑体"/>
              </w:rPr>
              <m:t>L</m:t>
            </m:r>
            <m:ctrlPr>
              <w:rPr>
                <w:rFonts w:ascii="Cambria Math" w:hAnsi="Cambria Math" w:eastAsia="黑体"/>
                <w:i/>
                <w:iCs/>
              </w:rPr>
            </m:ctrlPr>
          </m:e>
          <m:sub>
            <m:r>
              <m:rPr/>
              <w:rPr>
                <w:rFonts w:ascii="Times New Roman" w:hAnsi="Times New Roman" w:eastAsia="黑体"/>
              </w:rPr>
              <m:t>L</m:t>
            </m:r>
            <m:ctrlPr>
              <w:rPr>
                <w:rFonts w:ascii="Cambria Math" w:hAnsi="Cambria Math" w:eastAsia="黑体"/>
                <w:i/>
                <w:iCs/>
              </w:rPr>
            </m:ctrlPr>
          </m:sub>
        </m:sSub>
        <m:r>
          <m:rPr/>
          <w:rPr>
            <w:rFonts w:ascii="Times New Roman" w:hAnsi="Times New Roman" w:eastAsia="黑体"/>
          </w:rPr>
          <m:t>) / 2</m:t>
        </m:r>
        <m:r>
          <m:rPr/>
          <w:rPr>
            <w:rFonts w:hint="eastAsia" w:ascii="Cambria Math" w:hAnsi="Cambria Math"/>
          </w:rPr>
          <m:t xml:space="preserve"> </m:t>
        </m:r>
      </m:oMath>
      <w:r>
        <w:rPr>
          <w:rFonts w:hint="eastAsia" w:ascii="微软雅黑" w:hAnsi="微软雅黑" w:eastAsia="微软雅黑" w:cs="微软雅黑"/>
        </w:rPr>
        <w:tab/>
      </w:r>
      <w:r>
        <w:rPr>
          <w:rFonts w:hint="eastAsia"/>
        </w:rPr>
        <w:t>(B.</w:t>
      </w:r>
      <w:r>
        <w:rPr>
          <w:rFonts w:hint="eastAsia"/>
        </w:rPr>
        <w:fldChar w:fldCharType="begin"/>
      </w:r>
      <w:r>
        <w:rPr>
          <w:rFonts w:hint="eastAsia"/>
        </w:rPr>
        <w:instrText xml:space="preserve">  seq fulu_equation_134308113360523857  </w:instrText>
      </w:r>
      <w:r>
        <w:rPr>
          <w:rFonts w:hint="eastAsia"/>
        </w:rPr>
        <w:fldChar w:fldCharType="separate"/>
      </w:r>
      <w:r>
        <w:rPr>
          <w:rFonts w:hint="eastAsia"/>
        </w:rPr>
        <w:t>7</w:t>
      </w:r>
      <w:r>
        <w:rPr>
          <w:rFonts w:hint="eastAsia"/>
        </w:rPr>
        <w:fldChar w:fldCharType="end"/>
      </w:r>
      <w:r>
        <w:rPr>
          <w:rFonts w:hint="eastAsia"/>
        </w:rPr>
        <w:t>)</w:t>
      </w:r>
    </w:p>
    <w:p w14:paraId="0D06DBEC">
      <w:pPr>
        <w:pStyle w:val="19"/>
        <w:rPr>
          <w:rFonts w:ascii="Times New Roman" w:eastAsiaTheme="minorEastAsia"/>
        </w:rPr>
      </w:pPr>
      <w:r>
        <w:rPr>
          <w:rFonts w:ascii="Times New Roman" w:eastAsiaTheme="minorEastAsia"/>
        </w:rPr>
        <w:t>式中：</w:t>
      </w:r>
    </w:p>
    <w:p w14:paraId="5B2F9D36">
      <w:pPr>
        <w:pStyle w:val="19"/>
        <w:rPr>
          <w:rFonts w:ascii="Times New Roman" w:eastAsiaTheme="minorEastAsia"/>
        </w:rPr>
      </w:pPr>
      <m:oMath>
        <m:r>
          <m:rPr/>
          <w:rPr>
            <w:rFonts w:ascii="Times New Roman" w:eastAsia="黑体"/>
          </w:rPr>
          <m:t>L</m:t>
        </m:r>
      </m:oMath>
      <w:r>
        <w:rPr>
          <w:rFonts w:ascii="Times New Roman" w:eastAsiaTheme="minorEastAsia"/>
        </w:rPr>
        <w:t xml:space="preserve"> —— 作业线长度，单位为米(m)；</w:t>
      </w:r>
    </w:p>
    <w:p w14:paraId="4CAF0E76">
      <w:pPr>
        <w:pStyle w:val="19"/>
        <w:rPr>
          <w:rFonts w:ascii="Times New Roman" w:eastAsiaTheme="minorEastAsia"/>
        </w:rPr>
      </w:pPr>
      <m:oMath>
        <m:sSub>
          <m:sSubPr>
            <m:ctrlPr>
              <w:rPr>
                <w:rFonts w:ascii="Cambria Math" w:hAnsi="Cambria Math" w:eastAsia="黑体"/>
                <w:i/>
                <w:iCs/>
              </w:rPr>
            </m:ctrlPr>
          </m:sSubPr>
          <m:e>
            <m:r>
              <m:rPr/>
              <w:rPr>
                <w:rFonts w:ascii="Times New Roman" w:eastAsia="黑体"/>
              </w:rPr>
              <m:t>L</m:t>
            </m:r>
            <m:ctrlPr>
              <w:rPr>
                <w:rFonts w:ascii="Cambria Math" w:hAnsi="Cambria Math" w:eastAsia="黑体"/>
                <w:i/>
                <w:iCs/>
              </w:rPr>
            </m:ctrlPr>
          </m:e>
          <m:sub>
            <m:r>
              <m:rPr/>
              <w:rPr>
                <w:rFonts w:ascii="Times New Roman" w:eastAsia="黑体"/>
              </w:rPr>
              <m:t>s</m:t>
            </m:r>
            <m:ctrlPr>
              <w:rPr>
                <w:rFonts w:ascii="Cambria Math" w:hAnsi="Cambria Math" w:eastAsia="黑体"/>
                <w:i/>
                <w:iCs/>
              </w:rPr>
            </m:ctrlPr>
          </m:sub>
        </m:sSub>
      </m:oMath>
      <w:r>
        <w:rPr>
          <w:rFonts w:ascii="Times New Roman" w:eastAsiaTheme="minorEastAsia"/>
        </w:rPr>
        <w:t xml:space="preserve"> </w:t>
      </w:r>
      <w:r>
        <w:rPr>
          <w:rFonts w:ascii="Times New Roman"/>
        </w:rPr>
        <w:t>——</w:t>
      </w:r>
      <w:r>
        <w:rPr>
          <w:rFonts w:ascii="Times New Roman" w:eastAsiaTheme="minorEastAsia"/>
        </w:rPr>
        <w:t xml:space="preserve"> 码头前沿到堆场的最短运输距离，单位为米(m)；</w:t>
      </w:r>
    </w:p>
    <w:p w14:paraId="73B38A08">
      <w:pPr>
        <w:pStyle w:val="19"/>
        <w:rPr>
          <w:rFonts w:ascii="Times New Roman" w:eastAsiaTheme="minorEastAsia"/>
        </w:rPr>
      </w:pPr>
      <m:oMath>
        <m:sSub>
          <m:sSubPr>
            <m:ctrlPr>
              <w:rPr>
                <w:rFonts w:ascii="Cambria Math" w:hAnsi="Cambria Math" w:eastAsia="黑体"/>
                <w:i/>
                <w:iCs/>
              </w:rPr>
            </m:ctrlPr>
          </m:sSubPr>
          <m:e>
            <m:r>
              <m:rPr/>
              <w:rPr>
                <w:rFonts w:ascii="Times New Roman" w:eastAsia="黑体"/>
              </w:rPr>
              <m:t>L</m:t>
            </m:r>
            <m:ctrlPr>
              <w:rPr>
                <w:rFonts w:ascii="Cambria Math" w:hAnsi="Cambria Math" w:eastAsia="黑体"/>
                <w:i/>
                <w:iCs/>
              </w:rPr>
            </m:ctrlPr>
          </m:e>
          <m:sub>
            <m:r>
              <m:rPr/>
              <w:rPr>
                <w:rFonts w:ascii="Times New Roman" w:eastAsia="黑体"/>
              </w:rPr>
              <m:t>L</m:t>
            </m:r>
            <m:ctrlPr>
              <w:rPr>
                <w:rFonts w:ascii="Cambria Math" w:hAnsi="Cambria Math" w:eastAsia="黑体"/>
                <w:i/>
                <w:iCs/>
              </w:rPr>
            </m:ctrlPr>
          </m:sub>
        </m:sSub>
      </m:oMath>
      <w:r>
        <w:rPr>
          <w:rFonts w:ascii="Times New Roman" w:eastAsiaTheme="minorEastAsia"/>
        </w:rPr>
        <w:t xml:space="preserve"> —— 码头前沿到堆场的最长运输距离，单位为米(m)。</w:t>
      </w:r>
    </w:p>
    <w:p w14:paraId="45B75D57">
      <w:pPr>
        <w:pStyle w:val="3"/>
        <w:keepNext/>
        <w:jc w:val="center"/>
        <w:rPr>
          <w:rFonts w:hint="eastAsia" w:ascii="黑体" w:hAnsi="黑体"/>
          <w:sz w:val="21"/>
          <w:szCs w:val="21"/>
          <w:vertAlign w:val="subscript"/>
        </w:rPr>
      </w:pPr>
      <w:r>
        <w:rPr>
          <w:rFonts w:hint="eastAsia" w:ascii="黑体" w:hAnsi="黑体"/>
          <w:sz w:val="21"/>
          <w:szCs w:val="21"/>
        </w:rPr>
        <w:t>表 B.</w:t>
      </w:r>
      <w:r>
        <w:rPr>
          <w:rFonts w:ascii="黑体" w:hAnsi="黑体"/>
          <w:sz w:val="21"/>
          <w:szCs w:val="21"/>
        </w:rPr>
        <w:fldChar w:fldCharType="begin"/>
      </w:r>
      <w:r>
        <w:rPr>
          <w:rFonts w:ascii="黑体" w:hAnsi="黑体"/>
          <w:sz w:val="21"/>
          <w:szCs w:val="21"/>
        </w:rPr>
        <w:instrText xml:space="preserve"> </w:instrText>
      </w:r>
      <w:r>
        <w:rPr>
          <w:rFonts w:hint="eastAsia" w:ascii="黑体" w:hAnsi="黑体"/>
          <w:sz w:val="21"/>
          <w:szCs w:val="21"/>
        </w:rPr>
        <w:instrText xml:space="preserve">SEQ 表 \* ARABIC</w:instrText>
      </w:r>
      <w:r>
        <w:rPr>
          <w:rFonts w:ascii="黑体" w:hAnsi="黑体"/>
          <w:sz w:val="21"/>
          <w:szCs w:val="21"/>
        </w:rPr>
        <w:instrText xml:space="preserve"> </w:instrText>
      </w:r>
      <w:r>
        <w:rPr>
          <w:rFonts w:ascii="黑体" w:hAnsi="黑体"/>
          <w:sz w:val="21"/>
          <w:szCs w:val="21"/>
        </w:rPr>
        <w:fldChar w:fldCharType="separate"/>
      </w:r>
      <w:r>
        <w:rPr>
          <w:rFonts w:hint="eastAsia" w:ascii="黑体" w:hAnsi="黑体"/>
          <w:sz w:val="21"/>
          <w:szCs w:val="21"/>
        </w:rPr>
        <w:t>1</w:t>
      </w:r>
      <w:r>
        <w:rPr>
          <w:rFonts w:ascii="黑体" w:hAnsi="黑体"/>
          <w:sz w:val="21"/>
          <w:szCs w:val="21"/>
        </w:rPr>
        <w:fldChar w:fldCharType="end"/>
      </w:r>
      <w:r>
        <w:rPr>
          <w:rFonts w:hint="eastAsia" w:ascii="黑体" w:hAnsi="黑体"/>
          <w:sz w:val="21"/>
          <w:szCs w:val="21"/>
        </w:rPr>
        <w:t xml:space="preserve"> 作业线长度修正系数k</w:t>
      </w:r>
      <w:r>
        <w:rPr>
          <w:rFonts w:hint="eastAsia" w:ascii="黑体" w:hAnsi="黑体"/>
          <w:sz w:val="21"/>
          <w:szCs w:val="21"/>
          <w:vertAlign w:val="subscript"/>
        </w:rPr>
        <w:t>1</w:t>
      </w:r>
    </w:p>
    <w:tbl>
      <w:tblPr>
        <w:tblStyle w:val="11"/>
        <w:tblW w:w="4999"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4636"/>
        <w:gridCol w:w="4634"/>
      </w:tblGrid>
      <w:tr w14:paraId="591C38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2500" w:type="pct"/>
            <w:tcBorders>
              <w:bottom w:val="single" w:color="auto" w:sz="8" w:space="0"/>
            </w:tcBorders>
            <w:vAlign w:val="center"/>
          </w:tcPr>
          <w:p w14:paraId="31B15481">
            <w:pPr>
              <w:pStyle w:val="41"/>
              <w:rPr>
                <w:rFonts w:hint="default" w:ascii="Times New Roman" w:hAnsi="Times New Roman" w:cs="Times New Roman"/>
                <w:szCs w:val="18"/>
                <w:lang w:eastAsia="zh-CN"/>
              </w:rPr>
            </w:pPr>
            <w:bookmarkStart w:id="158" w:name="_Toc236437673"/>
            <w:bookmarkStart w:id="159" w:name="_Toc15597"/>
            <w:r>
              <w:rPr>
                <w:rFonts w:hint="default" w:ascii="Times New Roman" w:hAnsi="Times New Roman" w:eastAsia="宋体" w:cs="Times New Roman"/>
                <w:b w:val="0"/>
                <w:bCs w:val="0"/>
                <w:szCs w:val="18"/>
              </w:rPr>
              <w:t>作业线长度 L (m)</w:t>
            </w:r>
          </w:p>
        </w:tc>
        <w:tc>
          <w:tcPr>
            <w:tcW w:w="2499" w:type="pct"/>
            <w:tcBorders>
              <w:bottom w:val="single" w:color="auto" w:sz="8" w:space="0"/>
            </w:tcBorders>
            <w:vAlign w:val="center"/>
          </w:tcPr>
          <w:p w14:paraId="1BA13DBA">
            <w:pPr>
              <w:pStyle w:val="41"/>
              <w:rPr>
                <w:rFonts w:hint="default" w:ascii="Times New Roman" w:hAnsi="Times New Roman" w:cs="Times New Roman"/>
                <w:szCs w:val="18"/>
                <w:lang w:eastAsia="zh-CN"/>
              </w:rPr>
            </w:pPr>
            <w:r>
              <w:rPr>
                <w:rFonts w:hint="default" w:ascii="Times New Roman" w:hAnsi="Times New Roman" w:eastAsia="宋体" w:cs="Times New Roman"/>
                <w:b w:val="0"/>
                <w:bCs w:val="0"/>
                <w:szCs w:val="18"/>
              </w:rPr>
              <w:t>专业化散粮码头</w:t>
            </w:r>
          </w:p>
        </w:tc>
      </w:tr>
      <w:tr w14:paraId="3D63479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500" w:type="pct"/>
            <w:tcBorders>
              <w:top w:val="single" w:color="auto" w:sz="8" w:space="0"/>
            </w:tcBorders>
            <w:vAlign w:val="center"/>
          </w:tcPr>
          <w:p w14:paraId="7AD1C707">
            <w:pPr>
              <w:pStyle w:val="41"/>
              <w:rPr>
                <w:rFonts w:hint="default" w:ascii="Times New Roman" w:hAnsi="Times New Roman" w:cs="Times New Roman"/>
                <w:szCs w:val="18"/>
                <w:lang w:eastAsia="zh-CN"/>
              </w:rPr>
            </w:pPr>
            <w:r>
              <w:rPr>
                <w:rFonts w:hint="default" w:ascii="Times New Roman" w:hAnsi="Times New Roman" w:eastAsia="宋体" w:cs="Times New Roman"/>
                <w:szCs w:val="18"/>
              </w:rPr>
              <w:t xml:space="preserve">L </w:t>
            </w:r>
            <w:r>
              <w:rPr>
                <w:rFonts w:hint="eastAsia" w:ascii="Times New Roman" w:eastAsiaTheme="minorEastAsia"/>
                <w:b w:val="0"/>
                <w:bCs w:val="0"/>
                <w:sz w:val="18"/>
                <w:szCs w:val="18"/>
                <w:lang w:val="en-US" w:eastAsia="zh-CN"/>
              </w:rPr>
              <w:t>≤</w:t>
            </w:r>
            <w:r>
              <w:rPr>
                <w:rFonts w:hint="eastAsia" w:ascii="Times New Roman" w:cs="Times New Roman"/>
                <w:szCs w:val="18"/>
                <w:lang w:val="en-US" w:eastAsia="zh-CN"/>
              </w:rPr>
              <w:t xml:space="preserve"> </w:t>
            </w:r>
            <w:r>
              <w:rPr>
                <w:rFonts w:hint="default" w:ascii="Times New Roman" w:hAnsi="Times New Roman" w:eastAsia="宋体" w:cs="Times New Roman"/>
                <w:szCs w:val="18"/>
              </w:rPr>
              <w:t>500 m</w:t>
            </w:r>
          </w:p>
        </w:tc>
        <w:tc>
          <w:tcPr>
            <w:tcW w:w="2499" w:type="pct"/>
            <w:tcBorders>
              <w:top w:val="single" w:color="auto" w:sz="8" w:space="0"/>
            </w:tcBorders>
            <w:vAlign w:val="center"/>
          </w:tcPr>
          <w:p w14:paraId="777D688C">
            <w:pPr>
              <w:pStyle w:val="41"/>
              <w:rPr>
                <w:rFonts w:hint="default" w:ascii="Times New Roman" w:hAnsi="Times New Roman" w:cs="Times New Roman"/>
                <w:szCs w:val="18"/>
                <w:lang w:eastAsia="zh-CN"/>
              </w:rPr>
            </w:pPr>
            <w:r>
              <w:rPr>
                <w:rFonts w:hint="default" w:ascii="Times New Roman" w:hAnsi="Times New Roman" w:eastAsia="宋体" w:cs="Times New Roman"/>
                <w:szCs w:val="18"/>
              </w:rPr>
              <w:t>1.10</w:t>
            </w:r>
          </w:p>
        </w:tc>
      </w:tr>
      <w:tr w14:paraId="62DC9D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500" w:type="pct"/>
            <w:vAlign w:val="center"/>
          </w:tcPr>
          <w:p w14:paraId="2344831A">
            <w:pPr>
              <w:pStyle w:val="41"/>
              <w:rPr>
                <w:rFonts w:hint="default" w:ascii="Times New Roman" w:hAnsi="Times New Roman" w:cs="Times New Roman"/>
                <w:szCs w:val="18"/>
                <w:lang w:eastAsia="zh-CN"/>
              </w:rPr>
            </w:pPr>
            <w:r>
              <w:rPr>
                <w:rFonts w:hint="default" w:ascii="Times New Roman" w:hAnsi="Times New Roman" w:eastAsia="宋体" w:cs="Times New Roman"/>
                <w:szCs w:val="18"/>
              </w:rPr>
              <w:t xml:space="preserve">500 m &lt; L </w:t>
            </w:r>
            <w:r>
              <w:rPr>
                <w:rFonts w:hint="eastAsia" w:ascii="Times New Roman" w:eastAsiaTheme="minorEastAsia"/>
                <w:b w:val="0"/>
                <w:bCs w:val="0"/>
                <w:sz w:val="18"/>
                <w:szCs w:val="18"/>
                <w:lang w:val="en-US" w:eastAsia="zh-CN"/>
              </w:rPr>
              <w:t>≤</w:t>
            </w:r>
            <w:r>
              <w:rPr>
                <w:rFonts w:hint="default" w:ascii="Times New Roman" w:hAnsi="Times New Roman" w:eastAsia="宋体" w:cs="Times New Roman"/>
                <w:szCs w:val="18"/>
              </w:rPr>
              <w:t xml:space="preserve"> 1000 m</w:t>
            </w:r>
          </w:p>
        </w:tc>
        <w:tc>
          <w:tcPr>
            <w:tcW w:w="2499" w:type="pct"/>
            <w:vAlign w:val="center"/>
          </w:tcPr>
          <w:p w14:paraId="6EFD4A60">
            <w:pPr>
              <w:pStyle w:val="41"/>
              <w:rPr>
                <w:rFonts w:hint="default" w:ascii="Times New Roman" w:hAnsi="Times New Roman" w:cs="Times New Roman"/>
                <w:szCs w:val="18"/>
                <w:lang w:eastAsia="zh-CN"/>
              </w:rPr>
            </w:pPr>
            <w:r>
              <w:rPr>
                <w:rFonts w:hint="default" w:ascii="Times New Roman" w:hAnsi="Times New Roman" w:eastAsia="宋体" w:cs="Times New Roman"/>
                <w:szCs w:val="18"/>
              </w:rPr>
              <w:t>1.00</w:t>
            </w:r>
          </w:p>
        </w:tc>
      </w:tr>
      <w:tr w14:paraId="3182052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500" w:type="pct"/>
            <w:vAlign w:val="center"/>
          </w:tcPr>
          <w:p w14:paraId="78384211">
            <w:pPr>
              <w:pStyle w:val="41"/>
              <w:rPr>
                <w:rFonts w:hint="default" w:ascii="Times New Roman" w:hAnsi="Times New Roman" w:cs="Times New Roman"/>
                <w:szCs w:val="18"/>
                <w:lang w:eastAsia="zh-CN"/>
              </w:rPr>
            </w:pPr>
            <w:r>
              <w:rPr>
                <w:rFonts w:hint="default" w:ascii="Times New Roman" w:hAnsi="Times New Roman" w:eastAsia="宋体" w:cs="Times New Roman"/>
                <w:szCs w:val="18"/>
              </w:rPr>
              <w:t xml:space="preserve">1000 m &lt; L </w:t>
            </w:r>
            <w:r>
              <w:rPr>
                <w:rFonts w:hint="eastAsia" w:ascii="Times New Roman" w:eastAsiaTheme="minorEastAsia"/>
                <w:b w:val="0"/>
                <w:bCs w:val="0"/>
                <w:sz w:val="18"/>
                <w:szCs w:val="18"/>
                <w:lang w:val="en-US" w:eastAsia="zh-CN"/>
              </w:rPr>
              <w:t>≤</w:t>
            </w:r>
            <w:r>
              <w:rPr>
                <w:rFonts w:hint="default" w:ascii="Times New Roman" w:hAnsi="Times New Roman" w:eastAsia="宋体" w:cs="Times New Roman"/>
                <w:szCs w:val="18"/>
              </w:rPr>
              <w:t xml:space="preserve"> 1500 m</w:t>
            </w:r>
          </w:p>
        </w:tc>
        <w:tc>
          <w:tcPr>
            <w:tcW w:w="2499" w:type="pct"/>
            <w:vAlign w:val="center"/>
          </w:tcPr>
          <w:p w14:paraId="5FB9F20E">
            <w:pPr>
              <w:pStyle w:val="41"/>
              <w:rPr>
                <w:rFonts w:hint="default" w:ascii="Times New Roman" w:hAnsi="Times New Roman" w:cs="Times New Roman"/>
                <w:szCs w:val="18"/>
                <w:lang w:eastAsia="zh-CN"/>
              </w:rPr>
            </w:pPr>
            <w:r>
              <w:rPr>
                <w:rFonts w:hint="default" w:ascii="Times New Roman" w:hAnsi="Times New Roman" w:eastAsia="宋体" w:cs="Times New Roman"/>
                <w:szCs w:val="18"/>
              </w:rPr>
              <w:t>0.90</w:t>
            </w:r>
          </w:p>
        </w:tc>
      </w:tr>
      <w:tr w14:paraId="652D6A1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500" w:type="pct"/>
            <w:vAlign w:val="center"/>
          </w:tcPr>
          <w:p w14:paraId="719838CE">
            <w:pPr>
              <w:pStyle w:val="41"/>
              <w:rPr>
                <w:rFonts w:hint="default" w:ascii="Times New Roman" w:hAnsi="Times New Roman" w:cs="Times New Roman"/>
                <w:szCs w:val="18"/>
                <w:lang w:eastAsia="zh-CN"/>
              </w:rPr>
            </w:pPr>
            <w:r>
              <w:rPr>
                <w:rFonts w:hint="default" w:ascii="Times New Roman" w:hAnsi="Times New Roman" w:eastAsia="宋体" w:cs="Times New Roman"/>
                <w:szCs w:val="18"/>
              </w:rPr>
              <w:t>1500 m &lt; L</w:t>
            </w:r>
            <w:r>
              <w:rPr>
                <w:rFonts w:hint="eastAsia" w:ascii="Times New Roman" w:cs="Times New Roman"/>
                <w:szCs w:val="18"/>
                <w:lang w:val="en-US" w:eastAsia="zh-CN"/>
              </w:rPr>
              <w:t xml:space="preserve"> </w:t>
            </w:r>
            <w:r>
              <w:rPr>
                <w:rFonts w:hint="eastAsia" w:ascii="Times New Roman" w:eastAsiaTheme="minorEastAsia"/>
                <w:b w:val="0"/>
                <w:bCs w:val="0"/>
                <w:sz w:val="18"/>
                <w:szCs w:val="18"/>
                <w:lang w:val="en-US" w:eastAsia="zh-CN"/>
              </w:rPr>
              <w:t>≤</w:t>
            </w:r>
            <w:r>
              <w:rPr>
                <w:rFonts w:hint="default" w:ascii="Times New Roman" w:hAnsi="Times New Roman" w:eastAsia="宋体" w:cs="Times New Roman"/>
                <w:szCs w:val="18"/>
              </w:rPr>
              <w:t xml:space="preserve"> 2000 m</w:t>
            </w:r>
          </w:p>
        </w:tc>
        <w:tc>
          <w:tcPr>
            <w:tcW w:w="2499" w:type="pct"/>
            <w:vAlign w:val="center"/>
          </w:tcPr>
          <w:p w14:paraId="04B1624B">
            <w:pPr>
              <w:pStyle w:val="41"/>
              <w:rPr>
                <w:rFonts w:hint="default" w:ascii="Times New Roman" w:hAnsi="Times New Roman" w:cs="Times New Roman"/>
                <w:szCs w:val="18"/>
                <w:lang w:eastAsia="zh-CN"/>
              </w:rPr>
            </w:pPr>
            <w:r>
              <w:rPr>
                <w:rFonts w:hint="default" w:ascii="Times New Roman" w:hAnsi="Times New Roman" w:eastAsia="宋体" w:cs="Times New Roman"/>
                <w:szCs w:val="18"/>
              </w:rPr>
              <w:t>0.80</w:t>
            </w:r>
          </w:p>
        </w:tc>
      </w:tr>
      <w:tr w14:paraId="61C90FA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500" w:type="pct"/>
            <w:vAlign w:val="center"/>
          </w:tcPr>
          <w:p w14:paraId="3CD8138A">
            <w:pPr>
              <w:pStyle w:val="41"/>
              <w:rPr>
                <w:rFonts w:hint="default" w:ascii="Times New Roman" w:hAnsi="Times New Roman" w:cs="Times New Roman"/>
                <w:szCs w:val="18"/>
                <w:lang w:eastAsia="zh-CN"/>
              </w:rPr>
            </w:pPr>
            <w:r>
              <w:rPr>
                <w:rFonts w:hint="default" w:ascii="Times New Roman" w:hAnsi="Times New Roman" w:eastAsia="宋体" w:cs="Times New Roman"/>
                <w:szCs w:val="18"/>
              </w:rPr>
              <w:t xml:space="preserve">2000 m &lt; L </w:t>
            </w:r>
            <w:r>
              <w:rPr>
                <w:rFonts w:hint="eastAsia" w:ascii="Times New Roman" w:eastAsiaTheme="minorEastAsia"/>
                <w:b w:val="0"/>
                <w:bCs w:val="0"/>
                <w:sz w:val="18"/>
                <w:szCs w:val="18"/>
                <w:lang w:val="en-US" w:eastAsia="zh-CN"/>
              </w:rPr>
              <w:t>≤</w:t>
            </w:r>
            <w:r>
              <w:rPr>
                <w:rFonts w:hint="default" w:ascii="Times New Roman" w:hAnsi="Times New Roman" w:eastAsia="宋体" w:cs="Times New Roman"/>
                <w:szCs w:val="18"/>
              </w:rPr>
              <w:t xml:space="preserve"> 3000 m</w:t>
            </w:r>
          </w:p>
        </w:tc>
        <w:tc>
          <w:tcPr>
            <w:tcW w:w="2499" w:type="pct"/>
            <w:vAlign w:val="center"/>
          </w:tcPr>
          <w:p w14:paraId="5E4AA544">
            <w:pPr>
              <w:pStyle w:val="41"/>
              <w:rPr>
                <w:rFonts w:hint="default" w:ascii="Times New Roman" w:hAnsi="Times New Roman" w:cs="Times New Roman"/>
                <w:szCs w:val="18"/>
                <w:lang w:eastAsia="zh-CN"/>
              </w:rPr>
            </w:pPr>
            <w:r>
              <w:rPr>
                <w:rFonts w:hint="default" w:ascii="Times New Roman" w:hAnsi="Times New Roman" w:eastAsia="宋体" w:cs="Times New Roman"/>
                <w:szCs w:val="18"/>
              </w:rPr>
              <w:t>0.70</w:t>
            </w:r>
          </w:p>
        </w:tc>
      </w:tr>
      <w:tr w14:paraId="653C672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500" w:type="pct"/>
            <w:vAlign w:val="center"/>
          </w:tcPr>
          <w:p w14:paraId="421F05D9">
            <w:pPr>
              <w:pStyle w:val="41"/>
              <w:rPr>
                <w:rFonts w:hint="default" w:ascii="Times New Roman" w:hAnsi="Times New Roman" w:cs="Times New Roman"/>
                <w:szCs w:val="18"/>
                <w:lang w:eastAsia="zh-CN"/>
              </w:rPr>
            </w:pPr>
            <w:r>
              <w:rPr>
                <w:rFonts w:hint="default" w:ascii="Times New Roman" w:hAnsi="Times New Roman" w:eastAsia="宋体" w:cs="Times New Roman"/>
                <w:szCs w:val="18"/>
              </w:rPr>
              <w:t>L &gt; 3000 m</w:t>
            </w:r>
          </w:p>
        </w:tc>
        <w:tc>
          <w:tcPr>
            <w:tcW w:w="2499" w:type="pct"/>
            <w:vAlign w:val="center"/>
          </w:tcPr>
          <w:p w14:paraId="7903AE45">
            <w:pPr>
              <w:pStyle w:val="41"/>
              <w:rPr>
                <w:rFonts w:hint="default" w:ascii="Times New Roman" w:hAnsi="Times New Roman" w:cs="Times New Roman"/>
                <w:szCs w:val="18"/>
                <w:lang w:eastAsia="zh-CN"/>
              </w:rPr>
            </w:pPr>
            <w:r>
              <w:rPr>
                <w:rFonts w:hint="default" w:ascii="Times New Roman" w:hAnsi="Times New Roman" w:eastAsia="宋体" w:cs="Times New Roman"/>
                <w:szCs w:val="18"/>
              </w:rPr>
              <w:t>0.60</w:t>
            </w:r>
          </w:p>
        </w:tc>
      </w:tr>
    </w:tbl>
    <w:p w14:paraId="106E8B5F">
      <w:pPr>
        <w:pStyle w:val="25"/>
        <w:spacing w:before="156" w:after="156"/>
        <w:rPr>
          <w:rFonts w:hint="eastAsia"/>
        </w:rPr>
      </w:pPr>
      <w:r>
        <w:rPr>
          <w:rFonts w:hint="eastAsia"/>
        </w:rPr>
        <w:t>河港水位落差修正系数</w:t>
      </w:r>
      <w:r>
        <w:t>k</w:t>
      </w:r>
      <w:r>
        <w:rPr>
          <w:rFonts w:hint="eastAsia"/>
          <w:vertAlign w:val="subscript"/>
        </w:rPr>
        <w:t>2</w:t>
      </w:r>
      <w:bookmarkEnd w:id="158"/>
      <w:bookmarkEnd w:id="159"/>
    </w:p>
    <w:p w14:paraId="527D9F3F">
      <w:pPr>
        <w:pStyle w:val="19"/>
      </w:pPr>
      <w:r>
        <w:rPr>
          <w:rFonts w:hint="eastAsia"/>
        </w:rPr>
        <w:t>河港水位落差</w:t>
      </w:r>
      <w:r>
        <w:t>修正系数k</w:t>
      </w:r>
      <w:r>
        <w:rPr>
          <w:rFonts w:hint="eastAsia"/>
          <w:vertAlign w:val="subscript"/>
        </w:rPr>
        <w:t>2</w:t>
      </w:r>
      <w:r>
        <w:t>采用下述公式计算，取值范围见表B.</w:t>
      </w:r>
      <w:r>
        <w:rPr>
          <w:rFonts w:hint="eastAsia"/>
        </w:rPr>
        <w:t>2</w:t>
      </w:r>
      <w:r>
        <w:t>。</w:t>
      </w:r>
    </w:p>
    <w:p w14:paraId="76C8CA5D">
      <w:pPr>
        <w:pStyle w:val="42"/>
        <w:rPr>
          <w:rFonts w:hint="eastAsia"/>
        </w:rPr>
      </w:pPr>
      <w:r>
        <w:rPr>
          <w:rFonts w:hint="eastAsia"/>
        </w:rPr>
        <w:tab/>
      </w:r>
      <m:oMath>
        <m:r>
          <m:rPr/>
          <w:rPr>
            <w:rFonts w:ascii="Cambria Math" w:hAnsi="Cambria Math"/>
          </w:rPr>
          <m:t>Δh=</m:t>
        </m:r>
        <m:sSub>
          <m:sSubPr>
            <m:ctrlPr>
              <w:rPr>
                <w:rFonts w:ascii="Cambria Math" w:hAnsi="Cambria Math"/>
                <w:i/>
                <w:iCs/>
              </w:rPr>
            </m:ctrlPr>
          </m:sSubPr>
          <m:e>
            <m:r>
              <m:rPr/>
              <w:rPr>
                <w:rFonts w:ascii="Cambria Math" w:hAnsi="Cambria Math"/>
              </w:rPr>
              <m:t>h</m:t>
            </m:r>
            <m:ctrlPr>
              <w:rPr>
                <w:rFonts w:ascii="Cambria Math" w:hAnsi="Cambria Math"/>
                <w:i/>
                <w:iCs/>
              </w:rPr>
            </m:ctrlPr>
          </m:e>
          <m:sub>
            <m:r>
              <m:rPr/>
              <w:rPr>
                <w:rFonts w:ascii="Cambria Math" w:hAnsi="Cambria Math"/>
              </w:rPr>
              <m:t>h</m:t>
            </m:r>
            <m:ctrlPr>
              <w:rPr>
                <w:rFonts w:ascii="Cambria Math" w:hAnsi="Cambria Math"/>
                <w:i/>
                <w:iCs/>
              </w:rPr>
            </m:ctrlPr>
          </m:sub>
        </m:sSub>
        <m:r>
          <m:rPr/>
          <w:rPr>
            <w:rFonts w:ascii="Cambria Math" w:hAnsi="Cambria Math"/>
          </w:rPr>
          <m:t xml:space="preserve"> −</m:t>
        </m:r>
        <m:sSub>
          <m:sSubPr>
            <m:ctrlPr>
              <w:rPr>
                <w:rFonts w:ascii="Cambria Math" w:hAnsi="Cambria Math"/>
                <w:i/>
                <w:iCs/>
              </w:rPr>
            </m:ctrlPr>
          </m:sSubPr>
          <m:e>
            <m:r>
              <m:rPr/>
              <w:rPr>
                <w:rFonts w:ascii="Cambria Math" w:hAnsi="Cambria Math"/>
              </w:rPr>
              <m:t>h</m:t>
            </m:r>
            <m:ctrlPr>
              <w:rPr>
                <w:rFonts w:ascii="Cambria Math" w:hAnsi="Cambria Math"/>
                <w:i/>
                <w:iCs/>
              </w:rPr>
            </m:ctrlPr>
          </m:e>
          <m:sub>
            <m:r>
              <m:rPr/>
              <w:rPr>
                <w:rFonts w:ascii="Cambria Math" w:hAnsi="Cambria Math"/>
              </w:rPr>
              <m:t>l</m:t>
            </m:r>
            <m:ctrlPr>
              <w:rPr>
                <w:rFonts w:ascii="Cambria Math" w:hAnsi="Cambria Math"/>
                <w:i/>
                <w:iCs/>
              </w:rPr>
            </m:ctrlPr>
          </m:sub>
        </m:sSub>
        <m:r>
          <m:rPr>
            <m:sty m:val="p"/>
          </m:rPr>
          <w:rPr>
            <w:rFonts w:ascii="Cambria Math" w:hAnsi="Cambria Math"/>
          </w:rPr>
          <m:t xml:space="preserve"> </m:t>
        </m:r>
        <m:r>
          <m:rPr>
            <m:sty m:val="p"/>
          </m:rPr>
          <w:rPr>
            <w:rFonts w:hint="eastAsia" w:ascii="Cambria Math" w:hAnsi="Cambria Math"/>
          </w:rPr>
          <m:t xml:space="preserve"> </m:t>
        </m:r>
      </m:oMath>
      <w:r>
        <w:rPr>
          <w:rFonts w:hint="eastAsia" w:ascii="微软雅黑" w:hAnsi="微软雅黑" w:eastAsia="微软雅黑" w:cs="微软雅黑"/>
        </w:rPr>
        <w:tab/>
      </w:r>
      <w:r>
        <w:rPr>
          <w:rFonts w:hint="eastAsia"/>
        </w:rPr>
        <w:t>(B.</w:t>
      </w:r>
      <w:r>
        <w:rPr>
          <w:rFonts w:hint="eastAsia"/>
        </w:rPr>
        <w:fldChar w:fldCharType="begin"/>
      </w:r>
      <w:r>
        <w:rPr>
          <w:rFonts w:hint="eastAsia"/>
        </w:rPr>
        <w:instrText xml:space="preserve">  seq fulu_equation_134308113360523857  </w:instrText>
      </w:r>
      <w:r>
        <w:rPr>
          <w:rFonts w:hint="eastAsia"/>
        </w:rPr>
        <w:fldChar w:fldCharType="separate"/>
      </w:r>
      <w:r>
        <w:rPr>
          <w:rFonts w:hint="eastAsia"/>
        </w:rPr>
        <w:t>8</w:t>
      </w:r>
      <w:r>
        <w:rPr>
          <w:rFonts w:hint="eastAsia"/>
        </w:rPr>
        <w:fldChar w:fldCharType="end"/>
      </w:r>
      <w:r>
        <w:rPr>
          <w:rFonts w:hint="eastAsia"/>
        </w:rPr>
        <w:t>)</w:t>
      </w:r>
    </w:p>
    <w:p w14:paraId="66EAECCC">
      <w:pPr>
        <w:pStyle w:val="19"/>
      </w:pPr>
      <w:r>
        <w:t>式中：</w:t>
      </w:r>
    </w:p>
    <w:p w14:paraId="5D8B4A1D">
      <w:pPr>
        <w:pStyle w:val="19"/>
        <w:rPr>
          <w:rFonts w:ascii="Times New Roman" w:eastAsiaTheme="minorEastAsia"/>
        </w:rPr>
      </w:pPr>
      <w:r>
        <w:rPr>
          <w:rFonts w:ascii="Times New Roman" w:eastAsiaTheme="minorEastAsia"/>
          <w:i/>
          <w:iCs/>
        </w:rPr>
        <w:t>Δh</w:t>
      </w:r>
      <w:r>
        <w:rPr>
          <w:rFonts w:ascii="Times New Roman" w:eastAsiaTheme="minorEastAsia"/>
        </w:rPr>
        <w:t xml:space="preserve"> ——</w:t>
      </w:r>
      <w:r>
        <w:rPr>
          <w:rFonts w:hint="eastAsia" w:ascii="Times New Roman" w:eastAsiaTheme="minorEastAsia"/>
        </w:rPr>
        <w:t xml:space="preserve"> </w:t>
      </w:r>
      <w:r>
        <w:rPr>
          <w:rFonts w:ascii="Times New Roman" w:eastAsiaTheme="minorEastAsia"/>
        </w:rPr>
        <w:t>河港水位落差，单位为米(m)；</w:t>
      </w:r>
    </w:p>
    <w:p w14:paraId="43A72BFA">
      <w:pPr>
        <w:pStyle w:val="19"/>
        <w:rPr>
          <w:rFonts w:ascii="Times New Roman" w:eastAsiaTheme="minorEastAsia"/>
        </w:rPr>
      </w:pPr>
      <m:oMath>
        <m:sSub>
          <m:sSubPr>
            <m:ctrlPr>
              <w:rPr>
                <w:rFonts w:ascii="Cambria Math" w:hAnsi="Cambria Math"/>
                <w:i/>
                <w:iCs/>
              </w:rPr>
            </m:ctrlPr>
          </m:sSubPr>
          <m:e>
            <m:r>
              <m:rPr/>
              <w:rPr>
                <w:rFonts w:ascii="Cambria Math" w:hAnsi="Cambria Math"/>
              </w:rPr>
              <m:t>h</m:t>
            </m:r>
            <m:ctrlPr>
              <w:rPr>
                <w:rFonts w:ascii="Cambria Math" w:hAnsi="Cambria Math"/>
                <w:i/>
                <w:iCs/>
              </w:rPr>
            </m:ctrlPr>
          </m:e>
          <m:sub>
            <m:r>
              <m:rPr/>
              <w:rPr>
                <w:rFonts w:ascii="Cambria Math" w:hAnsi="Cambria Math"/>
              </w:rPr>
              <m:t>h</m:t>
            </m:r>
            <m:ctrlPr>
              <w:rPr>
                <w:rFonts w:ascii="Cambria Math" w:hAnsi="Cambria Math"/>
                <w:i/>
                <w:iCs/>
              </w:rPr>
            </m:ctrlPr>
          </m:sub>
        </m:sSub>
      </m:oMath>
      <w:r>
        <w:rPr>
          <w:rFonts w:ascii="Times New Roman" w:eastAsiaTheme="minorEastAsia"/>
        </w:rPr>
        <w:t xml:space="preserve"> ——</w:t>
      </w:r>
      <w:r>
        <w:rPr>
          <w:rFonts w:hint="eastAsia" w:ascii="Times New Roman" w:eastAsiaTheme="minorEastAsia"/>
        </w:rPr>
        <w:t xml:space="preserve"> </w:t>
      </w:r>
      <w:r>
        <w:rPr>
          <w:rFonts w:ascii="Times New Roman" w:eastAsiaTheme="minorEastAsia"/>
        </w:rPr>
        <w:t>设计高水位，单位为米(m)；</w:t>
      </w:r>
    </w:p>
    <w:p w14:paraId="7F4EEFCE">
      <w:pPr>
        <w:pStyle w:val="19"/>
        <w:rPr>
          <w:rFonts w:ascii="Times New Roman" w:eastAsiaTheme="minorEastAsia"/>
        </w:rPr>
      </w:pPr>
      <m:oMath>
        <m:sSub>
          <m:sSubPr>
            <m:ctrlPr>
              <w:rPr>
                <w:rFonts w:ascii="Cambria Math" w:hAnsi="Cambria Math"/>
                <w:i/>
                <w:iCs/>
              </w:rPr>
            </m:ctrlPr>
          </m:sSubPr>
          <m:e>
            <m:r>
              <m:rPr/>
              <w:rPr>
                <w:rFonts w:ascii="Cambria Math" w:hAnsi="Cambria Math"/>
              </w:rPr>
              <m:t>h</m:t>
            </m:r>
            <m:ctrlPr>
              <w:rPr>
                <w:rFonts w:ascii="Cambria Math" w:hAnsi="Cambria Math"/>
                <w:i/>
                <w:iCs/>
              </w:rPr>
            </m:ctrlPr>
          </m:e>
          <m:sub>
            <m:r>
              <m:rPr/>
              <w:rPr>
                <w:rFonts w:ascii="Cambria Math" w:hAnsi="Cambria Math"/>
              </w:rPr>
              <m:t>l</m:t>
            </m:r>
            <m:ctrlPr>
              <w:rPr>
                <w:rFonts w:ascii="Cambria Math" w:hAnsi="Cambria Math"/>
                <w:i/>
                <w:iCs/>
              </w:rPr>
            </m:ctrlPr>
          </m:sub>
        </m:sSub>
      </m:oMath>
      <w:r>
        <w:rPr>
          <w:rFonts w:ascii="Times New Roman" w:eastAsiaTheme="minorEastAsia"/>
        </w:rPr>
        <w:t xml:space="preserve"> ——</w:t>
      </w:r>
      <w:r>
        <w:rPr>
          <w:rFonts w:hint="eastAsia" w:ascii="Times New Roman" w:eastAsiaTheme="minorEastAsia"/>
        </w:rPr>
        <w:t xml:space="preserve"> </w:t>
      </w:r>
      <w:r>
        <w:rPr>
          <w:rFonts w:ascii="Times New Roman" w:eastAsiaTheme="minorEastAsia"/>
        </w:rPr>
        <w:t>设计低水位，单位为米(m)。</w:t>
      </w:r>
    </w:p>
    <w:p w14:paraId="4981D53A">
      <w:pPr>
        <w:pStyle w:val="3"/>
        <w:keepNext/>
        <w:jc w:val="center"/>
        <w:rPr>
          <w:rFonts w:hint="eastAsia" w:ascii="黑体" w:hAnsi="黑体"/>
          <w:sz w:val="21"/>
          <w:szCs w:val="21"/>
          <w:vertAlign w:val="subscript"/>
        </w:rPr>
      </w:pPr>
      <w:r>
        <w:rPr>
          <w:rFonts w:hint="eastAsia" w:ascii="黑体" w:hAnsi="黑体"/>
          <w:sz w:val="21"/>
          <w:szCs w:val="21"/>
        </w:rPr>
        <w:t>表 B.</w:t>
      </w:r>
      <w:r>
        <w:rPr>
          <w:rFonts w:ascii="黑体" w:hAnsi="黑体"/>
          <w:sz w:val="21"/>
          <w:szCs w:val="21"/>
        </w:rPr>
        <w:fldChar w:fldCharType="begin"/>
      </w:r>
      <w:r>
        <w:rPr>
          <w:rFonts w:ascii="黑体" w:hAnsi="黑体"/>
          <w:sz w:val="21"/>
          <w:szCs w:val="21"/>
        </w:rPr>
        <w:instrText xml:space="preserve"> </w:instrText>
      </w:r>
      <w:r>
        <w:rPr>
          <w:rFonts w:hint="eastAsia" w:ascii="黑体" w:hAnsi="黑体"/>
          <w:sz w:val="21"/>
          <w:szCs w:val="21"/>
        </w:rPr>
        <w:instrText xml:space="preserve">SEQ 表 \* ARABIC</w:instrText>
      </w:r>
      <w:r>
        <w:rPr>
          <w:rFonts w:ascii="黑体" w:hAnsi="黑体"/>
          <w:sz w:val="21"/>
          <w:szCs w:val="21"/>
        </w:rPr>
        <w:instrText xml:space="preserve"> </w:instrText>
      </w:r>
      <w:r>
        <w:rPr>
          <w:rFonts w:ascii="黑体" w:hAnsi="黑体"/>
          <w:sz w:val="21"/>
          <w:szCs w:val="21"/>
        </w:rPr>
        <w:fldChar w:fldCharType="separate"/>
      </w:r>
      <w:r>
        <w:rPr>
          <w:rFonts w:hint="eastAsia" w:ascii="黑体" w:hAnsi="黑体"/>
          <w:sz w:val="21"/>
          <w:szCs w:val="21"/>
        </w:rPr>
        <w:t>2</w:t>
      </w:r>
      <w:r>
        <w:rPr>
          <w:rFonts w:ascii="黑体" w:hAnsi="黑体"/>
          <w:sz w:val="21"/>
          <w:szCs w:val="21"/>
        </w:rPr>
        <w:fldChar w:fldCharType="end"/>
      </w:r>
      <w:r>
        <w:rPr>
          <w:rFonts w:hint="eastAsia" w:ascii="黑体" w:hAnsi="黑体"/>
          <w:sz w:val="21"/>
          <w:szCs w:val="21"/>
        </w:rPr>
        <w:t xml:space="preserve"> 河港水位落差修正系数</w:t>
      </w:r>
      <w:r>
        <w:rPr>
          <w:rFonts w:ascii="黑体" w:hAnsi="黑体"/>
          <w:sz w:val="21"/>
          <w:szCs w:val="21"/>
        </w:rPr>
        <w:t>k</w:t>
      </w:r>
      <w:r>
        <w:rPr>
          <w:rFonts w:ascii="黑体" w:hAnsi="黑体"/>
          <w:sz w:val="21"/>
          <w:szCs w:val="21"/>
          <w:vertAlign w:val="subscript"/>
        </w:rPr>
        <w:t>2</w:t>
      </w:r>
    </w:p>
    <w:tbl>
      <w:tblPr>
        <w:tblStyle w:val="1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4637"/>
        <w:gridCol w:w="4635"/>
      </w:tblGrid>
      <w:tr w14:paraId="5ECB2B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4785" w:type="dxa"/>
            <w:tcBorders>
              <w:bottom w:val="single" w:color="auto" w:sz="8" w:space="0"/>
            </w:tcBorders>
            <w:vAlign w:val="center"/>
          </w:tcPr>
          <w:p w14:paraId="34CCC71B">
            <w:pPr>
              <w:pStyle w:val="19"/>
              <w:ind w:firstLine="0" w:firstLineChars="0"/>
              <w:jc w:val="center"/>
              <w:rPr>
                <w:sz w:val="18"/>
                <w:szCs w:val="18"/>
              </w:rPr>
            </w:pPr>
            <w:r>
              <w:rPr>
                <w:rFonts w:hint="eastAsia" w:ascii="Times New Roman" w:eastAsiaTheme="minorEastAsia"/>
                <w:sz w:val="18"/>
                <w:szCs w:val="18"/>
              </w:rPr>
              <w:t xml:space="preserve">河港水位落差 </w:t>
            </w:r>
            <w:r>
              <w:rPr>
                <w:rFonts w:ascii="Times New Roman" w:eastAsiaTheme="minorEastAsia"/>
                <w:sz w:val="18"/>
                <w:szCs w:val="18"/>
              </w:rPr>
              <w:t>Δh</w:t>
            </w:r>
            <w:r>
              <w:rPr>
                <w:rFonts w:hint="eastAsia" w:ascii="Times New Roman" w:eastAsiaTheme="minorEastAsia"/>
                <w:sz w:val="18"/>
                <w:szCs w:val="18"/>
              </w:rPr>
              <w:t xml:space="preserve"> </w:t>
            </w:r>
            <w:r>
              <w:rPr>
                <w:rFonts w:ascii="Times New Roman" w:eastAsiaTheme="minorEastAsia"/>
                <w:sz w:val="18"/>
                <w:szCs w:val="18"/>
              </w:rPr>
              <w:t>(</w:t>
            </w:r>
            <w:r>
              <w:rPr>
                <w:rFonts w:hint="eastAsia" w:ascii="Times New Roman" w:eastAsiaTheme="minorEastAsia"/>
                <w:sz w:val="18"/>
                <w:szCs w:val="18"/>
              </w:rPr>
              <w:t>m</w:t>
            </w:r>
            <w:r>
              <w:rPr>
                <w:rFonts w:ascii="Times New Roman" w:eastAsiaTheme="minorEastAsia"/>
                <w:sz w:val="18"/>
                <w:szCs w:val="18"/>
              </w:rPr>
              <w:t>)</w:t>
            </w:r>
          </w:p>
        </w:tc>
        <w:tc>
          <w:tcPr>
            <w:tcW w:w="4785" w:type="dxa"/>
            <w:tcBorders>
              <w:bottom w:val="single" w:color="auto" w:sz="8" w:space="0"/>
            </w:tcBorders>
            <w:vAlign w:val="center"/>
          </w:tcPr>
          <w:p w14:paraId="78987044">
            <w:pPr>
              <w:pStyle w:val="19"/>
              <w:ind w:firstLine="0" w:firstLineChars="0"/>
              <w:jc w:val="center"/>
              <w:rPr>
                <w:sz w:val="18"/>
                <w:szCs w:val="18"/>
              </w:rPr>
            </w:pPr>
            <w:r>
              <w:rPr>
                <w:rFonts w:ascii="Times New Roman" w:eastAsiaTheme="minorEastAsia"/>
                <w:sz w:val="18"/>
                <w:szCs w:val="18"/>
              </w:rPr>
              <w:t>专业化</w:t>
            </w:r>
            <w:r>
              <w:rPr>
                <w:rFonts w:hint="eastAsia" w:ascii="Times New Roman" w:eastAsiaTheme="minorEastAsia"/>
                <w:sz w:val="18"/>
                <w:szCs w:val="18"/>
              </w:rPr>
              <w:t>散粮</w:t>
            </w:r>
            <w:r>
              <w:rPr>
                <w:rFonts w:ascii="Times New Roman" w:eastAsiaTheme="minorEastAsia"/>
                <w:sz w:val="18"/>
                <w:szCs w:val="18"/>
              </w:rPr>
              <w:t>码头</w:t>
            </w:r>
          </w:p>
        </w:tc>
      </w:tr>
      <w:tr w14:paraId="5AE943E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4785" w:type="dxa"/>
            <w:tcBorders>
              <w:top w:val="single" w:color="auto" w:sz="8" w:space="0"/>
            </w:tcBorders>
          </w:tcPr>
          <w:p w14:paraId="37872ADB">
            <w:pPr>
              <w:pStyle w:val="19"/>
              <w:ind w:firstLine="0" w:firstLineChars="0"/>
              <w:jc w:val="center"/>
              <w:rPr>
                <w:sz w:val="18"/>
                <w:szCs w:val="18"/>
              </w:rPr>
            </w:pPr>
            <w:r>
              <w:rPr>
                <w:rFonts w:ascii="Times New Roman" w:eastAsiaTheme="minorEastAsia"/>
                <w:sz w:val="18"/>
                <w:szCs w:val="18"/>
              </w:rPr>
              <w:t xml:space="preserve">Δh </w:t>
            </w:r>
            <w:r>
              <w:rPr>
                <w:rFonts w:hint="eastAsia" w:ascii="Times New Roman" w:eastAsiaTheme="minorEastAsia"/>
                <w:sz w:val="18"/>
                <w:szCs w:val="18"/>
              </w:rPr>
              <w:t xml:space="preserve">≤ </w:t>
            </w:r>
            <w:r>
              <w:rPr>
                <w:rFonts w:ascii="Times New Roman" w:eastAsiaTheme="minorEastAsia"/>
                <w:sz w:val="18"/>
                <w:szCs w:val="18"/>
              </w:rPr>
              <w:t>5</w:t>
            </w:r>
          </w:p>
        </w:tc>
        <w:tc>
          <w:tcPr>
            <w:tcW w:w="4785" w:type="dxa"/>
            <w:tcBorders>
              <w:top w:val="single" w:color="auto" w:sz="8" w:space="0"/>
            </w:tcBorders>
          </w:tcPr>
          <w:p w14:paraId="3480F757">
            <w:pPr>
              <w:pStyle w:val="19"/>
              <w:ind w:firstLine="0" w:firstLineChars="0"/>
              <w:jc w:val="center"/>
              <w:rPr>
                <w:sz w:val="18"/>
                <w:szCs w:val="18"/>
              </w:rPr>
            </w:pPr>
            <w:r>
              <w:rPr>
                <w:rFonts w:ascii="Times New Roman"/>
                <w:sz w:val="18"/>
                <w:szCs w:val="18"/>
              </w:rPr>
              <w:t>1.00</w:t>
            </w:r>
          </w:p>
        </w:tc>
      </w:tr>
      <w:tr w14:paraId="509EE6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4785" w:type="dxa"/>
          </w:tcPr>
          <w:p w14:paraId="07235741">
            <w:pPr>
              <w:pStyle w:val="19"/>
              <w:ind w:firstLine="0" w:firstLineChars="0"/>
              <w:jc w:val="center"/>
              <w:rPr>
                <w:sz w:val="18"/>
                <w:szCs w:val="18"/>
              </w:rPr>
            </w:pPr>
            <w:r>
              <w:rPr>
                <w:rFonts w:ascii="Times New Roman" w:eastAsiaTheme="minorEastAsia"/>
                <w:sz w:val="18"/>
                <w:szCs w:val="18"/>
              </w:rPr>
              <w:t xml:space="preserve">5 &lt; Δh </w:t>
            </w:r>
            <w:r>
              <w:rPr>
                <w:rFonts w:hint="eastAsia" w:ascii="Times New Roman" w:eastAsiaTheme="minorEastAsia"/>
                <w:sz w:val="18"/>
                <w:szCs w:val="18"/>
              </w:rPr>
              <w:t>≤</w:t>
            </w:r>
            <w:r>
              <w:rPr>
                <w:rFonts w:ascii="Times New Roman" w:eastAsiaTheme="minorEastAsia"/>
                <w:sz w:val="18"/>
                <w:szCs w:val="18"/>
              </w:rPr>
              <w:t xml:space="preserve"> 10</w:t>
            </w:r>
          </w:p>
        </w:tc>
        <w:tc>
          <w:tcPr>
            <w:tcW w:w="4785" w:type="dxa"/>
          </w:tcPr>
          <w:p w14:paraId="1336D021">
            <w:pPr>
              <w:pStyle w:val="19"/>
              <w:ind w:firstLine="0" w:firstLineChars="0"/>
              <w:jc w:val="center"/>
              <w:rPr>
                <w:sz w:val="18"/>
                <w:szCs w:val="18"/>
              </w:rPr>
            </w:pPr>
            <w:r>
              <w:rPr>
                <w:rFonts w:ascii="Times New Roman"/>
                <w:sz w:val="18"/>
                <w:szCs w:val="18"/>
              </w:rPr>
              <w:t>0.95</w:t>
            </w:r>
          </w:p>
        </w:tc>
      </w:tr>
      <w:tr w14:paraId="13713C7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4785" w:type="dxa"/>
          </w:tcPr>
          <w:p w14:paraId="52B2C117">
            <w:pPr>
              <w:pStyle w:val="19"/>
              <w:ind w:firstLine="0" w:firstLineChars="0"/>
              <w:jc w:val="center"/>
              <w:rPr>
                <w:sz w:val="18"/>
                <w:szCs w:val="18"/>
              </w:rPr>
            </w:pPr>
            <w:r>
              <w:rPr>
                <w:rFonts w:ascii="Times New Roman" w:eastAsiaTheme="minorEastAsia"/>
                <w:sz w:val="18"/>
                <w:szCs w:val="18"/>
              </w:rPr>
              <w:t>10 &lt; Δh</w:t>
            </w:r>
            <w:r>
              <w:rPr>
                <w:rFonts w:hint="eastAsia" w:ascii="Times New Roman" w:eastAsiaTheme="minorEastAsia"/>
                <w:sz w:val="18"/>
                <w:szCs w:val="18"/>
              </w:rPr>
              <w:t>≤</w:t>
            </w:r>
            <w:r>
              <w:rPr>
                <w:rFonts w:ascii="Times New Roman" w:eastAsiaTheme="minorEastAsia"/>
                <w:sz w:val="18"/>
                <w:szCs w:val="18"/>
              </w:rPr>
              <w:t>15</w:t>
            </w:r>
          </w:p>
        </w:tc>
        <w:tc>
          <w:tcPr>
            <w:tcW w:w="4785" w:type="dxa"/>
          </w:tcPr>
          <w:p w14:paraId="6FCC2A4D">
            <w:pPr>
              <w:pStyle w:val="19"/>
              <w:ind w:firstLine="0" w:firstLineChars="0"/>
              <w:jc w:val="center"/>
              <w:rPr>
                <w:sz w:val="18"/>
                <w:szCs w:val="18"/>
              </w:rPr>
            </w:pPr>
            <w:r>
              <w:rPr>
                <w:rFonts w:ascii="Times New Roman"/>
                <w:sz w:val="18"/>
                <w:szCs w:val="18"/>
              </w:rPr>
              <w:t>0.90</w:t>
            </w:r>
          </w:p>
        </w:tc>
      </w:tr>
      <w:tr w14:paraId="4D404FB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4785" w:type="dxa"/>
          </w:tcPr>
          <w:p w14:paraId="1009DDE5">
            <w:pPr>
              <w:pStyle w:val="19"/>
              <w:ind w:firstLine="0" w:firstLineChars="0"/>
              <w:jc w:val="center"/>
              <w:rPr>
                <w:sz w:val="18"/>
                <w:szCs w:val="18"/>
              </w:rPr>
            </w:pPr>
            <w:r>
              <w:rPr>
                <w:rFonts w:ascii="Times New Roman" w:eastAsiaTheme="minorEastAsia"/>
                <w:sz w:val="18"/>
                <w:szCs w:val="18"/>
              </w:rPr>
              <w:t xml:space="preserve">15 &lt; Δh </w:t>
            </w:r>
            <w:r>
              <w:rPr>
                <w:rFonts w:hint="eastAsia" w:ascii="Times New Roman" w:eastAsiaTheme="minorEastAsia"/>
                <w:sz w:val="18"/>
                <w:szCs w:val="18"/>
              </w:rPr>
              <w:t>≤</w:t>
            </w:r>
            <w:r>
              <w:rPr>
                <w:rFonts w:ascii="Times New Roman" w:eastAsiaTheme="minorEastAsia"/>
                <w:sz w:val="18"/>
                <w:szCs w:val="18"/>
              </w:rPr>
              <w:t>20</w:t>
            </w:r>
          </w:p>
        </w:tc>
        <w:tc>
          <w:tcPr>
            <w:tcW w:w="4785" w:type="dxa"/>
          </w:tcPr>
          <w:p w14:paraId="3D9E9601">
            <w:pPr>
              <w:pStyle w:val="19"/>
              <w:ind w:firstLine="0" w:firstLineChars="0"/>
              <w:jc w:val="center"/>
              <w:rPr>
                <w:sz w:val="18"/>
                <w:szCs w:val="18"/>
              </w:rPr>
            </w:pPr>
            <w:r>
              <w:rPr>
                <w:rFonts w:ascii="Times New Roman"/>
                <w:sz w:val="18"/>
                <w:szCs w:val="18"/>
              </w:rPr>
              <w:t>0.85</w:t>
            </w:r>
          </w:p>
        </w:tc>
      </w:tr>
      <w:tr w14:paraId="51448D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4785" w:type="dxa"/>
          </w:tcPr>
          <w:p w14:paraId="1BCEA0AE">
            <w:pPr>
              <w:pStyle w:val="19"/>
              <w:ind w:firstLine="0" w:firstLineChars="0"/>
              <w:jc w:val="center"/>
              <w:rPr>
                <w:sz w:val="18"/>
                <w:szCs w:val="18"/>
              </w:rPr>
            </w:pPr>
            <w:r>
              <w:rPr>
                <w:rFonts w:ascii="Times New Roman" w:eastAsiaTheme="minorEastAsia"/>
                <w:sz w:val="18"/>
                <w:szCs w:val="18"/>
              </w:rPr>
              <w:t>Δh &gt; 20</w:t>
            </w:r>
          </w:p>
        </w:tc>
        <w:tc>
          <w:tcPr>
            <w:tcW w:w="4785" w:type="dxa"/>
          </w:tcPr>
          <w:p w14:paraId="6C584283">
            <w:pPr>
              <w:pStyle w:val="19"/>
              <w:ind w:firstLine="0" w:firstLineChars="0"/>
              <w:jc w:val="center"/>
              <w:rPr>
                <w:sz w:val="18"/>
                <w:szCs w:val="18"/>
              </w:rPr>
            </w:pPr>
            <w:r>
              <w:rPr>
                <w:rFonts w:ascii="Times New Roman"/>
                <w:sz w:val="18"/>
                <w:szCs w:val="18"/>
              </w:rPr>
              <w:t>0.80</w:t>
            </w:r>
          </w:p>
        </w:tc>
      </w:tr>
    </w:tbl>
    <w:p w14:paraId="18510883">
      <w:pPr>
        <w:pStyle w:val="25"/>
        <w:spacing w:before="156" w:after="156"/>
        <w:rPr>
          <w:rFonts w:hint="eastAsia"/>
        </w:rPr>
      </w:pPr>
      <w:bookmarkStart w:id="160" w:name="_Toc28317"/>
      <w:bookmarkStart w:id="161" w:name="_Toc236437674"/>
      <w:r>
        <w:rPr>
          <w:rFonts w:hint="eastAsia"/>
        </w:rPr>
        <w:t>卸船量修正系数g</w:t>
      </w:r>
      <w:bookmarkEnd w:id="160"/>
      <w:bookmarkEnd w:id="161"/>
    </w:p>
    <w:p w14:paraId="61ADF660">
      <w:pPr>
        <w:pStyle w:val="19"/>
      </w:pPr>
      <w:r>
        <w:rPr>
          <w:rFonts w:hint="eastAsia"/>
        </w:rPr>
        <w:t>卸船量修正系数</w:t>
      </w:r>
      <w:r>
        <w:t>取值范围见表B.</w:t>
      </w:r>
      <w:r>
        <w:rPr>
          <w:rFonts w:hint="eastAsia"/>
        </w:rPr>
        <w:t>3</w:t>
      </w:r>
      <w:r>
        <w:t>。</w:t>
      </w:r>
    </w:p>
    <w:p w14:paraId="0CEB55C8">
      <w:pPr>
        <w:pStyle w:val="3"/>
        <w:keepNext/>
        <w:jc w:val="center"/>
        <w:rPr>
          <w:rFonts w:hint="eastAsia" w:ascii="黑体" w:hAnsi="黑体"/>
          <w:sz w:val="21"/>
          <w:szCs w:val="21"/>
        </w:rPr>
      </w:pPr>
      <w:r>
        <w:rPr>
          <w:rFonts w:hint="eastAsia" w:ascii="黑体" w:hAnsi="黑体"/>
          <w:sz w:val="21"/>
          <w:szCs w:val="21"/>
        </w:rPr>
        <w:t>表 B.3 卸船量修正系数g</w:t>
      </w:r>
    </w:p>
    <w:tbl>
      <w:tblPr>
        <w:tblStyle w:val="1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4629"/>
        <w:gridCol w:w="4643"/>
      </w:tblGrid>
      <w:tr w14:paraId="50B781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blHeader/>
          <w:jc w:val="center"/>
        </w:trPr>
        <w:tc>
          <w:tcPr>
            <w:tcW w:w="4777" w:type="dxa"/>
            <w:tcBorders>
              <w:bottom w:val="single" w:color="auto" w:sz="8" w:space="0"/>
            </w:tcBorders>
            <w:vAlign w:val="center"/>
          </w:tcPr>
          <w:p w14:paraId="4CDAFF64">
            <w:pPr>
              <w:pStyle w:val="19"/>
              <w:ind w:firstLine="0" w:firstLineChars="0"/>
              <w:jc w:val="center"/>
              <w:rPr>
                <w:sz w:val="18"/>
                <w:szCs w:val="18"/>
              </w:rPr>
            </w:pPr>
            <w:r>
              <w:rPr>
                <w:rFonts w:ascii="Times New Roman" w:eastAsiaTheme="minorEastAsia"/>
                <w:sz w:val="18"/>
                <w:szCs w:val="18"/>
              </w:rPr>
              <w:t>卸船量占吞吐量的比例</w:t>
            </w:r>
            <w:r>
              <w:rPr>
                <w:rFonts w:ascii="Times New Roman" w:eastAsiaTheme="minorEastAsia"/>
                <w:i/>
                <w:iCs/>
                <w:sz w:val="18"/>
                <w:szCs w:val="18"/>
              </w:rPr>
              <w:t>w</w:t>
            </w:r>
          </w:p>
        </w:tc>
        <w:tc>
          <w:tcPr>
            <w:tcW w:w="4777" w:type="dxa"/>
            <w:tcBorders>
              <w:bottom w:val="single" w:color="auto" w:sz="8" w:space="0"/>
            </w:tcBorders>
            <w:vAlign w:val="center"/>
          </w:tcPr>
          <w:p w14:paraId="7A9395ED">
            <w:pPr>
              <w:pStyle w:val="19"/>
              <w:ind w:firstLine="0" w:firstLineChars="0"/>
              <w:jc w:val="center"/>
              <w:rPr>
                <w:sz w:val="18"/>
                <w:szCs w:val="18"/>
              </w:rPr>
            </w:pPr>
            <w:r>
              <w:rPr>
                <w:rFonts w:hint="eastAsia" w:ascii="黑体" w:hAnsi="黑体" w:eastAsia="黑体"/>
                <w:sz w:val="18"/>
                <w:szCs w:val="18"/>
              </w:rPr>
              <w:t>修正系数</w:t>
            </w:r>
            <w:r>
              <w:rPr>
                <w:rFonts w:hint="eastAsia" w:ascii="黑体" w:hAnsi="黑体"/>
                <w:sz w:val="18"/>
                <w:szCs w:val="18"/>
              </w:rPr>
              <w:t>g</w:t>
            </w:r>
          </w:p>
        </w:tc>
      </w:tr>
      <w:tr w14:paraId="564BAEF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4777" w:type="dxa"/>
            <w:tcBorders>
              <w:top w:val="single" w:color="auto" w:sz="8" w:space="0"/>
            </w:tcBorders>
          </w:tcPr>
          <w:p w14:paraId="7F2E04B3">
            <w:pPr>
              <w:pStyle w:val="19"/>
              <w:ind w:firstLine="0" w:firstLineChars="0"/>
              <w:jc w:val="center"/>
              <w:rPr>
                <w:sz w:val="18"/>
                <w:szCs w:val="18"/>
              </w:rPr>
            </w:pPr>
            <w:r>
              <w:rPr>
                <w:rFonts w:ascii="Times New Roman" w:eastAsiaTheme="minorEastAsia"/>
                <w:sz w:val="18"/>
                <w:szCs w:val="18"/>
              </w:rPr>
              <w:t>50%</w:t>
            </w:r>
            <w:r>
              <w:rPr>
                <w:rFonts w:hint="eastAsia" w:ascii="Times New Roman" w:eastAsiaTheme="minorEastAsia"/>
                <w:sz w:val="18"/>
                <w:szCs w:val="18"/>
              </w:rPr>
              <w:t>≤</w:t>
            </w:r>
            <w:r>
              <w:rPr>
                <w:rFonts w:ascii="Times New Roman" w:eastAsiaTheme="minorEastAsia"/>
                <w:i/>
                <w:iCs/>
                <w:sz w:val="18"/>
                <w:szCs w:val="18"/>
              </w:rPr>
              <w:t>w</w:t>
            </w:r>
            <w:r>
              <w:rPr>
                <w:rFonts w:ascii="Times New Roman" w:eastAsiaTheme="minorEastAsia"/>
                <w:sz w:val="18"/>
                <w:szCs w:val="18"/>
              </w:rPr>
              <w:t xml:space="preserve"> ≤100%</w:t>
            </w:r>
          </w:p>
        </w:tc>
        <w:tc>
          <w:tcPr>
            <w:tcW w:w="4777" w:type="dxa"/>
            <w:tcBorders>
              <w:top w:val="single" w:color="auto" w:sz="8" w:space="0"/>
            </w:tcBorders>
          </w:tcPr>
          <w:p w14:paraId="0126903C">
            <w:pPr>
              <w:pStyle w:val="19"/>
              <w:ind w:firstLine="0" w:firstLineChars="0"/>
              <w:jc w:val="center"/>
              <w:rPr>
                <w:sz w:val="18"/>
                <w:szCs w:val="18"/>
              </w:rPr>
            </w:pPr>
            <w:r>
              <w:rPr>
                <w:rFonts w:ascii="Times New Roman"/>
                <w:sz w:val="18"/>
                <w:szCs w:val="18"/>
              </w:rPr>
              <w:t>1/(1.4w +0.04)</w:t>
            </w:r>
          </w:p>
        </w:tc>
      </w:tr>
      <w:tr w14:paraId="78C6A88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4777" w:type="dxa"/>
            <w:tcBorders>
              <w:bottom w:val="single" w:color="auto" w:sz="8" w:space="0"/>
            </w:tcBorders>
          </w:tcPr>
          <w:p w14:paraId="5D3EB7DC">
            <w:pPr>
              <w:pStyle w:val="19"/>
              <w:ind w:firstLine="0" w:firstLineChars="0"/>
              <w:jc w:val="center"/>
              <w:rPr>
                <w:sz w:val="18"/>
                <w:szCs w:val="18"/>
              </w:rPr>
            </w:pPr>
            <w:r>
              <w:rPr>
                <w:rFonts w:ascii="Times New Roman" w:eastAsiaTheme="minorEastAsia"/>
                <w:sz w:val="18"/>
                <w:szCs w:val="18"/>
              </w:rPr>
              <w:t>0%</w:t>
            </w:r>
            <w:r>
              <w:rPr>
                <w:rFonts w:hint="eastAsia" w:ascii="Times New Roman" w:eastAsiaTheme="minorEastAsia"/>
                <w:sz w:val="18"/>
                <w:szCs w:val="18"/>
              </w:rPr>
              <w:t>≤</w:t>
            </w:r>
            <w:r>
              <w:rPr>
                <w:rFonts w:ascii="Times New Roman" w:eastAsiaTheme="minorEastAsia"/>
                <w:i/>
                <w:iCs/>
                <w:sz w:val="18"/>
                <w:szCs w:val="18"/>
              </w:rPr>
              <w:t>w</w:t>
            </w:r>
            <w:r>
              <w:rPr>
                <w:rFonts w:ascii="Times New Roman" w:eastAsiaTheme="minorEastAsia"/>
                <w:sz w:val="18"/>
                <w:szCs w:val="18"/>
              </w:rPr>
              <w:t xml:space="preserve"> &lt;50%</w:t>
            </w:r>
          </w:p>
        </w:tc>
        <w:tc>
          <w:tcPr>
            <w:tcW w:w="4777" w:type="dxa"/>
            <w:tcBorders>
              <w:bottom w:val="single" w:color="auto" w:sz="8" w:space="0"/>
            </w:tcBorders>
          </w:tcPr>
          <w:p w14:paraId="10EBF24F">
            <w:pPr>
              <w:pStyle w:val="19"/>
              <w:ind w:firstLine="0" w:firstLineChars="0"/>
              <w:jc w:val="center"/>
              <w:rPr>
                <w:sz w:val="18"/>
                <w:szCs w:val="18"/>
              </w:rPr>
            </w:pPr>
            <w:r>
              <w:rPr>
                <w:rFonts w:ascii="Times New Roman"/>
                <w:sz w:val="18"/>
                <w:szCs w:val="18"/>
              </w:rPr>
              <w:t>1/(1-0.53</w:t>
            </w:r>
            <w:r>
              <w:rPr>
                <w:rFonts w:ascii="Times New Roman"/>
                <w:i/>
                <w:iCs/>
                <w:sz w:val="18"/>
                <w:szCs w:val="18"/>
              </w:rPr>
              <w:t>w</w:t>
            </w:r>
            <w:r>
              <w:rPr>
                <w:rFonts w:ascii="Times New Roman"/>
                <w:sz w:val="18"/>
                <w:szCs w:val="18"/>
              </w:rPr>
              <w:t xml:space="preserve"> )</w:t>
            </w:r>
          </w:p>
        </w:tc>
      </w:tr>
      <w:tr w14:paraId="3B663C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9554" w:type="dxa"/>
            <w:gridSpan w:val="2"/>
            <w:tcBorders>
              <w:top w:val="single" w:color="auto" w:sz="8" w:space="0"/>
            </w:tcBorders>
            <w:vAlign w:val="center"/>
          </w:tcPr>
          <w:p w14:paraId="579C3F3F">
            <w:pPr>
              <w:pStyle w:val="47"/>
              <w:numPr>
                <w:ilvl w:val="0"/>
                <w:numId w:val="17"/>
              </w:numPr>
              <w:rPr>
                <w:rFonts w:ascii="Times New Roman" w:eastAsiaTheme="minorEastAsia"/>
              </w:rPr>
            </w:pPr>
            <w:r>
              <w:rPr>
                <w:rFonts w:hint="eastAsia" w:ascii="Times New Roman" w:eastAsiaTheme="minorEastAsia"/>
              </w:rPr>
              <w:t>卸船后直接到后方厂区的情况，g 取值为1.3。</w:t>
            </w:r>
          </w:p>
          <w:p w14:paraId="336C4D85">
            <w:pPr>
              <w:pStyle w:val="47"/>
              <w:numPr>
                <w:ilvl w:val="0"/>
                <w:numId w:val="17"/>
              </w:numPr>
            </w:pPr>
            <w:r>
              <w:rPr>
                <w:rFonts w:hint="eastAsia" w:ascii="Times New Roman" w:eastAsiaTheme="minorEastAsia"/>
              </w:rPr>
              <w:t>卸船量修正系数不适用于码头装卸采用门座起重机的情况。</w:t>
            </w:r>
          </w:p>
        </w:tc>
      </w:tr>
    </w:tbl>
    <w:p w14:paraId="564EB25A">
      <w:pPr>
        <w:pStyle w:val="19"/>
        <w:ind w:firstLine="0" w:firstLineChars="0"/>
        <w:jc w:val="center"/>
      </w:pPr>
    </w:p>
    <w:p w14:paraId="0788B4E2">
      <w:pPr>
        <w:pStyle w:val="19"/>
        <w:ind w:firstLine="0" w:firstLineChars="0"/>
        <w:sectPr>
          <w:pgSz w:w="11906" w:h="16838"/>
          <w:pgMar w:top="1417" w:right="1417" w:bottom="1134" w:left="1417" w:header="1417" w:footer="1134" w:gutter="0"/>
          <w:cols w:space="425" w:num="1"/>
          <w:docGrid w:type="lines" w:linePitch="312" w:charSpace="0"/>
        </w:sectPr>
      </w:pPr>
    </w:p>
    <w:p w14:paraId="2D6FE5A1">
      <w:pPr>
        <w:pStyle w:val="22"/>
        <w:rPr>
          <w:rFonts w:hint="eastAsia"/>
        </w:rPr>
      </w:pPr>
      <w:bookmarkStart w:id="162" w:name="_Toc236437675"/>
      <w:bookmarkEnd w:id="162"/>
      <w:bookmarkStart w:id="163" w:name="_Toc5268"/>
      <w:bookmarkEnd w:id="163"/>
      <w:bookmarkStart w:id="164" w:name="_Toc2438"/>
      <w:bookmarkEnd w:id="164"/>
      <w:bookmarkStart w:id="165" w:name="_Toc237881656"/>
      <w:bookmarkEnd w:id="165"/>
    </w:p>
    <w:p w14:paraId="28AC3411">
      <w:pPr>
        <w:pStyle w:val="23"/>
        <w:spacing w:beforeLines="0" w:afterLines="0"/>
        <w:rPr>
          <w:rFonts w:hint="eastAsia" w:hAnsi="黑体" w:cs="黑体"/>
        </w:rPr>
      </w:pPr>
      <w:bookmarkStart w:id="166" w:name="_Toc8254"/>
      <w:bookmarkStart w:id="167" w:name="_Toc236437676"/>
      <w:bookmarkStart w:id="168" w:name="_Toc21894"/>
      <w:bookmarkStart w:id="169" w:name="_Toc237881657"/>
      <w:r>
        <w:rPr>
          <w:rFonts w:hint="eastAsia" w:hAnsi="黑体" w:cs="黑体"/>
        </w:rPr>
        <w:t>（规范性）</w:t>
      </w:r>
      <w:bookmarkEnd w:id="166"/>
      <w:bookmarkEnd w:id="167"/>
      <w:bookmarkEnd w:id="168"/>
      <w:bookmarkEnd w:id="169"/>
    </w:p>
    <w:p w14:paraId="50EB23C4">
      <w:pPr>
        <w:pStyle w:val="23"/>
        <w:spacing w:beforeLines="0" w:afterLines="0"/>
        <w:rPr>
          <w:rFonts w:hint="eastAsia" w:hAnsi="黑体" w:cs="黑体"/>
          <w:szCs w:val="21"/>
        </w:rPr>
      </w:pPr>
      <w:bookmarkStart w:id="170" w:name="_Toc236437677"/>
      <w:bookmarkStart w:id="171" w:name="_Toc237881658"/>
      <w:bookmarkStart w:id="172" w:name="_Toc3676"/>
      <w:bookmarkStart w:id="173" w:name="_Toc22330"/>
      <w:r>
        <w:rPr>
          <w:rFonts w:hAnsi="黑体" w:cs="黑体"/>
          <w:szCs w:val="21"/>
        </w:rPr>
        <w:t>吞吐量碳排放弹性系数</w:t>
      </w:r>
      <w:bookmarkEnd w:id="170"/>
      <w:bookmarkEnd w:id="171"/>
      <w:bookmarkEnd w:id="172"/>
      <w:bookmarkEnd w:id="173"/>
    </w:p>
    <w:p w14:paraId="049AF048">
      <w:pPr>
        <w:pStyle w:val="24"/>
        <w:spacing w:before="156" w:after="156"/>
        <w:rPr>
          <w:rFonts w:hint="eastAsia"/>
        </w:rPr>
      </w:pPr>
      <w:bookmarkStart w:id="174" w:name="_Toc29771"/>
      <w:bookmarkStart w:id="175" w:name="_Toc236437678"/>
      <w:r>
        <w:t>吞吐量碳排放弹性系数</w:t>
      </w:r>
      <w:bookmarkEnd w:id="174"/>
      <w:bookmarkEnd w:id="175"/>
    </w:p>
    <w:p w14:paraId="7A373A7E">
      <w:pPr>
        <w:pStyle w:val="25"/>
        <w:spacing w:before="156" w:after="156"/>
        <w:rPr>
          <w:rFonts w:hint="eastAsia"/>
        </w:rPr>
      </w:pPr>
      <w:bookmarkStart w:id="176" w:name="_Toc236437679"/>
      <w:bookmarkStart w:id="177" w:name="_Toc18137"/>
      <w:r>
        <w:rPr>
          <w:rFonts w:hint="eastAsia"/>
        </w:rPr>
        <w:t>碳排放基期的确定</w:t>
      </w:r>
      <w:bookmarkEnd w:id="176"/>
      <w:bookmarkEnd w:id="177"/>
    </w:p>
    <w:p w14:paraId="33F039E7">
      <w:pPr>
        <w:pStyle w:val="19"/>
      </w:pPr>
      <w:r>
        <w:rPr>
          <w:rFonts w:hint="eastAsia"/>
        </w:rPr>
        <w:t>对于现有港口，</w:t>
      </w:r>
      <w:r>
        <w:t>碳排放基期</w:t>
      </w:r>
      <w:r>
        <w:rPr>
          <w:rFonts w:hint="eastAsia"/>
        </w:rPr>
        <w:t>以评价年前</w:t>
      </w:r>
      <w:r>
        <w:t>连续稳定运营、数据齐全的完整自然年作为</w:t>
      </w:r>
      <w:r>
        <w:rPr>
          <w:rFonts w:hint="eastAsia"/>
        </w:rPr>
        <w:t>基期，宜选取评价年前最近一年。</w:t>
      </w:r>
    </w:p>
    <w:p w14:paraId="03E11D25">
      <w:pPr>
        <w:pStyle w:val="19"/>
      </w:pPr>
      <w:r>
        <w:rPr>
          <w:rFonts w:hint="eastAsia"/>
        </w:rPr>
        <w:t>对于新、改扩建港口，</w:t>
      </w:r>
      <w:r>
        <w:t>碳排放基期</w:t>
      </w:r>
      <w:r>
        <w:rPr>
          <w:rFonts w:hint="eastAsia"/>
        </w:rPr>
        <w:t>以正式投产后</w:t>
      </w:r>
      <w:r>
        <w:t>连续稳定运营、数据齐全的完整自然年作为</w:t>
      </w:r>
      <w:r>
        <w:rPr>
          <w:rFonts w:hint="eastAsia"/>
        </w:rPr>
        <w:t>基期。</w:t>
      </w:r>
    </w:p>
    <w:p w14:paraId="05EB6288">
      <w:pPr>
        <w:pStyle w:val="25"/>
        <w:spacing w:before="156" w:after="156"/>
        <w:rPr>
          <w:rFonts w:hint="eastAsia"/>
        </w:rPr>
      </w:pPr>
      <w:bookmarkStart w:id="178" w:name="_Toc236437680"/>
      <w:bookmarkStart w:id="179" w:name="_Toc24846"/>
      <w:r>
        <w:rPr>
          <w:rFonts w:cs="Arial" w:asciiTheme="minorEastAsia" w:hAnsiTheme="minorEastAsia"/>
        </w:rPr>
        <w:t>吞吐量碳排放弹性系数</w:t>
      </w:r>
      <w:r>
        <w:rPr>
          <w:rFonts w:hint="eastAsia" w:cs="Arial" w:asciiTheme="minorEastAsia" w:hAnsiTheme="minorEastAsia"/>
        </w:rPr>
        <w:t>计算</w:t>
      </w:r>
      <w:bookmarkEnd w:id="178"/>
      <w:bookmarkEnd w:id="179"/>
    </w:p>
    <w:p w14:paraId="381BACBF">
      <w:pPr>
        <w:ind w:firstLine="420" w:firstLineChars="200"/>
        <w:rPr>
          <w:rFonts w:hint="eastAsia" w:asciiTheme="minorEastAsia" w:hAnsiTheme="minorEastAsia"/>
        </w:rPr>
      </w:pPr>
      <w:r>
        <w:rPr>
          <w:rFonts w:cs="Arial" w:asciiTheme="minorEastAsia" w:hAnsiTheme="minorEastAsia"/>
        </w:rPr>
        <w:t>吞吐量碳排放弹性系数是指在</w:t>
      </w:r>
      <w:r>
        <w:rPr>
          <w:rFonts w:hint="eastAsia" w:cs="Arial" w:asciiTheme="minorEastAsia" w:hAnsiTheme="minorEastAsia"/>
        </w:rPr>
        <w:t>评价年</w:t>
      </w:r>
      <w:r>
        <w:rPr>
          <w:rFonts w:cs="Arial" w:asciiTheme="minorEastAsia" w:hAnsiTheme="minorEastAsia"/>
        </w:rPr>
        <w:t>内，</w:t>
      </w:r>
      <w:r>
        <w:rPr>
          <w:rFonts w:hint="eastAsia" w:cs="Arial" w:asciiTheme="minorEastAsia" w:hAnsiTheme="minorEastAsia"/>
        </w:rPr>
        <w:t>散粮</w:t>
      </w:r>
      <w:r>
        <w:rPr>
          <w:rFonts w:cs="Arial" w:asciiTheme="minorEastAsia" w:hAnsiTheme="minorEastAsia"/>
        </w:rPr>
        <w:t>港口碳排放总量增长率与货物吞吐量增长率的比值，用于衡量散粮港口生产规模扩张与碳排放增长之间的敏感程度与脱钩关系，评价港口零碳化发展成效</w:t>
      </w:r>
      <w:r>
        <w:rPr>
          <w:rFonts w:hint="eastAsia" w:cs="Arial" w:asciiTheme="minorEastAsia" w:hAnsiTheme="minorEastAsia"/>
        </w:rPr>
        <w:t>，</w:t>
      </w:r>
      <w:r>
        <w:rPr>
          <w:rFonts w:cs="Arial" w:asciiTheme="minorEastAsia" w:hAnsiTheme="minorEastAsia"/>
        </w:rPr>
        <w:t>按</w:t>
      </w:r>
      <w:r>
        <w:rPr>
          <w:rFonts w:hint="eastAsia" w:cs="Arial" w:asciiTheme="minorEastAsia" w:hAnsiTheme="minorEastAsia"/>
        </w:rPr>
        <w:t>公式（C.1）</w:t>
      </w:r>
      <w:r>
        <w:rPr>
          <w:rFonts w:cs="Arial" w:asciiTheme="minorEastAsia" w:hAnsiTheme="minorEastAsia"/>
        </w:rPr>
        <w:t>计算：</w:t>
      </w:r>
    </w:p>
    <w:p w14:paraId="7CB9C0FC">
      <w:pPr>
        <w:pStyle w:val="42"/>
        <w:rPr>
          <w:rFonts w:hint="eastAsia"/>
        </w:rPr>
      </w:pPr>
      <w:r>
        <w:rPr>
          <w:rFonts w:hint="eastAsia"/>
        </w:rPr>
        <w:tab/>
      </w:r>
      <m:oMath>
        <m:m>
          <m:mPr>
            <m:mcs>
              <m:mc>
                <m:mcPr>
                  <m:count m:val="1"/>
                  <m:mcJc m:val="center"/>
                </m:mcPr>
              </m:mc>
            </m:mcs>
            <m:plcHide m:val="1"/>
            <m:ctrlPr>
              <w:rPr>
                <w:rFonts w:ascii="Cambria Math" w:hAnsi="Cambria Math"/>
              </w:rPr>
            </m:ctrlPr>
          </m:mPr>
          <m:mr>
            <m:e>
              <m:sSub>
                <m:sSubPr>
                  <m:ctrlPr>
                    <w:rPr>
                      <w:rFonts w:ascii="Cambria Math" w:hAnsi="Cambria Math"/>
                    </w:rPr>
                  </m:ctrlPr>
                </m:sSubPr>
                <m:e>
                  <m:r>
                    <m:rPr/>
                    <w:rPr>
                      <w:rFonts w:ascii="Cambria Math" w:hAnsi="Cambria Math"/>
                    </w:rPr>
                    <m:t>ε</m:t>
                  </m:r>
                  <m:ctrlPr>
                    <w:rPr>
                      <w:rFonts w:ascii="Cambria Math" w:hAnsi="Cambria Math"/>
                    </w:rPr>
                  </m:ctrlPr>
                </m:e>
                <m:sub>
                  <m:r>
                    <m:rPr/>
                    <w:rPr>
                      <w:rFonts w:ascii="Cambria Math" w:hAnsi="Cambria Math"/>
                    </w:rPr>
                    <m:t>C</m:t>
                  </m:r>
                  <m:ctrlPr>
                    <w:rPr>
                      <w:rFonts w:ascii="Cambria Math" w:hAnsi="Cambria Math"/>
                    </w:rPr>
                  </m:ctrlPr>
                </m:sub>
              </m:sSub>
              <m:r>
                <m:rPr/>
                <w:rPr>
                  <w:rFonts w:ascii="Cambria Math" w:hAnsi="Cambria Math"/>
                </w:rPr>
                <m:t>=</m:t>
              </m:r>
              <m:f>
                <m:fPr>
                  <m:ctrlPr>
                    <w:rPr>
                      <w:rFonts w:ascii="Cambria Math" w:hAnsi="Cambria Math"/>
                    </w:rPr>
                  </m:ctrlPr>
                </m:fPr>
                <m:num>
                  <m:r>
                    <m:rPr>
                      <m:sty m:val="p"/>
                    </m:rPr>
                    <w:rPr>
                      <w:rFonts w:ascii="Cambria Math" w:hAnsi="Cambria Math"/>
                    </w:rPr>
                    <m:t>Δ</m:t>
                  </m:r>
                  <m:r>
                    <m:rPr/>
                    <w:rPr>
                      <w:rFonts w:ascii="Cambria Math" w:hAnsi="Cambria Math"/>
                    </w:rPr>
                    <m:t>C/</m:t>
                  </m:r>
                  <m:sSub>
                    <m:sSubPr>
                      <m:ctrlPr>
                        <w:rPr>
                          <w:rFonts w:ascii="Cambria Math" w:hAnsi="Cambria Math"/>
                        </w:rPr>
                      </m:ctrlPr>
                    </m:sSubPr>
                    <m:e>
                      <m:r>
                        <m:rPr/>
                        <w:rPr>
                          <w:rFonts w:ascii="Cambria Math" w:hAnsi="Cambria Math"/>
                        </w:rPr>
                        <m:t>C</m:t>
                      </m:r>
                      <m:ctrlPr>
                        <w:rPr>
                          <w:rFonts w:ascii="Cambria Math" w:hAnsi="Cambria Math"/>
                        </w:rPr>
                      </m:ctrlPr>
                    </m:e>
                    <m:sub>
                      <m:r>
                        <m:rPr/>
                        <w:rPr>
                          <w:rFonts w:ascii="Cambria Math" w:hAnsi="Cambria Math"/>
                        </w:rPr>
                        <m:t>0</m:t>
                      </m:r>
                      <m:ctrlPr>
                        <w:rPr>
                          <w:rFonts w:ascii="Cambria Math" w:hAnsi="Cambria Math"/>
                        </w:rPr>
                      </m:ctrlPr>
                    </m:sub>
                  </m:sSub>
                  <m:ctrlPr>
                    <w:rPr>
                      <w:rFonts w:ascii="Cambria Math" w:hAnsi="Cambria Math"/>
                    </w:rPr>
                  </m:ctrlPr>
                </m:num>
                <m:den>
                  <m:r>
                    <m:rPr>
                      <m:sty m:val="p"/>
                    </m:rPr>
                    <w:rPr>
                      <w:rFonts w:ascii="Cambria Math" w:hAnsi="Cambria Math"/>
                    </w:rPr>
                    <m:t>Δ</m:t>
                  </m:r>
                  <m:r>
                    <m:rPr/>
                    <w:rPr>
                      <w:rFonts w:ascii="Cambria Math" w:hAnsi="Cambria Math"/>
                    </w:rPr>
                    <m:t>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0</m:t>
                      </m:r>
                      <m:ctrlPr>
                        <w:rPr>
                          <w:rFonts w:ascii="Cambria Math" w:hAnsi="Cambria Math"/>
                        </w:rPr>
                      </m:ctrlPr>
                    </m:sub>
                  </m:sSub>
                  <m:ctrlPr>
                    <w:rPr>
                      <w:rFonts w:ascii="Cambria Math" w:hAnsi="Cambria Math"/>
                    </w:rPr>
                  </m:ctrlPr>
                </m:den>
              </m:f>
              <m:ctrlPr>
                <w:rPr>
                  <w:rFonts w:ascii="Cambria Math" w:hAnsi="Cambria Math"/>
                </w:rPr>
              </m:ctrlPr>
            </m:e>
          </m:mr>
        </m:m>
        <m:r>
          <m:rPr>
            <m:sty m:val="p"/>
          </m:rPr>
          <w:rPr>
            <w:rFonts w:hint="eastAsia" w:ascii="Cambria Math" w:hAnsi="Cambria Math"/>
          </w:rPr>
          <m:t xml:space="preserve"> </m:t>
        </m:r>
      </m:oMath>
      <w:r>
        <w:rPr>
          <w:rFonts w:hint="eastAsia" w:ascii="微软雅黑" w:hAnsi="微软雅黑" w:eastAsia="微软雅黑" w:cs="微软雅黑"/>
        </w:rPr>
        <w:tab/>
      </w:r>
      <w:r>
        <w:rPr>
          <w:rFonts w:hint="eastAsia"/>
        </w:rPr>
        <w:t>(C.</w:t>
      </w:r>
      <w:r>
        <w:rPr>
          <w:rFonts w:hint="eastAsia"/>
        </w:rPr>
        <w:fldChar w:fldCharType="begin"/>
      </w:r>
      <w:r>
        <w:rPr>
          <w:rFonts w:hint="eastAsia"/>
        </w:rPr>
        <w:instrText xml:space="preserve"> seq fulu_equation_134308151225115428 </w:instrText>
      </w:r>
      <w:r>
        <w:rPr>
          <w:rFonts w:hint="eastAsia"/>
        </w:rPr>
        <w:fldChar w:fldCharType="separate"/>
      </w:r>
      <w:r>
        <w:rPr>
          <w:rFonts w:hint="eastAsia"/>
        </w:rPr>
        <w:t>1</w:t>
      </w:r>
      <w:r>
        <w:rPr>
          <w:rFonts w:hint="eastAsia"/>
        </w:rPr>
        <w:fldChar w:fldCharType="end"/>
      </w:r>
      <w:r>
        <w:rPr>
          <w:rFonts w:hint="eastAsia"/>
        </w:rPr>
        <w:t>)</w:t>
      </w:r>
    </w:p>
    <w:p w14:paraId="7054096E">
      <w:pPr>
        <w:ind w:firstLine="420" w:firstLineChars="200"/>
        <w:rPr>
          <w:rFonts w:ascii="Times New Roman" w:hAnsi="Times New Roman" w:cs="Times New Roman"/>
        </w:rPr>
      </w:pPr>
      <w:r>
        <w:rPr>
          <w:rFonts w:ascii="Times New Roman" w:hAnsi="Times New Roman" w:cs="Times New Roman"/>
        </w:rPr>
        <w:t>式中：</w:t>
      </w:r>
    </w:p>
    <w:p w14:paraId="62FAB639">
      <w:pPr>
        <w:ind w:firstLine="420" w:firstLineChars="200"/>
        <w:jc w:val="left"/>
        <w:rPr>
          <w:rFonts w:ascii="Times New Roman" w:hAnsi="Times New Roman" w:cs="Times New Roman"/>
        </w:rPr>
      </w:pPr>
      <m:oMath>
        <m:sSub>
          <m:sSubPr>
            <m:ctrlPr>
              <w:rPr>
                <w:rFonts w:ascii="Cambria Math" w:hAnsi="Cambria Math" w:cs="Times New Roman"/>
              </w:rPr>
            </m:ctrlPr>
          </m:sSubPr>
          <m:e>
            <m:r>
              <m:rPr/>
              <w:rPr>
                <w:rFonts w:ascii="Cambria Math" w:hAnsi="Cambria Math" w:cs="Times New Roman"/>
              </w:rPr>
              <m:t>ε</m:t>
            </m:r>
            <m:ctrlPr>
              <w:rPr>
                <w:rFonts w:ascii="Cambria Math" w:hAnsi="Cambria Math" w:cs="Times New Roman"/>
              </w:rPr>
            </m:ctrlPr>
          </m:e>
          <m:sub>
            <m:r>
              <m:rPr/>
              <w:rPr>
                <w:rFonts w:ascii="Cambria Math" w:hAnsi="Cambria Math" w:cs="Times New Roman"/>
              </w:rPr>
              <m:t>C</m:t>
            </m:r>
            <m:ctrlPr>
              <w:rPr>
                <w:rFonts w:ascii="Cambria Math" w:hAnsi="Cambria Math" w:cs="Times New Roman"/>
              </w:rPr>
            </m:ctrlPr>
          </m:sub>
        </m:sSub>
      </m:oMath>
      <w:r>
        <w:rPr>
          <w:rFonts w:ascii="Times New Roman" w:hAnsi="Times New Roman" w:cs="Times New Roman"/>
        </w:rPr>
        <w:t>——吞吐量碳排放弹性系数，无量纲；</w:t>
      </w:r>
    </w:p>
    <w:p w14:paraId="472D8CE3">
      <w:pPr>
        <w:ind w:firstLine="420" w:firstLineChars="200"/>
        <w:jc w:val="left"/>
        <w:rPr>
          <w:rFonts w:ascii="Times New Roman" w:hAnsi="Times New Roman" w:cs="Times New Roman"/>
        </w:rPr>
      </w:pPr>
      <m:oMath>
        <m:r>
          <m:rPr>
            <m:sty m:val="p"/>
          </m:rPr>
          <w:rPr>
            <w:rFonts w:ascii="Cambria Math" w:hAnsi="Cambria Math" w:cs="Times New Roman"/>
          </w:rPr>
          <m:t>Δ</m:t>
        </m:r>
        <m:r>
          <m:rPr/>
          <w:rPr>
            <w:rFonts w:ascii="Cambria Math" w:hAnsi="Cambria Math" w:cs="Times New Roman"/>
          </w:rPr>
          <m:t>C</m:t>
        </m:r>
      </m:oMath>
      <w:r>
        <w:rPr>
          <w:rFonts w:ascii="Times New Roman" w:hAnsi="Times New Roman" w:cs="Times New Roman"/>
        </w:rPr>
        <w:t>——</w:t>
      </w:r>
      <w:r>
        <w:rPr>
          <w:rFonts w:hint="eastAsia" w:ascii="Times New Roman" w:hAnsi="Times New Roman" w:cs="Times New Roman"/>
        </w:rPr>
        <w:t>评价年</w:t>
      </w:r>
      <w:r>
        <w:rPr>
          <w:rFonts w:ascii="Times New Roman" w:hAnsi="Times New Roman" w:cs="Times New Roman"/>
        </w:rPr>
        <w:t>碳排放量与基期碳排放量之差，单位为吨二氧化碳（tCO₂）；</w:t>
      </w:r>
    </w:p>
    <w:p w14:paraId="3982B4AF">
      <w:pPr>
        <w:ind w:firstLine="420" w:firstLineChars="200"/>
        <w:jc w:val="left"/>
        <w:rPr>
          <w:rFonts w:ascii="Times New Roman" w:hAnsi="Times New Roman" w:cs="Times New Roman"/>
        </w:rPr>
      </w:pPr>
      <m:oMath>
        <m:sSub>
          <m:sSubPr>
            <m:ctrlPr>
              <w:rPr>
                <w:rFonts w:ascii="Cambria Math" w:hAnsi="Cambria Math" w:cs="Times New Roman"/>
              </w:rPr>
            </m:ctrlPr>
          </m:sSubPr>
          <m:e>
            <m:r>
              <m:rPr/>
              <w:rPr>
                <w:rFonts w:ascii="Cambria Math" w:hAnsi="Cambria Math" w:cs="Times New Roman"/>
              </w:rPr>
              <m:t>C</m:t>
            </m:r>
            <m:ctrlPr>
              <w:rPr>
                <w:rFonts w:ascii="Cambria Math" w:hAnsi="Cambria Math" w:cs="Times New Roman"/>
              </w:rPr>
            </m:ctrlPr>
          </m:e>
          <m:sub>
            <m:r>
              <m:rPr/>
              <w:rPr>
                <w:rFonts w:ascii="Cambria Math" w:hAnsi="Cambria Math" w:cs="Times New Roman"/>
              </w:rPr>
              <m:t>0</m:t>
            </m:r>
            <m:ctrlPr>
              <w:rPr>
                <w:rFonts w:ascii="Cambria Math" w:hAnsi="Cambria Math" w:cs="Times New Roman"/>
              </w:rPr>
            </m:ctrlPr>
          </m:sub>
        </m:sSub>
      </m:oMath>
      <w:r>
        <w:rPr>
          <w:rFonts w:ascii="Times New Roman" w:hAnsi="Times New Roman" w:cs="Times New Roman"/>
        </w:rPr>
        <w:t>——基期碳排放量，单位为吨二氧化碳（tCO₂）；</w:t>
      </w:r>
    </w:p>
    <w:p w14:paraId="665A7DB5">
      <w:pPr>
        <w:ind w:firstLine="420" w:firstLineChars="200"/>
        <w:jc w:val="left"/>
        <w:rPr>
          <w:rFonts w:ascii="Times New Roman" w:hAnsi="Times New Roman" w:cs="Times New Roman"/>
        </w:rPr>
      </w:pPr>
      <m:oMath>
        <m:r>
          <m:rPr>
            <m:sty m:val="p"/>
          </m:rPr>
          <w:rPr>
            <w:rFonts w:ascii="Cambria Math" w:hAnsi="Cambria Math" w:cs="Times New Roman"/>
          </w:rPr>
          <m:t>Δ</m:t>
        </m:r>
        <m:r>
          <m:rPr/>
          <w:rPr>
            <w:rFonts w:ascii="Cambria Math" w:hAnsi="Cambria Math" w:cs="Times New Roman"/>
          </w:rPr>
          <m:t>T</m:t>
        </m:r>
      </m:oMath>
      <w:r>
        <w:rPr>
          <w:rFonts w:ascii="Times New Roman" w:hAnsi="Times New Roman" w:cs="Times New Roman"/>
        </w:rPr>
        <w:t>——</w:t>
      </w:r>
      <w:r>
        <w:rPr>
          <w:rFonts w:hint="eastAsia" w:ascii="Times New Roman" w:hAnsi="Times New Roman" w:cs="Times New Roman"/>
        </w:rPr>
        <w:t>评价年</w:t>
      </w:r>
      <w:r>
        <w:rPr>
          <w:rFonts w:ascii="Times New Roman" w:hAnsi="Times New Roman" w:cs="Times New Roman"/>
        </w:rPr>
        <w:t>吞吐量与基期吞吐量之差，单位为万吨（10⁴t）；</w:t>
      </w:r>
    </w:p>
    <w:p w14:paraId="219D5D03">
      <w:pPr>
        <w:pStyle w:val="19"/>
        <w:rPr>
          <w:rFonts w:ascii="Times New Roman" w:eastAsiaTheme="minorEastAsia"/>
          <w:szCs w:val="21"/>
        </w:rPr>
      </w:pPr>
      <m:oMath>
        <m:sSub>
          <m:sSubPr>
            <m:ctrlPr>
              <w:rPr>
                <w:rFonts w:ascii="Cambria Math" w:hAnsi="Cambria Math" w:eastAsiaTheme="minorEastAsia"/>
                <w:szCs w:val="21"/>
              </w:rPr>
            </m:ctrlPr>
          </m:sSubPr>
          <m:e>
            <m:r>
              <m:rPr/>
              <w:rPr>
                <w:rFonts w:ascii="Cambria Math" w:hAnsi="Cambria Math" w:eastAsiaTheme="minorEastAsia"/>
                <w:szCs w:val="21"/>
              </w:rPr>
              <m:t>T</m:t>
            </m:r>
            <m:ctrlPr>
              <w:rPr>
                <w:rFonts w:ascii="Cambria Math" w:hAnsi="Cambria Math" w:eastAsiaTheme="minorEastAsia"/>
                <w:szCs w:val="21"/>
              </w:rPr>
            </m:ctrlPr>
          </m:e>
          <m:sub>
            <m:r>
              <m:rPr/>
              <w:rPr>
                <w:rFonts w:ascii="Cambria Math" w:hAnsi="Cambria Math" w:eastAsiaTheme="minorEastAsia"/>
                <w:szCs w:val="21"/>
              </w:rPr>
              <m:t>0</m:t>
            </m:r>
            <m:ctrlPr>
              <w:rPr>
                <w:rFonts w:ascii="Cambria Math" w:hAnsi="Cambria Math" w:eastAsiaTheme="minorEastAsia"/>
                <w:szCs w:val="21"/>
              </w:rPr>
            </m:ctrlPr>
          </m:sub>
        </m:sSub>
      </m:oMath>
      <w:r>
        <w:rPr>
          <w:rFonts w:ascii="Times New Roman" w:eastAsiaTheme="minorEastAsia"/>
          <w:szCs w:val="21"/>
        </w:rPr>
        <w:t>——基期吞吐量，单位为万吨（10⁴t）</w:t>
      </w:r>
    </w:p>
    <w:p w14:paraId="02DB6749">
      <w:pPr>
        <w:pStyle w:val="24"/>
        <w:spacing w:before="156" w:after="156"/>
        <w:rPr>
          <w:rFonts w:hint="eastAsia"/>
        </w:rPr>
      </w:pPr>
      <w:bookmarkStart w:id="180" w:name="_Toc16385"/>
      <w:bookmarkStart w:id="181" w:name="_Toc236437681"/>
      <w:r>
        <w:t>吞吐量碳排放弹性系数</w:t>
      </w:r>
      <w:r>
        <w:rPr>
          <w:rFonts w:hint="eastAsia"/>
        </w:rPr>
        <w:t>取值规则</w:t>
      </w:r>
      <w:bookmarkEnd w:id="180"/>
      <w:bookmarkEnd w:id="181"/>
    </w:p>
    <w:p w14:paraId="6EA5AAF8">
      <w:pPr>
        <w:pStyle w:val="40"/>
        <w:numPr>
          <w:ilvl w:val="255"/>
          <w:numId w:val="0"/>
        </w:numPr>
        <w:spacing w:before="156" w:after="156"/>
      </w:pPr>
      <w:r>
        <w:rPr>
          <w:rFonts w:hint="eastAsia"/>
        </w:rPr>
        <w:t>表 C.1 吞吐量碳排放弹性系数取值规则</w:t>
      </w:r>
    </w:p>
    <w:tbl>
      <w:tblPr>
        <w:tblStyle w:val="1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2217"/>
        <w:gridCol w:w="2790"/>
        <w:gridCol w:w="4265"/>
      </w:tblGrid>
      <w:tr w14:paraId="6E52641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2217" w:type="dxa"/>
            <w:tcBorders>
              <w:bottom w:val="single" w:color="auto" w:sz="8" w:space="0"/>
            </w:tcBorders>
            <w:vAlign w:val="center"/>
          </w:tcPr>
          <w:p w14:paraId="503C4293">
            <w:pPr>
              <w:pStyle w:val="19"/>
              <w:ind w:firstLine="0" w:firstLineChars="0"/>
              <w:jc w:val="center"/>
              <w:rPr>
                <w:rFonts w:ascii="Times New Roman" w:eastAsiaTheme="minorEastAsia"/>
                <w:sz w:val="18"/>
                <w:szCs w:val="18"/>
              </w:rPr>
            </w:pPr>
            <w:r>
              <w:rPr>
                <w:rFonts w:ascii="Times New Roman" w:eastAsiaTheme="minorEastAsia"/>
                <w:sz w:val="18"/>
                <w:szCs w:val="18"/>
              </w:rPr>
              <w:t>等级</w:t>
            </w:r>
          </w:p>
        </w:tc>
        <w:tc>
          <w:tcPr>
            <w:tcW w:w="2790" w:type="dxa"/>
            <w:tcBorders>
              <w:bottom w:val="single" w:color="auto" w:sz="8" w:space="0"/>
            </w:tcBorders>
            <w:vAlign w:val="center"/>
          </w:tcPr>
          <w:p w14:paraId="7C346C45">
            <w:pPr>
              <w:pStyle w:val="19"/>
              <w:ind w:firstLine="0" w:firstLineChars="0"/>
              <w:jc w:val="center"/>
              <w:rPr>
                <w:rFonts w:ascii="Times New Roman" w:eastAsiaTheme="minorEastAsia"/>
                <w:sz w:val="18"/>
                <w:szCs w:val="18"/>
              </w:rPr>
            </w:pPr>
            <w:r>
              <w:rPr>
                <w:rFonts w:ascii="Times New Roman" w:eastAsiaTheme="minorEastAsia"/>
                <w:sz w:val="18"/>
                <w:szCs w:val="18"/>
              </w:rPr>
              <w:t xml:space="preserve">吞吐量碳排放弹性系数 </w:t>
            </w:r>
            <m:oMath>
              <m:sSub>
                <m:sSubPr>
                  <m:ctrlPr>
                    <w:rPr>
                      <w:rFonts w:ascii="Cambria Math" w:hAnsi="Cambria Math" w:eastAsiaTheme="minorEastAsia"/>
                      <w:sz w:val="18"/>
                      <w:szCs w:val="18"/>
                    </w:rPr>
                  </m:ctrlPr>
                </m:sSubPr>
                <m:e>
                  <m:r>
                    <m:rPr>
                      <m:sty m:val="p"/>
                    </m:rPr>
                    <w:rPr>
                      <w:rFonts w:ascii="Times New Roman" w:eastAsiaTheme="minorEastAsia"/>
                      <w:sz w:val="18"/>
                      <w:szCs w:val="18"/>
                    </w:rPr>
                    <m:t>ε</m:t>
                  </m:r>
                  <m:ctrlPr>
                    <w:rPr>
                      <w:rFonts w:ascii="Cambria Math" w:hAnsi="Cambria Math" w:eastAsiaTheme="minorEastAsia"/>
                      <w:sz w:val="18"/>
                      <w:szCs w:val="18"/>
                    </w:rPr>
                  </m:ctrlPr>
                </m:e>
                <m:sub>
                  <m:r>
                    <m:rPr>
                      <m:sty m:val="p"/>
                    </m:rPr>
                    <w:rPr>
                      <w:rFonts w:ascii="Times New Roman" w:eastAsiaTheme="minorEastAsia"/>
                      <w:sz w:val="18"/>
                      <w:szCs w:val="18"/>
                    </w:rPr>
                    <m:t>C</m:t>
                  </m:r>
                  <m:ctrlPr>
                    <w:rPr>
                      <w:rFonts w:ascii="Cambria Math" w:hAnsi="Cambria Math" w:eastAsiaTheme="minorEastAsia"/>
                      <w:sz w:val="18"/>
                      <w:szCs w:val="18"/>
                    </w:rPr>
                  </m:ctrlPr>
                </m:sub>
              </m:sSub>
            </m:oMath>
          </w:p>
        </w:tc>
        <w:tc>
          <w:tcPr>
            <w:tcW w:w="4265" w:type="dxa"/>
            <w:tcBorders>
              <w:bottom w:val="single" w:color="auto" w:sz="8" w:space="0"/>
            </w:tcBorders>
            <w:vAlign w:val="center"/>
          </w:tcPr>
          <w:p w14:paraId="7E536A49">
            <w:pPr>
              <w:pStyle w:val="19"/>
              <w:ind w:firstLine="0" w:firstLineChars="0"/>
              <w:jc w:val="center"/>
              <w:rPr>
                <w:rFonts w:ascii="Times New Roman" w:eastAsiaTheme="minorEastAsia"/>
                <w:sz w:val="18"/>
                <w:szCs w:val="18"/>
              </w:rPr>
            </w:pPr>
            <w:r>
              <w:rPr>
                <w:rFonts w:ascii="Times New Roman" w:eastAsiaTheme="minorEastAsia"/>
                <w:sz w:val="18"/>
                <w:szCs w:val="18"/>
              </w:rPr>
              <w:t>评价说明</w:t>
            </w:r>
          </w:p>
        </w:tc>
      </w:tr>
      <w:tr w14:paraId="41085FE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217" w:type="dxa"/>
            <w:tcBorders>
              <w:top w:val="single" w:color="auto" w:sz="8" w:space="0"/>
            </w:tcBorders>
            <w:vAlign w:val="center"/>
          </w:tcPr>
          <w:p w14:paraId="3553EE3C">
            <w:pPr>
              <w:pStyle w:val="19"/>
              <w:ind w:firstLine="0" w:firstLineChars="0"/>
              <w:jc w:val="center"/>
              <w:rPr>
                <w:rFonts w:ascii="Times New Roman" w:eastAsiaTheme="minorEastAsia"/>
                <w:sz w:val="18"/>
                <w:szCs w:val="18"/>
              </w:rPr>
            </w:pPr>
            <w:r>
              <w:rPr>
                <w:rFonts w:ascii="Times New Roman" w:eastAsiaTheme="minorEastAsia"/>
                <w:sz w:val="18"/>
                <w:szCs w:val="18"/>
              </w:rPr>
              <w:t>一级（示范水平）</w:t>
            </w:r>
          </w:p>
        </w:tc>
        <w:tc>
          <w:tcPr>
            <w:tcW w:w="2790" w:type="dxa"/>
            <w:tcBorders>
              <w:top w:val="single" w:color="auto" w:sz="8" w:space="0"/>
            </w:tcBorders>
            <w:vAlign w:val="center"/>
          </w:tcPr>
          <w:p w14:paraId="358EAEC2">
            <w:pPr>
              <w:pStyle w:val="19"/>
              <w:ind w:firstLine="360"/>
              <w:rPr>
                <w:rFonts w:ascii="Times New Roman" w:eastAsiaTheme="minorEastAsia"/>
                <w:sz w:val="18"/>
                <w:szCs w:val="18"/>
              </w:rPr>
            </w:pPr>
            <m:oMathPara>
              <m:oMathParaPr>
                <m:jc m:val="center"/>
              </m:oMathParaPr>
              <m:oMath>
                <m:sSub>
                  <m:sSubPr>
                    <m:ctrlPr>
                      <w:rPr>
                        <w:rFonts w:ascii="Cambria Math" w:hAnsi="Cambria Math" w:eastAsiaTheme="minorEastAsia"/>
                        <w:sz w:val="18"/>
                        <w:szCs w:val="18"/>
                      </w:rPr>
                    </m:ctrlPr>
                  </m:sSubPr>
                  <m:e>
                    <m:r>
                      <m:rPr>
                        <m:sty m:val="p"/>
                      </m:rPr>
                      <w:rPr>
                        <w:rFonts w:ascii="Times New Roman" w:eastAsiaTheme="minorEastAsia"/>
                        <w:sz w:val="18"/>
                        <w:szCs w:val="18"/>
                      </w:rPr>
                      <m:t>ε</m:t>
                    </m:r>
                    <m:ctrlPr>
                      <w:rPr>
                        <w:rFonts w:ascii="Cambria Math" w:hAnsi="Cambria Math" w:eastAsiaTheme="minorEastAsia"/>
                        <w:sz w:val="18"/>
                        <w:szCs w:val="18"/>
                      </w:rPr>
                    </m:ctrlPr>
                  </m:e>
                  <m:sub>
                    <m:r>
                      <m:rPr>
                        <m:sty m:val="p"/>
                      </m:rPr>
                      <w:rPr>
                        <w:rFonts w:ascii="Times New Roman" w:eastAsiaTheme="minorEastAsia"/>
                        <w:sz w:val="18"/>
                        <w:szCs w:val="18"/>
                      </w:rPr>
                      <m:t>C</m:t>
                    </m:r>
                    <m:ctrlPr>
                      <w:rPr>
                        <w:rFonts w:ascii="Cambria Math" w:hAnsi="Cambria Math" w:eastAsiaTheme="minorEastAsia"/>
                        <w:sz w:val="18"/>
                        <w:szCs w:val="18"/>
                      </w:rPr>
                    </m:ctrlPr>
                  </m:sub>
                </m:sSub>
                <m:r>
                  <m:rPr>
                    <m:sty m:val="p"/>
                  </m:rPr>
                  <w:rPr>
                    <w:rFonts w:ascii="Times New Roman" w:eastAsiaTheme="minorEastAsia"/>
                    <w:sz w:val="18"/>
                    <w:szCs w:val="18"/>
                  </w:rPr>
                  <m:t>≤0.3</m:t>
                </m:r>
              </m:oMath>
            </m:oMathPara>
          </w:p>
        </w:tc>
        <w:tc>
          <w:tcPr>
            <w:tcW w:w="4265" w:type="dxa"/>
            <w:tcBorders>
              <w:top w:val="single" w:color="auto" w:sz="8" w:space="0"/>
            </w:tcBorders>
            <w:vAlign w:val="center"/>
          </w:tcPr>
          <w:p w14:paraId="59D3B437">
            <w:pPr>
              <w:pStyle w:val="19"/>
              <w:ind w:firstLine="0" w:firstLineChars="0"/>
              <w:jc w:val="left"/>
              <w:rPr>
                <w:rFonts w:ascii="Times New Roman" w:eastAsiaTheme="minorEastAsia"/>
                <w:sz w:val="18"/>
                <w:szCs w:val="18"/>
              </w:rPr>
            </w:pPr>
            <w:r>
              <w:rPr>
                <w:rFonts w:ascii="Times New Roman" w:eastAsiaTheme="minorEastAsia"/>
                <w:sz w:val="18"/>
                <w:szCs w:val="18"/>
              </w:rPr>
              <w:t>碳排放增速远低于业务增速，零碳示范成效突出</w:t>
            </w:r>
          </w:p>
        </w:tc>
      </w:tr>
      <w:tr w14:paraId="576744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217" w:type="dxa"/>
            <w:vAlign w:val="center"/>
          </w:tcPr>
          <w:p w14:paraId="4BBF21CF">
            <w:pPr>
              <w:pStyle w:val="19"/>
              <w:ind w:firstLine="0" w:firstLineChars="0"/>
              <w:jc w:val="center"/>
              <w:rPr>
                <w:rFonts w:ascii="Times New Roman" w:eastAsiaTheme="minorEastAsia"/>
                <w:sz w:val="18"/>
                <w:szCs w:val="18"/>
              </w:rPr>
            </w:pPr>
            <w:r>
              <w:rPr>
                <w:rFonts w:ascii="Times New Roman" w:eastAsiaTheme="minorEastAsia"/>
                <w:sz w:val="18"/>
                <w:szCs w:val="18"/>
              </w:rPr>
              <w:t>二级（达标水平）</w:t>
            </w:r>
          </w:p>
        </w:tc>
        <w:tc>
          <w:tcPr>
            <w:tcW w:w="2790" w:type="dxa"/>
            <w:vAlign w:val="center"/>
          </w:tcPr>
          <w:p w14:paraId="2026E844">
            <w:pPr>
              <w:pStyle w:val="19"/>
              <w:ind w:firstLine="360"/>
              <w:rPr>
                <w:rFonts w:ascii="Times New Roman" w:eastAsiaTheme="minorEastAsia"/>
                <w:sz w:val="18"/>
                <w:szCs w:val="18"/>
              </w:rPr>
            </w:pPr>
            <m:oMathPara>
              <m:oMathParaPr>
                <m:jc m:val="center"/>
              </m:oMathParaPr>
              <m:oMath>
                <m:r>
                  <m:rPr>
                    <m:sty m:val="p"/>
                  </m:rPr>
                  <w:rPr>
                    <w:rFonts w:ascii="Times New Roman" w:eastAsiaTheme="minorEastAsia"/>
                    <w:sz w:val="18"/>
                    <w:szCs w:val="18"/>
                  </w:rPr>
                  <m:t>0.3&lt;</m:t>
                </m:r>
                <m:sSub>
                  <m:sSubPr>
                    <m:ctrlPr>
                      <w:rPr>
                        <w:rFonts w:ascii="Cambria Math" w:hAnsi="Cambria Math" w:eastAsiaTheme="minorEastAsia"/>
                        <w:sz w:val="18"/>
                        <w:szCs w:val="18"/>
                      </w:rPr>
                    </m:ctrlPr>
                  </m:sSubPr>
                  <m:e>
                    <m:r>
                      <m:rPr>
                        <m:sty m:val="p"/>
                      </m:rPr>
                      <w:rPr>
                        <w:rFonts w:ascii="Times New Roman" w:eastAsiaTheme="minorEastAsia"/>
                        <w:sz w:val="18"/>
                        <w:szCs w:val="18"/>
                      </w:rPr>
                      <m:t>ε</m:t>
                    </m:r>
                    <m:ctrlPr>
                      <w:rPr>
                        <w:rFonts w:ascii="Cambria Math" w:hAnsi="Cambria Math" w:eastAsiaTheme="minorEastAsia"/>
                        <w:sz w:val="18"/>
                        <w:szCs w:val="18"/>
                      </w:rPr>
                    </m:ctrlPr>
                  </m:e>
                  <m:sub>
                    <m:r>
                      <m:rPr>
                        <m:sty m:val="p"/>
                      </m:rPr>
                      <w:rPr>
                        <w:rFonts w:ascii="Times New Roman" w:eastAsiaTheme="minorEastAsia"/>
                        <w:sz w:val="18"/>
                        <w:szCs w:val="18"/>
                      </w:rPr>
                      <m:t>C</m:t>
                    </m:r>
                    <m:ctrlPr>
                      <w:rPr>
                        <w:rFonts w:ascii="Cambria Math" w:hAnsi="Cambria Math" w:eastAsiaTheme="minorEastAsia"/>
                        <w:sz w:val="18"/>
                        <w:szCs w:val="18"/>
                      </w:rPr>
                    </m:ctrlPr>
                  </m:sub>
                </m:sSub>
                <m:r>
                  <m:rPr>
                    <m:sty m:val="p"/>
                  </m:rPr>
                  <w:rPr>
                    <w:rFonts w:ascii="Times New Roman" w:eastAsiaTheme="minorEastAsia"/>
                    <w:sz w:val="18"/>
                    <w:szCs w:val="18"/>
                  </w:rPr>
                  <m:t>&lt;0.8</m:t>
                </m:r>
              </m:oMath>
            </m:oMathPara>
          </w:p>
        </w:tc>
        <w:tc>
          <w:tcPr>
            <w:tcW w:w="4265" w:type="dxa"/>
            <w:vAlign w:val="center"/>
          </w:tcPr>
          <w:p w14:paraId="0B6256F1">
            <w:pPr>
              <w:pStyle w:val="19"/>
              <w:ind w:firstLine="0" w:firstLineChars="0"/>
              <w:jc w:val="left"/>
              <w:rPr>
                <w:rFonts w:ascii="Times New Roman" w:eastAsiaTheme="minorEastAsia"/>
                <w:sz w:val="18"/>
                <w:szCs w:val="18"/>
              </w:rPr>
            </w:pPr>
            <w:r>
              <w:rPr>
                <w:rFonts w:ascii="Times New Roman" w:eastAsiaTheme="minorEastAsia"/>
                <w:sz w:val="18"/>
                <w:szCs w:val="18"/>
              </w:rPr>
              <w:t>碳排放增速可控，低碳水平持续改善，满足零碳港口基本要求</w:t>
            </w:r>
          </w:p>
        </w:tc>
      </w:tr>
      <w:tr w14:paraId="0D07857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217" w:type="dxa"/>
            <w:vAlign w:val="center"/>
          </w:tcPr>
          <w:p w14:paraId="11B358F0">
            <w:pPr>
              <w:pStyle w:val="19"/>
              <w:ind w:firstLine="0" w:firstLineChars="0"/>
              <w:jc w:val="center"/>
              <w:rPr>
                <w:rFonts w:ascii="Times New Roman" w:eastAsiaTheme="minorEastAsia"/>
                <w:sz w:val="18"/>
                <w:szCs w:val="18"/>
              </w:rPr>
            </w:pPr>
            <w:r>
              <w:rPr>
                <w:rFonts w:ascii="Times New Roman" w:eastAsiaTheme="minorEastAsia"/>
                <w:sz w:val="18"/>
                <w:szCs w:val="18"/>
              </w:rPr>
              <w:t>三级（预警水平）</w:t>
            </w:r>
          </w:p>
        </w:tc>
        <w:tc>
          <w:tcPr>
            <w:tcW w:w="2790" w:type="dxa"/>
            <w:vAlign w:val="center"/>
          </w:tcPr>
          <w:p w14:paraId="18459C0C">
            <w:pPr>
              <w:pStyle w:val="19"/>
              <w:ind w:firstLine="360"/>
              <w:rPr>
                <w:rFonts w:ascii="Times New Roman" w:eastAsiaTheme="minorEastAsia"/>
                <w:sz w:val="18"/>
                <w:szCs w:val="18"/>
              </w:rPr>
            </w:pPr>
            <m:oMathPara>
              <m:oMathParaPr>
                <m:jc m:val="center"/>
              </m:oMathParaPr>
              <m:oMath>
                <m:sSub>
                  <m:sSubPr>
                    <m:ctrlPr>
                      <w:rPr>
                        <w:rFonts w:ascii="Cambria Math" w:hAnsi="Cambria Math" w:eastAsiaTheme="minorEastAsia"/>
                        <w:sz w:val="18"/>
                        <w:szCs w:val="18"/>
                      </w:rPr>
                    </m:ctrlPr>
                  </m:sSubPr>
                  <m:e>
                    <m:r>
                      <m:rPr>
                        <m:sty m:val="p"/>
                      </m:rPr>
                      <w:rPr>
                        <w:rFonts w:ascii="Times New Roman" w:eastAsiaTheme="minorEastAsia"/>
                        <w:sz w:val="18"/>
                        <w:szCs w:val="18"/>
                      </w:rPr>
                      <m:t>ε</m:t>
                    </m:r>
                    <m:ctrlPr>
                      <w:rPr>
                        <w:rFonts w:ascii="Cambria Math" w:hAnsi="Cambria Math" w:eastAsiaTheme="minorEastAsia"/>
                        <w:sz w:val="18"/>
                        <w:szCs w:val="18"/>
                      </w:rPr>
                    </m:ctrlPr>
                  </m:e>
                  <m:sub>
                    <m:r>
                      <m:rPr>
                        <m:sty m:val="p"/>
                      </m:rPr>
                      <w:rPr>
                        <w:rFonts w:ascii="Times New Roman" w:eastAsiaTheme="minorEastAsia"/>
                        <w:sz w:val="18"/>
                        <w:szCs w:val="18"/>
                      </w:rPr>
                      <m:t>C</m:t>
                    </m:r>
                    <m:ctrlPr>
                      <w:rPr>
                        <w:rFonts w:ascii="Cambria Math" w:hAnsi="Cambria Math" w:eastAsiaTheme="minorEastAsia"/>
                        <w:sz w:val="18"/>
                        <w:szCs w:val="18"/>
                      </w:rPr>
                    </m:ctrlPr>
                  </m:sub>
                </m:sSub>
                <m:r>
                  <m:rPr>
                    <m:sty m:val="p"/>
                  </m:rPr>
                  <w:rPr>
                    <w:rFonts w:ascii="Times New Roman" w:eastAsiaTheme="minorEastAsia"/>
                    <w:sz w:val="18"/>
                    <w:szCs w:val="18"/>
                  </w:rPr>
                  <m:t>≥0.8</m:t>
                </m:r>
              </m:oMath>
            </m:oMathPara>
          </w:p>
        </w:tc>
        <w:tc>
          <w:tcPr>
            <w:tcW w:w="4265" w:type="dxa"/>
            <w:vAlign w:val="center"/>
          </w:tcPr>
          <w:p w14:paraId="59354759">
            <w:pPr>
              <w:pStyle w:val="19"/>
              <w:ind w:firstLine="0" w:firstLineChars="0"/>
              <w:jc w:val="left"/>
              <w:rPr>
                <w:rFonts w:ascii="Times New Roman" w:eastAsiaTheme="minorEastAsia"/>
                <w:sz w:val="18"/>
                <w:szCs w:val="18"/>
              </w:rPr>
            </w:pPr>
            <w:r>
              <w:rPr>
                <w:rFonts w:ascii="Times New Roman" w:eastAsiaTheme="minorEastAsia"/>
                <w:sz w:val="18"/>
                <w:szCs w:val="18"/>
              </w:rPr>
              <w:t>低碳改善效果偏弱，需实施专项降碳改造</w:t>
            </w:r>
          </w:p>
        </w:tc>
      </w:tr>
    </w:tbl>
    <w:p w14:paraId="0CA58B57">
      <w:pPr>
        <w:pStyle w:val="19"/>
        <w:ind w:firstLineChars="0"/>
        <w:rPr>
          <w:rFonts w:hint="eastAsia" w:hAnsi="宋体" w:cs="宋体"/>
          <w:szCs w:val="21"/>
        </w:rPr>
      </w:pPr>
    </w:p>
    <w:p w14:paraId="45DF32A4">
      <w:pPr>
        <w:adjustRightInd w:val="0"/>
        <w:snapToGrid w:val="0"/>
        <w:jc w:val="center"/>
        <w:sectPr>
          <w:pgSz w:w="11906" w:h="16838"/>
          <w:pgMar w:top="1417" w:right="1417" w:bottom="1134" w:left="1417" w:header="1417" w:footer="1134" w:gutter="0"/>
          <w:cols w:space="425" w:num="1"/>
          <w:docGrid w:type="lines" w:linePitch="312" w:charSpace="0"/>
        </w:sectPr>
      </w:pPr>
    </w:p>
    <w:p w14:paraId="524140D7">
      <w:pPr>
        <w:pStyle w:val="48"/>
        <w:spacing w:after="156"/>
      </w:pPr>
      <w:bookmarkStart w:id="182" w:name="_Toc237881659"/>
      <w:bookmarkStart w:id="183" w:name="_Toc26469"/>
      <w:bookmarkStart w:id="184" w:name="_Toc236437682"/>
      <w:bookmarkStart w:id="185" w:name="_Toc28043"/>
      <w:bookmarkStart w:id="186" w:name="_Toc207832854"/>
      <w:bookmarkStart w:id="187" w:name="_Toc12511"/>
      <w:r>
        <w:rPr>
          <w:rFonts w:hint="eastAsia"/>
          <w:spacing w:val="105"/>
        </w:rPr>
        <w:t>参考文</w:t>
      </w:r>
      <w:r>
        <w:rPr>
          <w:rFonts w:hint="eastAsia"/>
        </w:rPr>
        <w:t>献</w:t>
      </w:r>
      <w:bookmarkEnd w:id="182"/>
    </w:p>
    <w:bookmarkEnd w:id="183"/>
    <w:bookmarkEnd w:id="184"/>
    <w:bookmarkEnd w:id="185"/>
    <w:bookmarkEnd w:id="186"/>
    <w:bookmarkEnd w:id="187"/>
    <w:p w14:paraId="77791C23">
      <w:pPr>
        <w:pStyle w:val="19"/>
        <w:numPr>
          <w:ilvl w:val="0"/>
          <w:numId w:val="18"/>
        </w:numPr>
        <w:ind w:firstLineChars="0"/>
        <w:rPr>
          <w:rFonts w:ascii="Times New Roman"/>
          <w:szCs w:val="21"/>
        </w:rPr>
      </w:pPr>
      <w:r>
        <w:rPr>
          <w:rFonts w:ascii="Times New Roman"/>
          <w:szCs w:val="21"/>
        </w:rPr>
        <w:t>全球物流排放理事会物流排放核算与报告框架（Global Logistics Emissions Council Framework） V3.2</w:t>
      </w:r>
    </w:p>
    <w:p w14:paraId="7C395675">
      <w:pPr>
        <w:pStyle w:val="19"/>
        <w:numPr>
          <w:ilvl w:val="0"/>
          <w:numId w:val="18"/>
        </w:numPr>
        <w:ind w:firstLineChars="0"/>
        <w:rPr>
          <w:rFonts w:ascii="Times New Roman"/>
          <w:szCs w:val="21"/>
        </w:rPr>
      </w:pPr>
      <w:r>
        <w:rPr>
          <w:rFonts w:ascii="Times New Roman"/>
          <w:szCs w:val="21"/>
        </w:rPr>
        <w:t>JTS</w:t>
      </w:r>
      <w:r>
        <w:rPr>
          <w:rFonts w:hint="eastAsia" w:ascii="Times New Roman"/>
          <w:szCs w:val="21"/>
        </w:rPr>
        <w:t>/</w:t>
      </w:r>
      <w:r>
        <w:rPr>
          <w:rFonts w:ascii="Times New Roman"/>
          <w:szCs w:val="21"/>
        </w:rPr>
        <w:t>T 105-4</w:t>
      </w:r>
      <w:r>
        <w:rPr>
          <w:rFonts w:hint="eastAsia" w:ascii="Times New Roman"/>
          <w:szCs w:val="21"/>
        </w:rPr>
        <w:t>—</w:t>
      </w:r>
      <w:r>
        <w:rPr>
          <w:rFonts w:ascii="Times New Roman"/>
          <w:szCs w:val="21"/>
        </w:rPr>
        <w:t>2020 绿色港口等级评价指南</w:t>
      </w:r>
    </w:p>
    <w:p w14:paraId="0C48CDD0">
      <w:pPr>
        <w:pStyle w:val="19"/>
        <w:numPr>
          <w:ilvl w:val="0"/>
          <w:numId w:val="18"/>
        </w:numPr>
        <w:ind w:firstLineChars="0"/>
        <w:rPr>
          <w:rFonts w:ascii="Times New Roman"/>
          <w:szCs w:val="21"/>
        </w:rPr>
      </w:pPr>
      <w:r>
        <w:rPr>
          <w:rFonts w:ascii="Times New Roman"/>
          <w:szCs w:val="21"/>
        </w:rPr>
        <w:t>JTS</w:t>
      </w:r>
      <w:r>
        <w:rPr>
          <w:rFonts w:hint="eastAsia" w:ascii="Times New Roman"/>
          <w:szCs w:val="21"/>
        </w:rPr>
        <w:t>/</w:t>
      </w:r>
      <w:r>
        <w:rPr>
          <w:rFonts w:ascii="Times New Roman"/>
          <w:szCs w:val="21"/>
        </w:rPr>
        <w:t>T 178</w:t>
      </w:r>
      <w:r>
        <w:rPr>
          <w:rFonts w:hint="eastAsia" w:ascii="Times New Roman"/>
          <w:szCs w:val="21"/>
        </w:rPr>
        <w:t>—</w:t>
      </w:r>
      <w:r>
        <w:rPr>
          <w:rFonts w:ascii="Times New Roman"/>
          <w:szCs w:val="21"/>
        </w:rPr>
        <w:t>2020 港口工程清洁生产设计指南</w:t>
      </w:r>
    </w:p>
    <w:p w14:paraId="1AB3167D">
      <w:pPr>
        <w:pStyle w:val="19"/>
        <w:ind w:left="420" w:firstLine="0" w:firstLineChars="0"/>
        <w:rPr>
          <w:rFonts w:ascii="Times New Roman"/>
          <w:szCs w:val="21"/>
        </w:rPr>
      </w:pPr>
    </w:p>
    <w:p w14:paraId="6372841D">
      <w:pPr>
        <w:pStyle w:val="19"/>
        <w:ind w:firstLine="0" w:firstLineChars="0"/>
        <w:rPr>
          <w:rFonts w:ascii="Times New Roman"/>
          <w:szCs w:val="21"/>
        </w:rPr>
      </w:pPr>
    </w:p>
    <w:p w14:paraId="3B432A0C">
      <w:pPr>
        <w:pStyle w:val="19"/>
        <w:ind w:firstLine="0" w:firstLineChars="0"/>
        <w:rPr>
          <w:rFonts w:ascii="Times New Roman"/>
          <w:szCs w:val="21"/>
        </w:rPr>
      </w:pPr>
    </w:p>
    <w:p w14:paraId="1AB0DC36">
      <w:pPr>
        <w:pStyle w:val="19"/>
        <w:ind w:firstLine="0" w:firstLineChars="0"/>
        <w:rPr>
          <w:rFonts w:ascii="Times New Roman"/>
          <w:szCs w:val="21"/>
        </w:rPr>
      </w:pPr>
    </w:p>
    <w:p w14:paraId="0DFCD2E5">
      <w:pPr>
        <w:widowControl/>
        <w:tabs>
          <w:tab w:val="center" w:pos="4201"/>
          <w:tab w:val="right" w:leader="dot" w:pos="9298"/>
        </w:tabs>
        <w:autoSpaceDE w:val="0"/>
        <w:autoSpaceDN w:val="0"/>
        <w:spacing w:line="480" w:lineRule="exact"/>
        <w:jc w:val="center"/>
        <w:rPr>
          <w:rFonts w:ascii="Times New Roman" w:hAnsi="Times New Roman" w:eastAsia="宋体" w:cs="Times New Roman"/>
          <w:kern w:val="0"/>
          <w:szCs w:val="20"/>
        </w:rPr>
      </w:pPr>
      <w:r>
        <w:rPr>
          <w:rFonts w:hint="eastAsia" w:ascii="宋体" w:hAnsi="宋体" w:eastAsia="宋体" w:cs="宋体"/>
          <w:spacing w:val="-2"/>
        </w:rPr>
        <w:t>_____________________________________</w:t>
      </w:r>
    </w:p>
    <w:p w14:paraId="37335569">
      <w:pPr>
        <w:widowControl/>
        <w:tabs>
          <w:tab w:val="center" w:pos="4201"/>
          <w:tab w:val="right" w:leader="dot" w:pos="9298"/>
        </w:tabs>
        <w:autoSpaceDE w:val="0"/>
        <w:autoSpaceDN w:val="0"/>
        <w:spacing w:line="480" w:lineRule="exact"/>
        <w:jc w:val="center"/>
        <w:rPr>
          <w:rFonts w:ascii="Times New Roman" w:hAnsi="Times New Roman" w:eastAsia="宋体" w:cs="Times New Roman"/>
          <w:kern w:val="0"/>
          <w:szCs w:val="20"/>
        </w:rPr>
      </w:pPr>
    </w:p>
    <w:p w14:paraId="47607C27">
      <w:pPr>
        <w:adjustRightInd w:val="0"/>
        <w:snapToGrid w:val="0"/>
        <w:jc w:val="center"/>
      </w:pPr>
    </w:p>
    <w:sectPr>
      <w:headerReference r:id="rId14" w:type="default"/>
      <w:footerReference r:id="rId15" w:type="default"/>
      <w:pgSz w:w="11906" w:h="16838"/>
      <w:pgMar w:top="1417" w:right="1417" w:bottom="1134" w:left="1417" w:header="1418" w:footer="1134" w:gutter="0"/>
      <w:cols w:space="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76150AEE-32EF-4502-9CFB-4051A455D333}"/>
  </w:font>
  <w:font w:name="黑体">
    <w:panose1 w:val="02010609060101010101"/>
    <w:charset w:val="86"/>
    <w:family w:val="auto"/>
    <w:pitch w:val="default"/>
    <w:sig w:usb0="800002BF" w:usb1="38CF7CFA" w:usb2="00000016" w:usb3="00000000" w:csb0="00040001" w:csb1="00000000"/>
    <w:embedRegular r:id="rId2" w:fontKey="{76CEBB9F-6E9F-4F89-A4D0-73BE5394908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embedRegular r:id="rId3" w:fontKey="{7093D0F5-765C-4205-9452-58D2ABDD3AC5}"/>
  </w:font>
  <w:font w:name="方正小标宋简体">
    <w:panose1 w:val="03000509000000000000"/>
    <w:charset w:val="86"/>
    <w:family w:val="auto"/>
    <w:pitch w:val="default"/>
    <w:sig w:usb0="00000001" w:usb1="080E0000" w:usb2="00000000" w:usb3="00000000" w:csb0="00040000" w:csb1="00000000"/>
    <w:embedRegular r:id="rId4" w:fontKey="{342D3D61-68B2-4C90-B57B-196C69F33DAD}"/>
  </w:font>
  <w:font w:name="仿宋_GB2312">
    <w:panose1 w:val="02010609030101010101"/>
    <w:charset w:val="86"/>
    <w:family w:val="modern"/>
    <w:pitch w:val="default"/>
    <w:sig w:usb0="00000001" w:usb1="080E0000" w:usb2="00000000" w:usb3="00000000" w:csb0="00040000" w:csb1="00000000"/>
    <w:embedRegular r:id="rId5" w:fontKey="{87DC3217-18F3-49EE-9950-AD94D262C676}"/>
  </w:font>
  <w:font w:name="Cambria Math">
    <w:panose1 w:val="02040503050406030204"/>
    <w:charset w:val="00"/>
    <w:family w:val="roman"/>
    <w:pitch w:val="default"/>
    <w:sig w:usb0="E00006FF" w:usb1="420024FF" w:usb2="02000000" w:usb3="00000000" w:csb0="2000019F" w:csb1="00000000"/>
    <w:embedRegular r:id="rId6" w:fontKey="{3A956D0F-BA16-489B-91F0-B619422CA91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DF0F0A">
    <w:pPr>
      <w:pStyle w:val="6"/>
      <w:adjustRightInd w:val="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C03329">
    <w:pPr>
      <w:pStyle w:val="6"/>
      <w:adjustRightInd w:val="0"/>
      <w:jc w:val="center"/>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73AEA5">
                          <w:pPr>
                            <w:pStyle w:val="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2773AEA5">
                    <w:pPr>
                      <w:pStyle w:val="6"/>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9546E7">
    <w:pPr>
      <w:pStyle w:val="6"/>
      <w:adjustRightInd w:val="0"/>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7F1CCC">
                          <w:pPr>
                            <w:pStyle w:val="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4D7F1CCC">
                    <w:pPr>
                      <w:pStyle w:val="6"/>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FBF443">
    <w:pPr>
      <w:pStyle w:val="6"/>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ED862A">
                          <w:pPr>
                            <w:pStyle w:val="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66C/ssAgAAV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roL+ywCAABVBAAADgAAAAAAAAABACAAAAAfAQAAZHJzL2Uyb0RvYy54bWxQSwUGAAAAAAYA&#10;BgBZAQAAvQUAAAAA&#10;">
              <v:fill on="f" focussize="0,0"/>
              <v:stroke on="f" weight="0.5pt"/>
              <v:imagedata o:title=""/>
              <o:lock v:ext="edit" aspectratio="f"/>
              <v:textbox inset="0mm,0mm,0mm,0mm" style="mso-fit-shape-to-text:t;">
                <w:txbxContent>
                  <w:p w14:paraId="4DED862A">
                    <w:pPr>
                      <w:pStyle w:val="6"/>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78626596"/>
    </w:sdtPr>
    <w:sdtContent>
      <w:p w14:paraId="41484687">
        <w:pPr>
          <w:pStyle w:val="6"/>
          <w:jc w:val="center"/>
        </w:pPr>
        <w:r>
          <w:fldChar w:fldCharType="begin"/>
        </w:r>
        <w:r>
          <w:instrText xml:space="preserve">PAGE   \* MERGEFORMAT</w:instrText>
        </w:r>
        <w:r>
          <w:fldChar w:fldCharType="separate"/>
        </w:r>
        <w:r>
          <w:rPr>
            <w:lang w:val="zh-CN"/>
          </w:rPr>
          <w:t>2</w:t>
        </w:r>
        <w: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57797435"/>
    </w:sdtPr>
    <w:sdtContent>
      <w:p w14:paraId="44168A7C">
        <w:pPr>
          <w:pStyle w:val="6"/>
          <w:jc w:val="center"/>
        </w:pPr>
        <w:r>
          <w:fldChar w:fldCharType="begin"/>
        </w:r>
        <w:r>
          <w:instrText xml:space="preserve">PAGE   \* MERGEFORMAT</w:instrText>
        </w:r>
        <w:r>
          <w:fldChar w:fldCharType="separate"/>
        </w:r>
        <w:r>
          <w:rPr>
            <w:lang w:val="zh-CN"/>
          </w:rPr>
          <w:t>2</w:t>
        </w:r>
        <w:r>
          <w:fldChar w:fldCharType="end"/>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6C6F9B">
    <w:pPr>
      <w:rPr>
        <w:rFonts w:hint="eastAsia" w:ascii="黑体" w:hAnsi="黑体" w:eastAsia="黑体" w:cs="黑体"/>
        <w:color w:val="000000" w:themeColor="text1"/>
        <w14:textFill>
          <w14:solidFill>
            <w14:schemeClr w14:val="tx1"/>
          </w14:solidFill>
        </w14:textFill>
      </w:rPr>
    </w:pPr>
    <w:r>
      <w:rPr>
        <w:rFonts w:hint="eastAsia" w:ascii="黑体" w:hAnsi="黑体" w:eastAsia="黑体" w:cs="黑体"/>
        <w:color w:val="000000" w:themeColor="text1"/>
        <w14:textFill>
          <w14:solidFill>
            <w14:schemeClr w14:val="tx1"/>
          </w14:solidFill>
        </w14:textFill>
      </w:rPr>
      <w:t>ICS 13</w:t>
    </w:r>
    <w:r>
      <w:rPr>
        <w:rFonts w:ascii="黑体" w:hAnsi="黑体" w:eastAsia="黑体" w:cs="黑体"/>
        <w:color w:val="000000" w:themeColor="text1"/>
        <w14:textFill>
          <w14:solidFill>
            <w14:schemeClr w14:val="tx1"/>
          </w14:solidFill>
        </w14:textFill>
      </w:rPr>
      <w:t>.0</w:t>
    </w:r>
    <w:r>
      <w:rPr>
        <w:rFonts w:hint="eastAsia" w:ascii="黑体" w:hAnsi="黑体" w:eastAsia="黑体" w:cs="黑体"/>
        <w:color w:val="000000" w:themeColor="text1"/>
        <w14:textFill>
          <w14:solidFill>
            <w14:schemeClr w14:val="tx1"/>
          </w14:solidFill>
        </w14:textFill>
      </w:rPr>
      <w:t>2</w:t>
    </w:r>
    <w:r>
      <w:rPr>
        <w:rFonts w:ascii="黑体" w:hAnsi="黑体" w:eastAsia="黑体" w:cs="黑体"/>
        <w:color w:val="000000" w:themeColor="text1"/>
        <w14:textFill>
          <w14:solidFill>
            <w14:schemeClr w14:val="tx1"/>
          </w14:solidFill>
        </w14:textFill>
      </w:rPr>
      <w:t>0</w:t>
    </w:r>
  </w:p>
  <w:p w14:paraId="7FAB48E1">
    <w:pPr>
      <w:pStyle w:val="7"/>
      <w:pBdr>
        <w:bottom w:val="none" w:color="auto" w:sz="0" w:space="0"/>
      </w:pBdr>
      <w:jc w:val="both"/>
    </w:pPr>
    <w:r>
      <w:drawing>
        <wp:anchor distT="0" distB="0" distL="114300" distR="114300" simplePos="0" relativeHeight="251668480" behindDoc="1" locked="0" layoutInCell="1" allowOverlap="1">
          <wp:simplePos x="0" y="0"/>
          <wp:positionH relativeFrom="margin">
            <wp:posOffset>-899795</wp:posOffset>
          </wp:positionH>
          <wp:positionV relativeFrom="margin">
            <wp:posOffset>-1515745</wp:posOffset>
          </wp:positionV>
          <wp:extent cx="7558405" cy="10692130"/>
          <wp:effectExtent l="0" t="0" r="10795" b="1270"/>
          <wp:wrapNone/>
          <wp:docPr id="16" name="WordPictureWatermark74872" descr="CECA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dPictureWatermark74872" descr="CECA水印"/>
                  <pic:cNvPicPr>
                    <a:picLocks noChangeAspect="1"/>
                  </pic:cNvPicPr>
                </pic:nvPicPr>
                <pic:blipFill>
                  <a:blip r:embed="rId1"/>
                  <a:stretch>
                    <a:fillRect/>
                  </a:stretch>
                </pic:blipFill>
                <pic:spPr>
                  <a:xfrm>
                    <a:off x="0" y="0"/>
                    <a:ext cx="7558405" cy="10692130"/>
                  </a:xfrm>
                  <a:prstGeom prst="rect">
                    <a:avLst/>
                  </a:prstGeom>
                  <a:noFill/>
                  <a:ln>
                    <a:noFill/>
                  </a:ln>
                </pic:spPr>
              </pic:pic>
            </a:graphicData>
          </a:graphic>
        </wp:anchor>
      </w:drawing>
    </w:r>
    <w:r>
      <w:rPr>
        <w:rFonts w:hint="eastAsia" w:ascii="黑体" w:hAnsi="黑体" w:eastAsia="黑体" w:cs="黑体"/>
        <w:color w:val="000000" w:themeColor="text1"/>
        <w:sz w:val="21"/>
        <w:szCs w:val="21"/>
        <w14:textFill>
          <w14:solidFill>
            <w14:schemeClr w14:val="tx1"/>
          </w14:solidFill>
        </w14:textFill>
      </w:rPr>
      <w:t>CCS Z</w:t>
    </w:r>
    <w:r>
      <w:rPr>
        <w:rFonts w:ascii="黑体" w:hAnsi="黑体" w:eastAsia="黑体" w:cs="黑体"/>
        <w:color w:val="000000" w:themeColor="text1"/>
        <w:sz w:val="21"/>
        <w:szCs w:val="21"/>
        <w14:textFill>
          <w14:solidFill>
            <w14:schemeClr w14:val="tx1"/>
          </w14:solidFill>
        </w14:textFill>
      </w:rPr>
      <w:t>0</w:t>
    </w:r>
    <w:r>
      <w:rPr>
        <w:rFonts w:hint="eastAsia" w:ascii="黑体" w:hAnsi="黑体" w:eastAsia="黑体" w:cs="黑体"/>
        <w:color w:val="000000" w:themeColor="text1"/>
        <w:sz w:val="21"/>
        <w:szCs w:val="21"/>
        <w14:textFill>
          <w14:solidFill>
            <w14:schemeClr w14:val="tx1"/>
          </w14:solidFill>
        </w14:textFill>
      </w:rPr>
      <w:t>0</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ECB2E6">
    <w:pPr>
      <w:spacing w:after="170" w:line="238" w:lineRule="auto"/>
      <w:ind w:left="6270"/>
      <w:jc w:val="right"/>
    </w:pPr>
    <w:r>
      <w:rPr>
        <w:rFonts w:hint="eastAsia" w:ascii="黑体" w:hAnsi="黑体" w:eastAsia="黑体" w:cs="黑体"/>
      </w:rPr>
      <w:t>T</w:t>
    </w:r>
    <w:r>
      <w:rPr>
        <w:rFonts w:hint="eastAsia" w:ascii="黑体" w:hAnsi="黑体" w:eastAsia="黑体" w:cs="黑体"/>
        <w:color w:val="000000"/>
        <w:kern w:val="0"/>
      </w:rPr>
      <w:t>/</w:t>
    </w:r>
    <w:r>
      <w:rPr>
        <w:rFonts w:hint="eastAsia" w:ascii="黑体" w:hAnsi="黑体" w:eastAsia="黑体" w:cs="黑体"/>
      </w:rPr>
      <w:t>CECA-G XXXX—20XX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54E18C">
    <w:pPr>
      <w:spacing w:after="170" w:line="238" w:lineRule="auto"/>
      <w:ind w:left="6270"/>
      <w:jc w:val="right"/>
    </w:pPr>
    <w:r>
      <w:rPr>
        <w:sz w:val="18"/>
      </w:rPr>
      <w:drawing>
        <wp:anchor distT="0" distB="0" distL="114300" distR="114300" simplePos="0" relativeHeight="251669504" behindDoc="1" locked="0" layoutInCell="1" allowOverlap="1">
          <wp:simplePos x="0" y="0"/>
          <wp:positionH relativeFrom="margin">
            <wp:posOffset>236220</wp:posOffset>
          </wp:positionH>
          <wp:positionV relativeFrom="margin">
            <wp:posOffset>1627505</wp:posOffset>
          </wp:positionV>
          <wp:extent cx="5274310" cy="5247640"/>
          <wp:effectExtent l="0" t="0" r="8890" b="10160"/>
          <wp:wrapNone/>
          <wp:docPr id="11" name="WordPictureWatermark3400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ordPictureWatermark34001" descr="LOGO"/>
                  <pic:cNvPicPr>
                    <a:picLocks noChangeAspect="1"/>
                  </pic:cNvPicPr>
                </pic:nvPicPr>
                <pic:blipFill>
                  <a:blip r:embed="rId1"/>
                  <a:stretch>
                    <a:fillRect/>
                  </a:stretch>
                </pic:blipFill>
                <pic:spPr>
                  <a:xfrm>
                    <a:off x="0" y="0"/>
                    <a:ext cx="5274310" cy="5247640"/>
                  </a:xfrm>
                  <a:prstGeom prst="rect">
                    <a:avLst/>
                  </a:prstGeom>
                  <a:noFill/>
                  <a:ln>
                    <a:noFill/>
                  </a:ln>
                </pic:spPr>
              </pic:pic>
            </a:graphicData>
          </a:graphic>
        </wp:anchor>
      </w:drawing>
    </w:r>
    <w:r>
      <w:rPr>
        <w:rFonts w:hint="eastAsia" w:ascii="黑体" w:hAnsi="黑体" w:eastAsia="黑体" w:cs="黑体"/>
      </w:rPr>
      <w:t>T</w:t>
    </w:r>
    <w:r>
      <w:rPr>
        <w:rFonts w:hint="eastAsia" w:ascii="黑体" w:hAnsi="黑体" w:eastAsia="黑体" w:cs="黑体"/>
        <w:color w:val="000000"/>
        <w:kern w:val="0"/>
      </w:rPr>
      <w:t>/</w:t>
    </w:r>
    <w:r>
      <w:rPr>
        <w:rFonts w:hint="eastAsia" w:ascii="黑体" w:hAnsi="黑体" w:eastAsia="黑体" w:cs="黑体"/>
      </w:rPr>
      <w:t>CECA-G XXXX—20XX</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9263A9">
    <w:pPr>
      <w:pStyle w:val="7"/>
      <w:pBdr>
        <w:bottom w:val="none" w:color="auto" w:sz="0" w:space="1"/>
      </w:pBdr>
      <w:jc w:val="right"/>
      <w:rPr>
        <w:szCs w:val="21"/>
      </w:rPr>
    </w:pPr>
    <w:r>
      <w:drawing>
        <wp:anchor distT="0" distB="0" distL="114300" distR="114300" simplePos="0" relativeHeight="251664384" behindDoc="1" locked="0" layoutInCell="1" allowOverlap="1">
          <wp:simplePos x="0" y="0"/>
          <wp:positionH relativeFrom="margin">
            <wp:align>center</wp:align>
          </wp:positionH>
          <wp:positionV relativeFrom="margin">
            <wp:align>center</wp:align>
          </wp:positionV>
          <wp:extent cx="5274310" cy="5247640"/>
          <wp:effectExtent l="0" t="0" r="13970" b="10160"/>
          <wp:wrapNone/>
          <wp:docPr id="25539152" name="WordPictureWatermark3400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39152" name="WordPictureWatermark34001" descr="LOGO"/>
                  <pic:cNvPicPr>
                    <a:picLocks noChangeAspect="1"/>
                  </pic:cNvPicPr>
                </pic:nvPicPr>
                <pic:blipFill>
                  <a:blip r:embed="rId1"/>
                  <a:stretch>
                    <a:fillRect/>
                  </a:stretch>
                </pic:blipFill>
                <pic:spPr>
                  <a:xfrm>
                    <a:off x="0" y="0"/>
                    <a:ext cx="5274310" cy="5247640"/>
                  </a:xfrm>
                  <a:prstGeom prst="rect">
                    <a:avLst/>
                  </a:prstGeom>
                  <a:noFill/>
                  <a:ln>
                    <a:noFill/>
                  </a:ln>
                </pic:spPr>
              </pic:pic>
            </a:graphicData>
          </a:graphic>
        </wp:anchor>
      </w:drawing>
    </w:r>
    <w:r>
      <w:rPr>
        <w:rFonts w:hint="eastAsia" w:ascii="Times New Roman" w:hAnsi="Times New Roman" w:cs="Times New Roman"/>
      </w:rPr>
      <w:t>T/CECA-G XXXX—202X</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60F936">
    <w:pPr>
      <w:spacing w:after="170" w:line="238" w:lineRule="auto"/>
      <w:ind w:left="6270"/>
      <w:jc w:val="right"/>
    </w:pPr>
    <w:r>
      <w:rPr>
        <w:sz w:val="18"/>
      </w:rPr>
      <w:drawing>
        <wp:anchor distT="0" distB="0" distL="114300" distR="114300" simplePos="0" relativeHeight="251666432" behindDoc="1" locked="0" layoutInCell="1" allowOverlap="1">
          <wp:simplePos x="0" y="0"/>
          <wp:positionH relativeFrom="margin">
            <wp:align>center</wp:align>
          </wp:positionH>
          <wp:positionV relativeFrom="margin">
            <wp:align>center</wp:align>
          </wp:positionV>
          <wp:extent cx="5274310" cy="5247640"/>
          <wp:effectExtent l="0" t="0" r="13970" b="10160"/>
          <wp:wrapNone/>
          <wp:docPr id="141867296" name="WordPictureWatermark3400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67296" name="WordPictureWatermark34001" descr="LOGO"/>
                  <pic:cNvPicPr>
                    <a:picLocks noChangeAspect="1"/>
                  </pic:cNvPicPr>
                </pic:nvPicPr>
                <pic:blipFill>
                  <a:blip r:embed="rId1"/>
                  <a:stretch>
                    <a:fillRect/>
                  </a:stretch>
                </pic:blipFill>
                <pic:spPr>
                  <a:xfrm>
                    <a:off x="0" y="0"/>
                    <a:ext cx="5274310" cy="5247640"/>
                  </a:xfrm>
                  <a:prstGeom prst="rect">
                    <a:avLst/>
                  </a:prstGeom>
                  <a:noFill/>
                  <a:ln>
                    <a:noFill/>
                  </a:ln>
                </pic:spPr>
              </pic:pic>
            </a:graphicData>
          </a:graphic>
        </wp:anchor>
      </w:drawing>
    </w:r>
    <w:r>
      <w:rPr>
        <w:rFonts w:hint="eastAsia" w:ascii="黑体" w:hAnsi="黑体" w:eastAsia="黑体" w:cs="黑体"/>
      </w:rPr>
      <w:t>T</w:t>
    </w:r>
    <w:r>
      <w:rPr>
        <w:rFonts w:hint="eastAsia" w:ascii="黑体" w:hAnsi="黑体" w:eastAsia="黑体" w:cs="黑体"/>
        <w:color w:val="000000"/>
        <w:kern w:val="0"/>
      </w:rPr>
      <w:t>/</w:t>
    </w:r>
    <w:r>
      <w:rPr>
        <w:rFonts w:hint="eastAsia" w:ascii="黑体" w:hAnsi="黑体" w:eastAsia="黑体" w:cs="黑体"/>
      </w:rPr>
      <w:t>CECA-G XXXX—20XX</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1EFF49">
    <w:pPr>
      <w:spacing w:after="170" w:line="238" w:lineRule="auto"/>
      <w:ind w:left="6270"/>
      <w:jc w:val="right"/>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5274310" cy="5247640"/>
          <wp:effectExtent l="0" t="0" r="13970" b="10160"/>
          <wp:wrapNone/>
          <wp:docPr id="103184612" name="WordPictureWatermark3400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84612" name="WordPictureWatermark34001" descr="LOGO"/>
                  <pic:cNvPicPr>
                    <a:picLocks noChangeAspect="1"/>
                  </pic:cNvPicPr>
                </pic:nvPicPr>
                <pic:blipFill>
                  <a:blip r:embed="rId1"/>
                  <a:stretch>
                    <a:fillRect/>
                  </a:stretch>
                </pic:blipFill>
                <pic:spPr>
                  <a:xfrm>
                    <a:off x="0" y="0"/>
                    <a:ext cx="5274310" cy="5247640"/>
                  </a:xfrm>
                  <a:prstGeom prst="rect">
                    <a:avLst/>
                  </a:prstGeom>
                  <a:noFill/>
                  <a:ln>
                    <a:noFill/>
                  </a:ln>
                </pic:spPr>
              </pic:pic>
            </a:graphicData>
          </a:graphic>
        </wp:anchor>
      </w:drawing>
    </w:r>
    <w:r>
      <w:rPr>
        <w:rFonts w:hint="eastAsia" w:ascii="黑体" w:hAnsi="黑体" w:eastAsia="黑体" w:cs="黑体"/>
      </w:rPr>
      <w:t>T</w:t>
    </w:r>
    <w:r>
      <w:rPr>
        <w:rFonts w:hint="eastAsia" w:ascii="黑体" w:hAnsi="黑体" w:eastAsia="黑体" w:cs="黑体"/>
        <w:color w:val="000000"/>
        <w:kern w:val="0"/>
      </w:rPr>
      <w:t>/</w:t>
    </w:r>
    <w:r>
      <w:rPr>
        <w:rFonts w:hint="eastAsia" w:ascii="黑体" w:hAnsi="黑体" w:eastAsia="黑体" w:cs="黑体"/>
      </w:rPr>
      <w:t>CECA-G XXXX—20XX</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71FB3F">
    <w:pPr>
      <w:spacing w:after="170" w:line="238" w:lineRule="auto"/>
      <w:ind w:left="6270"/>
      <w:jc w:val="right"/>
      <w:rPr>
        <w:rFonts w:eastAsia="黑体"/>
      </w:rPr>
    </w:pPr>
    <w:r>
      <w:rPr>
        <w:sz w:val="18"/>
      </w:rPr>
      <w:drawing>
        <wp:anchor distT="0" distB="0" distL="114300" distR="114300" simplePos="0" relativeHeight="251665408" behindDoc="1" locked="0" layoutInCell="1" allowOverlap="1">
          <wp:simplePos x="0" y="0"/>
          <wp:positionH relativeFrom="margin">
            <wp:align>center</wp:align>
          </wp:positionH>
          <wp:positionV relativeFrom="margin">
            <wp:align>center</wp:align>
          </wp:positionV>
          <wp:extent cx="5274310" cy="5247640"/>
          <wp:effectExtent l="0" t="0" r="13970" b="10160"/>
          <wp:wrapNone/>
          <wp:docPr id="15" name="WordPictureWatermark3400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34001" descr="LOGO"/>
                  <pic:cNvPicPr>
                    <a:picLocks noChangeAspect="1"/>
                  </pic:cNvPicPr>
                </pic:nvPicPr>
                <pic:blipFill>
                  <a:blip r:embed="rId1"/>
                  <a:stretch>
                    <a:fillRect/>
                  </a:stretch>
                </pic:blipFill>
                <pic:spPr>
                  <a:xfrm>
                    <a:off x="0" y="0"/>
                    <a:ext cx="5274310" cy="5247640"/>
                  </a:xfrm>
                  <a:prstGeom prst="rect">
                    <a:avLst/>
                  </a:prstGeom>
                  <a:noFill/>
                  <a:ln>
                    <a:noFill/>
                  </a:ln>
                </pic:spPr>
              </pic:pic>
            </a:graphicData>
          </a:graphic>
        </wp:anchor>
      </w:drawing>
    </w:r>
    <w:r>
      <w:rPr>
        <w:rFonts w:hint="eastAsia" w:ascii="黑体" w:hAnsi="黑体" w:eastAsia="黑体" w:cs="黑体"/>
      </w:rPr>
      <w:t>T</w:t>
    </w:r>
    <w:r>
      <w:rPr>
        <w:rFonts w:hint="eastAsia" w:ascii="黑体" w:hAnsi="黑体" w:eastAsia="黑体" w:cs="黑体"/>
        <w:color w:val="000000"/>
        <w:kern w:val="0"/>
      </w:rPr>
      <w:t>/</w:t>
    </w:r>
    <w:r>
      <w:rPr>
        <w:rFonts w:hint="eastAsia" w:ascii="黑体" w:hAnsi="黑体" w:eastAsia="黑体" w:cs="黑体"/>
      </w:rPr>
      <w:t>CECA-G XXXX—20XX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EA143A"/>
    <w:multiLevelType w:val="singleLevel"/>
    <w:tmpl w:val="81EA143A"/>
    <w:lvl w:ilvl="0" w:tentative="0">
      <w:start w:val="1"/>
      <w:numFmt w:val="decimal"/>
      <w:lvlText w:val="%1)"/>
      <w:lvlJc w:val="left"/>
      <w:pPr>
        <w:ind w:left="425" w:hanging="425"/>
      </w:pPr>
      <w:rPr>
        <w:rFonts w:hint="default"/>
      </w:rPr>
    </w:lvl>
  </w:abstractNum>
  <w:abstractNum w:abstractNumId="1">
    <w:nsid w:val="AD9D5905"/>
    <w:multiLevelType w:val="singleLevel"/>
    <w:tmpl w:val="AD9D5905"/>
    <w:lvl w:ilvl="0" w:tentative="0">
      <w:start w:val="1"/>
      <w:numFmt w:val="decimal"/>
      <w:suff w:val="space"/>
      <w:lvlText w:val="[%1]"/>
      <w:lvlJc w:val="left"/>
    </w:lvl>
  </w:abstractNum>
  <w:abstractNum w:abstractNumId="2">
    <w:nsid w:val="D28ED1B9"/>
    <w:multiLevelType w:val="singleLevel"/>
    <w:tmpl w:val="D28ED1B9"/>
    <w:lvl w:ilvl="0" w:tentative="0">
      <w:start w:val="1"/>
      <w:numFmt w:val="decimal"/>
      <w:lvlText w:val="%1)"/>
      <w:lvlJc w:val="left"/>
      <w:pPr>
        <w:ind w:left="425" w:hanging="425"/>
      </w:pPr>
      <w:rPr>
        <w:rFonts w:hint="default"/>
      </w:rPr>
    </w:lvl>
  </w:abstractNum>
  <w:abstractNum w:abstractNumId="3">
    <w:nsid w:val="F5141C16"/>
    <w:multiLevelType w:val="singleLevel"/>
    <w:tmpl w:val="F5141C16"/>
    <w:lvl w:ilvl="0" w:tentative="0">
      <w:start w:val="1"/>
      <w:numFmt w:val="decimal"/>
      <w:lvlText w:val="%1)"/>
      <w:lvlJc w:val="left"/>
      <w:pPr>
        <w:ind w:left="425" w:hanging="425"/>
      </w:pPr>
      <w:rPr>
        <w:rFonts w:hint="default"/>
      </w:rPr>
    </w:lvl>
  </w:abstractNum>
  <w:abstractNum w:abstractNumId="4">
    <w:nsid w:val="1A4E6BDC"/>
    <w:multiLevelType w:val="singleLevel"/>
    <w:tmpl w:val="1A4E6BDC"/>
    <w:lvl w:ilvl="0" w:tentative="0">
      <w:start w:val="1"/>
      <w:numFmt w:val="decimal"/>
      <w:lvlText w:val="%1)"/>
      <w:lvlJc w:val="left"/>
      <w:pPr>
        <w:ind w:left="425" w:hanging="425"/>
      </w:pPr>
      <w:rPr>
        <w:rFonts w:hint="default"/>
      </w:rPr>
    </w:lvl>
  </w:abstractNum>
  <w:abstractNum w:abstractNumId="5">
    <w:nsid w:val="1FC91163"/>
    <w:multiLevelType w:val="multilevel"/>
    <w:tmpl w:val="1FC91163"/>
    <w:lvl w:ilvl="0" w:tentative="0">
      <w:start w:val="1"/>
      <w:numFmt w:val="decimal"/>
      <w:pStyle w:val="17"/>
      <w:suff w:val="nothing"/>
      <w:lvlText w:val="%1　"/>
      <w:lvlJc w:val="left"/>
      <w:pPr>
        <w:ind w:left="142" w:firstLine="0"/>
      </w:pPr>
      <w:rPr>
        <w:rFonts w:hint="eastAsia" w:ascii="黑体" w:hAnsi="Times New Roman" w:eastAsia="黑体"/>
        <w:b w:val="0"/>
        <w:i w:val="0"/>
        <w:sz w:val="21"/>
        <w:szCs w:val="21"/>
      </w:rPr>
    </w:lvl>
    <w:lvl w:ilvl="1" w:tentative="0">
      <w:start w:val="1"/>
      <w:numFmt w:val="decimal"/>
      <w:pStyle w:val="20"/>
      <w:suff w:val="nothing"/>
      <w:lvlText w:val="%1.%2　"/>
      <w:lvlJc w:val="left"/>
      <w:pPr>
        <w:ind w:left="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lvlRestart w:val="1"/>
      <w:pStyle w:val="26"/>
      <w:suff w:val="nothing"/>
      <w:lvlText w:val="%1.%2.%3　"/>
      <w:lvlJc w:val="left"/>
      <w:pPr>
        <w:ind w:left="0" w:firstLine="0"/>
      </w:pPr>
      <w:rPr>
        <w:rFonts w:hint="eastAsia" w:ascii="黑体" w:hAnsi="Times New Roman" w:eastAsia="黑体"/>
        <w:b w:val="0"/>
        <w:i w:val="0"/>
        <w:sz w:val="21"/>
      </w:rPr>
    </w:lvl>
    <w:lvl w:ilvl="3" w:tentative="0">
      <w:start w:val="1"/>
      <w:numFmt w:val="decimal"/>
      <w:lvlRestart w:val="1"/>
      <w:pStyle w:val="29"/>
      <w:suff w:val="nothing"/>
      <w:lvlText w:val="%1.%2.%3.%4　"/>
      <w:lvlJc w:val="left"/>
      <w:pPr>
        <w:ind w:left="0" w:firstLine="0"/>
      </w:pPr>
      <w:rPr>
        <w:rFonts w:ascii="黑体" w:hAnsi="黑体" w:eastAsia="黑体"/>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2C5917C3"/>
    <w:multiLevelType w:val="multilevel"/>
    <w:tmpl w:val="2C5917C3"/>
    <w:lvl w:ilvl="0" w:tentative="0">
      <w:start w:val="1"/>
      <w:numFmt w:val="none"/>
      <w:pStyle w:val="49"/>
      <w:lvlText w:val="%1——"/>
      <w:lvlJc w:val="left"/>
      <w:pPr>
        <w:tabs>
          <w:tab w:val="left" w:pos="851"/>
        </w:tabs>
        <w:ind w:left="851" w:hanging="426"/>
      </w:pPr>
      <w:rPr>
        <w:rFonts w:hint="eastAsia" w:ascii="宋体" w:hAnsi="Times New Roman" w:eastAsia="宋体"/>
        <w:b w:val="0"/>
        <w:i w:val="0"/>
        <w:sz w:val="21"/>
      </w:rPr>
    </w:lvl>
    <w:lvl w:ilvl="1" w:tentative="0">
      <w:start w:val="1"/>
      <w:numFmt w:val="none"/>
      <w:lvlText w:val=""/>
      <w:lvlJc w:val="left"/>
      <w:pPr>
        <w:ind w:left="851" w:hanging="431"/>
      </w:pPr>
      <w:rPr>
        <w:rFonts w:hint="default" w:ascii="Symbol" w:hAnsi="Symbol"/>
        <w:sz w:val="21"/>
      </w:rPr>
    </w:lvl>
    <w:lvl w:ilvl="2" w:tentative="0">
      <w:start w:val="1"/>
      <w:numFmt w:val="bullet"/>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7">
    <w:nsid w:val="2CD85AAE"/>
    <w:multiLevelType w:val="singleLevel"/>
    <w:tmpl w:val="2CD85AAE"/>
    <w:lvl w:ilvl="0" w:tentative="0">
      <w:start w:val="1"/>
      <w:numFmt w:val="decimal"/>
      <w:lvlText w:val="%1)"/>
      <w:lvlJc w:val="left"/>
      <w:pPr>
        <w:ind w:left="425" w:hanging="425"/>
      </w:pPr>
      <w:rPr>
        <w:rFonts w:hint="default"/>
      </w:rPr>
    </w:lvl>
  </w:abstractNum>
  <w:abstractNum w:abstractNumId="8">
    <w:nsid w:val="34D86A82"/>
    <w:multiLevelType w:val="multilevel"/>
    <w:tmpl w:val="34D86A82"/>
    <w:lvl w:ilvl="0" w:tentative="0">
      <w:start w:val="1"/>
      <w:numFmt w:val="decimal"/>
      <w:pStyle w:val="47"/>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9">
    <w:nsid w:val="44C50F90"/>
    <w:multiLevelType w:val="multilevel"/>
    <w:tmpl w:val="44C50F90"/>
    <w:lvl w:ilvl="0" w:tentative="0">
      <w:start w:val="1"/>
      <w:numFmt w:val="lowerLetter"/>
      <w:pStyle w:val="34"/>
      <w:lvlText w:val="%1)"/>
      <w:lvlJc w:val="left"/>
      <w:pPr>
        <w:tabs>
          <w:tab w:val="left" w:pos="839"/>
        </w:tabs>
        <w:ind w:left="839" w:hanging="419"/>
      </w:pPr>
      <w:rPr>
        <w:rFonts w:hint="eastAsia" w:ascii="宋体" w:hAnsi="宋体" w:eastAsia="宋体"/>
        <w:b w:val="0"/>
        <w:i w:val="0"/>
        <w:sz w:val="20"/>
        <w:szCs w:val="21"/>
      </w:rPr>
    </w:lvl>
    <w:lvl w:ilvl="1" w:tentative="0">
      <w:start w:val="1"/>
      <w:numFmt w:val="decimal"/>
      <w:lvlText w:val="%2)"/>
      <w:lvlJc w:val="left"/>
      <w:pPr>
        <w:tabs>
          <w:tab w:val="left" w:pos="1259"/>
        </w:tabs>
        <w:ind w:left="1259" w:hanging="420"/>
      </w:pPr>
      <w:rPr>
        <w:rFonts w:hint="eastAsia" w:ascii="宋体" w:hAnsi="宋体" w:eastAsia="宋体"/>
        <w:b w:val="0"/>
        <w:i w:val="0"/>
        <w:sz w:val="20"/>
      </w:rPr>
    </w:lvl>
    <w:lvl w:ilvl="2" w:tentative="0">
      <w:start w:val="1"/>
      <w:numFmt w:val="decimal"/>
      <w:lvlText w:val="(%3)"/>
      <w:lvlJc w:val="left"/>
      <w:pPr>
        <w:tabs>
          <w:tab w:val="left" w:pos="0"/>
        </w:tabs>
        <w:ind w:left="1678" w:hanging="419"/>
      </w:pPr>
      <w:rPr>
        <w:rFonts w:hint="eastAsia" w:ascii="宋体" w:hAnsi="宋体" w:eastAsia="宋体"/>
        <w:b w:val="0"/>
        <w:i w:val="0"/>
        <w:sz w:val="20"/>
        <w:szCs w:val="21"/>
      </w:rPr>
    </w:lvl>
    <w:lvl w:ilvl="3" w:tentative="0">
      <w:start w:val="1"/>
      <w:numFmt w:val="decimal"/>
      <w:lvlText w:val="%4."/>
      <w:lvlJc w:val="left"/>
      <w:pPr>
        <w:tabs>
          <w:tab w:val="left" w:pos="2098"/>
        </w:tabs>
        <w:ind w:left="2098" w:hanging="420"/>
      </w:pPr>
      <w:rPr>
        <w:rFonts w:hint="eastAsia"/>
      </w:rPr>
    </w:lvl>
    <w:lvl w:ilvl="4" w:tentative="0">
      <w:start w:val="1"/>
      <w:numFmt w:val="lowerLetter"/>
      <w:lvlText w:val="%5)"/>
      <w:lvlJc w:val="left"/>
      <w:pPr>
        <w:tabs>
          <w:tab w:val="left" w:pos="2517"/>
        </w:tabs>
        <w:ind w:left="2517" w:hanging="419"/>
      </w:pPr>
      <w:rPr>
        <w:rFonts w:hint="eastAsia"/>
      </w:rPr>
    </w:lvl>
    <w:lvl w:ilvl="5" w:tentative="0">
      <w:start w:val="1"/>
      <w:numFmt w:val="lowerRoman"/>
      <w:lvlText w:val="%6."/>
      <w:lvlJc w:val="right"/>
      <w:pPr>
        <w:tabs>
          <w:tab w:val="left" w:pos="2942"/>
        </w:tabs>
        <w:ind w:left="2937" w:hanging="420"/>
      </w:pPr>
      <w:rPr>
        <w:rFonts w:hint="eastAsia"/>
      </w:rPr>
    </w:lvl>
    <w:lvl w:ilvl="6" w:tentative="0">
      <w:start w:val="1"/>
      <w:numFmt w:val="decimal"/>
      <w:lvlText w:val="%7."/>
      <w:lvlJc w:val="left"/>
      <w:pPr>
        <w:tabs>
          <w:tab w:val="left" w:pos="3362"/>
        </w:tabs>
        <w:ind w:left="3356" w:hanging="414"/>
      </w:pPr>
      <w:rPr>
        <w:rFonts w:hint="eastAsia"/>
      </w:rPr>
    </w:lvl>
    <w:lvl w:ilvl="7" w:tentative="0">
      <w:start w:val="1"/>
      <w:numFmt w:val="lowerLetter"/>
      <w:lvlText w:val="%8)"/>
      <w:lvlJc w:val="left"/>
      <w:pPr>
        <w:tabs>
          <w:tab w:val="left" w:pos="3781"/>
        </w:tabs>
        <w:ind w:left="3776" w:hanging="414"/>
      </w:pPr>
      <w:rPr>
        <w:rFonts w:hint="eastAsia"/>
      </w:rPr>
    </w:lvl>
    <w:lvl w:ilvl="8" w:tentative="0">
      <w:start w:val="1"/>
      <w:numFmt w:val="lowerRoman"/>
      <w:lvlText w:val="%9."/>
      <w:lvlJc w:val="right"/>
      <w:pPr>
        <w:tabs>
          <w:tab w:val="left" w:pos="4201"/>
        </w:tabs>
        <w:ind w:left="4201" w:hanging="420"/>
      </w:pPr>
      <w:rPr>
        <w:rFonts w:hint="eastAsia"/>
      </w:rPr>
    </w:lvl>
  </w:abstractNum>
  <w:abstractNum w:abstractNumId="10">
    <w:nsid w:val="46B54C9F"/>
    <w:multiLevelType w:val="singleLevel"/>
    <w:tmpl w:val="46B54C9F"/>
    <w:lvl w:ilvl="0" w:tentative="0">
      <w:start w:val="1"/>
      <w:numFmt w:val="decimal"/>
      <w:lvlText w:val="%1)"/>
      <w:lvlJc w:val="left"/>
      <w:pPr>
        <w:ind w:left="425" w:hanging="425"/>
      </w:pPr>
      <w:rPr>
        <w:rFonts w:hint="default"/>
      </w:rPr>
    </w:lvl>
  </w:abstractNum>
  <w:abstractNum w:abstractNumId="11">
    <w:nsid w:val="48802D1C"/>
    <w:multiLevelType w:val="multilevel"/>
    <w:tmpl w:val="48802D1C"/>
    <w:lvl w:ilvl="0" w:tentative="0">
      <w:start w:val="1"/>
      <w:numFmt w:val="upperLetter"/>
      <w:pStyle w:val="45"/>
      <w:lvlText w:val="%1"/>
      <w:lvlJc w:val="left"/>
      <w:pPr>
        <w:ind w:left="420" w:hanging="420"/>
      </w:pPr>
      <w:rPr>
        <w:rFonts w:hint="eastAsia"/>
      </w:rPr>
    </w:lvl>
    <w:lvl w:ilvl="1" w:tentative="0">
      <w:start w:val="1"/>
      <w:numFmt w:val="decimal"/>
      <w:suff w:val="space"/>
      <w:lvlText w:val="图%1.%2 "/>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2">
    <w:nsid w:val="55878E40"/>
    <w:multiLevelType w:val="singleLevel"/>
    <w:tmpl w:val="55878E40"/>
    <w:lvl w:ilvl="0" w:tentative="0">
      <w:start w:val="1"/>
      <w:numFmt w:val="decimal"/>
      <w:lvlText w:val="%1)"/>
      <w:lvlJc w:val="left"/>
      <w:pPr>
        <w:ind w:left="425" w:hanging="425"/>
      </w:pPr>
      <w:rPr>
        <w:rFonts w:hint="default"/>
      </w:rPr>
    </w:lvl>
  </w:abstractNum>
  <w:abstractNum w:abstractNumId="13">
    <w:nsid w:val="5603797C"/>
    <w:multiLevelType w:val="multilevel"/>
    <w:tmpl w:val="5603797C"/>
    <w:lvl w:ilvl="0" w:tentative="0">
      <w:start w:val="1"/>
      <w:numFmt w:val="upperLetter"/>
      <w:pStyle w:val="46"/>
      <w:suff w:val="space"/>
      <w:lvlText w:val="%1"/>
      <w:lvlJc w:val="left"/>
      <w:pPr>
        <w:ind w:left="425" w:hanging="425"/>
      </w:pPr>
      <w:rPr>
        <w:rFonts w:hint="eastAsia"/>
      </w:rPr>
    </w:lvl>
    <w:lvl w:ilvl="1" w:tentative="0">
      <w:start w:val="1"/>
      <w:numFmt w:val="decimal"/>
      <w:pStyle w:val="40"/>
      <w:suff w:val="space"/>
      <w:lvlText w:val="表%1.%2 "/>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4">
    <w:nsid w:val="657D3FBC"/>
    <w:multiLevelType w:val="multilevel"/>
    <w:tmpl w:val="657D3FBC"/>
    <w:lvl w:ilvl="0" w:tentative="0">
      <w:start w:val="1"/>
      <w:numFmt w:val="upperLetter"/>
      <w:pStyle w:val="22"/>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24"/>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pStyle w:val="25"/>
      <w:suff w:val="nothing"/>
      <w:lvlText w:val="%1.%2.%3　"/>
      <w:lvlJc w:val="left"/>
      <w:pPr>
        <w:ind w:left="315"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5">
    <w:nsid w:val="6CE34E8B"/>
    <w:multiLevelType w:val="singleLevel"/>
    <w:tmpl w:val="6CE34E8B"/>
    <w:lvl w:ilvl="0" w:tentative="0">
      <w:start w:val="1"/>
      <w:numFmt w:val="decimal"/>
      <w:lvlText w:val="%1)"/>
      <w:lvlJc w:val="left"/>
      <w:pPr>
        <w:ind w:left="425" w:hanging="425"/>
      </w:pPr>
      <w:rPr>
        <w:rFonts w:hint="default"/>
      </w:rPr>
    </w:lvl>
  </w:abstractNum>
  <w:abstractNum w:abstractNumId="16">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35"/>
      <w:suff w:val="nothing"/>
      <w:lvlText w:val="%1%2　"/>
      <w:lvlJc w:val="left"/>
      <w:pPr>
        <w:ind w:left="0" w:firstLine="0"/>
      </w:pPr>
      <w:rPr>
        <w:rFonts w:hint="eastAsia" w:ascii="黑体" w:eastAsia="黑体"/>
        <w:b w:val="0"/>
        <w:i w:val="0"/>
        <w:sz w:val="21"/>
      </w:rPr>
    </w:lvl>
    <w:lvl w:ilvl="2" w:tentative="0">
      <w:start w:val="1"/>
      <w:numFmt w:val="decimal"/>
      <w:pStyle w:val="38"/>
      <w:suff w:val="nothing"/>
      <w:lvlText w:val="%1%2.%3　"/>
      <w:lvlJc w:val="left"/>
      <w:pPr>
        <w:ind w:left="0" w:firstLine="0"/>
      </w:pPr>
      <w:rPr>
        <w:rFonts w:hint="default"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39"/>
      <w:suff w:val="nothing"/>
      <w:lvlText w:val="%1%2.%3.%4　"/>
      <w:lvlJc w:val="left"/>
      <w:pPr>
        <w:ind w:left="0" w:firstLine="0"/>
      </w:pPr>
      <w:rPr>
        <w:rFonts w:hint="eastAsia" w:ascii="黑体" w:eastAsia="黑体"/>
        <w:b w:val="0"/>
        <w:i w:val="0"/>
        <w:sz w:val="21"/>
      </w:rPr>
    </w:lvl>
    <w:lvl w:ilvl="4" w:tentative="0">
      <w:start w:val="1"/>
      <w:numFmt w:val="decimal"/>
      <w:pStyle w:val="51"/>
      <w:suff w:val="nothing"/>
      <w:lvlText w:val="%1%2.%3.%4.%5　"/>
      <w:lvlJc w:val="left"/>
      <w:pPr>
        <w:ind w:left="0" w:firstLine="0"/>
      </w:pPr>
      <w:rPr>
        <w:rFonts w:hint="eastAsia" w:ascii="黑体" w:eastAsia="黑体"/>
        <w:b w:val="0"/>
        <w:i w:val="0"/>
        <w:sz w:val="21"/>
      </w:rPr>
    </w:lvl>
    <w:lvl w:ilvl="5" w:tentative="0">
      <w:start w:val="1"/>
      <w:numFmt w:val="decimal"/>
      <w:pStyle w:val="4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5"/>
  </w:num>
  <w:num w:numId="2">
    <w:abstractNumId w:val="14"/>
  </w:num>
  <w:num w:numId="3">
    <w:abstractNumId w:val="9"/>
  </w:num>
  <w:num w:numId="4">
    <w:abstractNumId w:val="16"/>
  </w:num>
  <w:num w:numId="5">
    <w:abstractNumId w:val="13"/>
  </w:num>
  <w:num w:numId="6">
    <w:abstractNumId w:val="11"/>
  </w:num>
  <w:num w:numId="7">
    <w:abstractNumId w:val="8"/>
  </w:num>
  <w:num w:numId="8">
    <w:abstractNumId w:val="6"/>
  </w:num>
  <w:num w:numId="9">
    <w:abstractNumId w:val="7"/>
  </w:num>
  <w:num w:numId="10">
    <w:abstractNumId w:val="0"/>
  </w:num>
  <w:num w:numId="11">
    <w:abstractNumId w:val="3"/>
  </w:num>
  <w:num w:numId="12">
    <w:abstractNumId w:val="4"/>
  </w:num>
  <w:num w:numId="13">
    <w:abstractNumId w:val="2"/>
  </w:num>
  <w:num w:numId="14">
    <w:abstractNumId w:val="15"/>
  </w:num>
  <w:num w:numId="15">
    <w:abstractNumId w:val="12"/>
  </w:num>
  <w:num w:numId="16">
    <w:abstractNumId w:val="10"/>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E3B7507"/>
    <w:rsid w:val="00003BAC"/>
    <w:rsid w:val="000066EC"/>
    <w:rsid w:val="00010D06"/>
    <w:rsid w:val="00016F21"/>
    <w:rsid w:val="00022094"/>
    <w:rsid w:val="00023E1E"/>
    <w:rsid w:val="00024726"/>
    <w:rsid w:val="00024978"/>
    <w:rsid w:val="00031399"/>
    <w:rsid w:val="00034764"/>
    <w:rsid w:val="00046012"/>
    <w:rsid w:val="00056C17"/>
    <w:rsid w:val="0005733D"/>
    <w:rsid w:val="000641B6"/>
    <w:rsid w:val="00064F1A"/>
    <w:rsid w:val="000669E7"/>
    <w:rsid w:val="00067218"/>
    <w:rsid w:val="000678BB"/>
    <w:rsid w:val="00067C87"/>
    <w:rsid w:val="0007398E"/>
    <w:rsid w:val="00074E70"/>
    <w:rsid w:val="00075F9B"/>
    <w:rsid w:val="00077F6C"/>
    <w:rsid w:val="00081579"/>
    <w:rsid w:val="00086A93"/>
    <w:rsid w:val="00087135"/>
    <w:rsid w:val="0008773A"/>
    <w:rsid w:val="00092548"/>
    <w:rsid w:val="00093EE1"/>
    <w:rsid w:val="00094B1C"/>
    <w:rsid w:val="00097874"/>
    <w:rsid w:val="000A0965"/>
    <w:rsid w:val="000A1DE7"/>
    <w:rsid w:val="000A4562"/>
    <w:rsid w:val="000A50EF"/>
    <w:rsid w:val="000A69A4"/>
    <w:rsid w:val="000A7177"/>
    <w:rsid w:val="000B0119"/>
    <w:rsid w:val="000B0322"/>
    <w:rsid w:val="000B1AC8"/>
    <w:rsid w:val="000B2508"/>
    <w:rsid w:val="000B2FF8"/>
    <w:rsid w:val="000B61D7"/>
    <w:rsid w:val="000C242A"/>
    <w:rsid w:val="000C255F"/>
    <w:rsid w:val="000C2A0F"/>
    <w:rsid w:val="000D1EB4"/>
    <w:rsid w:val="000D33F6"/>
    <w:rsid w:val="000D7F7C"/>
    <w:rsid w:val="000F039A"/>
    <w:rsid w:val="000F1AFE"/>
    <w:rsid w:val="000F39D6"/>
    <w:rsid w:val="000F6170"/>
    <w:rsid w:val="0010260E"/>
    <w:rsid w:val="0010400F"/>
    <w:rsid w:val="00104141"/>
    <w:rsid w:val="00104B5D"/>
    <w:rsid w:val="00105895"/>
    <w:rsid w:val="00106D38"/>
    <w:rsid w:val="001104CA"/>
    <w:rsid w:val="00111BDF"/>
    <w:rsid w:val="0011669D"/>
    <w:rsid w:val="00116912"/>
    <w:rsid w:val="00117944"/>
    <w:rsid w:val="0012458D"/>
    <w:rsid w:val="00125BC6"/>
    <w:rsid w:val="001309DD"/>
    <w:rsid w:val="001331D0"/>
    <w:rsid w:val="00134968"/>
    <w:rsid w:val="00136B8E"/>
    <w:rsid w:val="00137C77"/>
    <w:rsid w:val="001455A3"/>
    <w:rsid w:val="001503F3"/>
    <w:rsid w:val="00152877"/>
    <w:rsid w:val="001541FB"/>
    <w:rsid w:val="0015555F"/>
    <w:rsid w:val="00166220"/>
    <w:rsid w:val="00166F9C"/>
    <w:rsid w:val="001723F4"/>
    <w:rsid w:val="00173956"/>
    <w:rsid w:val="00174747"/>
    <w:rsid w:val="0018018C"/>
    <w:rsid w:val="00181161"/>
    <w:rsid w:val="00186006"/>
    <w:rsid w:val="00187717"/>
    <w:rsid w:val="00187FCD"/>
    <w:rsid w:val="00195504"/>
    <w:rsid w:val="001A112E"/>
    <w:rsid w:val="001A2D15"/>
    <w:rsid w:val="001A2D92"/>
    <w:rsid w:val="001A6A13"/>
    <w:rsid w:val="001A7F34"/>
    <w:rsid w:val="001B343B"/>
    <w:rsid w:val="001C4098"/>
    <w:rsid w:val="001D265E"/>
    <w:rsid w:val="001D39E4"/>
    <w:rsid w:val="001D47C6"/>
    <w:rsid w:val="001D5D2D"/>
    <w:rsid w:val="001D6BCB"/>
    <w:rsid w:val="001E4F84"/>
    <w:rsid w:val="001F3171"/>
    <w:rsid w:val="001F53F9"/>
    <w:rsid w:val="001F5B6A"/>
    <w:rsid w:val="001F6C98"/>
    <w:rsid w:val="001F7DA4"/>
    <w:rsid w:val="00210F16"/>
    <w:rsid w:val="00211C64"/>
    <w:rsid w:val="002140E8"/>
    <w:rsid w:val="00216AEE"/>
    <w:rsid w:val="00217AF6"/>
    <w:rsid w:val="00221FF2"/>
    <w:rsid w:val="002229F3"/>
    <w:rsid w:val="002233D0"/>
    <w:rsid w:val="0022367F"/>
    <w:rsid w:val="00232E77"/>
    <w:rsid w:val="00235D94"/>
    <w:rsid w:val="00240684"/>
    <w:rsid w:val="00240BDA"/>
    <w:rsid w:val="00244479"/>
    <w:rsid w:val="002451E2"/>
    <w:rsid w:val="0024685A"/>
    <w:rsid w:val="002468D0"/>
    <w:rsid w:val="00254C1C"/>
    <w:rsid w:val="00254CDF"/>
    <w:rsid w:val="00257AF3"/>
    <w:rsid w:val="00270DA4"/>
    <w:rsid w:val="002724A7"/>
    <w:rsid w:val="00273951"/>
    <w:rsid w:val="00281E06"/>
    <w:rsid w:val="00281EB6"/>
    <w:rsid w:val="00284A30"/>
    <w:rsid w:val="002870A4"/>
    <w:rsid w:val="00290D46"/>
    <w:rsid w:val="002921A5"/>
    <w:rsid w:val="002940AE"/>
    <w:rsid w:val="00294405"/>
    <w:rsid w:val="002967BD"/>
    <w:rsid w:val="002A02D2"/>
    <w:rsid w:val="002A32EC"/>
    <w:rsid w:val="002B0CF0"/>
    <w:rsid w:val="002B252A"/>
    <w:rsid w:val="002B3371"/>
    <w:rsid w:val="002B60F5"/>
    <w:rsid w:val="002C01DD"/>
    <w:rsid w:val="002C4E9F"/>
    <w:rsid w:val="002C626A"/>
    <w:rsid w:val="002D54E7"/>
    <w:rsid w:val="002E14B7"/>
    <w:rsid w:val="002E3086"/>
    <w:rsid w:val="002E3516"/>
    <w:rsid w:val="002E56F0"/>
    <w:rsid w:val="002E6E87"/>
    <w:rsid w:val="002F1B54"/>
    <w:rsid w:val="002F6599"/>
    <w:rsid w:val="002F72B1"/>
    <w:rsid w:val="002F7820"/>
    <w:rsid w:val="0030351F"/>
    <w:rsid w:val="003057CC"/>
    <w:rsid w:val="00310D91"/>
    <w:rsid w:val="00311CB1"/>
    <w:rsid w:val="0032163E"/>
    <w:rsid w:val="0032485C"/>
    <w:rsid w:val="0033079A"/>
    <w:rsid w:val="0033442F"/>
    <w:rsid w:val="00336159"/>
    <w:rsid w:val="00340E9B"/>
    <w:rsid w:val="003420F7"/>
    <w:rsid w:val="00343AB1"/>
    <w:rsid w:val="0034495F"/>
    <w:rsid w:val="0034729A"/>
    <w:rsid w:val="00352717"/>
    <w:rsid w:val="00361A67"/>
    <w:rsid w:val="00362782"/>
    <w:rsid w:val="00364FD5"/>
    <w:rsid w:val="00365AFF"/>
    <w:rsid w:val="00365E40"/>
    <w:rsid w:val="003748DB"/>
    <w:rsid w:val="00374B9A"/>
    <w:rsid w:val="00375613"/>
    <w:rsid w:val="00377D28"/>
    <w:rsid w:val="0038149C"/>
    <w:rsid w:val="00383E6D"/>
    <w:rsid w:val="00393396"/>
    <w:rsid w:val="00394C33"/>
    <w:rsid w:val="00397A19"/>
    <w:rsid w:val="003A094F"/>
    <w:rsid w:val="003A3970"/>
    <w:rsid w:val="003A4180"/>
    <w:rsid w:val="003B3DBF"/>
    <w:rsid w:val="003B74E0"/>
    <w:rsid w:val="003C0C96"/>
    <w:rsid w:val="003C378C"/>
    <w:rsid w:val="003D678B"/>
    <w:rsid w:val="003F00D3"/>
    <w:rsid w:val="003F5D6A"/>
    <w:rsid w:val="00400A91"/>
    <w:rsid w:val="00400B82"/>
    <w:rsid w:val="00410412"/>
    <w:rsid w:val="00417D84"/>
    <w:rsid w:val="00425170"/>
    <w:rsid w:val="0042553A"/>
    <w:rsid w:val="004262A7"/>
    <w:rsid w:val="00427CBD"/>
    <w:rsid w:val="0043033B"/>
    <w:rsid w:val="004316D6"/>
    <w:rsid w:val="0043322F"/>
    <w:rsid w:val="00437275"/>
    <w:rsid w:val="00441051"/>
    <w:rsid w:val="00441357"/>
    <w:rsid w:val="00442F29"/>
    <w:rsid w:val="00443EEF"/>
    <w:rsid w:val="0044498E"/>
    <w:rsid w:val="00451801"/>
    <w:rsid w:val="00454E4F"/>
    <w:rsid w:val="0045650C"/>
    <w:rsid w:val="00461C22"/>
    <w:rsid w:val="00470526"/>
    <w:rsid w:val="0047227A"/>
    <w:rsid w:val="0047666E"/>
    <w:rsid w:val="00481AB1"/>
    <w:rsid w:val="004824AB"/>
    <w:rsid w:val="00482B86"/>
    <w:rsid w:val="00490C3B"/>
    <w:rsid w:val="00493AC8"/>
    <w:rsid w:val="00494ADA"/>
    <w:rsid w:val="00496A52"/>
    <w:rsid w:val="004970A1"/>
    <w:rsid w:val="004A6C13"/>
    <w:rsid w:val="004B37A5"/>
    <w:rsid w:val="004B5E63"/>
    <w:rsid w:val="004C37BF"/>
    <w:rsid w:val="004D1849"/>
    <w:rsid w:val="004D2AE2"/>
    <w:rsid w:val="004E026C"/>
    <w:rsid w:val="004E1C07"/>
    <w:rsid w:val="004E24C2"/>
    <w:rsid w:val="004E2AB9"/>
    <w:rsid w:val="004E6BC4"/>
    <w:rsid w:val="004F0704"/>
    <w:rsid w:val="004F0967"/>
    <w:rsid w:val="004F2104"/>
    <w:rsid w:val="00502F8F"/>
    <w:rsid w:val="00506AEE"/>
    <w:rsid w:val="00510C57"/>
    <w:rsid w:val="005118AA"/>
    <w:rsid w:val="005124BC"/>
    <w:rsid w:val="00514BEE"/>
    <w:rsid w:val="00521115"/>
    <w:rsid w:val="00530402"/>
    <w:rsid w:val="00530621"/>
    <w:rsid w:val="005329F1"/>
    <w:rsid w:val="00550674"/>
    <w:rsid w:val="00550A13"/>
    <w:rsid w:val="00560E89"/>
    <w:rsid w:val="00564D97"/>
    <w:rsid w:val="00565ABB"/>
    <w:rsid w:val="00567068"/>
    <w:rsid w:val="00567B02"/>
    <w:rsid w:val="00572680"/>
    <w:rsid w:val="00574D1C"/>
    <w:rsid w:val="005801A4"/>
    <w:rsid w:val="00585482"/>
    <w:rsid w:val="00587AAD"/>
    <w:rsid w:val="00593D0C"/>
    <w:rsid w:val="00596374"/>
    <w:rsid w:val="00597D76"/>
    <w:rsid w:val="005A06B8"/>
    <w:rsid w:val="005A221C"/>
    <w:rsid w:val="005A3875"/>
    <w:rsid w:val="005B6801"/>
    <w:rsid w:val="005C078C"/>
    <w:rsid w:val="005C7242"/>
    <w:rsid w:val="005D2019"/>
    <w:rsid w:val="005D43D3"/>
    <w:rsid w:val="005E1628"/>
    <w:rsid w:val="005E6757"/>
    <w:rsid w:val="005F14A9"/>
    <w:rsid w:val="005F5A0F"/>
    <w:rsid w:val="006020AF"/>
    <w:rsid w:val="006073D6"/>
    <w:rsid w:val="006074A2"/>
    <w:rsid w:val="00610102"/>
    <w:rsid w:val="0061278F"/>
    <w:rsid w:val="00614323"/>
    <w:rsid w:val="006176E4"/>
    <w:rsid w:val="00620B36"/>
    <w:rsid w:val="00622210"/>
    <w:rsid w:val="00622719"/>
    <w:rsid w:val="00623101"/>
    <w:rsid w:val="006236B9"/>
    <w:rsid w:val="00624C18"/>
    <w:rsid w:val="006250CD"/>
    <w:rsid w:val="00625572"/>
    <w:rsid w:val="0062754D"/>
    <w:rsid w:val="006309AA"/>
    <w:rsid w:val="00632E83"/>
    <w:rsid w:val="00634B7F"/>
    <w:rsid w:val="00641412"/>
    <w:rsid w:val="006448A7"/>
    <w:rsid w:val="0064498C"/>
    <w:rsid w:val="00645C41"/>
    <w:rsid w:val="00645CD0"/>
    <w:rsid w:val="006509C3"/>
    <w:rsid w:val="0065244B"/>
    <w:rsid w:val="00660A75"/>
    <w:rsid w:val="00663DD4"/>
    <w:rsid w:val="006707BC"/>
    <w:rsid w:val="006712F5"/>
    <w:rsid w:val="00672EF4"/>
    <w:rsid w:val="0067370C"/>
    <w:rsid w:val="00674924"/>
    <w:rsid w:val="00677D1F"/>
    <w:rsid w:val="00681FD3"/>
    <w:rsid w:val="00685FA2"/>
    <w:rsid w:val="006900E0"/>
    <w:rsid w:val="00697292"/>
    <w:rsid w:val="006A083E"/>
    <w:rsid w:val="006A34E2"/>
    <w:rsid w:val="006A4B7F"/>
    <w:rsid w:val="006B1790"/>
    <w:rsid w:val="006B397E"/>
    <w:rsid w:val="006B3AA4"/>
    <w:rsid w:val="006B4AC8"/>
    <w:rsid w:val="006B58F0"/>
    <w:rsid w:val="006C7CAE"/>
    <w:rsid w:val="006D20AD"/>
    <w:rsid w:val="006D3119"/>
    <w:rsid w:val="006D49D5"/>
    <w:rsid w:val="006E197F"/>
    <w:rsid w:val="006E7C99"/>
    <w:rsid w:val="006F0B92"/>
    <w:rsid w:val="006F386D"/>
    <w:rsid w:val="006F4217"/>
    <w:rsid w:val="007008AF"/>
    <w:rsid w:val="00700C0E"/>
    <w:rsid w:val="00701454"/>
    <w:rsid w:val="00704584"/>
    <w:rsid w:val="00706786"/>
    <w:rsid w:val="00707255"/>
    <w:rsid w:val="007078B6"/>
    <w:rsid w:val="00710E56"/>
    <w:rsid w:val="00710FA0"/>
    <w:rsid w:val="007147FD"/>
    <w:rsid w:val="00716CE5"/>
    <w:rsid w:val="00720ACB"/>
    <w:rsid w:val="00720FFB"/>
    <w:rsid w:val="0073293B"/>
    <w:rsid w:val="007367CD"/>
    <w:rsid w:val="00736E50"/>
    <w:rsid w:val="0074132C"/>
    <w:rsid w:val="00742ECC"/>
    <w:rsid w:val="00745191"/>
    <w:rsid w:val="007460CF"/>
    <w:rsid w:val="00751011"/>
    <w:rsid w:val="00753DF4"/>
    <w:rsid w:val="00754E8B"/>
    <w:rsid w:val="00754E90"/>
    <w:rsid w:val="0076360B"/>
    <w:rsid w:val="0076439F"/>
    <w:rsid w:val="007645D8"/>
    <w:rsid w:val="0076491E"/>
    <w:rsid w:val="00770DAE"/>
    <w:rsid w:val="007715D3"/>
    <w:rsid w:val="00771723"/>
    <w:rsid w:val="00772019"/>
    <w:rsid w:val="007766AB"/>
    <w:rsid w:val="007804A3"/>
    <w:rsid w:val="00783CC0"/>
    <w:rsid w:val="00784C92"/>
    <w:rsid w:val="007912C8"/>
    <w:rsid w:val="00791BE0"/>
    <w:rsid w:val="007941D7"/>
    <w:rsid w:val="00796732"/>
    <w:rsid w:val="00797758"/>
    <w:rsid w:val="007A121E"/>
    <w:rsid w:val="007B32D4"/>
    <w:rsid w:val="007B722E"/>
    <w:rsid w:val="007B7B41"/>
    <w:rsid w:val="007C3159"/>
    <w:rsid w:val="007C4ECD"/>
    <w:rsid w:val="007C5EDE"/>
    <w:rsid w:val="007C7252"/>
    <w:rsid w:val="007C72E3"/>
    <w:rsid w:val="007C7C7F"/>
    <w:rsid w:val="007D1EC8"/>
    <w:rsid w:val="007D3CA4"/>
    <w:rsid w:val="007D4262"/>
    <w:rsid w:val="007E3539"/>
    <w:rsid w:val="007E6E1B"/>
    <w:rsid w:val="007E7B6A"/>
    <w:rsid w:val="007F2964"/>
    <w:rsid w:val="007F2CE0"/>
    <w:rsid w:val="007F352B"/>
    <w:rsid w:val="007F6512"/>
    <w:rsid w:val="00802947"/>
    <w:rsid w:val="00803267"/>
    <w:rsid w:val="00812A57"/>
    <w:rsid w:val="00813844"/>
    <w:rsid w:val="008151D0"/>
    <w:rsid w:val="00817030"/>
    <w:rsid w:val="00830423"/>
    <w:rsid w:val="00832222"/>
    <w:rsid w:val="008406CC"/>
    <w:rsid w:val="008436F9"/>
    <w:rsid w:val="00844E3E"/>
    <w:rsid w:val="0085778E"/>
    <w:rsid w:val="008613DE"/>
    <w:rsid w:val="00863CF1"/>
    <w:rsid w:val="00865DE4"/>
    <w:rsid w:val="00866B5E"/>
    <w:rsid w:val="00867C94"/>
    <w:rsid w:val="008731B4"/>
    <w:rsid w:val="008770A9"/>
    <w:rsid w:val="00880914"/>
    <w:rsid w:val="00881066"/>
    <w:rsid w:val="008954C3"/>
    <w:rsid w:val="008A059F"/>
    <w:rsid w:val="008A5B08"/>
    <w:rsid w:val="008A7EB7"/>
    <w:rsid w:val="008B5D01"/>
    <w:rsid w:val="008B5EDF"/>
    <w:rsid w:val="008E2BE1"/>
    <w:rsid w:val="008F22F2"/>
    <w:rsid w:val="008F2E13"/>
    <w:rsid w:val="008F31A0"/>
    <w:rsid w:val="008F646D"/>
    <w:rsid w:val="008F7D5F"/>
    <w:rsid w:val="00900BFA"/>
    <w:rsid w:val="009061D3"/>
    <w:rsid w:val="00907D16"/>
    <w:rsid w:val="00911543"/>
    <w:rsid w:val="00911ABF"/>
    <w:rsid w:val="00911CFE"/>
    <w:rsid w:val="0091442E"/>
    <w:rsid w:val="00915853"/>
    <w:rsid w:val="00917A65"/>
    <w:rsid w:val="00920C5E"/>
    <w:rsid w:val="00923467"/>
    <w:rsid w:val="00927E4B"/>
    <w:rsid w:val="009307BA"/>
    <w:rsid w:val="00943830"/>
    <w:rsid w:val="00943A9E"/>
    <w:rsid w:val="00943DF5"/>
    <w:rsid w:val="00943EC9"/>
    <w:rsid w:val="009455AC"/>
    <w:rsid w:val="00950889"/>
    <w:rsid w:val="00961028"/>
    <w:rsid w:val="0096247C"/>
    <w:rsid w:val="00965F4F"/>
    <w:rsid w:val="009712BE"/>
    <w:rsid w:val="00971C3B"/>
    <w:rsid w:val="00973023"/>
    <w:rsid w:val="0097466D"/>
    <w:rsid w:val="009757FF"/>
    <w:rsid w:val="00980EAE"/>
    <w:rsid w:val="00990866"/>
    <w:rsid w:val="009928F3"/>
    <w:rsid w:val="00995684"/>
    <w:rsid w:val="00996617"/>
    <w:rsid w:val="009A11CE"/>
    <w:rsid w:val="009A5EE1"/>
    <w:rsid w:val="009B0EFD"/>
    <w:rsid w:val="009C1E5B"/>
    <w:rsid w:val="009C2832"/>
    <w:rsid w:val="009C2A9D"/>
    <w:rsid w:val="009C375D"/>
    <w:rsid w:val="009C5444"/>
    <w:rsid w:val="009F0DE9"/>
    <w:rsid w:val="009F3310"/>
    <w:rsid w:val="009F39D3"/>
    <w:rsid w:val="00A03F1D"/>
    <w:rsid w:val="00A04711"/>
    <w:rsid w:val="00A12C9B"/>
    <w:rsid w:val="00A13BD1"/>
    <w:rsid w:val="00A1493C"/>
    <w:rsid w:val="00A1563B"/>
    <w:rsid w:val="00A165D1"/>
    <w:rsid w:val="00A16C18"/>
    <w:rsid w:val="00A203E4"/>
    <w:rsid w:val="00A211E0"/>
    <w:rsid w:val="00A22A0A"/>
    <w:rsid w:val="00A24589"/>
    <w:rsid w:val="00A334DD"/>
    <w:rsid w:val="00A34203"/>
    <w:rsid w:val="00A364C7"/>
    <w:rsid w:val="00A36E3C"/>
    <w:rsid w:val="00A43E8D"/>
    <w:rsid w:val="00A522EE"/>
    <w:rsid w:val="00A650BC"/>
    <w:rsid w:val="00A73564"/>
    <w:rsid w:val="00A7554B"/>
    <w:rsid w:val="00A76142"/>
    <w:rsid w:val="00A8180F"/>
    <w:rsid w:val="00A82EF2"/>
    <w:rsid w:val="00A841D6"/>
    <w:rsid w:val="00A87FCF"/>
    <w:rsid w:val="00A92957"/>
    <w:rsid w:val="00A92AB1"/>
    <w:rsid w:val="00A9326E"/>
    <w:rsid w:val="00A946F9"/>
    <w:rsid w:val="00A95327"/>
    <w:rsid w:val="00A95759"/>
    <w:rsid w:val="00A978F6"/>
    <w:rsid w:val="00AA3CB3"/>
    <w:rsid w:val="00AA5821"/>
    <w:rsid w:val="00AB0F02"/>
    <w:rsid w:val="00AB1A6D"/>
    <w:rsid w:val="00AB201A"/>
    <w:rsid w:val="00AB292E"/>
    <w:rsid w:val="00AB2E94"/>
    <w:rsid w:val="00AB321B"/>
    <w:rsid w:val="00AB5605"/>
    <w:rsid w:val="00AB64D4"/>
    <w:rsid w:val="00AB7EC6"/>
    <w:rsid w:val="00AC17AC"/>
    <w:rsid w:val="00AC3834"/>
    <w:rsid w:val="00AC52F8"/>
    <w:rsid w:val="00AE486A"/>
    <w:rsid w:val="00AE4DB5"/>
    <w:rsid w:val="00AE52C6"/>
    <w:rsid w:val="00AF216E"/>
    <w:rsid w:val="00AF4AAB"/>
    <w:rsid w:val="00AF6D75"/>
    <w:rsid w:val="00B049A9"/>
    <w:rsid w:val="00B110A4"/>
    <w:rsid w:val="00B16983"/>
    <w:rsid w:val="00B16C6B"/>
    <w:rsid w:val="00B17502"/>
    <w:rsid w:val="00B233BD"/>
    <w:rsid w:val="00B271B7"/>
    <w:rsid w:val="00B329D6"/>
    <w:rsid w:val="00B33590"/>
    <w:rsid w:val="00B34D0C"/>
    <w:rsid w:val="00B352FE"/>
    <w:rsid w:val="00B35F31"/>
    <w:rsid w:val="00B45A78"/>
    <w:rsid w:val="00B46A08"/>
    <w:rsid w:val="00B50C73"/>
    <w:rsid w:val="00B5228E"/>
    <w:rsid w:val="00B601BC"/>
    <w:rsid w:val="00B704C6"/>
    <w:rsid w:val="00B72404"/>
    <w:rsid w:val="00B74E88"/>
    <w:rsid w:val="00B771EF"/>
    <w:rsid w:val="00B81CF8"/>
    <w:rsid w:val="00B85CBB"/>
    <w:rsid w:val="00B85D3D"/>
    <w:rsid w:val="00B91181"/>
    <w:rsid w:val="00B9122A"/>
    <w:rsid w:val="00B93532"/>
    <w:rsid w:val="00BA06B4"/>
    <w:rsid w:val="00BA4B72"/>
    <w:rsid w:val="00BA4CE3"/>
    <w:rsid w:val="00BB080E"/>
    <w:rsid w:val="00BB183F"/>
    <w:rsid w:val="00BB612F"/>
    <w:rsid w:val="00BC1C8A"/>
    <w:rsid w:val="00BD025A"/>
    <w:rsid w:val="00BD5434"/>
    <w:rsid w:val="00BD634D"/>
    <w:rsid w:val="00BE2975"/>
    <w:rsid w:val="00BE2D01"/>
    <w:rsid w:val="00BE4B0C"/>
    <w:rsid w:val="00BE6F7B"/>
    <w:rsid w:val="00C0017E"/>
    <w:rsid w:val="00C016B0"/>
    <w:rsid w:val="00C078B9"/>
    <w:rsid w:val="00C10D35"/>
    <w:rsid w:val="00C10F35"/>
    <w:rsid w:val="00C14C83"/>
    <w:rsid w:val="00C23AF2"/>
    <w:rsid w:val="00C24650"/>
    <w:rsid w:val="00C2560C"/>
    <w:rsid w:val="00C25F6B"/>
    <w:rsid w:val="00C265BC"/>
    <w:rsid w:val="00C5364F"/>
    <w:rsid w:val="00C54AF1"/>
    <w:rsid w:val="00C5586E"/>
    <w:rsid w:val="00C55BBE"/>
    <w:rsid w:val="00C5647F"/>
    <w:rsid w:val="00C56D49"/>
    <w:rsid w:val="00C655CD"/>
    <w:rsid w:val="00C7583B"/>
    <w:rsid w:val="00C773E8"/>
    <w:rsid w:val="00C7791D"/>
    <w:rsid w:val="00C77FCA"/>
    <w:rsid w:val="00C82F18"/>
    <w:rsid w:val="00C83DA1"/>
    <w:rsid w:val="00C8627A"/>
    <w:rsid w:val="00C87745"/>
    <w:rsid w:val="00C938DC"/>
    <w:rsid w:val="00C958D7"/>
    <w:rsid w:val="00C96985"/>
    <w:rsid w:val="00CA0B69"/>
    <w:rsid w:val="00CA36D8"/>
    <w:rsid w:val="00CA5B85"/>
    <w:rsid w:val="00CB0667"/>
    <w:rsid w:val="00CB1CB9"/>
    <w:rsid w:val="00CC5368"/>
    <w:rsid w:val="00CD690B"/>
    <w:rsid w:val="00CE0DB0"/>
    <w:rsid w:val="00CE2F53"/>
    <w:rsid w:val="00CE4A0A"/>
    <w:rsid w:val="00CE5EC7"/>
    <w:rsid w:val="00CE679D"/>
    <w:rsid w:val="00CE75DD"/>
    <w:rsid w:val="00CF00C7"/>
    <w:rsid w:val="00CF130B"/>
    <w:rsid w:val="00CF797F"/>
    <w:rsid w:val="00D00C4D"/>
    <w:rsid w:val="00D01650"/>
    <w:rsid w:val="00D01F38"/>
    <w:rsid w:val="00D01FCB"/>
    <w:rsid w:val="00D17A7C"/>
    <w:rsid w:val="00D17C61"/>
    <w:rsid w:val="00D200AF"/>
    <w:rsid w:val="00D203FE"/>
    <w:rsid w:val="00D22F0E"/>
    <w:rsid w:val="00D33F40"/>
    <w:rsid w:val="00D34BA9"/>
    <w:rsid w:val="00D35434"/>
    <w:rsid w:val="00D40236"/>
    <w:rsid w:val="00D407D3"/>
    <w:rsid w:val="00D45635"/>
    <w:rsid w:val="00D476BA"/>
    <w:rsid w:val="00D54118"/>
    <w:rsid w:val="00D541DC"/>
    <w:rsid w:val="00D550BE"/>
    <w:rsid w:val="00D567B0"/>
    <w:rsid w:val="00D614D8"/>
    <w:rsid w:val="00D646E2"/>
    <w:rsid w:val="00D76DBB"/>
    <w:rsid w:val="00D81C9C"/>
    <w:rsid w:val="00D8237A"/>
    <w:rsid w:val="00D856D1"/>
    <w:rsid w:val="00D85A2E"/>
    <w:rsid w:val="00D860A1"/>
    <w:rsid w:val="00D874A1"/>
    <w:rsid w:val="00D900F4"/>
    <w:rsid w:val="00DA0606"/>
    <w:rsid w:val="00DA218C"/>
    <w:rsid w:val="00DA2D71"/>
    <w:rsid w:val="00DA4581"/>
    <w:rsid w:val="00DA6435"/>
    <w:rsid w:val="00DB3B9A"/>
    <w:rsid w:val="00DB428B"/>
    <w:rsid w:val="00DB5732"/>
    <w:rsid w:val="00DC02A5"/>
    <w:rsid w:val="00DC6060"/>
    <w:rsid w:val="00DD72F1"/>
    <w:rsid w:val="00DE34FD"/>
    <w:rsid w:val="00DE5A9F"/>
    <w:rsid w:val="00DF11A0"/>
    <w:rsid w:val="00DF34C9"/>
    <w:rsid w:val="00E01238"/>
    <w:rsid w:val="00E04E99"/>
    <w:rsid w:val="00E05C5C"/>
    <w:rsid w:val="00E06016"/>
    <w:rsid w:val="00E10AA7"/>
    <w:rsid w:val="00E2050B"/>
    <w:rsid w:val="00E20521"/>
    <w:rsid w:val="00E21E3C"/>
    <w:rsid w:val="00E23848"/>
    <w:rsid w:val="00E251C3"/>
    <w:rsid w:val="00E27B55"/>
    <w:rsid w:val="00E32D60"/>
    <w:rsid w:val="00E34612"/>
    <w:rsid w:val="00E35518"/>
    <w:rsid w:val="00E360AA"/>
    <w:rsid w:val="00E40F76"/>
    <w:rsid w:val="00E418AF"/>
    <w:rsid w:val="00E4198E"/>
    <w:rsid w:val="00E4270C"/>
    <w:rsid w:val="00E45CFE"/>
    <w:rsid w:val="00E46454"/>
    <w:rsid w:val="00E472D5"/>
    <w:rsid w:val="00E50A56"/>
    <w:rsid w:val="00E514F7"/>
    <w:rsid w:val="00E51DCD"/>
    <w:rsid w:val="00E60A2B"/>
    <w:rsid w:val="00E64C1D"/>
    <w:rsid w:val="00E6676A"/>
    <w:rsid w:val="00E7131D"/>
    <w:rsid w:val="00E71782"/>
    <w:rsid w:val="00E71828"/>
    <w:rsid w:val="00E73CF5"/>
    <w:rsid w:val="00E74126"/>
    <w:rsid w:val="00E774E2"/>
    <w:rsid w:val="00E775DF"/>
    <w:rsid w:val="00E80EEB"/>
    <w:rsid w:val="00E8304B"/>
    <w:rsid w:val="00E94ACF"/>
    <w:rsid w:val="00E96ACD"/>
    <w:rsid w:val="00E96D1E"/>
    <w:rsid w:val="00E97963"/>
    <w:rsid w:val="00EA154D"/>
    <w:rsid w:val="00EA1A52"/>
    <w:rsid w:val="00EA2F50"/>
    <w:rsid w:val="00EA443B"/>
    <w:rsid w:val="00EA4878"/>
    <w:rsid w:val="00EA520C"/>
    <w:rsid w:val="00EA6894"/>
    <w:rsid w:val="00EB3F93"/>
    <w:rsid w:val="00EB7F01"/>
    <w:rsid w:val="00EC0E71"/>
    <w:rsid w:val="00EC25ED"/>
    <w:rsid w:val="00EC348C"/>
    <w:rsid w:val="00EC39CC"/>
    <w:rsid w:val="00EC67A1"/>
    <w:rsid w:val="00EC74B3"/>
    <w:rsid w:val="00ED0E16"/>
    <w:rsid w:val="00ED352F"/>
    <w:rsid w:val="00ED6BA9"/>
    <w:rsid w:val="00EE35A8"/>
    <w:rsid w:val="00EF2397"/>
    <w:rsid w:val="00EF44A7"/>
    <w:rsid w:val="00EF5294"/>
    <w:rsid w:val="00F03960"/>
    <w:rsid w:val="00F055C4"/>
    <w:rsid w:val="00F10638"/>
    <w:rsid w:val="00F13EC4"/>
    <w:rsid w:val="00F2151E"/>
    <w:rsid w:val="00F23F60"/>
    <w:rsid w:val="00F251E4"/>
    <w:rsid w:val="00F25B09"/>
    <w:rsid w:val="00F326E1"/>
    <w:rsid w:val="00F366CD"/>
    <w:rsid w:val="00F40256"/>
    <w:rsid w:val="00F42669"/>
    <w:rsid w:val="00F45CF7"/>
    <w:rsid w:val="00F46AF6"/>
    <w:rsid w:val="00F509EA"/>
    <w:rsid w:val="00F51F33"/>
    <w:rsid w:val="00F64B7A"/>
    <w:rsid w:val="00F7448D"/>
    <w:rsid w:val="00F7581E"/>
    <w:rsid w:val="00F80DE4"/>
    <w:rsid w:val="00F83312"/>
    <w:rsid w:val="00F846B3"/>
    <w:rsid w:val="00F85FBD"/>
    <w:rsid w:val="00F9148E"/>
    <w:rsid w:val="00F945DE"/>
    <w:rsid w:val="00F97454"/>
    <w:rsid w:val="00F97530"/>
    <w:rsid w:val="00FA0206"/>
    <w:rsid w:val="00FA18EB"/>
    <w:rsid w:val="00FA380B"/>
    <w:rsid w:val="00FB0E48"/>
    <w:rsid w:val="00FB13D5"/>
    <w:rsid w:val="00FB7011"/>
    <w:rsid w:val="00FC0BE8"/>
    <w:rsid w:val="00FC4082"/>
    <w:rsid w:val="00FC611B"/>
    <w:rsid w:val="00FD0EC0"/>
    <w:rsid w:val="00FD46F3"/>
    <w:rsid w:val="00FD49BB"/>
    <w:rsid w:val="00FD5293"/>
    <w:rsid w:val="00FE03B0"/>
    <w:rsid w:val="00FE1619"/>
    <w:rsid w:val="00FE23C8"/>
    <w:rsid w:val="00FE65D6"/>
    <w:rsid w:val="00FF3023"/>
    <w:rsid w:val="03391C39"/>
    <w:rsid w:val="057F0120"/>
    <w:rsid w:val="05917665"/>
    <w:rsid w:val="06BA630B"/>
    <w:rsid w:val="07104B65"/>
    <w:rsid w:val="08AC363C"/>
    <w:rsid w:val="09532A47"/>
    <w:rsid w:val="09654E76"/>
    <w:rsid w:val="0D1424ED"/>
    <w:rsid w:val="12176853"/>
    <w:rsid w:val="161F6C8F"/>
    <w:rsid w:val="1675224E"/>
    <w:rsid w:val="171903A9"/>
    <w:rsid w:val="1BA1346A"/>
    <w:rsid w:val="1CAE73DB"/>
    <w:rsid w:val="1DD96C59"/>
    <w:rsid w:val="1EA40DA4"/>
    <w:rsid w:val="1FD41178"/>
    <w:rsid w:val="239D48DF"/>
    <w:rsid w:val="24AB690F"/>
    <w:rsid w:val="24DB640B"/>
    <w:rsid w:val="2B786611"/>
    <w:rsid w:val="2D7778FF"/>
    <w:rsid w:val="30ED0CBB"/>
    <w:rsid w:val="37E52810"/>
    <w:rsid w:val="3E7C3180"/>
    <w:rsid w:val="3F71553C"/>
    <w:rsid w:val="3FF44B6B"/>
    <w:rsid w:val="40C97778"/>
    <w:rsid w:val="40EA0CD2"/>
    <w:rsid w:val="429B15D2"/>
    <w:rsid w:val="44985E79"/>
    <w:rsid w:val="4AA73F47"/>
    <w:rsid w:val="4B9E1324"/>
    <w:rsid w:val="4BF66836"/>
    <w:rsid w:val="51754045"/>
    <w:rsid w:val="52CD583E"/>
    <w:rsid w:val="5406580C"/>
    <w:rsid w:val="54DF6509"/>
    <w:rsid w:val="5509717C"/>
    <w:rsid w:val="570C0829"/>
    <w:rsid w:val="57273B0D"/>
    <w:rsid w:val="5BC92519"/>
    <w:rsid w:val="5C933F3F"/>
    <w:rsid w:val="5E094CD5"/>
    <w:rsid w:val="5E3B7507"/>
    <w:rsid w:val="62B46CB5"/>
    <w:rsid w:val="638135AD"/>
    <w:rsid w:val="641C3C29"/>
    <w:rsid w:val="66E71979"/>
    <w:rsid w:val="68265B0A"/>
    <w:rsid w:val="68921DC9"/>
    <w:rsid w:val="6DC158EC"/>
    <w:rsid w:val="70EB12C0"/>
    <w:rsid w:val="750E3AC8"/>
    <w:rsid w:val="75671782"/>
    <w:rsid w:val="7C2C3549"/>
    <w:rsid w:val="7D02590C"/>
    <w:rsid w:val="7D46673B"/>
    <w:rsid w:val="7EBE7F33"/>
    <w:rsid w:val="7EC447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semiHidden="0" w:name="annotation text"/>
    <w:lsdException w:qFormat="1" w:uiPriority="99" w:semiHidden="0" w:name="header"/>
    <w:lsdException w:qFormat="1" w:uiPriority="99"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1"/>
      <w:lang w:val="en-US" w:eastAsia="zh-CN" w:bidi="ar-SA"/>
    </w:rPr>
  </w:style>
  <w:style w:type="paragraph" w:styleId="2">
    <w:name w:val="heading 1"/>
    <w:basedOn w:val="1"/>
    <w:next w:val="1"/>
    <w:link w:val="27"/>
    <w:qFormat/>
    <w:uiPriority w:val="0"/>
    <w:pPr>
      <w:keepNext/>
      <w:keepLines/>
      <w:spacing w:before="340" w:after="330" w:line="578" w:lineRule="auto"/>
      <w:outlineLvl w:val="0"/>
    </w:pPr>
    <w:rPr>
      <w:b/>
      <w:bCs/>
      <w:kern w:val="44"/>
      <w:sz w:val="44"/>
      <w:szCs w:val="44"/>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3">
    <w:name w:val="caption"/>
    <w:basedOn w:val="1"/>
    <w:next w:val="1"/>
    <w:unhideWhenUsed/>
    <w:qFormat/>
    <w:uiPriority w:val="0"/>
    <w:rPr>
      <w:rFonts w:eastAsia="黑体" w:asciiTheme="majorHAnsi" w:hAnsiTheme="majorHAnsi" w:cstheme="majorBidi"/>
      <w:sz w:val="20"/>
      <w:szCs w:val="20"/>
    </w:rPr>
  </w:style>
  <w:style w:type="paragraph" w:styleId="4">
    <w:name w:val="annotation text"/>
    <w:basedOn w:val="1"/>
    <w:link w:val="32"/>
    <w:unhideWhenUsed/>
    <w:qFormat/>
    <w:uiPriority w:val="99"/>
    <w:pPr>
      <w:jc w:val="left"/>
    </w:pPr>
    <w:rPr>
      <w:szCs w:val="22"/>
    </w:rPr>
  </w:style>
  <w:style w:type="paragraph" w:styleId="5">
    <w:name w:val="toc 3"/>
    <w:basedOn w:val="1"/>
    <w:next w:val="1"/>
    <w:autoRedefine/>
    <w:qFormat/>
    <w:uiPriority w:val="39"/>
    <w:pPr>
      <w:ind w:left="840" w:leftChars="400"/>
    </w:pPr>
  </w:style>
  <w:style w:type="paragraph" w:styleId="6">
    <w:name w:val="footer"/>
    <w:basedOn w:val="1"/>
    <w:link w:val="31"/>
    <w:unhideWhenUsed/>
    <w:qFormat/>
    <w:uiPriority w:val="99"/>
    <w:pPr>
      <w:tabs>
        <w:tab w:val="center" w:pos="4153"/>
        <w:tab w:val="right" w:pos="8306"/>
      </w:tabs>
      <w:snapToGrid w:val="0"/>
      <w:jc w:val="left"/>
    </w:pPr>
    <w:rPr>
      <w:sz w:val="18"/>
      <w:szCs w:val="18"/>
    </w:rPr>
  </w:style>
  <w:style w:type="paragraph" w:styleId="7">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toc 1"/>
    <w:basedOn w:val="1"/>
    <w:next w:val="1"/>
    <w:autoRedefine/>
    <w:qFormat/>
    <w:uiPriority w:val="39"/>
  </w:style>
  <w:style w:type="paragraph" w:styleId="9">
    <w:name w:val="toc 2"/>
    <w:basedOn w:val="1"/>
    <w:next w:val="1"/>
    <w:autoRedefine/>
    <w:qFormat/>
    <w:uiPriority w:val="39"/>
    <w:pPr>
      <w:ind w:left="420" w:leftChars="200"/>
    </w:pPr>
  </w:style>
  <w:style w:type="table" w:styleId="11">
    <w:name w:val="Table Grid"/>
    <w:basedOn w:val="1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Hyperlink"/>
    <w:basedOn w:val="12"/>
    <w:unhideWhenUsed/>
    <w:qFormat/>
    <w:uiPriority w:val="99"/>
    <w:rPr>
      <w:color w:val="0026E5" w:themeColor="hyperlink"/>
      <w:u w:val="single"/>
      <w14:textFill>
        <w14:solidFill>
          <w14:schemeClr w14:val="hlink"/>
        </w14:solidFill>
      </w14:textFill>
    </w:rPr>
  </w:style>
  <w:style w:type="character" w:styleId="14">
    <w:name w:val="annotation reference"/>
    <w:basedOn w:val="12"/>
    <w:unhideWhenUsed/>
    <w:qFormat/>
    <w:uiPriority w:val="99"/>
    <w:rPr>
      <w:sz w:val="21"/>
      <w:szCs w:val="21"/>
    </w:rPr>
  </w:style>
  <w:style w:type="paragraph" w:customStyle="1" w:styleId="15">
    <w:name w:val="标准书眉_偶数页"/>
    <w:basedOn w:val="1"/>
    <w:next w:val="1"/>
    <w:qFormat/>
    <w:uiPriority w:val="99"/>
    <w:pPr>
      <w:widowControl/>
      <w:tabs>
        <w:tab w:val="center" w:pos="4154"/>
        <w:tab w:val="right" w:pos="8306"/>
      </w:tabs>
      <w:spacing w:after="120"/>
      <w:jc w:val="left"/>
    </w:pPr>
    <w:rPr>
      <w:rFonts w:ascii="Times New Roman" w:hAnsi="Times New Roman" w:eastAsia="宋体" w:cs="Times New Roman"/>
      <w:kern w:val="0"/>
      <w:szCs w:val="20"/>
    </w:rPr>
  </w:style>
  <w:style w:type="paragraph" w:customStyle="1" w:styleId="16">
    <w:name w:val="目次、标准名称标题"/>
    <w:basedOn w:val="1"/>
    <w:next w:val="1"/>
    <w:qFormat/>
    <w:uiPriority w:val="99"/>
    <w:pPr>
      <w:keepNext/>
      <w:pageBreakBefore/>
      <w:widowControl/>
      <w:shd w:val="clear" w:color="FFFFFF" w:fill="FFFFFF"/>
      <w:spacing w:before="640" w:after="560" w:line="460" w:lineRule="exact"/>
      <w:jc w:val="center"/>
      <w:outlineLvl w:val="0"/>
    </w:pPr>
    <w:rPr>
      <w:rFonts w:ascii="黑体" w:hAnsi="Times New Roman" w:eastAsia="黑体" w:cs="Times New Roman"/>
      <w:kern w:val="0"/>
      <w:sz w:val="32"/>
      <w:szCs w:val="20"/>
    </w:rPr>
  </w:style>
  <w:style w:type="paragraph" w:customStyle="1" w:styleId="17">
    <w:name w:val="章标题"/>
    <w:next w:val="18"/>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8">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9">
    <w:name w:val="段"/>
    <w:link w:val="30"/>
    <w:qFormat/>
    <w:uiPriority w:val="99"/>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20">
    <w:name w:val="一级条标题"/>
    <w:basedOn w:val="17"/>
    <w:next w:val="18"/>
    <w:qFormat/>
    <w:uiPriority w:val="0"/>
    <w:pPr>
      <w:numPr>
        <w:ilvl w:val="1"/>
      </w:numPr>
      <w:spacing w:before="50" w:beforeLines="50" w:after="50" w:afterLines="50"/>
      <w:outlineLvl w:val="2"/>
    </w:pPr>
    <w:rPr>
      <w:szCs w:val="21"/>
    </w:rPr>
  </w:style>
  <w:style w:type="paragraph" w:customStyle="1" w:styleId="21">
    <w:name w:val="前言、引言标题"/>
    <w:next w:val="19"/>
    <w:qFormat/>
    <w:uiPriority w:val="99"/>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22">
    <w:name w:val="附录标识"/>
    <w:basedOn w:val="1"/>
    <w:next w:val="19"/>
    <w:qFormat/>
    <w:uiPriority w:val="0"/>
    <w:pPr>
      <w:keepNext/>
      <w:widowControl/>
      <w:numPr>
        <w:ilvl w:val="0"/>
        <w:numId w:val="2"/>
      </w:numPr>
      <w:shd w:val="clear" w:color="FFFFFF" w:fill="FFFFFF"/>
      <w:tabs>
        <w:tab w:val="left" w:pos="360"/>
        <w:tab w:val="left" w:pos="6405"/>
      </w:tabs>
      <w:jc w:val="center"/>
      <w:outlineLvl w:val="0"/>
    </w:pPr>
    <w:rPr>
      <w:rFonts w:ascii="黑体" w:hAnsi="黑体" w:eastAsia="黑体" w:cs="Times New Roman"/>
      <w:kern w:val="0"/>
      <w:szCs w:val="20"/>
    </w:rPr>
  </w:style>
  <w:style w:type="paragraph" w:customStyle="1" w:styleId="23">
    <w:name w:val="标准文件_附录标识"/>
    <w:next w:val="18"/>
    <w:qFormat/>
    <w:uiPriority w:val="0"/>
    <w:pPr>
      <w:shd w:val="clear" w:color="FFFFFF" w:fill="FFFFFF"/>
      <w:tabs>
        <w:tab w:val="left" w:pos="6406"/>
      </w:tabs>
      <w:spacing w:before="25" w:beforeLines="25" w:after="50" w:afterLines="50"/>
      <w:jc w:val="center"/>
      <w:outlineLvl w:val="0"/>
    </w:pPr>
    <w:rPr>
      <w:rFonts w:ascii="黑体" w:hAnsi="Times New Roman" w:eastAsia="黑体" w:cs="Times New Roman"/>
      <w:sz w:val="21"/>
      <w:lang w:val="en-US" w:eastAsia="zh-CN" w:bidi="ar-SA"/>
    </w:rPr>
  </w:style>
  <w:style w:type="paragraph" w:customStyle="1" w:styleId="24">
    <w:name w:val="附录章标题"/>
    <w:next w:val="19"/>
    <w:qFormat/>
    <w:uiPriority w:val="0"/>
    <w:pPr>
      <w:numPr>
        <w:ilvl w:val="1"/>
        <w:numId w:val="2"/>
      </w:numPr>
      <w:tabs>
        <w:tab w:val="left" w:pos="360"/>
      </w:tabs>
      <w:wordWrap w:val="0"/>
      <w:overflowPunct w:val="0"/>
      <w:autoSpaceDE w:val="0"/>
      <w:spacing w:before="50" w:beforeLines="50" w:after="50" w:afterLines="50"/>
      <w:jc w:val="both"/>
      <w:textAlignment w:val="baseline"/>
      <w:outlineLvl w:val="1"/>
    </w:pPr>
    <w:rPr>
      <w:rFonts w:ascii="黑体" w:hAnsi="黑体" w:eastAsia="黑体" w:cs="Times New Roman"/>
      <w:kern w:val="21"/>
      <w:sz w:val="21"/>
      <w:lang w:val="en-US" w:eastAsia="zh-CN" w:bidi="ar-SA"/>
    </w:rPr>
  </w:style>
  <w:style w:type="paragraph" w:customStyle="1" w:styleId="25">
    <w:name w:val="附录一级条标题"/>
    <w:basedOn w:val="24"/>
    <w:next w:val="19"/>
    <w:qFormat/>
    <w:uiPriority w:val="0"/>
    <w:pPr>
      <w:numPr>
        <w:ilvl w:val="2"/>
      </w:numPr>
      <w:autoSpaceDN w:val="0"/>
      <w:ind w:left="0"/>
      <w:outlineLvl w:val="2"/>
    </w:pPr>
  </w:style>
  <w:style w:type="paragraph" w:customStyle="1" w:styleId="26">
    <w:name w:val="二级条标题"/>
    <w:basedOn w:val="1"/>
    <w:qFormat/>
    <w:uiPriority w:val="0"/>
    <w:pPr>
      <w:numPr>
        <w:ilvl w:val="2"/>
        <w:numId w:val="1"/>
      </w:numPr>
      <w:spacing w:before="50" w:beforeLines="50" w:after="50" w:afterLines="50"/>
      <w:outlineLvl w:val="3"/>
    </w:pPr>
    <w:rPr>
      <w:rFonts w:eastAsia="黑体"/>
    </w:rPr>
  </w:style>
  <w:style w:type="character" w:customStyle="1" w:styleId="27">
    <w:name w:val="标题 1 字符"/>
    <w:basedOn w:val="12"/>
    <w:link w:val="2"/>
    <w:qFormat/>
    <w:uiPriority w:val="0"/>
    <w:rPr>
      <w:b/>
      <w:bCs/>
      <w:kern w:val="44"/>
      <w:sz w:val="44"/>
      <w:szCs w:val="44"/>
    </w:rPr>
  </w:style>
  <w:style w:type="paragraph" w:customStyle="1" w:styleId="28">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54A1" w:themeColor="accent1" w:themeShade="BF"/>
      <w:kern w:val="0"/>
      <w:sz w:val="32"/>
      <w:szCs w:val="32"/>
    </w:rPr>
  </w:style>
  <w:style w:type="paragraph" w:customStyle="1" w:styleId="29">
    <w:name w:val="三级条标题"/>
    <w:basedOn w:val="1"/>
    <w:qFormat/>
    <w:uiPriority w:val="0"/>
    <w:pPr>
      <w:numPr>
        <w:ilvl w:val="3"/>
        <w:numId w:val="1"/>
      </w:numPr>
    </w:pPr>
  </w:style>
  <w:style w:type="character" w:customStyle="1" w:styleId="30">
    <w:name w:val="段 Char"/>
    <w:link w:val="19"/>
    <w:qFormat/>
    <w:uiPriority w:val="99"/>
    <w:rPr>
      <w:rFonts w:ascii="宋体" w:hAnsi="Times New Roman" w:eastAsia="宋体" w:cs="Times New Roman"/>
      <w:sz w:val="21"/>
    </w:rPr>
  </w:style>
  <w:style w:type="character" w:customStyle="1" w:styleId="31">
    <w:name w:val="页脚 字符"/>
    <w:basedOn w:val="12"/>
    <w:link w:val="6"/>
    <w:qFormat/>
    <w:uiPriority w:val="99"/>
    <w:rPr>
      <w:kern w:val="2"/>
      <w:sz w:val="18"/>
      <w:szCs w:val="18"/>
    </w:rPr>
  </w:style>
  <w:style w:type="character" w:customStyle="1" w:styleId="32">
    <w:name w:val="批注文字 字符"/>
    <w:basedOn w:val="12"/>
    <w:link w:val="4"/>
    <w:qFormat/>
    <w:uiPriority w:val="99"/>
    <w:rPr>
      <w:kern w:val="2"/>
      <w:sz w:val="21"/>
      <w:szCs w:val="22"/>
    </w:rPr>
  </w:style>
  <w:style w:type="table" w:customStyle="1" w:styleId="33">
    <w:name w:val="Table Normal"/>
    <w:semiHidden/>
    <w:unhideWhenUsed/>
    <w:qFormat/>
    <w:uiPriority w:val="0"/>
    <w:tblPr>
      <w:tblCellMar>
        <w:top w:w="0" w:type="dxa"/>
        <w:left w:w="0" w:type="dxa"/>
        <w:bottom w:w="0" w:type="dxa"/>
        <w:right w:w="0" w:type="dxa"/>
      </w:tblCellMar>
    </w:tblPr>
  </w:style>
  <w:style w:type="paragraph" w:customStyle="1" w:styleId="34">
    <w:name w:val="字母编号列项（一级）"/>
    <w:qFormat/>
    <w:uiPriority w:val="0"/>
    <w:pPr>
      <w:numPr>
        <w:ilvl w:val="0"/>
        <w:numId w:val="3"/>
      </w:numPr>
      <w:jc w:val="both"/>
    </w:pPr>
    <w:rPr>
      <w:rFonts w:ascii="宋体" w:hAnsi="Times New Roman" w:eastAsia="宋体" w:cs="Times New Roman"/>
      <w:sz w:val="21"/>
      <w:lang w:val="en-US" w:eastAsia="zh-CN" w:bidi="ar-SA"/>
    </w:rPr>
  </w:style>
  <w:style w:type="paragraph" w:customStyle="1" w:styleId="35">
    <w:name w:val="标准文件_章标题"/>
    <w:next w:val="18"/>
    <w:qFormat/>
    <w:uiPriority w:val="0"/>
    <w:pPr>
      <w:numPr>
        <w:ilvl w:val="1"/>
        <w:numId w:val="4"/>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36">
    <w:name w:val="标准文件_术语条一"/>
    <w:basedOn w:val="37"/>
    <w:next w:val="18"/>
    <w:qFormat/>
    <w:uiPriority w:val="0"/>
  </w:style>
  <w:style w:type="paragraph" w:customStyle="1" w:styleId="37">
    <w:name w:val="标准文件_一级无标题"/>
    <w:basedOn w:val="38"/>
    <w:qFormat/>
    <w:uiPriority w:val="0"/>
    <w:pPr>
      <w:spacing w:before="0" w:beforeLines="0" w:after="0" w:afterLines="0"/>
      <w:outlineLvl w:val="9"/>
    </w:pPr>
    <w:rPr>
      <w:rFonts w:ascii="宋体" w:eastAsia="宋体"/>
    </w:rPr>
  </w:style>
  <w:style w:type="paragraph" w:customStyle="1" w:styleId="38">
    <w:name w:val="标准文件_一级条标题"/>
    <w:basedOn w:val="35"/>
    <w:next w:val="18"/>
    <w:qFormat/>
    <w:uiPriority w:val="0"/>
    <w:pPr>
      <w:numPr>
        <w:ilvl w:val="2"/>
      </w:numPr>
      <w:spacing w:before="50" w:beforeLines="50" w:after="50" w:afterLines="50"/>
      <w:outlineLvl w:val="1"/>
    </w:pPr>
  </w:style>
  <w:style w:type="paragraph" w:customStyle="1" w:styleId="39">
    <w:name w:val="标准文件_二级条标题"/>
    <w:next w:val="18"/>
    <w:qFormat/>
    <w:uiPriority w:val="0"/>
    <w:pPr>
      <w:widowControl w:val="0"/>
      <w:numPr>
        <w:ilvl w:val="3"/>
        <w:numId w:val="4"/>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40">
    <w:name w:val="标准文件_附录表标题"/>
    <w:next w:val="18"/>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41">
    <w:name w:val="标准文件_表格"/>
    <w:basedOn w:val="18"/>
    <w:qFormat/>
    <w:uiPriority w:val="0"/>
    <w:pPr>
      <w:ind w:firstLine="0" w:firstLineChars="0"/>
      <w:jc w:val="center"/>
    </w:pPr>
    <w:rPr>
      <w:sz w:val="18"/>
    </w:rPr>
  </w:style>
  <w:style w:type="paragraph" w:customStyle="1" w:styleId="42">
    <w:name w:val="标准文件_正文公式"/>
    <w:basedOn w:val="1"/>
    <w:next w:val="43"/>
    <w:qFormat/>
    <w:uiPriority w:val="0"/>
    <w:pPr>
      <w:tabs>
        <w:tab w:val="center" w:pos="4678"/>
        <w:tab w:val="right" w:leader="middleDot" w:pos="9356"/>
      </w:tabs>
    </w:pPr>
    <w:rPr>
      <w:rFonts w:ascii="宋体" w:hAnsi="宋体"/>
    </w:rPr>
  </w:style>
  <w:style w:type="paragraph" w:customStyle="1" w:styleId="43">
    <w:name w:val="标准文件_标准正文"/>
    <w:basedOn w:val="1"/>
    <w:next w:val="18"/>
    <w:qFormat/>
    <w:uiPriority w:val="0"/>
    <w:pPr>
      <w:snapToGrid w:val="0"/>
      <w:ind w:firstLine="200" w:firstLineChars="200"/>
    </w:pPr>
    <w:rPr>
      <w:kern w:val="0"/>
    </w:rPr>
  </w:style>
  <w:style w:type="paragraph" w:customStyle="1" w:styleId="44">
    <w:name w:val="标准文件_四级条标题"/>
    <w:next w:val="18"/>
    <w:qFormat/>
    <w:uiPriority w:val="0"/>
    <w:pPr>
      <w:widowControl w:val="0"/>
      <w:numPr>
        <w:ilvl w:val="5"/>
        <w:numId w:val="4"/>
      </w:numPr>
      <w:spacing w:before="50" w:beforeLines="50" w:after="50" w:afterLines="50"/>
      <w:jc w:val="both"/>
      <w:outlineLvl w:val="4"/>
    </w:pPr>
    <w:rPr>
      <w:rFonts w:ascii="黑体" w:hAnsi="Times New Roman" w:eastAsia="黑体" w:cs="Times New Roman"/>
      <w:sz w:val="21"/>
      <w:lang w:val="en-US" w:eastAsia="zh-CN" w:bidi="ar-SA"/>
    </w:rPr>
  </w:style>
  <w:style w:type="paragraph" w:customStyle="1" w:styleId="45">
    <w:name w:val="标准文件_附录图标号"/>
    <w:basedOn w:val="18"/>
    <w:next w:val="18"/>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46">
    <w:name w:val="标准文件_附录表标号"/>
    <w:basedOn w:val="18"/>
    <w:next w:val="18"/>
    <w:qFormat/>
    <w:uiPriority w:val="0"/>
    <w:pPr>
      <w:numPr>
        <w:ilvl w:val="0"/>
        <w:numId w:val="5"/>
      </w:numPr>
      <w:spacing w:line="14" w:lineRule="exact"/>
      <w:ind w:firstLine="0" w:firstLineChars="0"/>
      <w:jc w:val="center"/>
    </w:pPr>
    <w:rPr>
      <w:rFonts w:eastAsia="黑体"/>
      <w:vanish/>
      <w:sz w:val="2"/>
    </w:rPr>
  </w:style>
  <w:style w:type="paragraph" w:customStyle="1" w:styleId="47">
    <w:name w:val="标准文件_注×："/>
    <w:qFormat/>
    <w:uiPriority w:val="0"/>
    <w:pPr>
      <w:widowControl w:val="0"/>
      <w:numPr>
        <w:ilvl w:val="0"/>
        <w:numId w:val="7"/>
      </w:numPr>
      <w:autoSpaceDE w:val="0"/>
      <w:autoSpaceDN w:val="0"/>
      <w:jc w:val="both"/>
    </w:pPr>
    <w:rPr>
      <w:rFonts w:ascii="宋体" w:hAnsi="Times New Roman" w:eastAsia="宋体" w:cs="Times New Roman"/>
      <w:sz w:val="18"/>
      <w:szCs w:val="18"/>
      <w:lang w:val="en-US" w:eastAsia="zh-CN" w:bidi="ar-SA"/>
    </w:rPr>
  </w:style>
  <w:style w:type="paragraph" w:customStyle="1" w:styleId="48">
    <w:name w:val="标准文件_参考文献标题"/>
    <w:basedOn w:val="1"/>
    <w:next w:val="1"/>
    <w:qFormat/>
    <w:uiPriority w:val="0"/>
    <w:pPr>
      <w:widowControl/>
      <w:shd w:val="clear" w:color="FFFFFF" w:fill="FFFFFF"/>
      <w:spacing w:before="560" w:after="50" w:afterLines="50"/>
      <w:jc w:val="center"/>
      <w:outlineLvl w:val="0"/>
    </w:pPr>
    <w:rPr>
      <w:rFonts w:ascii="黑体" w:eastAsia="黑体"/>
      <w:kern w:val="0"/>
    </w:rPr>
  </w:style>
  <w:style w:type="paragraph" w:customStyle="1" w:styleId="49">
    <w:name w:val="标准文件_一级项"/>
    <w:qFormat/>
    <w:uiPriority w:val="0"/>
    <w:pPr>
      <w:numPr>
        <w:ilvl w:val="0"/>
        <w:numId w:val="8"/>
      </w:numPr>
    </w:pPr>
    <w:rPr>
      <w:rFonts w:ascii="宋体" w:hAnsi="Times New Roman" w:eastAsia="宋体" w:cs="Times New Roman"/>
      <w:sz w:val="21"/>
      <w:lang w:val="en-US" w:eastAsia="zh-CN" w:bidi="ar-SA"/>
    </w:rPr>
  </w:style>
  <w:style w:type="paragraph" w:customStyle="1" w:styleId="50">
    <w:name w:val="Revision"/>
    <w:hidden/>
    <w:unhideWhenUsed/>
    <w:qFormat/>
    <w:uiPriority w:val="99"/>
    <w:rPr>
      <w:rFonts w:asciiTheme="minorHAnsi" w:hAnsiTheme="minorHAnsi" w:eastAsiaTheme="minorEastAsia" w:cstheme="minorBidi"/>
      <w:kern w:val="2"/>
      <w:sz w:val="21"/>
      <w:szCs w:val="21"/>
      <w:lang w:val="en-US" w:eastAsia="zh-CN" w:bidi="ar-SA"/>
    </w:rPr>
  </w:style>
  <w:style w:type="paragraph" w:customStyle="1" w:styleId="51">
    <w:name w:val="标准文件-三级条标题"/>
    <w:basedOn w:val="1"/>
    <w:qFormat/>
    <w:uiPriority w:val="0"/>
    <w:pPr>
      <w:numPr>
        <w:ilvl w:val="4"/>
        <w:numId w:val="4"/>
      </w:numPr>
    </w:p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glossaryDocument" Target="glossary/document.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5.jpeg"/><Relationship Id="rId18" Type="http://schemas.openxmlformats.org/officeDocument/2006/relationships/image" Target="media/image4.jpeg"/><Relationship Id="rId17" Type="http://schemas.openxmlformats.org/officeDocument/2006/relationships/image" Target="media/image3.png"/><Relationship Id="rId16" Type="http://schemas.openxmlformats.org/officeDocument/2006/relationships/theme" Target="theme/theme1.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704253b2-c345-4854-bc4e-82e6353a1f01}"/>
        <w:style w:val=""/>
        <w:category>
          <w:name w:val="常规"/>
          <w:gallery w:val="placeholder"/>
        </w:category>
        <w:types>
          <w:type w:val="bbPlcHdr"/>
        </w:types>
        <w:behaviors>
          <w:behavior w:val="content"/>
        </w:behaviors>
        <w:description w:val=""/>
        <w:guid w:val="{704253B2-C345-4854-BC4E-82E6353A1F01}"/>
      </w:docPartPr>
      <w:docPartBody>
        <w:p w14:paraId="557D6652">
          <w:pPr>
            <w:pStyle w:val="4"/>
            <w:rPr>
              <w:rFonts w:hint="eastAsia"/>
            </w:rPr>
          </w:pPr>
          <w:r>
            <w:rPr>
              <w:rStyle w:val="5"/>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characterSpacingControl w:val="doNotCompress"/>
  <w:compat>
    <w:useFELayout/>
    <w:splitPgBreakAndParaMark/>
    <w:compatSetting w:name="compatibilityMode" w:uri="http://schemas.microsoft.com/office/word" w:val="14"/>
  </w:compat>
  <w:rsids>
    <w:rsidRoot w:val="001A6E60"/>
    <w:rsid w:val="001A6E60"/>
    <w:rsid w:val="0024685A"/>
    <w:rsid w:val="00766982"/>
    <w:rsid w:val="007B5305"/>
    <w:rsid w:val="008E1946"/>
    <w:rsid w:val="008F31A0"/>
    <w:rsid w:val="00DA6435"/>
    <w:rsid w:val="00EC29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pPr>
    <w:rPr>
      <w:rFonts w:asciiTheme="minorHAnsi" w:hAnsiTheme="minorHAnsi" w:eastAsiaTheme="minorEastAsia" w:cstheme="minorBidi"/>
      <w:lang w:val="en-US" w:eastAsia="zh-CN"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customStyle="1" w:styleId="4">
    <w:name w:val="78956B8278AF41489B4C226600D2E8C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character" w:styleId="5">
    <w:name w:val="Placeholder Text"/>
    <w:basedOn w:val="2"/>
    <w:semiHidden/>
    <w:qFormat/>
    <w:uiPriority w:val="99"/>
    <w:rPr>
      <w:color w:val="808080"/>
    </w:rPr>
  </w:style>
</w:style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306EE87-70B9-40D1-82C1-6BB544FEE4E0}">
  <ds:schemaRefs/>
</ds:datastoreItem>
</file>

<file path=docProps/app.xml><?xml version="1.0" encoding="utf-8"?>
<Properties xmlns="http://schemas.openxmlformats.org/officeDocument/2006/extended-properties" xmlns:vt="http://schemas.openxmlformats.org/officeDocument/2006/docPropsVTypes">
  <Template>Normal</Template>
  <Pages>19</Pages>
  <Words>6185</Words>
  <Characters>6913</Characters>
  <Lines>89</Lines>
  <Paragraphs>25</Paragraphs>
  <TotalTime>1</TotalTime>
  <ScaleCrop>false</ScaleCrop>
  <LinksUpToDate>false</LinksUpToDate>
  <CharactersWithSpaces>7136</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2025-11-04T06:40:00Z</dcterms:created>
  <dc:creator>沐雨轻澄</dc:creator>
  <cp:lastModifiedBy>王珏旻</cp:lastModifiedBy>
  <dcterms:modified xsi:type="dcterms:W3CDTF">2026-08-26T07:41:55Z</dcterms:modified>
  <cp:revision>2054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73E0B1AB97C84E79854BF27F84D8D7CB_13</vt:lpwstr>
  </property>
  <property fmtid="{D5CDD505-2E9C-101B-9397-08002B2CF9AE}" pid="4" name="KSOTemplateDocerSaveRecord">
    <vt:lpwstr>eyJoZGlkIjoiMmEyMzZkODUzM2ZlNWNmY2Y1YjNjZjcxYjk1ODJjYTciLCJ1c2VySWQiOiIzODk1NjY5ODUifQ==</vt:lpwstr>
  </property>
</Properties>
</file>