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5CB67C">
      <w:pPr>
        <w:spacing w:line="588" w:lineRule="exact"/>
        <w:jc w:val="center"/>
        <w:rPr>
          <w:rFonts w:ascii="Times New Roman" w:hAnsi="Times New Roman" w:eastAsia="方正小标宋_GBK" w:cs="Times New Roman"/>
          <w:sz w:val="36"/>
          <w:szCs w:val="36"/>
        </w:rPr>
      </w:pPr>
    </w:p>
    <w:p w14:paraId="6E14CAB3">
      <w:pPr>
        <w:spacing w:line="588" w:lineRule="exact"/>
        <w:jc w:val="center"/>
        <w:rPr>
          <w:rFonts w:ascii="Times New Roman" w:hAnsi="Times New Roman" w:eastAsia="方正小标宋_GBK" w:cs="Times New Roman"/>
          <w:sz w:val="36"/>
          <w:szCs w:val="36"/>
        </w:rPr>
      </w:pPr>
      <w:r>
        <w:rPr>
          <w:rFonts w:ascii="Times New Roman" w:hAnsi="Times New Roman" w:eastAsia="方正小标宋_GBK" w:cs="Times New Roman"/>
          <w:sz w:val="36"/>
          <w:szCs w:val="36"/>
        </w:rPr>
        <w:t>《零碳散粮港口创建与评价技术规范》编制说明</w:t>
      </w:r>
    </w:p>
    <w:p w14:paraId="369A2EF1">
      <w:pPr>
        <w:spacing w:line="588" w:lineRule="exact"/>
        <w:jc w:val="center"/>
        <w:rPr>
          <w:rFonts w:ascii="Times New Roman" w:hAnsi="Times New Roman" w:eastAsia="方正小标宋_GBK" w:cs="Times New Roman"/>
          <w:sz w:val="36"/>
          <w:szCs w:val="36"/>
        </w:rPr>
      </w:pPr>
    </w:p>
    <w:p w14:paraId="05AA001D">
      <w:pPr>
        <w:autoSpaceDE w:val="0"/>
        <w:autoSpaceDN w:val="0"/>
        <w:adjustRightInd w:val="0"/>
        <w:spacing w:line="588" w:lineRule="exact"/>
        <w:ind w:firstLine="640" w:firstLineChars="0"/>
        <w:rPr>
          <w:rFonts w:ascii="Times New Roman" w:hAnsi="Times New Roman" w:eastAsia="方正黑体_GBK" w:cs="Times New Roman"/>
          <w:sz w:val="30"/>
          <w:szCs w:val="30"/>
        </w:rPr>
      </w:pPr>
      <w:r>
        <w:rPr>
          <w:rFonts w:ascii="Times New Roman" w:hAnsi="Times New Roman" w:eastAsia="方正黑体_GBK" w:cs="Times New Roman"/>
          <w:sz w:val="30"/>
          <w:szCs w:val="30"/>
        </w:rPr>
        <w:t>一、工作简况</w:t>
      </w:r>
    </w:p>
    <w:p w14:paraId="5392BC91">
      <w:pPr>
        <w:autoSpaceDE w:val="0"/>
        <w:autoSpaceDN w:val="0"/>
        <w:adjustRightInd w:val="0"/>
        <w:spacing w:line="588" w:lineRule="exact"/>
        <w:ind w:firstLine="450" w:firstLineChars="150"/>
        <w:rPr>
          <w:rFonts w:ascii="Times New Roman" w:hAnsi="Times New Roman" w:eastAsia="方正楷体_GBK" w:cs="Times New Roman"/>
          <w:sz w:val="30"/>
          <w:szCs w:val="30"/>
        </w:rPr>
      </w:pPr>
      <w:r>
        <w:rPr>
          <w:rFonts w:ascii="Times New Roman" w:hAnsi="Times New Roman" w:eastAsia="方正楷体_GBK" w:cs="Times New Roman"/>
          <w:sz w:val="30"/>
          <w:szCs w:val="30"/>
        </w:rPr>
        <w:t>（一）背景和任务来源</w:t>
      </w:r>
    </w:p>
    <w:p w14:paraId="6CBD6D23">
      <w:pPr>
        <w:autoSpaceDE w:val="0"/>
        <w:autoSpaceDN w:val="0"/>
        <w:adjustRightInd w:val="0"/>
        <w:spacing w:line="588" w:lineRule="exact"/>
        <w:ind w:firstLine="600" w:firstLineChars="200"/>
        <w:jc w:val="both"/>
        <w:rPr>
          <w:rFonts w:ascii="Times New Roman" w:hAnsi="Times New Roman" w:eastAsia="方正仿宋_GBK" w:cs="Times New Roman"/>
          <w:sz w:val="30"/>
          <w:szCs w:val="30"/>
        </w:rPr>
      </w:pPr>
      <w:r>
        <w:rPr>
          <w:rFonts w:ascii="Times New Roman" w:hAnsi="Times New Roman" w:eastAsia="方正仿宋_GBK" w:cs="Times New Roman"/>
          <w:sz w:val="30"/>
          <w:szCs w:val="30"/>
        </w:rPr>
        <w:t>港口作为现代物流体系的核心枢纽，其绿色低碳转型已成为实现“双碳”目标的关键环节，打造零碳散粮港口，是落实国家和行业“双碳”战略，完善绿色粮食物流体系的重要实践。专业化散粮港口作为国家“外粮内运”“北粮南运”的关键枢纽，在保障国家粮食产业链供应链安全的同时，推动</w:t>
      </w:r>
      <w:r>
        <w:rPr>
          <w:rFonts w:hint="eastAsia" w:cs="Times New Roman"/>
          <w:sz w:val="30"/>
          <w:szCs w:val="30"/>
          <w:lang w:val="en-US" w:eastAsia="zh-CN"/>
        </w:rPr>
        <w:t>其建设</w:t>
      </w:r>
      <w:r>
        <w:rPr>
          <w:rFonts w:ascii="Times New Roman" w:hAnsi="Times New Roman" w:eastAsia="方正仿宋_GBK" w:cs="Times New Roman"/>
          <w:sz w:val="30"/>
          <w:szCs w:val="30"/>
        </w:rPr>
        <w:t>零碳物流通道，优化粮食中转组织模式，有利于持续降低“外粮内运”“北粮南运”通道整体碳排放总量和强度。</w:t>
      </w:r>
    </w:p>
    <w:p w14:paraId="3CAB0EBB">
      <w:pPr>
        <w:autoSpaceDE w:val="0"/>
        <w:autoSpaceDN w:val="0"/>
        <w:adjustRightInd w:val="0"/>
        <w:spacing w:line="588" w:lineRule="exact"/>
        <w:ind w:firstLine="600" w:firstLineChars="200"/>
        <w:jc w:val="both"/>
        <w:rPr>
          <w:rFonts w:ascii="Times New Roman" w:hAnsi="Times New Roman" w:eastAsia="方正仿宋_GBK" w:cs="Times New Roman"/>
          <w:sz w:val="30"/>
          <w:szCs w:val="30"/>
        </w:rPr>
      </w:pPr>
      <w:r>
        <w:rPr>
          <w:rFonts w:ascii="Times New Roman" w:hAnsi="Times New Roman" w:eastAsia="方正仿宋_GBK" w:cs="Times New Roman"/>
          <w:sz w:val="30"/>
          <w:szCs w:val="30"/>
        </w:rPr>
        <w:t>现有零碳港口标准未能</w:t>
      </w:r>
      <w:r>
        <w:rPr>
          <w:rFonts w:hint="eastAsia" w:cs="Times New Roman"/>
          <w:sz w:val="30"/>
          <w:szCs w:val="30"/>
          <w:lang w:val="en-US" w:eastAsia="zh-CN"/>
        </w:rPr>
        <w:t>充分</w:t>
      </w:r>
      <w:r>
        <w:rPr>
          <w:rFonts w:ascii="Times New Roman" w:hAnsi="Times New Roman" w:eastAsia="方正仿宋_GBK" w:cs="Times New Roman"/>
          <w:sz w:val="30"/>
          <w:szCs w:val="30"/>
        </w:rPr>
        <w:t>反映散粮港口的特点，缺乏针对性的创建步骤、技术清单、评价指标，这导致企业在实践中难以把握创建零碳散粮港口的具体要求和方向，也影响了零碳散粮港口创建工作的推进速度和质量。</w:t>
      </w:r>
    </w:p>
    <w:p w14:paraId="144E6639">
      <w:pPr>
        <w:autoSpaceDE w:val="0"/>
        <w:autoSpaceDN w:val="0"/>
        <w:adjustRightInd w:val="0"/>
        <w:spacing w:line="588" w:lineRule="exact"/>
        <w:ind w:firstLine="600" w:firstLineChars="200"/>
        <w:jc w:val="both"/>
        <w:rPr>
          <w:rFonts w:ascii="Times New Roman" w:hAnsi="Times New Roman" w:eastAsia="方正仿宋_GBK" w:cs="Times New Roman"/>
          <w:sz w:val="30"/>
          <w:szCs w:val="30"/>
        </w:rPr>
      </w:pPr>
      <w:r>
        <w:rPr>
          <w:rFonts w:ascii="Times New Roman" w:hAnsi="Times New Roman" w:eastAsia="方正仿宋_GBK" w:cs="Times New Roman"/>
          <w:sz w:val="30"/>
          <w:szCs w:val="30"/>
        </w:rPr>
        <w:t>鉴于以上背景，《零碳散粮港口创建与评价技术规范》标准的编制具有重要意义，该标准将为零碳散粮港口的创建提供明确的技术指导和规范要求，全面重构传统作业模式，实现装卸效能跨越式提升，实现港口运营模式的自我革新。标准的应用可为国内专业化散粮码头绿色转型形成可复制样板，助力打通粮食物流通道协同降碳实施路径，在保障粮食流通安全基础上，推动大宗散粮港口由单点减排向物流通道系统化零碳升级转变。</w:t>
      </w:r>
    </w:p>
    <w:p w14:paraId="00444B89">
      <w:pPr>
        <w:autoSpaceDE w:val="0"/>
        <w:autoSpaceDN w:val="0"/>
        <w:adjustRightInd w:val="0"/>
        <w:spacing w:line="588" w:lineRule="exact"/>
        <w:ind w:firstLine="450" w:firstLineChars="150"/>
        <w:rPr>
          <w:rFonts w:ascii="Times New Roman" w:hAnsi="Times New Roman" w:eastAsia="方正楷体_GBK" w:cs="Times New Roman"/>
          <w:sz w:val="30"/>
          <w:szCs w:val="30"/>
        </w:rPr>
      </w:pPr>
      <w:r>
        <w:rPr>
          <w:rFonts w:ascii="Times New Roman" w:hAnsi="Times New Roman" w:eastAsia="方正楷体_GBK" w:cs="Times New Roman"/>
          <w:sz w:val="30"/>
          <w:szCs w:val="30"/>
        </w:rPr>
        <w:t>（二）项目起草单位简况</w:t>
      </w:r>
    </w:p>
    <w:p w14:paraId="5ABABD1F">
      <w:pPr>
        <w:autoSpaceDE w:val="0"/>
        <w:autoSpaceDN w:val="0"/>
        <w:adjustRightInd w:val="0"/>
        <w:spacing w:line="588" w:lineRule="exact"/>
        <w:ind w:firstLine="600" w:firstLineChars="200"/>
        <w:jc w:val="both"/>
        <w:rPr>
          <w:rFonts w:hint="eastAsia" w:ascii="Times New Roman" w:hAnsi="Times New Roman" w:eastAsia="方正仿宋_GBK" w:cs="Times New Roman"/>
          <w:sz w:val="30"/>
          <w:szCs w:val="30"/>
          <w:lang w:val="en-US" w:eastAsia="zh-CN"/>
        </w:rPr>
      </w:pPr>
      <w:r>
        <w:rPr>
          <w:rFonts w:ascii="Times New Roman" w:hAnsi="Times New Roman" w:eastAsia="方正仿宋_GBK" w:cs="Times New Roman"/>
          <w:sz w:val="30"/>
          <w:szCs w:val="30"/>
        </w:rPr>
        <w:t>该标准由</w:t>
      </w:r>
      <w:r>
        <w:rPr>
          <w:rFonts w:hint="eastAsia" w:cs="Times New Roman"/>
          <w:sz w:val="30"/>
          <w:szCs w:val="30"/>
          <w:lang w:val="en-US" w:eastAsia="zh-CN"/>
        </w:rPr>
        <w:t>中国节能协会提出并归口，由</w:t>
      </w:r>
      <w:r>
        <w:rPr>
          <w:rFonts w:ascii="Times New Roman" w:hAnsi="Times New Roman" w:eastAsia="方正仿宋_GBK" w:cs="Times New Roman"/>
          <w:sz w:val="30"/>
          <w:szCs w:val="30"/>
        </w:rPr>
        <w:t>中粮贸易有限公司</w:t>
      </w:r>
      <w:r>
        <w:rPr>
          <w:rFonts w:hint="eastAsia" w:cs="Times New Roman"/>
          <w:sz w:val="30"/>
          <w:szCs w:val="30"/>
          <w:lang w:val="en-US" w:eastAsia="zh-CN"/>
        </w:rPr>
        <w:t>牵头</w:t>
      </w:r>
      <w:bookmarkStart w:id="0" w:name="_GoBack"/>
      <w:r>
        <w:rPr>
          <w:rFonts w:hint="eastAsia" w:ascii="Times New Roman" w:hAnsi="Times New Roman" w:cs="Times New Roman"/>
          <w:sz w:val="30"/>
          <w:szCs w:val="30"/>
          <w:lang w:val="en-US" w:eastAsia="zh-CN"/>
        </w:rPr>
        <w:t>起草，</w:t>
      </w:r>
      <w:r>
        <w:rPr>
          <w:rFonts w:hint="eastAsia" w:ascii="Times New Roman" w:hAnsi="Times New Roman" w:eastAsia="方正仿宋_GBK" w:cs="Times New Roman"/>
          <w:lang w:val="en-US" w:eastAsia="zh-CN"/>
        </w:rPr>
        <w:t>中国华粮物流集团北良有限公司大连散粮港务分公司、中粮贸易岳阳城陵矶港口有限公司、中粮贸易（靖江）有限公司、</w:t>
      </w:r>
      <w:r>
        <w:rPr>
          <w:rFonts w:hint="eastAsia" w:ascii="Times New Roman" w:hAnsi="Times New Roman" w:eastAsia="方正仿宋_GBK" w:cs="Times New Roman"/>
          <w:sz w:val="30"/>
          <w:szCs w:val="30"/>
          <w:lang w:val="en-US" w:eastAsia="zh-CN"/>
        </w:rPr>
        <w:t>中达合丰（上海）低碳科技有限公司等单位</w:t>
      </w:r>
      <w:r>
        <w:rPr>
          <w:rFonts w:hint="eastAsia" w:ascii="Times New Roman" w:hAnsi="Times New Roman" w:cs="Times New Roman"/>
          <w:sz w:val="30"/>
          <w:szCs w:val="30"/>
          <w:lang w:val="en-US" w:eastAsia="zh-CN"/>
        </w:rPr>
        <w:t>参与</w:t>
      </w:r>
      <w:r>
        <w:rPr>
          <w:rFonts w:hint="eastAsia" w:ascii="Times New Roman" w:hAnsi="Times New Roman" w:eastAsia="方正仿宋_GBK" w:cs="Times New Roman"/>
          <w:sz w:val="30"/>
          <w:szCs w:val="30"/>
          <w:lang w:val="en-US" w:eastAsia="zh-CN"/>
        </w:rPr>
        <w:t>起草。</w:t>
      </w:r>
    </w:p>
    <w:bookmarkEnd w:id="0"/>
    <w:p w14:paraId="6CBA3747">
      <w:pPr>
        <w:autoSpaceDE w:val="0"/>
        <w:autoSpaceDN w:val="0"/>
        <w:adjustRightInd w:val="0"/>
        <w:spacing w:line="588" w:lineRule="exact"/>
        <w:ind w:firstLine="450" w:firstLineChars="150"/>
        <w:rPr>
          <w:rFonts w:ascii="Times New Roman" w:hAnsi="Times New Roman" w:eastAsia="方正楷体_GBK" w:cs="Times New Roman"/>
          <w:sz w:val="30"/>
          <w:szCs w:val="30"/>
        </w:rPr>
      </w:pPr>
      <w:r>
        <w:rPr>
          <w:rFonts w:ascii="Times New Roman" w:hAnsi="Times New Roman" w:eastAsia="方正楷体_GBK" w:cs="Times New Roman"/>
          <w:sz w:val="30"/>
          <w:szCs w:val="30"/>
        </w:rPr>
        <w:t>（三）规范编制原则</w:t>
      </w:r>
    </w:p>
    <w:p w14:paraId="2F47C886">
      <w:pPr>
        <w:autoSpaceDE w:val="0"/>
        <w:autoSpaceDN w:val="0"/>
        <w:adjustRightInd w:val="0"/>
        <w:spacing w:line="588" w:lineRule="exact"/>
        <w:ind w:firstLine="600" w:firstLineChars="200"/>
        <w:jc w:val="both"/>
        <w:rPr>
          <w:rFonts w:ascii="Times New Roman" w:hAnsi="Times New Roman" w:eastAsia="方正仿宋_GBK" w:cs="Times New Roman"/>
          <w:sz w:val="30"/>
          <w:szCs w:val="30"/>
        </w:rPr>
      </w:pPr>
      <w:r>
        <w:rPr>
          <w:rFonts w:ascii="Times New Roman" w:hAnsi="Times New Roman" w:eastAsia="方正仿宋_GBK" w:cs="Times New Roman"/>
          <w:sz w:val="30"/>
          <w:szCs w:val="30"/>
        </w:rPr>
        <w:t xml:space="preserve">该标准的编制主要遵循了科学性、合理性和前瞻性原则。 </w:t>
      </w:r>
    </w:p>
    <w:p w14:paraId="4DF7CE81">
      <w:pPr>
        <w:autoSpaceDE w:val="0"/>
        <w:autoSpaceDN w:val="0"/>
        <w:adjustRightInd w:val="0"/>
        <w:spacing w:line="588" w:lineRule="exact"/>
        <w:ind w:firstLine="600" w:firstLineChars="200"/>
        <w:jc w:val="both"/>
        <w:rPr>
          <w:rFonts w:ascii="Times New Roman" w:hAnsi="Times New Roman" w:eastAsia="方正仿宋_GBK" w:cs="Times New Roman"/>
          <w:sz w:val="30"/>
          <w:szCs w:val="30"/>
        </w:rPr>
      </w:pPr>
      <w:r>
        <w:rPr>
          <w:rFonts w:ascii="Times New Roman" w:hAnsi="Times New Roman" w:eastAsia="方正仿宋_GBK" w:cs="Times New Roman"/>
          <w:sz w:val="30"/>
          <w:szCs w:val="30"/>
        </w:rPr>
        <w:t>科学性。标准的编制基于国内外关于港口物流、近零碳港口、港口散粮仓储、节能减排技术等领域的最新研究成果和技术进展，确保标准的科学性和先进性。</w:t>
      </w:r>
    </w:p>
    <w:p w14:paraId="7FA2CAB8">
      <w:pPr>
        <w:autoSpaceDE w:val="0"/>
        <w:autoSpaceDN w:val="0"/>
        <w:adjustRightInd w:val="0"/>
        <w:spacing w:line="588" w:lineRule="exact"/>
        <w:ind w:firstLine="600" w:firstLineChars="200"/>
        <w:jc w:val="both"/>
        <w:rPr>
          <w:rFonts w:ascii="Times New Roman" w:hAnsi="Times New Roman" w:eastAsia="方正仿宋_GBK" w:cs="Times New Roman"/>
          <w:sz w:val="30"/>
          <w:szCs w:val="30"/>
        </w:rPr>
      </w:pPr>
      <w:r>
        <w:rPr>
          <w:rFonts w:ascii="Times New Roman" w:hAnsi="Times New Roman" w:eastAsia="方正仿宋_GBK" w:cs="Times New Roman"/>
          <w:sz w:val="30"/>
          <w:szCs w:val="30"/>
        </w:rPr>
        <w:t>合理性。标准的编制充分考虑中粮专业化散粮港口企业的实际情况和发展需求，确保标准内容合理、可行，能够指导企业开展零碳散粮港口的创建工作。</w:t>
      </w:r>
    </w:p>
    <w:p w14:paraId="5CEDE216">
      <w:pPr>
        <w:autoSpaceDE w:val="0"/>
        <w:autoSpaceDN w:val="0"/>
        <w:adjustRightInd w:val="0"/>
        <w:spacing w:line="588" w:lineRule="exact"/>
        <w:ind w:firstLine="600" w:firstLineChars="200"/>
        <w:jc w:val="both"/>
        <w:rPr>
          <w:rFonts w:ascii="Times New Roman" w:hAnsi="Times New Roman" w:eastAsia="方正仿宋_GBK" w:cs="Times New Roman"/>
          <w:sz w:val="30"/>
          <w:szCs w:val="30"/>
        </w:rPr>
      </w:pPr>
      <w:r>
        <w:rPr>
          <w:rFonts w:ascii="Times New Roman" w:hAnsi="Times New Roman" w:eastAsia="方正仿宋_GBK" w:cs="Times New Roman"/>
          <w:sz w:val="30"/>
          <w:szCs w:val="30"/>
        </w:rPr>
        <w:t>前瞻性。在标准制定过程中，充分考虑未来技术的发展趋势和行业的变革需求，在能源结构重塑、智能化港口管控系统建设、港口散粮仓储技术方面适度超前，能够引领专业化散粮港口向更加绿色、低碳、智能的方向发展，同时为标准的修订和完善预留空间。</w:t>
      </w:r>
    </w:p>
    <w:p w14:paraId="0DEFE3D3">
      <w:pPr>
        <w:autoSpaceDE w:val="0"/>
        <w:autoSpaceDN w:val="0"/>
        <w:adjustRightInd w:val="0"/>
        <w:spacing w:line="588" w:lineRule="exact"/>
        <w:ind w:firstLine="640" w:firstLineChars="0"/>
        <w:rPr>
          <w:rFonts w:ascii="Times New Roman" w:hAnsi="Times New Roman" w:eastAsia="方正黑体_GBK" w:cs="Times New Roman"/>
          <w:sz w:val="30"/>
          <w:szCs w:val="30"/>
        </w:rPr>
      </w:pPr>
      <w:r>
        <w:rPr>
          <w:rFonts w:ascii="Times New Roman" w:hAnsi="Times New Roman" w:eastAsia="方正黑体_GBK" w:cs="Times New Roman"/>
          <w:sz w:val="30"/>
          <w:szCs w:val="30"/>
        </w:rPr>
        <w:t>二、标准制定的依据与主要工作研究过程</w:t>
      </w:r>
    </w:p>
    <w:p w14:paraId="3DC670D9">
      <w:pPr>
        <w:autoSpaceDE w:val="0"/>
        <w:autoSpaceDN w:val="0"/>
        <w:adjustRightInd w:val="0"/>
        <w:spacing w:line="588" w:lineRule="exact"/>
        <w:ind w:firstLine="450" w:firstLineChars="150"/>
        <w:rPr>
          <w:rFonts w:ascii="Times New Roman" w:hAnsi="Times New Roman" w:eastAsia="方正楷体_GBK" w:cs="Times New Roman"/>
          <w:sz w:val="30"/>
          <w:szCs w:val="30"/>
        </w:rPr>
      </w:pPr>
      <w:r>
        <w:rPr>
          <w:rFonts w:ascii="Times New Roman" w:hAnsi="Times New Roman" w:eastAsia="方正楷体_GBK" w:cs="Times New Roman"/>
          <w:sz w:val="30"/>
          <w:szCs w:val="30"/>
        </w:rPr>
        <w:t>（一）制定依据</w:t>
      </w:r>
    </w:p>
    <w:p w14:paraId="07B602CC">
      <w:pPr>
        <w:autoSpaceDE w:val="0"/>
        <w:autoSpaceDN w:val="0"/>
        <w:adjustRightInd w:val="0"/>
        <w:spacing w:line="588" w:lineRule="exact"/>
        <w:ind w:firstLine="600" w:firstLineChars="200"/>
        <w:jc w:val="both"/>
        <w:rPr>
          <w:rFonts w:ascii="Times New Roman" w:hAnsi="Times New Roman" w:eastAsia="方正仿宋_GBK" w:cs="Times New Roman"/>
          <w:sz w:val="30"/>
          <w:szCs w:val="30"/>
        </w:rPr>
      </w:pPr>
      <w:r>
        <w:rPr>
          <w:rFonts w:ascii="Times New Roman" w:hAnsi="Times New Roman" w:eastAsia="方正仿宋_GBK" w:cs="Times New Roman"/>
          <w:sz w:val="30"/>
          <w:szCs w:val="30"/>
        </w:rPr>
        <w:t>1、按照GB/T 1.1-2020《标准化工作导则 第1部分：标准化文件的结构和起草规则》的要求和规定编写标准内容；</w:t>
      </w:r>
    </w:p>
    <w:p w14:paraId="6E08A103">
      <w:pPr>
        <w:autoSpaceDE w:val="0"/>
        <w:autoSpaceDN w:val="0"/>
        <w:adjustRightInd w:val="0"/>
        <w:spacing w:line="588" w:lineRule="exact"/>
        <w:ind w:firstLine="600" w:firstLineChars="200"/>
        <w:jc w:val="both"/>
        <w:rPr>
          <w:rFonts w:ascii="Times New Roman" w:hAnsi="Times New Roman" w:eastAsia="方正仿宋_GBK" w:cs="Times New Roman"/>
          <w:sz w:val="30"/>
          <w:szCs w:val="30"/>
        </w:rPr>
      </w:pPr>
      <w:r>
        <w:rPr>
          <w:rFonts w:ascii="Times New Roman" w:hAnsi="Times New Roman" w:eastAsia="方正仿宋_GBK" w:cs="Times New Roman"/>
          <w:sz w:val="30"/>
          <w:szCs w:val="30"/>
        </w:rPr>
        <w:t>2、本文件充分参考了颁布实施的相关标准，如JT/T 1537.3—2025《近零碳交通设施技术要求 第3部分 港口作业区》、GB/T 46905-2025《码头二氧化碳排放强度等级及评定方法》、《全球物流排放理事会物流排放核算与报告框架V3.2》，在技术上进行了很好的衔接；</w:t>
      </w:r>
    </w:p>
    <w:p w14:paraId="21263B46">
      <w:pPr>
        <w:autoSpaceDE w:val="0"/>
        <w:autoSpaceDN w:val="0"/>
        <w:adjustRightInd w:val="0"/>
        <w:spacing w:line="588" w:lineRule="exact"/>
        <w:ind w:firstLine="600" w:firstLineChars="200"/>
        <w:jc w:val="both"/>
        <w:rPr>
          <w:rFonts w:ascii="Times New Roman" w:hAnsi="Times New Roman" w:eastAsia="方正仿宋_GBK" w:cs="Times New Roman"/>
          <w:sz w:val="30"/>
          <w:szCs w:val="30"/>
        </w:rPr>
      </w:pPr>
      <w:r>
        <w:rPr>
          <w:rFonts w:ascii="Times New Roman" w:hAnsi="Times New Roman" w:eastAsia="方正仿宋_GBK" w:cs="Times New Roman"/>
          <w:sz w:val="30"/>
          <w:szCs w:val="30"/>
        </w:rPr>
        <w:t>3、本文件充分考虑专业化散粮港口的实际情况和绿色发展需求。</w:t>
      </w:r>
    </w:p>
    <w:p w14:paraId="61B82E9D">
      <w:pPr>
        <w:autoSpaceDE w:val="0"/>
        <w:autoSpaceDN w:val="0"/>
        <w:adjustRightInd w:val="0"/>
        <w:spacing w:line="588" w:lineRule="exact"/>
        <w:ind w:firstLine="450" w:firstLineChars="150"/>
        <w:rPr>
          <w:rFonts w:ascii="Times New Roman" w:hAnsi="Times New Roman" w:eastAsia="方正楷体_GBK" w:cs="Times New Roman"/>
          <w:sz w:val="30"/>
          <w:szCs w:val="30"/>
        </w:rPr>
      </w:pPr>
      <w:r>
        <w:rPr>
          <w:rFonts w:ascii="Times New Roman" w:hAnsi="Times New Roman" w:eastAsia="方正楷体_GBK" w:cs="Times New Roman"/>
          <w:sz w:val="30"/>
          <w:szCs w:val="30"/>
        </w:rPr>
        <w:t>（二）主要工作过程</w:t>
      </w:r>
    </w:p>
    <w:p w14:paraId="195EFCB1">
      <w:pPr>
        <w:autoSpaceDE w:val="0"/>
        <w:autoSpaceDN w:val="0"/>
        <w:adjustRightInd w:val="0"/>
        <w:spacing w:line="588" w:lineRule="exact"/>
        <w:ind w:firstLine="450" w:firstLineChars="150"/>
        <w:rPr>
          <w:rFonts w:ascii="Times New Roman" w:hAnsi="Times New Roman" w:eastAsia="方正楷体_GBK" w:cs="Times New Roman"/>
          <w:sz w:val="30"/>
          <w:szCs w:val="30"/>
        </w:rPr>
      </w:pPr>
      <w:r>
        <w:rPr>
          <w:rFonts w:ascii="Times New Roman" w:hAnsi="Times New Roman" w:eastAsia="方正楷体_GBK" w:cs="Times New Roman"/>
          <w:sz w:val="30"/>
          <w:szCs w:val="30"/>
        </w:rPr>
        <w:t>1、前期研究</w:t>
      </w:r>
    </w:p>
    <w:p w14:paraId="2E1D4469">
      <w:pPr>
        <w:autoSpaceDE w:val="0"/>
        <w:autoSpaceDN w:val="0"/>
        <w:adjustRightInd w:val="0"/>
        <w:spacing w:line="588" w:lineRule="exact"/>
        <w:ind w:firstLine="600" w:firstLineChars="200"/>
        <w:jc w:val="both"/>
        <w:rPr>
          <w:rFonts w:ascii="Times New Roman" w:hAnsi="Times New Roman" w:eastAsia="方正仿宋_GBK" w:cs="Times New Roman"/>
          <w:sz w:val="30"/>
          <w:szCs w:val="30"/>
        </w:rPr>
      </w:pPr>
      <w:r>
        <w:rPr>
          <w:rFonts w:ascii="Times New Roman" w:hAnsi="Times New Roman" w:eastAsia="方正仿宋_GBK" w:cs="Times New Roman"/>
          <w:sz w:val="30"/>
          <w:szCs w:val="30"/>
        </w:rPr>
        <w:t>中粮集团根据《中粮集团碳达峰行动方案（2021－2030）》（中粮董字〔2022〕5号）的要求，编制了《中粮集团零碳工厂创建指南》，用于指导集团各工厂的零碳工厂创建。JT/T 1537.3—2025《近零碳交通设施技术要求 第3部分 港口作业区》针对所有港口企业近零碳港区创建提出了技术方向。《中粮集团零碳工厂创建指南》和JT/T 1537.3—2025对于散粮港口的零碳港口创建未能给出具有实操性的要求和举措。鉴于以上情况，</w:t>
      </w:r>
      <w:r>
        <w:rPr>
          <w:rFonts w:hint="eastAsia" w:cs="Times New Roman"/>
          <w:sz w:val="30"/>
          <w:szCs w:val="30"/>
          <w:lang w:val="en-US" w:eastAsia="zh-CN"/>
        </w:rPr>
        <w:t>中粮贸易有限公司等有关单位</w:t>
      </w:r>
      <w:r>
        <w:rPr>
          <w:rFonts w:ascii="Times New Roman" w:hAnsi="Times New Roman" w:eastAsia="方正仿宋_GBK" w:cs="Times New Roman"/>
          <w:sz w:val="30"/>
          <w:szCs w:val="30"/>
        </w:rPr>
        <w:t>通过资料研究和案例整理，共同起草了项目建议书和标准草案。</w:t>
      </w:r>
    </w:p>
    <w:p w14:paraId="7871D9FF">
      <w:pPr>
        <w:autoSpaceDE w:val="0"/>
        <w:autoSpaceDN w:val="0"/>
        <w:adjustRightInd w:val="0"/>
        <w:spacing w:line="588" w:lineRule="exact"/>
        <w:ind w:firstLine="450" w:firstLineChars="150"/>
        <w:rPr>
          <w:rFonts w:ascii="Times New Roman" w:hAnsi="Times New Roman" w:eastAsia="方正楷体_GBK" w:cs="Times New Roman"/>
          <w:sz w:val="30"/>
          <w:szCs w:val="30"/>
        </w:rPr>
      </w:pPr>
      <w:r>
        <w:rPr>
          <w:rFonts w:ascii="Times New Roman" w:hAnsi="Times New Roman" w:eastAsia="方正楷体_GBK" w:cs="Times New Roman"/>
          <w:sz w:val="30"/>
          <w:szCs w:val="30"/>
        </w:rPr>
        <w:t>2、标准立项</w:t>
      </w:r>
    </w:p>
    <w:p w14:paraId="6B1B1202">
      <w:pPr>
        <w:autoSpaceDE w:val="0"/>
        <w:autoSpaceDN w:val="0"/>
        <w:adjustRightInd w:val="0"/>
        <w:spacing w:line="588" w:lineRule="exact"/>
        <w:ind w:firstLine="600" w:firstLineChars="200"/>
        <w:jc w:val="both"/>
        <w:rPr>
          <w:rFonts w:ascii="Times New Roman" w:hAnsi="Times New Roman" w:eastAsia="方正仿宋_GBK" w:cs="Times New Roman"/>
          <w:sz w:val="30"/>
          <w:szCs w:val="30"/>
        </w:rPr>
      </w:pPr>
      <w:r>
        <w:rPr>
          <w:rFonts w:ascii="Times New Roman" w:hAnsi="Times New Roman" w:eastAsia="方正仿宋_GBK" w:cs="Times New Roman"/>
          <w:sz w:val="30"/>
          <w:szCs w:val="30"/>
        </w:rPr>
        <w:t>2026年</w:t>
      </w:r>
      <w:r>
        <w:rPr>
          <w:rFonts w:hint="eastAsia" w:cs="Times New Roman"/>
          <w:sz w:val="30"/>
          <w:szCs w:val="30"/>
          <w:lang w:val="en-US" w:eastAsia="zh-CN"/>
        </w:rPr>
        <w:t>4</w:t>
      </w:r>
      <w:r>
        <w:rPr>
          <w:rFonts w:ascii="Times New Roman" w:hAnsi="Times New Roman" w:eastAsia="方正仿宋_GBK" w:cs="Times New Roman"/>
          <w:sz w:val="30"/>
          <w:szCs w:val="30"/>
        </w:rPr>
        <w:t>月，起草组在研究了专业化散粮港口创建零碳港口的国际国内标准现状后，认为缺乏适用的同类标准，亟待立项起草，故向中国节能协会提出立项申请，并于2026年</w:t>
      </w:r>
      <w:r>
        <w:rPr>
          <w:rFonts w:hint="eastAsia" w:cs="Times New Roman"/>
          <w:sz w:val="30"/>
          <w:szCs w:val="30"/>
          <w:lang w:val="en-US" w:eastAsia="zh-CN"/>
        </w:rPr>
        <w:t>5</w:t>
      </w:r>
      <w:r>
        <w:rPr>
          <w:rFonts w:ascii="Times New Roman" w:hAnsi="Times New Roman" w:eastAsia="方正仿宋_GBK" w:cs="Times New Roman"/>
          <w:sz w:val="30"/>
          <w:szCs w:val="30"/>
        </w:rPr>
        <w:t>月正式获得立项批准（立项编号：</w:t>
      </w:r>
      <w:r>
        <w:rPr>
          <w:rFonts w:ascii="Times New Roman" w:hAnsi="Times New Roman" w:eastAsia="方正仿宋_GBK" w:cs="Times New Roman"/>
          <w:i w:val="0"/>
          <w:iCs w:val="0"/>
          <w:caps w:val="0"/>
          <w:spacing w:val="0"/>
          <w:sz w:val="30"/>
          <w:szCs w:val="30"/>
          <w:shd w:val="clear"/>
        </w:rPr>
        <w:t>TB-20260047</w:t>
      </w:r>
      <w:r>
        <w:rPr>
          <w:rFonts w:ascii="Times New Roman" w:hAnsi="Times New Roman" w:eastAsia="方正仿宋_GBK" w:cs="Times New Roman"/>
          <w:sz w:val="30"/>
          <w:szCs w:val="30"/>
        </w:rPr>
        <w:t>）。</w:t>
      </w:r>
    </w:p>
    <w:p w14:paraId="13633F4A">
      <w:pPr>
        <w:autoSpaceDE w:val="0"/>
        <w:autoSpaceDN w:val="0"/>
        <w:adjustRightInd w:val="0"/>
        <w:spacing w:line="588" w:lineRule="exact"/>
        <w:ind w:firstLine="450" w:firstLineChars="150"/>
        <w:rPr>
          <w:rFonts w:ascii="Times New Roman" w:hAnsi="Times New Roman" w:eastAsia="方正楷体_GBK" w:cs="Times New Roman"/>
          <w:sz w:val="30"/>
          <w:szCs w:val="30"/>
        </w:rPr>
      </w:pPr>
      <w:r>
        <w:rPr>
          <w:rFonts w:ascii="Times New Roman" w:hAnsi="Times New Roman" w:eastAsia="方正楷体_GBK" w:cs="Times New Roman"/>
          <w:sz w:val="30"/>
          <w:szCs w:val="30"/>
        </w:rPr>
        <w:t>3、成立标准编制小组</w:t>
      </w:r>
    </w:p>
    <w:p w14:paraId="22F60669">
      <w:pPr>
        <w:autoSpaceDE w:val="0"/>
        <w:autoSpaceDN w:val="0"/>
        <w:adjustRightInd w:val="0"/>
        <w:spacing w:line="588" w:lineRule="exact"/>
        <w:ind w:firstLine="600" w:firstLineChars="200"/>
        <w:jc w:val="both"/>
        <w:rPr>
          <w:rFonts w:ascii="Times New Roman" w:hAnsi="Times New Roman" w:eastAsia="方正仿宋_GBK" w:cs="Times New Roman"/>
          <w:sz w:val="30"/>
          <w:szCs w:val="30"/>
        </w:rPr>
      </w:pPr>
      <w:r>
        <w:rPr>
          <w:rFonts w:ascii="Times New Roman" w:hAnsi="Times New Roman" w:eastAsia="方正仿宋_GBK" w:cs="Times New Roman"/>
          <w:sz w:val="30"/>
          <w:szCs w:val="30"/>
        </w:rPr>
        <w:t>2026年6月，成立标准起草组，开始标准的起草工作。</w:t>
      </w:r>
    </w:p>
    <w:p w14:paraId="2653FA40">
      <w:pPr>
        <w:autoSpaceDE w:val="0"/>
        <w:autoSpaceDN w:val="0"/>
        <w:adjustRightInd w:val="0"/>
        <w:spacing w:line="588" w:lineRule="exact"/>
        <w:ind w:firstLine="450" w:firstLineChars="150"/>
        <w:rPr>
          <w:rFonts w:ascii="Times New Roman" w:hAnsi="Times New Roman" w:eastAsia="方正楷体_GBK" w:cs="Times New Roman"/>
          <w:sz w:val="30"/>
          <w:szCs w:val="30"/>
        </w:rPr>
      </w:pPr>
      <w:r>
        <w:rPr>
          <w:rFonts w:ascii="Times New Roman" w:hAnsi="Times New Roman" w:eastAsia="方正楷体_GBK" w:cs="Times New Roman"/>
          <w:sz w:val="30"/>
          <w:szCs w:val="30"/>
        </w:rPr>
        <w:t>4、多方讨论后形成征求意见稿，公开并定向征集意见</w:t>
      </w:r>
    </w:p>
    <w:p w14:paraId="6FD62582">
      <w:pPr>
        <w:autoSpaceDE w:val="0"/>
        <w:autoSpaceDN w:val="0"/>
        <w:adjustRightInd w:val="0"/>
        <w:spacing w:line="588" w:lineRule="exact"/>
        <w:ind w:firstLine="600" w:firstLineChars="200"/>
        <w:jc w:val="both"/>
        <w:rPr>
          <w:rFonts w:ascii="Times New Roman" w:hAnsi="Times New Roman" w:eastAsia="方正仿宋_GBK" w:cs="Times New Roman"/>
          <w:sz w:val="30"/>
          <w:szCs w:val="30"/>
        </w:rPr>
      </w:pPr>
      <w:r>
        <w:rPr>
          <w:rFonts w:ascii="Times New Roman" w:hAnsi="Times New Roman" w:eastAsia="方正仿宋_GBK" w:cs="Times New Roman"/>
          <w:sz w:val="30"/>
          <w:szCs w:val="30"/>
        </w:rPr>
        <w:t>2026年6月—2026年8月，多次召开讨论会，根据各方意见修改整理，形成征求意见稿。</w:t>
      </w:r>
    </w:p>
    <w:p w14:paraId="1CAF1AC5">
      <w:pPr>
        <w:autoSpaceDE w:val="0"/>
        <w:autoSpaceDN w:val="0"/>
        <w:adjustRightInd w:val="0"/>
        <w:spacing w:line="588" w:lineRule="exact"/>
        <w:ind w:firstLine="600" w:firstLineChars="200"/>
        <w:jc w:val="both"/>
        <w:rPr>
          <w:rFonts w:ascii="Times New Roman" w:hAnsi="Times New Roman" w:eastAsia="方正仿宋_GBK" w:cs="Times New Roman"/>
          <w:sz w:val="30"/>
          <w:szCs w:val="30"/>
        </w:rPr>
      </w:pPr>
      <w:r>
        <w:rPr>
          <w:rFonts w:ascii="Times New Roman" w:hAnsi="Times New Roman" w:eastAsia="方正仿宋_GBK" w:cs="Times New Roman"/>
          <w:sz w:val="30"/>
          <w:szCs w:val="30"/>
        </w:rPr>
        <w:t>2026年8月，向社会各界公开征求意见。</w:t>
      </w:r>
    </w:p>
    <w:p w14:paraId="152B9913">
      <w:pPr>
        <w:autoSpaceDE w:val="0"/>
        <w:autoSpaceDN w:val="0"/>
        <w:adjustRightInd w:val="0"/>
        <w:spacing w:line="588" w:lineRule="exact"/>
        <w:ind w:firstLine="450" w:firstLineChars="150"/>
        <w:rPr>
          <w:rFonts w:ascii="Times New Roman" w:hAnsi="Times New Roman" w:eastAsia="方正楷体_GBK" w:cs="Times New Roman"/>
          <w:sz w:val="30"/>
          <w:szCs w:val="30"/>
        </w:rPr>
      </w:pPr>
      <w:r>
        <w:rPr>
          <w:rFonts w:ascii="Times New Roman" w:hAnsi="Times New Roman" w:eastAsia="方正楷体_GBK" w:cs="Times New Roman"/>
          <w:sz w:val="30"/>
          <w:szCs w:val="30"/>
        </w:rPr>
        <w:t>5、召开标准审定会</w:t>
      </w:r>
    </w:p>
    <w:p w14:paraId="10F76303">
      <w:pPr>
        <w:autoSpaceDE w:val="0"/>
        <w:autoSpaceDN w:val="0"/>
        <w:adjustRightInd w:val="0"/>
        <w:spacing w:line="588" w:lineRule="exact"/>
        <w:ind w:firstLine="600" w:firstLineChars="200"/>
        <w:jc w:val="both"/>
        <w:rPr>
          <w:rFonts w:ascii="Times New Roman" w:hAnsi="Times New Roman" w:eastAsia="方正仿宋_GBK" w:cs="Times New Roman"/>
          <w:sz w:val="30"/>
          <w:szCs w:val="30"/>
        </w:rPr>
      </w:pPr>
      <w:r>
        <w:rPr>
          <w:rFonts w:hint="eastAsia" w:cs="Times New Roman"/>
          <w:sz w:val="30"/>
          <w:szCs w:val="30"/>
          <w:lang w:val="en-US" w:eastAsia="zh-CN"/>
        </w:rPr>
        <w:t>计划于</w:t>
      </w:r>
      <w:r>
        <w:rPr>
          <w:rFonts w:ascii="Times New Roman" w:hAnsi="Times New Roman" w:eastAsia="方正仿宋_GBK" w:cs="Times New Roman"/>
          <w:sz w:val="30"/>
          <w:szCs w:val="30"/>
        </w:rPr>
        <w:t>2026年10月，根据各界意见修改，形成送审稿，并召开专家审定会。</w:t>
      </w:r>
    </w:p>
    <w:p w14:paraId="3804599C">
      <w:pPr>
        <w:autoSpaceDE w:val="0"/>
        <w:autoSpaceDN w:val="0"/>
        <w:adjustRightInd w:val="0"/>
        <w:spacing w:line="588" w:lineRule="exact"/>
        <w:ind w:firstLine="640" w:firstLineChars="0"/>
        <w:rPr>
          <w:rFonts w:ascii="Times New Roman" w:hAnsi="Times New Roman" w:eastAsia="方正黑体_GBK" w:cs="Times New Roman"/>
          <w:sz w:val="30"/>
          <w:szCs w:val="30"/>
        </w:rPr>
      </w:pPr>
      <w:r>
        <w:rPr>
          <w:rFonts w:ascii="Times New Roman" w:hAnsi="Times New Roman" w:eastAsia="方正黑体_GBK" w:cs="Times New Roman"/>
          <w:sz w:val="30"/>
          <w:szCs w:val="30"/>
        </w:rPr>
        <w:t>三、文件的主要内容及各项指标来源</w:t>
      </w:r>
    </w:p>
    <w:p w14:paraId="321D46F8">
      <w:pPr>
        <w:autoSpaceDE w:val="0"/>
        <w:autoSpaceDN w:val="0"/>
        <w:adjustRightInd w:val="0"/>
        <w:spacing w:line="588" w:lineRule="exact"/>
        <w:ind w:firstLine="450" w:firstLineChars="150"/>
        <w:rPr>
          <w:rFonts w:ascii="Times New Roman" w:hAnsi="Times New Roman" w:eastAsia="方正楷体_GBK" w:cs="Times New Roman"/>
          <w:sz w:val="30"/>
          <w:szCs w:val="30"/>
        </w:rPr>
      </w:pPr>
      <w:r>
        <w:rPr>
          <w:rFonts w:ascii="Times New Roman" w:hAnsi="Times New Roman" w:eastAsia="方正楷体_GBK" w:cs="Times New Roman"/>
          <w:sz w:val="30"/>
          <w:szCs w:val="30"/>
        </w:rPr>
        <w:t>（一）文件的主要内容</w:t>
      </w:r>
    </w:p>
    <w:p w14:paraId="75A834BC">
      <w:pPr>
        <w:autoSpaceDE w:val="0"/>
        <w:autoSpaceDN w:val="0"/>
        <w:adjustRightInd w:val="0"/>
        <w:spacing w:line="588" w:lineRule="exact"/>
        <w:ind w:firstLine="450" w:firstLineChars="150"/>
        <w:rPr>
          <w:rFonts w:ascii="Times New Roman" w:hAnsi="Times New Roman" w:eastAsia="方正楷体_GBK" w:cs="Times New Roman"/>
          <w:sz w:val="30"/>
          <w:szCs w:val="30"/>
        </w:rPr>
      </w:pPr>
      <w:r>
        <w:rPr>
          <w:rFonts w:ascii="Times New Roman" w:hAnsi="Times New Roman" w:eastAsia="方正楷体_GBK" w:cs="Times New Roman"/>
          <w:sz w:val="30"/>
          <w:szCs w:val="30"/>
        </w:rPr>
        <w:t>1 范围</w:t>
      </w:r>
    </w:p>
    <w:p w14:paraId="7BB5532D">
      <w:pPr>
        <w:autoSpaceDE w:val="0"/>
        <w:autoSpaceDN w:val="0"/>
        <w:adjustRightInd w:val="0"/>
        <w:spacing w:line="588" w:lineRule="exact"/>
        <w:ind w:firstLine="600" w:firstLineChars="200"/>
        <w:jc w:val="both"/>
        <w:rPr>
          <w:rFonts w:ascii="Times New Roman" w:hAnsi="Times New Roman" w:eastAsia="方正仿宋_GBK" w:cs="Times New Roman"/>
          <w:sz w:val="30"/>
          <w:szCs w:val="30"/>
        </w:rPr>
      </w:pPr>
      <w:r>
        <w:rPr>
          <w:rFonts w:ascii="Times New Roman" w:hAnsi="Times New Roman" w:eastAsia="方正仿宋_GBK" w:cs="Times New Roman"/>
          <w:sz w:val="30"/>
          <w:szCs w:val="30"/>
        </w:rPr>
        <w:t>本文件规定了零碳散粮港口的创建要求和评价方法，以及对评价结果的应用和改进。</w:t>
      </w:r>
    </w:p>
    <w:p w14:paraId="2BB76B66">
      <w:pPr>
        <w:autoSpaceDE w:val="0"/>
        <w:autoSpaceDN w:val="0"/>
        <w:adjustRightInd w:val="0"/>
        <w:spacing w:line="588" w:lineRule="exact"/>
        <w:ind w:firstLine="600" w:firstLineChars="200"/>
        <w:jc w:val="both"/>
        <w:rPr>
          <w:rFonts w:ascii="Times New Roman" w:hAnsi="Times New Roman" w:eastAsia="方正仿宋_GBK" w:cs="Times New Roman"/>
          <w:sz w:val="30"/>
          <w:szCs w:val="30"/>
        </w:rPr>
      </w:pPr>
      <w:r>
        <w:rPr>
          <w:rFonts w:ascii="Times New Roman" w:hAnsi="Times New Roman" w:eastAsia="方正仿宋_GBK" w:cs="Times New Roman"/>
          <w:sz w:val="30"/>
          <w:szCs w:val="30"/>
        </w:rPr>
        <w:t>本文件适用于内河港口和海港零碳散粮港口的创建与评价。</w:t>
      </w:r>
    </w:p>
    <w:p w14:paraId="1A5FBE75">
      <w:pPr>
        <w:autoSpaceDE w:val="0"/>
        <w:autoSpaceDN w:val="0"/>
        <w:adjustRightInd w:val="0"/>
        <w:spacing w:line="588" w:lineRule="exact"/>
        <w:ind w:firstLine="450" w:firstLineChars="150"/>
        <w:rPr>
          <w:rFonts w:ascii="Times New Roman" w:hAnsi="Times New Roman" w:eastAsia="方正楷体_GBK" w:cs="Times New Roman"/>
          <w:sz w:val="30"/>
          <w:szCs w:val="30"/>
        </w:rPr>
      </w:pPr>
      <w:r>
        <w:rPr>
          <w:rFonts w:ascii="Times New Roman" w:hAnsi="Times New Roman" w:eastAsia="方正楷体_GBK" w:cs="Times New Roman"/>
          <w:sz w:val="30"/>
          <w:szCs w:val="30"/>
        </w:rPr>
        <w:t>2 规范引用文件</w:t>
      </w:r>
    </w:p>
    <w:p w14:paraId="00D93A79">
      <w:pPr>
        <w:autoSpaceDE w:val="0"/>
        <w:autoSpaceDN w:val="0"/>
        <w:adjustRightInd w:val="0"/>
        <w:spacing w:line="588" w:lineRule="exact"/>
        <w:ind w:firstLine="600" w:firstLineChars="200"/>
        <w:jc w:val="both"/>
        <w:rPr>
          <w:rFonts w:ascii="Times New Roman" w:hAnsi="Times New Roman" w:eastAsia="方正仿宋_GBK" w:cs="Times New Roman"/>
          <w:sz w:val="30"/>
          <w:szCs w:val="30"/>
        </w:rPr>
      </w:pPr>
      <w:r>
        <w:rPr>
          <w:rFonts w:ascii="Times New Roman" w:hAnsi="Times New Roman" w:eastAsia="方正仿宋_GBK" w:cs="Times New Roman"/>
          <w:sz w:val="30"/>
          <w:szCs w:val="30"/>
        </w:rPr>
        <w:t>主要包括：</w:t>
      </w:r>
    </w:p>
    <w:p w14:paraId="46244E82">
      <w:pPr>
        <w:autoSpaceDE w:val="0"/>
        <w:autoSpaceDN w:val="0"/>
        <w:adjustRightInd w:val="0"/>
        <w:spacing w:line="588" w:lineRule="exact"/>
        <w:ind w:firstLine="600" w:firstLineChars="200"/>
        <w:jc w:val="both"/>
        <w:rPr>
          <w:rFonts w:ascii="Times New Roman" w:hAnsi="Times New Roman" w:eastAsia="方正仿宋_GBK" w:cs="Times New Roman"/>
          <w:sz w:val="30"/>
          <w:szCs w:val="30"/>
        </w:rPr>
      </w:pPr>
      <w:r>
        <w:rPr>
          <w:rFonts w:ascii="Times New Roman" w:hAnsi="Times New Roman" w:eastAsia="方正仿宋_GBK" w:cs="Times New Roman"/>
          <w:sz w:val="30"/>
          <w:szCs w:val="30"/>
        </w:rPr>
        <w:t>GB/T 46905  码头二氧化碳排放强度等级及评定方法</w:t>
      </w:r>
    </w:p>
    <w:p w14:paraId="2E91CBC8">
      <w:pPr>
        <w:autoSpaceDE w:val="0"/>
        <w:autoSpaceDN w:val="0"/>
        <w:adjustRightInd w:val="0"/>
        <w:spacing w:line="588" w:lineRule="exact"/>
        <w:ind w:firstLine="600" w:firstLineChars="200"/>
        <w:jc w:val="both"/>
        <w:rPr>
          <w:rFonts w:ascii="Times New Roman" w:hAnsi="Times New Roman" w:eastAsia="方正仿宋_GBK" w:cs="Times New Roman"/>
          <w:sz w:val="30"/>
          <w:szCs w:val="30"/>
        </w:rPr>
      </w:pPr>
      <w:r>
        <w:rPr>
          <w:rFonts w:ascii="Times New Roman" w:hAnsi="Times New Roman" w:eastAsia="方正仿宋_GBK" w:cs="Times New Roman"/>
          <w:sz w:val="30"/>
          <w:szCs w:val="30"/>
        </w:rPr>
        <w:t>GB/T 21339  港口能源消耗统计及分析方法</w:t>
      </w:r>
    </w:p>
    <w:p w14:paraId="0D117FC4">
      <w:pPr>
        <w:autoSpaceDE w:val="0"/>
        <w:autoSpaceDN w:val="0"/>
        <w:adjustRightInd w:val="0"/>
        <w:spacing w:line="588" w:lineRule="exact"/>
        <w:ind w:firstLine="600" w:firstLineChars="200"/>
        <w:jc w:val="both"/>
        <w:rPr>
          <w:rFonts w:ascii="Times New Roman" w:hAnsi="Times New Roman" w:eastAsia="方正仿宋_GBK" w:cs="Times New Roman"/>
          <w:sz w:val="30"/>
          <w:szCs w:val="30"/>
        </w:rPr>
      </w:pPr>
      <w:r>
        <w:rPr>
          <w:rFonts w:ascii="Times New Roman" w:hAnsi="Times New Roman" w:eastAsia="方正仿宋_GBK" w:cs="Times New Roman"/>
          <w:sz w:val="30"/>
          <w:szCs w:val="30"/>
        </w:rPr>
        <w:t>GB 31823    码头作业单位产品能源消耗限额</w:t>
      </w:r>
    </w:p>
    <w:p w14:paraId="4794B48A">
      <w:pPr>
        <w:autoSpaceDE w:val="0"/>
        <w:autoSpaceDN w:val="0"/>
        <w:adjustRightInd w:val="0"/>
        <w:spacing w:line="588" w:lineRule="exact"/>
        <w:ind w:firstLine="600" w:firstLineChars="200"/>
        <w:jc w:val="both"/>
        <w:rPr>
          <w:rFonts w:ascii="Times New Roman" w:hAnsi="Times New Roman" w:eastAsia="方正仿宋_GBK" w:cs="Times New Roman"/>
          <w:sz w:val="30"/>
          <w:szCs w:val="30"/>
        </w:rPr>
      </w:pPr>
      <w:r>
        <w:rPr>
          <w:rFonts w:ascii="Times New Roman" w:hAnsi="Times New Roman" w:eastAsia="方正仿宋_GBK" w:cs="Times New Roman"/>
          <w:sz w:val="30"/>
          <w:szCs w:val="30"/>
        </w:rPr>
        <w:t>GB/T 43380  自动化干散货码头综合管控系统技术要求</w:t>
      </w:r>
    </w:p>
    <w:p w14:paraId="6EB507A1">
      <w:pPr>
        <w:autoSpaceDE w:val="0"/>
        <w:autoSpaceDN w:val="0"/>
        <w:adjustRightInd w:val="0"/>
        <w:spacing w:line="588" w:lineRule="exact"/>
        <w:ind w:firstLine="600" w:firstLineChars="200"/>
        <w:jc w:val="both"/>
        <w:rPr>
          <w:rFonts w:ascii="Times New Roman" w:hAnsi="Times New Roman" w:eastAsia="方正仿宋_GBK" w:cs="Times New Roman"/>
          <w:sz w:val="30"/>
          <w:szCs w:val="30"/>
        </w:rPr>
      </w:pPr>
      <w:r>
        <w:rPr>
          <w:rFonts w:ascii="Times New Roman" w:hAnsi="Times New Roman" w:eastAsia="方正仿宋_GBK" w:cs="Times New Roman"/>
          <w:sz w:val="30"/>
          <w:szCs w:val="30"/>
        </w:rPr>
        <w:t>GB/T 46566  温室气体管理体系 要求</w:t>
      </w:r>
    </w:p>
    <w:p w14:paraId="43BBCB32">
      <w:pPr>
        <w:autoSpaceDE w:val="0"/>
        <w:autoSpaceDN w:val="0"/>
        <w:adjustRightInd w:val="0"/>
        <w:spacing w:line="588" w:lineRule="exact"/>
        <w:ind w:firstLine="600" w:firstLineChars="200"/>
        <w:jc w:val="both"/>
        <w:rPr>
          <w:rFonts w:ascii="Times New Roman" w:hAnsi="Times New Roman" w:eastAsia="方正仿宋_GBK" w:cs="Times New Roman"/>
          <w:sz w:val="30"/>
          <w:szCs w:val="30"/>
        </w:rPr>
      </w:pPr>
      <w:r>
        <w:rPr>
          <w:rFonts w:ascii="Times New Roman" w:hAnsi="Times New Roman" w:eastAsia="方正仿宋_GBK" w:cs="Times New Roman"/>
          <w:sz w:val="30"/>
          <w:szCs w:val="30"/>
        </w:rPr>
        <w:t>JT/T 1537.3 近零碳交通设施技术要求 第3部分 港口作业区</w:t>
      </w:r>
    </w:p>
    <w:p w14:paraId="7D985FCF">
      <w:pPr>
        <w:autoSpaceDE w:val="0"/>
        <w:autoSpaceDN w:val="0"/>
        <w:adjustRightInd w:val="0"/>
        <w:spacing w:line="588" w:lineRule="exact"/>
        <w:ind w:firstLine="600" w:firstLineChars="200"/>
        <w:jc w:val="both"/>
        <w:rPr>
          <w:rFonts w:ascii="Times New Roman" w:hAnsi="Times New Roman" w:eastAsia="方正仿宋_GBK" w:cs="Times New Roman"/>
          <w:sz w:val="30"/>
          <w:szCs w:val="30"/>
        </w:rPr>
      </w:pPr>
      <w:r>
        <w:rPr>
          <w:rFonts w:ascii="Times New Roman" w:hAnsi="Times New Roman" w:eastAsia="方正仿宋_GBK" w:cs="Times New Roman"/>
          <w:sz w:val="30"/>
          <w:szCs w:val="30"/>
        </w:rPr>
        <w:t>JT/T 491    港口固定资产投资项目装卸生产设计可比能源单耗评估</w:t>
      </w:r>
    </w:p>
    <w:p w14:paraId="72D6510C">
      <w:pPr>
        <w:autoSpaceDE w:val="0"/>
        <w:autoSpaceDN w:val="0"/>
        <w:adjustRightInd w:val="0"/>
        <w:spacing w:line="588" w:lineRule="exact"/>
        <w:ind w:firstLine="600" w:firstLineChars="200"/>
        <w:jc w:val="both"/>
        <w:rPr>
          <w:rFonts w:ascii="Times New Roman" w:hAnsi="Times New Roman" w:eastAsia="方正仿宋_GBK" w:cs="Times New Roman"/>
          <w:sz w:val="30"/>
          <w:szCs w:val="30"/>
        </w:rPr>
      </w:pPr>
      <w:r>
        <w:rPr>
          <w:rFonts w:ascii="Times New Roman" w:hAnsi="Times New Roman" w:eastAsia="方正仿宋_GBK" w:cs="Times New Roman"/>
          <w:sz w:val="30"/>
          <w:szCs w:val="30"/>
        </w:rPr>
        <w:t>JTS/T 244   港口作业机械能耗监测技术规范</w:t>
      </w:r>
    </w:p>
    <w:p w14:paraId="59D8276D">
      <w:pPr>
        <w:autoSpaceDE w:val="0"/>
        <w:autoSpaceDN w:val="0"/>
        <w:adjustRightInd w:val="0"/>
        <w:spacing w:line="588" w:lineRule="exact"/>
        <w:ind w:firstLine="600" w:firstLineChars="200"/>
        <w:jc w:val="both"/>
        <w:rPr>
          <w:rFonts w:ascii="Times New Roman" w:hAnsi="Times New Roman" w:eastAsia="方正仿宋_GBK" w:cs="Times New Roman"/>
          <w:sz w:val="30"/>
          <w:szCs w:val="30"/>
        </w:rPr>
      </w:pPr>
      <w:r>
        <w:rPr>
          <w:rFonts w:ascii="Times New Roman" w:hAnsi="Times New Roman" w:eastAsia="方正仿宋_GBK" w:cs="Times New Roman"/>
          <w:sz w:val="30"/>
          <w:szCs w:val="30"/>
        </w:rPr>
        <w:t>JT/T 1491   散粮港口作业减损技术要求</w:t>
      </w:r>
    </w:p>
    <w:p w14:paraId="5220D40D">
      <w:pPr>
        <w:autoSpaceDE w:val="0"/>
        <w:autoSpaceDN w:val="0"/>
        <w:adjustRightInd w:val="0"/>
        <w:spacing w:line="588" w:lineRule="exact"/>
        <w:ind w:firstLine="600" w:firstLineChars="200"/>
        <w:jc w:val="both"/>
        <w:rPr>
          <w:rFonts w:ascii="Times New Roman" w:hAnsi="Times New Roman" w:eastAsia="方正仿宋_GBK" w:cs="Times New Roman"/>
          <w:sz w:val="30"/>
          <w:szCs w:val="30"/>
        </w:rPr>
      </w:pPr>
      <w:r>
        <w:rPr>
          <w:rFonts w:ascii="Times New Roman" w:hAnsi="Times New Roman" w:eastAsia="方正仿宋_GBK" w:cs="Times New Roman"/>
          <w:sz w:val="30"/>
          <w:szCs w:val="30"/>
        </w:rPr>
        <w:t>JT/T 1277   港口能耗在线监测系统技术要求</w:t>
      </w:r>
    </w:p>
    <w:p w14:paraId="54C017F2">
      <w:pPr>
        <w:autoSpaceDE w:val="0"/>
        <w:autoSpaceDN w:val="0"/>
        <w:adjustRightInd w:val="0"/>
        <w:spacing w:line="588" w:lineRule="exact"/>
        <w:ind w:firstLine="600" w:firstLineChars="200"/>
        <w:jc w:val="both"/>
        <w:rPr>
          <w:rFonts w:ascii="Times New Roman" w:hAnsi="Times New Roman" w:eastAsia="方正仿宋_GBK" w:cs="Times New Roman"/>
          <w:sz w:val="30"/>
          <w:szCs w:val="30"/>
        </w:rPr>
      </w:pPr>
      <w:r>
        <w:rPr>
          <w:rFonts w:ascii="Times New Roman" w:hAnsi="Times New Roman" w:eastAsia="方正仿宋_GBK" w:cs="Times New Roman"/>
          <w:sz w:val="30"/>
          <w:szCs w:val="30"/>
        </w:rPr>
        <w:t>LS/T 1202   储粮机械通风技术规程</w:t>
      </w:r>
    </w:p>
    <w:p w14:paraId="43687299">
      <w:pPr>
        <w:autoSpaceDE w:val="0"/>
        <w:autoSpaceDN w:val="0"/>
        <w:adjustRightInd w:val="0"/>
        <w:spacing w:line="588" w:lineRule="exact"/>
        <w:ind w:firstLine="600" w:firstLineChars="200"/>
        <w:jc w:val="both"/>
        <w:rPr>
          <w:rFonts w:ascii="Times New Roman" w:hAnsi="Times New Roman" w:eastAsia="方正仿宋_GBK" w:cs="Times New Roman"/>
          <w:sz w:val="30"/>
          <w:szCs w:val="30"/>
        </w:rPr>
      </w:pPr>
      <w:r>
        <w:rPr>
          <w:rFonts w:ascii="Times New Roman" w:hAnsi="Times New Roman" w:eastAsia="方正仿宋_GBK" w:cs="Times New Roman"/>
          <w:sz w:val="30"/>
          <w:szCs w:val="30"/>
        </w:rPr>
        <w:t>T/CECA-G    零碳粮库创建与评价技术规范</w:t>
      </w:r>
    </w:p>
    <w:p w14:paraId="11EAB682">
      <w:pPr>
        <w:autoSpaceDE w:val="0"/>
        <w:autoSpaceDN w:val="0"/>
        <w:adjustRightInd w:val="0"/>
        <w:spacing w:line="588" w:lineRule="exact"/>
        <w:ind w:firstLine="450" w:firstLineChars="150"/>
        <w:rPr>
          <w:rFonts w:ascii="Times New Roman" w:hAnsi="Times New Roman" w:eastAsia="方正楷体_GBK" w:cs="Times New Roman"/>
          <w:sz w:val="30"/>
          <w:szCs w:val="30"/>
        </w:rPr>
      </w:pPr>
      <w:r>
        <w:rPr>
          <w:rFonts w:ascii="Times New Roman" w:hAnsi="Times New Roman" w:eastAsia="方正楷体_GBK" w:cs="Times New Roman"/>
          <w:sz w:val="30"/>
          <w:szCs w:val="30"/>
        </w:rPr>
        <w:t>3 术语和定义</w:t>
      </w:r>
    </w:p>
    <w:p w14:paraId="4136E00D">
      <w:pPr>
        <w:autoSpaceDE w:val="0"/>
        <w:autoSpaceDN w:val="0"/>
        <w:adjustRightInd w:val="0"/>
        <w:spacing w:line="588" w:lineRule="exact"/>
        <w:ind w:firstLine="600" w:firstLineChars="200"/>
        <w:jc w:val="both"/>
        <w:rPr>
          <w:rFonts w:ascii="Times New Roman" w:hAnsi="Times New Roman" w:eastAsia="方正仿宋_GBK" w:cs="Times New Roman"/>
          <w:sz w:val="30"/>
          <w:szCs w:val="30"/>
        </w:rPr>
      </w:pPr>
      <w:r>
        <w:rPr>
          <w:rFonts w:ascii="Times New Roman" w:hAnsi="Times New Roman" w:eastAsia="方正仿宋_GBK" w:cs="Times New Roman"/>
          <w:sz w:val="30"/>
          <w:szCs w:val="30"/>
        </w:rPr>
        <w:t>对零碳散粮港口、自动化散粮码头、散粮港口二氧化碳排放强度、散粮港口吞吐量碳排放弹性系数、温室气体管理体系、综合管控系统等术语和定义进行说明。</w:t>
      </w:r>
    </w:p>
    <w:p w14:paraId="7925D1E0">
      <w:pPr>
        <w:autoSpaceDE w:val="0"/>
        <w:autoSpaceDN w:val="0"/>
        <w:adjustRightInd w:val="0"/>
        <w:spacing w:line="588" w:lineRule="exact"/>
        <w:ind w:firstLine="450" w:firstLineChars="150"/>
        <w:rPr>
          <w:rFonts w:ascii="Times New Roman" w:hAnsi="Times New Roman" w:eastAsia="方正楷体_GBK" w:cs="Times New Roman"/>
          <w:sz w:val="30"/>
          <w:szCs w:val="30"/>
        </w:rPr>
      </w:pPr>
      <w:r>
        <w:rPr>
          <w:rFonts w:ascii="Times New Roman" w:hAnsi="Times New Roman" w:eastAsia="方正楷体_GBK" w:cs="Times New Roman"/>
          <w:sz w:val="30"/>
          <w:szCs w:val="30"/>
        </w:rPr>
        <w:t>4 创建要求</w:t>
      </w:r>
    </w:p>
    <w:p w14:paraId="535CB230">
      <w:pPr>
        <w:autoSpaceDE w:val="0"/>
        <w:autoSpaceDN w:val="0"/>
        <w:adjustRightInd w:val="0"/>
        <w:spacing w:line="588" w:lineRule="exact"/>
        <w:ind w:firstLine="600" w:firstLineChars="200"/>
        <w:jc w:val="both"/>
        <w:rPr>
          <w:rFonts w:ascii="Times New Roman" w:hAnsi="Times New Roman" w:eastAsia="方正仿宋_GBK" w:cs="Times New Roman"/>
          <w:sz w:val="30"/>
          <w:szCs w:val="30"/>
        </w:rPr>
      </w:pPr>
      <w:r>
        <w:rPr>
          <w:rFonts w:ascii="Times New Roman" w:hAnsi="Times New Roman" w:eastAsia="方正仿宋_GBK" w:cs="Times New Roman"/>
          <w:sz w:val="30"/>
          <w:szCs w:val="30"/>
        </w:rPr>
        <w:t>零碳散粮港口从管理要求和技术要求两方面开展创建。管理要求包含制定零碳规划方案、建立并完善能碳统计制度和温室气体管理机制；技术要求从能源结构、装卸生产、绿色安全储粮、综合管控系统、建筑节能、碳抵消5个方面提出了具体的创建要求。具体如下。</w:t>
      </w:r>
    </w:p>
    <w:p w14:paraId="1639D0D5">
      <w:pPr>
        <w:autoSpaceDE w:val="0"/>
        <w:autoSpaceDN w:val="0"/>
        <w:adjustRightInd w:val="0"/>
        <w:spacing w:line="588" w:lineRule="exact"/>
        <w:ind w:firstLine="600" w:firstLineChars="200"/>
        <w:jc w:val="both"/>
        <w:rPr>
          <w:rFonts w:ascii="Times New Roman" w:hAnsi="Times New Roman" w:eastAsia="方正仿宋_GBK" w:cs="Times New Roman"/>
          <w:sz w:val="30"/>
          <w:szCs w:val="30"/>
        </w:rPr>
      </w:pPr>
      <w:r>
        <w:rPr>
          <w:rFonts w:ascii="Times New Roman" w:hAnsi="Times New Roman" w:eastAsia="方正仿宋_GBK" w:cs="Times New Roman"/>
          <w:sz w:val="30"/>
          <w:szCs w:val="30"/>
        </w:rPr>
        <w:t>制定零碳规划方案：结合港口区位、吞吐能力，编制零碳发展专项规划。方案需明确年度减排目标，并针对能源替代、设备升级、工艺优化等关键领域设计实施路径。规划应纳入港口整体发展战略，建立动态调整机制，确保与国家和地方“双碳”政策有效衔接，确保零碳创建工作有章可循、有序推进。</w:t>
      </w:r>
    </w:p>
    <w:p w14:paraId="169A14B8">
      <w:pPr>
        <w:autoSpaceDE w:val="0"/>
        <w:autoSpaceDN w:val="0"/>
        <w:adjustRightInd w:val="0"/>
        <w:spacing w:line="588" w:lineRule="exact"/>
        <w:ind w:firstLine="600" w:firstLineChars="200"/>
        <w:jc w:val="both"/>
        <w:rPr>
          <w:rFonts w:ascii="Times New Roman" w:hAnsi="Times New Roman" w:eastAsia="方正仿宋_GBK" w:cs="Times New Roman"/>
          <w:sz w:val="30"/>
          <w:szCs w:val="30"/>
        </w:rPr>
      </w:pPr>
      <w:r>
        <w:rPr>
          <w:rFonts w:ascii="Times New Roman" w:hAnsi="Times New Roman" w:eastAsia="方正仿宋_GBK" w:cs="Times New Roman"/>
          <w:sz w:val="30"/>
          <w:szCs w:val="30"/>
        </w:rPr>
        <w:t>建立温室气体管理机制：建立健全温室气体排放监测、报告与核查（MRV）体系，明确责任分工与管理流程。制定散粮港口二氧化碳排放强度、散粮港口吞吐量碳排放弹性系数控制指标，实施动态跟踪与预警。</w:t>
      </w:r>
    </w:p>
    <w:p w14:paraId="7EE2D9EC">
      <w:pPr>
        <w:autoSpaceDE w:val="0"/>
        <w:autoSpaceDN w:val="0"/>
        <w:adjustRightInd w:val="0"/>
        <w:spacing w:line="588" w:lineRule="exact"/>
        <w:ind w:firstLine="600" w:firstLineChars="200"/>
        <w:jc w:val="both"/>
        <w:rPr>
          <w:rFonts w:ascii="Times New Roman" w:hAnsi="Times New Roman" w:eastAsia="方正仿宋_GBK" w:cs="Times New Roman"/>
          <w:sz w:val="30"/>
          <w:szCs w:val="30"/>
        </w:rPr>
      </w:pPr>
      <w:r>
        <w:rPr>
          <w:rFonts w:ascii="Times New Roman" w:hAnsi="Times New Roman" w:eastAsia="方正仿宋_GBK" w:cs="Times New Roman"/>
          <w:sz w:val="30"/>
          <w:szCs w:val="30"/>
        </w:rPr>
        <w:t>建立并完善能碳统计制度：依托港口综合管控系统，运用物联网、大数据、云计算等现代信息技术，构建覆盖港口用能设备、作业流程及附属设施的能耗与碳排放数据采集体系，统一统计口径与核算方法。定期开展能源审计与碳盘查，建立能碳台账，实现数据可追溯、可比对，为零碳目标评估与持续改进提供精准数据支撑。</w:t>
      </w:r>
    </w:p>
    <w:p w14:paraId="1729AD95">
      <w:pPr>
        <w:autoSpaceDE w:val="0"/>
        <w:autoSpaceDN w:val="0"/>
        <w:adjustRightInd w:val="0"/>
        <w:spacing w:line="588" w:lineRule="exact"/>
        <w:ind w:firstLine="600" w:firstLineChars="200"/>
        <w:jc w:val="both"/>
        <w:rPr>
          <w:rFonts w:ascii="Times New Roman" w:hAnsi="Times New Roman" w:eastAsia="方正仿宋_GBK" w:cs="Times New Roman"/>
          <w:sz w:val="30"/>
          <w:szCs w:val="30"/>
        </w:rPr>
      </w:pPr>
      <w:r>
        <w:rPr>
          <w:rFonts w:ascii="Times New Roman" w:hAnsi="Times New Roman" w:eastAsia="方正仿宋_GBK" w:cs="Times New Roman"/>
          <w:sz w:val="30"/>
          <w:szCs w:val="30"/>
        </w:rPr>
        <w:t>能源结构优化：以“电气化+清洁化”为核心，大幅提升港区电力消费中绿电比例，优先布局分布式光伏、风力发电及储能设施，推进岸电设施全覆盖，提高船舶靠泊期间使用岸电比例。</w:t>
      </w:r>
    </w:p>
    <w:p w14:paraId="6E6C8D07">
      <w:pPr>
        <w:autoSpaceDE w:val="0"/>
        <w:autoSpaceDN w:val="0"/>
        <w:adjustRightInd w:val="0"/>
        <w:spacing w:line="588" w:lineRule="exact"/>
        <w:ind w:firstLine="600" w:firstLineChars="200"/>
        <w:jc w:val="both"/>
        <w:rPr>
          <w:rFonts w:ascii="Times New Roman" w:hAnsi="Times New Roman" w:eastAsia="方正仿宋_GBK" w:cs="Times New Roman"/>
          <w:sz w:val="30"/>
          <w:szCs w:val="30"/>
        </w:rPr>
      </w:pPr>
      <w:r>
        <w:rPr>
          <w:rFonts w:ascii="Times New Roman" w:hAnsi="Times New Roman" w:eastAsia="方正仿宋_GBK" w:cs="Times New Roman"/>
          <w:sz w:val="30"/>
          <w:szCs w:val="30"/>
        </w:rPr>
        <w:t>装卸生产绿色化：全面应用电动化、智能化的散粮装卸设备，依托港口综合管控系统优化作业流程减少空载和重复启停。采用全封闭作业系统，减少粉尘逸散。</w:t>
      </w:r>
    </w:p>
    <w:p w14:paraId="54333C89">
      <w:pPr>
        <w:autoSpaceDE w:val="0"/>
        <w:autoSpaceDN w:val="0"/>
        <w:adjustRightInd w:val="0"/>
        <w:spacing w:line="588" w:lineRule="exact"/>
        <w:ind w:firstLine="600" w:firstLineChars="200"/>
        <w:jc w:val="both"/>
        <w:rPr>
          <w:rFonts w:ascii="Times New Roman" w:hAnsi="Times New Roman" w:eastAsia="方正仿宋_GBK" w:cs="Times New Roman"/>
          <w:sz w:val="30"/>
          <w:szCs w:val="30"/>
        </w:rPr>
      </w:pPr>
      <w:r>
        <w:rPr>
          <w:rFonts w:ascii="Times New Roman" w:hAnsi="Times New Roman" w:eastAsia="方正仿宋_GBK" w:cs="Times New Roman"/>
          <w:sz w:val="30"/>
          <w:szCs w:val="30"/>
        </w:rPr>
        <w:t>绿色安全储粮：采用低碳环保的储粮技术与设施，降低储粮环节能耗与损耗。建立粮情与能耗联动调控系统，实现精准供冷、按需通风，避免能源浪费。</w:t>
      </w:r>
    </w:p>
    <w:p w14:paraId="44E806D7">
      <w:pPr>
        <w:autoSpaceDE w:val="0"/>
        <w:autoSpaceDN w:val="0"/>
        <w:adjustRightInd w:val="0"/>
        <w:spacing w:line="588" w:lineRule="exact"/>
        <w:ind w:firstLine="600" w:firstLineChars="200"/>
        <w:jc w:val="both"/>
        <w:rPr>
          <w:rFonts w:ascii="Times New Roman" w:hAnsi="Times New Roman" w:eastAsia="方正仿宋_GBK" w:cs="Times New Roman"/>
          <w:sz w:val="30"/>
          <w:szCs w:val="30"/>
        </w:rPr>
      </w:pPr>
      <w:r>
        <w:rPr>
          <w:rFonts w:ascii="Times New Roman" w:hAnsi="Times New Roman" w:eastAsia="方正仿宋_GBK" w:cs="Times New Roman"/>
          <w:sz w:val="30"/>
          <w:szCs w:val="30"/>
        </w:rPr>
        <w:t>综合管控系统：建设港口智慧综合管控平台，集成全流程生产调度系统、智慧靠泊、全自动装卸设施，能耗监测、碳排放核算、设备运行管理及优化调度等功能。提升港口整体运营效率与能效水平。</w:t>
      </w:r>
    </w:p>
    <w:p w14:paraId="6B6ED97F">
      <w:pPr>
        <w:autoSpaceDE w:val="0"/>
        <w:autoSpaceDN w:val="0"/>
        <w:adjustRightInd w:val="0"/>
        <w:spacing w:line="588" w:lineRule="exact"/>
        <w:ind w:firstLine="600" w:firstLineChars="200"/>
        <w:jc w:val="both"/>
        <w:rPr>
          <w:rFonts w:ascii="Times New Roman" w:hAnsi="Times New Roman" w:eastAsia="方正仿宋_GBK" w:cs="Times New Roman"/>
          <w:sz w:val="30"/>
          <w:szCs w:val="30"/>
        </w:rPr>
      </w:pPr>
      <w:r>
        <w:rPr>
          <w:rFonts w:ascii="Times New Roman" w:hAnsi="Times New Roman" w:eastAsia="方正仿宋_GBK" w:cs="Times New Roman"/>
          <w:sz w:val="30"/>
          <w:szCs w:val="30"/>
        </w:rPr>
        <w:t>港口建筑节能：对港区行政办公等附属建筑实施绿色节能改造，严格执行国家或地方公共建筑节能标准，利用江海源热泵等供暖制冷，鼓励建设绿色建筑，降低建筑运行阶段碳排放。</w:t>
      </w:r>
    </w:p>
    <w:p w14:paraId="2C4EDC08">
      <w:pPr>
        <w:autoSpaceDE w:val="0"/>
        <w:autoSpaceDN w:val="0"/>
        <w:adjustRightInd w:val="0"/>
        <w:spacing w:line="588" w:lineRule="exact"/>
        <w:ind w:firstLine="600" w:firstLineChars="200"/>
        <w:jc w:val="both"/>
        <w:rPr>
          <w:rFonts w:ascii="Times New Roman" w:hAnsi="Times New Roman" w:eastAsia="方正仿宋_GBK" w:cs="Times New Roman"/>
          <w:sz w:val="30"/>
          <w:szCs w:val="30"/>
        </w:rPr>
      </w:pPr>
      <w:r>
        <w:rPr>
          <w:rFonts w:ascii="Times New Roman" w:hAnsi="Times New Roman" w:eastAsia="方正仿宋_GBK" w:cs="Times New Roman"/>
          <w:sz w:val="30"/>
          <w:szCs w:val="30"/>
        </w:rPr>
        <w:t>碳抵消项目的实施：对于难以避免的碳排放，通过购买符合要求的碳信用进行碳抵消，确保零碳目标的达成。同时，积极参与碳交易市场，探索碳资产管理和碳金融创新，为散粮港口的可持续发展注入新动力。</w:t>
      </w:r>
    </w:p>
    <w:p w14:paraId="5355D0A3">
      <w:pPr>
        <w:autoSpaceDE w:val="0"/>
        <w:autoSpaceDN w:val="0"/>
        <w:adjustRightInd w:val="0"/>
        <w:spacing w:line="588" w:lineRule="exact"/>
        <w:ind w:firstLine="450" w:firstLineChars="150"/>
        <w:rPr>
          <w:rFonts w:ascii="Times New Roman" w:hAnsi="Times New Roman" w:eastAsia="方正楷体_GBK" w:cs="Times New Roman"/>
          <w:sz w:val="30"/>
          <w:szCs w:val="30"/>
        </w:rPr>
      </w:pPr>
      <w:r>
        <w:rPr>
          <w:rFonts w:ascii="Times New Roman" w:hAnsi="Times New Roman" w:eastAsia="方正楷体_GBK" w:cs="Times New Roman"/>
          <w:sz w:val="30"/>
          <w:szCs w:val="30"/>
        </w:rPr>
        <w:t>5 评价方法</w:t>
      </w:r>
    </w:p>
    <w:p w14:paraId="0F73573F">
      <w:pPr>
        <w:autoSpaceDE w:val="0"/>
        <w:autoSpaceDN w:val="0"/>
        <w:adjustRightInd w:val="0"/>
        <w:spacing w:line="588" w:lineRule="exact"/>
        <w:ind w:firstLine="600" w:firstLineChars="200"/>
        <w:jc w:val="both"/>
        <w:rPr>
          <w:rFonts w:ascii="Times New Roman" w:hAnsi="Times New Roman" w:eastAsia="方正仿宋_GBK" w:cs="Times New Roman"/>
          <w:sz w:val="30"/>
          <w:szCs w:val="30"/>
        </w:rPr>
      </w:pPr>
      <w:r>
        <w:rPr>
          <w:rFonts w:ascii="Times New Roman" w:hAnsi="Times New Roman" w:eastAsia="方正仿宋_GBK" w:cs="Times New Roman"/>
          <w:sz w:val="30"/>
          <w:szCs w:val="30"/>
        </w:rPr>
        <w:t>评价遵循PDCA方法论，包括评价准备、评价方案设计、评价实施、等级评定、评价结果的应用与改进等关键环节,各环节依次展开并形成闭环,以确保评价工作的系统性、规范性和有效性。</w:t>
      </w:r>
    </w:p>
    <w:p w14:paraId="75828E45">
      <w:pPr>
        <w:autoSpaceDE w:val="0"/>
        <w:autoSpaceDN w:val="0"/>
        <w:adjustRightInd w:val="0"/>
        <w:spacing w:line="588" w:lineRule="exact"/>
        <w:ind w:firstLine="450" w:firstLineChars="150"/>
        <w:rPr>
          <w:rFonts w:ascii="Times New Roman" w:hAnsi="Times New Roman" w:eastAsia="方正楷体_GBK" w:cs="Times New Roman"/>
          <w:sz w:val="30"/>
          <w:szCs w:val="30"/>
        </w:rPr>
      </w:pPr>
      <w:r>
        <w:rPr>
          <w:rFonts w:ascii="Times New Roman" w:hAnsi="Times New Roman" w:eastAsia="方正楷体_GBK" w:cs="Times New Roman"/>
          <w:sz w:val="30"/>
          <w:szCs w:val="30"/>
        </w:rPr>
        <w:t>5 附录</w:t>
      </w:r>
    </w:p>
    <w:p w14:paraId="3362D852">
      <w:pPr>
        <w:autoSpaceDE w:val="0"/>
        <w:autoSpaceDN w:val="0"/>
        <w:adjustRightInd w:val="0"/>
        <w:spacing w:line="588" w:lineRule="exact"/>
        <w:ind w:firstLine="600" w:firstLineChars="200"/>
        <w:jc w:val="both"/>
        <w:rPr>
          <w:rFonts w:ascii="Times New Roman" w:hAnsi="Times New Roman" w:eastAsia="方正仿宋_GBK" w:cs="Times New Roman"/>
          <w:sz w:val="30"/>
          <w:szCs w:val="30"/>
        </w:rPr>
      </w:pPr>
      <w:r>
        <w:rPr>
          <w:rFonts w:ascii="Times New Roman" w:hAnsi="Times New Roman" w:eastAsia="方正仿宋_GBK" w:cs="Times New Roman"/>
          <w:sz w:val="30"/>
          <w:szCs w:val="30"/>
        </w:rPr>
        <w:t>附录A为规范性附录，给出了零碳散粮港口的评价指标和评价等级，用于散粮港口的等级评定。评价指标的设计以定量指标为主，指标数值参考了国家和地方政策文件的要求，如绿电消纳率和粉尘在线监测覆盖率参考了《“水运江苏”三年行动计划（2024－2026年）》（苏政办发〔2024〕10号）提出的“全省港口生产使用新能源、清洁能源占比75%以上”，“散货码头粉尘在线监测覆盖率达到100%”。同时考虑到零碳散粮港口的创建是一个渐进的过程，随着政策和零碳技术的发展，指标的达成可能会越来越容易，因此在考虑实际情况的基础上，部分指标设置的适度超前，比如绿电消纳率指标要求达到90%以上才能取得该项指标满分6分。</w:t>
      </w:r>
    </w:p>
    <w:p w14:paraId="7ADC734C">
      <w:pPr>
        <w:autoSpaceDE w:val="0"/>
        <w:autoSpaceDN w:val="0"/>
        <w:adjustRightInd w:val="0"/>
        <w:spacing w:line="588" w:lineRule="exact"/>
        <w:ind w:firstLine="600" w:firstLineChars="200"/>
        <w:jc w:val="both"/>
        <w:rPr>
          <w:rFonts w:ascii="Times New Roman" w:hAnsi="Times New Roman" w:eastAsia="方正仿宋_GBK" w:cs="Times New Roman"/>
          <w:sz w:val="30"/>
          <w:szCs w:val="30"/>
        </w:rPr>
      </w:pPr>
      <w:r>
        <w:rPr>
          <w:rFonts w:ascii="Times New Roman" w:hAnsi="Times New Roman" w:eastAsia="方正仿宋_GBK" w:cs="Times New Roman"/>
          <w:sz w:val="30"/>
          <w:szCs w:val="30"/>
        </w:rPr>
        <w:t>附录B为规范性附录，给出了零碳散粮港口碳排放核算的边界和核算方法，用于散粮港口的碳排放总量和碳排放强度核算。在碳排放强度的计算中，引入了码头作业线长度修正系数、卸船量修正系数、内河港口水位落差修正系数，目的是尽可能消除不同码头客观条件导致的能耗差异，使得不同码头在进行横向比较时更客观公平，真实反映港口的零碳管理水平和技术水平。</w:t>
      </w:r>
    </w:p>
    <w:p w14:paraId="3DA8AADC">
      <w:pPr>
        <w:autoSpaceDE w:val="0"/>
        <w:autoSpaceDN w:val="0"/>
        <w:adjustRightInd w:val="0"/>
        <w:spacing w:line="588" w:lineRule="exact"/>
        <w:ind w:firstLine="600" w:firstLineChars="200"/>
        <w:jc w:val="both"/>
        <w:rPr>
          <w:rFonts w:ascii="Times New Roman" w:hAnsi="Times New Roman" w:eastAsia="方正仿宋_GBK" w:cs="Times New Roman"/>
          <w:sz w:val="30"/>
          <w:szCs w:val="30"/>
        </w:rPr>
      </w:pPr>
      <w:r>
        <w:rPr>
          <w:rFonts w:ascii="Times New Roman" w:hAnsi="Times New Roman" w:eastAsia="方正仿宋_GBK" w:cs="Times New Roman"/>
          <w:sz w:val="30"/>
          <w:szCs w:val="30"/>
        </w:rPr>
        <w:t>附录C为规范性附录，给出了吞吐量碳排放弹性系数指标的定义、计算方法和等级划分。</w:t>
      </w:r>
    </w:p>
    <w:p w14:paraId="659568B6">
      <w:pPr>
        <w:autoSpaceDE w:val="0"/>
        <w:autoSpaceDN w:val="0"/>
        <w:adjustRightInd w:val="0"/>
        <w:spacing w:line="588" w:lineRule="exact"/>
        <w:ind w:firstLine="640" w:firstLineChars="0"/>
        <w:rPr>
          <w:rFonts w:ascii="Times New Roman" w:hAnsi="Times New Roman" w:eastAsia="方正黑体_GBK" w:cs="Times New Roman"/>
          <w:sz w:val="30"/>
          <w:szCs w:val="30"/>
        </w:rPr>
      </w:pPr>
      <w:r>
        <w:rPr>
          <w:rFonts w:ascii="Times New Roman" w:hAnsi="Times New Roman" w:eastAsia="方正黑体_GBK" w:cs="Times New Roman"/>
          <w:sz w:val="30"/>
          <w:szCs w:val="30"/>
        </w:rPr>
        <w:t>四、采用国际标准和国外先进标准的程度，以及与国际、国外同类标准水平的对比情况</w:t>
      </w:r>
    </w:p>
    <w:p w14:paraId="1E757DB5">
      <w:pPr>
        <w:autoSpaceDE w:val="0"/>
        <w:autoSpaceDN w:val="0"/>
        <w:adjustRightInd w:val="0"/>
        <w:spacing w:line="588" w:lineRule="exact"/>
        <w:ind w:firstLine="600" w:firstLineChars="200"/>
        <w:jc w:val="both"/>
        <w:rPr>
          <w:rFonts w:ascii="Times New Roman" w:hAnsi="Times New Roman" w:eastAsia="方正仿宋_GBK" w:cs="Times New Roman"/>
          <w:sz w:val="30"/>
          <w:szCs w:val="30"/>
        </w:rPr>
      </w:pPr>
      <w:r>
        <w:rPr>
          <w:rFonts w:ascii="Times New Roman" w:hAnsi="Times New Roman" w:eastAsia="方正仿宋_GBK" w:cs="Times New Roman"/>
          <w:sz w:val="30"/>
          <w:szCs w:val="30"/>
        </w:rPr>
        <w:t>本文件为首次编制，国际和国内尚无同类标准。</w:t>
      </w:r>
    </w:p>
    <w:p w14:paraId="4DCACB0A">
      <w:pPr>
        <w:autoSpaceDE w:val="0"/>
        <w:autoSpaceDN w:val="0"/>
        <w:adjustRightInd w:val="0"/>
        <w:spacing w:line="588" w:lineRule="exact"/>
        <w:ind w:firstLine="640" w:firstLineChars="0"/>
        <w:rPr>
          <w:rFonts w:ascii="Times New Roman" w:hAnsi="Times New Roman" w:eastAsia="方正黑体_GBK" w:cs="Times New Roman"/>
          <w:sz w:val="30"/>
          <w:szCs w:val="30"/>
        </w:rPr>
      </w:pPr>
      <w:r>
        <w:rPr>
          <w:rFonts w:ascii="Times New Roman" w:hAnsi="Times New Roman" w:eastAsia="方正黑体_GBK" w:cs="Times New Roman"/>
          <w:sz w:val="30"/>
          <w:szCs w:val="30"/>
        </w:rPr>
        <w:t>五、与有关的现行法律、法规和强制性国家标准的关系</w:t>
      </w:r>
    </w:p>
    <w:p w14:paraId="47C13F83">
      <w:pPr>
        <w:autoSpaceDE w:val="0"/>
        <w:autoSpaceDN w:val="0"/>
        <w:adjustRightInd w:val="0"/>
        <w:spacing w:line="588" w:lineRule="exact"/>
        <w:ind w:firstLine="600" w:firstLineChars="200"/>
        <w:jc w:val="both"/>
        <w:rPr>
          <w:rFonts w:ascii="Times New Roman" w:hAnsi="Times New Roman" w:eastAsia="方正仿宋_GBK" w:cs="Times New Roman"/>
          <w:sz w:val="30"/>
          <w:szCs w:val="30"/>
        </w:rPr>
      </w:pPr>
      <w:r>
        <w:rPr>
          <w:rFonts w:ascii="Times New Roman" w:hAnsi="Times New Roman" w:eastAsia="方正仿宋_GBK" w:cs="Times New Roman"/>
          <w:sz w:val="30"/>
          <w:szCs w:val="30"/>
        </w:rPr>
        <w:t>本文件与现行法律、法规及相关标准协调一致。</w:t>
      </w:r>
    </w:p>
    <w:p w14:paraId="0E31196B">
      <w:pPr>
        <w:autoSpaceDE w:val="0"/>
        <w:autoSpaceDN w:val="0"/>
        <w:adjustRightInd w:val="0"/>
        <w:spacing w:line="588" w:lineRule="exact"/>
        <w:ind w:firstLine="640" w:firstLineChars="0"/>
        <w:rPr>
          <w:rFonts w:ascii="Times New Roman" w:hAnsi="Times New Roman" w:eastAsia="方正黑体_GBK" w:cs="Times New Roman"/>
          <w:sz w:val="30"/>
          <w:szCs w:val="30"/>
        </w:rPr>
      </w:pPr>
      <w:r>
        <w:rPr>
          <w:rFonts w:ascii="Times New Roman" w:hAnsi="Times New Roman" w:eastAsia="方正黑体_GBK" w:cs="Times New Roman"/>
          <w:sz w:val="30"/>
          <w:szCs w:val="30"/>
        </w:rPr>
        <w:t>六、重大分歧意见的处理经过和依据</w:t>
      </w:r>
    </w:p>
    <w:p w14:paraId="043CC0C1">
      <w:pPr>
        <w:autoSpaceDE w:val="0"/>
        <w:autoSpaceDN w:val="0"/>
        <w:adjustRightInd w:val="0"/>
        <w:spacing w:line="588" w:lineRule="exact"/>
        <w:ind w:firstLine="600" w:firstLineChars="200"/>
        <w:jc w:val="both"/>
        <w:rPr>
          <w:rFonts w:ascii="Times New Roman" w:hAnsi="Times New Roman" w:eastAsia="方正仿宋_GBK" w:cs="Times New Roman"/>
          <w:sz w:val="30"/>
          <w:szCs w:val="30"/>
        </w:rPr>
      </w:pPr>
      <w:r>
        <w:rPr>
          <w:rFonts w:ascii="Times New Roman" w:hAnsi="Times New Roman" w:eastAsia="方正仿宋_GBK" w:cs="Times New Roman"/>
          <w:sz w:val="30"/>
          <w:szCs w:val="30"/>
        </w:rPr>
        <w:t>本文件遵循了各方参与原则，广泛征求和吸收了相关领域专家的意见，无重大分歧。</w:t>
      </w:r>
    </w:p>
    <w:p w14:paraId="06920271">
      <w:pPr>
        <w:autoSpaceDE w:val="0"/>
        <w:autoSpaceDN w:val="0"/>
        <w:adjustRightInd w:val="0"/>
        <w:spacing w:line="588" w:lineRule="exact"/>
        <w:ind w:firstLine="640" w:firstLineChars="0"/>
        <w:rPr>
          <w:rFonts w:ascii="Times New Roman" w:hAnsi="Times New Roman" w:eastAsia="方正黑体_GBK" w:cs="Times New Roman"/>
          <w:sz w:val="30"/>
          <w:szCs w:val="30"/>
        </w:rPr>
      </w:pPr>
      <w:r>
        <w:rPr>
          <w:rFonts w:ascii="Times New Roman" w:hAnsi="Times New Roman" w:eastAsia="方正黑体_GBK" w:cs="Times New Roman"/>
          <w:sz w:val="30"/>
          <w:szCs w:val="30"/>
        </w:rPr>
        <w:t>七、标准作为强制性标准或推荐性标准的建议</w:t>
      </w:r>
    </w:p>
    <w:p w14:paraId="281BD4AD">
      <w:pPr>
        <w:autoSpaceDE w:val="0"/>
        <w:autoSpaceDN w:val="0"/>
        <w:adjustRightInd w:val="0"/>
        <w:spacing w:line="588" w:lineRule="exact"/>
        <w:ind w:firstLine="600" w:firstLineChars="200"/>
        <w:jc w:val="both"/>
        <w:rPr>
          <w:rFonts w:ascii="Times New Roman" w:hAnsi="Times New Roman" w:eastAsia="方正仿宋_GBK" w:cs="Times New Roman"/>
          <w:sz w:val="30"/>
          <w:szCs w:val="30"/>
        </w:rPr>
      </w:pPr>
      <w:r>
        <w:rPr>
          <w:rFonts w:ascii="Times New Roman" w:hAnsi="Times New Roman" w:eastAsia="方正仿宋_GBK" w:cs="Times New Roman"/>
          <w:sz w:val="30"/>
          <w:szCs w:val="30"/>
        </w:rPr>
        <w:t>建议本文件作为推荐性团体标准发布。</w:t>
      </w:r>
    </w:p>
    <w:p w14:paraId="5693FBE4">
      <w:pPr>
        <w:autoSpaceDE w:val="0"/>
        <w:autoSpaceDN w:val="0"/>
        <w:adjustRightInd w:val="0"/>
        <w:spacing w:line="588" w:lineRule="exact"/>
        <w:ind w:firstLine="640" w:firstLineChars="0"/>
        <w:rPr>
          <w:rFonts w:ascii="Times New Roman" w:hAnsi="Times New Roman" w:eastAsia="方正黑体_GBK" w:cs="Times New Roman"/>
          <w:sz w:val="30"/>
          <w:szCs w:val="30"/>
        </w:rPr>
      </w:pPr>
      <w:r>
        <w:rPr>
          <w:rFonts w:ascii="Times New Roman" w:hAnsi="Times New Roman" w:eastAsia="方正黑体_GBK" w:cs="Times New Roman"/>
          <w:sz w:val="30"/>
          <w:szCs w:val="30"/>
        </w:rPr>
        <w:t>八、代替或废止现行有关标准</w:t>
      </w:r>
    </w:p>
    <w:p w14:paraId="421C99D9">
      <w:pPr>
        <w:autoSpaceDE w:val="0"/>
        <w:autoSpaceDN w:val="0"/>
        <w:adjustRightInd w:val="0"/>
        <w:spacing w:line="588" w:lineRule="exact"/>
        <w:ind w:firstLine="600" w:firstLineChars="200"/>
        <w:jc w:val="both"/>
        <w:rPr>
          <w:rFonts w:ascii="Times New Roman" w:hAnsi="Times New Roman" w:eastAsia="方正仿宋_GBK" w:cs="Times New Roman"/>
          <w:sz w:val="30"/>
          <w:szCs w:val="30"/>
        </w:rPr>
      </w:pPr>
      <w:r>
        <w:rPr>
          <w:rFonts w:ascii="Times New Roman" w:hAnsi="Times New Roman" w:eastAsia="方正仿宋_GBK" w:cs="Times New Roman"/>
          <w:sz w:val="30"/>
          <w:szCs w:val="30"/>
        </w:rPr>
        <w:t>本文件为新制定标准。</w:t>
      </w:r>
    </w:p>
    <w:p w14:paraId="6D44BD25">
      <w:pPr>
        <w:autoSpaceDE w:val="0"/>
        <w:autoSpaceDN w:val="0"/>
        <w:adjustRightInd w:val="0"/>
        <w:spacing w:line="588" w:lineRule="exact"/>
        <w:ind w:firstLine="640" w:firstLineChars="0"/>
        <w:rPr>
          <w:rFonts w:ascii="Times New Roman" w:hAnsi="Times New Roman" w:eastAsia="方正黑体_GBK" w:cs="Times New Roman"/>
          <w:sz w:val="30"/>
          <w:szCs w:val="30"/>
        </w:rPr>
      </w:pPr>
      <w:r>
        <w:rPr>
          <w:rFonts w:ascii="Times New Roman" w:hAnsi="Times New Roman" w:eastAsia="方正黑体_GBK" w:cs="Times New Roman"/>
          <w:sz w:val="30"/>
          <w:szCs w:val="30"/>
        </w:rPr>
        <w:t>九、贯彻标准的要求和措施建议</w:t>
      </w:r>
    </w:p>
    <w:p w14:paraId="7DAA5B6A">
      <w:pPr>
        <w:autoSpaceDE w:val="0"/>
        <w:autoSpaceDN w:val="0"/>
        <w:adjustRightInd w:val="0"/>
        <w:spacing w:line="588" w:lineRule="exact"/>
        <w:ind w:firstLine="600" w:firstLineChars="200"/>
        <w:jc w:val="both"/>
        <w:rPr>
          <w:rFonts w:ascii="Times New Roman" w:hAnsi="Times New Roman" w:eastAsia="方正仿宋_GBK" w:cs="Times New Roman"/>
          <w:sz w:val="30"/>
          <w:szCs w:val="30"/>
        </w:rPr>
      </w:pPr>
      <w:r>
        <w:rPr>
          <w:rFonts w:ascii="Times New Roman" w:hAnsi="Times New Roman" w:eastAsia="方正仿宋_GBK" w:cs="Times New Roman"/>
          <w:sz w:val="30"/>
          <w:szCs w:val="30"/>
        </w:rPr>
        <w:t>零碳散粮港口的创建是一个多维度、多层次的系统工程，它不仅关乎港口的运营效率、粮食的安全储存与高效管理，更是推动散粮港口行业绿色转型、实现碳中和目标的重要举措。贯标措施建议如下：</w:t>
      </w:r>
    </w:p>
    <w:p w14:paraId="098B4467">
      <w:pPr>
        <w:autoSpaceDE w:val="0"/>
        <w:autoSpaceDN w:val="0"/>
        <w:adjustRightInd w:val="0"/>
        <w:spacing w:line="588" w:lineRule="exact"/>
        <w:ind w:firstLine="600" w:firstLineChars="200"/>
        <w:jc w:val="both"/>
        <w:rPr>
          <w:rFonts w:ascii="Times New Roman" w:hAnsi="Times New Roman" w:eastAsia="方正仿宋_GBK" w:cs="Times New Roman"/>
          <w:sz w:val="30"/>
          <w:szCs w:val="30"/>
        </w:rPr>
      </w:pPr>
      <w:r>
        <w:rPr>
          <w:rFonts w:ascii="Times New Roman" w:hAnsi="Times New Roman" w:eastAsia="方正仿宋_GBK" w:cs="Times New Roman"/>
          <w:sz w:val="30"/>
          <w:szCs w:val="30"/>
        </w:rPr>
        <w:t>明确标准要求。根据标准第4章创建要求和附录A评价指标要求，结合散粮港口实际情况，确保各项创建任务得到有效落实。</w:t>
      </w:r>
    </w:p>
    <w:p w14:paraId="20D92D78">
      <w:pPr>
        <w:autoSpaceDE w:val="0"/>
        <w:autoSpaceDN w:val="0"/>
        <w:adjustRightInd w:val="0"/>
        <w:spacing w:line="588" w:lineRule="exact"/>
        <w:ind w:firstLine="600" w:firstLineChars="200"/>
        <w:jc w:val="both"/>
        <w:rPr>
          <w:rFonts w:ascii="Times New Roman" w:hAnsi="Times New Roman" w:eastAsia="方正仿宋_GBK" w:cs="Times New Roman"/>
          <w:sz w:val="30"/>
          <w:szCs w:val="30"/>
        </w:rPr>
      </w:pPr>
      <w:r>
        <w:rPr>
          <w:rFonts w:ascii="Times New Roman" w:hAnsi="Times New Roman" w:eastAsia="方正仿宋_GBK" w:cs="Times New Roman"/>
          <w:sz w:val="30"/>
          <w:szCs w:val="30"/>
        </w:rPr>
        <w:t>建立监督机制。成立专门的监督小组或委员会，负责对零碳散粮港口创建工作的实施情况进行定期检查和评估，邀请第三方机构对创建工作进行专业评价，确保评价结果的客观性和公正性。</w:t>
      </w:r>
    </w:p>
    <w:p w14:paraId="57BD71D2">
      <w:pPr>
        <w:autoSpaceDE w:val="0"/>
        <w:autoSpaceDN w:val="0"/>
        <w:adjustRightInd w:val="0"/>
        <w:spacing w:line="588" w:lineRule="exact"/>
        <w:ind w:firstLine="600" w:firstLineChars="200"/>
        <w:jc w:val="both"/>
        <w:rPr>
          <w:rFonts w:ascii="Times New Roman" w:hAnsi="Times New Roman" w:eastAsia="方正仿宋_GBK" w:cs="Times New Roman"/>
          <w:sz w:val="30"/>
          <w:szCs w:val="30"/>
        </w:rPr>
      </w:pPr>
      <w:r>
        <w:rPr>
          <w:rFonts w:ascii="Times New Roman" w:hAnsi="Times New Roman" w:eastAsia="方正仿宋_GBK" w:cs="Times New Roman"/>
          <w:sz w:val="30"/>
          <w:szCs w:val="30"/>
        </w:rPr>
        <w:t>加强培训与交流。加强对相关人员的培训力度，提高其专业技能和综合素质；同时，加强与同行之间的交流与合作，共同推动零碳散粮港口的发展。</w:t>
      </w:r>
    </w:p>
    <w:p w14:paraId="0FD15422">
      <w:pPr>
        <w:autoSpaceDE w:val="0"/>
        <w:autoSpaceDN w:val="0"/>
        <w:adjustRightInd w:val="0"/>
        <w:spacing w:line="588" w:lineRule="exact"/>
        <w:ind w:firstLine="640" w:firstLineChars="0"/>
        <w:rPr>
          <w:rFonts w:ascii="Times New Roman" w:hAnsi="Times New Roman" w:eastAsia="方正黑体_GBK" w:cs="Times New Roman"/>
          <w:sz w:val="30"/>
          <w:szCs w:val="30"/>
        </w:rPr>
      </w:pPr>
      <w:r>
        <w:rPr>
          <w:rFonts w:ascii="Times New Roman" w:hAnsi="Times New Roman" w:eastAsia="方正黑体_GBK" w:cs="Times New Roman"/>
          <w:sz w:val="30"/>
          <w:szCs w:val="30"/>
        </w:rPr>
        <w:t>十、其它需要说明的事项</w:t>
      </w:r>
    </w:p>
    <w:p w14:paraId="133F9510">
      <w:pPr>
        <w:autoSpaceDE w:val="0"/>
        <w:autoSpaceDN w:val="0"/>
        <w:adjustRightInd w:val="0"/>
        <w:spacing w:line="588" w:lineRule="exact"/>
        <w:ind w:firstLine="600" w:firstLineChars="200"/>
        <w:jc w:val="both"/>
        <w:rPr>
          <w:rFonts w:ascii="Times New Roman" w:hAnsi="Times New Roman" w:eastAsia="方正仿宋_GBK" w:cs="Times New Roman"/>
          <w:sz w:val="30"/>
          <w:szCs w:val="30"/>
        </w:rPr>
      </w:pPr>
      <w:r>
        <w:rPr>
          <w:rFonts w:ascii="Times New Roman" w:hAnsi="Times New Roman" w:eastAsia="方正仿宋_GBK" w:cs="Times New Roman"/>
          <w:sz w:val="30"/>
          <w:szCs w:val="30"/>
        </w:rPr>
        <w:t>无。</w:t>
      </w:r>
    </w:p>
    <w:p w14:paraId="68A07237">
      <w:pPr>
        <w:autoSpaceDE w:val="0"/>
        <w:autoSpaceDN w:val="0"/>
        <w:adjustRightInd w:val="0"/>
        <w:spacing w:line="588" w:lineRule="exact"/>
        <w:jc w:val="right"/>
        <w:rPr>
          <w:rFonts w:ascii="Times New Roman" w:hAnsi="Times New Roman" w:eastAsia="方正仿宋_GBK" w:cs="Times New Roman"/>
          <w:sz w:val="30"/>
          <w:szCs w:val="30"/>
        </w:rPr>
      </w:pPr>
      <w:r>
        <w:rPr>
          <w:rFonts w:ascii="Times New Roman" w:hAnsi="Times New Roman" w:eastAsia="方正仿宋_GBK" w:cs="Times New Roman"/>
          <w:sz w:val="30"/>
          <w:szCs w:val="30"/>
        </w:rPr>
        <w:t>标准编制组</w:t>
      </w:r>
    </w:p>
    <w:p w14:paraId="2BDBCBC3">
      <w:pPr>
        <w:autoSpaceDE w:val="0"/>
        <w:autoSpaceDN w:val="0"/>
        <w:adjustRightInd w:val="0"/>
        <w:spacing w:line="588" w:lineRule="exact"/>
        <w:jc w:val="right"/>
        <w:rPr>
          <w:rFonts w:ascii="Times New Roman" w:hAnsi="Times New Roman" w:eastAsia="方正仿宋_GBK" w:cs="Times New Roman"/>
          <w:sz w:val="30"/>
          <w:szCs w:val="30"/>
        </w:rPr>
      </w:pPr>
      <w:r>
        <w:rPr>
          <w:rFonts w:ascii="Times New Roman" w:hAnsi="Times New Roman" w:eastAsia="方正仿宋_GBK" w:cs="Times New Roman"/>
          <w:sz w:val="30"/>
          <w:szCs w:val="30"/>
        </w:rPr>
        <w:t>2026年</w:t>
      </w:r>
      <w:r>
        <w:rPr>
          <w:rFonts w:hint="eastAsia" w:cs="Times New Roman"/>
          <w:sz w:val="30"/>
          <w:szCs w:val="30"/>
          <w:lang w:val="en-US" w:eastAsia="zh-CN"/>
        </w:rPr>
        <w:t>8</w:t>
      </w:r>
      <w:r>
        <w:rPr>
          <w:rFonts w:ascii="Times New Roman" w:hAnsi="Times New Roman" w:eastAsia="方正仿宋_GBK" w:cs="Times New Roman"/>
          <w:sz w:val="30"/>
          <w:szCs w:val="30"/>
        </w:rPr>
        <w:t>月</w:t>
      </w:r>
      <w:r>
        <w:rPr>
          <w:rFonts w:hint="eastAsia" w:cs="Times New Roman"/>
          <w:sz w:val="30"/>
          <w:szCs w:val="30"/>
          <w:lang w:val="en-US" w:eastAsia="zh-CN"/>
        </w:rPr>
        <w:t>10</w:t>
      </w:r>
      <w:r>
        <w:rPr>
          <w:rFonts w:ascii="Times New Roman" w:hAnsi="Times New Roman" w:eastAsia="方正仿宋_GBK" w:cs="Times New Roman"/>
          <w:sz w:val="30"/>
          <w:szCs w:val="30"/>
        </w:rPr>
        <w:t>日</w:t>
      </w:r>
    </w:p>
    <w:p w14:paraId="229BB14A">
      <w:pPr>
        <w:spacing w:line="588" w:lineRule="exact"/>
        <w:rPr>
          <w:rFonts w:ascii="Times New Roman" w:hAnsi="Times New Roman" w:eastAsia="方正仿宋_GBK" w:cs="Times New Roman"/>
          <w:sz w:val="30"/>
          <w:szCs w:val="30"/>
        </w:rPr>
      </w:pPr>
    </w:p>
    <w:sectPr>
      <w:pgSz w:w="11906" w:h="16838"/>
      <w:pgMar w:top="1985" w:right="1588" w:bottom="1701" w:left="1588"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auto"/>
    <w:pitch w:val="default"/>
    <w:sig w:usb0="00000001" w:usb1="080E0000" w:usb2="00000000" w:usb3="00000000" w:csb0="00040000" w:csb1="00000000"/>
    <w:embedRegular r:id="rId1" w:fontKey="{36426455-580A-4F20-8FFD-9580F685942C}"/>
  </w:font>
  <w:font w:name="方正小标宋_GBK">
    <w:panose1 w:val="02000000000000000000"/>
    <w:charset w:val="86"/>
    <w:family w:val="auto"/>
    <w:pitch w:val="default"/>
    <w:sig w:usb0="00000001" w:usb1="080E0000" w:usb2="00000000" w:usb3="00000000" w:csb0="00040000" w:csb1="00000000"/>
    <w:embedRegular r:id="rId2" w:fontKey="{352193D9-2B9E-411F-88E5-EE66683752F1}"/>
  </w:font>
  <w:font w:name="方正黑体_GBK">
    <w:panose1 w:val="03000509000000000000"/>
    <w:charset w:val="86"/>
    <w:family w:val="auto"/>
    <w:pitch w:val="default"/>
    <w:sig w:usb0="00000001" w:usb1="080E0000" w:usb2="00000000" w:usb3="00000000" w:csb0="00040000" w:csb1="00000000"/>
    <w:embedRegular r:id="rId3" w:fontKey="{702D66AB-3734-4AA8-9C0E-C9D6D689A025}"/>
  </w:font>
  <w:font w:name="方正楷体_GBK">
    <w:panose1 w:val="03000509000000000000"/>
    <w:charset w:val="86"/>
    <w:family w:val="auto"/>
    <w:pitch w:val="default"/>
    <w:sig w:usb0="00000001" w:usb1="080E0000" w:usb2="00000000" w:usb3="00000000" w:csb0="00040000" w:csb1="00000000"/>
    <w:embedRegular r:id="rId4" w:fontKey="{F93FB5DB-C152-4CA0-9E59-D08D5792ACD1}"/>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trackRevisions w:val="1"/>
  <w:documentProtection w:enforcement="0"/>
  <w:displayHorizontalDrawingGridEvery w:val="1"/>
  <w:displayVerticalDrawingGridEvery w:val="1"/>
  <w:noPunctuationKerning w:val="1"/>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976BAC"/>
    <w:rsid w:val="205C6411"/>
    <w:rsid w:val="206859B7"/>
    <w:rsid w:val="55FD4F55"/>
    <w:rsid w:val="705F694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88" w:lineRule="exact"/>
    </w:pPr>
    <w:rPr>
      <w:rFonts w:ascii="Times New Roman" w:hAnsi="Times New Roman" w:eastAsia="方正仿宋_GBK" w:cs="Times New Roman"/>
      <w:sz w:val="30"/>
      <w:szCs w:val="30"/>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4009</Words>
  <Characters>4221</Characters>
  <TotalTime>0</TotalTime>
  <ScaleCrop>false</ScaleCrop>
  <LinksUpToDate>false</LinksUpToDate>
  <CharactersWithSpaces>4285</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2026-08-10T02:59:00Z</dcterms:created>
  <dc:creator>Admin</dc:creator>
  <cp:lastModifiedBy>王珏旻</cp:lastModifiedBy>
  <dcterms:modified xsi:type="dcterms:W3CDTF">2026-08-26T07:08:48Z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eyJoZGlkIjoiMmEyMzZkODUzM2ZlNWNmY2Y1YjNjZjcxYjk1ODJjYTciLCJ1c2VySWQiOiIzODk1NjY5ODUifQ==</vt:lpwstr>
  </property>
  <property fmtid="{D5CDD505-2E9C-101B-9397-08002B2CF9AE}" pid="3" name="KSOProductBuildVer">
    <vt:lpwstr>2052-12.1.0.28043</vt:lpwstr>
  </property>
  <property fmtid="{D5CDD505-2E9C-101B-9397-08002B2CF9AE}" pid="4" name="ICV">
    <vt:lpwstr>456D52D6F4434530A3C55679AD741A8C_13</vt:lpwstr>
  </property>
</Properties>
</file>