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33B9AB">
      <w:pPr>
        <w:pBdr>
          <w:top w:val="none" w:color="auto" w:sz="0" w:space="1"/>
          <w:left w:val="none" w:color="auto" w:sz="0" w:space="4"/>
          <w:bottom w:val="none" w:color="auto" w:sz="0" w:space="1"/>
          <w:right w:val="none" w:color="auto" w:sz="0" w:space="4"/>
        </w:pBdr>
        <w:wordWrap w:val="0"/>
        <w:jc w:val="right"/>
        <w:rPr>
          <w:rFonts w:hint="eastAsia" w:ascii="黑体" w:hAnsi="黑体" w:eastAsia="黑体" w:cs="黑体"/>
          <w:spacing w:val="750"/>
          <w:kern w:val="0"/>
          <w:lang w:eastAsia="zh-CN"/>
        </w:rPr>
      </w:pPr>
      <w:r>
        <w:rPr>
          <w:rFonts w:hint="eastAsia" w:ascii="黑体" w:hAnsi="黑体" w:eastAsia="黑体" w:cs="黑体"/>
          <w:spacing w:val="750"/>
          <w:kern w:val="0"/>
        </w:rPr>
        <w:t xml:space="preserve"> </w:t>
      </w:r>
    </w:p>
    <w:p w14:paraId="0E33B9AC">
      <w:pPr>
        <w:jc w:val="right"/>
        <w:rPr>
          <w:rFonts w:hint="eastAsia" w:ascii="黑体" w:hAnsi="黑体" w:eastAsia="黑体" w:cs="黑体"/>
          <w:kern w:val="0"/>
        </w:rPr>
      </w:pPr>
      <w:r>
        <w:drawing>
          <wp:inline distT="0" distB="0" distL="114300" distR="114300">
            <wp:extent cx="744855" cy="759460"/>
            <wp:effectExtent l="0" t="0" r="762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extLst>
                        <a:ext uri="{28A0092B-C50C-407E-A947-70E740481C1C}">
                          <a14:useLocalDpi xmlns:a14="http://schemas.microsoft.com/office/drawing/2010/main" val="0"/>
                        </a:ext>
                      </a:extLst>
                    </a:blip>
                    <a:srcRect l="18647" t="14169" r="77054" b="78038"/>
                    <a:stretch>
                      <a:fillRect/>
                    </a:stretch>
                  </pic:blipFill>
                  <pic:spPr>
                    <a:xfrm>
                      <a:off x="0" y="0"/>
                      <a:ext cx="744855" cy="759460"/>
                    </a:xfrm>
                    <a:prstGeom prst="rect">
                      <a:avLst/>
                    </a:prstGeom>
                    <a:ln>
                      <a:noFill/>
                    </a:ln>
                  </pic:spPr>
                </pic:pic>
              </a:graphicData>
            </a:graphic>
          </wp:inline>
        </w:drawing>
      </w:r>
    </w:p>
    <w:p w14:paraId="0E33B9AD">
      <w:pPr>
        <w:jc w:val="right"/>
        <w:rPr>
          <w:rFonts w:ascii="Times New Roman" w:hAnsi="Times New Roman" w:eastAsia="微软雅黑" w:cs="Times New Roman"/>
          <w:b/>
          <w:sz w:val="28"/>
          <w:szCs w:val="28"/>
        </w:rPr>
      </w:pPr>
      <w:r>
        <w:rPr>
          <w:rFonts w:hint="eastAsia" w:ascii="Times New Roman" w:hAnsi="Times New Roman" w:eastAsia="方正小标宋简体" w:cs="Times New Roman"/>
          <w:spacing w:val="240"/>
          <w:kern w:val="0"/>
          <w:sz w:val="72"/>
          <w:szCs w:val="72"/>
          <w:fitText w:val="9360" w:id="1328446230"/>
        </w:rPr>
        <w:t>团</w:t>
      </w:r>
      <w:r>
        <w:rPr>
          <w:rFonts w:ascii="Times New Roman" w:hAnsi="Times New Roman" w:eastAsia="方正小标宋简体" w:cs="Times New Roman"/>
          <w:spacing w:val="240"/>
          <w:kern w:val="0"/>
          <w:sz w:val="72"/>
          <w:szCs w:val="72"/>
          <w:fitText w:val="9360" w:id="1328446230"/>
        </w:rPr>
        <w:t xml:space="preserve">  </w:t>
      </w:r>
      <w:r>
        <w:rPr>
          <w:rFonts w:hint="eastAsia" w:ascii="Times New Roman" w:hAnsi="Times New Roman" w:eastAsia="方正小标宋简体" w:cs="Times New Roman"/>
          <w:spacing w:val="240"/>
          <w:kern w:val="0"/>
          <w:sz w:val="72"/>
          <w:szCs w:val="72"/>
          <w:fitText w:val="9360" w:id="1328446230"/>
        </w:rPr>
        <w:t>体</w:t>
      </w:r>
      <w:r>
        <w:rPr>
          <w:rFonts w:ascii="Times New Roman" w:hAnsi="Times New Roman" w:eastAsia="方正小标宋简体" w:cs="Times New Roman"/>
          <w:spacing w:val="240"/>
          <w:kern w:val="0"/>
          <w:sz w:val="72"/>
          <w:szCs w:val="72"/>
          <w:fitText w:val="9360" w:id="1328446230"/>
        </w:rPr>
        <w:t xml:space="preserve">  </w:t>
      </w:r>
      <w:r>
        <w:rPr>
          <w:rFonts w:hint="eastAsia" w:ascii="Times New Roman" w:hAnsi="Times New Roman" w:eastAsia="方正小标宋简体" w:cs="Times New Roman"/>
          <w:spacing w:val="240"/>
          <w:kern w:val="0"/>
          <w:sz w:val="72"/>
          <w:szCs w:val="72"/>
          <w:fitText w:val="9360" w:id="1328446230"/>
        </w:rPr>
        <w:t>标</w:t>
      </w:r>
      <w:r>
        <w:rPr>
          <w:rFonts w:ascii="Times New Roman" w:hAnsi="Times New Roman" w:eastAsia="方正小标宋简体" w:cs="Times New Roman"/>
          <w:spacing w:val="240"/>
          <w:kern w:val="0"/>
          <w:sz w:val="72"/>
          <w:szCs w:val="72"/>
          <w:fitText w:val="9360" w:id="1328446230"/>
        </w:rPr>
        <w:t xml:space="preserve">  </w:t>
      </w:r>
      <w:r>
        <w:rPr>
          <w:rFonts w:hint="eastAsia" w:ascii="Times New Roman" w:hAnsi="Times New Roman" w:eastAsia="方正小标宋简体" w:cs="Times New Roman"/>
          <w:spacing w:val="0"/>
          <w:kern w:val="0"/>
          <w:sz w:val="72"/>
          <w:szCs w:val="72"/>
          <w:fitText w:val="9360" w:id="1328446230"/>
        </w:rPr>
        <w:t>准</w:t>
      </w:r>
      <w:bookmarkStart w:id="0" w:name="_Hlk203494660"/>
      <w:r>
        <w:rPr>
          <w:rFonts w:ascii="Times New Roman" w:hAnsi="Times New Roman" w:eastAsia="方正小标宋简体" w:cs="Times New Roman"/>
          <w:b/>
          <w:spacing w:val="6"/>
          <w:sz w:val="28"/>
          <w:szCs w:val="28"/>
        </w:rPr>
        <w:t>T/CECA-</w:t>
      </w:r>
      <w:r>
        <w:rPr>
          <w:rFonts w:hint="eastAsia" w:ascii="Times New Roman" w:hAnsi="Times New Roman" w:eastAsia="方正小标宋简体" w:cs="Times New Roman"/>
          <w:b/>
          <w:spacing w:val="6"/>
          <w:sz w:val="28"/>
          <w:szCs w:val="28"/>
        </w:rPr>
        <w:t>G XXXX</w:t>
      </w:r>
      <w:r>
        <w:rPr>
          <w:rFonts w:ascii="Times New Roman" w:hAnsi="Times New Roman" w:eastAsia="微软雅黑" w:cs="Times New Roman"/>
          <w:b/>
          <w:spacing w:val="6"/>
          <w:sz w:val="28"/>
          <w:szCs w:val="28"/>
        </w:rPr>
        <w:t>—20</w:t>
      </w:r>
      <w:bookmarkEnd w:id="0"/>
      <w:r>
        <w:rPr>
          <w:rFonts w:hint="eastAsia" w:ascii="Times New Roman" w:hAnsi="Times New Roman" w:eastAsia="微软雅黑" w:cs="Times New Roman"/>
          <w:b/>
          <w:spacing w:val="6"/>
          <w:sz w:val="28"/>
          <w:szCs w:val="28"/>
        </w:rPr>
        <w:t>XX</w:t>
      </w:r>
    </w:p>
    <w:p w14:paraId="0E33B9AE">
      <w:pPr>
        <w:rPr>
          <w:rFonts w:hint="eastAsia" w:ascii="黑体" w:hAnsi="黑体" w:eastAsia="黑体" w:cs="黑体"/>
          <w:sz w:val="48"/>
          <w:szCs w:val="48"/>
        </w:rPr>
      </w:pPr>
      <w:r>
        <w:rPr>
          <w:rFonts w:hint="eastAsia" w:ascii="黑体" w:hAnsi="黑体" w:eastAsia="黑体" w:cs="黑体"/>
          <w:sz w:val="48"/>
          <w:szCs w:val="48"/>
        </w:rPr>
        <mc:AlternateContent>
          <mc:Choice Requires="wps">
            <w:drawing>
              <wp:anchor distT="0" distB="0" distL="114300" distR="114300" simplePos="0" relativeHeight="251664384" behindDoc="0" locked="0" layoutInCell="1" allowOverlap="1">
                <wp:simplePos x="0" y="0"/>
                <wp:positionH relativeFrom="column">
                  <wp:posOffset>-102870</wp:posOffset>
                </wp:positionH>
                <wp:positionV relativeFrom="paragraph">
                  <wp:posOffset>12700</wp:posOffset>
                </wp:positionV>
                <wp:extent cx="6098540" cy="0"/>
                <wp:effectExtent l="0" t="4445" r="6985" b="5080"/>
                <wp:wrapNone/>
                <wp:docPr id="2" name="自选图形 2"/>
                <wp:cNvGraphicFramePr/>
                <a:graphic xmlns:a="http://schemas.openxmlformats.org/drawingml/2006/main">
                  <a:graphicData uri="http://schemas.microsoft.com/office/word/2010/wordprocessingShape">
                    <wps:wsp>
                      <wps:cNvCnPr/>
                      <wps:spPr>
                        <a:xfrm>
                          <a:off x="0" y="0"/>
                          <a:ext cx="609854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2" o:spid="_x0000_s1026" o:spt="32" type="#_x0000_t32" style="position:absolute;left:0pt;margin-left:-8.1pt;margin-top:1pt;height:0pt;width:480.2pt;z-index:251664384;mso-width-relative:page;mso-height-relative:page;" filled="f" stroked="t" coordsize="21600,21600" o:gfxdata="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kzi9e1AAAAAcBAAAPAAAAAAAAAAEAIAAAACIAAABkcnMvZG93bnJldi54bWxQSwECFAAU&#10;AAAACACHTuJAfaGjefUBAADjAwAADgAAAAAAAAABACAAAAAjAQAAZHJzL2Uyb0RvYy54bWxQSwUG&#10;AAAAAAYABgBZAQAAigUAAAAA&#10;">
                <v:fill on="f" focussize="0,0"/>
                <v:stroke color="#000000" joinstyle="round"/>
                <v:imagedata o:title=""/>
                <o:lock v:ext="edit" aspectratio="f"/>
              </v:shape>
            </w:pict>
          </mc:Fallback>
        </mc:AlternateContent>
      </w:r>
    </w:p>
    <w:p w14:paraId="0E33B9AF">
      <w:pPr>
        <w:rPr>
          <w:rFonts w:hint="eastAsia" w:ascii="黑体" w:hAnsi="黑体" w:eastAsia="黑体" w:cs="黑体"/>
          <w:sz w:val="48"/>
          <w:szCs w:val="48"/>
        </w:rPr>
      </w:pPr>
    </w:p>
    <w:p w14:paraId="0E33B9B0">
      <w:pPr>
        <w:rPr>
          <w:rFonts w:hint="eastAsia" w:ascii="黑体" w:hAnsi="黑体" w:eastAsia="黑体" w:cs="黑体"/>
          <w:sz w:val="48"/>
          <w:szCs w:val="48"/>
        </w:rPr>
      </w:pPr>
    </w:p>
    <w:p w14:paraId="0E33B9B1">
      <w:pPr>
        <w:rPr>
          <w:rFonts w:hint="eastAsia" w:ascii="黑体" w:hAnsi="黑体" w:eastAsia="黑体" w:cs="黑体"/>
          <w:sz w:val="48"/>
          <w:szCs w:val="48"/>
        </w:rPr>
      </w:pPr>
    </w:p>
    <w:p w14:paraId="0E33B9B2">
      <w:pPr>
        <w:widowControl/>
        <w:spacing w:before="156" w:beforeLines="50" w:line="360" w:lineRule="auto"/>
        <w:jc w:val="center"/>
        <w:rPr>
          <w:rFonts w:hint="eastAsia" w:ascii="Times New Roman" w:hAnsi="Times New Roman" w:eastAsia="黑体" w:cs="Times New Roman"/>
          <w:bCs/>
          <w:sz w:val="52"/>
          <w:szCs w:val="52"/>
          <w:lang w:val="en-US" w:eastAsia="zh-CN"/>
        </w:rPr>
      </w:pPr>
      <w:r>
        <w:rPr>
          <w:rFonts w:ascii="Times New Roman" w:hAnsi="Times New Roman" w:eastAsia="黑体" w:cs="Times New Roman"/>
          <w:bCs/>
          <w:sz w:val="52"/>
          <w:szCs w:val="52"/>
        </w:rPr>
        <w:t>T梁工业化建造碳排放核算</w:t>
      </w:r>
      <w:r>
        <w:rPr>
          <w:rFonts w:hint="eastAsia" w:ascii="Times New Roman" w:hAnsi="Times New Roman" w:eastAsia="黑体" w:cs="Times New Roman"/>
          <w:bCs/>
          <w:sz w:val="52"/>
          <w:szCs w:val="52"/>
          <w:lang w:val="en-US" w:eastAsia="zh-CN"/>
        </w:rPr>
        <w:t>方法</w:t>
      </w:r>
    </w:p>
    <w:p w14:paraId="0E33B9B3">
      <w:pPr>
        <w:widowControl/>
        <w:spacing w:before="156" w:beforeLines="50" w:line="360" w:lineRule="auto"/>
        <w:jc w:val="center"/>
        <w:rPr>
          <w:rFonts w:ascii="Times New Roman" w:hAnsi="Times New Roman" w:eastAsia="黑体" w:cs="Times New Roman"/>
          <w:bCs/>
          <w:sz w:val="28"/>
          <w:szCs w:val="28"/>
        </w:rPr>
      </w:pPr>
      <w:r>
        <w:rPr>
          <w:rFonts w:hint="eastAsia" w:ascii="Times New Roman" w:hAnsi="Times New Roman" w:eastAsia="黑体" w:cs="Times New Roman"/>
          <w:bCs/>
          <w:sz w:val="28"/>
          <w:szCs w:val="28"/>
        </w:rPr>
        <w:t xml:space="preserve">Carbon emission accounting </w:t>
      </w:r>
      <w:r>
        <w:rPr>
          <w:rFonts w:hint="eastAsia" w:ascii="Times New Roman" w:hAnsi="Times New Roman" w:eastAsia="黑体" w:cs="Times New Roman"/>
          <w:bCs/>
          <w:sz w:val="28"/>
          <w:szCs w:val="28"/>
          <w:lang w:val="en-US" w:eastAsia="zh-CN"/>
        </w:rPr>
        <w:t>m</w:t>
      </w:r>
      <w:r>
        <w:rPr>
          <w:rFonts w:hint="eastAsia" w:ascii="Times New Roman" w:hAnsi="Times New Roman" w:eastAsia="黑体" w:cs="Times New Roman"/>
          <w:bCs/>
          <w:sz w:val="28"/>
          <w:szCs w:val="28"/>
        </w:rPr>
        <w:t>ethod</w:t>
      </w:r>
      <w:r>
        <w:rPr>
          <w:rFonts w:hint="eastAsia" w:ascii="Times New Roman" w:hAnsi="Times New Roman" w:eastAsia="黑体" w:cs="Times New Roman"/>
          <w:bCs/>
          <w:sz w:val="28"/>
          <w:szCs w:val="28"/>
          <w:lang w:val="en-US" w:eastAsia="zh-CN"/>
        </w:rPr>
        <w:t xml:space="preserve"> </w:t>
      </w:r>
      <w:r>
        <w:rPr>
          <w:rFonts w:hint="eastAsia" w:ascii="Times New Roman" w:hAnsi="Times New Roman" w:eastAsia="黑体" w:cs="Times New Roman"/>
          <w:bCs/>
          <w:sz w:val="28"/>
          <w:szCs w:val="28"/>
        </w:rPr>
        <w:t>for industrialized construction of T-beams</w:t>
      </w:r>
    </w:p>
    <w:p w14:paraId="0E33B9B4">
      <w:pPr>
        <w:widowControl/>
        <w:spacing w:before="156" w:beforeLines="50" w:line="360" w:lineRule="auto"/>
        <w:jc w:val="center"/>
        <w:rPr>
          <w:rFonts w:hint="eastAsia" w:ascii="宋体" w:hAnsi="宋体" w:eastAsia="宋体" w:cs="宋体"/>
          <w:bCs/>
          <w:color w:val="000000" w:themeColor="text1"/>
          <w:sz w:val="28"/>
          <w:szCs w:val="28"/>
          <w14:textFill>
            <w14:solidFill>
              <w14:schemeClr w14:val="tx1"/>
            </w14:solidFill>
          </w14:textFill>
        </w:rPr>
      </w:pPr>
      <w:r>
        <w:rPr>
          <w:rFonts w:hint="eastAsia" w:ascii="宋体" w:hAnsi="宋体" w:eastAsia="宋体" w:cs="宋体"/>
          <w:bCs/>
          <w:color w:val="000000" w:themeColor="text1"/>
          <w:sz w:val="28"/>
          <w:szCs w:val="28"/>
          <w14:textFill>
            <w14:solidFill>
              <w14:schemeClr w14:val="tx1"/>
            </w14:solidFill>
          </w14:textFill>
        </w:rPr>
        <w:t>（</w:t>
      </w:r>
      <w:r>
        <w:rPr>
          <w:rFonts w:hint="eastAsia" w:ascii="宋体" w:hAnsi="宋体" w:eastAsia="宋体" w:cs="宋体"/>
          <w:bCs/>
          <w:color w:val="000000" w:themeColor="text1"/>
          <w:sz w:val="28"/>
          <w:szCs w:val="28"/>
          <w:lang w:val="en-US" w:eastAsia="zh-CN"/>
          <w14:textFill>
            <w14:solidFill>
              <w14:schemeClr w14:val="tx1"/>
            </w14:solidFill>
          </w14:textFill>
        </w:rPr>
        <w:t>征求意见稿</w:t>
      </w:r>
      <w:r>
        <w:rPr>
          <w:rFonts w:hint="eastAsia" w:ascii="宋体" w:hAnsi="宋体" w:eastAsia="宋体" w:cs="宋体"/>
          <w:bCs/>
          <w:color w:val="000000" w:themeColor="text1"/>
          <w:sz w:val="28"/>
          <w:szCs w:val="28"/>
          <w14:textFill>
            <w14:solidFill>
              <w14:schemeClr w14:val="tx1"/>
            </w14:solidFill>
          </w14:textFill>
        </w:rPr>
        <w:t>）</w:t>
      </w:r>
    </w:p>
    <w:p w14:paraId="0E33B9B5">
      <w:pPr>
        <w:spacing w:before="156" w:beforeLines="50" w:after="156" w:afterLines="50" w:line="360" w:lineRule="auto"/>
        <w:jc w:val="center"/>
        <w:rPr>
          <w:rFonts w:ascii="Times New Roman" w:hAnsi="Times New Roman" w:cs="Times New Roman"/>
        </w:rPr>
      </w:pPr>
    </w:p>
    <w:p w14:paraId="0E33B9B6">
      <w:pPr>
        <w:spacing w:before="156" w:beforeLines="50" w:after="156" w:afterLines="50" w:line="360" w:lineRule="auto"/>
        <w:rPr>
          <w:rFonts w:ascii="Times New Roman" w:hAnsi="Times New Roman" w:eastAsia="黑体" w:cs="Times New Roman"/>
          <w:sz w:val="24"/>
          <w:szCs w:val="24"/>
        </w:rPr>
      </w:pPr>
    </w:p>
    <w:p w14:paraId="0E33B9B7">
      <w:pPr>
        <w:rPr>
          <w:rFonts w:ascii="Times New Roman" w:hAnsi="Times New Roman" w:cs="Times New Roman"/>
        </w:rPr>
      </w:pPr>
    </w:p>
    <w:p w14:paraId="0E33B9B8">
      <w:pPr>
        <w:rPr>
          <w:rFonts w:ascii="Times New Roman" w:hAnsi="Times New Roman" w:cs="Times New Roman"/>
        </w:rPr>
      </w:pPr>
    </w:p>
    <w:p w14:paraId="0E33B9B9">
      <w:pPr>
        <w:rPr>
          <w:rFonts w:ascii="Times New Roman" w:hAnsi="Times New Roman" w:cs="Times New Roman"/>
        </w:rPr>
      </w:pPr>
    </w:p>
    <w:p w14:paraId="0E33B9BA">
      <w:pPr>
        <w:adjustRightInd w:val="0"/>
        <w:snapToGrid w:val="0"/>
        <w:rPr>
          <w:rFonts w:ascii="Times New Roman" w:hAnsi="Times New Roman" w:cs="Times New Roman"/>
        </w:rPr>
      </w:pPr>
    </w:p>
    <w:p w14:paraId="0E33B9BB">
      <w:pPr>
        <w:adjustRightInd w:val="0"/>
        <w:snapToGrid w:val="0"/>
        <w:rPr>
          <w:rFonts w:ascii="Times New Roman" w:hAnsi="Times New Roman" w:cs="Times New Roman"/>
        </w:rPr>
      </w:pPr>
    </w:p>
    <w:p w14:paraId="0E33B9BC">
      <w:pPr>
        <w:adjustRightInd w:val="0"/>
        <w:snapToGrid w:val="0"/>
        <w:rPr>
          <w:rFonts w:ascii="Times New Roman" w:hAnsi="Times New Roman" w:cs="Times New Roman"/>
        </w:rPr>
      </w:pPr>
    </w:p>
    <w:p w14:paraId="0E33B9BD">
      <w:pPr>
        <w:adjustRightInd w:val="0"/>
        <w:snapToGrid w:val="0"/>
        <w:rPr>
          <w:rFonts w:ascii="Times New Roman" w:hAnsi="Times New Roman" w:cs="Times New Roman"/>
        </w:rPr>
      </w:pPr>
    </w:p>
    <w:p w14:paraId="0E33B9BE">
      <w:pPr>
        <w:adjustRightInd w:val="0"/>
        <w:snapToGrid w:val="0"/>
        <w:rPr>
          <w:rFonts w:ascii="Times New Roman" w:hAnsi="Times New Roman" w:cs="Times New Roman"/>
        </w:rPr>
      </w:pPr>
    </w:p>
    <w:p w14:paraId="0E33B9BF">
      <w:pPr>
        <w:adjustRightInd w:val="0"/>
        <w:snapToGrid w:val="0"/>
        <w:rPr>
          <w:rFonts w:ascii="Times New Roman" w:hAnsi="Times New Roman" w:cs="Times New Roman"/>
        </w:rPr>
      </w:pPr>
    </w:p>
    <w:p w14:paraId="6EF3EE5B">
      <w:pPr>
        <w:jc w:val="center"/>
        <w:rPr>
          <w:rFonts w:hint="eastAsia" w:ascii="微软雅黑" w:hAnsi="微软雅黑" w:eastAsia="微软雅黑" w:cs="Times New Roman"/>
          <w:spacing w:val="6"/>
          <w:sz w:val="28"/>
          <w:szCs w:val="28"/>
          <w:highlight w:val="none"/>
        </w:rPr>
      </w:pPr>
      <w:r>
        <w:rPr>
          <w:rFonts w:hint="eastAsia" w:ascii="微软雅黑" w:hAnsi="微软雅黑" w:eastAsia="微软雅黑" w:cs="Times New Roman"/>
          <w:spacing w:val="6"/>
          <w:sz w:val="28"/>
          <w:szCs w:val="28"/>
          <w:highlight w:val="none"/>
        </w:rPr>
        <w:t>202</w:t>
      </w:r>
      <w:r>
        <w:rPr>
          <w:rFonts w:hint="eastAsia" w:ascii="微软雅黑" w:hAnsi="微软雅黑" w:eastAsia="微软雅黑" w:cs="Times New Roman"/>
          <w:spacing w:val="6"/>
          <w:sz w:val="28"/>
          <w:szCs w:val="28"/>
          <w:highlight w:val="none"/>
          <w:lang w:val="en-US" w:eastAsia="zh-CN"/>
        </w:rPr>
        <w:t>6</w:t>
      </w:r>
      <w:r>
        <w:rPr>
          <w:rFonts w:hint="eastAsia" w:ascii="微软雅黑" w:hAnsi="微软雅黑" w:eastAsia="微软雅黑" w:cs="Times New Roman"/>
          <w:spacing w:val="6"/>
          <w:sz w:val="28"/>
          <w:szCs w:val="28"/>
          <w:highlight w:val="none"/>
        </w:rPr>
        <w:t>-</w:t>
      </w:r>
      <w:r>
        <w:rPr>
          <w:rFonts w:hint="eastAsia" w:ascii="微软雅黑" w:hAnsi="微软雅黑" w:eastAsia="微软雅黑" w:cs="Times New Roman"/>
          <w:spacing w:val="6"/>
          <w:sz w:val="28"/>
          <w:szCs w:val="28"/>
          <w:highlight w:val="none"/>
          <w:lang w:val="en-US" w:eastAsia="zh-CN"/>
        </w:rPr>
        <w:t>XX</w:t>
      </w:r>
      <w:r>
        <w:rPr>
          <w:rFonts w:hint="eastAsia" w:ascii="微软雅黑" w:hAnsi="微软雅黑" w:eastAsia="微软雅黑" w:cs="Times New Roman"/>
          <w:spacing w:val="6"/>
          <w:sz w:val="28"/>
          <w:szCs w:val="28"/>
          <w:highlight w:val="none"/>
        </w:rPr>
        <w:t>-</w:t>
      </w:r>
      <w:r>
        <w:rPr>
          <w:rFonts w:hint="eastAsia" w:ascii="微软雅黑" w:hAnsi="微软雅黑" w:eastAsia="微软雅黑" w:cs="Times New Roman"/>
          <w:spacing w:val="6"/>
          <w:sz w:val="28"/>
          <w:szCs w:val="28"/>
          <w:highlight w:val="none"/>
          <w:lang w:val="en-US" w:eastAsia="zh-CN"/>
        </w:rPr>
        <w:t>XX</w:t>
      </w:r>
      <w:r>
        <w:rPr>
          <w:rFonts w:hint="eastAsia" w:ascii="微软雅黑" w:hAnsi="微软雅黑" w:eastAsia="微软雅黑" w:cs="Times New Roman"/>
          <w:spacing w:val="6"/>
          <w:sz w:val="28"/>
          <w:szCs w:val="28"/>
          <w:highlight w:val="none"/>
        </w:rPr>
        <w:t xml:space="preserve"> 发布                           202</w:t>
      </w:r>
      <w:r>
        <w:rPr>
          <w:rFonts w:hint="eastAsia" w:ascii="微软雅黑" w:hAnsi="微软雅黑" w:eastAsia="微软雅黑" w:cs="Times New Roman"/>
          <w:spacing w:val="6"/>
          <w:sz w:val="28"/>
          <w:szCs w:val="28"/>
          <w:highlight w:val="none"/>
          <w:lang w:val="en-US" w:eastAsia="zh-CN"/>
        </w:rPr>
        <w:t>6</w:t>
      </w:r>
      <w:r>
        <w:rPr>
          <w:rFonts w:hint="eastAsia" w:ascii="微软雅黑" w:hAnsi="微软雅黑" w:eastAsia="微软雅黑" w:cs="Times New Roman"/>
          <w:spacing w:val="6"/>
          <w:sz w:val="28"/>
          <w:szCs w:val="28"/>
          <w:highlight w:val="none"/>
        </w:rPr>
        <w:t>-</w:t>
      </w:r>
      <w:r>
        <w:rPr>
          <w:rFonts w:hint="eastAsia" w:ascii="微软雅黑" w:hAnsi="微软雅黑" w:eastAsia="微软雅黑" w:cs="Times New Roman"/>
          <w:spacing w:val="6"/>
          <w:sz w:val="28"/>
          <w:szCs w:val="28"/>
          <w:highlight w:val="none"/>
          <w:lang w:val="en-US" w:eastAsia="zh-CN"/>
        </w:rPr>
        <w:t>XX</w:t>
      </w:r>
      <w:r>
        <w:rPr>
          <w:rFonts w:hint="eastAsia" w:ascii="微软雅黑" w:hAnsi="微软雅黑" w:eastAsia="微软雅黑" w:cs="Times New Roman"/>
          <w:spacing w:val="6"/>
          <w:sz w:val="28"/>
          <w:szCs w:val="28"/>
          <w:highlight w:val="none"/>
        </w:rPr>
        <w:t>-</w:t>
      </w:r>
      <w:r>
        <w:rPr>
          <w:rFonts w:hint="eastAsia" w:ascii="微软雅黑" w:hAnsi="微软雅黑" w:eastAsia="微软雅黑" w:cs="Times New Roman"/>
          <w:spacing w:val="6"/>
          <w:sz w:val="28"/>
          <w:szCs w:val="28"/>
          <w:highlight w:val="none"/>
          <w:lang w:val="en-US" w:eastAsia="zh-CN"/>
        </w:rPr>
        <w:t>XX</w:t>
      </w:r>
      <w:r>
        <w:rPr>
          <w:rFonts w:hint="eastAsia" w:ascii="微软雅黑" w:hAnsi="微软雅黑" w:eastAsia="微软雅黑" w:cs="Times New Roman"/>
          <w:spacing w:val="6"/>
          <w:sz w:val="28"/>
          <w:szCs w:val="28"/>
          <w:highlight w:val="none"/>
        </w:rPr>
        <w:t xml:space="preserve"> 实施</w:t>
      </w:r>
    </w:p>
    <w:p w14:paraId="0E33B9C1">
      <w:pPr>
        <w:adjustRightInd w:val="0"/>
        <w:snapToGrid w:val="0"/>
        <w:spacing w:before="312" w:beforeLines="100"/>
        <w:jc w:val="center"/>
        <w:rPr>
          <w:rFonts w:ascii="Times New Roman" w:hAnsi="Times New Roman" w:eastAsia="方正小标宋简体" w:cs="Times New Roman"/>
          <w:sz w:val="2"/>
          <w:szCs w:val="2"/>
        </w:rPr>
      </w:pPr>
      <w:r>
        <w:rPr>
          <w:rFonts w:ascii="Times New Roman" w:hAnsi="Times New Roman" w:eastAsia="方正小标宋简体" w:cs="Times New Roman"/>
          <w:sz w:val="52"/>
          <w:szCs w:val="52"/>
        </w:rPr>
        <mc:AlternateContent>
          <mc:Choice Requires="wps">
            <w:drawing>
              <wp:anchor distT="0" distB="0" distL="114300" distR="114300" simplePos="0" relativeHeight="251665408" behindDoc="0" locked="0" layoutInCell="1" allowOverlap="1">
                <wp:simplePos x="0" y="0"/>
                <wp:positionH relativeFrom="column">
                  <wp:posOffset>-59690</wp:posOffset>
                </wp:positionH>
                <wp:positionV relativeFrom="paragraph">
                  <wp:posOffset>44450</wp:posOffset>
                </wp:positionV>
                <wp:extent cx="5874385" cy="0"/>
                <wp:effectExtent l="0" t="9525" r="2540" b="9525"/>
                <wp:wrapNone/>
                <wp:docPr id="3" name="自选图形 3"/>
                <wp:cNvGraphicFramePr/>
                <a:graphic xmlns:a="http://schemas.openxmlformats.org/drawingml/2006/main">
                  <a:graphicData uri="http://schemas.microsoft.com/office/word/2010/wordprocessingShape">
                    <wps:wsp>
                      <wps:cNvCnPr/>
                      <wps:spPr>
                        <a:xfrm>
                          <a:off x="0" y="0"/>
                          <a:ext cx="5874385" cy="0"/>
                        </a:xfrm>
                        <a:prstGeom prst="straightConnector1">
                          <a:avLst/>
                        </a:prstGeom>
                        <a:ln w="19050" cap="flat" cmpd="sng">
                          <a:solidFill>
                            <a:srgbClr val="000000"/>
                          </a:solidFill>
                          <a:prstDash val="solid"/>
                          <a:headEnd type="none" w="med" len="med"/>
                          <a:tailEnd type="none" w="med" len="med"/>
                        </a:ln>
                      </wps:spPr>
                      <wps:bodyPr/>
                    </wps:wsp>
                  </a:graphicData>
                </a:graphic>
              </wp:anchor>
            </w:drawing>
          </mc:Choice>
          <mc:Fallback>
            <w:pict>
              <v:shape id="自选图形 3" o:spid="_x0000_s1026" o:spt="32" type="#_x0000_t32" style="position:absolute;left:0pt;margin-left:-4.7pt;margin-top:3.5pt;height:0pt;width:462.55pt;z-index:251665408;mso-width-relative:page;mso-height-relative:page;" filled="f" stroked="t" coordsize="21600,21600" o:gfxdata="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z/iZb0gAAAAYBAAAPAAAAAAAAAAEAIAAAACIAAABkcnMvZG93bnJldi54bWxQSwECFAAU&#10;AAAACACHTuJAht8zBfcBAADkAwAADgAAAAAAAAABACAAAAAhAQAAZHJzL2Uyb0RvYy54bWxQSwUG&#10;AAAAAAYABgBZAQAAigUAAAAA&#10;">
                <v:fill on="f" focussize="0,0"/>
                <v:stroke weight="1.5pt" color="#000000" joinstyle="round"/>
                <v:imagedata o:title=""/>
                <o:lock v:ext="edit" aspectratio="f"/>
              </v:shape>
            </w:pict>
          </mc:Fallback>
        </mc:AlternateContent>
      </w:r>
      <w:r>
        <w:rPr>
          <w:rFonts w:ascii="Times New Roman" w:hAnsi="Times New Roman" w:eastAsia="方正小标宋简体" w:cs="Times New Roman"/>
          <w:sz w:val="28"/>
          <w:szCs w:val="28"/>
        </w:rPr>
        <w:t>中国节能协会  发 布</w:t>
      </w:r>
    </w:p>
    <w:p w14:paraId="0E33B9C2">
      <w:pPr>
        <w:adjustRightInd w:val="0"/>
        <w:snapToGrid w:val="0"/>
        <w:rPr>
          <w:rFonts w:ascii="Times New Roman" w:hAnsi="Times New Roman" w:eastAsia="方正小标宋简体" w:cs="Times New Roman"/>
          <w:sz w:val="2"/>
          <w:szCs w:val="2"/>
        </w:rPr>
      </w:pPr>
    </w:p>
    <w:p w14:paraId="0E33B9C3">
      <w:pPr>
        <w:adjustRightInd w:val="0"/>
        <w:snapToGrid w:val="0"/>
        <w:rPr>
          <w:rFonts w:ascii="Times New Roman" w:hAnsi="Times New Roman" w:eastAsia="方正小标宋简体" w:cs="Times New Roman"/>
          <w:sz w:val="2"/>
          <w:szCs w:val="2"/>
        </w:rPr>
        <w:sectPr>
          <w:headerReference r:id="rId5" w:type="first"/>
          <w:headerReference r:id="rId3" w:type="default"/>
          <w:headerReference r:id="rId4" w:type="even"/>
          <w:pgSz w:w="11907" w:h="16839"/>
          <w:pgMar w:top="1417" w:right="1417" w:bottom="1134" w:left="1417" w:header="567" w:footer="850" w:gutter="0"/>
          <w:pgBorders>
            <w:top w:val="none" w:sz="0" w:space="0"/>
            <w:left w:val="none" w:sz="0" w:space="0"/>
            <w:bottom w:val="none" w:sz="0" w:space="0"/>
            <w:right w:val="none" w:sz="0" w:space="0"/>
          </w:pgBorders>
          <w:cols w:space="0" w:num="1"/>
          <w:titlePg/>
          <w:docGrid w:type="lines" w:linePitch="312" w:charSpace="0"/>
        </w:sectPr>
      </w:pPr>
    </w:p>
    <w:p w14:paraId="0E33B9C4">
      <w:pPr>
        <w:spacing w:line="340" w:lineRule="exact"/>
        <w:jc w:val="left"/>
        <w:rPr>
          <w:rFonts w:hint="eastAsia" w:ascii="方正仿宋_GB2312" w:hAnsi="方正仿宋_GB2312" w:eastAsia="方正仿宋_GB2312" w:cs="方正仿宋_GB2312"/>
        </w:rPr>
      </w:pPr>
    </w:p>
    <w:p w14:paraId="0E33B9C5">
      <w:pPr>
        <w:spacing w:line="340" w:lineRule="exact"/>
        <w:jc w:val="left"/>
        <w:rPr>
          <w:rFonts w:hint="eastAsia" w:ascii="方正仿宋_GB2312" w:hAnsi="方正仿宋_GB2312" w:eastAsia="方正仿宋_GB2312" w:cs="方正仿宋_GB2312"/>
        </w:rPr>
      </w:pPr>
    </w:p>
    <w:p w14:paraId="0E33B9C6">
      <w:pPr>
        <w:spacing w:line="340" w:lineRule="exact"/>
        <w:jc w:val="left"/>
        <w:rPr>
          <w:rFonts w:hint="eastAsia" w:ascii="方正仿宋_GB2312" w:hAnsi="方正仿宋_GB2312" w:eastAsia="方正仿宋_GB2312" w:cs="方正仿宋_GB2312"/>
        </w:rPr>
      </w:pPr>
    </w:p>
    <w:p w14:paraId="0E33B9C7">
      <w:pPr>
        <w:spacing w:line="340" w:lineRule="exact"/>
        <w:jc w:val="left"/>
        <w:rPr>
          <w:rFonts w:hint="eastAsia" w:ascii="方正仿宋_GB2312" w:hAnsi="方正仿宋_GB2312" w:eastAsia="方正仿宋_GB2312" w:cs="方正仿宋_GB2312"/>
        </w:rPr>
      </w:pPr>
    </w:p>
    <w:p w14:paraId="0E33B9C8">
      <w:pPr>
        <w:spacing w:line="340" w:lineRule="exact"/>
        <w:jc w:val="left"/>
        <w:rPr>
          <w:rFonts w:hint="eastAsia" w:ascii="方正仿宋_GB2312" w:hAnsi="方正仿宋_GB2312" w:eastAsia="方正仿宋_GB2312" w:cs="方正仿宋_GB2312"/>
        </w:rPr>
      </w:pPr>
    </w:p>
    <w:p w14:paraId="0E33B9C9">
      <w:pPr>
        <w:spacing w:line="340" w:lineRule="exact"/>
        <w:jc w:val="left"/>
        <w:rPr>
          <w:rFonts w:hint="eastAsia" w:ascii="方正仿宋_GB2312" w:hAnsi="方正仿宋_GB2312" w:eastAsia="方正仿宋_GB2312" w:cs="方正仿宋_GB2312"/>
        </w:rPr>
      </w:pPr>
    </w:p>
    <w:p w14:paraId="0E33B9CA">
      <w:pPr>
        <w:spacing w:line="340" w:lineRule="exact"/>
        <w:jc w:val="left"/>
        <w:rPr>
          <w:rFonts w:hint="eastAsia" w:ascii="方正仿宋_GB2312" w:hAnsi="方正仿宋_GB2312" w:eastAsia="方正仿宋_GB2312" w:cs="方正仿宋_GB2312"/>
        </w:rPr>
      </w:pPr>
    </w:p>
    <w:p w14:paraId="0E33B9CB">
      <w:pPr>
        <w:spacing w:line="340" w:lineRule="exact"/>
        <w:jc w:val="left"/>
        <w:rPr>
          <w:rFonts w:hint="eastAsia" w:ascii="方正仿宋_GB2312" w:hAnsi="方正仿宋_GB2312" w:eastAsia="方正仿宋_GB2312" w:cs="方正仿宋_GB2312"/>
        </w:rPr>
      </w:pPr>
    </w:p>
    <w:p w14:paraId="0E33B9CC">
      <w:pPr>
        <w:spacing w:line="340" w:lineRule="exact"/>
        <w:jc w:val="left"/>
        <w:rPr>
          <w:rFonts w:hint="eastAsia" w:ascii="方正仿宋_GB2312" w:hAnsi="方正仿宋_GB2312" w:eastAsia="方正仿宋_GB2312" w:cs="方正仿宋_GB2312"/>
        </w:rPr>
      </w:pPr>
    </w:p>
    <w:p w14:paraId="0E33B9CD">
      <w:pPr>
        <w:spacing w:line="340" w:lineRule="exact"/>
        <w:jc w:val="left"/>
        <w:rPr>
          <w:rFonts w:hint="eastAsia" w:ascii="方正仿宋_GB2312" w:hAnsi="方正仿宋_GB2312" w:eastAsia="方正仿宋_GB2312" w:cs="方正仿宋_GB2312"/>
        </w:rPr>
      </w:pPr>
    </w:p>
    <w:p w14:paraId="0E33B9CE">
      <w:pPr>
        <w:spacing w:line="340" w:lineRule="exact"/>
        <w:jc w:val="left"/>
        <w:rPr>
          <w:rFonts w:hint="eastAsia" w:ascii="方正仿宋_GB2312" w:hAnsi="方正仿宋_GB2312" w:eastAsia="方正仿宋_GB2312" w:cs="方正仿宋_GB2312"/>
        </w:rPr>
      </w:pPr>
    </w:p>
    <w:p w14:paraId="0E33B9CF">
      <w:pPr>
        <w:spacing w:line="340" w:lineRule="exact"/>
        <w:jc w:val="left"/>
        <w:rPr>
          <w:rFonts w:hint="eastAsia" w:ascii="方正仿宋_GB2312" w:hAnsi="方正仿宋_GB2312" w:eastAsia="方正仿宋_GB2312" w:cs="方正仿宋_GB2312"/>
        </w:rPr>
      </w:pPr>
    </w:p>
    <w:p w14:paraId="0E33B9D0">
      <w:pPr>
        <w:spacing w:line="340" w:lineRule="exact"/>
        <w:jc w:val="left"/>
        <w:rPr>
          <w:rFonts w:hint="eastAsia" w:ascii="方正仿宋_GB2312" w:hAnsi="方正仿宋_GB2312" w:eastAsia="方正仿宋_GB2312" w:cs="方正仿宋_GB2312"/>
        </w:rPr>
      </w:pPr>
    </w:p>
    <w:p w14:paraId="0E33B9D1">
      <w:pPr>
        <w:spacing w:line="340" w:lineRule="exact"/>
        <w:jc w:val="left"/>
        <w:rPr>
          <w:rFonts w:hint="eastAsia" w:ascii="方正仿宋_GB2312" w:hAnsi="方正仿宋_GB2312" w:eastAsia="方正仿宋_GB2312" w:cs="方正仿宋_GB2312"/>
        </w:rPr>
      </w:pPr>
    </w:p>
    <w:p w14:paraId="0E33B9D2">
      <w:pPr>
        <w:spacing w:line="340" w:lineRule="exact"/>
        <w:jc w:val="left"/>
        <w:rPr>
          <w:rFonts w:hint="eastAsia" w:ascii="方正仿宋_GB2312" w:hAnsi="方正仿宋_GB2312" w:eastAsia="方正仿宋_GB2312" w:cs="方正仿宋_GB2312"/>
        </w:rPr>
      </w:pPr>
    </w:p>
    <w:p w14:paraId="0E33B9D3">
      <w:pPr>
        <w:spacing w:line="340" w:lineRule="exact"/>
        <w:jc w:val="left"/>
        <w:rPr>
          <w:rFonts w:hint="eastAsia" w:ascii="方正仿宋_GB2312" w:hAnsi="方正仿宋_GB2312" w:eastAsia="方正仿宋_GB2312" w:cs="方正仿宋_GB2312"/>
        </w:rPr>
      </w:pPr>
    </w:p>
    <w:p w14:paraId="0E33B9D4">
      <w:pPr>
        <w:spacing w:line="340" w:lineRule="exact"/>
        <w:jc w:val="left"/>
        <w:rPr>
          <w:rFonts w:hint="eastAsia" w:ascii="方正仿宋_GB2312" w:hAnsi="方正仿宋_GB2312" w:eastAsia="方正仿宋_GB2312" w:cs="方正仿宋_GB2312"/>
        </w:rPr>
      </w:pPr>
    </w:p>
    <w:p w14:paraId="0E33B9D5">
      <w:pPr>
        <w:spacing w:line="340" w:lineRule="exact"/>
        <w:jc w:val="left"/>
        <w:rPr>
          <w:rFonts w:hint="eastAsia" w:ascii="方正仿宋_GB2312" w:hAnsi="方正仿宋_GB2312" w:eastAsia="方正仿宋_GB2312" w:cs="方正仿宋_GB2312"/>
        </w:rPr>
      </w:pPr>
    </w:p>
    <w:p w14:paraId="0E33B9D6">
      <w:pPr>
        <w:spacing w:line="340" w:lineRule="exact"/>
        <w:jc w:val="left"/>
        <w:rPr>
          <w:rFonts w:hint="eastAsia" w:ascii="方正仿宋_GB2312" w:hAnsi="方正仿宋_GB2312" w:eastAsia="方正仿宋_GB2312" w:cs="方正仿宋_GB2312"/>
        </w:rPr>
      </w:pPr>
    </w:p>
    <w:p w14:paraId="0E33B9D7">
      <w:pPr>
        <w:tabs>
          <w:tab w:val="left" w:pos="4061"/>
        </w:tabs>
        <w:spacing w:line="340" w:lineRule="exact"/>
        <w:jc w:val="left"/>
        <w:rPr>
          <w:rFonts w:hint="eastAsia" w:ascii="方正仿宋_GB2312" w:hAnsi="方正仿宋_GB2312" w:eastAsia="方正仿宋_GB2312" w:cs="方正仿宋_GB2312"/>
        </w:rPr>
      </w:pPr>
      <w:r>
        <w:rPr>
          <w:rFonts w:hint="eastAsia" w:ascii="方正仿宋_GB2312" w:hAnsi="方正仿宋_GB2312" w:eastAsia="方正仿宋_GB2312" w:cs="方正仿宋_GB2312"/>
        </w:rPr>
        <w:tab/>
      </w:r>
    </w:p>
    <w:p w14:paraId="0E33B9D8">
      <w:pPr>
        <w:spacing w:line="340" w:lineRule="exact"/>
        <w:jc w:val="left"/>
        <w:rPr>
          <w:rFonts w:hint="eastAsia" w:ascii="方正仿宋_GB2312" w:hAnsi="方正仿宋_GB2312" w:eastAsia="方正仿宋_GB2312" w:cs="方正仿宋_GB2312"/>
        </w:rPr>
      </w:pPr>
    </w:p>
    <w:p w14:paraId="0E33B9D9">
      <w:pPr>
        <w:spacing w:line="340" w:lineRule="exact"/>
        <w:jc w:val="left"/>
        <w:rPr>
          <w:rFonts w:hint="eastAsia" w:ascii="方正仿宋_GB2312" w:hAnsi="方正仿宋_GB2312" w:eastAsia="方正仿宋_GB2312" w:cs="方正仿宋_GB2312"/>
        </w:rPr>
      </w:pPr>
    </w:p>
    <w:p w14:paraId="0E33B9DA">
      <w:pPr>
        <w:spacing w:line="340" w:lineRule="exact"/>
        <w:jc w:val="left"/>
        <w:rPr>
          <w:rFonts w:hint="eastAsia" w:ascii="方正仿宋_GB2312" w:hAnsi="方正仿宋_GB2312" w:eastAsia="方正仿宋_GB2312" w:cs="方正仿宋_GB2312"/>
        </w:rPr>
      </w:pPr>
    </w:p>
    <w:p w14:paraId="0E33B9DB">
      <w:pPr>
        <w:spacing w:line="340" w:lineRule="exact"/>
        <w:jc w:val="left"/>
        <w:rPr>
          <w:rFonts w:hint="eastAsia" w:ascii="方正仿宋_GB2312" w:hAnsi="方正仿宋_GB2312" w:eastAsia="方正仿宋_GB2312" w:cs="方正仿宋_GB2312"/>
        </w:rPr>
      </w:pPr>
    </w:p>
    <w:p w14:paraId="0E33B9DC">
      <w:pPr>
        <w:spacing w:line="340" w:lineRule="exact"/>
        <w:jc w:val="left"/>
        <w:rPr>
          <w:rFonts w:hint="eastAsia" w:ascii="方正仿宋_GB2312" w:hAnsi="方正仿宋_GB2312" w:eastAsia="方正仿宋_GB2312" w:cs="方正仿宋_GB2312"/>
        </w:rPr>
      </w:pPr>
    </w:p>
    <w:p w14:paraId="0E33B9DD">
      <w:pPr>
        <w:spacing w:line="340" w:lineRule="exact"/>
        <w:jc w:val="left"/>
        <w:rPr>
          <w:rFonts w:hint="eastAsia" w:ascii="方正仿宋_GB2312" w:hAnsi="方正仿宋_GB2312" w:eastAsia="方正仿宋_GB2312" w:cs="方正仿宋_GB2312"/>
        </w:rPr>
      </w:pPr>
    </w:p>
    <w:p w14:paraId="0E33B9DE">
      <w:pPr>
        <w:spacing w:line="340" w:lineRule="exact"/>
        <w:jc w:val="left"/>
        <w:rPr>
          <w:rFonts w:hint="eastAsia" w:ascii="方正仿宋_GB2312" w:hAnsi="方正仿宋_GB2312" w:eastAsia="方正仿宋_GB2312" w:cs="方正仿宋_GB2312"/>
        </w:rPr>
      </w:pPr>
    </w:p>
    <w:p w14:paraId="0E33B9DF">
      <w:pPr>
        <w:spacing w:line="340" w:lineRule="exact"/>
        <w:jc w:val="left"/>
        <w:rPr>
          <w:rFonts w:hint="eastAsia" w:ascii="方正仿宋_GB2312" w:hAnsi="方正仿宋_GB2312" w:eastAsia="方正仿宋_GB2312" w:cs="方正仿宋_GB2312"/>
        </w:rPr>
      </w:pPr>
    </w:p>
    <w:p w14:paraId="0E33B9E0">
      <w:pPr>
        <w:spacing w:line="340" w:lineRule="exact"/>
        <w:jc w:val="left"/>
        <w:rPr>
          <w:rFonts w:hint="eastAsia" w:ascii="方正仿宋_GB2312" w:hAnsi="方正仿宋_GB2312" w:eastAsia="方正仿宋_GB2312" w:cs="方正仿宋_GB2312"/>
        </w:rPr>
      </w:pPr>
    </w:p>
    <w:p w14:paraId="0E33B9E1">
      <w:pPr>
        <w:spacing w:line="340" w:lineRule="exact"/>
        <w:jc w:val="left"/>
        <w:rPr>
          <w:rFonts w:hint="eastAsia" w:ascii="方正仿宋_GB2312" w:hAnsi="方正仿宋_GB2312" w:eastAsia="方正仿宋_GB2312" w:cs="方正仿宋_GB2312"/>
        </w:rPr>
      </w:pPr>
    </w:p>
    <w:p w14:paraId="0E33B9E2">
      <w:pPr>
        <w:spacing w:line="340" w:lineRule="exact"/>
        <w:jc w:val="left"/>
        <w:rPr>
          <w:rFonts w:hint="eastAsia" w:ascii="方正仿宋_GB2312" w:hAnsi="方正仿宋_GB2312" w:eastAsia="方正仿宋_GB2312" w:cs="方正仿宋_GB2312"/>
        </w:rPr>
      </w:pPr>
    </w:p>
    <w:p w14:paraId="0E33B9E3">
      <w:pPr>
        <w:spacing w:line="340" w:lineRule="exact"/>
        <w:jc w:val="left"/>
        <w:rPr>
          <w:rFonts w:hint="eastAsia" w:ascii="方正仿宋_GB2312" w:hAnsi="方正仿宋_GB2312" w:eastAsia="方正仿宋_GB2312" w:cs="方正仿宋_GB2312"/>
        </w:rPr>
      </w:pPr>
    </w:p>
    <w:p w14:paraId="0E33B9E4">
      <w:pPr>
        <w:spacing w:line="340" w:lineRule="exact"/>
        <w:jc w:val="left"/>
        <w:rPr>
          <w:rFonts w:hint="eastAsia" w:ascii="方正仿宋_GB2312" w:hAnsi="方正仿宋_GB2312" w:eastAsia="方正仿宋_GB2312" w:cs="方正仿宋_GB2312"/>
        </w:rPr>
      </w:pPr>
      <w:r>
        <w:rPr>
          <w:rFonts w:ascii="宋体" w:hAnsi="宋体" w:cs="宋体"/>
          <w:kern w:val="0"/>
          <w:sz w:val="24"/>
        </w:rPr>
        <w:drawing>
          <wp:anchor distT="0" distB="0" distL="0" distR="0" simplePos="0" relativeHeight="251666432" behindDoc="1" locked="0" layoutInCell="1" allowOverlap="1">
            <wp:simplePos x="0" y="0"/>
            <wp:positionH relativeFrom="column">
              <wp:posOffset>38100</wp:posOffset>
            </wp:positionH>
            <wp:positionV relativeFrom="paragraph">
              <wp:posOffset>183515</wp:posOffset>
            </wp:positionV>
            <wp:extent cx="809625" cy="771525"/>
            <wp:effectExtent l="0" t="0" r="0" b="0"/>
            <wp:wrapNone/>
            <wp:docPr id="10" name="图片 5" descr="IMG_256"/>
            <wp:cNvGraphicFramePr/>
            <a:graphic xmlns:a="http://schemas.openxmlformats.org/drawingml/2006/main">
              <a:graphicData uri="http://schemas.openxmlformats.org/drawingml/2006/picture">
                <pic:pic xmlns:pic="http://schemas.openxmlformats.org/drawingml/2006/picture">
                  <pic:nvPicPr>
                    <pic:cNvPr id="10" name="图片 5" descr="IMG_256"/>
                    <pic:cNvPicPr/>
                  </pic:nvPicPr>
                  <pic:blipFill>
                    <a:blip r:embed="rId15" cstate="print"/>
                    <a:srcRect/>
                    <a:stretch>
                      <a:fillRect/>
                    </a:stretch>
                  </pic:blipFill>
                  <pic:spPr>
                    <a:xfrm>
                      <a:off x="0" y="0"/>
                      <a:ext cx="809625" cy="771525"/>
                    </a:xfrm>
                    <a:prstGeom prst="rect">
                      <a:avLst/>
                    </a:prstGeom>
                    <a:ln>
                      <a:noFill/>
                    </a:ln>
                  </pic:spPr>
                </pic:pic>
              </a:graphicData>
            </a:graphic>
          </wp:anchor>
        </w:drawing>
      </w:r>
    </w:p>
    <w:p w14:paraId="0E33B9E5">
      <w:pPr>
        <w:spacing w:line="340" w:lineRule="exact"/>
        <w:jc w:val="left"/>
        <w:rPr>
          <w:rFonts w:hint="eastAsia" w:ascii="方正仿宋_GB2312" w:hAnsi="方正仿宋_GB2312" w:eastAsia="方正仿宋_GB2312" w:cs="方正仿宋_GB2312"/>
        </w:rPr>
      </w:pPr>
    </w:p>
    <w:p w14:paraId="0E33B9E6">
      <w:pPr>
        <w:spacing w:line="340" w:lineRule="exact"/>
        <w:jc w:val="left"/>
        <w:rPr>
          <w:rFonts w:hint="eastAsia" w:ascii="方正仿宋_GB2312" w:hAnsi="方正仿宋_GB2312" w:eastAsia="方正仿宋_GB2312" w:cs="方正仿宋_GB2312"/>
        </w:rPr>
      </w:pPr>
    </w:p>
    <w:p w14:paraId="0E33B9E7">
      <w:pPr>
        <w:spacing w:line="340" w:lineRule="exact"/>
        <w:jc w:val="left"/>
        <w:rPr>
          <w:rFonts w:hint="eastAsia" w:ascii="宋体" w:hAnsi="宋体" w:cs="方正仿宋_GB2312"/>
        </w:rPr>
      </w:pPr>
      <w:r>
        <w:rPr>
          <w:rFonts w:hint="eastAsia" w:ascii="方正仿宋_GB2312" w:hAnsi="方正仿宋_GB2312" w:eastAsia="方正仿宋_GB2312" w:cs="方正仿宋_GB2312"/>
        </w:rPr>
        <w:t xml:space="preserve">             </w:t>
      </w:r>
      <w:r>
        <w:rPr>
          <w:rFonts w:hint="eastAsia" w:ascii="宋体" w:hAnsi="宋体" w:cs="方正仿宋_GB2312"/>
        </w:rPr>
        <w:t>版权保护文件</w:t>
      </w:r>
    </w:p>
    <w:p w14:paraId="0E33B9E8">
      <w:pPr>
        <w:spacing w:line="340" w:lineRule="exact"/>
        <w:jc w:val="left"/>
        <w:rPr>
          <w:rFonts w:hint="eastAsia" w:ascii="宋体" w:hAnsi="宋体" w:cs="方正仿宋_GB2312"/>
        </w:rPr>
      </w:pPr>
    </w:p>
    <w:p w14:paraId="0E33B9E9">
      <w:pPr>
        <w:spacing w:line="340" w:lineRule="exact"/>
        <w:jc w:val="left"/>
        <w:rPr>
          <w:rFonts w:hint="eastAsia" w:ascii="宋体" w:hAnsi="宋体" w:eastAsia="宋体" w:cs="宋体"/>
        </w:rPr>
        <w:sectPr>
          <w:footerReference r:id="rId6" w:type="default"/>
          <w:pgSz w:w="11906" w:h="16838"/>
          <w:pgMar w:top="1417" w:right="1417" w:bottom="1134" w:left="1417" w:header="1417" w:footer="1134" w:gutter="0"/>
          <w:pgBorders>
            <w:top w:val="none" w:sz="0" w:space="0"/>
            <w:left w:val="none" w:sz="0" w:space="0"/>
            <w:bottom w:val="none" w:sz="0" w:space="0"/>
            <w:right w:val="none" w:sz="0" w:space="0"/>
          </w:pgBorders>
          <w:pgNumType w:fmt="upperRoman" w:start="1"/>
          <w:cols w:space="425" w:num="1"/>
          <w:docGrid w:type="lines" w:linePitch="312" w:charSpace="0"/>
        </w:sectPr>
      </w:pPr>
      <w:r>
        <w:rPr>
          <w:rFonts w:hint="eastAsia" w:ascii="宋体" w:hAnsi="宋体" w:eastAsia="宋体" w:cs="宋体"/>
        </w:rPr>
        <w:t>版权所有归属于该标准的发布机构，除非有其他规定，否则未经许可，此发行物及其章节不得以其他形式或任何手段进行复制、再版或使用，包括电子版、影印版，或发布在互联网及内部网络等。使用许可请向发布机构申请。</w:t>
      </w:r>
    </w:p>
    <w:p w14:paraId="0E33B9EA">
      <w:pPr>
        <w:pStyle w:val="20"/>
        <w:outlineLvl w:val="9"/>
        <w:rPr>
          <w:rFonts w:hint="eastAsia" w:hAnsi="黑体" w:cs="Arial"/>
        </w:rPr>
      </w:pPr>
      <w:r>
        <w:rPr>
          <w:rFonts w:hint="eastAsia" w:hAnsi="黑体" w:cs="Arial"/>
        </w:rPr>
        <w:t>目    次</w:t>
      </w:r>
    </w:p>
    <w:p w14:paraId="29F0A948">
      <w:pPr>
        <w:pStyle w:val="6"/>
        <w:tabs>
          <w:tab w:val="right" w:leader="dot" w:pos="9071"/>
        </w:tabs>
      </w:pPr>
      <w:bookmarkStart w:id="1" w:name="_Toc21091"/>
      <w:bookmarkStart w:id="2" w:name="_Toc22300"/>
      <w:bookmarkStart w:id="3" w:name="_Toc24329"/>
      <w:bookmarkStart w:id="4" w:name="_Toc8159"/>
      <w:bookmarkStart w:id="5" w:name="_Toc10511"/>
      <w:bookmarkStart w:id="6" w:name="_Toc8593"/>
      <w:bookmarkStart w:id="7" w:name="_Toc2651"/>
      <w:r>
        <w:fldChar w:fldCharType="begin"/>
      </w:r>
      <w:r>
        <w:instrText xml:space="preserve">TOC \o "1-1" \h \u </w:instrText>
      </w:r>
      <w:r>
        <w:fldChar w:fldCharType="separate"/>
      </w:r>
      <w:r>
        <w:fldChar w:fldCharType="begin"/>
      </w:r>
      <w:r>
        <w:instrText xml:space="preserve"> HYPERLINK \l _Toc30442 </w:instrText>
      </w:r>
      <w:r>
        <w:fldChar w:fldCharType="separate"/>
      </w:r>
      <w:r>
        <w:rPr>
          <w:rFonts w:hint="eastAsia" w:hAnsi="黑体" w:cs="Arial"/>
        </w:rPr>
        <w:t>前言</w:t>
      </w:r>
      <w:r>
        <w:tab/>
      </w:r>
      <w:r>
        <w:fldChar w:fldCharType="begin"/>
      </w:r>
      <w:r>
        <w:instrText xml:space="preserve"> PAGEREF _Toc30442 \h </w:instrText>
      </w:r>
      <w:r>
        <w:fldChar w:fldCharType="separate"/>
      </w:r>
      <w:r>
        <w:t>III</w:t>
      </w:r>
      <w:r>
        <w:fldChar w:fldCharType="end"/>
      </w:r>
      <w:r>
        <w:fldChar w:fldCharType="end"/>
      </w:r>
    </w:p>
    <w:p w14:paraId="398CFEC1">
      <w:pPr>
        <w:pStyle w:val="6"/>
        <w:tabs>
          <w:tab w:val="right" w:leader="dot" w:pos="9071"/>
        </w:tabs>
      </w:pPr>
      <w:r>
        <w:fldChar w:fldCharType="begin"/>
      </w:r>
      <w:r>
        <w:instrText xml:space="preserve"> HYPERLINK \l _Toc11178 </w:instrText>
      </w:r>
      <w:r>
        <w:fldChar w:fldCharType="separate"/>
      </w:r>
      <w:r>
        <w:rPr>
          <w:rFonts w:hint="eastAsia" w:ascii="黑体" w:eastAsia="黑体"/>
          <w:i w:val="0"/>
        </w:rPr>
        <w:t xml:space="preserve">1 </w:t>
      </w:r>
      <w:r>
        <w:rPr>
          <w:rFonts w:hint="eastAsia"/>
        </w:rPr>
        <w:t>范围</w:t>
      </w:r>
      <w:r>
        <w:tab/>
      </w:r>
      <w:r>
        <w:fldChar w:fldCharType="begin"/>
      </w:r>
      <w:r>
        <w:instrText xml:space="preserve"> PAGEREF _Toc11178 \h </w:instrText>
      </w:r>
      <w:r>
        <w:fldChar w:fldCharType="separate"/>
      </w:r>
      <w:r>
        <w:t>4</w:t>
      </w:r>
      <w:r>
        <w:fldChar w:fldCharType="end"/>
      </w:r>
      <w:r>
        <w:fldChar w:fldCharType="end"/>
      </w:r>
    </w:p>
    <w:p w14:paraId="2370EDDD">
      <w:pPr>
        <w:pStyle w:val="6"/>
        <w:tabs>
          <w:tab w:val="right" w:leader="dot" w:pos="9071"/>
        </w:tabs>
      </w:pPr>
      <w:r>
        <w:fldChar w:fldCharType="begin"/>
      </w:r>
      <w:r>
        <w:instrText xml:space="preserve"> HYPERLINK \l _Toc30621 </w:instrText>
      </w:r>
      <w:r>
        <w:fldChar w:fldCharType="separate"/>
      </w:r>
      <w:r>
        <w:rPr>
          <w:rFonts w:hint="eastAsia" w:ascii="黑体" w:eastAsia="黑体"/>
          <w:i w:val="0"/>
        </w:rPr>
        <w:t xml:space="preserve">2 </w:t>
      </w:r>
      <w:r>
        <w:rPr>
          <w:rFonts w:hint="eastAsia"/>
        </w:rPr>
        <w:t>规范性引用文件</w:t>
      </w:r>
      <w:r>
        <w:tab/>
      </w:r>
      <w:r>
        <w:fldChar w:fldCharType="begin"/>
      </w:r>
      <w:r>
        <w:instrText xml:space="preserve"> PAGEREF _Toc30621 \h </w:instrText>
      </w:r>
      <w:r>
        <w:fldChar w:fldCharType="separate"/>
      </w:r>
      <w:r>
        <w:t>4</w:t>
      </w:r>
      <w:r>
        <w:fldChar w:fldCharType="end"/>
      </w:r>
      <w:r>
        <w:fldChar w:fldCharType="end"/>
      </w:r>
    </w:p>
    <w:p w14:paraId="1DFAB5BA">
      <w:pPr>
        <w:pStyle w:val="6"/>
        <w:tabs>
          <w:tab w:val="right" w:leader="dot" w:pos="9071"/>
        </w:tabs>
      </w:pPr>
      <w:r>
        <w:fldChar w:fldCharType="begin"/>
      </w:r>
      <w:r>
        <w:instrText xml:space="preserve"> HYPERLINK \l _Toc31697 </w:instrText>
      </w:r>
      <w:r>
        <w:fldChar w:fldCharType="separate"/>
      </w:r>
      <w:r>
        <w:rPr>
          <w:rFonts w:hint="eastAsia" w:ascii="黑体" w:eastAsia="黑体"/>
          <w:i w:val="0"/>
        </w:rPr>
        <w:t xml:space="preserve">3 </w:t>
      </w:r>
      <w:r>
        <w:rPr>
          <w:rFonts w:hint="eastAsia"/>
          <w:szCs w:val="21"/>
        </w:rPr>
        <w:t>术语和定义</w:t>
      </w:r>
      <w:r>
        <w:tab/>
      </w:r>
      <w:r>
        <w:fldChar w:fldCharType="begin"/>
      </w:r>
      <w:r>
        <w:instrText xml:space="preserve"> PAGEREF _Toc31697 \h </w:instrText>
      </w:r>
      <w:r>
        <w:fldChar w:fldCharType="separate"/>
      </w:r>
      <w:r>
        <w:t>4</w:t>
      </w:r>
      <w:r>
        <w:fldChar w:fldCharType="end"/>
      </w:r>
      <w:r>
        <w:fldChar w:fldCharType="end"/>
      </w:r>
    </w:p>
    <w:p w14:paraId="1CE57170">
      <w:pPr>
        <w:pStyle w:val="6"/>
        <w:tabs>
          <w:tab w:val="right" w:leader="dot" w:pos="9071"/>
        </w:tabs>
      </w:pPr>
      <w:r>
        <w:fldChar w:fldCharType="begin"/>
      </w:r>
      <w:r>
        <w:instrText xml:space="preserve"> HYPERLINK \l _Toc4990 </w:instrText>
      </w:r>
      <w:r>
        <w:fldChar w:fldCharType="separate"/>
      </w:r>
      <w:r>
        <w:rPr>
          <w:rFonts w:hint="eastAsia" w:ascii="黑体" w:eastAsia="黑体"/>
          <w:i w:val="0"/>
          <w:szCs w:val="21"/>
        </w:rPr>
        <w:t xml:space="preserve">4 </w:t>
      </w:r>
      <w:r>
        <w:rPr>
          <w:rFonts w:hint="eastAsia" w:ascii="黑体"/>
          <w:szCs w:val="21"/>
        </w:rPr>
        <w:t>基本规定</w:t>
      </w:r>
      <w:r>
        <w:tab/>
      </w:r>
      <w:r>
        <w:fldChar w:fldCharType="begin"/>
      </w:r>
      <w:r>
        <w:instrText xml:space="preserve"> PAGEREF _Toc4990 \h </w:instrText>
      </w:r>
      <w:r>
        <w:fldChar w:fldCharType="separate"/>
      </w:r>
      <w:r>
        <w:t>5</w:t>
      </w:r>
      <w:r>
        <w:fldChar w:fldCharType="end"/>
      </w:r>
      <w:r>
        <w:fldChar w:fldCharType="end"/>
      </w:r>
    </w:p>
    <w:p w14:paraId="49D0EE1A">
      <w:pPr>
        <w:pStyle w:val="6"/>
        <w:tabs>
          <w:tab w:val="right" w:leader="dot" w:pos="9071"/>
        </w:tabs>
      </w:pPr>
      <w:r>
        <w:fldChar w:fldCharType="begin"/>
      </w:r>
      <w:r>
        <w:instrText xml:space="preserve"> HYPERLINK \l _Toc2632 </w:instrText>
      </w:r>
      <w:r>
        <w:fldChar w:fldCharType="separate"/>
      </w:r>
      <w:r>
        <w:rPr>
          <w:rFonts w:hint="eastAsia" w:ascii="黑体" w:eastAsia="黑体"/>
          <w:i w:val="0"/>
          <w:szCs w:val="21"/>
        </w:rPr>
        <w:t xml:space="preserve">5 </w:t>
      </w:r>
      <w:r>
        <w:rPr>
          <w:rFonts w:hint="eastAsia" w:ascii="黑体"/>
          <w:szCs w:val="21"/>
        </w:rPr>
        <w:t>碳排放核算要求</w:t>
      </w:r>
      <w:r>
        <w:tab/>
      </w:r>
      <w:r>
        <w:fldChar w:fldCharType="begin"/>
      </w:r>
      <w:r>
        <w:instrText xml:space="preserve"> PAGEREF _Toc2632 \h </w:instrText>
      </w:r>
      <w:r>
        <w:fldChar w:fldCharType="separate"/>
      </w:r>
      <w:r>
        <w:t>5</w:t>
      </w:r>
      <w:r>
        <w:fldChar w:fldCharType="end"/>
      </w:r>
      <w:r>
        <w:fldChar w:fldCharType="end"/>
      </w:r>
    </w:p>
    <w:p w14:paraId="6AEC5361">
      <w:pPr>
        <w:pStyle w:val="6"/>
        <w:tabs>
          <w:tab w:val="right" w:leader="dot" w:pos="9071"/>
        </w:tabs>
      </w:pPr>
      <w:r>
        <w:fldChar w:fldCharType="begin"/>
      </w:r>
      <w:r>
        <w:instrText xml:space="preserve"> HYPERLINK \l _Toc11372 </w:instrText>
      </w:r>
      <w:r>
        <w:fldChar w:fldCharType="separate"/>
      </w:r>
      <w:r>
        <w:rPr>
          <w:rFonts w:hint="eastAsia" w:ascii="黑体" w:eastAsia="黑体"/>
          <w:i w:val="0"/>
          <w:szCs w:val="21"/>
        </w:rPr>
        <w:t xml:space="preserve">6 </w:t>
      </w:r>
      <w:r>
        <w:rPr>
          <w:rFonts w:hint="eastAsia" w:ascii="黑体"/>
          <w:szCs w:val="21"/>
        </w:rPr>
        <w:t>工厂化生产及运输阶段碳排放核算</w:t>
      </w:r>
      <w:r>
        <w:tab/>
      </w:r>
      <w:r>
        <w:fldChar w:fldCharType="begin"/>
      </w:r>
      <w:r>
        <w:instrText xml:space="preserve"> PAGEREF _Toc11372 \h </w:instrText>
      </w:r>
      <w:r>
        <w:fldChar w:fldCharType="separate"/>
      </w:r>
      <w:r>
        <w:t>7</w:t>
      </w:r>
      <w:r>
        <w:fldChar w:fldCharType="end"/>
      </w:r>
      <w:r>
        <w:fldChar w:fldCharType="end"/>
      </w:r>
    </w:p>
    <w:p w14:paraId="135D9800">
      <w:pPr>
        <w:pStyle w:val="6"/>
        <w:tabs>
          <w:tab w:val="right" w:leader="dot" w:pos="9071"/>
        </w:tabs>
      </w:pPr>
      <w:r>
        <w:fldChar w:fldCharType="begin"/>
      </w:r>
      <w:r>
        <w:instrText xml:space="preserve"> HYPERLINK \l _Toc12970 </w:instrText>
      </w:r>
      <w:r>
        <w:fldChar w:fldCharType="separate"/>
      </w:r>
      <w:r>
        <w:rPr>
          <w:rFonts w:hint="eastAsia"/>
        </w:rPr>
        <w:t>7 现场安装阶段碳排放核算</w:t>
      </w:r>
      <w:r>
        <w:tab/>
      </w:r>
      <w:r>
        <w:fldChar w:fldCharType="begin"/>
      </w:r>
      <w:r>
        <w:instrText xml:space="preserve"> PAGEREF _Toc12970 \h </w:instrText>
      </w:r>
      <w:r>
        <w:fldChar w:fldCharType="separate"/>
      </w:r>
      <w:r>
        <w:t>11</w:t>
      </w:r>
      <w:r>
        <w:fldChar w:fldCharType="end"/>
      </w:r>
      <w:r>
        <w:fldChar w:fldCharType="end"/>
      </w:r>
    </w:p>
    <w:p w14:paraId="4E0B668B">
      <w:pPr>
        <w:pStyle w:val="6"/>
        <w:tabs>
          <w:tab w:val="right" w:leader="dot" w:pos="9071"/>
        </w:tabs>
      </w:pPr>
      <w:r>
        <w:fldChar w:fldCharType="begin"/>
      </w:r>
      <w:r>
        <w:instrText xml:space="preserve"> HYPERLINK \l _Toc6499 </w:instrText>
      </w:r>
      <w:r>
        <w:fldChar w:fldCharType="separate"/>
      </w:r>
      <w:r>
        <w:rPr>
          <w:rFonts w:hint="eastAsia"/>
          <w:lang w:val="en-US" w:eastAsia="zh-CN"/>
        </w:rPr>
        <w:t xml:space="preserve">附录A </w:t>
      </w:r>
      <w:r>
        <w:rPr>
          <w:rFonts w:hint="eastAsia"/>
          <w:lang w:eastAsia="zh-CN"/>
        </w:rPr>
        <w:t>（资料性） T梁工业化建造碳排放核算参数缺省值</w:t>
      </w:r>
      <w:r>
        <w:tab/>
      </w:r>
      <w:r>
        <w:fldChar w:fldCharType="begin"/>
      </w:r>
      <w:r>
        <w:instrText xml:space="preserve"> PAGEREF _Toc6499 \h </w:instrText>
      </w:r>
      <w:r>
        <w:fldChar w:fldCharType="separate"/>
      </w:r>
      <w:r>
        <w:t>14</w:t>
      </w:r>
      <w:r>
        <w:fldChar w:fldCharType="end"/>
      </w:r>
      <w:r>
        <w:fldChar w:fldCharType="end"/>
      </w:r>
    </w:p>
    <w:p w14:paraId="70EF259C">
      <w:pPr>
        <w:pStyle w:val="6"/>
        <w:tabs>
          <w:tab w:val="right" w:leader="dot" w:pos="9071"/>
        </w:tabs>
      </w:pPr>
      <w:r>
        <w:fldChar w:fldCharType="begin"/>
      </w:r>
      <w:r>
        <w:instrText xml:space="preserve"> HYPERLINK \l _Toc31370 </w:instrText>
      </w:r>
      <w:r>
        <w:fldChar w:fldCharType="separate"/>
      </w:r>
      <w:r>
        <w:rPr>
          <w:rFonts w:hint="eastAsia"/>
          <w:lang w:val="en-US" w:eastAsia="zh-CN"/>
        </w:rPr>
        <w:t xml:space="preserve">附录B </w:t>
      </w:r>
      <w:r>
        <w:rPr>
          <w:rFonts w:hint="eastAsia"/>
          <w:lang w:eastAsia="zh-CN"/>
        </w:rPr>
        <w:t xml:space="preserve">（资料性） </w:t>
      </w:r>
      <w:r>
        <w:rPr>
          <w:rFonts w:hint="eastAsia"/>
        </w:rPr>
        <w:t>T梁产品标识与规格</w:t>
      </w:r>
      <w:r>
        <w:tab/>
      </w:r>
      <w:r>
        <w:fldChar w:fldCharType="begin"/>
      </w:r>
      <w:r>
        <w:instrText xml:space="preserve"> PAGEREF _Toc31370 \h </w:instrText>
      </w:r>
      <w:r>
        <w:fldChar w:fldCharType="separate"/>
      </w:r>
      <w:r>
        <w:t>16</w:t>
      </w:r>
      <w:r>
        <w:fldChar w:fldCharType="end"/>
      </w:r>
      <w:r>
        <w:fldChar w:fldCharType="end"/>
      </w:r>
    </w:p>
    <w:p w14:paraId="139905DE">
      <w:pPr>
        <w:pStyle w:val="6"/>
        <w:tabs>
          <w:tab w:val="right" w:leader="dot" w:pos="9071"/>
        </w:tabs>
      </w:pPr>
      <w:r>
        <w:fldChar w:fldCharType="begin"/>
      </w:r>
      <w:r>
        <w:instrText xml:space="preserve"> HYPERLINK \l _Toc21006 </w:instrText>
      </w:r>
      <w:r>
        <w:fldChar w:fldCharType="separate"/>
      </w:r>
      <w:r>
        <w:rPr>
          <w:rFonts w:hint="eastAsia"/>
          <w:lang w:val="en-US" w:eastAsia="zh-CN"/>
        </w:rPr>
        <w:t xml:space="preserve">附录C </w:t>
      </w:r>
      <w:r>
        <w:rPr>
          <w:rFonts w:hint="eastAsia"/>
          <w:lang w:eastAsia="zh-CN"/>
        </w:rPr>
        <w:t>（</w:t>
      </w:r>
      <w:r>
        <w:rPr>
          <w:rFonts w:hint="eastAsia"/>
          <w:lang w:val="en-US" w:eastAsia="zh-CN"/>
        </w:rPr>
        <w:t>规范</w:t>
      </w:r>
      <w:r>
        <w:rPr>
          <w:rFonts w:hint="eastAsia"/>
          <w:lang w:eastAsia="zh-CN"/>
        </w:rPr>
        <w:t xml:space="preserve">性） </w:t>
      </w:r>
      <w:r>
        <w:rPr>
          <w:rFonts w:hint="eastAsia"/>
        </w:rPr>
        <w:t>T梁</w:t>
      </w:r>
      <w:r>
        <w:rPr>
          <w:rFonts w:hint="eastAsia"/>
          <w:lang w:val="en-US" w:eastAsia="zh-CN"/>
        </w:rPr>
        <w:t>工业化建造碳排放核算汇总与复核</w:t>
      </w:r>
      <w:r>
        <w:tab/>
      </w:r>
      <w:r>
        <w:fldChar w:fldCharType="begin"/>
      </w:r>
      <w:r>
        <w:instrText xml:space="preserve"> PAGEREF _Toc21006 \h </w:instrText>
      </w:r>
      <w:r>
        <w:fldChar w:fldCharType="separate"/>
      </w:r>
      <w:r>
        <w:t>18</w:t>
      </w:r>
      <w:r>
        <w:fldChar w:fldCharType="end"/>
      </w:r>
      <w:r>
        <w:fldChar w:fldCharType="end"/>
      </w:r>
    </w:p>
    <w:p w14:paraId="4C447CA8">
      <w:pPr>
        <w:pStyle w:val="6"/>
        <w:tabs>
          <w:tab w:val="right" w:leader="dot" w:pos="9071"/>
        </w:tabs>
      </w:pPr>
      <w:r>
        <w:fldChar w:fldCharType="begin"/>
      </w:r>
      <w:r>
        <w:instrText xml:space="preserve"> HYPERLINK \l _Toc27077 </w:instrText>
      </w:r>
      <w:r>
        <w:fldChar w:fldCharType="separate"/>
      </w:r>
      <w:r>
        <w:rPr>
          <w:rFonts w:hint="eastAsia"/>
          <w:lang w:eastAsia="zh-CN"/>
        </w:rPr>
        <w:t>参考文献</w:t>
      </w:r>
      <w:r>
        <w:tab/>
      </w:r>
      <w:r>
        <w:fldChar w:fldCharType="begin"/>
      </w:r>
      <w:r>
        <w:instrText xml:space="preserve"> PAGEREF _Toc27077 \h </w:instrText>
      </w:r>
      <w:r>
        <w:fldChar w:fldCharType="separate"/>
      </w:r>
      <w:r>
        <w:t>21</w:t>
      </w:r>
      <w:r>
        <w:fldChar w:fldCharType="end"/>
      </w:r>
      <w:r>
        <w:fldChar w:fldCharType="end"/>
      </w:r>
    </w:p>
    <w:p w14:paraId="56E498F0">
      <w:r>
        <w:fldChar w:fldCharType="end"/>
      </w:r>
    </w:p>
    <w:p w14:paraId="0E33B9F7">
      <w:pPr>
        <w:pStyle w:val="20"/>
        <w:rPr>
          <w:rFonts w:hint="eastAsia" w:hAnsi="黑体" w:cs="Arial"/>
        </w:rPr>
      </w:pPr>
      <w:bookmarkStart w:id="8" w:name="_Toc30442"/>
      <w:r>
        <w:rPr>
          <w:rFonts w:hint="eastAsia" w:hAnsi="黑体" w:cs="Arial"/>
        </w:rPr>
        <w:t>前    言</w:t>
      </w:r>
      <w:bookmarkEnd w:id="1"/>
      <w:bookmarkEnd w:id="2"/>
      <w:bookmarkEnd w:id="3"/>
      <w:bookmarkEnd w:id="4"/>
      <w:bookmarkEnd w:id="5"/>
      <w:bookmarkEnd w:id="6"/>
      <w:bookmarkEnd w:id="7"/>
      <w:bookmarkEnd w:id="8"/>
    </w:p>
    <w:p w14:paraId="0E33B9F8">
      <w:pPr>
        <w:ind w:firstLine="420" w:firstLineChars="200"/>
        <w:rPr>
          <w:rFonts w:hint="eastAsia" w:ascii="宋体" w:hAnsi="宋体" w:eastAsia="宋体" w:cs="宋体"/>
        </w:rPr>
      </w:pPr>
      <w:r>
        <w:rPr>
          <w:rFonts w:hint="eastAsia" w:ascii="宋体" w:hAnsi="宋体" w:eastAsia="宋体" w:cs="宋体"/>
        </w:rPr>
        <w:t>本文件按照GB/T 1.1—2020《标准化工作导则  第1部分：标准化文件的结构和起草规则》的规定起草。</w:t>
      </w:r>
    </w:p>
    <w:p w14:paraId="0E33B9F9">
      <w:pPr>
        <w:autoSpaceDE w:val="0"/>
        <w:autoSpaceDN w:val="0"/>
        <w:adjustRightInd w:val="0"/>
        <w:ind w:firstLine="420" w:firstLineChars="200"/>
        <w:rPr>
          <w:rFonts w:hint="eastAsia" w:ascii="宋体" w:hAnsi="宋体" w:eastAsia="宋体" w:cs="宋体"/>
          <w:kern w:val="0"/>
        </w:rPr>
      </w:pPr>
      <w:r>
        <w:rPr>
          <w:rFonts w:hint="eastAsia" w:ascii="宋体" w:hAnsi="宋体" w:eastAsia="宋体" w:cs="宋体"/>
          <w:kern w:val="0"/>
        </w:rPr>
        <w:t>请注意本文件的某些内容可能涉及专利。本文件的发布机构不承担识别专利的责任。</w:t>
      </w:r>
    </w:p>
    <w:p w14:paraId="0E33B9FA">
      <w:pPr>
        <w:ind w:firstLine="420" w:firstLineChars="200"/>
        <w:rPr>
          <w:rFonts w:hint="eastAsia" w:ascii="宋体" w:hAnsi="宋体" w:eastAsia="宋体" w:cs="宋体"/>
        </w:rPr>
      </w:pPr>
      <w:r>
        <w:rPr>
          <w:rFonts w:hint="eastAsia" w:ascii="宋体" w:hAnsi="宋体" w:eastAsia="宋体" w:cs="宋体"/>
        </w:rPr>
        <w:t>本文件由中国节能协会提出并归口。</w:t>
      </w:r>
    </w:p>
    <w:p w14:paraId="0E33B9FB">
      <w:pPr>
        <w:ind w:firstLine="420" w:firstLineChars="200"/>
        <w:rPr>
          <w:rFonts w:hint="eastAsia" w:ascii="宋体" w:hAnsi="宋体" w:eastAsia="宋体" w:cs="宋体"/>
        </w:rPr>
      </w:pPr>
      <w:r>
        <w:rPr>
          <w:rFonts w:hint="eastAsia" w:ascii="宋体" w:hAnsi="宋体" w:eastAsia="宋体" w:cs="宋体"/>
        </w:rPr>
        <w:t>本文件起草单位：宁波交通工程建设集团有限公司、浙江宁波杭甬复线三期高速公路有限公司、中交第二公路工程局有限公司、东南大学。</w:t>
      </w:r>
    </w:p>
    <w:p w14:paraId="0E33B9FC">
      <w:pPr>
        <w:ind w:firstLine="420" w:firstLineChars="200"/>
        <w:rPr>
          <w:rFonts w:hint="eastAsia" w:ascii="宋体" w:hAnsi="宋体" w:eastAsia="宋体" w:cs="宋体"/>
        </w:rPr>
      </w:pPr>
      <w:r>
        <w:rPr>
          <w:rFonts w:hint="eastAsia" w:ascii="宋体" w:hAnsi="宋体" w:eastAsia="宋体" w:cs="宋体"/>
        </w:rPr>
        <w:t>本文件主要起草人：XXXX。</w:t>
      </w:r>
    </w:p>
    <w:p w14:paraId="0E33B9FD">
      <w:pPr>
        <w:ind w:firstLine="420" w:firstLineChars="200"/>
        <w:rPr>
          <w:rFonts w:hint="eastAsia" w:ascii="宋体" w:hAnsi="宋体" w:eastAsia="宋体" w:cs="宋体"/>
        </w:rPr>
        <w:sectPr>
          <w:headerReference r:id="rId8" w:type="first"/>
          <w:footerReference r:id="rId10" w:type="first"/>
          <w:headerReference r:id="rId7" w:type="default"/>
          <w:footerReference r:id="rId9" w:type="default"/>
          <w:pgSz w:w="11905" w:h="16838"/>
          <w:pgMar w:top="1417" w:right="1417" w:bottom="1134" w:left="1417" w:header="1417" w:footer="1134" w:gutter="0"/>
          <w:pgBorders>
            <w:top w:val="none" w:sz="0" w:space="0"/>
            <w:left w:val="none" w:sz="0" w:space="0"/>
            <w:bottom w:val="none" w:sz="0" w:space="0"/>
            <w:right w:val="none" w:sz="0" w:space="0"/>
          </w:pgBorders>
          <w:pgNumType w:fmt="upperRoman"/>
          <w:cols w:space="0" w:num="1"/>
          <w:titlePg/>
          <w:docGrid w:linePitch="312" w:charSpace="0"/>
        </w:sectPr>
      </w:pPr>
      <w:r>
        <w:rPr>
          <w:rFonts w:hint="eastAsia" w:ascii="宋体" w:hAnsi="宋体" w:eastAsia="宋体" w:cs="宋体"/>
        </w:rPr>
        <w:t>本文件为首次发布。</w:t>
      </w:r>
    </w:p>
    <w:p w14:paraId="0E33B9FE">
      <w:pPr>
        <w:ind w:firstLine="420" w:firstLineChars="200"/>
        <w:rPr>
          <w:rFonts w:hint="eastAsia" w:ascii="宋体" w:hAnsi="宋体" w:eastAsia="宋体" w:cs="宋体"/>
        </w:rPr>
      </w:pPr>
    </w:p>
    <w:p w14:paraId="0E33B9FF">
      <w:pPr>
        <w:pStyle w:val="15"/>
        <w:spacing w:before="0" w:after="0" w:line="240" w:lineRule="auto"/>
        <w:ind w:firstLine="640" w:firstLineChars="200"/>
        <w:outlineLvl w:val="9"/>
        <w:rPr>
          <w:rFonts w:hint="eastAsia" w:ascii="宋体" w:hAnsi="宋体" w:eastAsia="宋体" w:cs="宋体"/>
        </w:rPr>
        <w:sectPr>
          <w:type w:val="continuous"/>
          <w:pgSz w:w="11905" w:h="16838"/>
          <w:pgMar w:top="1417" w:right="1417" w:bottom="1134" w:left="1417" w:header="1417" w:footer="1134" w:gutter="0"/>
          <w:pgBorders>
            <w:top w:val="none" w:sz="0" w:space="0"/>
            <w:left w:val="none" w:sz="0" w:space="0"/>
            <w:bottom w:val="none" w:sz="0" w:space="0"/>
            <w:right w:val="none" w:sz="0" w:space="0"/>
          </w:pgBorders>
          <w:pgNumType w:fmt="upperRoman"/>
          <w:cols w:space="0" w:num="1"/>
          <w:titlePg/>
          <w:docGrid w:linePitch="312" w:charSpace="0"/>
        </w:sectPr>
      </w:pPr>
    </w:p>
    <w:p w14:paraId="0E33BA00">
      <w:pPr>
        <w:pStyle w:val="15"/>
        <w:rPr>
          <w:rFonts w:hint="eastAsia" w:ascii="Arial" w:hAnsi="Arial" w:eastAsia="黑体" w:cs="Arial"/>
          <w:lang w:val="en-US" w:eastAsia="zh-CN"/>
        </w:rPr>
      </w:pPr>
      <w:bookmarkStart w:id="9" w:name="_Toc1470"/>
      <w:r>
        <w:rPr>
          <w:rFonts w:hint="eastAsia" w:ascii="Arial" w:hAnsi="Arial" w:cs="Arial"/>
        </w:rPr>
        <w:t>T梁工业化建造碳排放核算</w:t>
      </w:r>
      <w:bookmarkEnd w:id="9"/>
      <w:r>
        <w:rPr>
          <w:rFonts w:hint="eastAsia" w:ascii="Arial" w:hAnsi="Arial" w:cs="Arial"/>
          <w:lang w:val="en-US" w:eastAsia="zh-CN"/>
        </w:rPr>
        <w:t>方法</w:t>
      </w:r>
    </w:p>
    <w:p w14:paraId="1905D717">
      <w:pPr>
        <w:pStyle w:val="32"/>
        <w:spacing w:before="312" w:after="312"/>
      </w:pPr>
      <w:bookmarkStart w:id="10" w:name="_Toc17233333"/>
      <w:bookmarkStart w:id="11" w:name="_Toc24884211"/>
      <w:bookmarkStart w:id="12" w:name="_Toc26718930"/>
      <w:bookmarkStart w:id="13" w:name="_Toc26986530"/>
      <w:bookmarkStart w:id="14" w:name="_Toc24884218"/>
      <w:bookmarkStart w:id="15" w:name="_Toc26648465"/>
      <w:bookmarkStart w:id="16" w:name="_Toc17233325"/>
      <w:bookmarkStart w:id="17" w:name="_Toc26986771"/>
      <w:bookmarkStart w:id="18" w:name="_Toc11178"/>
      <w:bookmarkStart w:id="19" w:name="_Toc97190718"/>
      <w:bookmarkStart w:id="20" w:name="_Toc25514"/>
      <w:bookmarkStart w:id="21" w:name="_Toc6739"/>
      <w:bookmarkStart w:id="22" w:name="_Toc13754"/>
      <w:bookmarkStart w:id="23" w:name="_Toc2185"/>
      <w:bookmarkStart w:id="24" w:name="_Toc9505"/>
      <w:bookmarkStart w:id="25" w:name="_Toc32498"/>
      <w:bookmarkStart w:id="26" w:name="_Toc3362"/>
      <w:bookmarkStart w:id="27" w:name="_Toc6850"/>
      <w:bookmarkStart w:id="28" w:name="_Toc20601"/>
      <w:bookmarkStart w:id="29" w:name="_Toc23943"/>
      <w:bookmarkStart w:id="30" w:name="_Toc25746"/>
      <w:r>
        <w:rPr>
          <w:rFonts w:hint="eastAsia"/>
        </w:rPr>
        <w:t>范围</w:t>
      </w:r>
      <w:bookmarkEnd w:id="10"/>
      <w:bookmarkEnd w:id="11"/>
      <w:bookmarkEnd w:id="12"/>
      <w:bookmarkEnd w:id="13"/>
      <w:bookmarkEnd w:id="14"/>
      <w:bookmarkEnd w:id="15"/>
      <w:bookmarkEnd w:id="16"/>
      <w:bookmarkEnd w:id="17"/>
      <w:bookmarkEnd w:id="18"/>
      <w:bookmarkEnd w:id="19"/>
    </w:p>
    <w:bookmarkEnd w:id="20"/>
    <w:bookmarkEnd w:id="21"/>
    <w:bookmarkEnd w:id="22"/>
    <w:bookmarkEnd w:id="23"/>
    <w:bookmarkEnd w:id="24"/>
    <w:bookmarkEnd w:id="25"/>
    <w:bookmarkEnd w:id="26"/>
    <w:bookmarkEnd w:id="27"/>
    <w:bookmarkEnd w:id="28"/>
    <w:bookmarkEnd w:id="29"/>
    <w:bookmarkEnd w:id="30"/>
    <w:p w14:paraId="0E33BA02">
      <w:pPr>
        <w:pStyle w:val="18"/>
        <w:ind w:firstLineChars="0"/>
        <w:rPr>
          <w:rFonts w:hint="eastAsia" w:hAnsi="宋体" w:cs="宋体"/>
          <w:szCs w:val="21"/>
        </w:rPr>
      </w:pPr>
      <w:r>
        <w:rPr>
          <w:rFonts w:hint="eastAsia" w:ascii="Times New Roman"/>
          <w:szCs w:val="21"/>
        </w:rPr>
        <w:t>本文件规定了工业化建造T梁碳排放核算的术语和定义、基本规定、核算边界、数据要求、核算方法以及核算结果汇总与复核要求。</w:t>
      </w:r>
    </w:p>
    <w:p w14:paraId="0E33BA03">
      <w:pPr>
        <w:pStyle w:val="18"/>
        <w:ind w:firstLineChars="0"/>
        <w:rPr>
          <w:rFonts w:hint="eastAsia" w:hAnsi="宋体" w:cs="宋体"/>
          <w:szCs w:val="21"/>
        </w:rPr>
      </w:pPr>
      <w:r>
        <w:rPr>
          <w:rFonts w:hint="eastAsia" w:ascii="Times New Roman"/>
          <w:szCs w:val="21"/>
        </w:rPr>
        <w:t>本文件适用于工业化建造T梁原材料生产、原材料运输、构件工厂化生产、构件运输和现场安装阶段的碳排放核算</w:t>
      </w:r>
      <w:r>
        <w:rPr>
          <w:rFonts w:hint="eastAsia" w:ascii="Times New Roman"/>
          <w:szCs w:val="21"/>
          <w:lang w:eastAsia="zh-CN"/>
        </w:rPr>
        <w:t>，</w:t>
      </w:r>
      <w:r>
        <w:rPr>
          <w:rFonts w:ascii="Segoe UI" w:hAnsi="Segoe UI" w:eastAsia="Segoe UI" w:cs="Segoe UI"/>
          <w:i w:val="0"/>
          <w:iCs w:val="0"/>
          <w:caps w:val="0"/>
          <w:spacing w:val="0"/>
          <w:sz w:val="22"/>
          <w:szCs w:val="22"/>
          <w:shd w:val="clear" w:fill="FFFFFF"/>
        </w:rPr>
        <w:t>不适用于T梁使用、拆除和回收阶段的碳排放核算</w:t>
      </w:r>
      <w:r>
        <w:rPr>
          <w:rFonts w:hint="eastAsia" w:ascii="Times New Roman"/>
          <w:szCs w:val="21"/>
        </w:rPr>
        <w:t>。</w:t>
      </w:r>
    </w:p>
    <w:p w14:paraId="3396E007">
      <w:pPr>
        <w:pStyle w:val="32"/>
        <w:spacing w:before="312" w:after="312"/>
      </w:pPr>
      <w:bookmarkStart w:id="31" w:name="bookmark3"/>
      <w:bookmarkEnd w:id="31"/>
      <w:bookmarkStart w:id="32" w:name="_Toc97190719"/>
      <w:bookmarkStart w:id="33" w:name="_Toc26986772"/>
      <w:bookmarkStart w:id="34" w:name="_Toc26986531"/>
      <w:bookmarkStart w:id="35" w:name="_Toc30621"/>
      <w:bookmarkStart w:id="36" w:name="_Toc26718931"/>
      <w:bookmarkStart w:id="37" w:name="_Toc802"/>
      <w:bookmarkStart w:id="38" w:name="_Toc207832809"/>
      <w:bookmarkStart w:id="39" w:name="_Toc8080"/>
      <w:bookmarkStart w:id="40" w:name="_Toc30614"/>
      <w:bookmarkStart w:id="41" w:name="_Toc5705"/>
      <w:bookmarkStart w:id="42" w:name="_Toc25531"/>
      <w:bookmarkStart w:id="43" w:name="_Toc21784"/>
      <w:r>
        <w:rPr>
          <w:rFonts w:hint="eastAsia"/>
        </w:rPr>
        <w:t>规范性引用文件</w:t>
      </w:r>
      <w:bookmarkEnd w:id="32"/>
      <w:bookmarkEnd w:id="33"/>
      <w:bookmarkEnd w:id="34"/>
      <w:bookmarkEnd w:id="35"/>
      <w:bookmarkEnd w:id="36"/>
    </w:p>
    <w:bookmarkEnd w:id="37"/>
    <w:bookmarkEnd w:id="38"/>
    <w:bookmarkEnd w:id="39"/>
    <w:bookmarkEnd w:id="40"/>
    <w:bookmarkEnd w:id="41"/>
    <w:bookmarkEnd w:id="42"/>
    <w:bookmarkEnd w:id="43"/>
    <w:p w14:paraId="0E33BA05">
      <w:pPr>
        <w:pStyle w:val="18"/>
        <w:ind w:firstLineChars="0"/>
        <w:rPr>
          <w:rFonts w:hint="eastAsia" w:hAnsi="宋体" w:cs="宋体"/>
          <w:szCs w:val="21"/>
        </w:rPr>
      </w:pPr>
      <w:bookmarkStart w:id="44" w:name="bookmark5"/>
      <w:bookmarkEnd w:id="44"/>
      <w:bookmarkStart w:id="45" w:name="bookmark6"/>
      <w:bookmarkEnd w:id="45"/>
      <w:bookmarkStart w:id="46" w:name="_Toc27014"/>
      <w:bookmarkStart w:id="47" w:name="_Toc207832811"/>
      <w:r>
        <w:rPr>
          <w:rFonts w:hint="eastAsia" w:ascii="Times New Roman"/>
          <w:szCs w:val="21"/>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71430D4A">
      <w:pPr>
        <w:pStyle w:val="18"/>
        <w:rPr>
          <w:rFonts w:ascii="Times New Roman"/>
          <w:szCs w:val="21"/>
        </w:rPr>
      </w:pPr>
      <w:r>
        <w:rPr>
          <w:rFonts w:hint="eastAsia" w:ascii="Times New Roman"/>
          <w:szCs w:val="21"/>
        </w:rPr>
        <w:t>GB/T2589—2020　综合能耗计算通则</w:t>
      </w:r>
    </w:p>
    <w:p w14:paraId="0E33BA06">
      <w:pPr>
        <w:pStyle w:val="18"/>
        <w:ind w:firstLineChars="0"/>
        <w:rPr>
          <w:rFonts w:hint="eastAsia" w:hAnsi="宋体" w:cs="宋体"/>
          <w:szCs w:val="21"/>
        </w:rPr>
      </w:pPr>
      <w:r>
        <w:rPr>
          <w:rFonts w:hint="eastAsia" w:ascii="Times New Roman"/>
          <w:szCs w:val="21"/>
        </w:rPr>
        <w:t>GB/T24040—2008　环境管理　生命周期评价　原则与框架</w:t>
      </w:r>
    </w:p>
    <w:p w14:paraId="0E33BA08">
      <w:pPr>
        <w:pStyle w:val="18"/>
        <w:rPr>
          <w:rFonts w:ascii="Times New Roman"/>
          <w:szCs w:val="21"/>
        </w:rPr>
      </w:pPr>
      <w:r>
        <w:rPr>
          <w:rFonts w:hint="eastAsia" w:ascii="Times New Roman"/>
          <w:szCs w:val="21"/>
        </w:rPr>
        <w:t>GB/T32150—2025　工业企业温室气体排放核算和报告通则</w:t>
      </w:r>
    </w:p>
    <w:p w14:paraId="0E33BA09">
      <w:pPr>
        <w:pStyle w:val="18"/>
        <w:ind w:firstLineChars="0"/>
        <w:rPr>
          <w:rFonts w:ascii="Times New Roman"/>
          <w:szCs w:val="21"/>
        </w:rPr>
      </w:pPr>
      <w:r>
        <w:rPr>
          <w:rFonts w:hint="eastAsia" w:ascii="Times New Roman"/>
          <w:szCs w:val="21"/>
        </w:rPr>
        <w:t>GB/T50861—2024　城市轨道交通工程工程量计算标准</w:t>
      </w:r>
    </w:p>
    <w:p w14:paraId="74EF6359">
      <w:pPr>
        <w:pStyle w:val="32"/>
        <w:spacing w:before="312" w:after="312"/>
      </w:pPr>
      <w:bookmarkStart w:id="48" w:name="bookmark4"/>
      <w:bookmarkEnd w:id="48"/>
      <w:bookmarkStart w:id="49" w:name="_Toc97190720"/>
      <w:bookmarkStart w:id="50" w:name="_Toc31697"/>
      <w:bookmarkStart w:id="51" w:name="_Toc30522"/>
      <w:bookmarkStart w:id="52" w:name="_Toc12821"/>
      <w:bookmarkStart w:id="53" w:name="_Toc15030"/>
      <w:bookmarkStart w:id="54" w:name="_Toc13993"/>
      <w:bookmarkStart w:id="55" w:name="_Toc207832810"/>
      <w:bookmarkStart w:id="56" w:name="_Toc14300"/>
      <w:bookmarkStart w:id="57" w:name="_Toc6851"/>
      <w:r>
        <w:rPr>
          <w:rFonts w:hint="eastAsia"/>
          <w:szCs w:val="21"/>
        </w:rPr>
        <w:t>术语和定义</w:t>
      </w:r>
      <w:bookmarkEnd w:id="49"/>
      <w:bookmarkEnd w:id="50"/>
    </w:p>
    <w:bookmarkEnd w:id="51"/>
    <w:bookmarkEnd w:id="52"/>
    <w:bookmarkEnd w:id="53"/>
    <w:bookmarkEnd w:id="54"/>
    <w:bookmarkEnd w:id="55"/>
    <w:bookmarkEnd w:id="56"/>
    <w:bookmarkEnd w:id="57"/>
    <w:p w14:paraId="0E33BA0F">
      <w:pPr>
        <w:pStyle w:val="18"/>
        <w:ind w:firstLineChars="0"/>
        <w:rPr>
          <w:rFonts w:hint="eastAsia" w:hAnsi="宋体" w:cs="宋体"/>
          <w:szCs w:val="21"/>
        </w:rPr>
      </w:pPr>
      <w:r>
        <w:rPr>
          <w:rFonts w:hint="eastAsia" w:ascii="Times New Roman"/>
          <w:szCs w:val="21"/>
        </w:rPr>
        <w:t>下列术语和定义适用于本文件。</w:t>
      </w:r>
    </w:p>
    <w:p w14:paraId="41D37CEF">
      <w:pPr>
        <w:pStyle w:val="29"/>
        <w:bidi w:val="0"/>
        <w:spacing w:after="0" w:afterLines="0"/>
        <w:ind w:left="420" w:hanging="420" w:hangingChars="200"/>
        <w:rPr>
          <w:rFonts w:hint="eastAsia" w:ascii="黑体" w:hAnsi="黑体" w:eastAsia="黑体" w:cs="黑体"/>
          <w:lang w:eastAsia="zh-CN"/>
        </w:rPr>
      </w:pPr>
      <w:r>
        <w:rPr>
          <w:rFonts w:hint="eastAsia" w:ascii="黑体" w:hAnsi="黑体" w:eastAsia="黑体" w:cs="黑体"/>
          <w:lang w:eastAsia="zh-CN"/>
        </w:rPr>
        <w:br w:type="textWrapping"/>
      </w:r>
      <w:r>
        <w:rPr>
          <w:rFonts w:hint="eastAsia" w:ascii="黑体" w:hAnsi="黑体" w:eastAsia="黑体" w:cs="黑体"/>
          <w:lang w:val="en-US" w:eastAsia="zh-CN"/>
        </w:rPr>
        <w:t xml:space="preserve">工业化建造T梁  </w:t>
      </w:r>
      <w:r>
        <w:rPr>
          <w:rFonts w:hint="eastAsia" w:ascii="黑体" w:hAnsi="黑体" w:eastAsia="黑体" w:cs="黑体"/>
        </w:rPr>
        <w:t>T-beam of industrialized construction</w:t>
      </w:r>
    </w:p>
    <w:p w14:paraId="0E33BA11">
      <w:pPr>
        <w:pStyle w:val="17"/>
        <w:ind w:firstLine="420"/>
      </w:pPr>
      <w:r>
        <w:rPr>
          <w:rFonts w:hint="eastAsia" w:ascii="Times New Roman"/>
        </w:rPr>
        <w:t>采用标准化设计、工厂化生产和装配化施工等工业化建造方式生产并安装的T形截面梁构件。</w:t>
      </w:r>
    </w:p>
    <w:p w14:paraId="7896CFDE">
      <w:pPr>
        <w:pStyle w:val="29"/>
        <w:bidi w:val="0"/>
        <w:spacing w:after="0" w:afterLines="0"/>
        <w:ind w:left="420" w:hanging="420" w:hangingChars="200"/>
        <w:rPr>
          <w:rFonts w:hint="eastAsia" w:ascii="黑体" w:hAnsi="黑体" w:eastAsia="黑体" w:cs="黑体"/>
          <w:lang w:eastAsia="zh-CN"/>
        </w:rPr>
      </w:pPr>
    </w:p>
    <w:p w14:paraId="0E33BA12">
      <w:pPr>
        <w:pStyle w:val="29"/>
        <w:numPr>
          <w:ilvl w:val="-1"/>
          <w:numId w:val="0"/>
        </w:numPr>
        <w:spacing w:before="156" w:after="0" w:afterLines="0"/>
        <w:ind w:left="-420" w:leftChars="-200" w:firstLine="840" w:firstLineChars="400"/>
        <w:outlineLvl w:val="9"/>
        <w:rPr>
          <w:rFonts w:hint="eastAsia" w:ascii="黑体" w:hAnsi="黑体" w:eastAsia="黑体" w:cs="黑体"/>
        </w:rPr>
      </w:pPr>
      <w:r>
        <w:rPr>
          <w:rFonts w:hint="eastAsia" w:ascii="黑体" w:hAnsi="黑体" w:eastAsia="黑体" w:cs="黑体"/>
        </w:rPr>
        <w:t>工业化建造T梁碳排放量</w:t>
      </w:r>
      <w:r>
        <w:rPr>
          <w:rFonts w:hint="eastAsia" w:ascii="黑体" w:hAnsi="黑体" w:eastAsia="黑体" w:cs="黑体"/>
          <w:lang w:val="en-US" w:eastAsia="zh-CN"/>
        </w:rPr>
        <w:t xml:space="preserve">  </w:t>
      </w:r>
      <w:r>
        <w:rPr>
          <w:rFonts w:hint="eastAsia" w:ascii="黑体" w:hAnsi="黑体" w:eastAsia="黑体" w:cs="黑体"/>
        </w:rPr>
        <w:t>carbonemissionsfromindustrializedconstructionofT-beams</w:t>
      </w:r>
    </w:p>
    <w:p w14:paraId="0E33BA13">
      <w:pPr>
        <w:pStyle w:val="17"/>
        <w:ind w:firstLine="420"/>
      </w:pPr>
      <w:r>
        <w:rPr>
          <w:rFonts w:hint="eastAsia" w:ascii="Times New Roman"/>
        </w:rPr>
        <w:t>在规定核算边界内，与工业化建造T梁相关的二氧化碳排放量之和。</w:t>
      </w:r>
    </w:p>
    <w:p w14:paraId="4492EB20">
      <w:pPr>
        <w:pStyle w:val="29"/>
        <w:bidi w:val="0"/>
        <w:spacing w:after="0" w:afterLines="0"/>
        <w:ind w:left="420" w:hanging="420" w:hangingChars="200"/>
        <w:rPr>
          <w:rFonts w:hint="eastAsia" w:ascii="黑体" w:hAnsi="黑体" w:eastAsia="黑体" w:cs="黑体"/>
          <w:lang w:eastAsia="zh-CN"/>
        </w:rPr>
      </w:pPr>
    </w:p>
    <w:p w14:paraId="0E33BA14">
      <w:pPr>
        <w:pStyle w:val="29"/>
        <w:numPr>
          <w:ilvl w:val="-1"/>
          <w:numId w:val="0"/>
        </w:numPr>
        <w:spacing w:before="156" w:after="0" w:afterLines="0"/>
        <w:ind w:left="-420" w:leftChars="-200" w:firstLine="840" w:firstLineChars="400"/>
        <w:outlineLvl w:val="9"/>
        <w:rPr>
          <w:rFonts w:hint="eastAsia" w:ascii="黑体" w:hAnsi="黑体" w:eastAsia="黑体" w:cs="黑体"/>
        </w:rPr>
      </w:pPr>
      <w:r>
        <w:rPr>
          <w:rFonts w:hint="eastAsia" w:ascii="黑体" w:hAnsi="黑体" w:eastAsia="黑体" w:cs="黑体"/>
        </w:rPr>
        <w:t>碳排放强度</w:t>
      </w:r>
      <w:r>
        <w:rPr>
          <w:rFonts w:hint="eastAsia" w:ascii="黑体" w:hAnsi="黑体" w:eastAsia="黑体" w:cs="黑体"/>
          <w:lang w:val="en-US" w:eastAsia="zh-CN"/>
        </w:rPr>
        <w:t xml:space="preserve">  </w:t>
      </w:r>
      <w:r>
        <w:rPr>
          <w:rFonts w:hint="eastAsia" w:ascii="黑体" w:hAnsi="黑体" w:eastAsia="黑体" w:cs="黑体"/>
        </w:rPr>
        <w:t>carbonemissionintensity</w:t>
      </w:r>
    </w:p>
    <w:p w14:paraId="0E33BA15">
      <w:pPr>
        <w:pStyle w:val="17"/>
        <w:ind w:firstLine="420"/>
      </w:pPr>
      <w:r>
        <w:rPr>
          <w:rFonts w:hint="eastAsia" w:ascii="Times New Roman"/>
        </w:rPr>
        <w:t>在规定核算边界和核算周期内，单位体积T梁在工业化建造过程中产生的二氧化碳排放量。</w:t>
      </w:r>
    </w:p>
    <w:p w14:paraId="01CFA0B9">
      <w:pPr>
        <w:pStyle w:val="29"/>
        <w:bidi w:val="0"/>
        <w:spacing w:after="0" w:afterLines="0"/>
        <w:ind w:left="420" w:hanging="420" w:hangingChars="200"/>
        <w:rPr>
          <w:rFonts w:hint="eastAsia" w:ascii="黑体" w:hAnsi="黑体" w:eastAsia="黑体" w:cs="黑体"/>
          <w:lang w:eastAsia="zh-CN"/>
        </w:rPr>
      </w:pPr>
    </w:p>
    <w:p w14:paraId="0E33BA16">
      <w:pPr>
        <w:pStyle w:val="29"/>
        <w:numPr>
          <w:ilvl w:val="-1"/>
          <w:numId w:val="0"/>
        </w:numPr>
        <w:spacing w:before="156" w:after="0" w:afterLines="0"/>
        <w:ind w:left="-420" w:leftChars="-200" w:firstLine="840" w:firstLineChars="400"/>
        <w:outlineLvl w:val="9"/>
        <w:rPr>
          <w:rFonts w:hint="eastAsia" w:ascii="黑体" w:hAnsi="黑体" w:eastAsia="黑体" w:cs="黑体"/>
        </w:rPr>
      </w:pPr>
      <w:r>
        <w:rPr>
          <w:rFonts w:hint="eastAsia" w:ascii="黑体" w:hAnsi="黑体" w:eastAsia="黑体" w:cs="黑体"/>
        </w:rPr>
        <w:t>碳排放因子</w:t>
      </w:r>
      <w:r>
        <w:rPr>
          <w:rFonts w:hint="eastAsia" w:ascii="黑体" w:hAnsi="黑体" w:eastAsia="黑体" w:cs="黑体"/>
          <w:lang w:val="en-US" w:eastAsia="zh-CN"/>
        </w:rPr>
        <w:t xml:space="preserve">  </w:t>
      </w:r>
      <w:r>
        <w:rPr>
          <w:rFonts w:hint="eastAsia" w:ascii="黑体" w:hAnsi="黑体" w:eastAsia="黑体" w:cs="黑体"/>
        </w:rPr>
        <w:t>carbonemissionfactor</w:t>
      </w:r>
    </w:p>
    <w:p w14:paraId="0E33BA17">
      <w:pPr>
        <w:pStyle w:val="17"/>
        <w:ind w:firstLine="420"/>
        <w:rPr>
          <w:rFonts w:hint="eastAsia" w:eastAsia="宋体"/>
          <w:lang w:eastAsia="zh-CN"/>
        </w:rPr>
      </w:pPr>
      <w:r>
        <w:rPr>
          <w:rFonts w:hint="eastAsia" w:ascii="Times New Roman"/>
        </w:rPr>
        <w:t>将能源或材料消耗量转换为二氧化碳排放量的系数，用于量化工业化建造T梁各阶段活动的碳排放。</w:t>
      </w:r>
    </w:p>
    <w:p w14:paraId="574B0816">
      <w:pPr>
        <w:pStyle w:val="29"/>
        <w:bidi w:val="0"/>
        <w:spacing w:after="0" w:afterLines="0"/>
        <w:ind w:left="420" w:hanging="420" w:hangingChars="200"/>
        <w:rPr>
          <w:rFonts w:hint="eastAsia" w:ascii="黑体" w:hAnsi="黑体" w:eastAsia="黑体" w:cs="黑体"/>
          <w:lang w:eastAsia="zh-CN"/>
        </w:rPr>
      </w:pPr>
    </w:p>
    <w:p w14:paraId="0E33BA19">
      <w:pPr>
        <w:pStyle w:val="29"/>
        <w:numPr>
          <w:ilvl w:val="-1"/>
          <w:numId w:val="0"/>
        </w:numPr>
        <w:spacing w:before="156" w:after="0" w:afterLines="0"/>
        <w:ind w:left="-420" w:leftChars="-200" w:firstLine="840" w:firstLineChars="400"/>
        <w:outlineLvl w:val="9"/>
        <w:rPr>
          <w:rFonts w:hint="eastAsia" w:ascii="黑体" w:hAnsi="黑体" w:eastAsia="黑体" w:cs="黑体"/>
        </w:rPr>
      </w:pPr>
      <w:r>
        <w:rPr>
          <w:rFonts w:hint="eastAsia" w:ascii="黑体" w:hAnsi="黑体" w:eastAsia="黑体" w:cs="黑体"/>
        </w:rPr>
        <w:t>周转材料</w:t>
      </w:r>
      <w:r>
        <w:rPr>
          <w:rFonts w:hint="eastAsia" w:ascii="黑体" w:hAnsi="黑体" w:eastAsia="黑体" w:cs="黑体"/>
          <w:lang w:val="en-US" w:eastAsia="zh-CN"/>
        </w:rPr>
        <w:t xml:space="preserve">  </w:t>
      </w:r>
      <w:r>
        <w:rPr>
          <w:rFonts w:hint="eastAsia" w:ascii="黑体" w:hAnsi="黑体" w:eastAsia="黑体" w:cs="黑体"/>
        </w:rPr>
        <w:t>turnovermaterial</w:t>
      </w:r>
    </w:p>
    <w:p w14:paraId="0E33BA1A">
      <w:pPr>
        <w:pStyle w:val="17"/>
        <w:ind w:firstLine="420"/>
        <w:rPr>
          <w:rFonts w:ascii="Times New Roman"/>
        </w:rPr>
      </w:pPr>
      <w:r>
        <w:rPr>
          <w:rFonts w:hint="eastAsia" w:ascii="Times New Roman"/>
        </w:rPr>
        <w:t>在T梁工厂化生产或现场安装过程中可重复使用，并按规定方法在各次使用之间分配其碳排放量的材料。</w:t>
      </w:r>
    </w:p>
    <w:p w14:paraId="068152A5">
      <w:pPr>
        <w:pStyle w:val="29"/>
        <w:bidi w:val="0"/>
        <w:spacing w:after="0" w:afterLines="0"/>
        <w:ind w:left="420" w:hanging="420" w:hangingChars="200"/>
        <w:rPr>
          <w:rFonts w:hint="eastAsia" w:ascii="黑体" w:hAnsi="黑体" w:eastAsia="黑体" w:cs="黑体"/>
          <w:lang w:eastAsia="zh-CN"/>
        </w:rPr>
      </w:pPr>
    </w:p>
    <w:p w14:paraId="0E33BA1B">
      <w:pPr>
        <w:pStyle w:val="29"/>
        <w:numPr>
          <w:ilvl w:val="-1"/>
          <w:numId w:val="0"/>
        </w:numPr>
        <w:spacing w:before="156" w:after="0" w:afterLines="0"/>
        <w:ind w:left="-420" w:leftChars="-200" w:firstLine="840" w:firstLineChars="400"/>
        <w:outlineLvl w:val="9"/>
        <w:rPr>
          <w:rFonts w:hint="eastAsia" w:ascii="黑体" w:hAnsi="黑体" w:eastAsia="黑体" w:cs="黑体"/>
        </w:rPr>
      </w:pPr>
      <w:r>
        <w:rPr>
          <w:rFonts w:hint="eastAsia" w:ascii="黑体" w:hAnsi="黑体" w:eastAsia="黑体" w:cs="黑体"/>
        </w:rPr>
        <w:t>核算周期</w:t>
      </w:r>
      <w:r>
        <w:rPr>
          <w:rFonts w:hint="eastAsia" w:ascii="黑体" w:hAnsi="黑体" w:eastAsia="黑体" w:cs="黑体"/>
          <w:lang w:val="en-US" w:eastAsia="zh-CN"/>
        </w:rPr>
        <w:t xml:space="preserve">  </w:t>
      </w:r>
      <w:r>
        <w:rPr>
          <w:rFonts w:hint="eastAsia" w:ascii="黑体" w:hAnsi="黑体" w:eastAsia="黑体" w:cs="黑体"/>
        </w:rPr>
        <w:t>accountingperiod</w:t>
      </w:r>
    </w:p>
    <w:p w14:paraId="0E33BA1C">
      <w:pPr>
        <w:pStyle w:val="17"/>
        <w:ind w:firstLine="420"/>
        <w:rPr>
          <w:rFonts w:hint="eastAsia" w:ascii="Times New Roman"/>
        </w:rPr>
      </w:pPr>
      <w:r>
        <w:rPr>
          <w:rFonts w:hint="eastAsia" w:ascii="Times New Roman"/>
        </w:rPr>
        <w:t>为汇总和核算工业化建造T梁碳排放量而选定的连续时间区间。</w:t>
      </w:r>
    </w:p>
    <w:p w14:paraId="44CBF15B">
      <w:pPr>
        <w:pStyle w:val="29"/>
        <w:bidi w:val="0"/>
        <w:spacing w:after="0" w:afterLines="0"/>
        <w:ind w:left="420" w:hanging="420" w:hangingChars="200"/>
        <w:rPr>
          <w:rFonts w:hint="eastAsia" w:ascii="黑体" w:hAnsi="黑体" w:eastAsia="黑体" w:cs="黑体"/>
          <w:lang w:eastAsia="zh-CN"/>
        </w:rPr>
      </w:pPr>
    </w:p>
    <w:p w14:paraId="54997D6E">
      <w:pPr>
        <w:pStyle w:val="29"/>
        <w:numPr>
          <w:ilvl w:val="2"/>
          <w:numId w:val="0"/>
        </w:numPr>
        <w:spacing w:afterLines="0"/>
        <w:ind w:leftChars="-200" w:firstLine="840" w:firstLineChars="400"/>
        <w:rPr>
          <w:rFonts w:hint="eastAsia" w:ascii="黑体" w:hAnsi="黑体" w:eastAsia="黑体" w:cs="黑体"/>
          <w:kern w:val="0"/>
          <w:lang w:val="en-US" w:eastAsia="zh-CN"/>
        </w:rPr>
      </w:pPr>
      <w:r>
        <w:rPr>
          <w:rFonts w:hint="eastAsia" w:ascii="黑体" w:hAnsi="黑体" w:eastAsia="黑体" w:cs="黑体"/>
          <w:kern w:val="0"/>
        </w:rPr>
        <w:t>措施项目</w:t>
      </w:r>
      <w:r>
        <w:rPr>
          <w:rFonts w:hint="eastAsia" w:ascii="黑体" w:hAnsi="黑体" w:eastAsia="黑体" w:cs="黑体"/>
          <w:kern w:val="0"/>
          <w:lang w:val="en-US" w:eastAsia="zh-CN"/>
        </w:rPr>
        <w:t xml:space="preserve">  </w:t>
      </w:r>
      <w:r>
        <w:rPr>
          <w:rFonts w:hint="eastAsia" w:ascii="黑体" w:hAnsi="黑体" w:eastAsia="黑体" w:cs="黑体"/>
          <w:sz w:val="21"/>
          <w:szCs w:val="20"/>
        </w:rPr>
        <w:t>construction measure items</w:t>
      </w:r>
    </w:p>
    <w:p w14:paraId="7867AA48">
      <w:pPr>
        <w:pStyle w:val="17"/>
        <w:ind w:firstLine="420"/>
        <w:rPr>
          <w:rFonts w:hint="eastAsia" w:ascii="Times New Roman"/>
        </w:rPr>
      </w:pPr>
      <w:r>
        <w:rPr>
          <w:rFonts w:hint="eastAsia" w:ascii="Times New Roman" w:hAnsi="Times New Roman" w:eastAsia="宋体" w:cs="Times New Roman"/>
          <w:kern w:val="0"/>
        </w:rPr>
        <w:t>指为了完成工程施工，在施工前和施工过程中发生的技术、生活、安全、环境保护等方面的项目，该类项目不形成工程实体。通常包括环境保护措施、文明施工措施、安全施工措施、临时设施、夜间施工措施、施工照明、大型机械设备进出场及安装拆卸、模板及支架、脚手架、垂直运输机械、建筑物超高、二次搬运、已完工程及设备保护、施工排水和降水以及冬雨期施工等。</w:t>
      </w:r>
    </w:p>
    <w:bookmarkEnd w:id="46"/>
    <w:p w14:paraId="0E33BA1D">
      <w:pPr>
        <w:pStyle w:val="32"/>
        <w:spacing w:before="312" w:after="312"/>
        <w:rPr>
          <w:szCs w:val="21"/>
        </w:rPr>
      </w:pPr>
      <w:bookmarkStart w:id="58" w:name="_Toc2920"/>
      <w:bookmarkStart w:id="59" w:name="_Toc576"/>
      <w:bookmarkStart w:id="60" w:name="_Toc13653"/>
      <w:bookmarkStart w:id="61" w:name="_Toc32445"/>
      <w:bookmarkStart w:id="62" w:name="_Toc32396"/>
      <w:bookmarkStart w:id="63" w:name="_Toc4990"/>
      <w:r>
        <w:rPr>
          <w:rFonts w:hint="eastAsia" w:ascii="黑体"/>
          <w:szCs w:val="21"/>
        </w:rPr>
        <w:t>基本规定</w:t>
      </w:r>
      <w:bookmarkEnd w:id="58"/>
      <w:bookmarkEnd w:id="59"/>
      <w:bookmarkEnd w:id="60"/>
      <w:bookmarkEnd w:id="61"/>
      <w:bookmarkEnd w:id="62"/>
      <w:bookmarkEnd w:id="63"/>
    </w:p>
    <w:p w14:paraId="0E33BA1E">
      <w:pPr>
        <w:pStyle w:val="31"/>
        <w:rPr>
          <w:rFonts w:hint="eastAsia"/>
        </w:rPr>
      </w:pPr>
      <w:r>
        <w:rPr>
          <w:rFonts w:hint="eastAsia" w:ascii="Times New Roman" w:eastAsia="宋体"/>
        </w:rPr>
        <w:t>工业化建造T梁碳排放核算应明确核算对象。核算对象可为特定数量的同类型T梁或核算周期内生产的同类型T梁。</w:t>
      </w:r>
    </w:p>
    <w:p w14:paraId="0E33BA20">
      <w:pPr>
        <w:pStyle w:val="31"/>
        <w:rPr>
          <w:rFonts w:hint="eastAsia" w:ascii="Times New Roman" w:eastAsia="宋体"/>
        </w:rPr>
      </w:pPr>
      <w:r>
        <w:rPr>
          <w:rFonts w:hint="eastAsia" w:ascii="Times New Roman" w:eastAsia="宋体"/>
        </w:rPr>
        <w:t>工业化建造T梁碳排放核算应根据T梁类型分别进行，T梁产品标识与规格宜按附录B确定。</w:t>
      </w:r>
    </w:p>
    <w:p w14:paraId="0E33BA22">
      <w:pPr>
        <w:pStyle w:val="31"/>
        <w:rPr>
          <w:rFonts w:hint="eastAsia" w:ascii="Times New Roman" w:eastAsia="宋体"/>
        </w:rPr>
      </w:pPr>
      <w:r>
        <w:rPr>
          <w:rFonts w:hint="eastAsia" w:ascii="Times New Roman" w:eastAsia="宋体"/>
        </w:rPr>
        <w:t>工业化建造T梁碳排放强度应以1m³T梁为核算基准，计量单位为千克二氧化碳每立方米（kgCO₂/m³）。核算基准的体积计量参照GB/T50861—2024的相关规定。核算结果应同时报告核算对象的二氧化碳排放总量；当核算数据能够支持单片T梁碳排放量核算时，宜同时报告其二氧化碳排放量。</w:t>
      </w:r>
    </w:p>
    <w:p w14:paraId="0E33BA24">
      <w:pPr>
        <w:pStyle w:val="31"/>
        <w:rPr>
          <w:rStyle w:val="11"/>
          <w:rFonts w:hint="eastAsia" w:ascii="Times New Roman" w:eastAsia="宋体"/>
        </w:rPr>
      </w:pPr>
      <w:r>
        <w:rPr>
          <w:rFonts w:hint="eastAsia" w:ascii="Times New Roman" w:eastAsia="宋体"/>
        </w:rPr>
        <w:t>工业化建造T梁碳排放核算应覆盖原材料生产（A1）、原材料运输（A2）、构件工厂化生产（A3）、构件运输（A4）和现场安装（A5）阶段。</w:t>
      </w:r>
    </w:p>
    <w:p w14:paraId="0E33BA26">
      <w:pPr>
        <w:pStyle w:val="31"/>
        <w:rPr>
          <w:rFonts w:hint="eastAsia" w:ascii="Times New Roman" w:eastAsia="宋体"/>
        </w:rPr>
      </w:pPr>
      <w:r>
        <w:rPr>
          <w:rFonts w:hint="eastAsia" w:ascii="Times New Roman" w:eastAsia="宋体"/>
        </w:rPr>
        <w:t>碳排放核算所需活动数据应优先采用实际计量数据；无法取得时，可采用经核实的统计数据、定额数据或缺省值，并应说明数据来源和适用条件。活动数据、碳排放因子、分配方法、假设条件及数据缺失处理方法应可追溯，并保持核算周期之间的一致性。</w:t>
      </w:r>
    </w:p>
    <w:bookmarkEnd w:id="47"/>
    <w:p w14:paraId="0E33BA28">
      <w:pPr>
        <w:pStyle w:val="31"/>
        <w:rPr>
          <w:rFonts w:hint="eastAsia" w:ascii="Times New Roman" w:eastAsia="宋体"/>
        </w:rPr>
      </w:pPr>
      <w:bookmarkStart w:id="64" w:name="_Toc207832813"/>
      <w:r>
        <w:rPr>
          <w:rFonts w:hint="eastAsia" w:ascii="Times New Roman" w:eastAsia="宋体"/>
        </w:rPr>
        <w:t>碳排放核算结果应以二氧化碳排放量表示，计量单位为千克二氧化碳（kgCO</w:t>
      </w:r>
      <w:r>
        <w:rPr>
          <w:rFonts w:hint="default" w:ascii="Times New Roman" w:hAnsi="Times New Roman" w:eastAsia="宋体" w:cs="Times New Roman"/>
        </w:rPr>
        <w:t>₂</w:t>
      </w:r>
      <w:r>
        <w:rPr>
          <w:rFonts w:hint="eastAsia" w:ascii="Times New Roman" w:eastAsia="宋体"/>
        </w:rPr>
        <w:t>）。采用以二氧化碳当量（CO</w:t>
      </w:r>
      <w:r>
        <w:rPr>
          <w:rFonts w:hint="default" w:ascii="Times New Roman" w:hAnsi="Times New Roman" w:eastAsia="宋体" w:cs="Times New Roman"/>
        </w:rPr>
        <w:t>₂</w:t>
      </w:r>
      <w:r>
        <w:rPr>
          <w:rFonts w:hint="eastAsia" w:ascii="Times New Roman" w:eastAsia="宋体"/>
        </w:rPr>
        <w:t>e）表示的产品碳足迹数据或碳排放因子时，应核查其温室气体种类、全球变暖潜势值、系统边界及时间和地域代表性。数据口径与本文件一致或经合理转换达到一致后，方可用于核算，并应说明转换或处理方法。</w:t>
      </w:r>
    </w:p>
    <w:p w14:paraId="0E33BA2A">
      <w:pPr>
        <w:pStyle w:val="32"/>
        <w:spacing w:before="312" w:after="312"/>
        <w:rPr>
          <w:rFonts w:hint="eastAsia"/>
          <w:color w:val="000000"/>
          <w:szCs w:val="21"/>
        </w:rPr>
      </w:pPr>
      <w:bookmarkStart w:id="65" w:name="_Toc19475"/>
      <w:bookmarkStart w:id="66" w:name="_Toc14761"/>
      <w:bookmarkStart w:id="67" w:name="_Toc31663"/>
      <w:bookmarkStart w:id="68" w:name="_Toc8680"/>
      <w:bookmarkStart w:id="69" w:name="_Toc2632"/>
      <w:bookmarkStart w:id="70" w:name="_Toc6669"/>
      <w:r>
        <w:rPr>
          <w:rFonts w:hint="eastAsia" w:ascii="黑体"/>
          <w:szCs w:val="21"/>
        </w:rPr>
        <w:t>碳排放核算要求</w:t>
      </w:r>
      <w:bookmarkEnd w:id="65"/>
      <w:bookmarkEnd w:id="66"/>
      <w:bookmarkEnd w:id="67"/>
      <w:bookmarkEnd w:id="68"/>
      <w:bookmarkEnd w:id="69"/>
      <w:bookmarkEnd w:id="70"/>
    </w:p>
    <w:p w14:paraId="0E33BA2B">
      <w:pPr>
        <w:pStyle w:val="31"/>
        <w:rPr>
          <w:rFonts w:hint="eastAsia" w:ascii="黑体" w:hAnsi="黑体" w:eastAsia="黑体" w:cs="黑体"/>
        </w:rPr>
      </w:pPr>
      <w:r>
        <w:rPr>
          <w:rFonts w:hint="eastAsia" w:ascii="黑体" w:hAnsi="黑体" w:eastAsia="黑体" w:cs="黑体"/>
        </w:rPr>
        <w:t>核算边界</w:t>
      </w:r>
    </w:p>
    <w:p w14:paraId="0E33BA2C">
      <w:pPr>
        <w:pStyle w:val="33"/>
        <w:spacing w:before="120" w:after="120"/>
        <w:rPr>
          <w:rFonts w:hint="eastAsia" w:ascii="宋体" w:hAnsi="宋体" w:eastAsia="宋体" w:cs="宋体"/>
        </w:rPr>
      </w:pPr>
      <w:r>
        <w:rPr>
          <w:rFonts w:hint="eastAsia" w:ascii="宋体" w:hAnsi="宋体" w:eastAsia="宋体" w:cs="宋体"/>
        </w:rPr>
        <w:t>T梁碳排放核算边界包括原材料生产（A1）、原材料运输（A2）、构件工厂化生产（A3）、构件运输（A4）和现场安装（A5）阶段。核算边界内应计入与各阶段相关的材料、能源、运输、机械和措施项目等活动，具体见图1。</w:t>
      </w:r>
    </w:p>
    <w:p w14:paraId="0E33BA2D">
      <w:pPr>
        <w:pStyle w:val="33"/>
        <w:rPr>
          <w:rFonts w:hint="eastAsia" w:ascii="宋体" w:hAnsi="宋体" w:eastAsia="宋体" w:cs="宋体"/>
          <w:szCs w:val="20"/>
        </w:rPr>
      </w:pPr>
      <w:r>
        <w:rPr>
          <w:rFonts w:hint="eastAsia" w:ascii="宋体" w:hAnsi="宋体" w:eastAsia="宋体" w:cs="宋体"/>
        </w:rPr>
        <w:t>核算边界不包括T梁使用、拆除和回收阶段。A1～A5阶段的直接排放和间接排放均应纳入核算，混凝土、钢筋及预应力材料等主要原材料，以及主要能源、构件运输和主要施工机械活动不</w:t>
      </w:r>
      <w:r>
        <w:rPr>
          <w:rFonts w:hint="eastAsia" w:ascii="宋体" w:hAnsi="宋体" w:eastAsia="宋体" w:cs="宋体"/>
          <w:lang w:val="en-US" w:eastAsia="zh-CN"/>
        </w:rPr>
        <w:t>应</w:t>
      </w:r>
      <w:r>
        <w:rPr>
          <w:rFonts w:hint="eastAsia" w:ascii="宋体" w:hAnsi="宋体" w:eastAsia="宋体" w:cs="宋体"/>
        </w:rPr>
        <w:t>作为排除项。其他确需排除的活动，应说明排除理由、数据缺失原因及其对核算结果的可能影响。同一材料、能源、运输或机械活动不得在不同阶段重复核算。</w:t>
      </w:r>
    </w:p>
    <w:p w14:paraId="0E33BA2E">
      <w:pPr>
        <w:pStyle w:val="17"/>
        <w:ind w:firstLine="0" w:firstLineChars="0"/>
      </w:pPr>
      <w:r>
        <w:rPr>
          <w:rFonts w:hint="eastAsia"/>
        </w:rPr>
        <w:drawing>
          <wp:inline distT="0" distB="0" distL="114300" distR="114300">
            <wp:extent cx="6120130" cy="4528820"/>
            <wp:effectExtent l="0" t="0" r="0" b="0"/>
            <wp:docPr id="17" name="图片 17" descr="范围图_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范围图_01(3)"/>
                    <pic:cNvPicPr>
                      <a:picLocks noChangeAspect="1"/>
                    </pic:cNvPicPr>
                  </pic:nvPicPr>
                  <pic:blipFill>
                    <a:blip r:embed="rId16"/>
                    <a:srcRect t="31125" b="17632"/>
                    <a:stretch>
                      <a:fillRect/>
                    </a:stretch>
                  </pic:blipFill>
                  <pic:spPr>
                    <a:xfrm>
                      <a:off x="0" y="0"/>
                      <a:ext cx="6120130" cy="4528820"/>
                    </a:xfrm>
                    <a:prstGeom prst="rect">
                      <a:avLst/>
                    </a:prstGeom>
                  </pic:spPr>
                </pic:pic>
              </a:graphicData>
            </a:graphic>
          </wp:inline>
        </w:drawing>
      </w:r>
    </w:p>
    <w:p w14:paraId="2BAD792E">
      <w:pPr>
        <w:pStyle w:val="35"/>
        <w:bidi w:val="0"/>
        <w:rPr>
          <w:rFonts w:hint="eastAsia"/>
          <w:lang w:eastAsia="zh-CN"/>
        </w:rPr>
      </w:pPr>
      <w:r>
        <w:rPr>
          <w:rFonts w:hint="eastAsia"/>
        </w:rPr>
        <w:t>工业化建造T梁碳排放核算范围</w:t>
      </w:r>
    </w:p>
    <w:p w14:paraId="0E33BA31">
      <w:pPr>
        <w:pStyle w:val="34"/>
        <w:rPr>
          <w:rFonts w:hint="eastAsia" w:ascii="宋体" w:hAnsi="Times New Roman" w:eastAsia="宋体" w:cs="Times New Roman"/>
          <w:sz w:val="18"/>
          <w:szCs w:val="18"/>
        </w:rPr>
      </w:pPr>
      <w:r>
        <w:rPr>
          <w:rFonts w:hint="eastAsia" w:ascii="宋体" w:hAnsi="Times New Roman" w:eastAsia="宋体" w:cs="Times New Roman"/>
          <w:szCs w:val="18"/>
        </w:rPr>
        <w:t>虚线表示产品碳排放</w:t>
      </w:r>
      <w:r>
        <w:rPr>
          <w:rFonts w:hint="eastAsia" w:ascii="宋体" w:hAnsi="Times New Roman" w:eastAsia="宋体" w:cs="Times New Roman"/>
        </w:rPr>
        <w:t>核</w:t>
      </w:r>
      <w:r>
        <w:rPr>
          <w:rFonts w:hint="eastAsia" w:ascii="宋体" w:hAnsi="Times New Roman" w:eastAsia="宋体" w:cs="Times New Roman"/>
          <w:szCs w:val="18"/>
        </w:rPr>
        <w:t>算范围</w:t>
      </w:r>
      <w:r>
        <w:rPr>
          <w:rFonts w:hint="eastAsia" w:ascii="宋体" w:hAnsi="Times New Roman" w:eastAsia="宋体" w:cs="Times New Roman"/>
        </w:rPr>
        <w:t>。</w:t>
      </w:r>
    </w:p>
    <w:p w14:paraId="0E33BA33">
      <w:pPr>
        <w:pStyle w:val="31"/>
        <w:spacing w:before="0" w:after="0"/>
        <w:outlineLvl w:val="9"/>
        <w:rPr>
          <w:rFonts w:hint="eastAsia" w:hAnsi="黑体" w:cs="黑体"/>
          <w:szCs w:val="20"/>
        </w:rPr>
      </w:pPr>
      <w:bookmarkStart w:id="71" w:name="_Toc26791"/>
      <w:bookmarkStart w:id="72" w:name="_Toc14073"/>
      <w:bookmarkStart w:id="73" w:name="_Toc1540"/>
      <w:r>
        <w:rPr>
          <w:rFonts w:hint="eastAsia" w:ascii="黑体" w:hAnsi="黑体" w:cs="黑体"/>
          <w:szCs w:val="20"/>
        </w:rPr>
        <w:t>总体核算</w:t>
      </w:r>
      <w:bookmarkEnd w:id="71"/>
      <w:bookmarkEnd w:id="72"/>
      <w:bookmarkEnd w:id="73"/>
    </w:p>
    <w:p w14:paraId="0E33BA34">
      <w:pPr>
        <w:pStyle w:val="33"/>
        <w:rPr>
          <w:rFonts w:hint="eastAsia" w:ascii="宋体" w:hAnsi="宋体" w:eastAsia="宋体" w:cs="宋体"/>
          <w:szCs w:val="20"/>
        </w:rPr>
      </w:pPr>
      <w:bookmarkStart w:id="74" w:name="_Toc16130"/>
      <w:bookmarkStart w:id="75" w:name="_Toc22370"/>
      <w:bookmarkStart w:id="76" w:name="_Toc11428"/>
      <w:r>
        <w:rPr>
          <w:rFonts w:hint="eastAsia" w:ascii="宋体" w:hAnsi="宋体" w:eastAsia="宋体" w:cs="宋体"/>
          <w:kern w:val="0"/>
          <w:szCs w:val="20"/>
        </w:rPr>
        <w:t>单位T梁体积应根据设计文件、工程量清单或实测尺寸确定。当采用截面积与梁长计算时，应按式（1）计算：</w:t>
      </w:r>
    </w:p>
    <w:p w14:paraId="0E33BA35">
      <w:pPr>
        <w:pStyle w:val="36"/>
        <w:tabs>
          <w:tab w:val="center" w:pos="4678"/>
          <w:tab w:val="right" w:leader="middleDot" w:pos="9356"/>
        </w:tabs>
        <w:rPr>
          <w:rFonts w:hint="eastAsia" w:ascii="宋体"/>
          <w:szCs w:val="24"/>
        </w:rPr>
      </w:pPr>
      <w:r>
        <w:rPr>
          <w:rFonts w:hint="eastAsia" w:ascii="宋体"/>
          <w:szCs w:val="24"/>
        </w:rPr>
        <w:tab/>
      </w:r>
      <m:oMath>
        <m:sSub>
          <w:bookmarkStart w:id="110" w:name="_GoBack"/>
          <m:sSubPr>
            <m:ctrlPr>
              <w:rPr>
                <w:rFonts w:hint="eastAsia" w:ascii="Cambria Math" w:hAnsi="Cambria Math"/>
                <w:i/>
                <w:iCs/>
                <w:szCs w:val="24"/>
              </w:rPr>
            </m:ctrlPr>
          </m:sSubPr>
          <m:e>
            <m:r>
              <m:rPr/>
              <w:rPr>
                <w:rFonts w:hint="default" w:ascii="Cambria Math" w:hAnsi="Cambria Math"/>
                <w:szCs w:val="24"/>
              </w:rPr>
              <m:t>V</m:t>
            </m:r>
            <m:ctrlPr>
              <w:rPr>
                <w:rFonts w:hint="eastAsia" w:ascii="Cambria Math" w:hAnsi="Cambria Math"/>
                <w:i/>
                <w:iCs/>
                <w:szCs w:val="24"/>
              </w:rPr>
            </m:ctrlPr>
          </m:e>
          <m:sub>
            <m:r>
              <m:rPr/>
              <w:rPr>
                <w:rFonts w:hint="default" w:ascii="Cambria Math" w:hAnsi="Cambria Math"/>
                <w:szCs w:val="24"/>
              </w:rPr>
              <m:t>TL,j</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S</m:t>
            </m:r>
            <m:ctrlPr>
              <w:rPr>
                <w:rFonts w:hint="eastAsia" w:ascii="Cambria Math" w:hAnsi="Cambria Math"/>
                <w:i/>
                <w:iCs/>
                <w:szCs w:val="24"/>
              </w:rPr>
            </m:ctrlPr>
          </m:e>
          <m:sub>
            <m:r>
              <m:rPr/>
              <w:rPr>
                <w:rFonts w:hint="default" w:ascii="Cambria Math" w:hAnsi="Cambria Math"/>
                <w:szCs w:val="24"/>
              </w:rPr>
              <m:t>TL,j</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L</m:t>
            </m:r>
            <m:ctrlPr>
              <w:rPr>
                <w:rFonts w:hint="eastAsia" w:ascii="Cambria Math" w:hAnsi="Cambria Math"/>
                <w:i/>
                <w:iCs/>
                <w:szCs w:val="24"/>
              </w:rPr>
            </m:ctrlPr>
          </m:e>
          <m:sub>
            <m:r>
              <m:rPr/>
              <w:rPr>
                <w:rFonts w:hint="default" w:ascii="Cambria Math" w:hAnsi="Cambria Math"/>
                <w:szCs w:val="24"/>
              </w:rPr>
              <m:t>TL,j</m:t>
            </m:r>
            <m:ctrlPr>
              <w:rPr>
                <w:rFonts w:hint="eastAsia" w:ascii="Cambria Math" w:hAnsi="Cambria Math"/>
                <w:i/>
                <w:iCs/>
                <w:szCs w:val="24"/>
              </w:rPr>
            </m:ctrlPr>
          </m:sub>
        </m:sSub>
      </m:oMath>
      <w:bookmarkEnd w:id="110"/>
      <w:r>
        <w:rPr>
          <w:rFonts w:hint="eastAsia" w:ascii="宋体"/>
          <w:szCs w:val="24"/>
        </w:rPr>
        <w:tab/>
      </w:r>
      <w:r>
        <w:rPr>
          <w:rFonts w:hint="eastAsia" w:ascii="宋体"/>
          <w:szCs w:val="24"/>
        </w:rPr>
        <w:t>(1)</w:t>
      </w:r>
    </w:p>
    <w:p w14:paraId="0E964C0A">
      <w:pPr>
        <w:tabs>
          <w:tab w:val="center" w:pos="4200"/>
          <w:tab w:val="right" w:pos="8400"/>
        </w:tabs>
        <w:ind w:firstLine="420"/>
        <w:rPr>
          <w:rFonts w:hint="default" w:ascii="Times New Roman" w:hAnsi="Times New Roman" w:eastAsia="方正仿宋" w:cs="方正仿宋"/>
          <w:bCs/>
          <w:lang w:val="en-US" w:eastAsia="zh-CN" w:bidi="ar"/>
        </w:rPr>
      </w:pPr>
      <w:r>
        <w:rPr>
          <w:rFonts w:hint="default" w:ascii="Times New Roman" w:hAnsi="Times New Roman" w:eastAsia="方正仿宋" w:cs="方正仿宋"/>
          <w:bCs/>
          <w:lang w:val="en-US" w:eastAsia="zh-CN" w:bidi="ar"/>
        </w:rPr>
        <w:t>式中：</w:t>
      </w:r>
    </w:p>
    <w:p w14:paraId="0E33BA36">
      <w:pPr>
        <w:tabs>
          <w:tab w:val="center" w:pos="4200"/>
          <w:tab w:val="right" w:pos="8400"/>
        </w:tabs>
        <w:ind w:firstLine="420"/>
        <w:rPr>
          <w:rFonts w:hint="default" w:ascii="Times New Roman" w:hAnsi="Times New Roman" w:eastAsia="方正仿宋" w:cs="方正仿宋"/>
          <w:bCs/>
          <w:szCs w:val="21"/>
          <w:lang w:bidi="ar"/>
        </w:rPr>
      </w:pPr>
      <m:oMath>
        <m:sSub>
          <m:sSubPr>
            <m:ctrlPr>
              <w:rPr>
                <w:rFonts w:ascii="Cambria Math" w:hAnsi="Cambria Math" w:eastAsia="方正仿宋" w:cs="方正仿宋"/>
                <w:bCs/>
                <w:lang w:bidi="ar"/>
              </w:rPr>
            </m:ctrlPr>
          </m:sSubPr>
          <m:e>
            <m:r>
              <m:rPr>
                <m:sty m:val="p"/>
              </m:rPr>
              <w:rPr>
                <w:rFonts w:ascii="Times New Roman" w:hAnsi="Times New Roman" w:eastAsia="方正仿宋" w:cs="方正仿宋"/>
                <w:lang w:bidi="ar"/>
              </w:rPr>
              <m:t>V</m:t>
            </m:r>
            <m:ctrlPr>
              <w:rPr>
                <w:rFonts w:ascii="Cambria Math" w:hAnsi="Cambria Math" w:eastAsia="方正仿宋" w:cs="方正仿宋"/>
                <w:bCs/>
                <w:lang w:bidi="ar"/>
              </w:rPr>
            </m:ctrlPr>
          </m:e>
          <m:sub>
            <m:r>
              <m:rPr>
                <m:sty m:val="p"/>
              </m:rPr>
              <w:rPr>
                <w:rFonts w:ascii="Times New Roman" w:hAnsi="Times New Roman" w:eastAsia="方正仿宋" w:cs="方正仿宋"/>
                <w:lang w:bidi="ar"/>
              </w:rPr>
              <m:t>TL,j</m:t>
            </m:r>
            <m:ctrlPr>
              <w:rPr>
                <w:rFonts w:ascii="Cambria Math" w:hAnsi="Cambria Math" w:eastAsia="方正仿宋" w:cs="方正仿宋"/>
                <w:bCs/>
                <w:lang w:bidi="ar"/>
              </w:rPr>
            </m:ctrlPr>
          </m:sub>
        </m:sSub>
      </m:oMath>
      <w:r>
        <w:rPr>
          <w:rFonts w:ascii="Times New Roman" w:hAnsi="Times New Roman" w:eastAsia="方正仿宋" w:cs="方正仿宋"/>
          <w:bCs/>
          <w:szCs w:val="21"/>
          <w:lang w:bidi="ar"/>
        </w:rPr>
        <w:t>——第</w:t>
      </w:r>
      <w:r>
        <w:rPr>
          <w:rFonts w:ascii="Times New Roman" w:hAnsi="Times New Roman" w:eastAsia="方正仿宋" w:cs="方正仿宋"/>
          <w:bCs/>
          <w:i w:val="0"/>
          <w:iCs w:val="0"/>
          <w:szCs w:val="21"/>
          <w:lang w:bidi="ar"/>
        </w:rPr>
        <w:t>j</w:t>
      </w:r>
      <w:r>
        <w:rPr>
          <w:rFonts w:ascii="Times New Roman" w:hAnsi="Times New Roman" w:eastAsia="方正仿宋" w:cs="方正仿宋"/>
          <w:bCs/>
          <w:szCs w:val="21"/>
          <w:lang w:bidi="ar"/>
        </w:rPr>
        <w:t>类T梁的体积，单位为立方米（m³）；</w:t>
      </w:r>
    </w:p>
    <w:p w14:paraId="0E33BA37">
      <w:pPr>
        <w:tabs>
          <w:tab w:val="center" w:pos="4200"/>
          <w:tab w:val="right" w:pos="8400"/>
        </w:tabs>
        <w:ind w:firstLine="420"/>
        <w:rPr>
          <w:rFonts w:ascii="Times New Roman" w:hAnsi="Times New Roman" w:eastAsia="方正仿宋" w:cs="方正仿宋"/>
          <w:bCs/>
          <w:szCs w:val="21"/>
          <w:lang w:bidi="ar"/>
        </w:rPr>
      </w:pPr>
      <m:oMath>
        <m:sSub>
          <m:sSubPr>
            <m:ctrlPr>
              <w:rPr>
                <w:rFonts w:ascii="Cambria Math" w:hAnsi="Cambria Math" w:eastAsia="方正仿宋" w:cs="方正仿宋"/>
                <w:bCs/>
                <w:lang w:bidi="ar"/>
              </w:rPr>
            </m:ctrlPr>
          </m:sSubPr>
          <m:e>
            <m:r>
              <m:rPr>
                <m:sty m:val="p"/>
              </m:rPr>
              <w:rPr>
                <w:rFonts w:ascii="Times New Roman" w:hAnsi="Times New Roman" w:eastAsia="方正仿宋" w:cs="方正仿宋"/>
                <w:lang w:bidi="ar"/>
              </w:rPr>
              <m:t>S</m:t>
            </m:r>
            <m:ctrlPr>
              <w:rPr>
                <w:rFonts w:ascii="Cambria Math" w:hAnsi="Cambria Math" w:eastAsia="方正仿宋" w:cs="方正仿宋"/>
                <w:bCs/>
                <w:lang w:bidi="ar"/>
              </w:rPr>
            </m:ctrlPr>
          </m:e>
          <m:sub>
            <m:r>
              <m:rPr>
                <m:sty m:val="p"/>
              </m:rPr>
              <w:rPr>
                <w:rFonts w:ascii="Times New Roman" w:hAnsi="Times New Roman" w:eastAsia="方正仿宋" w:cs="方正仿宋"/>
                <w:lang w:bidi="ar"/>
              </w:rPr>
              <m:t>TL,j</m:t>
            </m:r>
            <m:ctrlPr>
              <w:rPr>
                <w:rFonts w:ascii="Cambria Math" w:hAnsi="Cambria Math" w:eastAsia="方正仿宋" w:cs="方正仿宋"/>
                <w:bCs/>
                <w:lang w:bidi="ar"/>
              </w:rPr>
            </m:ctrlPr>
          </m:sub>
        </m:sSub>
      </m:oMath>
      <w:r>
        <w:rPr>
          <w:rFonts w:ascii="Times New Roman" w:hAnsi="Times New Roman" w:eastAsia="方正仿宋" w:cs="方正仿宋"/>
          <w:bCs/>
          <w:szCs w:val="21"/>
          <w:lang w:bidi="ar"/>
        </w:rPr>
        <w:t>——第</w:t>
      </w:r>
      <w:r>
        <w:rPr>
          <w:rFonts w:ascii="Times New Roman" w:hAnsi="Times New Roman" w:eastAsia="方正仿宋" w:cs="方正仿宋"/>
          <w:bCs/>
          <w:i w:val="0"/>
          <w:iCs w:val="0"/>
          <w:szCs w:val="21"/>
          <w:lang w:bidi="ar"/>
        </w:rPr>
        <w:t>j</w:t>
      </w:r>
      <w:r>
        <w:rPr>
          <w:rFonts w:ascii="Times New Roman" w:hAnsi="Times New Roman" w:eastAsia="方正仿宋" w:cs="方正仿宋"/>
          <w:bCs/>
          <w:szCs w:val="21"/>
          <w:lang w:bidi="ar"/>
        </w:rPr>
        <w:t>类T梁的截面积，单位为平方米（m²）；</w:t>
      </w:r>
    </w:p>
    <w:p w14:paraId="0E33BA38">
      <w:pPr>
        <w:tabs>
          <w:tab w:val="center" w:pos="4200"/>
          <w:tab w:val="right" w:pos="8400"/>
        </w:tabs>
        <w:ind w:firstLine="420"/>
        <w:rPr>
          <w:rFonts w:ascii="Times New Roman" w:hAnsi="Times New Roman" w:eastAsia="方正仿宋" w:cs="方正仿宋"/>
          <w:bCs/>
          <w:lang w:bidi="ar"/>
        </w:rPr>
      </w:pPr>
      <m:oMath>
        <m:sSub>
          <m:sSubPr>
            <m:ctrlPr>
              <w:rPr>
                <w:rFonts w:ascii="Cambria Math" w:hAnsi="Cambria Math" w:eastAsia="方正仿宋" w:cs="方正仿宋"/>
                <w:bCs/>
                <w:lang w:bidi="ar"/>
              </w:rPr>
            </m:ctrlPr>
          </m:sSubPr>
          <m:e>
            <m:r>
              <m:rPr>
                <m:sty m:val="p"/>
              </m:rPr>
              <w:rPr>
                <w:rFonts w:ascii="Times New Roman" w:hAnsi="Times New Roman" w:eastAsia="方正仿宋" w:cs="方正仿宋"/>
                <w:lang w:bidi="ar"/>
              </w:rPr>
              <m:t>L</m:t>
            </m:r>
            <m:ctrlPr>
              <w:rPr>
                <w:rFonts w:ascii="Cambria Math" w:hAnsi="Cambria Math" w:eastAsia="方正仿宋" w:cs="方正仿宋"/>
                <w:bCs/>
                <w:lang w:bidi="ar"/>
              </w:rPr>
            </m:ctrlPr>
          </m:e>
          <m:sub>
            <m:r>
              <m:rPr>
                <m:sty m:val="p"/>
              </m:rPr>
              <w:rPr>
                <w:rFonts w:ascii="Times New Roman" w:hAnsi="Times New Roman" w:eastAsia="方正仿宋" w:cs="方正仿宋"/>
                <w:lang w:bidi="ar"/>
              </w:rPr>
              <m:t>TL,j</m:t>
            </m:r>
            <m:ctrlPr>
              <w:rPr>
                <w:rFonts w:ascii="Cambria Math" w:hAnsi="Cambria Math" w:eastAsia="方正仿宋" w:cs="方正仿宋"/>
                <w:bCs/>
                <w:lang w:bidi="ar"/>
              </w:rPr>
            </m:ctrlPr>
          </m:sub>
        </m:sSub>
      </m:oMath>
      <w:r>
        <w:rPr>
          <w:rFonts w:ascii="Times New Roman" w:hAnsi="Times New Roman" w:eastAsia="方正仿宋" w:cs="方正仿宋"/>
          <w:bCs/>
          <w:lang w:bidi="ar"/>
        </w:rPr>
        <w:t>——</w:t>
      </w:r>
      <w:r>
        <w:rPr>
          <w:rFonts w:ascii="Times New Roman" w:hAnsi="Times New Roman" w:eastAsia="方正仿宋" w:cs="方正仿宋"/>
          <w:bCs/>
          <w:szCs w:val="21"/>
          <w:lang w:bidi="ar"/>
        </w:rPr>
        <w:t>第</w:t>
      </w:r>
      <w:r>
        <w:rPr>
          <w:rFonts w:ascii="Times New Roman" w:hAnsi="Times New Roman" w:eastAsia="方正仿宋" w:cs="方正仿宋"/>
          <w:bCs/>
          <w:i w:val="0"/>
          <w:iCs w:val="0"/>
          <w:szCs w:val="21"/>
          <w:lang w:bidi="ar"/>
        </w:rPr>
        <w:t>j</w:t>
      </w:r>
      <w:r>
        <w:rPr>
          <w:rFonts w:ascii="Times New Roman" w:hAnsi="Times New Roman" w:eastAsia="方正仿宋" w:cs="方正仿宋"/>
          <w:bCs/>
          <w:szCs w:val="21"/>
          <w:lang w:bidi="ar"/>
        </w:rPr>
        <w:t>类</w:t>
      </w:r>
      <w:r>
        <w:rPr>
          <w:rFonts w:ascii="Times New Roman" w:hAnsi="Times New Roman" w:eastAsia="方正仿宋" w:cs="方正仿宋"/>
          <w:bCs/>
          <w:lang w:bidi="ar"/>
        </w:rPr>
        <w:t>T梁的长度，单位为米（m）。</w:t>
      </w:r>
    </w:p>
    <w:bookmarkEnd w:id="74"/>
    <w:bookmarkEnd w:id="75"/>
    <w:bookmarkEnd w:id="76"/>
    <w:p w14:paraId="0E33BA3A">
      <w:pPr>
        <w:pStyle w:val="33"/>
        <w:rPr>
          <w:rFonts w:hint="eastAsia" w:ascii="宋体" w:hAnsi="宋体" w:eastAsia="宋体" w:cs="宋体"/>
          <w:szCs w:val="20"/>
        </w:rPr>
      </w:pPr>
      <w:r>
        <w:rPr>
          <w:rFonts w:hint="eastAsia" w:ascii="宋体" w:hAnsi="宋体" w:eastAsia="宋体" w:cs="宋体"/>
        </w:rPr>
        <w:t>同一类型T梁在同一核算周期内各统计时段的各阶段碳排放量和产量应分别汇总，产量</w:t>
      </w:r>
      <w:r>
        <w:rPr>
          <w:rFonts w:hint="eastAsia" w:ascii="宋体" w:hAnsi="宋体" w:eastAsia="宋体" w:cs="宋体"/>
          <w:lang w:val="en-US" w:eastAsia="zh-CN"/>
        </w:rPr>
        <w:t>应</w:t>
      </w:r>
      <w:r>
        <w:rPr>
          <w:rFonts w:hint="eastAsia" w:ascii="宋体" w:hAnsi="宋体" w:eastAsia="宋体" w:cs="宋体"/>
        </w:rPr>
        <w:t>以该周期内各统计时段该类型T梁的体积之和计。碳排放量与产量的核算对象、核算周期和统计范围</w:t>
      </w:r>
      <w:r>
        <w:rPr>
          <w:rFonts w:hint="eastAsia" w:ascii="宋体" w:hAnsi="宋体" w:eastAsia="宋体" w:cs="宋体"/>
          <w:lang w:val="en-US" w:eastAsia="zh-CN"/>
        </w:rPr>
        <w:t>应</w:t>
      </w:r>
      <w:r>
        <w:rPr>
          <w:rFonts w:hint="eastAsia" w:ascii="宋体" w:hAnsi="宋体" w:eastAsia="宋体" w:cs="宋体"/>
        </w:rPr>
        <w:t>保持一致，避免在跨月、跨季度或跨年度核算时出现量纲和统计口径问题。碳排放强度应按式（2）核算：</w:t>
      </w:r>
    </w:p>
    <w:p w14:paraId="0E33BA3B">
      <w:pPr>
        <w:pStyle w:val="36"/>
        <w:tabs>
          <w:tab w:val="center" w:pos="4678"/>
          <w:tab w:val="right" w:leader="middleDot" w:pos="9356"/>
        </w:tabs>
        <w:rPr>
          <w:rFonts w:hint="eastAsia" w:hAnsi="宋体"/>
          <w:sz w:val="21"/>
          <w:szCs w:val="24"/>
        </w:rPr>
      </w:pPr>
      <w:r>
        <w:rPr>
          <w:rFonts w:hint="eastAsia" w:ascii="宋体"/>
          <w:szCs w:val="24"/>
        </w:rPr>
        <w:tab/>
      </w:r>
      <m:oMath>
        <m:r>
          <m:rPr/>
          <w:rPr>
            <w:rFonts w:hint="default" w:ascii="Cambria Math" w:hAnsi="Cambria Math"/>
            <w:szCs w:val="24"/>
          </w:rPr>
          <m:t>E</m:t>
        </m:r>
        <m:sSub>
          <m:sSubPr>
            <m:ctrlPr>
              <w:rPr>
                <w:rFonts w:hint="eastAsia" w:ascii="Cambria Math" w:hAnsi="Cambria Math"/>
                <w:i/>
                <w:iCs/>
                <w:szCs w:val="24"/>
              </w:rPr>
            </m:ctrlPr>
          </m:sSubPr>
          <m:e>
            <m:r>
              <m:rPr/>
              <w:rPr>
                <w:rFonts w:hint="default" w:ascii="Cambria Math" w:hAnsi="Cambria Math"/>
                <w:szCs w:val="24"/>
              </w:rPr>
              <m:t>F</m:t>
            </m:r>
            <m:ctrlPr>
              <w:rPr>
                <w:rFonts w:hint="eastAsia" w:ascii="Cambria Math" w:hAnsi="Cambria Math"/>
                <w:i/>
                <w:iCs/>
                <w:szCs w:val="24"/>
              </w:rPr>
            </m:ctrlPr>
          </m:e>
          <m:sub>
            <m:r>
              <m:rPr/>
              <w:rPr>
                <w:rFonts w:hint="default" w:ascii="Cambria Math" w:hAnsi="Cambria Math"/>
                <w:szCs w:val="24"/>
              </w:rPr>
              <m:t>TL,j</m:t>
            </m:r>
            <m:ctrlPr>
              <w:rPr>
                <w:rFonts w:hint="eastAsia" w:ascii="Cambria Math" w:hAnsi="Cambria Math"/>
                <w:i/>
                <w:iCs/>
                <w:szCs w:val="24"/>
              </w:rPr>
            </m:ctrlPr>
          </m:sub>
        </m:sSub>
        <m:r>
          <m:rPr/>
          <w:rPr>
            <w:rFonts w:hint="eastAsia" w:ascii="Cambria Math" w:hAnsi="Cambria Math"/>
            <w:szCs w:val="24"/>
          </w:rPr>
          <m:t>=</m:t>
        </m:r>
        <m:f>
          <m:fPr>
            <m:ctrlPr>
              <w:rPr>
                <w:rFonts w:hint="eastAsia" w:ascii="Cambria Math" w:hAnsi="Cambria Math"/>
                <w:i/>
                <w:iCs/>
                <w:szCs w:val="24"/>
              </w:rPr>
            </m:ctrlPr>
          </m:fPr>
          <m:num>
            <m:nary>
              <m:naryPr>
                <m:chr m:val="∑"/>
                <m:limLoc m:val="undOvr"/>
                <m:ctrlPr>
                  <w:rPr>
                    <w:rFonts w:hint="eastAsia" w:ascii="Cambria Math" w:hAnsi="Cambria Math"/>
                    <w:i/>
                    <w:iCs/>
                    <w:szCs w:val="24"/>
                  </w:rPr>
                </m:ctrlPr>
              </m:naryPr>
              <m:sub>
                <m:r>
                  <m:rPr/>
                  <w:rPr>
                    <w:rFonts w:hint="default" w:ascii="Cambria Math" w:hAnsi="Cambria Math"/>
                    <w:szCs w:val="24"/>
                  </w:rPr>
                  <m:t>t=1</m:t>
                </m:r>
                <m:ctrlPr>
                  <w:rPr>
                    <w:rFonts w:hint="eastAsia" w:ascii="Cambria Math" w:hAnsi="Cambria Math"/>
                    <w:i/>
                    <w:iCs/>
                    <w:szCs w:val="24"/>
                  </w:rPr>
                </m:ctrlPr>
              </m:sub>
              <m:sup>
                <m:r>
                  <m:rPr/>
                  <w:rPr>
                    <w:rFonts w:hint="default" w:ascii="Cambria Math" w:hAnsi="Cambria Math"/>
                    <w:szCs w:val="24"/>
                  </w:rPr>
                  <m:t>T</m:t>
                </m:r>
                <m:ctrlPr>
                  <w:rPr>
                    <w:rFonts w:hint="eastAsia" w:ascii="Cambria Math" w:hAnsi="Cambria Math"/>
                    <w:i/>
                    <w:iCs/>
                    <w:szCs w:val="24"/>
                  </w:rPr>
                </m:ctrlPr>
              </m:sup>
              <m:e>
                <m:d>
                  <m:dPr>
                    <m:ctrlPr>
                      <w:rPr>
                        <w:rFonts w:hint="eastAsia" w:ascii="Cambria Math" w:hAnsi="Cambria Math"/>
                        <w:i/>
                        <w:iCs/>
                        <w:szCs w:val="24"/>
                      </w:rPr>
                    </m:ctrlPr>
                  </m:dPr>
                  <m:e>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default" w:ascii="Cambria Math" w:hAnsi="Cambria Math"/>
                            <w:szCs w:val="24"/>
                          </w:rPr>
                          <m:t>A1,t,j</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default" w:ascii="Cambria Math" w:hAnsi="Cambria Math"/>
                            <w:szCs w:val="24"/>
                          </w:rPr>
                          <m:t>A2,t,j</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default" w:ascii="Cambria Math" w:hAnsi="Cambria Math"/>
                            <w:szCs w:val="24"/>
                          </w:rPr>
                          <m:t>A3,t,j</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default" w:ascii="Cambria Math" w:hAnsi="Cambria Math"/>
                            <w:szCs w:val="24"/>
                          </w:rPr>
                          <m:t>A4,t,j</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default" w:ascii="Cambria Math" w:hAnsi="Cambria Math"/>
                            <w:szCs w:val="24"/>
                          </w:rPr>
                          <m:t>A5,t,j</m:t>
                        </m:r>
                        <m:ctrlPr>
                          <w:rPr>
                            <w:rFonts w:hint="eastAsia" w:ascii="Cambria Math" w:hAnsi="Cambria Math"/>
                            <w:i/>
                            <w:iCs/>
                            <w:szCs w:val="24"/>
                          </w:rPr>
                        </m:ctrlPr>
                      </m:sub>
                    </m:sSub>
                    <m:ctrlPr>
                      <w:rPr>
                        <w:rFonts w:hint="eastAsia" w:ascii="Cambria Math" w:hAnsi="Cambria Math"/>
                        <w:i/>
                        <w:iCs/>
                        <w:szCs w:val="24"/>
                      </w:rPr>
                    </m:ctrlPr>
                  </m:e>
                </m:d>
                <m:ctrlPr>
                  <w:rPr>
                    <w:rFonts w:hint="eastAsia" w:ascii="Cambria Math" w:hAnsi="Cambria Math"/>
                    <w:i/>
                    <w:iCs/>
                    <w:szCs w:val="24"/>
                  </w:rPr>
                </m:ctrlPr>
              </m:e>
            </m:nary>
            <m:ctrlPr>
              <w:rPr>
                <w:rFonts w:hint="eastAsia" w:ascii="Cambria Math" w:hAnsi="Cambria Math"/>
                <w:i/>
                <w:iCs/>
                <w:szCs w:val="24"/>
              </w:rPr>
            </m:ctrlPr>
          </m:num>
          <m:den>
            <m:nary>
              <m:naryPr>
                <m:chr m:val="∑"/>
                <m:limLoc m:val="undOvr"/>
                <m:ctrlPr>
                  <w:rPr>
                    <w:rFonts w:hint="eastAsia" w:ascii="Cambria Math" w:hAnsi="Cambria Math"/>
                    <w:i/>
                    <w:iCs/>
                    <w:szCs w:val="24"/>
                  </w:rPr>
                </m:ctrlPr>
              </m:naryPr>
              <m:sub>
                <m:r>
                  <m:rPr/>
                  <w:rPr>
                    <w:rFonts w:hint="default" w:ascii="Cambria Math" w:hAnsi="Cambria Math"/>
                    <w:szCs w:val="24"/>
                  </w:rPr>
                  <m:t>t=1</m:t>
                </m:r>
                <m:ctrlPr>
                  <w:rPr>
                    <w:rFonts w:hint="eastAsia" w:ascii="Cambria Math" w:hAnsi="Cambria Math"/>
                    <w:i/>
                    <w:iCs/>
                    <w:szCs w:val="24"/>
                  </w:rPr>
                </m:ctrlPr>
              </m:sub>
              <m:sup>
                <m:r>
                  <m:rPr/>
                  <w:rPr>
                    <w:rFonts w:hint="default" w:ascii="Cambria Math" w:hAnsi="Cambria Math"/>
                    <w:szCs w:val="24"/>
                  </w:rPr>
                  <m:t>T</m:t>
                </m:r>
                <m:ctrlPr>
                  <w:rPr>
                    <w:rFonts w:hint="eastAsia" w:ascii="Cambria Math" w:hAnsi="Cambria Math"/>
                    <w:i/>
                    <w:iCs/>
                    <w:szCs w:val="24"/>
                  </w:rPr>
                </m:ctrlPr>
              </m:sup>
              <m:e>
                <m:sSub>
                  <m:sSubPr>
                    <m:ctrlPr>
                      <w:rPr>
                        <w:rFonts w:hint="eastAsia" w:ascii="Cambria Math" w:hAnsi="Cambria Math"/>
                        <w:i/>
                        <w:iCs/>
                        <w:szCs w:val="24"/>
                      </w:rPr>
                    </m:ctrlPr>
                  </m:sSubPr>
                  <m:e>
                    <m:r>
                      <m:rPr/>
                      <w:rPr>
                        <w:rFonts w:hint="default" w:ascii="Cambria Math" w:hAnsi="Cambria Math"/>
                        <w:szCs w:val="24"/>
                      </w:rPr>
                      <m:t>V</m:t>
                    </m:r>
                    <m:ctrlPr>
                      <w:rPr>
                        <w:rFonts w:hint="eastAsia" w:ascii="Cambria Math" w:hAnsi="Cambria Math"/>
                        <w:i/>
                        <w:iCs/>
                        <w:szCs w:val="24"/>
                      </w:rPr>
                    </m:ctrlPr>
                  </m:e>
                  <m:sub>
                    <m:r>
                      <m:rPr/>
                      <w:rPr>
                        <w:rFonts w:hint="default" w:ascii="Cambria Math" w:hAnsi="Cambria Math"/>
                        <w:szCs w:val="24"/>
                      </w:rPr>
                      <m:t>TL,t,j</m:t>
                    </m:r>
                    <m:ctrlPr>
                      <w:rPr>
                        <w:rFonts w:hint="eastAsia" w:ascii="Cambria Math" w:hAnsi="Cambria Math"/>
                        <w:i/>
                        <w:iCs/>
                        <w:szCs w:val="24"/>
                      </w:rPr>
                    </m:ctrlPr>
                  </m:sub>
                </m:sSub>
                <m:ctrlPr>
                  <w:rPr>
                    <w:rFonts w:hint="eastAsia" w:ascii="Cambria Math" w:hAnsi="Cambria Math"/>
                    <w:i/>
                    <w:iCs/>
                    <w:szCs w:val="24"/>
                  </w:rPr>
                </m:ctrlPr>
              </m:e>
            </m:nary>
            <m:ctrlPr>
              <w:rPr>
                <w:rFonts w:hint="eastAsia" w:ascii="Cambria Math" w:hAnsi="Cambria Math"/>
                <w:i/>
                <w:iCs/>
                <w:szCs w:val="24"/>
              </w:rPr>
            </m:ctrlPr>
          </m:den>
        </m:f>
      </m:oMath>
      <w:r>
        <w:rPr>
          <w:rFonts w:hint="eastAsia" w:ascii="宋体"/>
          <w:szCs w:val="24"/>
        </w:rPr>
        <w:tab/>
      </w:r>
      <w:r>
        <w:rPr>
          <w:rFonts w:hint="eastAsia" w:ascii="宋体"/>
          <w:szCs w:val="24"/>
        </w:rPr>
        <w:t>(2)</w:t>
      </w:r>
    </w:p>
    <w:p w14:paraId="26CDA1D3">
      <w:pPr>
        <w:tabs>
          <w:tab w:val="center" w:pos="4200"/>
          <w:tab w:val="right" w:pos="8400"/>
        </w:tabs>
        <w:ind w:firstLine="420"/>
        <w:rPr>
          <w:rFonts w:hint="default" w:ascii="Times New Roman" w:hAnsi="Times New Roman" w:eastAsia="方正仿宋" w:cs="方正仿宋"/>
          <w:bCs/>
          <w:lang w:val="en-US" w:eastAsia="zh-CN" w:bidi="ar"/>
        </w:rPr>
      </w:pPr>
      <w:r>
        <w:rPr>
          <w:rFonts w:hint="default" w:ascii="Times New Roman" w:hAnsi="Times New Roman" w:eastAsia="方正仿宋" w:cs="方正仿宋"/>
          <w:bCs/>
          <w:lang w:val="en-US" w:eastAsia="zh-CN" w:bidi="ar"/>
        </w:rPr>
        <w:t>式中：</w:t>
      </w:r>
    </w:p>
    <w:p w14:paraId="0E33BA3C">
      <w:pPr>
        <w:tabs>
          <w:tab w:val="center" w:pos="4200"/>
          <w:tab w:val="right" w:pos="8400"/>
        </w:tabs>
        <w:ind w:firstLine="420"/>
        <w:rPr>
          <w:rFonts w:ascii="Times New Roman" w:hAnsi="Times New Roman" w:eastAsia="方正仿宋" w:cs="方正仿宋"/>
          <w:bCs/>
          <w:szCs w:val="21"/>
          <w:lang w:bidi="ar"/>
        </w:rPr>
      </w:pPr>
      <m:oMath>
        <m:r>
          <m:rPr>
            <m:sty m:val="p"/>
          </m:rPr>
          <w:rPr>
            <w:rFonts w:ascii="Times New Roman" w:hAnsi="Times New Roman" w:eastAsia="方正仿宋" w:cs="方正仿宋"/>
            <w:lang w:bidi="ar"/>
          </w:rPr>
          <m:t>E</m:t>
        </m:r>
        <m:sSub>
          <m:sSubPr>
            <m:ctrlPr>
              <w:rPr>
                <w:rFonts w:ascii="Cambria Math" w:hAnsi="Cambria Math" w:eastAsia="方正仿宋" w:cs="方正仿宋"/>
                <w:bCs/>
                <w:lang w:bidi="ar"/>
              </w:rPr>
            </m:ctrlPr>
          </m:sSubPr>
          <m:e>
            <m:r>
              <m:rPr>
                <m:sty m:val="p"/>
              </m:rPr>
              <w:rPr>
                <w:rFonts w:ascii="Times New Roman" w:hAnsi="Times New Roman" w:eastAsia="方正仿宋" w:cs="方正仿宋"/>
                <w:lang w:bidi="ar"/>
              </w:rPr>
              <m:t>F</m:t>
            </m:r>
            <m:ctrlPr>
              <w:rPr>
                <w:rFonts w:ascii="Cambria Math" w:hAnsi="Cambria Math" w:eastAsia="方正仿宋" w:cs="方正仿宋"/>
                <w:bCs/>
                <w:lang w:bidi="ar"/>
              </w:rPr>
            </m:ctrlPr>
          </m:e>
          <m:sub>
            <m:r>
              <m:rPr>
                <m:sty m:val="p"/>
              </m:rPr>
              <w:rPr>
                <w:rFonts w:ascii="Times New Roman" w:hAnsi="Times New Roman" w:eastAsia="方正仿宋" w:cs="方正仿宋"/>
                <w:lang w:bidi="ar"/>
              </w:rPr>
              <m:t>TL,j</m:t>
            </m:r>
            <m:ctrlPr>
              <w:rPr>
                <w:rFonts w:ascii="Cambria Math" w:hAnsi="Cambria Math" w:eastAsia="方正仿宋" w:cs="方正仿宋"/>
                <w:bCs/>
                <w:lang w:bidi="ar"/>
              </w:rPr>
            </m:ctrlPr>
          </m:sub>
        </m:sSub>
      </m:oMath>
      <w:r>
        <w:rPr>
          <w:rFonts w:ascii="Times New Roman" w:hAnsi="Times New Roman" w:eastAsia="方正仿宋" w:cs="方正仿宋"/>
          <w:bCs/>
          <w:szCs w:val="21"/>
          <w:lang w:bidi="ar"/>
        </w:rPr>
        <w:t>——核算周期内第j类T梁的碳排放强度，单位为千克二氧化碳每立方米（kgCO₂/m³）；</w:t>
      </w:r>
    </w:p>
    <w:p w14:paraId="0E33BA3D">
      <w:pPr>
        <w:widowControl/>
        <w:tabs>
          <w:tab w:val="center" w:pos="4200"/>
          <w:tab w:val="right" w:pos="8400"/>
        </w:tabs>
        <w:ind w:firstLine="420"/>
        <w:rPr>
          <w:rFonts w:ascii="Times New Roman" w:hAnsi="Times New Roman" w:eastAsia="方正仿宋" w:cs="方正仿宋"/>
          <w:bCs/>
          <w:lang w:bidi="ar"/>
        </w:rPr>
      </w:pPr>
      <m:oMath>
        <m:r>
          <m:rPr>
            <m:sty m:val="p"/>
          </m:rPr>
          <w:rPr>
            <w:rFonts w:ascii="Times New Roman" w:hAnsi="Times New Roman" w:eastAsia="方正仿宋" w:cs="方正仿宋"/>
            <w:lang w:bidi="ar"/>
          </w:rPr>
          <m:t>j</m:t>
        </m:r>
      </m:oMath>
      <w:r>
        <w:rPr>
          <w:rFonts w:hint="default" w:ascii="Times New Roman" w:hAnsi="Times New Roman" w:eastAsia="方正仿宋" w:cs="方正仿宋"/>
          <w:bCs/>
          <w:lang w:bidi="ar"/>
        </w:rPr>
        <w:t>——T梁类别的序号；</w:t>
      </w:r>
    </w:p>
    <w:p w14:paraId="0E33BA3E">
      <w:pPr>
        <w:widowControl/>
        <w:tabs>
          <w:tab w:val="center" w:pos="4200"/>
          <w:tab w:val="right" w:pos="8400"/>
        </w:tabs>
        <w:ind w:firstLine="420"/>
        <w:rPr>
          <w:rFonts w:ascii="Times New Roman" w:hAnsi="Times New Roman" w:eastAsia="方正仿宋" w:cs="方正仿宋"/>
          <w:bCs/>
          <w:lang w:bidi="ar"/>
        </w:rPr>
      </w:pPr>
      <m:oMath>
        <m:r>
          <m:rPr>
            <m:sty m:val="p"/>
          </m:rPr>
          <w:rPr>
            <w:rFonts w:ascii="Times New Roman" w:hAnsi="Times New Roman" w:eastAsia="方正仿宋" w:cs="方正仿宋"/>
            <w:lang w:bidi="ar"/>
          </w:rPr>
          <m:t>t</m:t>
        </m:r>
      </m:oMath>
      <w:r>
        <w:rPr>
          <w:rFonts w:hint="default" w:ascii="Times New Roman" w:hAnsi="Times New Roman" w:eastAsia="方正仿宋" w:cs="方正仿宋"/>
          <w:bCs/>
          <w:lang w:bidi="ar"/>
        </w:rPr>
        <w:t>——核算周期内统计时段的序号；</w:t>
      </w:r>
    </w:p>
    <w:p w14:paraId="0E33BA3F">
      <w:pPr>
        <w:widowControl/>
        <w:tabs>
          <w:tab w:val="center" w:pos="4200"/>
          <w:tab w:val="right" w:pos="8400"/>
        </w:tabs>
        <w:ind w:firstLine="420"/>
        <w:rPr>
          <w:rFonts w:ascii="Times New Roman" w:hAnsi="Times New Roman" w:eastAsia="方正仿宋" w:cs="方正仿宋"/>
          <w:bCs/>
          <w:lang w:bidi="ar"/>
        </w:rPr>
      </w:pPr>
      <m:oMath>
        <m:r>
          <m:rPr>
            <m:sty m:val="p"/>
          </m:rPr>
          <w:rPr>
            <w:rFonts w:ascii="Times New Roman" w:hAnsi="Times New Roman" w:eastAsia="方正仿宋" w:cs="方正仿宋"/>
            <w:lang w:bidi="ar"/>
          </w:rPr>
          <m:t>T</m:t>
        </m:r>
      </m:oMath>
      <w:r>
        <w:rPr>
          <w:rFonts w:ascii="Times New Roman" w:hAnsi="Times New Roman" w:eastAsia="方正仿宋" w:cs="方正仿宋"/>
          <w:bCs/>
          <w:lang w:bidi="ar"/>
        </w:rPr>
        <w:t>——核算周期内统计时段总数；</w:t>
      </w:r>
    </w:p>
    <w:p w14:paraId="0E33BA40">
      <w:pPr>
        <w:widowControl/>
        <w:tabs>
          <w:tab w:val="center" w:pos="4200"/>
          <w:tab w:val="right" w:pos="8400"/>
        </w:tabs>
        <w:ind w:firstLine="420"/>
        <w:rPr>
          <w:rFonts w:hint="default" w:ascii="Times New Roman" w:hAnsi="Times New Roman" w:eastAsia="方正仿宋" w:cs="方正仿宋"/>
          <w:bCs/>
          <w:lang w:bidi="ar"/>
        </w:rPr>
      </w:pPr>
      <m:oMath>
        <m:sSub>
          <m:sSubPr>
            <m:ctrlPr>
              <w:rPr>
                <w:rFonts w:ascii="Cambria Math" w:hAnsi="Cambria Math" w:eastAsia="方正仿宋" w:cs="方正仿宋"/>
                <w:bCs/>
                <w:lang w:bidi="ar"/>
              </w:rPr>
            </m:ctrlPr>
          </m:sSubPr>
          <m:e>
            <m:r>
              <m:rPr>
                <m:sty m:val="p"/>
              </m:rPr>
              <w:rPr>
                <w:rFonts w:ascii="Times New Roman" w:hAnsi="Times New Roman" w:eastAsia="方正仿宋" w:cs="方正仿宋"/>
                <w:lang w:bidi="ar"/>
              </w:rPr>
              <m:t>C</m:t>
            </m:r>
            <m:ctrlPr>
              <w:rPr>
                <w:rFonts w:ascii="Cambria Math" w:hAnsi="Cambria Math" w:eastAsia="方正仿宋" w:cs="方正仿宋"/>
                <w:bCs/>
                <w:lang w:bidi="ar"/>
              </w:rPr>
            </m:ctrlPr>
          </m:e>
          <m:sub>
            <m:r>
              <m:rPr>
                <m:sty m:val="p"/>
              </m:rPr>
              <w:rPr>
                <w:rFonts w:ascii="Times New Roman" w:hAnsi="Times New Roman" w:eastAsia="方正仿宋" w:cs="方正仿宋"/>
                <w:lang w:bidi="ar"/>
              </w:rPr>
              <m:t>A1,t,j</m:t>
            </m:r>
            <m:ctrlPr>
              <w:rPr>
                <w:rFonts w:ascii="Cambria Math" w:hAnsi="Cambria Math" w:eastAsia="方正仿宋" w:cs="方正仿宋"/>
                <w:bCs/>
                <w:lang w:bidi="ar"/>
              </w:rPr>
            </m:ctrlPr>
          </m:sub>
        </m:sSub>
      </m:oMath>
      <w:r>
        <w:rPr>
          <w:rFonts w:hint="default" w:ascii="Times New Roman" w:hAnsi="Times New Roman" w:eastAsia="方正仿宋" w:cs="方正仿宋"/>
          <w:bCs/>
          <w:lang w:bidi="ar"/>
        </w:rPr>
        <w:t>——核算周期内第t期第j类T梁原材料生产阶段的二氧化碳排放量，单位为千克二氧化碳（kgCO₂）；</w:t>
      </w:r>
    </w:p>
    <w:p w14:paraId="0E33BA41">
      <w:pPr>
        <w:widowControl/>
        <w:tabs>
          <w:tab w:val="center" w:pos="4200"/>
          <w:tab w:val="right" w:pos="8400"/>
        </w:tabs>
        <w:ind w:firstLine="420"/>
        <w:rPr>
          <w:rFonts w:hint="default" w:ascii="Times New Roman" w:hAnsi="Times New Roman" w:eastAsia="方正仿宋" w:cs="方正仿宋"/>
          <w:bCs/>
          <w:lang w:bidi="ar"/>
        </w:rPr>
      </w:pPr>
      <m:oMath>
        <m:sSub>
          <m:sSubPr>
            <m:ctrlPr>
              <w:rPr>
                <w:rFonts w:ascii="Cambria Math" w:hAnsi="Cambria Math" w:eastAsia="方正仿宋" w:cs="方正仿宋"/>
                <w:bCs/>
                <w:lang w:bidi="ar"/>
              </w:rPr>
            </m:ctrlPr>
          </m:sSubPr>
          <m:e>
            <m:r>
              <m:rPr>
                <m:sty m:val="p"/>
              </m:rPr>
              <w:rPr>
                <w:rFonts w:ascii="Times New Roman" w:hAnsi="Times New Roman" w:eastAsia="方正仿宋" w:cs="方正仿宋"/>
                <w:lang w:bidi="ar"/>
              </w:rPr>
              <m:t>C</m:t>
            </m:r>
            <m:ctrlPr>
              <w:rPr>
                <w:rFonts w:ascii="Cambria Math" w:hAnsi="Cambria Math" w:eastAsia="方正仿宋" w:cs="方正仿宋"/>
                <w:bCs/>
                <w:lang w:bidi="ar"/>
              </w:rPr>
            </m:ctrlPr>
          </m:e>
          <m:sub>
            <m:r>
              <m:rPr>
                <m:sty m:val="p"/>
              </m:rPr>
              <w:rPr>
                <w:rFonts w:ascii="Times New Roman" w:hAnsi="Times New Roman" w:eastAsia="方正仿宋" w:cs="方正仿宋"/>
                <w:lang w:bidi="ar"/>
              </w:rPr>
              <m:t>A2,t,j</m:t>
            </m:r>
            <m:ctrlPr>
              <w:rPr>
                <w:rFonts w:ascii="Cambria Math" w:hAnsi="Cambria Math" w:eastAsia="方正仿宋" w:cs="方正仿宋"/>
                <w:bCs/>
                <w:lang w:bidi="ar"/>
              </w:rPr>
            </m:ctrlPr>
          </m:sub>
        </m:sSub>
      </m:oMath>
      <w:r>
        <w:rPr>
          <w:rFonts w:hint="default" w:ascii="Times New Roman" w:hAnsi="Times New Roman" w:eastAsia="方正仿宋" w:cs="方正仿宋"/>
          <w:bCs/>
          <w:lang w:bidi="ar"/>
        </w:rPr>
        <w:t>——核算周期内第t期第j类T梁原材料运输阶段的二氧化碳排放量，单位为千克二氧化碳（kgCO₂）；</w:t>
      </w:r>
    </w:p>
    <w:p w14:paraId="0E33BA42">
      <w:pPr>
        <w:widowControl/>
        <w:tabs>
          <w:tab w:val="center" w:pos="4200"/>
          <w:tab w:val="right" w:pos="8400"/>
        </w:tabs>
        <w:ind w:firstLine="420"/>
        <w:rPr>
          <w:rFonts w:hint="default" w:ascii="Times New Roman" w:hAnsi="Times New Roman" w:eastAsia="方正仿宋" w:cs="方正仿宋"/>
          <w:bCs/>
          <w:lang w:bidi="ar"/>
        </w:rPr>
      </w:pPr>
      <m:oMath>
        <m:sSub>
          <m:sSubPr>
            <m:ctrlPr>
              <w:rPr>
                <w:rFonts w:ascii="Cambria Math" w:hAnsi="Cambria Math" w:eastAsia="方正仿宋" w:cs="方正仿宋"/>
                <w:bCs/>
                <w:lang w:bidi="ar"/>
              </w:rPr>
            </m:ctrlPr>
          </m:sSubPr>
          <m:e>
            <m:r>
              <m:rPr>
                <m:sty m:val="p"/>
              </m:rPr>
              <w:rPr>
                <w:rFonts w:ascii="Times New Roman" w:hAnsi="Times New Roman" w:eastAsia="方正仿宋" w:cs="方正仿宋"/>
                <w:lang w:bidi="ar"/>
              </w:rPr>
              <m:t>C</m:t>
            </m:r>
            <m:ctrlPr>
              <w:rPr>
                <w:rFonts w:ascii="Cambria Math" w:hAnsi="Cambria Math" w:eastAsia="方正仿宋" w:cs="方正仿宋"/>
                <w:bCs/>
                <w:lang w:bidi="ar"/>
              </w:rPr>
            </m:ctrlPr>
          </m:e>
          <m:sub>
            <m:r>
              <m:rPr>
                <m:sty m:val="p"/>
              </m:rPr>
              <w:rPr>
                <w:rFonts w:ascii="Times New Roman" w:hAnsi="Times New Roman" w:eastAsia="方正仿宋" w:cs="方正仿宋"/>
                <w:lang w:bidi="ar"/>
              </w:rPr>
              <m:t>A3,t,j</m:t>
            </m:r>
            <m:ctrlPr>
              <w:rPr>
                <w:rFonts w:ascii="Cambria Math" w:hAnsi="Cambria Math" w:eastAsia="方正仿宋" w:cs="方正仿宋"/>
                <w:bCs/>
                <w:lang w:bidi="ar"/>
              </w:rPr>
            </m:ctrlPr>
          </m:sub>
        </m:sSub>
      </m:oMath>
      <w:r>
        <w:rPr>
          <w:rFonts w:hint="default" w:ascii="Times New Roman" w:hAnsi="Times New Roman" w:eastAsia="方正仿宋" w:cs="方正仿宋"/>
          <w:bCs/>
          <w:lang w:bidi="ar"/>
        </w:rPr>
        <w:t>——核算周期内第t期第j类T梁构件工厂化生产阶段的二氧化碳排放量，单位为千克二氧化碳（kgCO₂）；</w:t>
      </w:r>
    </w:p>
    <w:p w14:paraId="0E33BA43">
      <w:pPr>
        <w:widowControl/>
        <w:tabs>
          <w:tab w:val="center" w:pos="4200"/>
          <w:tab w:val="right" w:pos="8400"/>
        </w:tabs>
        <w:ind w:firstLine="420"/>
        <w:rPr>
          <w:rFonts w:ascii="Times New Roman" w:hAnsi="Times New Roman" w:eastAsia="方正仿宋" w:cs="方正仿宋"/>
          <w:bCs/>
          <w:lang w:bidi="ar"/>
        </w:rPr>
      </w:pPr>
      <m:oMath>
        <m:sSub>
          <m:sSubPr>
            <m:ctrlPr>
              <w:rPr>
                <w:rFonts w:ascii="Cambria Math" w:hAnsi="Cambria Math" w:eastAsia="方正仿宋" w:cs="方正仿宋"/>
                <w:bCs/>
                <w:lang w:bidi="ar"/>
              </w:rPr>
            </m:ctrlPr>
          </m:sSubPr>
          <m:e>
            <m:r>
              <m:rPr>
                <m:sty m:val="p"/>
              </m:rPr>
              <w:rPr>
                <w:rFonts w:ascii="Times New Roman" w:hAnsi="Times New Roman" w:eastAsia="方正仿宋" w:cs="方正仿宋"/>
                <w:lang w:bidi="ar"/>
              </w:rPr>
              <m:t>C</m:t>
            </m:r>
            <m:ctrlPr>
              <w:rPr>
                <w:rFonts w:ascii="Cambria Math" w:hAnsi="Cambria Math" w:eastAsia="方正仿宋" w:cs="方正仿宋"/>
                <w:bCs/>
                <w:lang w:bidi="ar"/>
              </w:rPr>
            </m:ctrlPr>
          </m:e>
          <m:sub>
            <m:r>
              <m:rPr>
                <m:sty m:val="p"/>
              </m:rPr>
              <w:rPr>
                <w:rFonts w:ascii="Times New Roman" w:hAnsi="Times New Roman" w:eastAsia="方正仿宋" w:cs="方正仿宋"/>
                <w:lang w:bidi="ar"/>
              </w:rPr>
              <m:t>A4,t,j</m:t>
            </m:r>
            <m:ctrlPr>
              <w:rPr>
                <w:rFonts w:ascii="Cambria Math" w:hAnsi="Cambria Math" w:eastAsia="方正仿宋" w:cs="方正仿宋"/>
                <w:bCs/>
                <w:lang w:bidi="ar"/>
              </w:rPr>
            </m:ctrlPr>
          </m:sub>
        </m:sSub>
      </m:oMath>
      <w:r>
        <w:rPr>
          <w:rFonts w:hint="default" w:ascii="Times New Roman" w:hAnsi="Times New Roman" w:eastAsia="方正仿宋" w:cs="方正仿宋"/>
          <w:bCs/>
          <w:lang w:bidi="ar"/>
        </w:rPr>
        <w:t>——核算周期内第t期第j类T梁构件运输阶段的二氧化碳排放量，单位为千克二氧化碳（kgCO₂）；</w:t>
      </w:r>
    </w:p>
    <w:p w14:paraId="0E33BA44">
      <w:pPr>
        <w:widowControl/>
        <w:tabs>
          <w:tab w:val="center" w:pos="4200"/>
          <w:tab w:val="right" w:pos="8400"/>
        </w:tabs>
        <w:ind w:firstLine="420"/>
        <w:rPr>
          <w:rFonts w:ascii="Times New Roman" w:hAnsi="Times New Roman" w:eastAsia="方正仿宋" w:cs="方正仿宋"/>
          <w:bCs/>
          <w:lang w:bidi="ar"/>
        </w:rPr>
      </w:pPr>
      <m:oMath>
        <m:sSub>
          <m:sSubPr>
            <m:ctrlPr>
              <w:rPr>
                <w:rFonts w:ascii="Cambria Math" w:hAnsi="Cambria Math" w:eastAsia="方正仿宋" w:cs="方正仿宋"/>
                <w:bCs/>
                <w:lang w:bidi="ar"/>
              </w:rPr>
            </m:ctrlPr>
          </m:sSubPr>
          <m:e>
            <m:r>
              <m:rPr>
                <m:sty m:val="p"/>
              </m:rPr>
              <w:rPr>
                <w:rFonts w:ascii="Times New Roman" w:hAnsi="Times New Roman" w:eastAsia="方正仿宋" w:cs="方正仿宋"/>
                <w:lang w:bidi="ar"/>
              </w:rPr>
              <m:t>C</m:t>
            </m:r>
            <m:ctrlPr>
              <w:rPr>
                <w:rFonts w:ascii="Cambria Math" w:hAnsi="Cambria Math" w:eastAsia="方正仿宋" w:cs="方正仿宋"/>
                <w:bCs/>
                <w:lang w:bidi="ar"/>
              </w:rPr>
            </m:ctrlPr>
          </m:e>
          <m:sub>
            <m:r>
              <m:rPr>
                <m:sty m:val="p"/>
              </m:rPr>
              <w:rPr>
                <w:rFonts w:ascii="Times New Roman" w:hAnsi="Times New Roman" w:eastAsia="方正仿宋" w:cs="方正仿宋"/>
                <w:lang w:bidi="ar"/>
              </w:rPr>
              <m:t>A5,t,j</m:t>
            </m:r>
            <m:ctrlPr>
              <w:rPr>
                <w:rFonts w:ascii="Cambria Math" w:hAnsi="Cambria Math" w:eastAsia="方正仿宋" w:cs="方正仿宋"/>
                <w:bCs/>
                <w:lang w:bidi="ar"/>
              </w:rPr>
            </m:ctrlPr>
          </m:sub>
        </m:sSub>
      </m:oMath>
      <w:r>
        <w:rPr>
          <w:rFonts w:hint="default" w:ascii="Times New Roman" w:hAnsi="Times New Roman" w:eastAsia="方正仿宋" w:cs="方正仿宋"/>
          <w:bCs/>
          <w:lang w:bidi="ar"/>
        </w:rPr>
        <w:t>——核算周期内第t期第j类T梁现场安装阶段的二氧化碳排放量，单位为千克二氧化碳（kgCO₂）；</w:t>
      </w:r>
    </w:p>
    <w:p w14:paraId="0E33BA45">
      <w:pPr>
        <w:widowControl/>
        <w:tabs>
          <w:tab w:val="center" w:pos="4200"/>
          <w:tab w:val="right" w:pos="8400"/>
        </w:tabs>
        <w:ind w:firstLine="420"/>
        <w:rPr>
          <w:rFonts w:ascii="Times New Roman" w:hAnsi="Times New Roman" w:eastAsia="方正仿宋" w:cs="方正仿宋"/>
          <w:bCs/>
          <w:lang w:bidi="ar"/>
        </w:rPr>
      </w:pPr>
      <m:oMath>
        <m:sSub>
          <m:sSubPr>
            <m:ctrlPr>
              <w:rPr>
                <w:rFonts w:ascii="Cambria Math" w:hAnsi="Cambria Math" w:eastAsia="方正仿宋" w:cs="方正仿宋"/>
                <w:bCs/>
                <w:lang w:bidi="ar"/>
              </w:rPr>
            </m:ctrlPr>
          </m:sSubPr>
          <m:e>
            <m:r>
              <m:rPr>
                <m:sty m:val="p"/>
              </m:rPr>
              <w:rPr>
                <w:rFonts w:ascii="Times New Roman" w:hAnsi="Times New Roman" w:eastAsia="方正仿宋" w:cs="方正仿宋"/>
                <w:lang w:bidi="ar"/>
              </w:rPr>
              <m:t>V</m:t>
            </m:r>
            <m:ctrlPr>
              <w:rPr>
                <w:rFonts w:ascii="Cambria Math" w:hAnsi="Cambria Math" w:eastAsia="方正仿宋" w:cs="方正仿宋"/>
                <w:bCs/>
                <w:lang w:bidi="ar"/>
              </w:rPr>
            </m:ctrlPr>
          </m:e>
          <m:sub>
            <m:r>
              <m:rPr>
                <m:sty m:val="p"/>
              </m:rPr>
              <w:rPr>
                <w:rFonts w:ascii="Times New Roman" w:hAnsi="Times New Roman" w:eastAsia="方正仿宋" w:cs="方正仿宋"/>
                <w:lang w:bidi="ar"/>
              </w:rPr>
              <m:t>TL,t,j</m:t>
            </m:r>
            <m:ctrlPr>
              <w:rPr>
                <w:rFonts w:ascii="Cambria Math" w:hAnsi="Cambria Math" w:eastAsia="方正仿宋" w:cs="方正仿宋"/>
                <w:bCs/>
                <w:lang w:bidi="ar"/>
              </w:rPr>
            </m:ctrlPr>
          </m:sub>
        </m:sSub>
      </m:oMath>
      <w:r>
        <w:rPr>
          <w:rFonts w:hint="default" w:ascii="Times New Roman" w:hAnsi="Times New Roman" w:eastAsia="方正仿宋" w:cs="方正仿宋"/>
          <w:bCs/>
          <w:lang w:bidi="ar"/>
        </w:rPr>
        <w:t>——核算周期内第t期第j类T梁的总体积之和，单位为立方米（m³）。</w:t>
      </w:r>
    </w:p>
    <w:p w14:paraId="0E33BA47">
      <w:pPr>
        <w:pStyle w:val="33"/>
        <w:rPr>
          <w:rFonts w:hint="eastAsia" w:ascii="宋体" w:hAnsi="宋体" w:eastAsia="宋体" w:cs="宋体"/>
          <w:szCs w:val="20"/>
        </w:rPr>
      </w:pPr>
      <w:r>
        <w:rPr>
          <w:rFonts w:hint="eastAsia" w:ascii="宋体" w:hAnsi="宋体" w:eastAsia="宋体" w:cs="宋体"/>
          <w:szCs w:val="20"/>
        </w:rPr>
        <w:t>第j类T梁核算对象的二氧化碳排放总量应按式（3）核算：</w:t>
      </w:r>
    </w:p>
    <w:p w14:paraId="0E33BA48">
      <w:pPr>
        <w:pStyle w:val="36"/>
        <w:tabs>
          <w:tab w:val="center" w:pos="4678"/>
          <w:tab w:val="right" w:leader="middleDot" w:pos="9356"/>
        </w:tabs>
        <w:rPr>
          <w:rFonts w:hint="eastAsia" w:ascii="宋体"/>
          <w:szCs w:val="24"/>
        </w:rPr>
      </w:pPr>
      <w:r>
        <w:rPr>
          <w:rFonts w:hint="eastAsia" w:ascii="宋体"/>
          <w:szCs w:val="24"/>
        </w:rPr>
        <w:tab/>
      </w:r>
      <m:oMath>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default" w:ascii="Cambria Math" w:hAnsi="Cambria Math"/>
                <w:szCs w:val="24"/>
              </w:rPr>
              <m:t>TL,j</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V</m:t>
            </m:r>
            <m:ctrlPr>
              <w:rPr>
                <w:rFonts w:hint="eastAsia" w:ascii="Cambria Math" w:hAnsi="Cambria Math"/>
                <w:i/>
                <w:iCs/>
                <w:szCs w:val="24"/>
              </w:rPr>
            </m:ctrlPr>
          </m:e>
          <m:sub>
            <m:r>
              <m:rPr/>
              <w:rPr>
                <w:rFonts w:hint="default" w:ascii="Cambria Math" w:hAnsi="Cambria Math"/>
                <w:szCs w:val="24"/>
              </w:rPr>
              <m:t>TL,j</m:t>
            </m:r>
            <m:ctrlPr>
              <w:rPr>
                <w:rFonts w:hint="eastAsia" w:ascii="Cambria Math" w:hAnsi="Cambria Math"/>
                <w:i/>
                <w:iCs/>
                <w:szCs w:val="24"/>
              </w:rPr>
            </m:ctrlPr>
          </m:sub>
        </m:sSub>
        <m:r>
          <m:rPr/>
          <w:rPr>
            <w:rFonts w:hint="default" w:ascii="Cambria Math" w:hAnsi="Cambria Math"/>
            <w:szCs w:val="24"/>
          </w:rPr>
          <m:t>×E</m:t>
        </m:r>
        <m:sSub>
          <m:sSubPr>
            <m:ctrlPr>
              <w:rPr>
                <w:rFonts w:hint="eastAsia" w:ascii="Cambria Math" w:hAnsi="Cambria Math"/>
                <w:i/>
                <w:iCs/>
                <w:szCs w:val="24"/>
              </w:rPr>
            </m:ctrlPr>
          </m:sSubPr>
          <m:e>
            <m:r>
              <m:rPr/>
              <w:rPr>
                <w:rFonts w:hint="default" w:ascii="Cambria Math" w:hAnsi="Cambria Math"/>
                <w:szCs w:val="24"/>
              </w:rPr>
              <m:t>F</m:t>
            </m:r>
            <m:ctrlPr>
              <w:rPr>
                <w:rFonts w:hint="eastAsia" w:ascii="Cambria Math" w:hAnsi="Cambria Math"/>
                <w:i/>
                <w:iCs/>
                <w:szCs w:val="24"/>
              </w:rPr>
            </m:ctrlPr>
          </m:e>
          <m:sub>
            <m:r>
              <m:rPr/>
              <w:rPr>
                <w:rFonts w:hint="default" w:ascii="Cambria Math" w:hAnsi="Cambria Math"/>
                <w:szCs w:val="24"/>
              </w:rPr>
              <m:t>TL,j</m:t>
            </m:r>
            <m:ctrlPr>
              <w:rPr>
                <w:rFonts w:hint="eastAsia" w:ascii="Cambria Math" w:hAnsi="Cambria Math"/>
                <w:i/>
                <w:iCs/>
                <w:szCs w:val="24"/>
              </w:rPr>
            </m:ctrlPr>
          </m:sub>
        </m:sSub>
      </m:oMath>
      <w:r>
        <w:rPr>
          <w:rFonts w:hint="eastAsia" w:ascii="宋体"/>
          <w:szCs w:val="24"/>
        </w:rPr>
        <w:tab/>
      </w:r>
      <w:r>
        <w:rPr>
          <w:rFonts w:hint="eastAsia" w:ascii="宋体"/>
          <w:szCs w:val="24"/>
        </w:rPr>
        <w:t>(3)</w:t>
      </w:r>
    </w:p>
    <w:p w14:paraId="22EA8525">
      <w:pPr>
        <w:tabs>
          <w:tab w:val="center" w:pos="4200"/>
          <w:tab w:val="right" w:pos="8400"/>
        </w:tabs>
        <w:ind w:firstLine="420"/>
        <w:rPr>
          <w:rFonts w:ascii="Times New Roman"/>
        </w:rPr>
      </w:pPr>
      <w:r>
        <w:rPr>
          <w:rFonts w:hint="default" w:ascii="Times New Roman" w:hAnsi="Times New Roman" w:eastAsia="方正仿宋" w:cs="方正仿宋"/>
          <w:bCs/>
          <w:lang w:val="en-US" w:eastAsia="zh-CN" w:bidi="ar"/>
        </w:rPr>
        <w:t>式中：</w:t>
      </w:r>
    </w:p>
    <w:p w14:paraId="0E33BA49">
      <w:pPr>
        <w:tabs>
          <w:tab w:val="center" w:pos="4200"/>
          <w:tab w:val="right" w:pos="8400"/>
        </w:tabs>
        <w:ind w:firstLine="420"/>
        <w:rPr>
          <w:rFonts w:hint="default" w:ascii="Times New Roman" w:hAnsi="Times New Roman" w:eastAsia="方正仿宋" w:cs="方正仿宋"/>
          <w:bCs/>
          <w:szCs w:val="21"/>
          <w:lang w:bidi="ar"/>
        </w:rPr>
      </w:pPr>
      <m:oMath>
        <m:sSub>
          <m:sSubPr>
            <m:ctrlPr>
              <w:rPr>
                <w:rFonts w:ascii="Cambria Math" w:hAnsi="Cambria Math" w:eastAsia="方正仿宋" w:cs="方正仿宋"/>
                <w:bCs/>
                <w:lang w:bidi="ar"/>
              </w:rPr>
            </m:ctrlPr>
          </m:sSubPr>
          <m:e>
            <m:r>
              <m:rPr>
                <m:sty m:val="p"/>
              </m:rPr>
              <w:rPr>
                <w:rFonts w:ascii="Times New Roman" w:hAnsi="Times New Roman" w:eastAsia="方正仿宋" w:cs="方正仿宋"/>
                <w:lang w:bidi="ar"/>
              </w:rPr>
              <m:t>C</m:t>
            </m:r>
            <m:ctrlPr>
              <w:rPr>
                <w:rFonts w:ascii="Cambria Math" w:hAnsi="Cambria Math" w:eastAsia="方正仿宋" w:cs="方正仿宋"/>
                <w:bCs/>
                <w:lang w:bidi="ar"/>
              </w:rPr>
            </m:ctrlPr>
          </m:e>
          <m:sub>
            <m:r>
              <m:rPr>
                <m:sty m:val="p"/>
              </m:rPr>
              <w:rPr>
                <w:rFonts w:ascii="Times New Roman" w:hAnsi="Times New Roman" w:eastAsia="方正仿宋" w:cs="方正仿宋"/>
                <w:lang w:bidi="ar"/>
              </w:rPr>
              <m:t>TL,j</m:t>
            </m:r>
            <m:ctrlPr>
              <w:rPr>
                <w:rFonts w:ascii="Cambria Math" w:hAnsi="Cambria Math" w:eastAsia="方正仿宋" w:cs="方正仿宋"/>
                <w:bCs/>
                <w:lang w:bidi="ar"/>
              </w:rPr>
            </m:ctrlPr>
          </m:sub>
        </m:sSub>
      </m:oMath>
      <w:r>
        <w:rPr>
          <w:rFonts w:ascii="Times New Roman" w:hAnsi="Times New Roman" w:eastAsia="方正仿宋" w:cs="方正仿宋"/>
          <w:bCs/>
          <w:szCs w:val="21"/>
          <w:lang w:bidi="ar"/>
        </w:rPr>
        <w:t>——第j类T梁核算对象的二氧化碳排放量，单位为千克二氧化碳（kgCO₂）；</w:t>
      </w:r>
    </w:p>
    <w:p w14:paraId="0E33BA4A">
      <w:pPr>
        <w:tabs>
          <w:tab w:val="center" w:pos="4200"/>
          <w:tab w:val="right" w:pos="8400"/>
        </w:tabs>
        <w:ind w:firstLine="420"/>
        <w:rPr>
          <w:rFonts w:ascii="Times New Roman" w:hAnsi="Times New Roman" w:eastAsia="方正仿宋" w:cs="方正仿宋"/>
          <w:bCs/>
          <w:szCs w:val="21"/>
          <w:lang w:bidi="ar"/>
        </w:rPr>
      </w:pPr>
      <m:oMath>
        <m:sSub>
          <m:sSubPr>
            <m:ctrlPr>
              <w:rPr>
                <w:rFonts w:ascii="Cambria Math" w:hAnsi="Cambria Math" w:eastAsia="方正仿宋" w:cs="方正仿宋"/>
                <w:bCs/>
                <w:lang w:bidi="ar"/>
              </w:rPr>
            </m:ctrlPr>
          </m:sSubPr>
          <m:e>
            <m:r>
              <m:rPr>
                <m:sty m:val="p"/>
              </m:rPr>
              <w:rPr>
                <w:rFonts w:ascii="Times New Roman" w:hAnsi="Times New Roman" w:eastAsia="方正仿宋" w:cs="方正仿宋"/>
                <w:lang w:bidi="ar"/>
              </w:rPr>
              <m:t>V</m:t>
            </m:r>
            <m:ctrlPr>
              <w:rPr>
                <w:rFonts w:ascii="Cambria Math" w:hAnsi="Cambria Math" w:eastAsia="方正仿宋" w:cs="方正仿宋"/>
                <w:bCs/>
                <w:lang w:bidi="ar"/>
              </w:rPr>
            </m:ctrlPr>
          </m:e>
          <m:sub>
            <m:r>
              <m:rPr>
                <m:sty m:val="p"/>
              </m:rPr>
              <w:rPr>
                <w:rFonts w:ascii="Times New Roman" w:hAnsi="Times New Roman" w:eastAsia="方正仿宋" w:cs="方正仿宋"/>
                <w:lang w:bidi="ar"/>
              </w:rPr>
              <m:t>TL,j</m:t>
            </m:r>
            <m:ctrlPr>
              <w:rPr>
                <w:rFonts w:ascii="Cambria Math" w:hAnsi="Cambria Math" w:eastAsia="方正仿宋" w:cs="方正仿宋"/>
                <w:bCs/>
                <w:lang w:bidi="ar"/>
              </w:rPr>
            </m:ctrlPr>
          </m:sub>
        </m:sSub>
      </m:oMath>
      <w:r>
        <w:rPr>
          <w:rFonts w:ascii="Times New Roman" w:hAnsi="Times New Roman" w:eastAsia="方正仿宋" w:cs="方正仿宋"/>
          <w:bCs/>
          <w:szCs w:val="21"/>
          <w:lang w:bidi="ar"/>
        </w:rPr>
        <w:t>——第j类T梁核算对象的总体积，单位为立方米（m³）；</w:t>
      </w:r>
    </w:p>
    <w:p w14:paraId="0E33BA4B">
      <w:pPr>
        <w:tabs>
          <w:tab w:val="center" w:pos="4200"/>
          <w:tab w:val="right" w:pos="8400"/>
        </w:tabs>
        <w:ind w:firstLine="420"/>
        <w:rPr>
          <w:rFonts w:ascii="Times New Roman" w:hAnsi="Times New Roman" w:eastAsia="方正仿宋" w:cs="方正仿宋"/>
          <w:bCs/>
          <w:szCs w:val="21"/>
          <w:lang w:bidi="ar"/>
        </w:rPr>
      </w:pPr>
      <m:oMath>
        <m:r>
          <m:rPr>
            <m:sty m:val="p"/>
          </m:rPr>
          <w:rPr>
            <w:rFonts w:ascii="Times New Roman" w:hAnsi="Times New Roman" w:eastAsia="方正仿宋" w:cs="方正仿宋"/>
            <w:lang w:bidi="ar"/>
          </w:rPr>
          <m:t>E</m:t>
        </m:r>
        <m:sSub>
          <m:sSubPr>
            <m:ctrlPr>
              <w:rPr>
                <w:rFonts w:ascii="Cambria Math" w:hAnsi="Cambria Math" w:eastAsia="方正仿宋" w:cs="方正仿宋"/>
                <w:bCs/>
                <w:lang w:bidi="ar"/>
              </w:rPr>
            </m:ctrlPr>
          </m:sSubPr>
          <m:e>
            <m:r>
              <m:rPr>
                <m:sty m:val="p"/>
              </m:rPr>
              <w:rPr>
                <w:rFonts w:ascii="Times New Roman" w:hAnsi="Times New Roman" w:eastAsia="方正仿宋" w:cs="方正仿宋"/>
                <w:lang w:bidi="ar"/>
              </w:rPr>
              <m:t>F</m:t>
            </m:r>
            <m:ctrlPr>
              <w:rPr>
                <w:rFonts w:ascii="Cambria Math" w:hAnsi="Cambria Math" w:eastAsia="方正仿宋" w:cs="方正仿宋"/>
                <w:bCs/>
                <w:lang w:bidi="ar"/>
              </w:rPr>
            </m:ctrlPr>
          </m:e>
          <m:sub>
            <m:r>
              <m:rPr>
                <m:sty m:val="p"/>
              </m:rPr>
              <w:rPr>
                <w:rFonts w:ascii="Times New Roman" w:hAnsi="Times New Roman" w:eastAsia="方正仿宋" w:cs="方正仿宋"/>
                <w:lang w:bidi="ar"/>
              </w:rPr>
              <m:t>TL,j</m:t>
            </m:r>
            <m:ctrlPr>
              <w:rPr>
                <w:rFonts w:ascii="Cambria Math" w:hAnsi="Cambria Math" w:eastAsia="方正仿宋" w:cs="方正仿宋"/>
                <w:bCs/>
                <w:lang w:bidi="ar"/>
              </w:rPr>
            </m:ctrlPr>
          </m:sub>
        </m:sSub>
      </m:oMath>
      <w:r>
        <w:rPr>
          <w:rFonts w:ascii="Times New Roman" w:hAnsi="Times New Roman" w:eastAsia="方正仿宋" w:cs="方正仿宋"/>
          <w:bCs/>
          <w:szCs w:val="21"/>
          <w:lang w:bidi="ar"/>
        </w:rPr>
        <w:t>——第j类T梁的碳排放强度，单位为千克二氧化碳每立方米（kgCO₂/m³）。</w:t>
      </w:r>
    </w:p>
    <w:p w14:paraId="0E33BA4D">
      <w:pPr>
        <w:pStyle w:val="33"/>
        <w:rPr>
          <w:rFonts w:hint="eastAsia" w:ascii="宋体" w:hAnsi="宋体" w:eastAsia="宋体" w:cs="宋体"/>
          <w:szCs w:val="20"/>
        </w:rPr>
      </w:pPr>
      <w:r>
        <w:rPr>
          <w:rFonts w:hint="eastAsia" w:ascii="宋体" w:hAnsi="宋体" w:eastAsia="宋体" w:cs="宋体"/>
          <w:szCs w:val="20"/>
        </w:rPr>
        <w:t>完成碳排放强度和二氧化碳排放总量核算后，应将核算结果与A1～A5各阶段二氧化碳排放量一并按附录C汇总，并复核核算边界和活动数据的完整性、核算口径的一致性、碳排放因子的适用性及计算结果的准确性。复核结果及发现问题的处理情况应予以记录。</w:t>
      </w:r>
    </w:p>
    <w:p w14:paraId="0E33BA4F">
      <w:pPr>
        <w:pStyle w:val="31"/>
        <w:spacing w:before="156" w:after="156"/>
        <w:outlineLvl w:val="9"/>
        <w:rPr>
          <w:rFonts w:hint="eastAsia"/>
        </w:rPr>
      </w:pPr>
      <w:r>
        <w:rPr>
          <w:rFonts w:hint="eastAsia" w:ascii="黑体"/>
          <w:szCs w:val="20"/>
        </w:rPr>
        <w:t>碳排放因子</w:t>
      </w:r>
    </w:p>
    <w:p w14:paraId="0E33BA50">
      <w:pPr>
        <w:pStyle w:val="17"/>
        <w:ind w:firstLine="420"/>
        <w:rPr>
          <w:rFonts w:ascii="Times New Roman"/>
          <w:szCs w:val="21"/>
        </w:rPr>
      </w:pPr>
      <w:r>
        <w:rPr>
          <w:rFonts w:hint="eastAsia" w:ascii="Times New Roman"/>
          <w:szCs w:val="21"/>
        </w:rPr>
        <w:t>碳排放因子应按适用性、可靠性、代表性和可追溯性原则选取，并应与活动数据在系统边界、计量单位、地区、年份和技术条件等方面相匹配。同一排放源存在多种可用数据时，宜按表1所列优先级选取。采用低优先级数据替代高优先级数据时，应说明原因。</w:t>
      </w:r>
    </w:p>
    <w:p w14:paraId="0E33BA51">
      <w:pPr>
        <w:pStyle w:val="38"/>
        <w:keepNext/>
        <w:tabs>
          <w:tab w:val="left" w:pos="0"/>
        </w:tabs>
        <w:spacing w:before="50" w:after="50"/>
        <w:ind w:firstLineChars="0"/>
        <w:rPr>
          <w:rFonts w:hint="eastAsia" w:hAnsi="Times New Roman" w:cs="Times New Roman"/>
          <w:szCs w:val="20"/>
        </w:rPr>
      </w:pPr>
      <w:r>
        <w:rPr>
          <w:rFonts w:hint="eastAsia" w:ascii="黑体" w:eastAsia="黑体"/>
          <w:b w:val="0"/>
          <w:bCs w:val="0"/>
          <w:szCs w:val="20"/>
        </w:rPr>
        <w:t>碳排放因子数据来源优先级</w:t>
      </w:r>
    </w:p>
    <w:tbl>
      <w:tblPr>
        <w:tblStyle w:val="10"/>
        <w:tblW w:w="9282"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2379"/>
        <w:gridCol w:w="6039"/>
        <w:gridCol w:w="864"/>
      </w:tblGrid>
      <w:tr w14:paraId="10D1BF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2307" w:type="dxa"/>
            <w:tcBorders>
              <w:bottom w:val="single" w:color="auto" w:sz="8" w:space="0"/>
            </w:tcBorders>
            <w:vAlign w:val="center"/>
          </w:tcPr>
          <w:p w14:paraId="25D6CF9C">
            <w:pPr>
              <w:pStyle w:val="39"/>
              <w:widowControl w:val="0"/>
              <w:bidi w:val="0"/>
              <w:spacing w:line="240" w:lineRule="auto"/>
              <w:ind w:left="0" w:leftChars="0" w:right="0" w:rightChars="0" w:firstLine="0" w:firstLineChars="0"/>
              <w:jc w:val="center"/>
              <w:rPr>
                <w:rFonts w:hint="default" w:ascii="Times New Roman" w:hAnsi="Times New Roman" w:eastAsia="宋体" w:cs="Times New Roman"/>
                <w:lang w:val="en-US"/>
              </w:rPr>
            </w:pPr>
            <w:r>
              <w:rPr>
                <w:rFonts w:hint="eastAsia" w:ascii="Times New Roman" w:cs="Times New Roman"/>
                <w:lang w:val="en-US" w:eastAsia="zh-CN"/>
              </w:rPr>
              <w:t>数据类型</w:t>
            </w:r>
          </w:p>
        </w:tc>
        <w:tc>
          <w:tcPr>
            <w:tcW w:w="5856" w:type="dxa"/>
            <w:tcBorders>
              <w:bottom w:val="single" w:color="auto" w:sz="8" w:space="0"/>
            </w:tcBorders>
            <w:vAlign w:val="center"/>
          </w:tcPr>
          <w:p w14:paraId="223953FC">
            <w:pPr>
              <w:pStyle w:val="39"/>
              <w:widowControl w:val="0"/>
              <w:bidi w:val="0"/>
              <w:spacing w:line="240" w:lineRule="auto"/>
              <w:ind w:left="0" w:leftChars="0" w:right="0" w:rightChars="0" w:firstLine="0" w:firstLineChars="0"/>
              <w:jc w:val="center"/>
              <w:rPr>
                <w:rFonts w:hint="eastAsia" w:ascii="Times New Roman" w:hAnsi="Times New Roman" w:eastAsia="宋体" w:cs="Times New Roman"/>
              </w:rPr>
            </w:pPr>
            <w:r>
              <w:rPr>
                <w:rFonts w:hint="eastAsia" w:ascii="Times New Roman" w:cs="Times New Roman"/>
                <w:lang w:val="en-US" w:eastAsia="zh-CN"/>
              </w:rPr>
              <w:t>解释</w:t>
            </w:r>
          </w:p>
        </w:tc>
        <w:tc>
          <w:tcPr>
            <w:tcW w:w="837" w:type="dxa"/>
            <w:tcBorders>
              <w:bottom w:val="single" w:color="auto" w:sz="8" w:space="0"/>
            </w:tcBorders>
            <w:vAlign w:val="center"/>
          </w:tcPr>
          <w:p w14:paraId="3D741F79">
            <w:pPr>
              <w:pStyle w:val="39"/>
              <w:widowControl w:val="0"/>
              <w:bidi w:val="0"/>
              <w:spacing w:line="240" w:lineRule="auto"/>
              <w:ind w:left="0" w:leftChars="0" w:right="0" w:rightChars="0" w:firstLine="0" w:firstLineChars="0"/>
              <w:jc w:val="center"/>
              <w:rPr>
                <w:rFonts w:hint="eastAsia" w:ascii="Times New Roman" w:hAnsi="Times New Roman" w:eastAsia="宋体" w:cs="Times New Roman"/>
              </w:rPr>
            </w:pPr>
            <w:r>
              <w:rPr>
                <w:rFonts w:hint="eastAsia" w:ascii="Times New Roman" w:cs="Times New Roman"/>
                <w:lang w:val="en-US" w:eastAsia="zh-CN"/>
              </w:rPr>
              <w:t>优先级</w:t>
            </w:r>
          </w:p>
        </w:tc>
      </w:tr>
      <w:tr w14:paraId="5BDC5A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307" w:type="dxa"/>
            <w:tcBorders>
              <w:top w:val="single" w:color="auto" w:sz="8" w:space="0"/>
            </w:tcBorders>
            <w:vAlign w:val="center"/>
          </w:tcPr>
          <w:p w14:paraId="0BA04804">
            <w:pPr>
              <w:pStyle w:val="17"/>
              <w:widowControl w:val="0"/>
              <w:snapToGrid w:val="0"/>
              <w:ind w:left="0" w:leftChars="0" w:right="0" w:rightChars="0" w:firstLine="0" w:firstLineChars="0"/>
              <w:jc w:val="center"/>
              <w:rPr>
                <w:rFonts w:hint="eastAsia" w:ascii="Times New Roman" w:hAnsi="Times New Roman" w:eastAsia="宋体" w:cs="Times New Roman"/>
              </w:rPr>
            </w:pPr>
            <w:r>
              <w:rPr>
                <w:rFonts w:hint="eastAsia" w:ascii="Times New Roman"/>
                <w:sz w:val="18"/>
              </w:rPr>
              <w:t>项目/产品特定数据</w:t>
            </w:r>
          </w:p>
        </w:tc>
        <w:tc>
          <w:tcPr>
            <w:tcW w:w="5856" w:type="dxa"/>
            <w:tcBorders>
              <w:top w:val="single" w:color="auto" w:sz="8" w:space="0"/>
            </w:tcBorders>
            <w:vAlign w:val="center"/>
          </w:tcPr>
          <w:p w14:paraId="3FA648F3">
            <w:pPr>
              <w:pStyle w:val="17"/>
              <w:widowControl w:val="0"/>
              <w:snapToGrid w:val="0"/>
              <w:ind w:left="0" w:leftChars="0" w:right="0" w:rightChars="0" w:firstLine="0" w:firstLineChars="0"/>
              <w:jc w:val="center"/>
              <w:rPr>
                <w:rFonts w:hint="eastAsia" w:ascii="Times New Roman" w:hAnsi="Times New Roman" w:eastAsia="宋体" w:cs="Times New Roman"/>
              </w:rPr>
            </w:pPr>
            <w:r>
              <w:rPr>
                <w:rFonts w:hint="eastAsia" w:ascii="Times New Roman"/>
                <w:sz w:val="18"/>
              </w:rPr>
              <w:t>项目或产品特定的实测或经验证数据</w:t>
            </w:r>
          </w:p>
        </w:tc>
        <w:tc>
          <w:tcPr>
            <w:tcW w:w="837" w:type="dxa"/>
            <w:vMerge w:val="restart"/>
            <w:tcBorders>
              <w:top w:val="single" w:color="auto" w:sz="8" w:space="0"/>
            </w:tcBorders>
            <w:vAlign w:val="center"/>
          </w:tcPr>
          <w:p w14:paraId="646239A8">
            <w:pPr>
              <w:pStyle w:val="17"/>
              <w:widowControl w:val="0"/>
              <w:snapToGrid w:val="0"/>
              <w:ind w:left="0" w:leftChars="0" w:right="0" w:rightChars="0" w:firstLine="0" w:firstLineChars="0"/>
              <w:jc w:val="center"/>
            </w:pPr>
            <w:r>
              <w:rPr>
                <w:rFonts w:hint="eastAsia" w:ascii="Times New Roman"/>
                <w:sz w:val="18"/>
              </w:rPr>
              <w:t>高</w:t>
            </w:r>
          </w:p>
          <w:p w14:paraId="0228D9B9">
            <w:pPr>
              <w:pStyle w:val="17"/>
              <w:widowControl w:val="0"/>
              <w:snapToGrid w:val="0"/>
              <w:ind w:left="0" w:leftChars="0" w:right="0" w:rightChars="0" w:firstLine="0" w:firstLineChars="0"/>
              <w:jc w:val="center"/>
              <w:rPr>
                <w:rFonts w:hint="eastAsia" w:eastAsia="宋体"/>
                <w:lang w:eastAsia="zh-CN"/>
              </w:rPr>
            </w:pPr>
            <w:r>
              <w:rPr>
                <w:sz w:val="21"/>
              </w:rPr>
              <mc:AlternateContent>
                <mc:Choice Requires="wps">
                  <w:drawing>
                    <wp:anchor distT="0" distB="0" distL="114300" distR="114300" simplePos="0" relativeHeight="251667456" behindDoc="0" locked="0" layoutInCell="1" allowOverlap="1">
                      <wp:simplePos x="0" y="0"/>
                      <wp:positionH relativeFrom="column">
                        <wp:posOffset>217805</wp:posOffset>
                      </wp:positionH>
                      <wp:positionV relativeFrom="paragraph">
                        <wp:posOffset>89535</wp:posOffset>
                      </wp:positionV>
                      <wp:extent cx="635" cy="203200"/>
                      <wp:effectExtent l="6350" t="0" r="18415" b="0"/>
                      <wp:wrapNone/>
                      <wp:docPr id="19" name="直接连接符 19"/>
                      <wp:cNvGraphicFramePr/>
                      <a:graphic xmlns:a="http://schemas.openxmlformats.org/drawingml/2006/main">
                        <a:graphicData uri="http://schemas.microsoft.com/office/word/2010/wordprocessingShape">
                          <wps:wsp>
                            <wps:cNvCnPr/>
                            <wps:spPr>
                              <a:xfrm>
                                <a:off x="6387465" y="8116570"/>
                                <a:ext cx="635" cy="203200"/>
                              </a:xfrm>
                              <a:prstGeom prst="line">
                                <a:avLst/>
                              </a:prstGeom>
                            </wps:spPr>
                            <wps:style>
                              <a:lnRef idx="2">
                                <a:prstClr val="black"/>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7.15pt;margin-top:7.05pt;height:16pt;width:0.05pt;z-index:251667456;mso-width-relative:page;mso-height-relative:page;" filled="f" stroked="t" coordsize="21600,21600" o:gfxdata="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qc8b91QAAAAcBAAAPAAAAAAAAAAEAIAAAACIAAABkcnMvZG93bnJldi54bWxQSwECFAAUAAAA&#10;CACHTuJALdQft/EBAADAAwAADgAAAAAAAAABACAAAAAkAQAAZHJzL2Uyb0RvYy54bWxQSwUGAAAA&#10;AAYABgBZAQAAhwUAAAAA&#10;">
                      <v:fill on="f" focussize="0,0"/>
                      <v:stroke weight="1pt" color="#000000" miterlimit="8" joinstyle="miter"/>
                      <v:imagedata o:title=""/>
                      <o:lock v:ext="edit" aspectratio="f"/>
                    </v:line>
                  </w:pict>
                </mc:Fallback>
              </mc:AlternateContent>
            </w:r>
          </w:p>
          <w:p w14:paraId="54ADE3DC">
            <w:pPr>
              <w:pStyle w:val="17"/>
              <w:widowControl w:val="0"/>
              <w:snapToGrid w:val="0"/>
              <w:ind w:left="0" w:leftChars="0" w:right="0" w:rightChars="0" w:firstLine="0" w:firstLineChars="0"/>
              <w:jc w:val="center"/>
              <w:rPr>
                <w:rFonts w:hint="eastAsia" w:eastAsia="宋体"/>
                <w:lang w:eastAsia="zh-CN"/>
              </w:rPr>
            </w:pPr>
          </w:p>
          <w:p w14:paraId="27F3A6EF">
            <w:pPr>
              <w:pStyle w:val="39"/>
              <w:widowControl w:val="0"/>
              <w:bidi w:val="0"/>
              <w:spacing w:line="240" w:lineRule="auto"/>
              <w:ind w:left="0" w:leftChars="0" w:right="0" w:rightChars="0" w:firstLine="0" w:firstLineChars="0"/>
              <w:jc w:val="center"/>
              <w:rPr>
                <w:rFonts w:hint="eastAsia" w:ascii="Times New Roman" w:hAnsi="Times New Roman" w:eastAsia="宋体" w:cs="Times New Roman"/>
              </w:rPr>
            </w:pPr>
            <w:r>
              <w:rPr>
                <w:rFonts w:hint="eastAsia" w:ascii="Times New Roman"/>
                <w:sz w:val="18"/>
              </w:rPr>
              <w:t>低</w:t>
            </w:r>
          </w:p>
        </w:tc>
      </w:tr>
      <w:tr w14:paraId="4E3675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307" w:type="dxa"/>
            <w:vAlign w:val="center"/>
          </w:tcPr>
          <w:p w14:paraId="4869BA53">
            <w:pPr>
              <w:pStyle w:val="17"/>
              <w:widowControl w:val="0"/>
              <w:snapToGrid w:val="0"/>
              <w:ind w:left="0" w:leftChars="0" w:right="0" w:rightChars="0" w:firstLine="0" w:firstLineChars="0"/>
              <w:jc w:val="center"/>
              <w:rPr>
                <w:rFonts w:hint="eastAsia" w:ascii="Times New Roman" w:hAnsi="Times New Roman" w:eastAsia="宋体" w:cs="Times New Roman"/>
              </w:rPr>
            </w:pPr>
            <w:r>
              <w:rPr>
                <w:rFonts w:hint="eastAsia" w:ascii="Times New Roman"/>
                <w:sz w:val="18"/>
              </w:rPr>
              <w:t>供应商或制造商数据</w:t>
            </w:r>
          </w:p>
        </w:tc>
        <w:tc>
          <w:tcPr>
            <w:tcW w:w="5856" w:type="dxa"/>
            <w:vAlign w:val="center"/>
          </w:tcPr>
          <w:p w14:paraId="601CA618">
            <w:pPr>
              <w:pStyle w:val="17"/>
              <w:widowControl w:val="0"/>
              <w:snapToGrid w:val="0"/>
              <w:ind w:left="0" w:leftChars="0" w:right="0" w:rightChars="0" w:firstLine="0" w:firstLineChars="0"/>
              <w:jc w:val="center"/>
              <w:rPr>
                <w:rFonts w:hint="eastAsia" w:ascii="Times New Roman" w:hAnsi="Times New Roman" w:eastAsia="宋体" w:cs="Times New Roman"/>
              </w:rPr>
            </w:pPr>
            <w:r>
              <w:rPr>
                <w:rFonts w:hint="eastAsia" w:ascii="Times New Roman"/>
                <w:sz w:val="18"/>
              </w:rPr>
              <w:t>经核实的供应商、制造商产品碳足迹或环境产品声明（EPD）数据</w:t>
            </w:r>
          </w:p>
        </w:tc>
        <w:tc>
          <w:tcPr>
            <w:tcW w:w="837" w:type="dxa"/>
            <w:vMerge w:val="continue"/>
            <w:vAlign w:val="center"/>
          </w:tcPr>
          <w:p w14:paraId="7B9A6BA1">
            <w:pPr>
              <w:pStyle w:val="39"/>
              <w:widowControl w:val="0"/>
              <w:bidi w:val="0"/>
              <w:spacing w:line="240" w:lineRule="auto"/>
              <w:ind w:left="0" w:leftChars="0" w:right="0" w:rightChars="0" w:firstLine="0" w:firstLineChars="0"/>
              <w:jc w:val="both"/>
              <w:rPr>
                <w:rFonts w:hint="eastAsia" w:ascii="Times New Roman" w:hAnsi="Times New Roman" w:eastAsia="宋体" w:cs="Times New Roman"/>
              </w:rPr>
            </w:pPr>
          </w:p>
        </w:tc>
      </w:tr>
      <w:tr w14:paraId="4BDD76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307" w:type="dxa"/>
            <w:vAlign w:val="center"/>
          </w:tcPr>
          <w:p w14:paraId="24F27BC2">
            <w:pPr>
              <w:pStyle w:val="17"/>
              <w:widowControl w:val="0"/>
              <w:snapToGrid w:val="0"/>
              <w:ind w:left="0" w:leftChars="0" w:right="0" w:rightChars="0" w:firstLine="0" w:firstLineChars="0"/>
              <w:jc w:val="center"/>
              <w:rPr>
                <w:rFonts w:hint="eastAsia" w:ascii="Times New Roman" w:hAnsi="Times New Roman" w:eastAsia="宋体" w:cs="Times New Roman"/>
              </w:rPr>
            </w:pPr>
            <w:r>
              <w:rPr>
                <w:rFonts w:hint="eastAsia" w:ascii="Times New Roman"/>
                <w:sz w:val="18"/>
              </w:rPr>
              <w:t>区域或行业官方数据</w:t>
            </w:r>
          </w:p>
        </w:tc>
        <w:tc>
          <w:tcPr>
            <w:tcW w:w="5856" w:type="dxa"/>
            <w:vAlign w:val="center"/>
          </w:tcPr>
          <w:p w14:paraId="0EB7DD94">
            <w:pPr>
              <w:pStyle w:val="17"/>
              <w:widowControl w:val="0"/>
              <w:snapToGrid w:val="0"/>
              <w:ind w:left="0" w:leftChars="0" w:right="0" w:rightChars="0" w:firstLine="0" w:firstLineChars="0"/>
              <w:jc w:val="center"/>
              <w:rPr>
                <w:rFonts w:hint="eastAsia" w:ascii="Times New Roman" w:hAnsi="Times New Roman" w:eastAsia="宋体" w:cs="Times New Roman"/>
              </w:rPr>
            </w:pPr>
            <w:r>
              <w:rPr>
                <w:rFonts w:hint="eastAsia" w:ascii="Times New Roman"/>
                <w:sz w:val="18"/>
              </w:rPr>
              <w:t>与项目所在地和行业特征相匹配的区域或行业官方数据</w:t>
            </w:r>
          </w:p>
        </w:tc>
        <w:tc>
          <w:tcPr>
            <w:tcW w:w="837" w:type="dxa"/>
            <w:vMerge w:val="continue"/>
            <w:vAlign w:val="center"/>
          </w:tcPr>
          <w:p w14:paraId="3E983E63">
            <w:pPr>
              <w:pStyle w:val="39"/>
              <w:widowControl w:val="0"/>
              <w:bidi w:val="0"/>
              <w:spacing w:line="240" w:lineRule="auto"/>
              <w:ind w:left="0" w:leftChars="0" w:right="0" w:rightChars="0" w:firstLine="0" w:firstLineChars="0"/>
              <w:jc w:val="both"/>
              <w:rPr>
                <w:rFonts w:hint="eastAsia" w:ascii="Times New Roman" w:hAnsi="Times New Roman" w:eastAsia="宋体" w:cs="Times New Roman"/>
              </w:rPr>
            </w:pPr>
          </w:p>
        </w:tc>
      </w:tr>
      <w:tr w14:paraId="000116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307" w:type="dxa"/>
            <w:vAlign w:val="center"/>
          </w:tcPr>
          <w:p w14:paraId="44DB26F1">
            <w:pPr>
              <w:pStyle w:val="17"/>
              <w:widowControl w:val="0"/>
              <w:snapToGrid w:val="0"/>
              <w:ind w:left="0" w:leftChars="0" w:right="0" w:rightChars="0" w:firstLine="0" w:firstLineChars="0"/>
              <w:jc w:val="center"/>
              <w:rPr>
                <w:rFonts w:hint="eastAsia" w:ascii="Times New Roman" w:hAnsi="Times New Roman" w:eastAsia="宋体" w:cs="Times New Roman"/>
              </w:rPr>
            </w:pPr>
            <w:r>
              <w:rPr>
                <w:rFonts w:hint="eastAsia" w:ascii="Times New Roman"/>
                <w:sz w:val="18"/>
              </w:rPr>
              <w:t>国家官方/标准规定数据</w:t>
            </w:r>
          </w:p>
        </w:tc>
        <w:tc>
          <w:tcPr>
            <w:tcW w:w="5856" w:type="dxa"/>
            <w:vAlign w:val="center"/>
          </w:tcPr>
          <w:p w14:paraId="6FCD1301">
            <w:pPr>
              <w:pStyle w:val="17"/>
              <w:widowControl w:val="0"/>
              <w:snapToGrid w:val="0"/>
              <w:ind w:left="0" w:leftChars="0" w:right="0" w:rightChars="0" w:firstLine="0" w:firstLineChars="0"/>
              <w:jc w:val="center"/>
              <w:rPr>
                <w:rFonts w:hint="eastAsia" w:ascii="Times New Roman" w:hAnsi="Times New Roman" w:eastAsia="宋体" w:cs="Times New Roman"/>
              </w:rPr>
            </w:pPr>
            <w:r>
              <w:rPr>
                <w:rFonts w:hint="eastAsia" w:ascii="Times New Roman"/>
                <w:sz w:val="18"/>
              </w:rPr>
              <w:t>国家现行官方数据或国家、行业标准规定的缺省值</w:t>
            </w:r>
          </w:p>
        </w:tc>
        <w:tc>
          <w:tcPr>
            <w:tcW w:w="837" w:type="dxa"/>
            <w:vMerge w:val="continue"/>
            <w:vAlign w:val="center"/>
          </w:tcPr>
          <w:p w14:paraId="11F5C57D">
            <w:pPr>
              <w:pStyle w:val="39"/>
              <w:widowControl w:val="0"/>
              <w:bidi w:val="0"/>
              <w:spacing w:line="240" w:lineRule="auto"/>
              <w:ind w:left="0" w:leftChars="0" w:right="0" w:rightChars="0" w:firstLine="0" w:firstLineChars="0"/>
              <w:jc w:val="both"/>
              <w:rPr>
                <w:rFonts w:hint="eastAsia" w:ascii="Times New Roman" w:hAnsi="Times New Roman" w:eastAsia="宋体" w:cs="Times New Roman"/>
              </w:rPr>
            </w:pPr>
          </w:p>
        </w:tc>
      </w:tr>
      <w:tr w14:paraId="3D92E6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2307" w:type="dxa"/>
            <w:vAlign w:val="center"/>
          </w:tcPr>
          <w:p w14:paraId="440C961F">
            <w:pPr>
              <w:pStyle w:val="17"/>
              <w:widowControl w:val="0"/>
              <w:snapToGrid w:val="0"/>
              <w:ind w:left="0" w:leftChars="0" w:right="0" w:rightChars="0" w:firstLine="0" w:firstLineChars="0"/>
              <w:jc w:val="center"/>
              <w:rPr>
                <w:rFonts w:hint="eastAsia" w:ascii="Times New Roman" w:hAnsi="Times New Roman" w:eastAsia="宋体" w:cs="Times New Roman"/>
              </w:rPr>
            </w:pPr>
            <w:r>
              <w:rPr>
                <w:rFonts w:hint="eastAsia" w:ascii="Times New Roman"/>
                <w:sz w:val="18"/>
              </w:rPr>
              <w:t>国际通用数据</w:t>
            </w:r>
          </w:p>
        </w:tc>
        <w:tc>
          <w:tcPr>
            <w:tcW w:w="5856" w:type="dxa"/>
            <w:vAlign w:val="center"/>
          </w:tcPr>
          <w:p w14:paraId="19010613">
            <w:pPr>
              <w:snapToGrid w:val="0"/>
              <w:ind w:left="0" w:leftChars="0" w:right="0" w:rightChars="0" w:firstLine="0" w:firstLineChars="0"/>
              <w:jc w:val="center"/>
              <w:rPr>
                <w:rFonts w:hint="eastAsia" w:ascii="Times New Roman" w:hAnsi="Times New Roman" w:eastAsia="宋体" w:cs="Times New Roman"/>
              </w:rPr>
            </w:pPr>
            <w:r>
              <w:rPr>
                <w:rFonts w:hint="eastAsia" w:ascii="Times New Roman" w:hAnsi="Times New Roman" w:eastAsia="宋体" w:cs="Times New Roman"/>
                <w:sz w:val="18"/>
              </w:rPr>
              <w:t>在无国内适用数据时采用的国际通用数据库或排放因子</w:t>
            </w:r>
          </w:p>
        </w:tc>
        <w:tc>
          <w:tcPr>
            <w:tcW w:w="837" w:type="dxa"/>
            <w:vMerge w:val="continue"/>
            <w:vAlign w:val="center"/>
          </w:tcPr>
          <w:p w14:paraId="19A2B495">
            <w:pPr>
              <w:pStyle w:val="39"/>
              <w:widowControl w:val="0"/>
              <w:bidi w:val="0"/>
              <w:spacing w:line="240" w:lineRule="auto"/>
              <w:ind w:left="0" w:leftChars="0" w:right="0" w:rightChars="0" w:firstLine="0" w:firstLineChars="0"/>
              <w:jc w:val="both"/>
              <w:rPr>
                <w:rFonts w:hint="eastAsia" w:ascii="Times New Roman" w:hAnsi="Times New Roman" w:eastAsia="宋体" w:cs="Times New Roman"/>
              </w:rPr>
            </w:pPr>
          </w:p>
        </w:tc>
      </w:tr>
      <w:bookmarkEnd w:id="64"/>
    </w:tbl>
    <w:p w14:paraId="0E33BA6F">
      <w:pPr>
        <w:pStyle w:val="32"/>
        <w:spacing w:before="312" w:after="312"/>
        <w:rPr>
          <w:szCs w:val="21"/>
        </w:rPr>
      </w:pPr>
      <w:bookmarkStart w:id="77" w:name="_Toc2378"/>
      <w:bookmarkStart w:id="78" w:name="_Toc23790"/>
      <w:bookmarkStart w:id="79" w:name="_Toc11372"/>
      <w:bookmarkStart w:id="80" w:name="_Toc19893"/>
      <w:bookmarkStart w:id="81" w:name="_Toc32244"/>
      <w:bookmarkStart w:id="82" w:name="_Toc7892"/>
      <w:bookmarkStart w:id="83" w:name="_Toc16128"/>
      <w:bookmarkStart w:id="84" w:name="_Toc22100"/>
      <w:bookmarkStart w:id="85" w:name="_Toc13378"/>
      <w:r>
        <w:rPr>
          <w:rFonts w:hint="eastAsia" w:ascii="黑体"/>
          <w:szCs w:val="21"/>
        </w:rPr>
        <w:t>工厂化生产及运输阶段碳排放核算</w:t>
      </w:r>
      <w:bookmarkEnd w:id="77"/>
      <w:bookmarkEnd w:id="78"/>
      <w:bookmarkEnd w:id="79"/>
      <w:bookmarkEnd w:id="80"/>
      <w:bookmarkEnd w:id="81"/>
      <w:bookmarkEnd w:id="82"/>
    </w:p>
    <w:bookmarkEnd w:id="83"/>
    <w:bookmarkEnd w:id="84"/>
    <w:bookmarkEnd w:id="85"/>
    <w:p w14:paraId="0E33BA70">
      <w:pPr>
        <w:pStyle w:val="31"/>
        <w:rPr>
          <w:rFonts w:hint="default"/>
        </w:rPr>
      </w:pPr>
      <w:r>
        <w:rPr>
          <w:rFonts w:hint="default" w:ascii="黑体"/>
        </w:rPr>
        <w:t>原材料生产阶段（A1）</w:t>
      </w:r>
    </w:p>
    <w:p w14:paraId="0E33BA71">
      <w:pPr>
        <w:pStyle w:val="33"/>
        <w:rPr>
          <w:rFonts w:hint="eastAsia" w:ascii="宋体" w:hAnsi="宋体" w:eastAsia="宋体" w:cs="宋体"/>
          <w:szCs w:val="20"/>
        </w:rPr>
      </w:pPr>
      <w:bookmarkStart w:id="86" w:name="_Toc32561"/>
      <w:bookmarkStart w:id="87" w:name="_Toc8677"/>
      <w:bookmarkStart w:id="88" w:name="_Toc35"/>
      <w:r>
        <w:rPr>
          <w:rFonts w:hint="eastAsia" w:ascii="宋体" w:hAnsi="宋体" w:eastAsia="宋体" w:cs="宋体"/>
        </w:rPr>
        <w:t>T梁</w:t>
      </w:r>
      <w:r>
        <w:rPr>
          <w:rFonts w:hint="eastAsia" w:ascii="宋体" w:hAnsi="宋体" w:eastAsia="宋体" w:cs="宋体"/>
          <w:szCs w:val="20"/>
        </w:rPr>
        <w:t>的原材料生产碳排放核算范围应包括混凝土材料、钢筋及预应力材料、预应力配套材料、辅助成型与养护材料，其中不包含可周转材料。</w:t>
      </w:r>
    </w:p>
    <w:p w14:paraId="0E33BA75">
      <w:pPr>
        <w:pStyle w:val="33"/>
        <w:widowControl/>
        <w:rPr>
          <w:rFonts w:hint="eastAsia" w:ascii="宋体" w:hAnsi="宋体" w:eastAsia="宋体" w:cs="宋体"/>
          <w:kern w:val="0"/>
        </w:rPr>
      </w:pPr>
      <w:r>
        <w:rPr>
          <w:rFonts w:hint="eastAsia" w:ascii="宋体" w:hAnsi="宋体" w:eastAsia="宋体" w:cs="宋体"/>
        </w:rPr>
        <w:t>T梁混凝土原材料消耗量应根据混凝土来源分别计量。混凝土原材料宜包括水泥、矿物掺合料、细骨料、粗骨料、外加剂和水等。</w:t>
      </w:r>
    </w:p>
    <w:p w14:paraId="0E33BA76">
      <w:pPr>
        <w:pStyle w:val="18"/>
        <w:ind w:firstLineChars="0"/>
        <w:rPr>
          <w:rFonts w:hint="eastAsia" w:hAnsi="宋体" w:cs="宋体"/>
          <w:szCs w:val="21"/>
        </w:rPr>
      </w:pPr>
      <w:r>
        <w:rPr>
          <w:rFonts w:hint="eastAsia" w:ascii="Times New Roman"/>
          <w:szCs w:val="21"/>
        </w:rPr>
        <w:t>a）采用现场拌制混凝土时，各原材料消耗量应根据</w:t>
      </w:r>
      <w:r>
        <w:rPr>
          <w:rFonts w:hint="eastAsia" w:ascii="Times New Roman"/>
        </w:rPr>
        <w:t>工业化建造T梁</w:t>
      </w:r>
      <w:r>
        <w:rPr>
          <w:rFonts w:hint="eastAsia" w:ascii="Times New Roman"/>
          <w:szCs w:val="21"/>
        </w:rPr>
        <w:t>专用混凝土配合比、实际耗用混凝土方量及生产损耗进行计算。</w:t>
      </w:r>
    </w:p>
    <w:p w14:paraId="0E33BA77">
      <w:pPr>
        <w:pStyle w:val="18"/>
        <w:ind w:firstLineChars="0"/>
        <w:rPr>
          <w:rFonts w:hint="eastAsia" w:hAnsi="宋体" w:cs="宋体"/>
          <w:szCs w:val="21"/>
        </w:rPr>
      </w:pPr>
      <w:r>
        <w:rPr>
          <w:rFonts w:hint="eastAsia" w:ascii="Times New Roman"/>
          <w:szCs w:val="21"/>
        </w:rPr>
        <w:t>b）采用预拌混凝土时，混凝土消耗量应根据T梁实际耗用量确定；各原材料消耗量宜根据预拌混凝土供应方提供的配合比报告，结合实际耗用混凝土方量和生产损耗进行折算。采用混凝土产品综合碳排放因子核算时，不应再重复计入水泥、矿物掺合料、骨料、外加剂和水等组分的生产排放。</w:t>
      </w:r>
    </w:p>
    <w:p w14:paraId="0E33BA79">
      <w:pPr>
        <w:pStyle w:val="33"/>
        <w:rPr>
          <w:rFonts w:hint="eastAsia" w:ascii="宋体" w:hAnsi="宋体" w:eastAsia="宋体" w:cs="宋体"/>
        </w:rPr>
      </w:pPr>
      <w:r>
        <w:rPr>
          <w:rFonts w:hint="eastAsia" w:ascii="宋体" w:hAnsi="宋体" w:eastAsia="宋体" w:cs="宋体"/>
        </w:rPr>
        <w:t>T梁钢筋及预应力材料消耗量应采用实际计量数据，或依据设计图纸并计入合理生产损耗。普通圆钢筋质量可按式（4）核算；预应力钢绞线、钢丝及其他异形钢材应采用产品标准规定的理论单位质量或质量证明文件数据，不应直接采用式（4）核算。</w:t>
      </w:r>
    </w:p>
    <w:p w14:paraId="0E33BA7A">
      <w:pPr>
        <w:pStyle w:val="36"/>
        <w:tabs>
          <w:tab w:val="center" w:pos="4678"/>
          <w:tab w:val="right" w:leader="middleDot" w:pos="9356"/>
        </w:tabs>
        <w:rPr>
          <w:rFonts w:hint="eastAsia" w:ascii="宋体"/>
          <w:szCs w:val="24"/>
        </w:rPr>
      </w:pPr>
      <w:r>
        <w:rPr>
          <w:rFonts w:hint="eastAsia" w:ascii="宋体"/>
          <w:szCs w:val="24"/>
        </w:rPr>
        <w:tab/>
      </w:r>
      <m:oMath>
        <m:sSub>
          <m:sSubPr>
            <m:ctrlPr>
              <w:rPr>
                <w:rFonts w:hint="eastAsia" w:ascii="Cambria Math" w:hAnsi="Cambria Math"/>
                <w:i/>
                <w:iCs/>
                <w:szCs w:val="24"/>
              </w:rPr>
            </m:ctrlPr>
          </m:sSubPr>
          <m:e>
            <m:r>
              <m:rPr/>
              <w:rPr>
                <w:rFonts w:hint="default" w:ascii="Cambria Math" w:hAnsi="Cambria Math"/>
                <w:szCs w:val="24"/>
              </w:rPr>
              <m:t>Q</m:t>
            </m:r>
            <m:ctrlPr>
              <w:rPr>
                <w:rFonts w:hint="eastAsia" w:ascii="Cambria Math" w:hAnsi="Cambria Math"/>
                <w:i/>
                <w:iCs/>
                <w:szCs w:val="24"/>
              </w:rPr>
            </m:ctrlPr>
          </m:e>
          <m:sub>
            <m:r>
              <m:rPr/>
              <w:rPr>
                <w:rFonts w:hint="default" w:ascii="Cambria Math" w:hAnsi="Cambria Math"/>
                <w:szCs w:val="24"/>
              </w:rPr>
              <m:t>G</m:t>
            </m:r>
            <m:ctrlPr>
              <w:rPr>
                <w:rFonts w:hint="eastAsia" w:ascii="Cambria Math" w:hAnsi="Cambria Math"/>
                <w:i/>
                <w:iCs/>
                <w:szCs w:val="24"/>
              </w:rPr>
            </m:ctrlPr>
          </m:sub>
        </m:sSub>
        <m:r>
          <m:rPr/>
          <w:rPr>
            <w:rFonts w:hint="default" w:ascii="Cambria Math" w:hAnsi="Cambria Math"/>
            <w:szCs w:val="24"/>
          </w:rPr>
          <m:t>=ρ</m:t>
        </m:r>
        <m:sSup>
          <m:sSupPr>
            <m:ctrlPr>
              <w:rPr>
                <w:rFonts w:hint="eastAsia" w:ascii="Cambria Math" w:hAnsi="Cambria Math"/>
                <w:i/>
                <w:iCs/>
                <w:szCs w:val="24"/>
              </w:rPr>
            </m:ctrlPr>
          </m:sSupPr>
          <m:e>
            <m:r>
              <m:rPr/>
              <w:rPr>
                <w:rFonts w:hint="default" w:ascii="Cambria Math" w:hAnsi="Cambria Math"/>
                <w:szCs w:val="24"/>
              </w:rPr>
              <m:t>d</m:t>
            </m:r>
            <m:ctrlPr>
              <w:rPr>
                <w:rFonts w:hint="eastAsia" w:ascii="Cambria Math" w:hAnsi="Cambria Math"/>
                <w:i/>
                <w:iCs/>
                <w:szCs w:val="24"/>
              </w:rPr>
            </m:ctrlPr>
          </m:e>
          <m:sup>
            <m:r>
              <m:rPr/>
              <w:rPr>
                <w:rFonts w:hint="eastAsia" w:ascii="Cambria Math" w:hAnsi="Cambria Math"/>
                <w:szCs w:val="24"/>
              </w:rPr>
              <m:t>2</m:t>
            </m:r>
            <m:ctrlPr>
              <w:rPr>
                <w:rFonts w:hint="eastAsia" w:ascii="Cambria Math" w:hAnsi="Cambria Math"/>
                <w:i/>
                <w:iCs/>
                <w:szCs w:val="24"/>
              </w:rPr>
            </m:ctrlPr>
          </m:sup>
        </m:sSup>
        <m:r>
          <m:rPr/>
          <w:rPr>
            <w:rFonts w:hint="default" w:ascii="Cambria Math" w:hAnsi="Cambria Math"/>
            <w:szCs w:val="24"/>
          </w:rPr>
          <m:t>L</m:t>
        </m:r>
      </m:oMath>
      <w:r>
        <w:rPr>
          <w:rFonts w:hint="eastAsia" w:ascii="宋体"/>
          <w:szCs w:val="24"/>
        </w:rPr>
        <w:tab/>
      </w:r>
      <w:r>
        <w:rPr>
          <w:rFonts w:hint="eastAsia" w:ascii="宋体"/>
          <w:szCs w:val="24"/>
        </w:rPr>
        <w:t>(4)</w:t>
      </w:r>
    </w:p>
    <w:p w14:paraId="6EACBF0E">
      <w:pPr>
        <w:pStyle w:val="37"/>
        <w:rPr>
          <w:rFonts w:hint="eastAsia"/>
          <w:szCs w:val="21"/>
        </w:rPr>
      </w:pPr>
      <w:r>
        <w:rPr>
          <w:rFonts w:hint="eastAsia" w:ascii="宋体"/>
          <w:szCs w:val="24"/>
          <w:lang w:val="en-US" w:eastAsia="zh-CN"/>
        </w:rPr>
        <w:t>式中：</w:t>
      </w:r>
    </w:p>
    <w:p w14:paraId="0E33BA7B">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Q</m:t>
            </m:r>
            <m:ctrlPr>
              <w:rPr>
                <w:rFonts w:hint="eastAsia" w:ascii="Cambria Math" w:hAnsi="Cambria Math"/>
                <w:szCs w:val="24"/>
              </w:rPr>
            </m:ctrlPr>
          </m:e>
          <m:sub>
            <m:r>
              <m:rPr>
                <m:sty m:val="p"/>
              </m:rPr>
              <w:rPr>
                <w:rFonts w:hint="eastAsia" w:ascii="Cambria Math" w:hAnsi="Cambria Math"/>
                <w:szCs w:val="24"/>
              </w:rPr>
              <m:t>G</m:t>
            </m:r>
            <m:ctrlPr>
              <w:rPr>
                <w:rFonts w:hint="eastAsia" w:ascii="Cambria Math" w:hAnsi="Cambria Math"/>
                <w:szCs w:val="24"/>
              </w:rPr>
            </m:ctrlPr>
          </m:sub>
        </m:sSub>
      </m:oMath>
      <w:r>
        <w:rPr>
          <w:rFonts w:hint="eastAsia" w:ascii="宋体" w:hAnsiTheme="minorHAnsi" w:eastAsiaTheme="minorEastAsia" w:cstheme="minorBidi"/>
          <w:szCs w:val="24"/>
        </w:rPr>
        <w:t>——普通圆钢筋质量，单位为千克（kg）；</w:t>
      </w:r>
    </w:p>
    <w:p w14:paraId="0E33BA7C">
      <w:pPr>
        <w:pStyle w:val="37"/>
        <w:rPr>
          <w:rFonts w:hint="eastAsia" w:ascii="宋体" w:hAnsiTheme="minorHAnsi" w:cstheme="minorBidi"/>
          <w:szCs w:val="24"/>
        </w:rPr>
      </w:pPr>
      <m:oMath>
        <m:r>
          <m:rPr>
            <m:sty m:val="p"/>
          </m:rPr>
          <w:rPr>
            <w:rFonts w:hint="eastAsia" w:ascii="Cambria Math" w:hAnsi="Cambria Math"/>
            <w:szCs w:val="24"/>
          </w:rPr>
          <m:t>ρ</m:t>
        </m:r>
      </m:oMath>
      <w:r>
        <w:rPr>
          <w:rFonts w:hint="eastAsia" w:ascii="宋体" w:hAnsiTheme="minorHAnsi" w:eastAsiaTheme="minorEastAsia" w:cstheme="minorBidi"/>
          <w:szCs w:val="24"/>
        </w:rPr>
        <w:t>——普通圆钢筋质量核算系数，取0.00617kg/(m·mm²)；</w:t>
      </w:r>
    </w:p>
    <w:p w14:paraId="0E33BA7D">
      <w:pPr>
        <w:pStyle w:val="37"/>
        <w:rPr>
          <w:rFonts w:hint="eastAsia" w:ascii="宋体" w:hAnsiTheme="minorHAnsi" w:cstheme="minorBidi"/>
          <w:szCs w:val="24"/>
        </w:rPr>
      </w:pPr>
      <m:oMath>
        <m:r>
          <m:rPr>
            <m:sty m:val="p"/>
          </m:rPr>
          <w:rPr>
            <w:rFonts w:hint="eastAsia" w:ascii="Cambria Math" w:hAnsi="Cambria Math"/>
            <w:szCs w:val="24"/>
          </w:rPr>
          <m:t>d</m:t>
        </m:r>
      </m:oMath>
      <w:r>
        <w:rPr>
          <w:rFonts w:hint="eastAsia" w:ascii="宋体" w:hAnsiTheme="minorHAnsi" w:eastAsiaTheme="minorEastAsia" w:cstheme="minorBidi"/>
          <w:szCs w:val="24"/>
        </w:rPr>
        <w:t>——普通圆钢筋公称直径，单位为毫米（mm）；</w:t>
      </w:r>
    </w:p>
    <w:p w14:paraId="0E33BA7E">
      <w:pPr>
        <w:pStyle w:val="37"/>
        <w:rPr>
          <w:rFonts w:hint="eastAsia" w:ascii="宋体" w:hAnsiTheme="minorHAnsi" w:cstheme="minorBidi"/>
          <w:szCs w:val="24"/>
        </w:rPr>
      </w:pPr>
      <m:oMath>
        <m:r>
          <m:rPr>
            <m:sty m:val="p"/>
          </m:rPr>
          <w:rPr>
            <w:rFonts w:hint="eastAsia" w:ascii="Cambria Math" w:hAnsi="Cambria Math"/>
            <w:szCs w:val="24"/>
          </w:rPr>
          <m:t>L</m:t>
        </m:r>
      </m:oMath>
      <w:r>
        <w:rPr>
          <w:rFonts w:hint="eastAsia" w:ascii="宋体" w:hAnsiTheme="minorHAnsi" w:eastAsiaTheme="minorEastAsia" w:cstheme="minorBidi"/>
          <w:szCs w:val="24"/>
        </w:rPr>
        <w:t>——普通圆钢筋中心线长度，单位为米（m）。</w:t>
      </w:r>
    </w:p>
    <w:p w14:paraId="0E33BA80">
      <w:pPr>
        <w:pStyle w:val="33"/>
        <w:rPr>
          <w:rFonts w:hint="eastAsia" w:ascii="宋体" w:hAnsi="宋体" w:eastAsia="宋体" w:cs="宋体"/>
        </w:rPr>
      </w:pPr>
      <w:r>
        <w:rPr>
          <w:rFonts w:hint="eastAsia" w:ascii="宋体" w:hAnsi="宋体" w:eastAsia="宋体" w:cs="宋体"/>
        </w:rPr>
        <w:t>钢筋配套构造材料和辅助成型、养护材料应优先按实际耗用量计量。无法直接计量时，宜采用能够反映物理关系的参数进行分配；无法建立合理物理关系时，可采用经济价值分配，并应说明依据。采用经济价值分配时，分配量可按式（5）核算：</w:t>
      </w:r>
    </w:p>
    <w:p w14:paraId="0E33BA81">
      <w:pPr>
        <w:pStyle w:val="36"/>
        <w:tabs>
          <w:tab w:val="center" w:pos="4678"/>
          <w:tab w:val="right" w:leader="middleDot" w:pos="9356"/>
        </w:tabs>
        <w:rPr>
          <w:rFonts w:hint="eastAsia" w:hAnsi="宋体" w:cstheme="minorBidi"/>
          <w:szCs w:val="24"/>
        </w:rPr>
      </w:pPr>
      <w:r>
        <w:rPr>
          <w:rFonts w:hint="eastAsia" w:ascii="宋体" w:hAnsi="宋体" w:eastAsiaTheme="minorEastAsia" w:cstheme="minorBidi"/>
          <w:szCs w:val="24"/>
        </w:rPr>
        <w:tab/>
      </w:r>
      <m:oMath>
        <m:sSub>
          <m:sSubPr>
            <m:ctrlPr>
              <w:rPr>
                <w:rFonts w:hint="eastAsia" w:ascii="Cambria Math" w:hAnsi="Cambria Math"/>
                <w:i/>
                <w:iCs/>
                <w:szCs w:val="24"/>
              </w:rPr>
            </m:ctrlPr>
          </m:sSubPr>
          <m:e>
            <m:r>
              <m:rPr/>
              <w:rPr>
                <w:rFonts w:hint="default" w:ascii="Cambria Math" w:hAnsi="Cambria Math"/>
                <w:szCs w:val="24"/>
              </w:rPr>
              <m:t>Q</m:t>
            </m:r>
            <m:ctrlPr>
              <w:rPr>
                <w:rFonts w:hint="eastAsia" w:ascii="Cambria Math" w:hAnsi="Cambria Math"/>
                <w:i/>
                <w:iCs/>
                <w:szCs w:val="24"/>
              </w:rPr>
            </m:ctrlPr>
          </m:e>
          <m:sub>
            <m:r>
              <m:rPr/>
              <w:rPr>
                <w:rFonts w:hint="default" w:ascii="Cambria Math" w:hAnsi="Cambria Math"/>
                <w:szCs w:val="24"/>
              </w:rPr>
              <m:t>L,p</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Q</m:t>
            </m:r>
            <m:ctrlPr>
              <w:rPr>
                <w:rFonts w:hint="eastAsia" w:ascii="Cambria Math" w:hAnsi="Cambria Math"/>
                <w:i/>
                <w:iCs/>
                <w:szCs w:val="24"/>
              </w:rPr>
            </m:ctrlPr>
          </m:e>
          <m:sub>
            <m:r>
              <m:rPr/>
              <w:rPr>
                <w:rFonts w:hint="default" w:ascii="Cambria Math" w:hAnsi="Cambria Math"/>
                <w:szCs w:val="24"/>
              </w:rPr>
              <m:t>L,T</m:t>
            </m:r>
            <m:ctrlPr>
              <w:rPr>
                <w:rFonts w:hint="eastAsia" w:ascii="Cambria Math" w:hAnsi="Cambria Math"/>
                <w:i/>
                <w:iCs/>
                <w:szCs w:val="24"/>
              </w:rPr>
            </m:ctrlPr>
          </m:sub>
        </m:sSub>
        <m:r>
          <m:rPr/>
          <w:rPr>
            <w:rFonts w:hint="eastAsia" w:ascii="Cambria Math" w:hAnsi="Cambria Math"/>
            <w:szCs w:val="24"/>
          </w:rPr>
          <m:t>×</m:t>
        </m:r>
        <m:f>
          <m:fPr>
            <m:ctrlPr>
              <w:rPr>
                <w:rFonts w:hint="eastAsia" w:ascii="Cambria Math" w:hAnsi="Cambria Math"/>
                <w:i/>
                <w:iCs/>
                <w:szCs w:val="24"/>
              </w:rPr>
            </m:ctrlPr>
          </m:fPr>
          <m:num>
            <m:sSub>
              <m:sSubPr>
                <m:ctrlPr>
                  <w:rPr>
                    <w:rFonts w:hint="eastAsia" w:ascii="Cambria Math" w:hAnsi="Cambria Math"/>
                    <w:i/>
                    <w:iCs/>
                    <w:szCs w:val="24"/>
                  </w:rPr>
                </m:ctrlPr>
              </m:sSubPr>
              <m:e>
                <m:r>
                  <m:rPr/>
                  <w:rPr>
                    <w:rFonts w:hint="default" w:ascii="Cambria Math" w:hAnsi="Cambria Math"/>
                    <w:szCs w:val="24"/>
                  </w:rPr>
                  <m:t>P</m:t>
                </m:r>
                <m:ctrlPr>
                  <w:rPr>
                    <w:rFonts w:hint="eastAsia" w:ascii="Cambria Math" w:hAnsi="Cambria Math"/>
                    <w:i/>
                    <w:iCs/>
                    <w:szCs w:val="24"/>
                  </w:rPr>
                </m:ctrlPr>
              </m:e>
              <m:sub>
                <m:r>
                  <m:rPr/>
                  <w:rPr>
                    <w:rFonts w:hint="default" w:ascii="Cambria Math" w:hAnsi="Cambria Math"/>
                    <w:szCs w:val="24"/>
                  </w:rPr>
                  <m:t>p</m:t>
                </m:r>
                <m:ctrlPr>
                  <w:rPr>
                    <w:rFonts w:hint="eastAsia" w:ascii="Cambria Math" w:hAnsi="Cambria Math"/>
                    <w:i/>
                    <w:iCs/>
                    <w:szCs w:val="24"/>
                  </w:rPr>
                </m:ctrlPr>
              </m:sub>
            </m:sSub>
            <m:ctrlPr>
              <w:rPr>
                <w:rFonts w:hint="eastAsia" w:ascii="Cambria Math" w:hAnsi="Cambria Math"/>
                <w:i/>
                <w:iCs/>
                <w:szCs w:val="24"/>
              </w:rPr>
            </m:ctrlPr>
          </m:num>
          <m:den>
            <m:sSub>
              <m:sSubPr>
                <m:ctrlPr>
                  <w:rPr>
                    <w:rFonts w:hint="eastAsia" w:ascii="Cambria Math" w:hAnsi="Cambria Math"/>
                    <w:i/>
                    <w:iCs/>
                    <w:szCs w:val="24"/>
                  </w:rPr>
                </m:ctrlPr>
              </m:sSubPr>
              <m:e>
                <m:r>
                  <m:rPr/>
                  <w:rPr>
                    <w:rFonts w:hint="default" w:ascii="Cambria Math" w:hAnsi="Cambria Math"/>
                    <w:szCs w:val="24"/>
                  </w:rPr>
                  <m:t>P</m:t>
                </m:r>
                <m:ctrlPr>
                  <w:rPr>
                    <w:rFonts w:hint="eastAsia" w:ascii="Cambria Math" w:hAnsi="Cambria Math"/>
                    <w:i/>
                    <w:iCs/>
                    <w:szCs w:val="24"/>
                  </w:rPr>
                </m:ctrlPr>
              </m:e>
              <m:sub>
                <m:r>
                  <m:rPr/>
                  <w:rPr>
                    <w:rFonts w:hint="default" w:ascii="Cambria Math" w:hAnsi="Cambria Math"/>
                    <w:szCs w:val="24"/>
                  </w:rPr>
                  <m:t>T</m:t>
                </m:r>
                <m:ctrlPr>
                  <w:rPr>
                    <w:rFonts w:hint="eastAsia" w:ascii="Cambria Math" w:hAnsi="Cambria Math"/>
                    <w:i/>
                    <w:iCs/>
                    <w:szCs w:val="24"/>
                  </w:rPr>
                </m:ctrlPr>
              </m:sub>
            </m:sSub>
            <m:ctrlPr>
              <w:rPr>
                <w:rFonts w:hint="eastAsia" w:ascii="Cambria Math" w:hAnsi="Cambria Math"/>
                <w:i/>
                <w:iCs/>
                <w:szCs w:val="24"/>
              </w:rPr>
            </m:ctrlPr>
          </m:den>
        </m:f>
      </m:oMath>
      <w:r>
        <w:rPr>
          <w:rFonts w:hint="eastAsia" w:ascii="宋体" w:hAnsi="宋体" w:eastAsiaTheme="minorEastAsia" w:cstheme="minorBidi"/>
          <w:szCs w:val="24"/>
        </w:rPr>
        <w:tab/>
      </w:r>
      <w:r>
        <w:rPr>
          <w:rFonts w:hint="eastAsia" w:ascii="宋体" w:hAnsi="宋体" w:eastAsiaTheme="minorEastAsia" w:cstheme="minorBidi"/>
          <w:szCs w:val="24"/>
        </w:rPr>
        <w:t>(5)</w:t>
      </w:r>
    </w:p>
    <w:p w14:paraId="7A2A5AE5">
      <w:pPr>
        <w:pStyle w:val="37"/>
        <w:tabs>
          <w:tab w:val="center" w:pos="4678"/>
          <w:tab w:val="right" w:pos="9356"/>
        </w:tabs>
        <w:rPr>
          <w:rFonts w:hint="eastAsia"/>
          <w:szCs w:val="21"/>
        </w:rPr>
      </w:pPr>
      <w:r>
        <w:rPr>
          <w:rFonts w:hint="eastAsia" w:ascii="宋体"/>
          <w:szCs w:val="24"/>
          <w:lang w:val="en-US" w:eastAsia="zh-CN"/>
        </w:rPr>
        <w:t>式中：</w:t>
      </w:r>
    </w:p>
    <w:p w14:paraId="0E33BA82">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Q</m:t>
            </m:r>
            <m:ctrlPr>
              <w:rPr>
                <w:rFonts w:hint="eastAsia" w:ascii="Cambria Math" w:hAnsi="Cambria Math"/>
                <w:szCs w:val="24"/>
              </w:rPr>
            </m:ctrlPr>
          </m:e>
          <m:sub>
            <m:r>
              <m:rPr>
                <m:sty m:val="p"/>
              </m:rPr>
              <w:rPr>
                <w:rFonts w:hint="eastAsia" w:ascii="Cambria Math" w:hAnsi="Cambria Math"/>
                <w:szCs w:val="24"/>
              </w:rPr>
              <m:t>L,p</m:t>
            </m:r>
            <m:ctrlPr>
              <w:rPr>
                <w:rFonts w:hint="eastAsia" w:ascii="Cambria Math" w:hAnsi="Cambria Math"/>
                <w:szCs w:val="24"/>
              </w:rPr>
            </m:ctrlPr>
          </m:sub>
        </m:sSub>
      </m:oMath>
      <w:r>
        <w:rPr>
          <w:rFonts w:hint="eastAsia" w:ascii="宋体" w:hAnsiTheme="minorHAnsi" w:eastAsiaTheme="minorEastAsia" w:cstheme="minorBidi"/>
          <w:szCs w:val="24"/>
        </w:rPr>
        <w:t>——分配至本批次或第p类T梁的零星材料消耗量，单位视材料类型而定；</w:t>
      </w:r>
    </w:p>
    <w:p w14:paraId="0E33BA83">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Q</m:t>
            </m:r>
            <m:ctrlPr>
              <w:rPr>
                <w:rFonts w:hint="eastAsia" w:ascii="Cambria Math" w:hAnsi="Cambria Math"/>
                <w:szCs w:val="24"/>
              </w:rPr>
            </m:ctrlPr>
          </m:e>
          <m:sub>
            <m:r>
              <m:rPr>
                <m:sty m:val="p"/>
              </m:rPr>
              <w:rPr>
                <w:rFonts w:hint="eastAsia" w:ascii="Cambria Math" w:hAnsi="Cambria Math"/>
                <w:szCs w:val="24"/>
              </w:rPr>
              <m:t>L,T</m:t>
            </m:r>
            <m:ctrlPr>
              <w:rPr>
                <w:rFonts w:hint="eastAsia" w:ascii="Cambria Math" w:hAnsi="Cambria Math"/>
                <w:szCs w:val="24"/>
              </w:rPr>
            </m:ctrlPr>
          </m:sub>
        </m:sSub>
      </m:oMath>
      <w:r>
        <w:rPr>
          <w:rFonts w:hint="eastAsia" w:ascii="宋体" w:hAnsiTheme="minorHAnsi" w:eastAsiaTheme="minorEastAsia" w:cstheme="minorBidi"/>
          <w:szCs w:val="24"/>
        </w:rPr>
        <w:t>——核算周期内该零星材料的总消耗量，单位视材料类型而定；</w:t>
      </w:r>
    </w:p>
    <w:p w14:paraId="0E33BA84">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P</m:t>
            </m:r>
            <m:ctrlPr>
              <w:rPr>
                <w:rFonts w:hint="eastAsia" w:ascii="Cambria Math" w:hAnsi="Cambria Math"/>
                <w:szCs w:val="24"/>
              </w:rPr>
            </m:ctrlPr>
          </m:e>
          <m:sub>
            <m:r>
              <m:rPr>
                <m:sty m:val="p"/>
              </m:rPr>
              <w:rPr>
                <w:rFonts w:hint="eastAsia" w:ascii="Cambria Math" w:hAnsi="Cambria Math"/>
                <w:szCs w:val="24"/>
              </w:rPr>
              <m:t>p</m:t>
            </m:r>
            <m:ctrlPr>
              <w:rPr>
                <w:rFonts w:hint="eastAsia" w:ascii="Cambria Math" w:hAnsi="Cambria Math"/>
                <w:szCs w:val="24"/>
              </w:rPr>
            </m:ctrlPr>
          </m:sub>
        </m:sSub>
      </m:oMath>
      <w:r>
        <w:rPr>
          <w:rFonts w:hint="eastAsia" w:ascii="宋体" w:hAnsiTheme="minorHAnsi" w:eastAsiaTheme="minorEastAsia" w:cstheme="minorBidi"/>
          <w:szCs w:val="24"/>
        </w:rPr>
        <w:t>——本批次或第p类T梁在核算周期内的经济价值，单位为货币单位；</w:t>
      </w:r>
    </w:p>
    <w:p w14:paraId="0E33BA85">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P</m:t>
            </m:r>
            <m:ctrlPr>
              <w:rPr>
                <w:rFonts w:hint="eastAsia" w:ascii="Cambria Math" w:hAnsi="Cambria Math"/>
                <w:szCs w:val="24"/>
              </w:rPr>
            </m:ctrlPr>
          </m:e>
          <m:sub>
            <m:r>
              <m:rPr>
                <m:sty m:val="p"/>
              </m:rPr>
              <w:rPr>
                <w:rFonts w:hint="eastAsia" w:ascii="Cambria Math" w:hAnsi="Cambria Math"/>
                <w:szCs w:val="24"/>
              </w:rPr>
              <m:t>T</m:t>
            </m:r>
            <m:ctrlPr>
              <w:rPr>
                <w:rFonts w:hint="eastAsia" w:ascii="Cambria Math" w:hAnsi="Cambria Math"/>
                <w:szCs w:val="24"/>
              </w:rPr>
            </m:ctrlPr>
          </m:sub>
        </m:sSub>
      </m:oMath>
      <w:r>
        <w:rPr>
          <w:rFonts w:hint="eastAsia" w:ascii="宋体" w:hAnsiTheme="minorHAnsi" w:eastAsiaTheme="minorEastAsia" w:cstheme="minorBidi"/>
          <w:szCs w:val="24"/>
        </w:rPr>
        <w:t>——核算周期内参与分配的全部产品经济价值，单位为货币单位。</w:t>
      </w:r>
    </w:p>
    <w:p w14:paraId="0E33BA87">
      <w:pPr>
        <w:pStyle w:val="33"/>
        <w:rPr>
          <w:rFonts w:hint="eastAsia" w:ascii="宋体" w:hAnsi="宋体" w:eastAsia="宋体" w:cs="宋体"/>
        </w:rPr>
      </w:pPr>
      <w:r>
        <w:rPr>
          <w:rFonts w:hint="eastAsia" w:ascii="宋体" w:hAnsi="宋体" w:eastAsia="宋体" w:cs="宋体"/>
        </w:rPr>
        <w:t>外购再生材料应按实际投入量计入原材料消耗量，并采用与其生产过程相匹配的碳排放因子。工厂内部边角料、混凝土余料及其他材料回用时，不应将同一原始投入重复计入原材料消耗量；回收处理、破碎、运输等新增活动产生的排放应计入相应阶段。作为废物输出核算边界的材料，不应直接从本阶段排放量中扣减。材料回收利用情况应以采购记录、配合比报告、生产台账、称量记录、回收处置记录或资源化利用证明等为依据。可周转材料不纳入本条核算。</w:t>
      </w:r>
    </w:p>
    <w:p w14:paraId="0E33BA89">
      <w:pPr>
        <w:pStyle w:val="33"/>
        <w:rPr>
          <w:rFonts w:hint="eastAsia" w:ascii="宋体" w:hAnsi="宋体" w:eastAsia="宋体" w:cs="宋体"/>
          <w:szCs w:val="20"/>
        </w:rPr>
      </w:pPr>
      <w:r>
        <w:rPr>
          <w:rFonts w:hint="eastAsia" w:ascii="宋体" w:hAnsi="宋体" w:eastAsia="宋体" w:cs="宋体"/>
          <w:szCs w:val="20"/>
        </w:rPr>
        <w:t>工业化建造T梁原材料生产阶段产生的二氧化碳排放量应按式（6）核算：</w:t>
      </w:r>
    </w:p>
    <w:p w14:paraId="0E33BA8A">
      <w:pPr>
        <w:pStyle w:val="36"/>
        <w:tabs>
          <w:tab w:val="center" w:pos="4678"/>
          <w:tab w:val="right" w:leader="middleDot" w:pos="9356"/>
        </w:tabs>
        <w:rPr>
          <w:rFonts w:hint="eastAsia" w:hAnsi="宋体"/>
          <w:szCs w:val="24"/>
        </w:rPr>
      </w:pPr>
      <w:r>
        <w:rPr>
          <w:rFonts w:hint="eastAsia" w:ascii="宋体"/>
          <w:szCs w:val="24"/>
        </w:rPr>
        <w:tab/>
      </w:r>
      <m:oMath>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default" w:ascii="Cambria Math" w:hAnsi="Cambria Math"/>
                <w:szCs w:val="24"/>
              </w:rPr>
              <m:t>A1</m:t>
            </m:r>
            <m:ctrlPr>
              <w:rPr>
                <w:rFonts w:hint="eastAsia" w:ascii="Cambria Math" w:hAnsi="Cambria Math"/>
                <w:i/>
                <w:iCs/>
                <w:szCs w:val="24"/>
              </w:rPr>
            </m:ctrlPr>
          </m:sub>
        </m:sSub>
        <m:r>
          <m:rPr/>
          <w:rPr>
            <w:rFonts w:hint="eastAsia" w:ascii="Cambria Math" w:hAnsi="Cambria Math"/>
            <w:szCs w:val="24"/>
          </w:rPr>
          <m:t>=</m:t>
        </m:r>
        <m:nary>
          <m:naryPr>
            <m:chr m:val="∑"/>
            <m:limLoc m:val="undOvr"/>
            <m:ctrlPr>
              <w:rPr>
                <w:rFonts w:hint="eastAsia" w:ascii="Cambria Math" w:hAnsi="Cambria Math"/>
                <w:i/>
                <w:iCs/>
                <w:szCs w:val="24"/>
              </w:rPr>
            </m:ctrlPr>
          </m:naryPr>
          <m:sub>
            <m:r>
              <m:rPr/>
              <w:rPr>
                <w:rFonts w:hint="default" w:ascii="Cambria Math" w:hAnsi="Cambria Math"/>
                <w:szCs w:val="24"/>
              </w:rPr>
              <m:t>i=1</m:t>
            </m:r>
            <m:ctrlPr>
              <w:rPr>
                <w:rFonts w:hint="eastAsia" w:ascii="Cambria Math" w:hAnsi="Cambria Math"/>
                <w:i/>
                <w:iCs/>
                <w:szCs w:val="24"/>
              </w:rPr>
            </m:ctrlPr>
          </m:sub>
          <m:sup>
            <m:r>
              <m:rPr/>
              <w:rPr>
                <w:rFonts w:hint="default" w:ascii="Cambria Math" w:hAnsi="Cambria Math"/>
                <w:szCs w:val="24"/>
              </w:rPr>
              <m:t>n</m:t>
            </m:r>
            <m:ctrlPr>
              <w:rPr>
                <w:rFonts w:hint="eastAsia" w:ascii="Cambria Math" w:hAnsi="Cambria Math"/>
                <w:i/>
                <w:iCs/>
                <w:szCs w:val="24"/>
              </w:rPr>
            </m:ctrlPr>
          </m:sup>
          <m:e>
            <m:sSub>
              <m:sSubPr>
                <m:ctrlPr>
                  <w:rPr>
                    <w:rFonts w:hint="eastAsia" w:ascii="Cambria Math" w:hAnsi="Cambria Math"/>
                    <w:i/>
                    <w:iCs/>
                    <w:szCs w:val="24"/>
                  </w:rPr>
                </m:ctrlPr>
              </m:sSubPr>
              <m:e>
                <m:r>
                  <m:rPr/>
                  <w:rPr>
                    <w:rFonts w:hint="default" w:ascii="Cambria Math" w:hAnsi="Cambria Math"/>
                    <w:szCs w:val="24"/>
                  </w:rPr>
                  <m:t>Q</m:t>
                </m:r>
                <m:ctrlPr>
                  <w:rPr>
                    <w:rFonts w:hint="eastAsia" w:ascii="Cambria Math" w:hAnsi="Cambria Math"/>
                    <w:i/>
                    <w:iCs/>
                    <w:szCs w:val="24"/>
                  </w:rPr>
                </m:ctrlPr>
              </m:e>
              <m:sub>
                <m:r>
                  <m:rPr/>
                  <w:rPr>
                    <w:rFonts w:hint="default" w:ascii="Cambria Math" w:hAnsi="Cambria Math"/>
                    <w:szCs w:val="24"/>
                  </w:rPr>
                  <m:t>i</m:t>
                </m:r>
                <m:ctrlPr>
                  <w:rPr>
                    <w:rFonts w:hint="eastAsia" w:ascii="Cambria Math" w:hAnsi="Cambria Math"/>
                    <w:i/>
                    <w:iCs/>
                    <w:szCs w:val="24"/>
                  </w:rPr>
                </m:ctrlPr>
              </m:sub>
            </m:sSub>
            <m:ctrlPr>
              <w:rPr>
                <w:rFonts w:hint="eastAsia" w:ascii="Cambria Math" w:hAnsi="Cambria Math"/>
                <w:i/>
                <w:iCs/>
                <w:szCs w:val="24"/>
              </w:rPr>
            </m:ctrlPr>
          </m:e>
        </m:nary>
        <m:r>
          <m:rPr/>
          <w:rPr>
            <w:rFonts w:hint="default" w:ascii="Cambria Math" w:hAnsi="Cambria Math"/>
            <w:szCs w:val="24"/>
          </w:rPr>
          <m:t>E</m:t>
        </m:r>
        <m:sSub>
          <m:sSubPr>
            <m:ctrlPr>
              <w:rPr>
                <w:rFonts w:hint="eastAsia" w:ascii="Cambria Math" w:hAnsi="Cambria Math"/>
                <w:i/>
                <w:iCs/>
                <w:szCs w:val="24"/>
              </w:rPr>
            </m:ctrlPr>
          </m:sSubPr>
          <m:e>
            <m:r>
              <m:rPr/>
              <w:rPr>
                <w:rFonts w:hint="default" w:ascii="Cambria Math" w:hAnsi="Cambria Math"/>
                <w:szCs w:val="24"/>
              </w:rPr>
              <m:t>F</m:t>
            </m:r>
            <m:ctrlPr>
              <w:rPr>
                <w:rFonts w:hint="eastAsia" w:ascii="Cambria Math" w:hAnsi="Cambria Math"/>
                <w:i/>
                <w:iCs/>
                <w:szCs w:val="24"/>
              </w:rPr>
            </m:ctrlPr>
          </m:e>
          <m:sub>
            <m:r>
              <m:rPr/>
              <w:rPr>
                <w:rFonts w:hint="default" w:ascii="Cambria Math" w:hAnsi="Cambria Math"/>
                <w:szCs w:val="24"/>
              </w:rPr>
              <m:t>i</m:t>
            </m:r>
            <m:ctrlPr>
              <w:rPr>
                <w:rFonts w:hint="eastAsia" w:ascii="Cambria Math" w:hAnsi="Cambria Math"/>
                <w:i/>
                <w:iCs/>
                <w:szCs w:val="24"/>
              </w:rPr>
            </m:ctrlPr>
          </m:sub>
        </m:sSub>
      </m:oMath>
      <w:r>
        <w:rPr>
          <w:rFonts w:hint="eastAsia" w:ascii="宋体"/>
          <w:szCs w:val="24"/>
        </w:rPr>
        <w:tab/>
      </w:r>
      <w:r>
        <w:rPr>
          <w:rFonts w:hint="eastAsia" w:ascii="宋体"/>
          <w:szCs w:val="24"/>
        </w:rPr>
        <w:t>(6)</w:t>
      </w:r>
    </w:p>
    <w:p w14:paraId="504DF031">
      <w:pPr>
        <w:pStyle w:val="37"/>
        <w:tabs>
          <w:tab w:val="center" w:pos="4678"/>
          <w:tab w:val="right" w:pos="9356"/>
        </w:tabs>
        <w:rPr>
          <w:rFonts w:hint="eastAsia"/>
          <w:szCs w:val="21"/>
        </w:rPr>
      </w:pPr>
      <w:r>
        <w:rPr>
          <w:rFonts w:hint="eastAsia" w:ascii="宋体"/>
          <w:szCs w:val="24"/>
          <w:lang w:val="en-US" w:eastAsia="zh-CN"/>
        </w:rPr>
        <w:t>式中：</w:t>
      </w:r>
    </w:p>
    <w:p w14:paraId="0E33BA8B">
      <w:pPr>
        <w:pStyle w:val="37"/>
        <w:rPr>
          <w:rFonts w:hint="eastAsia" w:ascii="宋体"/>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A1</m:t>
            </m:r>
            <m:ctrlPr>
              <w:rPr>
                <w:rFonts w:hint="eastAsia" w:ascii="Cambria Math" w:hAnsi="Cambria Math"/>
                <w:szCs w:val="24"/>
              </w:rPr>
            </m:ctrlPr>
          </m:sub>
        </m:sSub>
      </m:oMath>
      <w:r>
        <w:rPr>
          <w:rFonts w:hint="eastAsia" w:ascii="宋体" w:eastAsiaTheme="minorEastAsia"/>
          <w:szCs w:val="24"/>
        </w:rPr>
        <w:t>——T梁原材料生产阶段产生的二氧化碳排放量，单位为千克二氧化碳（kgCO₂）；</w:t>
      </w:r>
    </w:p>
    <w:p w14:paraId="0E33BA8C">
      <w:pPr>
        <w:pStyle w:val="37"/>
        <w:rPr>
          <w:rFonts w:hint="eastAsia" w:ascii="宋体"/>
          <w:szCs w:val="24"/>
        </w:rPr>
      </w:pPr>
      <m:oMath>
        <m:r>
          <m:rPr>
            <m:sty m:val="p"/>
          </m:rPr>
          <w:rPr>
            <w:rFonts w:hint="eastAsia" w:ascii="Cambria Math" w:hAnsi="Cambria Math"/>
            <w:szCs w:val="24"/>
          </w:rPr>
          <m:t>i</m:t>
        </m:r>
      </m:oMath>
      <w:r>
        <w:rPr>
          <w:rFonts w:hint="eastAsia" w:ascii="宋体" w:eastAsiaTheme="minorEastAsia"/>
          <w:szCs w:val="24"/>
        </w:rPr>
        <w:t>——原材料种类的序号，i=1，2，…，n，n为原材料种类总数；</w:t>
      </w:r>
    </w:p>
    <w:p w14:paraId="0E33BA8D">
      <w:pPr>
        <w:pStyle w:val="37"/>
        <w:rPr>
          <w:rFonts w:hint="eastAsia" w:ascii="宋体"/>
          <w:szCs w:val="24"/>
        </w:rPr>
      </w:pPr>
      <m:oMath>
        <m:sSub>
          <m:sSubPr>
            <m:ctrlPr>
              <w:rPr>
                <w:rFonts w:hint="eastAsia" w:ascii="Cambria Math" w:hAnsi="Cambria Math"/>
                <w:szCs w:val="24"/>
              </w:rPr>
            </m:ctrlPr>
          </m:sSubPr>
          <m:e>
            <m:r>
              <m:rPr>
                <m:sty m:val="p"/>
              </m:rPr>
              <w:rPr>
                <w:rFonts w:hint="eastAsia" w:ascii="Cambria Math" w:hAnsi="Cambria Math"/>
                <w:szCs w:val="24"/>
              </w:rPr>
              <m:t>Q</m:t>
            </m:r>
            <m:ctrlPr>
              <w:rPr>
                <w:rFonts w:hint="eastAsia" w:ascii="Cambria Math" w:hAnsi="Cambria Math"/>
                <w:szCs w:val="24"/>
              </w:rPr>
            </m:ctrlPr>
          </m:e>
          <m:sub>
            <m:r>
              <m:rPr>
                <m:sty m:val="p"/>
              </m:rPr>
              <w:rPr>
                <w:rFonts w:hint="eastAsia" w:ascii="Cambria Math" w:hAnsi="Cambria Math"/>
                <w:szCs w:val="24"/>
              </w:rPr>
              <m:t>i</m:t>
            </m:r>
            <m:ctrlPr>
              <w:rPr>
                <w:rFonts w:hint="eastAsia" w:ascii="Cambria Math" w:hAnsi="Cambria Math"/>
                <w:szCs w:val="24"/>
              </w:rPr>
            </m:ctrlPr>
          </m:sub>
        </m:sSub>
      </m:oMath>
      <w:r>
        <w:rPr>
          <w:rFonts w:hint="eastAsia" w:ascii="宋体" w:eastAsiaTheme="minorEastAsia"/>
          <w:szCs w:val="24"/>
        </w:rPr>
        <w:t>——第i种原材料的消耗量，单位视原材料类型而定；</w:t>
      </w:r>
    </w:p>
    <w:p w14:paraId="0E33BA8E">
      <w:pPr>
        <w:pStyle w:val="37"/>
        <w:rPr>
          <w:rFonts w:hint="eastAsia" w:ascii="宋体"/>
          <w:szCs w:val="24"/>
        </w:rPr>
      </w:pPr>
      <m:oMath>
        <m:r>
          <m:rPr>
            <m:sty m:val="p"/>
          </m:rPr>
          <w:rPr>
            <w:rFonts w:hint="eastAsia" w:ascii="Cambria Math" w:hAnsi="Cambria Math"/>
            <w:szCs w:val="24"/>
          </w:rPr>
          <m:t>E</m:t>
        </m:r>
        <m:sSub>
          <m:sSubPr>
            <m:ctrlPr>
              <w:rPr>
                <w:rFonts w:hint="eastAsia" w:ascii="Cambria Math" w:hAnsi="Cambria Math"/>
                <w:szCs w:val="24"/>
              </w:rPr>
            </m:ctrlPr>
          </m:sSubPr>
          <m:e>
            <m:r>
              <m:rPr>
                <m:sty m:val="p"/>
              </m:rPr>
              <w:rPr>
                <w:rFonts w:hint="eastAsia" w:ascii="Cambria Math" w:hAnsi="Cambria Math"/>
                <w:szCs w:val="24"/>
              </w:rPr>
              <m:t>F</m:t>
            </m:r>
            <m:ctrlPr>
              <w:rPr>
                <w:rFonts w:hint="eastAsia" w:ascii="Cambria Math" w:hAnsi="Cambria Math"/>
                <w:szCs w:val="24"/>
              </w:rPr>
            </m:ctrlPr>
          </m:e>
          <m:sub>
            <m:r>
              <m:rPr>
                <m:sty m:val="p"/>
              </m:rPr>
              <w:rPr>
                <w:rFonts w:hint="eastAsia" w:ascii="Cambria Math" w:hAnsi="Cambria Math"/>
                <w:szCs w:val="24"/>
              </w:rPr>
              <m:t>i</m:t>
            </m:r>
            <m:ctrlPr>
              <w:rPr>
                <w:rFonts w:hint="eastAsia" w:ascii="Cambria Math" w:hAnsi="Cambria Math"/>
                <w:szCs w:val="24"/>
              </w:rPr>
            </m:ctrlPr>
          </m:sub>
        </m:sSub>
      </m:oMath>
      <w:r>
        <w:rPr>
          <w:rFonts w:hint="eastAsia" w:ascii="宋体" w:eastAsiaTheme="minorEastAsia"/>
          <w:szCs w:val="24"/>
        </w:rPr>
        <w:t>——第i种原材料的碳排放因子，单位应与其消耗量单位相匹配，并保证各项乘积的结果单位为千克二氧化碳（kgCO₂）。</w:t>
      </w:r>
    </w:p>
    <w:p w14:paraId="0E33BA90">
      <w:pPr>
        <w:pStyle w:val="33"/>
        <w:rPr>
          <w:rFonts w:hint="eastAsia" w:ascii="宋体" w:hAnsi="宋体" w:eastAsia="宋体" w:cs="宋体"/>
          <w:szCs w:val="20"/>
        </w:rPr>
      </w:pPr>
      <w:r>
        <w:rPr>
          <w:rFonts w:hint="eastAsia" w:ascii="宋体" w:hAnsi="宋体" w:eastAsia="宋体" w:cs="宋体"/>
          <w:szCs w:val="20"/>
        </w:rPr>
        <w:t>原材料生产阶段的二氧化碳排放量核算，应优先采用经权威机构审核验证且与实际来源、工艺及供应链条件相匹配的二氧化碳排放因子数据；无适用数据或单位难以转换时，可采用附录A中的缺省值，具体取值见表A.1。</w:t>
      </w:r>
    </w:p>
    <w:bookmarkEnd w:id="86"/>
    <w:bookmarkEnd w:id="87"/>
    <w:bookmarkEnd w:id="88"/>
    <w:p w14:paraId="0E33BA92">
      <w:pPr>
        <w:pStyle w:val="31"/>
        <w:spacing w:before="0" w:after="0"/>
        <w:outlineLvl w:val="9"/>
        <w:rPr>
          <w:rFonts w:hint="eastAsia" w:hAnsi="黑体" w:cs="黑体"/>
          <w:szCs w:val="20"/>
        </w:rPr>
      </w:pPr>
      <w:r>
        <w:rPr>
          <w:rFonts w:hint="eastAsia" w:ascii="黑体" w:hAnsi="黑体" w:cs="黑体"/>
          <w:szCs w:val="20"/>
        </w:rPr>
        <w:t>运输阶段（A2、A4）</w:t>
      </w:r>
    </w:p>
    <w:p w14:paraId="0E33BA93">
      <w:pPr>
        <w:pStyle w:val="33"/>
        <w:rPr>
          <w:rFonts w:hint="eastAsia" w:ascii="宋体" w:hAnsi="宋体" w:eastAsia="宋体" w:cs="宋体"/>
        </w:rPr>
      </w:pPr>
      <w:r>
        <w:rPr>
          <w:rFonts w:hint="eastAsia" w:ascii="宋体" w:hAnsi="宋体" w:eastAsia="宋体" w:cs="宋体"/>
        </w:rPr>
        <w:t>T梁运输阶段碳排放核算范围应包括原材料运输（A2）和T梁构件运输（A4）。原材料运输对象包括混凝土材料、钢筋及预应力材料、预应力配套材料、辅助成型与养护材料和可周转材料等；T梁构件运输对象为完成工厂化生产并运至施工现场的T梁构件。</w:t>
      </w:r>
    </w:p>
    <w:p w14:paraId="749F02D8">
      <w:pPr>
        <w:pStyle w:val="33"/>
        <w:rPr>
          <w:rFonts w:hint="eastAsia" w:ascii="宋体" w:hAnsi="宋体" w:eastAsia="宋体" w:cs="宋体"/>
          <w:szCs w:val="20"/>
        </w:rPr>
      </w:pPr>
      <w:r>
        <w:rPr>
          <w:rFonts w:hint="eastAsia" w:ascii="宋体" w:hAnsi="宋体" w:eastAsia="宋体" w:cs="宋体"/>
        </w:rPr>
        <w:t>T梁原材料及预制构件场外运输应优先采用实际运输距离，并按运输对象特性选取适宜的运输方式。运输量应按实际发运质量确定，包含运输途中发生损耗或破损部分的质量。</w:t>
      </w:r>
    </w:p>
    <w:p w14:paraId="0E33BA97">
      <w:pPr>
        <w:pStyle w:val="33"/>
        <w:rPr>
          <w:rFonts w:hint="eastAsia" w:ascii="宋体" w:hAnsi="宋体" w:eastAsia="宋体" w:cs="宋体"/>
          <w:szCs w:val="20"/>
        </w:rPr>
      </w:pPr>
      <w:r>
        <w:rPr>
          <w:rFonts w:hint="eastAsia" w:ascii="宋体" w:hAnsi="宋体" w:eastAsia="宋体" w:cs="宋体"/>
        </w:rPr>
        <w:t>运输阶段碳排放宜优先采用实际能源消耗法，并应记录车辆或运输设备的实测能源消耗量、分配依据及空载或返程处理方法；也可采用吨千米排放因子法，并应确认所用因子对应的车型、载重、装载率及空载返程等适用条件。同一运输活动不应重复核算。</w:t>
      </w:r>
    </w:p>
    <w:p w14:paraId="0E33BA99">
      <w:pPr>
        <w:pStyle w:val="33"/>
        <w:rPr>
          <w:rFonts w:hint="eastAsia" w:ascii="宋体" w:hAnsi="宋体" w:eastAsia="宋体" w:cs="宋体"/>
          <w:szCs w:val="20"/>
        </w:rPr>
      </w:pPr>
      <w:r>
        <w:rPr>
          <w:rFonts w:hint="eastAsia" w:ascii="宋体" w:hAnsi="宋体" w:eastAsia="宋体" w:cs="宋体"/>
          <w:szCs w:val="20"/>
        </w:rPr>
        <w:t>采用吨千米排放因子法时，原材料运输阶段（A2）和T梁构件运输阶段（A4）产生的二氧化碳排放量应分别按式（7）核算：</w:t>
      </w:r>
    </w:p>
    <w:p w14:paraId="0E33BA9A">
      <w:pPr>
        <w:pStyle w:val="36"/>
        <w:tabs>
          <w:tab w:val="center" w:pos="4678"/>
          <w:tab w:val="right" w:leader="middleDot" w:pos="9356"/>
        </w:tabs>
        <w:rPr>
          <w:rFonts w:hint="eastAsia" w:ascii="宋体" w:hAnsi="宋体" w:eastAsiaTheme="minorEastAsia" w:cstheme="minorBidi"/>
          <w:szCs w:val="24"/>
        </w:rPr>
      </w:pPr>
      <w:r>
        <w:rPr>
          <w:rFonts w:hint="eastAsia" w:ascii="宋体" w:hAnsi="宋体" w:eastAsiaTheme="minorEastAsia" w:cstheme="minorBidi"/>
          <w:szCs w:val="24"/>
        </w:rPr>
        <w:tab/>
      </w:r>
      <m:oMath>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default" w:ascii="Cambria Math" w:hAnsi="Cambria Math"/>
                <w:szCs w:val="24"/>
              </w:rPr>
              <m:t>Ax</m:t>
            </m:r>
            <m:ctrlPr>
              <w:rPr>
                <w:rFonts w:hint="eastAsia" w:ascii="Cambria Math" w:hAnsi="Cambria Math"/>
                <w:i/>
                <w:iCs/>
                <w:szCs w:val="24"/>
              </w:rPr>
            </m:ctrlPr>
          </m:sub>
        </m:sSub>
        <m:r>
          <m:rPr/>
          <w:rPr>
            <w:rFonts w:hint="eastAsia" w:ascii="Cambria Math" w:hAnsi="Cambria Math"/>
            <w:szCs w:val="24"/>
          </w:rPr>
          <m:t>=</m:t>
        </m:r>
        <m:nary>
          <m:naryPr>
            <m:chr m:val="∑"/>
            <m:limLoc m:val="undOvr"/>
            <m:ctrlPr>
              <w:rPr>
                <w:rFonts w:hint="eastAsia" w:ascii="Cambria Math" w:hAnsi="Cambria Math"/>
                <w:i/>
                <w:iCs/>
                <w:szCs w:val="24"/>
              </w:rPr>
            </m:ctrlPr>
          </m:naryPr>
          <m:sub>
            <m:r>
              <m:rPr/>
              <w:rPr>
                <w:rFonts w:hint="default" w:ascii="Cambria Math" w:hAnsi="Cambria Math"/>
                <w:szCs w:val="24"/>
              </w:rPr>
              <m:t>i=1</m:t>
            </m:r>
            <m:ctrlPr>
              <w:rPr>
                <w:rFonts w:hint="eastAsia" w:ascii="Cambria Math" w:hAnsi="Cambria Math"/>
                <w:i/>
                <w:iCs/>
                <w:szCs w:val="24"/>
              </w:rPr>
            </m:ctrlPr>
          </m:sub>
          <m:sup>
            <m:r>
              <m:rPr/>
              <w:rPr>
                <w:rFonts w:hint="default" w:ascii="Cambria Math" w:hAnsi="Cambria Math"/>
                <w:szCs w:val="24"/>
              </w:rPr>
              <m:t>n</m:t>
            </m:r>
            <m:ctrlPr>
              <w:rPr>
                <w:rFonts w:hint="eastAsia" w:ascii="Cambria Math" w:hAnsi="Cambria Math"/>
                <w:i/>
                <w:iCs/>
                <w:szCs w:val="24"/>
              </w:rPr>
            </m:ctrlPr>
          </m:sup>
          <m:e>
            <m:nary>
              <m:naryPr>
                <m:chr m:val="∑"/>
                <m:limLoc m:val="undOvr"/>
                <m:ctrlPr>
                  <w:rPr>
                    <w:rFonts w:hint="eastAsia" w:ascii="Cambria Math" w:hAnsi="Cambria Math"/>
                    <w:i/>
                    <w:iCs/>
                    <w:szCs w:val="24"/>
                  </w:rPr>
                </m:ctrlPr>
              </m:naryPr>
              <m:sub>
                <m:r>
                  <m:rPr/>
                  <w:rPr>
                    <w:rFonts w:hint="default" w:ascii="Cambria Math" w:hAnsi="Cambria Math"/>
                    <w:szCs w:val="24"/>
                  </w:rPr>
                  <m:t>j=1</m:t>
                </m:r>
                <m:ctrlPr>
                  <w:rPr>
                    <w:rFonts w:hint="eastAsia" w:ascii="Cambria Math" w:hAnsi="Cambria Math"/>
                    <w:i/>
                    <w:iCs/>
                    <w:szCs w:val="24"/>
                  </w:rPr>
                </m:ctrlPr>
              </m:sub>
              <m:sup>
                <m:r>
                  <m:rPr/>
                  <w:rPr>
                    <w:rFonts w:hint="default" w:ascii="Cambria Math" w:hAnsi="Cambria Math"/>
                    <w:szCs w:val="24"/>
                  </w:rPr>
                  <m:t>m</m:t>
                </m:r>
                <m:ctrlPr>
                  <w:rPr>
                    <w:rFonts w:hint="eastAsia" w:ascii="Cambria Math" w:hAnsi="Cambria Math"/>
                    <w:i/>
                    <w:iCs/>
                    <w:szCs w:val="24"/>
                  </w:rPr>
                </m:ctrlPr>
              </m:sup>
              <m:e>
                <m:d>
                  <m:dPr>
                    <m:ctrlPr>
                      <w:rPr>
                        <w:rFonts w:hint="eastAsia" w:ascii="Cambria Math" w:hAnsi="Cambria Math"/>
                        <w:i/>
                        <w:iCs/>
                        <w:szCs w:val="24"/>
                      </w:rPr>
                    </m:ctrlPr>
                  </m:dPr>
                  <m:e>
                    <m:sSub>
                      <m:sSubPr>
                        <m:ctrlPr>
                          <w:rPr>
                            <w:rFonts w:hint="eastAsia" w:ascii="Cambria Math" w:hAnsi="Cambria Math"/>
                            <w:i/>
                            <w:iCs/>
                            <w:szCs w:val="24"/>
                          </w:rPr>
                        </m:ctrlPr>
                      </m:sSubPr>
                      <m:e>
                        <m:r>
                          <m:rPr/>
                          <w:rPr>
                            <w:rFonts w:hint="default" w:ascii="Cambria Math" w:hAnsi="Cambria Math"/>
                            <w:szCs w:val="24"/>
                          </w:rPr>
                          <m:t>T</m:t>
                        </m:r>
                        <m:ctrlPr>
                          <w:rPr>
                            <w:rFonts w:hint="eastAsia" w:ascii="Cambria Math" w:hAnsi="Cambria Math"/>
                            <w:i/>
                            <w:iCs/>
                            <w:szCs w:val="24"/>
                          </w:rPr>
                        </m:ctrlPr>
                      </m:e>
                      <m:sub>
                        <m:r>
                          <m:rPr/>
                          <w:rPr>
                            <w:rFonts w:hint="default" w:ascii="Cambria Math" w:hAnsi="Cambria Math"/>
                            <w:szCs w:val="24"/>
                          </w:rPr>
                          <m:t>ij</m:t>
                        </m:r>
                        <m:ctrlPr>
                          <w:rPr>
                            <w:rFonts w:hint="eastAsia" w:ascii="Cambria Math" w:hAnsi="Cambria Math"/>
                            <w:i/>
                            <w:iCs/>
                            <w:szCs w:val="24"/>
                          </w:rPr>
                        </m:ctrlPr>
                      </m:sub>
                    </m:sSub>
                    <m:sSub>
                      <m:sSubPr>
                        <m:ctrlPr>
                          <w:rPr>
                            <w:rFonts w:hint="eastAsia" w:ascii="Cambria Math" w:hAnsi="Cambria Math"/>
                            <w:i/>
                            <w:iCs/>
                            <w:szCs w:val="24"/>
                          </w:rPr>
                        </m:ctrlPr>
                      </m:sSubPr>
                      <m:e>
                        <m:r>
                          <m:rPr/>
                          <w:rPr>
                            <w:rFonts w:hint="default" w:ascii="Cambria Math" w:hAnsi="Cambria Math"/>
                            <w:szCs w:val="24"/>
                          </w:rPr>
                          <m:t>D</m:t>
                        </m:r>
                        <m:ctrlPr>
                          <w:rPr>
                            <w:rFonts w:hint="eastAsia" w:ascii="Cambria Math" w:hAnsi="Cambria Math"/>
                            <w:i/>
                            <w:iCs/>
                            <w:szCs w:val="24"/>
                          </w:rPr>
                        </m:ctrlPr>
                      </m:e>
                      <m:sub>
                        <m:r>
                          <m:rPr/>
                          <w:rPr>
                            <w:rFonts w:hint="default" w:ascii="Cambria Math" w:hAnsi="Cambria Math"/>
                            <w:szCs w:val="24"/>
                          </w:rPr>
                          <m:t>ij</m:t>
                        </m:r>
                        <m:ctrlPr>
                          <w:rPr>
                            <w:rFonts w:hint="eastAsia" w:ascii="Cambria Math" w:hAnsi="Cambria Math"/>
                            <w:i/>
                            <w:iCs/>
                            <w:szCs w:val="24"/>
                          </w:rPr>
                        </m:ctrlPr>
                      </m:sub>
                    </m:sSub>
                    <m:r>
                      <m:rPr/>
                      <w:rPr>
                        <w:rFonts w:hint="default" w:ascii="Cambria Math" w:hAnsi="Cambria Math"/>
                        <w:szCs w:val="24"/>
                      </w:rPr>
                      <m:t>E</m:t>
                    </m:r>
                    <m:sSub>
                      <m:sSubPr>
                        <m:ctrlPr>
                          <w:rPr>
                            <w:rFonts w:hint="eastAsia" w:ascii="Cambria Math" w:hAnsi="Cambria Math"/>
                            <w:i/>
                            <w:iCs/>
                            <w:szCs w:val="24"/>
                          </w:rPr>
                        </m:ctrlPr>
                      </m:sSubPr>
                      <m:e>
                        <m:r>
                          <m:rPr/>
                          <w:rPr>
                            <w:rFonts w:hint="default" w:ascii="Cambria Math" w:hAnsi="Cambria Math"/>
                            <w:szCs w:val="24"/>
                          </w:rPr>
                          <m:t>F</m:t>
                        </m:r>
                        <m:ctrlPr>
                          <w:rPr>
                            <w:rFonts w:hint="eastAsia" w:ascii="Cambria Math" w:hAnsi="Cambria Math"/>
                            <w:i/>
                            <w:iCs/>
                            <w:szCs w:val="24"/>
                          </w:rPr>
                        </m:ctrlPr>
                      </m:e>
                      <m:sub>
                        <m:r>
                          <m:rPr/>
                          <w:rPr>
                            <w:rFonts w:hint="default" w:ascii="Cambria Math" w:hAnsi="Cambria Math"/>
                            <w:szCs w:val="24"/>
                          </w:rPr>
                          <m:t>ij</m:t>
                        </m:r>
                        <m:ctrlPr>
                          <w:rPr>
                            <w:rFonts w:hint="eastAsia" w:ascii="Cambria Math" w:hAnsi="Cambria Math"/>
                            <w:i/>
                            <w:iCs/>
                            <w:szCs w:val="24"/>
                          </w:rPr>
                        </m:ctrlPr>
                      </m:sub>
                    </m:sSub>
                    <m:ctrlPr>
                      <w:rPr>
                        <w:rFonts w:hint="eastAsia" w:ascii="Cambria Math" w:hAnsi="Cambria Math"/>
                        <w:i/>
                        <w:iCs/>
                        <w:szCs w:val="24"/>
                      </w:rPr>
                    </m:ctrlPr>
                  </m:e>
                </m:d>
                <m:ctrlPr>
                  <w:rPr>
                    <w:rFonts w:hint="eastAsia" w:ascii="Cambria Math" w:hAnsi="Cambria Math"/>
                    <w:i/>
                    <w:iCs/>
                    <w:szCs w:val="24"/>
                  </w:rPr>
                </m:ctrlPr>
              </m:e>
            </m:nary>
            <m:ctrlPr>
              <w:rPr>
                <w:rFonts w:hint="eastAsia" w:ascii="Cambria Math" w:hAnsi="Cambria Math"/>
                <w:i/>
                <w:iCs/>
                <w:szCs w:val="24"/>
              </w:rPr>
            </m:ctrlPr>
          </m:e>
        </m:nary>
      </m:oMath>
      <w:r>
        <w:rPr>
          <w:rFonts w:hint="eastAsia" w:ascii="宋体" w:hAnsi="宋体" w:eastAsiaTheme="minorEastAsia" w:cstheme="minorBidi"/>
          <w:szCs w:val="24"/>
        </w:rPr>
        <w:tab/>
      </w:r>
      <w:r>
        <w:rPr>
          <w:rFonts w:hint="eastAsia" w:ascii="宋体" w:hAnsi="宋体" w:eastAsiaTheme="minorEastAsia" w:cstheme="minorBidi"/>
          <w:szCs w:val="24"/>
        </w:rPr>
        <w:t>(7)</w:t>
      </w:r>
    </w:p>
    <w:p w14:paraId="2219B7F9">
      <w:pPr>
        <w:pStyle w:val="37"/>
        <w:ind w:firstLine="420" w:firstLineChars="200"/>
        <w:rPr>
          <w:rFonts w:hint="eastAsia" w:asciiTheme="minorHAnsi" w:hAnsiTheme="minorHAnsi" w:eastAsiaTheme="minorEastAsia" w:cstheme="minorBidi"/>
        </w:rPr>
      </w:pPr>
      <w:r>
        <w:rPr>
          <w:rFonts w:hint="eastAsia" w:ascii="宋体"/>
          <w:szCs w:val="24"/>
          <w:lang w:val="en-US" w:eastAsia="zh-CN"/>
        </w:rPr>
        <w:t>式中：</w:t>
      </w:r>
    </w:p>
    <w:p w14:paraId="0E33BA9B">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Ax</m:t>
            </m:r>
            <m:ctrlPr>
              <w:rPr>
                <w:rFonts w:hint="eastAsia" w:ascii="Cambria Math" w:hAnsi="Cambria Math"/>
                <w:szCs w:val="24"/>
              </w:rPr>
            </m:ctrlPr>
          </m:sub>
        </m:sSub>
      </m:oMath>
      <w:r>
        <w:rPr>
          <w:rFonts w:hint="eastAsia" w:ascii="宋体" w:hAnsiTheme="minorHAnsi" w:eastAsiaTheme="minorEastAsia" w:cstheme="minorBidi"/>
          <w:szCs w:val="24"/>
        </w:rPr>
        <w:t>——运输阶段产生的二氧化碳排放量，单位为千克二氧化碳（kgCO₂）；核算原材料运输阶段时，x取2；核算构件运输阶段时，x取4；</w:t>
      </w:r>
    </w:p>
    <w:p w14:paraId="0E33BA9C">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T</m:t>
            </m:r>
            <m:ctrlPr>
              <w:rPr>
                <w:rFonts w:hint="eastAsia" w:ascii="Cambria Math" w:hAnsi="Cambria Math"/>
                <w:szCs w:val="24"/>
              </w:rPr>
            </m:ctrlPr>
          </m:e>
          <m:sub>
            <m:r>
              <m:rPr>
                <m:sty m:val="p"/>
              </m:rPr>
              <w:rPr>
                <w:rFonts w:hint="eastAsia" w:ascii="Cambria Math" w:hAnsi="Cambria Math"/>
                <w:szCs w:val="24"/>
              </w:rPr>
              <m:t>ij</m:t>
            </m:r>
            <m:ctrlPr>
              <w:rPr>
                <w:rFonts w:hint="eastAsia" w:ascii="Cambria Math" w:hAnsi="Cambria Math"/>
                <w:szCs w:val="24"/>
              </w:rPr>
            </m:ctrlPr>
          </m:sub>
        </m:sSub>
      </m:oMath>
      <w:r>
        <w:rPr>
          <w:rFonts w:hint="eastAsia" w:ascii="宋体" w:hAnsiTheme="minorHAnsi" w:eastAsiaTheme="minorEastAsia" w:cstheme="minorBidi"/>
          <w:szCs w:val="24"/>
        </w:rPr>
        <w:t>——第i种运输对象采用第j类运输方式时的运输量，单位为吨（t）；</w:t>
      </w:r>
    </w:p>
    <w:p w14:paraId="0E33BA9D">
      <w:pPr>
        <w:pStyle w:val="37"/>
        <w:rPr>
          <w:rFonts w:hint="eastAsia" w:ascii="宋体" w:hAnsiTheme="minorHAnsi" w:cstheme="minorBidi"/>
          <w:szCs w:val="24"/>
        </w:rPr>
      </w:pPr>
      <m:oMath>
        <m:r>
          <m:rPr>
            <m:sty m:val="p"/>
          </m:rPr>
          <w:rPr>
            <w:rFonts w:hint="eastAsia" w:ascii="Cambria Math" w:hAnsi="Cambria Math"/>
            <w:szCs w:val="24"/>
          </w:rPr>
          <m:t>i</m:t>
        </m:r>
      </m:oMath>
      <w:r>
        <w:rPr>
          <w:rFonts w:hint="eastAsia" w:ascii="宋体" w:hAnsiTheme="minorHAnsi" w:eastAsiaTheme="minorEastAsia" w:cstheme="minorBidi"/>
          <w:szCs w:val="24"/>
        </w:rPr>
        <w:t>——运输对象种类的序号，i=1，2，…，n，n为运输对象种类总数；</w:t>
      </w:r>
    </w:p>
    <w:p w14:paraId="0E33BA9E">
      <w:pPr>
        <w:pStyle w:val="37"/>
        <w:rPr>
          <w:rFonts w:hint="eastAsia" w:ascii="宋体" w:hAnsiTheme="minorHAnsi" w:cstheme="minorBidi"/>
          <w:szCs w:val="24"/>
        </w:rPr>
      </w:pPr>
      <m:oMath>
        <m:r>
          <m:rPr>
            <m:sty m:val="p"/>
          </m:rPr>
          <w:rPr>
            <w:rFonts w:hint="eastAsia" w:ascii="Cambria Math" w:hAnsi="Cambria Math"/>
            <w:szCs w:val="24"/>
          </w:rPr>
          <m:t>j</m:t>
        </m:r>
      </m:oMath>
      <w:r>
        <w:rPr>
          <w:rFonts w:hint="eastAsia" w:ascii="宋体" w:hAnsiTheme="minorHAnsi" w:eastAsiaTheme="minorEastAsia" w:cstheme="minorBidi"/>
          <w:szCs w:val="24"/>
        </w:rPr>
        <w:t>——运输方式类别的序号，j=1，2，…，m，m为运输方式类别总数；</w:t>
      </w:r>
    </w:p>
    <w:p w14:paraId="0E33BA9F">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D</m:t>
            </m:r>
            <m:ctrlPr>
              <w:rPr>
                <w:rFonts w:hint="eastAsia" w:ascii="Cambria Math" w:hAnsi="Cambria Math"/>
                <w:szCs w:val="24"/>
              </w:rPr>
            </m:ctrlPr>
          </m:e>
          <m:sub>
            <m:r>
              <m:rPr>
                <m:sty m:val="p"/>
              </m:rPr>
              <w:rPr>
                <w:rFonts w:hint="eastAsia" w:ascii="Cambria Math" w:hAnsi="Cambria Math"/>
                <w:szCs w:val="24"/>
              </w:rPr>
              <m:t>ij</m:t>
            </m:r>
            <m:ctrlPr>
              <w:rPr>
                <w:rFonts w:hint="eastAsia" w:ascii="Cambria Math" w:hAnsi="Cambria Math"/>
                <w:szCs w:val="24"/>
              </w:rPr>
            </m:ctrlPr>
          </m:sub>
        </m:sSub>
      </m:oMath>
      <w:r>
        <w:rPr>
          <w:rFonts w:hint="eastAsia" w:ascii="宋体" w:hAnsiTheme="minorHAnsi" w:eastAsiaTheme="minorEastAsia" w:cstheme="minorBidi"/>
          <w:szCs w:val="24"/>
        </w:rPr>
        <w:t>——第i种运输对象采用第j类运输方式时的平均运输距离，单位为千米（km）；</w:t>
      </w:r>
    </w:p>
    <w:p w14:paraId="0E33BAA0">
      <w:pPr>
        <w:pStyle w:val="37"/>
        <w:rPr>
          <w:rFonts w:hint="eastAsia" w:ascii="宋体" w:hAnsiTheme="minorHAnsi" w:eastAsiaTheme="minorEastAsia" w:cstheme="minorBidi"/>
          <w:szCs w:val="24"/>
        </w:rPr>
      </w:pPr>
      <m:oMath>
        <m:r>
          <m:rPr>
            <m:sty m:val="p"/>
          </m:rPr>
          <w:rPr>
            <w:rFonts w:hint="eastAsia" w:ascii="Cambria Math" w:hAnsi="Cambria Math"/>
            <w:szCs w:val="24"/>
          </w:rPr>
          <m:t>E</m:t>
        </m:r>
        <m:sSub>
          <m:sSubPr>
            <m:ctrlPr>
              <w:rPr>
                <w:rFonts w:hint="eastAsia" w:ascii="Cambria Math" w:hAnsi="Cambria Math"/>
                <w:szCs w:val="24"/>
              </w:rPr>
            </m:ctrlPr>
          </m:sSubPr>
          <m:e>
            <m:r>
              <m:rPr>
                <m:sty m:val="p"/>
              </m:rPr>
              <w:rPr>
                <w:rFonts w:hint="eastAsia" w:ascii="Cambria Math" w:hAnsi="Cambria Math"/>
                <w:szCs w:val="24"/>
              </w:rPr>
              <m:t>F</m:t>
            </m:r>
            <m:ctrlPr>
              <w:rPr>
                <w:rFonts w:hint="eastAsia" w:ascii="Cambria Math" w:hAnsi="Cambria Math"/>
                <w:szCs w:val="24"/>
              </w:rPr>
            </m:ctrlPr>
          </m:e>
          <m:sub>
            <m:r>
              <m:rPr>
                <m:sty m:val="p"/>
              </m:rPr>
              <w:rPr>
                <w:rFonts w:hint="eastAsia" w:ascii="Cambria Math" w:hAnsi="Cambria Math"/>
                <w:szCs w:val="24"/>
              </w:rPr>
              <m:t>ij</m:t>
            </m:r>
            <m:ctrlPr>
              <w:rPr>
                <w:rFonts w:hint="eastAsia" w:ascii="Cambria Math" w:hAnsi="Cambria Math"/>
                <w:szCs w:val="24"/>
              </w:rPr>
            </m:ctrlPr>
          </m:sub>
        </m:sSub>
      </m:oMath>
      <w:r>
        <w:rPr>
          <w:rFonts w:hint="eastAsia" w:ascii="宋体" w:hAnsiTheme="minorHAnsi" w:eastAsiaTheme="minorEastAsia" w:cstheme="minorBidi"/>
          <w:szCs w:val="24"/>
        </w:rPr>
        <w:t>——第i种运输对象采用第j类运输方式时的碳排放因子，单位为千克二氧化碳每吨千米［kgCO</w:t>
      </w:r>
      <w:r>
        <w:rPr>
          <w:rFonts w:hint="default" w:ascii="Times New Roman" w:hAnsi="Times New Roman" w:cs="Times New Roman" w:eastAsiaTheme="minorEastAsia"/>
          <w:szCs w:val="24"/>
        </w:rPr>
        <w:t>₂</w:t>
      </w:r>
      <w:r>
        <w:rPr>
          <w:rFonts w:hint="eastAsia" w:ascii="宋体" w:hAnsiTheme="minorHAnsi" w:eastAsiaTheme="minorEastAsia" w:cstheme="minorBidi"/>
          <w:szCs w:val="24"/>
        </w:rPr>
        <w:t>/(t·km)］。</w:t>
      </w:r>
    </w:p>
    <w:p w14:paraId="0E33BAA2">
      <w:pPr>
        <w:pStyle w:val="33"/>
        <w:rPr>
          <w:rFonts w:hint="eastAsia" w:ascii="宋体" w:hAnsi="宋体" w:eastAsia="宋体" w:cs="宋体"/>
          <w:szCs w:val="20"/>
        </w:rPr>
      </w:pPr>
      <w:r>
        <w:rPr>
          <w:rFonts w:hint="eastAsia" w:ascii="宋体" w:hAnsi="宋体" w:eastAsia="宋体" w:cs="宋体"/>
          <w:szCs w:val="20"/>
        </w:rPr>
        <w:t>运输阶段产生的二氧化碳排放量核算，应优先采用经权威机构审核验证且与实际运输条件相匹配的二氧化碳排放因子数据；无适用数据或单位难以转换时，可采用附录A中的缺省值，具体取值见表A.2。</w:t>
      </w:r>
    </w:p>
    <w:p w14:paraId="0E33BAA4">
      <w:pPr>
        <w:pStyle w:val="31"/>
        <w:spacing w:before="0" w:after="0"/>
        <w:outlineLvl w:val="9"/>
        <w:rPr>
          <w:rFonts w:hint="eastAsia" w:hAnsi="黑体" w:cs="黑体"/>
          <w:szCs w:val="20"/>
        </w:rPr>
      </w:pPr>
      <w:r>
        <w:rPr>
          <w:rFonts w:hint="eastAsia" w:ascii="黑体" w:hAnsi="黑体" w:cs="黑体"/>
          <w:szCs w:val="20"/>
        </w:rPr>
        <w:t>构件工厂化生产阶段（A3）</w:t>
      </w:r>
    </w:p>
    <w:p w14:paraId="0E33BAA6">
      <w:pPr>
        <w:pStyle w:val="33"/>
        <w:rPr>
          <w:rFonts w:hint="eastAsia" w:ascii="宋体" w:hAnsi="宋体" w:eastAsia="宋体" w:cs="宋体"/>
          <w:szCs w:val="20"/>
        </w:rPr>
      </w:pPr>
      <w:r>
        <w:rPr>
          <w:rFonts w:hint="eastAsia" w:ascii="宋体" w:hAnsi="宋体" w:eastAsia="宋体" w:cs="宋体"/>
          <w:szCs w:val="20"/>
        </w:rPr>
        <w:t>T梁构件工厂化生产阶段碳排放核算范围应包括生产能源消耗和周转材料消耗产生的碳排放。</w:t>
      </w:r>
    </w:p>
    <w:p w14:paraId="0E33BAA8">
      <w:pPr>
        <w:pStyle w:val="33"/>
        <w:rPr>
          <w:rFonts w:hint="eastAsia" w:ascii="宋体" w:hAnsi="宋体" w:eastAsia="宋体" w:cs="宋体"/>
          <w:szCs w:val="20"/>
        </w:rPr>
      </w:pPr>
      <w:r>
        <w:rPr>
          <w:rFonts w:hint="eastAsia" w:ascii="宋体" w:hAnsi="宋体" w:eastAsia="宋体" w:cs="宋体"/>
          <w:szCs w:val="20"/>
        </w:rPr>
        <w:t>T梁构件工厂化生产阶段能源及公用工程碳排放核算范围应包括生产及厂内运输过程中电力、热力、煤炭、天然气、汽油、柴油等能源消耗，以及供水、废水处理等公用工程产生的二氧化碳排放。蒸汽养护及其他热养护的能源消耗应纳入核算。</w:t>
      </w:r>
    </w:p>
    <w:p w14:paraId="0E33BAAA">
      <w:pPr>
        <w:pStyle w:val="33"/>
        <w:rPr>
          <w:rFonts w:hint="eastAsia" w:ascii="宋体" w:hAnsi="宋体" w:eastAsia="宋体" w:cs="宋体"/>
          <w:szCs w:val="20"/>
        </w:rPr>
      </w:pPr>
      <w:r>
        <w:rPr>
          <w:rFonts w:hint="eastAsia" w:ascii="宋体" w:hAnsi="宋体" w:eastAsia="宋体" w:cs="宋体"/>
        </w:rPr>
        <w:t>T梁</w:t>
      </w:r>
      <w:r>
        <w:rPr>
          <w:rFonts w:hint="eastAsia" w:ascii="宋体" w:hAnsi="宋体" w:eastAsia="宋体" w:cs="宋体"/>
          <w:szCs w:val="20"/>
        </w:rPr>
        <w:t>构件工厂化生产阶段可周转材料碳排放核算范围应包括模板、支架、吊具、脚手架等可重复使用且逐步损耗的材料。</w:t>
      </w:r>
    </w:p>
    <w:p w14:paraId="0E33BAAC">
      <w:pPr>
        <w:pStyle w:val="33"/>
        <w:rPr>
          <w:rFonts w:hint="eastAsia" w:ascii="宋体" w:hAnsi="宋体" w:eastAsia="宋体" w:cs="宋体"/>
          <w:szCs w:val="20"/>
        </w:rPr>
      </w:pPr>
      <w:r>
        <w:rPr>
          <w:rFonts w:hint="eastAsia" w:ascii="宋体" w:hAnsi="宋体" w:eastAsia="宋体" w:cs="宋体"/>
          <w:szCs w:val="20"/>
        </w:rPr>
        <w:t>T梁构件工厂化生产阶段的能源及公用工程活动数据宜以月、季度或年进行统计，其中水相关活动数据包括生产用水量和废水处理量。活动数据应以仪表计量记录、生产统计资料、用水及排水记录或管理系统记录为依据，能源消耗量核算应符合GB/T2589—2020的有关规定。蒸汽养护及其他热养护的能源消耗宜单独计量；无法单独计量时，应优先依据养护时间、蒸汽量、构件体积或其他可验证的物理关系进行分配；无法建立合理物理关系时，可按经济价值分配。</w:t>
      </w:r>
    </w:p>
    <w:p w14:paraId="0E33BAAD">
      <w:pPr>
        <w:pStyle w:val="33"/>
        <w:widowControl/>
        <w:rPr>
          <w:rFonts w:hint="eastAsia" w:ascii="宋体" w:hAnsi="宋体" w:eastAsia="宋体" w:cs="宋体"/>
          <w:sz w:val="21"/>
        </w:rPr>
      </w:pPr>
      <w:r>
        <w:rPr>
          <w:rFonts w:hint="eastAsia" w:ascii="宋体" w:hAnsi="宋体" w:eastAsia="宋体" w:cs="宋体"/>
          <w:sz w:val="21"/>
        </w:rPr>
        <w:t>T梁构件工厂化生产阶段能源及公用工程碳排放可分为直接排放和间接排放。直接排放主要来源于煤炭、汽油、柴油、天然气等化石燃料燃烧，宜采用</w:t>
      </w:r>
      <w:r>
        <w:rPr>
          <w:rFonts w:hint="eastAsia" w:ascii="宋体" w:hAnsi="宋体" w:eastAsia="宋体" w:cs="宋体"/>
          <w:sz w:val="21"/>
          <w:lang w:val="en-US" w:eastAsia="zh-CN"/>
        </w:rPr>
        <w:t>物料</w:t>
      </w:r>
      <w:r>
        <w:rPr>
          <w:rFonts w:hint="eastAsia" w:ascii="宋体" w:hAnsi="宋体" w:eastAsia="宋体" w:cs="宋体"/>
          <w:sz w:val="21"/>
        </w:rPr>
        <w:t>平衡法核算；间接排放主要来源于外购电力、外购热力、外部供水及委托废水处理等，宜采用排放因子法核算。厂内供水或水处理的能源消耗已计入电力、燃料或热力消耗时，不应重复核算。</w:t>
      </w:r>
    </w:p>
    <w:p w14:paraId="0E33BAAE">
      <w:pPr>
        <w:pStyle w:val="33"/>
        <w:rPr>
          <w:rFonts w:hint="eastAsia" w:ascii="宋体" w:hAnsi="宋体" w:eastAsia="宋体" w:cs="宋体"/>
          <w:szCs w:val="20"/>
        </w:rPr>
      </w:pPr>
      <w:r>
        <w:rPr>
          <w:rFonts w:hint="eastAsia" w:ascii="宋体" w:hAnsi="宋体" w:eastAsia="宋体" w:cs="宋体"/>
          <w:szCs w:val="20"/>
        </w:rPr>
        <w:t>采用质量平衡法时，化石燃料燃烧产生的二氧化碳直接排放量应按式（8）核算：</w:t>
      </w:r>
    </w:p>
    <w:p w14:paraId="0E33BAAF">
      <w:pPr>
        <w:pStyle w:val="36"/>
        <w:tabs>
          <w:tab w:val="center" w:pos="4678"/>
          <w:tab w:val="right" w:leader="middleDot" w:pos="9356"/>
        </w:tabs>
        <w:rPr>
          <w:rFonts w:hint="eastAsia" w:hAnsi="宋体" w:cstheme="minorBidi"/>
          <w:szCs w:val="24"/>
        </w:rPr>
      </w:pPr>
      <w:r>
        <w:rPr>
          <w:rFonts w:hint="eastAsia" w:ascii="宋体" w:hAnsi="宋体" w:eastAsiaTheme="minorEastAsia" w:cstheme="minorBidi"/>
          <w:szCs w:val="24"/>
        </w:rPr>
        <w:tab/>
      </w:r>
      <m:oMath>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eastAsia" w:ascii="Cambria Math" w:hAnsi="Cambria Math"/>
                <w:szCs w:val="24"/>
              </w:rPr>
              <m:t>1</m:t>
            </m:r>
            <m:ctrlPr>
              <w:rPr>
                <w:rFonts w:hint="eastAsia" w:ascii="Cambria Math" w:hAnsi="Cambria Math"/>
                <w:i/>
                <w:iCs/>
                <w:szCs w:val="24"/>
              </w:rPr>
            </m:ctrlPr>
          </m:sub>
        </m:sSub>
        <m:r>
          <m:rPr/>
          <w:rPr>
            <w:rFonts w:hint="eastAsia" w:ascii="Cambria Math" w:hAnsi="Cambria Math"/>
            <w:szCs w:val="24"/>
          </w:rPr>
          <m:t>=</m:t>
        </m:r>
        <m:sSup>
          <m:sSupPr>
            <m:ctrlPr>
              <w:rPr>
                <w:rFonts w:hint="eastAsia" w:ascii="Cambria Math" w:hAnsi="Cambria Math"/>
                <w:i/>
                <w:iCs/>
                <w:szCs w:val="24"/>
              </w:rPr>
            </m:ctrlPr>
          </m:sSupPr>
          <m:e>
            <m:r>
              <m:rPr/>
              <w:rPr>
                <w:rFonts w:hint="eastAsia" w:ascii="Cambria Math" w:hAnsi="Cambria Math"/>
                <w:szCs w:val="24"/>
              </w:rPr>
              <m:t>10</m:t>
            </m:r>
            <m:ctrlPr>
              <w:rPr>
                <w:rFonts w:hint="eastAsia" w:ascii="Cambria Math" w:hAnsi="Cambria Math"/>
                <w:i/>
                <w:iCs/>
                <w:szCs w:val="24"/>
              </w:rPr>
            </m:ctrlPr>
          </m:e>
          <m:sup>
            <m:r>
              <m:rPr/>
              <w:rPr>
                <w:rFonts w:hint="eastAsia" w:ascii="Cambria Math" w:hAnsi="Cambria Math"/>
                <w:szCs w:val="24"/>
              </w:rPr>
              <m:t>3</m:t>
            </m:r>
            <m:ctrlPr>
              <w:rPr>
                <w:rFonts w:hint="eastAsia" w:ascii="Cambria Math" w:hAnsi="Cambria Math"/>
                <w:i/>
                <w:iCs/>
                <w:szCs w:val="24"/>
              </w:rPr>
            </m:ctrlPr>
          </m:sup>
        </m:sSup>
        <m:nary>
          <m:naryPr>
            <m:chr m:val="∑"/>
            <m:limLoc m:val="undOvr"/>
            <m:ctrlPr>
              <w:rPr>
                <w:rFonts w:hint="eastAsia" w:ascii="Cambria Math" w:hAnsi="Cambria Math"/>
                <w:i/>
                <w:iCs/>
                <w:szCs w:val="24"/>
              </w:rPr>
            </m:ctrlPr>
          </m:naryPr>
          <m:sub>
            <m:r>
              <m:rPr/>
              <w:rPr>
                <w:rFonts w:hint="default" w:ascii="Cambria Math" w:hAnsi="Cambria Math"/>
                <w:szCs w:val="24"/>
              </w:rPr>
              <m:t>i=1</m:t>
            </m:r>
            <m:ctrlPr>
              <w:rPr>
                <w:rFonts w:hint="eastAsia" w:ascii="Cambria Math" w:hAnsi="Cambria Math"/>
                <w:i/>
                <w:iCs/>
                <w:szCs w:val="24"/>
              </w:rPr>
            </m:ctrlPr>
          </m:sub>
          <m:sup>
            <m:r>
              <m:rPr/>
              <w:rPr>
                <w:rFonts w:hint="default" w:ascii="Cambria Math" w:hAnsi="Cambria Math"/>
                <w:szCs w:val="24"/>
              </w:rPr>
              <m:t>n</m:t>
            </m:r>
            <m:ctrlPr>
              <w:rPr>
                <w:rFonts w:hint="eastAsia" w:ascii="Cambria Math" w:hAnsi="Cambria Math"/>
                <w:i/>
                <w:iCs/>
                <w:szCs w:val="24"/>
              </w:rPr>
            </m:ctrlPr>
          </m:sup>
          <m:e>
            <m:d>
              <m:dPr>
                <m:ctrlPr>
                  <w:rPr>
                    <w:rFonts w:hint="eastAsia" w:ascii="Cambria Math" w:hAnsi="Cambria Math"/>
                    <w:i/>
                    <w:iCs/>
                    <w:szCs w:val="24"/>
                  </w:rPr>
                </m:ctrlPr>
              </m:dPr>
              <m:e>
                <m:sSub>
                  <m:sSubPr>
                    <m:ctrlPr>
                      <w:rPr>
                        <w:rFonts w:hint="eastAsia" w:ascii="Cambria Math" w:hAnsi="Cambria Math"/>
                        <w:i/>
                        <w:iCs/>
                        <w:szCs w:val="24"/>
                      </w:rPr>
                    </m:ctrlPr>
                  </m:sSubPr>
                  <m:e>
                    <m:r>
                      <m:rPr/>
                      <w:rPr>
                        <w:rFonts w:hint="default" w:ascii="Cambria Math" w:hAnsi="Cambria Math"/>
                        <w:szCs w:val="24"/>
                      </w:rPr>
                      <m:t>Q</m:t>
                    </m:r>
                    <m:ctrlPr>
                      <w:rPr>
                        <w:rFonts w:hint="eastAsia" w:ascii="Cambria Math" w:hAnsi="Cambria Math"/>
                        <w:i/>
                        <w:iCs/>
                        <w:szCs w:val="24"/>
                      </w:rPr>
                    </m:ctrlPr>
                  </m:e>
                  <m:sub>
                    <m:r>
                      <m:rPr/>
                      <w:rPr>
                        <w:rFonts w:hint="default" w:ascii="Cambria Math" w:hAnsi="Cambria Math"/>
                        <w:szCs w:val="24"/>
                      </w:rPr>
                      <m:t>i</m:t>
                    </m:r>
                    <m:ctrlPr>
                      <w:rPr>
                        <w:rFonts w:hint="eastAsia" w:ascii="Cambria Math" w:hAnsi="Cambria Math"/>
                        <w:i/>
                        <w:iCs/>
                        <w:szCs w:val="24"/>
                      </w:rPr>
                    </m:ctrlPr>
                  </m:sub>
                </m:sSub>
                <m:r>
                  <m:rPr/>
                  <w:rPr>
                    <w:rFonts w:hint="default" w:ascii="Cambria Math" w:hAnsi="Cambria Math"/>
                    <w:szCs w:val="24"/>
                  </w:rPr>
                  <m:t>H</m:t>
                </m:r>
                <m:sSub>
                  <m:sSubPr>
                    <m:ctrlPr>
                      <w:rPr>
                        <w:rFonts w:hint="eastAsia" w:ascii="Cambria Math" w:hAnsi="Cambria Math"/>
                        <w:i/>
                        <w:iCs/>
                        <w:szCs w:val="24"/>
                      </w:rPr>
                    </m:ctrlPr>
                  </m:sSubPr>
                  <m:e>
                    <m:r>
                      <m:rPr/>
                      <w:rPr>
                        <w:rFonts w:hint="default" w:ascii="Cambria Math" w:hAnsi="Cambria Math"/>
                        <w:szCs w:val="24"/>
                      </w:rPr>
                      <m:t>V</m:t>
                    </m:r>
                    <m:ctrlPr>
                      <w:rPr>
                        <w:rFonts w:hint="eastAsia" w:ascii="Cambria Math" w:hAnsi="Cambria Math"/>
                        <w:i/>
                        <w:iCs/>
                        <w:szCs w:val="24"/>
                      </w:rPr>
                    </m:ctrlPr>
                  </m:e>
                  <m:sub>
                    <m:r>
                      <m:rPr/>
                      <w:rPr>
                        <w:rFonts w:hint="default" w:ascii="Cambria Math" w:hAnsi="Cambria Math"/>
                        <w:szCs w:val="24"/>
                      </w:rPr>
                      <m:t>i</m:t>
                    </m:r>
                    <m:ctrlPr>
                      <w:rPr>
                        <w:rFonts w:hint="eastAsia" w:ascii="Cambria Math" w:hAnsi="Cambria Math"/>
                        <w:i/>
                        <w:iCs/>
                        <w:szCs w:val="24"/>
                      </w:rPr>
                    </m:ctrlPr>
                  </m:sub>
                </m:sSub>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default" w:ascii="Cambria Math" w:hAnsi="Cambria Math"/>
                        <w:szCs w:val="24"/>
                      </w:rPr>
                      <m:t>ar,i</m:t>
                    </m:r>
                    <m:ctrlPr>
                      <w:rPr>
                        <w:rFonts w:hint="eastAsia" w:ascii="Cambria Math" w:hAnsi="Cambria Math"/>
                        <w:i/>
                        <w:iCs/>
                        <w:szCs w:val="24"/>
                      </w:rPr>
                    </m:ctrlPr>
                  </m:sub>
                </m:sSub>
                <m:r>
                  <m:rPr/>
                  <w:rPr>
                    <w:rFonts w:hint="default" w:ascii="Cambria Math" w:hAnsi="Cambria Math"/>
                    <w:szCs w:val="24"/>
                  </w:rPr>
                  <m:t>O</m:t>
                </m:r>
                <m:sSub>
                  <m:sSubPr>
                    <m:ctrlPr>
                      <w:rPr>
                        <w:rFonts w:hint="eastAsia" w:ascii="Cambria Math" w:hAnsi="Cambria Math"/>
                        <w:i/>
                        <w:iCs/>
                        <w:szCs w:val="24"/>
                      </w:rPr>
                    </m:ctrlPr>
                  </m:sSubPr>
                  <m:e>
                    <m:r>
                      <m:rPr/>
                      <w:rPr>
                        <w:rFonts w:hint="default" w:ascii="Cambria Math" w:hAnsi="Cambria Math"/>
                        <w:szCs w:val="24"/>
                      </w:rPr>
                      <m:t>F</m:t>
                    </m:r>
                    <m:ctrlPr>
                      <w:rPr>
                        <w:rFonts w:hint="eastAsia" w:ascii="Cambria Math" w:hAnsi="Cambria Math"/>
                        <w:i/>
                        <w:iCs/>
                        <w:szCs w:val="24"/>
                      </w:rPr>
                    </m:ctrlPr>
                  </m:e>
                  <m:sub>
                    <m:r>
                      <m:rPr/>
                      <w:rPr>
                        <w:rFonts w:hint="default" w:ascii="Cambria Math" w:hAnsi="Cambria Math"/>
                        <w:szCs w:val="24"/>
                      </w:rPr>
                      <m:t>i</m:t>
                    </m:r>
                    <m:ctrlPr>
                      <w:rPr>
                        <w:rFonts w:hint="eastAsia" w:ascii="Cambria Math" w:hAnsi="Cambria Math"/>
                        <w:i/>
                        <w:iCs/>
                        <w:szCs w:val="24"/>
                      </w:rPr>
                    </m:ctrlPr>
                  </m:sub>
                </m:sSub>
                <m:f>
                  <m:fPr>
                    <m:ctrlPr>
                      <w:rPr>
                        <w:rFonts w:hint="eastAsia" w:ascii="Cambria Math" w:hAnsi="Cambria Math"/>
                        <w:i/>
                        <w:iCs/>
                        <w:szCs w:val="24"/>
                      </w:rPr>
                    </m:ctrlPr>
                  </m:fPr>
                  <m:num>
                    <m:r>
                      <m:rPr/>
                      <w:rPr>
                        <w:rFonts w:hint="eastAsia" w:ascii="Cambria Math" w:hAnsi="Cambria Math"/>
                        <w:szCs w:val="24"/>
                      </w:rPr>
                      <m:t>44</m:t>
                    </m:r>
                    <m:ctrlPr>
                      <w:rPr>
                        <w:rFonts w:hint="eastAsia" w:ascii="Cambria Math" w:hAnsi="Cambria Math"/>
                        <w:i/>
                        <w:iCs/>
                        <w:szCs w:val="24"/>
                      </w:rPr>
                    </m:ctrlPr>
                  </m:num>
                  <m:den>
                    <m:r>
                      <m:rPr/>
                      <w:rPr>
                        <w:rFonts w:hint="eastAsia" w:ascii="Cambria Math" w:hAnsi="Cambria Math"/>
                        <w:szCs w:val="24"/>
                      </w:rPr>
                      <m:t>12</m:t>
                    </m:r>
                    <m:ctrlPr>
                      <w:rPr>
                        <w:rFonts w:hint="eastAsia" w:ascii="Cambria Math" w:hAnsi="Cambria Math"/>
                        <w:i/>
                        <w:iCs/>
                        <w:szCs w:val="24"/>
                      </w:rPr>
                    </m:ctrlPr>
                  </m:den>
                </m:f>
                <m:ctrlPr>
                  <w:rPr>
                    <w:rFonts w:hint="eastAsia" w:ascii="Cambria Math" w:hAnsi="Cambria Math"/>
                    <w:i/>
                    <w:iCs/>
                    <w:szCs w:val="24"/>
                  </w:rPr>
                </m:ctrlPr>
              </m:e>
            </m:d>
            <m:ctrlPr>
              <w:rPr>
                <w:rFonts w:hint="eastAsia" w:ascii="Cambria Math" w:hAnsi="Cambria Math"/>
                <w:i/>
                <w:iCs/>
                <w:szCs w:val="24"/>
              </w:rPr>
            </m:ctrlPr>
          </m:e>
        </m:nary>
      </m:oMath>
      <w:r>
        <w:rPr>
          <w:rFonts w:hint="eastAsia" w:ascii="宋体" w:hAnsi="宋体" w:eastAsiaTheme="minorEastAsia" w:cstheme="minorBidi"/>
          <w:szCs w:val="24"/>
        </w:rPr>
        <w:tab/>
      </w:r>
      <w:r>
        <w:rPr>
          <w:rFonts w:hint="eastAsia" w:ascii="宋体" w:hAnsi="宋体" w:eastAsiaTheme="minorEastAsia" w:cstheme="minorBidi"/>
          <w:szCs w:val="24"/>
        </w:rPr>
        <w:t>(8)</w:t>
      </w:r>
    </w:p>
    <w:p w14:paraId="22A03023">
      <w:pPr>
        <w:pStyle w:val="37"/>
        <w:tabs>
          <w:tab w:val="center" w:pos="4678"/>
          <w:tab w:val="right" w:pos="9356"/>
        </w:tabs>
        <w:rPr>
          <w:rFonts w:hint="eastAsia"/>
          <w:szCs w:val="21"/>
        </w:rPr>
      </w:pPr>
      <w:r>
        <w:rPr>
          <w:rFonts w:hint="eastAsia" w:ascii="宋体"/>
          <w:szCs w:val="24"/>
          <w:lang w:val="en-US" w:eastAsia="zh-CN"/>
        </w:rPr>
        <w:t>式中：</w:t>
      </w:r>
    </w:p>
    <w:p w14:paraId="0E33BAB0">
      <w:pPr>
        <w:pStyle w:val="37"/>
        <w:ind w:firstLineChars="200"/>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1</m:t>
            </m:r>
            <m:ctrlPr>
              <w:rPr>
                <w:rFonts w:hint="eastAsia" w:ascii="Cambria Math" w:hAnsi="Cambria Math"/>
                <w:szCs w:val="24"/>
              </w:rPr>
            </m:ctrlPr>
          </m:sub>
        </m:sSub>
      </m:oMath>
      <w:r>
        <w:rPr>
          <w:rFonts w:hint="eastAsia" w:ascii="宋体" w:hAnsiTheme="minorHAnsi" w:eastAsiaTheme="minorEastAsia" w:cstheme="minorBidi"/>
          <w:szCs w:val="24"/>
        </w:rPr>
        <w:t>——生产过程中化石燃料燃烧产生的直接二氧化碳排放量，单位为千克二氧化碳（kgCO₂）；</w:t>
      </w:r>
    </w:p>
    <w:p w14:paraId="0E33BAB1">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Q</m:t>
            </m:r>
            <m:ctrlPr>
              <w:rPr>
                <w:rFonts w:hint="eastAsia" w:ascii="Cambria Math" w:hAnsi="Cambria Math"/>
                <w:szCs w:val="24"/>
              </w:rPr>
            </m:ctrlPr>
          </m:e>
          <m:sub>
            <m:r>
              <m:rPr>
                <m:sty m:val="p"/>
              </m:rPr>
              <w:rPr>
                <w:rFonts w:hint="eastAsia" w:ascii="Cambria Math" w:hAnsi="Cambria Math"/>
                <w:szCs w:val="24"/>
              </w:rPr>
              <m:t>i</m:t>
            </m:r>
            <m:ctrlPr>
              <w:rPr>
                <w:rFonts w:hint="eastAsia" w:ascii="Cambria Math" w:hAnsi="Cambria Math"/>
                <w:szCs w:val="24"/>
              </w:rPr>
            </m:ctrlPr>
          </m:sub>
        </m:sSub>
      </m:oMath>
      <w:r>
        <w:rPr>
          <w:rFonts w:hint="eastAsia" w:ascii="宋体" w:hAnsiTheme="minorHAnsi" w:eastAsiaTheme="minorEastAsia" w:cstheme="minorBidi"/>
          <w:szCs w:val="24"/>
        </w:rPr>
        <w:t>——第i种化石燃料的消耗量，i=1，2，…，n，n为化石燃料种类总数；计量单位应与相应平均低位发热量的分母单位一致；</w:t>
      </w:r>
    </w:p>
    <w:p w14:paraId="0E33BAB2">
      <w:pPr>
        <w:pStyle w:val="37"/>
        <w:rPr>
          <w:rFonts w:hint="eastAsia" w:ascii="宋体" w:hAnsiTheme="minorHAnsi" w:cstheme="minorBidi"/>
          <w:szCs w:val="24"/>
        </w:rPr>
      </w:pPr>
      <m:oMath>
        <m:r>
          <m:rPr>
            <m:sty m:val="p"/>
          </m:rPr>
          <w:rPr>
            <w:rFonts w:hint="eastAsia" w:ascii="Cambria Math" w:hAnsi="Cambria Math"/>
            <w:szCs w:val="24"/>
          </w:rPr>
          <m:t>H</m:t>
        </m:r>
        <m:sSub>
          <m:sSubPr>
            <m:ctrlPr>
              <w:rPr>
                <w:rFonts w:hint="eastAsia" w:ascii="Cambria Math" w:hAnsi="Cambria Math"/>
                <w:szCs w:val="24"/>
              </w:rPr>
            </m:ctrlPr>
          </m:sSubPr>
          <m:e>
            <m:r>
              <m:rPr>
                <m:sty m:val="p"/>
              </m:rPr>
              <w:rPr>
                <w:rFonts w:hint="eastAsia" w:ascii="Cambria Math" w:hAnsi="Cambria Math"/>
                <w:szCs w:val="24"/>
              </w:rPr>
              <m:t>V</m:t>
            </m:r>
            <m:ctrlPr>
              <w:rPr>
                <w:rFonts w:hint="eastAsia" w:ascii="Cambria Math" w:hAnsi="Cambria Math"/>
                <w:szCs w:val="24"/>
              </w:rPr>
            </m:ctrlPr>
          </m:e>
          <m:sub>
            <m:r>
              <m:rPr>
                <m:sty m:val="p"/>
              </m:rPr>
              <w:rPr>
                <w:rFonts w:hint="eastAsia" w:ascii="Cambria Math" w:hAnsi="Cambria Math"/>
                <w:szCs w:val="24"/>
              </w:rPr>
              <m:t>i</m:t>
            </m:r>
            <m:ctrlPr>
              <w:rPr>
                <w:rFonts w:hint="eastAsia" w:ascii="Cambria Math" w:hAnsi="Cambria Math"/>
                <w:szCs w:val="24"/>
              </w:rPr>
            </m:ctrlPr>
          </m:sub>
        </m:sSub>
      </m:oMath>
      <w:r>
        <w:rPr>
          <w:rFonts w:hint="eastAsia" w:ascii="宋体" w:hAnsiTheme="minorHAnsi" w:cstheme="minorBidi"/>
          <w:szCs w:val="24"/>
        </w:rPr>
        <w:t>——第i种化石燃料的平均低位发热量，单位为吉焦每吨（GJ/t）或吉焦每万标准立方米［GJ/(10⁴Nm³)］；</w:t>
      </w:r>
    </w:p>
    <w:p w14:paraId="0E33BAB3">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ar,i</m:t>
            </m:r>
            <m:ctrlPr>
              <w:rPr>
                <w:rFonts w:hint="eastAsia" w:ascii="Cambria Math" w:hAnsi="Cambria Math"/>
                <w:szCs w:val="24"/>
              </w:rPr>
            </m:ctrlPr>
          </m:sub>
        </m:sSub>
      </m:oMath>
      <w:r>
        <w:rPr>
          <w:rFonts w:hint="eastAsia" w:ascii="宋体" w:hAnsiTheme="minorHAnsi" w:eastAsiaTheme="minorEastAsia" w:cstheme="minorBidi"/>
          <w:szCs w:val="24"/>
        </w:rPr>
        <w:t>——第i种化石燃料的单位热值含碳量，单位为吨碳每吉焦（tC/GJ）；</w:t>
      </w:r>
    </w:p>
    <w:p w14:paraId="0E33BAB4">
      <w:pPr>
        <w:pStyle w:val="37"/>
        <w:rPr>
          <w:rFonts w:hint="eastAsia" w:ascii="宋体" w:hAnsiTheme="minorHAnsi" w:cstheme="minorBidi"/>
          <w:szCs w:val="24"/>
        </w:rPr>
      </w:pPr>
      <m:oMath>
        <m:r>
          <m:rPr>
            <m:sty m:val="p"/>
          </m:rPr>
          <w:rPr>
            <w:rFonts w:hint="eastAsia" w:ascii="Cambria Math" w:hAnsi="Cambria Math"/>
            <w:szCs w:val="24"/>
          </w:rPr>
          <m:t>O</m:t>
        </m:r>
        <m:sSub>
          <m:sSubPr>
            <m:ctrlPr>
              <w:rPr>
                <w:rFonts w:hint="eastAsia" w:ascii="Cambria Math" w:hAnsi="Cambria Math"/>
                <w:szCs w:val="24"/>
              </w:rPr>
            </m:ctrlPr>
          </m:sSubPr>
          <m:e>
            <m:r>
              <m:rPr>
                <m:sty m:val="p"/>
              </m:rPr>
              <w:rPr>
                <w:rFonts w:hint="eastAsia" w:ascii="Cambria Math" w:hAnsi="Cambria Math"/>
                <w:szCs w:val="24"/>
              </w:rPr>
              <m:t>F</m:t>
            </m:r>
            <m:ctrlPr>
              <w:rPr>
                <w:rFonts w:hint="eastAsia" w:ascii="Cambria Math" w:hAnsi="Cambria Math"/>
                <w:szCs w:val="24"/>
              </w:rPr>
            </m:ctrlPr>
          </m:e>
          <m:sub>
            <m:r>
              <m:rPr>
                <m:sty m:val="p"/>
              </m:rPr>
              <w:rPr>
                <w:rFonts w:hint="eastAsia" w:ascii="Cambria Math" w:hAnsi="Cambria Math"/>
                <w:szCs w:val="24"/>
              </w:rPr>
              <m:t>i</m:t>
            </m:r>
            <m:ctrlPr>
              <w:rPr>
                <w:rFonts w:hint="eastAsia" w:ascii="Cambria Math" w:hAnsi="Cambria Math"/>
                <w:szCs w:val="24"/>
              </w:rPr>
            </m:ctrlPr>
          </m:sub>
        </m:sSub>
      </m:oMath>
      <w:r>
        <w:rPr>
          <w:rFonts w:hint="eastAsia" w:ascii="宋体" w:hAnsiTheme="minorHAnsi" w:eastAsiaTheme="minorEastAsia" w:cstheme="minorBidi"/>
          <w:szCs w:val="24"/>
        </w:rPr>
        <w:t>——第i种化石燃料的碳氧化率，以小数表示；</w:t>
      </w:r>
    </w:p>
    <w:p w14:paraId="0E33BAB5">
      <w:pPr>
        <w:pStyle w:val="37"/>
        <w:rPr>
          <w:rFonts w:hint="eastAsia" w:ascii="宋体" w:hAnsiTheme="minorHAnsi" w:cstheme="minorBidi"/>
          <w:szCs w:val="24"/>
        </w:rPr>
      </w:pPr>
      <m:oMath>
        <m:f>
          <m:fPr>
            <m:ctrlPr>
              <w:rPr>
                <w:rFonts w:hint="eastAsia" w:ascii="Cambria Math" w:hAnsi="Cambria Math"/>
                <w:szCs w:val="24"/>
              </w:rPr>
            </m:ctrlPr>
          </m:fPr>
          <m:num>
            <m:r>
              <m:rPr>
                <m:sty m:val="p"/>
              </m:rPr>
              <w:rPr>
                <w:rFonts w:hint="eastAsia" w:ascii="Cambria Math" w:hAnsi="Cambria Math"/>
                <w:szCs w:val="24"/>
              </w:rPr>
              <m:t>44</m:t>
            </m:r>
            <m:ctrlPr>
              <w:rPr>
                <w:rFonts w:hint="eastAsia" w:ascii="Cambria Math" w:hAnsi="Cambria Math"/>
                <w:szCs w:val="24"/>
              </w:rPr>
            </m:ctrlPr>
          </m:num>
          <m:den>
            <m:r>
              <m:rPr>
                <m:sty m:val="p"/>
              </m:rPr>
              <w:rPr>
                <w:rFonts w:hint="eastAsia" w:ascii="Cambria Math" w:hAnsi="Cambria Math"/>
                <w:szCs w:val="24"/>
              </w:rPr>
              <m:t>12</m:t>
            </m:r>
            <m:ctrlPr>
              <w:rPr>
                <w:rFonts w:hint="eastAsia" w:ascii="Cambria Math" w:hAnsi="Cambria Math"/>
                <w:szCs w:val="24"/>
              </w:rPr>
            </m:ctrlPr>
          </m:den>
        </m:f>
      </m:oMath>
      <w:r>
        <w:rPr>
          <w:rFonts w:hint="eastAsia" w:ascii="宋体" w:hAnsiTheme="minorHAnsi" w:eastAsiaTheme="minorEastAsia" w:cstheme="minorBidi"/>
          <w:szCs w:val="24"/>
        </w:rPr>
        <w:t>——二氧化碳与碳的相对分子质量比；式中的10³为吨与千克之间的换算系数。</w:t>
      </w:r>
    </w:p>
    <w:p w14:paraId="0E33BAB7">
      <w:pPr>
        <w:pStyle w:val="33"/>
        <w:rPr>
          <w:rFonts w:hint="eastAsia" w:ascii="宋体" w:hAnsi="宋体" w:eastAsia="宋体" w:cs="宋体"/>
          <w:szCs w:val="20"/>
        </w:rPr>
      </w:pPr>
      <w:r>
        <w:rPr>
          <w:rFonts w:hint="eastAsia" w:ascii="宋体" w:hAnsi="宋体" w:eastAsia="宋体" w:cs="宋体"/>
          <w:szCs w:val="20"/>
        </w:rPr>
        <w:t>采用排放因子法时，外购电力、外购热力、外部供水及委托废水处理产生的二氧化碳间接排放量应按式（9）核算：</w:t>
      </w:r>
    </w:p>
    <w:p w14:paraId="0E33BAB8">
      <w:pPr>
        <w:pStyle w:val="36"/>
        <w:tabs>
          <w:tab w:val="center" w:pos="4678"/>
          <w:tab w:val="right" w:leader="middleDot" w:pos="9356"/>
        </w:tabs>
        <w:rPr>
          <w:rFonts w:hint="eastAsia" w:hAnsi="宋体" w:cstheme="minorBidi"/>
          <w:szCs w:val="24"/>
        </w:rPr>
      </w:pPr>
      <w:r>
        <w:rPr>
          <w:rFonts w:hint="eastAsia" w:ascii="宋体" w:hAnsi="宋体" w:eastAsiaTheme="minorEastAsia" w:cstheme="minorBidi"/>
          <w:szCs w:val="24"/>
        </w:rPr>
        <w:tab/>
      </w:r>
      <m:oMath>
        <m:sSub>
          <m:sSubPr>
            <m:ctrlPr>
              <w:rPr>
                <w:rFonts w:hint="eastAsia" w:ascii="Cambria Math" w:hAnsi="Cambria Math"/>
                <w:i w:val="0"/>
                <w:iCs w:val="0"/>
                <w:szCs w:val="24"/>
              </w:rPr>
            </m:ctrlPr>
          </m:sSubPr>
          <m:e>
            <m:r>
              <m:rPr>
                <m:sty m:val="p"/>
              </m:rPr>
              <w:rPr>
                <w:rFonts w:hint="default" w:ascii="Cambria Math" w:hAnsi="Cambria Math"/>
                <w:szCs w:val="24"/>
              </w:rPr>
              <m:t>C</m:t>
            </m:r>
            <m:ctrlPr>
              <w:rPr>
                <w:rFonts w:hint="eastAsia" w:ascii="Cambria Math" w:hAnsi="Cambria Math"/>
                <w:i w:val="0"/>
                <w:iCs w:val="0"/>
                <w:szCs w:val="24"/>
              </w:rPr>
            </m:ctrlPr>
          </m:e>
          <m:sub>
            <m:r>
              <m:rPr>
                <m:sty m:val="p"/>
              </m:rPr>
              <w:rPr>
                <w:rFonts w:hint="eastAsia" w:ascii="Cambria Math" w:hAnsi="Cambria Math"/>
                <w:szCs w:val="24"/>
              </w:rPr>
              <m:t>2</m:t>
            </m:r>
            <m:ctrlPr>
              <w:rPr>
                <w:rFonts w:hint="eastAsia" w:ascii="Cambria Math" w:hAnsi="Cambria Math"/>
                <w:i w:val="0"/>
                <w:iCs w:val="0"/>
                <w:szCs w:val="24"/>
              </w:rPr>
            </m:ctrlPr>
          </m:sub>
        </m:sSub>
        <m:r>
          <m:rPr>
            <m:sty m:val="p"/>
          </m:rPr>
          <w:rPr>
            <w:rFonts w:hint="eastAsia" w:ascii="Cambria Math" w:hAnsi="Cambria Math"/>
            <w:szCs w:val="24"/>
          </w:rPr>
          <m:t>=</m:t>
        </m:r>
        <m:nary>
          <m:naryPr>
            <m:chr m:val="∑"/>
            <m:limLoc m:val="undOvr"/>
            <m:ctrlPr>
              <w:rPr>
                <w:rFonts w:hint="eastAsia" w:ascii="Cambria Math" w:hAnsi="Cambria Math"/>
                <w:szCs w:val="24"/>
              </w:rPr>
            </m:ctrlPr>
          </m:naryPr>
          <m:sub>
            <m:r>
              <m:rPr>
                <m:sty m:val="p"/>
              </m:rPr>
              <w:rPr>
                <w:rFonts w:hint="eastAsia" w:ascii="Cambria Math" w:hAnsi="Cambria Math"/>
                <w:szCs w:val="24"/>
              </w:rPr>
              <m:t>i=1</m:t>
            </m:r>
            <m:ctrlPr>
              <w:rPr>
                <w:rFonts w:hint="eastAsia" w:ascii="Cambria Math" w:hAnsi="Cambria Math"/>
                <w:szCs w:val="24"/>
              </w:rPr>
            </m:ctrlPr>
          </m:sub>
          <m:sup>
            <m:r>
              <m:rPr>
                <m:sty m:val="p"/>
              </m:rPr>
              <w:rPr>
                <w:rFonts w:hint="eastAsia" w:ascii="Cambria Math" w:hAnsi="Cambria Math"/>
                <w:szCs w:val="24"/>
              </w:rPr>
              <m:t>n</m:t>
            </m:r>
            <m:ctrlPr>
              <w:rPr>
                <w:rFonts w:hint="eastAsia" w:ascii="Cambria Math" w:hAnsi="Cambria Math"/>
                <w:szCs w:val="24"/>
              </w:rPr>
            </m:ctrlPr>
          </m:sup>
          <m:e>
            <m:sSub>
              <m:sSubPr>
                <m:ctrlPr>
                  <w:rPr>
                    <w:rFonts w:hint="eastAsia" w:ascii="Cambria Math" w:hAnsi="Cambria Math"/>
                    <w:szCs w:val="24"/>
                  </w:rPr>
                </m:ctrlPr>
              </m:sSubPr>
              <m:e>
                <m:r>
                  <m:rPr>
                    <m:sty m:val="p"/>
                  </m:rPr>
                  <w:rPr>
                    <w:rFonts w:hint="eastAsia" w:ascii="Cambria Math" w:hAnsi="Cambria Math"/>
                    <w:szCs w:val="24"/>
                  </w:rPr>
                  <m:t>Q</m:t>
                </m:r>
                <m:ctrlPr>
                  <w:rPr>
                    <w:rFonts w:hint="eastAsia" w:ascii="Cambria Math" w:hAnsi="Cambria Math"/>
                    <w:szCs w:val="24"/>
                  </w:rPr>
                </m:ctrlPr>
              </m:e>
              <m:sub>
                <m:r>
                  <m:rPr>
                    <m:sty m:val="p"/>
                  </m:rPr>
                  <w:rPr>
                    <w:rFonts w:hint="eastAsia" w:ascii="Cambria Math" w:hAnsi="Cambria Math"/>
                    <w:szCs w:val="24"/>
                  </w:rPr>
                  <m:t>i</m:t>
                </m:r>
                <m:ctrlPr>
                  <w:rPr>
                    <w:rFonts w:hint="eastAsia" w:ascii="Cambria Math" w:hAnsi="Cambria Math"/>
                    <w:szCs w:val="24"/>
                  </w:rPr>
                </m:ctrlPr>
              </m:sub>
            </m:sSub>
            <m:ctrlPr>
              <w:rPr>
                <w:rFonts w:hint="eastAsia" w:ascii="Cambria Math" w:hAnsi="Cambria Math"/>
                <w:szCs w:val="24"/>
              </w:rPr>
            </m:ctrlPr>
          </m:e>
        </m:nary>
        <m:r>
          <m:rPr>
            <m:sty m:val="p"/>
          </m:rPr>
          <w:rPr>
            <w:rFonts w:hint="eastAsia" w:ascii="Cambria Math" w:hAnsi="Cambria Math"/>
            <w:szCs w:val="24"/>
          </w:rPr>
          <m:t>E</m:t>
        </m:r>
        <m:sSub>
          <m:sSubPr>
            <m:ctrlPr>
              <w:rPr>
                <w:rFonts w:hint="eastAsia" w:ascii="Cambria Math" w:hAnsi="Cambria Math"/>
                <w:szCs w:val="24"/>
              </w:rPr>
            </m:ctrlPr>
          </m:sSubPr>
          <m:e>
            <m:r>
              <m:rPr>
                <m:sty m:val="p"/>
              </m:rPr>
              <w:rPr>
                <w:rFonts w:hint="eastAsia" w:ascii="Cambria Math" w:hAnsi="Cambria Math"/>
                <w:szCs w:val="24"/>
              </w:rPr>
              <m:t>F</m:t>
            </m:r>
            <m:ctrlPr>
              <w:rPr>
                <w:rFonts w:hint="eastAsia" w:ascii="Cambria Math" w:hAnsi="Cambria Math"/>
                <w:szCs w:val="24"/>
              </w:rPr>
            </m:ctrlPr>
          </m:e>
          <m:sub>
            <m:r>
              <m:rPr>
                <m:sty m:val="p"/>
              </m:rPr>
              <w:rPr>
                <w:rFonts w:hint="eastAsia" w:ascii="Cambria Math" w:hAnsi="Cambria Math"/>
                <w:szCs w:val="24"/>
              </w:rPr>
              <m:t>i</m:t>
            </m:r>
            <m:ctrlPr>
              <w:rPr>
                <w:rFonts w:hint="eastAsia" w:ascii="Cambria Math" w:hAnsi="Cambria Math"/>
                <w:szCs w:val="24"/>
              </w:rPr>
            </m:ctrlPr>
          </m:sub>
        </m:sSub>
      </m:oMath>
      <w:r>
        <w:rPr>
          <w:rFonts w:hint="eastAsia" w:ascii="宋体" w:hAnsi="宋体" w:eastAsiaTheme="minorEastAsia" w:cstheme="minorBidi"/>
          <w:szCs w:val="24"/>
        </w:rPr>
        <w:tab/>
      </w:r>
      <w:r>
        <w:rPr>
          <w:rFonts w:hint="eastAsia" w:ascii="宋体" w:hAnsi="宋体" w:eastAsiaTheme="minorEastAsia" w:cstheme="minorBidi"/>
          <w:szCs w:val="24"/>
        </w:rPr>
        <w:t>(9)</w:t>
      </w:r>
    </w:p>
    <w:p w14:paraId="4A90C672">
      <w:pPr>
        <w:pStyle w:val="37"/>
        <w:tabs>
          <w:tab w:val="center" w:pos="4678"/>
          <w:tab w:val="right" w:pos="9356"/>
        </w:tabs>
        <w:rPr>
          <w:rFonts w:hint="eastAsia"/>
          <w:szCs w:val="21"/>
        </w:rPr>
      </w:pPr>
      <w:r>
        <w:rPr>
          <w:rFonts w:hint="eastAsia" w:ascii="宋体"/>
          <w:szCs w:val="24"/>
          <w:lang w:val="en-US" w:eastAsia="zh-CN"/>
        </w:rPr>
        <w:t>式中：</w:t>
      </w:r>
    </w:p>
    <w:p w14:paraId="0E33BAB9">
      <w:pPr>
        <w:pStyle w:val="37"/>
        <w:ind w:firstLineChars="200"/>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2</m:t>
            </m:r>
            <m:ctrlPr>
              <w:rPr>
                <w:rFonts w:hint="eastAsia" w:ascii="Cambria Math" w:hAnsi="Cambria Math"/>
                <w:szCs w:val="24"/>
              </w:rPr>
            </m:ctrlPr>
          </m:sub>
        </m:sSub>
      </m:oMath>
      <w:r>
        <w:rPr>
          <w:rFonts w:hint="eastAsia" w:ascii="宋体" w:hAnsiTheme="minorHAnsi" w:eastAsiaTheme="minorEastAsia" w:cstheme="minorBidi"/>
          <w:szCs w:val="24"/>
        </w:rPr>
        <w:t>——生产过程中外购生产能源（包括外购电力、外购热力、外部供水和委托废水处理）产生的间接二氧化碳排放量，单位为千克二氧化碳（kgCO</w:t>
      </w:r>
      <w:r>
        <w:rPr>
          <w:rFonts w:hint="default" w:ascii="Times New Roman" w:hAnsi="Times New Roman" w:cs="Times New Roman" w:eastAsiaTheme="minorEastAsia"/>
          <w:szCs w:val="24"/>
        </w:rPr>
        <w:t>₂</w:t>
      </w:r>
      <w:r>
        <w:rPr>
          <w:rFonts w:hint="eastAsia" w:ascii="宋体" w:hAnsiTheme="minorHAnsi" w:eastAsiaTheme="minorEastAsia" w:cstheme="minorBidi"/>
          <w:szCs w:val="24"/>
        </w:rPr>
        <w:t>）；</w:t>
      </w:r>
    </w:p>
    <w:p w14:paraId="0E33BABA">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Q</m:t>
            </m:r>
            <m:ctrlPr>
              <w:rPr>
                <w:rFonts w:hint="eastAsia" w:ascii="Cambria Math" w:hAnsi="Cambria Math"/>
                <w:szCs w:val="24"/>
              </w:rPr>
            </m:ctrlPr>
          </m:e>
          <m:sub>
            <m:r>
              <m:rPr>
                <m:sty m:val="p"/>
              </m:rPr>
              <w:rPr>
                <w:rFonts w:hint="eastAsia" w:ascii="Cambria Math" w:hAnsi="Cambria Math"/>
                <w:szCs w:val="24"/>
              </w:rPr>
              <m:t>i</m:t>
            </m:r>
            <m:ctrlPr>
              <w:rPr>
                <w:rFonts w:hint="eastAsia" w:ascii="Cambria Math" w:hAnsi="Cambria Math"/>
                <w:szCs w:val="24"/>
              </w:rPr>
            </m:ctrlPr>
          </m:sub>
        </m:sSub>
      </m:oMath>
      <w:r>
        <w:rPr>
          <w:rFonts w:hint="eastAsia" w:ascii="宋体" w:hAnsiTheme="minorHAnsi" w:eastAsiaTheme="minorEastAsia" w:cstheme="minorBidi"/>
          <w:szCs w:val="24"/>
        </w:rPr>
        <w:t>——第i种外购生产能源项目的活动量，i=1，2，…，n，n为项目种类总数，单位为千瓦时（kWh）、吉焦（GJ）、立方米（m³）等；</w:t>
      </w:r>
    </w:p>
    <w:p w14:paraId="0E33BABB">
      <w:pPr>
        <w:pStyle w:val="37"/>
        <w:rPr>
          <w:rFonts w:hint="eastAsia" w:ascii="宋体" w:hAnsiTheme="minorHAnsi" w:cstheme="minorBidi"/>
          <w:szCs w:val="24"/>
        </w:rPr>
      </w:pPr>
      <m:oMath>
        <m:r>
          <m:rPr>
            <m:sty m:val="p"/>
          </m:rPr>
          <w:rPr>
            <w:rFonts w:hint="eastAsia" w:ascii="Cambria Math" w:hAnsi="Cambria Math"/>
            <w:szCs w:val="24"/>
          </w:rPr>
          <m:t>E</m:t>
        </m:r>
        <m:sSub>
          <m:sSubPr>
            <m:ctrlPr>
              <w:rPr>
                <w:rFonts w:hint="eastAsia" w:ascii="Cambria Math" w:hAnsi="Cambria Math"/>
                <w:szCs w:val="24"/>
              </w:rPr>
            </m:ctrlPr>
          </m:sSubPr>
          <m:e>
            <m:r>
              <m:rPr>
                <m:sty m:val="p"/>
              </m:rPr>
              <w:rPr>
                <w:rFonts w:hint="eastAsia" w:ascii="Cambria Math" w:hAnsi="Cambria Math"/>
                <w:szCs w:val="24"/>
              </w:rPr>
              <m:t>F</m:t>
            </m:r>
            <m:ctrlPr>
              <w:rPr>
                <w:rFonts w:hint="eastAsia" w:ascii="Cambria Math" w:hAnsi="Cambria Math"/>
                <w:szCs w:val="24"/>
              </w:rPr>
            </m:ctrlPr>
          </m:e>
          <m:sub>
            <m:r>
              <m:rPr>
                <m:sty m:val="p"/>
              </m:rPr>
              <w:rPr>
                <w:rFonts w:hint="eastAsia" w:ascii="Cambria Math" w:hAnsi="Cambria Math"/>
                <w:szCs w:val="24"/>
              </w:rPr>
              <m:t>i</m:t>
            </m:r>
            <m:ctrlPr>
              <w:rPr>
                <w:rFonts w:hint="eastAsia" w:ascii="Cambria Math" w:hAnsi="Cambria Math"/>
                <w:szCs w:val="24"/>
              </w:rPr>
            </m:ctrlPr>
          </m:sub>
        </m:sSub>
      </m:oMath>
      <w:r>
        <w:rPr>
          <w:rFonts w:hint="eastAsia" w:ascii="宋体" w:hAnsiTheme="minorHAnsi" w:eastAsiaTheme="minorEastAsia" w:cstheme="minorBidi"/>
          <w:szCs w:val="24"/>
        </w:rPr>
        <w:t>——第i种外购生产能源项目的碳排放因子，单位应与其活动量单位相匹配，并保证各项乘积的结果单位为千克二氧化碳（kgCO₂）。</w:t>
      </w:r>
    </w:p>
    <w:p w14:paraId="0E33BABD">
      <w:pPr>
        <w:pStyle w:val="33"/>
        <w:rPr>
          <w:rFonts w:hint="eastAsia" w:ascii="宋体" w:hAnsi="宋体" w:eastAsia="宋体" w:cs="宋体"/>
          <w:szCs w:val="20"/>
        </w:rPr>
      </w:pPr>
      <w:r>
        <w:rPr>
          <w:rFonts w:hint="eastAsia" w:ascii="宋体" w:hAnsi="宋体" w:eastAsia="宋体" w:cs="宋体"/>
          <w:szCs w:val="20"/>
        </w:rPr>
        <w:t>T梁构件工厂化生产阶段可周转材料产生的二氧化碳排放量可按式（10）核算：</w:t>
      </w:r>
    </w:p>
    <w:p w14:paraId="0E33BABE">
      <w:pPr>
        <w:pStyle w:val="36"/>
        <w:tabs>
          <w:tab w:val="center" w:pos="4678"/>
          <w:tab w:val="right" w:leader="middleDot" w:pos="9356"/>
        </w:tabs>
        <w:rPr>
          <w:rFonts w:hint="eastAsia" w:hAnsi="宋体" w:cstheme="minorBidi"/>
          <w:szCs w:val="24"/>
        </w:rPr>
      </w:pPr>
      <w:r>
        <w:rPr>
          <w:rFonts w:hint="eastAsia" w:ascii="宋体" w:hAnsi="宋体" w:eastAsiaTheme="minorEastAsia" w:cstheme="minorBidi"/>
          <w:szCs w:val="24"/>
        </w:rPr>
        <w:tab/>
      </w:r>
      <m:oMath>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eastAsia" w:ascii="Cambria Math" w:hAnsi="Cambria Math"/>
                <w:szCs w:val="24"/>
              </w:rPr>
              <m:t>3</m:t>
            </m:r>
            <m:ctrlPr>
              <w:rPr>
                <w:rFonts w:hint="eastAsia" w:ascii="Cambria Math" w:hAnsi="Cambria Math"/>
                <w:i/>
                <w:iCs/>
                <w:szCs w:val="24"/>
              </w:rPr>
            </m:ctrlPr>
          </m:sub>
        </m:sSub>
        <m:r>
          <m:rPr/>
          <w:rPr>
            <w:rFonts w:hint="eastAsia" w:ascii="Cambria Math" w:hAnsi="Cambria Math"/>
            <w:szCs w:val="24"/>
          </w:rPr>
          <m:t>=</m:t>
        </m:r>
        <m:nary>
          <m:naryPr>
            <m:chr m:val="∑"/>
            <m:limLoc m:val="undOvr"/>
            <m:ctrlPr>
              <w:rPr>
                <w:rFonts w:hint="eastAsia" w:ascii="Cambria Math" w:hAnsi="Cambria Math"/>
                <w:i/>
                <w:iCs/>
                <w:szCs w:val="24"/>
              </w:rPr>
            </m:ctrlPr>
          </m:naryPr>
          <m:sub>
            <m:r>
              <m:rPr/>
              <w:rPr>
                <w:rFonts w:hint="default" w:ascii="Cambria Math" w:hAnsi="Cambria Math"/>
                <w:szCs w:val="24"/>
              </w:rPr>
              <m:t>f=1</m:t>
            </m:r>
            <m:ctrlPr>
              <w:rPr>
                <w:rFonts w:hint="eastAsia" w:ascii="Cambria Math" w:hAnsi="Cambria Math"/>
                <w:i/>
                <w:iCs/>
                <w:szCs w:val="24"/>
              </w:rPr>
            </m:ctrlPr>
          </m:sub>
          <m:sup>
            <m:r>
              <m:rPr/>
              <w:rPr>
                <w:rFonts w:hint="default" w:ascii="Cambria Math" w:hAnsi="Cambria Math"/>
                <w:szCs w:val="24"/>
              </w:rPr>
              <m:t>n</m:t>
            </m:r>
            <m:ctrlPr>
              <w:rPr>
                <w:rFonts w:hint="eastAsia" w:ascii="Cambria Math" w:hAnsi="Cambria Math"/>
                <w:i/>
                <w:iCs/>
                <w:szCs w:val="24"/>
              </w:rPr>
            </m:ctrlPr>
          </m:sup>
          <m:e>
            <m:d>
              <m:dPr>
                <m:ctrlPr>
                  <w:rPr>
                    <w:rFonts w:hint="eastAsia" w:ascii="Cambria Math" w:hAnsi="Cambria Math"/>
                    <w:i/>
                    <w:iCs/>
                    <w:szCs w:val="24"/>
                  </w:rPr>
                </m:ctrlPr>
              </m:dPr>
              <m:e>
                <m:sSub>
                  <m:sSubPr>
                    <m:ctrlPr>
                      <w:rPr>
                        <w:rFonts w:hint="eastAsia" w:ascii="Cambria Math" w:hAnsi="Cambria Math"/>
                        <w:i/>
                        <w:iCs/>
                        <w:szCs w:val="24"/>
                      </w:rPr>
                    </m:ctrlPr>
                  </m:sSubPr>
                  <m:e>
                    <m:r>
                      <m:rPr/>
                      <w:rPr>
                        <w:rFonts w:hint="default" w:ascii="Cambria Math" w:hAnsi="Cambria Math"/>
                        <w:szCs w:val="24"/>
                      </w:rPr>
                      <m:t>Q</m:t>
                    </m:r>
                    <m:ctrlPr>
                      <w:rPr>
                        <w:rFonts w:hint="eastAsia" w:ascii="Cambria Math" w:hAnsi="Cambria Math"/>
                        <w:i/>
                        <w:iCs/>
                        <w:szCs w:val="24"/>
                      </w:rPr>
                    </m:ctrlPr>
                  </m:e>
                  <m:sub>
                    <m:r>
                      <m:rPr/>
                      <w:rPr>
                        <w:rFonts w:hint="default" w:ascii="Cambria Math" w:hAnsi="Cambria Math"/>
                        <w:szCs w:val="24"/>
                      </w:rPr>
                      <m:t>f</m:t>
                    </m:r>
                    <m:ctrlPr>
                      <w:rPr>
                        <w:rFonts w:hint="eastAsia" w:ascii="Cambria Math" w:hAnsi="Cambria Math"/>
                        <w:i/>
                        <w:iCs/>
                        <w:szCs w:val="24"/>
                      </w:rPr>
                    </m:ctrlPr>
                  </m:sub>
                </m:sSub>
                <m:f>
                  <m:fPr>
                    <m:ctrlPr>
                      <w:rPr>
                        <w:rFonts w:hint="eastAsia" w:ascii="Cambria Math" w:hAnsi="Cambria Math"/>
                        <w:i/>
                        <w:iCs/>
                        <w:szCs w:val="24"/>
                      </w:rPr>
                    </m:ctrlPr>
                  </m:fPr>
                  <m:num>
                    <m:r>
                      <m:rPr/>
                      <w:rPr>
                        <w:rFonts w:hint="default" w:ascii="Cambria Math" w:hAnsi="Cambria Math"/>
                        <w:szCs w:val="24"/>
                      </w:rPr>
                      <m:t>S</m:t>
                    </m:r>
                    <m:sSub>
                      <m:sSubPr>
                        <m:ctrlPr>
                          <w:rPr>
                            <w:rFonts w:hint="eastAsia" w:ascii="Cambria Math" w:hAnsi="Cambria Math"/>
                            <w:i/>
                            <w:iCs/>
                            <w:szCs w:val="24"/>
                          </w:rPr>
                        </m:ctrlPr>
                      </m:sSubPr>
                      <m:e>
                        <m:r>
                          <m:rPr/>
                          <w:rPr>
                            <w:rFonts w:hint="default" w:ascii="Cambria Math" w:hAnsi="Cambria Math"/>
                            <w:szCs w:val="24"/>
                          </w:rPr>
                          <m:t>Y</m:t>
                        </m:r>
                        <m:ctrlPr>
                          <w:rPr>
                            <w:rFonts w:hint="eastAsia" w:ascii="Cambria Math" w:hAnsi="Cambria Math"/>
                            <w:i/>
                            <w:iCs/>
                            <w:szCs w:val="24"/>
                          </w:rPr>
                        </m:ctrlPr>
                      </m:e>
                      <m:sub>
                        <m:r>
                          <m:rPr/>
                          <w:rPr>
                            <w:rFonts w:hint="default" w:ascii="Cambria Math" w:hAnsi="Cambria Math"/>
                            <w:szCs w:val="24"/>
                          </w:rPr>
                          <m:t>f</m:t>
                        </m:r>
                        <m:ctrlPr>
                          <w:rPr>
                            <w:rFonts w:hint="eastAsia" w:ascii="Cambria Math" w:hAnsi="Cambria Math"/>
                            <w:i/>
                            <w:iCs/>
                            <w:szCs w:val="24"/>
                          </w:rPr>
                        </m:ctrlPr>
                      </m:sub>
                    </m:sSub>
                    <m:ctrlPr>
                      <w:rPr>
                        <w:rFonts w:hint="eastAsia" w:ascii="Cambria Math" w:hAnsi="Cambria Math"/>
                        <w:i/>
                        <w:iCs/>
                        <w:szCs w:val="24"/>
                      </w:rPr>
                    </m:ctrlPr>
                  </m:num>
                  <m:den>
                    <m:r>
                      <m:rPr/>
                      <w:rPr>
                        <w:rFonts w:hint="default" w:ascii="Cambria Math" w:hAnsi="Cambria Math"/>
                        <w:szCs w:val="24"/>
                      </w:rPr>
                      <m:t>S</m:t>
                    </m:r>
                    <m:sSub>
                      <m:sSubPr>
                        <m:ctrlPr>
                          <w:rPr>
                            <w:rFonts w:hint="eastAsia" w:ascii="Cambria Math" w:hAnsi="Cambria Math"/>
                            <w:i/>
                            <w:iCs/>
                            <w:szCs w:val="24"/>
                          </w:rPr>
                        </m:ctrlPr>
                      </m:sSubPr>
                      <m:e>
                        <m:r>
                          <m:rPr/>
                          <w:rPr>
                            <w:rFonts w:hint="default" w:ascii="Cambria Math" w:hAnsi="Cambria Math"/>
                            <w:szCs w:val="24"/>
                          </w:rPr>
                          <m:t>K</m:t>
                        </m:r>
                        <m:ctrlPr>
                          <w:rPr>
                            <w:rFonts w:hint="eastAsia" w:ascii="Cambria Math" w:hAnsi="Cambria Math"/>
                            <w:i/>
                            <w:iCs/>
                            <w:szCs w:val="24"/>
                          </w:rPr>
                        </m:ctrlPr>
                      </m:e>
                      <m:sub>
                        <m:r>
                          <m:rPr/>
                          <w:rPr>
                            <w:rFonts w:hint="default" w:ascii="Cambria Math" w:hAnsi="Cambria Math"/>
                            <w:szCs w:val="24"/>
                          </w:rPr>
                          <m:t>f</m:t>
                        </m:r>
                        <m:ctrlPr>
                          <w:rPr>
                            <w:rFonts w:hint="eastAsia" w:ascii="Cambria Math" w:hAnsi="Cambria Math"/>
                            <w:i/>
                            <w:iCs/>
                            <w:szCs w:val="24"/>
                          </w:rPr>
                        </m:ctrlPr>
                      </m:sub>
                    </m:sSub>
                    <m:ctrlPr>
                      <w:rPr>
                        <w:rFonts w:hint="eastAsia" w:ascii="Cambria Math" w:hAnsi="Cambria Math"/>
                        <w:i/>
                        <w:iCs/>
                        <w:szCs w:val="24"/>
                      </w:rPr>
                    </m:ctrlPr>
                  </m:den>
                </m:f>
                <m:r>
                  <m:rPr/>
                  <w:rPr>
                    <w:rFonts w:hint="default" w:ascii="Cambria Math" w:hAnsi="Cambria Math"/>
                    <w:szCs w:val="24"/>
                  </w:rPr>
                  <m:t>E</m:t>
                </m:r>
                <m:sSub>
                  <m:sSubPr>
                    <m:ctrlPr>
                      <w:rPr>
                        <w:rFonts w:hint="eastAsia" w:ascii="Cambria Math" w:hAnsi="Cambria Math"/>
                        <w:i/>
                        <w:iCs/>
                        <w:szCs w:val="24"/>
                      </w:rPr>
                    </m:ctrlPr>
                  </m:sSubPr>
                  <m:e>
                    <m:r>
                      <m:rPr/>
                      <w:rPr>
                        <w:rFonts w:hint="default" w:ascii="Cambria Math" w:hAnsi="Cambria Math"/>
                        <w:szCs w:val="24"/>
                      </w:rPr>
                      <m:t>F</m:t>
                    </m:r>
                    <m:ctrlPr>
                      <w:rPr>
                        <w:rFonts w:hint="eastAsia" w:ascii="Cambria Math" w:hAnsi="Cambria Math"/>
                        <w:i/>
                        <w:iCs/>
                        <w:szCs w:val="24"/>
                      </w:rPr>
                    </m:ctrlPr>
                  </m:e>
                  <m:sub>
                    <m:r>
                      <m:rPr/>
                      <w:rPr>
                        <w:rFonts w:hint="default" w:ascii="Cambria Math" w:hAnsi="Cambria Math"/>
                        <w:szCs w:val="24"/>
                      </w:rPr>
                      <m:t>f</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Q</m:t>
                    </m:r>
                    <m:ctrlPr>
                      <w:rPr>
                        <w:rFonts w:hint="eastAsia" w:ascii="Cambria Math" w:hAnsi="Cambria Math"/>
                        <w:i/>
                        <w:iCs/>
                        <w:szCs w:val="24"/>
                      </w:rPr>
                    </m:ctrlPr>
                  </m:e>
                  <m:sub>
                    <m:r>
                      <m:rPr/>
                      <w:rPr>
                        <w:rFonts w:hint="default" w:ascii="Cambria Math" w:hAnsi="Cambria Math"/>
                        <w:szCs w:val="24"/>
                      </w:rPr>
                      <m:t>e,f</m:t>
                    </m:r>
                    <m:ctrlPr>
                      <w:rPr>
                        <w:rFonts w:hint="eastAsia" w:ascii="Cambria Math" w:hAnsi="Cambria Math"/>
                        <w:i/>
                        <w:iCs/>
                        <w:szCs w:val="24"/>
                      </w:rPr>
                    </m:ctrlPr>
                  </m:sub>
                </m:sSub>
                <m:r>
                  <m:rPr/>
                  <w:rPr>
                    <w:rFonts w:hint="default" w:ascii="Cambria Math" w:hAnsi="Cambria Math"/>
                    <w:szCs w:val="24"/>
                  </w:rPr>
                  <m:t>E</m:t>
                </m:r>
                <m:sSubSup>
                  <m:sSubSupPr>
                    <m:ctrlPr>
                      <w:rPr>
                        <w:rFonts w:hint="eastAsia" w:ascii="Cambria Math" w:hAnsi="Cambria Math"/>
                        <w:i/>
                        <w:iCs/>
                        <w:szCs w:val="24"/>
                      </w:rPr>
                    </m:ctrlPr>
                  </m:sSubSupPr>
                  <m:e>
                    <m:r>
                      <m:rPr/>
                      <w:rPr>
                        <w:rFonts w:hint="default" w:ascii="Cambria Math" w:hAnsi="Cambria Math"/>
                        <w:szCs w:val="24"/>
                      </w:rPr>
                      <m:t>F</m:t>
                    </m:r>
                    <m:ctrlPr>
                      <w:rPr>
                        <w:rFonts w:hint="eastAsia" w:ascii="Cambria Math" w:hAnsi="Cambria Math"/>
                        <w:i/>
                        <w:iCs/>
                        <w:szCs w:val="24"/>
                      </w:rPr>
                    </m:ctrlPr>
                  </m:e>
                  <m:sub>
                    <m:r>
                      <m:rPr/>
                      <w:rPr>
                        <w:rFonts w:hint="default" w:ascii="Cambria Math" w:hAnsi="Cambria Math"/>
                        <w:szCs w:val="24"/>
                      </w:rPr>
                      <m:t>e,f</m:t>
                    </m:r>
                    <m:ctrlPr>
                      <w:rPr>
                        <w:rFonts w:hint="eastAsia" w:ascii="Cambria Math" w:hAnsi="Cambria Math"/>
                        <w:i/>
                        <w:iCs/>
                        <w:szCs w:val="24"/>
                      </w:rPr>
                    </m:ctrlPr>
                  </m:sub>
                  <m:sup>
                    <m:r>
                      <m:rPr/>
                      <w:rPr>
                        <w:rFonts w:hint="default" w:ascii="Cambria Math" w:hAnsi="Cambria Math"/>
                        <w:szCs w:val="24"/>
                      </w:rPr>
                      <m:t>net</m:t>
                    </m:r>
                    <m:ctrlPr>
                      <w:rPr>
                        <w:rFonts w:hint="eastAsia" w:ascii="Cambria Math" w:hAnsi="Cambria Math"/>
                        <w:i/>
                        <w:iCs/>
                        <w:szCs w:val="24"/>
                      </w:rPr>
                    </m:ctrlPr>
                  </m:sup>
                </m:sSubSup>
                <m:ctrlPr>
                  <w:rPr>
                    <w:rFonts w:hint="eastAsia" w:ascii="Cambria Math" w:hAnsi="Cambria Math"/>
                    <w:i/>
                    <w:iCs/>
                    <w:szCs w:val="24"/>
                  </w:rPr>
                </m:ctrlPr>
              </m:e>
            </m:d>
            <m:ctrlPr>
              <w:rPr>
                <w:rFonts w:hint="eastAsia" w:ascii="Cambria Math" w:hAnsi="Cambria Math"/>
                <w:i/>
                <w:iCs/>
                <w:szCs w:val="24"/>
              </w:rPr>
            </m:ctrlPr>
          </m:e>
        </m:nary>
      </m:oMath>
      <w:r>
        <w:rPr>
          <w:rFonts w:hint="eastAsia" w:ascii="宋体" w:hAnsi="宋体" w:eastAsiaTheme="minorEastAsia" w:cstheme="minorBidi"/>
          <w:szCs w:val="24"/>
        </w:rPr>
        <w:tab/>
      </w:r>
      <w:r>
        <w:rPr>
          <w:rFonts w:hint="eastAsia" w:ascii="宋体" w:hAnsi="宋体" w:eastAsiaTheme="minorEastAsia" w:cstheme="minorBidi"/>
          <w:szCs w:val="24"/>
        </w:rPr>
        <w:t>(10)</w:t>
      </w:r>
    </w:p>
    <w:p w14:paraId="6CC9ED04">
      <w:pPr>
        <w:pStyle w:val="37"/>
        <w:tabs>
          <w:tab w:val="center" w:pos="4678"/>
          <w:tab w:val="right" w:pos="9356"/>
        </w:tabs>
        <w:rPr>
          <w:rFonts w:hint="eastAsia"/>
          <w:szCs w:val="21"/>
        </w:rPr>
      </w:pPr>
      <w:r>
        <w:rPr>
          <w:rFonts w:hint="eastAsia" w:ascii="宋体"/>
          <w:szCs w:val="24"/>
          <w:lang w:val="en-US" w:eastAsia="zh-CN"/>
        </w:rPr>
        <w:t>式中：</w:t>
      </w:r>
    </w:p>
    <w:p w14:paraId="0E33BABF">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3</m:t>
            </m:r>
            <m:ctrlPr>
              <w:rPr>
                <w:rFonts w:hint="eastAsia" w:ascii="Cambria Math" w:hAnsi="Cambria Math"/>
                <w:szCs w:val="24"/>
              </w:rPr>
            </m:ctrlPr>
          </m:sub>
        </m:sSub>
      </m:oMath>
      <w:r>
        <w:rPr>
          <w:rFonts w:hint="eastAsia" w:ascii="宋体" w:hAnsiTheme="minorHAnsi" w:eastAsiaTheme="minorEastAsia" w:cstheme="minorBidi"/>
          <w:szCs w:val="24"/>
        </w:rPr>
        <w:t>——生产过程中可周转材料产生的二氧化碳排放量，单位为千克二氧化碳（kgCO₂）；</w:t>
      </w:r>
    </w:p>
    <w:p w14:paraId="0E33BAC0">
      <w:pPr>
        <w:pStyle w:val="37"/>
        <w:rPr>
          <w:rFonts w:hint="eastAsia" w:ascii="宋体" w:hAnsiTheme="minorHAnsi" w:cstheme="minorBidi"/>
          <w:szCs w:val="24"/>
        </w:rPr>
      </w:pPr>
      <m:oMath>
        <m:r>
          <m:rPr>
            <m:sty m:val="p"/>
          </m:rPr>
          <w:rPr>
            <w:rFonts w:hint="eastAsia" w:ascii="Cambria Math" w:hAnsi="Cambria Math"/>
            <w:szCs w:val="24"/>
          </w:rPr>
          <m:t>f</m:t>
        </m:r>
      </m:oMath>
      <w:r>
        <w:rPr>
          <w:rFonts w:hint="eastAsia" w:ascii="宋体" w:hAnsiTheme="minorHAnsi" w:eastAsiaTheme="minorEastAsia" w:cstheme="minorBidi"/>
          <w:szCs w:val="24"/>
        </w:rPr>
        <w:t>——可周转材料种类的序号，f=1，2，…，n，n为可周转材料种类总数；</w:t>
      </w:r>
    </w:p>
    <w:p w14:paraId="0E33BAC1">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Q</m:t>
            </m:r>
            <m:ctrlPr>
              <w:rPr>
                <w:rFonts w:hint="eastAsia" w:ascii="Cambria Math" w:hAnsi="Cambria Math"/>
                <w:szCs w:val="24"/>
              </w:rPr>
            </m:ctrlPr>
          </m:e>
          <m:sub>
            <m:r>
              <m:rPr>
                <m:sty m:val="p"/>
              </m:rPr>
              <w:rPr>
                <w:rFonts w:hint="eastAsia" w:ascii="Cambria Math" w:hAnsi="Cambria Math"/>
                <w:szCs w:val="24"/>
              </w:rPr>
              <m:t>f</m:t>
            </m:r>
            <m:ctrlPr>
              <w:rPr>
                <w:rFonts w:hint="eastAsia" w:ascii="Cambria Math" w:hAnsi="Cambria Math"/>
                <w:szCs w:val="24"/>
              </w:rPr>
            </m:ctrlPr>
          </m:sub>
        </m:sSub>
      </m:oMath>
      <w:r>
        <w:rPr>
          <w:rFonts w:hint="eastAsia" w:ascii="宋体" w:hAnsiTheme="minorHAnsi" w:eastAsiaTheme="minorEastAsia" w:cstheme="minorBidi"/>
          <w:szCs w:val="24"/>
        </w:rPr>
        <w:t>——第f种可周转材料的投入量，单位为千克（kg）；</w:t>
      </w:r>
    </w:p>
    <w:p w14:paraId="0E33BAC2">
      <w:pPr>
        <w:pStyle w:val="37"/>
        <w:rPr>
          <w:rFonts w:hint="eastAsia" w:ascii="宋体" w:hAnsiTheme="minorHAnsi" w:cstheme="minorBidi"/>
          <w:szCs w:val="24"/>
        </w:rPr>
      </w:pPr>
      <m:oMath>
        <m:r>
          <m:rPr>
            <m:sty m:val="p"/>
          </m:rPr>
          <w:rPr>
            <w:rFonts w:hint="eastAsia" w:ascii="Cambria Math" w:hAnsi="Cambria Math"/>
            <w:szCs w:val="24"/>
          </w:rPr>
          <m:t>S</m:t>
        </m:r>
        <m:sSub>
          <m:sSubPr>
            <m:ctrlPr>
              <w:rPr>
                <w:rFonts w:hint="eastAsia" w:ascii="Cambria Math" w:hAnsi="Cambria Math"/>
                <w:szCs w:val="24"/>
              </w:rPr>
            </m:ctrlPr>
          </m:sSubPr>
          <m:e>
            <m:r>
              <m:rPr>
                <m:sty m:val="p"/>
              </m:rPr>
              <w:rPr>
                <w:rFonts w:hint="eastAsia" w:ascii="Cambria Math" w:hAnsi="Cambria Math"/>
                <w:szCs w:val="24"/>
              </w:rPr>
              <m:t>K</m:t>
            </m:r>
            <m:ctrlPr>
              <w:rPr>
                <w:rFonts w:hint="eastAsia" w:ascii="Cambria Math" w:hAnsi="Cambria Math"/>
                <w:szCs w:val="24"/>
              </w:rPr>
            </m:ctrlPr>
          </m:e>
          <m:sub>
            <m:r>
              <m:rPr>
                <m:sty m:val="p"/>
              </m:rPr>
              <w:rPr>
                <w:rFonts w:hint="eastAsia" w:ascii="Cambria Math" w:hAnsi="Cambria Math"/>
                <w:szCs w:val="24"/>
              </w:rPr>
              <m:t>f</m:t>
            </m:r>
            <m:ctrlPr>
              <w:rPr>
                <w:rFonts w:hint="eastAsia" w:ascii="Cambria Math" w:hAnsi="Cambria Math"/>
                <w:szCs w:val="24"/>
              </w:rPr>
            </m:ctrlPr>
          </m:sub>
        </m:sSub>
      </m:oMath>
      <w:r>
        <w:rPr>
          <w:rFonts w:hint="eastAsia" w:ascii="宋体" w:hAnsiTheme="minorHAnsi" w:eastAsiaTheme="minorEastAsia" w:cstheme="minorBidi"/>
          <w:szCs w:val="24"/>
        </w:rPr>
        <w:t>——第f种可周转材料的设计可周转次数；</w:t>
      </w:r>
    </w:p>
    <w:p w14:paraId="0E33BAC3">
      <w:pPr>
        <w:pStyle w:val="37"/>
        <w:rPr>
          <w:rFonts w:hint="eastAsia" w:ascii="宋体" w:hAnsiTheme="minorHAnsi" w:cstheme="minorBidi"/>
          <w:szCs w:val="24"/>
        </w:rPr>
      </w:pPr>
      <m:oMath>
        <m:r>
          <m:rPr>
            <m:sty m:val="p"/>
          </m:rPr>
          <w:rPr>
            <w:rFonts w:hint="eastAsia" w:ascii="Cambria Math" w:hAnsi="Cambria Math"/>
            <w:szCs w:val="24"/>
          </w:rPr>
          <m:t>S</m:t>
        </m:r>
        <m:sSub>
          <m:sSubPr>
            <m:ctrlPr>
              <w:rPr>
                <w:rFonts w:hint="eastAsia" w:ascii="Cambria Math" w:hAnsi="Cambria Math"/>
                <w:szCs w:val="24"/>
              </w:rPr>
            </m:ctrlPr>
          </m:sSubPr>
          <m:e>
            <m:r>
              <m:rPr>
                <m:sty m:val="p"/>
              </m:rPr>
              <w:rPr>
                <w:rFonts w:hint="eastAsia" w:ascii="Cambria Math" w:hAnsi="Cambria Math"/>
                <w:szCs w:val="24"/>
              </w:rPr>
              <m:t>Y</m:t>
            </m:r>
            <m:ctrlPr>
              <w:rPr>
                <w:rFonts w:hint="eastAsia" w:ascii="Cambria Math" w:hAnsi="Cambria Math"/>
                <w:szCs w:val="24"/>
              </w:rPr>
            </m:ctrlPr>
          </m:e>
          <m:sub>
            <m:r>
              <m:rPr>
                <m:sty m:val="p"/>
              </m:rPr>
              <w:rPr>
                <w:rFonts w:hint="eastAsia" w:ascii="Cambria Math" w:hAnsi="Cambria Math"/>
                <w:szCs w:val="24"/>
              </w:rPr>
              <m:t>f</m:t>
            </m:r>
            <m:ctrlPr>
              <w:rPr>
                <w:rFonts w:hint="eastAsia" w:ascii="Cambria Math" w:hAnsi="Cambria Math"/>
                <w:szCs w:val="24"/>
              </w:rPr>
            </m:ctrlPr>
          </m:sub>
        </m:sSub>
      </m:oMath>
      <w:r>
        <w:rPr>
          <w:rFonts w:hint="eastAsia" w:ascii="宋体" w:hAnsiTheme="minorHAnsi" w:eastAsiaTheme="minorEastAsia" w:cstheme="minorBidi"/>
          <w:szCs w:val="24"/>
        </w:rPr>
        <w:t>——第f种可周转材料在本核算周期内的实际周转使用次数；</w:t>
      </w:r>
    </w:p>
    <w:p w14:paraId="0E33BAC4">
      <w:pPr>
        <w:pStyle w:val="37"/>
        <w:rPr>
          <w:rFonts w:hint="eastAsia" w:ascii="宋体" w:hAnsiTheme="minorHAnsi" w:cstheme="minorBidi"/>
          <w:szCs w:val="24"/>
        </w:rPr>
      </w:pPr>
      <m:oMath>
        <m:r>
          <m:rPr>
            <m:sty m:val="p"/>
          </m:rPr>
          <w:rPr>
            <w:rFonts w:hint="eastAsia" w:ascii="Cambria Math" w:hAnsi="Cambria Math"/>
            <w:szCs w:val="24"/>
          </w:rPr>
          <m:t>E</m:t>
        </m:r>
        <m:sSub>
          <m:sSubPr>
            <m:ctrlPr>
              <w:rPr>
                <w:rFonts w:hint="eastAsia" w:ascii="Cambria Math" w:hAnsi="Cambria Math"/>
                <w:szCs w:val="24"/>
              </w:rPr>
            </m:ctrlPr>
          </m:sSubPr>
          <m:e>
            <m:r>
              <m:rPr>
                <m:sty m:val="p"/>
              </m:rPr>
              <w:rPr>
                <w:rFonts w:hint="eastAsia" w:ascii="Cambria Math" w:hAnsi="Cambria Math"/>
                <w:szCs w:val="24"/>
              </w:rPr>
              <m:t>F</m:t>
            </m:r>
            <m:ctrlPr>
              <w:rPr>
                <w:rFonts w:hint="eastAsia" w:ascii="Cambria Math" w:hAnsi="Cambria Math"/>
                <w:szCs w:val="24"/>
              </w:rPr>
            </m:ctrlPr>
          </m:e>
          <m:sub>
            <m:r>
              <m:rPr>
                <m:sty m:val="p"/>
              </m:rPr>
              <w:rPr>
                <w:rFonts w:hint="eastAsia" w:ascii="Cambria Math" w:hAnsi="Cambria Math"/>
                <w:szCs w:val="24"/>
              </w:rPr>
              <m:t>f</m:t>
            </m:r>
            <m:ctrlPr>
              <w:rPr>
                <w:rFonts w:hint="eastAsia" w:ascii="Cambria Math" w:hAnsi="Cambria Math"/>
                <w:szCs w:val="24"/>
              </w:rPr>
            </m:ctrlPr>
          </m:sub>
        </m:sSub>
      </m:oMath>
      <w:r>
        <w:rPr>
          <w:rFonts w:hint="eastAsia" w:ascii="宋体" w:hAnsiTheme="minorHAnsi" w:eastAsiaTheme="minorEastAsia" w:cstheme="minorBidi"/>
          <w:szCs w:val="24"/>
        </w:rPr>
        <w:t>——第f种可周转材料的生产碳排放因子，单位为千克二氧化碳每千克［kgCO₂/kg］；</w:t>
      </w:r>
    </w:p>
    <w:p w14:paraId="0E33BAC5">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Q</m:t>
            </m:r>
            <m:ctrlPr>
              <w:rPr>
                <w:rFonts w:hint="eastAsia" w:ascii="Cambria Math" w:hAnsi="Cambria Math"/>
                <w:szCs w:val="24"/>
              </w:rPr>
            </m:ctrlPr>
          </m:e>
          <m:sub>
            <m:r>
              <m:rPr>
                <m:sty m:val="p"/>
              </m:rPr>
              <w:rPr>
                <w:rFonts w:hint="eastAsia" w:ascii="Cambria Math" w:hAnsi="Cambria Math"/>
                <w:szCs w:val="24"/>
              </w:rPr>
              <m:t>e,f</m:t>
            </m:r>
            <m:ctrlPr>
              <w:rPr>
                <w:rFonts w:hint="eastAsia" w:ascii="Cambria Math" w:hAnsi="Cambria Math"/>
                <w:szCs w:val="24"/>
              </w:rPr>
            </m:ctrlPr>
          </m:sub>
        </m:sSub>
      </m:oMath>
      <w:r>
        <w:rPr>
          <w:rFonts w:hint="eastAsia" w:ascii="宋体" w:hAnsiTheme="minorHAnsi" w:eastAsiaTheme="minorEastAsia" w:cstheme="minorBidi"/>
          <w:szCs w:val="24"/>
        </w:rPr>
        <w:t>——第f种可周转材料在本核算周期内进入报废处置或回收路径的实际数量，单位为千克（kg）；</w:t>
      </w:r>
    </w:p>
    <w:p w14:paraId="0E33BAC6">
      <w:pPr>
        <w:pStyle w:val="37"/>
        <w:rPr>
          <w:rFonts w:hint="eastAsia" w:ascii="宋体" w:hAnsiTheme="minorHAnsi" w:cstheme="minorBidi"/>
          <w:szCs w:val="24"/>
        </w:rPr>
      </w:pPr>
      <m:oMath>
        <m:r>
          <m:rPr>
            <m:sty m:val="p"/>
          </m:rPr>
          <w:rPr>
            <w:rFonts w:hint="eastAsia" w:ascii="Cambria Math" w:hAnsi="Cambria Math"/>
            <w:szCs w:val="24"/>
          </w:rPr>
          <m:t>E</m:t>
        </m:r>
        <m:sSubSup>
          <m:sSubSupPr>
            <m:ctrlPr>
              <w:rPr>
                <w:rFonts w:hint="eastAsia" w:ascii="Cambria Math" w:hAnsi="Cambria Math"/>
                <w:szCs w:val="24"/>
              </w:rPr>
            </m:ctrlPr>
          </m:sSubSupPr>
          <m:e>
            <m:r>
              <m:rPr>
                <m:sty m:val="p"/>
              </m:rPr>
              <w:rPr>
                <w:rFonts w:hint="eastAsia" w:ascii="Cambria Math" w:hAnsi="Cambria Math"/>
                <w:szCs w:val="24"/>
              </w:rPr>
              <m:t>F</m:t>
            </m:r>
            <m:ctrlPr>
              <w:rPr>
                <w:rFonts w:hint="eastAsia" w:ascii="Cambria Math" w:hAnsi="Cambria Math"/>
                <w:szCs w:val="24"/>
              </w:rPr>
            </m:ctrlPr>
          </m:e>
          <m:sub>
            <m:r>
              <m:rPr>
                <m:sty m:val="p"/>
              </m:rPr>
              <w:rPr>
                <w:rFonts w:hint="eastAsia" w:ascii="Cambria Math" w:hAnsi="Cambria Math"/>
                <w:szCs w:val="24"/>
              </w:rPr>
              <m:t>e,f</m:t>
            </m:r>
            <m:ctrlPr>
              <w:rPr>
                <w:rFonts w:hint="eastAsia" w:ascii="Cambria Math" w:hAnsi="Cambria Math"/>
                <w:szCs w:val="24"/>
              </w:rPr>
            </m:ctrlPr>
          </m:sub>
          <m:sup>
            <m:r>
              <m:rPr>
                <m:sty m:val="p"/>
              </m:rPr>
              <w:rPr>
                <w:rFonts w:hint="eastAsia" w:ascii="Cambria Math" w:hAnsi="Cambria Math"/>
                <w:szCs w:val="24"/>
              </w:rPr>
              <m:t>net</m:t>
            </m:r>
            <m:ctrlPr>
              <w:rPr>
                <w:rFonts w:hint="eastAsia" w:ascii="Cambria Math" w:hAnsi="Cambria Math"/>
                <w:szCs w:val="24"/>
              </w:rPr>
            </m:ctrlPr>
          </m:sup>
        </m:sSubSup>
      </m:oMath>
      <w:r>
        <w:rPr>
          <w:rFonts w:hint="eastAsia" w:ascii="宋体" w:hAnsiTheme="minorHAnsi" w:eastAsiaTheme="minorEastAsia" w:cstheme="minorBidi"/>
          <w:szCs w:val="24"/>
        </w:rPr>
        <w:t>——第f种可周转材料报废处置与回收的净碳排放因子，单位为千克二氧化碳每千克［kgCO</w:t>
      </w:r>
      <w:r>
        <w:rPr>
          <w:rFonts w:hint="default" w:ascii="宋体" w:hAnsi="Times New Roman" w:eastAsia="宋体" w:cs="Times New Roman"/>
          <w:sz w:val="18"/>
          <w:szCs w:val="18"/>
        </w:rPr>
        <w:t>₂</w:t>
      </w:r>
      <w:r>
        <w:rPr>
          <w:rFonts w:hint="eastAsia" w:ascii="宋体" w:hAnsiTheme="minorHAnsi" w:eastAsiaTheme="minorEastAsia" w:cstheme="minorBidi"/>
          <w:szCs w:val="24"/>
        </w:rPr>
        <w:t>/kg］。</w:t>
      </w:r>
    </w:p>
    <w:p w14:paraId="0E33BAC7">
      <w:pPr>
        <w:pStyle w:val="34"/>
        <w:rPr>
          <w:rFonts w:hint="eastAsia" w:hAnsi="Times New Roman" w:cs="Times New Roman"/>
        </w:rPr>
      </w:pPr>
      <w:r>
        <w:rPr>
          <w:rFonts w:hint="eastAsia" w:ascii="宋体" w:hAnsi="Times New Roman" w:eastAsia="宋体" w:cs="Times New Roman"/>
        </w:rPr>
        <w:t>周转材料生产排放应按本核算周期内实际使用次数与设计可周转次数的比例分配。核算边界内实际发生的报废处置排放应按实际处置量计入。回收材料输出核算边界后的潜在替代收益原则上不应直接从A3阶段排放量中扣减；确需采用回收收益分配或系统扩展方法时，应依据明确的方法学文件，单独披露系统边界、分配规则、回收情景和数据来源，并与6.1.5的处理原则保持一致。</w:t>
      </w:r>
    </w:p>
    <w:p w14:paraId="0E33BAC9">
      <w:pPr>
        <w:pStyle w:val="33"/>
        <w:rPr>
          <w:rFonts w:hint="eastAsia" w:ascii="宋体" w:hAnsi="宋体" w:eastAsia="宋体" w:cs="宋体"/>
        </w:rPr>
      </w:pPr>
      <w:r>
        <w:rPr>
          <w:rFonts w:hint="eastAsia" w:ascii="宋体" w:hAnsi="宋体" w:eastAsia="宋体" w:cs="宋体"/>
        </w:rPr>
        <w:t>工业化建造T梁构件工厂化生产阶段产生的二氧化碳排放量应按式（11）核算：</w:t>
      </w:r>
    </w:p>
    <w:p w14:paraId="0E33BACA">
      <w:pPr>
        <w:pStyle w:val="36"/>
        <w:tabs>
          <w:tab w:val="center" w:pos="4678"/>
          <w:tab w:val="right" w:leader="middleDot" w:pos="9356"/>
        </w:tabs>
        <w:rPr>
          <w:rFonts w:hint="eastAsia" w:hAnsi="宋体"/>
          <w:szCs w:val="24"/>
        </w:rPr>
      </w:pPr>
      <w:r>
        <w:rPr>
          <w:rFonts w:hint="eastAsia" w:ascii="宋体"/>
          <w:szCs w:val="24"/>
        </w:rPr>
        <w:tab/>
      </w:r>
      <m:oMath>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default" w:ascii="Cambria Math" w:hAnsi="Cambria Math"/>
                <w:szCs w:val="24"/>
              </w:rPr>
              <m:t>A3</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eastAsia" w:ascii="Cambria Math" w:hAnsi="Cambria Math"/>
                <w:szCs w:val="24"/>
              </w:rPr>
              <m:t>1</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eastAsia" w:ascii="Cambria Math" w:hAnsi="Cambria Math"/>
                <w:szCs w:val="24"/>
              </w:rPr>
              <m:t>2</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eastAsia" w:ascii="Cambria Math" w:hAnsi="Cambria Math"/>
                <w:szCs w:val="24"/>
              </w:rPr>
              <m:t>3</m:t>
            </m:r>
            <m:ctrlPr>
              <w:rPr>
                <w:rFonts w:hint="eastAsia" w:ascii="Cambria Math" w:hAnsi="Cambria Math"/>
                <w:i/>
                <w:iCs/>
                <w:szCs w:val="24"/>
              </w:rPr>
            </m:ctrlPr>
          </m:sub>
        </m:sSub>
      </m:oMath>
      <w:r>
        <w:rPr>
          <w:rFonts w:hint="eastAsia" w:ascii="宋体"/>
          <w:szCs w:val="24"/>
        </w:rPr>
        <w:tab/>
      </w:r>
      <w:r>
        <w:rPr>
          <w:rFonts w:hint="eastAsia" w:ascii="宋体"/>
          <w:szCs w:val="24"/>
        </w:rPr>
        <w:t>(11)</w:t>
      </w:r>
    </w:p>
    <w:p w14:paraId="06BD5B94">
      <w:pPr>
        <w:pStyle w:val="37"/>
        <w:tabs>
          <w:tab w:val="center" w:pos="4678"/>
          <w:tab w:val="right" w:pos="9356"/>
        </w:tabs>
        <w:rPr>
          <w:rFonts w:hint="eastAsia"/>
          <w:szCs w:val="21"/>
        </w:rPr>
      </w:pPr>
      <w:r>
        <w:rPr>
          <w:rFonts w:hint="eastAsia" w:ascii="宋体"/>
          <w:szCs w:val="24"/>
          <w:lang w:val="en-US" w:eastAsia="zh-CN"/>
        </w:rPr>
        <w:t>式中：</w:t>
      </w:r>
    </w:p>
    <w:p w14:paraId="0E33BACB">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A3</m:t>
            </m:r>
            <m:ctrlPr>
              <w:rPr>
                <w:rFonts w:hint="eastAsia" w:ascii="Cambria Math" w:hAnsi="Cambria Math"/>
                <w:szCs w:val="24"/>
              </w:rPr>
            </m:ctrlPr>
          </m:sub>
        </m:sSub>
      </m:oMath>
      <w:r>
        <w:rPr>
          <w:rFonts w:hint="eastAsia" w:ascii="宋体" w:hAnsiTheme="minorHAnsi" w:eastAsiaTheme="minorEastAsia" w:cstheme="minorBidi"/>
          <w:szCs w:val="24"/>
        </w:rPr>
        <w:t>——T梁构件工厂化生产阶段产生的二氧化碳排放量，单位为千克二氧化碳（kgCO</w:t>
      </w:r>
      <w:r>
        <w:rPr>
          <w:rFonts w:hint="default" w:ascii="Times New Roman" w:hAnsi="Times New Roman" w:cs="Times New Roman" w:eastAsiaTheme="minorEastAsia"/>
          <w:szCs w:val="24"/>
        </w:rPr>
        <w:t>₂</w:t>
      </w:r>
      <w:r>
        <w:rPr>
          <w:rFonts w:hint="eastAsia" w:ascii="宋体" w:hAnsiTheme="minorHAnsi" w:eastAsiaTheme="minorEastAsia" w:cstheme="minorBidi"/>
          <w:szCs w:val="24"/>
        </w:rPr>
        <w:t>）；</w:t>
      </w:r>
    </w:p>
    <w:p w14:paraId="0E33BACC">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1</m:t>
            </m:r>
            <m:ctrlPr>
              <w:rPr>
                <w:rFonts w:hint="eastAsia" w:ascii="Cambria Math" w:hAnsi="Cambria Math"/>
                <w:szCs w:val="24"/>
              </w:rPr>
            </m:ctrlPr>
          </m:sub>
        </m:sSub>
      </m:oMath>
      <w:r>
        <w:rPr>
          <w:rFonts w:hint="eastAsia" w:ascii="宋体" w:hAnsiTheme="minorHAnsi" w:eastAsiaTheme="minorEastAsia" w:cstheme="minorBidi"/>
          <w:szCs w:val="24"/>
        </w:rPr>
        <w:t>——生产过程中化石燃料燃烧产生的直接二氧化碳排放量，单位为千克二氧化碳（kgCO</w:t>
      </w:r>
      <w:r>
        <w:rPr>
          <w:rFonts w:hint="default" w:ascii="Times New Roman" w:hAnsi="Times New Roman" w:cs="Times New Roman" w:eastAsiaTheme="minorEastAsia"/>
          <w:szCs w:val="24"/>
        </w:rPr>
        <w:t>₂</w:t>
      </w:r>
      <w:r>
        <w:rPr>
          <w:rFonts w:hint="eastAsia" w:ascii="宋体" w:hAnsiTheme="minorHAnsi" w:eastAsiaTheme="minorEastAsia" w:cstheme="minorBidi"/>
          <w:szCs w:val="24"/>
        </w:rPr>
        <w:t>）；</w:t>
      </w:r>
    </w:p>
    <w:p w14:paraId="0E33BACD">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2</m:t>
            </m:r>
            <m:ctrlPr>
              <w:rPr>
                <w:rFonts w:hint="eastAsia" w:ascii="Cambria Math" w:hAnsi="Cambria Math"/>
                <w:szCs w:val="24"/>
              </w:rPr>
            </m:ctrlPr>
          </m:sub>
        </m:sSub>
      </m:oMath>
      <w:r>
        <w:rPr>
          <w:rFonts w:hint="eastAsia" w:ascii="宋体" w:hAnsiTheme="minorHAnsi" w:eastAsiaTheme="minorEastAsia" w:cstheme="minorBidi"/>
          <w:szCs w:val="24"/>
        </w:rPr>
        <w:t>——生产过程中外购生产能源（包括外购电力、外购热力、外部供水和委托废水处理）产生的间接二氧化碳排放量，单位为千克二氧化碳（kgCO</w:t>
      </w:r>
      <w:r>
        <w:rPr>
          <w:rFonts w:hint="default" w:ascii="Times New Roman" w:hAnsi="Times New Roman" w:cs="Times New Roman" w:eastAsiaTheme="minorEastAsia"/>
          <w:szCs w:val="24"/>
        </w:rPr>
        <w:t>₂</w:t>
      </w:r>
      <w:r>
        <w:rPr>
          <w:rFonts w:hint="eastAsia" w:ascii="宋体" w:hAnsiTheme="minorHAnsi" w:eastAsiaTheme="minorEastAsia" w:cstheme="minorBidi"/>
          <w:szCs w:val="24"/>
        </w:rPr>
        <w:t>）；</w:t>
      </w:r>
    </w:p>
    <w:p w14:paraId="0E33BACE">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3</m:t>
            </m:r>
            <m:ctrlPr>
              <w:rPr>
                <w:rFonts w:hint="eastAsia" w:ascii="Cambria Math" w:hAnsi="Cambria Math"/>
                <w:szCs w:val="24"/>
              </w:rPr>
            </m:ctrlPr>
          </m:sub>
        </m:sSub>
      </m:oMath>
      <w:r>
        <w:rPr>
          <w:rFonts w:hint="eastAsia" w:ascii="宋体" w:hAnsiTheme="minorHAnsi" w:eastAsiaTheme="minorEastAsia" w:cstheme="minorBidi"/>
          <w:szCs w:val="24"/>
        </w:rPr>
        <w:t>——生产过程中可周转材料产生的二氧化碳排放量，单位为千克二氧化碳（kgCO</w:t>
      </w:r>
      <w:r>
        <w:rPr>
          <w:rFonts w:hint="default" w:ascii="Times New Roman" w:hAnsi="Times New Roman" w:cs="Times New Roman" w:eastAsiaTheme="minorEastAsia"/>
          <w:szCs w:val="24"/>
        </w:rPr>
        <w:t>₂</w:t>
      </w:r>
      <w:r>
        <w:rPr>
          <w:rFonts w:hint="eastAsia" w:ascii="宋体" w:hAnsiTheme="minorHAnsi" w:eastAsiaTheme="minorEastAsia" w:cstheme="minorBidi"/>
          <w:szCs w:val="24"/>
        </w:rPr>
        <w:t>）。</w:t>
      </w:r>
    </w:p>
    <w:p w14:paraId="0E33BAD0">
      <w:pPr>
        <w:pStyle w:val="33"/>
        <w:rPr>
          <w:rFonts w:hint="default" w:ascii="宋体" w:hAnsi="宋体" w:eastAsia="宋体" w:cs="宋体"/>
          <w:szCs w:val="20"/>
        </w:rPr>
      </w:pPr>
      <w:r>
        <w:rPr>
          <w:rFonts w:hint="default" w:ascii="宋体" w:hAnsi="宋体" w:eastAsia="宋体" w:cs="宋体"/>
          <w:szCs w:val="20"/>
        </w:rPr>
        <w:t>T梁构件工厂化生产阶段碳排放核算所需活动数据和碳排放因子，应优先采用经权威机构审核验证且与实际生产条件、能源类型、材料类型及处置方式相匹配的数据；无适用数据或单位难以转换时，化石燃料参数可采用表A.3的缺省值，外购能源碳排放因子可采用表A.4的缺省值，单位换算可按表A.5执行。供水和委托废水处理的碳排放因子应与项目所在地的供水条件、处理工艺及核算期相匹配。</w:t>
      </w:r>
    </w:p>
    <w:p w14:paraId="0E33BAD1">
      <w:pPr>
        <w:pStyle w:val="32"/>
        <w:spacing w:before="312" w:after="312"/>
        <w:rPr>
          <w:szCs w:val="21"/>
        </w:rPr>
      </w:pPr>
      <w:bookmarkStart w:id="89" w:name="_Toc20296"/>
      <w:bookmarkStart w:id="90" w:name="_Toc3097"/>
      <w:bookmarkStart w:id="91" w:name="_Toc29527"/>
      <w:bookmarkStart w:id="92" w:name="_Toc32590"/>
      <w:bookmarkStart w:id="93" w:name="_Toc12970"/>
      <w:r>
        <w:rPr>
          <w:rFonts w:hint="eastAsia" w:ascii="黑体"/>
          <w:szCs w:val="21"/>
        </w:rPr>
        <w:t>现场安装阶段碳排放核算</w:t>
      </w:r>
      <w:bookmarkEnd w:id="89"/>
      <w:bookmarkEnd w:id="90"/>
      <w:bookmarkEnd w:id="91"/>
      <w:bookmarkEnd w:id="92"/>
      <w:bookmarkEnd w:id="93"/>
    </w:p>
    <w:p w14:paraId="0E33BAD2">
      <w:pPr>
        <w:pStyle w:val="31"/>
        <w:rPr>
          <w:rFonts w:hint="eastAsia" w:ascii="Times New Roman" w:hAnsi="Times New Roman" w:eastAsia="宋体" w:cs="Times New Roman"/>
        </w:rPr>
      </w:pPr>
      <w:r>
        <w:rPr>
          <w:rFonts w:hint="eastAsia" w:ascii="Times New Roman" w:hAnsi="Times New Roman" w:eastAsia="宋体" w:cs="Times New Roman"/>
        </w:rPr>
        <w:t>现场安装阶段的核算边界为T梁进入施工现场后至安装完成的全过程。核算内容应包括构件安装工程和措施项目，其中不包括人工活动产生的碳排放量。</w:t>
      </w:r>
    </w:p>
    <w:p w14:paraId="0E33BAD4">
      <w:pPr>
        <w:pStyle w:val="31"/>
        <w:rPr>
          <w:rFonts w:hint="eastAsia" w:ascii="Times New Roman" w:hAnsi="Times New Roman" w:eastAsia="宋体" w:cs="Times New Roman"/>
        </w:rPr>
      </w:pPr>
      <w:r>
        <w:rPr>
          <w:rFonts w:hint="eastAsia" w:ascii="Times New Roman" w:hAnsi="Times New Roman" w:eastAsia="宋体" w:cs="Times New Roman"/>
        </w:rPr>
        <w:t>现场安装阶段碳排放核算所需消耗量宜优先采用实测数据确定。实测数据可通过现场电表、燃油记录、机械台班记录、材料领用记录和施工日志等获取。</w:t>
      </w:r>
    </w:p>
    <w:p w14:paraId="0E33BAD6">
      <w:pPr>
        <w:pStyle w:val="31"/>
        <w:rPr>
          <w:rFonts w:hint="eastAsia" w:ascii="Times New Roman" w:hAnsi="Times New Roman" w:eastAsia="宋体" w:cs="Times New Roman"/>
        </w:rPr>
      </w:pPr>
      <w:r>
        <w:rPr>
          <w:rFonts w:hint="eastAsia" w:ascii="Times New Roman" w:hAnsi="Times New Roman" w:eastAsia="宋体" w:cs="Times New Roman"/>
        </w:rPr>
        <w:t>在设计阶段或难以取得实测数据时，可采用现行工程定额或经核实的类似工程数据确定活动数据。工程量应依据设计文件、施工方案和工程量清单确定，并应记录所采用定额或类似工程资料的名称、版本和适用条件。</w:t>
      </w:r>
    </w:p>
    <w:p w14:paraId="0E33BAD8">
      <w:pPr>
        <w:pStyle w:val="31"/>
        <w:rPr>
          <w:rFonts w:hint="eastAsia" w:ascii="Times New Roman" w:hAnsi="Times New Roman" w:eastAsia="宋体" w:cs="Times New Roman"/>
        </w:rPr>
      </w:pPr>
      <w:r>
        <w:rPr>
          <w:rFonts w:hint="eastAsia" w:ascii="Times New Roman" w:hAnsi="Times New Roman" w:eastAsia="宋体" w:cs="Times New Roman"/>
        </w:rPr>
        <w:t>构件安装工程的机械能源消耗应包括堆放、场内转运、吊装、架设和连接过程中使用的机械运行能耗。架桥机、龙门吊、起重机等在T梁安装作业期间的运行能耗应计入构件安装工程；大型机械设备进出场及安装拆卸产生的能源和材料消耗应计入措施项目。</w:t>
      </w:r>
    </w:p>
    <w:p w14:paraId="0E33BADA">
      <w:pPr>
        <w:pStyle w:val="31"/>
        <w:rPr>
          <w:rFonts w:hint="eastAsia" w:ascii="Times New Roman" w:hAnsi="Times New Roman" w:eastAsia="宋体" w:cs="Times New Roman"/>
        </w:rPr>
      </w:pPr>
      <w:r>
        <w:rPr>
          <w:rFonts w:hint="eastAsia" w:ascii="Times New Roman" w:hAnsi="Times New Roman" w:eastAsia="宋体" w:cs="Times New Roman"/>
        </w:rPr>
        <w:t>机械能源消耗宜按机械台班计量，其消耗的能源包括电力、汽油、柴油、燃气等，并应按相应能源消耗量核算碳排放。</w:t>
      </w:r>
    </w:p>
    <w:p w14:paraId="0E33BADC">
      <w:pPr>
        <w:pStyle w:val="31"/>
        <w:rPr>
          <w:rFonts w:hint="eastAsia" w:ascii="Times New Roman" w:hAnsi="Times New Roman" w:eastAsia="宋体" w:cs="Times New Roman"/>
        </w:rPr>
      </w:pPr>
      <w:r>
        <w:rPr>
          <w:rFonts w:hint="eastAsia" w:ascii="Times New Roman" w:hAnsi="Times New Roman" w:eastAsia="宋体" w:cs="Times New Roman"/>
        </w:rPr>
        <w:t>T梁构件安装过程中机械能源消耗产生的碳排放可按式（12）核算：</w:t>
      </w:r>
    </w:p>
    <w:p w14:paraId="0E33BADD">
      <w:pPr>
        <w:pStyle w:val="36"/>
        <w:tabs>
          <w:tab w:val="center" w:pos="4678"/>
          <w:tab w:val="right" w:leader="middleDot" w:pos="9356"/>
        </w:tabs>
        <w:rPr>
          <w:rFonts w:hint="eastAsia" w:hAnsi="宋体" w:cstheme="minorBidi"/>
          <w:szCs w:val="24"/>
        </w:rPr>
      </w:pPr>
      <w:r>
        <w:rPr>
          <w:rFonts w:hint="eastAsia" w:ascii="宋体" w:hAnsi="宋体" w:eastAsiaTheme="minorEastAsia" w:cstheme="minorBidi"/>
          <w:szCs w:val="24"/>
        </w:rPr>
        <w:tab/>
      </w:r>
      <m:oMath>
        <m:sSub>
          <m:sSubPr>
            <m:ctrlPr>
              <w:rPr>
                <w:rFonts w:hint="eastAsia" w:ascii="Cambria Math" w:hAnsi="Cambria Math"/>
                <w:i/>
                <w:iCs/>
                <w:szCs w:val="24"/>
                <w:u w:val="none"/>
              </w:rPr>
            </m:ctrlPr>
          </m:sSubPr>
          <m:e>
            <m:r>
              <m:rPr/>
              <w:rPr>
                <w:rFonts w:hint="default" w:ascii="Cambria Math" w:hAnsi="Cambria Math"/>
                <w:szCs w:val="24"/>
                <w:u w:val="none"/>
              </w:rPr>
              <m:t>C</m:t>
            </m:r>
            <m:ctrlPr>
              <w:rPr>
                <w:rFonts w:hint="eastAsia" w:ascii="Cambria Math" w:hAnsi="Cambria Math"/>
                <w:i/>
                <w:iCs/>
                <w:szCs w:val="24"/>
                <w:u w:val="none"/>
              </w:rPr>
            </m:ctrlPr>
          </m:e>
          <m:sub>
            <m:r>
              <m:rPr/>
              <w:rPr>
                <w:rFonts w:hint="eastAsia" w:ascii="Cambria Math" w:hAnsi="Cambria Math"/>
                <w:szCs w:val="24"/>
                <w:u w:val="none"/>
              </w:rPr>
              <m:t>4</m:t>
            </m:r>
            <m:ctrlPr>
              <w:rPr>
                <w:rFonts w:hint="eastAsia" w:ascii="Cambria Math" w:hAnsi="Cambria Math"/>
                <w:i/>
                <w:iCs/>
                <w:szCs w:val="24"/>
                <w:u w:val="none"/>
              </w:rPr>
            </m:ctrlPr>
          </m:sub>
        </m:sSub>
        <m:r>
          <m:rPr/>
          <w:rPr>
            <w:rFonts w:hint="eastAsia" w:ascii="Cambria Math" w:hAnsi="Cambria Math"/>
            <w:szCs w:val="24"/>
            <w:u w:val="none"/>
          </w:rPr>
          <m:t>=</m:t>
        </m:r>
        <m:nary>
          <m:naryPr>
            <m:chr m:val="∑"/>
            <m:limLoc m:val="undOvr"/>
            <m:ctrlPr>
              <w:rPr>
                <w:rFonts w:hint="eastAsia" w:ascii="Cambria Math" w:hAnsi="Cambria Math"/>
                <w:i/>
                <w:iCs/>
                <w:szCs w:val="24"/>
                <w:u w:val="none"/>
              </w:rPr>
            </m:ctrlPr>
          </m:naryPr>
          <m:sub>
            <m:r>
              <m:rPr/>
              <w:rPr>
                <w:rFonts w:hint="default" w:ascii="Cambria Math" w:hAnsi="Cambria Math"/>
                <w:szCs w:val="24"/>
                <w:u w:val="none"/>
              </w:rPr>
              <m:t>i=1</m:t>
            </m:r>
            <m:ctrlPr>
              <w:rPr>
                <w:rFonts w:hint="eastAsia" w:ascii="Cambria Math" w:hAnsi="Cambria Math"/>
                <w:i/>
                <w:iCs/>
                <w:szCs w:val="24"/>
                <w:u w:val="none"/>
              </w:rPr>
            </m:ctrlPr>
          </m:sub>
          <m:sup>
            <m:r>
              <m:rPr/>
              <w:rPr>
                <w:rFonts w:hint="default" w:ascii="Cambria Math" w:hAnsi="Cambria Math"/>
                <w:szCs w:val="24"/>
                <w:u w:val="none"/>
              </w:rPr>
              <m:t>n</m:t>
            </m:r>
            <m:ctrlPr>
              <w:rPr>
                <w:rFonts w:hint="eastAsia" w:ascii="Cambria Math" w:hAnsi="Cambria Math"/>
                <w:i/>
                <w:iCs/>
                <w:szCs w:val="24"/>
                <w:u w:val="none"/>
              </w:rPr>
            </m:ctrlPr>
          </m:sup>
          <m:e>
            <m:nary>
              <m:naryPr>
                <m:chr m:val="∑"/>
                <m:limLoc m:val="undOvr"/>
                <m:ctrlPr>
                  <w:rPr>
                    <w:rFonts w:hint="eastAsia" w:ascii="Cambria Math" w:hAnsi="Cambria Math"/>
                    <w:i/>
                    <w:iCs/>
                    <w:szCs w:val="24"/>
                    <w:u w:val="none"/>
                  </w:rPr>
                </m:ctrlPr>
              </m:naryPr>
              <m:sub>
                <m:r>
                  <m:rPr/>
                  <w:rPr>
                    <w:rFonts w:hint="default" w:ascii="Cambria Math" w:hAnsi="Cambria Math"/>
                    <w:szCs w:val="24"/>
                    <w:u w:val="none"/>
                  </w:rPr>
                  <m:t>j=1</m:t>
                </m:r>
                <m:ctrlPr>
                  <w:rPr>
                    <w:rFonts w:hint="eastAsia" w:ascii="Cambria Math" w:hAnsi="Cambria Math"/>
                    <w:i/>
                    <w:iCs/>
                    <w:szCs w:val="24"/>
                    <w:u w:val="none"/>
                  </w:rPr>
                </m:ctrlPr>
              </m:sub>
              <m:sup>
                <m:r>
                  <m:rPr/>
                  <w:rPr>
                    <w:rFonts w:hint="default" w:ascii="Cambria Math" w:hAnsi="Cambria Math"/>
                    <w:szCs w:val="24"/>
                    <w:u w:val="none"/>
                  </w:rPr>
                  <m:t>m</m:t>
                </m:r>
                <m:ctrlPr>
                  <w:rPr>
                    <w:rFonts w:hint="eastAsia" w:ascii="Cambria Math" w:hAnsi="Cambria Math"/>
                    <w:i/>
                    <w:iCs/>
                    <w:szCs w:val="24"/>
                    <w:u w:val="none"/>
                  </w:rPr>
                </m:ctrlPr>
              </m:sup>
              <m:e>
                <m:d>
                  <m:dPr>
                    <m:ctrlPr>
                      <w:rPr>
                        <w:rFonts w:hint="eastAsia" w:ascii="Cambria Math" w:hAnsi="Cambria Math"/>
                        <w:i/>
                        <w:iCs/>
                        <w:szCs w:val="24"/>
                        <w:u w:val="none"/>
                      </w:rPr>
                    </m:ctrlPr>
                  </m:dPr>
                  <m:e>
                    <m:sSub>
                      <m:sSubPr>
                        <m:ctrlPr>
                          <w:rPr>
                            <w:rFonts w:hint="eastAsia" w:ascii="Cambria Math" w:hAnsi="Cambria Math"/>
                            <w:i/>
                            <w:iCs/>
                            <w:szCs w:val="24"/>
                            <w:u w:val="none"/>
                          </w:rPr>
                        </m:ctrlPr>
                      </m:sSubPr>
                      <m:e>
                        <m:r>
                          <m:rPr/>
                          <w:rPr>
                            <w:rFonts w:hint="default" w:ascii="Cambria Math" w:hAnsi="Cambria Math"/>
                            <w:szCs w:val="24"/>
                            <w:u w:val="none"/>
                          </w:rPr>
                          <m:t>N</m:t>
                        </m:r>
                        <m:ctrlPr>
                          <w:rPr>
                            <w:rFonts w:hint="eastAsia" w:ascii="Cambria Math" w:hAnsi="Cambria Math"/>
                            <w:i/>
                            <w:iCs/>
                            <w:szCs w:val="24"/>
                            <w:u w:val="none"/>
                          </w:rPr>
                        </m:ctrlPr>
                      </m:e>
                      <m:sub>
                        <m:r>
                          <m:rPr/>
                          <w:rPr>
                            <w:rFonts w:hint="default" w:ascii="Cambria Math" w:hAnsi="Cambria Math"/>
                            <w:szCs w:val="24"/>
                            <w:u w:val="none"/>
                          </w:rPr>
                          <m:t>i</m:t>
                        </m:r>
                        <m:ctrlPr>
                          <w:rPr>
                            <w:rFonts w:hint="eastAsia" w:ascii="Cambria Math" w:hAnsi="Cambria Math"/>
                            <w:i/>
                            <w:iCs/>
                            <w:szCs w:val="24"/>
                            <w:u w:val="none"/>
                          </w:rPr>
                        </m:ctrlPr>
                      </m:sub>
                    </m:sSub>
                    <m:sSub>
                      <m:sSubPr>
                        <m:ctrlPr>
                          <w:rPr>
                            <w:rFonts w:hint="eastAsia" w:ascii="Cambria Math" w:hAnsi="Cambria Math"/>
                            <w:i/>
                            <w:iCs/>
                            <w:szCs w:val="24"/>
                            <w:u w:val="none"/>
                          </w:rPr>
                        </m:ctrlPr>
                      </m:sSubPr>
                      <m:e>
                        <m:r>
                          <m:rPr/>
                          <w:rPr>
                            <w:rFonts w:hint="default" w:ascii="Cambria Math" w:hAnsi="Cambria Math"/>
                            <w:szCs w:val="24"/>
                            <w:u w:val="none"/>
                          </w:rPr>
                          <m:t>Q</m:t>
                        </m:r>
                        <m:ctrlPr>
                          <w:rPr>
                            <w:rFonts w:hint="eastAsia" w:ascii="Cambria Math" w:hAnsi="Cambria Math"/>
                            <w:i/>
                            <w:iCs/>
                            <w:szCs w:val="24"/>
                            <w:u w:val="none"/>
                          </w:rPr>
                        </m:ctrlPr>
                      </m:e>
                      <m:sub>
                        <m:r>
                          <m:rPr/>
                          <w:rPr>
                            <w:rFonts w:hint="default" w:ascii="Cambria Math" w:hAnsi="Cambria Math"/>
                            <w:szCs w:val="24"/>
                            <w:u w:val="none"/>
                          </w:rPr>
                          <m:t>ij</m:t>
                        </m:r>
                        <m:ctrlPr>
                          <w:rPr>
                            <w:rFonts w:hint="eastAsia" w:ascii="Cambria Math" w:hAnsi="Cambria Math"/>
                            <w:i/>
                            <w:iCs/>
                            <w:szCs w:val="24"/>
                            <w:u w:val="none"/>
                          </w:rPr>
                        </m:ctrlPr>
                      </m:sub>
                    </m:sSub>
                    <m:r>
                      <m:rPr/>
                      <w:rPr>
                        <w:rFonts w:hint="default" w:ascii="Cambria Math" w:hAnsi="Cambria Math"/>
                        <w:szCs w:val="24"/>
                        <w:u w:val="none"/>
                      </w:rPr>
                      <m:t>E</m:t>
                    </m:r>
                    <m:sSub>
                      <m:sSubPr>
                        <m:ctrlPr>
                          <w:rPr>
                            <w:rFonts w:hint="eastAsia" w:ascii="Cambria Math" w:hAnsi="Cambria Math"/>
                            <w:i/>
                            <w:iCs/>
                            <w:szCs w:val="24"/>
                            <w:u w:val="none"/>
                          </w:rPr>
                        </m:ctrlPr>
                      </m:sSubPr>
                      <m:e>
                        <m:r>
                          <m:rPr/>
                          <w:rPr>
                            <w:rFonts w:hint="default" w:ascii="Cambria Math" w:hAnsi="Cambria Math"/>
                            <w:szCs w:val="24"/>
                            <w:u w:val="none"/>
                          </w:rPr>
                          <m:t>F</m:t>
                        </m:r>
                        <m:ctrlPr>
                          <w:rPr>
                            <w:rFonts w:hint="eastAsia" w:ascii="Cambria Math" w:hAnsi="Cambria Math"/>
                            <w:i/>
                            <w:iCs/>
                            <w:szCs w:val="24"/>
                            <w:u w:val="none"/>
                          </w:rPr>
                        </m:ctrlPr>
                      </m:e>
                      <m:sub>
                        <m:r>
                          <m:rPr/>
                          <w:rPr>
                            <w:rFonts w:hint="default" w:ascii="Cambria Math" w:hAnsi="Cambria Math"/>
                            <w:szCs w:val="24"/>
                            <w:u w:val="none"/>
                          </w:rPr>
                          <m:t>j</m:t>
                        </m:r>
                        <m:ctrlPr>
                          <w:rPr>
                            <w:rFonts w:hint="eastAsia" w:ascii="Cambria Math" w:hAnsi="Cambria Math"/>
                            <w:i/>
                            <w:iCs/>
                            <w:szCs w:val="24"/>
                            <w:u w:val="none"/>
                          </w:rPr>
                        </m:ctrlPr>
                      </m:sub>
                    </m:sSub>
                    <m:ctrlPr>
                      <w:rPr>
                        <w:rFonts w:hint="eastAsia" w:ascii="Cambria Math" w:hAnsi="Cambria Math"/>
                        <w:i/>
                        <w:iCs/>
                        <w:szCs w:val="24"/>
                        <w:u w:val="none"/>
                      </w:rPr>
                    </m:ctrlPr>
                  </m:e>
                </m:d>
                <m:ctrlPr>
                  <w:rPr>
                    <w:rFonts w:hint="eastAsia" w:ascii="Cambria Math" w:hAnsi="Cambria Math"/>
                    <w:i/>
                    <w:iCs/>
                    <w:szCs w:val="24"/>
                    <w:u w:val="none"/>
                  </w:rPr>
                </m:ctrlPr>
              </m:e>
            </m:nary>
            <m:ctrlPr>
              <w:rPr>
                <w:rFonts w:hint="eastAsia" w:ascii="Cambria Math" w:hAnsi="Cambria Math"/>
                <w:i/>
                <w:iCs/>
                <w:szCs w:val="24"/>
                <w:u w:val="none"/>
              </w:rPr>
            </m:ctrlPr>
          </m:e>
        </m:nary>
      </m:oMath>
      <w:r>
        <w:rPr>
          <w:rFonts w:hint="eastAsia" w:ascii="宋体" w:hAnsi="宋体" w:eastAsiaTheme="minorEastAsia" w:cstheme="minorBidi"/>
          <w:szCs w:val="24"/>
        </w:rPr>
        <w:tab/>
      </w:r>
      <w:r>
        <w:rPr>
          <w:rFonts w:hint="eastAsia" w:ascii="宋体" w:hAnsi="宋体" w:eastAsiaTheme="minorEastAsia" w:cstheme="minorBidi"/>
          <w:szCs w:val="24"/>
        </w:rPr>
        <w:t>(12)</w:t>
      </w:r>
    </w:p>
    <w:p w14:paraId="1351946A">
      <w:pPr>
        <w:pStyle w:val="37"/>
        <w:tabs>
          <w:tab w:val="center" w:pos="4678"/>
          <w:tab w:val="right" w:pos="9356"/>
        </w:tabs>
        <w:rPr>
          <w:rFonts w:hint="eastAsia"/>
          <w:szCs w:val="21"/>
        </w:rPr>
      </w:pPr>
      <w:r>
        <w:rPr>
          <w:rFonts w:hint="eastAsia" w:ascii="宋体"/>
          <w:szCs w:val="24"/>
          <w:lang w:val="en-US" w:eastAsia="zh-CN"/>
        </w:rPr>
        <w:t>式中：</w:t>
      </w:r>
    </w:p>
    <w:p w14:paraId="0E33BADE">
      <w:pPr>
        <w:pStyle w:val="37"/>
        <w:ind w:firstLineChars="200"/>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4</m:t>
            </m:r>
            <m:ctrlPr>
              <w:rPr>
                <w:rFonts w:hint="eastAsia" w:ascii="Cambria Math" w:hAnsi="Cambria Math"/>
                <w:szCs w:val="24"/>
              </w:rPr>
            </m:ctrlPr>
          </m:sub>
        </m:sSub>
      </m:oMath>
      <w:r>
        <w:rPr>
          <w:rFonts w:hint="eastAsia" w:ascii="宋体" w:hAnsiTheme="minorHAnsi" w:eastAsiaTheme="minorEastAsia" w:cstheme="minorBidi"/>
          <w:szCs w:val="24"/>
        </w:rPr>
        <w:t>——机械能源消耗产生的二氧化碳排放量，单位为千克二氧化碳（kgCO₂）；</w:t>
      </w:r>
    </w:p>
    <w:p w14:paraId="0E33BADF">
      <w:pPr>
        <w:pStyle w:val="37"/>
        <w:ind w:firstLineChars="200"/>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N</m:t>
            </m:r>
            <m:ctrlPr>
              <w:rPr>
                <w:rFonts w:hint="eastAsia" w:ascii="Cambria Math" w:hAnsi="Cambria Math"/>
                <w:szCs w:val="24"/>
              </w:rPr>
            </m:ctrlPr>
          </m:e>
          <m:sub>
            <m:r>
              <m:rPr>
                <m:sty m:val="p"/>
              </m:rPr>
              <w:rPr>
                <w:rFonts w:hint="eastAsia" w:ascii="Cambria Math" w:hAnsi="Cambria Math"/>
                <w:szCs w:val="24"/>
              </w:rPr>
              <m:t>i</m:t>
            </m:r>
            <m:ctrlPr>
              <w:rPr>
                <w:rFonts w:hint="eastAsia" w:ascii="Cambria Math" w:hAnsi="Cambria Math"/>
                <w:szCs w:val="24"/>
              </w:rPr>
            </m:ctrlPr>
          </m:sub>
        </m:sSub>
      </m:oMath>
      <w:r>
        <w:rPr>
          <w:rFonts w:hint="eastAsia" w:ascii="宋体" w:hAnsiTheme="minorHAnsi" w:eastAsiaTheme="minorEastAsia" w:cstheme="minorBidi"/>
          <w:szCs w:val="24"/>
        </w:rPr>
        <w:t>——第i种机械的台班数量，i=1，2，…，n，n为机械种类总数，单位为台班；</w:t>
      </w:r>
    </w:p>
    <w:p w14:paraId="0E33BAE0">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Q</m:t>
            </m:r>
            <m:ctrlPr>
              <w:rPr>
                <w:rFonts w:hint="eastAsia" w:ascii="Cambria Math" w:hAnsi="Cambria Math"/>
                <w:szCs w:val="24"/>
              </w:rPr>
            </m:ctrlPr>
          </m:e>
          <m:sub>
            <m:r>
              <m:rPr>
                <m:sty m:val="p"/>
              </m:rPr>
              <w:rPr>
                <w:rFonts w:hint="eastAsia" w:ascii="Cambria Math" w:hAnsi="Cambria Math"/>
                <w:szCs w:val="24"/>
              </w:rPr>
              <m:t>ij</m:t>
            </m:r>
            <m:ctrlPr>
              <w:rPr>
                <w:rFonts w:hint="eastAsia" w:ascii="Cambria Math" w:hAnsi="Cambria Math"/>
                <w:szCs w:val="24"/>
              </w:rPr>
            </m:ctrlPr>
          </m:sub>
        </m:sSub>
      </m:oMath>
      <w:r>
        <w:rPr>
          <w:rFonts w:hint="eastAsia" w:ascii="宋体" w:hAnsiTheme="minorHAnsi" w:eastAsiaTheme="minorEastAsia" w:cstheme="minorBidi"/>
          <w:szCs w:val="24"/>
        </w:rPr>
        <w:t>——第i种机械单位台班的第j种能源消耗量，j=1，2，…，m，m为能源种类总数，单位为千瓦时（kWh）、升（L）等；</w:t>
      </w:r>
    </w:p>
    <w:p w14:paraId="0E33BAE1">
      <w:pPr>
        <w:pStyle w:val="37"/>
        <w:rPr>
          <w:rFonts w:hint="eastAsia" w:ascii="宋体" w:hAnsiTheme="minorHAnsi" w:cstheme="minorBidi"/>
          <w:szCs w:val="24"/>
        </w:rPr>
      </w:pPr>
      <m:oMath>
        <m:r>
          <m:rPr>
            <m:sty m:val="p"/>
          </m:rPr>
          <w:rPr>
            <w:rFonts w:hint="eastAsia" w:ascii="Cambria Math" w:hAnsi="Cambria Math"/>
            <w:szCs w:val="24"/>
          </w:rPr>
          <m:t>E</m:t>
        </m:r>
        <m:sSub>
          <m:sSubPr>
            <m:ctrlPr>
              <w:rPr>
                <w:rFonts w:hint="eastAsia" w:ascii="Cambria Math" w:hAnsi="Cambria Math"/>
                <w:szCs w:val="24"/>
              </w:rPr>
            </m:ctrlPr>
          </m:sSubPr>
          <m:e>
            <m:r>
              <m:rPr>
                <m:sty m:val="p"/>
              </m:rPr>
              <w:rPr>
                <w:rFonts w:hint="eastAsia" w:ascii="Cambria Math" w:hAnsi="Cambria Math"/>
                <w:szCs w:val="24"/>
              </w:rPr>
              <m:t>F</m:t>
            </m:r>
            <m:ctrlPr>
              <w:rPr>
                <w:rFonts w:hint="eastAsia" w:ascii="Cambria Math" w:hAnsi="Cambria Math"/>
                <w:szCs w:val="24"/>
              </w:rPr>
            </m:ctrlPr>
          </m:e>
          <m:sub>
            <m:r>
              <m:rPr>
                <m:sty m:val="p"/>
              </m:rPr>
              <w:rPr>
                <w:rFonts w:hint="eastAsia" w:ascii="Cambria Math" w:hAnsi="Cambria Math"/>
                <w:szCs w:val="24"/>
              </w:rPr>
              <m:t>j</m:t>
            </m:r>
            <m:ctrlPr>
              <w:rPr>
                <w:rFonts w:hint="eastAsia" w:ascii="Cambria Math" w:hAnsi="Cambria Math"/>
                <w:szCs w:val="24"/>
              </w:rPr>
            </m:ctrlPr>
          </m:sub>
        </m:sSub>
      </m:oMath>
      <w:r>
        <w:rPr>
          <w:rFonts w:hint="eastAsia" w:ascii="宋体" w:hAnsiTheme="minorHAnsi" w:eastAsiaTheme="minorEastAsia" w:cstheme="minorBidi"/>
          <w:szCs w:val="24"/>
        </w:rPr>
        <w:t>——第j种能源的碳排放因子，单位应与其消耗量单位相匹配，并保证各项乘积的结果单位为千克二氧化碳（kgCO</w:t>
      </w:r>
      <w:r>
        <w:rPr>
          <w:rFonts w:hint="default" w:ascii="Times New Roman" w:hAnsi="Times New Roman" w:cs="Times New Roman" w:eastAsiaTheme="minorEastAsia"/>
          <w:szCs w:val="24"/>
        </w:rPr>
        <w:t>₂</w:t>
      </w:r>
      <w:r>
        <w:rPr>
          <w:rFonts w:hint="eastAsia" w:ascii="宋体" w:hAnsiTheme="minorHAnsi" w:eastAsiaTheme="minorEastAsia" w:cstheme="minorBidi"/>
          <w:szCs w:val="24"/>
        </w:rPr>
        <w:t>）。</w:t>
      </w:r>
    </w:p>
    <w:p w14:paraId="0E33BAE3">
      <w:pPr>
        <w:pStyle w:val="31"/>
        <w:rPr>
          <w:rFonts w:hint="eastAsia" w:ascii="Times New Roman" w:hAnsi="Times New Roman" w:eastAsia="宋体" w:cs="Times New Roman"/>
        </w:rPr>
      </w:pPr>
      <w:r>
        <w:rPr>
          <w:rFonts w:hint="eastAsia" w:ascii="Times New Roman" w:hAnsi="Times New Roman" w:eastAsia="宋体" w:cs="Times New Roman"/>
        </w:rPr>
        <w:t>构件安装工程材料消耗应包括构件连接材料、施工辅助材料和周转材料。构件连接材料宜包括螺栓、钢筋、灌浆料和连接板等；施工辅助材料宜包括未列入措施项目的临时支撑、操作平台和防护设施等；周转材料宜包括未列入措施项目的模板、支撑和脚手架等。</w:t>
      </w:r>
    </w:p>
    <w:p w14:paraId="0E33BAE5">
      <w:pPr>
        <w:pStyle w:val="31"/>
        <w:rPr>
          <w:rFonts w:hint="eastAsia" w:ascii="Times New Roman" w:hAnsi="Times New Roman" w:eastAsia="宋体" w:cs="Times New Roman"/>
        </w:rPr>
      </w:pPr>
      <w:r>
        <w:rPr>
          <w:rFonts w:hint="eastAsia" w:ascii="Times New Roman" w:hAnsi="Times New Roman" w:eastAsia="宋体" w:cs="Times New Roman"/>
        </w:rPr>
        <w:t>构件安装工程材料用量应依据现场实际用量、材料领用记录、设计文件或施工方案确定，其中周转材料的碳排放按实际使用次数或可周转次数进行分摊。</w:t>
      </w:r>
    </w:p>
    <w:p w14:paraId="0E33BAE7">
      <w:pPr>
        <w:pStyle w:val="31"/>
        <w:rPr>
          <w:rFonts w:hint="eastAsia" w:ascii="Times New Roman" w:hAnsi="Times New Roman" w:eastAsia="宋体" w:cs="Times New Roman"/>
        </w:rPr>
      </w:pPr>
      <w:r>
        <w:rPr>
          <w:rFonts w:hint="eastAsia" w:ascii="Times New Roman" w:hAnsi="Times New Roman" w:eastAsia="宋体" w:cs="Times New Roman"/>
        </w:rPr>
        <w:t>T梁构件安装过程中材料消耗产生的碳排放可按式（13）核算：</w:t>
      </w:r>
    </w:p>
    <w:p w14:paraId="0E33BAE8">
      <w:pPr>
        <w:pStyle w:val="36"/>
        <w:tabs>
          <w:tab w:val="center" w:pos="4678"/>
          <w:tab w:val="right" w:leader="middleDot" w:pos="9356"/>
        </w:tabs>
        <w:rPr>
          <w:rFonts w:hint="eastAsia" w:hAnsi="宋体"/>
          <w:szCs w:val="24"/>
        </w:rPr>
      </w:pPr>
      <w:r>
        <w:rPr>
          <w:rFonts w:hint="eastAsia" w:ascii="宋体"/>
          <w:szCs w:val="24"/>
        </w:rPr>
        <w:tab/>
      </w:r>
      <m:oMath>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eastAsia" w:ascii="Cambria Math" w:hAnsi="Cambria Math"/>
                <w:szCs w:val="24"/>
              </w:rPr>
              <m:t>5</m:t>
            </m:r>
            <m:ctrlPr>
              <w:rPr>
                <w:rFonts w:hint="eastAsia" w:ascii="Cambria Math" w:hAnsi="Cambria Math"/>
                <w:i/>
                <w:iCs/>
                <w:szCs w:val="24"/>
              </w:rPr>
            </m:ctrlPr>
          </m:sub>
        </m:sSub>
        <m:r>
          <m:rPr/>
          <w:rPr>
            <w:rFonts w:hint="eastAsia" w:ascii="Cambria Math" w:hAnsi="Cambria Math"/>
            <w:szCs w:val="24"/>
          </w:rPr>
          <m:t>=</m:t>
        </m:r>
        <m:nary>
          <m:naryPr>
            <m:chr m:val="∑"/>
            <m:limLoc m:val="undOvr"/>
            <m:ctrlPr>
              <w:rPr>
                <w:rFonts w:hint="eastAsia" w:ascii="Cambria Math" w:hAnsi="Cambria Math"/>
                <w:i/>
                <w:iCs/>
                <w:szCs w:val="24"/>
              </w:rPr>
            </m:ctrlPr>
          </m:naryPr>
          <m:sub>
            <m:r>
              <m:rPr/>
              <w:rPr>
                <w:rFonts w:hint="default" w:ascii="Cambria Math" w:hAnsi="Cambria Math"/>
                <w:szCs w:val="24"/>
              </w:rPr>
              <m:t>i=1</m:t>
            </m:r>
            <m:ctrlPr>
              <w:rPr>
                <w:rFonts w:hint="eastAsia" w:ascii="Cambria Math" w:hAnsi="Cambria Math"/>
                <w:i/>
                <w:iCs/>
                <w:szCs w:val="24"/>
              </w:rPr>
            </m:ctrlPr>
          </m:sub>
          <m:sup>
            <m:r>
              <m:rPr/>
              <w:rPr>
                <w:rFonts w:hint="default" w:ascii="Cambria Math" w:hAnsi="Cambria Math"/>
                <w:szCs w:val="24"/>
              </w:rPr>
              <m:t>n</m:t>
            </m:r>
            <m:ctrlPr>
              <w:rPr>
                <w:rFonts w:hint="eastAsia" w:ascii="Cambria Math" w:hAnsi="Cambria Math"/>
                <w:i/>
                <w:iCs/>
                <w:szCs w:val="24"/>
              </w:rPr>
            </m:ctrlPr>
          </m:sup>
          <m:e>
            <m:sSub>
              <m:sSubPr>
                <m:ctrlPr>
                  <w:rPr>
                    <w:rFonts w:hint="eastAsia" w:ascii="Cambria Math" w:hAnsi="Cambria Math"/>
                    <w:i/>
                    <w:iCs/>
                    <w:szCs w:val="24"/>
                  </w:rPr>
                </m:ctrlPr>
              </m:sSubPr>
              <m:e>
                <m:r>
                  <m:rPr/>
                  <w:rPr>
                    <w:rFonts w:hint="default" w:ascii="Cambria Math" w:hAnsi="Cambria Math"/>
                    <w:szCs w:val="24"/>
                  </w:rPr>
                  <m:t>M</m:t>
                </m:r>
                <m:ctrlPr>
                  <w:rPr>
                    <w:rFonts w:hint="eastAsia" w:ascii="Cambria Math" w:hAnsi="Cambria Math"/>
                    <w:i/>
                    <w:iCs/>
                    <w:szCs w:val="24"/>
                  </w:rPr>
                </m:ctrlPr>
              </m:e>
              <m:sub>
                <m:r>
                  <m:rPr/>
                  <w:rPr>
                    <w:rFonts w:hint="default" w:ascii="Cambria Math" w:hAnsi="Cambria Math"/>
                    <w:szCs w:val="24"/>
                  </w:rPr>
                  <m:t>i</m:t>
                </m:r>
                <m:ctrlPr>
                  <w:rPr>
                    <w:rFonts w:hint="eastAsia" w:ascii="Cambria Math" w:hAnsi="Cambria Math"/>
                    <w:i/>
                    <w:iCs/>
                    <w:szCs w:val="24"/>
                  </w:rPr>
                </m:ctrlPr>
              </m:sub>
            </m:sSub>
            <m:ctrlPr>
              <w:rPr>
                <w:rFonts w:hint="eastAsia" w:ascii="Cambria Math" w:hAnsi="Cambria Math"/>
                <w:i/>
                <w:iCs/>
                <w:szCs w:val="24"/>
              </w:rPr>
            </m:ctrlPr>
          </m:e>
        </m:nary>
        <m:r>
          <m:rPr/>
          <w:rPr>
            <w:rFonts w:hint="default" w:ascii="Cambria Math" w:hAnsi="Cambria Math"/>
            <w:szCs w:val="24"/>
          </w:rPr>
          <m:t>E</m:t>
        </m:r>
        <m:sSub>
          <m:sSubPr>
            <m:ctrlPr>
              <w:rPr>
                <w:rFonts w:hint="eastAsia" w:ascii="Cambria Math" w:hAnsi="Cambria Math"/>
                <w:i/>
                <w:iCs/>
                <w:szCs w:val="24"/>
              </w:rPr>
            </m:ctrlPr>
          </m:sSubPr>
          <m:e>
            <m:r>
              <m:rPr/>
              <w:rPr>
                <w:rFonts w:hint="default" w:ascii="Cambria Math" w:hAnsi="Cambria Math"/>
                <w:szCs w:val="24"/>
              </w:rPr>
              <m:t>F</m:t>
            </m:r>
            <m:ctrlPr>
              <w:rPr>
                <w:rFonts w:hint="eastAsia" w:ascii="Cambria Math" w:hAnsi="Cambria Math"/>
                <w:i/>
                <w:iCs/>
                <w:szCs w:val="24"/>
              </w:rPr>
            </m:ctrlPr>
          </m:e>
          <m:sub>
            <m:r>
              <m:rPr/>
              <w:rPr>
                <w:rFonts w:hint="default" w:ascii="Cambria Math" w:hAnsi="Cambria Math"/>
                <w:szCs w:val="24"/>
              </w:rPr>
              <m:t>i</m:t>
            </m:r>
            <m:ctrlPr>
              <w:rPr>
                <w:rFonts w:hint="eastAsia" w:ascii="Cambria Math" w:hAnsi="Cambria Math"/>
                <w:i/>
                <w:iCs/>
                <w:szCs w:val="24"/>
              </w:rPr>
            </m:ctrlPr>
          </m:sub>
        </m:sSub>
        <m:r>
          <m:rPr/>
          <w:rPr>
            <w:rFonts w:hint="eastAsia" w:ascii="Cambria Math" w:hAnsi="Cambria Math"/>
            <w:szCs w:val="24"/>
          </w:rPr>
          <m:t>+</m:t>
        </m:r>
        <m:nary>
          <m:naryPr>
            <m:chr m:val="∑"/>
            <m:limLoc m:val="undOvr"/>
            <m:ctrlPr>
              <w:rPr>
                <w:rFonts w:hint="eastAsia" w:ascii="Cambria Math" w:hAnsi="Cambria Math"/>
                <w:i/>
                <w:iCs/>
                <w:szCs w:val="24"/>
              </w:rPr>
            </m:ctrlPr>
          </m:naryPr>
          <m:sub>
            <m:r>
              <m:rPr/>
              <w:rPr>
                <w:rFonts w:hint="default" w:ascii="Cambria Math" w:hAnsi="Cambria Math"/>
                <w:szCs w:val="24"/>
              </w:rPr>
              <m:t>k=1</m:t>
            </m:r>
            <m:ctrlPr>
              <w:rPr>
                <w:rFonts w:hint="eastAsia" w:ascii="Cambria Math" w:hAnsi="Cambria Math"/>
                <w:i/>
                <w:iCs/>
                <w:szCs w:val="24"/>
              </w:rPr>
            </m:ctrlPr>
          </m:sub>
          <m:sup>
            <m:r>
              <m:rPr/>
              <w:rPr>
                <w:rFonts w:hint="default" w:ascii="Cambria Math" w:hAnsi="Cambria Math"/>
                <w:szCs w:val="24"/>
              </w:rPr>
              <m:t>m</m:t>
            </m:r>
            <m:ctrlPr>
              <w:rPr>
                <w:rFonts w:hint="eastAsia" w:ascii="Cambria Math" w:hAnsi="Cambria Math"/>
                <w:i/>
                <w:iCs/>
                <w:szCs w:val="24"/>
              </w:rPr>
            </m:ctrlPr>
          </m:sup>
          <m:e>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default" w:ascii="Cambria Math" w:hAnsi="Cambria Math"/>
                    <w:szCs w:val="24"/>
                  </w:rPr>
                  <m:t>k</m:t>
                </m:r>
                <m:ctrlPr>
                  <w:rPr>
                    <w:rFonts w:hint="eastAsia" w:ascii="Cambria Math" w:hAnsi="Cambria Math"/>
                    <w:i/>
                    <w:iCs/>
                    <w:szCs w:val="24"/>
                  </w:rPr>
                </m:ctrlPr>
              </m:sub>
            </m:sSub>
            <m:ctrlPr>
              <w:rPr>
                <w:rFonts w:hint="eastAsia" w:ascii="Cambria Math" w:hAnsi="Cambria Math"/>
                <w:i/>
                <w:iCs/>
                <w:szCs w:val="24"/>
              </w:rPr>
            </m:ctrlPr>
          </m:e>
        </m:nary>
      </m:oMath>
      <w:r>
        <w:rPr>
          <w:rFonts w:hint="eastAsia" w:ascii="宋体"/>
          <w:szCs w:val="24"/>
        </w:rPr>
        <w:tab/>
      </w:r>
      <w:r>
        <w:rPr>
          <w:rFonts w:hint="eastAsia" w:ascii="宋体"/>
          <w:szCs w:val="24"/>
        </w:rPr>
        <w:t>(13)</w:t>
      </w:r>
    </w:p>
    <w:p w14:paraId="7B065540">
      <w:pPr>
        <w:pStyle w:val="37"/>
        <w:tabs>
          <w:tab w:val="center" w:pos="4678"/>
          <w:tab w:val="right" w:pos="9356"/>
        </w:tabs>
        <w:rPr>
          <w:rFonts w:hint="eastAsia"/>
          <w:szCs w:val="21"/>
        </w:rPr>
      </w:pPr>
      <w:r>
        <w:rPr>
          <w:rFonts w:hint="eastAsia" w:ascii="宋体"/>
          <w:szCs w:val="24"/>
          <w:lang w:val="en-US" w:eastAsia="zh-CN"/>
        </w:rPr>
        <w:t>式中：</w:t>
      </w:r>
    </w:p>
    <w:p w14:paraId="0E33BAE9">
      <w:pPr>
        <w:pStyle w:val="37"/>
        <w:ind w:firstLineChars="200"/>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5</m:t>
            </m:r>
            <m:ctrlPr>
              <w:rPr>
                <w:rFonts w:hint="eastAsia" w:ascii="Cambria Math" w:hAnsi="Cambria Math"/>
                <w:szCs w:val="24"/>
              </w:rPr>
            </m:ctrlPr>
          </m:sub>
        </m:sSub>
      </m:oMath>
      <w:r>
        <w:rPr>
          <w:rFonts w:hint="eastAsia" w:ascii="宋体" w:hAnsiTheme="minorHAnsi" w:eastAsiaTheme="minorEastAsia" w:cstheme="minorBidi"/>
          <w:szCs w:val="24"/>
        </w:rPr>
        <w:t>——T梁构件安装过程中材料消耗产生的二氧化碳排放量，单位为千克二氧化碳（kgCO₂）；</w:t>
      </w:r>
    </w:p>
    <w:p w14:paraId="0E33BAEA">
      <w:pPr>
        <w:pStyle w:val="37"/>
        <w:ind w:firstLineChars="200"/>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M</m:t>
            </m:r>
            <m:ctrlPr>
              <w:rPr>
                <w:rFonts w:hint="eastAsia" w:ascii="Cambria Math" w:hAnsi="Cambria Math"/>
                <w:szCs w:val="24"/>
              </w:rPr>
            </m:ctrlPr>
          </m:e>
          <m:sub>
            <m:r>
              <m:rPr>
                <m:sty m:val="p"/>
              </m:rPr>
              <w:rPr>
                <w:rFonts w:hint="eastAsia" w:ascii="Cambria Math" w:hAnsi="Cambria Math"/>
                <w:szCs w:val="24"/>
              </w:rPr>
              <m:t>i</m:t>
            </m:r>
            <m:ctrlPr>
              <w:rPr>
                <w:rFonts w:hint="eastAsia" w:ascii="Cambria Math" w:hAnsi="Cambria Math"/>
                <w:szCs w:val="24"/>
              </w:rPr>
            </m:ctrlPr>
          </m:sub>
        </m:sSub>
      </m:oMath>
      <w:r>
        <w:rPr>
          <w:rFonts w:hint="eastAsia" w:ascii="宋体" w:hAnsiTheme="minorHAnsi" w:eastAsiaTheme="minorEastAsia" w:cstheme="minorBidi"/>
          <w:szCs w:val="24"/>
        </w:rPr>
        <w:t>——第i种非周转材料的消耗量，i=1，2，…，n，n为非周转材料种类总数，单位视材料类型而定；</w:t>
      </w:r>
    </w:p>
    <w:p w14:paraId="0E33BAEB">
      <w:pPr>
        <w:pStyle w:val="37"/>
        <w:ind w:firstLineChars="200"/>
        <w:rPr>
          <w:rFonts w:hint="eastAsia" w:ascii="宋体" w:hAnsiTheme="minorHAnsi" w:cstheme="minorBidi"/>
          <w:szCs w:val="24"/>
        </w:rPr>
      </w:pPr>
      <m:oMath>
        <m:r>
          <m:rPr>
            <m:sty m:val="p"/>
          </m:rPr>
          <w:rPr>
            <w:rFonts w:hint="eastAsia" w:ascii="Cambria Math" w:hAnsi="Cambria Math"/>
            <w:szCs w:val="24"/>
          </w:rPr>
          <m:t>E</m:t>
        </m:r>
        <m:sSub>
          <m:sSubPr>
            <m:ctrlPr>
              <w:rPr>
                <w:rFonts w:hint="eastAsia" w:ascii="Cambria Math" w:hAnsi="Cambria Math"/>
                <w:szCs w:val="24"/>
              </w:rPr>
            </m:ctrlPr>
          </m:sSubPr>
          <m:e>
            <m:r>
              <m:rPr>
                <m:sty m:val="p"/>
              </m:rPr>
              <w:rPr>
                <w:rFonts w:hint="eastAsia" w:ascii="Cambria Math" w:hAnsi="Cambria Math"/>
                <w:szCs w:val="24"/>
              </w:rPr>
              <m:t>F</m:t>
            </m:r>
            <m:ctrlPr>
              <w:rPr>
                <w:rFonts w:hint="eastAsia" w:ascii="Cambria Math" w:hAnsi="Cambria Math"/>
                <w:szCs w:val="24"/>
              </w:rPr>
            </m:ctrlPr>
          </m:e>
          <m:sub>
            <m:r>
              <m:rPr>
                <m:sty m:val="p"/>
              </m:rPr>
              <w:rPr>
                <w:rFonts w:hint="eastAsia" w:ascii="Cambria Math" w:hAnsi="Cambria Math"/>
                <w:szCs w:val="24"/>
              </w:rPr>
              <m:t>i</m:t>
            </m:r>
            <m:ctrlPr>
              <w:rPr>
                <w:rFonts w:hint="eastAsia" w:ascii="Cambria Math" w:hAnsi="Cambria Math"/>
                <w:szCs w:val="24"/>
              </w:rPr>
            </m:ctrlPr>
          </m:sub>
        </m:sSub>
      </m:oMath>
      <w:r>
        <w:rPr>
          <w:rFonts w:hint="eastAsia" w:ascii="宋体" w:hAnsiTheme="minorHAnsi" w:eastAsiaTheme="minorEastAsia" w:cstheme="minorBidi"/>
          <w:szCs w:val="24"/>
        </w:rPr>
        <w:t>——第i种非周转材料的碳排放因子，单位应与其消耗量单位相匹配，并保证各项乘积的结果单位为千克二氧化碳（kgCO</w:t>
      </w:r>
      <w:r>
        <w:rPr>
          <w:rFonts w:hint="default" w:ascii="Times New Roman" w:hAnsi="Times New Roman" w:cs="Times New Roman" w:eastAsiaTheme="minorEastAsia"/>
          <w:szCs w:val="24"/>
        </w:rPr>
        <w:t>₂</w:t>
      </w:r>
      <w:r>
        <w:rPr>
          <w:rFonts w:hint="eastAsia" w:ascii="宋体" w:hAnsiTheme="minorHAnsi" w:eastAsiaTheme="minorEastAsia" w:cstheme="minorBidi"/>
          <w:szCs w:val="24"/>
        </w:rPr>
        <w:t>）；</w:t>
      </w:r>
    </w:p>
    <w:p w14:paraId="0E33BAEC">
      <w:pPr>
        <w:pStyle w:val="37"/>
        <w:ind w:firstLineChars="200"/>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k</m:t>
            </m:r>
            <m:ctrlPr>
              <w:rPr>
                <w:rFonts w:hint="eastAsia" w:ascii="Cambria Math" w:hAnsi="Cambria Math"/>
                <w:szCs w:val="24"/>
              </w:rPr>
            </m:ctrlPr>
          </m:sub>
        </m:sSub>
      </m:oMath>
      <w:r>
        <w:rPr>
          <w:rFonts w:hint="eastAsia" w:ascii="宋体" w:hAnsiTheme="minorHAnsi" w:eastAsiaTheme="minorEastAsia" w:cstheme="minorBidi"/>
          <w:szCs w:val="24"/>
        </w:rPr>
        <w:t>——第k种可周转材料产生的二氧化碳排放量，k=1，2，…，m，m为可周转材料种类总数；其核算方法按6.3.8执行，单位为千克二氧化碳（kgCO</w:t>
      </w:r>
      <w:r>
        <w:rPr>
          <w:rFonts w:hint="default" w:ascii="Times New Roman" w:hAnsi="Times New Roman" w:cs="Times New Roman" w:eastAsiaTheme="minorEastAsia"/>
          <w:szCs w:val="24"/>
        </w:rPr>
        <w:t>₂</w:t>
      </w:r>
      <w:r>
        <w:rPr>
          <w:rFonts w:hint="eastAsia" w:ascii="宋体" w:hAnsiTheme="minorHAnsi" w:eastAsiaTheme="minorEastAsia" w:cstheme="minorBidi"/>
          <w:szCs w:val="24"/>
        </w:rPr>
        <w:t>）。</w:t>
      </w:r>
    </w:p>
    <w:p w14:paraId="0E33BAEE">
      <w:pPr>
        <w:pStyle w:val="31"/>
        <w:rPr>
          <w:rFonts w:hint="eastAsia" w:ascii="Times New Roman" w:hAnsi="Times New Roman" w:eastAsia="宋体" w:cs="Times New Roman"/>
        </w:rPr>
      </w:pPr>
      <w:r>
        <w:rPr>
          <w:rFonts w:hint="eastAsia" w:ascii="Times New Roman" w:hAnsi="Times New Roman" w:eastAsia="宋体" w:cs="Times New Roman"/>
          <w:kern w:val="0"/>
        </w:rPr>
        <w:t>已计入</w:t>
      </w:r>
      <w:r>
        <w:rPr>
          <w:rFonts w:hint="eastAsia" w:ascii="Times New Roman" w:eastAsia="宋体" w:cs="Times New Roman"/>
          <w:kern w:val="0"/>
          <w:lang w:val="en-US" w:eastAsia="zh-CN"/>
        </w:rPr>
        <w:t>措施项目</w:t>
      </w:r>
      <w:r>
        <w:rPr>
          <w:rFonts w:hint="eastAsia" w:ascii="Times New Roman" w:hAnsi="Times New Roman" w:eastAsia="宋体" w:cs="Times New Roman"/>
          <w:kern w:val="0"/>
        </w:rPr>
        <w:t>的材料、机械和能源消耗，不得重复计入构件安装工程的机械能源消耗或</w:t>
      </w:r>
      <w:r>
        <w:rPr>
          <w:rFonts w:hint="eastAsia" w:ascii="Times New Roman" w:hAnsi="Times New Roman" w:eastAsia="宋体" w:cs="Times New Roman"/>
        </w:rPr>
        <w:t>材料消耗。</w:t>
      </w:r>
    </w:p>
    <w:p w14:paraId="0E33BAF0">
      <w:pPr>
        <w:pStyle w:val="31"/>
        <w:rPr>
          <w:rFonts w:hint="eastAsia" w:ascii="Times New Roman" w:hAnsi="Times New Roman" w:eastAsia="宋体" w:cs="Times New Roman"/>
        </w:rPr>
      </w:pPr>
      <w:r>
        <w:rPr>
          <w:rFonts w:hint="eastAsia" w:ascii="Times New Roman" w:eastAsia="宋体" w:cs="Times New Roman"/>
          <w:snapToGrid/>
          <w:kern w:val="0"/>
          <w:lang w:val="en-US" w:eastAsia="zh-CN"/>
        </w:rPr>
        <w:t>施工</w:t>
      </w:r>
      <w:r>
        <w:rPr>
          <w:rFonts w:hint="eastAsia" w:ascii="Times New Roman" w:hAnsi="Times New Roman" w:eastAsia="宋体" w:cs="Times New Roman"/>
        </w:rPr>
        <w:t>施项目中能源消耗较大的项目应重点核算，宜包括脚手架、模板及支架、垂直运输机械、施工排水和降水、临时设施等。措施项目可分为可计量措施项目和难以计量措施项目；可明确工程量、机械台班、能源消耗量或材料消耗量的，应按可计量措施项目核算；难以单独确定上述消耗量的，可采用系数法估算。共享措施项目的碳排放应优先按机械使用时间、工程量、T梁体积或其他可验证的物理关系分配；无法建立合理物理关系时，可采用经济价值分配，并应说明依据。</w:t>
      </w:r>
    </w:p>
    <w:p w14:paraId="0E33BAF2">
      <w:pPr>
        <w:pStyle w:val="31"/>
        <w:rPr>
          <w:rFonts w:hint="eastAsia" w:ascii="Times New Roman" w:hAnsi="Times New Roman" w:eastAsia="宋体" w:cs="Times New Roman"/>
        </w:rPr>
      </w:pPr>
      <w:r>
        <w:rPr>
          <w:rFonts w:hint="eastAsia" w:ascii="Times New Roman" w:hAnsi="Times New Roman" w:eastAsia="宋体" w:cs="Times New Roman"/>
        </w:rPr>
        <w:t>T梁构件安装过程中</w:t>
      </w:r>
      <w:r>
        <w:rPr>
          <w:rFonts w:hint="eastAsia" w:ascii="Times New Roman" w:eastAsia="宋体" w:cs="Times New Roman"/>
          <w:lang w:val="en-US" w:eastAsia="zh-CN"/>
        </w:rPr>
        <w:t>措施项目</w:t>
      </w:r>
      <w:r>
        <w:rPr>
          <w:rFonts w:hint="eastAsia" w:ascii="Times New Roman" w:hAnsi="Times New Roman" w:eastAsia="宋体" w:cs="Times New Roman"/>
        </w:rPr>
        <w:t>产生的碳排放量可按式（14）核算：</w:t>
      </w:r>
    </w:p>
    <w:p w14:paraId="0E33BAF3">
      <w:pPr>
        <w:pStyle w:val="36"/>
        <w:tabs>
          <w:tab w:val="center" w:pos="4678"/>
          <w:tab w:val="right" w:leader="middleDot" w:pos="9356"/>
        </w:tabs>
        <w:rPr>
          <w:rFonts w:hint="eastAsia"/>
          <w:szCs w:val="24"/>
        </w:rPr>
      </w:pPr>
      <w:r>
        <w:rPr>
          <w:rFonts w:hint="eastAsia" w:ascii="宋体"/>
          <w:szCs w:val="24"/>
        </w:rPr>
        <w:tab/>
      </w:r>
      <m:oMath>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eastAsia" w:ascii="Cambria Math" w:hAnsi="Cambria Math"/>
                <w:szCs w:val="24"/>
              </w:rPr>
              <m:t>6</m:t>
            </m:r>
            <m:ctrlPr>
              <w:rPr>
                <w:rFonts w:hint="eastAsia" w:ascii="Cambria Math" w:hAnsi="Cambria Math"/>
                <w:i/>
                <w:iCs/>
                <w:szCs w:val="24"/>
              </w:rPr>
            </m:ctrlPr>
          </m:sub>
        </m:sSub>
        <m:r>
          <m:rPr/>
          <w:rPr>
            <w:rFonts w:hint="eastAsia" w:ascii="Cambria Math" w:hAnsi="Cambria Math"/>
            <w:szCs w:val="24"/>
          </w:rPr>
          <m:t>=</m:t>
        </m:r>
        <m:nary>
          <m:naryPr>
            <m:chr m:val="∑"/>
            <m:limLoc m:val="undOvr"/>
            <m:ctrlPr>
              <w:rPr>
                <w:rFonts w:hint="eastAsia" w:ascii="Cambria Math" w:hAnsi="Cambria Math"/>
                <w:i/>
                <w:iCs/>
                <w:szCs w:val="24"/>
              </w:rPr>
            </m:ctrlPr>
          </m:naryPr>
          <m:sub>
            <m:r>
              <m:rPr/>
              <w:rPr>
                <w:rFonts w:hint="default" w:ascii="Cambria Math" w:hAnsi="Cambria Math"/>
                <w:szCs w:val="24"/>
              </w:rPr>
              <m:t>i=1</m:t>
            </m:r>
            <m:ctrlPr>
              <w:rPr>
                <w:rFonts w:hint="eastAsia" w:ascii="Cambria Math" w:hAnsi="Cambria Math"/>
                <w:i/>
                <w:iCs/>
                <w:szCs w:val="24"/>
              </w:rPr>
            </m:ctrlPr>
          </m:sub>
          <m:sup>
            <m:r>
              <m:rPr/>
              <w:rPr>
                <w:rFonts w:hint="default" w:ascii="Cambria Math" w:hAnsi="Cambria Math"/>
                <w:szCs w:val="24"/>
              </w:rPr>
              <m:t>n</m:t>
            </m:r>
            <m:ctrlPr>
              <w:rPr>
                <w:rFonts w:hint="eastAsia" w:ascii="Cambria Math" w:hAnsi="Cambria Math"/>
                <w:i/>
                <w:iCs/>
                <w:szCs w:val="24"/>
              </w:rPr>
            </m:ctrlPr>
          </m:sup>
          <m:e>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default" w:ascii="Cambria Math" w:hAnsi="Cambria Math"/>
                    <w:szCs w:val="24"/>
                  </w:rPr>
                  <m:t>i</m:t>
                </m:r>
                <m:ctrlPr>
                  <w:rPr>
                    <w:rFonts w:hint="eastAsia" w:ascii="Cambria Math" w:hAnsi="Cambria Math"/>
                    <w:i/>
                    <w:iCs/>
                    <w:szCs w:val="24"/>
                  </w:rPr>
                </m:ctrlPr>
              </m:sub>
            </m:sSub>
            <m:ctrlPr>
              <w:rPr>
                <w:rFonts w:hint="eastAsia" w:ascii="Cambria Math" w:hAnsi="Cambria Math"/>
                <w:i/>
                <w:iCs/>
                <w:szCs w:val="24"/>
              </w:rPr>
            </m:ctrlPr>
          </m:e>
        </m:nary>
        <m:r>
          <m:rPr/>
          <w:rPr>
            <w:rFonts w:hint="eastAsia" w:ascii="Cambria Math" w:hAnsi="Cambria Math"/>
            <w:szCs w:val="24"/>
          </w:rPr>
          <m:t>+</m:t>
        </m:r>
        <m:nary>
          <m:naryPr>
            <m:chr m:val="∑"/>
            <m:limLoc m:val="undOvr"/>
            <m:ctrlPr>
              <w:rPr>
                <w:rFonts w:hint="eastAsia" w:ascii="Cambria Math" w:hAnsi="Cambria Math"/>
                <w:i/>
                <w:iCs/>
                <w:szCs w:val="24"/>
              </w:rPr>
            </m:ctrlPr>
          </m:naryPr>
          <m:sub>
            <m:r>
              <m:rPr/>
              <w:rPr>
                <w:rFonts w:hint="default" w:ascii="Cambria Math" w:hAnsi="Cambria Math"/>
                <w:szCs w:val="24"/>
              </w:rPr>
              <m:t>j=1</m:t>
            </m:r>
            <m:ctrlPr>
              <w:rPr>
                <w:rFonts w:hint="eastAsia" w:ascii="Cambria Math" w:hAnsi="Cambria Math"/>
                <w:i/>
                <w:iCs/>
                <w:szCs w:val="24"/>
              </w:rPr>
            </m:ctrlPr>
          </m:sub>
          <m:sup>
            <m:r>
              <m:rPr/>
              <w:rPr>
                <w:rFonts w:hint="default" w:ascii="Cambria Math" w:hAnsi="Cambria Math"/>
                <w:szCs w:val="24"/>
              </w:rPr>
              <m:t>m</m:t>
            </m:r>
            <m:ctrlPr>
              <w:rPr>
                <w:rFonts w:hint="eastAsia" w:ascii="Cambria Math" w:hAnsi="Cambria Math"/>
                <w:i/>
                <w:iCs/>
                <w:szCs w:val="24"/>
              </w:rPr>
            </m:ctrlPr>
          </m:sup>
          <m:e>
            <m:sSub>
              <m:sSubPr>
                <m:ctrlPr>
                  <w:rPr>
                    <w:rFonts w:hint="eastAsia" w:ascii="Cambria Math" w:hAnsi="Cambria Math"/>
                    <w:i/>
                    <w:iCs/>
                    <w:szCs w:val="24"/>
                  </w:rPr>
                </m:ctrlPr>
              </m:sSubPr>
              <m:e>
                <m:r>
                  <m:rPr/>
                  <w:rPr>
                    <w:rFonts w:hint="default" w:ascii="Cambria Math" w:hAnsi="Cambria Math"/>
                    <w:szCs w:val="24"/>
                  </w:rPr>
                  <m:t>B</m:t>
                </m:r>
                <m:ctrlPr>
                  <w:rPr>
                    <w:rFonts w:hint="eastAsia" w:ascii="Cambria Math" w:hAnsi="Cambria Math"/>
                    <w:i/>
                    <w:iCs/>
                    <w:szCs w:val="24"/>
                  </w:rPr>
                </m:ctrlPr>
              </m:e>
              <m:sub>
                <m:r>
                  <m:rPr/>
                  <w:rPr>
                    <w:rFonts w:hint="default" w:ascii="Cambria Math" w:hAnsi="Cambria Math"/>
                    <w:szCs w:val="24"/>
                  </w:rPr>
                  <m:t>j</m:t>
                </m:r>
                <m:ctrlPr>
                  <w:rPr>
                    <w:rFonts w:hint="eastAsia" w:ascii="Cambria Math" w:hAnsi="Cambria Math"/>
                    <w:i/>
                    <w:iCs/>
                    <w:szCs w:val="24"/>
                  </w:rPr>
                </m:ctrlPr>
              </m:sub>
            </m:sSub>
            <m:ctrlPr>
              <w:rPr>
                <w:rFonts w:hint="eastAsia" w:ascii="Cambria Math" w:hAnsi="Cambria Math"/>
                <w:i/>
                <w:iCs/>
                <w:szCs w:val="24"/>
              </w:rPr>
            </m:ctrlPr>
          </m:e>
        </m:nary>
        <m:sSub>
          <m:sSubPr>
            <m:ctrlPr>
              <w:rPr>
                <w:rFonts w:hint="eastAsia" w:ascii="Cambria Math" w:hAnsi="Cambria Math"/>
                <w:i/>
                <w:iCs/>
                <w:szCs w:val="24"/>
              </w:rPr>
            </m:ctrlPr>
          </m:sSubPr>
          <m:e>
            <m:r>
              <m:rPr/>
              <w:rPr>
                <w:rFonts w:hint="default" w:ascii="Cambria Math" w:hAnsi="Cambria Math"/>
                <w:szCs w:val="24"/>
              </w:rPr>
              <m:t>K</m:t>
            </m:r>
            <m:ctrlPr>
              <w:rPr>
                <w:rFonts w:hint="eastAsia" w:ascii="Cambria Math" w:hAnsi="Cambria Math"/>
                <w:i/>
                <w:iCs/>
                <w:szCs w:val="24"/>
              </w:rPr>
            </m:ctrlPr>
          </m:e>
          <m:sub>
            <m:r>
              <m:rPr/>
              <w:rPr>
                <w:rFonts w:hint="default" w:ascii="Cambria Math" w:hAnsi="Cambria Math"/>
                <w:szCs w:val="24"/>
              </w:rPr>
              <m:t>j</m:t>
            </m:r>
            <m:ctrlPr>
              <w:rPr>
                <w:rFonts w:hint="eastAsia" w:ascii="Cambria Math" w:hAnsi="Cambria Math"/>
                <w:i/>
                <w:iCs/>
                <w:szCs w:val="24"/>
              </w:rPr>
            </m:ctrlPr>
          </m:sub>
        </m:sSub>
      </m:oMath>
      <w:r>
        <w:rPr>
          <w:rFonts w:hint="eastAsia" w:ascii="宋体"/>
          <w:szCs w:val="24"/>
        </w:rPr>
        <w:tab/>
      </w:r>
      <w:r>
        <w:rPr>
          <w:rFonts w:hint="eastAsia" w:ascii="宋体"/>
          <w:szCs w:val="24"/>
        </w:rPr>
        <w:t>(14)</w:t>
      </w:r>
    </w:p>
    <w:p w14:paraId="69D39396">
      <w:pPr>
        <w:pStyle w:val="37"/>
        <w:tabs>
          <w:tab w:val="center" w:pos="4678"/>
          <w:tab w:val="right" w:pos="9356"/>
        </w:tabs>
        <w:rPr>
          <w:rFonts w:hint="eastAsia"/>
          <w:szCs w:val="21"/>
        </w:rPr>
      </w:pPr>
      <w:r>
        <w:rPr>
          <w:rFonts w:hint="eastAsia" w:ascii="宋体"/>
          <w:szCs w:val="24"/>
          <w:lang w:val="en-US" w:eastAsia="zh-CN"/>
        </w:rPr>
        <w:t>式中：</w:t>
      </w:r>
    </w:p>
    <w:p w14:paraId="0E33BAF4">
      <w:pPr>
        <w:pStyle w:val="37"/>
        <w:ind w:firstLineChars="200"/>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6</m:t>
            </m:r>
            <m:ctrlPr>
              <w:rPr>
                <w:rFonts w:hint="eastAsia" w:ascii="Cambria Math" w:hAnsi="Cambria Math"/>
                <w:szCs w:val="24"/>
              </w:rPr>
            </m:ctrlPr>
          </m:sub>
        </m:sSub>
      </m:oMath>
      <w:r>
        <w:rPr>
          <w:rFonts w:hint="eastAsia" w:ascii="宋体" w:hAnsiTheme="minorHAnsi" w:eastAsiaTheme="minorEastAsia" w:cstheme="minorBidi"/>
          <w:szCs w:val="24"/>
        </w:rPr>
        <w:t>——T梁构件安装过程中措施项目产生的二氧化碳排放量，单位为千克二氧化碳（kgCO₂）；</w:t>
      </w:r>
    </w:p>
    <w:p w14:paraId="0E33BAF5">
      <w:pPr>
        <w:pStyle w:val="37"/>
        <w:ind w:firstLineChars="200"/>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i</m:t>
            </m:r>
            <m:ctrlPr>
              <w:rPr>
                <w:rFonts w:hint="eastAsia" w:ascii="Cambria Math" w:hAnsi="Cambria Math"/>
                <w:szCs w:val="24"/>
              </w:rPr>
            </m:ctrlPr>
          </m:sub>
        </m:sSub>
      </m:oMath>
      <w:r>
        <w:rPr>
          <w:rFonts w:hint="eastAsia" w:ascii="宋体" w:hAnsiTheme="minorHAnsi" w:eastAsiaTheme="minorEastAsia" w:cstheme="minorBidi"/>
          <w:szCs w:val="24"/>
        </w:rPr>
        <w:t>——第i项可计量措施项目产生的二氧化碳排放量，i=1，2，…，n，n为可计量措施项目总数，单位为千克二氧化碳（kgCO₂）；</w:t>
      </w:r>
    </w:p>
    <w:p w14:paraId="0E33BAF6">
      <w:pPr>
        <w:pStyle w:val="37"/>
        <w:ind w:firstLineChars="200"/>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B</m:t>
            </m:r>
            <m:ctrlPr>
              <w:rPr>
                <w:rFonts w:hint="eastAsia" w:ascii="Cambria Math" w:hAnsi="Cambria Math"/>
                <w:szCs w:val="24"/>
              </w:rPr>
            </m:ctrlPr>
          </m:e>
          <m:sub>
            <m:r>
              <m:rPr>
                <m:sty m:val="p"/>
              </m:rPr>
              <w:rPr>
                <w:rFonts w:hint="eastAsia" w:ascii="Cambria Math" w:hAnsi="Cambria Math"/>
                <w:szCs w:val="24"/>
              </w:rPr>
              <m:t>j</m:t>
            </m:r>
            <m:ctrlPr>
              <w:rPr>
                <w:rFonts w:hint="eastAsia" w:ascii="Cambria Math" w:hAnsi="Cambria Math"/>
                <w:szCs w:val="24"/>
              </w:rPr>
            </m:ctrlPr>
          </m:sub>
        </m:sSub>
      </m:oMath>
      <w:r>
        <w:rPr>
          <w:rFonts w:hint="eastAsia" w:ascii="宋体" w:hAnsiTheme="minorHAnsi" w:cstheme="minorBidi"/>
          <w:szCs w:val="24"/>
        </w:rPr>
        <w:t>——第j项难以计量措施项目的折算基数，j=1，2，…，m，m为难以计量措施项目总数，单位根据所选折算基数确定；</w:t>
      </w:r>
    </w:p>
    <w:p w14:paraId="0E33BAF7">
      <w:pPr>
        <w:pStyle w:val="37"/>
        <w:ind w:firstLineChars="200"/>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K</m:t>
            </m:r>
            <m:ctrlPr>
              <w:rPr>
                <w:rFonts w:hint="eastAsia" w:ascii="Cambria Math" w:hAnsi="Cambria Math"/>
                <w:szCs w:val="24"/>
              </w:rPr>
            </m:ctrlPr>
          </m:e>
          <m:sub>
            <m:r>
              <m:rPr>
                <m:sty m:val="p"/>
              </m:rPr>
              <w:rPr>
                <w:rFonts w:hint="eastAsia" w:ascii="Cambria Math" w:hAnsi="Cambria Math"/>
                <w:szCs w:val="24"/>
              </w:rPr>
              <m:t>j</m:t>
            </m:r>
            <m:ctrlPr>
              <w:rPr>
                <w:rFonts w:hint="eastAsia" w:ascii="Cambria Math" w:hAnsi="Cambria Math"/>
                <w:szCs w:val="24"/>
              </w:rPr>
            </m:ctrlPr>
          </m:sub>
        </m:sSub>
      </m:oMath>
      <w:r>
        <w:rPr>
          <w:rFonts w:hint="eastAsia" w:ascii="宋体" w:hAnsiTheme="minorHAnsi" w:cstheme="minorBidi"/>
          <w:szCs w:val="24"/>
        </w:rPr>
        <w:t>——第j项难以计量措施项目的碳排放折算系数，其单位应与折算基数相匹配，并保证各项乘积的结果单位为千克二氧化碳（kgCO₂）。</w:t>
      </w:r>
    </w:p>
    <w:p w14:paraId="0E33BAF8">
      <w:pPr>
        <w:widowControl/>
        <w:tabs>
          <w:tab w:val="center" w:pos="4678"/>
          <w:tab w:val="right" w:pos="9356"/>
        </w:tabs>
        <w:rPr>
          <w:rFonts w:hint="eastAsia" w:hAnsi="宋体" w:cs="宋体"/>
        </w:rPr>
      </w:pPr>
      <w:r>
        <w:rPr>
          <w:rFonts w:hint="eastAsia" w:hAnsi="Times New Roman" w:cs="Times New Roman"/>
        </w:rPr>
        <w:t>注：</w:t>
      </w:r>
      <m:oMath>
        <m:sSub>
          <m:sSubPr>
            <m:ctrlPr>
              <w:rPr>
                <w:rFonts w:hint="eastAsia" w:ascii="Cambria Math" w:hAnsi="Cambria Math" w:cs="宋体"/>
              </w:rPr>
            </m:ctrlPr>
          </m:sSubPr>
          <m:e>
            <m:r>
              <m:rPr>
                <m:sty m:val="p"/>
              </m:rPr>
              <w:rPr>
                <w:rFonts w:hint="eastAsia" w:ascii="Cambria Math" w:hAnsi="Cambria Math" w:cs="宋体"/>
              </w:rPr>
              <m:t>B</m:t>
            </m:r>
            <m:ctrlPr>
              <w:rPr>
                <w:rFonts w:hint="eastAsia" w:ascii="Cambria Math" w:hAnsi="Cambria Math" w:cs="宋体"/>
              </w:rPr>
            </m:ctrlPr>
          </m:e>
          <m:sub>
            <m:r>
              <m:rPr>
                <m:sty m:val="p"/>
              </m:rPr>
              <w:rPr>
                <w:rFonts w:hint="eastAsia" w:ascii="Cambria Math" w:hAnsi="Cambria Math" w:cs="宋体"/>
              </w:rPr>
              <m:t xml:space="preserve">j </m:t>
            </m:r>
            <m:ctrlPr>
              <w:rPr>
                <w:rFonts w:hint="eastAsia" w:ascii="Cambria Math" w:hAnsi="Cambria Math" w:cs="宋体"/>
              </w:rPr>
            </m:ctrlPr>
          </m:sub>
        </m:sSub>
      </m:oMath>
      <w:r>
        <w:rPr>
          <w:rFonts w:hint="eastAsia" w:hAnsi="Times New Roman" w:cs="Times New Roman"/>
        </w:rPr>
        <w:t>可根据难以计量措施项目的特点，选取已核算的构件安装工程碳排放量、可计量措施项目碳排放量或相关工程费用作为折算基数；</w:t>
      </w:r>
      <m:oMath>
        <m:sSub>
          <m:sSubPr>
            <m:ctrlPr>
              <w:rPr>
                <w:rFonts w:hint="eastAsia" w:ascii="Cambria Math" w:hAnsi="Cambria Math" w:cs="宋体"/>
              </w:rPr>
            </m:ctrlPr>
          </m:sSubPr>
          <m:e>
            <m:r>
              <m:rPr>
                <m:sty m:val="p"/>
              </m:rPr>
              <w:rPr>
                <w:rFonts w:hint="eastAsia" w:ascii="Cambria Math" w:hAnsi="Cambria Math" w:cs="宋体"/>
              </w:rPr>
              <m:t>K</m:t>
            </m:r>
            <m:ctrlPr>
              <w:rPr>
                <w:rFonts w:hint="eastAsia" w:ascii="Cambria Math" w:hAnsi="Cambria Math" w:cs="宋体"/>
              </w:rPr>
            </m:ctrlPr>
          </m:e>
          <m:sub>
            <m:r>
              <m:rPr>
                <m:sty m:val="p"/>
              </m:rPr>
              <w:rPr>
                <w:rFonts w:hint="eastAsia" w:ascii="Cambria Math" w:hAnsi="Cambria Math" w:cs="宋体"/>
              </w:rPr>
              <m:t xml:space="preserve">j </m:t>
            </m:r>
            <m:ctrlPr>
              <w:rPr>
                <w:rFonts w:hint="eastAsia" w:ascii="Cambria Math" w:hAnsi="Cambria Math" w:cs="宋体"/>
              </w:rPr>
            </m:ctrlPr>
          </m:sub>
        </m:sSub>
      </m:oMath>
      <w:r>
        <w:rPr>
          <w:rFonts w:hint="eastAsia" w:hAnsi="Times New Roman" w:cs="Times New Roman"/>
        </w:rPr>
        <w:t>宜结合类似工程数据、企业统计数据或经验证的经验数据确定，并应说明取值来源。</w:t>
      </w:r>
    </w:p>
    <w:p w14:paraId="0E33BAFA">
      <w:pPr>
        <w:pStyle w:val="31"/>
        <w:widowControl/>
        <w:rPr>
          <w:rFonts w:hint="eastAsia" w:ascii="Times New Roman" w:hAnsi="Times New Roman" w:eastAsia="宋体" w:cs="Times New Roman"/>
        </w:rPr>
      </w:pPr>
      <w:r>
        <w:rPr>
          <w:rFonts w:hint="eastAsia" w:ascii="Times New Roman" w:hAnsi="Times New Roman" w:eastAsia="宋体" w:cs="Times New Roman"/>
        </w:rPr>
        <w:t>措施项目中所消耗的各类材料，应计入其生产全过程产生的碳排放。对于可重复使用的周转材料，应按折旧或工程实际使用次数与设计可周转次数的比例进行分摊核算。</w:t>
      </w:r>
    </w:p>
    <w:p w14:paraId="0E33BAFC">
      <w:pPr>
        <w:pStyle w:val="31"/>
        <w:rPr>
          <w:rFonts w:hint="eastAsia" w:ascii="Times New Roman" w:hAnsi="Times New Roman" w:eastAsia="宋体" w:cs="Times New Roman"/>
        </w:rPr>
      </w:pPr>
      <w:r>
        <w:rPr>
          <w:rFonts w:hint="eastAsia" w:ascii="Times New Roman" w:hAnsi="Times New Roman" w:eastAsia="宋体" w:cs="Times New Roman"/>
        </w:rPr>
        <w:t>临时设施碳排放核算范围应限于直接服务T梁现场安装的作业棚、材料库、临时道路、临时供配电、施工给排水等施工设施。办公用房、职工宿舍、食堂、浴室、医务室等办公及生活福利设施的碳排放不纳入本文件核算边界。其碳排放宜依据实际能源消耗量、材料消耗量或类似工程资料核算；数据不足时，可采用系数法估算。多个工程或构件共用临时设施时，其碳排放应优先依据使用时间、工程量、T梁体积或其他可验证的物理关系进行分配。</w:t>
      </w:r>
    </w:p>
    <w:p w14:paraId="0E33BAFE">
      <w:pPr>
        <w:pStyle w:val="31"/>
        <w:rPr>
          <w:rFonts w:hint="eastAsia" w:ascii="Times New Roman" w:hAnsi="Times New Roman" w:eastAsia="宋体" w:cs="Times New Roman"/>
        </w:rPr>
      </w:pPr>
      <w:r>
        <w:rPr>
          <w:rFonts w:hint="eastAsia" w:ascii="Times New Roman" w:hAnsi="Times New Roman" w:eastAsia="宋体" w:cs="Times New Roman"/>
        </w:rPr>
        <w:t>施工降排水措施应结合项目所在地地质、水文及气候条件，按照专项方案确定降水方式和周期。有机械台班、能源消耗量或材料消耗量数据时，宜按可计量措施项目核算；数据不足时，可采用系数法估算。</w:t>
      </w:r>
    </w:p>
    <w:p w14:paraId="0E33BAFF">
      <w:pPr>
        <w:pStyle w:val="31"/>
        <w:rPr>
          <w:rFonts w:hint="eastAsia" w:ascii="Times New Roman" w:hAnsi="Times New Roman" w:eastAsia="宋体" w:cs="Times New Roman"/>
        </w:rPr>
      </w:pPr>
      <w:r>
        <w:rPr>
          <w:rFonts w:hint="eastAsia" w:ascii="Times New Roman" w:hAnsi="Times New Roman" w:eastAsia="宋体" w:cs="Times New Roman"/>
        </w:rPr>
        <w:t>工业化建造T梁的现场安装阶段产生的二氧化碳排放量应按式（15）核算：</w:t>
      </w:r>
    </w:p>
    <w:p w14:paraId="0E33BB00">
      <w:pPr>
        <w:pStyle w:val="36"/>
        <w:tabs>
          <w:tab w:val="center" w:pos="4678"/>
          <w:tab w:val="right" w:leader="middleDot" w:pos="9356"/>
        </w:tabs>
        <w:rPr>
          <w:rFonts w:hint="eastAsia" w:hAnsi="宋体"/>
          <w:szCs w:val="24"/>
        </w:rPr>
      </w:pPr>
      <w:r>
        <w:rPr>
          <w:rFonts w:hint="eastAsia" w:ascii="宋体"/>
          <w:szCs w:val="24"/>
        </w:rPr>
        <w:tab/>
      </w:r>
      <m:oMath>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default" w:ascii="Cambria Math" w:hAnsi="Cambria Math"/>
                <w:szCs w:val="24"/>
              </w:rPr>
              <m:t>A5</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eastAsia" w:ascii="Cambria Math" w:hAnsi="Cambria Math"/>
                <w:szCs w:val="24"/>
              </w:rPr>
              <m:t>4</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eastAsia" w:ascii="Cambria Math" w:hAnsi="Cambria Math"/>
                <w:szCs w:val="24"/>
              </w:rPr>
              <m:t>5</m:t>
            </m:r>
            <m:ctrlPr>
              <w:rPr>
                <w:rFonts w:hint="eastAsia" w:ascii="Cambria Math" w:hAnsi="Cambria Math"/>
                <w:i/>
                <w:iCs/>
                <w:szCs w:val="24"/>
              </w:rPr>
            </m:ctrlPr>
          </m:sub>
        </m:sSub>
        <m:r>
          <m:rPr/>
          <w:rPr>
            <w:rFonts w:hint="eastAsia" w:ascii="Cambria Math" w:hAnsi="Cambria Math"/>
            <w:szCs w:val="24"/>
          </w:rPr>
          <m:t>+</m:t>
        </m:r>
        <m:sSub>
          <m:sSubPr>
            <m:ctrlPr>
              <w:rPr>
                <w:rFonts w:hint="eastAsia" w:ascii="Cambria Math" w:hAnsi="Cambria Math"/>
                <w:i/>
                <w:iCs/>
                <w:szCs w:val="24"/>
              </w:rPr>
            </m:ctrlPr>
          </m:sSubPr>
          <m:e>
            <m:r>
              <m:rPr/>
              <w:rPr>
                <w:rFonts w:hint="default" w:ascii="Cambria Math" w:hAnsi="Cambria Math"/>
                <w:szCs w:val="24"/>
              </w:rPr>
              <m:t>C</m:t>
            </m:r>
            <m:ctrlPr>
              <w:rPr>
                <w:rFonts w:hint="eastAsia" w:ascii="Cambria Math" w:hAnsi="Cambria Math"/>
                <w:i/>
                <w:iCs/>
                <w:szCs w:val="24"/>
              </w:rPr>
            </m:ctrlPr>
          </m:e>
          <m:sub>
            <m:r>
              <m:rPr/>
              <w:rPr>
                <w:rFonts w:hint="eastAsia" w:ascii="Cambria Math" w:hAnsi="Cambria Math"/>
                <w:szCs w:val="24"/>
              </w:rPr>
              <m:t>6</m:t>
            </m:r>
            <m:ctrlPr>
              <w:rPr>
                <w:rFonts w:hint="eastAsia" w:ascii="Cambria Math" w:hAnsi="Cambria Math"/>
                <w:i/>
                <w:iCs/>
                <w:szCs w:val="24"/>
              </w:rPr>
            </m:ctrlPr>
          </m:sub>
        </m:sSub>
      </m:oMath>
      <w:r>
        <w:rPr>
          <w:rFonts w:hint="eastAsia" w:ascii="宋体"/>
          <w:szCs w:val="24"/>
        </w:rPr>
        <w:tab/>
      </w:r>
      <w:r>
        <w:rPr>
          <w:rFonts w:hint="eastAsia" w:ascii="宋体"/>
          <w:szCs w:val="24"/>
        </w:rPr>
        <w:t>(15)</w:t>
      </w:r>
    </w:p>
    <w:p w14:paraId="5AEBBCF6">
      <w:pPr>
        <w:pStyle w:val="37"/>
        <w:tabs>
          <w:tab w:val="center" w:pos="4678"/>
          <w:tab w:val="right" w:pos="9356"/>
        </w:tabs>
        <w:rPr>
          <w:rFonts w:hint="eastAsia"/>
          <w:szCs w:val="21"/>
        </w:rPr>
      </w:pPr>
      <w:r>
        <w:rPr>
          <w:rFonts w:hint="eastAsia" w:ascii="宋体"/>
          <w:szCs w:val="24"/>
          <w:lang w:val="en-US" w:eastAsia="zh-CN"/>
        </w:rPr>
        <w:t>式中：</w:t>
      </w:r>
    </w:p>
    <w:p w14:paraId="0E33BB01">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A5</m:t>
            </m:r>
            <m:ctrlPr>
              <w:rPr>
                <w:rFonts w:hint="eastAsia" w:ascii="Cambria Math" w:hAnsi="Cambria Math"/>
                <w:szCs w:val="24"/>
              </w:rPr>
            </m:ctrlPr>
          </m:sub>
        </m:sSub>
      </m:oMath>
      <w:r>
        <w:rPr>
          <w:rFonts w:hint="eastAsia" w:ascii="宋体" w:hAnsiTheme="minorHAnsi" w:eastAsiaTheme="minorEastAsia" w:cstheme="minorBidi"/>
          <w:szCs w:val="24"/>
        </w:rPr>
        <w:t>——T梁现场安装阶段产生的二氧化碳排放量，单位为千克二氧化碳（kgCO₂）；</w:t>
      </w:r>
    </w:p>
    <w:p w14:paraId="0E33BB02">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4</m:t>
            </m:r>
            <m:ctrlPr>
              <w:rPr>
                <w:rFonts w:hint="eastAsia" w:ascii="Cambria Math" w:hAnsi="Cambria Math"/>
                <w:szCs w:val="24"/>
              </w:rPr>
            </m:ctrlPr>
          </m:sub>
        </m:sSub>
      </m:oMath>
      <w:r>
        <w:rPr>
          <w:rFonts w:hint="eastAsia" w:ascii="宋体" w:hAnsiTheme="minorHAnsi" w:eastAsiaTheme="minorEastAsia" w:cstheme="minorBidi"/>
          <w:szCs w:val="24"/>
        </w:rPr>
        <w:t>——机械能源消耗产生的二氧化碳排放量，单位为千克二氧化碳（kgCO₂）；</w:t>
      </w:r>
    </w:p>
    <w:p w14:paraId="0E33BB03">
      <w:pPr>
        <w:pStyle w:val="37"/>
        <w:rPr>
          <w:rFonts w:hint="eastAsia" w:ascii="宋体" w:hAnsiTheme="minorHAnsi" w:cstheme="minorBidi"/>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5</m:t>
            </m:r>
            <m:ctrlPr>
              <w:rPr>
                <w:rFonts w:hint="eastAsia" w:ascii="Cambria Math" w:hAnsi="Cambria Math"/>
                <w:szCs w:val="24"/>
              </w:rPr>
            </m:ctrlPr>
          </m:sub>
        </m:sSub>
      </m:oMath>
      <w:r>
        <w:rPr>
          <w:rFonts w:hint="eastAsia" w:ascii="宋体" w:hAnsiTheme="minorHAnsi" w:eastAsiaTheme="minorEastAsia" w:cstheme="minorBidi"/>
          <w:szCs w:val="24"/>
        </w:rPr>
        <w:t>——T梁构件安装过程中材料消耗产生的二氧化碳排放量，单位为千克二氧化碳（kgCO₂）；</w:t>
      </w:r>
    </w:p>
    <w:p w14:paraId="0E33BB04">
      <w:pPr>
        <w:pStyle w:val="37"/>
        <w:rPr>
          <w:rFonts w:hint="eastAsia" w:ascii="宋体"/>
          <w:szCs w:val="24"/>
        </w:rPr>
      </w:pPr>
      <m:oMath>
        <m:sSub>
          <m:sSubPr>
            <m:ctrlPr>
              <w:rPr>
                <w:rFonts w:hint="eastAsia" w:ascii="Cambria Math" w:hAnsi="Cambria Math"/>
                <w:szCs w:val="24"/>
              </w:rPr>
            </m:ctrlPr>
          </m:sSubPr>
          <m:e>
            <m:r>
              <m:rPr>
                <m:sty m:val="p"/>
              </m:rPr>
              <w:rPr>
                <w:rFonts w:hint="eastAsia" w:ascii="Cambria Math" w:hAnsi="Cambria Math"/>
                <w:szCs w:val="24"/>
              </w:rPr>
              <m:t>C</m:t>
            </m:r>
            <m:ctrlPr>
              <w:rPr>
                <w:rFonts w:hint="eastAsia" w:ascii="Cambria Math" w:hAnsi="Cambria Math"/>
                <w:szCs w:val="24"/>
              </w:rPr>
            </m:ctrlPr>
          </m:e>
          <m:sub>
            <m:r>
              <m:rPr>
                <m:sty m:val="p"/>
              </m:rPr>
              <w:rPr>
                <w:rFonts w:hint="eastAsia" w:ascii="Cambria Math" w:hAnsi="Cambria Math"/>
                <w:szCs w:val="24"/>
              </w:rPr>
              <m:t>6</m:t>
            </m:r>
            <m:ctrlPr>
              <w:rPr>
                <w:rFonts w:hint="eastAsia" w:ascii="Cambria Math" w:hAnsi="Cambria Math"/>
                <w:szCs w:val="24"/>
              </w:rPr>
            </m:ctrlPr>
          </m:sub>
        </m:sSub>
      </m:oMath>
      <w:r>
        <w:rPr>
          <w:rFonts w:hint="eastAsia" w:ascii="宋体" w:hAnsiTheme="minorHAnsi" w:eastAsiaTheme="minorEastAsia" w:cstheme="minorBidi"/>
          <w:szCs w:val="24"/>
        </w:rPr>
        <w:t>——T梁构件安装过程中措施项目产生的二氧化碳排放量，单位为千克二氧化碳（kgCO₂）。</w:t>
      </w:r>
    </w:p>
    <w:p w14:paraId="0E33BB06">
      <w:pPr>
        <w:pStyle w:val="31"/>
        <w:rPr>
          <w:rFonts w:hint="eastAsia" w:ascii="Times New Roman" w:eastAsia="宋体"/>
        </w:rPr>
      </w:pPr>
      <w:r>
        <w:rPr>
          <w:rFonts w:hint="eastAsia" w:ascii="Times New Roman" w:hAnsi="Times New Roman" w:eastAsia="宋体" w:cs="Times New Roman"/>
        </w:rPr>
        <w:t>现场安装阶段碳排放核算所需活动数据和碳排放因子，应优先采用经权威机构审核验证且与实际施工条件、能源类型、材料类型及措施项目相匹配的数据；无适用数据或单位难以转换时，相关参数可采用附录A的缺省值。</w:t>
      </w:r>
      <w:bookmarkStart w:id="94" w:name="_Toc22365"/>
      <w:bookmarkStart w:id="95" w:name="_Toc18582"/>
      <w:bookmarkStart w:id="96" w:name="_Toc7694"/>
      <w:bookmarkStart w:id="97" w:name="_Toc16708"/>
      <w:bookmarkStart w:id="98" w:name="_Toc5982"/>
    </w:p>
    <w:p w14:paraId="65FE077B">
      <w:pPr>
        <w:rPr>
          <w:rFonts w:hint="eastAsia"/>
        </w:rPr>
      </w:pPr>
      <w:r>
        <w:rPr>
          <w:rFonts w:hint="eastAsia"/>
        </w:rPr>
        <w:br w:type="page"/>
      </w:r>
    </w:p>
    <w:p w14:paraId="5F24976A">
      <w:pPr>
        <w:pStyle w:val="42"/>
        <w:bidi w:val="0"/>
        <w:rPr>
          <w:rFonts w:hAnsi="Times New Roman" w:cs="Times New Roman"/>
          <w:vanish w:val="0"/>
          <w:sz w:val="21"/>
          <w:szCs w:val="20"/>
        </w:rPr>
      </w:pPr>
    </w:p>
    <w:p w14:paraId="4F99E357">
      <w:pPr>
        <w:pStyle w:val="43"/>
        <w:bidi w:val="0"/>
        <w:rPr>
          <w:rFonts w:ascii="黑体" w:hAnsi="Times New Roman" w:cs="Times New Roman"/>
          <w:vanish w:val="0"/>
          <w:sz w:val="21"/>
        </w:rPr>
      </w:pPr>
    </w:p>
    <w:p w14:paraId="7517F659">
      <w:pPr>
        <w:pStyle w:val="22"/>
        <w:bidi w:val="0"/>
        <w:spacing w:before="560" w:beforeLines="0"/>
      </w:pPr>
      <w:bookmarkStart w:id="99" w:name="_Toc6499"/>
      <w:r>
        <w:rPr>
          <w:rFonts w:hint="eastAsia"/>
          <w:spacing w:val="57"/>
          <w:lang w:val="en-US" w:eastAsia="zh-CN"/>
        </w:rPr>
        <w:t>附录A</w:t>
      </w:r>
      <w:r>
        <w:rPr>
          <w:rFonts w:hint="eastAsia"/>
          <w:spacing w:val="57"/>
          <w:lang w:val="en-US" w:eastAsia="zh-CN"/>
        </w:rPr>
        <w:br w:type="textWrapping"/>
      </w:r>
      <w:r>
        <w:rPr>
          <w:rFonts w:hint="eastAsia"/>
          <w:lang w:eastAsia="zh-CN"/>
        </w:rPr>
        <w:t>（资料性）</w:t>
      </w:r>
      <w:r>
        <w:rPr>
          <w:rFonts w:hint="eastAsia"/>
          <w:lang w:eastAsia="zh-CN"/>
        </w:rPr>
        <w:br w:type="textWrapping"/>
      </w:r>
      <w:r>
        <w:rPr>
          <w:rFonts w:hint="eastAsia"/>
          <w:lang w:eastAsia="zh-CN"/>
        </w:rPr>
        <w:t>T梁工业化建造碳排放核算参数缺省值</w:t>
      </w:r>
      <w:bookmarkEnd w:id="99"/>
    </w:p>
    <w:p w14:paraId="76247302">
      <w:pPr>
        <w:pStyle w:val="40"/>
        <w:bidi w:val="0"/>
      </w:pPr>
      <w:r>
        <w:rPr>
          <w:rFonts w:hint="eastAsia"/>
        </w:rPr>
        <w:t>原材料生产阶段碳排放因子（缺省值）</w:t>
      </w:r>
    </w:p>
    <w:tbl>
      <w:tblPr>
        <w:tblStyle w:val="10"/>
        <w:tblW w:w="9553"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713"/>
        <w:gridCol w:w="3232"/>
        <w:gridCol w:w="2804"/>
        <w:gridCol w:w="2804"/>
      </w:tblGrid>
      <w:tr w14:paraId="4133B4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713" w:type="dxa"/>
            <w:tcBorders>
              <w:bottom w:val="single" w:color="auto" w:sz="8" w:space="0"/>
            </w:tcBorders>
            <w:vAlign w:val="center"/>
          </w:tcPr>
          <w:p w14:paraId="09FA7E90">
            <w:pPr>
              <w:pStyle w:val="39"/>
              <w:widowControl/>
              <w:ind w:left="0" w:leftChars="0" w:right="0" w:rightChars="0" w:firstLine="0" w:firstLineChars="0"/>
            </w:pPr>
            <w:r>
              <w:rPr>
                <w:rFonts w:ascii="Times New Roman" w:hAnsi="Times New Roman" w:eastAsia="宋体" w:cs="Times New Roman"/>
                <w:b w:val="0"/>
                <w:sz w:val="18"/>
              </w:rPr>
              <w:t>序号</w:t>
            </w:r>
          </w:p>
        </w:tc>
        <w:tc>
          <w:tcPr>
            <w:tcW w:w="3232" w:type="dxa"/>
            <w:tcBorders>
              <w:bottom w:val="single" w:color="auto" w:sz="8" w:space="0"/>
            </w:tcBorders>
            <w:vAlign w:val="center"/>
          </w:tcPr>
          <w:p w14:paraId="3C955D81">
            <w:pPr>
              <w:pStyle w:val="39"/>
              <w:widowControl/>
              <w:ind w:left="0" w:leftChars="0" w:right="0" w:rightChars="0" w:firstLine="0" w:firstLineChars="0"/>
              <w:jc w:val="center"/>
            </w:pPr>
            <w:r>
              <w:rPr>
                <w:rFonts w:ascii="Times New Roman" w:hAnsi="Times New Roman" w:eastAsia="宋体" w:cs="Times New Roman"/>
                <w:b w:val="0"/>
                <w:sz w:val="18"/>
              </w:rPr>
              <w:t>材料或产品</w:t>
            </w:r>
          </w:p>
        </w:tc>
        <w:tc>
          <w:tcPr>
            <w:tcW w:w="2804" w:type="dxa"/>
            <w:tcBorders>
              <w:bottom w:val="single" w:color="auto" w:sz="8" w:space="0"/>
            </w:tcBorders>
            <w:vAlign w:val="center"/>
          </w:tcPr>
          <w:p w14:paraId="19556667">
            <w:pPr>
              <w:pStyle w:val="39"/>
              <w:widowControl/>
              <w:ind w:left="0" w:leftChars="0" w:right="0" w:rightChars="0" w:firstLine="0" w:firstLineChars="0"/>
              <w:jc w:val="center"/>
            </w:pPr>
            <w:r>
              <w:rPr>
                <w:rFonts w:ascii="Times New Roman" w:hAnsi="Times New Roman" w:eastAsia="宋体" w:cs="Times New Roman"/>
                <w:b w:val="0"/>
                <w:sz w:val="18"/>
              </w:rPr>
              <w:t>计量单位</w:t>
            </w:r>
          </w:p>
        </w:tc>
        <w:tc>
          <w:tcPr>
            <w:tcW w:w="2804" w:type="dxa"/>
            <w:tcBorders>
              <w:bottom w:val="single" w:color="auto" w:sz="8" w:space="0"/>
            </w:tcBorders>
            <w:vAlign w:val="center"/>
          </w:tcPr>
          <w:p w14:paraId="3ACB77D2">
            <w:pPr>
              <w:pStyle w:val="39"/>
              <w:widowControl/>
              <w:ind w:firstLine="0" w:firstLineChars="0"/>
              <w:rPr>
                <w:rFonts w:ascii="Times New Roman" w:hAnsi="Times New Roman" w:eastAsia="宋体" w:cs="Times New Roman"/>
                <w:b w:val="0"/>
                <w:sz w:val="18"/>
              </w:rPr>
            </w:pPr>
            <w:r>
              <w:rPr>
                <w:rFonts w:ascii="Times New Roman" w:hAnsi="Times New Roman" w:eastAsia="宋体" w:cs="Times New Roman"/>
                <w:b w:val="0"/>
                <w:sz w:val="18"/>
              </w:rPr>
              <w:t>缺省值</w:t>
            </w:r>
          </w:p>
        </w:tc>
      </w:tr>
      <w:tr w14:paraId="4EE8E26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13" w:type="dxa"/>
            <w:tcBorders>
              <w:top w:val="single" w:color="auto" w:sz="8" w:space="0"/>
            </w:tcBorders>
            <w:vAlign w:val="center"/>
          </w:tcPr>
          <w:p w14:paraId="1C89C6D2">
            <w:pPr>
              <w:pStyle w:val="39"/>
              <w:widowControl/>
              <w:ind w:left="0" w:leftChars="0" w:right="0" w:rightChars="0" w:firstLine="0" w:firstLineChars="0"/>
            </w:pPr>
            <w:r>
              <w:rPr>
                <w:rFonts w:ascii="Times New Roman" w:hAnsi="Times New Roman" w:eastAsia="宋体" w:cs="Times New Roman"/>
                <w:sz w:val="18"/>
              </w:rPr>
              <w:t>1</w:t>
            </w:r>
          </w:p>
        </w:tc>
        <w:tc>
          <w:tcPr>
            <w:tcW w:w="3232" w:type="dxa"/>
            <w:tcBorders>
              <w:top w:val="single" w:color="auto" w:sz="8" w:space="0"/>
            </w:tcBorders>
            <w:vAlign w:val="center"/>
          </w:tcPr>
          <w:p w14:paraId="75E34DCD">
            <w:pPr>
              <w:pStyle w:val="39"/>
              <w:widowControl/>
              <w:ind w:left="0" w:leftChars="0" w:right="0" w:rightChars="0" w:firstLine="0" w:firstLineChars="0"/>
              <w:jc w:val="center"/>
            </w:pPr>
            <w:r>
              <w:rPr>
                <w:rFonts w:ascii="Times New Roman" w:hAnsi="Times New Roman" w:eastAsia="宋体" w:cs="Times New Roman"/>
                <w:sz w:val="18"/>
              </w:rPr>
              <w:t>普通硅酸盐水泥（市场平均）</w:t>
            </w:r>
          </w:p>
        </w:tc>
        <w:tc>
          <w:tcPr>
            <w:tcW w:w="2804" w:type="dxa"/>
            <w:tcBorders>
              <w:top w:val="single" w:color="auto" w:sz="8" w:space="0"/>
            </w:tcBorders>
            <w:vAlign w:val="center"/>
          </w:tcPr>
          <w:p w14:paraId="37AA1508">
            <w:pPr>
              <w:pStyle w:val="39"/>
              <w:widowControl/>
              <w:ind w:left="0" w:leftChars="0" w:right="0" w:rightChars="0" w:firstLine="0" w:firstLineChars="0"/>
              <w:jc w:val="center"/>
            </w:pPr>
            <w:r>
              <w:rPr>
                <w:rFonts w:ascii="Times New Roman" w:hAnsi="Times New Roman" w:eastAsia="宋体" w:cs="Times New Roman"/>
                <w:sz w:val="18"/>
              </w:rPr>
              <w:t>kgCO₂/t</w:t>
            </w:r>
          </w:p>
        </w:tc>
        <w:tc>
          <w:tcPr>
            <w:tcW w:w="2804" w:type="dxa"/>
            <w:tcBorders>
              <w:top w:val="single" w:color="auto" w:sz="8" w:space="0"/>
            </w:tcBorders>
            <w:vAlign w:val="center"/>
          </w:tcPr>
          <w:p w14:paraId="2BB8DE84">
            <w:pPr>
              <w:pStyle w:val="39"/>
              <w:widowControl/>
              <w:ind w:firstLine="0" w:firstLineChars="0"/>
              <w:rPr>
                <w:rFonts w:ascii="Times New Roman" w:hAnsi="Times New Roman" w:eastAsia="宋体" w:cs="Times New Roman"/>
                <w:sz w:val="18"/>
              </w:rPr>
            </w:pPr>
            <w:r>
              <w:rPr>
                <w:rFonts w:ascii="Times New Roman" w:hAnsi="Times New Roman" w:eastAsia="宋体" w:cs="Times New Roman"/>
                <w:sz w:val="18"/>
              </w:rPr>
              <w:t>735</w:t>
            </w:r>
          </w:p>
        </w:tc>
      </w:tr>
      <w:tr w14:paraId="630A3E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13" w:type="dxa"/>
            <w:vAlign w:val="center"/>
          </w:tcPr>
          <w:p w14:paraId="50D787A4">
            <w:pPr>
              <w:pStyle w:val="39"/>
              <w:widowControl/>
              <w:ind w:left="0" w:leftChars="0" w:right="0" w:rightChars="0" w:firstLine="0" w:firstLineChars="0"/>
            </w:pPr>
            <w:r>
              <w:rPr>
                <w:rFonts w:ascii="Times New Roman" w:hAnsi="Times New Roman" w:eastAsia="宋体" w:cs="Times New Roman"/>
                <w:sz w:val="18"/>
              </w:rPr>
              <w:t>2</w:t>
            </w:r>
          </w:p>
        </w:tc>
        <w:tc>
          <w:tcPr>
            <w:tcW w:w="3232" w:type="dxa"/>
            <w:vAlign w:val="center"/>
          </w:tcPr>
          <w:p w14:paraId="345DF5EB">
            <w:pPr>
              <w:pStyle w:val="39"/>
              <w:widowControl/>
              <w:ind w:left="0" w:leftChars="0" w:right="0" w:rightChars="0" w:firstLine="0" w:firstLineChars="0"/>
              <w:jc w:val="center"/>
            </w:pPr>
            <w:r>
              <w:rPr>
                <w:rFonts w:ascii="Times New Roman" w:hAnsi="Times New Roman" w:eastAsia="宋体" w:cs="Times New Roman"/>
                <w:sz w:val="18"/>
              </w:rPr>
              <w:t>热轧碳钢钢筋</w:t>
            </w:r>
          </w:p>
        </w:tc>
        <w:tc>
          <w:tcPr>
            <w:tcW w:w="2804" w:type="dxa"/>
            <w:vAlign w:val="center"/>
          </w:tcPr>
          <w:p w14:paraId="5606BF8F">
            <w:pPr>
              <w:pStyle w:val="39"/>
              <w:widowControl/>
              <w:ind w:left="0" w:leftChars="0" w:right="0" w:rightChars="0" w:firstLine="0" w:firstLineChars="0"/>
              <w:jc w:val="center"/>
            </w:pPr>
            <w:r>
              <w:rPr>
                <w:rFonts w:ascii="Times New Roman" w:hAnsi="Times New Roman" w:eastAsia="宋体" w:cs="Times New Roman"/>
                <w:sz w:val="18"/>
              </w:rPr>
              <w:t>kgCO₂/t</w:t>
            </w:r>
          </w:p>
        </w:tc>
        <w:tc>
          <w:tcPr>
            <w:tcW w:w="2804" w:type="dxa"/>
            <w:vAlign w:val="center"/>
          </w:tcPr>
          <w:p w14:paraId="5041F81E">
            <w:pPr>
              <w:pStyle w:val="39"/>
              <w:widowControl/>
              <w:ind w:firstLine="0" w:firstLineChars="0"/>
              <w:rPr>
                <w:rFonts w:ascii="Times New Roman" w:hAnsi="Times New Roman" w:eastAsia="宋体" w:cs="Times New Roman"/>
                <w:sz w:val="18"/>
              </w:rPr>
            </w:pPr>
            <w:r>
              <w:rPr>
                <w:rFonts w:ascii="Times New Roman" w:hAnsi="Times New Roman" w:eastAsia="宋体" w:cs="Times New Roman"/>
                <w:sz w:val="18"/>
              </w:rPr>
              <w:t>2340</w:t>
            </w:r>
          </w:p>
        </w:tc>
      </w:tr>
      <w:tr w14:paraId="56755A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13" w:type="dxa"/>
            <w:vAlign w:val="center"/>
          </w:tcPr>
          <w:p w14:paraId="79EEA40A">
            <w:pPr>
              <w:pStyle w:val="39"/>
              <w:widowControl/>
              <w:ind w:left="0" w:leftChars="0" w:right="0" w:rightChars="0" w:firstLine="0" w:firstLineChars="0"/>
            </w:pPr>
            <w:r>
              <w:rPr>
                <w:rFonts w:ascii="Times New Roman" w:hAnsi="Times New Roman" w:eastAsia="宋体" w:cs="Times New Roman"/>
                <w:sz w:val="18"/>
              </w:rPr>
              <w:t>3</w:t>
            </w:r>
          </w:p>
        </w:tc>
        <w:tc>
          <w:tcPr>
            <w:tcW w:w="3232" w:type="dxa"/>
            <w:vAlign w:val="center"/>
          </w:tcPr>
          <w:p w14:paraId="76C76EC6">
            <w:pPr>
              <w:pStyle w:val="39"/>
              <w:widowControl/>
              <w:ind w:left="0" w:leftChars="0" w:right="0" w:rightChars="0" w:firstLine="0" w:firstLineChars="0"/>
              <w:jc w:val="center"/>
            </w:pPr>
            <w:r>
              <w:rPr>
                <w:rFonts w:ascii="Times New Roman" w:hAnsi="Times New Roman" w:eastAsia="宋体" w:cs="Times New Roman"/>
                <w:sz w:val="18"/>
              </w:rPr>
              <w:t>热轧碳钢高线材</w:t>
            </w:r>
          </w:p>
        </w:tc>
        <w:tc>
          <w:tcPr>
            <w:tcW w:w="2804" w:type="dxa"/>
            <w:vAlign w:val="center"/>
          </w:tcPr>
          <w:p w14:paraId="774D2F3D">
            <w:pPr>
              <w:pStyle w:val="39"/>
              <w:widowControl/>
              <w:ind w:left="0" w:leftChars="0" w:right="0" w:rightChars="0" w:firstLine="0" w:firstLineChars="0"/>
              <w:jc w:val="center"/>
            </w:pPr>
            <w:r>
              <w:rPr>
                <w:rFonts w:ascii="Times New Roman" w:hAnsi="Times New Roman" w:eastAsia="宋体" w:cs="Times New Roman"/>
                <w:sz w:val="18"/>
              </w:rPr>
              <w:t>kgCO₂/t</w:t>
            </w:r>
          </w:p>
        </w:tc>
        <w:tc>
          <w:tcPr>
            <w:tcW w:w="2804" w:type="dxa"/>
            <w:vAlign w:val="center"/>
          </w:tcPr>
          <w:p w14:paraId="5F9F1E84">
            <w:pPr>
              <w:pStyle w:val="39"/>
              <w:widowControl/>
              <w:ind w:firstLine="0" w:firstLineChars="0"/>
              <w:rPr>
                <w:rFonts w:ascii="Times New Roman" w:hAnsi="Times New Roman" w:eastAsia="宋体" w:cs="Times New Roman"/>
                <w:sz w:val="18"/>
              </w:rPr>
            </w:pPr>
            <w:r>
              <w:rPr>
                <w:rFonts w:ascii="Times New Roman" w:hAnsi="Times New Roman" w:eastAsia="宋体" w:cs="Times New Roman"/>
                <w:sz w:val="18"/>
              </w:rPr>
              <w:t>2375</w:t>
            </w:r>
          </w:p>
        </w:tc>
      </w:tr>
      <w:tr w14:paraId="4DE063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13" w:type="dxa"/>
            <w:vAlign w:val="center"/>
          </w:tcPr>
          <w:p w14:paraId="0643BB94">
            <w:pPr>
              <w:pStyle w:val="39"/>
              <w:widowControl/>
              <w:ind w:left="0" w:leftChars="0" w:right="0" w:rightChars="0" w:firstLine="0" w:firstLineChars="0"/>
            </w:pPr>
            <w:r>
              <w:rPr>
                <w:rFonts w:ascii="Times New Roman" w:hAnsi="Times New Roman" w:eastAsia="宋体" w:cs="Times New Roman"/>
                <w:sz w:val="18"/>
              </w:rPr>
              <w:t>4</w:t>
            </w:r>
          </w:p>
        </w:tc>
        <w:tc>
          <w:tcPr>
            <w:tcW w:w="3232" w:type="dxa"/>
            <w:vAlign w:val="center"/>
          </w:tcPr>
          <w:p w14:paraId="7D8CBA90">
            <w:pPr>
              <w:pStyle w:val="39"/>
              <w:widowControl/>
              <w:ind w:left="0" w:leftChars="0" w:right="0" w:rightChars="0" w:firstLine="0" w:firstLineChars="0"/>
              <w:jc w:val="center"/>
            </w:pPr>
            <w:r>
              <w:rPr>
                <w:rFonts w:ascii="Times New Roman" w:hAnsi="Times New Roman" w:eastAsia="宋体" w:cs="Times New Roman"/>
                <w:sz w:val="18"/>
              </w:rPr>
              <w:t>砂（细度模数1.6～3.0）</w:t>
            </w:r>
          </w:p>
        </w:tc>
        <w:tc>
          <w:tcPr>
            <w:tcW w:w="2804" w:type="dxa"/>
            <w:vAlign w:val="center"/>
          </w:tcPr>
          <w:p w14:paraId="7D9F88D6">
            <w:pPr>
              <w:pStyle w:val="39"/>
              <w:widowControl/>
              <w:ind w:left="0" w:leftChars="0" w:right="0" w:rightChars="0" w:firstLine="0" w:firstLineChars="0"/>
              <w:jc w:val="center"/>
            </w:pPr>
            <w:r>
              <w:rPr>
                <w:rFonts w:ascii="Times New Roman" w:hAnsi="Times New Roman" w:eastAsia="宋体" w:cs="Times New Roman"/>
                <w:sz w:val="18"/>
              </w:rPr>
              <w:t>kgCO₂/t</w:t>
            </w:r>
          </w:p>
        </w:tc>
        <w:tc>
          <w:tcPr>
            <w:tcW w:w="2804" w:type="dxa"/>
            <w:vAlign w:val="center"/>
          </w:tcPr>
          <w:p w14:paraId="72BBFDF0">
            <w:pPr>
              <w:pStyle w:val="39"/>
              <w:widowControl/>
              <w:ind w:firstLine="0" w:firstLineChars="0"/>
              <w:rPr>
                <w:rFonts w:ascii="Times New Roman" w:hAnsi="Times New Roman" w:eastAsia="宋体" w:cs="Times New Roman"/>
                <w:sz w:val="18"/>
              </w:rPr>
            </w:pPr>
            <w:r>
              <w:rPr>
                <w:rFonts w:ascii="Times New Roman" w:hAnsi="Times New Roman" w:eastAsia="宋体" w:cs="Times New Roman"/>
                <w:sz w:val="18"/>
              </w:rPr>
              <w:t>2.51</w:t>
            </w:r>
          </w:p>
        </w:tc>
      </w:tr>
      <w:tr w14:paraId="644F7E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13" w:type="dxa"/>
            <w:vAlign w:val="center"/>
          </w:tcPr>
          <w:p w14:paraId="48A3A495">
            <w:pPr>
              <w:pStyle w:val="39"/>
              <w:widowControl/>
              <w:ind w:left="0" w:leftChars="0" w:right="0" w:rightChars="0" w:firstLine="0" w:firstLineChars="0"/>
            </w:pPr>
            <w:r>
              <w:rPr>
                <w:rFonts w:ascii="Times New Roman" w:hAnsi="Times New Roman" w:eastAsia="宋体" w:cs="Times New Roman"/>
                <w:sz w:val="18"/>
              </w:rPr>
              <w:t>5</w:t>
            </w:r>
          </w:p>
        </w:tc>
        <w:tc>
          <w:tcPr>
            <w:tcW w:w="3232" w:type="dxa"/>
            <w:vAlign w:val="center"/>
          </w:tcPr>
          <w:p w14:paraId="063E150C">
            <w:pPr>
              <w:pStyle w:val="39"/>
              <w:widowControl/>
              <w:ind w:left="0" w:leftChars="0" w:right="0" w:rightChars="0" w:firstLine="0" w:firstLineChars="0"/>
              <w:jc w:val="center"/>
            </w:pPr>
            <w:r>
              <w:rPr>
                <w:rFonts w:ascii="Times New Roman" w:hAnsi="Times New Roman" w:eastAsia="宋体" w:cs="Times New Roman"/>
                <w:sz w:val="18"/>
              </w:rPr>
              <w:t>碎石（粒径10mm～30mm）</w:t>
            </w:r>
          </w:p>
        </w:tc>
        <w:tc>
          <w:tcPr>
            <w:tcW w:w="2804" w:type="dxa"/>
            <w:vAlign w:val="center"/>
          </w:tcPr>
          <w:p w14:paraId="229C4FBB">
            <w:pPr>
              <w:pStyle w:val="39"/>
              <w:widowControl/>
              <w:ind w:left="0" w:leftChars="0" w:right="0" w:rightChars="0" w:firstLine="0" w:firstLineChars="0"/>
              <w:jc w:val="center"/>
            </w:pPr>
            <w:r>
              <w:rPr>
                <w:rFonts w:ascii="Times New Roman" w:hAnsi="Times New Roman" w:eastAsia="宋体" w:cs="Times New Roman"/>
                <w:sz w:val="18"/>
              </w:rPr>
              <w:t>kgCO₂/t</w:t>
            </w:r>
          </w:p>
        </w:tc>
        <w:tc>
          <w:tcPr>
            <w:tcW w:w="2804" w:type="dxa"/>
            <w:vAlign w:val="center"/>
          </w:tcPr>
          <w:p w14:paraId="7EE89771">
            <w:pPr>
              <w:pStyle w:val="39"/>
              <w:widowControl/>
              <w:ind w:firstLine="0" w:firstLineChars="0"/>
              <w:rPr>
                <w:rFonts w:ascii="Times New Roman" w:hAnsi="Times New Roman" w:eastAsia="宋体" w:cs="Times New Roman"/>
                <w:sz w:val="18"/>
              </w:rPr>
            </w:pPr>
            <w:r>
              <w:rPr>
                <w:rFonts w:ascii="Times New Roman" w:hAnsi="Times New Roman" w:eastAsia="宋体" w:cs="Times New Roman"/>
                <w:sz w:val="18"/>
              </w:rPr>
              <w:t>2.18</w:t>
            </w:r>
          </w:p>
        </w:tc>
      </w:tr>
      <w:tr w14:paraId="0B8FC9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13" w:type="dxa"/>
            <w:vAlign w:val="center"/>
          </w:tcPr>
          <w:p w14:paraId="3E11D2CC">
            <w:pPr>
              <w:pStyle w:val="39"/>
              <w:widowControl/>
              <w:ind w:left="0" w:leftChars="0" w:right="0" w:rightChars="0" w:firstLine="0" w:firstLineChars="0"/>
            </w:pPr>
            <w:r>
              <w:rPr>
                <w:rFonts w:ascii="Times New Roman" w:hAnsi="Times New Roman" w:eastAsia="宋体" w:cs="Times New Roman"/>
                <w:sz w:val="18"/>
              </w:rPr>
              <w:t>6</w:t>
            </w:r>
          </w:p>
        </w:tc>
        <w:tc>
          <w:tcPr>
            <w:tcW w:w="3232" w:type="dxa"/>
            <w:vAlign w:val="center"/>
          </w:tcPr>
          <w:p w14:paraId="07B2D484">
            <w:pPr>
              <w:pStyle w:val="39"/>
              <w:widowControl/>
              <w:ind w:left="0" w:leftChars="0" w:right="0" w:rightChars="0" w:firstLine="0" w:firstLineChars="0"/>
              <w:jc w:val="center"/>
            </w:pPr>
            <w:r>
              <w:rPr>
                <w:rFonts w:ascii="Times New Roman" w:hAnsi="Times New Roman" w:eastAsia="宋体" w:cs="Times New Roman"/>
                <w:sz w:val="18"/>
              </w:rPr>
              <w:t>水</w:t>
            </w:r>
          </w:p>
        </w:tc>
        <w:tc>
          <w:tcPr>
            <w:tcW w:w="2804" w:type="dxa"/>
            <w:vAlign w:val="center"/>
          </w:tcPr>
          <w:p w14:paraId="0AC19D64">
            <w:pPr>
              <w:pStyle w:val="39"/>
              <w:widowControl/>
              <w:ind w:left="0" w:leftChars="0" w:right="0" w:rightChars="0" w:firstLine="0" w:firstLineChars="0"/>
              <w:jc w:val="center"/>
            </w:pPr>
            <w:r>
              <w:rPr>
                <w:rFonts w:ascii="Times New Roman" w:hAnsi="Times New Roman" w:eastAsia="宋体" w:cs="Times New Roman"/>
                <w:sz w:val="18"/>
              </w:rPr>
              <w:t>kgCO₂/t</w:t>
            </w:r>
          </w:p>
        </w:tc>
        <w:tc>
          <w:tcPr>
            <w:tcW w:w="2804" w:type="dxa"/>
            <w:vAlign w:val="center"/>
          </w:tcPr>
          <w:p w14:paraId="519B6BB2">
            <w:pPr>
              <w:pStyle w:val="39"/>
              <w:widowControl/>
              <w:ind w:firstLine="0" w:firstLineChars="0"/>
              <w:rPr>
                <w:rFonts w:ascii="Times New Roman" w:hAnsi="Times New Roman" w:eastAsia="宋体" w:cs="Times New Roman"/>
                <w:sz w:val="18"/>
              </w:rPr>
            </w:pPr>
            <w:r>
              <w:rPr>
                <w:rFonts w:ascii="Times New Roman" w:hAnsi="Times New Roman" w:eastAsia="宋体" w:cs="Times New Roman"/>
                <w:sz w:val="18"/>
              </w:rPr>
              <w:t>0.168</w:t>
            </w:r>
          </w:p>
        </w:tc>
      </w:tr>
      <w:tr w14:paraId="105B71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13" w:type="dxa"/>
            <w:vAlign w:val="center"/>
          </w:tcPr>
          <w:p w14:paraId="72FD9E60">
            <w:pPr>
              <w:pStyle w:val="39"/>
              <w:widowControl/>
              <w:ind w:left="0" w:leftChars="0" w:right="0" w:rightChars="0" w:firstLine="0" w:firstLineChars="0"/>
            </w:pPr>
            <w:r>
              <w:rPr>
                <w:rFonts w:ascii="Times New Roman" w:hAnsi="Times New Roman" w:eastAsia="宋体" w:cs="Times New Roman"/>
                <w:sz w:val="18"/>
              </w:rPr>
              <w:t>7</w:t>
            </w:r>
          </w:p>
        </w:tc>
        <w:tc>
          <w:tcPr>
            <w:tcW w:w="3232" w:type="dxa"/>
            <w:vAlign w:val="center"/>
          </w:tcPr>
          <w:p w14:paraId="73847287">
            <w:pPr>
              <w:pStyle w:val="39"/>
              <w:widowControl/>
              <w:ind w:left="0" w:leftChars="0" w:right="0" w:rightChars="0" w:firstLine="0" w:firstLineChars="0"/>
              <w:jc w:val="center"/>
            </w:pPr>
            <w:r>
              <w:rPr>
                <w:rFonts w:ascii="Times New Roman" w:hAnsi="Times New Roman" w:eastAsia="宋体" w:cs="Times New Roman"/>
                <w:sz w:val="18"/>
              </w:rPr>
              <w:t>C30混凝土</w:t>
            </w:r>
          </w:p>
        </w:tc>
        <w:tc>
          <w:tcPr>
            <w:tcW w:w="2804" w:type="dxa"/>
            <w:vAlign w:val="center"/>
          </w:tcPr>
          <w:p w14:paraId="590C0DFF">
            <w:pPr>
              <w:pStyle w:val="39"/>
              <w:widowControl/>
              <w:ind w:left="0" w:leftChars="0" w:right="0" w:rightChars="0" w:firstLine="0" w:firstLineChars="0"/>
              <w:jc w:val="center"/>
            </w:pPr>
            <w:r>
              <w:rPr>
                <w:rFonts w:ascii="Times New Roman" w:hAnsi="Times New Roman" w:eastAsia="宋体" w:cs="Times New Roman"/>
                <w:sz w:val="18"/>
              </w:rPr>
              <w:t>kgCO₂/m³</w:t>
            </w:r>
          </w:p>
        </w:tc>
        <w:tc>
          <w:tcPr>
            <w:tcW w:w="2804" w:type="dxa"/>
            <w:vAlign w:val="center"/>
          </w:tcPr>
          <w:p w14:paraId="4F95A28E">
            <w:pPr>
              <w:pStyle w:val="39"/>
              <w:widowControl/>
              <w:ind w:firstLine="0" w:firstLineChars="0"/>
              <w:rPr>
                <w:rFonts w:ascii="Times New Roman" w:hAnsi="Times New Roman" w:eastAsia="宋体" w:cs="Times New Roman"/>
                <w:sz w:val="18"/>
              </w:rPr>
            </w:pPr>
            <w:r>
              <w:rPr>
                <w:rFonts w:ascii="Times New Roman" w:hAnsi="Times New Roman" w:eastAsia="宋体" w:cs="Times New Roman"/>
                <w:sz w:val="18"/>
              </w:rPr>
              <w:t>295</w:t>
            </w:r>
          </w:p>
        </w:tc>
      </w:tr>
      <w:tr w14:paraId="299E32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13" w:type="dxa"/>
            <w:tcBorders>
              <w:bottom w:val="single" w:color="auto" w:sz="8" w:space="0"/>
            </w:tcBorders>
            <w:vAlign w:val="center"/>
          </w:tcPr>
          <w:p w14:paraId="1B1AF679">
            <w:pPr>
              <w:pStyle w:val="39"/>
              <w:widowControl/>
              <w:ind w:left="0" w:leftChars="0" w:right="0" w:rightChars="0" w:firstLine="0" w:firstLineChars="0"/>
            </w:pPr>
            <w:r>
              <w:rPr>
                <w:rFonts w:ascii="Times New Roman" w:hAnsi="Times New Roman" w:eastAsia="宋体" w:cs="Times New Roman"/>
                <w:sz w:val="18"/>
              </w:rPr>
              <w:t>8</w:t>
            </w:r>
          </w:p>
        </w:tc>
        <w:tc>
          <w:tcPr>
            <w:tcW w:w="3232" w:type="dxa"/>
            <w:tcBorders>
              <w:bottom w:val="single" w:color="auto" w:sz="8" w:space="0"/>
            </w:tcBorders>
            <w:vAlign w:val="center"/>
          </w:tcPr>
          <w:p w14:paraId="620575EB">
            <w:pPr>
              <w:pStyle w:val="39"/>
              <w:widowControl/>
              <w:ind w:left="0" w:leftChars="0" w:right="0" w:rightChars="0" w:firstLine="0" w:firstLineChars="0"/>
              <w:jc w:val="center"/>
            </w:pPr>
            <w:r>
              <w:rPr>
                <w:rFonts w:ascii="Times New Roman" w:hAnsi="Times New Roman" w:eastAsia="宋体" w:cs="Times New Roman"/>
                <w:sz w:val="18"/>
              </w:rPr>
              <w:t>C50混凝土</w:t>
            </w:r>
          </w:p>
        </w:tc>
        <w:tc>
          <w:tcPr>
            <w:tcW w:w="2804" w:type="dxa"/>
            <w:tcBorders>
              <w:bottom w:val="single" w:color="auto" w:sz="8" w:space="0"/>
            </w:tcBorders>
            <w:vAlign w:val="center"/>
          </w:tcPr>
          <w:p w14:paraId="7545CE93">
            <w:pPr>
              <w:pStyle w:val="39"/>
              <w:widowControl/>
              <w:ind w:left="0" w:leftChars="0" w:right="0" w:rightChars="0" w:firstLine="0" w:firstLineChars="0"/>
              <w:jc w:val="center"/>
            </w:pPr>
            <w:r>
              <w:rPr>
                <w:rFonts w:ascii="Times New Roman" w:hAnsi="Times New Roman" w:eastAsia="宋体" w:cs="Times New Roman"/>
                <w:sz w:val="18"/>
              </w:rPr>
              <w:t>kgCO₂/m³</w:t>
            </w:r>
          </w:p>
        </w:tc>
        <w:tc>
          <w:tcPr>
            <w:tcW w:w="2804" w:type="dxa"/>
            <w:tcBorders>
              <w:bottom w:val="single" w:color="auto" w:sz="8" w:space="0"/>
            </w:tcBorders>
            <w:vAlign w:val="center"/>
          </w:tcPr>
          <w:p w14:paraId="462804F0">
            <w:pPr>
              <w:pStyle w:val="39"/>
              <w:widowControl/>
              <w:ind w:firstLine="0" w:firstLineChars="0"/>
              <w:rPr>
                <w:rFonts w:ascii="Times New Roman" w:hAnsi="Times New Roman" w:eastAsia="宋体" w:cs="Times New Roman"/>
                <w:sz w:val="18"/>
              </w:rPr>
            </w:pPr>
            <w:r>
              <w:rPr>
                <w:rFonts w:ascii="Times New Roman" w:hAnsi="Times New Roman" w:eastAsia="宋体" w:cs="Times New Roman"/>
                <w:sz w:val="18"/>
              </w:rPr>
              <w:t>385</w:t>
            </w:r>
          </w:p>
        </w:tc>
      </w:tr>
      <w:tr w14:paraId="302EB3E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9553" w:type="dxa"/>
            <w:gridSpan w:val="4"/>
            <w:tcBorders>
              <w:top w:val="single" w:color="auto" w:sz="8" w:space="0"/>
            </w:tcBorders>
            <w:vAlign w:val="center"/>
          </w:tcPr>
          <w:p w14:paraId="371BB692">
            <w:pPr>
              <w:pStyle w:val="44"/>
              <w:bidi w:val="0"/>
              <w:ind w:left="811" w:leftChars="0" w:hanging="448" w:firstLineChars="0"/>
              <w:rPr>
                <w:rFonts w:ascii="宋体" w:hAnsi="Times New Roman" w:eastAsia="宋体" w:cs="Times New Roman"/>
              </w:rPr>
            </w:pPr>
            <w:r>
              <w:rPr>
                <w:rFonts w:ascii="宋体" w:hAnsi="Times New Roman" w:eastAsia="宋体" w:cs="Times New Roman"/>
              </w:rPr>
              <w:t>核算时应优先采用经核实的供应商数据、环境产品声明（EPD）或项目特定数据。</w:t>
            </w:r>
          </w:p>
          <w:p w14:paraId="791279AC">
            <w:pPr>
              <w:pStyle w:val="44"/>
              <w:bidi w:val="0"/>
              <w:ind w:left="811" w:leftChars="0" w:hanging="448" w:firstLineChars="0"/>
              <w:rPr>
                <w:rFonts w:ascii="宋体" w:hAnsi="Times New Roman" w:eastAsia="宋体" w:cs="Times New Roman"/>
              </w:rPr>
            </w:pPr>
            <w:r>
              <w:rPr>
                <w:rFonts w:ascii="宋体" w:hAnsi="Times New Roman" w:eastAsia="宋体" w:cs="Times New Roman"/>
              </w:rPr>
              <w:t>热轧碳钢高线材因子不</w:t>
            </w:r>
            <w:r>
              <w:rPr>
                <w:rFonts w:hint="eastAsia" w:cs="Times New Roman"/>
                <w:lang w:val="en-US" w:eastAsia="zh-CN"/>
              </w:rPr>
              <w:t>应</w:t>
            </w:r>
            <w:r>
              <w:rPr>
                <w:rFonts w:ascii="宋体" w:hAnsi="Times New Roman" w:eastAsia="宋体" w:cs="Times New Roman"/>
              </w:rPr>
              <w:t>直接替代预应力钢绞线产品数据；钢绞线应优先采用供应商或经验证数据。</w:t>
            </w:r>
          </w:p>
        </w:tc>
      </w:tr>
    </w:tbl>
    <w:p w14:paraId="5AE96C46">
      <w:pPr>
        <w:pStyle w:val="40"/>
        <w:bidi w:val="0"/>
      </w:pPr>
      <w:r>
        <w:rPr>
          <w:rFonts w:hint="eastAsia"/>
        </w:rPr>
        <w:t>运输方式碳排放因子（缺省值）</w:t>
      </w:r>
    </w:p>
    <w:tbl>
      <w:tblPr>
        <w:tblStyle w:val="1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706"/>
        <w:gridCol w:w="3131"/>
        <w:gridCol w:w="2739"/>
        <w:gridCol w:w="2696"/>
      </w:tblGrid>
      <w:tr w14:paraId="1CFE866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721" w:type="dxa"/>
            <w:tcBorders>
              <w:bottom w:val="single" w:color="auto" w:sz="8" w:space="0"/>
            </w:tcBorders>
            <w:vAlign w:val="center"/>
          </w:tcPr>
          <w:p w14:paraId="3FA28981">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序号</w:t>
            </w:r>
          </w:p>
        </w:tc>
        <w:tc>
          <w:tcPr>
            <w:tcW w:w="3230" w:type="dxa"/>
            <w:tcBorders>
              <w:bottom w:val="single" w:color="auto" w:sz="8" w:space="0"/>
            </w:tcBorders>
            <w:vAlign w:val="center"/>
          </w:tcPr>
          <w:p w14:paraId="20CC8739">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运输方式</w:t>
            </w:r>
          </w:p>
        </w:tc>
        <w:tc>
          <w:tcPr>
            <w:tcW w:w="2810" w:type="dxa"/>
            <w:tcBorders>
              <w:bottom w:val="single" w:color="auto" w:sz="8" w:space="0"/>
            </w:tcBorders>
            <w:vAlign w:val="center"/>
          </w:tcPr>
          <w:p w14:paraId="0061035C">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计量单位</w:t>
            </w:r>
          </w:p>
        </w:tc>
        <w:tc>
          <w:tcPr>
            <w:tcW w:w="2793" w:type="dxa"/>
            <w:tcBorders>
              <w:bottom w:val="single" w:color="auto" w:sz="8" w:space="0"/>
            </w:tcBorders>
            <w:vAlign w:val="center"/>
          </w:tcPr>
          <w:p w14:paraId="76A307AB">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缺省值</w:t>
            </w:r>
          </w:p>
        </w:tc>
      </w:tr>
      <w:tr w14:paraId="4E8D839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21" w:type="dxa"/>
            <w:tcBorders>
              <w:top w:val="single" w:color="auto" w:sz="8" w:space="0"/>
            </w:tcBorders>
            <w:vAlign w:val="center"/>
          </w:tcPr>
          <w:p w14:paraId="4D9726FD">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w:t>
            </w:r>
          </w:p>
        </w:tc>
        <w:tc>
          <w:tcPr>
            <w:tcW w:w="3230" w:type="dxa"/>
            <w:tcBorders>
              <w:top w:val="single" w:color="auto" w:sz="8" w:space="0"/>
            </w:tcBorders>
            <w:vAlign w:val="center"/>
          </w:tcPr>
          <w:p w14:paraId="39A37D8C">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重型柴油货车（载重10t）</w:t>
            </w:r>
          </w:p>
        </w:tc>
        <w:tc>
          <w:tcPr>
            <w:tcW w:w="2810" w:type="dxa"/>
            <w:tcBorders>
              <w:top w:val="single" w:color="auto" w:sz="8" w:space="0"/>
            </w:tcBorders>
            <w:vAlign w:val="center"/>
          </w:tcPr>
          <w:p w14:paraId="064F07BA">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kgCO₂/(t·km)</w:t>
            </w:r>
          </w:p>
        </w:tc>
        <w:tc>
          <w:tcPr>
            <w:tcW w:w="2793" w:type="dxa"/>
            <w:tcBorders>
              <w:top w:val="single" w:color="auto" w:sz="8" w:space="0"/>
            </w:tcBorders>
            <w:vAlign w:val="center"/>
          </w:tcPr>
          <w:p w14:paraId="4769A33C">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0.162</w:t>
            </w:r>
          </w:p>
        </w:tc>
      </w:tr>
      <w:tr w14:paraId="16E393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21" w:type="dxa"/>
            <w:vAlign w:val="center"/>
          </w:tcPr>
          <w:p w14:paraId="5BDC4B15">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2</w:t>
            </w:r>
          </w:p>
        </w:tc>
        <w:tc>
          <w:tcPr>
            <w:tcW w:w="3230" w:type="dxa"/>
            <w:vAlign w:val="center"/>
          </w:tcPr>
          <w:p w14:paraId="33D5052F">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重型柴油货车（载重18t）</w:t>
            </w:r>
          </w:p>
        </w:tc>
        <w:tc>
          <w:tcPr>
            <w:tcW w:w="2810" w:type="dxa"/>
            <w:vAlign w:val="center"/>
          </w:tcPr>
          <w:p w14:paraId="70E7490F">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kgCO₂/(t·km)</w:t>
            </w:r>
          </w:p>
        </w:tc>
        <w:tc>
          <w:tcPr>
            <w:tcW w:w="2793" w:type="dxa"/>
            <w:vAlign w:val="center"/>
          </w:tcPr>
          <w:p w14:paraId="342824D9">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0.129</w:t>
            </w:r>
          </w:p>
        </w:tc>
      </w:tr>
      <w:tr w14:paraId="30C0AE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21" w:type="dxa"/>
            <w:vAlign w:val="center"/>
          </w:tcPr>
          <w:p w14:paraId="46D20547">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3</w:t>
            </w:r>
          </w:p>
        </w:tc>
        <w:tc>
          <w:tcPr>
            <w:tcW w:w="3230" w:type="dxa"/>
            <w:vAlign w:val="center"/>
          </w:tcPr>
          <w:p w14:paraId="3CF0D1EB">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重型柴油货车（载重30t）</w:t>
            </w:r>
          </w:p>
        </w:tc>
        <w:tc>
          <w:tcPr>
            <w:tcW w:w="2810" w:type="dxa"/>
            <w:vAlign w:val="center"/>
          </w:tcPr>
          <w:p w14:paraId="195F345F">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kgCO₂/(t·km)</w:t>
            </w:r>
          </w:p>
        </w:tc>
        <w:tc>
          <w:tcPr>
            <w:tcW w:w="2793" w:type="dxa"/>
            <w:vAlign w:val="center"/>
          </w:tcPr>
          <w:p w14:paraId="78006E7C">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0.078</w:t>
            </w:r>
          </w:p>
        </w:tc>
      </w:tr>
      <w:tr w14:paraId="1D565D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21" w:type="dxa"/>
            <w:vAlign w:val="center"/>
          </w:tcPr>
          <w:p w14:paraId="4381F8AD">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4</w:t>
            </w:r>
          </w:p>
        </w:tc>
        <w:tc>
          <w:tcPr>
            <w:tcW w:w="3230" w:type="dxa"/>
            <w:vAlign w:val="center"/>
          </w:tcPr>
          <w:p w14:paraId="0F9D0188">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重型柴油货车（载重46t）</w:t>
            </w:r>
          </w:p>
        </w:tc>
        <w:tc>
          <w:tcPr>
            <w:tcW w:w="2810" w:type="dxa"/>
            <w:vAlign w:val="center"/>
          </w:tcPr>
          <w:p w14:paraId="18052D64">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kgCO₂/(t·km)</w:t>
            </w:r>
          </w:p>
        </w:tc>
        <w:tc>
          <w:tcPr>
            <w:tcW w:w="2793" w:type="dxa"/>
            <w:vAlign w:val="center"/>
          </w:tcPr>
          <w:p w14:paraId="2B38084D">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0.057</w:t>
            </w:r>
          </w:p>
        </w:tc>
      </w:tr>
      <w:tr w14:paraId="2A9E7B0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21" w:type="dxa"/>
            <w:vAlign w:val="center"/>
          </w:tcPr>
          <w:p w14:paraId="0E9F1808">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5</w:t>
            </w:r>
          </w:p>
        </w:tc>
        <w:tc>
          <w:tcPr>
            <w:tcW w:w="3230" w:type="dxa"/>
            <w:vAlign w:val="center"/>
          </w:tcPr>
          <w:p w14:paraId="5852A665">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铁路运输（中国市场平均）</w:t>
            </w:r>
          </w:p>
        </w:tc>
        <w:tc>
          <w:tcPr>
            <w:tcW w:w="2810" w:type="dxa"/>
            <w:vAlign w:val="center"/>
          </w:tcPr>
          <w:p w14:paraId="7CFC647D">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kgCO₂/(t·km)</w:t>
            </w:r>
          </w:p>
        </w:tc>
        <w:tc>
          <w:tcPr>
            <w:tcW w:w="2793" w:type="dxa"/>
            <w:vAlign w:val="center"/>
          </w:tcPr>
          <w:p w14:paraId="2838BBD1">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0.010</w:t>
            </w:r>
          </w:p>
        </w:tc>
      </w:tr>
      <w:tr w14:paraId="360F125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21" w:type="dxa"/>
            <w:vAlign w:val="center"/>
          </w:tcPr>
          <w:p w14:paraId="7F18EB35">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6</w:t>
            </w:r>
          </w:p>
        </w:tc>
        <w:tc>
          <w:tcPr>
            <w:tcW w:w="3230" w:type="dxa"/>
            <w:vAlign w:val="center"/>
          </w:tcPr>
          <w:p w14:paraId="65B74A9D">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液货船（载重2000t）</w:t>
            </w:r>
          </w:p>
        </w:tc>
        <w:tc>
          <w:tcPr>
            <w:tcW w:w="2810" w:type="dxa"/>
            <w:vAlign w:val="center"/>
          </w:tcPr>
          <w:p w14:paraId="368A134D">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kgCO₂/(t·km)</w:t>
            </w:r>
          </w:p>
        </w:tc>
        <w:tc>
          <w:tcPr>
            <w:tcW w:w="2793" w:type="dxa"/>
            <w:vAlign w:val="center"/>
          </w:tcPr>
          <w:p w14:paraId="6A212707">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0.019</w:t>
            </w:r>
          </w:p>
        </w:tc>
      </w:tr>
      <w:tr w14:paraId="1E16015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21" w:type="dxa"/>
            <w:vAlign w:val="center"/>
          </w:tcPr>
          <w:p w14:paraId="6284EEF2">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7</w:t>
            </w:r>
          </w:p>
        </w:tc>
        <w:tc>
          <w:tcPr>
            <w:tcW w:w="3230" w:type="dxa"/>
            <w:vAlign w:val="center"/>
          </w:tcPr>
          <w:p w14:paraId="2CBB82DB">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干散货船（载重2500t）</w:t>
            </w:r>
          </w:p>
        </w:tc>
        <w:tc>
          <w:tcPr>
            <w:tcW w:w="2810" w:type="dxa"/>
            <w:vAlign w:val="center"/>
          </w:tcPr>
          <w:p w14:paraId="329EC5A6">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kgCO₂/(t·km)</w:t>
            </w:r>
          </w:p>
        </w:tc>
        <w:tc>
          <w:tcPr>
            <w:tcW w:w="2793" w:type="dxa"/>
            <w:vAlign w:val="center"/>
          </w:tcPr>
          <w:p w14:paraId="495B5135">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0.015</w:t>
            </w:r>
          </w:p>
        </w:tc>
      </w:tr>
      <w:tr w14:paraId="49B79D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21" w:type="dxa"/>
            <w:tcBorders>
              <w:bottom w:val="single" w:color="auto" w:sz="8" w:space="0"/>
            </w:tcBorders>
            <w:vAlign w:val="center"/>
          </w:tcPr>
          <w:p w14:paraId="56DF2FF3">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8</w:t>
            </w:r>
          </w:p>
        </w:tc>
        <w:tc>
          <w:tcPr>
            <w:tcW w:w="3230" w:type="dxa"/>
            <w:tcBorders>
              <w:bottom w:val="single" w:color="auto" w:sz="8" w:space="0"/>
            </w:tcBorders>
            <w:vAlign w:val="center"/>
          </w:tcPr>
          <w:p w14:paraId="200B1B80">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集装箱船（载重200TEU）</w:t>
            </w:r>
          </w:p>
        </w:tc>
        <w:tc>
          <w:tcPr>
            <w:tcW w:w="2810" w:type="dxa"/>
            <w:tcBorders>
              <w:bottom w:val="single" w:color="auto" w:sz="8" w:space="0"/>
            </w:tcBorders>
            <w:vAlign w:val="center"/>
          </w:tcPr>
          <w:p w14:paraId="67146019">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kgCO₂/(t·km)</w:t>
            </w:r>
          </w:p>
        </w:tc>
        <w:tc>
          <w:tcPr>
            <w:tcW w:w="2793" w:type="dxa"/>
            <w:tcBorders>
              <w:bottom w:val="single" w:color="auto" w:sz="8" w:space="0"/>
            </w:tcBorders>
            <w:vAlign w:val="center"/>
          </w:tcPr>
          <w:p w14:paraId="2D53DA86">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0.012</w:t>
            </w:r>
          </w:p>
        </w:tc>
      </w:tr>
      <w:tr w14:paraId="5DFB88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9554" w:type="dxa"/>
            <w:gridSpan w:val="4"/>
            <w:tcBorders>
              <w:top w:val="single" w:color="auto" w:sz="8" w:space="0"/>
            </w:tcBorders>
            <w:vAlign w:val="center"/>
          </w:tcPr>
          <w:p w14:paraId="590D1F0B">
            <w:pPr>
              <w:pStyle w:val="34"/>
              <w:bidi w:val="0"/>
            </w:pPr>
            <w:r>
              <w:t>表中缺省值参考T/CHSDA0001—2024。运输距离应优先采用实际运输记录；载重、运输方式或技术条件不一致时，不应直接套用。</w:t>
            </w:r>
          </w:p>
        </w:tc>
      </w:tr>
    </w:tbl>
    <w:p w14:paraId="218B4607">
      <w:pPr>
        <w:pStyle w:val="40"/>
        <w:bidi w:val="0"/>
      </w:pPr>
      <w:r>
        <w:rPr>
          <w:rFonts w:hint="eastAsia"/>
        </w:rPr>
        <w:t>化石燃料相关参数（缺省值）</w:t>
      </w:r>
    </w:p>
    <w:tbl>
      <w:tblPr>
        <w:tblStyle w:val="1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692"/>
        <w:gridCol w:w="1783"/>
        <w:gridCol w:w="1560"/>
        <w:gridCol w:w="2353"/>
        <w:gridCol w:w="2884"/>
      </w:tblGrid>
      <w:tr w14:paraId="033BA8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711" w:type="dxa"/>
            <w:tcBorders>
              <w:bottom w:val="single" w:color="auto" w:sz="8" w:space="0"/>
            </w:tcBorders>
            <w:vAlign w:val="center"/>
          </w:tcPr>
          <w:p w14:paraId="7023C4F4">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序号</w:t>
            </w:r>
          </w:p>
        </w:tc>
        <w:tc>
          <w:tcPr>
            <w:tcW w:w="1870" w:type="dxa"/>
            <w:tcBorders>
              <w:bottom w:val="single" w:color="auto" w:sz="8" w:space="0"/>
            </w:tcBorders>
            <w:vAlign w:val="center"/>
          </w:tcPr>
          <w:p w14:paraId="1155A695">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燃料品种</w:t>
            </w:r>
          </w:p>
        </w:tc>
        <w:tc>
          <w:tcPr>
            <w:tcW w:w="1610" w:type="dxa"/>
            <w:tcBorders>
              <w:bottom w:val="single" w:color="auto" w:sz="8" w:space="0"/>
            </w:tcBorders>
            <w:vAlign w:val="center"/>
          </w:tcPr>
          <w:p w14:paraId="2E9D8230">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计量单位</w:t>
            </w:r>
          </w:p>
        </w:tc>
        <w:tc>
          <w:tcPr>
            <w:tcW w:w="2400" w:type="dxa"/>
            <w:tcBorders>
              <w:bottom w:val="single" w:color="auto" w:sz="8" w:space="0"/>
            </w:tcBorders>
            <w:vAlign w:val="center"/>
          </w:tcPr>
          <w:p w14:paraId="6A8EE58B">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低位发热量</w:t>
            </w:r>
          </w:p>
        </w:tc>
        <w:tc>
          <w:tcPr>
            <w:tcW w:w="2963" w:type="dxa"/>
            <w:tcBorders>
              <w:bottom w:val="single" w:color="auto" w:sz="8" w:space="0"/>
            </w:tcBorders>
            <w:vAlign w:val="center"/>
          </w:tcPr>
          <w:p w14:paraId="7A0B8068">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单位热值含碳量/碳氧化率</w:t>
            </w:r>
          </w:p>
        </w:tc>
      </w:tr>
      <w:tr w14:paraId="6BF1F6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11" w:type="dxa"/>
            <w:tcBorders>
              <w:top w:val="single" w:color="auto" w:sz="8" w:space="0"/>
            </w:tcBorders>
            <w:vAlign w:val="center"/>
          </w:tcPr>
          <w:p w14:paraId="649292E6">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w:t>
            </w:r>
          </w:p>
        </w:tc>
        <w:tc>
          <w:tcPr>
            <w:tcW w:w="1870" w:type="dxa"/>
            <w:tcBorders>
              <w:top w:val="single" w:color="auto" w:sz="8" w:space="0"/>
            </w:tcBorders>
            <w:vAlign w:val="center"/>
          </w:tcPr>
          <w:p w14:paraId="3183A93B">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汽油</w:t>
            </w:r>
          </w:p>
        </w:tc>
        <w:tc>
          <w:tcPr>
            <w:tcW w:w="1610" w:type="dxa"/>
            <w:tcBorders>
              <w:top w:val="single" w:color="auto" w:sz="8" w:space="0"/>
            </w:tcBorders>
            <w:vAlign w:val="center"/>
          </w:tcPr>
          <w:p w14:paraId="08570F8B">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t</w:t>
            </w:r>
          </w:p>
        </w:tc>
        <w:tc>
          <w:tcPr>
            <w:tcW w:w="2400" w:type="dxa"/>
            <w:tcBorders>
              <w:top w:val="single" w:color="auto" w:sz="8" w:space="0"/>
            </w:tcBorders>
            <w:vAlign w:val="center"/>
          </w:tcPr>
          <w:p w14:paraId="477929A9">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44.800GJ/t</w:t>
            </w:r>
          </w:p>
        </w:tc>
        <w:tc>
          <w:tcPr>
            <w:tcW w:w="2963" w:type="dxa"/>
            <w:tcBorders>
              <w:top w:val="single" w:color="auto" w:sz="8" w:space="0"/>
            </w:tcBorders>
            <w:vAlign w:val="center"/>
          </w:tcPr>
          <w:p w14:paraId="48014B2E">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18.90×10⁻³tC/GJ；98%</w:t>
            </w:r>
          </w:p>
        </w:tc>
      </w:tr>
      <w:tr w14:paraId="330FBB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11" w:type="dxa"/>
            <w:vAlign w:val="center"/>
          </w:tcPr>
          <w:p w14:paraId="69316098">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2</w:t>
            </w:r>
          </w:p>
        </w:tc>
        <w:tc>
          <w:tcPr>
            <w:tcW w:w="1870" w:type="dxa"/>
            <w:vAlign w:val="center"/>
          </w:tcPr>
          <w:p w14:paraId="5F09E30F">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柴油</w:t>
            </w:r>
          </w:p>
        </w:tc>
        <w:tc>
          <w:tcPr>
            <w:tcW w:w="1610" w:type="dxa"/>
            <w:vAlign w:val="center"/>
          </w:tcPr>
          <w:p w14:paraId="014CD9CF">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t</w:t>
            </w:r>
          </w:p>
        </w:tc>
        <w:tc>
          <w:tcPr>
            <w:tcW w:w="2400" w:type="dxa"/>
            <w:vAlign w:val="center"/>
          </w:tcPr>
          <w:p w14:paraId="2487FF2C">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43.330GJ/t</w:t>
            </w:r>
          </w:p>
        </w:tc>
        <w:tc>
          <w:tcPr>
            <w:tcW w:w="2963" w:type="dxa"/>
            <w:vAlign w:val="center"/>
          </w:tcPr>
          <w:p w14:paraId="5D530857">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20.20×10⁻³tC/GJ；98%</w:t>
            </w:r>
          </w:p>
        </w:tc>
      </w:tr>
      <w:tr w14:paraId="69CD30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11" w:type="dxa"/>
            <w:vAlign w:val="center"/>
          </w:tcPr>
          <w:p w14:paraId="26B76129">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3</w:t>
            </w:r>
          </w:p>
        </w:tc>
        <w:tc>
          <w:tcPr>
            <w:tcW w:w="1870" w:type="dxa"/>
            <w:vAlign w:val="center"/>
          </w:tcPr>
          <w:p w14:paraId="0E8C98C9">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液化石油气</w:t>
            </w:r>
          </w:p>
        </w:tc>
        <w:tc>
          <w:tcPr>
            <w:tcW w:w="1610" w:type="dxa"/>
            <w:vAlign w:val="center"/>
          </w:tcPr>
          <w:p w14:paraId="77CBBB12">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t</w:t>
            </w:r>
          </w:p>
        </w:tc>
        <w:tc>
          <w:tcPr>
            <w:tcW w:w="2400" w:type="dxa"/>
            <w:vAlign w:val="center"/>
          </w:tcPr>
          <w:p w14:paraId="0E1C4427">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47.310GJ/t</w:t>
            </w:r>
          </w:p>
        </w:tc>
        <w:tc>
          <w:tcPr>
            <w:tcW w:w="2963" w:type="dxa"/>
            <w:vAlign w:val="center"/>
          </w:tcPr>
          <w:p w14:paraId="340CF7E5">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17.20×10⁻³tC/GJ；99%</w:t>
            </w:r>
          </w:p>
        </w:tc>
      </w:tr>
      <w:tr w14:paraId="4FACA5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11" w:type="dxa"/>
            <w:tcBorders>
              <w:bottom w:val="single" w:color="auto" w:sz="8" w:space="0"/>
            </w:tcBorders>
            <w:vAlign w:val="center"/>
          </w:tcPr>
          <w:p w14:paraId="77B592D1">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4</w:t>
            </w:r>
          </w:p>
        </w:tc>
        <w:tc>
          <w:tcPr>
            <w:tcW w:w="1870" w:type="dxa"/>
            <w:tcBorders>
              <w:bottom w:val="single" w:color="auto" w:sz="8" w:space="0"/>
            </w:tcBorders>
            <w:vAlign w:val="center"/>
          </w:tcPr>
          <w:p w14:paraId="0DE0C913">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天然气</w:t>
            </w:r>
          </w:p>
        </w:tc>
        <w:tc>
          <w:tcPr>
            <w:tcW w:w="1610" w:type="dxa"/>
            <w:tcBorders>
              <w:bottom w:val="single" w:color="auto" w:sz="8" w:space="0"/>
            </w:tcBorders>
            <w:vAlign w:val="center"/>
          </w:tcPr>
          <w:p w14:paraId="67D18EC1">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10⁴Nm³</w:t>
            </w:r>
          </w:p>
        </w:tc>
        <w:tc>
          <w:tcPr>
            <w:tcW w:w="2400" w:type="dxa"/>
            <w:tcBorders>
              <w:bottom w:val="single" w:color="auto" w:sz="8" w:space="0"/>
            </w:tcBorders>
            <w:vAlign w:val="center"/>
          </w:tcPr>
          <w:p w14:paraId="52C24539">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389.310GJ/10⁴Nm³</w:t>
            </w:r>
          </w:p>
        </w:tc>
        <w:tc>
          <w:tcPr>
            <w:tcW w:w="2963" w:type="dxa"/>
            <w:tcBorders>
              <w:bottom w:val="single" w:color="auto" w:sz="8" w:space="0"/>
            </w:tcBorders>
            <w:vAlign w:val="center"/>
          </w:tcPr>
          <w:p w14:paraId="151D60D6">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15.30×10⁻³tC/GJ；99%</w:t>
            </w:r>
          </w:p>
        </w:tc>
      </w:tr>
      <w:tr w14:paraId="0E7742E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9554" w:type="dxa"/>
            <w:gridSpan w:val="5"/>
            <w:tcBorders>
              <w:top w:val="single" w:color="auto" w:sz="8" w:space="0"/>
            </w:tcBorders>
            <w:vAlign w:val="center"/>
          </w:tcPr>
          <w:p w14:paraId="7D5AACBF">
            <w:pPr>
              <w:pStyle w:val="34"/>
              <w:bidi w:val="0"/>
            </w:pPr>
            <w:r>
              <w:rPr>
                <w:rFonts w:ascii="宋体" w:hAnsi="Times New Roman" w:eastAsia="宋体" w:cs="Times New Roman"/>
              </w:rPr>
              <w:t>式（8）中的碳氧化率应以小数代入。</w:t>
            </w:r>
          </w:p>
        </w:tc>
      </w:tr>
    </w:tbl>
    <w:p w14:paraId="13C68CC8">
      <w:pPr>
        <w:pStyle w:val="40"/>
        <w:numPr>
          <w:ilvl w:val="1"/>
          <w:numId w:val="0"/>
        </w:numPr>
        <w:bidi w:val="0"/>
        <w:ind w:leftChars="0"/>
        <w:jc w:val="both"/>
      </w:pPr>
    </w:p>
    <w:p w14:paraId="738057B6">
      <w:pPr>
        <w:pStyle w:val="40"/>
        <w:numPr>
          <w:ilvl w:val="1"/>
          <w:numId w:val="0"/>
        </w:numPr>
        <w:bidi w:val="0"/>
        <w:ind w:leftChars="0"/>
        <w:jc w:val="both"/>
      </w:pPr>
    </w:p>
    <w:p w14:paraId="79EB233B">
      <w:pPr>
        <w:pStyle w:val="40"/>
        <w:bidi w:val="0"/>
      </w:pPr>
      <w:r>
        <w:rPr>
          <w:rFonts w:hint="eastAsia"/>
        </w:rPr>
        <w:t>外购能源碳排放因子（缺省值）</w:t>
      </w:r>
    </w:p>
    <w:tbl>
      <w:tblPr>
        <w:tblStyle w:val="1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687"/>
        <w:gridCol w:w="2324"/>
        <w:gridCol w:w="1987"/>
        <w:gridCol w:w="4274"/>
      </w:tblGrid>
      <w:tr w14:paraId="17A9F3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701" w:type="dxa"/>
            <w:tcBorders>
              <w:bottom w:val="single" w:color="auto" w:sz="8" w:space="0"/>
            </w:tcBorders>
            <w:vAlign w:val="center"/>
          </w:tcPr>
          <w:p w14:paraId="686CF267">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序号</w:t>
            </w:r>
          </w:p>
        </w:tc>
        <w:tc>
          <w:tcPr>
            <w:tcW w:w="2410" w:type="dxa"/>
            <w:tcBorders>
              <w:bottom w:val="single" w:color="auto" w:sz="8" w:space="0"/>
            </w:tcBorders>
            <w:vAlign w:val="center"/>
          </w:tcPr>
          <w:p w14:paraId="57C2547D">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能源类型</w:t>
            </w:r>
          </w:p>
        </w:tc>
        <w:tc>
          <w:tcPr>
            <w:tcW w:w="2050" w:type="dxa"/>
            <w:tcBorders>
              <w:bottom w:val="single" w:color="auto" w:sz="8" w:space="0"/>
            </w:tcBorders>
            <w:vAlign w:val="center"/>
          </w:tcPr>
          <w:p w14:paraId="26AC0B2E">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活动数据单位</w:t>
            </w:r>
          </w:p>
        </w:tc>
        <w:tc>
          <w:tcPr>
            <w:tcW w:w="4393" w:type="dxa"/>
            <w:tcBorders>
              <w:bottom w:val="single" w:color="auto" w:sz="8" w:space="0"/>
            </w:tcBorders>
            <w:vAlign w:val="center"/>
          </w:tcPr>
          <w:p w14:paraId="2D8CE428">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碳排放因子</w:t>
            </w:r>
          </w:p>
        </w:tc>
      </w:tr>
      <w:tr w14:paraId="42AD52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01" w:type="dxa"/>
            <w:tcBorders>
              <w:top w:val="single" w:color="auto" w:sz="8" w:space="0"/>
            </w:tcBorders>
            <w:vAlign w:val="center"/>
          </w:tcPr>
          <w:p w14:paraId="3DDBCAB8">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w:t>
            </w:r>
          </w:p>
        </w:tc>
        <w:tc>
          <w:tcPr>
            <w:tcW w:w="2410" w:type="dxa"/>
            <w:tcBorders>
              <w:top w:val="single" w:color="auto" w:sz="8" w:space="0"/>
            </w:tcBorders>
            <w:vAlign w:val="center"/>
          </w:tcPr>
          <w:p w14:paraId="09B57DF4">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外购电力</w:t>
            </w:r>
          </w:p>
        </w:tc>
        <w:tc>
          <w:tcPr>
            <w:tcW w:w="2050" w:type="dxa"/>
            <w:tcBorders>
              <w:top w:val="single" w:color="auto" w:sz="8" w:space="0"/>
            </w:tcBorders>
            <w:vAlign w:val="center"/>
          </w:tcPr>
          <w:p w14:paraId="629F7507">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kWh</w:t>
            </w:r>
          </w:p>
        </w:tc>
        <w:tc>
          <w:tcPr>
            <w:tcW w:w="4393" w:type="dxa"/>
            <w:tcBorders>
              <w:top w:val="single" w:color="auto" w:sz="8" w:space="0"/>
            </w:tcBorders>
            <w:vAlign w:val="center"/>
          </w:tcPr>
          <w:p w14:paraId="4B70A757">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0.5306kgCO₂/kWh</w:t>
            </w:r>
          </w:p>
        </w:tc>
      </w:tr>
      <w:tr w14:paraId="31D6AAC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01" w:type="dxa"/>
            <w:tcBorders>
              <w:bottom w:val="single" w:color="auto" w:sz="8" w:space="0"/>
            </w:tcBorders>
            <w:vAlign w:val="center"/>
          </w:tcPr>
          <w:p w14:paraId="1F79B6F3">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2</w:t>
            </w:r>
          </w:p>
        </w:tc>
        <w:tc>
          <w:tcPr>
            <w:tcW w:w="2410" w:type="dxa"/>
            <w:tcBorders>
              <w:bottom w:val="single" w:color="auto" w:sz="8" w:space="0"/>
            </w:tcBorders>
            <w:vAlign w:val="center"/>
          </w:tcPr>
          <w:p w14:paraId="15C12C97">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外购热力</w:t>
            </w:r>
          </w:p>
        </w:tc>
        <w:tc>
          <w:tcPr>
            <w:tcW w:w="2050" w:type="dxa"/>
            <w:tcBorders>
              <w:bottom w:val="single" w:color="auto" w:sz="8" w:space="0"/>
            </w:tcBorders>
            <w:vAlign w:val="center"/>
          </w:tcPr>
          <w:p w14:paraId="22B41696">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GJ</w:t>
            </w:r>
          </w:p>
        </w:tc>
        <w:tc>
          <w:tcPr>
            <w:tcW w:w="4393" w:type="dxa"/>
            <w:tcBorders>
              <w:bottom w:val="single" w:color="auto" w:sz="8" w:space="0"/>
            </w:tcBorders>
            <w:vAlign w:val="center"/>
          </w:tcPr>
          <w:p w14:paraId="092FFA99">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110kgCO₂/GJ</w:t>
            </w:r>
          </w:p>
        </w:tc>
      </w:tr>
      <w:tr w14:paraId="1D4887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9554" w:type="dxa"/>
            <w:gridSpan w:val="4"/>
            <w:tcBorders>
              <w:top w:val="single" w:color="auto" w:sz="8" w:space="0"/>
            </w:tcBorders>
            <w:vAlign w:val="center"/>
          </w:tcPr>
          <w:p w14:paraId="6A25EE71">
            <w:pPr>
              <w:pStyle w:val="34"/>
              <w:bidi w:val="0"/>
            </w:pPr>
            <w:r>
              <w:rPr>
                <w:rFonts w:hint="eastAsia" w:ascii="宋体" w:hAnsi="Times New Roman" w:eastAsia="宋体" w:cs="Times New Roman"/>
              </w:rPr>
              <w:t>外购电力因子采用2023年全国电力平均二氧化碳排放因子；外购热力缺省值参考T/CHSDA0001—2024。核算时宜优先采用核算期最新适用因子。采用电力碳足迹因子时，应注意其单位为kgCO</w:t>
            </w:r>
            <w:r>
              <w:rPr>
                <w:rFonts w:hint="default" w:ascii="Times New Roman" w:hAnsi="Times New Roman" w:eastAsia="宋体" w:cs="Times New Roman"/>
              </w:rPr>
              <w:t>₂</w:t>
            </w:r>
            <w:r>
              <w:rPr>
                <w:rFonts w:hint="eastAsia" w:ascii="宋体" w:hAnsi="Times New Roman" w:eastAsia="宋体" w:cs="Times New Roman"/>
              </w:rPr>
              <w:t>e/kWh且系统边界可能不同，不应直接替换，并应符合4.6的规定。</w:t>
            </w:r>
          </w:p>
        </w:tc>
      </w:tr>
    </w:tbl>
    <w:p w14:paraId="703EFD68">
      <w:pPr>
        <w:pStyle w:val="40"/>
        <w:bidi w:val="0"/>
      </w:pPr>
      <w:r>
        <w:rPr>
          <w:rFonts w:hint="eastAsia"/>
        </w:rPr>
        <w:t>常用计量单位换算关系</w:t>
      </w:r>
    </w:p>
    <w:tbl>
      <w:tblPr>
        <w:tblStyle w:val="10"/>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0" w:type="dxa"/>
          <w:bottom w:w="0" w:type="dxa"/>
          <w:right w:w="100" w:type="dxa"/>
        </w:tblCellMar>
      </w:tblPr>
      <w:tblGrid>
        <w:gridCol w:w="687"/>
        <w:gridCol w:w="2313"/>
        <w:gridCol w:w="2004"/>
        <w:gridCol w:w="2417"/>
        <w:gridCol w:w="1851"/>
      </w:tblGrid>
      <w:tr w14:paraId="465985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tblHeader/>
          <w:jc w:val="center"/>
        </w:trPr>
        <w:tc>
          <w:tcPr>
            <w:tcW w:w="701" w:type="dxa"/>
            <w:tcBorders>
              <w:bottom w:val="single" w:color="auto" w:sz="8" w:space="0"/>
            </w:tcBorders>
            <w:vAlign w:val="center"/>
          </w:tcPr>
          <w:p w14:paraId="69F433F9">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序号</w:t>
            </w:r>
          </w:p>
        </w:tc>
        <w:tc>
          <w:tcPr>
            <w:tcW w:w="2400" w:type="dxa"/>
            <w:tcBorders>
              <w:bottom w:val="single" w:color="auto" w:sz="8" w:space="0"/>
            </w:tcBorders>
            <w:vAlign w:val="center"/>
          </w:tcPr>
          <w:p w14:paraId="1C57FA87">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换算对象</w:t>
            </w:r>
          </w:p>
        </w:tc>
        <w:tc>
          <w:tcPr>
            <w:tcW w:w="2060" w:type="dxa"/>
            <w:tcBorders>
              <w:bottom w:val="single" w:color="auto" w:sz="8" w:space="0"/>
            </w:tcBorders>
            <w:vAlign w:val="center"/>
          </w:tcPr>
          <w:p w14:paraId="277E49AC">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原单位</w:t>
            </w:r>
          </w:p>
        </w:tc>
        <w:tc>
          <w:tcPr>
            <w:tcW w:w="2482" w:type="dxa"/>
            <w:tcBorders>
              <w:bottom w:val="single" w:color="auto" w:sz="8" w:space="0"/>
            </w:tcBorders>
            <w:vAlign w:val="center"/>
          </w:tcPr>
          <w:p w14:paraId="72008FF8">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换算关系</w:t>
            </w:r>
          </w:p>
        </w:tc>
        <w:tc>
          <w:tcPr>
            <w:tcW w:w="1911" w:type="dxa"/>
            <w:tcBorders>
              <w:bottom w:val="single" w:color="auto" w:sz="8" w:space="0"/>
            </w:tcBorders>
            <w:vAlign w:val="center"/>
          </w:tcPr>
          <w:p w14:paraId="7F3E2911">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目标单位</w:t>
            </w:r>
          </w:p>
        </w:tc>
      </w:tr>
      <w:tr w14:paraId="7A5BCD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01" w:type="dxa"/>
            <w:tcBorders>
              <w:top w:val="single" w:color="auto" w:sz="8" w:space="0"/>
            </w:tcBorders>
            <w:vAlign w:val="center"/>
          </w:tcPr>
          <w:p w14:paraId="39E7477F">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w:t>
            </w:r>
          </w:p>
        </w:tc>
        <w:tc>
          <w:tcPr>
            <w:tcW w:w="2400" w:type="dxa"/>
            <w:tcBorders>
              <w:top w:val="single" w:color="auto" w:sz="8" w:space="0"/>
            </w:tcBorders>
            <w:vAlign w:val="center"/>
          </w:tcPr>
          <w:p w14:paraId="0EBA586E">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质量</w:t>
            </w:r>
          </w:p>
        </w:tc>
        <w:tc>
          <w:tcPr>
            <w:tcW w:w="2060" w:type="dxa"/>
            <w:tcBorders>
              <w:top w:val="single" w:color="auto" w:sz="8" w:space="0"/>
            </w:tcBorders>
            <w:vAlign w:val="center"/>
          </w:tcPr>
          <w:p w14:paraId="42A2802A">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t</w:t>
            </w:r>
          </w:p>
        </w:tc>
        <w:tc>
          <w:tcPr>
            <w:tcW w:w="2482" w:type="dxa"/>
            <w:tcBorders>
              <w:top w:val="single" w:color="auto" w:sz="8" w:space="0"/>
            </w:tcBorders>
            <w:vAlign w:val="center"/>
          </w:tcPr>
          <w:p w14:paraId="1F3C6393">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1t＝1000kg</w:t>
            </w:r>
          </w:p>
        </w:tc>
        <w:tc>
          <w:tcPr>
            <w:tcW w:w="1911" w:type="dxa"/>
            <w:tcBorders>
              <w:top w:val="single" w:color="auto" w:sz="8" w:space="0"/>
            </w:tcBorders>
            <w:vAlign w:val="center"/>
          </w:tcPr>
          <w:p w14:paraId="5FBD8442">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kg</w:t>
            </w:r>
          </w:p>
        </w:tc>
      </w:tr>
      <w:tr w14:paraId="154028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01" w:type="dxa"/>
            <w:vAlign w:val="center"/>
          </w:tcPr>
          <w:p w14:paraId="5C22DD07">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2</w:t>
            </w:r>
          </w:p>
        </w:tc>
        <w:tc>
          <w:tcPr>
            <w:tcW w:w="2400" w:type="dxa"/>
            <w:vAlign w:val="center"/>
          </w:tcPr>
          <w:p w14:paraId="5BADCE31">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能量</w:t>
            </w:r>
          </w:p>
        </w:tc>
        <w:tc>
          <w:tcPr>
            <w:tcW w:w="2060" w:type="dxa"/>
            <w:vAlign w:val="center"/>
          </w:tcPr>
          <w:p w14:paraId="5E0D3C89">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GJ</w:t>
            </w:r>
          </w:p>
        </w:tc>
        <w:tc>
          <w:tcPr>
            <w:tcW w:w="2482" w:type="dxa"/>
            <w:vAlign w:val="center"/>
          </w:tcPr>
          <w:p w14:paraId="77D87253">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1GJ＝1000MJ</w:t>
            </w:r>
          </w:p>
        </w:tc>
        <w:tc>
          <w:tcPr>
            <w:tcW w:w="1911" w:type="dxa"/>
            <w:vAlign w:val="center"/>
          </w:tcPr>
          <w:p w14:paraId="1CD15BD9">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MJ</w:t>
            </w:r>
          </w:p>
        </w:tc>
      </w:tr>
      <w:tr w14:paraId="373DC3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01" w:type="dxa"/>
            <w:vAlign w:val="center"/>
          </w:tcPr>
          <w:p w14:paraId="019BAA86">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3</w:t>
            </w:r>
          </w:p>
        </w:tc>
        <w:tc>
          <w:tcPr>
            <w:tcW w:w="2400" w:type="dxa"/>
            <w:vAlign w:val="center"/>
          </w:tcPr>
          <w:p w14:paraId="160563C1">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电量</w:t>
            </w:r>
          </w:p>
        </w:tc>
        <w:tc>
          <w:tcPr>
            <w:tcW w:w="2060" w:type="dxa"/>
            <w:vAlign w:val="center"/>
          </w:tcPr>
          <w:p w14:paraId="25E76837">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kWh</w:t>
            </w:r>
          </w:p>
        </w:tc>
        <w:tc>
          <w:tcPr>
            <w:tcW w:w="2482" w:type="dxa"/>
            <w:vAlign w:val="center"/>
          </w:tcPr>
          <w:p w14:paraId="625E9879">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1kWh＝3.6MJ</w:t>
            </w:r>
          </w:p>
        </w:tc>
        <w:tc>
          <w:tcPr>
            <w:tcW w:w="1911" w:type="dxa"/>
            <w:vAlign w:val="center"/>
          </w:tcPr>
          <w:p w14:paraId="6BF61276">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MJ</w:t>
            </w:r>
          </w:p>
        </w:tc>
      </w:tr>
      <w:tr w14:paraId="5D94771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01" w:type="dxa"/>
            <w:vAlign w:val="center"/>
          </w:tcPr>
          <w:p w14:paraId="2E269CC1">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4</w:t>
            </w:r>
          </w:p>
        </w:tc>
        <w:tc>
          <w:tcPr>
            <w:tcW w:w="2400" w:type="dxa"/>
            <w:vAlign w:val="center"/>
          </w:tcPr>
          <w:p w14:paraId="094A106F">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气体体积</w:t>
            </w:r>
          </w:p>
        </w:tc>
        <w:tc>
          <w:tcPr>
            <w:tcW w:w="2060" w:type="dxa"/>
            <w:vAlign w:val="center"/>
          </w:tcPr>
          <w:p w14:paraId="5410065C">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10⁴Nm³</w:t>
            </w:r>
          </w:p>
        </w:tc>
        <w:tc>
          <w:tcPr>
            <w:tcW w:w="2482" w:type="dxa"/>
            <w:vAlign w:val="center"/>
          </w:tcPr>
          <w:p w14:paraId="57321768">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1×10⁴Nm³＝10000Nm³</w:t>
            </w:r>
          </w:p>
        </w:tc>
        <w:tc>
          <w:tcPr>
            <w:tcW w:w="1911" w:type="dxa"/>
            <w:vAlign w:val="center"/>
          </w:tcPr>
          <w:p w14:paraId="19753F41">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Nm³</w:t>
            </w:r>
          </w:p>
        </w:tc>
      </w:tr>
      <w:tr w14:paraId="103D47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0" w:type="dxa"/>
            <w:bottom w:w="0" w:type="dxa"/>
            <w:right w:w="100" w:type="dxa"/>
          </w:tblCellMar>
        </w:tblPrEx>
        <w:trPr>
          <w:jc w:val="center"/>
        </w:trPr>
        <w:tc>
          <w:tcPr>
            <w:tcW w:w="701" w:type="dxa"/>
            <w:tcBorders>
              <w:bottom w:val="single" w:color="auto" w:sz="8" w:space="0"/>
            </w:tcBorders>
            <w:vAlign w:val="center"/>
          </w:tcPr>
          <w:p w14:paraId="55CA4953">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5</w:t>
            </w:r>
          </w:p>
        </w:tc>
        <w:tc>
          <w:tcPr>
            <w:tcW w:w="2400" w:type="dxa"/>
            <w:tcBorders>
              <w:bottom w:val="single" w:color="auto" w:sz="8" w:space="0"/>
            </w:tcBorders>
            <w:vAlign w:val="center"/>
          </w:tcPr>
          <w:p w14:paraId="05CEFD0C">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百分数</w:t>
            </w:r>
          </w:p>
        </w:tc>
        <w:tc>
          <w:tcPr>
            <w:tcW w:w="2060" w:type="dxa"/>
            <w:tcBorders>
              <w:bottom w:val="single" w:color="auto" w:sz="8" w:space="0"/>
            </w:tcBorders>
            <w:vAlign w:val="center"/>
          </w:tcPr>
          <w:p w14:paraId="03A5A79F">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w:t>
            </w:r>
          </w:p>
        </w:tc>
        <w:tc>
          <w:tcPr>
            <w:tcW w:w="2482" w:type="dxa"/>
            <w:tcBorders>
              <w:bottom w:val="single" w:color="auto" w:sz="8" w:space="0"/>
            </w:tcBorders>
            <w:vAlign w:val="center"/>
          </w:tcPr>
          <w:p w14:paraId="44EC4B2B">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数值除以100</w:t>
            </w:r>
          </w:p>
        </w:tc>
        <w:tc>
          <w:tcPr>
            <w:tcW w:w="1911" w:type="dxa"/>
            <w:tcBorders>
              <w:bottom w:val="single" w:color="auto" w:sz="8" w:space="0"/>
            </w:tcBorders>
            <w:vAlign w:val="center"/>
          </w:tcPr>
          <w:p w14:paraId="6E499088">
            <w:pPr>
              <w:pStyle w:val="39"/>
              <w:widowControl/>
              <w:ind w:left="0" w:leftChars="0" w:right="0" w:rightChars="0" w:firstLine="0" w:firstLineChars="0"/>
              <w:rPr>
                <w:rFonts w:ascii="Times New Roman" w:hAnsi="Times New Roman" w:eastAsia="宋体" w:cs="Times New Roman"/>
                <w:b w:val="0"/>
                <w:sz w:val="18"/>
              </w:rPr>
            </w:pPr>
            <w:r>
              <w:rPr>
                <w:rFonts w:ascii="Times New Roman" w:hAnsi="Times New Roman" w:eastAsia="宋体" w:cs="Times New Roman"/>
                <w:b w:val="0"/>
                <w:sz w:val="18"/>
              </w:rPr>
              <w:t>无量纲</w:t>
            </w:r>
          </w:p>
        </w:tc>
      </w:tr>
    </w:tbl>
    <w:p w14:paraId="0D8F87F5">
      <w:pPr>
        <w:pStyle w:val="17"/>
        <w:bidi w:val="0"/>
      </w:pPr>
    </w:p>
    <w:p w14:paraId="07525EB6">
      <w:r>
        <w:br w:type="page"/>
      </w:r>
    </w:p>
    <w:bookmarkEnd w:id="94"/>
    <w:bookmarkEnd w:id="95"/>
    <w:bookmarkEnd w:id="96"/>
    <w:bookmarkEnd w:id="97"/>
    <w:bookmarkEnd w:id="98"/>
    <w:p w14:paraId="1A05B61E">
      <w:pPr>
        <w:pStyle w:val="22"/>
        <w:bidi w:val="0"/>
        <w:spacing w:before="560" w:beforeLines="0"/>
      </w:pPr>
      <w:bookmarkStart w:id="100" w:name="_Toc31370"/>
      <w:r>
        <w:rPr>
          <w:rFonts w:hint="eastAsia"/>
          <w:spacing w:val="57"/>
          <w:lang w:val="en-US" w:eastAsia="zh-CN"/>
        </w:rPr>
        <w:t>附录B</w:t>
      </w:r>
      <w:r>
        <w:rPr>
          <w:rFonts w:hint="eastAsia"/>
          <w:spacing w:val="57"/>
          <w:lang w:val="en-US" w:eastAsia="zh-CN"/>
        </w:rPr>
        <w:br w:type="textWrapping"/>
      </w:r>
      <w:r>
        <w:rPr>
          <w:rFonts w:hint="eastAsia"/>
          <w:lang w:eastAsia="zh-CN"/>
        </w:rPr>
        <w:t>（资料性）</w:t>
      </w:r>
      <w:r>
        <w:rPr>
          <w:rFonts w:hint="eastAsia"/>
          <w:lang w:eastAsia="zh-CN"/>
        </w:rPr>
        <w:br w:type="textWrapping"/>
      </w:r>
      <w:r>
        <w:rPr>
          <w:rFonts w:hint="eastAsia"/>
        </w:rPr>
        <w:t>T梁产品标识与规格</w:t>
      </w:r>
      <w:bookmarkEnd w:id="100"/>
    </w:p>
    <w:p w14:paraId="0E33BBC5">
      <w:pPr>
        <w:pStyle w:val="46"/>
        <w:numPr>
          <w:ilvl w:val="-1"/>
          <w:numId w:val="0"/>
        </w:numPr>
        <w:rPr>
          <w:rFonts w:hint="eastAsia"/>
        </w:rPr>
      </w:pPr>
      <w:r>
        <w:rPr>
          <w:rFonts w:hint="eastAsia" w:ascii="黑体"/>
          <w:snapToGrid/>
        </w:rPr>
        <w:t>B.1　</w:t>
      </w:r>
      <w:r>
        <w:rPr>
          <w:rFonts w:hint="eastAsia" w:ascii="黑体"/>
        </w:rPr>
        <w:t>标识方法</w:t>
      </w:r>
    </w:p>
    <w:p w14:paraId="0E33BBC6">
      <w:pPr>
        <w:pStyle w:val="17"/>
        <w:ind w:left="0" w:leftChars="0" w:firstLine="420" w:firstLineChars="200"/>
        <w:rPr>
          <w:rFonts w:hint="default" w:ascii="Times New Roman" w:hAnsi="Times New Roman" w:cs="Times New Roman"/>
          <w:szCs w:val="20"/>
        </w:rPr>
      </w:pPr>
      <w:r>
        <w:rPr>
          <w:rFonts w:hint="default" w:ascii="Times New Roman"/>
          <w:szCs w:val="20"/>
        </w:rPr>
        <w:t>预制混凝土T梁产品型号可按产品代号、标志长度、标志宽度和标志高度依次表示，其表示方法如下。</w:t>
      </w:r>
    </w:p>
    <w:p w14:paraId="0E33BBC7">
      <w:pPr>
        <w:jc w:val="center"/>
      </w:pPr>
      <w:r>
        <w:drawing>
          <wp:inline distT="0" distB="0" distL="114300" distR="114300">
            <wp:extent cx="3107055" cy="165481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7"/>
                    <a:srcRect t="10586" b="-9825"/>
                    <a:stretch>
                      <a:fillRect/>
                    </a:stretch>
                  </pic:blipFill>
                  <pic:spPr>
                    <a:xfrm>
                      <a:off x="0" y="0"/>
                      <a:ext cx="3107055" cy="1654810"/>
                    </a:xfrm>
                    <a:prstGeom prst="rect">
                      <a:avLst/>
                    </a:prstGeom>
                    <a:noFill/>
                    <a:ln>
                      <a:noFill/>
                    </a:ln>
                  </pic:spPr>
                </pic:pic>
              </a:graphicData>
            </a:graphic>
          </wp:inline>
        </w:drawing>
      </w:r>
    </w:p>
    <w:p w14:paraId="0E33BBC8">
      <w:pPr>
        <w:pStyle w:val="47"/>
        <w:numPr>
          <w:ilvl w:val="-1"/>
          <w:numId w:val="0"/>
        </w:numPr>
        <w:ind w:left="0" w:leftChars="0"/>
        <w:jc w:val="center"/>
        <w:rPr>
          <w:rFonts w:hint="default" w:hAnsi="Times New Roman" w:cs="Times New Roman"/>
          <w:b w:val="0"/>
          <w:bCs w:val="0"/>
          <w:szCs w:val="20"/>
        </w:rPr>
      </w:pPr>
      <w:r>
        <w:rPr>
          <w:rFonts w:hint="default" w:ascii="黑体"/>
          <w:b w:val="0"/>
          <w:bCs w:val="0"/>
          <w:szCs w:val="20"/>
        </w:rPr>
        <w:t>图B.1</w:t>
      </w:r>
      <w:r>
        <w:rPr>
          <w:rFonts w:hint="eastAsia"/>
          <w:b w:val="0"/>
          <w:bCs w:val="0"/>
          <w:szCs w:val="20"/>
          <w:lang w:eastAsia="zh-CN"/>
        </w:rPr>
        <w:t xml:space="preserve"> </w:t>
      </w:r>
      <w:r>
        <w:rPr>
          <w:rFonts w:hint="eastAsia"/>
          <w:b w:val="0"/>
          <w:bCs w:val="0"/>
          <w:szCs w:val="20"/>
          <w:lang w:val="en-US" w:eastAsia="zh-CN"/>
        </w:rPr>
        <w:t xml:space="preserve"> </w:t>
      </w:r>
      <w:r>
        <w:rPr>
          <w:rFonts w:hint="default" w:ascii="黑体"/>
          <w:b w:val="0"/>
          <w:bCs w:val="0"/>
          <w:szCs w:val="20"/>
        </w:rPr>
        <w:t>T梁产品标识表示方法示意</w:t>
      </w:r>
    </w:p>
    <w:p w14:paraId="0E33BBCA">
      <w:pPr>
        <w:pStyle w:val="34"/>
        <w:rPr>
          <w:rFonts w:hint="default" w:hAnsi="Times New Roman" w:cs="Times New Roman"/>
          <w:szCs w:val="18"/>
        </w:rPr>
      </w:pPr>
      <w:r>
        <w:rPr>
          <w:rFonts w:ascii="宋体"/>
          <w:szCs w:val="18"/>
        </w:rPr>
        <w:t>产品代号中I型表示公路-I级和城-A级车道荷载标准；</w:t>
      </w:r>
      <w:r>
        <w:rPr>
          <w:rFonts w:hint="eastAsia"/>
          <w:szCs w:val="18"/>
          <w:lang w:val="en-US" w:eastAsia="zh-CN"/>
        </w:rPr>
        <w:t>Ⅱ</w:t>
      </w:r>
      <w:r>
        <w:rPr>
          <w:rFonts w:ascii="宋体"/>
          <w:szCs w:val="18"/>
        </w:rPr>
        <w:t>型表示公路-II级和城-B级车道荷载标准。</w:t>
      </w:r>
    </w:p>
    <w:p w14:paraId="0E33BBCB">
      <w:pPr>
        <w:pStyle w:val="34"/>
        <w:numPr>
          <w:ilvl w:val="-1"/>
          <w:numId w:val="0"/>
        </w:numPr>
        <w:ind w:left="363" w:leftChars="0" w:firstLine="0"/>
        <w:rPr>
          <w:rFonts w:ascii="宋体"/>
          <w:szCs w:val="18"/>
        </w:rPr>
      </w:pPr>
      <w:r>
        <w:rPr>
          <w:rFonts w:hint="eastAsia" w:ascii="黑体" w:hAnsi="黑体" w:eastAsia="黑体" w:cs="黑体"/>
          <w:b w:val="0"/>
          <w:bCs w:val="0"/>
          <w:szCs w:val="18"/>
        </w:rPr>
        <w:t>示例</w:t>
      </w:r>
      <w:r>
        <w:rPr>
          <w:rFonts w:hint="default" w:ascii="宋体"/>
          <w:b w:val="0"/>
          <w:bCs w:val="0"/>
          <w:szCs w:val="18"/>
        </w:rPr>
        <w:t>：</w:t>
      </w:r>
      <w:r>
        <w:rPr>
          <w:rFonts w:hint="default" w:ascii="宋体"/>
          <w:szCs w:val="18"/>
        </w:rPr>
        <w:t>标识为“TL/</w:t>
      </w:r>
      <w:r>
        <w:rPr>
          <w:rFonts w:hint="eastAsia"/>
          <w:szCs w:val="18"/>
          <w:lang w:val="en-US" w:eastAsia="zh-CN"/>
        </w:rPr>
        <w:t>Ⅱ</w:t>
      </w:r>
      <w:r>
        <w:rPr>
          <w:rFonts w:hint="default" w:ascii="宋体"/>
          <w:szCs w:val="18"/>
        </w:rPr>
        <w:t>-20-1700-1500”的预制混凝土T梁中，</w:t>
      </w:r>
      <w:r>
        <w:rPr>
          <w:rFonts w:hint="eastAsia"/>
          <w:szCs w:val="18"/>
          <w:lang w:val="en-US" w:eastAsia="zh-CN"/>
        </w:rPr>
        <w:t>Ⅱ</w:t>
      </w:r>
      <w:r>
        <w:rPr>
          <w:rFonts w:hint="default" w:ascii="宋体"/>
          <w:szCs w:val="18"/>
        </w:rPr>
        <w:t>表示公路—</w:t>
      </w:r>
      <w:r>
        <w:rPr>
          <w:rFonts w:hint="eastAsia"/>
          <w:szCs w:val="18"/>
          <w:lang w:val="en-US" w:eastAsia="zh-CN"/>
        </w:rPr>
        <w:t>Ⅱ</w:t>
      </w:r>
      <w:r>
        <w:rPr>
          <w:rFonts w:hint="default" w:ascii="宋体"/>
          <w:szCs w:val="18"/>
        </w:rPr>
        <w:t>级或城—B级车道荷载，20、1700和1500分别表示梁长（m）、梁宽（mm）和梁高（mm）。</w:t>
      </w:r>
    </w:p>
    <w:p w14:paraId="0E33BBCC">
      <w:pPr>
        <w:pStyle w:val="46"/>
        <w:numPr>
          <w:ilvl w:val="1"/>
          <w:numId w:val="0"/>
        </w:numPr>
        <w:rPr>
          <w:rFonts w:hint="eastAsia"/>
        </w:rPr>
      </w:pPr>
      <w:r>
        <w:rPr>
          <w:rFonts w:hint="eastAsia" w:ascii="黑体"/>
          <w:snapToGrid/>
        </w:rPr>
        <w:t>B.2　</w:t>
      </w:r>
      <w:r>
        <w:rPr>
          <w:rFonts w:hint="eastAsia" w:ascii="黑体"/>
        </w:rPr>
        <w:t>规格尺寸</w:t>
      </w:r>
    </w:p>
    <w:p w14:paraId="0E33BBCD">
      <w:pPr>
        <w:pStyle w:val="17"/>
        <w:numPr>
          <w:ilvl w:val="2"/>
          <w:numId w:val="0"/>
        </w:numPr>
        <w:ind w:firstLine="420" w:firstLineChars="200"/>
        <w:rPr>
          <w:rFonts w:hint="eastAsia" w:hAnsi="宋体" w:cs="宋体"/>
          <w:szCs w:val="21"/>
        </w:rPr>
      </w:pPr>
      <w:r>
        <w:rPr>
          <w:rFonts w:hint="eastAsia" w:ascii="Times New Roman"/>
          <w:szCs w:val="21"/>
        </w:rPr>
        <w:t>预制混凝土T梁跨中截面及各部位尺寸的代表性示例见图B.2和表B.1；实际产品规格及各部位尺寸以适用的产品标准或设计文件为准。</w:t>
      </w:r>
    </w:p>
    <w:p w14:paraId="0E33BBCE">
      <w:pPr>
        <w:pStyle w:val="17"/>
        <w:numPr>
          <w:ilvl w:val="2"/>
          <w:numId w:val="0"/>
        </w:numPr>
        <w:jc w:val="center"/>
      </w:pPr>
      <w:r>
        <w:drawing>
          <wp:inline distT="0" distB="0" distL="114300" distR="114300">
            <wp:extent cx="4934585" cy="2856865"/>
            <wp:effectExtent l="0" t="0" r="18415" b="63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8"/>
                    <a:stretch>
                      <a:fillRect/>
                    </a:stretch>
                  </pic:blipFill>
                  <pic:spPr>
                    <a:xfrm>
                      <a:off x="0" y="0"/>
                      <a:ext cx="4934585" cy="2856865"/>
                    </a:xfrm>
                    <a:prstGeom prst="rect">
                      <a:avLst/>
                    </a:prstGeom>
                    <a:noFill/>
                    <a:ln>
                      <a:noFill/>
                    </a:ln>
                  </pic:spPr>
                </pic:pic>
              </a:graphicData>
            </a:graphic>
          </wp:inline>
        </w:drawing>
      </w:r>
    </w:p>
    <w:p w14:paraId="0E33BBCF">
      <w:pPr>
        <w:pStyle w:val="47"/>
        <w:numPr>
          <w:ilvl w:val="1"/>
          <w:numId w:val="0"/>
        </w:numPr>
        <w:ind w:left="0" w:leftChars="0"/>
        <w:rPr>
          <w:rFonts w:ascii="黑体"/>
          <w:b w:val="0"/>
          <w:bCs w:val="0"/>
          <w:szCs w:val="20"/>
        </w:rPr>
      </w:pPr>
      <w:r>
        <w:rPr>
          <w:rFonts w:hint="default" w:ascii="黑体"/>
          <w:b w:val="0"/>
          <w:bCs w:val="0"/>
          <w:szCs w:val="20"/>
        </w:rPr>
        <w:t>图B.2　T梁产品标识代表性示例</w:t>
      </w:r>
    </w:p>
    <w:p w14:paraId="0E33BBD0">
      <w:pPr>
        <w:pStyle w:val="17"/>
        <w:numPr>
          <w:ilvl w:val="2"/>
          <w:numId w:val="0"/>
        </w:numPr>
        <w:ind w:firstLine="420" w:firstLineChars="200"/>
        <w:jc w:val="center"/>
      </w:pPr>
    </w:p>
    <w:p w14:paraId="0E33BBD1">
      <w:pPr>
        <w:pStyle w:val="17"/>
        <w:ind w:left="840" w:leftChars="400" w:firstLine="0" w:firstLineChars="0"/>
        <w:jc w:val="center"/>
        <w:rPr>
          <w:rFonts w:hint="eastAsia" w:hAnsi="宋体" w:cs="宋体"/>
          <w:b/>
          <w:bCs/>
          <w:szCs w:val="21"/>
        </w:rPr>
      </w:pPr>
    </w:p>
    <w:p w14:paraId="0E33BBD2">
      <w:pPr>
        <w:pStyle w:val="40"/>
        <w:numPr>
          <w:ilvl w:val="-1"/>
          <w:numId w:val="0"/>
        </w:numPr>
        <w:ind w:left="0" w:leftChars="0"/>
        <w:jc w:val="center"/>
        <w:rPr>
          <w:rFonts w:hint="eastAsia" w:ascii="黑体" w:eastAsia="黑体"/>
          <w:b w:val="0"/>
          <w:bCs w:val="0"/>
          <w:szCs w:val="20"/>
        </w:rPr>
      </w:pPr>
      <w:r>
        <w:rPr>
          <w:rFonts w:hint="eastAsia" w:ascii="黑体" w:eastAsia="黑体"/>
          <w:b w:val="0"/>
          <w:bCs w:val="0"/>
          <w:szCs w:val="20"/>
        </w:rPr>
        <w:t>表B.1　T梁跨中截面各部位尺寸代表性示例</w:t>
      </w:r>
    </w:p>
    <w:tbl>
      <w:tblPr>
        <w:tblStyle w:val="10"/>
        <w:tblW w:w="4995"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927"/>
        <w:gridCol w:w="928"/>
        <w:gridCol w:w="928"/>
        <w:gridCol w:w="928"/>
        <w:gridCol w:w="928"/>
        <w:gridCol w:w="928"/>
        <w:gridCol w:w="928"/>
        <w:gridCol w:w="928"/>
        <w:gridCol w:w="928"/>
        <w:gridCol w:w="928"/>
      </w:tblGrid>
      <w:tr w14:paraId="0E33BBE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0" w:hRule="atLeast"/>
          <w:tblHeader/>
          <w:jc w:val="center"/>
        </w:trPr>
        <w:tc>
          <w:tcPr>
            <w:tcW w:w="500" w:type="pct"/>
            <w:tcBorders>
              <w:bottom w:val="single" w:color="auto" w:sz="8" w:space="0"/>
            </w:tcBorders>
            <w:vAlign w:val="center"/>
          </w:tcPr>
          <w:p w14:paraId="0E33BBD3">
            <w:pPr>
              <w:pStyle w:val="39"/>
              <w:widowControl w:val="0"/>
              <w:rPr>
                <w:rFonts w:hint="default" w:ascii="Times New Roman" w:hAnsi="Times New Roman" w:cs="Times New Roman"/>
                <w:bCs w:val="0"/>
                <w:szCs w:val="20"/>
              </w:rPr>
            </w:pPr>
            <w:r>
              <w:rPr>
                <w:rFonts w:hint="default" w:ascii="Times New Roman"/>
                <w:bCs w:val="0"/>
                <w:sz w:val="18"/>
                <w:szCs w:val="20"/>
              </w:rPr>
              <w:t>L</w:t>
            </w:r>
          </w:p>
          <w:p w14:paraId="0E33BBD4">
            <w:pPr>
              <w:pStyle w:val="39"/>
              <w:widowControl w:val="0"/>
              <w:rPr>
                <w:rFonts w:hint="default" w:ascii="Times New Roman" w:hAnsi="Times New Roman" w:cs="Times New Roman"/>
                <w:bCs w:val="0"/>
                <w:szCs w:val="20"/>
              </w:rPr>
            </w:pPr>
            <w:r>
              <w:rPr>
                <w:rFonts w:ascii="Times New Roman"/>
                <w:bCs w:val="0"/>
                <w:sz w:val="18"/>
                <w:szCs w:val="20"/>
              </w:rPr>
              <w:t>m</w:t>
            </w:r>
          </w:p>
        </w:tc>
        <w:tc>
          <w:tcPr>
            <w:tcW w:w="500" w:type="pct"/>
            <w:tcBorders>
              <w:bottom w:val="single" w:color="auto" w:sz="8" w:space="0"/>
            </w:tcBorders>
            <w:vAlign w:val="center"/>
          </w:tcPr>
          <w:p w14:paraId="0E33BBD5">
            <w:pPr>
              <w:pStyle w:val="39"/>
              <w:widowControl w:val="0"/>
              <w:rPr>
                <w:rFonts w:hint="default" w:ascii="Times New Roman" w:hAnsi="Times New Roman" w:cs="Times New Roman"/>
                <w:bCs w:val="0"/>
                <w:szCs w:val="20"/>
              </w:rPr>
            </w:pPr>
            <w:r>
              <w:rPr>
                <w:rFonts w:hint="default" w:ascii="Times New Roman"/>
                <w:bCs w:val="0"/>
                <w:sz w:val="18"/>
                <w:szCs w:val="20"/>
              </w:rPr>
              <w:t>b</w:t>
            </w:r>
          </w:p>
          <w:p w14:paraId="0E33BBD6">
            <w:pPr>
              <w:pStyle w:val="39"/>
              <w:widowControl w:val="0"/>
              <w:rPr>
                <w:rFonts w:hint="default" w:ascii="Times New Roman" w:hAnsi="Times New Roman" w:cs="Times New Roman"/>
                <w:bCs w:val="0"/>
                <w:szCs w:val="20"/>
              </w:rPr>
            </w:pPr>
            <w:r>
              <w:rPr>
                <w:rFonts w:hint="default" w:ascii="Times New Roman"/>
                <w:bCs w:val="0"/>
                <w:sz w:val="18"/>
                <w:szCs w:val="20"/>
              </w:rPr>
              <w:t>mm</w:t>
            </w:r>
          </w:p>
        </w:tc>
        <w:tc>
          <w:tcPr>
            <w:tcW w:w="500" w:type="pct"/>
            <w:tcBorders>
              <w:bottom w:val="single" w:color="auto" w:sz="8" w:space="0"/>
            </w:tcBorders>
            <w:vAlign w:val="center"/>
          </w:tcPr>
          <w:p w14:paraId="0E33BBD7">
            <w:pPr>
              <w:pStyle w:val="39"/>
              <w:widowControl w:val="0"/>
              <w:rPr>
                <w:rFonts w:hint="default" w:ascii="Times New Roman" w:hAnsi="Times New Roman" w:cs="Times New Roman"/>
                <w:bCs w:val="0"/>
                <w:szCs w:val="20"/>
                <w:vertAlign w:val="baseline"/>
              </w:rPr>
            </w:pPr>
            <w:r>
              <w:rPr>
                <w:rFonts w:hint="default" w:ascii="Times New Roman"/>
                <w:bCs w:val="0"/>
                <w:sz w:val="18"/>
                <w:szCs w:val="20"/>
              </w:rPr>
              <w:t>b</w:t>
            </w:r>
            <w:r>
              <w:rPr>
                <w:rFonts w:ascii="Times New Roman"/>
                <w:bCs w:val="0"/>
                <w:sz w:val="18"/>
                <w:szCs w:val="20"/>
                <w:vertAlign w:val="baseline"/>
              </w:rPr>
              <w:t>1</w:t>
            </w:r>
          </w:p>
          <w:p w14:paraId="0E33BBD8">
            <w:pPr>
              <w:pStyle w:val="39"/>
              <w:widowControl w:val="0"/>
              <w:rPr>
                <w:rFonts w:hint="default" w:ascii="Times New Roman" w:hAnsi="Times New Roman" w:cs="Times New Roman"/>
                <w:bCs w:val="0"/>
                <w:szCs w:val="20"/>
                <w:vertAlign w:val="baseline"/>
              </w:rPr>
            </w:pPr>
            <w:r>
              <w:rPr>
                <w:rFonts w:hint="default" w:ascii="Times New Roman"/>
                <w:bCs w:val="0"/>
                <w:sz w:val="18"/>
                <w:szCs w:val="20"/>
              </w:rPr>
              <w:t>mm</w:t>
            </w:r>
          </w:p>
        </w:tc>
        <w:tc>
          <w:tcPr>
            <w:tcW w:w="500" w:type="pct"/>
            <w:tcBorders>
              <w:bottom w:val="single" w:color="auto" w:sz="8" w:space="0"/>
            </w:tcBorders>
            <w:vAlign w:val="center"/>
          </w:tcPr>
          <w:p w14:paraId="0E33BBD9">
            <w:pPr>
              <w:pStyle w:val="39"/>
              <w:widowControl w:val="0"/>
              <w:rPr>
                <w:rFonts w:hint="default" w:ascii="Times New Roman" w:hAnsi="Times New Roman" w:cs="Times New Roman"/>
                <w:bCs w:val="0"/>
                <w:szCs w:val="20"/>
                <w:vertAlign w:val="baseline"/>
              </w:rPr>
            </w:pPr>
            <w:r>
              <w:rPr>
                <w:rFonts w:hint="default" w:ascii="Times New Roman"/>
                <w:bCs w:val="0"/>
                <w:sz w:val="18"/>
                <w:szCs w:val="20"/>
              </w:rPr>
              <w:t>b</w:t>
            </w:r>
            <w:r>
              <w:rPr>
                <w:rFonts w:hint="default" w:ascii="Times New Roman"/>
                <w:bCs w:val="0"/>
                <w:sz w:val="18"/>
                <w:szCs w:val="20"/>
                <w:vertAlign w:val="baseline"/>
              </w:rPr>
              <w:t>2</w:t>
            </w:r>
          </w:p>
          <w:p w14:paraId="0E33BBDA">
            <w:pPr>
              <w:pStyle w:val="39"/>
              <w:widowControl w:val="0"/>
              <w:rPr>
                <w:rFonts w:hint="default" w:ascii="Times New Roman" w:hAnsi="Times New Roman" w:cs="Times New Roman"/>
                <w:b w:val="0"/>
                <w:szCs w:val="20"/>
              </w:rPr>
            </w:pPr>
            <w:r>
              <w:rPr>
                <w:rFonts w:hint="default" w:ascii="Times New Roman"/>
                <w:bCs w:val="0"/>
                <w:sz w:val="18"/>
                <w:szCs w:val="20"/>
              </w:rPr>
              <w:t>mm</w:t>
            </w:r>
          </w:p>
        </w:tc>
        <w:tc>
          <w:tcPr>
            <w:tcW w:w="500" w:type="pct"/>
            <w:tcBorders>
              <w:bottom w:val="single" w:color="auto" w:sz="8" w:space="0"/>
            </w:tcBorders>
            <w:vAlign w:val="center"/>
          </w:tcPr>
          <w:p w14:paraId="0E33BBDB">
            <w:pPr>
              <w:pStyle w:val="39"/>
              <w:widowControl w:val="0"/>
              <w:rPr>
                <w:rFonts w:hint="default" w:ascii="Times New Roman" w:hAnsi="Times New Roman" w:cs="Times New Roman"/>
                <w:bCs w:val="0"/>
                <w:szCs w:val="20"/>
                <w:vertAlign w:val="baseline"/>
              </w:rPr>
            </w:pPr>
            <w:r>
              <w:rPr>
                <w:rFonts w:hint="default" w:ascii="Times New Roman"/>
                <w:bCs w:val="0"/>
                <w:sz w:val="18"/>
                <w:szCs w:val="20"/>
              </w:rPr>
              <w:t>b</w:t>
            </w:r>
            <w:r>
              <w:rPr>
                <w:rFonts w:ascii="Times New Roman"/>
                <w:bCs w:val="0"/>
                <w:sz w:val="18"/>
                <w:szCs w:val="20"/>
                <w:vertAlign w:val="baseline"/>
              </w:rPr>
              <w:t>3</w:t>
            </w:r>
          </w:p>
          <w:p w14:paraId="0E33BBDC">
            <w:pPr>
              <w:pStyle w:val="39"/>
              <w:widowControl w:val="0"/>
              <w:rPr>
                <w:rFonts w:hint="default" w:ascii="Times New Roman" w:hAnsi="Times New Roman" w:cs="Times New Roman"/>
                <w:b w:val="0"/>
                <w:szCs w:val="20"/>
              </w:rPr>
            </w:pPr>
            <w:r>
              <w:rPr>
                <w:rFonts w:hint="default" w:ascii="Times New Roman"/>
                <w:bCs w:val="0"/>
                <w:sz w:val="18"/>
                <w:szCs w:val="20"/>
              </w:rPr>
              <w:t>mm</w:t>
            </w:r>
          </w:p>
        </w:tc>
        <w:tc>
          <w:tcPr>
            <w:tcW w:w="500" w:type="pct"/>
            <w:tcBorders>
              <w:bottom w:val="single" w:color="auto" w:sz="8" w:space="0"/>
            </w:tcBorders>
            <w:vAlign w:val="center"/>
          </w:tcPr>
          <w:p w14:paraId="0E33BBDD">
            <w:pPr>
              <w:pStyle w:val="39"/>
              <w:widowControl w:val="0"/>
              <w:rPr>
                <w:rFonts w:hint="default" w:ascii="Times New Roman" w:hAnsi="Times New Roman" w:cs="Times New Roman"/>
                <w:bCs w:val="0"/>
                <w:szCs w:val="20"/>
              </w:rPr>
            </w:pPr>
            <w:r>
              <w:rPr>
                <w:rFonts w:hint="default" w:ascii="Times New Roman"/>
                <w:bCs w:val="0"/>
                <w:sz w:val="18"/>
                <w:szCs w:val="20"/>
              </w:rPr>
              <w:t>h</w:t>
            </w:r>
          </w:p>
          <w:p w14:paraId="0E33BBDE">
            <w:pPr>
              <w:pStyle w:val="39"/>
              <w:widowControl w:val="0"/>
              <w:rPr>
                <w:rFonts w:hint="default" w:ascii="Times New Roman" w:hAnsi="Times New Roman" w:cs="Times New Roman"/>
                <w:b w:val="0"/>
                <w:szCs w:val="20"/>
              </w:rPr>
            </w:pPr>
            <w:r>
              <w:rPr>
                <w:rFonts w:hint="default" w:ascii="Times New Roman"/>
                <w:bCs w:val="0"/>
                <w:sz w:val="18"/>
                <w:szCs w:val="20"/>
              </w:rPr>
              <w:t>mm</w:t>
            </w:r>
          </w:p>
        </w:tc>
        <w:tc>
          <w:tcPr>
            <w:tcW w:w="500" w:type="pct"/>
            <w:tcBorders>
              <w:bottom w:val="single" w:color="auto" w:sz="8" w:space="0"/>
            </w:tcBorders>
            <w:vAlign w:val="center"/>
          </w:tcPr>
          <w:p w14:paraId="0E33BBDF">
            <w:pPr>
              <w:pStyle w:val="39"/>
              <w:widowControl w:val="0"/>
              <w:rPr>
                <w:rFonts w:hint="default" w:ascii="Times New Roman" w:hAnsi="Times New Roman" w:cs="Times New Roman"/>
                <w:bCs w:val="0"/>
                <w:szCs w:val="20"/>
                <w:vertAlign w:val="baseline"/>
              </w:rPr>
            </w:pPr>
            <w:r>
              <w:rPr>
                <w:rFonts w:hint="default" w:ascii="Times New Roman"/>
                <w:bCs w:val="0"/>
                <w:sz w:val="18"/>
                <w:szCs w:val="20"/>
              </w:rPr>
              <w:t>h</w:t>
            </w:r>
            <w:r>
              <w:rPr>
                <w:rFonts w:ascii="Times New Roman"/>
                <w:bCs w:val="0"/>
                <w:sz w:val="18"/>
                <w:szCs w:val="20"/>
                <w:vertAlign w:val="baseline"/>
              </w:rPr>
              <w:t>1</w:t>
            </w:r>
          </w:p>
          <w:p w14:paraId="0E33BBE0">
            <w:pPr>
              <w:pStyle w:val="39"/>
              <w:widowControl w:val="0"/>
              <w:rPr>
                <w:rFonts w:hint="default" w:ascii="Times New Roman" w:hAnsi="Times New Roman" w:cs="Times New Roman"/>
                <w:b w:val="0"/>
                <w:szCs w:val="20"/>
              </w:rPr>
            </w:pPr>
            <w:r>
              <w:rPr>
                <w:rFonts w:hint="default" w:ascii="Times New Roman"/>
                <w:bCs w:val="0"/>
                <w:sz w:val="18"/>
                <w:szCs w:val="20"/>
              </w:rPr>
              <w:t>mm</w:t>
            </w:r>
          </w:p>
        </w:tc>
        <w:tc>
          <w:tcPr>
            <w:tcW w:w="500" w:type="pct"/>
            <w:tcBorders>
              <w:bottom w:val="single" w:color="auto" w:sz="8" w:space="0"/>
            </w:tcBorders>
            <w:vAlign w:val="center"/>
          </w:tcPr>
          <w:p w14:paraId="0E33BBE1">
            <w:pPr>
              <w:pStyle w:val="39"/>
              <w:widowControl w:val="0"/>
              <w:rPr>
                <w:rFonts w:hint="default" w:ascii="Times New Roman" w:hAnsi="Times New Roman" w:cs="Times New Roman"/>
                <w:bCs w:val="0"/>
                <w:szCs w:val="20"/>
                <w:vertAlign w:val="baseline"/>
              </w:rPr>
            </w:pPr>
            <w:r>
              <w:rPr>
                <w:rFonts w:hint="default" w:ascii="Times New Roman"/>
                <w:bCs w:val="0"/>
                <w:sz w:val="18"/>
                <w:szCs w:val="20"/>
              </w:rPr>
              <w:t>h</w:t>
            </w:r>
            <w:r>
              <w:rPr>
                <w:rFonts w:hint="default" w:ascii="Times New Roman"/>
                <w:bCs w:val="0"/>
                <w:sz w:val="18"/>
                <w:szCs w:val="20"/>
                <w:vertAlign w:val="baseline"/>
              </w:rPr>
              <w:t>2</w:t>
            </w:r>
          </w:p>
          <w:p w14:paraId="0E33BBE2">
            <w:pPr>
              <w:pStyle w:val="39"/>
              <w:widowControl w:val="0"/>
              <w:rPr>
                <w:rFonts w:hint="default" w:ascii="Times New Roman" w:hAnsi="Times New Roman" w:cs="Times New Roman"/>
                <w:b w:val="0"/>
                <w:szCs w:val="20"/>
              </w:rPr>
            </w:pPr>
            <w:r>
              <w:rPr>
                <w:rFonts w:hint="default" w:ascii="Times New Roman"/>
                <w:bCs w:val="0"/>
                <w:sz w:val="18"/>
                <w:szCs w:val="20"/>
              </w:rPr>
              <w:t>mm</w:t>
            </w:r>
          </w:p>
        </w:tc>
        <w:tc>
          <w:tcPr>
            <w:tcW w:w="500" w:type="pct"/>
            <w:tcBorders>
              <w:bottom w:val="single" w:color="auto" w:sz="8" w:space="0"/>
            </w:tcBorders>
            <w:vAlign w:val="center"/>
          </w:tcPr>
          <w:p w14:paraId="0E33BBE3">
            <w:pPr>
              <w:pStyle w:val="39"/>
              <w:widowControl w:val="0"/>
              <w:rPr>
                <w:rFonts w:hint="default" w:ascii="Times New Roman" w:hAnsi="Times New Roman" w:cs="Times New Roman"/>
                <w:bCs w:val="0"/>
                <w:szCs w:val="20"/>
                <w:vertAlign w:val="baseline"/>
              </w:rPr>
            </w:pPr>
            <w:r>
              <w:rPr>
                <w:rFonts w:hint="default" w:ascii="Times New Roman"/>
                <w:bCs w:val="0"/>
                <w:sz w:val="18"/>
                <w:szCs w:val="20"/>
              </w:rPr>
              <w:t>h</w:t>
            </w:r>
            <w:r>
              <w:rPr>
                <w:rFonts w:ascii="Times New Roman"/>
                <w:bCs w:val="0"/>
                <w:sz w:val="18"/>
                <w:szCs w:val="20"/>
                <w:vertAlign w:val="baseline"/>
              </w:rPr>
              <w:t>3</w:t>
            </w:r>
          </w:p>
          <w:p w14:paraId="0E33BBE4">
            <w:pPr>
              <w:pStyle w:val="39"/>
              <w:widowControl w:val="0"/>
              <w:rPr>
                <w:rFonts w:hint="default" w:ascii="Times New Roman" w:hAnsi="Times New Roman" w:cs="Times New Roman"/>
                <w:b w:val="0"/>
                <w:szCs w:val="20"/>
              </w:rPr>
            </w:pPr>
            <w:r>
              <w:rPr>
                <w:rFonts w:hint="default" w:ascii="Times New Roman"/>
                <w:bCs w:val="0"/>
                <w:sz w:val="18"/>
                <w:szCs w:val="20"/>
              </w:rPr>
              <w:t>mm</w:t>
            </w:r>
          </w:p>
        </w:tc>
        <w:tc>
          <w:tcPr>
            <w:tcW w:w="500" w:type="pct"/>
            <w:tcBorders>
              <w:bottom w:val="single" w:color="auto" w:sz="8" w:space="0"/>
            </w:tcBorders>
            <w:vAlign w:val="center"/>
          </w:tcPr>
          <w:p w14:paraId="0E33BBE5">
            <w:pPr>
              <w:pStyle w:val="39"/>
              <w:widowControl w:val="0"/>
              <w:rPr>
                <w:rFonts w:hint="default" w:ascii="Times New Roman" w:hAnsi="Times New Roman" w:cs="Times New Roman"/>
                <w:bCs w:val="0"/>
                <w:szCs w:val="20"/>
                <w:vertAlign w:val="baseline"/>
              </w:rPr>
            </w:pPr>
            <w:r>
              <w:rPr>
                <w:rFonts w:hint="default" w:ascii="Times New Roman"/>
                <w:bCs w:val="0"/>
                <w:sz w:val="18"/>
                <w:szCs w:val="20"/>
              </w:rPr>
              <w:t>h</w:t>
            </w:r>
            <w:r>
              <w:rPr>
                <w:rFonts w:hint="default" w:ascii="Times New Roman"/>
                <w:bCs w:val="0"/>
                <w:sz w:val="18"/>
                <w:szCs w:val="20"/>
                <w:vertAlign w:val="baseline"/>
              </w:rPr>
              <w:t>4</w:t>
            </w:r>
          </w:p>
          <w:p w14:paraId="0E33BBE6">
            <w:pPr>
              <w:pStyle w:val="39"/>
              <w:widowControl w:val="0"/>
              <w:rPr>
                <w:rFonts w:hint="default" w:ascii="Times New Roman" w:hAnsi="Times New Roman" w:cs="Times New Roman"/>
                <w:b w:val="0"/>
                <w:szCs w:val="20"/>
              </w:rPr>
            </w:pPr>
            <w:r>
              <w:rPr>
                <w:rFonts w:hint="default" w:ascii="Times New Roman"/>
                <w:bCs w:val="0"/>
                <w:sz w:val="18"/>
                <w:szCs w:val="20"/>
              </w:rPr>
              <w:t>mm</w:t>
            </w:r>
          </w:p>
        </w:tc>
      </w:tr>
      <w:tr w14:paraId="0E33BBF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0" w:hRule="atLeast"/>
          <w:jc w:val="center"/>
        </w:trPr>
        <w:tc>
          <w:tcPr>
            <w:tcW w:w="500" w:type="pct"/>
            <w:tcBorders>
              <w:top w:val="single" w:color="auto" w:sz="8" w:space="0"/>
              <w:tl2br w:val="nil"/>
              <w:tr2bl w:val="nil"/>
            </w:tcBorders>
            <w:vAlign w:val="center"/>
          </w:tcPr>
          <w:p w14:paraId="0E33BBE8">
            <w:pPr>
              <w:pStyle w:val="39"/>
              <w:widowControl w:val="0"/>
              <w:rPr>
                <w:rFonts w:ascii="Times New Roman"/>
                <w:szCs w:val="20"/>
              </w:rPr>
            </w:pPr>
            <w:r>
              <w:rPr>
                <w:rFonts w:ascii="Times New Roman"/>
                <w:sz w:val="18"/>
                <w:szCs w:val="20"/>
              </w:rPr>
              <w:t>20</w:t>
            </w:r>
          </w:p>
        </w:tc>
        <w:tc>
          <w:tcPr>
            <w:tcW w:w="500" w:type="pct"/>
            <w:tcBorders>
              <w:top w:val="single" w:color="auto" w:sz="8" w:space="0"/>
              <w:tl2br w:val="nil"/>
              <w:tr2bl w:val="nil"/>
            </w:tcBorders>
            <w:vAlign w:val="center"/>
          </w:tcPr>
          <w:p w14:paraId="0E33BBE9">
            <w:pPr>
              <w:pStyle w:val="39"/>
              <w:widowControl w:val="0"/>
              <w:rPr>
                <w:rFonts w:ascii="Times New Roman"/>
                <w:szCs w:val="20"/>
              </w:rPr>
            </w:pPr>
            <w:r>
              <w:rPr>
                <w:rFonts w:ascii="Times New Roman"/>
                <w:sz w:val="18"/>
                <w:szCs w:val="20"/>
              </w:rPr>
              <w:t>1700</w:t>
            </w:r>
          </w:p>
        </w:tc>
        <w:tc>
          <w:tcPr>
            <w:tcW w:w="500" w:type="pct"/>
            <w:tcBorders>
              <w:top w:val="single" w:color="auto" w:sz="8" w:space="0"/>
              <w:tl2br w:val="nil"/>
              <w:tr2bl w:val="nil"/>
            </w:tcBorders>
            <w:vAlign w:val="center"/>
          </w:tcPr>
          <w:p w14:paraId="0E33BBEA">
            <w:pPr>
              <w:pStyle w:val="39"/>
              <w:widowControl w:val="0"/>
              <w:rPr>
                <w:rFonts w:ascii="Times New Roman"/>
                <w:szCs w:val="20"/>
              </w:rPr>
            </w:pPr>
            <w:r>
              <w:rPr>
                <w:rFonts w:ascii="Times New Roman"/>
                <w:sz w:val="18"/>
                <w:szCs w:val="20"/>
              </w:rPr>
              <w:t>200</w:t>
            </w:r>
          </w:p>
        </w:tc>
        <w:tc>
          <w:tcPr>
            <w:tcW w:w="500" w:type="pct"/>
            <w:tcBorders>
              <w:top w:val="single" w:color="auto" w:sz="8" w:space="0"/>
              <w:tl2br w:val="nil"/>
              <w:tr2bl w:val="nil"/>
            </w:tcBorders>
            <w:vAlign w:val="center"/>
          </w:tcPr>
          <w:p w14:paraId="0E33BBEB">
            <w:pPr>
              <w:pStyle w:val="39"/>
              <w:widowControl w:val="0"/>
              <w:rPr>
                <w:rFonts w:ascii="Times New Roman"/>
                <w:szCs w:val="20"/>
              </w:rPr>
            </w:pPr>
            <w:r>
              <w:rPr>
                <w:rFonts w:ascii="Times New Roman"/>
                <w:sz w:val="18"/>
                <w:szCs w:val="20"/>
              </w:rPr>
              <w:t>440</w:t>
            </w:r>
          </w:p>
        </w:tc>
        <w:tc>
          <w:tcPr>
            <w:tcW w:w="500" w:type="pct"/>
            <w:tcBorders>
              <w:top w:val="single" w:color="auto" w:sz="8" w:space="0"/>
              <w:tl2br w:val="nil"/>
              <w:tr2bl w:val="nil"/>
            </w:tcBorders>
            <w:vAlign w:val="center"/>
          </w:tcPr>
          <w:p w14:paraId="0E33BBEC">
            <w:pPr>
              <w:pStyle w:val="39"/>
              <w:widowControl w:val="0"/>
              <w:rPr>
                <w:rFonts w:ascii="Times New Roman"/>
                <w:szCs w:val="20"/>
              </w:rPr>
            </w:pPr>
            <w:r>
              <w:rPr>
                <w:rFonts w:hint="default" w:ascii="Times New Roman"/>
                <w:sz w:val="18"/>
                <w:szCs w:val="20"/>
              </w:rPr>
              <w:t>600</w:t>
            </w:r>
          </w:p>
        </w:tc>
        <w:tc>
          <w:tcPr>
            <w:tcW w:w="500" w:type="pct"/>
            <w:tcBorders>
              <w:top w:val="single" w:color="auto" w:sz="8" w:space="0"/>
              <w:tl2br w:val="nil"/>
              <w:tr2bl w:val="nil"/>
            </w:tcBorders>
            <w:vAlign w:val="center"/>
          </w:tcPr>
          <w:p w14:paraId="0E33BBED">
            <w:pPr>
              <w:pStyle w:val="39"/>
              <w:widowControl w:val="0"/>
              <w:rPr>
                <w:rFonts w:ascii="Times New Roman"/>
                <w:szCs w:val="20"/>
              </w:rPr>
            </w:pPr>
            <w:r>
              <w:rPr>
                <w:rFonts w:hint="default" w:ascii="Times New Roman"/>
                <w:sz w:val="18"/>
                <w:szCs w:val="20"/>
              </w:rPr>
              <w:t>1500</w:t>
            </w:r>
          </w:p>
        </w:tc>
        <w:tc>
          <w:tcPr>
            <w:tcW w:w="500" w:type="pct"/>
            <w:tcBorders>
              <w:top w:val="single" w:color="auto" w:sz="8" w:space="0"/>
              <w:tl2br w:val="nil"/>
              <w:tr2bl w:val="nil"/>
            </w:tcBorders>
            <w:vAlign w:val="center"/>
          </w:tcPr>
          <w:p w14:paraId="0E33BBEE">
            <w:pPr>
              <w:pStyle w:val="39"/>
              <w:widowControl w:val="0"/>
              <w:rPr>
                <w:rFonts w:ascii="Times New Roman"/>
                <w:szCs w:val="20"/>
              </w:rPr>
            </w:pPr>
            <w:r>
              <w:rPr>
                <w:rFonts w:hint="default" w:ascii="Times New Roman"/>
                <w:sz w:val="18"/>
                <w:szCs w:val="20"/>
              </w:rPr>
              <w:t>850</w:t>
            </w:r>
          </w:p>
        </w:tc>
        <w:tc>
          <w:tcPr>
            <w:tcW w:w="500" w:type="pct"/>
            <w:tcBorders>
              <w:top w:val="single" w:color="auto" w:sz="8" w:space="0"/>
              <w:tl2br w:val="nil"/>
              <w:tr2bl w:val="nil"/>
            </w:tcBorders>
            <w:vAlign w:val="center"/>
          </w:tcPr>
          <w:p w14:paraId="0E33BBEF">
            <w:pPr>
              <w:pStyle w:val="39"/>
              <w:widowControl w:val="0"/>
              <w:rPr>
                <w:rFonts w:ascii="Times New Roman"/>
                <w:szCs w:val="20"/>
              </w:rPr>
            </w:pPr>
            <w:r>
              <w:rPr>
                <w:rFonts w:hint="default" w:ascii="Times New Roman"/>
                <w:sz w:val="18"/>
                <w:szCs w:val="20"/>
              </w:rPr>
              <w:t>200</w:t>
            </w:r>
          </w:p>
        </w:tc>
        <w:tc>
          <w:tcPr>
            <w:tcW w:w="500" w:type="pct"/>
            <w:tcBorders>
              <w:top w:val="single" w:color="auto" w:sz="8" w:space="0"/>
              <w:tl2br w:val="nil"/>
              <w:tr2bl w:val="nil"/>
            </w:tcBorders>
            <w:vAlign w:val="center"/>
          </w:tcPr>
          <w:p w14:paraId="0E33BBF0">
            <w:pPr>
              <w:pStyle w:val="39"/>
              <w:widowControl w:val="0"/>
              <w:rPr>
                <w:rFonts w:ascii="Times New Roman"/>
                <w:szCs w:val="20"/>
              </w:rPr>
            </w:pPr>
            <w:r>
              <w:rPr>
                <w:rFonts w:hint="default" w:ascii="Times New Roman"/>
                <w:sz w:val="18"/>
                <w:szCs w:val="20"/>
              </w:rPr>
              <w:t>160</w:t>
            </w:r>
          </w:p>
        </w:tc>
        <w:tc>
          <w:tcPr>
            <w:tcW w:w="500" w:type="pct"/>
            <w:tcBorders>
              <w:top w:val="single" w:color="auto" w:sz="8" w:space="0"/>
              <w:tl2br w:val="nil"/>
              <w:tr2bl w:val="nil"/>
            </w:tcBorders>
            <w:vAlign w:val="center"/>
          </w:tcPr>
          <w:p w14:paraId="0E33BBF1">
            <w:pPr>
              <w:pStyle w:val="39"/>
              <w:widowControl w:val="0"/>
              <w:rPr>
                <w:rFonts w:ascii="Times New Roman"/>
                <w:szCs w:val="20"/>
              </w:rPr>
            </w:pPr>
            <w:r>
              <w:rPr>
                <w:rFonts w:hint="default" w:ascii="Times New Roman"/>
                <w:sz w:val="18"/>
                <w:szCs w:val="20"/>
              </w:rPr>
              <w:t>250</w:t>
            </w:r>
          </w:p>
        </w:tc>
      </w:tr>
      <w:tr w14:paraId="0E33BBF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0" w:hRule="atLeast"/>
          <w:jc w:val="center"/>
        </w:trPr>
        <w:tc>
          <w:tcPr>
            <w:tcW w:w="500" w:type="pct"/>
            <w:tcBorders>
              <w:tl2br w:val="nil"/>
              <w:tr2bl w:val="nil"/>
            </w:tcBorders>
            <w:vAlign w:val="center"/>
          </w:tcPr>
          <w:p w14:paraId="0E33BBF3">
            <w:pPr>
              <w:pStyle w:val="39"/>
              <w:widowControl w:val="0"/>
              <w:rPr>
                <w:rFonts w:ascii="Times New Roman"/>
                <w:szCs w:val="20"/>
              </w:rPr>
            </w:pPr>
            <w:r>
              <w:rPr>
                <w:rFonts w:ascii="Times New Roman"/>
                <w:sz w:val="18"/>
                <w:szCs w:val="20"/>
              </w:rPr>
              <w:t>25</w:t>
            </w:r>
          </w:p>
        </w:tc>
        <w:tc>
          <w:tcPr>
            <w:tcW w:w="500" w:type="pct"/>
            <w:tcBorders>
              <w:tl2br w:val="nil"/>
              <w:tr2bl w:val="nil"/>
            </w:tcBorders>
            <w:vAlign w:val="center"/>
          </w:tcPr>
          <w:p w14:paraId="0E33BBF4">
            <w:pPr>
              <w:pStyle w:val="39"/>
              <w:widowControl w:val="0"/>
              <w:rPr>
                <w:rFonts w:ascii="Times New Roman" w:hAnsi="Times New Roman" w:cs="Times New Roman"/>
              </w:rPr>
            </w:pPr>
            <w:r>
              <w:rPr>
                <w:rFonts w:ascii="Times New Roman" w:hAnsi="Times New Roman" w:eastAsia="宋体" w:cs="Times New Roman"/>
                <w:sz w:val="18"/>
              </w:rPr>
              <w:t>1700</w:t>
            </w:r>
          </w:p>
        </w:tc>
        <w:tc>
          <w:tcPr>
            <w:tcW w:w="500" w:type="pct"/>
            <w:tcBorders>
              <w:tl2br w:val="nil"/>
              <w:tr2bl w:val="nil"/>
            </w:tcBorders>
            <w:vAlign w:val="center"/>
          </w:tcPr>
          <w:p w14:paraId="0E33BBF5">
            <w:pPr>
              <w:pStyle w:val="39"/>
              <w:widowControl w:val="0"/>
              <w:rPr>
                <w:rFonts w:ascii="Times New Roman"/>
                <w:szCs w:val="20"/>
              </w:rPr>
            </w:pPr>
            <w:r>
              <w:rPr>
                <w:rFonts w:ascii="Times New Roman"/>
                <w:sz w:val="18"/>
                <w:szCs w:val="20"/>
              </w:rPr>
              <w:t>200</w:t>
            </w:r>
          </w:p>
        </w:tc>
        <w:tc>
          <w:tcPr>
            <w:tcW w:w="500" w:type="pct"/>
            <w:tcBorders>
              <w:tl2br w:val="nil"/>
              <w:tr2bl w:val="nil"/>
            </w:tcBorders>
            <w:vAlign w:val="center"/>
          </w:tcPr>
          <w:p w14:paraId="0E33BBF6">
            <w:pPr>
              <w:pStyle w:val="39"/>
              <w:widowControl w:val="0"/>
              <w:rPr>
                <w:rFonts w:ascii="Times New Roman"/>
                <w:szCs w:val="20"/>
              </w:rPr>
            </w:pPr>
            <w:r>
              <w:rPr>
                <w:rFonts w:hint="default" w:ascii="Times New Roman"/>
                <w:sz w:val="18"/>
                <w:szCs w:val="20"/>
              </w:rPr>
              <w:t>480</w:t>
            </w:r>
          </w:p>
        </w:tc>
        <w:tc>
          <w:tcPr>
            <w:tcW w:w="500" w:type="pct"/>
            <w:tcBorders>
              <w:tl2br w:val="nil"/>
              <w:tr2bl w:val="nil"/>
            </w:tcBorders>
            <w:vAlign w:val="center"/>
          </w:tcPr>
          <w:p w14:paraId="0E33BBF7">
            <w:pPr>
              <w:pStyle w:val="39"/>
              <w:widowControl w:val="0"/>
              <w:rPr>
                <w:rFonts w:ascii="Times New Roman"/>
                <w:szCs w:val="20"/>
              </w:rPr>
            </w:pPr>
            <w:r>
              <w:rPr>
                <w:rFonts w:hint="default" w:ascii="Times New Roman"/>
                <w:sz w:val="18"/>
                <w:szCs w:val="20"/>
              </w:rPr>
              <w:t>600</w:t>
            </w:r>
          </w:p>
        </w:tc>
        <w:tc>
          <w:tcPr>
            <w:tcW w:w="500" w:type="pct"/>
            <w:tcBorders>
              <w:tl2br w:val="nil"/>
              <w:tr2bl w:val="nil"/>
            </w:tcBorders>
            <w:vAlign w:val="center"/>
          </w:tcPr>
          <w:p w14:paraId="0E33BBF8">
            <w:pPr>
              <w:pStyle w:val="39"/>
              <w:widowControl w:val="0"/>
              <w:rPr>
                <w:rFonts w:ascii="Times New Roman"/>
                <w:szCs w:val="20"/>
              </w:rPr>
            </w:pPr>
            <w:r>
              <w:rPr>
                <w:rFonts w:hint="default" w:ascii="Times New Roman"/>
                <w:sz w:val="18"/>
                <w:szCs w:val="20"/>
              </w:rPr>
              <w:t>1700</w:t>
            </w:r>
          </w:p>
        </w:tc>
        <w:tc>
          <w:tcPr>
            <w:tcW w:w="500" w:type="pct"/>
            <w:tcBorders>
              <w:tl2br w:val="nil"/>
              <w:tr2bl w:val="nil"/>
            </w:tcBorders>
            <w:vAlign w:val="center"/>
          </w:tcPr>
          <w:p w14:paraId="0E33BBF9">
            <w:pPr>
              <w:pStyle w:val="39"/>
              <w:widowControl w:val="0"/>
              <w:rPr>
                <w:rFonts w:ascii="Times New Roman"/>
                <w:szCs w:val="20"/>
              </w:rPr>
            </w:pPr>
            <w:r>
              <w:rPr>
                <w:rFonts w:hint="default" w:ascii="Times New Roman"/>
                <w:sz w:val="18"/>
                <w:szCs w:val="20"/>
              </w:rPr>
              <w:t>1050</w:t>
            </w:r>
          </w:p>
        </w:tc>
        <w:tc>
          <w:tcPr>
            <w:tcW w:w="500" w:type="pct"/>
            <w:tcBorders>
              <w:tl2br w:val="nil"/>
              <w:tr2bl w:val="nil"/>
            </w:tcBorders>
            <w:vAlign w:val="center"/>
          </w:tcPr>
          <w:p w14:paraId="0E33BBFA">
            <w:pPr>
              <w:pStyle w:val="39"/>
              <w:widowControl w:val="0"/>
              <w:rPr>
                <w:rFonts w:ascii="Times New Roman" w:hAnsi="Times New Roman" w:cs="Times New Roman"/>
              </w:rPr>
            </w:pPr>
            <w:r>
              <w:rPr>
                <w:rFonts w:hint="eastAsia" w:ascii="Times New Roman" w:hAnsi="Times New Roman" w:eastAsia="宋体" w:cs="Times New Roman"/>
                <w:sz w:val="18"/>
              </w:rPr>
              <w:t>200</w:t>
            </w:r>
          </w:p>
        </w:tc>
        <w:tc>
          <w:tcPr>
            <w:tcW w:w="500" w:type="pct"/>
            <w:tcBorders>
              <w:tl2br w:val="nil"/>
              <w:tr2bl w:val="nil"/>
            </w:tcBorders>
            <w:vAlign w:val="center"/>
          </w:tcPr>
          <w:p w14:paraId="0E33BBFB">
            <w:pPr>
              <w:pStyle w:val="39"/>
              <w:widowControl w:val="0"/>
              <w:rPr>
                <w:rFonts w:ascii="Times New Roman"/>
                <w:szCs w:val="20"/>
              </w:rPr>
            </w:pPr>
            <w:r>
              <w:rPr>
                <w:rFonts w:hint="default" w:ascii="Times New Roman"/>
                <w:sz w:val="18"/>
                <w:szCs w:val="20"/>
              </w:rPr>
              <w:t>160</w:t>
            </w:r>
          </w:p>
        </w:tc>
        <w:tc>
          <w:tcPr>
            <w:tcW w:w="500" w:type="pct"/>
            <w:tcBorders>
              <w:tl2br w:val="nil"/>
              <w:tr2bl w:val="nil"/>
            </w:tcBorders>
            <w:vAlign w:val="center"/>
          </w:tcPr>
          <w:p w14:paraId="0E33BBFC">
            <w:pPr>
              <w:pStyle w:val="39"/>
              <w:widowControl w:val="0"/>
              <w:rPr>
                <w:rFonts w:ascii="Times New Roman" w:hAnsi="Times New Roman" w:cs="Times New Roman"/>
              </w:rPr>
            </w:pPr>
            <w:r>
              <w:rPr>
                <w:rFonts w:hint="eastAsia" w:ascii="Times New Roman" w:hAnsi="Times New Roman" w:eastAsia="宋体" w:cs="Times New Roman"/>
                <w:sz w:val="18"/>
              </w:rPr>
              <w:t>250</w:t>
            </w:r>
          </w:p>
        </w:tc>
      </w:tr>
      <w:tr w14:paraId="0E33BC0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0" w:hRule="atLeast"/>
          <w:jc w:val="center"/>
        </w:trPr>
        <w:tc>
          <w:tcPr>
            <w:tcW w:w="500" w:type="pct"/>
            <w:tcBorders>
              <w:tl2br w:val="nil"/>
              <w:tr2bl w:val="nil"/>
            </w:tcBorders>
            <w:vAlign w:val="center"/>
          </w:tcPr>
          <w:p w14:paraId="0E33BBFE">
            <w:pPr>
              <w:pStyle w:val="39"/>
              <w:widowControl w:val="0"/>
              <w:rPr>
                <w:rFonts w:ascii="Times New Roman"/>
                <w:szCs w:val="20"/>
              </w:rPr>
            </w:pPr>
            <w:r>
              <w:rPr>
                <w:rFonts w:ascii="Times New Roman"/>
                <w:sz w:val="18"/>
                <w:szCs w:val="20"/>
              </w:rPr>
              <w:t>30</w:t>
            </w:r>
          </w:p>
        </w:tc>
        <w:tc>
          <w:tcPr>
            <w:tcW w:w="500" w:type="pct"/>
            <w:tcBorders>
              <w:tl2br w:val="nil"/>
              <w:tr2bl w:val="nil"/>
            </w:tcBorders>
            <w:vAlign w:val="center"/>
          </w:tcPr>
          <w:p w14:paraId="0E33BBFF">
            <w:pPr>
              <w:pStyle w:val="39"/>
              <w:widowControl w:val="0"/>
              <w:rPr>
                <w:rFonts w:ascii="Times New Roman" w:hAnsi="Times New Roman" w:cs="Times New Roman"/>
              </w:rPr>
            </w:pPr>
            <w:r>
              <w:rPr>
                <w:rFonts w:ascii="Times New Roman" w:hAnsi="Times New Roman" w:eastAsia="宋体" w:cs="Times New Roman"/>
                <w:sz w:val="18"/>
              </w:rPr>
              <w:t>1700</w:t>
            </w:r>
          </w:p>
        </w:tc>
        <w:tc>
          <w:tcPr>
            <w:tcW w:w="500" w:type="pct"/>
            <w:tcBorders>
              <w:tl2br w:val="nil"/>
              <w:tr2bl w:val="nil"/>
            </w:tcBorders>
            <w:vAlign w:val="center"/>
          </w:tcPr>
          <w:p w14:paraId="0E33BC00">
            <w:pPr>
              <w:pStyle w:val="39"/>
              <w:widowControl w:val="0"/>
              <w:rPr>
                <w:rFonts w:ascii="Times New Roman" w:hAnsi="Times New Roman" w:cs="Times New Roman"/>
              </w:rPr>
            </w:pPr>
            <w:r>
              <w:rPr>
                <w:rFonts w:ascii="Times New Roman" w:hAnsi="Times New Roman" w:eastAsia="宋体" w:cs="Times New Roman"/>
                <w:sz w:val="18"/>
              </w:rPr>
              <w:t>200</w:t>
            </w:r>
          </w:p>
        </w:tc>
        <w:tc>
          <w:tcPr>
            <w:tcW w:w="500" w:type="pct"/>
            <w:tcBorders>
              <w:tl2br w:val="nil"/>
              <w:tr2bl w:val="nil"/>
            </w:tcBorders>
            <w:vAlign w:val="center"/>
          </w:tcPr>
          <w:p w14:paraId="0E33BC01">
            <w:pPr>
              <w:pStyle w:val="39"/>
              <w:widowControl w:val="0"/>
              <w:rPr>
                <w:rFonts w:ascii="Times New Roman"/>
                <w:szCs w:val="20"/>
              </w:rPr>
            </w:pPr>
            <w:r>
              <w:rPr>
                <w:rFonts w:hint="default" w:ascii="Times New Roman"/>
                <w:sz w:val="18"/>
                <w:szCs w:val="20"/>
              </w:rPr>
              <w:t>500</w:t>
            </w:r>
          </w:p>
        </w:tc>
        <w:tc>
          <w:tcPr>
            <w:tcW w:w="500" w:type="pct"/>
            <w:tcBorders>
              <w:tl2br w:val="nil"/>
              <w:tr2bl w:val="nil"/>
            </w:tcBorders>
            <w:vAlign w:val="center"/>
          </w:tcPr>
          <w:p w14:paraId="0E33BC02">
            <w:pPr>
              <w:pStyle w:val="39"/>
              <w:widowControl w:val="0"/>
              <w:rPr>
                <w:rFonts w:ascii="Times New Roman" w:hAnsi="Times New Roman" w:cs="Times New Roman"/>
              </w:rPr>
            </w:pPr>
            <w:r>
              <w:rPr>
                <w:rFonts w:hint="eastAsia" w:ascii="Times New Roman" w:hAnsi="Times New Roman" w:eastAsia="宋体" w:cs="Times New Roman"/>
                <w:sz w:val="18"/>
              </w:rPr>
              <w:t>600</w:t>
            </w:r>
          </w:p>
        </w:tc>
        <w:tc>
          <w:tcPr>
            <w:tcW w:w="500" w:type="pct"/>
            <w:tcBorders>
              <w:tl2br w:val="nil"/>
              <w:tr2bl w:val="nil"/>
            </w:tcBorders>
            <w:vAlign w:val="center"/>
          </w:tcPr>
          <w:p w14:paraId="0E33BC03">
            <w:pPr>
              <w:pStyle w:val="39"/>
              <w:widowControl w:val="0"/>
              <w:rPr>
                <w:rFonts w:ascii="Times New Roman"/>
                <w:szCs w:val="20"/>
              </w:rPr>
            </w:pPr>
            <w:r>
              <w:rPr>
                <w:rFonts w:hint="default" w:ascii="Times New Roman"/>
                <w:sz w:val="18"/>
                <w:szCs w:val="20"/>
              </w:rPr>
              <w:t>2000</w:t>
            </w:r>
          </w:p>
        </w:tc>
        <w:tc>
          <w:tcPr>
            <w:tcW w:w="500" w:type="pct"/>
            <w:tcBorders>
              <w:tl2br w:val="nil"/>
              <w:tr2bl w:val="nil"/>
            </w:tcBorders>
            <w:vAlign w:val="center"/>
          </w:tcPr>
          <w:p w14:paraId="0E33BC04">
            <w:pPr>
              <w:pStyle w:val="39"/>
              <w:widowControl w:val="0"/>
              <w:rPr>
                <w:rFonts w:ascii="Times New Roman"/>
                <w:szCs w:val="20"/>
              </w:rPr>
            </w:pPr>
            <w:r>
              <w:rPr>
                <w:rFonts w:hint="default" w:ascii="Times New Roman"/>
                <w:sz w:val="18"/>
                <w:szCs w:val="20"/>
              </w:rPr>
              <w:t>1350</w:t>
            </w:r>
          </w:p>
        </w:tc>
        <w:tc>
          <w:tcPr>
            <w:tcW w:w="500" w:type="pct"/>
            <w:tcBorders>
              <w:tl2br w:val="nil"/>
              <w:tr2bl w:val="nil"/>
            </w:tcBorders>
            <w:vAlign w:val="center"/>
          </w:tcPr>
          <w:p w14:paraId="0E33BC05">
            <w:pPr>
              <w:pStyle w:val="39"/>
              <w:widowControl w:val="0"/>
              <w:rPr>
                <w:rFonts w:ascii="Times New Roman" w:hAnsi="Times New Roman" w:cs="Times New Roman"/>
              </w:rPr>
            </w:pPr>
            <w:r>
              <w:rPr>
                <w:rFonts w:hint="eastAsia" w:ascii="Times New Roman" w:hAnsi="Times New Roman" w:eastAsia="宋体" w:cs="Times New Roman"/>
                <w:sz w:val="18"/>
              </w:rPr>
              <w:t>200</w:t>
            </w:r>
          </w:p>
        </w:tc>
        <w:tc>
          <w:tcPr>
            <w:tcW w:w="500" w:type="pct"/>
            <w:tcBorders>
              <w:tl2br w:val="nil"/>
              <w:tr2bl w:val="nil"/>
            </w:tcBorders>
            <w:vAlign w:val="center"/>
          </w:tcPr>
          <w:p w14:paraId="0E33BC06">
            <w:pPr>
              <w:pStyle w:val="39"/>
              <w:widowControl w:val="0"/>
              <w:rPr>
                <w:rFonts w:ascii="Times New Roman" w:hAnsi="Times New Roman" w:cs="Times New Roman"/>
              </w:rPr>
            </w:pPr>
            <w:r>
              <w:rPr>
                <w:rFonts w:hint="eastAsia" w:ascii="Times New Roman" w:hAnsi="Times New Roman" w:eastAsia="宋体" w:cs="Times New Roman"/>
                <w:sz w:val="18"/>
              </w:rPr>
              <w:t>160</w:t>
            </w:r>
          </w:p>
        </w:tc>
        <w:tc>
          <w:tcPr>
            <w:tcW w:w="500" w:type="pct"/>
            <w:tcBorders>
              <w:tl2br w:val="nil"/>
              <w:tr2bl w:val="nil"/>
            </w:tcBorders>
            <w:vAlign w:val="center"/>
          </w:tcPr>
          <w:p w14:paraId="0E33BC07">
            <w:pPr>
              <w:pStyle w:val="39"/>
              <w:widowControl w:val="0"/>
              <w:rPr>
                <w:rFonts w:ascii="Times New Roman" w:hAnsi="Times New Roman" w:cs="Times New Roman"/>
              </w:rPr>
            </w:pPr>
            <w:r>
              <w:rPr>
                <w:rFonts w:hint="eastAsia" w:ascii="Times New Roman" w:hAnsi="Times New Roman" w:eastAsia="宋体" w:cs="Times New Roman"/>
                <w:sz w:val="18"/>
              </w:rPr>
              <w:t>250</w:t>
            </w:r>
          </w:p>
        </w:tc>
      </w:tr>
      <w:tr w14:paraId="0E33BC1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0" w:hRule="atLeast"/>
          <w:jc w:val="center"/>
        </w:trPr>
        <w:tc>
          <w:tcPr>
            <w:tcW w:w="500" w:type="pct"/>
            <w:tcBorders>
              <w:tl2br w:val="nil"/>
              <w:tr2bl w:val="nil"/>
            </w:tcBorders>
            <w:vAlign w:val="center"/>
          </w:tcPr>
          <w:p w14:paraId="0E33BC09">
            <w:pPr>
              <w:pStyle w:val="39"/>
              <w:widowControl w:val="0"/>
              <w:rPr>
                <w:rFonts w:ascii="Times New Roman"/>
                <w:szCs w:val="20"/>
              </w:rPr>
            </w:pPr>
            <w:r>
              <w:rPr>
                <w:rFonts w:ascii="Times New Roman"/>
                <w:sz w:val="18"/>
                <w:szCs w:val="20"/>
              </w:rPr>
              <w:t>35</w:t>
            </w:r>
          </w:p>
        </w:tc>
        <w:tc>
          <w:tcPr>
            <w:tcW w:w="500" w:type="pct"/>
            <w:tcBorders>
              <w:tl2br w:val="nil"/>
              <w:tr2bl w:val="nil"/>
            </w:tcBorders>
            <w:vAlign w:val="center"/>
          </w:tcPr>
          <w:p w14:paraId="0E33BC0A">
            <w:pPr>
              <w:pStyle w:val="39"/>
              <w:widowControl w:val="0"/>
              <w:rPr>
                <w:rFonts w:ascii="Times New Roman" w:hAnsi="Times New Roman" w:cs="Times New Roman"/>
              </w:rPr>
            </w:pPr>
            <w:r>
              <w:rPr>
                <w:rFonts w:ascii="Times New Roman" w:hAnsi="Times New Roman" w:eastAsia="宋体" w:cs="Times New Roman"/>
                <w:sz w:val="18"/>
              </w:rPr>
              <w:t>1700</w:t>
            </w:r>
          </w:p>
        </w:tc>
        <w:tc>
          <w:tcPr>
            <w:tcW w:w="500" w:type="pct"/>
            <w:tcBorders>
              <w:tl2br w:val="nil"/>
              <w:tr2bl w:val="nil"/>
            </w:tcBorders>
            <w:vAlign w:val="center"/>
          </w:tcPr>
          <w:p w14:paraId="0E33BC0B">
            <w:pPr>
              <w:pStyle w:val="39"/>
              <w:widowControl w:val="0"/>
              <w:rPr>
                <w:rFonts w:ascii="Times New Roman" w:hAnsi="Times New Roman" w:cs="Times New Roman"/>
              </w:rPr>
            </w:pPr>
            <w:r>
              <w:rPr>
                <w:rFonts w:ascii="Times New Roman" w:hAnsi="Times New Roman" w:eastAsia="宋体" w:cs="Times New Roman"/>
                <w:sz w:val="18"/>
              </w:rPr>
              <w:t>200</w:t>
            </w:r>
          </w:p>
        </w:tc>
        <w:tc>
          <w:tcPr>
            <w:tcW w:w="500" w:type="pct"/>
            <w:tcBorders>
              <w:tl2br w:val="nil"/>
              <w:tr2bl w:val="nil"/>
            </w:tcBorders>
            <w:vAlign w:val="center"/>
          </w:tcPr>
          <w:p w14:paraId="0E33BC0C">
            <w:pPr>
              <w:pStyle w:val="39"/>
              <w:widowControl w:val="0"/>
              <w:rPr>
                <w:rFonts w:ascii="Times New Roman"/>
                <w:szCs w:val="20"/>
              </w:rPr>
            </w:pPr>
            <w:r>
              <w:rPr>
                <w:rFonts w:hint="default" w:ascii="Times New Roman"/>
                <w:sz w:val="18"/>
                <w:szCs w:val="20"/>
              </w:rPr>
              <w:t>600</w:t>
            </w:r>
          </w:p>
        </w:tc>
        <w:tc>
          <w:tcPr>
            <w:tcW w:w="500" w:type="pct"/>
            <w:tcBorders>
              <w:tl2br w:val="nil"/>
              <w:tr2bl w:val="nil"/>
            </w:tcBorders>
            <w:vAlign w:val="center"/>
          </w:tcPr>
          <w:p w14:paraId="0E33BC0D">
            <w:pPr>
              <w:pStyle w:val="39"/>
              <w:widowControl w:val="0"/>
              <w:rPr>
                <w:rFonts w:ascii="Times New Roman" w:hAnsi="Times New Roman" w:cs="Times New Roman"/>
              </w:rPr>
            </w:pPr>
            <w:r>
              <w:rPr>
                <w:rFonts w:hint="eastAsia" w:ascii="Times New Roman" w:hAnsi="Times New Roman" w:eastAsia="宋体" w:cs="Times New Roman"/>
                <w:sz w:val="18"/>
              </w:rPr>
              <w:t>600</w:t>
            </w:r>
          </w:p>
        </w:tc>
        <w:tc>
          <w:tcPr>
            <w:tcW w:w="500" w:type="pct"/>
            <w:tcBorders>
              <w:tl2br w:val="nil"/>
              <w:tr2bl w:val="nil"/>
            </w:tcBorders>
            <w:vAlign w:val="center"/>
          </w:tcPr>
          <w:p w14:paraId="0E33BC0E">
            <w:pPr>
              <w:pStyle w:val="39"/>
              <w:widowControl w:val="0"/>
              <w:rPr>
                <w:rFonts w:ascii="Times New Roman"/>
                <w:szCs w:val="20"/>
              </w:rPr>
            </w:pPr>
            <w:r>
              <w:rPr>
                <w:rFonts w:hint="default" w:ascii="Times New Roman"/>
                <w:sz w:val="18"/>
                <w:szCs w:val="20"/>
              </w:rPr>
              <w:t>2300</w:t>
            </w:r>
          </w:p>
        </w:tc>
        <w:tc>
          <w:tcPr>
            <w:tcW w:w="500" w:type="pct"/>
            <w:tcBorders>
              <w:tl2br w:val="nil"/>
              <w:tr2bl w:val="nil"/>
            </w:tcBorders>
            <w:vAlign w:val="center"/>
          </w:tcPr>
          <w:p w14:paraId="0E33BC0F">
            <w:pPr>
              <w:pStyle w:val="39"/>
              <w:widowControl w:val="0"/>
              <w:rPr>
                <w:rFonts w:ascii="Times New Roman"/>
                <w:szCs w:val="20"/>
              </w:rPr>
            </w:pPr>
            <w:r>
              <w:rPr>
                <w:rFonts w:hint="default" w:ascii="Times New Roman"/>
                <w:sz w:val="18"/>
                <w:szCs w:val="20"/>
              </w:rPr>
              <w:t>1650</w:t>
            </w:r>
          </w:p>
        </w:tc>
        <w:tc>
          <w:tcPr>
            <w:tcW w:w="500" w:type="pct"/>
            <w:tcBorders>
              <w:tl2br w:val="nil"/>
              <w:tr2bl w:val="nil"/>
            </w:tcBorders>
            <w:vAlign w:val="center"/>
          </w:tcPr>
          <w:p w14:paraId="0E33BC10">
            <w:pPr>
              <w:pStyle w:val="39"/>
              <w:widowControl w:val="0"/>
              <w:rPr>
                <w:rFonts w:ascii="Times New Roman" w:hAnsi="Times New Roman" w:cs="Times New Roman"/>
              </w:rPr>
            </w:pPr>
            <w:r>
              <w:rPr>
                <w:rFonts w:hint="eastAsia" w:ascii="Times New Roman" w:hAnsi="Times New Roman" w:eastAsia="宋体" w:cs="Times New Roman"/>
                <w:sz w:val="18"/>
              </w:rPr>
              <w:t>200</w:t>
            </w:r>
          </w:p>
        </w:tc>
        <w:tc>
          <w:tcPr>
            <w:tcW w:w="500" w:type="pct"/>
            <w:tcBorders>
              <w:tl2br w:val="nil"/>
              <w:tr2bl w:val="nil"/>
            </w:tcBorders>
            <w:vAlign w:val="center"/>
          </w:tcPr>
          <w:p w14:paraId="0E33BC11">
            <w:pPr>
              <w:pStyle w:val="39"/>
              <w:widowControl w:val="0"/>
              <w:rPr>
                <w:rFonts w:ascii="Times New Roman" w:hAnsi="Times New Roman" w:cs="Times New Roman"/>
              </w:rPr>
            </w:pPr>
            <w:r>
              <w:rPr>
                <w:rFonts w:hint="eastAsia" w:ascii="Times New Roman" w:hAnsi="Times New Roman" w:eastAsia="宋体" w:cs="Times New Roman"/>
                <w:sz w:val="18"/>
              </w:rPr>
              <w:t>160</w:t>
            </w:r>
          </w:p>
        </w:tc>
        <w:tc>
          <w:tcPr>
            <w:tcW w:w="500" w:type="pct"/>
            <w:tcBorders>
              <w:tl2br w:val="nil"/>
              <w:tr2bl w:val="nil"/>
            </w:tcBorders>
            <w:vAlign w:val="center"/>
          </w:tcPr>
          <w:p w14:paraId="0E33BC12">
            <w:pPr>
              <w:pStyle w:val="39"/>
              <w:widowControl w:val="0"/>
              <w:rPr>
                <w:rFonts w:ascii="Times New Roman" w:hAnsi="Times New Roman" w:cs="Times New Roman"/>
              </w:rPr>
            </w:pPr>
            <w:r>
              <w:rPr>
                <w:rFonts w:hint="eastAsia" w:ascii="Times New Roman" w:hAnsi="Times New Roman" w:eastAsia="宋体" w:cs="Times New Roman"/>
                <w:sz w:val="18"/>
              </w:rPr>
              <w:t>250</w:t>
            </w:r>
          </w:p>
        </w:tc>
      </w:tr>
      <w:tr w14:paraId="0E33BC1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0" w:hRule="atLeast"/>
          <w:jc w:val="center"/>
        </w:trPr>
        <w:tc>
          <w:tcPr>
            <w:tcW w:w="500" w:type="pct"/>
            <w:tcBorders>
              <w:tl2br w:val="nil"/>
              <w:tr2bl w:val="nil"/>
            </w:tcBorders>
            <w:vAlign w:val="center"/>
          </w:tcPr>
          <w:p w14:paraId="0E33BC14">
            <w:pPr>
              <w:pStyle w:val="39"/>
              <w:widowControl w:val="0"/>
              <w:rPr>
                <w:rFonts w:ascii="Times New Roman"/>
                <w:szCs w:val="20"/>
              </w:rPr>
            </w:pPr>
            <w:r>
              <w:rPr>
                <w:rFonts w:ascii="Times New Roman"/>
                <w:sz w:val="18"/>
                <w:szCs w:val="20"/>
              </w:rPr>
              <w:t>40</w:t>
            </w:r>
          </w:p>
        </w:tc>
        <w:tc>
          <w:tcPr>
            <w:tcW w:w="500" w:type="pct"/>
            <w:tcBorders>
              <w:tl2br w:val="nil"/>
              <w:tr2bl w:val="nil"/>
            </w:tcBorders>
            <w:vAlign w:val="center"/>
          </w:tcPr>
          <w:p w14:paraId="0E33BC15">
            <w:pPr>
              <w:pStyle w:val="39"/>
              <w:widowControl w:val="0"/>
              <w:rPr>
                <w:rFonts w:ascii="Times New Roman" w:hAnsi="Times New Roman" w:cs="Times New Roman"/>
              </w:rPr>
            </w:pPr>
            <w:r>
              <w:rPr>
                <w:rFonts w:ascii="Times New Roman" w:hAnsi="Times New Roman" w:eastAsia="宋体" w:cs="Times New Roman"/>
                <w:sz w:val="18"/>
              </w:rPr>
              <w:t>1700</w:t>
            </w:r>
          </w:p>
        </w:tc>
        <w:tc>
          <w:tcPr>
            <w:tcW w:w="500" w:type="pct"/>
            <w:tcBorders>
              <w:tl2br w:val="nil"/>
              <w:tr2bl w:val="nil"/>
            </w:tcBorders>
            <w:vAlign w:val="center"/>
          </w:tcPr>
          <w:p w14:paraId="0E33BC16">
            <w:pPr>
              <w:pStyle w:val="39"/>
              <w:widowControl w:val="0"/>
              <w:rPr>
                <w:rFonts w:ascii="Times New Roman" w:hAnsi="Times New Roman" w:cs="Times New Roman"/>
              </w:rPr>
            </w:pPr>
            <w:r>
              <w:rPr>
                <w:rFonts w:ascii="Times New Roman" w:hAnsi="Times New Roman" w:eastAsia="宋体" w:cs="Times New Roman"/>
                <w:sz w:val="18"/>
              </w:rPr>
              <w:t>200</w:t>
            </w:r>
          </w:p>
        </w:tc>
        <w:tc>
          <w:tcPr>
            <w:tcW w:w="500" w:type="pct"/>
            <w:tcBorders>
              <w:tl2br w:val="nil"/>
              <w:tr2bl w:val="nil"/>
            </w:tcBorders>
            <w:vAlign w:val="center"/>
          </w:tcPr>
          <w:p w14:paraId="0E33BC17">
            <w:pPr>
              <w:pStyle w:val="39"/>
              <w:widowControl w:val="0"/>
              <w:rPr>
                <w:rFonts w:ascii="Times New Roman"/>
                <w:szCs w:val="20"/>
              </w:rPr>
            </w:pPr>
            <w:r>
              <w:rPr>
                <w:rFonts w:hint="default" w:ascii="Times New Roman"/>
                <w:sz w:val="18"/>
                <w:szCs w:val="20"/>
              </w:rPr>
              <w:t>600</w:t>
            </w:r>
          </w:p>
        </w:tc>
        <w:tc>
          <w:tcPr>
            <w:tcW w:w="500" w:type="pct"/>
            <w:tcBorders>
              <w:tl2br w:val="nil"/>
              <w:tr2bl w:val="nil"/>
            </w:tcBorders>
            <w:vAlign w:val="center"/>
          </w:tcPr>
          <w:p w14:paraId="0E33BC18">
            <w:pPr>
              <w:pStyle w:val="39"/>
              <w:widowControl w:val="0"/>
              <w:rPr>
                <w:rFonts w:ascii="Times New Roman" w:hAnsi="Times New Roman" w:cs="Times New Roman"/>
              </w:rPr>
            </w:pPr>
            <w:r>
              <w:rPr>
                <w:rFonts w:hint="eastAsia" w:ascii="Times New Roman" w:hAnsi="Times New Roman" w:eastAsia="宋体" w:cs="Times New Roman"/>
                <w:sz w:val="18"/>
              </w:rPr>
              <w:t>600</w:t>
            </w:r>
          </w:p>
        </w:tc>
        <w:tc>
          <w:tcPr>
            <w:tcW w:w="500" w:type="pct"/>
            <w:tcBorders>
              <w:tl2br w:val="nil"/>
              <w:tr2bl w:val="nil"/>
            </w:tcBorders>
            <w:vAlign w:val="center"/>
          </w:tcPr>
          <w:p w14:paraId="0E33BC19">
            <w:pPr>
              <w:pStyle w:val="39"/>
              <w:widowControl w:val="0"/>
              <w:rPr>
                <w:rFonts w:ascii="Times New Roman"/>
                <w:szCs w:val="20"/>
              </w:rPr>
            </w:pPr>
            <w:r>
              <w:rPr>
                <w:rFonts w:hint="default" w:ascii="Times New Roman"/>
                <w:sz w:val="18"/>
                <w:szCs w:val="20"/>
              </w:rPr>
              <w:t>2500</w:t>
            </w:r>
          </w:p>
        </w:tc>
        <w:tc>
          <w:tcPr>
            <w:tcW w:w="500" w:type="pct"/>
            <w:tcBorders>
              <w:tl2br w:val="nil"/>
              <w:tr2bl w:val="nil"/>
            </w:tcBorders>
            <w:vAlign w:val="center"/>
          </w:tcPr>
          <w:p w14:paraId="0E33BC1A">
            <w:pPr>
              <w:pStyle w:val="39"/>
              <w:widowControl w:val="0"/>
              <w:rPr>
                <w:rFonts w:ascii="Times New Roman"/>
                <w:szCs w:val="20"/>
              </w:rPr>
            </w:pPr>
            <w:r>
              <w:rPr>
                <w:rFonts w:hint="default" w:ascii="Times New Roman"/>
                <w:sz w:val="18"/>
                <w:szCs w:val="20"/>
              </w:rPr>
              <w:t>1650</w:t>
            </w:r>
          </w:p>
        </w:tc>
        <w:tc>
          <w:tcPr>
            <w:tcW w:w="500" w:type="pct"/>
            <w:tcBorders>
              <w:tl2br w:val="nil"/>
              <w:tr2bl w:val="nil"/>
            </w:tcBorders>
            <w:vAlign w:val="center"/>
          </w:tcPr>
          <w:p w14:paraId="0E33BC1B">
            <w:pPr>
              <w:pStyle w:val="39"/>
              <w:widowControl w:val="0"/>
              <w:rPr>
                <w:rFonts w:ascii="Times New Roman" w:hAnsi="Times New Roman" w:cs="Times New Roman"/>
              </w:rPr>
            </w:pPr>
            <w:r>
              <w:rPr>
                <w:rFonts w:hint="eastAsia" w:ascii="Times New Roman" w:hAnsi="Times New Roman" w:eastAsia="宋体" w:cs="Times New Roman"/>
                <w:sz w:val="18"/>
              </w:rPr>
              <w:t>200</w:t>
            </w:r>
          </w:p>
        </w:tc>
        <w:tc>
          <w:tcPr>
            <w:tcW w:w="500" w:type="pct"/>
            <w:tcBorders>
              <w:tl2br w:val="nil"/>
              <w:tr2bl w:val="nil"/>
            </w:tcBorders>
            <w:vAlign w:val="center"/>
          </w:tcPr>
          <w:p w14:paraId="0E33BC1C">
            <w:pPr>
              <w:pStyle w:val="39"/>
              <w:widowControl w:val="0"/>
              <w:rPr>
                <w:rFonts w:ascii="Times New Roman" w:hAnsi="Times New Roman" w:cs="Times New Roman"/>
              </w:rPr>
            </w:pPr>
            <w:r>
              <w:rPr>
                <w:rFonts w:hint="eastAsia" w:ascii="Times New Roman" w:hAnsi="Times New Roman" w:eastAsia="宋体" w:cs="Times New Roman"/>
                <w:sz w:val="18"/>
              </w:rPr>
              <w:t>160</w:t>
            </w:r>
          </w:p>
        </w:tc>
        <w:tc>
          <w:tcPr>
            <w:tcW w:w="500" w:type="pct"/>
            <w:tcBorders>
              <w:tl2br w:val="nil"/>
              <w:tr2bl w:val="nil"/>
            </w:tcBorders>
            <w:vAlign w:val="center"/>
          </w:tcPr>
          <w:p w14:paraId="0E33BC1D">
            <w:pPr>
              <w:pStyle w:val="39"/>
              <w:widowControl w:val="0"/>
              <w:rPr>
                <w:rFonts w:ascii="Times New Roman" w:hAnsi="Times New Roman" w:cs="Times New Roman"/>
              </w:rPr>
            </w:pPr>
            <w:r>
              <w:rPr>
                <w:rFonts w:hint="eastAsia" w:ascii="Times New Roman" w:hAnsi="Times New Roman" w:eastAsia="宋体" w:cs="Times New Roman"/>
                <w:sz w:val="18"/>
              </w:rPr>
              <w:t>250</w:t>
            </w:r>
          </w:p>
        </w:tc>
      </w:tr>
    </w:tbl>
    <w:p w14:paraId="0E33BC1F">
      <w:pPr>
        <w:pStyle w:val="34"/>
        <w:rPr>
          <w:rFonts w:hint="default" w:hAnsi="Times New Roman" w:cs="Times New Roman"/>
        </w:rPr>
      </w:pPr>
      <w:r>
        <w:rPr>
          <w:rFonts w:hint="default" w:ascii="宋体" w:hAnsi="Times New Roman" w:eastAsia="宋体" w:cs="Times New Roman"/>
        </w:rPr>
        <w:t>本附录所列产品的分类、标识及主要规格尺寸选取，具有一定的代表性，用于核算对象识别和体积计算参考，不作为产品结构规格的限定性要求。</w:t>
      </w:r>
    </w:p>
    <w:p w14:paraId="0E33BC20">
      <w:pPr>
        <w:rPr>
          <w:rFonts w:ascii="Times New Roman" w:hAnsi="Times New Roman" w:eastAsia="黑体" w:cs="Times New Roman"/>
        </w:rPr>
      </w:pPr>
    </w:p>
    <w:p w14:paraId="0E33BC21">
      <w:pPr>
        <w:rPr>
          <w:rFonts w:ascii="Times New Roman" w:hAnsi="Times New Roman" w:eastAsia="黑体" w:cs="Times New Roman"/>
        </w:rPr>
      </w:pPr>
      <w:r>
        <w:rPr>
          <w:rFonts w:hint="eastAsia" w:ascii="Times New Roman" w:hAnsi="Times New Roman" w:eastAsia="黑体" w:cs="Times New Roman"/>
        </w:rPr>
        <w:br w:type="page"/>
      </w:r>
    </w:p>
    <w:p w14:paraId="3A5D12D8">
      <w:pPr>
        <w:pStyle w:val="22"/>
        <w:bidi w:val="0"/>
        <w:spacing w:before="560" w:beforeLines="0"/>
      </w:pPr>
      <w:bookmarkStart w:id="101" w:name="_Toc21006"/>
      <w:r>
        <w:rPr>
          <w:rFonts w:hint="eastAsia"/>
          <w:spacing w:val="57"/>
          <w:lang w:val="en-US" w:eastAsia="zh-CN"/>
        </w:rPr>
        <w:t>附录C</w:t>
      </w:r>
      <w:r>
        <w:rPr>
          <w:rFonts w:hint="eastAsia"/>
          <w:spacing w:val="57"/>
          <w:lang w:val="en-US" w:eastAsia="zh-CN"/>
        </w:rPr>
        <w:br w:type="textWrapping"/>
      </w:r>
      <w:r>
        <w:rPr>
          <w:rFonts w:hint="eastAsia"/>
          <w:lang w:eastAsia="zh-CN"/>
        </w:rPr>
        <w:t>（</w:t>
      </w:r>
      <w:r>
        <w:rPr>
          <w:rFonts w:hint="eastAsia"/>
          <w:lang w:val="en-US" w:eastAsia="zh-CN"/>
        </w:rPr>
        <w:t>规范</w:t>
      </w:r>
      <w:r>
        <w:rPr>
          <w:rFonts w:hint="eastAsia"/>
          <w:lang w:eastAsia="zh-CN"/>
        </w:rPr>
        <w:t>性）</w:t>
      </w:r>
      <w:r>
        <w:rPr>
          <w:rFonts w:hint="eastAsia"/>
          <w:lang w:eastAsia="zh-CN"/>
        </w:rPr>
        <w:br w:type="textWrapping"/>
      </w:r>
      <w:r>
        <w:rPr>
          <w:rFonts w:hint="eastAsia"/>
        </w:rPr>
        <w:t>T梁</w:t>
      </w:r>
      <w:r>
        <w:rPr>
          <w:rFonts w:hint="eastAsia"/>
          <w:lang w:val="en-US" w:eastAsia="zh-CN"/>
        </w:rPr>
        <w:t>工业化建造碳排放核算汇总与复核</w:t>
      </w:r>
      <w:bookmarkEnd w:id="101"/>
    </w:p>
    <w:p w14:paraId="0E33BC25">
      <w:pPr>
        <w:pStyle w:val="46"/>
        <w:numPr>
          <w:ilvl w:val="-1"/>
          <w:numId w:val="0"/>
        </w:numPr>
        <w:rPr>
          <w:rFonts w:hint="eastAsia"/>
        </w:rPr>
      </w:pPr>
      <w:r>
        <w:rPr>
          <w:rFonts w:hint="eastAsia" w:ascii="黑体"/>
          <w:b w:val="0"/>
          <w:snapToGrid/>
        </w:rPr>
        <w:t>C.1　</w:t>
      </w:r>
      <w:r>
        <w:rPr>
          <w:rFonts w:hint="eastAsia" w:ascii="黑体"/>
          <w:b w:val="0"/>
        </w:rPr>
        <w:t>核算对象与基本信息</w:t>
      </w:r>
    </w:p>
    <w:p w14:paraId="0E33BC26">
      <w:pPr>
        <w:pStyle w:val="40"/>
        <w:numPr>
          <w:ilvl w:val="1"/>
          <w:numId w:val="0"/>
        </w:numPr>
        <w:rPr>
          <w:rFonts w:hint="eastAsia" w:ascii="黑体" w:eastAsia="黑体"/>
          <w:b w:val="0"/>
          <w:bCs w:val="0"/>
        </w:rPr>
      </w:pPr>
      <w:r>
        <w:rPr>
          <w:rFonts w:hint="eastAsia" w:ascii="黑体" w:eastAsia="黑体"/>
          <w:b w:val="0"/>
          <w:bCs w:val="0"/>
        </w:rPr>
        <w:t>表C.1　核算对象与基本信息表</w:t>
      </w:r>
    </w:p>
    <w:tbl>
      <w:tblPr>
        <w:tblStyle w:val="10"/>
        <w:tblW w:w="9208" w:type="dxa"/>
        <w:tblInd w:w="0" w:type="dxa"/>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autofit"/>
        <w:tblCellMar>
          <w:top w:w="0" w:type="dxa"/>
          <w:left w:w="108" w:type="dxa"/>
          <w:bottom w:w="0" w:type="dxa"/>
          <w:right w:w="108" w:type="dxa"/>
        </w:tblCellMar>
      </w:tblPr>
      <w:tblGrid>
        <w:gridCol w:w="1811"/>
        <w:gridCol w:w="3464"/>
        <w:gridCol w:w="2122"/>
        <w:gridCol w:w="1811"/>
      </w:tblGrid>
      <w:tr w14:paraId="0E33BC2B">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blHeader/>
        </w:trPr>
        <w:tc>
          <w:tcPr>
            <w:tcW w:w="0" w:type="auto"/>
            <w:tcBorders>
              <w:bottom w:val="single" w:color="000000" w:sz="8" w:space="0"/>
            </w:tcBorders>
            <w:tcMar>
              <w:top w:w="70" w:type="dxa"/>
              <w:left w:w="70" w:type="dxa"/>
              <w:bottom w:w="70" w:type="dxa"/>
              <w:right w:w="70" w:type="dxa"/>
            </w:tcMar>
            <w:vAlign w:val="center"/>
          </w:tcPr>
          <w:p w14:paraId="0E33BC27">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复核项目</w:t>
            </w:r>
          </w:p>
        </w:tc>
        <w:tc>
          <w:tcPr>
            <w:tcW w:w="0" w:type="auto"/>
            <w:tcBorders>
              <w:bottom w:val="single" w:color="000000" w:sz="8" w:space="0"/>
            </w:tcBorders>
            <w:tcMar>
              <w:top w:w="70" w:type="dxa"/>
              <w:left w:w="70" w:type="dxa"/>
              <w:bottom w:w="70" w:type="dxa"/>
              <w:right w:w="70" w:type="dxa"/>
            </w:tcMar>
            <w:vAlign w:val="center"/>
          </w:tcPr>
          <w:p w14:paraId="0E33BC28">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填写内容</w:t>
            </w:r>
          </w:p>
        </w:tc>
        <w:tc>
          <w:tcPr>
            <w:tcW w:w="0" w:type="auto"/>
            <w:tcBorders>
              <w:bottom w:val="single" w:color="000000" w:sz="8" w:space="0"/>
            </w:tcBorders>
            <w:tcMar>
              <w:top w:w="70" w:type="dxa"/>
              <w:left w:w="70" w:type="dxa"/>
              <w:bottom w:w="70" w:type="dxa"/>
              <w:right w:w="70" w:type="dxa"/>
            </w:tcMar>
            <w:vAlign w:val="center"/>
          </w:tcPr>
          <w:p w14:paraId="0E33BC29">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依据或证据索引</w:t>
            </w:r>
          </w:p>
        </w:tc>
        <w:tc>
          <w:tcPr>
            <w:tcW w:w="1811" w:type="dxa"/>
            <w:tcBorders>
              <w:bottom w:val="single" w:color="000000" w:sz="8" w:space="0"/>
            </w:tcBorders>
            <w:tcMar>
              <w:top w:w="70" w:type="dxa"/>
              <w:left w:w="70" w:type="dxa"/>
              <w:bottom w:w="70" w:type="dxa"/>
              <w:right w:w="70" w:type="dxa"/>
            </w:tcMar>
            <w:vAlign w:val="center"/>
          </w:tcPr>
          <w:p w14:paraId="0E33BC2A">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复核结果</w:t>
            </w:r>
          </w:p>
        </w:tc>
      </w:tr>
      <w:tr w14:paraId="0E33BC3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op w:val="single" w:color="000000" w:sz="8" w:space="0"/>
              <w:tl2br w:val="nil"/>
              <w:tr2bl w:val="nil"/>
            </w:tcBorders>
            <w:tcMar>
              <w:top w:w="70" w:type="dxa"/>
              <w:left w:w="70" w:type="dxa"/>
              <w:bottom w:w="70" w:type="dxa"/>
              <w:right w:w="70" w:type="dxa"/>
            </w:tcMar>
            <w:vAlign w:val="center"/>
          </w:tcPr>
          <w:p w14:paraId="0E33BC2C">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项目或合同名称</w:t>
            </w:r>
          </w:p>
        </w:tc>
        <w:tc>
          <w:tcPr>
            <w:tcW w:w="0" w:type="auto"/>
            <w:tcBorders>
              <w:top w:val="single" w:color="000000" w:sz="8" w:space="0"/>
              <w:tl2br w:val="nil"/>
              <w:tr2bl w:val="nil"/>
            </w:tcBorders>
            <w:tcMar>
              <w:top w:w="70" w:type="dxa"/>
              <w:left w:w="70" w:type="dxa"/>
              <w:bottom w:w="70" w:type="dxa"/>
              <w:right w:w="70" w:type="dxa"/>
            </w:tcMar>
            <w:vAlign w:val="center"/>
          </w:tcPr>
          <w:p w14:paraId="0E33BC2D">
            <w:pPr>
              <w:widowControl/>
              <w:ind w:left="0" w:leftChars="0" w:right="0" w:rightChars="0" w:firstLine="0" w:firstLineChars="0"/>
              <w:jc w:val="left"/>
              <w:rPr>
                <w:rFonts w:hint="eastAsia" w:ascii="宋体" w:hAnsi="宋体" w:eastAsia="宋体" w:cs="宋体"/>
                <w:b w:val="0"/>
                <w:bCs/>
              </w:rPr>
            </w:pPr>
          </w:p>
        </w:tc>
        <w:tc>
          <w:tcPr>
            <w:tcW w:w="0" w:type="auto"/>
            <w:tcBorders>
              <w:top w:val="single" w:color="000000" w:sz="8" w:space="0"/>
              <w:tl2br w:val="nil"/>
              <w:tr2bl w:val="nil"/>
            </w:tcBorders>
            <w:tcMar>
              <w:top w:w="70" w:type="dxa"/>
              <w:left w:w="70" w:type="dxa"/>
              <w:bottom w:w="70" w:type="dxa"/>
              <w:right w:w="70" w:type="dxa"/>
            </w:tcMar>
            <w:vAlign w:val="center"/>
          </w:tcPr>
          <w:p w14:paraId="0E33BC2E">
            <w:pPr>
              <w:widowControl/>
              <w:ind w:left="0" w:leftChars="0" w:right="0" w:rightChars="0" w:firstLine="0" w:firstLineChars="0"/>
              <w:jc w:val="left"/>
              <w:rPr>
                <w:rFonts w:hint="eastAsia" w:ascii="宋体" w:hAnsi="宋体" w:eastAsia="宋体" w:cs="宋体"/>
                <w:b w:val="0"/>
                <w:bCs/>
              </w:rPr>
            </w:pPr>
          </w:p>
        </w:tc>
        <w:tc>
          <w:tcPr>
            <w:tcW w:w="1811" w:type="dxa"/>
            <w:tcBorders>
              <w:top w:val="single" w:color="000000" w:sz="8" w:space="0"/>
              <w:tl2br w:val="nil"/>
              <w:tr2bl w:val="nil"/>
            </w:tcBorders>
            <w:tcMar>
              <w:top w:w="70" w:type="dxa"/>
              <w:left w:w="70" w:type="dxa"/>
              <w:bottom w:w="70" w:type="dxa"/>
              <w:right w:w="70" w:type="dxa"/>
            </w:tcMar>
            <w:vAlign w:val="center"/>
          </w:tcPr>
          <w:p w14:paraId="0E33BC2F">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□符合　□不符合</w:t>
            </w:r>
          </w:p>
        </w:tc>
      </w:tr>
      <w:tr w14:paraId="0E33BC35">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31">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梁厂及项目所在地</w:t>
            </w:r>
          </w:p>
        </w:tc>
        <w:tc>
          <w:tcPr>
            <w:tcW w:w="0" w:type="auto"/>
            <w:tcBorders>
              <w:tl2br w:val="nil"/>
              <w:tr2bl w:val="nil"/>
            </w:tcBorders>
            <w:tcMar>
              <w:top w:w="70" w:type="dxa"/>
              <w:left w:w="70" w:type="dxa"/>
              <w:bottom w:w="70" w:type="dxa"/>
              <w:right w:w="70" w:type="dxa"/>
            </w:tcMar>
            <w:vAlign w:val="center"/>
          </w:tcPr>
          <w:p w14:paraId="0E33BC32">
            <w:pPr>
              <w:widowControl/>
              <w:ind w:left="0" w:leftChars="0" w:right="0" w:rightChars="0" w:firstLine="0" w:firstLineChars="0"/>
              <w:jc w:val="left"/>
              <w:rPr>
                <w:rFonts w:hint="eastAsia" w:ascii="宋体" w:hAnsi="宋体" w:eastAsia="宋体" w:cs="宋体"/>
                <w:b w:val="0"/>
                <w:bCs/>
              </w:rPr>
            </w:pPr>
          </w:p>
        </w:tc>
        <w:tc>
          <w:tcPr>
            <w:tcW w:w="0" w:type="auto"/>
            <w:tcBorders>
              <w:tl2br w:val="nil"/>
              <w:tr2bl w:val="nil"/>
            </w:tcBorders>
            <w:tcMar>
              <w:top w:w="70" w:type="dxa"/>
              <w:left w:w="70" w:type="dxa"/>
              <w:bottom w:w="70" w:type="dxa"/>
              <w:right w:w="70" w:type="dxa"/>
            </w:tcMar>
            <w:vAlign w:val="center"/>
          </w:tcPr>
          <w:p w14:paraId="0E33BC33">
            <w:pPr>
              <w:widowControl/>
              <w:ind w:left="0" w:leftChars="0" w:right="0" w:rightChars="0" w:firstLine="0" w:firstLineChars="0"/>
              <w:jc w:val="left"/>
              <w:rPr>
                <w:rFonts w:hint="eastAsia" w:ascii="宋体" w:hAnsi="宋体" w:eastAsia="宋体" w:cs="宋体"/>
                <w:b w:val="0"/>
                <w:bCs/>
              </w:rPr>
            </w:pPr>
          </w:p>
        </w:tc>
        <w:tc>
          <w:tcPr>
            <w:tcW w:w="1811" w:type="dxa"/>
            <w:tcBorders>
              <w:tl2br w:val="nil"/>
              <w:tr2bl w:val="nil"/>
            </w:tcBorders>
            <w:tcMar>
              <w:top w:w="70" w:type="dxa"/>
              <w:left w:w="70" w:type="dxa"/>
              <w:bottom w:w="70" w:type="dxa"/>
              <w:right w:w="70" w:type="dxa"/>
            </w:tcMar>
            <w:vAlign w:val="center"/>
          </w:tcPr>
          <w:p w14:paraId="0E33BC34">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□符合　□不符合</w:t>
            </w:r>
          </w:p>
        </w:tc>
      </w:tr>
      <w:tr w14:paraId="0E33BC3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36">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核算主体</w:t>
            </w:r>
          </w:p>
        </w:tc>
        <w:tc>
          <w:tcPr>
            <w:tcW w:w="0" w:type="auto"/>
            <w:tcBorders>
              <w:tl2br w:val="nil"/>
              <w:tr2bl w:val="nil"/>
            </w:tcBorders>
            <w:tcMar>
              <w:top w:w="70" w:type="dxa"/>
              <w:left w:w="70" w:type="dxa"/>
              <w:bottom w:w="70" w:type="dxa"/>
              <w:right w:w="70" w:type="dxa"/>
            </w:tcMar>
            <w:vAlign w:val="center"/>
          </w:tcPr>
          <w:p w14:paraId="0E33BC37">
            <w:pPr>
              <w:widowControl/>
              <w:ind w:left="0" w:leftChars="0" w:right="0" w:rightChars="0" w:firstLine="0" w:firstLineChars="0"/>
              <w:jc w:val="left"/>
              <w:rPr>
                <w:rFonts w:hint="eastAsia" w:ascii="宋体" w:hAnsi="宋体" w:eastAsia="宋体" w:cs="宋体"/>
                <w:b w:val="0"/>
                <w:bCs/>
              </w:rPr>
            </w:pPr>
          </w:p>
        </w:tc>
        <w:tc>
          <w:tcPr>
            <w:tcW w:w="0" w:type="auto"/>
            <w:tcBorders>
              <w:tl2br w:val="nil"/>
              <w:tr2bl w:val="nil"/>
            </w:tcBorders>
            <w:tcMar>
              <w:top w:w="70" w:type="dxa"/>
              <w:left w:w="70" w:type="dxa"/>
              <w:bottom w:w="70" w:type="dxa"/>
              <w:right w:w="70" w:type="dxa"/>
            </w:tcMar>
            <w:vAlign w:val="center"/>
          </w:tcPr>
          <w:p w14:paraId="0E33BC38">
            <w:pPr>
              <w:widowControl/>
              <w:ind w:left="0" w:leftChars="0" w:right="0" w:rightChars="0" w:firstLine="0" w:firstLineChars="0"/>
              <w:jc w:val="left"/>
              <w:rPr>
                <w:rFonts w:hint="eastAsia" w:ascii="宋体" w:hAnsi="宋体" w:eastAsia="宋体" w:cs="宋体"/>
                <w:b w:val="0"/>
                <w:bCs/>
              </w:rPr>
            </w:pPr>
          </w:p>
        </w:tc>
        <w:tc>
          <w:tcPr>
            <w:tcW w:w="1811" w:type="dxa"/>
            <w:tcBorders>
              <w:tl2br w:val="nil"/>
              <w:tr2bl w:val="nil"/>
            </w:tcBorders>
            <w:tcMar>
              <w:top w:w="70" w:type="dxa"/>
              <w:left w:w="70" w:type="dxa"/>
              <w:bottom w:w="70" w:type="dxa"/>
              <w:right w:w="70" w:type="dxa"/>
            </w:tcMar>
            <w:vAlign w:val="center"/>
          </w:tcPr>
          <w:p w14:paraId="0E33BC39">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□符合　□不符合</w:t>
            </w:r>
          </w:p>
        </w:tc>
      </w:tr>
      <w:tr w14:paraId="0E33BC3F">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3B">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T梁型号及规格</w:t>
            </w:r>
          </w:p>
        </w:tc>
        <w:tc>
          <w:tcPr>
            <w:tcW w:w="0" w:type="auto"/>
            <w:tcBorders>
              <w:tl2br w:val="nil"/>
              <w:tr2bl w:val="nil"/>
            </w:tcBorders>
            <w:tcMar>
              <w:top w:w="70" w:type="dxa"/>
              <w:left w:w="70" w:type="dxa"/>
              <w:bottom w:w="70" w:type="dxa"/>
              <w:right w:w="70" w:type="dxa"/>
            </w:tcMar>
            <w:vAlign w:val="center"/>
          </w:tcPr>
          <w:p w14:paraId="0E33BC3C">
            <w:pPr>
              <w:widowControl/>
              <w:ind w:left="0" w:leftChars="0" w:right="0" w:rightChars="0" w:firstLine="0" w:firstLineChars="0"/>
              <w:jc w:val="left"/>
              <w:rPr>
                <w:rFonts w:hint="eastAsia" w:ascii="宋体" w:hAnsi="宋体" w:eastAsia="宋体" w:cs="宋体"/>
                <w:b w:val="0"/>
                <w:bCs/>
              </w:rPr>
            </w:pPr>
          </w:p>
        </w:tc>
        <w:tc>
          <w:tcPr>
            <w:tcW w:w="0" w:type="auto"/>
            <w:tcBorders>
              <w:tl2br w:val="nil"/>
              <w:tr2bl w:val="nil"/>
            </w:tcBorders>
            <w:tcMar>
              <w:top w:w="70" w:type="dxa"/>
              <w:left w:w="70" w:type="dxa"/>
              <w:bottom w:w="70" w:type="dxa"/>
              <w:right w:w="70" w:type="dxa"/>
            </w:tcMar>
            <w:vAlign w:val="center"/>
          </w:tcPr>
          <w:p w14:paraId="0E33BC3D">
            <w:pPr>
              <w:widowControl/>
              <w:ind w:left="0" w:leftChars="0" w:right="0" w:rightChars="0" w:firstLine="0" w:firstLineChars="0"/>
              <w:jc w:val="left"/>
              <w:rPr>
                <w:rFonts w:hint="eastAsia" w:ascii="宋体" w:hAnsi="宋体" w:eastAsia="宋体" w:cs="宋体"/>
                <w:b w:val="0"/>
                <w:bCs/>
              </w:rPr>
            </w:pPr>
            <w:r>
              <w:rPr>
                <w:rFonts w:hint="eastAsia" w:ascii="宋体" w:hAnsi="宋体" w:eastAsia="宋体" w:cs="宋体"/>
                <w:b w:val="0"/>
                <w:bCs/>
                <w:sz w:val="18"/>
              </w:rPr>
              <w:t>设计图纸/产品标识</w:t>
            </w:r>
          </w:p>
        </w:tc>
        <w:tc>
          <w:tcPr>
            <w:tcW w:w="1811" w:type="dxa"/>
            <w:tcBorders>
              <w:tl2br w:val="nil"/>
              <w:tr2bl w:val="nil"/>
            </w:tcBorders>
            <w:tcMar>
              <w:top w:w="70" w:type="dxa"/>
              <w:left w:w="70" w:type="dxa"/>
              <w:bottom w:w="70" w:type="dxa"/>
              <w:right w:w="70" w:type="dxa"/>
            </w:tcMar>
            <w:vAlign w:val="center"/>
          </w:tcPr>
          <w:p w14:paraId="0E33BC3E">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□符合　□不符合</w:t>
            </w:r>
          </w:p>
        </w:tc>
      </w:tr>
      <w:tr w14:paraId="0E33BC4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40">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核算数量与总体积</w:t>
            </w:r>
          </w:p>
        </w:tc>
        <w:tc>
          <w:tcPr>
            <w:tcW w:w="0" w:type="auto"/>
            <w:tcBorders>
              <w:tl2br w:val="nil"/>
              <w:tr2bl w:val="nil"/>
            </w:tcBorders>
            <w:tcMar>
              <w:top w:w="70" w:type="dxa"/>
              <w:left w:w="70" w:type="dxa"/>
              <w:bottom w:w="70" w:type="dxa"/>
              <w:right w:w="70" w:type="dxa"/>
            </w:tcMar>
            <w:vAlign w:val="center"/>
          </w:tcPr>
          <w:p w14:paraId="0E33BC41">
            <w:pPr>
              <w:widowControl/>
              <w:ind w:left="0" w:leftChars="0" w:right="0" w:rightChars="0" w:firstLine="0" w:firstLineChars="0"/>
              <w:jc w:val="left"/>
              <w:rPr>
                <w:rFonts w:hint="eastAsia" w:ascii="宋体" w:hAnsi="宋体" w:eastAsia="宋体" w:cs="宋体"/>
                <w:b w:val="0"/>
                <w:bCs/>
              </w:rPr>
            </w:pPr>
            <w:r>
              <w:rPr>
                <w:rFonts w:hint="eastAsia" w:ascii="宋体" w:hAnsi="宋体" w:eastAsia="宋体" w:cs="宋体"/>
                <w:b w:val="0"/>
                <w:bCs/>
                <w:sz w:val="18"/>
              </w:rPr>
              <w:t>数量：　　片；体积：　　m³</w:t>
            </w:r>
          </w:p>
        </w:tc>
        <w:tc>
          <w:tcPr>
            <w:tcW w:w="0" w:type="auto"/>
            <w:tcBorders>
              <w:tl2br w:val="nil"/>
              <w:tr2bl w:val="nil"/>
            </w:tcBorders>
            <w:tcMar>
              <w:top w:w="70" w:type="dxa"/>
              <w:left w:w="70" w:type="dxa"/>
              <w:bottom w:w="70" w:type="dxa"/>
              <w:right w:w="70" w:type="dxa"/>
            </w:tcMar>
            <w:vAlign w:val="center"/>
          </w:tcPr>
          <w:p w14:paraId="0E33BC42">
            <w:pPr>
              <w:widowControl/>
              <w:ind w:left="0" w:leftChars="0" w:right="0" w:rightChars="0" w:firstLine="0" w:firstLineChars="0"/>
              <w:jc w:val="left"/>
              <w:rPr>
                <w:rFonts w:hint="eastAsia" w:ascii="宋体" w:hAnsi="宋体" w:eastAsia="宋体" w:cs="宋体"/>
                <w:b w:val="0"/>
                <w:bCs/>
              </w:rPr>
            </w:pPr>
            <w:r>
              <w:rPr>
                <w:rFonts w:hint="eastAsia" w:ascii="宋体" w:hAnsi="宋体" w:eastAsia="宋体" w:cs="宋体"/>
                <w:b w:val="0"/>
                <w:bCs/>
                <w:sz w:val="18"/>
              </w:rPr>
              <w:t>工程量清单/实测记录</w:t>
            </w:r>
          </w:p>
        </w:tc>
        <w:tc>
          <w:tcPr>
            <w:tcW w:w="1811" w:type="dxa"/>
            <w:tcBorders>
              <w:tl2br w:val="nil"/>
              <w:tr2bl w:val="nil"/>
            </w:tcBorders>
            <w:tcMar>
              <w:top w:w="70" w:type="dxa"/>
              <w:left w:w="70" w:type="dxa"/>
              <w:bottom w:w="70" w:type="dxa"/>
              <w:right w:w="70" w:type="dxa"/>
            </w:tcMar>
            <w:vAlign w:val="center"/>
          </w:tcPr>
          <w:p w14:paraId="0E33BC43">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□符合　□不符合</w:t>
            </w:r>
          </w:p>
        </w:tc>
      </w:tr>
      <w:tr w14:paraId="0E33BC49">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45">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核算周期</w:t>
            </w:r>
          </w:p>
        </w:tc>
        <w:tc>
          <w:tcPr>
            <w:tcW w:w="0" w:type="auto"/>
            <w:tcBorders>
              <w:tl2br w:val="nil"/>
              <w:tr2bl w:val="nil"/>
            </w:tcBorders>
            <w:tcMar>
              <w:top w:w="70" w:type="dxa"/>
              <w:left w:w="70" w:type="dxa"/>
              <w:bottom w:w="70" w:type="dxa"/>
              <w:right w:w="70" w:type="dxa"/>
            </w:tcMar>
            <w:vAlign w:val="center"/>
          </w:tcPr>
          <w:p w14:paraId="0E33BC46">
            <w:pPr>
              <w:widowControl/>
              <w:ind w:left="0" w:leftChars="0" w:right="0" w:rightChars="0" w:firstLine="0" w:firstLineChars="0"/>
              <w:jc w:val="left"/>
              <w:rPr>
                <w:rFonts w:hint="eastAsia" w:ascii="宋体" w:hAnsi="宋体" w:eastAsia="宋体" w:cs="宋体"/>
                <w:b w:val="0"/>
                <w:bCs/>
              </w:rPr>
            </w:pPr>
            <w:r>
              <w:rPr>
                <w:rFonts w:hint="eastAsia" w:ascii="宋体" w:hAnsi="宋体" w:eastAsia="宋体" w:cs="宋体"/>
                <w:b w:val="0"/>
                <w:bCs/>
                <w:sz w:val="18"/>
              </w:rPr>
              <w:t>自　　年　月　日至　　年　月　日</w:t>
            </w:r>
          </w:p>
        </w:tc>
        <w:tc>
          <w:tcPr>
            <w:tcW w:w="0" w:type="auto"/>
            <w:tcBorders>
              <w:tl2br w:val="nil"/>
              <w:tr2bl w:val="nil"/>
            </w:tcBorders>
            <w:tcMar>
              <w:top w:w="70" w:type="dxa"/>
              <w:left w:w="70" w:type="dxa"/>
              <w:bottom w:w="70" w:type="dxa"/>
              <w:right w:w="70" w:type="dxa"/>
            </w:tcMar>
            <w:vAlign w:val="center"/>
          </w:tcPr>
          <w:p w14:paraId="0E33BC47">
            <w:pPr>
              <w:widowControl/>
              <w:ind w:left="0" w:leftChars="0" w:right="0" w:rightChars="0" w:firstLine="0" w:firstLineChars="0"/>
              <w:jc w:val="left"/>
              <w:rPr>
                <w:rFonts w:hint="eastAsia" w:ascii="宋体" w:hAnsi="宋体" w:eastAsia="宋体" w:cs="宋体"/>
                <w:b w:val="0"/>
                <w:bCs/>
              </w:rPr>
            </w:pPr>
          </w:p>
        </w:tc>
        <w:tc>
          <w:tcPr>
            <w:tcW w:w="1811" w:type="dxa"/>
            <w:tcBorders>
              <w:tl2br w:val="nil"/>
              <w:tr2bl w:val="nil"/>
            </w:tcBorders>
            <w:tcMar>
              <w:top w:w="70" w:type="dxa"/>
              <w:left w:w="70" w:type="dxa"/>
              <w:bottom w:w="70" w:type="dxa"/>
              <w:right w:w="70" w:type="dxa"/>
            </w:tcMar>
            <w:vAlign w:val="center"/>
          </w:tcPr>
          <w:p w14:paraId="0E33BC48">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□符合　□不符合</w:t>
            </w:r>
          </w:p>
        </w:tc>
      </w:tr>
      <w:tr w14:paraId="0E33BC4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4A">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核算基准</w:t>
            </w:r>
          </w:p>
        </w:tc>
        <w:tc>
          <w:tcPr>
            <w:tcW w:w="0" w:type="auto"/>
            <w:tcBorders>
              <w:tl2br w:val="nil"/>
              <w:tr2bl w:val="nil"/>
            </w:tcBorders>
            <w:tcMar>
              <w:top w:w="70" w:type="dxa"/>
              <w:left w:w="70" w:type="dxa"/>
              <w:bottom w:w="70" w:type="dxa"/>
              <w:right w:w="70" w:type="dxa"/>
            </w:tcMar>
            <w:vAlign w:val="center"/>
          </w:tcPr>
          <w:p w14:paraId="2C40F5E3">
            <w:pPr>
              <w:widowControl/>
              <w:ind w:left="0" w:firstLine="0" w:firstLineChars="0"/>
              <w:jc w:val="left"/>
              <w:rPr>
                <w:rFonts w:hint="eastAsia" w:ascii="宋体" w:hAnsi="宋体" w:eastAsia="宋体" w:cs="宋体"/>
                <w:b w:val="0"/>
                <w:bCs/>
                <w:sz w:val="18"/>
                <w:lang w:val="en-US" w:eastAsia="zh-CN"/>
              </w:rPr>
            </w:pPr>
            <w:r>
              <w:rPr>
                <w:rFonts w:hint="eastAsia" w:ascii="宋体" w:hAnsi="宋体" w:eastAsia="宋体" w:cs="宋体"/>
                <w:b w:val="0"/>
                <w:bCs/>
                <w:sz w:val="18"/>
              </w:rPr>
              <w:t>单位体积T梁碳排放强度：</w:t>
            </w:r>
          </w:p>
          <w:p w14:paraId="704C13D4">
            <w:pPr>
              <w:widowControl/>
              <w:ind w:left="0" w:firstLine="0" w:firstLineChars="0"/>
              <w:jc w:val="right"/>
              <w:rPr>
                <w:rFonts w:hint="eastAsia" w:ascii="宋体" w:hAnsi="宋体" w:eastAsia="宋体" w:cs="宋体"/>
                <w:b w:val="0"/>
                <w:bCs/>
              </w:rPr>
            </w:pPr>
            <w:r>
              <w:rPr>
                <w:rFonts w:hint="eastAsia" w:ascii="宋体" w:hAnsi="宋体" w:eastAsia="宋体" w:cs="宋体"/>
                <w:b w:val="0"/>
                <w:bCs/>
                <w:sz w:val="18"/>
                <w:lang w:val="en-US" w:eastAsia="zh-CN"/>
              </w:rPr>
              <w:t xml:space="preserve">     </w:t>
            </w:r>
            <w:r>
              <w:rPr>
                <w:rFonts w:hint="eastAsia" w:ascii="宋体" w:hAnsi="宋体" w:eastAsia="宋体" w:cs="宋体"/>
                <w:b w:val="0"/>
                <w:bCs/>
                <w:sz w:val="18"/>
              </w:rPr>
              <w:t>kgCO</w:t>
            </w:r>
            <w:r>
              <w:rPr>
                <w:rFonts w:hint="default" w:ascii="Times New Roman" w:hAnsi="Times New Roman" w:eastAsia="宋体" w:cs="Times New Roman"/>
                <w:b w:val="0"/>
                <w:bCs/>
                <w:sz w:val="18"/>
              </w:rPr>
              <w:t>₂</w:t>
            </w:r>
            <w:r>
              <w:rPr>
                <w:rFonts w:hint="eastAsia" w:ascii="宋体" w:hAnsi="宋体" w:eastAsia="宋体" w:cs="宋体"/>
                <w:b w:val="0"/>
                <w:bCs/>
                <w:sz w:val="18"/>
              </w:rPr>
              <w:t>/m³</w:t>
            </w:r>
          </w:p>
        </w:tc>
        <w:tc>
          <w:tcPr>
            <w:tcW w:w="0" w:type="auto"/>
            <w:tcBorders>
              <w:tl2br w:val="nil"/>
              <w:tr2bl w:val="nil"/>
            </w:tcBorders>
            <w:tcMar>
              <w:top w:w="70" w:type="dxa"/>
              <w:left w:w="70" w:type="dxa"/>
              <w:bottom w:w="70" w:type="dxa"/>
              <w:right w:w="70" w:type="dxa"/>
            </w:tcMar>
            <w:vAlign w:val="center"/>
          </w:tcPr>
          <w:p w14:paraId="0E33BC4C">
            <w:pPr>
              <w:widowControl/>
              <w:ind w:left="0" w:leftChars="0" w:right="0" w:rightChars="0" w:firstLine="0" w:firstLineChars="0"/>
              <w:jc w:val="left"/>
              <w:rPr>
                <w:rFonts w:hint="eastAsia" w:ascii="宋体" w:hAnsi="宋体" w:eastAsia="宋体" w:cs="宋体"/>
                <w:b w:val="0"/>
                <w:bCs/>
              </w:rPr>
            </w:pPr>
            <w:r>
              <w:rPr>
                <w:rFonts w:hint="eastAsia" w:ascii="宋体" w:hAnsi="宋体" w:eastAsia="宋体" w:cs="宋体"/>
                <w:b w:val="0"/>
                <w:bCs/>
                <w:sz w:val="18"/>
              </w:rPr>
              <w:t>本文件4.3</w:t>
            </w:r>
          </w:p>
        </w:tc>
        <w:tc>
          <w:tcPr>
            <w:tcW w:w="1811" w:type="dxa"/>
            <w:tcBorders>
              <w:tl2br w:val="nil"/>
              <w:tr2bl w:val="nil"/>
            </w:tcBorders>
            <w:tcMar>
              <w:top w:w="70" w:type="dxa"/>
              <w:left w:w="70" w:type="dxa"/>
              <w:bottom w:w="70" w:type="dxa"/>
              <w:right w:w="70" w:type="dxa"/>
            </w:tcMar>
            <w:vAlign w:val="center"/>
          </w:tcPr>
          <w:p w14:paraId="0E33BC4D">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□符合　□不符合</w:t>
            </w:r>
          </w:p>
        </w:tc>
      </w:tr>
      <w:tr w14:paraId="0E33BC53">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4F">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核算边界</w:t>
            </w:r>
          </w:p>
        </w:tc>
        <w:tc>
          <w:tcPr>
            <w:tcW w:w="0" w:type="auto"/>
            <w:tcBorders>
              <w:tl2br w:val="nil"/>
              <w:tr2bl w:val="nil"/>
            </w:tcBorders>
            <w:tcMar>
              <w:top w:w="70" w:type="dxa"/>
              <w:left w:w="70" w:type="dxa"/>
              <w:bottom w:w="70" w:type="dxa"/>
              <w:right w:w="70" w:type="dxa"/>
            </w:tcMar>
            <w:vAlign w:val="center"/>
          </w:tcPr>
          <w:p w14:paraId="0E33BC50">
            <w:pPr>
              <w:widowControl/>
              <w:ind w:left="0" w:leftChars="0" w:right="0" w:rightChars="0" w:firstLine="0" w:firstLineChars="0"/>
              <w:jc w:val="left"/>
              <w:rPr>
                <w:rFonts w:hint="eastAsia" w:ascii="宋体" w:hAnsi="宋体" w:eastAsia="宋体" w:cs="宋体"/>
                <w:b w:val="0"/>
                <w:bCs/>
              </w:rPr>
            </w:pPr>
            <w:r>
              <w:rPr>
                <w:rFonts w:hint="eastAsia" w:ascii="宋体" w:hAnsi="宋体" w:eastAsia="宋体" w:cs="宋体"/>
                <w:b w:val="0"/>
                <w:bCs/>
                <w:sz w:val="18"/>
              </w:rPr>
              <w:t>□A1　□A2　□A3　□A4　□A5</w:t>
            </w:r>
          </w:p>
        </w:tc>
        <w:tc>
          <w:tcPr>
            <w:tcW w:w="0" w:type="auto"/>
            <w:tcBorders>
              <w:tl2br w:val="nil"/>
              <w:tr2bl w:val="nil"/>
            </w:tcBorders>
            <w:tcMar>
              <w:top w:w="70" w:type="dxa"/>
              <w:left w:w="70" w:type="dxa"/>
              <w:bottom w:w="70" w:type="dxa"/>
              <w:right w:w="70" w:type="dxa"/>
            </w:tcMar>
            <w:vAlign w:val="center"/>
          </w:tcPr>
          <w:p w14:paraId="0E33BC51">
            <w:pPr>
              <w:widowControl/>
              <w:ind w:left="0" w:leftChars="0" w:right="0" w:rightChars="0" w:firstLine="0" w:firstLineChars="0"/>
              <w:jc w:val="left"/>
              <w:rPr>
                <w:rFonts w:hint="eastAsia" w:ascii="宋体" w:hAnsi="宋体" w:eastAsia="宋体" w:cs="宋体"/>
                <w:b w:val="0"/>
                <w:bCs/>
              </w:rPr>
            </w:pPr>
            <w:r>
              <w:rPr>
                <w:rFonts w:hint="eastAsia" w:ascii="宋体" w:hAnsi="宋体" w:eastAsia="宋体" w:cs="宋体"/>
                <w:b w:val="0"/>
                <w:bCs/>
                <w:sz w:val="18"/>
              </w:rPr>
              <w:t>边界说明/流程图</w:t>
            </w:r>
          </w:p>
        </w:tc>
        <w:tc>
          <w:tcPr>
            <w:tcW w:w="1811" w:type="dxa"/>
            <w:tcBorders>
              <w:tl2br w:val="nil"/>
              <w:tr2bl w:val="nil"/>
            </w:tcBorders>
            <w:tcMar>
              <w:top w:w="70" w:type="dxa"/>
              <w:left w:w="70" w:type="dxa"/>
              <w:bottom w:w="70" w:type="dxa"/>
              <w:right w:w="70" w:type="dxa"/>
            </w:tcMar>
            <w:vAlign w:val="center"/>
          </w:tcPr>
          <w:p w14:paraId="0E33BC52">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□完整　□不完整</w:t>
            </w:r>
          </w:p>
        </w:tc>
      </w:tr>
      <w:tr w14:paraId="0E33BC58">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1811" w:type="dxa"/>
            <w:tcBorders>
              <w:tl2br w:val="nil"/>
              <w:tr2bl w:val="nil"/>
            </w:tcBorders>
            <w:tcMar>
              <w:top w:w="70" w:type="dxa"/>
              <w:left w:w="70" w:type="dxa"/>
              <w:bottom w:w="70" w:type="dxa"/>
              <w:right w:w="70" w:type="dxa"/>
            </w:tcMar>
            <w:vAlign w:val="center"/>
          </w:tcPr>
          <w:p w14:paraId="0E33BC54">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编制与复核</w:t>
            </w:r>
          </w:p>
        </w:tc>
        <w:tc>
          <w:tcPr>
            <w:tcW w:w="3464" w:type="dxa"/>
            <w:tcBorders>
              <w:tl2br w:val="nil"/>
              <w:tr2bl w:val="nil"/>
            </w:tcBorders>
            <w:tcMar>
              <w:top w:w="70" w:type="dxa"/>
              <w:left w:w="70" w:type="dxa"/>
              <w:bottom w:w="70" w:type="dxa"/>
              <w:right w:w="70" w:type="dxa"/>
            </w:tcMar>
            <w:vAlign w:val="center"/>
          </w:tcPr>
          <w:p w14:paraId="7AF2917B">
            <w:pPr>
              <w:widowControl/>
              <w:ind w:left="0" w:leftChars="0" w:right="0" w:rightChars="0" w:firstLine="0" w:firstLineChars="0"/>
              <w:jc w:val="left"/>
              <w:rPr>
                <w:rFonts w:hint="eastAsia" w:ascii="宋体" w:hAnsi="宋体" w:eastAsia="宋体" w:cs="宋体"/>
                <w:b w:val="0"/>
                <w:bCs/>
                <w:sz w:val="18"/>
              </w:rPr>
            </w:pPr>
            <w:r>
              <w:rPr>
                <w:rFonts w:hint="eastAsia" w:ascii="宋体" w:hAnsi="宋体" w:eastAsia="宋体" w:cs="宋体"/>
                <w:b w:val="0"/>
                <w:bCs/>
                <w:sz w:val="18"/>
              </w:rPr>
              <w:t>编制人：　　　复核人：　　　</w:t>
            </w:r>
          </w:p>
          <w:p w14:paraId="0E33BC55">
            <w:pPr>
              <w:widowControl/>
              <w:ind w:left="0" w:leftChars="0" w:right="0" w:rightChars="0" w:firstLine="0" w:firstLineChars="0"/>
              <w:jc w:val="left"/>
              <w:rPr>
                <w:rFonts w:hint="eastAsia" w:ascii="宋体" w:hAnsi="宋体" w:eastAsia="宋体" w:cs="宋体"/>
                <w:b w:val="0"/>
                <w:bCs/>
              </w:rPr>
            </w:pPr>
            <w:r>
              <w:rPr>
                <w:rFonts w:hint="eastAsia" w:ascii="宋体" w:hAnsi="宋体" w:eastAsia="宋体" w:cs="宋体"/>
                <w:b w:val="0"/>
                <w:bCs/>
                <w:sz w:val="18"/>
              </w:rPr>
              <w:t>日期：</w:t>
            </w:r>
          </w:p>
        </w:tc>
        <w:tc>
          <w:tcPr>
            <w:tcW w:w="2122" w:type="dxa"/>
            <w:tcBorders>
              <w:tl2br w:val="nil"/>
              <w:tr2bl w:val="nil"/>
            </w:tcBorders>
            <w:tcMar>
              <w:top w:w="70" w:type="dxa"/>
              <w:left w:w="70" w:type="dxa"/>
              <w:bottom w:w="70" w:type="dxa"/>
              <w:right w:w="70" w:type="dxa"/>
            </w:tcMar>
            <w:vAlign w:val="center"/>
          </w:tcPr>
          <w:p w14:paraId="0E33BC56">
            <w:pPr>
              <w:widowControl/>
              <w:ind w:left="0" w:leftChars="0" w:right="0" w:rightChars="0" w:firstLine="0" w:firstLineChars="0"/>
              <w:jc w:val="left"/>
              <w:rPr>
                <w:rFonts w:hint="eastAsia" w:ascii="宋体" w:hAnsi="宋体" w:eastAsia="宋体" w:cs="宋体"/>
                <w:b w:val="0"/>
                <w:bCs/>
              </w:rPr>
            </w:pPr>
          </w:p>
        </w:tc>
        <w:tc>
          <w:tcPr>
            <w:tcW w:w="1811" w:type="dxa"/>
            <w:tcBorders>
              <w:tl2br w:val="nil"/>
              <w:tr2bl w:val="nil"/>
            </w:tcBorders>
            <w:tcMar>
              <w:top w:w="70" w:type="dxa"/>
              <w:left w:w="70" w:type="dxa"/>
              <w:bottom w:w="70" w:type="dxa"/>
              <w:right w:w="70" w:type="dxa"/>
            </w:tcMar>
            <w:vAlign w:val="center"/>
          </w:tcPr>
          <w:p w14:paraId="0E33BC57">
            <w:pPr>
              <w:widowControl/>
              <w:ind w:left="0" w:leftChars="0" w:right="0" w:rightChars="0" w:firstLine="0" w:firstLineChars="0"/>
              <w:jc w:val="center"/>
              <w:rPr>
                <w:rFonts w:hint="eastAsia" w:ascii="宋体" w:hAnsi="宋体" w:eastAsia="宋体" w:cs="宋体"/>
                <w:b w:val="0"/>
                <w:bCs/>
              </w:rPr>
            </w:pPr>
            <w:r>
              <w:rPr>
                <w:rFonts w:hint="eastAsia" w:ascii="宋体" w:hAnsi="宋体" w:eastAsia="宋体" w:cs="宋体"/>
                <w:b w:val="0"/>
                <w:bCs/>
                <w:sz w:val="18"/>
              </w:rPr>
              <w:t>□完成</w:t>
            </w:r>
          </w:p>
        </w:tc>
      </w:tr>
    </w:tbl>
    <w:p w14:paraId="0E33BC59">
      <w:pPr>
        <w:pStyle w:val="46"/>
        <w:numPr>
          <w:ilvl w:val="1"/>
          <w:numId w:val="0"/>
        </w:numPr>
        <w:rPr>
          <w:rFonts w:hint="eastAsia"/>
        </w:rPr>
      </w:pPr>
      <w:r>
        <w:rPr>
          <w:rFonts w:hint="eastAsia" w:ascii="黑体"/>
          <w:b w:val="0"/>
          <w:snapToGrid/>
        </w:rPr>
        <w:t>C.2　</w:t>
      </w:r>
      <w:r>
        <w:rPr>
          <w:rFonts w:hint="eastAsia" w:ascii="黑体"/>
          <w:b w:val="0"/>
        </w:rPr>
        <w:t>阶段核算结果总表</w:t>
      </w:r>
    </w:p>
    <w:p w14:paraId="0E33BC5A">
      <w:pPr>
        <w:pStyle w:val="40"/>
        <w:numPr>
          <w:ilvl w:val="1"/>
          <w:numId w:val="0"/>
        </w:numPr>
        <w:rPr>
          <w:rFonts w:hint="eastAsia"/>
          <w:b w:val="0"/>
          <w:bCs w:val="0"/>
        </w:rPr>
      </w:pPr>
      <w:r>
        <w:rPr>
          <w:rFonts w:hint="eastAsia" w:ascii="黑体" w:eastAsia="黑体"/>
          <w:b w:val="0"/>
          <w:bCs w:val="0"/>
        </w:rPr>
        <w:t>表C.2　A1～A5阶段核算结果汇总表</w:t>
      </w:r>
    </w:p>
    <w:tbl>
      <w:tblPr>
        <w:tblStyle w:val="10"/>
        <w:tblW w:w="4997" w:type="pct"/>
        <w:tblInd w:w="0" w:type="dxa"/>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autofit"/>
        <w:tblCellMar>
          <w:top w:w="0" w:type="dxa"/>
          <w:left w:w="108" w:type="dxa"/>
          <w:bottom w:w="0" w:type="dxa"/>
          <w:right w:w="108" w:type="dxa"/>
        </w:tblCellMar>
      </w:tblPr>
      <w:tblGrid>
        <w:gridCol w:w="707"/>
        <w:gridCol w:w="1833"/>
        <w:gridCol w:w="1818"/>
        <w:gridCol w:w="1330"/>
        <w:gridCol w:w="812"/>
        <w:gridCol w:w="1154"/>
        <w:gridCol w:w="1552"/>
      </w:tblGrid>
      <w:tr w14:paraId="0E33BC6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blHeader/>
        </w:trPr>
        <w:tc>
          <w:tcPr>
            <w:tcW w:w="384" w:type="pct"/>
            <w:tcBorders>
              <w:bottom w:val="single" w:color="000000" w:sz="8" w:space="0"/>
            </w:tcBorders>
            <w:tcMar>
              <w:top w:w="70" w:type="dxa"/>
              <w:left w:w="70" w:type="dxa"/>
              <w:bottom w:w="70" w:type="dxa"/>
              <w:right w:w="70" w:type="dxa"/>
            </w:tcMar>
            <w:vAlign w:val="center"/>
          </w:tcPr>
          <w:p w14:paraId="0E33BC5B">
            <w:pPr>
              <w:pStyle w:val="39"/>
              <w:widowControl w:val="0"/>
              <w:rPr>
                <w:rFonts w:hint="eastAsia" w:ascii="宋体" w:hAnsi="宋体" w:cs="宋体"/>
              </w:rPr>
            </w:pPr>
            <w:r>
              <w:rPr>
                <w:rFonts w:hint="eastAsia" w:ascii="宋体" w:hAnsi="宋体" w:eastAsia="宋体" w:cs="宋体"/>
                <w:b w:val="0"/>
                <w:sz w:val="18"/>
              </w:rPr>
              <w:t>模块</w:t>
            </w:r>
          </w:p>
        </w:tc>
        <w:tc>
          <w:tcPr>
            <w:tcW w:w="995" w:type="pct"/>
            <w:tcBorders>
              <w:bottom w:val="single" w:color="000000" w:sz="8" w:space="0"/>
            </w:tcBorders>
            <w:tcMar>
              <w:top w:w="70" w:type="dxa"/>
              <w:left w:w="70" w:type="dxa"/>
              <w:bottom w:w="70" w:type="dxa"/>
              <w:right w:w="70" w:type="dxa"/>
            </w:tcMar>
            <w:vAlign w:val="center"/>
          </w:tcPr>
          <w:p w14:paraId="0E33BC5C">
            <w:pPr>
              <w:pStyle w:val="39"/>
              <w:widowControl w:val="0"/>
              <w:rPr>
                <w:rFonts w:hint="eastAsia" w:ascii="宋体" w:hAnsi="宋体" w:cs="宋体"/>
              </w:rPr>
            </w:pPr>
            <w:r>
              <w:rPr>
                <w:rFonts w:hint="eastAsia" w:ascii="宋体" w:hAnsi="宋体" w:eastAsia="宋体" w:cs="宋体"/>
                <w:b w:val="0"/>
                <w:sz w:val="18"/>
              </w:rPr>
              <w:t>阶段名称</w:t>
            </w:r>
          </w:p>
        </w:tc>
        <w:tc>
          <w:tcPr>
            <w:tcW w:w="987" w:type="pct"/>
            <w:tcBorders>
              <w:bottom w:val="single" w:color="000000" w:sz="8" w:space="0"/>
            </w:tcBorders>
            <w:tcMar>
              <w:top w:w="70" w:type="dxa"/>
              <w:left w:w="70" w:type="dxa"/>
              <w:bottom w:w="70" w:type="dxa"/>
              <w:right w:w="70" w:type="dxa"/>
            </w:tcMar>
            <w:vAlign w:val="center"/>
          </w:tcPr>
          <w:p w14:paraId="0E33BC5D">
            <w:pPr>
              <w:pStyle w:val="39"/>
              <w:widowControl w:val="0"/>
              <w:rPr>
                <w:rFonts w:hint="eastAsia" w:ascii="宋体" w:hAnsi="宋体" w:cs="宋体"/>
              </w:rPr>
            </w:pPr>
            <w:r>
              <w:rPr>
                <w:rFonts w:hint="eastAsia" w:ascii="宋体" w:hAnsi="宋体" w:eastAsia="宋体" w:cs="宋体"/>
                <w:b w:val="0"/>
                <w:sz w:val="18"/>
              </w:rPr>
              <w:t>主要活动数据来源</w:t>
            </w:r>
          </w:p>
        </w:tc>
        <w:tc>
          <w:tcPr>
            <w:tcW w:w="722" w:type="pct"/>
            <w:tcBorders>
              <w:bottom w:val="single" w:color="000000" w:sz="8" w:space="0"/>
            </w:tcBorders>
            <w:tcMar>
              <w:top w:w="70" w:type="dxa"/>
              <w:left w:w="70" w:type="dxa"/>
              <w:bottom w:w="70" w:type="dxa"/>
              <w:right w:w="70" w:type="dxa"/>
            </w:tcMar>
            <w:vAlign w:val="center"/>
          </w:tcPr>
          <w:p w14:paraId="0E33BC5E">
            <w:pPr>
              <w:pStyle w:val="39"/>
              <w:widowControl w:val="0"/>
              <w:rPr>
                <w:rFonts w:hint="eastAsia" w:ascii="宋体" w:hAnsi="宋体" w:cs="宋体"/>
              </w:rPr>
            </w:pPr>
            <w:r>
              <w:rPr>
                <w:rFonts w:hint="eastAsia" w:ascii="宋体" w:hAnsi="宋体" w:eastAsia="宋体" w:cs="宋体"/>
                <w:b w:val="0"/>
                <w:sz w:val="18"/>
              </w:rPr>
              <w:t>排放量(kgCO</w:t>
            </w:r>
            <w:r>
              <w:rPr>
                <w:rFonts w:hint="default" w:ascii="Times New Roman" w:hAnsi="Times New Roman" w:eastAsia="宋体" w:cs="Times New Roman"/>
                <w:b w:val="0"/>
                <w:sz w:val="18"/>
              </w:rPr>
              <w:t>₂</w:t>
            </w:r>
            <w:r>
              <w:rPr>
                <w:rFonts w:hint="eastAsia" w:ascii="宋体" w:hAnsi="宋体" w:eastAsia="宋体" w:cs="宋体"/>
                <w:b w:val="0"/>
                <w:sz w:val="18"/>
              </w:rPr>
              <w:t>)</w:t>
            </w:r>
          </w:p>
        </w:tc>
        <w:tc>
          <w:tcPr>
            <w:tcW w:w="441" w:type="pct"/>
            <w:tcBorders>
              <w:bottom w:val="single" w:color="000000" w:sz="8" w:space="0"/>
            </w:tcBorders>
            <w:tcMar>
              <w:top w:w="70" w:type="dxa"/>
              <w:left w:w="70" w:type="dxa"/>
              <w:bottom w:w="70" w:type="dxa"/>
              <w:right w:w="70" w:type="dxa"/>
            </w:tcMar>
            <w:vAlign w:val="center"/>
          </w:tcPr>
          <w:p w14:paraId="0E33BC5F">
            <w:pPr>
              <w:pStyle w:val="39"/>
              <w:widowControl w:val="0"/>
              <w:rPr>
                <w:rFonts w:hint="eastAsia" w:ascii="宋体" w:hAnsi="宋体" w:cs="宋体"/>
              </w:rPr>
            </w:pPr>
            <w:r>
              <w:rPr>
                <w:rFonts w:hint="eastAsia" w:ascii="宋体" w:hAnsi="宋体" w:eastAsia="宋体" w:cs="宋体"/>
                <w:b w:val="0"/>
                <w:sz w:val="18"/>
              </w:rPr>
              <w:t>占比(%)</w:t>
            </w:r>
          </w:p>
        </w:tc>
        <w:tc>
          <w:tcPr>
            <w:tcW w:w="626" w:type="pct"/>
            <w:tcBorders>
              <w:bottom w:val="single" w:color="000000" w:sz="8" w:space="0"/>
            </w:tcBorders>
            <w:tcMar>
              <w:top w:w="70" w:type="dxa"/>
              <w:left w:w="70" w:type="dxa"/>
              <w:bottom w:w="70" w:type="dxa"/>
              <w:right w:w="70" w:type="dxa"/>
            </w:tcMar>
            <w:vAlign w:val="center"/>
          </w:tcPr>
          <w:p w14:paraId="0E33BC60">
            <w:pPr>
              <w:pStyle w:val="39"/>
              <w:widowControl w:val="0"/>
              <w:rPr>
                <w:rFonts w:hint="eastAsia" w:ascii="宋体" w:hAnsi="宋体" w:cs="宋体"/>
              </w:rPr>
            </w:pPr>
            <w:r>
              <w:rPr>
                <w:rFonts w:hint="eastAsia" w:ascii="宋体" w:hAnsi="宋体" w:eastAsia="宋体" w:cs="宋体"/>
                <w:b w:val="0"/>
                <w:sz w:val="18"/>
              </w:rPr>
              <w:t>缺失数据</w:t>
            </w:r>
          </w:p>
        </w:tc>
        <w:tc>
          <w:tcPr>
            <w:tcW w:w="842" w:type="pct"/>
            <w:tcBorders>
              <w:bottom w:val="single" w:color="000000" w:sz="8" w:space="0"/>
            </w:tcBorders>
            <w:tcMar>
              <w:top w:w="70" w:type="dxa"/>
              <w:left w:w="70" w:type="dxa"/>
              <w:bottom w:w="70" w:type="dxa"/>
              <w:right w:w="70" w:type="dxa"/>
            </w:tcMar>
            <w:vAlign w:val="center"/>
          </w:tcPr>
          <w:p w14:paraId="0E33BC61">
            <w:pPr>
              <w:pStyle w:val="39"/>
              <w:widowControl w:val="0"/>
              <w:rPr>
                <w:rFonts w:hint="eastAsia" w:ascii="宋体" w:hAnsi="宋体" w:cs="宋体"/>
              </w:rPr>
            </w:pPr>
            <w:r>
              <w:rPr>
                <w:rFonts w:hint="eastAsia" w:ascii="宋体" w:hAnsi="宋体" w:eastAsia="宋体" w:cs="宋体"/>
                <w:b w:val="0"/>
                <w:sz w:val="18"/>
              </w:rPr>
              <w:t>复核结果</w:t>
            </w:r>
          </w:p>
        </w:tc>
      </w:tr>
      <w:tr w14:paraId="0E33BC6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384" w:type="pct"/>
            <w:tcBorders>
              <w:top w:val="single" w:color="000000" w:sz="8" w:space="0"/>
              <w:tl2br w:val="nil"/>
              <w:tr2bl w:val="nil"/>
            </w:tcBorders>
            <w:tcMar>
              <w:top w:w="70" w:type="dxa"/>
              <w:left w:w="70" w:type="dxa"/>
              <w:bottom w:w="70" w:type="dxa"/>
              <w:right w:w="70" w:type="dxa"/>
            </w:tcMar>
            <w:vAlign w:val="center"/>
          </w:tcPr>
          <w:p w14:paraId="0E33BC63">
            <w:pPr>
              <w:pStyle w:val="39"/>
              <w:widowControl w:val="0"/>
              <w:rPr>
                <w:rFonts w:hint="eastAsia" w:ascii="宋体" w:hAnsi="宋体" w:cs="宋体"/>
              </w:rPr>
            </w:pPr>
            <w:r>
              <w:rPr>
                <w:rFonts w:hint="eastAsia" w:ascii="宋体" w:hAnsi="宋体" w:eastAsia="宋体" w:cs="宋体"/>
                <w:sz w:val="18"/>
              </w:rPr>
              <w:t>A1</w:t>
            </w:r>
          </w:p>
        </w:tc>
        <w:tc>
          <w:tcPr>
            <w:tcW w:w="995" w:type="pct"/>
            <w:tcBorders>
              <w:top w:val="single" w:color="000000" w:sz="8" w:space="0"/>
              <w:tl2br w:val="nil"/>
              <w:tr2bl w:val="nil"/>
            </w:tcBorders>
            <w:tcMar>
              <w:top w:w="70" w:type="dxa"/>
              <w:left w:w="70" w:type="dxa"/>
              <w:bottom w:w="70" w:type="dxa"/>
              <w:right w:w="70" w:type="dxa"/>
            </w:tcMar>
            <w:vAlign w:val="center"/>
          </w:tcPr>
          <w:p w14:paraId="0E33BC64">
            <w:pPr>
              <w:pStyle w:val="39"/>
              <w:widowControl w:val="0"/>
              <w:rPr>
                <w:rFonts w:hint="eastAsia" w:ascii="宋体" w:hAnsi="宋体" w:cs="宋体"/>
              </w:rPr>
            </w:pPr>
            <w:r>
              <w:rPr>
                <w:rFonts w:hint="eastAsia" w:ascii="宋体" w:hAnsi="宋体" w:eastAsia="宋体" w:cs="宋体"/>
                <w:sz w:val="18"/>
              </w:rPr>
              <w:t>原材料生产阶段</w:t>
            </w:r>
          </w:p>
        </w:tc>
        <w:tc>
          <w:tcPr>
            <w:tcW w:w="987" w:type="pct"/>
            <w:tcBorders>
              <w:top w:val="single" w:color="000000" w:sz="8" w:space="0"/>
              <w:tl2br w:val="nil"/>
              <w:tr2bl w:val="nil"/>
            </w:tcBorders>
            <w:tcMar>
              <w:top w:w="70" w:type="dxa"/>
              <w:left w:w="70" w:type="dxa"/>
              <w:bottom w:w="70" w:type="dxa"/>
              <w:right w:w="70" w:type="dxa"/>
            </w:tcMar>
            <w:vAlign w:val="center"/>
          </w:tcPr>
          <w:p w14:paraId="0E33BC65">
            <w:pPr>
              <w:pStyle w:val="39"/>
              <w:widowControl w:val="0"/>
              <w:rPr>
                <w:rFonts w:hint="eastAsia" w:ascii="宋体" w:hAnsi="宋体" w:cs="宋体"/>
              </w:rPr>
            </w:pPr>
          </w:p>
        </w:tc>
        <w:tc>
          <w:tcPr>
            <w:tcW w:w="722" w:type="pct"/>
            <w:tcBorders>
              <w:top w:val="single" w:color="000000" w:sz="8" w:space="0"/>
              <w:tl2br w:val="nil"/>
              <w:tr2bl w:val="nil"/>
            </w:tcBorders>
            <w:tcMar>
              <w:top w:w="70" w:type="dxa"/>
              <w:left w:w="70" w:type="dxa"/>
              <w:bottom w:w="70" w:type="dxa"/>
              <w:right w:w="70" w:type="dxa"/>
            </w:tcMar>
            <w:vAlign w:val="center"/>
          </w:tcPr>
          <w:p w14:paraId="0E33BC66">
            <w:pPr>
              <w:pStyle w:val="39"/>
              <w:widowControl w:val="0"/>
              <w:rPr>
                <w:rFonts w:hint="eastAsia" w:ascii="宋体" w:hAnsi="宋体" w:cs="宋体"/>
              </w:rPr>
            </w:pPr>
          </w:p>
        </w:tc>
        <w:tc>
          <w:tcPr>
            <w:tcW w:w="441" w:type="pct"/>
            <w:tcBorders>
              <w:top w:val="single" w:color="000000" w:sz="8" w:space="0"/>
              <w:tl2br w:val="nil"/>
              <w:tr2bl w:val="nil"/>
            </w:tcBorders>
            <w:tcMar>
              <w:top w:w="70" w:type="dxa"/>
              <w:left w:w="70" w:type="dxa"/>
              <w:bottom w:w="70" w:type="dxa"/>
              <w:right w:w="70" w:type="dxa"/>
            </w:tcMar>
            <w:vAlign w:val="center"/>
          </w:tcPr>
          <w:p w14:paraId="0E33BC67">
            <w:pPr>
              <w:pStyle w:val="39"/>
              <w:widowControl w:val="0"/>
              <w:rPr>
                <w:rFonts w:hint="eastAsia" w:ascii="宋体" w:hAnsi="宋体" w:cs="宋体"/>
              </w:rPr>
            </w:pPr>
          </w:p>
        </w:tc>
        <w:tc>
          <w:tcPr>
            <w:tcW w:w="626" w:type="pct"/>
            <w:tcBorders>
              <w:top w:val="single" w:color="000000" w:sz="8" w:space="0"/>
              <w:tl2br w:val="nil"/>
              <w:tr2bl w:val="nil"/>
            </w:tcBorders>
            <w:tcMar>
              <w:top w:w="70" w:type="dxa"/>
              <w:left w:w="70" w:type="dxa"/>
              <w:bottom w:w="70" w:type="dxa"/>
              <w:right w:w="70" w:type="dxa"/>
            </w:tcMar>
            <w:vAlign w:val="center"/>
          </w:tcPr>
          <w:p w14:paraId="0E33BC68">
            <w:pPr>
              <w:pStyle w:val="39"/>
              <w:widowControl w:val="0"/>
              <w:rPr>
                <w:rFonts w:hint="eastAsia" w:ascii="宋体" w:hAnsi="宋体" w:cs="宋体"/>
              </w:rPr>
            </w:pPr>
          </w:p>
        </w:tc>
        <w:tc>
          <w:tcPr>
            <w:tcW w:w="842" w:type="pct"/>
            <w:tcBorders>
              <w:top w:val="single" w:color="000000" w:sz="8" w:space="0"/>
              <w:tl2br w:val="nil"/>
              <w:tr2bl w:val="nil"/>
            </w:tcBorders>
            <w:tcMar>
              <w:top w:w="70" w:type="dxa"/>
              <w:left w:w="70" w:type="dxa"/>
              <w:bottom w:w="70" w:type="dxa"/>
              <w:right w:w="70" w:type="dxa"/>
            </w:tcMar>
            <w:vAlign w:val="center"/>
          </w:tcPr>
          <w:p w14:paraId="0E33BC69">
            <w:pPr>
              <w:pStyle w:val="39"/>
              <w:widowControl w:val="0"/>
              <w:rPr>
                <w:rFonts w:hint="eastAsia" w:ascii="宋体" w:hAnsi="宋体" w:cs="宋体"/>
              </w:rPr>
            </w:pPr>
            <w:r>
              <w:rPr>
                <w:rFonts w:hint="eastAsia" w:ascii="宋体" w:hAnsi="宋体" w:eastAsia="宋体" w:cs="宋体"/>
                <w:sz w:val="18"/>
              </w:rPr>
              <w:t>□通过　□整改</w:t>
            </w:r>
          </w:p>
        </w:tc>
      </w:tr>
      <w:tr w14:paraId="0E33BC7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384" w:type="pct"/>
            <w:tcBorders>
              <w:tl2br w:val="nil"/>
              <w:tr2bl w:val="nil"/>
            </w:tcBorders>
            <w:tcMar>
              <w:top w:w="70" w:type="dxa"/>
              <w:left w:w="70" w:type="dxa"/>
              <w:bottom w:w="70" w:type="dxa"/>
              <w:right w:w="70" w:type="dxa"/>
            </w:tcMar>
            <w:vAlign w:val="center"/>
          </w:tcPr>
          <w:p w14:paraId="0E33BC6B">
            <w:pPr>
              <w:pStyle w:val="39"/>
              <w:widowControl w:val="0"/>
              <w:rPr>
                <w:rFonts w:hint="eastAsia" w:ascii="宋体" w:hAnsi="宋体" w:cs="宋体"/>
              </w:rPr>
            </w:pPr>
            <w:r>
              <w:rPr>
                <w:rFonts w:hint="eastAsia" w:ascii="宋体" w:hAnsi="宋体" w:eastAsia="宋体" w:cs="宋体"/>
                <w:sz w:val="18"/>
              </w:rPr>
              <w:t>A2</w:t>
            </w:r>
          </w:p>
        </w:tc>
        <w:tc>
          <w:tcPr>
            <w:tcW w:w="995" w:type="pct"/>
            <w:tcBorders>
              <w:tl2br w:val="nil"/>
              <w:tr2bl w:val="nil"/>
            </w:tcBorders>
            <w:tcMar>
              <w:top w:w="70" w:type="dxa"/>
              <w:left w:w="70" w:type="dxa"/>
              <w:bottom w:w="70" w:type="dxa"/>
              <w:right w:w="70" w:type="dxa"/>
            </w:tcMar>
            <w:vAlign w:val="center"/>
          </w:tcPr>
          <w:p w14:paraId="0E33BC6C">
            <w:pPr>
              <w:pStyle w:val="39"/>
              <w:widowControl w:val="0"/>
              <w:rPr>
                <w:rFonts w:hint="eastAsia" w:ascii="宋体" w:hAnsi="宋体" w:cs="宋体"/>
              </w:rPr>
            </w:pPr>
            <w:r>
              <w:rPr>
                <w:rFonts w:hint="eastAsia" w:ascii="宋体" w:hAnsi="宋体" w:eastAsia="宋体" w:cs="宋体"/>
                <w:sz w:val="18"/>
              </w:rPr>
              <w:t>原材料运输阶段</w:t>
            </w:r>
          </w:p>
        </w:tc>
        <w:tc>
          <w:tcPr>
            <w:tcW w:w="987" w:type="pct"/>
            <w:tcBorders>
              <w:tl2br w:val="nil"/>
              <w:tr2bl w:val="nil"/>
            </w:tcBorders>
            <w:tcMar>
              <w:top w:w="70" w:type="dxa"/>
              <w:left w:w="70" w:type="dxa"/>
              <w:bottom w:w="70" w:type="dxa"/>
              <w:right w:w="70" w:type="dxa"/>
            </w:tcMar>
            <w:vAlign w:val="center"/>
          </w:tcPr>
          <w:p w14:paraId="0E33BC6D">
            <w:pPr>
              <w:pStyle w:val="39"/>
              <w:widowControl w:val="0"/>
              <w:rPr>
                <w:rFonts w:hint="eastAsia" w:ascii="宋体" w:hAnsi="宋体" w:cs="宋体"/>
              </w:rPr>
            </w:pPr>
          </w:p>
        </w:tc>
        <w:tc>
          <w:tcPr>
            <w:tcW w:w="722" w:type="pct"/>
            <w:tcBorders>
              <w:tl2br w:val="nil"/>
              <w:tr2bl w:val="nil"/>
            </w:tcBorders>
            <w:tcMar>
              <w:top w:w="70" w:type="dxa"/>
              <w:left w:w="70" w:type="dxa"/>
              <w:bottom w:w="70" w:type="dxa"/>
              <w:right w:w="70" w:type="dxa"/>
            </w:tcMar>
            <w:vAlign w:val="center"/>
          </w:tcPr>
          <w:p w14:paraId="0E33BC6E">
            <w:pPr>
              <w:pStyle w:val="39"/>
              <w:widowControl w:val="0"/>
              <w:rPr>
                <w:rFonts w:hint="eastAsia" w:ascii="宋体" w:hAnsi="宋体" w:cs="宋体"/>
              </w:rPr>
            </w:pPr>
          </w:p>
        </w:tc>
        <w:tc>
          <w:tcPr>
            <w:tcW w:w="441" w:type="pct"/>
            <w:tcBorders>
              <w:tl2br w:val="nil"/>
              <w:tr2bl w:val="nil"/>
            </w:tcBorders>
            <w:tcMar>
              <w:top w:w="70" w:type="dxa"/>
              <w:left w:w="70" w:type="dxa"/>
              <w:bottom w:w="70" w:type="dxa"/>
              <w:right w:w="70" w:type="dxa"/>
            </w:tcMar>
            <w:vAlign w:val="center"/>
          </w:tcPr>
          <w:p w14:paraId="0E33BC6F">
            <w:pPr>
              <w:pStyle w:val="39"/>
              <w:widowControl w:val="0"/>
              <w:rPr>
                <w:rFonts w:hint="eastAsia" w:ascii="宋体" w:hAnsi="宋体" w:cs="宋体"/>
              </w:rPr>
            </w:pPr>
          </w:p>
        </w:tc>
        <w:tc>
          <w:tcPr>
            <w:tcW w:w="626" w:type="pct"/>
            <w:tcBorders>
              <w:tl2br w:val="nil"/>
              <w:tr2bl w:val="nil"/>
            </w:tcBorders>
            <w:tcMar>
              <w:top w:w="70" w:type="dxa"/>
              <w:left w:w="70" w:type="dxa"/>
              <w:bottom w:w="70" w:type="dxa"/>
              <w:right w:w="70" w:type="dxa"/>
            </w:tcMar>
            <w:vAlign w:val="center"/>
          </w:tcPr>
          <w:p w14:paraId="0E33BC70">
            <w:pPr>
              <w:pStyle w:val="39"/>
              <w:widowControl w:val="0"/>
              <w:rPr>
                <w:rFonts w:hint="eastAsia" w:ascii="宋体" w:hAnsi="宋体" w:cs="宋体"/>
              </w:rPr>
            </w:pPr>
          </w:p>
        </w:tc>
        <w:tc>
          <w:tcPr>
            <w:tcW w:w="842" w:type="pct"/>
            <w:tcBorders>
              <w:tl2br w:val="nil"/>
              <w:tr2bl w:val="nil"/>
            </w:tcBorders>
            <w:tcMar>
              <w:top w:w="70" w:type="dxa"/>
              <w:left w:w="70" w:type="dxa"/>
              <w:bottom w:w="70" w:type="dxa"/>
              <w:right w:w="70" w:type="dxa"/>
            </w:tcMar>
            <w:vAlign w:val="center"/>
          </w:tcPr>
          <w:p w14:paraId="0E33BC71">
            <w:pPr>
              <w:pStyle w:val="39"/>
              <w:widowControl w:val="0"/>
              <w:rPr>
                <w:rFonts w:hint="eastAsia" w:ascii="宋体" w:hAnsi="宋体" w:cs="宋体"/>
              </w:rPr>
            </w:pPr>
            <w:r>
              <w:rPr>
                <w:rFonts w:hint="eastAsia" w:ascii="宋体" w:hAnsi="宋体" w:eastAsia="宋体" w:cs="宋体"/>
                <w:sz w:val="18"/>
              </w:rPr>
              <w:t>□通过　□整改</w:t>
            </w:r>
          </w:p>
        </w:tc>
      </w:tr>
      <w:tr w14:paraId="0E33BC7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384" w:type="pct"/>
            <w:tcBorders>
              <w:tl2br w:val="nil"/>
              <w:tr2bl w:val="nil"/>
            </w:tcBorders>
            <w:tcMar>
              <w:top w:w="70" w:type="dxa"/>
              <w:left w:w="70" w:type="dxa"/>
              <w:bottom w:w="70" w:type="dxa"/>
              <w:right w:w="70" w:type="dxa"/>
            </w:tcMar>
            <w:vAlign w:val="center"/>
          </w:tcPr>
          <w:p w14:paraId="0E33BC73">
            <w:pPr>
              <w:pStyle w:val="39"/>
              <w:widowControl w:val="0"/>
              <w:rPr>
                <w:rFonts w:hint="eastAsia" w:ascii="宋体" w:hAnsi="宋体" w:cs="宋体"/>
              </w:rPr>
            </w:pPr>
            <w:r>
              <w:rPr>
                <w:rFonts w:hint="eastAsia" w:ascii="宋体" w:hAnsi="宋体" w:eastAsia="宋体" w:cs="宋体"/>
                <w:sz w:val="18"/>
              </w:rPr>
              <w:t>A3</w:t>
            </w:r>
          </w:p>
        </w:tc>
        <w:tc>
          <w:tcPr>
            <w:tcW w:w="995" w:type="pct"/>
            <w:tcBorders>
              <w:tl2br w:val="nil"/>
              <w:tr2bl w:val="nil"/>
            </w:tcBorders>
            <w:tcMar>
              <w:top w:w="70" w:type="dxa"/>
              <w:left w:w="70" w:type="dxa"/>
              <w:bottom w:w="70" w:type="dxa"/>
              <w:right w:w="70" w:type="dxa"/>
            </w:tcMar>
            <w:vAlign w:val="center"/>
          </w:tcPr>
          <w:p w14:paraId="0E33BC74">
            <w:pPr>
              <w:pStyle w:val="39"/>
              <w:widowControl w:val="0"/>
              <w:rPr>
                <w:rFonts w:hint="eastAsia" w:ascii="宋体" w:hAnsi="宋体" w:cs="宋体"/>
              </w:rPr>
            </w:pPr>
            <w:r>
              <w:rPr>
                <w:rFonts w:hint="eastAsia" w:ascii="宋体" w:hAnsi="宋体" w:eastAsia="宋体" w:cs="宋体"/>
                <w:sz w:val="18"/>
              </w:rPr>
              <w:t>构件工厂化生产阶段</w:t>
            </w:r>
          </w:p>
        </w:tc>
        <w:tc>
          <w:tcPr>
            <w:tcW w:w="987" w:type="pct"/>
            <w:tcBorders>
              <w:tl2br w:val="nil"/>
              <w:tr2bl w:val="nil"/>
            </w:tcBorders>
            <w:tcMar>
              <w:top w:w="70" w:type="dxa"/>
              <w:left w:w="70" w:type="dxa"/>
              <w:bottom w:w="70" w:type="dxa"/>
              <w:right w:w="70" w:type="dxa"/>
            </w:tcMar>
            <w:vAlign w:val="center"/>
          </w:tcPr>
          <w:p w14:paraId="0E33BC75">
            <w:pPr>
              <w:pStyle w:val="39"/>
              <w:widowControl w:val="0"/>
              <w:rPr>
                <w:rFonts w:hint="eastAsia" w:ascii="宋体" w:hAnsi="宋体" w:cs="宋体"/>
              </w:rPr>
            </w:pPr>
          </w:p>
        </w:tc>
        <w:tc>
          <w:tcPr>
            <w:tcW w:w="722" w:type="pct"/>
            <w:tcBorders>
              <w:tl2br w:val="nil"/>
              <w:tr2bl w:val="nil"/>
            </w:tcBorders>
            <w:tcMar>
              <w:top w:w="70" w:type="dxa"/>
              <w:left w:w="70" w:type="dxa"/>
              <w:bottom w:w="70" w:type="dxa"/>
              <w:right w:w="70" w:type="dxa"/>
            </w:tcMar>
            <w:vAlign w:val="center"/>
          </w:tcPr>
          <w:p w14:paraId="0E33BC76">
            <w:pPr>
              <w:pStyle w:val="39"/>
              <w:widowControl w:val="0"/>
              <w:rPr>
                <w:rFonts w:hint="eastAsia" w:ascii="宋体" w:hAnsi="宋体" w:cs="宋体"/>
              </w:rPr>
            </w:pPr>
          </w:p>
        </w:tc>
        <w:tc>
          <w:tcPr>
            <w:tcW w:w="441" w:type="pct"/>
            <w:tcBorders>
              <w:tl2br w:val="nil"/>
              <w:tr2bl w:val="nil"/>
            </w:tcBorders>
            <w:tcMar>
              <w:top w:w="70" w:type="dxa"/>
              <w:left w:w="70" w:type="dxa"/>
              <w:bottom w:w="70" w:type="dxa"/>
              <w:right w:w="70" w:type="dxa"/>
            </w:tcMar>
            <w:vAlign w:val="center"/>
          </w:tcPr>
          <w:p w14:paraId="0E33BC77">
            <w:pPr>
              <w:pStyle w:val="39"/>
              <w:widowControl w:val="0"/>
              <w:rPr>
                <w:rFonts w:hint="eastAsia" w:ascii="宋体" w:hAnsi="宋体" w:cs="宋体"/>
              </w:rPr>
            </w:pPr>
          </w:p>
        </w:tc>
        <w:tc>
          <w:tcPr>
            <w:tcW w:w="626" w:type="pct"/>
            <w:tcBorders>
              <w:tl2br w:val="nil"/>
              <w:tr2bl w:val="nil"/>
            </w:tcBorders>
            <w:tcMar>
              <w:top w:w="70" w:type="dxa"/>
              <w:left w:w="70" w:type="dxa"/>
              <w:bottom w:w="70" w:type="dxa"/>
              <w:right w:w="70" w:type="dxa"/>
            </w:tcMar>
            <w:vAlign w:val="center"/>
          </w:tcPr>
          <w:p w14:paraId="0E33BC78">
            <w:pPr>
              <w:pStyle w:val="39"/>
              <w:widowControl w:val="0"/>
              <w:rPr>
                <w:rFonts w:hint="eastAsia" w:ascii="宋体" w:hAnsi="宋体" w:cs="宋体"/>
              </w:rPr>
            </w:pPr>
          </w:p>
        </w:tc>
        <w:tc>
          <w:tcPr>
            <w:tcW w:w="842" w:type="pct"/>
            <w:tcBorders>
              <w:tl2br w:val="nil"/>
              <w:tr2bl w:val="nil"/>
            </w:tcBorders>
            <w:tcMar>
              <w:top w:w="70" w:type="dxa"/>
              <w:left w:w="70" w:type="dxa"/>
              <w:bottom w:w="70" w:type="dxa"/>
              <w:right w:w="70" w:type="dxa"/>
            </w:tcMar>
            <w:vAlign w:val="center"/>
          </w:tcPr>
          <w:p w14:paraId="0E33BC79">
            <w:pPr>
              <w:pStyle w:val="39"/>
              <w:widowControl w:val="0"/>
              <w:rPr>
                <w:rFonts w:hint="eastAsia" w:ascii="宋体" w:hAnsi="宋体" w:cs="宋体"/>
              </w:rPr>
            </w:pPr>
            <w:r>
              <w:rPr>
                <w:rFonts w:hint="eastAsia" w:ascii="宋体" w:hAnsi="宋体" w:eastAsia="宋体" w:cs="宋体"/>
                <w:sz w:val="18"/>
              </w:rPr>
              <w:t>□通过　□整改</w:t>
            </w:r>
          </w:p>
        </w:tc>
      </w:tr>
      <w:tr w14:paraId="0E33BC8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384" w:type="pct"/>
            <w:tcBorders>
              <w:tl2br w:val="nil"/>
              <w:tr2bl w:val="nil"/>
            </w:tcBorders>
            <w:tcMar>
              <w:top w:w="70" w:type="dxa"/>
              <w:left w:w="70" w:type="dxa"/>
              <w:bottom w:w="70" w:type="dxa"/>
              <w:right w:w="70" w:type="dxa"/>
            </w:tcMar>
            <w:vAlign w:val="center"/>
          </w:tcPr>
          <w:p w14:paraId="0E33BC7B">
            <w:pPr>
              <w:pStyle w:val="39"/>
              <w:widowControl w:val="0"/>
              <w:rPr>
                <w:rFonts w:hint="eastAsia" w:ascii="宋体" w:hAnsi="宋体" w:cs="宋体"/>
              </w:rPr>
            </w:pPr>
            <w:r>
              <w:rPr>
                <w:rFonts w:hint="eastAsia" w:ascii="宋体" w:hAnsi="宋体" w:eastAsia="宋体" w:cs="宋体"/>
                <w:sz w:val="18"/>
              </w:rPr>
              <w:t>A4</w:t>
            </w:r>
          </w:p>
        </w:tc>
        <w:tc>
          <w:tcPr>
            <w:tcW w:w="995" w:type="pct"/>
            <w:tcBorders>
              <w:tl2br w:val="nil"/>
              <w:tr2bl w:val="nil"/>
            </w:tcBorders>
            <w:tcMar>
              <w:top w:w="70" w:type="dxa"/>
              <w:left w:w="70" w:type="dxa"/>
              <w:bottom w:w="70" w:type="dxa"/>
              <w:right w:w="70" w:type="dxa"/>
            </w:tcMar>
            <w:vAlign w:val="center"/>
          </w:tcPr>
          <w:p w14:paraId="0E33BC7C">
            <w:pPr>
              <w:pStyle w:val="39"/>
              <w:widowControl w:val="0"/>
              <w:rPr>
                <w:rFonts w:hint="eastAsia" w:ascii="宋体" w:hAnsi="宋体" w:cs="宋体"/>
              </w:rPr>
            </w:pPr>
            <w:r>
              <w:rPr>
                <w:rFonts w:hint="eastAsia" w:ascii="宋体" w:hAnsi="宋体" w:eastAsia="宋体" w:cs="宋体"/>
                <w:sz w:val="18"/>
              </w:rPr>
              <w:t>构件运输阶段</w:t>
            </w:r>
          </w:p>
        </w:tc>
        <w:tc>
          <w:tcPr>
            <w:tcW w:w="987" w:type="pct"/>
            <w:tcBorders>
              <w:tl2br w:val="nil"/>
              <w:tr2bl w:val="nil"/>
            </w:tcBorders>
            <w:tcMar>
              <w:top w:w="70" w:type="dxa"/>
              <w:left w:w="70" w:type="dxa"/>
              <w:bottom w:w="70" w:type="dxa"/>
              <w:right w:w="70" w:type="dxa"/>
            </w:tcMar>
            <w:vAlign w:val="center"/>
          </w:tcPr>
          <w:p w14:paraId="0E33BC7D">
            <w:pPr>
              <w:pStyle w:val="39"/>
              <w:widowControl w:val="0"/>
              <w:rPr>
                <w:rFonts w:hint="eastAsia" w:ascii="宋体" w:hAnsi="宋体" w:cs="宋体"/>
              </w:rPr>
            </w:pPr>
          </w:p>
        </w:tc>
        <w:tc>
          <w:tcPr>
            <w:tcW w:w="722" w:type="pct"/>
            <w:tcBorders>
              <w:tl2br w:val="nil"/>
              <w:tr2bl w:val="nil"/>
            </w:tcBorders>
            <w:tcMar>
              <w:top w:w="70" w:type="dxa"/>
              <w:left w:w="70" w:type="dxa"/>
              <w:bottom w:w="70" w:type="dxa"/>
              <w:right w:w="70" w:type="dxa"/>
            </w:tcMar>
            <w:vAlign w:val="center"/>
          </w:tcPr>
          <w:p w14:paraId="0E33BC7E">
            <w:pPr>
              <w:pStyle w:val="39"/>
              <w:widowControl w:val="0"/>
              <w:rPr>
                <w:rFonts w:hint="eastAsia" w:ascii="宋体" w:hAnsi="宋体" w:cs="宋体"/>
              </w:rPr>
            </w:pPr>
          </w:p>
        </w:tc>
        <w:tc>
          <w:tcPr>
            <w:tcW w:w="441" w:type="pct"/>
            <w:tcBorders>
              <w:tl2br w:val="nil"/>
              <w:tr2bl w:val="nil"/>
            </w:tcBorders>
            <w:tcMar>
              <w:top w:w="70" w:type="dxa"/>
              <w:left w:w="70" w:type="dxa"/>
              <w:bottom w:w="70" w:type="dxa"/>
              <w:right w:w="70" w:type="dxa"/>
            </w:tcMar>
            <w:vAlign w:val="center"/>
          </w:tcPr>
          <w:p w14:paraId="0E33BC7F">
            <w:pPr>
              <w:pStyle w:val="39"/>
              <w:widowControl w:val="0"/>
              <w:rPr>
                <w:rFonts w:hint="eastAsia" w:ascii="宋体" w:hAnsi="宋体" w:cs="宋体"/>
              </w:rPr>
            </w:pPr>
          </w:p>
        </w:tc>
        <w:tc>
          <w:tcPr>
            <w:tcW w:w="626" w:type="pct"/>
            <w:tcBorders>
              <w:tl2br w:val="nil"/>
              <w:tr2bl w:val="nil"/>
            </w:tcBorders>
            <w:tcMar>
              <w:top w:w="70" w:type="dxa"/>
              <w:left w:w="70" w:type="dxa"/>
              <w:bottom w:w="70" w:type="dxa"/>
              <w:right w:w="70" w:type="dxa"/>
            </w:tcMar>
            <w:vAlign w:val="center"/>
          </w:tcPr>
          <w:p w14:paraId="0E33BC80">
            <w:pPr>
              <w:pStyle w:val="39"/>
              <w:widowControl w:val="0"/>
              <w:rPr>
                <w:rFonts w:hint="eastAsia" w:ascii="宋体" w:hAnsi="宋体" w:cs="宋体"/>
              </w:rPr>
            </w:pPr>
          </w:p>
        </w:tc>
        <w:tc>
          <w:tcPr>
            <w:tcW w:w="842" w:type="pct"/>
            <w:tcBorders>
              <w:tl2br w:val="nil"/>
              <w:tr2bl w:val="nil"/>
            </w:tcBorders>
            <w:tcMar>
              <w:top w:w="70" w:type="dxa"/>
              <w:left w:w="70" w:type="dxa"/>
              <w:bottom w:w="70" w:type="dxa"/>
              <w:right w:w="70" w:type="dxa"/>
            </w:tcMar>
            <w:vAlign w:val="center"/>
          </w:tcPr>
          <w:p w14:paraId="0E33BC81">
            <w:pPr>
              <w:pStyle w:val="39"/>
              <w:widowControl w:val="0"/>
              <w:rPr>
                <w:rFonts w:hint="eastAsia" w:ascii="宋体" w:hAnsi="宋体" w:cs="宋体"/>
              </w:rPr>
            </w:pPr>
            <w:r>
              <w:rPr>
                <w:rFonts w:hint="eastAsia" w:ascii="宋体" w:hAnsi="宋体" w:eastAsia="宋体" w:cs="宋体"/>
                <w:sz w:val="18"/>
              </w:rPr>
              <w:t>□通过　□整改</w:t>
            </w:r>
          </w:p>
        </w:tc>
      </w:tr>
      <w:tr w14:paraId="0E33BC8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384" w:type="pct"/>
            <w:tcBorders>
              <w:tl2br w:val="nil"/>
              <w:tr2bl w:val="nil"/>
            </w:tcBorders>
            <w:tcMar>
              <w:top w:w="70" w:type="dxa"/>
              <w:left w:w="70" w:type="dxa"/>
              <w:bottom w:w="70" w:type="dxa"/>
              <w:right w:w="70" w:type="dxa"/>
            </w:tcMar>
            <w:vAlign w:val="center"/>
          </w:tcPr>
          <w:p w14:paraId="0E33BC83">
            <w:pPr>
              <w:pStyle w:val="39"/>
              <w:widowControl w:val="0"/>
              <w:rPr>
                <w:rFonts w:hint="eastAsia" w:ascii="宋体" w:hAnsi="宋体" w:cs="宋体"/>
              </w:rPr>
            </w:pPr>
            <w:r>
              <w:rPr>
                <w:rFonts w:hint="eastAsia" w:ascii="宋体" w:hAnsi="宋体" w:eastAsia="宋体" w:cs="宋体"/>
                <w:sz w:val="18"/>
              </w:rPr>
              <w:t>A5</w:t>
            </w:r>
          </w:p>
        </w:tc>
        <w:tc>
          <w:tcPr>
            <w:tcW w:w="995" w:type="pct"/>
            <w:tcBorders>
              <w:tl2br w:val="nil"/>
              <w:tr2bl w:val="nil"/>
            </w:tcBorders>
            <w:tcMar>
              <w:top w:w="70" w:type="dxa"/>
              <w:left w:w="70" w:type="dxa"/>
              <w:bottom w:w="70" w:type="dxa"/>
              <w:right w:w="70" w:type="dxa"/>
            </w:tcMar>
            <w:vAlign w:val="center"/>
          </w:tcPr>
          <w:p w14:paraId="0E33BC84">
            <w:pPr>
              <w:pStyle w:val="39"/>
              <w:widowControl w:val="0"/>
              <w:rPr>
                <w:rFonts w:hint="eastAsia" w:ascii="宋体" w:hAnsi="宋体" w:cs="宋体"/>
              </w:rPr>
            </w:pPr>
            <w:r>
              <w:rPr>
                <w:rFonts w:hint="eastAsia" w:ascii="宋体" w:hAnsi="宋体" w:eastAsia="宋体" w:cs="宋体"/>
                <w:sz w:val="18"/>
              </w:rPr>
              <w:t>现场安装阶段</w:t>
            </w:r>
          </w:p>
        </w:tc>
        <w:tc>
          <w:tcPr>
            <w:tcW w:w="987" w:type="pct"/>
            <w:tcBorders>
              <w:tl2br w:val="nil"/>
              <w:tr2bl w:val="nil"/>
            </w:tcBorders>
            <w:tcMar>
              <w:top w:w="70" w:type="dxa"/>
              <w:left w:w="70" w:type="dxa"/>
              <w:bottom w:w="70" w:type="dxa"/>
              <w:right w:w="70" w:type="dxa"/>
            </w:tcMar>
            <w:vAlign w:val="center"/>
          </w:tcPr>
          <w:p w14:paraId="0E33BC85">
            <w:pPr>
              <w:pStyle w:val="39"/>
              <w:widowControl w:val="0"/>
              <w:rPr>
                <w:rFonts w:hint="eastAsia" w:ascii="宋体" w:hAnsi="宋体" w:cs="宋体"/>
              </w:rPr>
            </w:pPr>
          </w:p>
        </w:tc>
        <w:tc>
          <w:tcPr>
            <w:tcW w:w="722" w:type="pct"/>
            <w:tcBorders>
              <w:tl2br w:val="nil"/>
              <w:tr2bl w:val="nil"/>
            </w:tcBorders>
            <w:tcMar>
              <w:top w:w="70" w:type="dxa"/>
              <w:left w:w="70" w:type="dxa"/>
              <w:bottom w:w="70" w:type="dxa"/>
              <w:right w:w="70" w:type="dxa"/>
            </w:tcMar>
            <w:vAlign w:val="center"/>
          </w:tcPr>
          <w:p w14:paraId="0E33BC86">
            <w:pPr>
              <w:pStyle w:val="39"/>
              <w:widowControl w:val="0"/>
              <w:rPr>
                <w:rFonts w:hint="eastAsia" w:ascii="宋体" w:hAnsi="宋体" w:cs="宋体"/>
              </w:rPr>
            </w:pPr>
          </w:p>
        </w:tc>
        <w:tc>
          <w:tcPr>
            <w:tcW w:w="441" w:type="pct"/>
            <w:tcBorders>
              <w:tl2br w:val="nil"/>
              <w:tr2bl w:val="nil"/>
            </w:tcBorders>
            <w:tcMar>
              <w:top w:w="70" w:type="dxa"/>
              <w:left w:w="70" w:type="dxa"/>
              <w:bottom w:w="70" w:type="dxa"/>
              <w:right w:w="70" w:type="dxa"/>
            </w:tcMar>
            <w:vAlign w:val="center"/>
          </w:tcPr>
          <w:p w14:paraId="0E33BC87">
            <w:pPr>
              <w:pStyle w:val="39"/>
              <w:widowControl w:val="0"/>
              <w:rPr>
                <w:rFonts w:hint="eastAsia" w:ascii="宋体" w:hAnsi="宋体" w:cs="宋体"/>
              </w:rPr>
            </w:pPr>
          </w:p>
        </w:tc>
        <w:tc>
          <w:tcPr>
            <w:tcW w:w="626" w:type="pct"/>
            <w:tcBorders>
              <w:tl2br w:val="nil"/>
              <w:tr2bl w:val="nil"/>
            </w:tcBorders>
            <w:tcMar>
              <w:top w:w="70" w:type="dxa"/>
              <w:left w:w="70" w:type="dxa"/>
              <w:bottom w:w="70" w:type="dxa"/>
              <w:right w:w="70" w:type="dxa"/>
            </w:tcMar>
            <w:vAlign w:val="center"/>
          </w:tcPr>
          <w:p w14:paraId="0E33BC88">
            <w:pPr>
              <w:pStyle w:val="39"/>
              <w:widowControl w:val="0"/>
              <w:rPr>
                <w:rFonts w:hint="eastAsia" w:ascii="宋体" w:hAnsi="宋体" w:cs="宋体"/>
              </w:rPr>
            </w:pPr>
          </w:p>
        </w:tc>
        <w:tc>
          <w:tcPr>
            <w:tcW w:w="842" w:type="pct"/>
            <w:tcBorders>
              <w:tl2br w:val="nil"/>
              <w:tr2bl w:val="nil"/>
            </w:tcBorders>
            <w:tcMar>
              <w:top w:w="70" w:type="dxa"/>
              <w:left w:w="70" w:type="dxa"/>
              <w:bottom w:w="70" w:type="dxa"/>
              <w:right w:w="70" w:type="dxa"/>
            </w:tcMar>
            <w:vAlign w:val="center"/>
          </w:tcPr>
          <w:p w14:paraId="0E33BC89">
            <w:pPr>
              <w:pStyle w:val="39"/>
              <w:widowControl w:val="0"/>
              <w:rPr>
                <w:rFonts w:hint="eastAsia" w:ascii="宋体" w:hAnsi="宋体" w:cs="宋体"/>
              </w:rPr>
            </w:pPr>
            <w:r>
              <w:rPr>
                <w:rFonts w:hint="eastAsia" w:ascii="宋体" w:hAnsi="宋体" w:eastAsia="宋体" w:cs="宋体"/>
                <w:sz w:val="18"/>
              </w:rPr>
              <w:t>□通过　□整改</w:t>
            </w:r>
          </w:p>
        </w:tc>
      </w:tr>
      <w:tr w14:paraId="0E33BC9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384" w:type="pct"/>
            <w:tcBorders>
              <w:tl2br w:val="nil"/>
              <w:tr2bl w:val="nil"/>
            </w:tcBorders>
            <w:tcMar>
              <w:top w:w="70" w:type="dxa"/>
              <w:left w:w="70" w:type="dxa"/>
              <w:bottom w:w="70" w:type="dxa"/>
              <w:right w:w="70" w:type="dxa"/>
            </w:tcMar>
            <w:vAlign w:val="center"/>
          </w:tcPr>
          <w:p w14:paraId="0E33BC8B">
            <w:pPr>
              <w:pStyle w:val="39"/>
              <w:widowControl w:val="0"/>
              <w:rPr>
                <w:rFonts w:hint="eastAsia" w:ascii="宋体" w:hAnsi="宋体" w:cs="宋体"/>
              </w:rPr>
            </w:pPr>
            <w:r>
              <w:rPr>
                <w:rFonts w:hint="eastAsia" w:ascii="宋体" w:hAnsi="宋体" w:eastAsia="宋体" w:cs="宋体"/>
                <w:sz w:val="18"/>
              </w:rPr>
              <w:t>合计</w:t>
            </w:r>
          </w:p>
        </w:tc>
        <w:tc>
          <w:tcPr>
            <w:tcW w:w="995" w:type="pct"/>
            <w:tcBorders>
              <w:tl2br w:val="nil"/>
              <w:tr2bl w:val="nil"/>
            </w:tcBorders>
            <w:tcMar>
              <w:top w:w="70" w:type="dxa"/>
              <w:left w:w="70" w:type="dxa"/>
              <w:bottom w:w="70" w:type="dxa"/>
              <w:right w:w="70" w:type="dxa"/>
            </w:tcMar>
            <w:vAlign w:val="center"/>
          </w:tcPr>
          <w:p w14:paraId="0E33BC8C">
            <w:pPr>
              <w:pStyle w:val="39"/>
              <w:widowControl w:val="0"/>
              <w:rPr>
                <w:rFonts w:hint="eastAsia" w:ascii="宋体" w:hAnsi="宋体" w:cs="宋体"/>
              </w:rPr>
            </w:pPr>
            <w:r>
              <w:rPr>
                <w:rFonts w:hint="eastAsia" w:ascii="宋体" w:hAnsi="宋体" w:eastAsia="宋体" w:cs="宋体"/>
                <w:sz w:val="18"/>
              </w:rPr>
              <w:t>A1～A5</w:t>
            </w:r>
          </w:p>
        </w:tc>
        <w:tc>
          <w:tcPr>
            <w:tcW w:w="987" w:type="pct"/>
            <w:tcBorders>
              <w:tl2br w:val="nil"/>
              <w:tr2bl w:val="nil"/>
            </w:tcBorders>
            <w:tcMar>
              <w:top w:w="70" w:type="dxa"/>
              <w:left w:w="70" w:type="dxa"/>
              <w:bottom w:w="70" w:type="dxa"/>
              <w:right w:w="70" w:type="dxa"/>
            </w:tcMar>
            <w:vAlign w:val="center"/>
          </w:tcPr>
          <w:p w14:paraId="0E33BC8D">
            <w:pPr>
              <w:pStyle w:val="39"/>
              <w:widowControl w:val="0"/>
              <w:rPr>
                <w:rFonts w:hint="eastAsia" w:ascii="宋体" w:hAnsi="宋体" w:cs="宋体"/>
              </w:rPr>
            </w:pPr>
          </w:p>
        </w:tc>
        <w:tc>
          <w:tcPr>
            <w:tcW w:w="722" w:type="pct"/>
            <w:tcBorders>
              <w:tl2br w:val="nil"/>
              <w:tr2bl w:val="nil"/>
            </w:tcBorders>
            <w:tcMar>
              <w:top w:w="70" w:type="dxa"/>
              <w:left w:w="70" w:type="dxa"/>
              <w:bottom w:w="70" w:type="dxa"/>
              <w:right w:w="70" w:type="dxa"/>
            </w:tcMar>
            <w:vAlign w:val="center"/>
          </w:tcPr>
          <w:p w14:paraId="0E33BC8E">
            <w:pPr>
              <w:pStyle w:val="39"/>
              <w:widowControl w:val="0"/>
              <w:rPr>
                <w:rFonts w:hint="eastAsia" w:ascii="宋体" w:hAnsi="宋体" w:cs="宋体"/>
              </w:rPr>
            </w:pPr>
          </w:p>
        </w:tc>
        <w:tc>
          <w:tcPr>
            <w:tcW w:w="441" w:type="pct"/>
            <w:tcBorders>
              <w:tl2br w:val="nil"/>
              <w:tr2bl w:val="nil"/>
            </w:tcBorders>
            <w:tcMar>
              <w:top w:w="70" w:type="dxa"/>
              <w:left w:w="70" w:type="dxa"/>
              <w:bottom w:w="70" w:type="dxa"/>
              <w:right w:w="70" w:type="dxa"/>
            </w:tcMar>
            <w:vAlign w:val="center"/>
          </w:tcPr>
          <w:p w14:paraId="0E33BC8F">
            <w:pPr>
              <w:pStyle w:val="39"/>
              <w:widowControl w:val="0"/>
              <w:rPr>
                <w:rFonts w:hint="eastAsia" w:ascii="宋体" w:hAnsi="宋体" w:cs="宋体"/>
              </w:rPr>
            </w:pPr>
          </w:p>
        </w:tc>
        <w:tc>
          <w:tcPr>
            <w:tcW w:w="626" w:type="pct"/>
            <w:tcBorders>
              <w:tl2br w:val="nil"/>
              <w:tr2bl w:val="nil"/>
            </w:tcBorders>
            <w:tcMar>
              <w:top w:w="70" w:type="dxa"/>
              <w:left w:w="70" w:type="dxa"/>
              <w:bottom w:w="70" w:type="dxa"/>
              <w:right w:w="70" w:type="dxa"/>
            </w:tcMar>
            <w:vAlign w:val="center"/>
          </w:tcPr>
          <w:p w14:paraId="0E33BC90">
            <w:pPr>
              <w:pStyle w:val="39"/>
              <w:widowControl w:val="0"/>
              <w:rPr>
                <w:rFonts w:hint="eastAsia" w:ascii="宋体" w:hAnsi="宋体" w:cs="宋体"/>
              </w:rPr>
            </w:pPr>
          </w:p>
        </w:tc>
        <w:tc>
          <w:tcPr>
            <w:tcW w:w="842" w:type="pct"/>
            <w:tcBorders>
              <w:tl2br w:val="nil"/>
              <w:tr2bl w:val="nil"/>
            </w:tcBorders>
            <w:tcMar>
              <w:top w:w="70" w:type="dxa"/>
              <w:left w:w="70" w:type="dxa"/>
              <w:bottom w:w="70" w:type="dxa"/>
              <w:right w:w="70" w:type="dxa"/>
            </w:tcMar>
            <w:vAlign w:val="center"/>
          </w:tcPr>
          <w:p w14:paraId="0E33BC91">
            <w:pPr>
              <w:pStyle w:val="39"/>
              <w:widowControl w:val="0"/>
              <w:rPr>
                <w:rFonts w:hint="eastAsia" w:ascii="宋体" w:hAnsi="宋体" w:cs="宋体"/>
              </w:rPr>
            </w:pPr>
            <w:r>
              <w:rPr>
                <w:rFonts w:hint="eastAsia" w:ascii="宋体" w:hAnsi="宋体" w:eastAsia="宋体" w:cs="宋体"/>
                <w:sz w:val="18"/>
              </w:rPr>
              <w:t>□通过　□整改</w:t>
            </w:r>
          </w:p>
        </w:tc>
      </w:tr>
      <w:tr w14:paraId="0E33BC9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384" w:type="pct"/>
            <w:tcBorders>
              <w:tl2br w:val="nil"/>
              <w:tr2bl w:val="nil"/>
            </w:tcBorders>
            <w:tcMar>
              <w:top w:w="70" w:type="dxa"/>
              <w:left w:w="70" w:type="dxa"/>
              <w:bottom w:w="70" w:type="dxa"/>
              <w:right w:w="70" w:type="dxa"/>
            </w:tcMar>
            <w:vAlign w:val="center"/>
          </w:tcPr>
          <w:p w14:paraId="0E33BC93">
            <w:pPr>
              <w:pStyle w:val="39"/>
              <w:widowControl w:val="0"/>
              <w:rPr>
                <w:rFonts w:hint="eastAsia" w:ascii="宋体" w:hAnsi="宋体" w:cs="宋体"/>
              </w:rPr>
            </w:pPr>
            <w:r>
              <w:rPr>
                <w:rFonts w:hint="eastAsia" w:ascii="宋体" w:hAnsi="宋体" w:eastAsia="宋体" w:cs="宋体"/>
                <w:sz w:val="18"/>
              </w:rPr>
              <w:t>强度</w:t>
            </w:r>
          </w:p>
        </w:tc>
        <w:tc>
          <w:tcPr>
            <w:tcW w:w="995" w:type="pct"/>
            <w:tcBorders>
              <w:tl2br w:val="nil"/>
              <w:tr2bl w:val="nil"/>
            </w:tcBorders>
            <w:tcMar>
              <w:top w:w="70" w:type="dxa"/>
              <w:left w:w="70" w:type="dxa"/>
              <w:bottom w:w="70" w:type="dxa"/>
              <w:right w:w="70" w:type="dxa"/>
            </w:tcMar>
            <w:vAlign w:val="center"/>
          </w:tcPr>
          <w:p w14:paraId="0E33BC94">
            <w:pPr>
              <w:pStyle w:val="39"/>
              <w:widowControl w:val="0"/>
              <w:rPr>
                <w:rFonts w:hint="eastAsia" w:ascii="宋体" w:hAnsi="宋体" w:cs="宋体"/>
              </w:rPr>
            </w:pPr>
            <w:r>
              <w:rPr>
                <w:rFonts w:hint="eastAsia" w:ascii="宋体" w:hAnsi="宋体" w:eastAsia="宋体" w:cs="宋体"/>
                <w:sz w:val="18"/>
              </w:rPr>
              <w:t>单位体积碳排放强度</w:t>
            </w:r>
          </w:p>
        </w:tc>
        <w:tc>
          <w:tcPr>
            <w:tcW w:w="987" w:type="pct"/>
            <w:tcBorders>
              <w:tl2br w:val="nil"/>
              <w:tr2bl w:val="nil"/>
            </w:tcBorders>
            <w:tcMar>
              <w:top w:w="70" w:type="dxa"/>
              <w:left w:w="70" w:type="dxa"/>
              <w:bottom w:w="70" w:type="dxa"/>
              <w:right w:w="70" w:type="dxa"/>
            </w:tcMar>
            <w:vAlign w:val="center"/>
          </w:tcPr>
          <w:p w14:paraId="0E33BC95">
            <w:pPr>
              <w:pStyle w:val="39"/>
              <w:widowControl w:val="0"/>
              <w:rPr>
                <w:rFonts w:hint="eastAsia" w:ascii="宋体" w:hAnsi="宋体" w:cs="宋体"/>
              </w:rPr>
            </w:pPr>
            <w:r>
              <w:rPr>
                <w:rFonts w:hint="eastAsia" w:ascii="宋体" w:hAnsi="宋体" w:eastAsia="宋体" w:cs="宋体"/>
                <w:sz w:val="18"/>
              </w:rPr>
              <w:t>总排放量/总体积</w:t>
            </w:r>
          </w:p>
        </w:tc>
        <w:tc>
          <w:tcPr>
            <w:tcW w:w="722" w:type="pct"/>
            <w:tcBorders>
              <w:tl2br w:val="nil"/>
              <w:tr2bl w:val="nil"/>
            </w:tcBorders>
            <w:tcMar>
              <w:top w:w="70" w:type="dxa"/>
              <w:left w:w="70" w:type="dxa"/>
              <w:bottom w:w="70" w:type="dxa"/>
              <w:right w:w="70" w:type="dxa"/>
            </w:tcMar>
            <w:vAlign w:val="center"/>
          </w:tcPr>
          <w:p w14:paraId="0E33BC96">
            <w:pPr>
              <w:pStyle w:val="39"/>
              <w:widowControl w:val="0"/>
              <w:rPr>
                <w:rFonts w:hint="eastAsia" w:ascii="宋体" w:hAnsi="宋体" w:cs="宋体"/>
              </w:rPr>
            </w:pPr>
            <w:r>
              <w:rPr>
                <w:rFonts w:hint="eastAsia" w:ascii="宋体" w:hAnsi="宋体" w:eastAsia="宋体" w:cs="宋体"/>
                <w:sz w:val="18"/>
              </w:rPr>
              <w:t>　　　　</w:t>
            </w:r>
          </w:p>
        </w:tc>
        <w:tc>
          <w:tcPr>
            <w:tcW w:w="441" w:type="pct"/>
            <w:tcBorders>
              <w:tl2br w:val="nil"/>
              <w:tr2bl w:val="nil"/>
            </w:tcBorders>
            <w:tcMar>
              <w:top w:w="70" w:type="dxa"/>
              <w:left w:w="70" w:type="dxa"/>
              <w:bottom w:w="70" w:type="dxa"/>
              <w:right w:w="70" w:type="dxa"/>
            </w:tcMar>
            <w:vAlign w:val="center"/>
          </w:tcPr>
          <w:p w14:paraId="0E33BC97">
            <w:pPr>
              <w:pStyle w:val="39"/>
              <w:widowControl w:val="0"/>
              <w:rPr>
                <w:rFonts w:hint="eastAsia" w:ascii="宋体" w:hAnsi="宋体" w:cs="宋体"/>
              </w:rPr>
            </w:pPr>
            <w:r>
              <w:rPr>
                <w:rFonts w:hint="eastAsia" w:ascii="宋体" w:hAnsi="宋体" w:eastAsia="宋体" w:cs="宋体"/>
                <w:sz w:val="18"/>
              </w:rPr>
              <w:t>—</w:t>
            </w:r>
          </w:p>
        </w:tc>
        <w:tc>
          <w:tcPr>
            <w:tcW w:w="626" w:type="pct"/>
            <w:tcBorders>
              <w:tl2br w:val="nil"/>
              <w:tr2bl w:val="nil"/>
            </w:tcBorders>
            <w:tcMar>
              <w:top w:w="70" w:type="dxa"/>
              <w:left w:w="70" w:type="dxa"/>
              <w:bottom w:w="70" w:type="dxa"/>
              <w:right w:w="70" w:type="dxa"/>
            </w:tcMar>
            <w:vAlign w:val="center"/>
          </w:tcPr>
          <w:p w14:paraId="0E33BC98">
            <w:pPr>
              <w:pStyle w:val="39"/>
              <w:widowControl w:val="0"/>
              <w:rPr>
                <w:rFonts w:hint="eastAsia" w:ascii="宋体" w:hAnsi="宋体" w:cs="宋体"/>
              </w:rPr>
            </w:pPr>
            <w:r>
              <w:rPr>
                <w:rFonts w:hint="eastAsia" w:ascii="宋体" w:hAnsi="宋体" w:eastAsia="宋体" w:cs="宋体"/>
                <w:sz w:val="18"/>
              </w:rPr>
              <w:t>—</w:t>
            </w:r>
          </w:p>
        </w:tc>
        <w:tc>
          <w:tcPr>
            <w:tcW w:w="842" w:type="pct"/>
            <w:tcBorders>
              <w:tl2br w:val="nil"/>
              <w:tr2bl w:val="nil"/>
            </w:tcBorders>
            <w:tcMar>
              <w:top w:w="70" w:type="dxa"/>
              <w:left w:w="70" w:type="dxa"/>
              <w:bottom w:w="70" w:type="dxa"/>
              <w:right w:w="70" w:type="dxa"/>
            </w:tcMar>
            <w:vAlign w:val="center"/>
          </w:tcPr>
          <w:p w14:paraId="0E33BC99">
            <w:pPr>
              <w:pStyle w:val="39"/>
              <w:widowControl w:val="0"/>
              <w:rPr>
                <w:rFonts w:hint="eastAsia" w:ascii="宋体" w:hAnsi="宋体" w:cs="宋体"/>
              </w:rPr>
            </w:pPr>
            <w:r>
              <w:rPr>
                <w:rFonts w:hint="eastAsia" w:ascii="宋体" w:hAnsi="宋体" w:eastAsia="宋体" w:cs="宋体"/>
                <w:sz w:val="18"/>
              </w:rPr>
              <w:t>□通过　□整改</w:t>
            </w:r>
          </w:p>
        </w:tc>
      </w:tr>
    </w:tbl>
    <w:p w14:paraId="713998C1">
      <w:pPr>
        <w:bidi w:val="0"/>
        <w:rPr>
          <w:rFonts w:hint="eastAsia"/>
        </w:rPr>
      </w:pPr>
    </w:p>
    <w:p w14:paraId="65E6C840">
      <w:pPr>
        <w:bidi w:val="0"/>
        <w:rPr>
          <w:rFonts w:hint="eastAsia"/>
        </w:rPr>
      </w:pPr>
    </w:p>
    <w:p w14:paraId="2F8395A4">
      <w:pPr>
        <w:bidi w:val="0"/>
        <w:rPr>
          <w:rFonts w:hint="eastAsia"/>
        </w:rPr>
      </w:pPr>
    </w:p>
    <w:p w14:paraId="70D7236C">
      <w:pPr>
        <w:bidi w:val="0"/>
        <w:rPr>
          <w:rFonts w:hint="eastAsia"/>
        </w:rPr>
      </w:pPr>
    </w:p>
    <w:p w14:paraId="0E33BC9B">
      <w:pPr>
        <w:pStyle w:val="46"/>
        <w:numPr>
          <w:ilvl w:val="1"/>
          <w:numId w:val="0"/>
        </w:numPr>
        <w:rPr>
          <w:rFonts w:hint="eastAsia" w:ascii="黑体"/>
          <w:b w:val="0"/>
        </w:rPr>
      </w:pPr>
      <w:r>
        <w:rPr>
          <w:rFonts w:hint="eastAsia" w:ascii="黑体"/>
          <w:b w:val="0"/>
          <w:snapToGrid/>
        </w:rPr>
        <w:t>C.3　</w:t>
      </w:r>
      <w:r>
        <w:rPr>
          <w:rFonts w:hint="eastAsia" w:ascii="黑体"/>
          <w:b w:val="0"/>
        </w:rPr>
        <w:t>活动数据复核分表</w:t>
      </w:r>
    </w:p>
    <w:p w14:paraId="0E33BC9C">
      <w:pPr>
        <w:pStyle w:val="40"/>
        <w:numPr>
          <w:ilvl w:val="1"/>
          <w:numId w:val="0"/>
        </w:numPr>
        <w:rPr>
          <w:rFonts w:hint="eastAsia"/>
          <w:b w:val="0"/>
          <w:bCs w:val="0"/>
        </w:rPr>
      </w:pPr>
      <w:r>
        <w:rPr>
          <w:rFonts w:hint="eastAsia" w:ascii="黑体" w:eastAsia="黑体"/>
          <w:b w:val="0"/>
          <w:bCs w:val="0"/>
        </w:rPr>
        <w:t>表C.3　活动数据及原始凭证核验表</w:t>
      </w:r>
    </w:p>
    <w:tbl>
      <w:tblPr>
        <w:tblStyle w:val="10"/>
        <w:tblW w:w="9206" w:type="dxa"/>
        <w:tblInd w:w="0" w:type="dxa"/>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autofit"/>
        <w:tblCellMar>
          <w:top w:w="0" w:type="dxa"/>
          <w:left w:w="108" w:type="dxa"/>
          <w:bottom w:w="0" w:type="dxa"/>
          <w:right w:w="108" w:type="dxa"/>
        </w:tblCellMar>
      </w:tblPr>
      <w:tblGrid>
        <w:gridCol w:w="668"/>
        <w:gridCol w:w="910"/>
        <w:gridCol w:w="1149"/>
        <w:gridCol w:w="669"/>
        <w:gridCol w:w="1150"/>
        <w:gridCol w:w="1871"/>
        <w:gridCol w:w="2789"/>
      </w:tblGrid>
      <w:tr w14:paraId="0E33BCA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blHeader/>
        </w:trPr>
        <w:tc>
          <w:tcPr>
            <w:tcW w:w="0" w:type="auto"/>
            <w:tcBorders>
              <w:tl2br w:val="nil"/>
              <w:tr2bl w:val="nil"/>
            </w:tcBorders>
            <w:tcMar>
              <w:top w:w="70" w:type="dxa"/>
              <w:left w:w="70" w:type="dxa"/>
              <w:bottom w:w="70" w:type="dxa"/>
              <w:right w:w="70" w:type="dxa"/>
            </w:tcMar>
            <w:vAlign w:val="center"/>
          </w:tcPr>
          <w:p w14:paraId="0E33BC9D">
            <w:pPr>
              <w:pStyle w:val="39"/>
              <w:widowControl w:val="0"/>
              <w:rPr>
                <w:rFonts w:hint="eastAsia" w:ascii="宋体" w:hAnsi="宋体" w:cs="宋体"/>
              </w:rPr>
            </w:pPr>
            <w:r>
              <w:rPr>
                <w:rFonts w:hint="eastAsia" w:ascii="宋体" w:hAnsi="宋体" w:eastAsia="宋体" w:cs="宋体"/>
                <w:b w:val="0"/>
                <w:sz w:val="18"/>
              </w:rPr>
              <w:t>模块</w:t>
            </w:r>
          </w:p>
        </w:tc>
        <w:tc>
          <w:tcPr>
            <w:tcW w:w="0" w:type="auto"/>
            <w:tcBorders>
              <w:tl2br w:val="nil"/>
              <w:tr2bl w:val="nil"/>
            </w:tcBorders>
            <w:tcMar>
              <w:top w:w="70" w:type="dxa"/>
              <w:left w:w="70" w:type="dxa"/>
              <w:bottom w:w="70" w:type="dxa"/>
              <w:right w:w="70" w:type="dxa"/>
            </w:tcMar>
            <w:vAlign w:val="center"/>
          </w:tcPr>
          <w:p w14:paraId="0E33BC9E">
            <w:pPr>
              <w:pStyle w:val="39"/>
              <w:widowControl w:val="0"/>
              <w:rPr>
                <w:rFonts w:hint="eastAsia" w:ascii="宋体" w:hAnsi="宋体" w:cs="宋体"/>
              </w:rPr>
            </w:pPr>
            <w:r>
              <w:rPr>
                <w:rFonts w:hint="eastAsia" w:ascii="宋体" w:hAnsi="宋体" w:eastAsia="宋体" w:cs="宋体"/>
                <w:b w:val="0"/>
                <w:sz w:val="18"/>
              </w:rPr>
              <w:t>数据项</w:t>
            </w:r>
          </w:p>
        </w:tc>
        <w:tc>
          <w:tcPr>
            <w:tcW w:w="0" w:type="auto"/>
            <w:tcBorders>
              <w:tl2br w:val="nil"/>
              <w:tr2bl w:val="nil"/>
            </w:tcBorders>
            <w:tcMar>
              <w:top w:w="70" w:type="dxa"/>
              <w:left w:w="70" w:type="dxa"/>
              <w:bottom w:w="70" w:type="dxa"/>
              <w:right w:w="70" w:type="dxa"/>
            </w:tcMar>
            <w:vAlign w:val="center"/>
          </w:tcPr>
          <w:p w14:paraId="0E33BC9F">
            <w:pPr>
              <w:pStyle w:val="39"/>
              <w:widowControl w:val="0"/>
              <w:rPr>
                <w:rFonts w:hint="eastAsia" w:ascii="宋体" w:hAnsi="宋体" w:cs="宋体"/>
              </w:rPr>
            </w:pPr>
            <w:r>
              <w:rPr>
                <w:rFonts w:hint="eastAsia" w:ascii="宋体" w:hAnsi="宋体" w:eastAsia="宋体" w:cs="宋体"/>
                <w:b w:val="0"/>
                <w:sz w:val="18"/>
              </w:rPr>
              <w:t>活动数据</w:t>
            </w:r>
          </w:p>
        </w:tc>
        <w:tc>
          <w:tcPr>
            <w:tcW w:w="0" w:type="auto"/>
            <w:tcBorders>
              <w:tl2br w:val="nil"/>
              <w:tr2bl w:val="nil"/>
            </w:tcBorders>
            <w:tcMar>
              <w:top w:w="70" w:type="dxa"/>
              <w:left w:w="70" w:type="dxa"/>
              <w:bottom w:w="70" w:type="dxa"/>
              <w:right w:w="70" w:type="dxa"/>
            </w:tcMar>
            <w:vAlign w:val="center"/>
          </w:tcPr>
          <w:p w14:paraId="0E33BCA0">
            <w:pPr>
              <w:pStyle w:val="39"/>
              <w:widowControl w:val="0"/>
              <w:rPr>
                <w:rFonts w:hint="eastAsia" w:ascii="宋体" w:hAnsi="宋体" w:cs="宋体"/>
              </w:rPr>
            </w:pPr>
            <w:r>
              <w:rPr>
                <w:rFonts w:hint="eastAsia" w:ascii="宋体" w:hAnsi="宋体" w:eastAsia="宋体" w:cs="宋体"/>
                <w:b w:val="0"/>
                <w:sz w:val="18"/>
              </w:rPr>
              <w:t>单位</w:t>
            </w:r>
          </w:p>
        </w:tc>
        <w:tc>
          <w:tcPr>
            <w:tcW w:w="0" w:type="auto"/>
            <w:tcBorders>
              <w:tl2br w:val="nil"/>
              <w:tr2bl w:val="nil"/>
            </w:tcBorders>
            <w:tcMar>
              <w:top w:w="70" w:type="dxa"/>
              <w:left w:w="70" w:type="dxa"/>
              <w:bottom w:w="70" w:type="dxa"/>
              <w:right w:w="70" w:type="dxa"/>
            </w:tcMar>
            <w:vAlign w:val="center"/>
          </w:tcPr>
          <w:p w14:paraId="0E33BCA1">
            <w:pPr>
              <w:pStyle w:val="39"/>
              <w:widowControl w:val="0"/>
              <w:rPr>
                <w:rFonts w:hint="eastAsia" w:ascii="宋体" w:hAnsi="宋体" w:cs="宋体"/>
              </w:rPr>
            </w:pPr>
            <w:r>
              <w:rPr>
                <w:rFonts w:hint="eastAsia" w:ascii="宋体" w:hAnsi="宋体" w:eastAsia="宋体" w:cs="宋体"/>
                <w:b w:val="0"/>
                <w:sz w:val="18"/>
              </w:rPr>
              <w:t>数据来源</w:t>
            </w:r>
          </w:p>
        </w:tc>
        <w:tc>
          <w:tcPr>
            <w:tcW w:w="0" w:type="auto"/>
            <w:tcBorders>
              <w:tl2br w:val="nil"/>
              <w:tr2bl w:val="nil"/>
            </w:tcBorders>
            <w:tcMar>
              <w:top w:w="70" w:type="dxa"/>
              <w:left w:w="70" w:type="dxa"/>
              <w:bottom w:w="70" w:type="dxa"/>
              <w:right w:w="70" w:type="dxa"/>
            </w:tcMar>
            <w:vAlign w:val="center"/>
          </w:tcPr>
          <w:p w14:paraId="0E33BCA2">
            <w:pPr>
              <w:pStyle w:val="39"/>
              <w:widowControl w:val="0"/>
              <w:rPr>
                <w:rFonts w:hint="eastAsia" w:ascii="宋体" w:hAnsi="宋体" w:cs="宋体"/>
              </w:rPr>
            </w:pPr>
            <w:r>
              <w:rPr>
                <w:rFonts w:hint="eastAsia" w:ascii="宋体" w:hAnsi="宋体" w:eastAsia="宋体" w:cs="宋体"/>
                <w:b w:val="0"/>
                <w:sz w:val="18"/>
              </w:rPr>
              <w:t>凭证或台账编号</w:t>
            </w:r>
          </w:p>
        </w:tc>
        <w:tc>
          <w:tcPr>
            <w:tcW w:w="2086" w:type="dxa"/>
            <w:tcBorders>
              <w:tl2br w:val="nil"/>
              <w:tr2bl w:val="nil"/>
            </w:tcBorders>
            <w:tcMar>
              <w:top w:w="70" w:type="dxa"/>
              <w:left w:w="70" w:type="dxa"/>
              <w:bottom w:w="70" w:type="dxa"/>
              <w:right w:w="70" w:type="dxa"/>
            </w:tcMar>
            <w:vAlign w:val="center"/>
          </w:tcPr>
          <w:p w14:paraId="0E33BCA3">
            <w:pPr>
              <w:pStyle w:val="39"/>
              <w:widowControl w:val="0"/>
              <w:rPr>
                <w:rFonts w:hint="eastAsia" w:ascii="宋体" w:hAnsi="宋体" w:cs="宋体"/>
              </w:rPr>
            </w:pPr>
            <w:r>
              <w:rPr>
                <w:rFonts w:hint="eastAsia" w:ascii="宋体" w:hAnsi="宋体" w:eastAsia="宋体" w:cs="宋体"/>
                <w:b w:val="0"/>
                <w:sz w:val="18"/>
              </w:rPr>
              <w:t>复核结果</w:t>
            </w:r>
          </w:p>
        </w:tc>
      </w:tr>
      <w:tr w14:paraId="0E33BCA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A5">
            <w:pPr>
              <w:pStyle w:val="39"/>
              <w:widowControl w:val="0"/>
              <w:rPr>
                <w:rFonts w:hint="eastAsia" w:ascii="宋体" w:hAnsi="宋体" w:cs="宋体"/>
              </w:rPr>
            </w:pPr>
            <w:r>
              <w:rPr>
                <w:rFonts w:hint="eastAsia" w:ascii="宋体" w:hAnsi="宋体" w:eastAsia="宋体" w:cs="宋体"/>
                <w:sz w:val="18"/>
              </w:rPr>
              <w:t>A1</w:t>
            </w:r>
          </w:p>
        </w:tc>
        <w:tc>
          <w:tcPr>
            <w:tcW w:w="0" w:type="auto"/>
            <w:tcBorders>
              <w:tl2br w:val="nil"/>
              <w:tr2bl w:val="nil"/>
            </w:tcBorders>
            <w:tcMar>
              <w:top w:w="70" w:type="dxa"/>
              <w:left w:w="70" w:type="dxa"/>
              <w:bottom w:w="70" w:type="dxa"/>
              <w:right w:w="70" w:type="dxa"/>
            </w:tcMar>
            <w:vAlign w:val="center"/>
          </w:tcPr>
          <w:p w14:paraId="0E33BCA6">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A7">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A8">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A9">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AA">
            <w:pPr>
              <w:pStyle w:val="39"/>
              <w:widowControl w:val="0"/>
              <w:rPr>
                <w:rFonts w:hint="eastAsia" w:ascii="宋体" w:hAnsi="宋体" w:cs="宋体"/>
              </w:rPr>
            </w:pPr>
          </w:p>
        </w:tc>
        <w:tc>
          <w:tcPr>
            <w:tcW w:w="2086" w:type="dxa"/>
            <w:tcBorders>
              <w:tl2br w:val="nil"/>
              <w:tr2bl w:val="nil"/>
            </w:tcBorders>
            <w:tcMar>
              <w:top w:w="70" w:type="dxa"/>
              <w:left w:w="70" w:type="dxa"/>
              <w:bottom w:w="70" w:type="dxa"/>
              <w:right w:w="70" w:type="dxa"/>
            </w:tcMar>
            <w:vAlign w:val="center"/>
          </w:tcPr>
          <w:p w14:paraId="0E33BCAB">
            <w:pPr>
              <w:pStyle w:val="39"/>
              <w:widowControl w:val="0"/>
              <w:rPr>
                <w:rFonts w:hint="eastAsia" w:ascii="宋体" w:hAnsi="宋体" w:cs="宋体"/>
              </w:rPr>
            </w:pPr>
            <w:r>
              <w:rPr>
                <w:rFonts w:hint="eastAsia" w:ascii="宋体" w:hAnsi="宋体" w:eastAsia="宋体" w:cs="宋体"/>
                <w:sz w:val="18"/>
              </w:rPr>
              <w:t>□通过　□整改</w:t>
            </w:r>
          </w:p>
        </w:tc>
      </w:tr>
      <w:tr w14:paraId="0E33BCB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AD">
            <w:pPr>
              <w:pStyle w:val="39"/>
              <w:widowControl w:val="0"/>
              <w:rPr>
                <w:rFonts w:hint="eastAsia" w:ascii="宋体" w:hAnsi="宋体" w:cs="宋体"/>
              </w:rPr>
            </w:pPr>
            <w:r>
              <w:rPr>
                <w:rFonts w:hint="eastAsia" w:ascii="宋体" w:hAnsi="宋体" w:eastAsia="宋体" w:cs="宋体"/>
                <w:sz w:val="18"/>
              </w:rPr>
              <w:t>A2</w:t>
            </w:r>
          </w:p>
        </w:tc>
        <w:tc>
          <w:tcPr>
            <w:tcW w:w="0" w:type="auto"/>
            <w:tcBorders>
              <w:tl2br w:val="nil"/>
              <w:tr2bl w:val="nil"/>
            </w:tcBorders>
            <w:tcMar>
              <w:top w:w="70" w:type="dxa"/>
              <w:left w:w="70" w:type="dxa"/>
              <w:bottom w:w="70" w:type="dxa"/>
              <w:right w:w="70" w:type="dxa"/>
            </w:tcMar>
            <w:vAlign w:val="center"/>
          </w:tcPr>
          <w:p w14:paraId="0E33BCAE">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AF">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B0">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B1">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B2">
            <w:pPr>
              <w:pStyle w:val="39"/>
              <w:widowControl w:val="0"/>
              <w:rPr>
                <w:rFonts w:hint="eastAsia" w:ascii="宋体" w:hAnsi="宋体" w:cs="宋体"/>
              </w:rPr>
            </w:pPr>
          </w:p>
        </w:tc>
        <w:tc>
          <w:tcPr>
            <w:tcW w:w="2086" w:type="dxa"/>
            <w:tcBorders>
              <w:tl2br w:val="nil"/>
              <w:tr2bl w:val="nil"/>
            </w:tcBorders>
            <w:tcMar>
              <w:top w:w="70" w:type="dxa"/>
              <w:left w:w="70" w:type="dxa"/>
              <w:bottom w:w="70" w:type="dxa"/>
              <w:right w:w="70" w:type="dxa"/>
            </w:tcMar>
            <w:vAlign w:val="center"/>
          </w:tcPr>
          <w:p w14:paraId="0E33BCB3">
            <w:pPr>
              <w:pStyle w:val="39"/>
              <w:widowControl w:val="0"/>
              <w:rPr>
                <w:rFonts w:hint="eastAsia" w:ascii="宋体" w:hAnsi="宋体" w:cs="宋体"/>
              </w:rPr>
            </w:pPr>
            <w:r>
              <w:rPr>
                <w:rFonts w:hint="eastAsia" w:ascii="宋体" w:hAnsi="宋体" w:eastAsia="宋体" w:cs="宋体"/>
                <w:sz w:val="18"/>
              </w:rPr>
              <w:t>□通过　□整改</w:t>
            </w:r>
          </w:p>
        </w:tc>
      </w:tr>
      <w:tr w14:paraId="0E33BCB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B5">
            <w:pPr>
              <w:pStyle w:val="39"/>
              <w:widowControl w:val="0"/>
              <w:rPr>
                <w:rFonts w:hint="eastAsia" w:ascii="宋体" w:hAnsi="宋体" w:cs="宋体"/>
              </w:rPr>
            </w:pPr>
            <w:r>
              <w:rPr>
                <w:rFonts w:hint="eastAsia" w:ascii="宋体" w:hAnsi="宋体" w:eastAsia="宋体" w:cs="宋体"/>
                <w:sz w:val="18"/>
              </w:rPr>
              <w:t>A3</w:t>
            </w:r>
          </w:p>
        </w:tc>
        <w:tc>
          <w:tcPr>
            <w:tcW w:w="0" w:type="auto"/>
            <w:tcBorders>
              <w:tl2br w:val="nil"/>
              <w:tr2bl w:val="nil"/>
            </w:tcBorders>
            <w:tcMar>
              <w:top w:w="70" w:type="dxa"/>
              <w:left w:w="70" w:type="dxa"/>
              <w:bottom w:w="70" w:type="dxa"/>
              <w:right w:w="70" w:type="dxa"/>
            </w:tcMar>
            <w:vAlign w:val="center"/>
          </w:tcPr>
          <w:p w14:paraId="0E33BCB6">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B7">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B8">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B9">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BA">
            <w:pPr>
              <w:pStyle w:val="39"/>
              <w:widowControl w:val="0"/>
              <w:rPr>
                <w:rFonts w:hint="eastAsia" w:ascii="宋体" w:hAnsi="宋体" w:cs="宋体"/>
              </w:rPr>
            </w:pPr>
          </w:p>
        </w:tc>
        <w:tc>
          <w:tcPr>
            <w:tcW w:w="2086" w:type="dxa"/>
            <w:tcBorders>
              <w:tl2br w:val="nil"/>
              <w:tr2bl w:val="nil"/>
            </w:tcBorders>
            <w:tcMar>
              <w:top w:w="70" w:type="dxa"/>
              <w:left w:w="70" w:type="dxa"/>
              <w:bottom w:w="70" w:type="dxa"/>
              <w:right w:w="70" w:type="dxa"/>
            </w:tcMar>
            <w:vAlign w:val="center"/>
          </w:tcPr>
          <w:p w14:paraId="0E33BCBB">
            <w:pPr>
              <w:pStyle w:val="39"/>
              <w:widowControl w:val="0"/>
              <w:rPr>
                <w:rFonts w:hint="eastAsia" w:ascii="宋体" w:hAnsi="宋体" w:cs="宋体"/>
              </w:rPr>
            </w:pPr>
            <w:r>
              <w:rPr>
                <w:rFonts w:hint="eastAsia" w:ascii="宋体" w:hAnsi="宋体" w:eastAsia="宋体" w:cs="宋体"/>
                <w:sz w:val="18"/>
              </w:rPr>
              <w:t>□通过　□整改</w:t>
            </w:r>
          </w:p>
        </w:tc>
      </w:tr>
      <w:tr w14:paraId="0E33BCC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BD">
            <w:pPr>
              <w:pStyle w:val="39"/>
              <w:widowControl w:val="0"/>
              <w:rPr>
                <w:rFonts w:hint="eastAsia" w:ascii="宋体" w:hAnsi="宋体" w:cs="宋体"/>
              </w:rPr>
            </w:pPr>
            <w:r>
              <w:rPr>
                <w:rFonts w:hint="eastAsia" w:ascii="宋体" w:hAnsi="宋体" w:eastAsia="宋体" w:cs="宋体"/>
                <w:sz w:val="18"/>
              </w:rPr>
              <w:t>A4</w:t>
            </w:r>
          </w:p>
        </w:tc>
        <w:tc>
          <w:tcPr>
            <w:tcW w:w="0" w:type="auto"/>
            <w:tcBorders>
              <w:tl2br w:val="nil"/>
              <w:tr2bl w:val="nil"/>
            </w:tcBorders>
            <w:tcMar>
              <w:top w:w="70" w:type="dxa"/>
              <w:left w:w="70" w:type="dxa"/>
              <w:bottom w:w="70" w:type="dxa"/>
              <w:right w:w="70" w:type="dxa"/>
            </w:tcMar>
            <w:vAlign w:val="center"/>
          </w:tcPr>
          <w:p w14:paraId="0E33BCBE">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BF">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C0">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C1">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C2">
            <w:pPr>
              <w:pStyle w:val="39"/>
              <w:widowControl w:val="0"/>
              <w:rPr>
                <w:rFonts w:hint="eastAsia" w:ascii="宋体" w:hAnsi="宋体" w:cs="宋体"/>
              </w:rPr>
            </w:pPr>
          </w:p>
        </w:tc>
        <w:tc>
          <w:tcPr>
            <w:tcW w:w="2086" w:type="dxa"/>
            <w:tcBorders>
              <w:tl2br w:val="nil"/>
              <w:tr2bl w:val="nil"/>
            </w:tcBorders>
            <w:tcMar>
              <w:top w:w="70" w:type="dxa"/>
              <w:left w:w="70" w:type="dxa"/>
              <w:bottom w:w="70" w:type="dxa"/>
              <w:right w:w="70" w:type="dxa"/>
            </w:tcMar>
            <w:vAlign w:val="center"/>
          </w:tcPr>
          <w:p w14:paraId="0E33BCC3">
            <w:pPr>
              <w:pStyle w:val="39"/>
              <w:widowControl w:val="0"/>
              <w:rPr>
                <w:rFonts w:hint="eastAsia" w:ascii="宋体" w:hAnsi="宋体" w:cs="宋体"/>
              </w:rPr>
            </w:pPr>
            <w:r>
              <w:rPr>
                <w:rFonts w:hint="eastAsia" w:ascii="宋体" w:hAnsi="宋体" w:eastAsia="宋体" w:cs="宋体"/>
                <w:sz w:val="18"/>
              </w:rPr>
              <w:t>□通过　□整改</w:t>
            </w:r>
          </w:p>
        </w:tc>
      </w:tr>
      <w:tr w14:paraId="0E33BCC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C5">
            <w:pPr>
              <w:pStyle w:val="39"/>
              <w:widowControl w:val="0"/>
              <w:rPr>
                <w:rFonts w:hint="eastAsia" w:ascii="宋体" w:hAnsi="宋体" w:cs="宋体"/>
              </w:rPr>
            </w:pPr>
            <w:r>
              <w:rPr>
                <w:rFonts w:hint="eastAsia" w:ascii="宋体" w:hAnsi="宋体" w:eastAsia="宋体" w:cs="宋体"/>
                <w:sz w:val="18"/>
              </w:rPr>
              <w:t>A5</w:t>
            </w:r>
          </w:p>
        </w:tc>
        <w:tc>
          <w:tcPr>
            <w:tcW w:w="0" w:type="auto"/>
            <w:tcBorders>
              <w:tl2br w:val="nil"/>
              <w:tr2bl w:val="nil"/>
            </w:tcBorders>
            <w:tcMar>
              <w:top w:w="70" w:type="dxa"/>
              <w:left w:w="70" w:type="dxa"/>
              <w:bottom w:w="70" w:type="dxa"/>
              <w:right w:w="70" w:type="dxa"/>
            </w:tcMar>
            <w:vAlign w:val="center"/>
          </w:tcPr>
          <w:p w14:paraId="0E33BCC6">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C7">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C8">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C9">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CA">
            <w:pPr>
              <w:pStyle w:val="39"/>
              <w:widowControl w:val="0"/>
              <w:rPr>
                <w:rFonts w:hint="eastAsia" w:ascii="宋体" w:hAnsi="宋体" w:cs="宋体"/>
              </w:rPr>
            </w:pPr>
          </w:p>
        </w:tc>
        <w:tc>
          <w:tcPr>
            <w:tcW w:w="2086" w:type="dxa"/>
            <w:tcBorders>
              <w:tl2br w:val="nil"/>
              <w:tr2bl w:val="nil"/>
            </w:tcBorders>
            <w:tcMar>
              <w:top w:w="70" w:type="dxa"/>
              <w:left w:w="70" w:type="dxa"/>
              <w:bottom w:w="70" w:type="dxa"/>
              <w:right w:w="70" w:type="dxa"/>
            </w:tcMar>
            <w:vAlign w:val="center"/>
          </w:tcPr>
          <w:p w14:paraId="0E33BCCB">
            <w:pPr>
              <w:pStyle w:val="39"/>
              <w:widowControl w:val="0"/>
              <w:rPr>
                <w:rFonts w:hint="eastAsia" w:ascii="宋体" w:hAnsi="宋体" w:cs="宋体"/>
              </w:rPr>
            </w:pPr>
            <w:r>
              <w:rPr>
                <w:rFonts w:hint="eastAsia" w:ascii="宋体" w:hAnsi="宋体" w:eastAsia="宋体" w:cs="宋体"/>
                <w:sz w:val="18"/>
              </w:rPr>
              <w:t>□通过　□整改</w:t>
            </w:r>
          </w:p>
        </w:tc>
      </w:tr>
      <w:tr w14:paraId="0E33BCC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9206" w:type="dxa"/>
            <w:gridSpan w:val="7"/>
            <w:tcBorders>
              <w:tl2br w:val="nil"/>
              <w:tr2bl w:val="nil"/>
            </w:tcBorders>
            <w:tcMar>
              <w:top w:w="70" w:type="dxa"/>
              <w:left w:w="70" w:type="dxa"/>
              <w:bottom w:w="70" w:type="dxa"/>
              <w:right w:w="70" w:type="dxa"/>
            </w:tcMar>
            <w:vAlign w:val="center"/>
          </w:tcPr>
          <w:p w14:paraId="0E33BCCD">
            <w:pPr>
              <w:pStyle w:val="34"/>
              <w:rPr>
                <w:rFonts w:hint="eastAsia" w:ascii="宋体" w:hAnsi="宋体" w:eastAsia="宋体" w:cs="宋体"/>
              </w:rPr>
            </w:pPr>
            <w:r>
              <w:rPr>
                <w:rFonts w:hint="eastAsia" w:ascii="宋体" w:hAnsi="宋体" w:eastAsia="宋体" w:cs="宋体"/>
                <w:sz w:val="18"/>
              </w:rPr>
              <w:t>可按材料、能源、运输批次、机械台班或措施项目增加行。</w:t>
            </w:r>
          </w:p>
        </w:tc>
      </w:tr>
    </w:tbl>
    <w:p w14:paraId="0E33BCCF">
      <w:pPr>
        <w:pStyle w:val="46"/>
        <w:numPr>
          <w:ilvl w:val="1"/>
          <w:numId w:val="0"/>
        </w:numPr>
        <w:rPr>
          <w:rFonts w:hint="eastAsia"/>
        </w:rPr>
      </w:pPr>
      <w:r>
        <w:rPr>
          <w:rFonts w:hint="eastAsia" w:ascii="黑体"/>
          <w:b w:val="0"/>
          <w:snapToGrid/>
        </w:rPr>
        <w:t>C.4　</w:t>
      </w:r>
      <w:r>
        <w:rPr>
          <w:rFonts w:hint="eastAsia" w:ascii="黑体"/>
          <w:b w:val="0"/>
        </w:rPr>
        <w:t>碳排放因子与核算结果复核分表</w:t>
      </w:r>
    </w:p>
    <w:p w14:paraId="0E33BCD0">
      <w:pPr>
        <w:pStyle w:val="40"/>
        <w:numPr>
          <w:ilvl w:val="1"/>
          <w:numId w:val="0"/>
        </w:numPr>
        <w:rPr>
          <w:rFonts w:hint="eastAsia"/>
          <w:b w:val="0"/>
          <w:bCs w:val="0"/>
        </w:rPr>
      </w:pPr>
      <w:r>
        <w:rPr>
          <w:rFonts w:hint="eastAsia" w:ascii="黑体" w:eastAsia="黑体"/>
          <w:b w:val="0"/>
          <w:bCs w:val="0"/>
        </w:rPr>
        <w:t>表C.4　碳排放因子适用性及核算结果复核表</w:t>
      </w:r>
    </w:p>
    <w:tbl>
      <w:tblPr>
        <w:tblStyle w:val="10"/>
        <w:tblW w:w="9208" w:type="dxa"/>
        <w:tblInd w:w="0" w:type="dxa"/>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autofit"/>
        <w:tblCellMar>
          <w:top w:w="0" w:type="dxa"/>
          <w:left w:w="108" w:type="dxa"/>
          <w:bottom w:w="0" w:type="dxa"/>
          <w:right w:w="108" w:type="dxa"/>
        </w:tblCellMar>
      </w:tblPr>
      <w:tblGrid>
        <w:gridCol w:w="627"/>
        <w:gridCol w:w="853"/>
        <w:gridCol w:w="1078"/>
        <w:gridCol w:w="1079"/>
        <w:gridCol w:w="1755"/>
        <w:gridCol w:w="1643"/>
        <w:gridCol w:w="2173"/>
      </w:tblGrid>
      <w:tr w14:paraId="0E33BCD8">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blHeader/>
        </w:trPr>
        <w:tc>
          <w:tcPr>
            <w:tcW w:w="0" w:type="auto"/>
            <w:tcBorders>
              <w:bottom w:val="single" w:color="000000" w:sz="8" w:space="0"/>
            </w:tcBorders>
            <w:tcMar>
              <w:top w:w="70" w:type="dxa"/>
              <w:left w:w="70" w:type="dxa"/>
              <w:bottom w:w="70" w:type="dxa"/>
              <w:right w:w="70" w:type="dxa"/>
            </w:tcMar>
            <w:vAlign w:val="center"/>
          </w:tcPr>
          <w:p w14:paraId="0E33BCD1">
            <w:pPr>
              <w:pStyle w:val="39"/>
              <w:widowControl w:val="0"/>
              <w:rPr>
                <w:rFonts w:hint="eastAsia" w:ascii="宋体" w:hAnsi="宋体" w:cs="宋体"/>
              </w:rPr>
            </w:pPr>
            <w:r>
              <w:rPr>
                <w:rFonts w:hint="eastAsia" w:ascii="宋体" w:hAnsi="宋体" w:eastAsia="宋体" w:cs="宋体"/>
                <w:b w:val="0"/>
                <w:sz w:val="18"/>
              </w:rPr>
              <w:t>模块</w:t>
            </w:r>
          </w:p>
        </w:tc>
        <w:tc>
          <w:tcPr>
            <w:tcW w:w="0" w:type="auto"/>
            <w:tcBorders>
              <w:bottom w:val="single" w:color="000000" w:sz="8" w:space="0"/>
            </w:tcBorders>
            <w:tcMar>
              <w:top w:w="70" w:type="dxa"/>
              <w:left w:w="70" w:type="dxa"/>
              <w:bottom w:w="70" w:type="dxa"/>
              <w:right w:w="70" w:type="dxa"/>
            </w:tcMar>
            <w:vAlign w:val="center"/>
          </w:tcPr>
          <w:p w14:paraId="0E33BCD2">
            <w:pPr>
              <w:pStyle w:val="39"/>
              <w:widowControl w:val="0"/>
              <w:rPr>
                <w:rFonts w:hint="eastAsia" w:ascii="宋体" w:hAnsi="宋体" w:cs="宋体"/>
              </w:rPr>
            </w:pPr>
            <w:r>
              <w:rPr>
                <w:rFonts w:hint="eastAsia" w:ascii="宋体" w:hAnsi="宋体" w:eastAsia="宋体" w:cs="宋体"/>
                <w:b w:val="0"/>
                <w:sz w:val="18"/>
              </w:rPr>
              <w:t>数据项</w:t>
            </w:r>
          </w:p>
        </w:tc>
        <w:tc>
          <w:tcPr>
            <w:tcW w:w="0" w:type="auto"/>
            <w:tcBorders>
              <w:bottom w:val="single" w:color="000000" w:sz="8" w:space="0"/>
            </w:tcBorders>
            <w:tcMar>
              <w:top w:w="70" w:type="dxa"/>
              <w:left w:w="70" w:type="dxa"/>
              <w:bottom w:w="70" w:type="dxa"/>
              <w:right w:w="70" w:type="dxa"/>
            </w:tcMar>
            <w:vAlign w:val="center"/>
          </w:tcPr>
          <w:p w14:paraId="0E33BCD3">
            <w:pPr>
              <w:pStyle w:val="39"/>
              <w:widowControl w:val="0"/>
              <w:rPr>
                <w:rFonts w:hint="eastAsia" w:ascii="宋体" w:hAnsi="宋体" w:cs="宋体"/>
              </w:rPr>
            </w:pPr>
            <w:r>
              <w:rPr>
                <w:rFonts w:hint="eastAsia" w:ascii="宋体" w:hAnsi="宋体" w:eastAsia="宋体" w:cs="宋体"/>
                <w:b w:val="0"/>
                <w:sz w:val="18"/>
              </w:rPr>
              <w:t>因子数值</w:t>
            </w:r>
          </w:p>
        </w:tc>
        <w:tc>
          <w:tcPr>
            <w:tcW w:w="0" w:type="auto"/>
            <w:tcBorders>
              <w:bottom w:val="single" w:color="000000" w:sz="8" w:space="0"/>
            </w:tcBorders>
            <w:tcMar>
              <w:top w:w="70" w:type="dxa"/>
              <w:left w:w="70" w:type="dxa"/>
              <w:bottom w:w="70" w:type="dxa"/>
              <w:right w:w="70" w:type="dxa"/>
            </w:tcMar>
            <w:vAlign w:val="center"/>
          </w:tcPr>
          <w:p w14:paraId="0E33BCD4">
            <w:pPr>
              <w:pStyle w:val="39"/>
              <w:widowControl w:val="0"/>
              <w:rPr>
                <w:rFonts w:hint="eastAsia" w:ascii="宋体" w:hAnsi="宋体" w:cs="宋体"/>
              </w:rPr>
            </w:pPr>
            <w:r>
              <w:rPr>
                <w:rFonts w:hint="eastAsia" w:ascii="宋体" w:hAnsi="宋体" w:eastAsia="宋体" w:cs="宋体"/>
                <w:b w:val="0"/>
                <w:sz w:val="18"/>
              </w:rPr>
              <w:t>因子单位</w:t>
            </w:r>
          </w:p>
        </w:tc>
        <w:tc>
          <w:tcPr>
            <w:tcW w:w="0" w:type="auto"/>
            <w:tcBorders>
              <w:bottom w:val="single" w:color="000000" w:sz="8" w:space="0"/>
            </w:tcBorders>
            <w:tcMar>
              <w:top w:w="70" w:type="dxa"/>
              <w:left w:w="70" w:type="dxa"/>
              <w:bottom w:w="70" w:type="dxa"/>
              <w:right w:w="70" w:type="dxa"/>
            </w:tcMar>
            <w:vAlign w:val="center"/>
          </w:tcPr>
          <w:p w14:paraId="0E33BCD5">
            <w:pPr>
              <w:pStyle w:val="39"/>
              <w:widowControl w:val="0"/>
              <w:rPr>
                <w:rFonts w:hint="eastAsia" w:ascii="宋体" w:hAnsi="宋体" w:cs="宋体"/>
              </w:rPr>
            </w:pPr>
            <w:r>
              <w:rPr>
                <w:rFonts w:hint="eastAsia" w:ascii="宋体" w:hAnsi="宋体" w:eastAsia="宋体" w:cs="宋体"/>
                <w:b w:val="0"/>
                <w:sz w:val="18"/>
              </w:rPr>
              <w:t>来源/年份/地区</w:t>
            </w:r>
          </w:p>
        </w:tc>
        <w:tc>
          <w:tcPr>
            <w:tcW w:w="0" w:type="auto"/>
            <w:tcBorders>
              <w:bottom w:val="single" w:color="000000" w:sz="8" w:space="0"/>
            </w:tcBorders>
            <w:tcMar>
              <w:top w:w="70" w:type="dxa"/>
              <w:left w:w="70" w:type="dxa"/>
              <w:bottom w:w="70" w:type="dxa"/>
              <w:right w:w="70" w:type="dxa"/>
            </w:tcMar>
            <w:vAlign w:val="center"/>
          </w:tcPr>
          <w:p w14:paraId="0E33BCD6">
            <w:pPr>
              <w:pStyle w:val="39"/>
              <w:widowControl w:val="0"/>
              <w:rPr>
                <w:rFonts w:hint="eastAsia" w:ascii="宋体" w:hAnsi="宋体" w:cs="宋体"/>
              </w:rPr>
            </w:pPr>
            <w:r>
              <w:rPr>
                <w:rFonts w:hint="eastAsia" w:ascii="宋体" w:hAnsi="宋体" w:eastAsia="宋体" w:cs="宋体"/>
                <w:b w:val="0"/>
                <w:sz w:val="18"/>
              </w:rPr>
              <w:t>排放量(kgCO₂</w:t>
            </w:r>
          </w:p>
        </w:tc>
        <w:tc>
          <w:tcPr>
            <w:tcW w:w="1733" w:type="dxa"/>
            <w:tcBorders>
              <w:bottom w:val="single" w:color="000000" w:sz="8" w:space="0"/>
            </w:tcBorders>
            <w:tcMar>
              <w:top w:w="70" w:type="dxa"/>
              <w:left w:w="70" w:type="dxa"/>
              <w:bottom w:w="70" w:type="dxa"/>
              <w:right w:w="70" w:type="dxa"/>
            </w:tcMar>
            <w:vAlign w:val="center"/>
          </w:tcPr>
          <w:p w14:paraId="0E33BCD7">
            <w:pPr>
              <w:pStyle w:val="39"/>
              <w:widowControl w:val="0"/>
              <w:rPr>
                <w:rFonts w:hint="eastAsia" w:ascii="宋体" w:hAnsi="宋体" w:cs="宋体"/>
              </w:rPr>
            </w:pPr>
            <w:r>
              <w:rPr>
                <w:rFonts w:hint="eastAsia" w:ascii="宋体" w:hAnsi="宋体" w:eastAsia="宋体" w:cs="宋体"/>
                <w:b w:val="0"/>
                <w:sz w:val="18"/>
              </w:rPr>
              <w:t>复核结果</w:t>
            </w:r>
          </w:p>
        </w:tc>
      </w:tr>
      <w:tr w14:paraId="0E33BCE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op w:val="single" w:color="000000" w:sz="8" w:space="0"/>
              <w:tl2br w:val="nil"/>
              <w:tr2bl w:val="nil"/>
            </w:tcBorders>
            <w:tcMar>
              <w:top w:w="70" w:type="dxa"/>
              <w:left w:w="70" w:type="dxa"/>
              <w:bottom w:w="70" w:type="dxa"/>
              <w:right w:w="70" w:type="dxa"/>
            </w:tcMar>
            <w:vAlign w:val="center"/>
          </w:tcPr>
          <w:p w14:paraId="0E33BCD9">
            <w:pPr>
              <w:pStyle w:val="39"/>
              <w:widowControl w:val="0"/>
              <w:rPr>
                <w:rFonts w:hint="eastAsia" w:ascii="宋体" w:hAnsi="宋体" w:cs="宋体"/>
              </w:rPr>
            </w:pPr>
            <w:r>
              <w:rPr>
                <w:rFonts w:hint="eastAsia" w:ascii="宋体" w:hAnsi="宋体" w:eastAsia="宋体" w:cs="宋体"/>
                <w:sz w:val="18"/>
              </w:rPr>
              <w:t>A1</w:t>
            </w:r>
          </w:p>
        </w:tc>
        <w:tc>
          <w:tcPr>
            <w:tcW w:w="0" w:type="auto"/>
            <w:tcBorders>
              <w:top w:val="single" w:color="000000" w:sz="8" w:space="0"/>
              <w:tl2br w:val="nil"/>
              <w:tr2bl w:val="nil"/>
            </w:tcBorders>
            <w:tcMar>
              <w:top w:w="70" w:type="dxa"/>
              <w:left w:w="70" w:type="dxa"/>
              <w:bottom w:w="70" w:type="dxa"/>
              <w:right w:w="70" w:type="dxa"/>
            </w:tcMar>
            <w:vAlign w:val="center"/>
          </w:tcPr>
          <w:p w14:paraId="0E33BCDA">
            <w:pPr>
              <w:pStyle w:val="39"/>
              <w:widowControl w:val="0"/>
              <w:rPr>
                <w:rFonts w:hint="eastAsia" w:ascii="宋体" w:hAnsi="宋体" w:cs="宋体"/>
              </w:rPr>
            </w:pPr>
          </w:p>
        </w:tc>
        <w:tc>
          <w:tcPr>
            <w:tcW w:w="0" w:type="auto"/>
            <w:tcBorders>
              <w:top w:val="single" w:color="000000" w:sz="8" w:space="0"/>
              <w:tl2br w:val="nil"/>
              <w:tr2bl w:val="nil"/>
            </w:tcBorders>
            <w:tcMar>
              <w:top w:w="70" w:type="dxa"/>
              <w:left w:w="70" w:type="dxa"/>
              <w:bottom w:w="70" w:type="dxa"/>
              <w:right w:w="70" w:type="dxa"/>
            </w:tcMar>
            <w:vAlign w:val="center"/>
          </w:tcPr>
          <w:p w14:paraId="0E33BCDB">
            <w:pPr>
              <w:pStyle w:val="39"/>
              <w:widowControl w:val="0"/>
              <w:rPr>
                <w:rFonts w:hint="eastAsia" w:ascii="宋体" w:hAnsi="宋体" w:cs="宋体"/>
              </w:rPr>
            </w:pPr>
          </w:p>
        </w:tc>
        <w:tc>
          <w:tcPr>
            <w:tcW w:w="0" w:type="auto"/>
            <w:tcBorders>
              <w:top w:val="single" w:color="000000" w:sz="8" w:space="0"/>
              <w:tl2br w:val="nil"/>
              <w:tr2bl w:val="nil"/>
            </w:tcBorders>
            <w:tcMar>
              <w:top w:w="70" w:type="dxa"/>
              <w:left w:w="70" w:type="dxa"/>
              <w:bottom w:w="70" w:type="dxa"/>
              <w:right w:w="70" w:type="dxa"/>
            </w:tcMar>
            <w:vAlign w:val="center"/>
          </w:tcPr>
          <w:p w14:paraId="0E33BCDC">
            <w:pPr>
              <w:pStyle w:val="39"/>
              <w:widowControl w:val="0"/>
              <w:rPr>
                <w:rFonts w:hint="eastAsia" w:ascii="宋体" w:hAnsi="宋体" w:cs="宋体"/>
              </w:rPr>
            </w:pPr>
          </w:p>
        </w:tc>
        <w:tc>
          <w:tcPr>
            <w:tcW w:w="0" w:type="auto"/>
            <w:tcBorders>
              <w:top w:val="single" w:color="000000" w:sz="8" w:space="0"/>
              <w:tl2br w:val="nil"/>
              <w:tr2bl w:val="nil"/>
            </w:tcBorders>
            <w:tcMar>
              <w:top w:w="70" w:type="dxa"/>
              <w:left w:w="70" w:type="dxa"/>
              <w:bottom w:w="70" w:type="dxa"/>
              <w:right w:w="70" w:type="dxa"/>
            </w:tcMar>
            <w:vAlign w:val="center"/>
          </w:tcPr>
          <w:p w14:paraId="0E33BCDD">
            <w:pPr>
              <w:pStyle w:val="39"/>
              <w:widowControl w:val="0"/>
              <w:rPr>
                <w:rFonts w:hint="eastAsia" w:ascii="宋体" w:hAnsi="宋体" w:cs="宋体"/>
              </w:rPr>
            </w:pPr>
          </w:p>
        </w:tc>
        <w:tc>
          <w:tcPr>
            <w:tcW w:w="0" w:type="auto"/>
            <w:tcBorders>
              <w:top w:val="single" w:color="000000" w:sz="8" w:space="0"/>
              <w:tl2br w:val="nil"/>
              <w:tr2bl w:val="nil"/>
            </w:tcBorders>
            <w:tcMar>
              <w:top w:w="70" w:type="dxa"/>
              <w:left w:w="70" w:type="dxa"/>
              <w:bottom w:w="70" w:type="dxa"/>
              <w:right w:w="70" w:type="dxa"/>
            </w:tcMar>
            <w:vAlign w:val="center"/>
          </w:tcPr>
          <w:p w14:paraId="0E33BCDE">
            <w:pPr>
              <w:pStyle w:val="39"/>
              <w:widowControl w:val="0"/>
              <w:rPr>
                <w:rFonts w:hint="eastAsia" w:ascii="宋体" w:hAnsi="宋体" w:cs="宋体"/>
              </w:rPr>
            </w:pPr>
          </w:p>
        </w:tc>
        <w:tc>
          <w:tcPr>
            <w:tcW w:w="1733" w:type="dxa"/>
            <w:tcBorders>
              <w:top w:val="single" w:color="000000" w:sz="8" w:space="0"/>
              <w:tl2br w:val="nil"/>
              <w:tr2bl w:val="nil"/>
            </w:tcBorders>
            <w:tcMar>
              <w:top w:w="70" w:type="dxa"/>
              <w:left w:w="70" w:type="dxa"/>
              <w:bottom w:w="70" w:type="dxa"/>
              <w:right w:w="70" w:type="dxa"/>
            </w:tcMar>
            <w:vAlign w:val="center"/>
          </w:tcPr>
          <w:p w14:paraId="0E33BCDF">
            <w:pPr>
              <w:pStyle w:val="39"/>
              <w:widowControl w:val="0"/>
              <w:rPr>
                <w:rFonts w:hint="eastAsia" w:ascii="宋体" w:hAnsi="宋体" w:cs="宋体"/>
              </w:rPr>
            </w:pPr>
            <w:r>
              <w:rPr>
                <w:rFonts w:hint="eastAsia" w:ascii="宋体" w:hAnsi="宋体" w:eastAsia="宋体" w:cs="宋体"/>
                <w:sz w:val="18"/>
              </w:rPr>
              <w:t>□通过　□整改</w:t>
            </w:r>
          </w:p>
        </w:tc>
      </w:tr>
      <w:tr w14:paraId="0E33BCE8">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E1">
            <w:pPr>
              <w:pStyle w:val="39"/>
              <w:widowControl w:val="0"/>
              <w:rPr>
                <w:rFonts w:hint="eastAsia" w:ascii="宋体" w:hAnsi="宋体" w:cs="宋体"/>
              </w:rPr>
            </w:pPr>
            <w:r>
              <w:rPr>
                <w:rFonts w:hint="eastAsia" w:ascii="宋体" w:hAnsi="宋体" w:eastAsia="宋体" w:cs="宋体"/>
                <w:sz w:val="18"/>
              </w:rPr>
              <w:t>A2</w:t>
            </w:r>
          </w:p>
        </w:tc>
        <w:tc>
          <w:tcPr>
            <w:tcW w:w="0" w:type="auto"/>
            <w:tcBorders>
              <w:tl2br w:val="nil"/>
              <w:tr2bl w:val="nil"/>
            </w:tcBorders>
            <w:tcMar>
              <w:top w:w="70" w:type="dxa"/>
              <w:left w:w="70" w:type="dxa"/>
              <w:bottom w:w="70" w:type="dxa"/>
              <w:right w:w="70" w:type="dxa"/>
            </w:tcMar>
            <w:vAlign w:val="center"/>
          </w:tcPr>
          <w:p w14:paraId="0E33BCE2">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E3">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E4">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E5">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E6">
            <w:pPr>
              <w:pStyle w:val="39"/>
              <w:widowControl w:val="0"/>
              <w:rPr>
                <w:rFonts w:hint="eastAsia" w:ascii="宋体" w:hAnsi="宋体" w:cs="宋体"/>
              </w:rPr>
            </w:pPr>
          </w:p>
        </w:tc>
        <w:tc>
          <w:tcPr>
            <w:tcW w:w="1733" w:type="dxa"/>
            <w:tcBorders>
              <w:tl2br w:val="nil"/>
              <w:tr2bl w:val="nil"/>
            </w:tcBorders>
            <w:tcMar>
              <w:top w:w="70" w:type="dxa"/>
              <w:left w:w="70" w:type="dxa"/>
              <w:bottom w:w="70" w:type="dxa"/>
              <w:right w:w="70" w:type="dxa"/>
            </w:tcMar>
            <w:vAlign w:val="center"/>
          </w:tcPr>
          <w:p w14:paraId="0E33BCE7">
            <w:pPr>
              <w:pStyle w:val="39"/>
              <w:widowControl w:val="0"/>
              <w:rPr>
                <w:rFonts w:hint="eastAsia" w:ascii="宋体" w:hAnsi="宋体" w:cs="宋体"/>
              </w:rPr>
            </w:pPr>
            <w:r>
              <w:rPr>
                <w:rFonts w:hint="eastAsia" w:ascii="宋体" w:hAnsi="宋体" w:eastAsia="宋体" w:cs="宋体"/>
                <w:sz w:val="18"/>
              </w:rPr>
              <w:t>□通过　□整改</w:t>
            </w:r>
          </w:p>
        </w:tc>
      </w:tr>
      <w:tr w14:paraId="0E33BCF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E9">
            <w:pPr>
              <w:pStyle w:val="39"/>
              <w:widowControl w:val="0"/>
              <w:rPr>
                <w:rFonts w:hint="eastAsia" w:ascii="宋体" w:hAnsi="宋体" w:cs="宋体"/>
              </w:rPr>
            </w:pPr>
            <w:r>
              <w:rPr>
                <w:rFonts w:hint="eastAsia" w:ascii="宋体" w:hAnsi="宋体" w:eastAsia="宋体" w:cs="宋体"/>
                <w:sz w:val="18"/>
              </w:rPr>
              <w:t>A3</w:t>
            </w:r>
          </w:p>
        </w:tc>
        <w:tc>
          <w:tcPr>
            <w:tcW w:w="0" w:type="auto"/>
            <w:tcBorders>
              <w:tl2br w:val="nil"/>
              <w:tr2bl w:val="nil"/>
            </w:tcBorders>
            <w:tcMar>
              <w:top w:w="70" w:type="dxa"/>
              <w:left w:w="70" w:type="dxa"/>
              <w:bottom w:w="70" w:type="dxa"/>
              <w:right w:w="70" w:type="dxa"/>
            </w:tcMar>
            <w:vAlign w:val="center"/>
          </w:tcPr>
          <w:p w14:paraId="0E33BCEA">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EB">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EC">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ED">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EE">
            <w:pPr>
              <w:pStyle w:val="39"/>
              <w:widowControl w:val="0"/>
              <w:rPr>
                <w:rFonts w:hint="eastAsia" w:ascii="宋体" w:hAnsi="宋体" w:cs="宋体"/>
              </w:rPr>
            </w:pPr>
          </w:p>
        </w:tc>
        <w:tc>
          <w:tcPr>
            <w:tcW w:w="1733" w:type="dxa"/>
            <w:tcBorders>
              <w:tl2br w:val="nil"/>
              <w:tr2bl w:val="nil"/>
            </w:tcBorders>
            <w:tcMar>
              <w:top w:w="70" w:type="dxa"/>
              <w:left w:w="70" w:type="dxa"/>
              <w:bottom w:w="70" w:type="dxa"/>
              <w:right w:w="70" w:type="dxa"/>
            </w:tcMar>
            <w:vAlign w:val="center"/>
          </w:tcPr>
          <w:p w14:paraId="0E33BCEF">
            <w:pPr>
              <w:pStyle w:val="39"/>
              <w:widowControl w:val="0"/>
              <w:rPr>
                <w:rFonts w:hint="eastAsia" w:ascii="宋体" w:hAnsi="宋体" w:cs="宋体"/>
              </w:rPr>
            </w:pPr>
            <w:r>
              <w:rPr>
                <w:rFonts w:hint="eastAsia" w:ascii="宋体" w:hAnsi="宋体" w:eastAsia="宋体" w:cs="宋体"/>
                <w:sz w:val="18"/>
              </w:rPr>
              <w:t>□通过　□整改</w:t>
            </w:r>
          </w:p>
        </w:tc>
      </w:tr>
      <w:tr w14:paraId="0E33BCF8">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F1">
            <w:pPr>
              <w:pStyle w:val="39"/>
              <w:widowControl w:val="0"/>
              <w:rPr>
                <w:rFonts w:hint="eastAsia" w:ascii="宋体" w:hAnsi="宋体" w:cs="宋体"/>
              </w:rPr>
            </w:pPr>
            <w:r>
              <w:rPr>
                <w:rFonts w:hint="eastAsia" w:ascii="宋体" w:hAnsi="宋体" w:eastAsia="宋体" w:cs="宋体"/>
                <w:sz w:val="18"/>
              </w:rPr>
              <w:t>A4</w:t>
            </w:r>
          </w:p>
        </w:tc>
        <w:tc>
          <w:tcPr>
            <w:tcW w:w="0" w:type="auto"/>
            <w:tcBorders>
              <w:tl2br w:val="nil"/>
              <w:tr2bl w:val="nil"/>
            </w:tcBorders>
            <w:tcMar>
              <w:top w:w="70" w:type="dxa"/>
              <w:left w:w="70" w:type="dxa"/>
              <w:bottom w:w="70" w:type="dxa"/>
              <w:right w:w="70" w:type="dxa"/>
            </w:tcMar>
            <w:vAlign w:val="center"/>
          </w:tcPr>
          <w:p w14:paraId="0E33BCF2">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F3">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F4">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F5">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F6">
            <w:pPr>
              <w:pStyle w:val="39"/>
              <w:widowControl w:val="0"/>
              <w:rPr>
                <w:rFonts w:hint="eastAsia" w:ascii="宋体" w:hAnsi="宋体" w:cs="宋体"/>
              </w:rPr>
            </w:pPr>
          </w:p>
        </w:tc>
        <w:tc>
          <w:tcPr>
            <w:tcW w:w="1733" w:type="dxa"/>
            <w:tcBorders>
              <w:tl2br w:val="nil"/>
              <w:tr2bl w:val="nil"/>
            </w:tcBorders>
            <w:tcMar>
              <w:top w:w="70" w:type="dxa"/>
              <w:left w:w="70" w:type="dxa"/>
              <w:bottom w:w="70" w:type="dxa"/>
              <w:right w:w="70" w:type="dxa"/>
            </w:tcMar>
            <w:vAlign w:val="center"/>
          </w:tcPr>
          <w:p w14:paraId="0E33BCF7">
            <w:pPr>
              <w:pStyle w:val="39"/>
              <w:widowControl w:val="0"/>
              <w:rPr>
                <w:rFonts w:hint="eastAsia" w:ascii="宋体" w:hAnsi="宋体" w:cs="宋体"/>
              </w:rPr>
            </w:pPr>
            <w:r>
              <w:rPr>
                <w:rFonts w:hint="eastAsia" w:ascii="宋体" w:hAnsi="宋体" w:eastAsia="宋体" w:cs="宋体"/>
                <w:sz w:val="18"/>
              </w:rPr>
              <w:t>□通过　□整改</w:t>
            </w:r>
          </w:p>
        </w:tc>
      </w:tr>
      <w:tr w14:paraId="0E33BD0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0" w:type="auto"/>
            <w:tcBorders>
              <w:tl2br w:val="nil"/>
              <w:tr2bl w:val="nil"/>
            </w:tcBorders>
            <w:tcMar>
              <w:top w:w="70" w:type="dxa"/>
              <w:left w:w="70" w:type="dxa"/>
              <w:bottom w:w="70" w:type="dxa"/>
              <w:right w:w="70" w:type="dxa"/>
            </w:tcMar>
            <w:vAlign w:val="center"/>
          </w:tcPr>
          <w:p w14:paraId="0E33BCF9">
            <w:pPr>
              <w:pStyle w:val="39"/>
              <w:widowControl w:val="0"/>
              <w:rPr>
                <w:rFonts w:hint="eastAsia" w:ascii="宋体" w:hAnsi="宋体" w:cs="宋体"/>
              </w:rPr>
            </w:pPr>
            <w:r>
              <w:rPr>
                <w:rFonts w:hint="eastAsia" w:ascii="宋体" w:hAnsi="宋体" w:eastAsia="宋体" w:cs="宋体"/>
                <w:sz w:val="18"/>
              </w:rPr>
              <w:t>A5</w:t>
            </w:r>
          </w:p>
        </w:tc>
        <w:tc>
          <w:tcPr>
            <w:tcW w:w="0" w:type="auto"/>
            <w:tcBorders>
              <w:tl2br w:val="nil"/>
              <w:tr2bl w:val="nil"/>
            </w:tcBorders>
            <w:tcMar>
              <w:top w:w="70" w:type="dxa"/>
              <w:left w:w="70" w:type="dxa"/>
              <w:bottom w:w="70" w:type="dxa"/>
              <w:right w:w="70" w:type="dxa"/>
            </w:tcMar>
            <w:vAlign w:val="center"/>
          </w:tcPr>
          <w:p w14:paraId="0E33BCFA">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FB">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FC">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FD">
            <w:pPr>
              <w:pStyle w:val="39"/>
              <w:widowControl w:val="0"/>
              <w:rPr>
                <w:rFonts w:hint="eastAsia" w:ascii="宋体" w:hAnsi="宋体" w:cs="宋体"/>
              </w:rPr>
            </w:pPr>
          </w:p>
        </w:tc>
        <w:tc>
          <w:tcPr>
            <w:tcW w:w="0" w:type="auto"/>
            <w:tcBorders>
              <w:tl2br w:val="nil"/>
              <w:tr2bl w:val="nil"/>
            </w:tcBorders>
            <w:tcMar>
              <w:top w:w="70" w:type="dxa"/>
              <w:left w:w="70" w:type="dxa"/>
              <w:bottom w:w="70" w:type="dxa"/>
              <w:right w:w="70" w:type="dxa"/>
            </w:tcMar>
            <w:vAlign w:val="center"/>
          </w:tcPr>
          <w:p w14:paraId="0E33BCFE">
            <w:pPr>
              <w:pStyle w:val="39"/>
              <w:widowControl w:val="0"/>
              <w:rPr>
                <w:rFonts w:hint="eastAsia" w:ascii="宋体" w:hAnsi="宋体" w:cs="宋体"/>
              </w:rPr>
            </w:pPr>
          </w:p>
        </w:tc>
        <w:tc>
          <w:tcPr>
            <w:tcW w:w="1733" w:type="dxa"/>
            <w:tcBorders>
              <w:tl2br w:val="nil"/>
              <w:tr2bl w:val="nil"/>
            </w:tcBorders>
            <w:tcMar>
              <w:top w:w="70" w:type="dxa"/>
              <w:left w:w="70" w:type="dxa"/>
              <w:bottom w:w="70" w:type="dxa"/>
              <w:right w:w="70" w:type="dxa"/>
            </w:tcMar>
            <w:vAlign w:val="center"/>
          </w:tcPr>
          <w:p w14:paraId="0E33BCFF">
            <w:pPr>
              <w:pStyle w:val="39"/>
              <w:widowControl w:val="0"/>
              <w:rPr>
                <w:rFonts w:hint="eastAsia" w:ascii="宋体" w:hAnsi="宋体" w:cs="宋体"/>
              </w:rPr>
            </w:pPr>
            <w:r>
              <w:rPr>
                <w:rFonts w:hint="eastAsia" w:ascii="宋体" w:hAnsi="宋体" w:eastAsia="宋体" w:cs="宋体"/>
                <w:sz w:val="18"/>
              </w:rPr>
              <w:t>□通过　□整改</w:t>
            </w:r>
          </w:p>
        </w:tc>
      </w:tr>
      <w:tr w14:paraId="0E33BD0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9208" w:type="dxa"/>
            <w:gridSpan w:val="7"/>
            <w:tcBorders>
              <w:tl2br w:val="nil"/>
              <w:tr2bl w:val="nil"/>
            </w:tcBorders>
            <w:tcMar>
              <w:top w:w="70" w:type="dxa"/>
              <w:left w:w="70" w:type="dxa"/>
              <w:bottom w:w="70" w:type="dxa"/>
              <w:right w:w="70" w:type="dxa"/>
            </w:tcMar>
            <w:vAlign w:val="center"/>
          </w:tcPr>
          <w:p w14:paraId="0E33BD01">
            <w:pPr>
              <w:pStyle w:val="34"/>
              <w:rPr>
                <w:rFonts w:hint="eastAsia" w:ascii="宋体" w:hAnsi="宋体" w:eastAsia="宋体" w:cs="宋体"/>
              </w:rPr>
            </w:pPr>
            <w:r>
              <w:rPr>
                <w:rFonts w:hint="eastAsia" w:ascii="宋体" w:hAnsi="宋体" w:eastAsia="宋体" w:cs="宋体"/>
                <w:sz w:val="18"/>
              </w:rPr>
              <w:t>因子单位应与活动数据单位相匹配；采用缺省值时应填写本文件附录A的表号和行号。</w:t>
            </w:r>
          </w:p>
        </w:tc>
      </w:tr>
    </w:tbl>
    <w:p w14:paraId="0E33BD03">
      <w:pPr>
        <w:pStyle w:val="46"/>
        <w:numPr>
          <w:ilvl w:val="1"/>
          <w:numId w:val="0"/>
        </w:numPr>
        <w:rPr>
          <w:rFonts w:hint="eastAsia"/>
        </w:rPr>
      </w:pPr>
      <w:r>
        <w:rPr>
          <w:rFonts w:hint="eastAsia" w:ascii="黑体"/>
          <w:b w:val="0"/>
          <w:snapToGrid/>
        </w:rPr>
        <w:t>C.5　</w:t>
      </w:r>
      <w:r>
        <w:rPr>
          <w:rFonts w:hint="eastAsia" w:ascii="黑体"/>
          <w:b w:val="0"/>
        </w:rPr>
        <w:t>完整性与一致性复核</w:t>
      </w:r>
    </w:p>
    <w:p w14:paraId="0E33BD04">
      <w:pPr>
        <w:pStyle w:val="40"/>
        <w:numPr>
          <w:ilvl w:val="1"/>
          <w:numId w:val="0"/>
        </w:numPr>
        <w:rPr>
          <w:rFonts w:hint="eastAsia"/>
          <w:b w:val="0"/>
          <w:bCs w:val="0"/>
        </w:rPr>
      </w:pPr>
      <w:r>
        <w:rPr>
          <w:rFonts w:hint="eastAsia" w:ascii="黑体" w:eastAsia="黑体"/>
          <w:b w:val="0"/>
          <w:bCs w:val="0"/>
        </w:rPr>
        <w:t>表C.5　核算完整性与一致性复核表</w:t>
      </w:r>
    </w:p>
    <w:tbl>
      <w:tblPr>
        <w:tblStyle w:val="10"/>
        <w:tblW w:w="4999" w:type="pct"/>
        <w:tblInd w:w="0" w:type="dxa"/>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autofit"/>
        <w:tblCellMar>
          <w:top w:w="0" w:type="dxa"/>
          <w:left w:w="108" w:type="dxa"/>
          <w:bottom w:w="0" w:type="dxa"/>
          <w:right w:w="108" w:type="dxa"/>
        </w:tblCellMar>
      </w:tblPr>
      <w:tblGrid>
        <w:gridCol w:w="1840"/>
        <w:gridCol w:w="1840"/>
        <w:gridCol w:w="927"/>
        <w:gridCol w:w="912"/>
        <w:gridCol w:w="1841"/>
        <w:gridCol w:w="1850"/>
      </w:tblGrid>
      <w:tr w14:paraId="0E33BD0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blHeader/>
        </w:trPr>
        <w:tc>
          <w:tcPr>
            <w:tcW w:w="999" w:type="pct"/>
            <w:tcBorders>
              <w:bottom w:val="single" w:color="000000" w:sz="8" w:space="0"/>
            </w:tcBorders>
            <w:tcMar>
              <w:top w:w="70" w:type="dxa"/>
              <w:left w:w="70" w:type="dxa"/>
              <w:bottom w:w="70" w:type="dxa"/>
              <w:right w:w="70" w:type="dxa"/>
            </w:tcMar>
            <w:vAlign w:val="center"/>
          </w:tcPr>
          <w:p w14:paraId="0E33BD05">
            <w:pPr>
              <w:pStyle w:val="39"/>
              <w:widowControl w:val="0"/>
              <w:rPr>
                <w:rFonts w:hint="eastAsia" w:ascii="宋体" w:hAnsi="宋体" w:cs="宋体"/>
              </w:rPr>
            </w:pPr>
            <w:r>
              <w:rPr>
                <w:rFonts w:hint="eastAsia" w:ascii="宋体" w:hAnsi="宋体" w:eastAsia="宋体" w:cs="宋体"/>
                <w:b w:val="0"/>
                <w:sz w:val="18"/>
              </w:rPr>
              <w:t>复核事项</w:t>
            </w:r>
          </w:p>
        </w:tc>
        <w:tc>
          <w:tcPr>
            <w:tcW w:w="999" w:type="pct"/>
            <w:tcBorders>
              <w:bottom w:val="single" w:color="000000" w:sz="8" w:space="0"/>
            </w:tcBorders>
            <w:tcMar>
              <w:top w:w="70" w:type="dxa"/>
              <w:left w:w="70" w:type="dxa"/>
              <w:bottom w:w="70" w:type="dxa"/>
              <w:right w:w="70" w:type="dxa"/>
            </w:tcMar>
            <w:vAlign w:val="center"/>
          </w:tcPr>
          <w:p w14:paraId="0E33BD06">
            <w:pPr>
              <w:pStyle w:val="39"/>
              <w:widowControl w:val="0"/>
              <w:rPr>
                <w:rFonts w:hint="eastAsia" w:ascii="宋体" w:hAnsi="宋体" w:cs="宋体"/>
              </w:rPr>
            </w:pPr>
            <w:r>
              <w:rPr>
                <w:rFonts w:hint="eastAsia" w:ascii="宋体" w:hAnsi="宋体" w:eastAsia="宋体" w:cs="宋体"/>
                <w:b w:val="0"/>
                <w:sz w:val="18"/>
              </w:rPr>
              <w:t>复核内容</w:t>
            </w:r>
          </w:p>
        </w:tc>
        <w:tc>
          <w:tcPr>
            <w:tcW w:w="998" w:type="pct"/>
            <w:gridSpan w:val="2"/>
            <w:tcBorders>
              <w:bottom w:val="single" w:color="000000" w:sz="8" w:space="0"/>
            </w:tcBorders>
            <w:tcMar>
              <w:top w:w="70" w:type="dxa"/>
              <w:left w:w="70" w:type="dxa"/>
              <w:bottom w:w="70" w:type="dxa"/>
              <w:right w:w="70" w:type="dxa"/>
            </w:tcMar>
            <w:vAlign w:val="center"/>
          </w:tcPr>
          <w:p w14:paraId="0E33BD07">
            <w:pPr>
              <w:pStyle w:val="39"/>
              <w:widowControl w:val="0"/>
              <w:rPr>
                <w:rFonts w:hint="eastAsia" w:ascii="宋体" w:hAnsi="宋体" w:cs="宋体"/>
              </w:rPr>
            </w:pPr>
            <w:r>
              <w:rPr>
                <w:rFonts w:hint="eastAsia" w:ascii="宋体" w:hAnsi="宋体" w:eastAsia="宋体" w:cs="宋体"/>
                <w:b w:val="0"/>
                <w:sz w:val="18"/>
              </w:rPr>
              <w:t>判定要求</w:t>
            </w:r>
          </w:p>
        </w:tc>
        <w:tc>
          <w:tcPr>
            <w:tcW w:w="999" w:type="pct"/>
            <w:tcBorders>
              <w:bottom w:val="single" w:color="000000" w:sz="8" w:space="0"/>
            </w:tcBorders>
            <w:tcMar>
              <w:top w:w="70" w:type="dxa"/>
              <w:left w:w="70" w:type="dxa"/>
              <w:bottom w:w="70" w:type="dxa"/>
              <w:right w:w="70" w:type="dxa"/>
            </w:tcMar>
            <w:vAlign w:val="center"/>
          </w:tcPr>
          <w:p w14:paraId="0E33BD08">
            <w:pPr>
              <w:pStyle w:val="39"/>
              <w:widowControl w:val="0"/>
              <w:rPr>
                <w:rFonts w:hint="eastAsia" w:ascii="宋体" w:hAnsi="宋体" w:cs="宋体"/>
              </w:rPr>
            </w:pPr>
            <w:r>
              <w:rPr>
                <w:rFonts w:hint="eastAsia" w:ascii="宋体" w:hAnsi="宋体" w:eastAsia="宋体" w:cs="宋体"/>
                <w:b w:val="0"/>
                <w:sz w:val="18"/>
              </w:rPr>
              <w:t>复核结果</w:t>
            </w:r>
          </w:p>
        </w:tc>
        <w:tc>
          <w:tcPr>
            <w:tcW w:w="1003" w:type="pct"/>
            <w:tcBorders>
              <w:bottom w:val="single" w:color="000000" w:sz="8" w:space="0"/>
            </w:tcBorders>
            <w:tcMar>
              <w:top w:w="70" w:type="dxa"/>
              <w:left w:w="70" w:type="dxa"/>
              <w:bottom w:w="70" w:type="dxa"/>
              <w:right w:w="70" w:type="dxa"/>
            </w:tcMar>
            <w:vAlign w:val="center"/>
          </w:tcPr>
          <w:p w14:paraId="0E33BD09">
            <w:pPr>
              <w:pStyle w:val="39"/>
              <w:widowControl w:val="0"/>
              <w:rPr>
                <w:rFonts w:hint="eastAsia" w:ascii="宋体" w:hAnsi="宋体" w:cs="宋体"/>
              </w:rPr>
            </w:pPr>
            <w:r>
              <w:rPr>
                <w:rFonts w:hint="eastAsia" w:ascii="宋体" w:hAnsi="宋体" w:eastAsia="宋体" w:cs="宋体"/>
                <w:b w:val="0"/>
                <w:sz w:val="18"/>
              </w:rPr>
              <w:t>问题及处理说明</w:t>
            </w:r>
          </w:p>
        </w:tc>
      </w:tr>
      <w:tr w14:paraId="0E33BD1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999" w:type="pct"/>
            <w:tcBorders>
              <w:top w:val="single" w:color="000000" w:sz="8" w:space="0"/>
              <w:tl2br w:val="nil"/>
              <w:tr2bl w:val="nil"/>
            </w:tcBorders>
            <w:tcMar>
              <w:top w:w="70" w:type="dxa"/>
              <w:left w:w="70" w:type="dxa"/>
              <w:bottom w:w="70" w:type="dxa"/>
              <w:right w:w="70" w:type="dxa"/>
            </w:tcMar>
            <w:vAlign w:val="center"/>
          </w:tcPr>
          <w:p w14:paraId="0E33BD0B">
            <w:pPr>
              <w:pStyle w:val="39"/>
              <w:widowControl w:val="0"/>
              <w:rPr>
                <w:rFonts w:hint="eastAsia" w:ascii="宋体" w:hAnsi="宋体" w:cs="宋体"/>
              </w:rPr>
            </w:pPr>
            <w:r>
              <w:rPr>
                <w:rFonts w:hint="eastAsia" w:ascii="宋体" w:hAnsi="宋体" w:eastAsia="宋体" w:cs="宋体"/>
                <w:sz w:val="18"/>
              </w:rPr>
              <w:t>边界完整性</w:t>
            </w:r>
          </w:p>
        </w:tc>
        <w:tc>
          <w:tcPr>
            <w:tcW w:w="999" w:type="pct"/>
            <w:tcBorders>
              <w:top w:val="single" w:color="000000" w:sz="8" w:space="0"/>
              <w:tl2br w:val="nil"/>
              <w:tr2bl w:val="nil"/>
            </w:tcBorders>
            <w:tcMar>
              <w:top w:w="70" w:type="dxa"/>
              <w:left w:w="70" w:type="dxa"/>
              <w:bottom w:w="70" w:type="dxa"/>
              <w:right w:w="70" w:type="dxa"/>
            </w:tcMar>
            <w:vAlign w:val="center"/>
          </w:tcPr>
          <w:p w14:paraId="0E33BD0C">
            <w:pPr>
              <w:pStyle w:val="39"/>
              <w:widowControl w:val="0"/>
              <w:rPr>
                <w:rFonts w:hint="eastAsia" w:ascii="宋体" w:hAnsi="宋体" w:cs="宋体"/>
              </w:rPr>
            </w:pPr>
            <w:r>
              <w:rPr>
                <w:rFonts w:hint="eastAsia" w:ascii="宋体" w:hAnsi="宋体" w:eastAsia="宋体" w:cs="宋体"/>
                <w:sz w:val="18"/>
              </w:rPr>
              <w:t>A1～A5纳入情况及排除项</w:t>
            </w:r>
          </w:p>
        </w:tc>
        <w:tc>
          <w:tcPr>
            <w:tcW w:w="998" w:type="pct"/>
            <w:gridSpan w:val="2"/>
            <w:tcBorders>
              <w:top w:val="single" w:color="000000" w:sz="8" w:space="0"/>
              <w:tl2br w:val="nil"/>
              <w:tr2bl w:val="nil"/>
            </w:tcBorders>
            <w:tcMar>
              <w:top w:w="70" w:type="dxa"/>
              <w:left w:w="70" w:type="dxa"/>
              <w:bottom w:w="70" w:type="dxa"/>
              <w:right w:w="70" w:type="dxa"/>
            </w:tcMar>
            <w:vAlign w:val="center"/>
          </w:tcPr>
          <w:p w14:paraId="0E33BD0D">
            <w:pPr>
              <w:pStyle w:val="39"/>
              <w:widowControl w:val="0"/>
              <w:rPr>
                <w:rFonts w:hint="eastAsia" w:ascii="宋体" w:hAnsi="宋体" w:cs="宋体"/>
              </w:rPr>
            </w:pPr>
            <w:r>
              <w:rPr>
                <w:rFonts w:hint="eastAsia" w:ascii="宋体" w:hAnsi="宋体" w:eastAsia="宋体" w:cs="宋体"/>
                <w:sz w:val="18"/>
              </w:rPr>
              <w:t>边界清晰，排除项有说明</w:t>
            </w:r>
          </w:p>
        </w:tc>
        <w:tc>
          <w:tcPr>
            <w:tcW w:w="999" w:type="pct"/>
            <w:tcBorders>
              <w:top w:val="single" w:color="000000" w:sz="8" w:space="0"/>
              <w:tl2br w:val="nil"/>
              <w:tr2bl w:val="nil"/>
            </w:tcBorders>
            <w:tcMar>
              <w:top w:w="70" w:type="dxa"/>
              <w:left w:w="70" w:type="dxa"/>
              <w:bottom w:w="70" w:type="dxa"/>
              <w:right w:w="70" w:type="dxa"/>
            </w:tcMar>
            <w:vAlign w:val="center"/>
          </w:tcPr>
          <w:p w14:paraId="0E33BD0E">
            <w:pPr>
              <w:pStyle w:val="39"/>
              <w:widowControl w:val="0"/>
              <w:rPr>
                <w:rFonts w:hint="eastAsia" w:ascii="宋体" w:hAnsi="宋体" w:cs="宋体"/>
              </w:rPr>
            </w:pPr>
            <w:r>
              <w:rPr>
                <w:rFonts w:hint="eastAsia" w:ascii="宋体" w:hAnsi="宋体" w:eastAsia="宋体" w:cs="宋体"/>
                <w:sz w:val="18"/>
              </w:rPr>
              <w:t>□通过　□整改</w:t>
            </w:r>
          </w:p>
        </w:tc>
        <w:tc>
          <w:tcPr>
            <w:tcW w:w="1003" w:type="pct"/>
            <w:tcBorders>
              <w:top w:val="single" w:color="000000" w:sz="8" w:space="0"/>
              <w:tl2br w:val="nil"/>
              <w:tr2bl w:val="nil"/>
            </w:tcBorders>
            <w:tcMar>
              <w:top w:w="70" w:type="dxa"/>
              <w:left w:w="70" w:type="dxa"/>
              <w:bottom w:w="70" w:type="dxa"/>
              <w:right w:w="70" w:type="dxa"/>
            </w:tcMar>
            <w:vAlign w:val="center"/>
          </w:tcPr>
          <w:p w14:paraId="0E33BD0F">
            <w:pPr>
              <w:pStyle w:val="39"/>
              <w:widowControl w:val="0"/>
              <w:rPr>
                <w:rFonts w:hint="eastAsia" w:ascii="宋体" w:hAnsi="宋体" w:cs="宋体"/>
              </w:rPr>
            </w:pPr>
          </w:p>
        </w:tc>
      </w:tr>
      <w:tr w14:paraId="0E33BD16">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999" w:type="pct"/>
            <w:tcBorders>
              <w:tl2br w:val="nil"/>
              <w:tr2bl w:val="nil"/>
            </w:tcBorders>
            <w:tcMar>
              <w:top w:w="70" w:type="dxa"/>
              <w:left w:w="70" w:type="dxa"/>
              <w:bottom w:w="70" w:type="dxa"/>
              <w:right w:w="70" w:type="dxa"/>
            </w:tcMar>
            <w:vAlign w:val="center"/>
          </w:tcPr>
          <w:p w14:paraId="0E33BD11">
            <w:pPr>
              <w:pStyle w:val="39"/>
              <w:widowControl w:val="0"/>
              <w:rPr>
                <w:rFonts w:hint="eastAsia" w:ascii="宋体" w:hAnsi="宋体" w:cs="宋体"/>
              </w:rPr>
            </w:pPr>
            <w:r>
              <w:rPr>
                <w:rFonts w:hint="eastAsia" w:ascii="宋体" w:hAnsi="宋体" w:eastAsia="宋体" w:cs="宋体"/>
                <w:sz w:val="18"/>
              </w:rPr>
              <w:t>数据完整性</w:t>
            </w:r>
          </w:p>
        </w:tc>
        <w:tc>
          <w:tcPr>
            <w:tcW w:w="999" w:type="pct"/>
            <w:tcBorders>
              <w:tl2br w:val="nil"/>
              <w:tr2bl w:val="nil"/>
            </w:tcBorders>
            <w:tcMar>
              <w:top w:w="70" w:type="dxa"/>
              <w:left w:w="70" w:type="dxa"/>
              <w:bottom w:w="70" w:type="dxa"/>
              <w:right w:w="70" w:type="dxa"/>
            </w:tcMar>
            <w:vAlign w:val="center"/>
          </w:tcPr>
          <w:p w14:paraId="0E33BD12">
            <w:pPr>
              <w:pStyle w:val="39"/>
              <w:widowControl w:val="0"/>
              <w:rPr>
                <w:rFonts w:hint="eastAsia" w:ascii="宋体" w:hAnsi="宋体" w:cs="宋体"/>
              </w:rPr>
            </w:pPr>
            <w:r>
              <w:rPr>
                <w:rFonts w:hint="eastAsia" w:ascii="宋体" w:hAnsi="宋体" w:eastAsia="宋体" w:cs="宋体"/>
                <w:sz w:val="18"/>
              </w:rPr>
              <w:t>材料、能源、运输、周转材料及措施项目</w:t>
            </w:r>
          </w:p>
        </w:tc>
        <w:tc>
          <w:tcPr>
            <w:tcW w:w="998" w:type="pct"/>
            <w:gridSpan w:val="2"/>
            <w:tcBorders>
              <w:tl2br w:val="nil"/>
              <w:tr2bl w:val="nil"/>
            </w:tcBorders>
            <w:tcMar>
              <w:top w:w="70" w:type="dxa"/>
              <w:left w:w="70" w:type="dxa"/>
              <w:bottom w:w="70" w:type="dxa"/>
              <w:right w:w="70" w:type="dxa"/>
            </w:tcMar>
            <w:vAlign w:val="center"/>
          </w:tcPr>
          <w:p w14:paraId="0E33BD13">
            <w:pPr>
              <w:pStyle w:val="39"/>
              <w:widowControl w:val="0"/>
              <w:rPr>
                <w:rFonts w:hint="eastAsia" w:ascii="宋体" w:hAnsi="宋体" w:cs="宋体"/>
              </w:rPr>
            </w:pPr>
            <w:r>
              <w:rPr>
                <w:rFonts w:hint="eastAsia" w:ascii="宋体" w:hAnsi="宋体" w:eastAsia="宋体" w:cs="宋体"/>
                <w:sz w:val="18"/>
              </w:rPr>
              <w:t>无未说明缺项</w:t>
            </w:r>
          </w:p>
        </w:tc>
        <w:tc>
          <w:tcPr>
            <w:tcW w:w="999" w:type="pct"/>
            <w:tcBorders>
              <w:tl2br w:val="nil"/>
              <w:tr2bl w:val="nil"/>
            </w:tcBorders>
            <w:tcMar>
              <w:top w:w="70" w:type="dxa"/>
              <w:left w:w="70" w:type="dxa"/>
              <w:bottom w:w="70" w:type="dxa"/>
              <w:right w:w="70" w:type="dxa"/>
            </w:tcMar>
            <w:vAlign w:val="center"/>
          </w:tcPr>
          <w:p w14:paraId="0E33BD14">
            <w:pPr>
              <w:pStyle w:val="39"/>
              <w:widowControl w:val="0"/>
              <w:rPr>
                <w:rFonts w:hint="eastAsia" w:ascii="宋体" w:hAnsi="宋体" w:cs="宋体"/>
              </w:rPr>
            </w:pPr>
            <w:r>
              <w:rPr>
                <w:rFonts w:hint="eastAsia" w:ascii="宋体" w:hAnsi="宋体" w:eastAsia="宋体" w:cs="宋体"/>
                <w:sz w:val="18"/>
              </w:rPr>
              <w:t>□通过　□整改</w:t>
            </w:r>
          </w:p>
        </w:tc>
        <w:tc>
          <w:tcPr>
            <w:tcW w:w="1003" w:type="pct"/>
            <w:tcBorders>
              <w:tl2br w:val="nil"/>
              <w:tr2bl w:val="nil"/>
            </w:tcBorders>
            <w:tcMar>
              <w:top w:w="70" w:type="dxa"/>
              <w:left w:w="70" w:type="dxa"/>
              <w:bottom w:w="70" w:type="dxa"/>
              <w:right w:w="70" w:type="dxa"/>
            </w:tcMar>
            <w:vAlign w:val="center"/>
          </w:tcPr>
          <w:p w14:paraId="0E33BD15">
            <w:pPr>
              <w:pStyle w:val="39"/>
              <w:widowControl w:val="0"/>
              <w:rPr>
                <w:rFonts w:hint="eastAsia" w:ascii="宋体" w:hAnsi="宋体" w:cs="宋体"/>
              </w:rPr>
            </w:pPr>
          </w:p>
        </w:tc>
      </w:tr>
      <w:tr w14:paraId="0E33BD1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999" w:type="pct"/>
            <w:tcBorders>
              <w:tl2br w:val="nil"/>
              <w:tr2bl w:val="nil"/>
            </w:tcBorders>
            <w:tcMar>
              <w:top w:w="70" w:type="dxa"/>
              <w:left w:w="70" w:type="dxa"/>
              <w:bottom w:w="70" w:type="dxa"/>
              <w:right w:w="70" w:type="dxa"/>
            </w:tcMar>
            <w:vAlign w:val="center"/>
          </w:tcPr>
          <w:p w14:paraId="0E33BD17">
            <w:pPr>
              <w:pStyle w:val="39"/>
              <w:widowControl w:val="0"/>
              <w:rPr>
                <w:rFonts w:hint="eastAsia" w:ascii="宋体" w:hAnsi="宋体" w:cs="宋体"/>
              </w:rPr>
            </w:pPr>
            <w:r>
              <w:rPr>
                <w:rFonts w:hint="eastAsia" w:ascii="宋体" w:hAnsi="宋体" w:eastAsia="宋体" w:cs="宋体"/>
                <w:sz w:val="18"/>
              </w:rPr>
              <w:t>单位一致性</w:t>
            </w:r>
          </w:p>
        </w:tc>
        <w:tc>
          <w:tcPr>
            <w:tcW w:w="999" w:type="pct"/>
            <w:tcBorders>
              <w:tl2br w:val="nil"/>
              <w:tr2bl w:val="nil"/>
            </w:tcBorders>
            <w:tcMar>
              <w:top w:w="70" w:type="dxa"/>
              <w:left w:w="70" w:type="dxa"/>
              <w:bottom w:w="70" w:type="dxa"/>
              <w:right w:w="70" w:type="dxa"/>
            </w:tcMar>
            <w:vAlign w:val="center"/>
          </w:tcPr>
          <w:p w14:paraId="0E33BD18">
            <w:pPr>
              <w:pStyle w:val="39"/>
              <w:widowControl w:val="0"/>
              <w:rPr>
                <w:rFonts w:hint="eastAsia" w:ascii="宋体" w:hAnsi="宋体" w:cs="宋体"/>
              </w:rPr>
            </w:pPr>
            <w:r>
              <w:rPr>
                <w:rFonts w:hint="eastAsia" w:ascii="宋体" w:hAnsi="宋体" w:eastAsia="宋体" w:cs="宋体"/>
                <w:sz w:val="18"/>
              </w:rPr>
              <w:t>活动数据与因子计量单位</w:t>
            </w:r>
          </w:p>
        </w:tc>
        <w:tc>
          <w:tcPr>
            <w:tcW w:w="998" w:type="pct"/>
            <w:gridSpan w:val="2"/>
            <w:tcBorders>
              <w:tl2br w:val="nil"/>
              <w:tr2bl w:val="nil"/>
            </w:tcBorders>
            <w:tcMar>
              <w:top w:w="70" w:type="dxa"/>
              <w:left w:w="70" w:type="dxa"/>
              <w:bottom w:w="70" w:type="dxa"/>
              <w:right w:w="70" w:type="dxa"/>
            </w:tcMar>
            <w:vAlign w:val="center"/>
          </w:tcPr>
          <w:p w14:paraId="0E33BD19">
            <w:pPr>
              <w:pStyle w:val="39"/>
              <w:widowControl w:val="0"/>
              <w:rPr>
                <w:rFonts w:hint="eastAsia" w:ascii="宋体" w:hAnsi="宋体" w:cs="宋体"/>
              </w:rPr>
            </w:pPr>
            <w:r>
              <w:rPr>
                <w:rFonts w:hint="eastAsia" w:ascii="宋体" w:hAnsi="宋体" w:eastAsia="宋体" w:cs="宋体"/>
                <w:sz w:val="18"/>
              </w:rPr>
              <w:t>量纲一致、换算正确</w:t>
            </w:r>
          </w:p>
        </w:tc>
        <w:tc>
          <w:tcPr>
            <w:tcW w:w="999" w:type="pct"/>
            <w:tcBorders>
              <w:tl2br w:val="nil"/>
              <w:tr2bl w:val="nil"/>
            </w:tcBorders>
            <w:tcMar>
              <w:top w:w="70" w:type="dxa"/>
              <w:left w:w="70" w:type="dxa"/>
              <w:bottom w:w="70" w:type="dxa"/>
              <w:right w:w="70" w:type="dxa"/>
            </w:tcMar>
            <w:vAlign w:val="center"/>
          </w:tcPr>
          <w:p w14:paraId="0E33BD1A">
            <w:pPr>
              <w:pStyle w:val="39"/>
              <w:widowControl w:val="0"/>
              <w:rPr>
                <w:rFonts w:hint="eastAsia" w:ascii="宋体" w:hAnsi="宋体" w:cs="宋体"/>
              </w:rPr>
            </w:pPr>
            <w:r>
              <w:rPr>
                <w:rFonts w:hint="eastAsia" w:ascii="宋体" w:hAnsi="宋体" w:eastAsia="宋体" w:cs="宋体"/>
                <w:sz w:val="18"/>
              </w:rPr>
              <w:t>□通过　□整改</w:t>
            </w:r>
          </w:p>
        </w:tc>
        <w:tc>
          <w:tcPr>
            <w:tcW w:w="1003" w:type="pct"/>
            <w:tcBorders>
              <w:tl2br w:val="nil"/>
              <w:tr2bl w:val="nil"/>
            </w:tcBorders>
            <w:tcMar>
              <w:top w:w="70" w:type="dxa"/>
              <w:left w:w="70" w:type="dxa"/>
              <w:bottom w:w="70" w:type="dxa"/>
              <w:right w:w="70" w:type="dxa"/>
            </w:tcMar>
            <w:vAlign w:val="center"/>
          </w:tcPr>
          <w:p w14:paraId="0E33BD1B">
            <w:pPr>
              <w:pStyle w:val="39"/>
              <w:widowControl w:val="0"/>
              <w:rPr>
                <w:rFonts w:hint="eastAsia" w:ascii="宋体" w:hAnsi="宋体" w:cs="宋体"/>
              </w:rPr>
            </w:pPr>
          </w:p>
        </w:tc>
      </w:tr>
      <w:tr w14:paraId="0E33BD2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999" w:type="pct"/>
            <w:tcBorders>
              <w:tl2br w:val="nil"/>
              <w:tr2bl w:val="nil"/>
            </w:tcBorders>
            <w:tcMar>
              <w:top w:w="70" w:type="dxa"/>
              <w:left w:w="70" w:type="dxa"/>
              <w:bottom w:w="70" w:type="dxa"/>
              <w:right w:w="70" w:type="dxa"/>
            </w:tcMar>
            <w:vAlign w:val="center"/>
          </w:tcPr>
          <w:p w14:paraId="0E33BD1D">
            <w:pPr>
              <w:pStyle w:val="39"/>
              <w:widowControl w:val="0"/>
              <w:rPr>
                <w:rFonts w:hint="eastAsia" w:ascii="宋体" w:hAnsi="宋体" w:cs="宋体"/>
              </w:rPr>
            </w:pPr>
            <w:r>
              <w:rPr>
                <w:rFonts w:hint="eastAsia" w:ascii="宋体" w:hAnsi="宋体" w:eastAsia="宋体" w:cs="宋体"/>
                <w:sz w:val="18"/>
              </w:rPr>
              <w:t>因子适用性</w:t>
            </w:r>
          </w:p>
        </w:tc>
        <w:tc>
          <w:tcPr>
            <w:tcW w:w="999" w:type="pct"/>
            <w:tcBorders>
              <w:tl2br w:val="nil"/>
              <w:tr2bl w:val="nil"/>
            </w:tcBorders>
            <w:tcMar>
              <w:top w:w="70" w:type="dxa"/>
              <w:left w:w="70" w:type="dxa"/>
              <w:bottom w:w="70" w:type="dxa"/>
              <w:right w:w="70" w:type="dxa"/>
            </w:tcMar>
            <w:vAlign w:val="center"/>
          </w:tcPr>
          <w:p w14:paraId="0E33BD1E">
            <w:pPr>
              <w:pStyle w:val="39"/>
              <w:widowControl w:val="0"/>
              <w:rPr>
                <w:rFonts w:hint="eastAsia" w:ascii="宋体" w:hAnsi="宋体" w:cs="宋体"/>
              </w:rPr>
            </w:pPr>
            <w:r>
              <w:rPr>
                <w:rFonts w:hint="eastAsia" w:ascii="宋体" w:hAnsi="宋体" w:eastAsia="宋体" w:cs="宋体"/>
                <w:sz w:val="18"/>
              </w:rPr>
              <w:t>来源、年份、地区、技术代表性</w:t>
            </w:r>
          </w:p>
        </w:tc>
        <w:tc>
          <w:tcPr>
            <w:tcW w:w="998" w:type="pct"/>
            <w:gridSpan w:val="2"/>
            <w:tcBorders>
              <w:tl2br w:val="nil"/>
              <w:tr2bl w:val="nil"/>
            </w:tcBorders>
            <w:tcMar>
              <w:top w:w="70" w:type="dxa"/>
              <w:left w:w="70" w:type="dxa"/>
              <w:bottom w:w="70" w:type="dxa"/>
              <w:right w:w="70" w:type="dxa"/>
            </w:tcMar>
            <w:vAlign w:val="center"/>
          </w:tcPr>
          <w:p w14:paraId="0E33BD1F">
            <w:pPr>
              <w:pStyle w:val="39"/>
              <w:widowControl w:val="0"/>
              <w:rPr>
                <w:rFonts w:hint="eastAsia" w:ascii="宋体" w:hAnsi="宋体" w:cs="宋体"/>
              </w:rPr>
            </w:pPr>
            <w:r>
              <w:rPr>
                <w:rFonts w:hint="eastAsia" w:ascii="宋体" w:hAnsi="宋体" w:eastAsia="宋体" w:cs="宋体"/>
                <w:sz w:val="18"/>
              </w:rPr>
              <w:t>满足优先级与适用条件</w:t>
            </w:r>
          </w:p>
        </w:tc>
        <w:tc>
          <w:tcPr>
            <w:tcW w:w="999" w:type="pct"/>
            <w:tcBorders>
              <w:tl2br w:val="nil"/>
              <w:tr2bl w:val="nil"/>
            </w:tcBorders>
            <w:tcMar>
              <w:top w:w="70" w:type="dxa"/>
              <w:left w:w="70" w:type="dxa"/>
              <w:bottom w:w="70" w:type="dxa"/>
              <w:right w:w="70" w:type="dxa"/>
            </w:tcMar>
            <w:vAlign w:val="center"/>
          </w:tcPr>
          <w:p w14:paraId="0E33BD20">
            <w:pPr>
              <w:pStyle w:val="39"/>
              <w:widowControl w:val="0"/>
              <w:rPr>
                <w:rFonts w:hint="eastAsia" w:ascii="宋体" w:hAnsi="宋体" w:cs="宋体"/>
              </w:rPr>
            </w:pPr>
            <w:r>
              <w:rPr>
                <w:rFonts w:hint="eastAsia" w:ascii="宋体" w:hAnsi="宋体" w:eastAsia="宋体" w:cs="宋体"/>
                <w:sz w:val="18"/>
              </w:rPr>
              <w:t>□通过　□整改</w:t>
            </w:r>
          </w:p>
        </w:tc>
        <w:tc>
          <w:tcPr>
            <w:tcW w:w="1003" w:type="pct"/>
            <w:tcBorders>
              <w:tl2br w:val="nil"/>
              <w:tr2bl w:val="nil"/>
            </w:tcBorders>
            <w:tcMar>
              <w:top w:w="70" w:type="dxa"/>
              <w:left w:w="70" w:type="dxa"/>
              <w:bottom w:w="70" w:type="dxa"/>
              <w:right w:w="70" w:type="dxa"/>
            </w:tcMar>
            <w:vAlign w:val="center"/>
          </w:tcPr>
          <w:p w14:paraId="0E33BD21">
            <w:pPr>
              <w:pStyle w:val="39"/>
              <w:widowControl w:val="0"/>
              <w:rPr>
                <w:rFonts w:hint="eastAsia" w:ascii="宋体" w:hAnsi="宋体" w:cs="宋体"/>
              </w:rPr>
            </w:pPr>
          </w:p>
        </w:tc>
      </w:tr>
      <w:tr w14:paraId="0E33BD28">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999" w:type="pct"/>
            <w:tcBorders>
              <w:tl2br w:val="nil"/>
              <w:tr2bl w:val="nil"/>
            </w:tcBorders>
            <w:tcMar>
              <w:top w:w="70" w:type="dxa"/>
              <w:left w:w="70" w:type="dxa"/>
              <w:bottom w:w="70" w:type="dxa"/>
              <w:right w:w="70" w:type="dxa"/>
            </w:tcMar>
            <w:vAlign w:val="center"/>
          </w:tcPr>
          <w:p w14:paraId="0E33BD23">
            <w:pPr>
              <w:pStyle w:val="39"/>
              <w:widowControl w:val="0"/>
              <w:rPr>
                <w:rFonts w:hint="eastAsia" w:ascii="宋体" w:hAnsi="宋体" w:cs="宋体"/>
              </w:rPr>
            </w:pPr>
            <w:r>
              <w:rPr>
                <w:rFonts w:hint="eastAsia" w:ascii="宋体" w:hAnsi="宋体" w:eastAsia="宋体" w:cs="宋体"/>
                <w:sz w:val="18"/>
              </w:rPr>
              <w:t>分配合理性</w:t>
            </w:r>
          </w:p>
        </w:tc>
        <w:tc>
          <w:tcPr>
            <w:tcW w:w="999" w:type="pct"/>
            <w:tcBorders>
              <w:tl2br w:val="nil"/>
              <w:tr2bl w:val="nil"/>
            </w:tcBorders>
            <w:tcMar>
              <w:top w:w="70" w:type="dxa"/>
              <w:left w:w="70" w:type="dxa"/>
              <w:bottom w:w="70" w:type="dxa"/>
              <w:right w:w="70" w:type="dxa"/>
            </w:tcMar>
            <w:vAlign w:val="center"/>
          </w:tcPr>
          <w:p w14:paraId="0E33BD24">
            <w:pPr>
              <w:pStyle w:val="39"/>
              <w:widowControl w:val="0"/>
              <w:rPr>
                <w:rFonts w:hint="eastAsia" w:ascii="宋体" w:hAnsi="宋体" w:cs="宋体"/>
              </w:rPr>
            </w:pPr>
            <w:r>
              <w:rPr>
                <w:rFonts w:hint="eastAsia" w:ascii="宋体" w:hAnsi="宋体" w:eastAsia="宋体" w:cs="宋体"/>
                <w:sz w:val="18"/>
              </w:rPr>
              <w:t>共享能源、零星材料、周转材料</w:t>
            </w:r>
          </w:p>
        </w:tc>
        <w:tc>
          <w:tcPr>
            <w:tcW w:w="998" w:type="pct"/>
            <w:gridSpan w:val="2"/>
            <w:tcBorders>
              <w:tl2br w:val="nil"/>
              <w:tr2bl w:val="nil"/>
            </w:tcBorders>
            <w:tcMar>
              <w:top w:w="70" w:type="dxa"/>
              <w:left w:w="70" w:type="dxa"/>
              <w:bottom w:w="70" w:type="dxa"/>
              <w:right w:w="70" w:type="dxa"/>
            </w:tcMar>
            <w:vAlign w:val="center"/>
          </w:tcPr>
          <w:p w14:paraId="0E33BD25">
            <w:pPr>
              <w:pStyle w:val="39"/>
              <w:widowControl w:val="0"/>
              <w:rPr>
                <w:rFonts w:hint="eastAsia" w:ascii="宋体" w:hAnsi="宋体" w:cs="宋体"/>
              </w:rPr>
            </w:pPr>
            <w:r>
              <w:rPr>
                <w:rFonts w:hint="eastAsia" w:ascii="宋体" w:hAnsi="宋体" w:eastAsia="宋体" w:cs="宋体"/>
                <w:sz w:val="18"/>
              </w:rPr>
              <w:t>分配依据明确且一致</w:t>
            </w:r>
          </w:p>
        </w:tc>
        <w:tc>
          <w:tcPr>
            <w:tcW w:w="999" w:type="pct"/>
            <w:tcBorders>
              <w:tl2br w:val="nil"/>
              <w:tr2bl w:val="nil"/>
            </w:tcBorders>
            <w:tcMar>
              <w:top w:w="70" w:type="dxa"/>
              <w:left w:w="70" w:type="dxa"/>
              <w:bottom w:w="70" w:type="dxa"/>
              <w:right w:w="70" w:type="dxa"/>
            </w:tcMar>
            <w:vAlign w:val="center"/>
          </w:tcPr>
          <w:p w14:paraId="0E33BD26">
            <w:pPr>
              <w:pStyle w:val="39"/>
              <w:widowControl w:val="0"/>
              <w:rPr>
                <w:rFonts w:hint="eastAsia" w:ascii="宋体" w:hAnsi="宋体" w:cs="宋体"/>
              </w:rPr>
            </w:pPr>
            <w:r>
              <w:rPr>
                <w:rFonts w:hint="eastAsia" w:ascii="宋体" w:hAnsi="宋体" w:eastAsia="宋体" w:cs="宋体"/>
                <w:sz w:val="18"/>
              </w:rPr>
              <w:t>□通过　□整改</w:t>
            </w:r>
          </w:p>
        </w:tc>
        <w:tc>
          <w:tcPr>
            <w:tcW w:w="1003" w:type="pct"/>
            <w:tcBorders>
              <w:tl2br w:val="nil"/>
              <w:tr2bl w:val="nil"/>
            </w:tcBorders>
            <w:tcMar>
              <w:top w:w="70" w:type="dxa"/>
              <w:left w:w="70" w:type="dxa"/>
              <w:bottom w:w="70" w:type="dxa"/>
              <w:right w:w="70" w:type="dxa"/>
            </w:tcMar>
            <w:vAlign w:val="center"/>
          </w:tcPr>
          <w:p w14:paraId="0E33BD27">
            <w:pPr>
              <w:pStyle w:val="39"/>
              <w:widowControl w:val="0"/>
              <w:rPr>
                <w:rFonts w:hint="eastAsia" w:ascii="宋体" w:hAnsi="宋体" w:cs="宋体"/>
              </w:rPr>
            </w:pPr>
          </w:p>
        </w:tc>
      </w:tr>
      <w:tr w14:paraId="0E33BD2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999" w:type="pct"/>
            <w:tcBorders>
              <w:tl2br w:val="nil"/>
              <w:tr2bl w:val="nil"/>
            </w:tcBorders>
            <w:tcMar>
              <w:top w:w="70" w:type="dxa"/>
              <w:left w:w="70" w:type="dxa"/>
              <w:bottom w:w="70" w:type="dxa"/>
              <w:right w:w="70" w:type="dxa"/>
            </w:tcMar>
            <w:vAlign w:val="center"/>
          </w:tcPr>
          <w:p w14:paraId="0E33BD29">
            <w:pPr>
              <w:pStyle w:val="39"/>
              <w:widowControl w:val="0"/>
              <w:rPr>
                <w:rFonts w:hint="eastAsia" w:ascii="宋体" w:hAnsi="宋体" w:cs="宋体"/>
              </w:rPr>
            </w:pPr>
            <w:r>
              <w:rPr>
                <w:rFonts w:hint="eastAsia" w:ascii="宋体" w:hAnsi="宋体" w:eastAsia="宋体" w:cs="宋体"/>
                <w:sz w:val="18"/>
              </w:rPr>
              <w:t>避免重复核算</w:t>
            </w:r>
          </w:p>
        </w:tc>
        <w:tc>
          <w:tcPr>
            <w:tcW w:w="999" w:type="pct"/>
            <w:tcBorders>
              <w:tl2br w:val="nil"/>
              <w:tr2bl w:val="nil"/>
            </w:tcBorders>
            <w:tcMar>
              <w:top w:w="70" w:type="dxa"/>
              <w:left w:w="70" w:type="dxa"/>
              <w:bottom w:w="70" w:type="dxa"/>
              <w:right w:w="70" w:type="dxa"/>
            </w:tcMar>
            <w:vAlign w:val="center"/>
          </w:tcPr>
          <w:p w14:paraId="0E33BD2A">
            <w:pPr>
              <w:pStyle w:val="39"/>
              <w:widowControl w:val="0"/>
              <w:rPr>
                <w:rFonts w:hint="eastAsia" w:ascii="宋体" w:hAnsi="宋体" w:cs="宋体"/>
              </w:rPr>
            </w:pPr>
            <w:r>
              <w:rPr>
                <w:rFonts w:hint="eastAsia" w:ascii="宋体" w:hAnsi="宋体" w:eastAsia="宋体" w:cs="宋体"/>
                <w:sz w:val="18"/>
              </w:rPr>
              <w:t>A3/A5、机械/措施项目交叉项</w:t>
            </w:r>
          </w:p>
        </w:tc>
        <w:tc>
          <w:tcPr>
            <w:tcW w:w="998" w:type="pct"/>
            <w:gridSpan w:val="2"/>
            <w:tcBorders>
              <w:tl2br w:val="nil"/>
              <w:tr2bl w:val="nil"/>
            </w:tcBorders>
            <w:tcMar>
              <w:top w:w="70" w:type="dxa"/>
              <w:left w:w="70" w:type="dxa"/>
              <w:bottom w:w="70" w:type="dxa"/>
              <w:right w:w="70" w:type="dxa"/>
            </w:tcMar>
            <w:vAlign w:val="center"/>
          </w:tcPr>
          <w:p w14:paraId="0E33BD2B">
            <w:pPr>
              <w:pStyle w:val="39"/>
              <w:widowControl w:val="0"/>
              <w:rPr>
                <w:rFonts w:hint="eastAsia" w:ascii="宋体" w:hAnsi="宋体" w:cs="宋体"/>
              </w:rPr>
            </w:pPr>
            <w:r>
              <w:rPr>
                <w:rFonts w:hint="eastAsia" w:ascii="宋体" w:hAnsi="宋体" w:eastAsia="宋体" w:cs="宋体"/>
                <w:sz w:val="18"/>
              </w:rPr>
              <w:t>同一活动仅计入一次</w:t>
            </w:r>
          </w:p>
        </w:tc>
        <w:tc>
          <w:tcPr>
            <w:tcW w:w="999" w:type="pct"/>
            <w:tcBorders>
              <w:tl2br w:val="nil"/>
              <w:tr2bl w:val="nil"/>
            </w:tcBorders>
            <w:tcMar>
              <w:top w:w="70" w:type="dxa"/>
              <w:left w:w="70" w:type="dxa"/>
              <w:bottom w:w="70" w:type="dxa"/>
              <w:right w:w="70" w:type="dxa"/>
            </w:tcMar>
            <w:vAlign w:val="center"/>
          </w:tcPr>
          <w:p w14:paraId="0E33BD2C">
            <w:pPr>
              <w:pStyle w:val="39"/>
              <w:widowControl w:val="0"/>
              <w:rPr>
                <w:rFonts w:hint="eastAsia" w:ascii="宋体" w:hAnsi="宋体" w:cs="宋体"/>
              </w:rPr>
            </w:pPr>
            <w:r>
              <w:rPr>
                <w:rFonts w:hint="eastAsia" w:ascii="宋体" w:hAnsi="宋体" w:eastAsia="宋体" w:cs="宋体"/>
                <w:sz w:val="18"/>
              </w:rPr>
              <w:t>□通过　□整改</w:t>
            </w:r>
          </w:p>
        </w:tc>
        <w:tc>
          <w:tcPr>
            <w:tcW w:w="1003" w:type="pct"/>
            <w:tcBorders>
              <w:tl2br w:val="nil"/>
              <w:tr2bl w:val="nil"/>
            </w:tcBorders>
            <w:tcMar>
              <w:top w:w="70" w:type="dxa"/>
              <w:left w:w="70" w:type="dxa"/>
              <w:bottom w:w="70" w:type="dxa"/>
              <w:right w:w="70" w:type="dxa"/>
            </w:tcMar>
            <w:vAlign w:val="center"/>
          </w:tcPr>
          <w:p w14:paraId="0E33BD2D">
            <w:pPr>
              <w:pStyle w:val="39"/>
              <w:widowControl w:val="0"/>
              <w:rPr>
                <w:rFonts w:hint="eastAsia" w:ascii="宋体" w:hAnsi="宋体" w:cs="宋体"/>
              </w:rPr>
            </w:pPr>
          </w:p>
        </w:tc>
      </w:tr>
      <w:tr w14:paraId="0E33BD3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999" w:type="pct"/>
            <w:tcBorders>
              <w:tl2br w:val="nil"/>
              <w:tr2bl w:val="nil"/>
            </w:tcBorders>
            <w:tcMar>
              <w:top w:w="70" w:type="dxa"/>
              <w:left w:w="70" w:type="dxa"/>
              <w:bottom w:w="70" w:type="dxa"/>
              <w:right w:w="70" w:type="dxa"/>
            </w:tcMar>
            <w:vAlign w:val="center"/>
          </w:tcPr>
          <w:p w14:paraId="0E33BD2F">
            <w:pPr>
              <w:pStyle w:val="39"/>
              <w:widowControl w:val="0"/>
              <w:rPr>
                <w:rFonts w:hint="eastAsia" w:ascii="宋体" w:hAnsi="宋体" w:cs="宋体"/>
              </w:rPr>
            </w:pPr>
            <w:r>
              <w:rPr>
                <w:rFonts w:hint="eastAsia" w:ascii="宋体" w:hAnsi="宋体" w:eastAsia="宋体" w:cs="宋体"/>
                <w:sz w:val="18"/>
              </w:rPr>
              <w:t>核算准确性</w:t>
            </w:r>
          </w:p>
        </w:tc>
        <w:tc>
          <w:tcPr>
            <w:tcW w:w="999" w:type="pct"/>
            <w:tcBorders>
              <w:tl2br w:val="nil"/>
              <w:tr2bl w:val="nil"/>
            </w:tcBorders>
            <w:tcMar>
              <w:top w:w="70" w:type="dxa"/>
              <w:left w:w="70" w:type="dxa"/>
              <w:bottom w:w="70" w:type="dxa"/>
              <w:right w:w="70" w:type="dxa"/>
            </w:tcMar>
            <w:vAlign w:val="center"/>
          </w:tcPr>
          <w:p w14:paraId="0E33BD30">
            <w:pPr>
              <w:pStyle w:val="39"/>
              <w:widowControl w:val="0"/>
              <w:rPr>
                <w:rFonts w:hint="eastAsia" w:ascii="宋体" w:hAnsi="宋体" w:cs="宋体"/>
              </w:rPr>
            </w:pPr>
            <w:r>
              <w:rPr>
                <w:rFonts w:hint="eastAsia" w:ascii="宋体" w:hAnsi="宋体" w:eastAsia="宋体" w:cs="宋体"/>
                <w:sz w:val="18"/>
              </w:rPr>
              <w:t>公式、汇总、占比和强度</w:t>
            </w:r>
          </w:p>
        </w:tc>
        <w:tc>
          <w:tcPr>
            <w:tcW w:w="998" w:type="pct"/>
            <w:gridSpan w:val="2"/>
            <w:tcBorders>
              <w:tl2br w:val="nil"/>
              <w:tr2bl w:val="nil"/>
            </w:tcBorders>
            <w:tcMar>
              <w:top w:w="70" w:type="dxa"/>
              <w:left w:w="70" w:type="dxa"/>
              <w:bottom w:w="70" w:type="dxa"/>
              <w:right w:w="70" w:type="dxa"/>
            </w:tcMar>
            <w:vAlign w:val="center"/>
          </w:tcPr>
          <w:p w14:paraId="0E33BD31">
            <w:pPr>
              <w:pStyle w:val="39"/>
              <w:widowControl w:val="0"/>
              <w:rPr>
                <w:rFonts w:hint="eastAsia" w:ascii="宋体" w:hAnsi="宋体" w:cs="宋体"/>
              </w:rPr>
            </w:pPr>
            <w:r>
              <w:rPr>
                <w:rFonts w:hint="eastAsia" w:ascii="宋体" w:hAnsi="宋体" w:eastAsia="宋体" w:cs="宋体"/>
                <w:sz w:val="18"/>
              </w:rPr>
              <w:t>复算结果一致</w:t>
            </w:r>
          </w:p>
        </w:tc>
        <w:tc>
          <w:tcPr>
            <w:tcW w:w="999" w:type="pct"/>
            <w:tcBorders>
              <w:tl2br w:val="nil"/>
              <w:tr2bl w:val="nil"/>
            </w:tcBorders>
            <w:tcMar>
              <w:top w:w="70" w:type="dxa"/>
              <w:left w:w="70" w:type="dxa"/>
              <w:bottom w:w="70" w:type="dxa"/>
              <w:right w:w="70" w:type="dxa"/>
            </w:tcMar>
            <w:vAlign w:val="center"/>
          </w:tcPr>
          <w:p w14:paraId="0E33BD32">
            <w:pPr>
              <w:pStyle w:val="39"/>
              <w:widowControl w:val="0"/>
              <w:rPr>
                <w:rFonts w:hint="eastAsia" w:ascii="宋体" w:hAnsi="宋体" w:cs="宋体"/>
              </w:rPr>
            </w:pPr>
            <w:r>
              <w:rPr>
                <w:rFonts w:hint="eastAsia" w:ascii="宋体" w:hAnsi="宋体" w:eastAsia="宋体" w:cs="宋体"/>
                <w:sz w:val="18"/>
              </w:rPr>
              <w:t>□通过　□整改</w:t>
            </w:r>
          </w:p>
        </w:tc>
        <w:tc>
          <w:tcPr>
            <w:tcW w:w="1003" w:type="pct"/>
            <w:tcBorders>
              <w:tl2br w:val="nil"/>
              <w:tr2bl w:val="nil"/>
            </w:tcBorders>
            <w:tcMar>
              <w:top w:w="70" w:type="dxa"/>
              <w:left w:w="70" w:type="dxa"/>
              <w:bottom w:w="70" w:type="dxa"/>
              <w:right w:w="70" w:type="dxa"/>
            </w:tcMar>
            <w:vAlign w:val="center"/>
          </w:tcPr>
          <w:p w14:paraId="0E33BD33">
            <w:pPr>
              <w:pStyle w:val="39"/>
              <w:widowControl w:val="0"/>
              <w:rPr>
                <w:rFonts w:hint="eastAsia" w:ascii="宋体" w:hAnsi="宋体" w:cs="宋体"/>
              </w:rPr>
            </w:pPr>
          </w:p>
        </w:tc>
      </w:tr>
      <w:tr w14:paraId="0E33BD3A">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999" w:type="pct"/>
            <w:tcBorders>
              <w:tl2br w:val="nil"/>
              <w:tr2bl w:val="nil"/>
            </w:tcBorders>
            <w:tcMar>
              <w:top w:w="70" w:type="dxa"/>
              <w:left w:w="70" w:type="dxa"/>
              <w:bottom w:w="70" w:type="dxa"/>
              <w:right w:w="70" w:type="dxa"/>
            </w:tcMar>
            <w:vAlign w:val="center"/>
          </w:tcPr>
          <w:p w14:paraId="0E33BD35">
            <w:pPr>
              <w:pStyle w:val="39"/>
              <w:widowControl w:val="0"/>
              <w:rPr>
                <w:rFonts w:hint="eastAsia" w:ascii="宋体" w:hAnsi="宋体" w:cs="宋体"/>
              </w:rPr>
            </w:pPr>
            <w:r>
              <w:rPr>
                <w:rFonts w:hint="eastAsia" w:ascii="宋体" w:hAnsi="宋体" w:eastAsia="宋体" w:cs="宋体"/>
                <w:sz w:val="18"/>
              </w:rPr>
              <w:t>证据可追溯性</w:t>
            </w:r>
          </w:p>
        </w:tc>
        <w:tc>
          <w:tcPr>
            <w:tcW w:w="999" w:type="pct"/>
            <w:tcBorders>
              <w:tl2br w:val="nil"/>
              <w:tr2bl w:val="nil"/>
            </w:tcBorders>
            <w:tcMar>
              <w:top w:w="70" w:type="dxa"/>
              <w:left w:w="70" w:type="dxa"/>
              <w:bottom w:w="70" w:type="dxa"/>
              <w:right w:w="70" w:type="dxa"/>
            </w:tcMar>
            <w:vAlign w:val="center"/>
          </w:tcPr>
          <w:p w14:paraId="0E33BD36">
            <w:pPr>
              <w:pStyle w:val="39"/>
              <w:widowControl w:val="0"/>
              <w:rPr>
                <w:rFonts w:hint="eastAsia" w:ascii="宋体" w:hAnsi="宋体" w:cs="宋体"/>
              </w:rPr>
            </w:pPr>
            <w:r>
              <w:rPr>
                <w:rFonts w:hint="eastAsia" w:ascii="宋体" w:hAnsi="宋体" w:eastAsia="宋体" w:cs="宋体"/>
                <w:sz w:val="18"/>
              </w:rPr>
              <w:t>台账、票据、图纸、日志及因子文件</w:t>
            </w:r>
          </w:p>
        </w:tc>
        <w:tc>
          <w:tcPr>
            <w:tcW w:w="998" w:type="pct"/>
            <w:gridSpan w:val="2"/>
            <w:tcBorders>
              <w:tl2br w:val="nil"/>
              <w:tr2bl w:val="nil"/>
            </w:tcBorders>
            <w:tcMar>
              <w:top w:w="70" w:type="dxa"/>
              <w:left w:w="70" w:type="dxa"/>
              <w:bottom w:w="70" w:type="dxa"/>
              <w:right w:w="70" w:type="dxa"/>
            </w:tcMar>
            <w:vAlign w:val="center"/>
          </w:tcPr>
          <w:p w14:paraId="0E33BD37">
            <w:pPr>
              <w:pStyle w:val="39"/>
              <w:widowControl w:val="0"/>
              <w:rPr>
                <w:rFonts w:hint="eastAsia" w:ascii="宋体" w:hAnsi="宋体" w:cs="宋体"/>
              </w:rPr>
            </w:pPr>
            <w:r>
              <w:rPr>
                <w:rFonts w:hint="eastAsia" w:ascii="宋体" w:hAnsi="宋体" w:eastAsia="宋体" w:cs="宋体"/>
                <w:sz w:val="18"/>
              </w:rPr>
              <w:t>证据编号可回溯</w:t>
            </w:r>
          </w:p>
        </w:tc>
        <w:tc>
          <w:tcPr>
            <w:tcW w:w="999" w:type="pct"/>
            <w:tcBorders>
              <w:tl2br w:val="nil"/>
              <w:tr2bl w:val="nil"/>
            </w:tcBorders>
            <w:tcMar>
              <w:top w:w="70" w:type="dxa"/>
              <w:left w:w="70" w:type="dxa"/>
              <w:bottom w:w="70" w:type="dxa"/>
              <w:right w:w="70" w:type="dxa"/>
            </w:tcMar>
            <w:vAlign w:val="center"/>
          </w:tcPr>
          <w:p w14:paraId="0E33BD38">
            <w:pPr>
              <w:pStyle w:val="39"/>
              <w:widowControl w:val="0"/>
              <w:rPr>
                <w:rFonts w:hint="eastAsia" w:ascii="宋体" w:hAnsi="宋体" w:cs="宋体"/>
              </w:rPr>
            </w:pPr>
            <w:r>
              <w:rPr>
                <w:rFonts w:hint="eastAsia" w:ascii="宋体" w:hAnsi="宋体" w:eastAsia="宋体" w:cs="宋体"/>
                <w:sz w:val="18"/>
              </w:rPr>
              <w:t>□通过　□整改</w:t>
            </w:r>
          </w:p>
        </w:tc>
        <w:tc>
          <w:tcPr>
            <w:tcW w:w="1003" w:type="pct"/>
            <w:tcBorders>
              <w:tl2br w:val="nil"/>
              <w:tr2bl w:val="nil"/>
            </w:tcBorders>
            <w:tcMar>
              <w:top w:w="70" w:type="dxa"/>
              <w:left w:w="70" w:type="dxa"/>
              <w:bottom w:w="70" w:type="dxa"/>
              <w:right w:w="70" w:type="dxa"/>
            </w:tcMar>
            <w:vAlign w:val="center"/>
          </w:tcPr>
          <w:p w14:paraId="0E33BD39">
            <w:pPr>
              <w:pStyle w:val="39"/>
              <w:widowControl w:val="0"/>
              <w:rPr>
                <w:rFonts w:hint="eastAsia" w:ascii="宋体" w:hAnsi="宋体" w:cs="宋体"/>
              </w:rPr>
            </w:pPr>
          </w:p>
        </w:tc>
      </w:tr>
      <w:tr w14:paraId="0E33BD4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999" w:type="pct"/>
            <w:tcBorders>
              <w:tl2br w:val="nil"/>
              <w:tr2bl w:val="nil"/>
            </w:tcBorders>
            <w:tcMar>
              <w:top w:w="70" w:type="dxa"/>
              <w:left w:w="70" w:type="dxa"/>
              <w:bottom w:w="70" w:type="dxa"/>
              <w:right w:w="70" w:type="dxa"/>
            </w:tcMar>
            <w:vAlign w:val="center"/>
          </w:tcPr>
          <w:p w14:paraId="0E33BD3B">
            <w:pPr>
              <w:pStyle w:val="39"/>
              <w:widowControl w:val="0"/>
              <w:rPr>
                <w:rFonts w:hint="eastAsia" w:ascii="宋体" w:hAnsi="宋体" w:cs="宋体"/>
              </w:rPr>
            </w:pPr>
            <w:r>
              <w:rPr>
                <w:rFonts w:hint="eastAsia" w:ascii="宋体" w:hAnsi="宋体" w:eastAsia="宋体" w:cs="宋体"/>
                <w:sz w:val="18"/>
              </w:rPr>
              <w:t>最终结论</w:t>
            </w:r>
          </w:p>
        </w:tc>
        <w:tc>
          <w:tcPr>
            <w:tcW w:w="999" w:type="pct"/>
            <w:tcBorders>
              <w:tl2br w:val="nil"/>
              <w:tr2bl w:val="nil"/>
            </w:tcBorders>
            <w:tcMar>
              <w:top w:w="70" w:type="dxa"/>
              <w:left w:w="70" w:type="dxa"/>
              <w:bottom w:w="70" w:type="dxa"/>
              <w:right w:w="70" w:type="dxa"/>
            </w:tcMar>
            <w:vAlign w:val="center"/>
          </w:tcPr>
          <w:p w14:paraId="0E33BD3C">
            <w:pPr>
              <w:pStyle w:val="39"/>
              <w:widowControl w:val="0"/>
              <w:rPr>
                <w:rFonts w:hint="eastAsia" w:ascii="宋体" w:hAnsi="宋体" w:cs="宋体"/>
              </w:rPr>
            </w:pPr>
            <w:r>
              <w:rPr>
                <w:rFonts w:hint="eastAsia" w:ascii="宋体" w:hAnsi="宋体" w:eastAsia="宋体" w:cs="宋体"/>
                <w:sz w:val="18"/>
              </w:rPr>
              <w:t>核算结果是否满足本文件要求</w:t>
            </w:r>
          </w:p>
        </w:tc>
        <w:tc>
          <w:tcPr>
            <w:tcW w:w="998" w:type="pct"/>
            <w:gridSpan w:val="2"/>
            <w:tcBorders>
              <w:tl2br w:val="nil"/>
              <w:tr2bl w:val="nil"/>
            </w:tcBorders>
            <w:tcMar>
              <w:top w:w="70" w:type="dxa"/>
              <w:left w:w="70" w:type="dxa"/>
              <w:bottom w:w="70" w:type="dxa"/>
              <w:right w:w="70" w:type="dxa"/>
            </w:tcMar>
            <w:vAlign w:val="center"/>
          </w:tcPr>
          <w:p w14:paraId="0E33BD3D">
            <w:pPr>
              <w:pStyle w:val="39"/>
              <w:widowControl w:val="0"/>
              <w:rPr>
                <w:rFonts w:hint="eastAsia" w:ascii="宋体" w:hAnsi="宋体" w:cs="宋体"/>
              </w:rPr>
            </w:pPr>
            <w:r>
              <w:rPr>
                <w:rFonts w:hint="eastAsia" w:ascii="宋体" w:hAnsi="宋体" w:eastAsia="宋体" w:cs="宋体"/>
                <w:sz w:val="18"/>
              </w:rPr>
              <w:t>全部关键项通过</w:t>
            </w:r>
          </w:p>
        </w:tc>
        <w:tc>
          <w:tcPr>
            <w:tcW w:w="999" w:type="pct"/>
            <w:tcBorders>
              <w:tl2br w:val="nil"/>
              <w:tr2bl w:val="nil"/>
            </w:tcBorders>
            <w:tcMar>
              <w:top w:w="70" w:type="dxa"/>
              <w:left w:w="70" w:type="dxa"/>
              <w:bottom w:w="70" w:type="dxa"/>
              <w:right w:w="70" w:type="dxa"/>
            </w:tcMar>
            <w:vAlign w:val="center"/>
          </w:tcPr>
          <w:p w14:paraId="0E33BD3E">
            <w:pPr>
              <w:pStyle w:val="39"/>
              <w:widowControl w:val="0"/>
              <w:rPr>
                <w:rFonts w:hint="eastAsia" w:ascii="宋体" w:hAnsi="宋体" w:cs="宋体"/>
              </w:rPr>
            </w:pPr>
            <w:r>
              <w:rPr>
                <w:rFonts w:hint="eastAsia" w:ascii="宋体" w:hAnsi="宋体" w:eastAsia="宋体" w:cs="宋体"/>
                <w:sz w:val="18"/>
              </w:rPr>
              <w:t>□通过　□不通过</w:t>
            </w:r>
          </w:p>
        </w:tc>
        <w:tc>
          <w:tcPr>
            <w:tcW w:w="1003" w:type="pct"/>
            <w:tcBorders>
              <w:tl2br w:val="nil"/>
              <w:tr2bl w:val="nil"/>
            </w:tcBorders>
            <w:tcMar>
              <w:top w:w="70" w:type="dxa"/>
              <w:left w:w="70" w:type="dxa"/>
              <w:bottom w:w="70" w:type="dxa"/>
              <w:right w:w="70" w:type="dxa"/>
            </w:tcMar>
            <w:vAlign w:val="center"/>
          </w:tcPr>
          <w:p w14:paraId="0E33BD3F">
            <w:pPr>
              <w:pStyle w:val="39"/>
              <w:widowControl w:val="0"/>
              <w:rPr>
                <w:rFonts w:hint="eastAsia" w:ascii="宋体" w:hAnsi="宋体" w:cs="宋体"/>
              </w:rPr>
            </w:pPr>
          </w:p>
        </w:tc>
      </w:tr>
      <w:tr w14:paraId="0E33BD43">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blHeader/>
        </w:trPr>
        <w:tc>
          <w:tcPr>
            <w:tcW w:w="2501" w:type="pct"/>
            <w:gridSpan w:val="3"/>
            <w:tcBorders>
              <w:tl2br w:val="nil"/>
              <w:tr2bl w:val="nil"/>
            </w:tcBorders>
            <w:tcMar>
              <w:top w:w="70" w:type="dxa"/>
              <w:left w:w="70" w:type="dxa"/>
              <w:bottom w:w="70" w:type="dxa"/>
              <w:right w:w="70" w:type="dxa"/>
            </w:tcMar>
            <w:vAlign w:val="center"/>
          </w:tcPr>
          <w:p w14:paraId="0E33BD41">
            <w:pPr>
              <w:widowControl/>
              <w:jc w:val="left"/>
              <w:rPr>
                <w:rFonts w:hint="eastAsia" w:ascii="宋体" w:hAnsi="宋体" w:eastAsia="宋体" w:cs="宋体"/>
              </w:rPr>
            </w:pPr>
            <w:r>
              <w:rPr>
                <w:rFonts w:hint="eastAsia" w:ascii="宋体" w:hAnsi="宋体" w:eastAsia="宋体" w:cs="宋体"/>
                <w:b/>
                <w:sz w:val="18"/>
              </w:rPr>
              <w:t>复核结论</w:t>
            </w:r>
          </w:p>
        </w:tc>
        <w:tc>
          <w:tcPr>
            <w:tcW w:w="2498" w:type="pct"/>
            <w:gridSpan w:val="3"/>
            <w:tcBorders>
              <w:tl2br w:val="nil"/>
              <w:tr2bl w:val="nil"/>
            </w:tcBorders>
            <w:tcMar>
              <w:top w:w="70" w:type="dxa"/>
              <w:left w:w="70" w:type="dxa"/>
              <w:bottom w:w="70" w:type="dxa"/>
              <w:right w:w="70" w:type="dxa"/>
            </w:tcMar>
            <w:vAlign w:val="center"/>
          </w:tcPr>
          <w:p w14:paraId="0E33BD42">
            <w:pPr>
              <w:widowControl/>
              <w:jc w:val="left"/>
              <w:rPr>
                <w:rFonts w:hint="eastAsia" w:ascii="宋体" w:hAnsi="宋体" w:eastAsia="宋体" w:cs="宋体"/>
              </w:rPr>
            </w:pPr>
            <w:r>
              <w:rPr>
                <w:rFonts w:hint="eastAsia" w:ascii="宋体" w:hAnsi="宋体" w:eastAsia="宋体" w:cs="宋体"/>
                <w:b/>
                <w:sz w:val="18"/>
              </w:rPr>
              <w:t>□通过　□有条件通过　□不通过</w:t>
            </w:r>
          </w:p>
        </w:tc>
      </w:tr>
      <w:tr w14:paraId="0E33BD46">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2501" w:type="pct"/>
            <w:gridSpan w:val="3"/>
            <w:tcBorders>
              <w:tl2br w:val="nil"/>
              <w:tr2bl w:val="nil"/>
            </w:tcBorders>
            <w:tcMar>
              <w:top w:w="70" w:type="dxa"/>
              <w:left w:w="70" w:type="dxa"/>
              <w:bottom w:w="70" w:type="dxa"/>
              <w:right w:w="70" w:type="dxa"/>
            </w:tcMar>
            <w:vAlign w:val="center"/>
          </w:tcPr>
          <w:p w14:paraId="0E33BD44">
            <w:pPr>
              <w:widowControl/>
              <w:jc w:val="left"/>
              <w:rPr>
                <w:rFonts w:hint="eastAsia" w:ascii="宋体" w:hAnsi="宋体" w:eastAsia="宋体" w:cs="宋体"/>
              </w:rPr>
            </w:pPr>
            <w:r>
              <w:rPr>
                <w:rFonts w:hint="eastAsia" w:ascii="宋体" w:hAnsi="宋体" w:eastAsia="宋体" w:cs="宋体"/>
                <w:sz w:val="18"/>
              </w:rPr>
              <w:t>主要问题及整改要求</w:t>
            </w:r>
          </w:p>
        </w:tc>
        <w:tc>
          <w:tcPr>
            <w:tcW w:w="2498" w:type="pct"/>
            <w:gridSpan w:val="3"/>
            <w:tcBorders>
              <w:tl2br w:val="nil"/>
              <w:tr2bl w:val="nil"/>
            </w:tcBorders>
            <w:tcMar>
              <w:top w:w="70" w:type="dxa"/>
              <w:left w:w="70" w:type="dxa"/>
              <w:bottom w:w="70" w:type="dxa"/>
              <w:right w:w="70" w:type="dxa"/>
            </w:tcMar>
            <w:vAlign w:val="center"/>
          </w:tcPr>
          <w:p w14:paraId="0E33BD45">
            <w:pPr>
              <w:widowControl/>
              <w:jc w:val="left"/>
              <w:rPr>
                <w:rFonts w:hint="eastAsia" w:ascii="宋体" w:hAnsi="宋体" w:eastAsia="宋体" w:cs="宋体"/>
              </w:rPr>
            </w:pPr>
          </w:p>
        </w:tc>
      </w:tr>
      <w:tr w14:paraId="0E33BD49">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2501" w:type="pct"/>
            <w:gridSpan w:val="3"/>
            <w:tcBorders>
              <w:tl2br w:val="nil"/>
              <w:tr2bl w:val="nil"/>
            </w:tcBorders>
            <w:tcMar>
              <w:top w:w="70" w:type="dxa"/>
              <w:left w:w="70" w:type="dxa"/>
              <w:bottom w:w="70" w:type="dxa"/>
              <w:right w:w="70" w:type="dxa"/>
            </w:tcMar>
            <w:vAlign w:val="center"/>
          </w:tcPr>
          <w:p w14:paraId="0E33BD47">
            <w:pPr>
              <w:widowControl/>
              <w:jc w:val="left"/>
              <w:rPr>
                <w:rFonts w:hint="eastAsia" w:ascii="宋体" w:hAnsi="宋体" w:eastAsia="宋体" w:cs="宋体"/>
              </w:rPr>
            </w:pPr>
            <w:r>
              <w:rPr>
                <w:rFonts w:hint="eastAsia" w:ascii="宋体" w:hAnsi="宋体" w:eastAsia="宋体" w:cs="宋体"/>
                <w:sz w:val="18"/>
              </w:rPr>
              <w:t>核算人</w:t>
            </w:r>
          </w:p>
        </w:tc>
        <w:tc>
          <w:tcPr>
            <w:tcW w:w="2498" w:type="pct"/>
            <w:gridSpan w:val="3"/>
            <w:tcBorders>
              <w:tl2br w:val="nil"/>
              <w:tr2bl w:val="nil"/>
            </w:tcBorders>
            <w:tcMar>
              <w:top w:w="70" w:type="dxa"/>
              <w:left w:w="70" w:type="dxa"/>
              <w:bottom w:w="70" w:type="dxa"/>
              <w:right w:w="70" w:type="dxa"/>
            </w:tcMar>
            <w:vAlign w:val="center"/>
          </w:tcPr>
          <w:p w14:paraId="0E33BD48">
            <w:pPr>
              <w:widowControl/>
              <w:jc w:val="left"/>
              <w:rPr>
                <w:rFonts w:hint="eastAsia" w:ascii="宋体" w:hAnsi="宋体" w:eastAsia="宋体" w:cs="宋体"/>
              </w:rPr>
            </w:pPr>
            <w:r>
              <w:rPr>
                <w:rFonts w:hint="eastAsia" w:ascii="宋体" w:hAnsi="宋体" w:eastAsia="宋体" w:cs="宋体"/>
                <w:sz w:val="18"/>
              </w:rPr>
              <w:t>签字：　　　　　　　　　日期：</w:t>
            </w:r>
          </w:p>
        </w:tc>
      </w:tr>
      <w:tr w14:paraId="0E33BD4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2501" w:type="pct"/>
            <w:gridSpan w:val="3"/>
            <w:tcBorders>
              <w:tl2br w:val="nil"/>
              <w:tr2bl w:val="nil"/>
            </w:tcBorders>
            <w:tcMar>
              <w:top w:w="70" w:type="dxa"/>
              <w:left w:w="70" w:type="dxa"/>
              <w:bottom w:w="70" w:type="dxa"/>
              <w:right w:w="70" w:type="dxa"/>
            </w:tcMar>
            <w:vAlign w:val="center"/>
          </w:tcPr>
          <w:p w14:paraId="0E33BD4A">
            <w:pPr>
              <w:widowControl/>
              <w:jc w:val="left"/>
              <w:rPr>
                <w:rFonts w:hint="eastAsia" w:ascii="宋体" w:hAnsi="宋体" w:eastAsia="宋体" w:cs="宋体"/>
              </w:rPr>
            </w:pPr>
            <w:r>
              <w:rPr>
                <w:rFonts w:hint="eastAsia" w:ascii="宋体" w:hAnsi="宋体" w:eastAsia="宋体" w:cs="宋体"/>
                <w:sz w:val="18"/>
              </w:rPr>
              <w:t>复核人</w:t>
            </w:r>
          </w:p>
        </w:tc>
        <w:tc>
          <w:tcPr>
            <w:tcW w:w="2498" w:type="pct"/>
            <w:gridSpan w:val="3"/>
            <w:tcBorders>
              <w:tl2br w:val="nil"/>
              <w:tr2bl w:val="nil"/>
            </w:tcBorders>
            <w:tcMar>
              <w:top w:w="70" w:type="dxa"/>
              <w:left w:w="70" w:type="dxa"/>
              <w:bottom w:w="70" w:type="dxa"/>
              <w:right w:w="70" w:type="dxa"/>
            </w:tcMar>
            <w:vAlign w:val="center"/>
          </w:tcPr>
          <w:p w14:paraId="0E33BD4B">
            <w:pPr>
              <w:widowControl/>
              <w:jc w:val="left"/>
              <w:rPr>
                <w:rFonts w:hint="eastAsia" w:ascii="宋体" w:hAnsi="宋体" w:eastAsia="宋体" w:cs="宋体"/>
              </w:rPr>
            </w:pPr>
            <w:r>
              <w:rPr>
                <w:rFonts w:hint="eastAsia" w:ascii="宋体" w:hAnsi="宋体" w:eastAsia="宋体" w:cs="宋体"/>
                <w:sz w:val="18"/>
              </w:rPr>
              <w:t>签字：　　　　　　　　　日期：</w:t>
            </w:r>
          </w:p>
        </w:tc>
      </w:tr>
      <w:tr w14:paraId="0E33BD4F">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108" w:type="dxa"/>
            <w:bottom w:w="0" w:type="dxa"/>
            <w:right w:w="108" w:type="dxa"/>
          </w:tblCellMar>
        </w:tblPrEx>
        <w:trPr>
          <w:cantSplit/>
        </w:trPr>
        <w:tc>
          <w:tcPr>
            <w:tcW w:w="2501" w:type="pct"/>
            <w:gridSpan w:val="3"/>
            <w:tcBorders>
              <w:tl2br w:val="nil"/>
              <w:tr2bl w:val="nil"/>
            </w:tcBorders>
            <w:tcMar>
              <w:top w:w="70" w:type="dxa"/>
              <w:left w:w="70" w:type="dxa"/>
              <w:bottom w:w="70" w:type="dxa"/>
              <w:right w:w="70" w:type="dxa"/>
            </w:tcMar>
            <w:vAlign w:val="center"/>
          </w:tcPr>
          <w:p w14:paraId="0E33BD4D">
            <w:pPr>
              <w:widowControl/>
              <w:jc w:val="left"/>
              <w:rPr>
                <w:rFonts w:hint="eastAsia" w:ascii="宋体" w:hAnsi="宋体" w:eastAsia="宋体" w:cs="宋体"/>
              </w:rPr>
            </w:pPr>
            <w:r>
              <w:rPr>
                <w:rFonts w:hint="eastAsia" w:ascii="宋体" w:hAnsi="宋体" w:eastAsia="宋体" w:cs="宋体"/>
                <w:sz w:val="18"/>
              </w:rPr>
              <w:t>核算主体确认</w:t>
            </w:r>
          </w:p>
        </w:tc>
        <w:tc>
          <w:tcPr>
            <w:tcW w:w="2498" w:type="pct"/>
            <w:gridSpan w:val="3"/>
            <w:tcBorders>
              <w:tl2br w:val="nil"/>
              <w:tr2bl w:val="nil"/>
            </w:tcBorders>
            <w:tcMar>
              <w:top w:w="70" w:type="dxa"/>
              <w:left w:w="70" w:type="dxa"/>
              <w:bottom w:w="70" w:type="dxa"/>
              <w:right w:w="70" w:type="dxa"/>
            </w:tcMar>
            <w:vAlign w:val="center"/>
          </w:tcPr>
          <w:p w14:paraId="0E33BD4E">
            <w:pPr>
              <w:widowControl/>
              <w:jc w:val="left"/>
              <w:rPr>
                <w:rFonts w:hint="eastAsia" w:ascii="宋体" w:hAnsi="宋体" w:eastAsia="宋体" w:cs="宋体"/>
              </w:rPr>
            </w:pPr>
            <w:r>
              <w:rPr>
                <w:rFonts w:hint="eastAsia" w:ascii="宋体" w:hAnsi="宋体" w:eastAsia="宋体" w:cs="宋体"/>
                <w:sz w:val="18"/>
              </w:rPr>
              <w:t>盖章/签字：　　　　　　日期：</w:t>
            </w:r>
          </w:p>
        </w:tc>
      </w:tr>
    </w:tbl>
    <w:p w14:paraId="0E33BD57">
      <w:pPr>
        <w:rPr>
          <w:rFonts w:hint="eastAsia"/>
          <w:spacing w:val="105"/>
        </w:rPr>
      </w:pPr>
      <w:r>
        <w:rPr>
          <w:rFonts w:hint="eastAsia"/>
          <w:spacing w:val="105"/>
        </w:rPr>
        <w:br w:type="page"/>
      </w:r>
    </w:p>
    <w:p w14:paraId="719772A6">
      <w:pPr>
        <w:pStyle w:val="26"/>
        <w:rPr>
          <w:rFonts w:hint="eastAsia" w:ascii="Times New Roman"/>
          <w:szCs w:val="21"/>
        </w:rPr>
      </w:pPr>
      <w:bookmarkStart w:id="102" w:name="_Toc27077"/>
      <w:bookmarkStart w:id="103" w:name="_Toc11921"/>
      <w:bookmarkStart w:id="104" w:name="_Toc26469"/>
      <w:bookmarkStart w:id="105" w:name="_Toc13943"/>
      <w:bookmarkStart w:id="106" w:name="_Toc19894"/>
      <w:bookmarkStart w:id="107" w:name="_Toc1418"/>
      <w:bookmarkStart w:id="108" w:name="_Toc207832854"/>
      <w:r>
        <w:rPr>
          <w:rFonts w:hint="eastAsia" w:hAnsi="Calibri" w:cs="Times New Roman"/>
          <w:spacing w:val="105"/>
          <w:szCs w:val="21"/>
          <w:highlight w:val="none"/>
          <w:lang w:eastAsia="zh-CN"/>
        </w:rPr>
        <w:t>参考文献</w:t>
      </w:r>
      <w:bookmarkEnd w:id="102"/>
      <w:bookmarkEnd w:id="103"/>
      <w:bookmarkEnd w:id="104"/>
      <w:bookmarkEnd w:id="105"/>
      <w:bookmarkEnd w:id="106"/>
      <w:bookmarkEnd w:id="107"/>
      <w:bookmarkEnd w:id="108"/>
    </w:p>
    <w:p w14:paraId="6FFB898C">
      <w:pPr>
        <w:numPr>
          <w:ilvl w:val="0"/>
          <w:numId w:val="10"/>
        </w:numPr>
        <w:ind w:firstLineChars="0"/>
        <w:rPr>
          <w:rFonts w:hint="eastAsia" w:ascii="Times New Roman" w:hAnsi="Times New Roman" w:eastAsia="宋体" w:cs="Times New Roman"/>
          <w:szCs w:val="21"/>
        </w:rPr>
      </w:pPr>
      <w:r>
        <w:rPr>
          <w:rFonts w:hint="eastAsia" w:ascii="Times New Roman" w:hAnsi="Times New Roman" w:eastAsia="宋体" w:cs="Times New Roman"/>
          <w:szCs w:val="21"/>
        </w:rPr>
        <w:t>T/CHSDA0001—2024　公路工程建设期碳排放计算标准</w:t>
      </w:r>
    </w:p>
    <w:p w14:paraId="010469DC">
      <w:pPr>
        <w:numPr>
          <w:ilvl w:val="0"/>
          <w:numId w:val="10"/>
        </w:numPr>
        <w:ind w:firstLineChars="0"/>
        <w:rPr>
          <w:rFonts w:hint="eastAsia" w:ascii="Times New Roman" w:hAnsi="Times New Roman" w:eastAsia="宋体" w:cs="Times New Roman"/>
          <w:szCs w:val="21"/>
        </w:rPr>
      </w:pPr>
      <w:r>
        <w:rPr>
          <w:rFonts w:hint="eastAsia" w:ascii="Times New Roman" w:hAnsi="Times New Roman" w:eastAsia="宋体" w:cs="Times New Roman"/>
          <w:szCs w:val="21"/>
        </w:rPr>
        <w:t>T/ZJCX0010—2022　预制混凝土T梁</w:t>
      </w:r>
    </w:p>
    <w:p w14:paraId="6B7AA9B8">
      <w:pPr>
        <w:numPr>
          <w:ilvl w:val="0"/>
          <w:numId w:val="10"/>
        </w:numPr>
        <w:ind w:firstLineChars="0"/>
        <w:rPr>
          <w:rFonts w:hint="eastAsia" w:ascii="Times New Roman" w:hAnsi="Times New Roman" w:eastAsia="宋体" w:cs="Times New Roman"/>
          <w:szCs w:val="21"/>
        </w:rPr>
      </w:pPr>
      <w:r>
        <w:rPr>
          <w:rFonts w:hint="eastAsia" w:ascii="Times New Roman" w:hAnsi="Times New Roman" w:eastAsia="宋体" w:cs="Times New Roman"/>
          <w:szCs w:val="21"/>
        </w:rPr>
        <w:t>T/TMAC097—2024　预制T梁工业化生产技术指南</w:t>
      </w:r>
    </w:p>
    <w:p w14:paraId="44F30A4B">
      <w:pPr>
        <w:numPr>
          <w:ilvl w:val="0"/>
          <w:numId w:val="10"/>
        </w:numPr>
        <w:autoSpaceDE/>
        <w:autoSpaceDN/>
        <w:ind w:firstLine="0"/>
        <w:rPr>
          <w:rFonts w:hint="eastAsia" w:ascii="Times New Roman" w:hAnsi="Times New Roman" w:eastAsia="宋体" w:cs="Times New Roman"/>
          <w:spacing w:val="0"/>
        </w:rPr>
      </w:pPr>
      <w:r>
        <w:rPr>
          <w:rFonts w:hint="eastAsia" w:ascii="Times New Roman" w:hAnsi="Times New Roman" w:eastAsia="宋体" w:cs="Times New Roman"/>
          <w:spacing w:val="0"/>
        </w:rPr>
        <w:t>GB/T 24067—2024　温室气体　产品碳足迹　量化要求和指南</w:t>
      </w:r>
    </w:p>
    <w:p w14:paraId="7BB731A6">
      <w:pPr>
        <w:numPr>
          <w:ilvl w:val="0"/>
          <w:numId w:val="10"/>
        </w:numPr>
        <w:autoSpaceDE/>
        <w:autoSpaceDN/>
        <w:ind w:firstLine="0"/>
        <w:rPr>
          <w:rFonts w:hint="eastAsia" w:ascii="Times New Roman" w:hAnsi="Times New Roman" w:eastAsia="宋体" w:cs="Times New Roman"/>
          <w:spacing w:val="0"/>
        </w:rPr>
      </w:pPr>
      <w:r>
        <w:rPr>
          <w:rFonts w:hint="eastAsia" w:ascii="Times New Roman" w:hAnsi="Times New Roman" w:eastAsia="宋体" w:cs="Times New Roman"/>
          <w:spacing w:val="0"/>
        </w:rPr>
        <w:t>JC/T 2359—2016　预应力混凝土T型梁</w:t>
      </w:r>
    </w:p>
    <w:p w14:paraId="12A0D59F">
      <w:pPr>
        <w:numPr>
          <w:ilvl w:val="0"/>
          <w:numId w:val="10"/>
        </w:numPr>
        <w:autoSpaceDE/>
        <w:autoSpaceDN/>
        <w:ind w:firstLine="0"/>
        <w:rPr>
          <w:rFonts w:hint="eastAsia" w:ascii="Times New Roman" w:hAnsi="Times New Roman" w:eastAsia="宋体" w:cs="Times New Roman"/>
          <w:spacing w:val="0"/>
        </w:rPr>
      </w:pPr>
      <w:r>
        <w:rPr>
          <w:rFonts w:hint="eastAsia" w:ascii="Times New Roman" w:hAnsi="Times New Roman" w:eastAsia="宋体" w:cs="Times New Roman"/>
          <w:spacing w:val="0"/>
        </w:rPr>
        <w:t>国家发展改革委办公厅. 中国陆上交通运输企业温室气体排放核算方法与报告指南（试行）[EB/OL]. 2015. https://www.ndrc.gov.cn/xxgk/zcfb/tz/201511/W020190905506438255108.pdf</w:t>
      </w:r>
    </w:p>
    <w:p w14:paraId="1C7B3E79">
      <w:pPr>
        <w:numPr>
          <w:ilvl w:val="0"/>
          <w:numId w:val="10"/>
        </w:numPr>
        <w:autoSpaceDE/>
        <w:autoSpaceDN/>
        <w:ind w:firstLine="0"/>
        <w:rPr>
          <w:rFonts w:hint="eastAsia" w:ascii="Times New Roman" w:hAnsi="Times New Roman" w:eastAsia="宋体" w:cs="Times New Roman"/>
          <w:spacing w:val="0"/>
        </w:rPr>
      </w:pPr>
      <w:r>
        <w:rPr>
          <w:rFonts w:hint="eastAsia" w:ascii="Times New Roman" w:hAnsi="Times New Roman" w:eastAsia="宋体" w:cs="Times New Roman"/>
          <w:spacing w:val="0"/>
        </w:rPr>
        <w:t xml:space="preserve">生态环境部，国家统计局. 关于发布2023年电力二氧化碳排放因子的公告[EB/OL]. 2025. </w:t>
      </w:r>
      <w:r>
        <w:rPr>
          <w:rFonts w:hint="eastAsia" w:ascii="Times New Roman" w:hAnsi="Times New Roman" w:eastAsia="宋体" w:cs="Times New Roman"/>
          <w:spacing w:val="0"/>
        </w:rPr>
        <w:fldChar w:fldCharType="begin"/>
      </w:r>
      <w:r>
        <w:rPr>
          <w:rFonts w:hint="eastAsia" w:ascii="Times New Roman" w:hAnsi="Times New Roman" w:eastAsia="宋体" w:cs="Times New Roman"/>
          <w:spacing w:val="0"/>
        </w:rPr>
        <w:instrText xml:space="preserve"> HYPERLINK "https://www.mee.gov.cn/xxgk2018/xxgk/xxgk01/202512/t20251231_1139517.html" </w:instrText>
      </w:r>
      <w:r>
        <w:rPr>
          <w:rFonts w:hint="eastAsia" w:ascii="Times New Roman" w:hAnsi="Times New Roman" w:eastAsia="宋体" w:cs="Times New Roman"/>
          <w:spacing w:val="0"/>
        </w:rPr>
        <w:fldChar w:fldCharType="separate"/>
      </w:r>
      <w:r>
        <w:rPr>
          <w:rStyle w:val="13"/>
          <w:rFonts w:hint="eastAsia" w:ascii="Times New Roman" w:hAnsi="Times New Roman" w:eastAsia="宋体" w:cs="Times New Roman"/>
          <w:spacing w:val="0"/>
        </w:rPr>
        <w:t>https://www.mee.gov.cn/xxgk2018/xxgk/xxgk01/202512/t20251231_1139517.html</w:t>
      </w:r>
      <w:r>
        <w:rPr>
          <w:rFonts w:hint="eastAsia" w:ascii="Times New Roman" w:hAnsi="Times New Roman" w:eastAsia="宋体" w:cs="Times New Roman"/>
          <w:spacing w:val="0"/>
        </w:rPr>
        <w:fldChar w:fldCharType="end"/>
      </w:r>
    </w:p>
    <w:p w14:paraId="5DD60890">
      <w:pPr>
        <w:numPr>
          <w:ilvl w:val="-1"/>
          <w:numId w:val="0"/>
        </w:numPr>
        <w:autoSpaceDE/>
        <w:autoSpaceDN/>
        <w:ind w:firstLine="0"/>
        <w:rPr>
          <w:rFonts w:hint="eastAsia" w:ascii="Times New Roman" w:hAnsi="Times New Roman" w:eastAsia="宋体" w:cs="Times New Roman"/>
          <w:spacing w:val="0"/>
        </w:rPr>
      </w:pPr>
    </w:p>
    <w:p w14:paraId="56D1E672">
      <w:pPr>
        <w:numPr>
          <w:ilvl w:val="-1"/>
          <w:numId w:val="0"/>
        </w:numPr>
        <w:autoSpaceDE/>
        <w:autoSpaceDN/>
        <w:ind w:firstLine="0"/>
        <w:rPr>
          <w:rFonts w:hint="eastAsia" w:ascii="Times New Roman" w:hAnsi="Times New Roman" w:eastAsia="宋体" w:cs="Times New Roman"/>
          <w:spacing w:val="0"/>
        </w:rPr>
      </w:pPr>
    </w:p>
    <w:p w14:paraId="118696E5">
      <w:pPr>
        <w:pStyle w:val="17"/>
        <w:ind w:firstLine="0" w:firstLineChars="0"/>
        <w:jc w:val="center"/>
        <w:rPr>
          <w:rFonts w:hint="eastAsia" w:eastAsia="宋体"/>
          <w:lang w:eastAsia="zh-CN"/>
        </w:rPr>
      </w:pPr>
      <w:bookmarkStart w:id="109" w:name="BookMark8"/>
      <w:r>
        <w:rPr>
          <w:rFonts w:hint="eastAsia" w:eastAsia="宋体"/>
          <w:lang w:eastAsia="zh-CN"/>
        </w:rPr>
        <w:drawing>
          <wp:inline distT="0" distB="0" distL="114300" distR="114300">
            <wp:extent cx="1485900" cy="317500"/>
            <wp:effectExtent l="0" t="0" r="0" b="0"/>
            <wp:docPr id="22" name="图片 22" descr="1"/>
            <wp:cNvGraphicFramePr/>
            <a:graphic xmlns:a="http://schemas.openxmlformats.org/drawingml/2006/main">
              <a:graphicData uri="http://schemas.openxmlformats.org/drawingml/2006/picture">
                <pic:pic xmlns:pic="http://schemas.openxmlformats.org/drawingml/2006/picture">
                  <pic:nvPicPr>
                    <pic:cNvPr id="22" name="图片 22" descr="1"/>
                    <pic:cNvPicPr/>
                  </pic:nvPicPr>
                  <pic:blipFill>
                    <a:blip r:embed="rId19"/>
                    <a:stretch>
                      <a:fillRect/>
                    </a:stretch>
                  </pic:blipFill>
                  <pic:spPr>
                    <a:xfrm>
                      <a:off x="0" y="0"/>
                      <a:ext cx="1485900" cy="317500"/>
                    </a:xfrm>
                    <a:prstGeom prst="rect">
                      <a:avLst/>
                    </a:prstGeom>
                  </pic:spPr>
                </pic:pic>
              </a:graphicData>
            </a:graphic>
          </wp:inline>
        </w:drawing>
      </w:r>
      <w:bookmarkEnd w:id="109"/>
    </w:p>
    <w:p w14:paraId="1A67EF2F">
      <w:pPr>
        <w:numPr>
          <w:ilvl w:val="-1"/>
          <w:numId w:val="0"/>
        </w:numPr>
        <w:autoSpaceDE/>
        <w:autoSpaceDN/>
        <w:ind w:firstLine="0"/>
        <w:rPr>
          <w:rFonts w:hint="eastAsia" w:ascii="Times New Roman" w:hAnsi="Times New Roman" w:eastAsia="宋体" w:cs="Times New Roman"/>
          <w:spacing w:val="0"/>
        </w:rPr>
      </w:pPr>
    </w:p>
    <w:sectPr>
      <w:headerReference r:id="rId11" w:type="default"/>
      <w:footerReference r:id="rId12" w:type="default"/>
      <w:pgSz w:w="11906" w:h="16838"/>
      <w:pgMar w:top="1417" w:right="1417" w:bottom="1134" w:left="1417" w:header="1418" w:footer="1134" w:gutter="0"/>
      <w:pgBorders>
        <w:top w:val="none" w:sz="0" w:space="0"/>
        <w:left w:val="none" w:sz="0" w:space="0"/>
        <w:bottom w:val="none" w:sz="0" w:space="0"/>
        <w:right w:val="none" w:sz="0" w:space="0"/>
      </w:pgBorders>
      <w:pgNumType w:fmt="decimal"/>
      <w:cols w:space="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7645E17-87D7-4818-8859-AA83D87456B9}"/>
  </w:font>
  <w:font w:name="黑体">
    <w:panose1 w:val="02010609060101010101"/>
    <w:charset w:val="86"/>
    <w:family w:val="auto"/>
    <w:pitch w:val="default"/>
    <w:sig w:usb0="800002BF" w:usb1="38CF7CFA" w:usb2="00000016" w:usb3="00000000" w:csb0="00040001" w:csb1="00000000"/>
    <w:embedRegular r:id="rId2" w:fontKey="{099F3A8F-6D86-447A-A133-17977ECE519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6059ABC7-36E6-4D74-B9E4-4E1C03E24DAF}"/>
  </w:font>
  <w:font w:name="微软雅黑">
    <w:panose1 w:val="020B0503020204020204"/>
    <w:charset w:val="86"/>
    <w:family w:val="swiss"/>
    <w:pitch w:val="default"/>
    <w:sig w:usb0="80000287" w:usb1="2ACF3C50" w:usb2="00000016" w:usb3="00000000" w:csb0="0004001F" w:csb1="00000000"/>
    <w:embedRegular r:id="rId4" w:fontKey="{68FBA726-A151-4489-97FC-AFC4941440DB}"/>
  </w:font>
  <w:font w:name="方正小标宋简体">
    <w:panose1 w:val="03000509000000000000"/>
    <w:charset w:val="86"/>
    <w:family w:val="auto"/>
    <w:pitch w:val="default"/>
    <w:sig w:usb0="00000001" w:usb1="080E0000" w:usb2="00000000" w:usb3="00000000" w:csb0="00040000" w:csb1="00000000"/>
    <w:embedRegular r:id="rId5" w:fontKey="{709BFD76-0493-4D42-97A3-B1DA46B133D0}"/>
  </w:font>
  <w:font w:name="方正仿宋_GB2312">
    <w:panose1 w:val="02000000000000000000"/>
    <w:charset w:val="86"/>
    <w:family w:val="auto"/>
    <w:pitch w:val="default"/>
    <w:sig w:usb0="A00002BF" w:usb1="184F6CFA" w:usb2="00000012" w:usb3="00000000" w:csb0="00040001" w:csb1="00000000"/>
    <w:embedRegular r:id="rId6" w:fontKey="{D09AC450-8585-490D-A91D-ED0363DE629F}"/>
  </w:font>
  <w:font w:name="Segoe UI">
    <w:panose1 w:val="020B0502040204020203"/>
    <w:charset w:val="00"/>
    <w:family w:val="auto"/>
    <w:pitch w:val="default"/>
    <w:sig w:usb0="E4002EFF" w:usb1="C000E47F" w:usb2="00000009" w:usb3="00000000" w:csb0="200001FF" w:csb1="00000000"/>
    <w:embedRegular r:id="rId7" w:fontKey="{98ABBD25-7726-4C68-ABFA-985347C3F009}"/>
  </w:font>
  <w:font w:name="Cambria Math">
    <w:panose1 w:val="02040503050406030204"/>
    <w:charset w:val="00"/>
    <w:family w:val="roman"/>
    <w:pitch w:val="default"/>
    <w:sig w:usb0="E00006FF" w:usb1="420024FF" w:usb2="02000000" w:usb3="00000000" w:csb0="2000019F" w:csb1="00000000"/>
    <w:embedRegular r:id="rId8" w:fontKey="{13A31DFF-DB19-4681-A177-C41D4831608A}"/>
  </w:font>
  <w:font w:name="方正仿宋">
    <w:altName w:val="宋体"/>
    <w:panose1 w:val="00000000000000000000"/>
    <w:charset w:val="00"/>
    <w:family w:val="auto"/>
    <w:pitch w:val="default"/>
    <w:sig w:usb0="00000000" w:usb1="00000000" w:usb2="00000000" w:usb3="00000000" w:csb0="00000000" w:csb1="00000000"/>
    <w:embedRegular r:id="rId9" w:fontKey="{2BE82A8A-A998-46DD-90C2-E55ADBC7CA9D}"/>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MS Mincho">
    <w:altName w:val="FFont-Family"/>
    <w:panose1 w:val="00000000000000000000"/>
    <w:charset w:val="00"/>
    <w:family w:val="auto"/>
    <w:pitch w:val="default"/>
    <w:sig w:usb0="00000000" w:usb1="00000000" w:usb2="00000000" w:usb3="00000000" w:csb0="00000000" w:csb1="00000000"/>
  </w:font>
  <w:font w:name="FFont-Family">
    <w:panose1 w:val="02000509000000000000"/>
    <w:charset w:val="00"/>
    <w:family w:val="auto"/>
    <w:pitch w:val="default"/>
    <w:sig w:usb0="00000001"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33BD6E">
    <w:pPr>
      <w:pStyle w:val="27"/>
      <w:adjustRightInd w:val="0"/>
      <w:jc w:val="center"/>
    </w:pPr>
    <w:r>
      <w:rPr>
        <w:rStyle w:val="28"/>
        <w:rFonts w:eastAsiaTheme="minorEastAsia"/>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E33BD87">
                          <w:pPr>
                            <w:pStyle w:val="27"/>
                          </w:pPr>
                          <w:r>
                            <w:rPr>
                              <w:rStyle w:val="28"/>
                            </w:rPr>
                            <w:fldChar w:fldCharType="begin"/>
                          </w:r>
                          <w:r>
                            <w:rPr>
                              <w:rStyle w:val="28"/>
                              <w:rFonts w:eastAsiaTheme="minorEastAsia"/>
                            </w:rPr>
                            <w:instrText xml:space="preserve"> PAGE  \* MERGEFORMAT </w:instrText>
                          </w:r>
                          <w:r>
                            <w:rPr>
                              <w:rStyle w:val="28"/>
                            </w:rPr>
                            <w:fldChar w:fldCharType="separate"/>
                          </w:r>
                          <w:r>
                            <w:rPr>
                              <w:rStyle w:val="28"/>
                              <w:rFonts w:eastAsiaTheme="minorEastAsia"/>
                            </w:rPr>
                            <w:t>1</w:t>
                          </w:r>
                          <w:r>
                            <w:rPr>
                              <w:rStyle w:val="28"/>
                              <w:rFonts w:eastAsiaTheme="minor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0E33BD87">
                    <w:pPr>
                      <w:pStyle w:val="27"/>
                    </w:pPr>
                    <w:r>
                      <w:rPr>
                        <w:rStyle w:val="28"/>
                      </w:rPr>
                      <w:fldChar w:fldCharType="begin"/>
                    </w:r>
                    <w:r>
                      <w:rPr>
                        <w:rStyle w:val="28"/>
                        <w:rFonts w:eastAsiaTheme="minorEastAsia"/>
                      </w:rPr>
                      <w:instrText xml:space="preserve"> PAGE  \* MERGEFORMAT </w:instrText>
                    </w:r>
                    <w:r>
                      <w:rPr>
                        <w:rStyle w:val="28"/>
                      </w:rPr>
                      <w:fldChar w:fldCharType="separate"/>
                    </w:r>
                    <w:r>
                      <w:rPr>
                        <w:rStyle w:val="28"/>
                        <w:rFonts w:eastAsiaTheme="minorEastAsia"/>
                      </w:rPr>
                      <w:t>1</w:t>
                    </w:r>
                    <w:r>
                      <w:rPr>
                        <w:rStyle w:val="28"/>
                        <w:rFonts w:eastAsiaTheme="minor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33BD70">
    <w:pPr>
      <w:pStyle w:val="27"/>
      <w:adjustRightInd w:val="0"/>
      <w:jc w:val="center"/>
    </w:pPr>
    <w:r>
      <w:rPr>
        <w:rStyle w:val="28"/>
        <w:rFonts w:eastAsiaTheme="minorEastAsia"/>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E33BD89">
                          <w:pPr>
                            <w:pStyle w:val="27"/>
                          </w:pPr>
                          <w:r>
                            <w:rPr>
                              <w:rStyle w:val="28"/>
                            </w:rPr>
                            <w:fldChar w:fldCharType="begin"/>
                          </w:r>
                          <w:r>
                            <w:rPr>
                              <w:rStyle w:val="28"/>
                              <w:rFonts w:eastAsiaTheme="minorEastAsia"/>
                            </w:rPr>
                            <w:instrText xml:space="preserve"> PAGE  \* MERGEFORMAT </w:instrText>
                          </w:r>
                          <w:r>
                            <w:rPr>
                              <w:rStyle w:val="28"/>
                            </w:rPr>
                            <w:fldChar w:fldCharType="separate"/>
                          </w:r>
                          <w:r>
                            <w:rPr>
                              <w:rStyle w:val="28"/>
                              <w:rFonts w:eastAsiaTheme="minorEastAsia"/>
                            </w:rPr>
                            <w:t>1</w:t>
                          </w:r>
                          <w:r>
                            <w:rPr>
                              <w:rStyle w:val="28"/>
                              <w:rFonts w:eastAsiaTheme="minor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0E33BD89">
                    <w:pPr>
                      <w:pStyle w:val="27"/>
                    </w:pPr>
                    <w:r>
                      <w:rPr>
                        <w:rStyle w:val="28"/>
                      </w:rPr>
                      <w:fldChar w:fldCharType="begin"/>
                    </w:r>
                    <w:r>
                      <w:rPr>
                        <w:rStyle w:val="28"/>
                        <w:rFonts w:eastAsiaTheme="minorEastAsia"/>
                      </w:rPr>
                      <w:instrText xml:space="preserve"> PAGE  \* MERGEFORMAT </w:instrText>
                    </w:r>
                    <w:r>
                      <w:rPr>
                        <w:rStyle w:val="28"/>
                      </w:rPr>
                      <w:fldChar w:fldCharType="separate"/>
                    </w:r>
                    <w:r>
                      <w:rPr>
                        <w:rStyle w:val="28"/>
                        <w:rFonts w:eastAsiaTheme="minorEastAsia"/>
                      </w:rPr>
                      <w:t>1</w:t>
                    </w:r>
                    <w:r>
                      <w:rPr>
                        <w:rStyle w:val="28"/>
                        <w:rFonts w:eastAsiaTheme="minorEastAsia"/>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33BD72">
    <w:pPr>
      <w:pStyle w:val="27"/>
      <w:adjustRightInd w:val="0"/>
      <w:jc w:val="center"/>
    </w:pPr>
    <w:r>
      <w:rPr>
        <w:rStyle w:val="28"/>
        <w:rFonts w:eastAsiaTheme="minorEastAsia"/>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E33BD88">
                          <w:pPr>
                            <w:pStyle w:val="27"/>
                          </w:pPr>
                          <w:r>
                            <w:rPr>
                              <w:rStyle w:val="28"/>
                            </w:rPr>
                            <w:fldChar w:fldCharType="begin"/>
                          </w:r>
                          <w:r>
                            <w:rPr>
                              <w:rStyle w:val="28"/>
                              <w:rFonts w:eastAsiaTheme="minorEastAsia"/>
                            </w:rPr>
                            <w:instrText xml:space="preserve"> PAGE  \* MERGEFORMAT </w:instrText>
                          </w:r>
                          <w:r>
                            <w:rPr>
                              <w:rStyle w:val="28"/>
                            </w:rPr>
                            <w:fldChar w:fldCharType="separate"/>
                          </w:r>
                          <w:r>
                            <w:rPr>
                              <w:rStyle w:val="28"/>
                              <w:rFonts w:eastAsiaTheme="minorEastAsia"/>
                            </w:rPr>
                            <w:t>1</w:t>
                          </w:r>
                          <w:r>
                            <w:rPr>
                              <w:rStyle w:val="28"/>
                              <w:rFonts w:eastAsiaTheme="minor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0E33BD88">
                    <w:pPr>
                      <w:pStyle w:val="27"/>
                    </w:pPr>
                    <w:r>
                      <w:rPr>
                        <w:rStyle w:val="28"/>
                      </w:rPr>
                      <w:fldChar w:fldCharType="begin"/>
                    </w:r>
                    <w:r>
                      <w:rPr>
                        <w:rStyle w:val="28"/>
                        <w:rFonts w:eastAsiaTheme="minorEastAsia"/>
                      </w:rPr>
                      <w:instrText xml:space="preserve"> PAGE  \* MERGEFORMAT </w:instrText>
                    </w:r>
                    <w:r>
                      <w:rPr>
                        <w:rStyle w:val="28"/>
                      </w:rPr>
                      <w:fldChar w:fldCharType="separate"/>
                    </w:r>
                    <w:r>
                      <w:rPr>
                        <w:rStyle w:val="28"/>
                        <w:rFonts w:eastAsiaTheme="minorEastAsia"/>
                      </w:rPr>
                      <w:t>1</w:t>
                    </w:r>
                    <w:r>
                      <w:rPr>
                        <w:rStyle w:val="28"/>
                        <w:rFonts w:eastAsiaTheme="minorEastAsia"/>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D348FF">
    <w:pPr>
      <w:pStyle w:val="27"/>
      <w:adjustRightInd w:val="0"/>
      <w:jc w:val="center"/>
      <w:rPr>
        <w:rFonts w:ascii="Times New Roman" w:hAnsi="Times New Roman" w:cs="Times New Roman"/>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E848D50">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6E848D50">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33BD6B">
    <w:pPr>
      <w:spacing w:after="170" w:line="238" w:lineRule="auto"/>
      <w:ind w:left="6270"/>
      <w:jc w:val="right"/>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5274310" cy="5247640"/>
          <wp:effectExtent l="0" t="0" r="13970" b="10160"/>
          <wp:wrapNone/>
          <wp:docPr id="9"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黑体" w:hAnsi="黑体" w:eastAsia="黑体" w:cs="黑体"/>
      </w:rPr>
      <w:t>T</w:t>
    </w:r>
    <w:r>
      <w:rPr>
        <w:rFonts w:hint="eastAsia" w:ascii="黑体" w:hAnsi="黑体" w:eastAsia="黑体" w:cs="黑体"/>
        <w:color w:val="000000"/>
        <w:kern w:val="0"/>
      </w:rPr>
      <w:t>/</w:t>
    </w:r>
    <w:r>
      <w:rPr>
        <w:rFonts w:hint="eastAsia" w:ascii="黑体" w:hAnsi="黑体" w:eastAsia="黑体" w:cs="黑体"/>
      </w:rPr>
      <w:t>CECA-G XXXX—20XX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33BD6A">
    <w:pPr>
      <w:pStyle w:val="14"/>
      <w:tabs>
        <w:tab w:val="left" w:pos="9355"/>
      </w:tabs>
      <w:ind w:right="-1"/>
      <w:jc w:val="center"/>
      <w:rPr>
        <w:b/>
      </w:rPr>
    </w:pPr>
    <w:r>
      <w:t>XXXXX—2015</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33BD6C">
    <w:pPr>
      <w:rPr>
        <w:rFonts w:hint="default" w:ascii="黑体" w:hAnsi="黑体" w:eastAsia="黑体" w:cs="黑体"/>
        <w:color w:val="000000" w:themeColor="text1"/>
        <w:lang w:val="en-US" w:eastAsia="zh-CN"/>
        <w14:textFill>
          <w14:solidFill>
            <w14:schemeClr w14:val="tx1"/>
          </w14:solidFill>
        </w14:textFill>
      </w:rPr>
    </w:pPr>
    <w:r>
      <w:rPr>
        <w:rFonts w:hint="eastAsia" w:ascii="黑体" w:hAnsi="黑体" w:eastAsia="黑体" w:cs="黑体"/>
        <w:color w:val="000000" w:themeColor="text1"/>
        <w14:textFill>
          <w14:solidFill>
            <w14:schemeClr w14:val="tx1"/>
          </w14:solidFill>
        </w14:textFill>
      </w:rPr>
      <w:t xml:space="preserve">ICS </w:t>
    </w:r>
    <w:r>
      <w:rPr>
        <w:rFonts w:hint="eastAsia" w:ascii="黑体" w:hAnsi="黑体" w:eastAsia="黑体" w:cs="黑体"/>
        <w:color w:val="000000" w:themeColor="text1"/>
        <w:lang w:val="en-US" w:eastAsia="zh-CN"/>
        <w14:textFill>
          <w14:solidFill>
            <w14:schemeClr w14:val="tx1"/>
          </w14:solidFill>
        </w14:textFill>
      </w:rPr>
      <w:t>27</w:t>
    </w:r>
    <w:r>
      <w:rPr>
        <w:rFonts w:hint="eastAsia" w:ascii="黑体" w:hAnsi="黑体" w:eastAsia="黑体" w:cs="黑体"/>
        <w:color w:val="000000" w:themeColor="text1"/>
        <w14:textFill>
          <w14:solidFill>
            <w14:schemeClr w14:val="tx1"/>
          </w14:solidFill>
        </w14:textFill>
      </w:rPr>
      <w:t>.</w:t>
    </w:r>
    <w:r>
      <w:rPr>
        <w:rFonts w:hint="eastAsia" w:ascii="黑体" w:hAnsi="黑体" w:eastAsia="黑体" w:cs="黑体"/>
        <w:color w:val="000000" w:themeColor="text1"/>
        <w:lang w:val="en-US" w:eastAsia="zh-CN"/>
        <w14:textFill>
          <w14:solidFill>
            <w14:schemeClr w14:val="tx1"/>
          </w14:solidFill>
        </w14:textFill>
      </w:rPr>
      <w:t>010</w:t>
    </w:r>
  </w:p>
  <w:p w14:paraId="0E33BD6D">
    <w:pPr>
      <w:pStyle w:val="5"/>
      <w:pBdr>
        <w:bottom w:val="none" w:color="auto" w:sz="0" w:space="0"/>
      </w:pBdr>
      <w:tabs>
        <w:tab w:val="left" w:pos="6051"/>
        <w:tab w:val="clear" w:pos="4153"/>
      </w:tabs>
      <w:ind w:left="5040" w:hanging="5040" w:hangingChars="2800"/>
      <w:jc w:val="left"/>
    </w:pPr>
    <w:r>
      <w:drawing>
        <wp:anchor distT="0" distB="0" distL="114300" distR="114300" simplePos="0" relativeHeight="251663360" behindDoc="1" locked="0" layoutInCell="1" allowOverlap="1">
          <wp:simplePos x="0" y="0"/>
          <wp:positionH relativeFrom="margin">
            <wp:align>center</wp:align>
          </wp:positionH>
          <wp:positionV relativeFrom="margin">
            <wp:align>center</wp:align>
          </wp:positionV>
          <wp:extent cx="5274310" cy="5247640"/>
          <wp:effectExtent l="0" t="0" r="13970" b="10160"/>
          <wp:wrapNone/>
          <wp:docPr id="11"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黑体" w:hAnsi="黑体" w:eastAsia="黑体" w:cs="黑体"/>
        <w:color w:val="000000" w:themeColor="text1"/>
        <w:sz w:val="21"/>
        <w:szCs w:val="21"/>
        <w14:textFill>
          <w14:solidFill>
            <w14:schemeClr w14:val="tx1"/>
          </w14:solidFill>
        </w14:textFill>
      </w:rPr>
      <w:t xml:space="preserve">CCS </w:t>
    </w:r>
    <w:r>
      <w:rPr>
        <w:rFonts w:hint="eastAsia" w:ascii="黑体" w:hAnsi="黑体" w:eastAsia="黑体" w:cs="黑体"/>
        <w:color w:val="000000" w:themeColor="text1"/>
        <w:sz w:val="21"/>
        <w:szCs w:val="21"/>
        <w:lang w:val="en-US" w:eastAsia="zh-CN"/>
        <w14:textFill>
          <w14:solidFill>
            <w14:schemeClr w14:val="tx1"/>
          </w14:solidFill>
        </w14:textFill>
      </w:rPr>
      <w:t>F01</w:t>
    </w:r>
    <w:r>
      <w:rPr>
        <w:rFonts w:hint="eastAsia" w:ascii="黑体" w:hAnsi="黑体" w:eastAsia="黑体" w:cs="黑体"/>
        <w:color w:val="000000" w:themeColor="text1"/>
        <w:sz w:val="21"/>
        <w:szCs w:val="21"/>
        <w14:textFill>
          <w14:solidFill>
            <w14:schemeClr w14:val="tx1"/>
          </w14:solidFill>
        </w14:textFill>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33BD6F">
    <w:pPr>
      <w:pStyle w:val="5"/>
      <w:pBdr>
        <w:bottom w:val="none" w:color="auto" w:sz="0" w:space="1"/>
      </w:pBdr>
      <w:jc w:val="right"/>
      <w:rPr>
        <w:szCs w:val="21"/>
      </w:rPr>
    </w:pPr>
    <w: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5274310" cy="5247640"/>
          <wp:effectExtent l="0" t="0" r="13970" b="10160"/>
          <wp:wrapNone/>
          <wp:docPr id="12"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Times New Roman" w:hAnsi="Times New Roman" w:cs="Times New Roman"/>
      </w:rPr>
      <w:t>T/CECA-GXXXX—202X</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33BD71">
    <w:pPr>
      <w:spacing w:after="170" w:line="238" w:lineRule="auto"/>
      <w:ind w:left="6270"/>
      <w:jc w:val="right"/>
    </w:pPr>
    <w:r>
      <w:rPr>
        <w:sz w:val="18"/>
      </w:rPr>
      <w:drawing>
        <wp:anchor distT="0" distB="0" distL="114300" distR="114300" simplePos="0" relativeHeight="251665408" behindDoc="1" locked="0" layoutInCell="1" allowOverlap="1">
          <wp:simplePos x="0" y="0"/>
          <wp:positionH relativeFrom="margin">
            <wp:align>center</wp:align>
          </wp:positionH>
          <wp:positionV relativeFrom="margin">
            <wp:align>center</wp:align>
          </wp:positionV>
          <wp:extent cx="5274310" cy="5247640"/>
          <wp:effectExtent l="0" t="0" r="13970" b="10160"/>
          <wp:wrapNone/>
          <wp:docPr id="13"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黑体" w:hAnsi="黑体" w:eastAsia="黑体" w:cs="黑体"/>
      </w:rPr>
      <w:t>T</w:t>
    </w:r>
    <w:r>
      <w:rPr>
        <w:rFonts w:hint="eastAsia" w:ascii="黑体" w:hAnsi="黑体" w:eastAsia="黑体" w:cs="黑体"/>
        <w:color w:val="000000"/>
        <w:kern w:val="0"/>
      </w:rPr>
      <w:t>/</w:t>
    </w:r>
    <w:r>
      <w:rPr>
        <w:rFonts w:hint="eastAsia" w:ascii="黑体" w:hAnsi="黑体" w:eastAsia="黑体" w:cs="黑体"/>
      </w:rPr>
      <w:t>CECA-G XXXX—20XX</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460CE">
    <w:pPr>
      <w:spacing w:after="170" w:line="238" w:lineRule="auto"/>
      <w:ind w:left="6270"/>
      <w:jc w:val="right"/>
      <w:rPr>
        <w:rFonts w:eastAsia="黑体"/>
      </w:rPr>
    </w:pPr>
    <w:r>
      <w:rPr>
        <w:sz w:val="18"/>
      </w:rPr>
      <w:drawing>
        <wp:anchor distT="0" distB="0" distL="114300" distR="114300" simplePos="0" relativeHeight="251669504" behindDoc="1" locked="0" layoutInCell="1" allowOverlap="1">
          <wp:simplePos x="0" y="0"/>
          <wp:positionH relativeFrom="margin">
            <wp:align>center</wp:align>
          </wp:positionH>
          <wp:positionV relativeFrom="margin">
            <wp:align>center</wp:align>
          </wp:positionV>
          <wp:extent cx="5274310" cy="5247640"/>
          <wp:effectExtent l="0" t="0" r="8890" b="10160"/>
          <wp:wrapNone/>
          <wp:docPr id="18" name="WordPictureWatermark3400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ordPictureWatermark34001" descr="LOGO"/>
                  <pic:cNvPicPr>
                    <a:picLocks noChangeAspect="1"/>
                  </pic:cNvPicPr>
                </pic:nvPicPr>
                <pic:blipFill>
                  <a:blip r:embed="rId1"/>
                  <a:stretch>
                    <a:fillRect/>
                  </a:stretch>
                </pic:blipFill>
                <pic:spPr>
                  <a:xfrm>
                    <a:off x="0" y="0"/>
                    <a:ext cx="5274310" cy="5247640"/>
                  </a:xfrm>
                  <a:prstGeom prst="rect">
                    <a:avLst/>
                  </a:prstGeom>
                  <a:noFill/>
                  <a:ln>
                    <a:noFill/>
                  </a:ln>
                </pic:spPr>
              </pic:pic>
            </a:graphicData>
          </a:graphic>
        </wp:anchor>
      </w:drawing>
    </w:r>
    <w:r>
      <w:rPr>
        <w:rFonts w:hint="eastAsia" w:ascii="黑体" w:hAnsi="黑体" w:eastAsia="黑体" w:cs="黑体"/>
      </w:rPr>
      <w:t>T</w:t>
    </w:r>
    <w:r>
      <w:rPr>
        <w:rFonts w:hint="eastAsia" w:ascii="黑体" w:hAnsi="黑体" w:eastAsia="黑体" w:cs="黑体"/>
        <w:color w:val="000000"/>
        <w:kern w:val="0"/>
      </w:rPr>
      <w:t>/</w:t>
    </w:r>
    <w:r>
      <w:rPr>
        <w:rFonts w:hint="eastAsia" w:ascii="黑体" w:hAnsi="黑体" w:eastAsia="黑体" w:cs="黑体"/>
      </w:rPr>
      <w:t>CECA-G XXXX—20XX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D9D5905"/>
    <w:multiLevelType w:val="singleLevel"/>
    <w:tmpl w:val="AD9D5905"/>
    <w:lvl w:ilvl="0" w:tentative="0">
      <w:start w:val="1"/>
      <w:numFmt w:val="decimal"/>
      <w:suff w:val="space"/>
      <w:lvlText w:val="[%1]"/>
      <w:lvlJc w:val="left"/>
    </w:lvl>
  </w:abstractNum>
  <w:abstractNum w:abstractNumId="1">
    <w:nsid w:val="1FC91163"/>
    <w:multiLevelType w:val="multilevel"/>
    <w:tmpl w:val="1FC91163"/>
    <w:lvl w:ilvl="0" w:tentative="0">
      <w:start w:val="1"/>
      <w:numFmt w:val="decimal"/>
      <w:pStyle w:val="16"/>
      <w:suff w:val="nothing"/>
      <w:lvlText w:val="%1　"/>
      <w:lvlJc w:val="left"/>
      <w:pPr>
        <w:ind w:left="142" w:firstLine="0"/>
      </w:pPr>
      <w:rPr>
        <w:rFonts w:hint="eastAsia" w:ascii="黑体" w:hAnsi="Times New Roman" w:eastAsia="黑体"/>
        <w:b w:val="0"/>
        <w:i w:val="0"/>
        <w:sz w:val="21"/>
        <w:szCs w:val="21"/>
      </w:rPr>
    </w:lvl>
    <w:lvl w:ilvl="1" w:tentative="0">
      <w:start w:val="1"/>
      <w:numFmt w:val="decimal"/>
      <w:pStyle w:val="19"/>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24AAA082"/>
    <w:multiLevelType w:val="multilevel"/>
    <w:tmpl w:val="24AAA082"/>
    <w:lvl w:ilvl="0" w:tentative="0">
      <w:start w:val="1"/>
      <w:numFmt w:val="decimal"/>
      <w:pStyle w:val="44"/>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48802D1C"/>
    <w:multiLevelType w:val="multilevel"/>
    <w:tmpl w:val="48802D1C"/>
    <w:lvl w:ilvl="0" w:tentative="0">
      <w:start w:val="1"/>
      <w:numFmt w:val="upperLetter"/>
      <w:pStyle w:val="42"/>
      <w:lvlText w:val="%1"/>
      <w:lvlJc w:val="left"/>
      <w:pPr>
        <w:ind w:left="420" w:hanging="420"/>
      </w:pPr>
      <w:rPr>
        <w:rFonts w:hint="eastAsia"/>
      </w:rPr>
    </w:lvl>
    <w:lvl w:ilvl="1" w:tentative="0">
      <w:start w:val="1"/>
      <w:numFmt w:val="decimal"/>
      <w:pStyle w:val="47"/>
      <w:suff w:val="space"/>
      <w:lvlText w:val="图%1.%2 "/>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4">
    <w:nsid w:val="557C2AF5"/>
    <w:multiLevelType w:val="multilevel"/>
    <w:tmpl w:val="557C2AF5"/>
    <w:lvl w:ilvl="0" w:tentative="0">
      <w:start w:val="1"/>
      <w:numFmt w:val="decimal"/>
      <w:pStyle w:val="35"/>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5">
    <w:nsid w:val="5603797C"/>
    <w:multiLevelType w:val="multilevel"/>
    <w:tmpl w:val="5603797C"/>
    <w:lvl w:ilvl="0" w:tentative="0">
      <w:start w:val="1"/>
      <w:numFmt w:val="upperLetter"/>
      <w:pStyle w:val="43"/>
      <w:suff w:val="space"/>
      <w:lvlText w:val="%1"/>
      <w:lvlJc w:val="left"/>
      <w:pPr>
        <w:ind w:left="425" w:hanging="425"/>
      </w:pPr>
      <w:rPr>
        <w:rFonts w:hint="eastAsia"/>
      </w:rPr>
    </w:lvl>
    <w:lvl w:ilvl="1" w:tentative="0">
      <w:start w:val="1"/>
      <w:numFmt w:val="decimal"/>
      <w:pStyle w:val="40"/>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6">
    <w:nsid w:val="646260FA"/>
    <w:multiLevelType w:val="multilevel"/>
    <w:tmpl w:val="646260FA"/>
    <w:lvl w:ilvl="0" w:tentative="0">
      <w:start w:val="1"/>
      <w:numFmt w:val="decimal"/>
      <w:pStyle w:val="38"/>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7">
    <w:nsid w:val="657D3FBC"/>
    <w:multiLevelType w:val="multilevel"/>
    <w:tmpl w:val="657D3FBC"/>
    <w:lvl w:ilvl="0" w:tentative="0">
      <w:start w:val="1"/>
      <w:numFmt w:val="upperLetter"/>
      <w:pStyle w:val="21"/>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46"/>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pStyle w:val="24"/>
      <w:suff w:val="nothing"/>
      <w:lvlText w:val="%1.%2.%3　"/>
      <w:lvlJc w:val="left"/>
      <w:pPr>
        <w:ind w:left="315"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8">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32"/>
      <w:suff w:val="nothing"/>
      <w:lvlText w:val="%1%2　"/>
      <w:lvlJc w:val="left"/>
      <w:pPr>
        <w:ind w:left="0" w:firstLine="0"/>
      </w:pPr>
      <w:rPr>
        <w:rFonts w:hint="eastAsia" w:ascii="黑体" w:eastAsia="黑体"/>
        <w:b w:val="0"/>
        <w:i w:val="0"/>
        <w:sz w:val="21"/>
      </w:rPr>
    </w:lvl>
    <w:lvl w:ilvl="2" w:tentative="0">
      <w:start w:val="1"/>
      <w:numFmt w:val="decimal"/>
      <w:pStyle w:val="31"/>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3" w:tentative="0">
      <w:start w:val="1"/>
      <w:numFmt w:val="decimal"/>
      <w:pStyle w:val="33"/>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9">
    <w:nsid w:val="6DBF04F4"/>
    <w:multiLevelType w:val="multilevel"/>
    <w:tmpl w:val="6DBF04F4"/>
    <w:lvl w:ilvl="0" w:tentative="0">
      <w:start w:val="1"/>
      <w:numFmt w:val="none"/>
      <w:pStyle w:val="34"/>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num w:numId="1">
    <w:abstractNumId w:val="1"/>
  </w:num>
  <w:num w:numId="2">
    <w:abstractNumId w:val="7"/>
  </w:num>
  <w:num w:numId="3">
    <w:abstractNumId w:val="8"/>
  </w:num>
  <w:num w:numId="4">
    <w:abstractNumId w:val="9"/>
  </w:num>
  <w:num w:numId="5">
    <w:abstractNumId w:val="4"/>
  </w:num>
  <w:num w:numId="6">
    <w:abstractNumId w:val="6"/>
  </w:num>
  <w:num w:numId="7">
    <w:abstractNumId w:val="5"/>
  </w:num>
  <w:num w:numId="8">
    <w:abstractNumId w:val="3"/>
  </w:num>
  <w:num w:numId="9">
    <w:abstractNumId w:val="2"/>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3B7507"/>
    <w:rsid w:val="00213C29"/>
    <w:rsid w:val="00430000"/>
    <w:rsid w:val="004F3262"/>
    <w:rsid w:val="005510FD"/>
    <w:rsid w:val="00747B29"/>
    <w:rsid w:val="00814795"/>
    <w:rsid w:val="009F4C1B"/>
    <w:rsid w:val="00B11A45"/>
    <w:rsid w:val="00B52AE7"/>
    <w:rsid w:val="00C16B9A"/>
    <w:rsid w:val="00CA00AB"/>
    <w:rsid w:val="00CD690B"/>
    <w:rsid w:val="00DB20E1"/>
    <w:rsid w:val="011937D7"/>
    <w:rsid w:val="015500B5"/>
    <w:rsid w:val="01786990"/>
    <w:rsid w:val="01A7647D"/>
    <w:rsid w:val="01CA2991"/>
    <w:rsid w:val="01DA23AF"/>
    <w:rsid w:val="01F3710E"/>
    <w:rsid w:val="02495570"/>
    <w:rsid w:val="0270061D"/>
    <w:rsid w:val="02930042"/>
    <w:rsid w:val="02C46466"/>
    <w:rsid w:val="02DA7354"/>
    <w:rsid w:val="03325A2D"/>
    <w:rsid w:val="03A5079A"/>
    <w:rsid w:val="03A85A55"/>
    <w:rsid w:val="03C2759E"/>
    <w:rsid w:val="04176C96"/>
    <w:rsid w:val="04A24CDA"/>
    <w:rsid w:val="050A4C6D"/>
    <w:rsid w:val="05780A0D"/>
    <w:rsid w:val="057A317B"/>
    <w:rsid w:val="05B045A0"/>
    <w:rsid w:val="06186DAE"/>
    <w:rsid w:val="070D0B30"/>
    <w:rsid w:val="07104B65"/>
    <w:rsid w:val="071910CB"/>
    <w:rsid w:val="07EA0E72"/>
    <w:rsid w:val="080212A5"/>
    <w:rsid w:val="082A3964"/>
    <w:rsid w:val="0878105A"/>
    <w:rsid w:val="088C3CD7"/>
    <w:rsid w:val="08DA08BA"/>
    <w:rsid w:val="08F14A00"/>
    <w:rsid w:val="08FB2C0B"/>
    <w:rsid w:val="09412D13"/>
    <w:rsid w:val="09AA6B0A"/>
    <w:rsid w:val="0A4A5BF8"/>
    <w:rsid w:val="0A6A2895"/>
    <w:rsid w:val="0AA250A3"/>
    <w:rsid w:val="0AD31F5E"/>
    <w:rsid w:val="0BA67416"/>
    <w:rsid w:val="0C2A5CE1"/>
    <w:rsid w:val="0C3F697A"/>
    <w:rsid w:val="0C686809"/>
    <w:rsid w:val="0C6A2581"/>
    <w:rsid w:val="0C840A1A"/>
    <w:rsid w:val="0C9E222B"/>
    <w:rsid w:val="0CC94EBC"/>
    <w:rsid w:val="0CFA3648"/>
    <w:rsid w:val="0D3F756A"/>
    <w:rsid w:val="0D494B25"/>
    <w:rsid w:val="0EAB2689"/>
    <w:rsid w:val="0ED14B39"/>
    <w:rsid w:val="0ED66D86"/>
    <w:rsid w:val="0F07055B"/>
    <w:rsid w:val="0F692FC4"/>
    <w:rsid w:val="0F871C1B"/>
    <w:rsid w:val="0FFA00C0"/>
    <w:rsid w:val="0FFC1742"/>
    <w:rsid w:val="107B1388"/>
    <w:rsid w:val="107D490A"/>
    <w:rsid w:val="109202F8"/>
    <w:rsid w:val="10FF053A"/>
    <w:rsid w:val="11370089"/>
    <w:rsid w:val="117B6FDE"/>
    <w:rsid w:val="11AE1162"/>
    <w:rsid w:val="11CC7C14"/>
    <w:rsid w:val="121F796A"/>
    <w:rsid w:val="12485112"/>
    <w:rsid w:val="126161D4"/>
    <w:rsid w:val="132D1291"/>
    <w:rsid w:val="13975C49"/>
    <w:rsid w:val="13C06F2A"/>
    <w:rsid w:val="1410140B"/>
    <w:rsid w:val="142861A2"/>
    <w:rsid w:val="142D6BB0"/>
    <w:rsid w:val="14342A15"/>
    <w:rsid w:val="14B7657F"/>
    <w:rsid w:val="14DA5037"/>
    <w:rsid w:val="14E629C1"/>
    <w:rsid w:val="15393438"/>
    <w:rsid w:val="157D4A1B"/>
    <w:rsid w:val="15826B8D"/>
    <w:rsid w:val="15B36D47"/>
    <w:rsid w:val="15C471B3"/>
    <w:rsid w:val="15D471D0"/>
    <w:rsid w:val="15D62A35"/>
    <w:rsid w:val="15F306FC"/>
    <w:rsid w:val="167575DE"/>
    <w:rsid w:val="16B34DB8"/>
    <w:rsid w:val="16C003CD"/>
    <w:rsid w:val="17404942"/>
    <w:rsid w:val="17584751"/>
    <w:rsid w:val="178105BA"/>
    <w:rsid w:val="179766B3"/>
    <w:rsid w:val="17A32DEB"/>
    <w:rsid w:val="17D631C0"/>
    <w:rsid w:val="17EC7880"/>
    <w:rsid w:val="18245CDA"/>
    <w:rsid w:val="18616F2E"/>
    <w:rsid w:val="18736C61"/>
    <w:rsid w:val="18C33745"/>
    <w:rsid w:val="194D6F0B"/>
    <w:rsid w:val="1A02204B"/>
    <w:rsid w:val="1A393593"/>
    <w:rsid w:val="1A5C5B80"/>
    <w:rsid w:val="1A5F7CF7"/>
    <w:rsid w:val="1A913BA5"/>
    <w:rsid w:val="1AB71087"/>
    <w:rsid w:val="1AC3611C"/>
    <w:rsid w:val="1B38452B"/>
    <w:rsid w:val="1BB67591"/>
    <w:rsid w:val="1BCA5EB8"/>
    <w:rsid w:val="1BEA548C"/>
    <w:rsid w:val="1C4F709D"/>
    <w:rsid w:val="1C8D286B"/>
    <w:rsid w:val="1C9378D2"/>
    <w:rsid w:val="1CA653B3"/>
    <w:rsid w:val="1D167BBB"/>
    <w:rsid w:val="1D8A2A83"/>
    <w:rsid w:val="1DD96C59"/>
    <w:rsid w:val="1E470974"/>
    <w:rsid w:val="1E5D0198"/>
    <w:rsid w:val="1EB05F1E"/>
    <w:rsid w:val="1EDF6DFF"/>
    <w:rsid w:val="1F0D5A54"/>
    <w:rsid w:val="1F1A7E37"/>
    <w:rsid w:val="1F3F77B0"/>
    <w:rsid w:val="1F435B57"/>
    <w:rsid w:val="1FB65DB1"/>
    <w:rsid w:val="1FDE2C12"/>
    <w:rsid w:val="20412C9D"/>
    <w:rsid w:val="2091237A"/>
    <w:rsid w:val="21627873"/>
    <w:rsid w:val="217A4BBD"/>
    <w:rsid w:val="21CA0D2E"/>
    <w:rsid w:val="22187D42"/>
    <w:rsid w:val="226C6BFB"/>
    <w:rsid w:val="228C104B"/>
    <w:rsid w:val="22D1242A"/>
    <w:rsid w:val="22EF6DBA"/>
    <w:rsid w:val="243D2FEB"/>
    <w:rsid w:val="245E7FCC"/>
    <w:rsid w:val="246C2EE2"/>
    <w:rsid w:val="24C445B8"/>
    <w:rsid w:val="254D79CF"/>
    <w:rsid w:val="2560748F"/>
    <w:rsid w:val="256B622C"/>
    <w:rsid w:val="25873D4C"/>
    <w:rsid w:val="25901034"/>
    <w:rsid w:val="25AE24B3"/>
    <w:rsid w:val="26041B6B"/>
    <w:rsid w:val="26404627"/>
    <w:rsid w:val="267A29D8"/>
    <w:rsid w:val="270E64D3"/>
    <w:rsid w:val="273245C8"/>
    <w:rsid w:val="27A32323"/>
    <w:rsid w:val="28011B94"/>
    <w:rsid w:val="280264DB"/>
    <w:rsid w:val="281C08EE"/>
    <w:rsid w:val="282F2844"/>
    <w:rsid w:val="290556B4"/>
    <w:rsid w:val="29475CCC"/>
    <w:rsid w:val="295D104C"/>
    <w:rsid w:val="29A94D9A"/>
    <w:rsid w:val="2A2D7C51"/>
    <w:rsid w:val="2A4831D2"/>
    <w:rsid w:val="2AEB08D9"/>
    <w:rsid w:val="2AF94DA4"/>
    <w:rsid w:val="2B786611"/>
    <w:rsid w:val="2BCA3C99"/>
    <w:rsid w:val="2C1B33C6"/>
    <w:rsid w:val="2CE850D0"/>
    <w:rsid w:val="2D030F68"/>
    <w:rsid w:val="2D0F11D9"/>
    <w:rsid w:val="2D5A0841"/>
    <w:rsid w:val="2DBF5D7B"/>
    <w:rsid w:val="2DEA30CA"/>
    <w:rsid w:val="2DFB239F"/>
    <w:rsid w:val="2E4E5407"/>
    <w:rsid w:val="2E9B73BC"/>
    <w:rsid w:val="2EB628DA"/>
    <w:rsid w:val="2EC97183"/>
    <w:rsid w:val="2F1C7E9A"/>
    <w:rsid w:val="2F5A0F17"/>
    <w:rsid w:val="2FA6082F"/>
    <w:rsid w:val="2FA62D32"/>
    <w:rsid w:val="30045A3B"/>
    <w:rsid w:val="300809E8"/>
    <w:rsid w:val="30155912"/>
    <w:rsid w:val="307C56D3"/>
    <w:rsid w:val="308C311F"/>
    <w:rsid w:val="30A52836"/>
    <w:rsid w:val="31C80C10"/>
    <w:rsid w:val="31CF47B6"/>
    <w:rsid w:val="31EE27EE"/>
    <w:rsid w:val="31FF5D4D"/>
    <w:rsid w:val="32095AC2"/>
    <w:rsid w:val="32624072"/>
    <w:rsid w:val="334E5EA9"/>
    <w:rsid w:val="335E1684"/>
    <w:rsid w:val="335E1849"/>
    <w:rsid w:val="338843BB"/>
    <w:rsid w:val="33BD4BD8"/>
    <w:rsid w:val="33D1017D"/>
    <w:rsid w:val="33F2162E"/>
    <w:rsid w:val="346638E0"/>
    <w:rsid w:val="352F7CE5"/>
    <w:rsid w:val="35A4403C"/>
    <w:rsid w:val="35FC7E3E"/>
    <w:rsid w:val="362052E1"/>
    <w:rsid w:val="36785717"/>
    <w:rsid w:val="370C2D55"/>
    <w:rsid w:val="37720712"/>
    <w:rsid w:val="37D03331"/>
    <w:rsid w:val="37D054F7"/>
    <w:rsid w:val="37F52D97"/>
    <w:rsid w:val="37FA104F"/>
    <w:rsid w:val="38E8375D"/>
    <w:rsid w:val="38F207D6"/>
    <w:rsid w:val="3902576C"/>
    <w:rsid w:val="39162FC5"/>
    <w:rsid w:val="39930ABA"/>
    <w:rsid w:val="39D76BF8"/>
    <w:rsid w:val="3A7D77A0"/>
    <w:rsid w:val="3AA56888"/>
    <w:rsid w:val="3B0D75CD"/>
    <w:rsid w:val="3B9528C7"/>
    <w:rsid w:val="3B984165"/>
    <w:rsid w:val="3B9B5A04"/>
    <w:rsid w:val="3BFF2436"/>
    <w:rsid w:val="3C011D0B"/>
    <w:rsid w:val="3C4536D3"/>
    <w:rsid w:val="3CF5506D"/>
    <w:rsid w:val="3D3361D2"/>
    <w:rsid w:val="3D387082"/>
    <w:rsid w:val="3D4323F8"/>
    <w:rsid w:val="3D6F1615"/>
    <w:rsid w:val="3DC97D5B"/>
    <w:rsid w:val="3DD40F99"/>
    <w:rsid w:val="3E5A3606"/>
    <w:rsid w:val="3E630A5B"/>
    <w:rsid w:val="3F0763D8"/>
    <w:rsid w:val="3F2C03B1"/>
    <w:rsid w:val="3F3962FE"/>
    <w:rsid w:val="3F710F55"/>
    <w:rsid w:val="3FCF6064"/>
    <w:rsid w:val="3FD206C0"/>
    <w:rsid w:val="3FD367F9"/>
    <w:rsid w:val="3FD4770D"/>
    <w:rsid w:val="3FF44B6B"/>
    <w:rsid w:val="403A3A3D"/>
    <w:rsid w:val="404928D0"/>
    <w:rsid w:val="40BA6517"/>
    <w:rsid w:val="40C97778"/>
    <w:rsid w:val="41A52431"/>
    <w:rsid w:val="41FA7928"/>
    <w:rsid w:val="429B15D2"/>
    <w:rsid w:val="42DB7F0D"/>
    <w:rsid w:val="431A57FB"/>
    <w:rsid w:val="43813731"/>
    <w:rsid w:val="439040DF"/>
    <w:rsid w:val="43C114AA"/>
    <w:rsid w:val="43E761E7"/>
    <w:rsid w:val="44185E43"/>
    <w:rsid w:val="44A6695C"/>
    <w:rsid w:val="44E35A2E"/>
    <w:rsid w:val="44FE772F"/>
    <w:rsid w:val="45124285"/>
    <w:rsid w:val="453C0257"/>
    <w:rsid w:val="45D603C3"/>
    <w:rsid w:val="45E701C3"/>
    <w:rsid w:val="46454EEA"/>
    <w:rsid w:val="464D09AB"/>
    <w:rsid w:val="46873754"/>
    <w:rsid w:val="469B2D5C"/>
    <w:rsid w:val="46A16778"/>
    <w:rsid w:val="479F062A"/>
    <w:rsid w:val="48254FD3"/>
    <w:rsid w:val="4839282C"/>
    <w:rsid w:val="48FE3445"/>
    <w:rsid w:val="49557B3A"/>
    <w:rsid w:val="49971226"/>
    <w:rsid w:val="49E30CA1"/>
    <w:rsid w:val="49F44C5D"/>
    <w:rsid w:val="4A543983"/>
    <w:rsid w:val="4B490507"/>
    <w:rsid w:val="4B6252AD"/>
    <w:rsid w:val="4B906C07"/>
    <w:rsid w:val="4BD96800"/>
    <w:rsid w:val="4C2C6367"/>
    <w:rsid w:val="4C96451A"/>
    <w:rsid w:val="4C9D782D"/>
    <w:rsid w:val="4CB10B61"/>
    <w:rsid w:val="4CCA6F26"/>
    <w:rsid w:val="4CD356E0"/>
    <w:rsid w:val="4D151ABA"/>
    <w:rsid w:val="4D7D176B"/>
    <w:rsid w:val="4DA346AC"/>
    <w:rsid w:val="4E710F72"/>
    <w:rsid w:val="4F12415B"/>
    <w:rsid w:val="4F577DA6"/>
    <w:rsid w:val="4F971E7D"/>
    <w:rsid w:val="4F992EE3"/>
    <w:rsid w:val="4FB60688"/>
    <w:rsid w:val="4FF5558B"/>
    <w:rsid w:val="501F49FD"/>
    <w:rsid w:val="509233AE"/>
    <w:rsid w:val="50CA7C23"/>
    <w:rsid w:val="51095C3F"/>
    <w:rsid w:val="514140D6"/>
    <w:rsid w:val="51981E3E"/>
    <w:rsid w:val="525941F7"/>
    <w:rsid w:val="52734B8D"/>
    <w:rsid w:val="52B458D1"/>
    <w:rsid w:val="52BA4CC2"/>
    <w:rsid w:val="52CD6993"/>
    <w:rsid w:val="52D02457"/>
    <w:rsid w:val="53566988"/>
    <w:rsid w:val="53AB2FAF"/>
    <w:rsid w:val="540A4E77"/>
    <w:rsid w:val="542746C6"/>
    <w:rsid w:val="54734FF3"/>
    <w:rsid w:val="55396581"/>
    <w:rsid w:val="554809DA"/>
    <w:rsid w:val="556F4103"/>
    <w:rsid w:val="559B68D4"/>
    <w:rsid w:val="563624D6"/>
    <w:rsid w:val="565A053D"/>
    <w:rsid w:val="56D36A74"/>
    <w:rsid w:val="56EF518A"/>
    <w:rsid w:val="57273B0D"/>
    <w:rsid w:val="5730129E"/>
    <w:rsid w:val="577C6D57"/>
    <w:rsid w:val="57A35F14"/>
    <w:rsid w:val="57A567BF"/>
    <w:rsid w:val="57B222F1"/>
    <w:rsid w:val="585A0885"/>
    <w:rsid w:val="58DC16DE"/>
    <w:rsid w:val="58F509F1"/>
    <w:rsid w:val="59362CBB"/>
    <w:rsid w:val="594902D2"/>
    <w:rsid w:val="5967765B"/>
    <w:rsid w:val="5A2B0B9C"/>
    <w:rsid w:val="5A3612C1"/>
    <w:rsid w:val="5B6B6D49"/>
    <w:rsid w:val="5BC30933"/>
    <w:rsid w:val="5DC34C1A"/>
    <w:rsid w:val="5E0F4FFA"/>
    <w:rsid w:val="5E190CDE"/>
    <w:rsid w:val="5E35548F"/>
    <w:rsid w:val="5E3B0C54"/>
    <w:rsid w:val="5E3B7507"/>
    <w:rsid w:val="5E525F9E"/>
    <w:rsid w:val="5E532442"/>
    <w:rsid w:val="5E8545C5"/>
    <w:rsid w:val="5E8A398A"/>
    <w:rsid w:val="5EA860B5"/>
    <w:rsid w:val="5EB168FD"/>
    <w:rsid w:val="5EE15B4F"/>
    <w:rsid w:val="5F5924E9"/>
    <w:rsid w:val="5F592A0A"/>
    <w:rsid w:val="5F750ADC"/>
    <w:rsid w:val="5F8672E6"/>
    <w:rsid w:val="5FE506D1"/>
    <w:rsid w:val="5FEC4BEF"/>
    <w:rsid w:val="60107EBF"/>
    <w:rsid w:val="60343BAD"/>
    <w:rsid w:val="603E705D"/>
    <w:rsid w:val="60504E56"/>
    <w:rsid w:val="609355AC"/>
    <w:rsid w:val="60EC4488"/>
    <w:rsid w:val="611543D6"/>
    <w:rsid w:val="619D5782"/>
    <w:rsid w:val="61A3723C"/>
    <w:rsid w:val="61A44D62"/>
    <w:rsid w:val="61B03707"/>
    <w:rsid w:val="61C15971"/>
    <w:rsid w:val="61FB48DF"/>
    <w:rsid w:val="63421B9D"/>
    <w:rsid w:val="639F1128"/>
    <w:rsid w:val="63C60FC0"/>
    <w:rsid w:val="641C3C29"/>
    <w:rsid w:val="643F08DE"/>
    <w:rsid w:val="645C2560"/>
    <w:rsid w:val="645C36D2"/>
    <w:rsid w:val="64A226A9"/>
    <w:rsid w:val="64F658D5"/>
    <w:rsid w:val="652D67E3"/>
    <w:rsid w:val="65312DB1"/>
    <w:rsid w:val="65323396"/>
    <w:rsid w:val="6544738C"/>
    <w:rsid w:val="65483DB4"/>
    <w:rsid w:val="657700A1"/>
    <w:rsid w:val="65D10A88"/>
    <w:rsid w:val="65DD0843"/>
    <w:rsid w:val="661676E8"/>
    <w:rsid w:val="662C20DB"/>
    <w:rsid w:val="66806E3C"/>
    <w:rsid w:val="66DE4873"/>
    <w:rsid w:val="66EC3434"/>
    <w:rsid w:val="676D5D73"/>
    <w:rsid w:val="683530B2"/>
    <w:rsid w:val="68C00BD5"/>
    <w:rsid w:val="68D66DEC"/>
    <w:rsid w:val="69417DFF"/>
    <w:rsid w:val="699658D9"/>
    <w:rsid w:val="69D5557F"/>
    <w:rsid w:val="6A23521E"/>
    <w:rsid w:val="6AAF0A00"/>
    <w:rsid w:val="6AF56A2D"/>
    <w:rsid w:val="6AF748A0"/>
    <w:rsid w:val="6B161AF0"/>
    <w:rsid w:val="6B2A2ECF"/>
    <w:rsid w:val="6B37171D"/>
    <w:rsid w:val="6B6D15E9"/>
    <w:rsid w:val="6D0306BD"/>
    <w:rsid w:val="6D0503EF"/>
    <w:rsid w:val="6D35187C"/>
    <w:rsid w:val="6D4A2C62"/>
    <w:rsid w:val="6D576E97"/>
    <w:rsid w:val="6D717BC2"/>
    <w:rsid w:val="6EA04B62"/>
    <w:rsid w:val="6F1A57AF"/>
    <w:rsid w:val="6F323805"/>
    <w:rsid w:val="6F5002D8"/>
    <w:rsid w:val="6F771D08"/>
    <w:rsid w:val="706202C3"/>
    <w:rsid w:val="70763D6E"/>
    <w:rsid w:val="70D1312C"/>
    <w:rsid w:val="70DA6270"/>
    <w:rsid w:val="70E44E73"/>
    <w:rsid w:val="70F62876"/>
    <w:rsid w:val="7119579E"/>
    <w:rsid w:val="71257C6E"/>
    <w:rsid w:val="71FE04BF"/>
    <w:rsid w:val="72E96A79"/>
    <w:rsid w:val="73232973"/>
    <w:rsid w:val="73ED4C8A"/>
    <w:rsid w:val="73F46D5C"/>
    <w:rsid w:val="741B7D08"/>
    <w:rsid w:val="744321B9"/>
    <w:rsid w:val="74FE2171"/>
    <w:rsid w:val="750E3AC8"/>
    <w:rsid w:val="752913AF"/>
    <w:rsid w:val="7590142E"/>
    <w:rsid w:val="75B726B5"/>
    <w:rsid w:val="75CD61DE"/>
    <w:rsid w:val="764222BD"/>
    <w:rsid w:val="76557CFE"/>
    <w:rsid w:val="76843C6D"/>
    <w:rsid w:val="768B1528"/>
    <w:rsid w:val="769F5FB4"/>
    <w:rsid w:val="76D812DE"/>
    <w:rsid w:val="77471B48"/>
    <w:rsid w:val="775274B9"/>
    <w:rsid w:val="775B3BF2"/>
    <w:rsid w:val="779C40BA"/>
    <w:rsid w:val="77DF669D"/>
    <w:rsid w:val="77EA5F9D"/>
    <w:rsid w:val="77F959B0"/>
    <w:rsid w:val="78015182"/>
    <w:rsid w:val="78103582"/>
    <w:rsid w:val="781A5362"/>
    <w:rsid w:val="78E56227"/>
    <w:rsid w:val="7931117A"/>
    <w:rsid w:val="796B01E8"/>
    <w:rsid w:val="79CE3098"/>
    <w:rsid w:val="7A2B2283"/>
    <w:rsid w:val="7A2C598C"/>
    <w:rsid w:val="7B997A06"/>
    <w:rsid w:val="7CD12A58"/>
    <w:rsid w:val="7D0746CC"/>
    <w:rsid w:val="7D81762E"/>
    <w:rsid w:val="7DDC4913"/>
    <w:rsid w:val="7E09286B"/>
    <w:rsid w:val="7E2E3EDA"/>
    <w:rsid w:val="7ED20D09"/>
    <w:rsid w:val="7F01339C"/>
    <w:rsid w:val="7F1629D0"/>
    <w:rsid w:val="7F3154F6"/>
    <w:rsid w:val="7FB55E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1"/>
      <w:lang w:val="en-US" w:eastAsia="zh-CN" w:bidi="ar-SA"/>
    </w:rPr>
  </w:style>
  <w:style w:type="paragraph" w:styleId="2">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qFormat/>
    <w:uiPriority w:val="0"/>
    <w:pPr>
      <w:jc w:val="left"/>
    </w:pPr>
  </w:style>
  <w:style w:type="paragraph" w:styleId="4">
    <w:name w:val="footer"/>
    <w:basedOn w:val="1"/>
    <w:unhideWhenUsed/>
    <w:qFormat/>
    <w:uiPriority w:val="99"/>
    <w:pPr>
      <w:tabs>
        <w:tab w:val="center" w:pos="4153"/>
        <w:tab w:val="right" w:pos="8306"/>
      </w:tabs>
      <w:snapToGrid w:val="0"/>
      <w:jc w:val="left"/>
    </w:pPr>
    <w:rPr>
      <w:sz w:val="18"/>
      <w:szCs w:val="18"/>
    </w:rPr>
  </w:style>
  <w:style w:type="paragraph" w:styleId="5">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styleId="8">
    <w:name w:val="Normal (Web)"/>
    <w:basedOn w:val="1"/>
    <w:qFormat/>
    <w:uiPriority w:val="0"/>
    <w:pPr>
      <w:spacing w:beforeAutospacing="1" w:afterAutospacing="1"/>
      <w:jc w:val="left"/>
    </w:pPr>
    <w:rPr>
      <w:rFonts w:cs="Times New Roman"/>
      <w:kern w:val="0"/>
      <w:sz w:val="24"/>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Strong"/>
    <w:basedOn w:val="11"/>
    <w:qFormat/>
    <w:uiPriority w:val="0"/>
    <w:rPr>
      <w:b/>
    </w:rPr>
  </w:style>
  <w:style w:type="character" w:styleId="13">
    <w:name w:val="Hyperlink"/>
    <w:basedOn w:val="11"/>
    <w:uiPriority w:val="0"/>
    <w:rPr>
      <w:color w:val="0000FF"/>
      <w:u w:val="single"/>
    </w:rPr>
  </w:style>
  <w:style w:type="paragraph" w:customStyle="1" w:styleId="14">
    <w:name w:val="标准书眉_偶数页"/>
    <w:basedOn w:val="1"/>
    <w:next w:val="1"/>
    <w:qFormat/>
    <w:uiPriority w:val="99"/>
    <w:pPr>
      <w:widowControl/>
      <w:tabs>
        <w:tab w:val="center" w:pos="4154"/>
        <w:tab w:val="right" w:pos="8306"/>
      </w:tabs>
      <w:spacing w:after="120"/>
      <w:jc w:val="left"/>
    </w:pPr>
    <w:rPr>
      <w:rFonts w:ascii="Times New Roman" w:hAnsi="Times New Roman" w:eastAsia="宋体" w:cs="Times New Roman"/>
      <w:kern w:val="0"/>
      <w:szCs w:val="20"/>
    </w:rPr>
  </w:style>
  <w:style w:type="paragraph" w:customStyle="1" w:styleId="15">
    <w:name w:val="目次、标准名称标题"/>
    <w:basedOn w:val="1"/>
    <w:next w:val="1"/>
    <w:qFormat/>
    <w:uiPriority w:val="99"/>
    <w:pPr>
      <w:keepNext/>
      <w:pageBreakBefore/>
      <w:widowControl/>
      <w:shd w:val="clear" w:color="FFFFFF" w:fill="FFFFFF"/>
      <w:spacing w:before="640" w:after="560" w:line="460" w:lineRule="exact"/>
      <w:jc w:val="center"/>
      <w:outlineLvl w:val="0"/>
    </w:pPr>
    <w:rPr>
      <w:rFonts w:ascii="黑体" w:hAnsi="Times New Roman" w:eastAsia="黑体" w:cs="Times New Roman"/>
      <w:kern w:val="0"/>
      <w:sz w:val="32"/>
      <w:szCs w:val="20"/>
    </w:rPr>
  </w:style>
  <w:style w:type="paragraph" w:customStyle="1" w:styleId="16">
    <w:name w:val="章标题"/>
    <w:next w:val="17"/>
    <w:qFormat/>
    <w:uiPriority w:val="0"/>
    <w:pPr>
      <w:keepNext/>
      <w:numPr>
        <w:ilvl w:val="0"/>
        <w:numId w:val="1"/>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7">
    <w:name w:val="标准文件_段"/>
    <w:link w:val="25"/>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8">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9">
    <w:name w:val="一级条标题"/>
    <w:basedOn w:val="16"/>
    <w:next w:val="17"/>
    <w:qFormat/>
    <w:uiPriority w:val="0"/>
    <w:pPr>
      <w:numPr>
        <w:ilvl w:val="1"/>
      </w:numPr>
      <w:spacing w:before="50" w:beforeLines="50" w:after="50" w:afterLines="50"/>
      <w:outlineLvl w:val="1"/>
    </w:pPr>
  </w:style>
  <w:style w:type="paragraph" w:customStyle="1" w:styleId="20">
    <w:name w:val="前言、引言标题"/>
    <w:next w:val="18"/>
    <w:qFormat/>
    <w:uiPriority w:val="99"/>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21">
    <w:name w:val="附录标识"/>
    <w:basedOn w:val="1"/>
    <w:next w:val="18"/>
    <w:qFormat/>
    <w:uiPriority w:val="0"/>
    <w:pPr>
      <w:keepNext/>
      <w:widowControl/>
      <w:numPr>
        <w:ilvl w:val="0"/>
        <w:numId w:val="2"/>
      </w:numPr>
      <w:shd w:val="clear" w:color="FFFFFF" w:fill="FFFFFF"/>
      <w:tabs>
        <w:tab w:val="left" w:pos="360"/>
        <w:tab w:val="left" w:pos="6405"/>
      </w:tabs>
      <w:jc w:val="center"/>
      <w:outlineLvl w:val="0"/>
    </w:pPr>
    <w:rPr>
      <w:rFonts w:ascii="黑体" w:hAnsi="黑体" w:eastAsia="黑体" w:cs="Times New Roman"/>
      <w:kern w:val="0"/>
      <w:szCs w:val="20"/>
    </w:rPr>
  </w:style>
  <w:style w:type="paragraph" w:customStyle="1" w:styleId="22">
    <w:name w:val="标准文件_附录标识"/>
    <w:next w:val="17"/>
    <w:qFormat/>
    <w:uiPriority w:val="0"/>
    <w:pPr>
      <w:shd w:val="clear" w:color="FFFFFF" w:fill="FFFFFF"/>
      <w:tabs>
        <w:tab w:val="left" w:pos="6406"/>
      </w:tabs>
      <w:spacing w:before="25" w:beforeLines="25" w:after="50" w:afterLines="50"/>
      <w:jc w:val="center"/>
      <w:outlineLvl w:val="0"/>
    </w:pPr>
    <w:rPr>
      <w:rFonts w:ascii="黑体" w:hAnsi="Times New Roman" w:eastAsia="黑体" w:cs="Times New Roman"/>
      <w:sz w:val="21"/>
      <w:lang w:val="en-US" w:eastAsia="zh-CN" w:bidi="ar-SA"/>
    </w:rPr>
  </w:style>
  <w:style w:type="paragraph" w:customStyle="1" w:styleId="23">
    <w:name w:val="附录章标题"/>
    <w:next w:val="18"/>
    <w:qFormat/>
    <w:uiPriority w:val="0"/>
    <w:pPr>
      <w:numPr>
        <w:ilvl w:val="1"/>
        <w:numId w:val="2"/>
      </w:numPr>
      <w:tabs>
        <w:tab w:val="left" w:pos="360"/>
      </w:tabs>
      <w:wordWrap w:val="0"/>
      <w:overflowPunct w:val="0"/>
      <w:autoSpaceDE w:val="0"/>
      <w:spacing w:before="50" w:beforeLines="50" w:after="50" w:afterLines="50"/>
      <w:jc w:val="both"/>
      <w:textAlignment w:val="baseline"/>
      <w:outlineLvl w:val="1"/>
    </w:pPr>
    <w:rPr>
      <w:rFonts w:ascii="黑体" w:hAnsi="黑体" w:eastAsia="黑体" w:cs="Times New Roman"/>
      <w:kern w:val="21"/>
      <w:sz w:val="21"/>
      <w:lang w:val="en-US" w:eastAsia="zh-CN" w:bidi="ar-SA"/>
    </w:rPr>
  </w:style>
  <w:style w:type="paragraph" w:customStyle="1" w:styleId="24">
    <w:name w:val="附录一级条标题"/>
    <w:basedOn w:val="23"/>
    <w:next w:val="18"/>
    <w:qFormat/>
    <w:uiPriority w:val="0"/>
    <w:pPr>
      <w:numPr>
        <w:ilvl w:val="2"/>
      </w:numPr>
      <w:autoSpaceDN w:val="0"/>
      <w:ind w:left="0"/>
      <w:outlineLvl w:val="2"/>
    </w:pPr>
  </w:style>
  <w:style w:type="character" w:customStyle="1" w:styleId="25">
    <w:name w:val="标准文件_段 Char"/>
    <w:link w:val="17"/>
    <w:qFormat/>
    <w:uiPriority w:val="0"/>
    <w:rPr>
      <w:rFonts w:ascii="宋体" w:hAnsi="Times New Roman" w:eastAsia="宋体" w:cs="Times New Roman"/>
      <w:sz w:val="21"/>
      <w:lang w:val="en-US" w:eastAsia="zh-CN" w:bidi="ar-SA"/>
    </w:rPr>
  </w:style>
  <w:style w:type="paragraph" w:customStyle="1" w:styleId="26">
    <w:name w:val="标准文件_参考文献标题"/>
    <w:basedOn w:val="1"/>
    <w:next w:val="1"/>
    <w:qFormat/>
    <w:uiPriority w:val="0"/>
    <w:pPr>
      <w:widowControl/>
      <w:shd w:val="clear" w:color="FFFFFF" w:fill="FFFFFF"/>
      <w:spacing w:before="560" w:after="50" w:afterLines="50"/>
      <w:jc w:val="center"/>
      <w:outlineLvl w:val="0"/>
    </w:pPr>
    <w:rPr>
      <w:rFonts w:ascii="黑体" w:eastAsia="黑体"/>
      <w:kern w:val="0"/>
    </w:rPr>
  </w:style>
  <w:style w:type="paragraph" w:customStyle="1" w:styleId="27">
    <w:name w:val="CECA footer"/>
    <w:basedOn w:val="1"/>
    <w:link w:val="28"/>
    <w:unhideWhenUsed/>
    <w:qFormat/>
    <w:uiPriority w:val="99"/>
    <w:pPr>
      <w:tabs>
        <w:tab w:val="center" w:pos="4153"/>
        <w:tab w:val="right" w:pos="8306"/>
      </w:tabs>
      <w:snapToGrid w:val="0"/>
      <w:jc w:val="left"/>
    </w:pPr>
    <w:rPr>
      <w:sz w:val="18"/>
      <w:szCs w:val="18"/>
    </w:rPr>
  </w:style>
  <w:style w:type="character" w:customStyle="1" w:styleId="28">
    <w:name w:val="CECA footer char"/>
    <w:link w:val="27"/>
    <w:qFormat/>
    <w:uiPriority w:val="99"/>
    <w:rPr>
      <w:rFonts w:ascii="Times New Roman" w:hAnsi="Times New Roman" w:eastAsia="Times New Roman" w:cs="Times New Roman"/>
      <w:snapToGrid w:val="0"/>
      <w:spacing w:val="0"/>
      <w:kern w:val="2"/>
      <w:sz w:val="18"/>
      <w:szCs w:val="18"/>
    </w:rPr>
  </w:style>
  <w:style w:type="paragraph" w:customStyle="1" w:styleId="29">
    <w:name w:val="标准文件_术语条一"/>
    <w:basedOn w:val="30"/>
    <w:next w:val="17"/>
    <w:qFormat/>
    <w:uiPriority w:val="0"/>
  </w:style>
  <w:style w:type="paragraph" w:customStyle="1" w:styleId="30">
    <w:name w:val="标准文件_一级无标题"/>
    <w:basedOn w:val="31"/>
    <w:qFormat/>
    <w:uiPriority w:val="0"/>
    <w:pPr>
      <w:spacing w:before="0" w:beforeLines="0" w:after="0" w:afterLines="0"/>
      <w:outlineLvl w:val="9"/>
    </w:pPr>
    <w:rPr>
      <w:rFonts w:ascii="宋体" w:eastAsia="宋体"/>
    </w:rPr>
  </w:style>
  <w:style w:type="paragraph" w:customStyle="1" w:styleId="31">
    <w:name w:val="标准文件_一级条标题"/>
    <w:basedOn w:val="32"/>
    <w:next w:val="17"/>
    <w:qFormat/>
    <w:uiPriority w:val="0"/>
    <w:pPr>
      <w:numPr>
        <w:ilvl w:val="2"/>
      </w:numPr>
      <w:spacing w:before="50" w:beforeLines="50" w:after="50" w:afterLines="50"/>
      <w:outlineLvl w:val="1"/>
    </w:pPr>
  </w:style>
  <w:style w:type="paragraph" w:customStyle="1" w:styleId="32">
    <w:name w:val="标准文件_章标题"/>
    <w:next w:val="17"/>
    <w:qFormat/>
    <w:uiPriority w:val="0"/>
    <w:pPr>
      <w:numPr>
        <w:ilvl w:val="1"/>
        <w:numId w:val="3"/>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33">
    <w:name w:val="标准文件_二级条标题"/>
    <w:next w:val="17"/>
    <w:qFormat/>
    <w:uiPriority w:val="0"/>
    <w:pPr>
      <w:widowControl w:val="0"/>
      <w:numPr>
        <w:ilvl w:val="3"/>
        <w:numId w:val="3"/>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34">
    <w:name w:val="标准文件_注："/>
    <w:next w:val="17"/>
    <w:qFormat/>
    <w:uiPriority w:val="0"/>
    <w:pPr>
      <w:widowControl w:val="0"/>
      <w:numPr>
        <w:ilvl w:val="0"/>
        <w:numId w:val="4"/>
      </w:numPr>
      <w:autoSpaceDE w:val="0"/>
      <w:autoSpaceDN w:val="0"/>
      <w:jc w:val="both"/>
    </w:pPr>
    <w:rPr>
      <w:rFonts w:ascii="宋体" w:hAnsi="Times New Roman" w:eastAsia="宋体" w:cs="Times New Roman"/>
      <w:sz w:val="18"/>
      <w:szCs w:val="18"/>
      <w:lang w:val="en-US" w:eastAsia="zh-CN" w:bidi="ar-SA"/>
    </w:rPr>
  </w:style>
  <w:style w:type="paragraph" w:customStyle="1" w:styleId="35">
    <w:name w:val="标准文件_正文图标题"/>
    <w:next w:val="17"/>
    <w:qFormat/>
    <w:uiPriority w:val="0"/>
    <w:pPr>
      <w:numPr>
        <w:ilvl w:val="0"/>
        <w:numId w:val="5"/>
      </w:numPr>
      <w:spacing w:before="50" w:beforeLines="50" w:after="50" w:afterLines="50"/>
      <w:jc w:val="center"/>
    </w:pPr>
    <w:rPr>
      <w:rFonts w:ascii="黑体" w:hAnsi="Times New Roman" w:eastAsia="黑体" w:cs="Times New Roman"/>
      <w:sz w:val="21"/>
      <w:lang w:val="en-US" w:eastAsia="zh-CN" w:bidi="ar-SA"/>
    </w:rPr>
  </w:style>
  <w:style w:type="paragraph" w:customStyle="1" w:styleId="36">
    <w:name w:val="标准文件_正文公式"/>
    <w:basedOn w:val="1"/>
    <w:next w:val="37"/>
    <w:qFormat/>
    <w:uiPriority w:val="0"/>
    <w:pPr>
      <w:spacing w:line="240" w:lineRule="auto"/>
    </w:pPr>
    <w:rPr>
      <w:rFonts w:ascii="宋体" w:hAnsi="宋体"/>
    </w:rPr>
  </w:style>
  <w:style w:type="paragraph" w:customStyle="1" w:styleId="37">
    <w:name w:val="标准文件_标准正文"/>
    <w:basedOn w:val="1"/>
    <w:next w:val="17"/>
    <w:qFormat/>
    <w:uiPriority w:val="0"/>
    <w:pPr>
      <w:snapToGrid w:val="0"/>
      <w:ind w:firstLine="200" w:firstLineChars="200"/>
    </w:pPr>
    <w:rPr>
      <w:kern w:val="0"/>
    </w:rPr>
  </w:style>
  <w:style w:type="paragraph" w:customStyle="1" w:styleId="38">
    <w:name w:val="标准文件_正文表标题"/>
    <w:next w:val="17"/>
    <w:qFormat/>
    <w:uiPriority w:val="0"/>
    <w:pPr>
      <w:numPr>
        <w:ilvl w:val="0"/>
        <w:numId w:val="6"/>
      </w:numPr>
      <w:spacing w:before="50" w:beforeLines="50" w:after="50" w:afterLines="50"/>
      <w:jc w:val="center"/>
    </w:pPr>
    <w:rPr>
      <w:rFonts w:ascii="黑体" w:hAnsi="Times New Roman" w:eastAsia="黑体" w:cs="Times New Roman"/>
      <w:sz w:val="21"/>
      <w:lang w:val="en-US" w:eastAsia="zh-CN" w:bidi="ar-SA"/>
    </w:rPr>
  </w:style>
  <w:style w:type="paragraph" w:customStyle="1" w:styleId="39">
    <w:name w:val="标准文件_表格"/>
    <w:basedOn w:val="17"/>
    <w:qFormat/>
    <w:uiPriority w:val="0"/>
    <w:pPr>
      <w:ind w:firstLine="0" w:firstLineChars="0"/>
      <w:jc w:val="center"/>
    </w:pPr>
    <w:rPr>
      <w:sz w:val="18"/>
    </w:rPr>
  </w:style>
  <w:style w:type="paragraph" w:customStyle="1" w:styleId="40">
    <w:name w:val="标准文件_附录表标题"/>
    <w:next w:val="17"/>
    <w:qFormat/>
    <w:uiPriority w:val="0"/>
    <w:pPr>
      <w:numPr>
        <w:ilvl w:val="1"/>
        <w:numId w:val="7"/>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41">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42">
    <w:name w:val="标准文件_附录图标号"/>
    <w:basedOn w:val="17"/>
    <w:next w:val="17"/>
    <w:qFormat/>
    <w:uiPriority w:val="0"/>
    <w:pPr>
      <w:numPr>
        <w:ilvl w:val="0"/>
        <w:numId w:val="8"/>
      </w:numPr>
      <w:spacing w:line="14" w:lineRule="exact"/>
      <w:ind w:firstLine="0" w:firstLineChars="0"/>
      <w:jc w:val="center"/>
    </w:pPr>
    <w:rPr>
      <w:rFonts w:ascii="黑体" w:hAnsi="黑体" w:eastAsia="黑体"/>
      <w:vanish/>
      <w:sz w:val="2"/>
      <w:szCs w:val="21"/>
    </w:rPr>
  </w:style>
  <w:style w:type="paragraph" w:customStyle="1" w:styleId="43">
    <w:name w:val="标准文件_附录表标号"/>
    <w:basedOn w:val="17"/>
    <w:next w:val="17"/>
    <w:qFormat/>
    <w:uiPriority w:val="0"/>
    <w:pPr>
      <w:numPr>
        <w:ilvl w:val="0"/>
        <w:numId w:val="7"/>
      </w:numPr>
      <w:spacing w:line="14" w:lineRule="exact"/>
      <w:ind w:firstLine="0" w:firstLineChars="0"/>
      <w:jc w:val="center"/>
    </w:pPr>
    <w:rPr>
      <w:rFonts w:eastAsia="黑体"/>
      <w:vanish/>
      <w:sz w:val="2"/>
    </w:rPr>
  </w:style>
  <w:style w:type="paragraph" w:customStyle="1" w:styleId="44">
    <w:name w:val="标准文件_注×："/>
    <w:qFormat/>
    <w:uiPriority w:val="0"/>
    <w:pPr>
      <w:widowControl w:val="0"/>
      <w:numPr>
        <w:ilvl w:val="0"/>
        <w:numId w:val="9"/>
      </w:numPr>
      <w:autoSpaceDE w:val="0"/>
      <w:autoSpaceDN w:val="0"/>
      <w:jc w:val="both"/>
    </w:pPr>
    <w:rPr>
      <w:rFonts w:ascii="宋体" w:hAnsi="Times New Roman" w:eastAsia="宋体" w:cs="Times New Roman"/>
      <w:sz w:val="18"/>
      <w:szCs w:val="18"/>
      <w:lang w:val="en-US" w:eastAsia="zh-CN" w:bidi="ar-SA"/>
    </w:rPr>
  </w:style>
  <w:style w:type="paragraph" w:customStyle="1" w:styleId="45">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46">
    <w:name w:val="标准文件_附录一级条标题"/>
    <w:next w:val="17"/>
    <w:qFormat/>
    <w:uiPriority w:val="0"/>
    <w:pPr>
      <w:widowControl w:val="0"/>
      <w:numPr>
        <w:ilvl w:val="1"/>
        <w:numId w:val="2"/>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47">
    <w:name w:val="标准文件_附录图标题"/>
    <w:next w:val="17"/>
    <w:qFormat/>
    <w:uiPriority w:val="0"/>
    <w:pPr>
      <w:numPr>
        <w:ilvl w:val="1"/>
        <w:numId w:val="8"/>
      </w:numPr>
      <w:adjustRightInd w:val="0"/>
      <w:snapToGrid w:val="0"/>
      <w:spacing w:before="50" w:beforeLines="50" w:after="50" w:afterLines="50"/>
      <w:jc w:val="center"/>
    </w:pPr>
    <w:rPr>
      <w:rFonts w:ascii="黑体"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 Type="http://schemas.openxmlformats.org/officeDocument/2006/relationships/header" Target="header4.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7.jpe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jpeg"/><Relationship Id="rId14" Type="http://schemas.openxmlformats.org/officeDocument/2006/relationships/image" Target="media/image2.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22</Pages>
  <Words>2133</Words>
  <Characters>2517</Characters>
  <Lines>680</Lines>
  <Paragraphs>707</Paragraphs>
  <TotalTime>3</TotalTime>
  <ScaleCrop>false</ScaleCrop>
  <LinksUpToDate>false</LinksUpToDate>
  <CharactersWithSpaces>2642</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2025-11-04T06:40:00Z</dcterms:created>
  <dc:creator>沐雨轻澄</dc:creator>
  <cp:lastModifiedBy>王珏旻</cp:lastModifiedBy>
  <dcterms:modified xsi:type="dcterms:W3CDTF">2026-09-07T02:30:22Z</dcterms:modified>
  <dc:title>T梁工业化建造碳排放核算</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2A43FC5D305C4D2587681D0FA3464AC9_13</vt:lpwstr>
  </property>
  <property fmtid="{D5CDD505-2E9C-101B-9397-08002B2CF9AE}" pid="4" name="KSOTemplateDocerSaveRecord">
    <vt:lpwstr>eyJoZGlkIjoiMmEyMzZkODUzM2ZlNWNmY2Y1YjNjZjcxYjk1ODJjYTciLCJ1c2VySWQiOiIzODk1NjY5ODUifQ==</vt:lpwstr>
  </property>
</Properties>
</file>