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FBBEC7">
      <w:pPr>
        <w:pBdr>
          <w:top w:val="none" w:color="auto" w:sz="0" w:space="1"/>
          <w:left w:val="none" w:color="auto" w:sz="0" w:space="4"/>
          <w:bottom w:val="none" w:color="auto" w:sz="0" w:space="1"/>
          <w:right w:val="none" w:color="auto" w:sz="0" w:space="4"/>
        </w:pBdr>
        <w:jc w:val="right"/>
        <w:rPr>
          <w:rFonts w:hint="eastAsia" w:ascii="黑体" w:hAnsi="黑体" w:eastAsia="黑体" w:cs="黑体"/>
          <w:spacing w:val="750"/>
          <w:kern w:val="0"/>
          <w:szCs w:val="21"/>
        </w:rPr>
      </w:pPr>
    </w:p>
    <w:p w14:paraId="67D2B02F">
      <w:pPr>
        <w:jc w:val="right"/>
        <w:rPr>
          <w:rFonts w:hint="eastAsia" w:ascii="黑体" w:hAnsi="黑体" w:eastAsia="黑体" w:cs="黑体"/>
          <w:kern w:val="0"/>
          <w:szCs w:val="21"/>
        </w:rPr>
      </w:pPr>
      <w:r>
        <w:rPr>
          <w:rFonts w:ascii="Calibri" w:hAnsi="Calibri" w:eastAsia="宋体" w:cs="Times New Roman"/>
          <w:szCs w:val="21"/>
        </w:rPr>
        <w:drawing>
          <wp:inline distT="0" distB="0" distL="114300" distR="114300">
            <wp:extent cx="744855" cy="759460"/>
            <wp:effectExtent l="0" t="0" r="762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extLst>
                        <a:ext uri="{28A0092B-C50C-407E-A947-70E740481C1C}">
                          <a14:useLocalDpi xmlns:a14="http://schemas.microsoft.com/office/drawing/2010/main" val="0"/>
                        </a:ext>
                      </a:extLst>
                    </a:blip>
                    <a:srcRect l="18647" t="14169" r="77054" b="78038"/>
                    <a:stretch>
                      <a:fillRect/>
                    </a:stretch>
                  </pic:blipFill>
                  <pic:spPr>
                    <a:xfrm>
                      <a:off x="0" y="0"/>
                      <a:ext cx="744855" cy="759460"/>
                    </a:xfrm>
                    <a:prstGeom prst="rect">
                      <a:avLst/>
                    </a:prstGeom>
                    <a:ln>
                      <a:noFill/>
                    </a:ln>
                  </pic:spPr>
                </pic:pic>
              </a:graphicData>
            </a:graphic>
          </wp:inline>
        </w:drawing>
      </w:r>
    </w:p>
    <w:p w14:paraId="18BDD763">
      <w:pPr>
        <w:jc w:val="right"/>
        <w:rPr>
          <w:rFonts w:ascii="Times New Roman" w:hAnsi="Times New Roman" w:eastAsia="微软雅黑" w:cs="Times New Roman"/>
          <w:b/>
          <w:sz w:val="28"/>
          <w:szCs w:val="28"/>
        </w:rPr>
      </w:pPr>
      <w:r>
        <w:rPr>
          <w:rFonts w:hint="eastAsia" w:ascii="Times New Roman" w:hAnsi="Times New Roman" w:eastAsia="方正小标宋简体" w:cs="Times New Roman"/>
          <w:spacing w:val="240"/>
          <w:kern w:val="0"/>
          <w:sz w:val="72"/>
          <w:szCs w:val="72"/>
          <w:fitText w:val="9360" w:id="1411451848"/>
        </w:rPr>
        <w:t>团</w:t>
      </w:r>
      <w:r>
        <w:rPr>
          <w:rFonts w:ascii="Times New Roman" w:hAnsi="Times New Roman" w:eastAsia="方正小标宋简体" w:cs="Times New Roman"/>
          <w:spacing w:val="240"/>
          <w:kern w:val="0"/>
          <w:sz w:val="72"/>
          <w:szCs w:val="72"/>
          <w:fitText w:val="9360" w:id="1411451848"/>
        </w:rPr>
        <w:t xml:space="preserve">  </w:t>
      </w:r>
      <w:r>
        <w:rPr>
          <w:rFonts w:hint="eastAsia" w:ascii="Times New Roman" w:hAnsi="Times New Roman" w:eastAsia="方正小标宋简体" w:cs="Times New Roman"/>
          <w:spacing w:val="240"/>
          <w:kern w:val="0"/>
          <w:sz w:val="72"/>
          <w:szCs w:val="72"/>
          <w:fitText w:val="9360" w:id="1411451848"/>
        </w:rPr>
        <w:t>体</w:t>
      </w:r>
      <w:r>
        <w:rPr>
          <w:rFonts w:ascii="Times New Roman" w:hAnsi="Times New Roman" w:eastAsia="方正小标宋简体" w:cs="Times New Roman"/>
          <w:spacing w:val="240"/>
          <w:kern w:val="0"/>
          <w:sz w:val="72"/>
          <w:szCs w:val="72"/>
          <w:fitText w:val="9360" w:id="1411451848"/>
        </w:rPr>
        <w:t xml:space="preserve">  </w:t>
      </w:r>
      <w:r>
        <w:rPr>
          <w:rFonts w:hint="eastAsia" w:ascii="Times New Roman" w:hAnsi="Times New Roman" w:eastAsia="方正小标宋简体" w:cs="Times New Roman"/>
          <w:spacing w:val="240"/>
          <w:kern w:val="0"/>
          <w:sz w:val="72"/>
          <w:szCs w:val="72"/>
          <w:fitText w:val="9360" w:id="1411451848"/>
        </w:rPr>
        <w:t>标</w:t>
      </w:r>
      <w:r>
        <w:rPr>
          <w:rFonts w:ascii="Times New Roman" w:hAnsi="Times New Roman" w:eastAsia="方正小标宋简体" w:cs="Times New Roman"/>
          <w:spacing w:val="240"/>
          <w:kern w:val="0"/>
          <w:sz w:val="72"/>
          <w:szCs w:val="72"/>
          <w:fitText w:val="9360" w:id="1411451848"/>
        </w:rPr>
        <w:t xml:space="preserve">  </w:t>
      </w:r>
      <w:r>
        <w:rPr>
          <w:rFonts w:hint="eastAsia" w:ascii="Times New Roman" w:hAnsi="Times New Roman" w:eastAsia="方正小标宋简体" w:cs="Times New Roman"/>
          <w:spacing w:val="0"/>
          <w:kern w:val="0"/>
          <w:sz w:val="72"/>
          <w:szCs w:val="72"/>
          <w:fitText w:val="9360" w:id="1411451848"/>
        </w:rPr>
        <w:t>准</w:t>
      </w:r>
      <w:bookmarkStart w:id="0" w:name="_Hlk203494660"/>
      <w:r>
        <w:rPr>
          <w:rFonts w:ascii="Times New Roman" w:hAnsi="Times New Roman" w:eastAsia="方正小标宋简体" w:cs="Times New Roman"/>
          <w:b/>
          <w:spacing w:val="6"/>
          <w:sz w:val="28"/>
          <w:szCs w:val="28"/>
        </w:rPr>
        <w:t>T/CECA-</w:t>
      </w:r>
      <w:r>
        <w:rPr>
          <w:rFonts w:hint="eastAsia" w:ascii="Times New Roman" w:hAnsi="Times New Roman" w:eastAsia="方正小标宋简体" w:cs="Times New Roman"/>
          <w:b/>
          <w:spacing w:val="6"/>
          <w:sz w:val="28"/>
          <w:szCs w:val="28"/>
        </w:rPr>
        <w:t>G XXXX</w:t>
      </w:r>
      <w:r>
        <w:rPr>
          <w:rFonts w:ascii="Times New Roman" w:hAnsi="Times New Roman" w:eastAsia="微软雅黑" w:cs="Times New Roman"/>
          <w:b/>
          <w:spacing w:val="6"/>
          <w:sz w:val="28"/>
          <w:szCs w:val="28"/>
        </w:rPr>
        <w:t>—20</w:t>
      </w:r>
      <w:bookmarkEnd w:id="0"/>
      <w:r>
        <w:rPr>
          <w:rFonts w:hint="eastAsia" w:ascii="Times New Roman" w:hAnsi="Times New Roman" w:eastAsia="微软雅黑" w:cs="Times New Roman"/>
          <w:b/>
          <w:spacing w:val="6"/>
          <w:sz w:val="28"/>
          <w:szCs w:val="28"/>
        </w:rPr>
        <w:t>XX</w:t>
      </w:r>
    </w:p>
    <w:p w14:paraId="45FCC269">
      <w:pPr>
        <w:rPr>
          <w:rFonts w:hint="eastAsia" w:ascii="黑体" w:hAnsi="黑体" w:eastAsia="黑体" w:cs="黑体"/>
          <w:sz w:val="48"/>
          <w:szCs w:val="48"/>
        </w:rPr>
      </w:pPr>
      <w:r>
        <w:rPr>
          <w:rFonts w:hint="eastAsia" w:ascii="黑体" w:hAnsi="黑体" w:eastAsia="黑体" w:cs="黑体"/>
          <w:sz w:val="48"/>
          <w:szCs w:val="48"/>
        </w:rPr>
        <mc:AlternateContent>
          <mc:Choice Requires="wps">
            <w:drawing>
              <wp:anchor distT="0" distB="0" distL="114300" distR="114300" simplePos="0" relativeHeight="251659264" behindDoc="0" locked="0" layoutInCell="1" allowOverlap="1">
                <wp:simplePos x="0" y="0"/>
                <wp:positionH relativeFrom="column">
                  <wp:posOffset>-102870</wp:posOffset>
                </wp:positionH>
                <wp:positionV relativeFrom="paragraph">
                  <wp:posOffset>12700</wp:posOffset>
                </wp:positionV>
                <wp:extent cx="6098540" cy="0"/>
                <wp:effectExtent l="0" t="4445" r="6985" b="5080"/>
                <wp:wrapNone/>
                <wp:docPr id="2" name="自选图形 2"/>
                <wp:cNvGraphicFramePr/>
                <a:graphic xmlns:a="http://schemas.openxmlformats.org/drawingml/2006/main">
                  <a:graphicData uri="http://schemas.microsoft.com/office/word/2010/wordprocessingShape">
                    <wps:wsp>
                      <wps:cNvCnPr/>
                      <wps:spPr>
                        <a:xfrm>
                          <a:off x="0" y="0"/>
                          <a:ext cx="609854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8.1pt;margin-top:1pt;height:0pt;width:480.2pt;z-index:251659264;mso-width-relative:page;mso-height-relative:page;" filled="f" stroked="t" coordsize="21600,21600" o:gfxdata="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kzi9e1AAAAAcBAAAPAAAAAAAAAAEAIAAAACIAAABkcnMvZG93bnJldi54bWxQSwECFAAU&#10;AAAACACHTuJAfaGjefUBAADjAwAADgAAAAAAAAABACAAAAAjAQAAZHJzL2Uyb0RvYy54bWxQSwUG&#10;AAAAAAYABgBZAQAAigUAAAAA&#10;">
                <v:fill on="f" focussize="0,0"/>
                <v:stroke color="#000000" joinstyle="round"/>
                <v:imagedata o:title=""/>
                <o:lock v:ext="edit" aspectratio="f"/>
              </v:shape>
            </w:pict>
          </mc:Fallback>
        </mc:AlternateContent>
      </w:r>
    </w:p>
    <w:p w14:paraId="0CBB20FF">
      <w:pPr>
        <w:rPr>
          <w:rFonts w:hint="eastAsia" w:ascii="黑体" w:hAnsi="黑体" w:eastAsia="黑体" w:cs="黑体"/>
          <w:sz w:val="48"/>
          <w:szCs w:val="48"/>
        </w:rPr>
      </w:pPr>
    </w:p>
    <w:p w14:paraId="01ED8ADE">
      <w:pPr>
        <w:rPr>
          <w:rFonts w:hint="eastAsia" w:ascii="黑体" w:hAnsi="黑体" w:eastAsia="黑体" w:cs="黑体"/>
          <w:sz w:val="48"/>
          <w:szCs w:val="48"/>
        </w:rPr>
      </w:pPr>
    </w:p>
    <w:p w14:paraId="10F50AEB">
      <w:pPr>
        <w:rPr>
          <w:rFonts w:hint="eastAsia" w:ascii="黑体" w:hAnsi="黑体" w:eastAsia="黑体" w:cs="黑体"/>
          <w:sz w:val="48"/>
          <w:szCs w:val="48"/>
        </w:rPr>
      </w:pPr>
    </w:p>
    <w:p w14:paraId="23B0898E">
      <w:pPr>
        <w:keepLines w:val="0"/>
        <w:widowControl/>
        <w:kinsoku/>
        <w:wordWrap/>
        <w:overflowPunct/>
        <w:topLinePunct w:val="0"/>
        <w:bidi w:val="0"/>
        <w:spacing w:before="156" w:beforeLines="50" w:line="240" w:lineRule="auto"/>
        <w:jc w:val="center"/>
        <w:rPr>
          <w:rFonts w:hint="eastAsia" w:ascii="Times New Roman" w:hAnsi="Times New Roman" w:eastAsia="黑体" w:cs="Times New Roman"/>
          <w:b w:val="0"/>
          <w:bCs/>
          <w:sz w:val="52"/>
          <w:szCs w:val="52"/>
          <w:lang w:val="en-US" w:eastAsia="zh-CN"/>
        </w:rPr>
      </w:pPr>
      <w:r>
        <w:rPr>
          <w:rFonts w:hint="eastAsia" w:ascii="Times New Roman" w:hAnsi="Times New Roman" w:eastAsia="黑体" w:cs="Times New Roman"/>
          <w:b w:val="0"/>
          <w:bCs/>
          <w:sz w:val="52"/>
          <w:szCs w:val="52"/>
          <w:lang w:val="en-US" w:eastAsia="zh-CN"/>
        </w:rPr>
        <w:t xml:space="preserve"> 基于电力大数据的行业发展健康指数 评定技术规程</w:t>
      </w:r>
    </w:p>
    <w:p w14:paraId="4699CF32">
      <w:pPr>
        <w:widowControl/>
        <w:spacing w:before="156" w:beforeLines="50" w:line="360" w:lineRule="auto"/>
        <w:jc w:val="center"/>
        <w:rPr>
          <w:rFonts w:hint="eastAsia" w:ascii="Times New Roman" w:hAnsi="Times New Roman" w:eastAsia="黑体" w:cs="Times New Roman"/>
          <w:bCs/>
          <w:sz w:val="28"/>
          <w:szCs w:val="28"/>
        </w:rPr>
      </w:pPr>
      <w:r>
        <w:rPr>
          <w:rFonts w:hint="eastAsia" w:ascii="Times New Roman" w:hAnsi="Times New Roman" w:eastAsia="黑体" w:cs="Times New Roman"/>
          <w:bCs/>
          <w:sz w:val="28"/>
          <w:szCs w:val="28"/>
        </w:rPr>
        <w:t xml:space="preserve">Technical </w:t>
      </w:r>
      <w:r>
        <w:rPr>
          <w:rFonts w:hint="eastAsia" w:ascii="Times New Roman" w:hAnsi="Times New Roman" w:eastAsia="黑体" w:cs="Times New Roman"/>
          <w:bCs/>
          <w:sz w:val="28"/>
          <w:szCs w:val="28"/>
          <w:lang w:val="en-US" w:eastAsia="zh-CN"/>
        </w:rPr>
        <w:t>s</w:t>
      </w:r>
      <w:r>
        <w:rPr>
          <w:rFonts w:hint="eastAsia" w:ascii="Times New Roman" w:hAnsi="Times New Roman" w:eastAsia="黑体" w:cs="Times New Roman"/>
          <w:bCs/>
          <w:sz w:val="28"/>
          <w:szCs w:val="28"/>
        </w:rPr>
        <w:t xml:space="preserve">pecification for </w:t>
      </w:r>
      <w:r>
        <w:rPr>
          <w:rFonts w:hint="eastAsia" w:ascii="Times New Roman" w:hAnsi="Times New Roman" w:eastAsia="黑体" w:cs="Times New Roman"/>
          <w:bCs/>
          <w:sz w:val="28"/>
          <w:szCs w:val="28"/>
          <w:lang w:val="en-US" w:eastAsia="zh-CN"/>
        </w:rPr>
        <w:t>e</w:t>
      </w:r>
      <w:r>
        <w:rPr>
          <w:rFonts w:hint="eastAsia" w:ascii="Times New Roman" w:hAnsi="Times New Roman" w:eastAsia="黑体" w:cs="Times New Roman"/>
          <w:bCs/>
          <w:sz w:val="28"/>
          <w:szCs w:val="28"/>
        </w:rPr>
        <w:t xml:space="preserve">valuation of </w:t>
      </w:r>
      <w:r>
        <w:rPr>
          <w:rFonts w:hint="eastAsia" w:ascii="Times New Roman" w:hAnsi="Times New Roman" w:eastAsia="黑体" w:cs="Times New Roman"/>
          <w:bCs/>
          <w:sz w:val="28"/>
          <w:szCs w:val="28"/>
          <w:lang w:val="en-US" w:eastAsia="zh-CN"/>
        </w:rPr>
        <w:t>i</w:t>
      </w:r>
      <w:r>
        <w:rPr>
          <w:rFonts w:hint="eastAsia" w:ascii="Times New Roman" w:hAnsi="Times New Roman" w:eastAsia="黑体" w:cs="Times New Roman"/>
          <w:bCs/>
          <w:sz w:val="28"/>
          <w:szCs w:val="28"/>
        </w:rPr>
        <w:t xml:space="preserve">ndustry </w:t>
      </w:r>
      <w:r>
        <w:rPr>
          <w:rFonts w:hint="eastAsia" w:ascii="Times New Roman" w:hAnsi="Times New Roman" w:eastAsia="黑体" w:cs="Times New Roman"/>
          <w:bCs/>
          <w:sz w:val="28"/>
          <w:szCs w:val="28"/>
          <w:lang w:val="en-US" w:eastAsia="zh-CN"/>
        </w:rPr>
        <w:t>d</w:t>
      </w:r>
      <w:r>
        <w:rPr>
          <w:rFonts w:hint="eastAsia" w:ascii="Times New Roman" w:hAnsi="Times New Roman" w:eastAsia="黑体" w:cs="Times New Roman"/>
          <w:bCs/>
          <w:sz w:val="28"/>
          <w:szCs w:val="28"/>
        </w:rPr>
        <w:t xml:space="preserve">evelopment </w:t>
      </w:r>
      <w:r>
        <w:rPr>
          <w:rFonts w:hint="eastAsia" w:ascii="Times New Roman" w:hAnsi="Times New Roman" w:eastAsia="黑体" w:cs="Times New Roman"/>
          <w:bCs/>
          <w:sz w:val="28"/>
          <w:szCs w:val="28"/>
          <w:lang w:val="en-US" w:eastAsia="zh-CN"/>
        </w:rPr>
        <w:t>h</w:t>
      </w:r>
      <w:r>
        <w:rPr>
          <w:rFonts w:hint="eastAsia" w:ascii="Times New Roman" w:hAnsi="Times New Roman" w:eastAsia="黑体" w:cs="Times New Roman"/>
          <w:bCs/>
          <w:sz w:val="28"/>
          <w:szCs w:val="28"/>
        </w:rPr>
        <w:t xml:space="preserve">ealth </w:t>
      </w:r>
      <w:r>
        <w:rPr>
          <w:rFonts w:hint="eastAsia" w:ascii="Times New Roman" w:hAnsi="Times New Roman" w:eastAsia="黑体" w:cs="Times New Roman"/>
          <w:bCs/>
          <w:sz w:val="28"/>
          <w:szCs w:val="28"/>
          <w:lang w:val="en-US" w:eastAsia="zh-CN"/>
        </w:rPr>
        <w:t>i</w:t>
      </w:r>
      <w:r>
        <w:rPr>
          <w:rFonts w:hint="eastAsia" w:ascii="Times New Roman" w:hAnsi="Times New Roman" w:eastAsia="黑体" w:cs="Times New Roman"/>
          <w:bCs/>
          <w:sz w:val="28"/>
          <w:szCs w:val="28"/>
        </w:rPr>
        <w:t xml:space="preserve">ndex </w:t>
      </w:r>
      <w:r>
        <w:rPr>
          <w:rFonts w:hint="eastAsia" w:ascii="Times New Roman" w:hAnsi="Times New Roman" w:eastAsia="黑体" w:cs="Times New Roman"/>
          <w:bCs/>
          <w:sz w:val="28"/>
          <w:szCs w:val="28"/>
          <w:lang w:val="en-US" w:eastAsia="zh-CN"/>
        </w:rPr>
        <w:t>b</w:t>
      </w:r>
      <w:r>
        <w:rPr>
          <w:rFonts w:hint="eastAsia" w:ascii="Times New Roman" w:hAnsi="Times New Roman" w:eastAsia="黑体" w:cs="Times New Roman"/>
          <w:bCs/>
          <w:sz w:val="28"/>
          <w:szCs w:val="28"/>
        </w:rPr>
        <w:t xml:space="preserve">ased on </w:t>
      </w:r>
      <w:r>
        <w:rPr>
          <w:rFonts w:hint="eastAsia" w:ascii="Times New Roman" w:hAnsi="Times New Roman" w:eastAsia="黑体" w:cs="Times New Roman"/>
          <w:bCs/>
          <w:sz w:val="28"/>
          <w:szCs w:val="28"/>
          <w:lang w:val="en-US" w:eastAsia="zh-CN"/>
        </w:rPr>
        <w:t>e</w:t>
      </w:r>
      <w:r>
        <w:rPr>
          <w:rFonts w:hint="eastAsia" w:ascii="Times New Roman" w:hAnsi="Times New Roman" w:eastAsia="黑体" w:cs="Times New Roman"/>
          <w:bCs/>
          <w:sz w:val="28"/>
          <w:szCs w:val="28"/>
        </w:rPr>
        <w:t xml:space="preserve">lectric </w:t>
      </w:r>
      <w:r>
        <w:rPr>
          <w:rFonts w:hint="eastAsia" w:ascii="Times New Roman" w:hAnsi="Times New Roman" w:eastAsia="黑体" w:cs="Times New Roman"/>
          <w:bCs/>
          <w:sz w:val="28"/>
          <w:szCs w:val="28"/>
          <w:lang w:val="en-US" w:eastAsia="zh-CN"/>
        </w:rPr>
        <w:t>p</w:t>
      </w:r>
      <w:r>
        <w:rPr>
          <w:rFonts w:hint="eastAsia" w:ascii="Times New Roman" w:hAnsi="Times New Roman" w:eastAsia="黑体" w:cs="Times New Roman"/>
          <w:bCs/>
          <w:sz w:val="28"/>
          <w:szCs w:val="28"/>
        </w:rPr>
        <w:t xml:space="preserve">ower </w:t>
      </w:r>
      <w:r>
        <w:rPr>
          <w:rFonts w:hint="eastAsia" w:ascii="Times New Roman" w:hAnsi="Times New Roman" w:eastAsia="黑体" w:cs="Times New Roman"/>
          <w:bCs/>
          <w:sz w:val="28"/>
          <w:szCs w:val="28"/>
          <w:lang w:val="en-US" w:eastAsia="zh-CN"/>
        </w:rPr>
        <w:t>bi</w:t>
      </w:r>
      <w:r>
        <w:rPr>
          <w:rFonts w:hint="eastAsia" w:ascii="Times New Roman" w:hAnsi="Times New Roman" w:eastAsia="黑体" w:cs="Times New Roman"/>
          <w:bCs/>
          <w:sz w:val="28"/>
          <w:szCs w:val="28"/>
        </w:rPr>
        <w:t xml:space="preserve">g </w:t>
      </w:r>
      <w:r>
        <w:rPr>
          <w:rFonts w:hint="eastAsia" w:ascii="Times New Roman" w:hAnsi="Times New Roman" w:eastAsia="黑体" w:cs="Times New Roman"/>
          <w:bCs/>
          <w:sz w:val="28"/>
          <w:szCs w:val="28"/>
          <w:lang w:val="en-US" w:eastAsia="zh-CN"/>
        </w:rPr>
        <w:t>d</w:t>
      </w:r>
      <w:r>
        <w:rPr>
          <w:rFonts w:hint="eastAsia" w:ascii="Times New Roman" w:hAnsi="Times New Roman" w:eastAsia="黑体" w:cs="Times New Roman"/>
          <w:bCs/>
          <w:sz w:val="28"/>
          <w:szCs w:val="28"/>
        </w:rPr>
        <w:t>ata</w:t>
      </w:r>
    </w:p>
    <w:p w14:paraId="15AE9D5D">
      <w:pPr>
        <w:widowControl/>
        <w:spacing w:before="156" w:beforeLines="50" w:line="360" w:lineRule="auto"/>
        <w:jc w:val="center"/>
        <w:rPr>
          <w:rFonts w:hint="eastAsia" w:ascii="宋体" w:hAnsi="宋体" w:eastAsia="宋体" w:cs="宋体"/>
          <w:bCs/>
          <w:color w:val="000000"/>
          <w:sz w:val="28"/>
          <w:szCs w:val="28"/>
        </w:rPr>
      </w:pPr>
      <w:r>
        <w:rPr>
          <w:rFonts w:hint="eastAsia" w:ascii="宋体" w:hAnsi="宋体" w:eastAsia="宋体" w:cs="宋体"/>
          <w:bCs/>
          <w:color w:val="000000"/>
          <w:sz w:val="28"/>
          <w:szCs w:val="28"/>
        </w:rPr>
        <w:t>（</w:t>
      </w:r>
      <w:r>
        <w:rPr>
          <w:rFonts w:hint="eastAsia" w:ascii="宋体" w:hAnsi="宋体" w:eastAsia="宋体" w:cs="宋体"/>
          <w:bCs/>
          <w:color w:val="000000"/>
          <w:sz w:val="28"/>
          <w:szCs w:val="28"/>
          <w:lang w:val="en-US" w:eastAsia="zh-CN"/>
        </w:rPr>
        <w:t>征求意见稿</w:t>
      </w:r>
      <w:r>
        <w:rPr>
          <w:rFonts w:hint="eastAsia" w:ascii="宋体" w:hAnsi="宋体" w:eastAsia="宋体" w:cs="宋体"/>
          <w:bCs/>
          <w:color w:val="000000"/>
          <w:sz w:val="28"/>
          <w:szCs w:val="28"/>
        </w:rPr>
        <w:t>）</w:t>
      </w:r>
    </w:p>
    <w:p w14:paraId="66D7B759">
      <w:pPr>
        <w:spacing w:before="156" w:beforeLines="50" w:after="156" w:afterLines="50" w:line="360" w:lineRule="auto"/>
        <w:jc w:val="center"/>
        <w:rPr>
          <w:rFonts w:ascii="Times New Roman" w:hAnsi="Times New Roman" w:eastAsia="宋体" w:cs="Times New Roman"/>
          <w:szCs w:val="21"/>
        </w:rPr>
      </w:pPr>
    </w:p>
    <w:p w14:paraId="7CA1C4DE">
      <w:pPr>
        <w:spacing w:before="156" w:beforeLines="50" w:after="156" w:afterLines="50" w:line="360" w:lineRule="auto"/>
        <w:rPr>
          <w:rFonts w:ascii="Times New Roman" w:hAnsi="Times New Roman" w:eastAsia="黑体" w:cs="Times New Roman"/>
          <w:sz w:val="24"/>
          <w:szCs w:val="24"/>
        </w:rPr>
      </w:pPr>
    </w:p>
    <w:p w14:paraId="650A7C4C">
      <w:pPr>
        <w:rPr>
          <w:rFonts w:ascii="Times New Roman" w:hAnsi="Times New Roman" w:eastAsia="宋体" w:cs="Times New Roman"/>
          <w:szCs w:val="21"/>
        </w:rPr>
      </w:pPr>
    </w:p>
    <w:p w14:paraId="5E4F4EFE">
      <w:pPr>
        <w:rPr>
          <w:rFonts w:ascii="Times New Roman" w:hAnsi="Times New Roman" w:eastAsia="宋体" w:cs="Times New Roman"/>
          <w:szCs w:val="21"/>
        </w:rPr>
      </w:pPr>
    </w:p>
    <w:p w14:paraId="239648E2">
      <w:pPr>
        <w:rPr>
          <w:rFonts w:ascii="Times New Roman" w:hAnsi="Times New Roman" w:eastAsia="宋体" w:cs="Times New Roman"/>
          <w:szCs w:val="21"/>
        </w:rPr>
      </w:pPr>
    </w:p>
    <w:p w14:paraId="5776BB13">
      <w:pPr>
        <w:adjustRightInd w:val="0"/>
        <w:snapToGrid w:val="0"/>
        <w:rPr>
          <w:rFonts w:ascii="Times New Roman" w:hAnsi="Times New Roman" w:eastAsia="宋体" w:cs="Times New Roman"/>
          <w:szCs w:val="21"/>
        </w:rPr>
      </w:pPr>
    </w:p>
    <w:p w14:paraId="00F3B1DB">
      <w:pPr>
        <w:adjustRightInd w:val="0"/>
        <w:snapToGrid w:val="0"/>
        <w:rPr>
          <w:rFonts w:ascii="Times New Roman" w:hAnsi="Times New Roman" w:eastAsia="宋体" w:cs="Times New Roman"/>
          <w:szCs w:val="21"/>
        </w:rPr>
      </w:pPr>
    </w:p>
    <w:p w14:paraId="6BDAD24B">
      <w:pPr>
        <w:keepNext w:val="0"/>
        <w:keepLines w:val="0"/>
        <w:pageBreakBefore w:val="0"/>
        <w:widowControl w:val="0"/>
        <w:kinsoku/>
        <w:wordWrap/>
        <w:overflowPunct/>
        <w:topLinePunct w:val="0"/>
        <w:autoSpaceDE/>
        <w:autoSpaceDN/>
        <w:bidi w:val="0"/>
        <w:adjustRightInd w:val="0"/>
        <w:snapToGrid w:val="0"/>
        <w:jc w:val="distribute"/>
        <w:textAlignment w:val="auto"/>
        <w:rPr>
          <w:rFonts w:hint="eastAsia" w:ascii="黑体" w:hAnsi="黑体" w:eastAsia="黑体" w:cs="黑体"/>
          <w:spacing w:val="6"/>
          <w:sz w:val="28"/>
          <w:szCs w:val="28"/>
        </w:rPr>
      </w:pPr>
      <w:r>
        <w:rPr>
          <w:rFonts w:hint="eastAsia" w:ascii="黑体" w:hAnsi="黑体" w:eastAsia="黑体" w:cs="黑体"/>
          <w:spacing w:val="6"/>
          <w:sz w:val="28"/>
          <w:szCs w:val="28"/>
        </w:rPr>
        <w:t>202</w:t>
      </w:r>
      <w:r>
        <w:rPr>
          <w:rFonts w:hint="eastAsia" w:ascii="黑体" w:hAnsi="黑体" w:eastAsia="黑体" w:cs="黑体"/>
          <w:spacing w:val="6"/>
          <w:sz w:val="28"/>
          <w:szCs w:val="28"/>
          <w:lang w:val="en-US" w:eastAsia="zh-CN"/>
        </w:rPr>
        <w:t>X</w:t>
      </w:r>
      <w:r>
        <w:rPr>
          <w:rFonts w:hint="eastAsia" w:ascii="黑体" w:hAnsi="黑体" w:eastAsia="黑体" w:cs="黑体"/>
          <w:spacing w:val="6"/>
          <w:sz w:val="28"/>
          <w:szCs w:val="28"/>
        </w:rPr>
        <w:t>-</w:t>
      </w:r>
      <w:r>
        <w:rPr>
          <w:rFonts w:hint="eastAsia" w:ascii="黑体" w:hAnsi="黑体" w:eastAsia="黑体" w:cs="黑体"/>
          <w:spacing w:val="6"/>
          <w:sz w:val="28"/>
          <w:szCs w:val="28"/>
          <w:lang w:val="en-US" w:eastAsia="zh-CN"/>
        </w:rPr>
        <w:t>XX</w:t>
      </w:r>
      <w:r>
        <w:rPr>
          <w:rFonts w:hint="eastAsia" w:ascii="黑体" w:hAnsi="黑体" w:eastAsia="黑体" w:cs="黑体"/>
          <w:spacing w:val="6"/>
          <w:sz w:val="28"/>
          <w:szCs w:val="28"/>
        </w:rPr>
        <w:t>-</w:t>
      </w:r>
      <w:r>
        <w:rPr>
          <w:rFonts w:hint="eastAsia" w:ascii="黑体" w:hAnsi="黑体" w:eastAsia="黑体" w:cs="黑体"/>
          <w:spacing w:val="6"/>
          <w:sz w:val="28"/>
          <w:szCs w:val="28"/>
          <w:lang w:val="en-US" w:eastAsia="zh-CN"/>
        </w:rPr>
        <w:t>XX</w:t>
      </w:r>
      <w:r>
        <w:rPr>
          <w:rFonts w:hint="eastAsia" w:ascii="黑体" w:hAnsi="黑体" w:eastAsia="黑体" w:cs="黑体"/>
          <w:spacing w:val="6"/>
          <w:sz w:val="28"/>
          <w:szCs w:val="28"/>
        </w:rPr>
        <w:t xml:space="preserve"> 发布                  </w:t>
      </w:r>
      <w:r>
        <w:rPr>
          <w:rFonts w:hint="eastAsia" w:ascii="黑体" w:hAnsi="黑体" w:eastAsia="黑体" w:cs="黑体"/>
          <w:spacing w:val="6"/>
          <w:sz w:val="28"/>
          <w:szCs w:val="28"/>
          <w:lang w:val="en-US" w:eastAsia="zh-CN"/>
        </w:rPr>
        <w:t xml:space="preserve">   </w:t>
      </w:r>
      <w:r>
        <w:rPr>
          <w:rFonts w:hint="eastAsia" w:ascii="黑体" w:hAnsi="黑体" w:eastAsia="黑体" w:cs="黑体"/>
          <w:spacing w:val="6"/>
          <w:sz w:val="28"/>
          <w:szCs w:val="28"/>
        </w:rPr>
        <w:t xml:space="preserve">  </w:t>
      </w:r>
      <w:r>
        <w:rPr>
          <w:rFonts w:hint="eastAsia" w:ascii="黑体" w:hAnsi="黑体" w:eastAsia="黑体" w:cs="黑体"/>
          <w:spacing w:val="6"/>
          <w:sz w:val="28"/>
          <w:szCs w:val="28"/>
          <w:lang w:val="en-US" w:eastAsia="zh-CN"/>
        </w:rPr>
        <w:t xml:space="preserve">   </w:t>
      </w:r>
      <w:r>
        <w:rPr>
          <w:rFonts w:hint="eastAsia" w:ascii="黑体" w:hAnsi="黑体" w:eastAsia="黑体" w:cs="黑体"/>
          <w:spacing w:val="6"/>
          <w:sz w:val="28"/>
          <w:szCs w:val="28"/>
        </w:rPr>
        <w:t xml:space="preserve">    202</w:t>
      </w:r>
      <w:r>
        <w:rPr>
          <w:rFonts w:hint="eastAsia" w:ascii="黑体" w:hAnsi="黑体" w:eastAsia="黑体" w:cs="黑体"/>
          <w:spacing w:val="6"/>
          <w:sz w:val="28"/>
          <w:szCs w:val="28"/>
          <w:lang w:val="en-US" w:eastAsia="zh-CN"/>
        </w:rPr>
        <w:t>X</w:t>
      </w:r>
      <w:r>
        <w:rPr>
          <w:rFonts w:hint="eastAsia" w:ascii="黑体" w:hAnsi="黑体" w:eastAsia="黑体" w:cs="黑体"/>
          <w:spacing w:val="6"/>
          <w:sz w:val="28"/>
          <w:szCs w:val="28"/>
        </w:rPr>
        <w:t>-</w:t>
      </w:r>
      <w:r>
        <w:rPr>
          <w:rFonts w:hint="eastAsia" w:ascii="黑体" w:hAnsi="黑体" w:eastAsia="黑体" w:cs="黑体"/>
          <w:spacing w:val="6"/>
          <w:sz w:val="28"/>
          <w:szCs w:val="28"/>
          <w:lang w:val="en-US" w:eastAsia="zh-CN"/>
        </w:rPr>
        <w:t>XX</w:t>
      </w:r>
      <w:r>
        <w:rPr>
          <w:rFonts w:hint="eastAsia" w:ascii="黑体" w:hAnsi="黑体" w:eastAsia="黑体" w:cs="黑体"/>
          <w:spacing w:val="6"/>
          <w:sz w:val="28"/>
          <w:szCs w:val="28"/>
        </w:rPr>
        <w:t>-</w:t>
      </w:r>
      <w:r>
        <w:rPr>
          <w:rFonts w:hint="eastAsia" w:ascii="黑体" w:hAnsi="黑体" w:eastAsia="黑体" w:cs="黑体"/>
          <w:spacing w:val="6"/>
          <w:sz w:val="28"/>
          <w:szCs w:val="28"/>
          <w:lang w:val="en-US" w:eastAsia="zh-CN"/>
        </w:rPr>
        <w:t>XX</w:t>
      </w:r>
      <w:r>
        <w:rPr>
          <w:rFonts w:hint="eastAsia" w:ascii="黑体" w:hAnsi="黑体" w:eastAsia="黑体" w:cs="黑体"/>
          <w:spacing w:val="6"/>
          <w:sz w:val="28"/>
          <w:szCs w:val="28"/>
        </w:rPr>
        <w:t xml:space="preserve"> 实施</w:t>
      </w:r>
    </w:p>
    <w:p w14:paraId="4AD7FF9E">
      <w:pPr>
        <w:keepNext w:val="0"/>
        <w:keepLines w:val="0"/>
        <w:pageBreakBefore w:val="0"/>
        <w:widowControl w:val="0"/>
        <w:kinsoku/>
        <w:wordWrap/>
        <w:overflowPunct/>
        <w:topLinePunct w:val="0"/>
        <w:autoSpaceDE/>
        <w:autoSpaceDN/>
        <w:bidi w:val="0"/>
        <w:adjustRightInd w:val="0"/>
        <w:snapToGrid w:val="0"/>
        <w:spacing w:before="313" w:beforeLines="100"/>
        <w:jc w:val="center"/>
        <w:textAlignment w:val="auto"/>
        <w:rPr>
          <w:rFonts w:hint="eastAsia" w:ascii="Times New Roman" w:hAnsi="Times New Roman" w:eastAsia="方正小标宋简体" w:cs="Times New Roman"/>
          <w:sz w:val="2"/>
          <w:szCs w:val="2"/>
          <w:lang w:val="en-US" w:eastAsia="zh-CN"/>
        </w:rPr>
        <w:sectPr>
          <w:headerReference r:id="rId5" w:type="first"/>
          <w:footerReference r:id="rId7" w:type="first"/>
          <w:headerReference r:id="rId3" w:type="default"/>
          <w:footerReference r:id="rId6" w:type="default"/>
          <w:headerReference r:id="rId4" w:type="even"/>
          <w:pgSz w:w="11907" w:h="16839"/>
          <w:pgMar w:top="1417" w:right="1417" w:bottom="1134" w:left="1418" w:header="567" w:footer="850" w:gutter="0"/>
          <w:pgBorders>
            <w:top w:val="none" w:sz="0" w:space="0"/>
            <w:left w:val="none" w:sz="0" w:space="0"/>
            <w:bottom w:val="none" w:sz="0" w:space="0"/>
            <w:right w:val="none" w:sz="0" w:space="0"/>
          </w:pgBorders>
          <w:cols w:space="0" w:num="1"/>
          <w:titlePg/>
          <w:docGrid w:type="lines" w:linePitch="312" w:charSpace="0"/>
        </w:sectPr>
      </w:pPr>
      <w:r>
        <w:rPr>
          <w:rFonts w:ascii="Times New Roman" w:hAnsi="Times New Roman" w:eastAsia="方正小标宋简体" w:cs="Times New Roman"/>
          <w:sz w:val="52"/>
          <w:szCs w:val="52"/>
        </w:rPr>
        <mc:AlternateContent>
          <mc:Choice Requires="wps">
            <w:drawing>
              <wp:anchor distT="0" distB="0" distL="114300" distR="114300" simplePos="0" relativeHeight="251666432" behindDoc="0" locked="0" layoutInCell="1" allowOverlap="1">
                <wp:simplePos x="0" y="0"/>
                <wp:positionH relativeFrom="column">
                  <wp:posOffset>-59690</wp:posOffset>
                </wp:positionH>
                <wp:positionV relativeFrom="paragraph">
                  <wp:posOffset>44450</wp:posOffset>
                </wp:positionV>
                <wp:extent cx="5874385" cy="0"/>
                <wp:effectExtent l="0" t="9525" r="5715" b="15875"/>
                <wp:wrapNone/>
                <wp:docPr id="17" name="自选图形 3"/>
                <wp:cNvGraphicFramePr/>
                <a:graphic xmlns:a="http://schemas.openxmlformats.org/drawingml/2006/main">
                  <a:graphicData uri="http://schemas.microsoft.com/office/word/2010/wordprocessingShape">
                    <wps:wsp>
                      <wps:cNvCnPr/>
                      <wps:spPr>
                        <a:xfrm>
                          <a:off x="0" y="0"/>
                          <a:ext cx="5874385"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margin-left:-4.7pt;margin-top:3.5pt;height:0pt;width:462.55pt;z-index:251666432;mso-width-relative:page;mso-height-relative:page;" filled="f" stroked="t" coordsize="21600,21600" o:gfxdata="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4mW9IAAAAGAQAADwAAAAAAAAABACAAAAAiAAAAZHJzL2Rvd25yZXYueG1sUEsBAhQA&#10;FAAAAAgAh07iQAhsRfr4AQAA5QMAAA4AAAAAAAAAAQAgAAAAIQEAAGRycy9lMm9Eb2MueG1sUEsF&#10;BgAAAAAGAAYAWQEAAIsFAAAAAA==&#10;">
                <v:fill on="f" focussize="0,0"/>
                <v:stroke weight="1.5pt" color="#000000" joinstyle="round"/>
                <v:imagedata o:title=""/>
                <o:lock v:ext="edit" aspectratio="f"/>
              </v:shape>
            </w:pict>
          </mc:Fallback>
        </mc:AlternateContent>
      </w:r>
      <w:r>
        <w:rPr>
          <w:rFonts w:ascii="Times New Roman" w:hAnsi="Times New Roman" w:eastAsia="方正小标宋简体" w:cs="Times New Roman"/>
          <w:sz w:val="28"/>
          <w:szCs w:val="28"/>
        </w:rPr>
        <w:t>中国节能协会  发</w:t>
      </w:r>
      <w:r>
        <w:rPr>
          <w:rFonts w:hint="eastAsia" w:ascii="Times New Roman" w:hAnsi="Times New Roman" w:eastAsia="方正小标宋简体" w:cs="Times New Roman"/>
          <w:sz w:val="28"/>
          <w:szCs w:val="28"/>
          <w:lang w:val="en-US" w:eastAsia="zh-CN"/>
        </w:rPr>
        <w:t xml:space="preserve"> 布</w:t>
      </w:r>
    </w:p>
    <w:p w14:paraId="773792CA">
      <w:pPr>
        <w:spacing w:line="340" w:lineRule="exact"/>
        <w:jc w:val="left"/>
        <w:rPr>
          <w:rFonts w:hint="eastAsia" w:ascii="仿宋_GB2312" w:hAnsi="仿宋_GB2312" w:eastAsia="仿宋_GB2312" w:cs="仿宋_GB2312"/>
          <w:szCs w:val="21"/>
        </w:rPr>
      </w:pPr>
    </w:p>
    <w:p w14:paraId="448D0C04">
      <w:pPr>
        <w:spacing w:line="340" w:lineRule="exact"/>
        <w:jc w:val="left"/>
        <w:rPr>
          <w:rFonts w:hint="eastAsia" w:ascii="仿宋_GB2312" w:hAnsi="仿宋_GB2312" w:eastAsia="仿宋_GB2312" w:cs="仿宋_GB2312"/>
          <w:szCs w:val="21"/>
        </w:rPr>
      </w:pPr>
    </w:p>
    <w:p w14:paraId="7212C65F">
      <w:pPr>
        <w:spacing w:line="340" w:lineRule="exact"/>
        <w:jc w:val="left"/>
        <w:rPr>
          <w:rFonts w:hint="eastAsia" w:ascii="仿宋_GB2312" w:hAnsi="仿宋_GB2312" w:eastAsia="仿宋_GB2312" w:cs="仿宋_GB2312"/>
          <w:szCs w:val="21"/>
        </w:rPr>
      </w:pPr>
    </w:p>
    <w:p w14:paraId="5551314F">
      <w:pPr>
        <w:spacing w:line="340" w:lineRule="exact"/>
        <w:jc w:val="left"/>
        <w:rPr>
          <w:rFonts w:hint="eastAsia" w:ascii="仿宋_GB2312" w:hAnsi="仿宋_GB2312" w:eastAsia="仿宋_GB2312" w:cs="仿宋_GB2312"/>
          <w:szCs w:val="21"/>
        </w:rPr>
      </w:pPr>
    </w:p>
    <w:p w14:paraId="26DD74D9">
      <w:pPr>
        <w:spacing w:line="340" w:lineRule="exact"/>
        <w:jc w:val="left"/>
        <w:rPr>
          <w:rFonts w:hint="eastAsia" w:ascii="仿宋_GB2312" w:hAnsi="仿宋_GB2312" w:eastAsia="仿宋_GB2312" w:cs="仿宋_GB2312"/>
          <w:szCs w:val="21"/>
        </w:rPr>
      </w:pPr>
    </w:p>
    <w:p w14:paraId="18D877CF">
      <w:pPr>
        <w:spacing w:line="340" w:lineRule="exact"/>
        <w:jc w:val="left"/>
        <w:rPr>
          <w:rFonts w:hint="eastAsia" w:ascii="仿宋_GB2312" w:hAnsi="仿宋_GB2312" w:eastAsia="仿宋_GB2312" w:cs="仿宋_GB2312"/>
          <w:szCs w:val="21"/>
        </w:rPr>
      </w:pPr>
    </w:p>
    <w:p w14:paraId="437904E9">
      <w:pPr>
        <w:spacing w:line="340" w:lineRule="exact"/>
        <w:jc w:val="left"/>
        <w:rPr>
          <w:rFonts w:hint="eastAsia" w:ascii="仿宋_GB2312" w:hAnsi="仿宋_GB2312" w:eastAsia="仿宋_GB2312" w:cs="仿宋_GB2312"/>
          <w:szCs w:val="21"/>
        </w:rPr>
      </w:pPr>
    </w:p>
    <w:p w14:paraId="14BE27C7">
      <w:pPr>
        <w:spacing w:line="340" w:lineRule="exact"/>
        <w:jc w:val="left"/>
        <w:rPr>
          <w:rFonts w:hint="eastAsia" w:ascii="仿宋_GB2312" w:hAnsi="仿宋_GB2312" w:eastAsia="仿宋_GB2312" w:cs="仿宋_GB2312"/>
          <w:szCs w:val="21"/>
        </w:rPr>
      </w:pPr>
    </w:p>
    <w:p w14:paraId="5E08BB8F">
      <w:pPr>
        <w:spacing w:line="340" w:lineRule="exact"/>
        <w:jc w:val="left"/>
        <w:rPr>
          <w:rFonts w:hint="eastAsia" w:ascii="仿宋_GB2312" w:hAnsi="仿宋_GB2312" w:eastAsia="仿宋_GB2312" w:cs="仿宋_GB2312"/>
          <w:szCs w:val="21"/>
        </w:rPr>
      </w:pPr>
    </w:p>
    <w:p w14:paraId="1010349E">
      <w:pPr>
        <w:spacing w:line="340" w:lineRule="exact"/>
        <w:jc w:val="left"/>
        <w:rPr>
          <w:rFonts w:hint="eastAsia" w:ascii="仿宋_GB2312" w:hAnsi="仿宋_GB2312" w:eastAsia="仿宋_GB2312" w:cs="仿宋_GB2312"/>
          <w:szCs w:val="21"/>
        </w:rPr>
      </w:pPr>
    </w:p>
    <w:p w14:paraId="58BF58CE">
      <w:pPr>
        <w:spacing w:line="340" w:lineRule="exact"/>
        <w:jc w:val="left"/>
        <w:rPr>
          <w:rFonts w:hint="eastAsia" w:ascii="仿宋_GB2312" w:hAnsi="仿宋_GB2312" w:eastAsia="仿宋_GB2312" w:cs="仿宋_GB2312"/>
          <w:szCs w:val="21"/>
        </w:rPr>
      </w:pPr>
    </w:p>
    <w:p w14:paraId="3FBEB4A6">
      <w:pPr>
        <w:spacing w:line="340" w:lineRule="exact"/>
        <w:jc w:val="left"/>
        <w:rPr>
          <w:rFonts w:hint="eastAsia" w:ascii="仿宋_GB2312" w:hAnsi="仿宋_GB2312" w:eastAsia="仿宋_GB2312" w:cs="仿宋_GB2312"/>
          <w:szCs w:val="21"/>
        </w:rPr>
      </w:pPr>
    </w:p>
    <w:p w14:paraId="122507AB">
      <w:pPr>
        <w:spacing w:line="340" w:lineRule="exact"/>
        <w:jc w:val="left"/>
        <w:rPr>
          <w:rFonts w:hint="eastAsia" w:ascii="仿宋_GB2312" w:hAnsi="仿宋_GB2312" w:eastAsia="仿宋_GB2312" w:cs="仿宋_GB2312"/>
          <w:szCs w:val="21"/>
        </w:rPr>
      </w:pPr>
    </w:p>
    <w:p w14:paraId="31A3E9EA">
      <w:pPr>
        <w:spacing w:line="340" w:lineRule="exact"/>
        <w:jc w:val="left"/>
        <w:rPr>
          <w:rFonts w:hint="eastAsia" w:ascii="仿宋_GB2312" w:hAnsi="仿宋_GB2312" w:eastAsia="仿宋_GB2312" w:cs="仿宋_GB2312"/>
          <w:szCs w:val="21"/>
        </w:rPr>
      </w:pPr>
    </w:p>
    <w:p w14:paraId="785171B9">
      <w:pPr>
        <w:spacing w:line="340" w:lineRule="exact"/>
        <w:jc w:val="left"/>
        <w:rPr>
          <w:rFonts w:hint="eastAsia" w:ascii="仿宋_GB2312" w:hAnsi="仿宋_GB2312" w:eastAsia="仿宋_GB2312" w:cs="仿宋_GB2312"/>
          <w:szCs w:val="21"/>
        </w:rPr>
      </w:pPr>
    </w:p>
    <w:p w14:paraId="6784BD7E">
      <w:pPr>
        <w:spacing w:line="340" w:lineRule="exact"/>
        <w:jc w:val="left"/>
        <w:rPr>
          <w:rFonts w:hint="eastAsia" w:ascii="仿宋_GB2312" w:hAnsi="仿宋_GB2312" w:eastAsia="仿宋_GB2312" w:cs="仿宋_GB2312"/>
          <w:szCs w:val="21"/>
        </w:rPr>
      </w:pPr>
    </w:p>
    <w:p w14:paraId="6A666B34">
      <w:pPr>
        <w:spacing w:line="340" w:lineRule="exact"/>
        <w:jc w:val="left"/>
        <w:rPr>
          <w:rFonts w:hint="eastAsia" w:ascii="仿宋_GB2312" w:hAnsi="仿宋_GB2312" w:eastAsia="仿宋_GB2312" w:cs="仿宋_GB2312"/>
          <w:szCs w:val="21"/>
        </w:rPr>
      </w:pPr>
    </w:p>
    <w:p w14:paraId="762BA153">
      <w:pPr>
        <w:spacing w:line="340" w:lineRule="exact"/>
        <w:jc w:val="left"/>
        <w:rPr>
          <w:rFonts w:hint="eastAsia" w:ascii="仿宋_GB2312" w:hAnsi="仿宋_GB2312" w:eastAsia="仿宋_GB2312" w:cs="仿宋_GB2312"/>
          <w:szCs w:val="21"/>
        </w:rPr>
      </w:pPr>
    </w:p>
    <w:p w14:paraId="02D8DB87">
      <w:pPr>
        <w:spacing w:line="340" w:lineRule="exact"/>
        <w:jc w:val="left"/>
        <w:rPr>
          <w:rFonts w:hint="eastAsia" w:ascii="仿宋_GB2312" w:hAnsi="仿宋_GB2312" w:eastAsia="仿宋_GB2312" w:cs="仿宋_GB2312"/>
          <w:szCs w:val="21"/>
        </w:rPr>
      </w:pPr>
    </w:p>
    <w:p w14:paraId="546A6C96">
      <w:pPr>
        <w:tabs>
          <w:tab w:val="left" w:pos="4061"/>
        </w:tabs>
        <w:spacing w:line="340" w:lineRule="exact"/>
        <w:jc w:val="left"/>
        <w:rPr>
          <w:rFonts w:hint="eastAsia" w:ascii="仿宋_GB2312" w:hAnsi="仿宋_GB2312" w:eastAsia="仿宋_GB2312" w:cs="仿宋_GB2312"/>
          <w:szCs w:val="21"/>
        </w:rPr>
      </w:pPr>
      <w:r>
        <w:rPr>
          <w:rFonts w:hint="eastAsia" w:ascii="仿宋_GB2312" w:hAnsi="仿宋_GB2312" w:eastAsia="仿宋_GB2312" w:cs="仿宋_GB2312"/>
          <w:szCs w:val="21"/>
        </w:rPr>
        <w:tab/>
      </w:r>
    </w:p>
    <w:p w14:paraId="11D48639">
      <w:pPr>
        <w:spacing w:line="340" w:lineRule="exact"/>
        <w:jc w:val="left"/>
        <w:rPr>
          <w:rFonts w:hint="eastAsia" w:ascii="仿宋_GB2312" w:hAnsi="仿宋_GB2312" w:eastAsia="仿宋_GB2312" w:cs="仿宋_GB2312"/>
          <w:szCs w:val="21"/>
        </w:rPr>
      </w:pPr>
    </w:p>
    <w:p w14:paraId="212DE704">
      <w:pPr>
        <w:spacing w:line="340" w:lineRule="exact"/>
        <w:jc w:val="left"/>
        <w:rPr>
          <w:rFonts w:hint="eastAsia" w:ascii="仿宋_GB2312" w:hAnsi="仿宋_GB2312" w:eastAsia="仿宋_GB2312" w:cs="仿宋_GB2312"/>
          <w:szCs w:val="21"/>
        </w:rPr>
      </w:pPr>
    </w:p>
    <w:p w14:paraId="790441AB">
      <w:pPr>
        <w:spacing w:line="340" w:lineRule="exact"/>
        <w:jc w:val="left"/>
        <w:rPr>
          <w:rFonts w:hint="eastAsia" w:ascii="仿宋_GB2312" w:hAnsi="仿宋_GB2312" w:eastAsia="仿宋_GB2312" w:cs="仿宋_GB2312"/>
          <w:szCs w:val="21"/>
        </w:rPr>
      </w:pPr>
    </w:p>
    <w:p w14:paraId="33582652">
      <w:pPr>
        <w:spacing w:line="340" w:lineRule="exact"/>
        <w:jc w:val="left"/>
        <w:rPr>
          <w:rFonts w:hint="eastAsia" w:ascii="仿宋_GB2312" w:hAnsi="仿宋_GB2312" w:eastAsia="仿宋_GB2312" w:cs="仿宋_GB2312"/>
          <w:szCs w:val="21"/>
        </w:rPr>
      </w:pPr>
    </w:p>
    <w:p w14:paraId="57C2F287">
      <w:pPr>
        <w:spacing w:line="340" w:lineRule="exact"/>
        <w:jc w:val="left"/>
        <w:rPr>
          <w:rFonts w:hint="eastAsia" w:ascii="仿宋_GB2312" w:hAnsi="仿宋_GB2312" w:eastAsia="仿宋_GB2312" w:cs="仿宋_GB2312"/>
          <w:szCs w:val="21"/>
        </w:rPr>
      </w:pPr>
    </w:p>
    <w:p w14:paraId="6CDEFD9B">
      <w:pPr>
        <w:spacing w:line="340" w:lineRule="exact"/>
        <w:jc w:val="left"/>
        <w:rPr>
          <w:rFonts w:hint="eastAsia" w:ascii="仿宋_GB2312" w:hAnsi="仿宋_GB2312" w:eastAsia="仿宋_GB2312" w:cs="仿宋_GB2312"/>
          <w:szCs w:val="21"/>
        </w:rPr>
      </w:pPr>
    </w:p>
    <w:p w14:paraId="41B417F9">
      <w:pPr>
        <w:spacing w:line="340" w:lineRule="exact"/>
        <w:jc w:val="left"/>
        <w:rPr>
          <w:rFonts w:hint="eastAsia" w:ascii="仿宋_GB2312" w:hAnsi="仿宋_GB2312" w:eastAsia="仿宋_GB2312" w:cs="仿宋_GB2312"/>
          <w:szCs w:val="21"/>
        </w:rPr>
      </w:pPr>
    </w:p>
    <w:p w14:paraId="35087E41">
      <w:pPr>
        <w:spacing w:line="340" w:lineRule="exact"/>
        <w:jc w:val="left"/>
        <w:rPr>
          <w:rFonts w:hint="eastAsia" w:ascii="仿宋_GB2312" w:hAnsi="仿宋_GB2312" w:eastAsia="仿宋_GB2312" w:cs="仿宋_GB2312"/>
          <w:szCs w:val="21"/>
        </w:rPr>
      </w:pPr>
    </w:p>
    <w:p w14:paraId="21E05271">
      <w:pPr>
        <w:spacing w:line="340" w:lineRule="exact"/>
        <w:jc w:val="left"/>
        <w:rPr>
          <w:rFonts w:hint="eastAsia" w:ascii="仿宋_GB2312" w:hAnsi="仿宋_GB2312" w:eastAsia="仿宋_GB2312" w:cs="仿宋_GB2312"/>
          <w:szCs w:val="21"/>
        </w:rPr>
      </w:pPr>
    </w:p>
    <w:p w14:paraId="35C76FD3">
      <w:pPr>
        <w:spacing w:line="340" w:lineRule="exact"/>
        <w:jc w:val="left"/>
        <w:rPr>
          <w:rFonts w:hint="eastAsia" w:ascii="仿宋_GB2312" w:hAnsi="仿宋_GB2312" w:eastAsia="仿宋_GB2312" w:cs="仿宋_GB2312"/>
          <w:szCs w:val="21"/>
        </w:rPr>
      </w:pPr>
    </w:p>
    <w:p w14:paraId="3F19C306">
      <w:pPr>
        <w:spacing w:line="340" w:lineRule="exact"/>
        <w:jc w:val="left"/>
        <w:rPr>
          <w:rFonts w:hint="eastAsia" w:ascii="仿宋_GB2312" w:hAnsi="仿宋_GB2312" w:eastAsia="仿宋_GB2312" w:cs="仿宋_GB2312"/>
          <w:szCs w:val="21"/>
        </w:rPr>
      </w:pPr>
    </w:p>
    <w:p w14:paraId="5A5BA10F">
      <w:pPr>
        <w:spacing w:line="340" w:lineRule="exact"/>
        <w:jc w:val="left"/>
        <w:rPr>
          <w:rFonts w:hint="eastAsia" w:ascii="仿宋_GB2312" w:hAnsi="仿宋_GB2312" w:eastAsia="仿宋_GB2312" w:cs="仿宋_GB2312"/>
          <w:szCs w:val="21"/>
        </w:rPr>
      </w:pPr>
    </w:p>
    <w:p w14:paraId="083E9B2A">
      <w:pPr>
        <w:spacing w:line="340" w:lineRule="exact"/>
        <w:jc w:val="left"/>
        <w:rPr>
          <w:rFonts w:hint="eastAsia" w:ascii="仿宋_GB2312" w:hAnsi="仿宋_GB2312" w:eastAsia="仿宋_GB2312" w:cs="仿宋_GB2312"/>
          <w:szCs w:val="21"/>
        </w:rPr>
      </w:pPr>
      <w:r>
        <w:rPr>
          <w:rFonts w:ascii="宋体" w:hAnsi="宋体" w:eastAsia="宋体" w:cs="宋体"/>
          <w:kern w:val="0"/>
          <w:sz w:val="24"/>
          <w:szCs w:val="21"/>
        </w:rPr>
        <w:drawing>
          <wp:anchor distT="0" distB="0" distL="0" distR="0" simplePos="0" relativeHeight="251660288" behindDoc="1" locked="0" layoutInCell="1" allowOverlap="1">
            <wp:simplePos x="0" y="0"/>
            <wp:positionH relativeFrom="column">
              <wp:posOffset>38100</wp:posOffset>
            </wp:positionH>
            <wp:positionV relativeFrom="paragraph">
              <wp:posOffset>183515</wp:posOffset>
            </wp:positionV>
            <wp:extent cx="809625" cy="771525"/>
            <wp:effectExtent l="0" t="0" r="0" b="0"/>
            <wp:wrapNone/>
            <wp:docPr id="10" name="图片 5" descr="IMG_256"/>
            <wp:cNvGraphicFramePr/>
            <a:graphic xmlns:a="http://schemas.openxmlformats.org/drawingml/2006/main">
              <a:graphicData uri="http://schemas.openxmlformats.org/drawingml/2006/picture">
                <pic:pic xmlns:pic="http://schemas.openxmlformats.org/drawingml/2006/picture">
                  <pic:nvPicPr>
                    <pic:cNvPr id="10" name="图片 5" descr="IMG_256"/>
                    <pic:cNvPicPr/>
                  </pic:nvPicPr>
                  <pic:blipFill>
                    <a:blip r:embed="rId20" cstate="print"/>
                    <a:srcRect/>
                    <a:stretch>
                      <a:fillRect/>
                    </a:stretch>
                  </pic:blipFill>
                  <pic:spPr>
                    <a:xfrm>
                      <a:off x="0" y="0"/>
                      <a:ext cx="809625" cy="771525"/>
                    </a:xfrm>
                    <a:prstGeom prst="rect">
                      <a:avLst/>
                    </a:prstGeom>
                    <a:ln>
                      <a:noFill/>
                    </a:ln>
                  </pic:spPr>
                </pic:pic>
              </a:graphicData>
            </a:graphic>
          </wp:anchor>
        </w:drawing>
      </w:r>
    </w:p>
    <w:p w14:paraId="64D33E26">
      <w:pPr>
        <w:spacing w:line="340" w:lineRule="exact"/>
        <w:jc w:val="left"/>
        <w:rPr>
          <w:rFonts w:hint="eastAsia" w:ascii="仿宋_GB2312" w:hAnsi="仿宋_GB2312" w:eastAsia="仿宋_GB2312" w:cs="仿宋_GB2312"/>
          <w:szCs w:val="21"/>
        </w:rPr>
      </w:pPr>
    </w:p>
    <w:p w14:paraId="170411DF">
      <w:pPr>
        <w:spacing w:line="340" w:lineRule="exact"/>
        <w:jc w:val="left"/>
        <w:rPr>
          <w:rFonts w:hint="eastAsia" w:ascii="仿宋_GB2312" w:hAnsi="仿宋_GB2312" w:eastAsia="仿宋_GB2312" w:cs="仿宋_GB2312"/>
          <w:szCs w:val="21"/>
        </w:rPr>
      </w:pPr>
    </w:p>
    <w:p w14:paraId="122E583A">
      <w:pPr>
        <w:spacing w:line="340" w:lineRule="exact"/>
        <w:jc w:val="left"/>
        <w:rPr>
          <w:rFonts w:hint="eastAsia" w:ascii="宋体" w:hAnsi="宋体" w:eastAsia="宋体" w:cs="仿宋_GB2312"/>
          <w:szCs w:val="21"/>
        </w:rPr>
      </w:pPr>
      <w:r>
        <w:rPr>
          <w:rFonts w:hint="eastAsia" w:ascii="仿宋_GB2312" w:hAnsi="仿宋_GB2312" w:eastAsia="仿宋_GB2312" w:cs="仿宋_GB2312"/>
          <w:szCs w:val="21"/>
        </w:rPr>
        <w:t xml:space="preserve">             </w:t>
      </w:r>
      <w:r>
        <w:rPr>
          <w:rFonts w:hint="eastAsia" w:ascii="宋体" w:hAnsi="宋体" w:eastAsia="宋体" w:cs="仿宋_GB2312"/>
          <w:szCs w:val="21"/>
        </w:rPr>
        <w:t>版权保护文件</w:t>
      </w:r>
    </w:p>
    <w:p w14:paraId="16FB7619">
      <w:pPr>
        <w:spacing w:line="340" w:lineRule="exact"/>
        <w:jc w:val="left"/>
        <w:rPr>
          <w:rFonts w:hint="eastAsia" w:ascii="宋体" w:hAnsi="宋体" w:eastAsia="宋体" w:cs="仿宋_GB2312"/>
          <w:szCs w:val="21"/>
        </w:rPr>
      </w:pPr>
    </w:p>
    <w:p w14:paraId="47EE6C6E">
      <w:pPr>
        <w:spacing w:line="340" w:lineRule="exact"/>
        <w:jc w:val="left"/>
        <w:rPr>
          <w:rFonts w:hint="eastAsia" w:ascii="宋体" w:hAnsi="宋体" w:eastAsia="宋体" w:cs="宋体"/>
        </w:rPr>
        <w:sectPr>
          <w:headerReference r:id="rId8" w:type="default"/>
          <w:footerReference r:id="rId9" w:type="default"/>
          <w:pgSz w:w="11906" w:h="16838"/>
          <w:pgMar w:top="1417" w:right="1417" w:bottom="1134" w:left="1417" w:header="1417" w:footer="1134" w:gutter="0"/>
          <w:pgBorders>
            <w:top w:val="none" w:sz="0" w:space="0"/>
            <w:left w:val="none" w:sz="0" w:space="0"/>
            <w:bottom w:val="none" w:sz="0" w:space="0"/>
            <w:right w:val="none" w:sz="0" w:space="0"/>
          </w:pgBorders>
          <w:pgNumType w:fmt="upperRoman" w:start="1"/>
          <w:cols w:space="425" w:num="1"/>
          <w:docGrid w:type="lines" w:linePitch="312" w:charSpace="0"/>
        </w:sectPr>
      </w:pPr>
      <w:r>
        <w:rPr>
          <w:rFonts w:hint="eastAsia" w:ascii="宋体" w:hAnsi="宋体" w:eastAsia="宋体" w:cs="宋体"/>
          <w:szCs w:val="21"/>
        </w:rPr>
        <w:t>版权所有归属于该标准的发布机构，除非有其他规定，否则未经许可，此发行物及其章节不得以其他形式或任何手段进行复制、再版或使用，包括电子版、影印版，或发布在互联网及内部网络等。使用许可请与发布机构获取。</w:t>
      </w:r>
    </w:p>
    <w:p w14:paraId="20C29F84">
      <w:pPr>
        <w:keepNext/>
        <w:keepLines w:val="0"/>
        <w:pageBreakBefore/>
        <w:widowControl w:val="0"/>
        <w:shd w:val="clear" w:color="FFFFFF" w:fill="FFFFFF"/>
        <w:kinsoku/>
        <w:wordWrap/>
        <w:overflowPunct/>
        <w:topLinePunct w:val="0"/>
        <w:autoSpaceDE/>
        <w:autoSpaceDN/>
        <w:bidi w:val="0"/>
        <w:adjustRightInd/>
        <w:snapToGrid/>
        <w:spacing w:before="640" w:after="480"/>
        <w:jc w:val="center"/>
        <w:textAlignment w:val="auto"/>
        <w:outlineLvl w:val="9"/>
        <w:rPr>
          <w:rFonts w:hint="eastAsia" w:ascii="黑体" w:hAnsi="黑体" w:eastAsia="黑体" w:cs="Arial"/>
          <w:sz w:val="32"/>
          <w:lang w:val="en-US" w:eastAsia="zh-CN" w:bidi="ar-SA"/>
        </w:rPr>
      </w:pPr>
      <w:r>
        <w:rPr>
          <w:rFonts w:hint="eastAsia" w:ascii="黑体" w:hAnsi="黑体" w:eastAsia="黑体" w:cs="Arial"/>
          <w:sz w:val="32"/>
          <w:lang w:val="en-US" w:eastAsia="zh-CN" w:bidi="ar-SA"/>
        </w:rPr>
        <w:t>目    次</w:t>
      </w:r>
    </w:p>
    <w:sdt>
      <w:sdtPr>
        <w:rPr>
          <w:rFonts w:hint="eastAsia"/>
          <w:lang w:val="en-US" w:eastAsia="zh-CN"/>
        </w:rPr>
        <w:id w:val="147472145"/>
        <w15:color w:val="DBDBDB"/>
        <w:docPartObj>
          <w:docPartGallery w:val="Table of Contents"/>
          <w:docPartUnique/>
        </w:docPartObj>
      </w:sdtPr>
      <w:sdtEndPr>
        <w:rPr>
          <w:rFonts w:hint="eastAsia" w:ascii="宋体" w:hAnsi="宋体" w:eastAsia="宋体" w:cs="宋体"/>
          <w:kern w:val="2"/>
          <w:sz w:val="21"/>
          <w:szCs w:val="21"/>
          <w:lang w:val="en-US" w:eastAsia="zh-CN" w:bidi="ar-SA"/>
        </w:rPr>
      </w:sdtEndPr>
      <w:sdtContent>
        <w:p w14:paraId="00AB3D74">
          <w:pPr>
            <w:rPr>
              <w:rFonts w:hint="eastAsia"/>
              <w:lang w:val="en-US" w:eastAsia="zh-CN"/>
            </w:rPr>
          </w:pPr>
        </w:p>
        <w:p w14:paraId="76BC5459">
          <w:pPr>
            <w:pStyle w:val="5"/>
            <w:tabs>
              <w:tab w:val="right" w:leader="dot" w:pos="9071"/>
            </w:tabs>
            <w:rPr>
              <w:rFonts w:hint="eastAsia" w:ascii="宋体" w:hAnsi="宋体" w:eastAsia="宋体" w:cs="宋体"/>
              <w:szCs w:val="21"/>
            </w:rPr>
          </w:pPr>
          <w:r>
            <w:rPr>
              <w:rFonts w:hint="eastAsia" w:ascii="宋体" w:hAnsi="宋体" w:eastAsia="宋体" w:cs="宋体"/>
              <w:kern w:val="2"/>
              <w:sz w:val="21"/>
              <w:szCs w:val="21"/>
              <w:lang w:val="en-US" w:eastAsia="zh-CN" w:bidi="ar-SA"/>
            </w:rPr>
            <w:fldChar w:fldCharType="begin"/>
          </w:r>
          <w:r>
            <w:rPr>
              <w:rFonts w:hint="eastAsia" w:ascii="宋体" w:hAnsi="宋体" w:eastAsia="宋体" w:cs="宋体"/>
              <w:kern w:val="2"/>
              <w:sz w:val="21"/>
              <w:szCs w:val="21"/>
              <w:lang w:val="en-US" w:eastAsia="zh-CN" w:bidi="ar-SA"/>
            </w:rPr>
            <w:instrText xml:space="preserve">TOC \o "1-1" \h \u </w:instrText>
          </w:r>
          <w:r>
            <w:rPr>
              <w:rFonts w:hint="eastAsia" w:ascii="宋体" w:hAnsi="宋体" w:eastAsia="宋体" w:cs="宋体"/>
              <w:kern w:val="2"/>
              <w:sz w:val="21"/>
              <w:szCs w:val="21"/>
              <w:lang w:val="en-US" w:eastAsia="zh-CN" w:bidi="ar-SA"/>
            </w:rPr>
            <w:fldChar w:fldCharType="separate"/>
          </w:r>
          <w:r>
            <w:rPr>
              <w:rFonts w:hint="eastAsia" w:ascii="宋体" w:hAnsi="宋体" w:eastAsia="宋体" w:cs="宋体"/>
              <w:kern w:val="2"/>
              <w:szCs w:val="21"/>
              <w:lang w:val="en-US" w:eastAsia="zh-CN" w:bidi="ar-SA"/>
            </w:rPr>
            <w:fldChar w:fldCharType="begin"/>
          </w:r>
          <w:r>
            <w:rPr>
              <w:rFonts w:hint="eastAsia" w:ascii="宋体" w:hAnsi="宋体" w:eastAsia="宋体" w:cs="宋体"/>
              <w:kern w:val="2"/>
              <w:szCs w:val="21"/>
              <w:lang w:val="en-US" w:eastAsia="zh-CN" w:bidi="ar-SA"/>
            </w:rPr>
            <w:instrText xml:space="preserve"> HYPERLINK \l _Toc31120 </w:instrText>
          </w:r>
          <w:r>
            <w:rPr>
              <w:rFonts w:hint="eastAsia" w:ascii="宋体" w:hAnsi="宋体" w:eastAsia="宋体" w:cs="宋体"/>
              <w:kern w:val="2"/>
              <w:szCs w:val="21"/>
              <w:lang w:val="en-US" w:eastAsia="zh-CN" w:bidi="ar-SA"/>
            </w:rPr>
            <w:fldChar w:fldCharType="separate"/>
          </w:r>
          <w:r>
            <w:rPr>
              <w:rFonts w:hint="eastAsia" w:ascii="宋体" w:hAnsi="宋体" w:eastAsia="宋体" w:cs="宋体"/>
              <w:szCs w:val="21"/>
              <w:lang w:val="en-US" w:eastAsia="zh-CN"/>
            </w:rPr>
            <w:t>前言</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_Toc31120 \h </w:instrText>
          </w:r>
          <w:r>
            <w:rPr>
              <w:rFonts w:hint="eastAsia" w:ascii="宋体" w:hAnsi="宋体" w:eastAsia="宋体" w:cs="宋体"/>
              <w:szCs w:val="21"/>
            </w:rPr>
            <w:fldChar w:fldCharType="separate"/>
          </w:r>
          <w:r>
            <w:rPr>
              <w:rFonts w:hint="eastAsia" w:ascii="宋体" w:hAnsi="宋体" w:eastAsia="宋体" w:cs="宋体"/>
              <w:szCs w:val="21"/>
            </w:rPr>
            <w:t>III</w:t>
          </w:r>
          <w:r>
            <w:rPr>
              <w:rFonts w:hint="eastAsia" w:ascii="宋体" w:hAnsi="宋体" w:eastAsia="宋体" w:cs="宋体"/>
              <w:szCs w:val="21"/>
            </w:rPr>
            <w:fldChar w:fldCharType="end"/>
          </w:r>
          <w:r>
            <w:rPr>
              <w:rFonts w:hint="eastAsia" w:ascii="宋体" w:hAnsi="宋体" w:eastAsia="宋体" w:cs="宋体"/>
              <w:kern w:val="2"/>
              <w:szCs w:val="21"/>
              <w:lang w:val="en-US" w:eastAsia="zh-CN" w:bidi="ar-SA"/>
            </w:rPr>
            <w:fldChar w:fldCharType="end"/>
          </w:r>
        </w:p>
        <w:p w14:paraId="503811E1">
          <w:pPr>
            <w:pStyle w:val="5"/>
            <w:tabs>
              <w:tab w:val="right" w:leader="dot" w:pos="9071"/>
            </w:tabs>
            <w:rPr>
              <w:rFonts w:hint="eastAsia" w:ascii="宋体" w:hAnsi="宋体" w:eastAsia="宋体" w:cs="宋体"/>
              <w:szCs w:val="21"/>
            </w:rPr>
          </w:pPr>
          <w:r>
            <w:rPr>
              <w:rFonts w:hint="eastAsia" w:ascii="宋体" w:hAnsi="宋体" w:eastAsia="宋体" w:cs="宋体"/>
              <w:kern w:val="2"/>
              <w:szCs w:val="21"/>
              <w:lang w:val="en-US" w:eastAsia="zh-CN" w:bidi="ar-SA"/>
            </w:rPr>
            <w:fldChar w:fldCharType="begin"/>
          </w:r>
          <w:r>
            <w:rPr>
              <w:rFonts w:hint="eastAsia" w:ascii="宋体" w:hAnsi="宋体" w:eastAsia="宋体" w:cs="宋体"/>
              <w:kern w:val="2"/>
              <w:szCs w:val="21"/>
              <w:lang w:val="en-US" w:eastAsia="zh-CN" w:bidi="ar-SA"/>
            </w:rPr>
            <w:instrText xml:space="preserve"> HYPERLINK \l _Toc26656 </w:instrText>
          </w:r>
          <w:r>
            <w:rPr>
              <w:rFonts w:hint="eastAsia" w:ascii="宋体" w:hAnsi="宋体" w:eastAsia="宋体" w:cs="宋体"/>
              <w:kern w:val="2"/>
              <w:szCs w:val="21"/>
              <w:lang w:val="en-US" w:eastAsia="zh-CN" w:bidi="ar-SA"/>
            </w:rPr>
            <w:fldChar w:fldCharType="separate"/>
          </w:r>
          <w:r>
            <w:rPr>
              <w:rFonts w:hint="eastAsia" w:ascii="宋体" w:hAnsi="宋体" w:eastAsia="宋体" w:cs="宋体"/>
              <w:i w:val="0"/>
              <w:szCs w:val="21"/>
            </w:rPr>
            <w:t xml:space="preserve">1 </w:t>
          </w:r>
          <w:r>
            <w:rPr>
              <w:rFonts w:hint="eastAsia" w:ascii="宋体" w:hAnsi="宋体" w:eastAsia="宋体" w:cs="宋体"/>
              <w:szCs w:val="21"/>
            </w:rPr>
            <w:t>范围</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_Toc26656 \h </w:instrText>
          </w:r>
          <w:r>
            <w:rPr>
              <w:rFonts w:hint="eastAsia" w:ascii="宋体" w:hAnsi="宋体" w:eastAsia="宋体" w:cs="宋体"/>
              <w:szCs w:val="21"/>
            </w:rPr>
            <w:fldChar w:fldCharType="separate"/>
          </w:r>
          <w:r>
            <w:rPr>
              <w:rFonts w:hint="eastAsia" w:ascii="宋体" w:hAnsi="宋体" w:eastAsia="宋体" w:cs="宋体"/>
              <w:szCs w:val="21"/>
            </w:rPr>
            <w:t>1</w:t>
          </w:r>
          <w:r>
            <w:rPr>
              <w:rFonts w:hint="eastAsia" w:ascii="宋体" w:hAnsi="宋体" w:eastAsia="宋体" w:cs="宋体"/>
              <w:szCs w:val="21"/>
            </w:rPr>
            <w:fldChar w:fldCharType="end"/>
          </w:r>
          <w:r>
            <w:rPr>
              <w:rFonts w:hint="eastAsia" w:ascii="宋体" w:hAnsi="宋体" w:eastAsia="宋体" w:cs="宋体"/>
              <w:kern w:val="2"/>
              <w:szCs w:val="21"/>
              <w:lang w:val="en-US" w:eastAsia="zh-CN" w:bidi="ar-SA"/>
            </w:rPr>
            <w:fldChar w:fldCharType="end"/>
          </w:r>
        </w:p>
        <w:p w14:paraId="661FDEE7">
          <w:pPr>
            <w:pStyle w:val="5"/>
            <w:tabs>
              <w:tab w:val="right" w:leader="dot" w:pos="9071"/>
            </w:tabs>
            <w:rPr>
              <w:rFonts w:hint="eastAsia" w:ascii="宋体" w:hAnsi="宋体" w:eastAsia="宋体" w:cs="宋体"/>
              <w:szCs w:val="21"/>
            </w:rPr>
          </w:pPr>
          <w:r>
            <w:rPr>
              <w:rFonts w:hint="eastAsia" w:ascii="宋体" w:hAnsi="宋体" w:eastAsia="宋体" w:cs="宋体"/>
              <w:kern w:val="2"/>
              <w:szCs w:val="21"/>
              <w:lang w:val="en-US" w:eastAsia="zh-CN" w:bidi="ar-SA"/>
            </w:rPr>
            <w:fldChar w:fldCharType="begin"/>
          </w:r>
          <w:r>
            <w:rPr>
              <w:rFonts w:hint="eastAsia" w:ascii="宋体" w:hAnsi="宋体" w:eastAsia="宋体" w:cs="宋体"/>
              <w:kern w:val="2"/>
              <w:szCs w:val="21"/>
              <w:lang w:val="en-US" w:eastAsia="zh-CN" w:bidi="ar-SA"/>
            </w:rPr>
            <w:instrText xml:space="preserve"> HYPERLINK \l _Toc5497 </w:instrText>
          </w:r>
          <w:r>
            <w:rPr>
              <w:rFonts w:hint="eastAsia" w:ascii="宋体" w:hAnsi="宋体" w:eastAsia="宋体" w:cs="宋体"/>
              <w:kern w:val="2"/>
              <w:szCs w:val="21"/>
              <w:lang w:val="en-US" w:eastAsia="zh-CN" w:bidi="ar-SA"/>
            </w:rPr>
            <w:fldChar w:fldCharType="separate"/>
          </w:r>
          <w:r>
            <w:rPr>
              <w:rFonts w:hint="eastAsia" w:ascii="宋体" w:hAnsi="宋体" w:eastAsia="宋体" w:cs="宋体"/>
              <w:i w:val="0"/>
              <w:szCs w:val="21"/>
            </w:rPr>
            <w:t xml:space="preserve">2 </w:t>
          </w:r>
          <w:r>
            <w:rPr>
              <w:rFonts w:hint="eastAsia" w:ascii="宋体" w:hAnsi="宋体" w:eastAsia="宋体" w:cs="宋体"/>
              <w:szCs w:val="21"/>
            </w:rPr>
            <w:t>规范性引用文件</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_Toc5497 \h </w:instrText>
          </w:r>
          <w:r>
            <w:rPr>
              <w:rFonts w:hint="eastAsia" w:ascii="宋体" w:hAnsi="宋体" w:eastAsia="宋体" w:cs="宋体"/>
              <w:szCs w:val="21"/>
            </w:rPr>
            <w:fldChar w:fldCharType="separate"/>
          </w:r>
          <w:r>
            <w:rPr>
              <w:rFonts w:hint="eastAsia" w:ascii="宋体" w:hAnsi="宋体" w:eastAsia="宋体" w:cs="宋体"/>
              <w:szCs w:val="21"/>
            </w:rPr>
            <w:t>1</w:t>
          </w:r>
          <w:r>
            <w:rPr>
              <w:rFonts w:hint="eastAsia" w:ascii="宋体" w:hAnsi="宋体" w:eastAsia="宋体" w:cs="宋体"/>
              <w:szCs w:val="21"/>
            </w:rPr>
            <w:fldChar w:fldCharType="end"/>
          </w:r>
          <w:r>
            <w:rPr>
              <w:rFonts w:hint="eastAsia" w:ascii="宋体" w:hAnsi="宋体" w:eastAsia="宋体" w:cs="宋体"/>
              <w:kern w:val="2"/>
              <w:szCs w:val="21"/>
              <w:lang w:val="en-US" w:eastAsia="zh-CN" w:bidi="ar-SA"/>
            </w:rPr>
            <w:fldChar w:fldCharType="end"/>
          </w:r>
        </w:p>
        <w:p w14:paraId="1DD49F11">
          <w:pPr>
            <w:pStyle w:val="5"/>
            <w:tabs>
              <w:tab w:val="right" w:leader="dot" w:pos="9071"/>
            </w:tabs>
            <w:rPr>
              <w:rFonts w:hint="eastAsia" w:ascii="宋体" w:hAnsi="宋体" w:eastAsia="宋体" w:cs="宋体"/>
              <w:szCs w:val="21"/>
            </w:rPr>
          </w:pPr>
          <w:r>
            <w:rPr>
              <w:rFonts w:hint="eastAsia" w:ascii="宋体" w:hAnsi="宋体" w:eastAsia="宋体" w:cs="宋体"/>
              <w:kern w:val="2"/>
              <w:szCs w:val="21"/>
              <w:lang w:val="en-US" w:eastAsia="zh-CN" w:bidi="ar-SA"/>
            </w:rPr>
            <w:fldChar w:fldCharType="begin"/>
          </w:r>
          <w:r>
            <w:rPr>
              <w:rFonts w:hint="eastAsia" w:ascii="宋体" w:hAnsi="宋体" w:eastAsia="宋体" w:cs="宋体"/>
              <w:kern w:val="2"/>
              <w:szCs w:val="21"/>
              <w:lang w:val="en-US" w:eastAsia="zh-CN" w:bidi="ar-SA"/>
            </w:rPr>
            <w:instrText xml:space="preserve"> HYPERLINK \l _Toc22396 </w:instrText>
          </w:r>
          <w:r>
            <w:rPr>
              <w:rFonts w:hint="eastAsia" w:ascii="宋体" w:hAnsi="宋体" w:eastAsia="宋体" w:cs="宋体"/>
              <w:kern w:val="2"/>
              <w:szCs w:val="21"/>
              <w:lang w:val="en-US" w:eastAsia="zh-CN" w:bidi="ar-SA"/>
            </w:rPr>
            <w:fldChar w:fldCharType="separate"/>
          </w:r>
          <w:r>
            <w:rPr>
              <w:rFonts w:hint="eastAsia" w:ascii="宋体" w:hAnsi="宋体" w:eastAsia="宋体" w:cs="宋体"/>
              <w:i w:val="0"/>
              <w:szCs w:val="21"/>
            </w:rPr>
            <w:t xml:space="preserve">3 </w:t>
          </w:r>
          <w:r>
            <w:rPr>
              <w:rFonts w:hint="eastAsia" w:ascii="宋体" w:hAnsi="宋体" w:eastAsia="宋体" w:cs="宋体"/>
              <w:szCs w:val="21"/>
            </w:rPr>
            <w:t>术语和定义</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_Toc22396 \h </w:instrText>
          </w:r>
          <w:r>
            <w:rPr>
              <w:rFonts w:hint="eastAsia" w:ascii="宋体" w:hAnsi="宋体" w:eastAsia="宋体" w:cs="宋体"/>
              <w:szCs w:val="21"/>
            </w:rPr>
            <w:fldChar w:fldCharType="separate"/>
          </w:r>
          <w:r>
            <w:rPr>
              <w:rFonts w:hint="eastAsia" w:ascii="宋体" w:hAnsi="宋体" w:eastAsia="宋体" w:cs="宋体"/>
              <w:szCs w:val="21"/>
            </w:rPr>
            <w:t>1</w:t>
          </w:r>
          <w:r>
            <w:rPr>
              <w:rFonts w:hint="eastAsia" w:ascii="宋体" w:hAnsi="宋体" w:eastAsia="宋体" w:cs="宋体"/>
              <w:szCs w:val="21"/>
            </w:rPr>
            <w:fldChar w:fldCharType="end"/>
          </w:r>
          <w:r>
            <w:rPr>
              <w:rFonts w:hint="eastAsia" w:ascii="宋体" w:hAnsi="宋体" w:eastAsia="宋体" w:cs="宋体"/>
              <w:kern w:val="2"/>
              <w:szCs w:val="21"/>
              <w:lang w:val="en-US" w:eastAsia="zh-CN" w:bidi="ar-SA"/>
            </w:rPr>
            <w:fldChar w:fldCharType="end"/>
          </w:r>
        </w:p>
        <w:p w14:paraId="25712752">
          <w:pPr>
            <w:pStyle w:val="5"/>
            <w:tabs>
              <w:tab w:val="right" w:leader="dot" w:pos="9071"/>
            </w:tabs>
            <w:rPr>
              <w:rFonts w:hint="eastAsia" w:ascii="宋体" w:hAnsi="宋体" w:eastAsia="宋体" w:cs="宋体"/>
              <w:szCs w:val="21"/>
            </w:rPr>
          </w:pPr>
          <w:r>
            <w:rPr>
              <w:rFonts w:hint="eastAsia" w:ascii="宋体" w:hAnsi="宋体" w:eastAsia="宋体" w:cs="宋体"/>
              <w:kern w:val="2"/>
              <w:szCs w:val="21"/>
              <w:lang w:val="en-US" w:eastAsia="zh-CN" w:bidi="ar-SA"/>
            </w:rPr>
            <w:fldChar w:fldCharType="begin"/>
          </w:r>
          <w:r>
            <w:rPr>
              <w:rFonts w:hint="eastAsia" w:ascii="宋体" w:hAnsi="宋体" w:eastAsia="宋体" w:cs="宋体"/>
              <w:kern w:val="2"/>
              <w:szCs w:val="21"/>
              <w:lang w:val="en-US" w:eastAsia="zh-CN" w:bidi="ar-SA"/>
            </w:rPr>
            <w:instrText xml:space="preserve"> HYPERLINK \l _Toc21437 </w:instrText>
          </w:r>
          <w:r>
            <w:rPr>
              <w:rFonts w:hint="eastAsia" w:ascii="宋体" w:hAnsi="宋体" w:eastAsia="宋体" w:cs="宋体"/>
              <w:kern w:val="2"/>
              <w:szCs w:val="21"/>
              <w:lang w:val="en-US" w:eastAsia="zh-CN" w:bidi="ar-SA"/>
            </w:rPr>
            <w:fldChar w:fldCharType="separate"/>
          </w:r>
          <w:r>
            <w:rPr>
              <w:rFonts w:hint="eastAsia" w:ascii="宋体" w:hAnsi="宋体" w:eastAsia="宋体" w:cs="宋体"/>
              <w:i w:val="0"/>
              <w:szCs w:val="21"/>
              <w:lang w:eastAsia="zh-CN"/>
            </w:rPr>
            <w:t xml:space="preserve">4 </w:t>
          </w:r>
          <w:r>
            <w:rPr>
              <w:rFonts w:hint="eastAsia" w:ascii="宋体" w:hAnsi="宋体" w:eastAsia="宋体" w:cs="宋体"/>
              <w:szCs w:val="21"/>
              <w:lang w:eastAsia="zh-CN"/>
            </w:rPr>
            <w:t>总体要求</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_Toc21437 \h </w:instrText>
          </w:r>
          <w:r>
            <w:rPr>
              <w:rFonts w:hint="eastAsia" w:ascii="宋体" w:hAnsi="宋体" w:eastAsia="宋体" w:cs="宋体"/>
              <w:szCs w:val="21"/>
            </w:rPr>
            <w:fldChar w:fldCharType="separate"/>
          </w:r>
          <w:r>
            <w:rPr>
              <w:rFonts w:hint="eastAsia" w:ascii="宋体" w:hAnsi="宋体" w:eastAsia="宋体" w:cs="宋体"/>
              <w:szCs w:val="21"/>
            </w:rPr>
            <w:t>1</w:t>
          </w:r>
          <w:r>
            <w:rPr>
              <w:rFonts w:hint="eastAsia" w:ascii="宋体" w:hAnsi="宋体" w:eastAsia="宋体" w:cs="宋体"/>
              <w:szCs w:val="21"/>
            </w:rPr>
            <w:fldChar w:fldCharType="end"/>
          </w:r>
          <w:r>
            <w:rPr>
              <w:rFonts w:hint="eastAsia" w:ascii="宋体" w:hAnsi="宋体" w:eastAsia="宋体" w:cs="宋体"/>
              <w:kern w:val="2"/>
              <w:szCs w:val="21"/>
              <w:lang w:val="en-US" w:eastAsia="zh-CN" w:bidi="ar-SA"/>
            </w:rPr>
            <w:fldChar w:fldCharType="end"/>
          </w:r>
        </w:p>
        <w:p w14:paraId="5DF9BD09">
          <w:pPr>
            <w:pStyle w:val="5"/>
            <w:tabs>
              <w:tab w:val="right" w:leader="dot" w:pos="9071"/>
            </w:tabs>
            <w:rPr>
              <w:rFonts w:hint="eastAsia" w:ascii="宋体" w:hAnsi="宋体" w:eastAsia="宋体" w:cs="宋体"/>
              <w:szCs w:val="21"/>
            </w:rPr>
          </w:pPr>
          <w:r>
            <w:rPr>
              <w:rFonts w:hint="eastAsia" w:ascii="宋体" w:hAnsi="宋体" w:eastAsia="宋体" w:cs="宋体"/>
              <w:kern w:val="2"/>
              <w:szCs w:val="21"/>
              <w:lang w:val="en-US" w:eastAsia="zh-CN" w:bidi="ar-SA"/>
            </w:rPr>
            <w:fldChar w:fldCharType="begin"/>
          </w:r>
          <w:r>
            <w:rPr>
              <w:rFonts w:hint="eastAsia" w:ascii="宋体" w:hAnsi="宋体" w:eastAsia="宋体" w:cs="宋体"/>
              <w:kern w:val="2"/>
              <w:szCs w:val="21"/>
              <w:lang w:val="en-US" w:eastAsia="zh-CN" w:bidi="ar-SA"/>
            </w:rPr>
            <w:instrText xml:space="preserve"> HYPERLINK \l _Toc30417 </w:instrText>
          </w:r>
          <w:r>
            <w:rPr>
              <w:rFonts w:hint="eastAsia" w:ascii="宋体" w:hAnsi="宋体" w:eastAsia="宋体" w:cs="宋体"/>
              <w:kern w:val="2"/>
              <w:szCs w:val="21"/>
              <w:lang w:val="en-US" w:eastAsia="zh-CN" w:bidi="ar-SA"/>
            </w:rPr>
            <w:fldChar w:fldCharType="separate"/>
          </w:r>
          <w:r>
            <w:rPr>
              <w:rFonts w:hint="eastAsia" w:ascii="宋体" w:hAnsi="宋体" w:eastAsia="宋体" w:cs="宋体"/>
              <w:i w:val="0"/>
              <w:szCs w:val="21"/>
              <w:lang w:eastAsia="zh-CN"/>
            </w:rPr>
            <w:t xml:space="preserve">5 </w:t>
          </w:r>
          <w:r>
            <w:rPr>
              <w:rFonts w:hint="eastAsia" w:ascii="宋体" w:hAnsi="宋体" w:eastAsia="宋体" w:cs="宋体"/>
              <w:szCs w:val="21"/>
              <w:lang w:eastAsia="zh-CN"/>
            </w:rPr>
            <w:t>评</w:t>
          </w:r>
          <w:r>
            <w:rPr>
              <w:rFonts w:hint="eastAsia" w:ascii="宋体" w:hAnsi="宋体" w:eastAsia="宋体" w:cs="宋体"/>
              <w:szCs w:val="21"/>
              <w:lang w:val="en-US" w:eastAsia="zh-CN"/>
            </w:rPr>
            <w:t>价内容</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_Toc30417 \h </w:instrText>
          </w:r>
          <w:r>
            <w:rPr>
              <w:rFonts w:hint="eastAsia" w:ascii="宋体" w:hAnsi="宋体" w:eastAsia="宋体" w:cs="宋体"/>
              <w:szCs w:val="21"/>
            </w:rPr>
            <w:fldChar w:fldCharType="separate"/>
          </w:r>
          <w:r>
            <w:rPr>
              <w:rFonts w:hint="eastAsia" w:ascii="宋体" w:hAnsi="宋体" w:eastAsia="宋体" w:cs="宋体"/>
              <w:szCs w:val="21"/>
            </w:rPr>
            <w:t>2</w:t>
          </w:r>
          <w:r>
            <w:rPr>
              <w:rFonts w:hint="eastAsia" w:ascii="宋体" w:hAnsi="宋体" w:eastAsia="宋体" w:cs="宋体"/>
              <w:szCs w:val="21"/>
            </w:rPr>
            <w:fldChar w:fldCharType="end"/>
          </w:r>
          <w:r>
            <w:rPr>
              <w:rFonts w:hint="eastAsia" w:ascii="宋体" w:hAnsi="宋体" w:eastAsia="宋体" w:cs="宋体"/>
              <w:kern w:val="2"/>
              <w:szCs w:val="21"/>
              <w:lang w:val="en-US" w:eastAsia="zh-CN" w:bidi="ar-SA"/>
            </w:rPr>
            <w:fldChar w:fldCharType="end"/>
          </w:r>
        </w:p>
        <w:p w14:paraId="1435753E">
          <w:pPr>
            <w:pStyle w:val="5"/>
            <w:tabs>
              <w:tab w:val="right" w:leader="dot" w:pos="9071"/>
            </w:tabs>
            <w:rPr>
              <w:rFonts w:hint="eastAsia" w:ascii="宋体" w:hAnsi="宋体" w:eastAsia="宋体" w:cs="宋体"/>
              <w:szCs w:val="21"/>
            </w:rPr>
          </w:pPr>
          <w:r>
            <w:rPr>
              <w:rFonts w:hint="eastAsia" w:ascii="宋体" w:hAnsi="宋体" w:eastAsia="宋体" w:cs="宋体"/>
              <w:kern w:val="2"/>
              <w:szCs w:val="21"/>
              <w:lang w:val="en-US" w:eastAsia="zh-CN" w:bidi="ar-SA"/>
            </w:rPr>
            <w:fldChar w:fldCharType="begin"/>
          </w:r>
          <w:r>
            <w:rPr>
              <w:rFonts w:hint="eastAsia" w:ascii="宋体" w:hAnsi="宋体" w:eastAsia="宋体" w:cs="宋体"/>
              <w:kern w:val="2"/>
              <w:szCs w:val="21"/>
              <w:lang w:val="en-US" w:eastAsia="zh-CN" w:bidi="ar-SA"/>
            </w:rPr>
            <w:instrText xml:space="preserve"> HYPERLINK \l _Toc27131 </w:instrText>
          </w:r>
          <w:r>
            <w:rPr>
              <w:rFonts w:hint="eastAsia" w:ascii="宋体" w:hAnsi="宋体" w:eastAsia="宋体" w:cs="宋体"/>
              <w:kern w:val="2"/>
              <w:szCs w:val="21"/>
              <w:lang w:val="en-US" w:eastAsia="zh-CN" w:bidi="ar-SA"/>
            </w:rPr>
            <w:fldChar w:fldCharType="separate"/>
          </w:r>
          <w:r>
            <w:rPr>
              <w:rFonts w:hint="eastAsia" w:ascii="宋体" w:hAnsi="宋体" w:eastAsia="宋体" w:cs="宋体"/>
              <w:i w:val="0"/>
              <w:szCs w:val="21"/>
              <w:lang w:val="en-US" w:eastAsia="zh-CN" w:bidi="ar-SA"/>
            </w:rPr>
            <w:t xml:space="preserve">6 </w:t>
          </w:r>
          <w:r>
            <w:rPr>
              <w:rFonts w:hint="eastAsia" w:ascii="宋体" w:hAnsi="宋体" w:eastAsia="宋体" w:cs="宋体"/>
              <w:szCs w:val="21"/>
              <w:lang w:val="en-US" w:eastAsia="zh-CN" w:bidi="ar-SA"/>
            </w:rPr>
            <w:t>指数计算</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_Toc27131 \h </w:instrText>
          </w:r>
          <w:r>
            <w:rPr>
              <w:rFonts w:hint="eastAsia" w:ascii="宋体" w:hAnsi="宋体" w:eastAsia="宋体" w:cs="宋体"/>
              <w:szCs w:val="21"/>
            </w:rPr>
            <w:fldChar w:fldCharType="separate"/>
          </w:r>
          <w:r>
            <w:rPr>
              <w:rFonts w:hint="eastAsia" w:ascii="宋体" w:hAnsi="宋体" w:eastAsia="宋体" w:cs="宋体"/>
              <w:szCs w:val="21"/>
            </w:rPr>
            <w:t>5</w:t>
          </w:r>
          <w:r>
            <w:rPr>
              <w:rFonts w:hint="eastAsia" w:ascii="宋体" w:hAnsi="宋体" w:eastAsia="宋体" w:cs="宋体"/>
              <w:szCs w:val="21"/>
            </w:rPr>
            <w:fldChar w:fldCharType="end"/>
          </w:r>
          <w:r>
            <w:rPr>
              <w:rFonts w:hint="eastAsia" w:ascii="宋体" w:hAnsi="宋体" w:eastAsia="宋体" w:cs="宋体"/>
              <w:kern w:val="2"/>
              <w:szCs w:val="21"/>
              <w:lang w:val="en-US" w:eastAsia="zh-CN" w:bidi="ar-SA"/>
            </w:rPr>
            <w:fldChar w:fldCharType="end"/>
          </w:r>
        </w:p>
        <w:p w14:paraId="52072407">
          <w:pPr>
            <w:pStyle w:val="5"/>
            <w:tabs>
              <w:tab w:val="right" w:leader="dot" w:pos="9071"/>
            </w:tabs>
            <w:rPr>
              <w:rFonts w:hint="eastAsia" w:ascii="宋体" w:hAnsi="宋体" w:eastAsia="宋体" w:cs="宋体"/>
              <w:szCs w:val="21"/>
            </w:rPr>
          </w:pPr>
          <w:r>
            <w:rPr>
              <w:rFonts w:hint="eastAsia" w:ascii="宋体" w:hAnsi="宋体" w:eastAsia="宋体" w:cs="宋体"/>
              <w:kern w:val="2"/>
              <w:szCs w:val="21"/>
              <w:lang w:val="en-US" w:eastAsia="zh-CN" w:bidi="ar-SA"/>
            </w:rPr>
            <w:fldChar w:fldCharType="begin"/>
          </w:r>
          <w:r>
            <w:rPr>
              <w:rFonts w:hint="eastAsia" w:ascii="宋体" w:hAnsi="宋体" w:eastAsia="宋体" w:cs="宋体"/>
              <w:kern w:val="2"/>
              <w:szCs w:val="21"/>
              <w:lang w:val="en-US" w:eastAsia="zh-CN" w:bidi="ar-SA"/>
            </w:rPr>
            <w:instrText xml:space="preserve"> HYPERLINK \l _Toc20344 </w:instrText>
          </w:r>
          <w:r>
            <w:rPr>
              <w:rFonts w:hint="eastAsia" w:ascii="宋体" w:hAnsi="宋体" w:eastAsia="宋体" w:cs="宋体"/>
              <w:kern w:val="2"/>
              <w:szCs w:val="21"/>
              <w:lang w:val="en-US" w:eastAsia="zh-CN" w:bidi="ar-SA"/>
            </w:rPr>
            <w:fldChar w:fldCharType="separate"/>
          </w:r>
          <w:r>
            <w:rPr>
              <w:rFonts w:hint="eastAsia" w:ascii="宋体" w:hAnsi="宋体" w:eastAsia="宋体" w:cs="宋体"/>
              <w:i w:val="0"/>
              <w:szCs w:val="21"/>
            </w:rPr>
            <w:t xml:space="preserve">7 </w:t>
          </w:r>
          <w:r>
            <w:rPr>
              <w:rFonts w:hint="eastAsia" w:ascii="宋体" w:hAnsi="宋体" w:eastAsia="宋体" w:cs="宋体"/>
              <w:szCs w:val="21"/>
              <w:lang w:val="en-US" w:eastAsia="zh-CN"/>
            </w:rPr>
            <w:t>结果评定</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_Toc20344 \h </w:instrText>
          </w:r>
          <w:r>
            <w:rPr>
              <w:rFonts w:hint="eastAsia" w:ascii="宋体" w:hAnsi="宋体" w:eastAsia="宋体" w:cs="宋体"/>
              <w:szCs w:val="21"/>
            </w:rPr>
            <w:fldChar w:fldCharType="separate"/>
          </w:r>
          <w:r>
            <w:rPr>
              <w:rFonts w:hint="eastAsia" w:ascii="宋体" w:hAnsi="宋体" w:eastAsia="宋体" w:cs="宋体"/>
              <w:szCs w:val="21"/>
            </w:rPr>
            <w:t>5</w:t>
          </w:r>
          <w:r>
            <w:rPr>
              <w:rFonts w:hint="eastAsia" w:ascii="宋体" w:hAnsi="宋体" w:eastAsia="宋体" w:cs="宋体"/>
              <w:szCs w:val="21"/>
            </w:rPr>
            <w:fldChar w:fldCharType="end"/>
          </w:r>
          <w:r>
            <w:rPr>
              <w:rFonts w:hint="eastAsia" w:ascii="宋体" w:hAnsi="宋体" w:eastAsia="宋体" w:cs="宋体"/>
              <w:kern w:val="2"/>
              <w:szCs w:val="21"/>
              <w:lang w:val="en-US" w:eastAsia="zh-CN" w:bidi="ar-SA"/>
            </w:rPr>
            <w:fldChar w:fldCharType="end"/>
          </w:r>
        </w:p>
        <w:p w14:paraId="4C55F30D">
          <w:pPr>
            <w:pStyle w:val="5"/>
            <w:tabs>
              <w:tab w:val="right" w:leader="dot" w:pos="9071"/>
            </w:tabs>
            <w:rPr>
              <w:rFonts w:hint="eastAsia" w:ascii="宋体" w:hAnsi="宋体" w:eastAsia="宋体" w:cs="宋体"/>
              <w:szCs w:val="21"/>
            </w:rPr>
          </w:pPr>
          <w:r>
            <w:rPr>
              <w:rFonts w:hint="eastAsia" w:ascii="宋体" w:hAnsi="宋体" w:eastAsia="宋体" w:cs="宋体"/>
              <w:kern w:val="2"/>
              <w:szCs w:val="21"/>
              <w:lang w:val="en-US" w:eastAsia="zh-CN" w:bidi="ar-SA"/>
            </w:rPr>
            <w:fldChar w:fldCharType="begin"/>
          </w:r>
          <w:r>
            <w:rPr>
              <w:rFonts w:hint="eastAsia" w:ascii="宋体" w:hAnsi="宋体" w:eastAsia="宋体" w:cs="宋体"/>
              <w:kern w:val="2"/>
              <w:szCs w:val="21"/>
              <w:lang w:val="en-US" w:eastAsia="zh-CN" w:bidi="ar-SA"/>
            </w:rPr>
            <w:instrText xml:space="preserve"> HYPERLINK \l _Toc9604 </w:instrText>
          </w:r>
          <w:r>
            <w:rPr>
              <w:rFonts w:hint="eastAsia" w:ascii="宋体" w:hAnsi="宋体" w:eastAsia="宋体" w:cs="宋体"/>
              <w:kern w:val="2"/>
              <w:szCs w:val="21"/>
              <w:lang w:val="en-US" w:eastAsia="zh-CN" w:bidi="ar-SA"/>
            </w:rPr>
            <w:fldChar w:fldCharType="separate"/>
          </w:r>
          <w:r>
            <w:rPr>
              <w:rFonts w:hint="eastAsia" w:ascii="宋体" w:hAnsi="宋体" w:eastAsia="宋体" w:cs="宋体"/>
              <w:i w:val="0"/>
              <w:spacing w:val="0"/>
              <w:w w:val="100"/>
              <w:szCs w:val="21"/>
            </w:rPr>
            <w:t>附录A</w:t>
          </w:r>
          <w:r>
            <w:rPr>
              <w:rFonts w:hint="eastAsia" w:ascii="宋体" w:hAnsi="宋体" w:eastAsia="宋体" w:cs="宋体"/>
              <w:szCs w:val="21"/>
              <w:lang w:eastAsia="zh-CN"/>
            </w:rPr>
            <w:t xml:space="preserve">（资料性） </w:t>
          </w:r>
          <w:r>
            <w:rPr>
              <w:rFonts w:hint="eastAsia" w:ascii="宋体" w:hAnsi="宋体" w:eastAsia="宋体" w:cs="宋体"/>
              <w:szCs w:val="21"/>
              <w:lang w:val="en-US" w:eastAsia="zh-CN"/>
            </w:rPr>
            <w:t>适用行业名称及行业代码</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_Toc9604 \h </w:instrText>
          </w:r>
          <w:r>
            <w:rPr>
              <w:rFonts w:hint="eastAsia" w:ascii="宋体" w:hAnsi="宋体" w:eastAsia="宋体" w:cs="宋体"/>
              <w:szCs w:val="21"/>
            </w:rPr>
            <w:fldChar w:fldCharType="separate"/>
          </w:r>
          <w:r>
            <w:rPr>
              <w:rFonts w:hint="eastAsia" w:ascii="宋体" w:hAnsi="宋体" w:eastAsia="宋体" w:cs="宋体"/>
              <w:szCs w:val="21"/>
            </w:rPr>
            <w:t>7</w:t>
          </w:r>
          <w:r>
            <w:rPr>
              <w:rFonts w:hint="eastAsia" w:ascii="宋体" w:hAnsi="宋体" w:eastAsia="宋体" w:cs="宋体"/>
              <w:szCs w:val="21"/>
            </w:rPr>
            <w:fldChar w:fldCharType="end"/>
          </w:r>
          <w:r>
            <w:rPr>
              <w:rFonts w:hint="eastAsia" w:ascii="宋体" w:hAnsi="宋体" w:eastAsia="宋体" w:cs="宋体"/>
              <w:kern w:val="2"/>
              <w:szCs w:val="21"/>
              <w:lang w:val="en-US" w:eastAsia="zh-CN" w:bidi="ar-SA"/>
            </w:rPr>
            <w:fldChar w:fldCharType="end"/>
          </w:r>
        </w:p>
        <w:p w14:paraId="631E2BCF">
          <w:pPr>
            <w:pStyle w:val="5"/>
            <w:tabs>
              <w:tab w:val="right" w:leader="dot" w:pos="9071"/>
            </w:tabs>
            <w:rPr>
              <w:rFonts w:hint="eastAsia" w:ascii="宋体" w:hAnsi="宋体" w:eastAsia="宋体" w:cs="宋体"/>
              <w:szCs w:val="21"/>
            </w:rPr>
          </w:pPr>
          <w:r>
            <w:rPr>
              <w:rFonts w:hint="eastAsia" w:ascii="宋体" w:hAnsi="宋体" w:eastAsia="宋体" w:cs="宋体"/>
              <w:kern w:val="2"/>
              <w:szCs w:val="21"/>
              <w:lang w:val="en-US" w:eastAsia="zh-CN" w:bidi="ar-SA"/>
            </w:rPr>
            <w:fldChar w:fldCharType="begin"/>
          </w:r>
          <w:r>
            <w:rPr>
              <w:rFonts w:hint="eastAsia" w:ascii="宋体" w:hAnsi="宋体" w:eastAsia="宋体" w:cs="宋体"/>
              <w:kern w:val="2"/>
              <w:szCs w:val="21"/>
              <w:lang w:val="en-US" w:eastAsia="zh-CN" w:bidi="ar-SA"/>
            </w:rPr>
            <w:instrText xml:space="preserve"> HYPERLINK \l _Toc1418 </w:instrText>
          </w:r>
          <w:r>
            <w:rPr>
              <w:rFonts w:hint="eastAsia" w:ascii="宋体" w:hAnsi="宋体" w:eastAsia="宋体" w:cs="宋体"/>
              <w:kern w:val="2"/>
              <w:szCs w:val="21"/>
              <w:lang w:val="en-US" w:eastAsia="zh-CN" w:bidi="ar-SA"/>
            </w:rPr>
            <w:fldChar w:fldCharType="separate"/>
          </w:r>
          <w:r>
            <w:rPr>
              <w:rFonts w:hint="eastAsia" w:ascii="宋体" w:hAnsi="宋体" w:eastAsia="宋体" w:cs="宋体"/>
              <w:spacing w:val="0"/>
              <w:szCs w:val="21"/>
              <w:lang w:eastAsia="zh-CN"/>
            </w:rPr>
            <w:t>参考文献</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_Toc1418 \h </w:instrText>
          </w:r>
          <w:r>
            <w:rPr>
              <w:rFonts w:hint="eastAsia" w:ascii="宋体" w:hAnsi="宋体" w:eastAsia="宋体" w:cs="宋体"/>
              <w:szCs w:val="21"/>
            </w:rPr>
            <w:fldChar w:fldCharType="separate"/>
          </w:r>
          <w:r>
            <w:rPr>
              <w:rFonts w:hint="eastAsia" w:ascii="宋体" w:hAnsi="宋体" w:eastAsia="宋体" w:cs="宋体"/>
              <w:szCs w:val="21"/>
            </w:rPr>
            <w:t>9</w:t>
          </w:r>
          <w:r>
            <w:rPr>
              <w:rFonts w:hint="eastAsia" w:ascii="宋体" w:hAnsi="宋体" w:eastAsia="宋体" w:cs="宋体"/>
              <w:szCs w:val="21"/>
            </w:rPr>
            <w:fldChar w:fldCharType="end"/>
          </w:r>
          <w:r>
            <w:rPr>
              <w:rFonts w:hint="eastAsia" w:ascii="宋体" w:hAnsi="宋体" w:eastAsia="宋体" w:cs="宋体"/>
              <w:kern w:val="2"/>
              <w:szCs w:val="21"/>
              <w:lang w:val="en-US" w:eastAsia="zh-CN" w:bidi="ar-SA"/>
            </w:rPr>
            <w:fldChar w:fldCharType="end"/>
          </w:r>
        </w:p>
        <w:p w14:paraId="4052EDB3">
          <w:pPr>
            <w:pStyle w:val="5"/>
            <w:tabs>
              <w:tab w:val="right" w:leader="dot" w:pos="9071"/>
            </w:tabs>
            <w:rPr>
              <w:rFonts w:hint="eastAsia" w:ascii="宋体" w:hAnsi="宋体" w:eastAsia="宋体" w:cs="宋体"/>
              <w:kern w:val="2"/>
              <w:sz w:val="21"/>
              <w:szCs w:val="21"/>
              <w:lang w:val="en-US" w:eastAsia="zh-CN" w:bidi="ar-SA"/>
            </w:rPr>
          </w:pPr>
          <w:r>
            <w:rPr>
              <w:rFonts w:hint="eastAsia" w:ascii="宋体" w:hAnsi="宋体" w:eastAsia="宋体" w:cs="宋体"/>
              <w:kern w:val="2"/>
              <w:szCs w:val="21"/>
              <w:lang w:val="en-US" w:eastAsia="zh-CN" w:bidi="ar-SA"/>
            </w:rPr>
            <w:fldChar w:fldCharType="end"/>
          </w:r>
        </w:p>
      </w:sdtContent>
    </w:sdt>
    <w:p w14:paraId="51853C04">
      <w:pPr>
        <w:pStyle w:val="5"/>
        <w:tabs>
          <w:tab w:val="right" w:leader="dot" w:pos="9071"/>
        </w:tabs>
        <w:rPr>
          <w:rFonts w:hint="eastAsia" w:ascii="宋体" w:hAnsi="宋体" w:eastAsia="宋体" w:cs="宋体"/>
          <w:kern w:val="2"/>
          <w:sz w:val="21"/>
          <w:szCs w:val="21"/>
          <w:lang w:val="en-US" w:eastAsia="zh-CN" w:bidi="ar-SA"/>
        </w:rPr>
        <w:sectPr>
          <w:pgSz w:w="11905" w:h="16838"/>
          <w:pgMar w:top="1417" w:right="1417" w:bottom="1134" w:left="1417" w:header="1417" w:footer="1134" w:gutter="0"/>
          <w:pgBorders>
            <w:top w:val="none" w:sz="0" w:space="0"/>
            <w:left w:val="none" w:sz="0" w:space="0"/>
            <w:bottom w:val="none" w:sz="0" w:space="0"/>
            <w:right w:val="none" w:sz="0" w:space="0"/>
          </w:pgBorders>
          <w:pgNumType w:fmt="upperRoman"/>
          <w:cols w:space="0" w:num="1"/>
          <w:docGrid w:linePitch="312" w:charSpace="0"/>
        </w:sectPr>
      </w:pPr>
    </w:p>
    <w:p w14:paraId="4875B190">
      <w:pPr>
        <w:pStyle w:val="14"/>
        <w:keepLines w:val="0"/>
        <w:kinsoku/>
        <w:wordWrap/>
        <w:overflowPunct/>
        <w:topLinePunct w:val="0"/>
        <w:bidi w:val="0"/>
        <w:spacing w:line="240" w:lineRule="auto"/>
        <w:rPr>
          <w:rFonts w:hint="eastAsia" w:hAnsi="黑体" w:cs="Arial"/>
          <w:lang w:val="en-US" w:eastAsia="zh-CN"/>
        </w:rPr>
      </w:pPr>
      <w:bookmarkStart w:id="1" w:name="_Toc31120"/>
      <w:bookmarkStart w:id="2" w:name="_Toc13110"/>
      <w:bookmarkStart w:id="3" w:name="_Toc17707"/>
      <w:r>
        <w:rPr>
          <w:rFonts w:hint="eastAsia" w:hAnsi="黑体" w:cs="Arial"/>
          <w:lang w:val="en-US" w:eastAsia="zh-CN"/>
        </w:rPr>
        <w:t>前    言</w:t>
      </w:r>
      <w:bookmarkEnd w:id="1"/>
      <w:bookmarkEnd w:id="2"/>
      <w:bookmarkEnd w:id="3"/>
    </w:p>
    <w:p w14:paraId="6629AA5E">
      <w:pPr>
        <w:ind w:firstLine="420" w:firstLineChars="200"/>
        <w:rPr>
          <w:rFonts w:hint="eastAsia" w:ascii="宋体" w:hAnsi="宋体" w:eastAsia="宋体" w:cs="宋体"/>
          <w:szCs w:val="21"/>
        </w:rPr>
      </w:pPr>
      <w:r>
        <w:rPr>
          <w:rFonts w:hint="eastAsia" w:ascii="宋体" w:hAnsi="宋体" w:eastAsia="宋体" w:cs="宋体"/>
          <w:szCs w:val="21"/>
        </w:rPr>
        <w:t>本文件按照GB/T 1.1—2020《标准化工作导则  第1部分：标准化文件的结构和起草规则》的规定起草。</w:t>
      </w:r>
    </w:p>
    <w:p w14:paraId="6779B5CF">
      <w:pPr>
        <w:autoSpaceDE w:val="0"/>
        <w:autoSpaceDN w:val="0"/>
        <w:adjustRightInd w:val="0"/>
        <w:ind w:firstLine="420" w:firstLineChars="200"/>
        <w:rPr>
          <w:rFonts w:hint="eastAsia" w:ascii="宋体" w:hAnsi="宋体" w:eastAsia="宋体" w:cs="宋体"/>
          <w:kern w:val="0"/>
          <w:szCs w:val="21"/>
        </w:rPr>
      </w:pPr>
      <w:r>
        <w:rPr>
          <w:rFonts w:hint="eastAsia" w:ascii="宋体" w:hAnsi="宋体" w:eastAsia="宋体" w:cs="宋体"/>
          <w:kern w:val="0"/>
          <w:szCs w:val="21"/>
        </w:rPr>
        <w:t>请注意本文件的某些内容可能涉及专利。本文件的发布机构不承担识别专利的责任。</w:t>
      </w:r>
    </w:p>
    <w:p w14:paraId="38483C99">
      <w:pPr>
        <w:keepLines w:val="0"/>
        <w:kinsoku/>
        <w:wordWrap/>
        <w:overflowPunct/>
        <w:topLinePunct w:val="0"/>
        <w:bidi w:val="0"/>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本文件由中国节能协会</w:t>
      </w:r>
      <w:r>
        <w:rPr>
          <w:rFonts w:hint="eastAsia" w:ascii="宋体" w:hAnsi="宋体" w:eastAsia="宋体" w:cs="宋体"/>
          <w:szCs w:val="21"/>
          <w:lang w:val="en-US" w:eastAsia="zh-CN"/>
        </w:rPr>
        <w:t>提出并</w:t>
      </w:r>
      <w:r>
        <w:rPr>
          <w:rFonts w:hint="eastAsia" w:ascii="宋体" w:hAnsi="宋体" w:eastAsia="宋体" w:cs="宋体"/>
          <w:szCs w:val="21"/>
        </w:rPr>
        <w:t>归口。</w:t>
      </w:r>
    </w:p>
    <w:p w14:paraId="21932DF2">
      <w:pPr>
        <w:autoSpaceDE w:val="0"/>
        <w:autoSpaceDN w:val="0"/>
        <w:adjustRightInd w:val="0"/>
        <w:ind w:firstLine="420" w:firstLineChars="200"/>
        <w:rPr>
          <w:rFonts w:hint="eastAsia" w:ascii="宋体" w:hAnsi="宋体" w:eastAsia="宋体" w:cs="宋体"/>
          <w:kern w:val="0"/>
          <w:szCs w:val="21"/>
        </w:rPr>
      </w:pPr>
      <w:r>
        <w:rPr>
          <w:rFonts w:hint="eastAsia" w:ascii="宋体" w:hAnsi="宋体" w:eastAsia="宋体" w:cs="宋体"/>
          <w:kern w:val="0"/>
          <w:szCs w:val="21"/>
        </w:rPr>
        <w:t>本文件起草单位：</w:t>
      </w:r>
      <w:bookmarkStart w:id="65" w:name="_GoBack"/>
      <w:bookmarkEnd w:id="65"/>
      <w:r>
        <w:rPr>
          <w:rFonts w:hint="eastAsia" w:ascii="宋体" w:hAnsi="宋体" w:eastAsia="宋体" w:cs="宋体"/>
          <w:kern w:val="0"/>
          <w:szCs w:val="21"/>
        </w:rPr>
        <w:t>华北电力大学国网江西省电力有限公司经济技术研究院、华北电力大学、北京新源智慧互联科技有限公司。</w:t>
      </w:r>
    </w:p>
    <w:p w14:paraId="265657E2">
      <w:pPr>
        <w:ind w:firstLine="420" w:firstLineChars="200"/>
        <w:rPr>
          <w:rFonts w:hint="eastAsia" w:ascii="宋体" w:hAnsi="宋体" w:eastAsia="宋体" w:cs="宋体"/>
          <w:szCs w:val="21"/>
        </w:rPr>
      </w:pPr>
      <w:r>
        <w:rPr>
          <w:rFonts w:hint="eastAsia" w:ascii="宋体" w:hAnsi="宋体" w:eastAsia="宋体" w:cs="宋体"/>
          <w:szCs w:val="21"/>
        </w:rPr>
        <w:t>本文件主要起草人：XXXX。</w:t>
      </w:r>
    </w:p>
    <w:p w14:paraId="59765111">
      <w:pPr>
        <w:ind w:firstLine="420" w:firstLineChars="200"/>
        <w:rPr>
          <w:rFonts w:hint="eastAsia" w:ascii="宋体" w:hAnsi="宋体" w:eastAsia="宋体" w:cs="宋体"/>
        </w:rPr>
        <w:sectPr>
          <w:headerReference r:id="rId11" w:type="first"/>
          <w:footerReference r:id="rId13" w:type="first"/>
          <w:headerReference r:id="rId10" w:type="default"/>
          <w:footerReference r:id="rId12" w:type="default"/>
          <w:pgSz w:w="11905" w:h="16838"/>
          <w:pgMar w:top="1417" w:right="1417" w:bottom="1134" w:left="1134" w:header="1417" w:footer="1134" w:gutter="0"/>
          <w:pgBorders>
            <w:top w:val="none" w:sz="0" w:space="0"/>
            <w:left w:val="none" w:sz="0" w:space="0"/>
            <w:bottom w:val="none" w:sz="0" w:space="0"/>
            <w:right w:val="none" w:sz="0" w:space="0"/>
          </w:pgBorders>
          <w:pgNumType w:fmt="upperRoman"/>
          <w:cols w:space="0" w:num="1"/>
          <w:titlePg/>
          <w:docGrid w:linePitch="312" w:charSpace="0"/>
        </w:sectPr>
      </w:pPr>
      <w:r>
        <w:rPr>
          <w:rFonts w:hint="eastAsia" w:ascii="宋体" w:hAnsi="宋体" w:eastAsia="宋体" w:cs="宋体"/>
          <w:szCs w:val="21"/>
        </w:rPr>
        <w:t>本文件为首次发布。</w:t>
      </w:r>
    </w:p>
    <w:p w14:paraId="2B10DC75">
      <w:pPr>
        <w:ind w:firstLine="420" w:firstLineChars="200"/>
        <w:rPr>
          <w:rFonts w:hint="eastAsia" w:ascii="宋体" w:hAnsi="宋体" w:eastAsia="宋体" w:cs="宋体"/>
          <w:szCs w:val="21"/>
        </w:rPr>
      </w:pPr>
    </w:p>
    <w:p w14:paraId="40E641D5">
      <w:pPr>
        <w:spacing w:before="0" w:after="0" w:line="240" w:lineRule="auto"/>
        <w:ind w:firstLine="420" w:firstLineChars="200"/>
        <w:outlineLvl w:val="9"/>
        <w:rPr>
          <w:rFonts w:hint="eastAsia" w:ascii="宋体" w:hAnsi="宋体" w:eastAsia="宋体" w:cs="宋体"/>
        </w:rPr>
        <w:sectPr>
          <w:type w:val="continuous"/>
          <w:pgSz w:w="11905" w:h="16838"/>
          <w:pgMar w:top="1417" w:right="1417" w:bottom="1134" w:left="1417" w:header="1417" w:footer="1134" w:gutter="0"/>
          <w:pgBorders>
            <w:top w:val="none" w:sz="0" w:space="0"/>
            <w:left w:val="none" w:sz="0" w:space="0"/>
            <w:bottom w:val="none" w:sz="0" w:space="0"/>
            <w:right w:val="none" w:sz="0" w:space="0"/>
          </w:pgBorders>
          <w:pgNumType w:fmt="upperRoman"/>
          <w:cols w:space="0" w:num="1"/>
          <w:titlePg/>
          <w:docGrid w:linePitch="312" w:charSpace="0"/>
        </w:sectPr>
      </w:pPr>
    </w:p>
    <w:p w14:paraId="58FA81F3">
      <w:pPr>
        <w:spacing w:line="20" w:lineRule="exact"/>
        <w:jc w:val="center"/>
        <w:rPr>
          <w:rFonts w:hint="eastAsia" w:ascii="黑体" w:hAnsi="黑体" w:eastAsia="黑体"/>
          <w:sz w:val="32"/>
          <w:szCs w:val="32"/>
        </w:rPr>
      </w:pPr>
      <w:bookmarkStart w:id="4" w:name="_Toc21459"/>
      <w:bookmarkStart w:id="5" w:name="_Toc207832813"/>
      <w:bookmarkStart w:id="6" w:name="_Toc5657"/>
    </w:p>
    <w:sdt>
      <w:sdtPr>
        <w:tag w:val="NEW_STAND_NAME"/>
        <w:id w:val="147477055"/>
        <w:lock w:val="sdtLocked"/>
        <w:placeholder>
          <w:docPart w:val="{be39999f-a1d3-48d6-9bfe-5c0cf92df848}"/>
        </w:placeholder>
      </w:sdtPr>
      <w:sdtEndPr>
        <w:rPr>
          <w:rFonts w:hint="eastAsia"/>
        </w:rPr>
      </w:sdtEndPr>
      <w:sdtContent>
        <w:p w14:paraId="76DA0ECC">
          <w:pPr>
            <w:pStyle w:val="16"/>
            <w:keepLines w:val="0"/>
            <w:kinsoku/>
            <w:wordWrap/>
            <w:overflowPunct/>
            <w:topLinePunct w:val="0"/>
            <w:bidi w:val="0"/>
            <w:spacing w:after="687" w:afterLines="220" w:line="240" w:lineRule="auto"/>
            <w:rPr>
              <w:rFonts w:hint="eastAsia"/>
            </w:rPr>
          </w:pPr>
          <w:r>
            <w:rPr>
              <w:rFonts w:hint="eastAsia"/>
              <w:lang w:val="en-US" w:eastAsia="zh-CN"/>
            </w:rPr>
            <w:t>基于电力大数据的行业发展健康指数评定技术规程</w:t>
          </w:r>
        </w:p>
      </w:sdtContent>
    </w:sdt>
    <w:p w14:paraId="2338E899">
      <w:pPr>
        <w:pStyle w:val="17"/>
        <w:bidi w:val="0"/>
      </w:pPr>
      <w:bookmarkStart w:id="7" w:name="_Toc24568"/>
      <w:bookmarkStart w:id="8" w:name="_Toc26718930"/>
      <w:bookmarkStart w:id="9" w:name="_Toc22066"/>
      <w:bookmarkStart w:id="10" w:name="_Toc26986771"/>
      <w:bookmarkStart w:id="11" w:name="_Toc24884218"/>
      <w:bookmarkStart w:id="12" w:name="_Toc24884211"/>
      <w:bookmarkStart w:id="13" w:name="_Toc17233333"/>
      <w:bookmarkStart w:id="14" w:name="_Toc26986530"/>
      <w:bookmarkStart w:id="15" w:name="_Toc26656"/>
      <w:bookmarkStart w:id="16" w:name="_Toc97192964"/>
      <w:bookmarkStart w:id="17" w:name="_Toc26648465"/>
      <w:bookmarkStart w:id="18" w:name="_Toc17233325"/>
      <w:r>
        <w:rPr>
          <w:rFonts w:hint="eastAsia"/>
        </w:rPr>
        <w:t>范围</w:t>
      </w:r>
    </w:p>
    <w:p w14:paraId="16C93E06">
      <w:pPr>
        <w:pStyle w:val="18"/>
        <w:bidi w:val="0"/>
        <w:rPr>
          <w:rFonts w:hint="eastAsia"/>
          <w:lang w:eastAsia="zh-CN"/>
        </w:rPr>
      </w:pPr>
      <w:r>
        <w:rPr>
          <w:rFonts w:hint="eastAsia"/>
          <w:lang w:eastAsia="zh-CN"/>
        </w:rPr>
        <w:t>本文件规定了</w:t>
      </w:r>
      <w:r>
        <w:rPr>
          <w:rFonts w:hint="eastAsia"/>
          <w:lang w:val="en-US" w:eastAsia="zh-CN"/>
        </w:rPr>
        <w:t>工业</w:t>
      </w:r>
      <w:r>
        <w:rPr>
          <w:rFonts w:hint="eastAsia"/>
          <w:lang w:eastAsia="zh-CN"/>
        </w:rPr>
        <w:t>行业发展健康指数评定的总体要求、</w:t>
      </w:r>
      <w:r>
        <w:rPr>
          <w:rFonts w:hint="eastAsia"/>
          <w:lang w:val="en-US" w:eastAsia="zh-CN"/>
        </w:rPr>
        <w:t>评价内容</w:t>
      </w:r>
      <w:r>
        <w:rPr>
          <w:rFonts w:hint="eastAsia"/>
          <w:lang w:eastAsia="zh-CN"/>
        </w:rPr>
        <w:t>、</w:t>
      </w:r>
      <w:r>
        <w:rPr>
          <w:rFonts w:hint="eastAsia"/>
          <w:lang w:val="en-US" w:eastAsia="zh-CN"/>
        </w:rPr>
        <w:t>指数计算和结果评定</w:t>
      </w:r>
      <w:r>
        <w:rPr>
          <w:rFonts w:hint="eastAsia"/>
          <w:lang w:eastAsia="zh-CN"/>
        </w:rPr>
        <w:t>。</w:t>
      </w:r>
    </w:p>
    <w:p w14:paraId="00F8CF1C">
      <w:pPr>
        <w:pStyle w:val="18"/>
        <w:bidi w:val="0"/>
        <w:rPr>
          <w:rFonts w:hint="eastAsia"/>
          <w:lang w:eastAsia="zh-CN"/>
        </w:rPr>
      </w:pPr>
      <w:r>
        <w:rPr>
          <w:rFonts w:hint="eastAsia"/>
          <w:lang w:eastAsia="zh-CN"/>
        </w:rPr>
        <w:t>本文件适用于工业</w:t>
      </w:r>
      <w:r>
        <w:rPr>
          <w:rFonts w:hint="eastAsia"/>
          <w:lang w:val="en-US" w:eastAsia="zh-CN"/>
        </w:rPr>
        <w:t>行业</w:t>
      </w:r>
      <w:r>
        <w:rPr>
          <w:rFonts w:hint="eastAsia"/>
          <w:lang w:eastAsia="zh-CN"/>
        </w:rPr>
        <w:t>发展健康指数</w:t>
      </w:r>
      <w:r>
        <w:rPr>
          <w:rFonts w:hint="eastAsia"/>
          <w:lang w:val="en-US" w:eastAsia="zh-CN"/>
        </w:rPr>
        <w:t>的</w:t>
      </w:r>
      <w:r>
        <w:rPr>
          <w:rFonts w:hint="eastAsia"/>
          <w:lang w:eastAsia="zh-CN"/>
        </w:rPr>
        <w:t>评估；</w:t>
      </w:r>
      <w:r>
        <w:rPr>
          <w:rFonts w:hint="eastAsia"/>
          <w:lang w:val="en-US" w:eastAsia="zh-CN"/>
        </w:rPr>
        <w:t>供</w:t>
      </w:r>
      <w:r>
        <w:rPr>
          <w:rFonts w:hint="default"/>
          <w:lang w:val="en-US" w:eastAsia="zh-CN"/>
        </w:rPr>
        <w:t>政府部门、行业协会、研究机构开展</w:t>
      </w:r>
      <w:r>
        <w:rPr>
          <w:rFonts w:hint="eastAsia"/>
          <w:lang w:eastAsia="zh-CN"/>
        </w:rPr>
        <w:t>行业发展健康水平的监测、评估与研判</w:t>
      </w:r>
      <w:r>
        <w:rPr>
          <w:rFonts w:hint="eastAsia"/>
          <w:lang w:val="en-US" w:eastAsia="zh-CN"/>
        </w:rPr>
        <w:t>使用</w:t>
      </w:r>
      <w:r>
        <w:rPr>
          <w:rFonts w:hint="eastAsia"/>
          <w:lang w:eastAsia="zh-CN"/>
        </w:rPr>
        <w:t>，也</w:t>
      </w:r>
      <w:r>
        <w:rPr>
          <w:rFonts w:hint="eastAsia"/>
          <w:lang w:val="en-US" w:eastAsia="zh-CN"/>
        </w:rPr>
        <w:t>供</w:t>
      </w:r>
      <w:r>
        <w:rPr>
          <w:rFonts w:hint="eastAsia"/>
          <w:lang w:eastAsia="zh-CN"/>
        </w:rPr>
        <w:t>行业内企业开展自身发展健康状况的自测与优化分析</w:t>
      </w:r>
      <w:r>
        <w:rPr>
          <w:rFonts w:hint="eastAsia"/>
          <w:lang w:val="en-US" w:eastAsia="zh-CN"/>
        </w:rPr>
        <w:t>使用</w:t>
      </w:r>
      <w:r>
        <w:rPr>
          <w:rFonts w:hint="eastAsia"/>
          <w:lang w:eastAsia="zh-CN"/>
        </w:rPr>
        <w:t>。</w:t>
      </w:r>
    </w:p>
    <w:bookmarkEnd w:id="7"/>
    <w:bookmarkEnd w:id="8"/>
    <w:bookmarkEnd w:id="9"/>
    <w:bookmarkEnd w:id="10"/>
    <w:bookmarkEnd w:id="11"/>
    <w:bookmarkEnd w:id="12"/>
    <w:bookmarkEnd w:id="13"/>
    <w:bookmarkEnd w:id="14"/>
    <w:bookmarkEnd w:id="15"/>
    <w:bookmarkEnd w:id="16"/>
    <w:bookmarkEnd w:id="17"/>
    <w:bookmarkEnd w:id="18"/>
    <w:p w14:paraId="767F512F">
      <w:pPr>
        <w:pStyle w:val="17"/>
        <w:bidi w:val="0"/>
      </w:pPr>
      <w:bookmarkStart w:id="19" w:name="_Toc97192965"/>
      <w:bookmarkStart w:id="20" w:name="_Toc5497"/>
      <w:bookmarkStart w:id="21" w:name="_Toc26718931"/>
      <w:bookmarkStart w:id="22" w:name="_Toc17233326"/>
      <w:bookmarkStart w:id="23" w:name="_Toc25966"/>
      <w:bookmarkStart w:id="24" w:name="_Toc26648466"/>
      <w:bookmarkStart w:id="25" w:name="_Toc17233334"/>
      <w:bookmarkStart w:id="26" w:name="_Toc26648"/>
      <w:bookmarkStart w:id="27" w:name="_Toc26986772"/>
      <w:bookmarkStart w:id="28" w:name="_Toc24884212"/>
      <w:bookmarkStart w:id="29" w:name="_Toc24884219"/>
      <w:bookmarkStart w:id="30" w:name="_Toc26986531"/>
      <w:r>
        <w:rPr>
          <w:rFonts w:hint="eastAsia"/>
        </w:rPr>
        <w:t>规范性引用文件</w:t>
      </w:r>
      <w:bookmarkEnd w:id="19"/>
      <w:bookmarkEnd w:id="20"/>
      <w:bookmarkEnd w:id="21"/>
      <w:bookmarkEnd w:id="22"/>
      <w:bookmarkEnd w:id="23"/>
      <w:bookmarkEnd w:id="24"/>
      <w:bookmarkEnd w:id="25"/>
      <w:bookmarkEnd w:id="26"/>
      <w:bookmarkEnd w:id="27"/>
      <w:bookmarkEnd w:id="28"/>
      <w:bookmarkEnd w:id="29"/>
      <w:bookmarkEnd w:id="30"/>
    </w:p>
    <w:p w14:paraId="4DD812A6">
      <w:pPr>
        <w:pStyle w:val="18"/>
        <w:bidi w:val="0"/>
        <w:rPr>
          <w:rFonts w:hint="eastAsia"/>
          <w:lang w:eastAsia="zh-CN"/>
        </w:rPr>
      </w:pPr>
      <w:r>
        <w:rPr>
          <w:rFonts w:hint="eastAsia"/>
          <w:lang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78C148A">
      <w:pPr>
        <w:pStyle w:val="18"/>
        <w:bidi w:val="0"/>
        <w:rPr>
          <w:rFonts w:hint="eastAsia" w:ascii="Times New Roman" w:hAnsi="Times New Roman" w:eastAsia="宋体" w:cs="Times New Roman"/>
          <w:i w:val="0"/>
          <w:iCs w:val="0"/>
          <w:caps w:val="0"/>
          <w:spacing w:val="0"/>
          <w:sz w:val="21"/>
          <w:szCs w:val="20"/>
          <w:shd w:val="clear"/>
          <w:lang w:eastAsia="zh-CN"/>
        </w:rPr>
      </w:pPr>
      <w:r>
        <w:rPr>
          <w:rFonts w:hint="eastAsia" w:ascii="Times New Roman" w:hAnsi="Times New Roman" w:eastAsia="宋体" w:cs="Times New Roman"/>
          <w:i w:val="0"/>
          <w:iCs w:val="0"/>
          <w:caps w:val="0"/>
          <w:spacing w:val="0"/>
          <w:sz w:val="21"/>
          <w:szCs w:val="20"/>
          <w:shd w:val="clear"/>
          <w:lang w:eastAsia="zh-CN"/>
        </w:rPr>
        <w:t>GB/T 4754</w:t>
      </w:r>
      <w:r>
        <w:rPr>
          <w:rFonts w:hint="eastAsia" w:cs="Times New Roman"/>
          <w:i w:val="0"/>
          <w:iCs w:val="0"/>
          <w:caps w:val="0"/>
          <w:spacing w:val="0"/>
          <w:sz w:val="21"/>
          <w:szCs w:val="20"/>
          <w:shd w:val="clear"/>
          <w:lang w:val="en-US" w:eastAsia="zh-CN"/>
        </w:rPr>
        <w:t xml:space="preserve">  </w:t>
      </w:r>
      <w:r>
        <w:rPr>
          <w:rFonts w:hint="eastAsia" w:ascii="Times New Roman" w:hAnsi="Times New Roman" w:eastAsia="宋体" w:cs="Times New Roman"/>
          <w:i w:val="0"/>
          <w:iCs w:val="0"/>
          <w:caps w:val="0"/>
          <w:spacing w:val="0"/>
          <w:sz w:val="21"/>
          <w:szCs w:val="20"/>
          <w:shd w:val="clear"/>
          <w:lang w:eastAsia="zh-CN"/>
        </w:rPr>
        <w:t>国民经济行业分类</w:t>
      </w:r>
    </w:p>
    <w:p w14:paraId="470A2B32">
      <w:pPr>
        <w:pStyle w:val="18"/>
        <w:bidi w:val="0"/>
        <w:rPr>
          <w:rFonts w:hint="eastAsia"/>
          <w:lang w:eastAsia="zh-CN"/>
        </w:rPr>
      </w:pPr>
      <w:r>
        <w:rPr>
          <w:rFonts w:hint="eastAsia"/>
          <w:lang w:eastAsia="zh-CN"/>
        </w:rPr>
        <w:t>GB/T 32150 工业企业温室气体排放核算和报告通则</w:t>
      </w:r>
    </w:p>
    <w:p w14:paraId="40EF840C">
      <w:pPr>
        <w:pStyle w:val="17"/>
        <w:spacing w:before="240" w:after="240"/>
      </w:pPr>
      <w:bookmarkStart w:id="31" w:name="_Toc27305"/>
      <w:bookmarkStart w:id="32" w:name="_Toc22396"/>
      <w:bookmarkStart w:id="33" w:name="_Toc3415"/>
      <w:bookmarkStart w:id="34" w:name="_Toc97192966"/>
      <w:r>
        <w:rPr>
          <w:rFonts w:hint="eastAsia"/>
          <w:szCs w:val="21"/>
        </w:rPr>
        <w:t>术语和定义</w:t>
      </w:r>
      <w:bookmarkEnd w:id="31"/>
      <w:bookmarkEnd w:id="32"/>
      <w:bookmarkEnd w:id="33"/>
      <w:bookmarkEnd w:id="34"/>
    </w:p>
    <w:p w14:paraId="6723387E">
      <w:pPr>
        <w:pStyle w:val="18"/>
        <w:bidi w:val="0"/>
        <w:rPr>
          <w:rFonts w:hint="eastAsia"/>
          <w:lang w:eastAsia="zh-CN"/>
        </w:rPr>
      </w:pPr>
      <w:bookmarkStart w:id="35" w:name="_Toc26986532"/>
      <w:bookmarkEnd w:id="35"/>
      <w:r>
        <w:rPr>
          <w:rFonts w:hint="eastAsia"/>
          <w:lang w:eastAsia="zh-CN"/>
        </w:rPr>
        <w:t>下列术语和定义适用于本文件。</w:t>
      </w:r>
    </w:p>
    <w:p w14:paraId="2F06C61F">
      <w:pPr>
        <w:pStyle w:val="19"/>
        <w:bidi w:val="0"/>
        <w:spacing w:before="157" w:beforeLines="50" w:after="157" w:afterLines="50"/>
        <w:ind w:left="0" w:hanging="420" w:hangingChars="200"/>
        <w:rPr>
          <w:rFonts w:hint="eastAsia" w:ascii="黑体" w:hAnsi="黑体" w:eastAsia="黑体" w:cs="黑体"/>
          <w:lang w:eastAsia="zh-CN"/>
        </w:rPr>
      </w:pPr>
      <w:r>
        <w:rPr>
          <w:rFonts w:hint="eastAsia" w:ascii="Times New Roman" w:hAnsi="Times New Roman" w:eastAsia="黑体" w:cs="Times New Roman"/>
          <w:highlight w:val="none"/>
          <w:lang w:val="en-US" w:eastAsia="zh-CN"/>
        </w:rPr>
        <w:br w:type="textWrapping"/>
      </w:r>
      <w:r>
        <w:rPr>
          <w:rFonts w:hint="eastAsia" w:ascii="黑体" w:hAnsi="黑体" w:eastAsia="黑体" w:cs="黑体"/>
          <w:lang w:val="en-US" w:eastAsia="zh-CN"/>
        </w:rPr>
        <w:t xml:space="preserve">行业发展健康指数  </w:t>
      </w:r>
      <w:r>
        <w:rPr>
          <w:rFonts w:hint="eastAsia" w:ascii="黑体" w:hAnsi="Times New Roman" w:eastAsia="黑体" w:cs="Times New Roman"/>
          <w:sz w:val="21"/>
          <w:szCs w:val="21"/>
          <w:lang w:val="en-US" w:eastAsia="zh-CN" w:bidi="ar-SA"/>
        </w:rPr>
        <w:t>healthy development index of industries</w:t>
      </w:r>
    </w:p>
    <w:p w14:paraId="54D17B28">
      <w:pPr>
        <w:pStyle w:val="18"/>
        <w:ind w:firstLine="420"/>
        <w:rPr>
          <w:rFonts w:hint="eastAsia"/>
          <w:lang w:eastAsia="zh-CN"/>
        </w:rPr>
      </w:pPr>
      <w:r>
        <w:rPr>
          <w:rFonts w:hint="eastAsia"/>
          <w:lang w:val="en-US" w:eastAsia="zh-CN"/>
        </w:rPr>
        <w:t>基于</w:t>
      </w:r>
      <w:r>
        <w:rPr>
          <w:rFonts w:hint="eastAsia"/>
          <w:lang w:eastAsia="zh-CN"/>
        </w:rPr>
        <w:t>经济、社会、技术、环境等多维度</w:t>
      </w:r>
      <w:r>
        <w:rPr>
          <w:rFonts w:hint="eastAsia"/>
          <w:lang w:val="en-US" w:eastAsia="zh-CN"/>
        </w:rPr>
        <w:t>指标加权计算得出的</w:t>
      </w:r>
      <w:r>
        <w:rPr>
          <w:rFonts w:hint="eastAsia"/>
          <w:lang w:eastAsia="zh-CN"/>
        </w:rPr>
        <w:t>，用以反映行业发展健康水平的综合性指数。</w:t>
      </w:r>
    </w:p>
    <w:p w14:paraId="12312B9C">
      <w:pPr>
        <w:pStyle w:val="19"/>
        <w:bidi w:val="0"/>
        <w:spacing w:before="157" w:beforeLines="50" w:after="157" w:afterLines="50"/>
        <w:ind w:left="0" w:hanging="420" w:hangingChars="200"/>
        <w:rPr>
          <w:rFonts w:hint="eastAsia" w:ascii="黑体" w:hAnsi="黑体" w:eastAsia="黑体" w:cs="黑体"/>
          <w:lang w:eastAsia="zh-CN"/>
        </w:rPr>
      </w:pPr>
      <w:r>
        <w:rPr>
          <w:rFonts w:hint="eastAsia" w:ascii="Times New Roman" w:hAnsi="Times New Roman" w:eastAsia="黑体" w:cs="Times New Roman"/>
          <w:highlight w:val="none"/>
          <w:lang w:val="en-US" w:eastAsia="zh-CN"/>
        </w:rPr>
        <w:br w:type="textWrapping"/>
      </w:r>
      <w:r>
        <w:rPr>
          <w:rFonts w:hint="eastAsia" w:ascii="黑体" w:hAnsi="黑体" w:eastAsia="黑体" w:cs="黑体"/>
          <w:lang w:eastAsia="zh-CN"/>
        </w:rPr>
        <w:t>行业发展健康等级   health grade of industry</w:t>
      </w:r>
    </w:p>
    <w:p w14:paraId="07A4FE6D">
      <w:pPr>
        <w:pStyle w:val="18"/>
        <w:ind w:firstLine="420"/>
        <w:rPr>
          <w:rFonts w:hint="eastAsia"/>
          <w:lang w:eastAsia="zh-CN"/>
        </w:rPr>
      </w:pPr>
      <w:r>
        <w:rPr>
          <w:rFonts w:hint="eastAsia"/>
          <w:lang w:eastAsia="zh-CN"/>
        </w:rPr>
        <w:t>依据行业发展健康指数</w:t>
      </w:r>
      <w:r>
        <w:rPr>
          <w:rFonts w:hint="eastAsia"/>
          <w:lang w:val="en-US" w:eastAsia="zh-CN"/>
        </w:rPr>
        <w:t>计算结果确定的评定等级</w:t>
      </w:r>
      <w:r>
        <w:rPr>
          <w:rFonts w:hint="eastAsia"/>
          <w:lang w:eastAsia="zh-CN"/>
        </w:rPr>
        <w:t>。</w:t>
      </w:r>
    </w:p>
    <w:p w14:paraId="06B46528">
      <w:pPr>
        <w:pStyle w:val="17"/>
        <w:bidi w:val="0"/>
        <w:rPr>
          <w:rFonts w:hint="eastAsia"/>
          <w:lang w:eastAsia="zh-CN"/>
        </w:rPr>
      </w:pPr>
      <w:bookmarkStart w:id="36" w:name="_Toc5268"/>
      <w:bookmarkStart w:id="37" w:name="_Toc23674"/>
      <w:bookmarkStart w:id="38" w:name="_Toc21437"/>
      <w:r>
        <w:rPr>
          <w:rFonts w:hint="eastAsia"/>
          <w:lang w:eastAsia="zh-CN"/>
        </w:rPr>
        <w:t>总体要求</w:t>
      </w:r>
      <w:bookmarkEnd w:id="36"/>
      <w:bookmarkEnd w:id="37"/>
      <w:bookmarkEnd w:id="38"/>
    </w:p>
    <w:p w14:paraId="5D0608B5">
      <w:pPr>
        <w:pStyle w:val="21"/>
        <w:bidi w:val="0"/>
        <w:rPr>
          <w:rFonts w:hint="eastAsia"/>
          <w:lang w:val="en-US" w:eastAsia="zh-CN"/>
        </w:rPr>
      </w:pPr>
      <w:bookmarkStart w:id="39" w:name="_Toc866"/>
      <w:r>
        <w:rPr>
          <w:rFonts w:hint="eastAsia"/>
          <w:lang w:val="en-US" w:eastAsia="zh-CN"/>
        </w:rPr>
        <w:t>基础要求</w:t>
      </w:r>
      <w:bookmarkEnd w:id="39"/>
    </w:p>
    <w:p w14:paraId="481E7C02">
      <w:pPr>
        <w:pStyle w:val="18"/>
        <w:rPr>
          <w:rFonts w:hint="eastAsia"/>
          <w:lang w:eastAsia="zh-CN"/>
        </w:rPr>
      </w:pPr>
      <w:r>
        <w:rPr>
          <w:rFonts w:hint="eastAsia"/>
          <w:lang w:eastAsia="zh-CN"/>
        </w:rPr>
        <w:t>开展行业发展健康指数评估的主体应具备数据采集、分析及模型运算的基础能力，评估过程应遵循科学、客观、公正、可核验的原则，确保评估结果的真实性和可比性。</w:t>
      </w:r>
    </w:p>
    <w:p w14:paraId="557C10B9">
      <w:pPr>
        <w:pStyle w:val="21"/>
        <w:bidi w:val="0"/>
        <w:rPr>
          <w:rFonts w:hint="eastAsia" w:hAnsi="Times New Roman" w:cs="Times New Roman"/>
          <w:lang w:val="en-US" w:eastAsia="zh-CN"/>
        </w:rPr>
      </w:pPr>
      <w:bookmarkStart w:id="40" w:name="_Toc7907"/>
      <w:r>
        <w:rPr>
          <w:rFonts w:hint="eastAsia" w:hAnsi="Times New Roman" w:cs="Times New Roman"/>
          <w:lang w:val="en-US" w:eastAsia="zh-CN"/>
        </w:rPr>
        <w:t>数据要求</w:t>
      </w:r>
      <w:bookmarkEnd w:id="40"/>
    </w:p>
    <w:p w14:paraId="5578F98C">
      <w:pPr>
        <w:pStyle w:val="18"/>
        <w:rPr>
          <w:rFonts w:hint="eastAsia"/>
          <w:lang w:eastAsia="zh-CN"/>
        </w:rPr>
      </w:pPr>
      <w:r>
        <w:rPr>
          <w:rFonts w:hint="eastAsia"/>
          <w:lang w:eastAsia="zh-CN"/>
        </w:rPr>
        <w:t>评估所采用的数据来源应合法、口径统一、真实有效，数据采集应符合国家相关统计规范，碳排放数据核算应</w:t>
      </w:r>
      <w:r>
        <w:rPr>
          <w:rFonts w:hint="eastAsia"/>
          <w:lang w:val="en-US" w:eastAsia="zh-CN"/>
        </w:rPr>
        <w:t>符合</w:t>
      </w:r>
      <w:r>
        <w:rPr>
          <w:rFonts w:hint="eastAsia"/>
          <w:lang w:eastAsia="zh-CN"/>
        </w:rPr>
        <w:t>GB/T 32150要求，</w:t>
      </w:r>
      <w:r>
        <w:rPr>
          <w:rFonts w:hint="eastAsia"/>
          <w:lang w:val="en-US" w:eastAsia="zh-CN"/>
        </w:rPr>
        <w:t>且</w:t>
      </w:r>
      <w:r>
        <w:rPr>
          <w:rFonts w:hint="eastAsia"/>
          <w:lang w:eastAsia="zh-CN"/>
        </w:rPr>
        <w:t>数据保存期限不</w:t>
      </w:r>
      <w:r>
        <w:rPr>
          <w:rFonts w:hint="eastAsia"/>
          <w:lang w:val="en-US" w:eastAsia="zh-CN"/>
        </w:rPr>
        <w:t>应</w:t>
      </w:r>
      <w:r>
        <w:rPr>
          <w:rFonts w:hint="eastAsia"/>
          <w:lang w:eastAsia="zh-CN"/>
        </w:rPr>
        <w:t>少于5年。</w:t>
      </w:r>
    </w:p>
    <w:p w14:paraId="6CD2D62B">
      <w:pPr>
        <w:pStyle w:val="21"/>
        <w:bidi w:val="0"/>
        <w:rPr>
          <w:rFonts w:hint="eastAsia" w:hAnsi="Times New Roman" w:cs="Times New Roman"/>
          <w:lang w:val="en-US" w:eastAsia="zh-CN"/>
        </w:rPr>
      </w:pPr>
      <w:bookmarkStart w:id="41" w:name="_Toc29726"/>
      <w:r>
        <w:rPr>
          <w:rFonts w:hint="eastAsia" w:hAnsi="Times New Roman" w:cs="Times New Roman"/>
          <w:lang w:val="en-US" w:eastAsia="zh-CN"/>
        </w:rPr>
        <w:t>边界要求</w:t>
      </w:r>
      <w:bookmarkEnd w:id="41"/>
    </w:p>
    <w:p w14:paraId="4AB75B9F">
      <w:pPr>
        <w:pStyle w:val="18"/>
        <w:rPr>
          <w:rFonts w:hint="eastAsia"/>
          <w:lang w:eastAsia="zh-CN"/>
        </w:rPr>
      </w:pPr>
      <w:r>
        <w:rPr>
          <w:rFonts w:hint="eastAsia"/>
          <w:lang w:eastAsia="zh-CN"/>
        </w:rPr>
        <w:t>应明确行业发展健康指数评估的行业边界、区域边界、时间边界，评估边界一经确定，不</w:t>
      </w:r>
      <w:r>
        <w:rPr>
          <w:rFonts w:hint="eastAsia"/>
          <w:lang w:val="en-US" w:eastAsia="zh-CN"/>
        </w:rPr>
        <w:t>应</w:t>
      </w:r>
      <w:r>
        <w:rPr>
          <w:rFonts w:hint="eastAsia"/>
          <w:lang w:eastAsia="zh-CN"/>
        </w:rPr>
        <w:t>随意变更；确需变更的，应在评估报告中说明变更原因及影响。</w:t>
      </w:r>
    </w:p>
    <w:p w14:paraId="2D5AE8E9">
      <w:pPr>
        <w:pStyle w:val="21"/>
        <w:bidi w:val="0"/>
        <w:rPr>
          <w:rFonts w:hint="eastAsia" w:hAnsi="Times New Roman" w:cs="Times New Roman"/>
          <w:lang w:val="en-US" w:eastAsia="zh-CN"/>
        </w:rPr>
      </w:pPr>
      <w:bookmarkStart w:id="42" w:name="_Toc13285"/>
      <w:r>
        <w:rPr>
          <w:rFonts w:hint="eastAsia" w:hAnsi="Times New Roman" w:cs="Times New Roman"/>
          <w:lang w:val="en-US" w:eastAsia="zh-CN"/>
        </w:rPr>
        <w:t>方法要求</w:t>
      </w:r>
      <w:bookmarkEnd w:id="42"/>
    </w:p>
    <w:p w14:paraId="6013C2AA">
      <w:pPr>
        <w:pStyle w:val="18"/>
        <w:rPr>
          <w:rFonts w:hint="eastAsia"/>
          <w:lang w:eastAsia="zh-CN"/>
        </w:rPr>
      </w:pPr>
      <w:r>
        <w:rPr>
          <w:rFonts w:hint="eastAsia" w:ascii="Times New Roman" w:hAnsi="Times New Roman" w:eastAsia="宋体" w:cs="Times New Roman"/>
          <w:i w:val="0"/>
          <w:iCs w:val="0"/>
          <w:caps w:val="0"/>
          <w:spacing w:val="0"/>
          <w:sz w:val="21"/>
          <w:szCs w:val="20"/>
          <w:shd w:val="clear"/>
          <w:lang w:eastAsia="zh-CN"/>
        </w:rPr>
        <w:t>评估应采用主成分分析与熵权法相结合的组合赋权方法确定指标权重，采用加权求和法计算综合指数。</w:t>
      </w:r>
      <w:r>
        <w:rPr>
          <w:rFonts w:hint="eastAsia"/>
          <w:lang w:eastAsia="zh-CN"/>
        </w:rPr>
        <w:t>评估方法及模型参数应透明、可复现、可验证。</w:t>
      </w:r>
    </w:p>
    <w:p w14:paraId="1DF73840">
      <w:pPr>
        <w:pStyle w:val="17"/>
        <w:bidi w:val="0"/>
        <w:rPr>
          <w:rFonts w:hint="eastAsia"/>
          <w:lang w:eastAsia="zh-CN"/>
        </w:rPr>
      </w:pPr>
      <w:bookmarkStart w:id="43" w:name="_Toc21022"/>
      <w:bookmarkStart w:id="44" w:name="_Toc15021"/>
      <w:bookmarkStart w:id="45" w:name="_Toc30417"/>
      <w:r>
        <w:rPr>
          <w:rFonts w:hint="eastAsia"/>
          <w:lang w:eastAsia="zh-CN"/>
        </w:rPr>
        <w:t>评</w:t>
      </w:r>
      <w:r>
        <w:rPr>
          <w:rFonts w:hint="eastAsia"/>
          <w:lang w:val="en-US" w:eastAsia="zh-CN"/>
        </w:rPr>
        <w:t>价</w:t>
      </w:r>
      <w:bookmarkEnd w:id="43"/>
      <w:r>
        <w:rPr>
          <w:rFonts w:hint="eastAsia"/>
          <w:lang w:val="en-US" w:eastAsia="zh-CN"/>
        </w:rPr>
        <w:t>内容</w:t>
      </w:r>
      <w:bookmarkEnd w:id="44"/>
      <w:bookmarkEnd w:id="45"/>
    </w:p>
    <w:p w14:paraId="0F701D8F">
      <w:pPr>
        <w:pStyle w:val="21"/>
        <w:bidi w:val="0"/>
        <w:rPr>
          <w:rFonts w:hint="eastAsia" w:hAnsi="Times New Roman" w:cs="Times New Roman"/>
          <w:lang w:val="en-US" w:eastAsia="zh-CN"/>
        </w:rPr>
      </w:pPr>
      <w:bookmarkStart w:id="46" w:name="_Toc19193"/>
      <w:r>
        <w:rPr>
          <w:rFonts w:hint="eastAsia" w:cs="Times New Roman"/>
          <w:lang w:val="en-US" w:eastAsia="zh-CN"/>
        </w:rPr>
        <w:t>评价对象</w:t>
      </w:r>
    </w:p>
    <w:p w14:paraId="27EBC571">
      <w:pPr>
        <w:pStyle w:val="18"/>
        <w:rPr>
          <w:rFonts w:hint="eastAsia"/>
          <w:lang w:val="en-US" w:eastAsia="zh-CN"/>
        </w:rPr>
      </w:pPr>
      <w:r>
        <w:rPr>
          <w:rFonts w:hint="eastAsia" w:ascii="Times New Roman" w:hAnsi="Times New Roman" w:eastAsia="宋体" w:cs="Times New Roman"/>
          <w:i w:val="0"/>
          <w:iCs w:val="0"/>
          <w:caps w:val="0"/>
          <w:spacing w:val="0"/>
          <w:sz w:val="21"/>
          <w:szCs w:val="20"/>
          <w:shd w:val="clear"/>
          <w:lang w:eastAsia="zh-CN"/>
        </w:rPr>
        <w:t>评价对象为 GB/T 4754 规定的工业行业大类下的相关子行业，适用行业范围见附录A。</w:t>
      </w:r>
    </w:p>
    <w:p w14:paraId="19A417A5">
      <w:pPr>
        <w:pStyle w:val="21"/>
        <w:bidi w:val="0"/>
        <w:rPr>
          <w:rFonts w:hint="eastAsia" w:hAnsi="Times New Roman" w:cs="Times New Roman"/>
          <w:lang w:val="en-US" w:eastAsia="zh-CN"/>
        </w:rPr>
      </w:pPr>
      <w:r>
        <w:rPr>
          <w:rFonts w:hint="eastAsia" w:cs="Times New Roman"/>
          <w:lang w:val="en-US" w:eastAsia="zh-CN"/>
        </w:rPr>
        <w:t>评价指标</w:t>
      </w:r>
      <w:bookmarkEnd w:id="46"/>
    </w:p>
    <w:p w14:paraId="1FAAA85B">
      <w:pPr>
        <w:pStyle w:val="18"/>
        <w:rPr>
          <w:rFonts w:hint="eastAsia"/>
          <w:lang w:val="en-US" w:eastAsia="zh-CN"/>
        </w:rPr>
      </w:pPr>
      <w:r>
        <w:rPr>
          <w:rFonts w:hint="eastAsia"/>
          <w:lang w:val="en-US" w:eastAsia="zh-CN"/>
        </w:rPr>
        <w:t>评价内容应包括能够反映行业发展健康水平的</w:t>
      </w:r>
      <w:r>
        <w:rPr>
          <w:rFonts w:hint="eastAsia"/>
          <w:lang w:eastAsia="zh-CN"/>
        </w:rPr>
        <w:t>经济、社会、技术、环境四个维度的</w:t>
      </w:r>
      <w:r>
        <w:rPr>
          <w:rFonts w:hint="eastAsia"/>
          <w:lang w:val="en-US" w:eastAsia="zh-CN"/>
        </w:rPr>
        <w:t>指标</w:t>
      </w:r>
      <w:r>
        <w:rPr>
          <w:rFonts w:hint="eastAsia"/>
          <w:lang w:eastAsia="zh-CN"/>
        </w:rPr>
        <w:t>。</w:t>
      </w:r>
      <w:r>
        <w:rPr>
          <w:rFonts w:hint="eastAsia"/>
          <w:lang w:val="en-US" w:eastAsia="zh-CN"/>
        </w:rPr>
        <w:t>推荐的行业发展健康指数评价指标体系见表1。</w:t>
      </w:r>
    </w:p>
    <w:p w14:paraId="38D48160">
      <w:pPr>
        <w:pStyle w:val="22"/>
        <w:bidi w:val="0"/>
        <w:rPr>
          <w:rFonts w:hint="eastAsia"/>
          <w:lang w:eastAsia="zh-CN"/>
        </w:rPr>
      </w:pPr>
      <w:r>
        <w:rPr>
          <w:rFonts w:hint="eastAsia"/>
          <w:lang w:val="en-US" w:eastAsia="zh-CN"/>
        </w:rPr>
        <w:t>行业发展健康指数评价指标体系</w:t>
      </w:r>
    </w:p>
    <w:tbl>
      <w:tblPr>
        <w:tblStyle w:val="9"/>
        <w:tblW w:w="955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853"/>
        <w:gridCol w:w="5845"/>
        <w:gridCol w:w="1854"/>
      </w:tblGrid>
      <w:tr w14:paraId="28C9F1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0" w:type="auto"/>
            <w:tcBorders>
              <w:bottom w:val="single" w:color="auto" w:sz="8" w:space="0"/>
            </w:tcBorders>
            <w:vAlign w:val="center"/>
          </w:tcPr>
          <w:p w14:paraId="3FD230CE">
            <w:pPr>
              <w:pStyle w:val="23"/>
              <w:widowControl w:val="0"/>
              <w:bidi w:val="0"/>
              <w:spacing w:line="240" w:lineRule="auto"/>
              <w:ind w:left="0" w:leftChars="0" w:right="0" w:rightChars="0" w:firstLine="0" w:firstLineChars="0"/>
              <w:jc w:val="center"/>
              <w:rPr>
                <w:rFonts w:hint="default"/>
                <w:lang w:val="en-US" w:eastAsia="zh-CN"/>
              </w:rPr>
            </w:pPr>
            <w:r>
              <w:rPr>
                <w:rFonts w:hint="eastAsia"/>
                <w:lang w:val="en-US" w:eastAsia="zh-CN"/>
              </w:rPr>
              <w:t>一级指标</w:t>
            </w:r>
          </w:p>
        </w:tc>
        <w:tc>
          <w:tcPr>
            <w:tcW w:w="0" w:type="auto"/>
            <w:tcBorders>
              <w:bottom w:val="single" w:color="auto" w:sz="8" w:space="0"/>
            </w:tcBorders>
            <w:vAlign w:val="center"/>
          </w:tcPr>
          <w:p w14:paraId="14342700">
            <w:pPr>
              <w:pStyle w:val="23"/>
              <w:widowControl w:val="0"/>
              <w:bidi w:val="0"/>
              <w:spacing w:line="240" w:lineRule="auto"/>
              <w:ind w:left="0" w:leftChars="0" w:right="0" w:rightChars="0" w:firstLine="0" w:firstLineChars="0"/>
              <w:jc w:val="center"/>
              <w:rPr>
                <w:rFonts w:hint="default"/>
                <w:lang w:val="en-US" w:eastAsia="zh-CN"/>
              </w:rPr>
            </w:pPr>
            <w:r>
              <w:rPr>
                <w:rFonts w:hint="eastAsia"/>
                <w:lang w:val="en-US" w:eastAsia="zh-CN"/>
              </w:rPr>
              <w:t>二级指标</w:t>
            </w:r>
          </w:p>
        </w:tc>
        <w:tc>
          <w:tcPr>
            <w:tcW w:w="1854" w:type="dxa"/>
            <w:tcBorders>
              <w:bottom w:val="single" w:color="auto" w:sz="8" w:space="0"/>
            </w:tcBorders>
            <w:vAlign w:val="center"/>
          </w:tcPr>
          <w:p w14:paraId="3753253C">
            <w:pPr>
              <w:pStyle w:val="23"/>
              <w:widowControl w:val="0"/>
              <w:bidi w:val="0"/>
              <w:spacing w:line="240" w:lineRule="auto"/>
              <w:ind w:left="0" w:leftChars="0" w:right="0" w:rightChars="0" w:firstLine="0" w:firstLineChars="0"/>
              <w:jc w:val="center"/>
              <w:rPr>
                <w:rFonts w:hint="default"/>
                <w:lang w:val="en-US" w:eastAsia="zh-CN"/>
              </w:rPr>
            </w:pPr>
            <w:r>
              <w:rPr>
                <w:rFonts w:hint="eastAsia"/>
                <w:lang w:val="en-US" w:eastAsia="zh-CN"/>
              </w:rPr>
              <w:t>指标类型</w:t>
            </w:r>
          </w:p>
        </w:tc>
      </w:tr>
      <w:tr w14:paraId="1EA531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restart"/>
            <w:tcBorders>
              <w:top w:val="single" w:color="auto" w:sz="8" w:space="0"/>
            </w:tcBorders>
            <w:vAlign w:val="center"/>
          </w:tcPr>
          <w:p w14:paraId="47820A06">
            <w:pPr>
              <w:pStyle w:val="23"/>
              <w:widowControl w:val="0"/>
              <w:bidi w:val="0"/>
              <w:spacing w:line="240" w:lineRule="auto"/>
              <w:ind w:left="0" w:leftChars="0" w:right="0" w:rightChars="0" w:firstLine="0" w:firstLineChars="0"/>
              <w:jc w:val="center"/>
              <w:rPr>
                <w:rFonts w:hint="default"/>
                <w:lang w:val="en-US" w:eastAsia="zh-CN"/>
              </w:rPr>
            </w:pPr>
            <w:r>
              <w:rPr>
                <w:rFonts w:hint="eastAsia"/>
                <w:lang w:val="en-US" w:eastAsia="zh-CN"/>
              </w:rPr>
              <w:t>经济维度</w:t>
            </w:r>
          </w:p>
        </w:tc>
        <w:tc>
          <w:tcPr>
            <w:tcW w:w="0" w:type="auto"/>
            <w:tcBorders>
              <w:top w:val="single" w:color="auto" w:sz="8" w:space="0"/>
            </w:tcBorders>
            <w:vAlign w:val="center"/>
          </w:tcPr>
          <w:p w14:paraId="611519D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sz w:val="18"/>
                <w:szCs w:val="18"/>
                <w:highlight w:val="none"/>
                <w:lang w:val="en-US" w:eastAsia="zh-CN"/>
              </w:rPr>
              <w:t>企业单位数</w:t>
            </w:r>
          </w:p>
        </w:tc>
        <w:tc>
          <w:tcPr>
            <w:tcW w:w="1854" w:type="dxa"/>
            <w:tcBorders>
              <w:top w:val="single" w:color="auto" w:sz="8" w:space="0"/>
            </w:tcBorders>
            <w:vAlign w:val="center"/>
          </w:tcPr>
          <w:p w14:paraId="16D8398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sz w:val="18"/>
                <w:szCs w:val="18"/>
                <w:highlight w:val="none"/>
                <w:lang w:val="en-US" w:eastAsia="zh-CN"/>
              </w:rPr>
              <w:t>定量指标</w:t>
            </w:r>
          </w:p>
        </w:tc>
      </w:tr>
      <w:tr w14:paraId="52D668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4A2AB160">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47AC68C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sz w:val="18"/>
                <w:szCs w:val="18"/>
                <w:highlight w:val="none"/>
                <w:lang w:val="en-US" w:eastAsia="zh-CN"/>
              </w:rPr>
              <w:t>亏损企业个数</w:t>
            </w:r>
          </w:p>
        </w:tc>
        <w:tc>
          <w:tcPr>
            <w:tcW w:w="1854" w:type="dxa"/>
            <w:vAlign w:val="center"/>
          </w:tcPr>
          <w:p w14:paraId="2D5E46C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sz w:val="18"/>
                <w:szCs w:val="18"/>
                <w:highlight w:val="none"/>
                <w:lang w:val="en-US" w:eastAsia="zh-CN"/>
              </w:rPr>
              <w:t>定量指标</w:t>
            </w:r>
          </w:p>
        </w:tc>
      </w:tr>
      <w:tr w14:paraId="6EEE13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22CBFF95">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7A9B7F8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亏损企业亏损总额</w:t>
            </w:r>
          </w:p>
        </w:tc>
        <w:tc>
          <w:tcPr>
            <w:tcW w:w="1854" w:type="dxa"/>
            <w:vAlign w:val="center"/>
          </w:tcPr>
          <w:p w14:paraId="32DA3C7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sz w:val="18"/>
                <w:szCs w:val="18"/>
                <w:highlight w:val="none"/>
                <w:lang w:val="en-US" w:eastAsia="zh-CN"/>
              </w:rPr>
              <w:t>定量指标</w:t>
            </w:r>
          </w:p>
        </w:tc>
      </w:tr>
      <w:tr w14:paraId="406EDB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0E942A6E">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7FD8981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工业总产值</w:t>
            </w:r>
          </w:p>
        </w:tc>
        <w:tc>
          <w:tcPr>
            <w:tcW w:w="1854" w:type="dxa"/>
            <w:vAlign w:val="center"/>
          </w:tcPr>
          <w:p w14:paraId="11B9D11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sz w:val="18"/>
                <w:szCs w:val="18"/>
                <w:highlight w:val="none"/>
                <w:lang w:val="en-US" w:eastAsia="zh-CN"/>
              </w:rPr>
              <w:t>定量指标</w:t>
            </w:r>
          </w:p>
        </w:tc>
      </w:tr>
      <w:tr w14:paraId="6907AE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0907AB00">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3DE69AF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工业销售产值</w:t>
            </w:r>
          </w:p>
        </w:tc>
        <w:tc>
          <w:tcPr>
            <w:tcW w:w="1854" w:type="dxa"/>
            <w:vAlign w:val="center"/>
          </w:tcPr>
          <w:p w14:paraId="10F9E9D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sz w:val="18"/>
                <w:szCs w:val="18"/>
                <w:highlight w:val="none"/>
                <w:lang w:val="en-US" w:eastAsia="zh-CN"/>
              </w:rPr>
              <w:t>定量指标</w:t>
            </w:r>
          </w:p>
        </w:tc>
      </w:tr>
      <w:tr w14:paraId="0916C9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791E2145">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41CA553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利润总额</w:t>
            </w:r>
          </w:p>
        </w:tc>
        <w:tc>
          <w:tcPr>
            <w:tcW w:w="1854" w:type="dxa"/>
            <w:vAlign w:val="center"/>
          </w:tcPr>
          <w:p w14:paraId="310BAE7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sz w:val="18"/>
                <w:szCs w:val="18"/>
                <w:highlight w:val="none"/>
                <w:lang w:val="en-US" w:eastAsia="zh-CN"/>
              </w:rPr>
              <w:t>定量指标</w:t>
            </w:r>
          </w:p>
        </w:tc>
      </w:tr>
      <w:tr w14:paraId="646212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0A4C4DFE">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5777FD1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经济效益综合指数</w:t>
            </w:r>
          </w:p>
        </w:tc>
        <w:tc>
          <w:tcPr>
            <w:tcW w:w="1854" w:type="dxa"/>
            <w:vAlign w:val="center"/>
          </w:tcPr>
          <w:p w14:paraId="62ECB83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sz w:val="18"/>
                <w:szCs w:val="18"/>
                <w:highlight w:val="none"/>
                <w:lang w:val="en-US" w:eastAsia="zh-CN"/>
              </w:rPr>
              <w:t>定量指标</w:t>
            </w:r>
          </w:p>
        </w:tc>
      </w:tr>
      <w:tr w14:paraId="3E7D92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76F258EA">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70E4053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总资产贡献率</w:t>
            </w:r>
          </w:p>
        </w:tc>
        <w:tc>
          <w:tcPr>
            <w:tcW w:w="1854" w:type="dxa"/>
            <w:vAlign w:val="center"/>
          </w:tcPr>
          <w:p w14:paraId="2A0816B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sz w:val="18"/>
                <w:szCs w:val="18"/>
                <w:highlight w:val="none"/>
                <w:lang w:val="en-US" w:eastAsia="zh-CN"/>
              </w:rPr>
              <w:t>定量指标</w:t>
            </w:r>
          </w:p>
        </w:tc>
      </w:tr>
      <w:tr w14:paraId="3912CD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5A2824AD">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0A64B0C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资本保值增值率</w:t>
            </w:r>
          </w:p>
        </w:tc>
        <w:tc>
          <w:tcPr>
            <w:tcW w:w="1854" w:type="dxa"/>
            <w:vAlign w:val="center"/>
          </w:tcPr>
          <w:p w14:paraId="72F232A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sz w:val="18"/>
                <w:szCs w:val="18"/>
                <w:highlight w:val="none"/>
                <w:lang w:val="en-US" w:eastAsia="zh-CN"/>
              </w:rPr>
              <w:t>定量指标</w:t>
            </w:r>
          </w:p>
        </w:tc>
      </w:tr>
      <w:tr w14:paraId="7BA56E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4A56C7E9">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62290F1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资产负债率</w:t>
            </w:r>
          </w:p>
        </w:tc>
        <w:tc>
          <w:tcPr>
            <w:tcW w:w="1854" w:type="dxa"/>
            <w:vAlign w:val="center"/>
          </w:tcPr>
          <w:p w14:paraId="22A690B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sz w:val="18"/>
                <w:szCs w:val="18"/>
                <w:highlight w:val="none"/>
                <w:lang w:val="en-US" w:eastAsia="zh-CN"/>
              </w:rPr>
              <w:t>定量指标</w:t>
            </w:r>
          </w:p>
        </w:tc>
      </w:tr>
      <w:tr w14:paraId="709406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313531A5">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5ACBBDA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是否位于经济开发区</w:t>
            </w:r>
          </w:p>
        </w:tc>
        <w:tc>
          <w:tcPr>
            <w:tcW w:w="1854" w:type="dxa"/>
            <w:vAlign w:val="center"/>
          </w:tcPr>
          <w:p w14:paraId="263F1E8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定性指标</w:t>
            </w:r>
          </w:p>
        </w:tc>
      </w:tr>
      <w:tr w14:paraId="068260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restart"/>
            <w:vAlign w:val="center"/>
          </w:tcPr>
          <w:p w14:paraId="0CF79060">
            <w:pPr>
              <w:pStyle w:val="23"/>
              <w:widowControl w:val="0"/>
              <w:bidi w:val="0"/>
              <w:spacing w:line="240" w:lineRule="auto"/>
              <w:ind w:left="0" w:leftChars="0" w:right="0" w:rightChars="0" w:firstLine="0" w:firstLineChars="0"/>
              <w:jc w:val="center"/>
              <w:rPr>
                <w:rFonts w:hint="default"/>
                <w:lang w:val="en-US" w:eastAsia="zh-CN"/>
              </w:rPr>
            </w:pPr>
            <w:r>
              <w:rPr>
                <w:rFonts w:hint="eastAsia"/>
                <w:lang w:val="en-US" w:eastAsia="zh-CN"/>
              </w:rPr>
              <w:t>社会维度</w:t>
            </w:r>
          </w:p>
        </w:tc>
        <w:tc>
          <w:tcPr>
            <w:tcW w:w="0" w:type="auto"/>
            <w:vAlign w:val="center"/>
          </w:tcPr>
          <w:p w14:paraId="4EFF501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全部从业人员平均人数</w:t>
            </w:r>
          </w:p>
        </w:tc>
        <w:tc>
          <w:tcPr>
            <w:tcW w:w="1854" w:type="dxa"/>
            <w:vAlign w:val="center"/>
          </w:tcPr>
          <w:p w14:paraId="2D231E3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定量指标</w:t>
            </w:r>
          </w:p>
        </w:tc>
      </w:tr>
      <w:tr w14:paraId="62EBE1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3A452B4D">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0086ABB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园区从业人员数</w:t>
            </w:r>
          </w:p>
        </w:tc>
        <w:tc>
          <w:tcPr>
            <w:tcW w:w="1854" w:type="dxa"/>
            <w:vAlign w:val="center"/>
          </w:tcPr>
          <w:p w14:paraId="71D55F6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定量指标</w:t>
            </w:r>
          </w:p>
        </w:tc>
      </w:tr>
      <w:tr w14:paraId="3DB0B9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292085B5">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3E4EF2A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sz w:val="18"/>
                <w:szCs w:val="18"/>
                <w:highlight w:val="none"/>
                <w:lang w:val="en-US" w:eastAsia="zh-CN"/>
              </w:rPr>
              <w:t>园区从业人员增长率</w:t>
            </w:r>
          </w:p>
        </w:tc>
        <w:tc>
          <w:tcPr>
            <w:tcW w:w="1854" w:type="dxa"/>
            <w:vAlign w:val="center"/>
          </w:tcPr>
          <w:p w14:paraId="309A1AA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定量指标</w:t>
            </w:r>
          </w:p>
        </w:tc>
      </w:tr>
      <w:tr w14:paraId="3D73E5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70E47386">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43ADF1C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是否为连续生产型企业</w:t>
            </w:r>
          </w:p>
        </w:tc>
        <w:tc>
          <w:tcPr>
            <w:tcW w:w="1854" w:type="dxa"/>
            <w:vAlign w:val="center"/>
          </w:tcPr>
          <w:p w14:paraId="21B9467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定性指标</w:t>
            </w:r>
          </w:p>
        </w:tc>
      </w:tr>
      <w:tr w14:paraId="7E921E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46BAF878">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2BA095D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是否实行错峰生产</w:t>
            </w:r>
          </w:p>
        </w:tc>
        <w:tc>
          <w:tcPr>
            <w:tcW w:w="1854" w:type="dxa"/>
            <w:vAlign w:val="center"/>
          </w:tcPr>
          <w:p w14:paraId="53F3FF4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定性指标</w:t>
            </w:r>
          </w:p>
        </w:tc>
      </w:tr>
      <w:tr w14:paraId="6C54BE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7ECA6AD5">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221DB93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是否属于劳动密集型行业</w:t>
            </w:r>
          </w:p>
        </w:tc>
        <w:tc>
          <w:tcPr>
            <w:tcW w:w="1854" w:type="dxa"/>
            <w:vAlign w:val="center"/>
          </w:tcPr>
          <w:p w14:paraId="3E4D77A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定性指标</w:t>
            </w:r>
          </w:p>
        </w:tc>
      </w:tr>
      <w:tr w14:paraId="515A46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6D049922">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74DEBA8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是否属于资源依赖性行业</w:t>
            </w:r>
          </w:p>
        </w:tc>
        <w:tc>
          <w:tcPr>
            <w:tcW w:w="1854" w:type="dxa"/>
            <w:vAlign w:val="center"/>
          </w:tcPr>
          <w:p w14:paraId="2F5542D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定性指标</w:t>
            </w:r>
          </w:p>
        </w:tc>
      </w:tr>
      <w:tr w14:paraId="14A21D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4EC85955">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7992017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是否属于高就业弹性行业</w:t>
            </w:r>
          </w:p>
        </w:tc>
        <w:tc>
          <w:tcPr>
            <w:tcW w:w="1854" w:type="dxa"/>
            <w:vAlign w:val="center"/>
          </w:tcPr>
          <w:p w14:paraId="2D1A37E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定性指标</w:t>
            </w:r>
          </w:p>
        </w:tc>
      </w:tr>
      <w:tr w14:paraId="00688D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restart"/>
            <w:vAlign w:val="center"/>
          </w:tcPr>
          <w:p w14:paraId="1FCAF3D4">
            <w:pPr>
              <w:pStyle w:val="23"/>
              <w:widowControl w:val="0"/>
              <w:bidi w:val="0"/>
              <w:spacing w:line="240" w:lineRule="auto"/>
              <w:ind w:left="0" w:leftChars="0" w:right="0" w:rightChars="0" w:firstLine="0" w:firstLineChars="0"/>
              <w:jc w:val="center"/>
              <w:rPr>
                <w:rFonts w:hint="default"/>
                <w:lang w:val="en-US" w:eastAsia="zh-CN"/>
              </w:rPr>
            </w:pPr>
            <w:r>
              <w:rPr>
                <w:rFonts w:hint="eastAsia"/>
                <w:lang w:val="en-US" w:eastAsia="zh-CN"/>
              </w:rPr>
              <w:t>技术维度</w:t>
            </w:r>
          </w:p>
        </w:tc>
        <w:tc>
          <w:tcPr>
            <w:tcW w:w="0" w:type="auto"/>
            <w:vAlign w:val="center"/>
          </w:tcPr>
          <w:p w14:paraId="069BD0E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sz w:val="18"/>
                <w:szCs w:val="18"/>
                <w:highlight w:val="none"/>
                <w:lang w:val="en-US" w:eastAsia="zh-CN"/>
              </w:rPr>
              <w:t>工业增加值可比价增长</w:t>
            </w:r>
          </w:p>
        </w:tc>
        <w:tc>
          <w:tcPr>
            <w:tcW w:w="1854" w:type="dxa"/>
            <w:vAlign w:val="center"/>
          </w:tcPr>
          <w:p w14:paraId="329ECD5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sz w:val="18"/>
                <w:szCs w:val="18"/>
                <w:highlight w:val="none"/>
                <w:lang w:val="en-US" w:eastAsia="zh-CN"/>
              </w:rPr>
              <w:t>定量指标</w:t>
            </w:r>
          </w:p>
        </w:tc>
      </w:tr>
      <w:tr w14:paraId="288B44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46294CEC">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13E74A2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成本费用利用率</w:t>
            </w:r>
          </w:p>
        </w:tc>
        <w:tc>
          <w:tcPr>
            <w:tcW w:w="1854" w:type="dxa"/>
            <w:vAlign w:val="center"/>
          </w:tcPr>
          <w:p w14:paraId="1B4A6F8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定量指标</w:t>
            </w:r>
          </w:p>
        </w:tc>
      </w:tr>
      <w:tr w14:paraId="4B59AE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27E2D367">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35E30D5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劳动生产率</w:t>
            </w:r>
          </w:p>
        </w:tc>
        <w:tc>
          <w:tcPr>
            <w:tcW w:w="1854" w:type="dxa"/>
            <w:vAlign w:val="center"/>
          </w:tcPr>
          <w:p w14:paraId="5359C19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定量指标</w:t>
            </w:r>
          </w:p>
        </w:tc>
      </w:tr>
      <w:tr w14:paraId="5B13AE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657AE670">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37B3FF3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sz w:val="18"/>
                <w:szCs w:val="18"/>
                <w:highlight w:val="none"/>
                <w:lang w:val="en-US" w:eastAsia="zh-CN"/>
              </w:rPr>
              <w:t>每百元产值占用流动资产平均余额</w:t>
            </w:r>
          </w:p>
        </w:tc>
        <w:tc>
          <w:tcPr>
            <w:tcW w:w="1854" w:type="dxa"/>
            <w:vAlign w:val="center"/>
          </w:tcPr>
          <w:p w14:paraId="186775C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定量指标</w:t>
            </w:r>
          </w:p>
        </w:tc>
      </w:tr>
      <w:tr w14:paraId="702DAD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0E973794">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5FD03FB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平均每一职工工业总产值</w:t>
            </w:r>
          </w:p>
        </w:tc>
        <w:tc>
          <w:tcPr>
            <w:tcW w:w="1854" w:type="dxa"/>
            <w:vAlign w:val="center"/>
          </w:tcPr>
          <w:p w14:paraId="0070D27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定量指标</w:t>
            </w:r>
          </w:p>
        </w:tc>
      </w:tr>
      <w:tr w14:paraId="24184A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064C6EE4">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063328B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平均每一职工实现利税</w:t>
            </w:r>
          </w:p>
        </w:tc>
        <w:tc>
          <w:tcPr>
            <w:tcW w:w="1854" w:type="dxa"/>
            <w:vAlign w:val="center"/>
          </w:tcPr>
          <w:p w14:paraId="27A4DDD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定量指标</w:t>
            </w:r>
          </w:p>
        </w:tc>
      </w:tr>
      <w:tr w14:paraId="2FC903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260AE597">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59A13BC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是否重大科技改革项目投产</w:t>
            </w:r>
          </w:p>
        </w:tc>
        <w:tc>
          <w:tcPr>
            <w:tcW w:w="1854" w:type="dxa"/>
            <w:vAlign w:val="center"/>
          </w:tcPr>
          <w:p w14:paraId="545F551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定性指标</w:t>
            </w:r>
          </w:p>
        </w:tc>
      </w:tr>
      <w:tr w14:paraId="705221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506B9D76">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1F43DF2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是否使用高效节能设备</w:t>
            </w:r>
          </w:p>
        </w:tc>
        <w:tc>
          <w:tcPr>
            <w:tcW w:w="1854" w:type="dxa"/>
            <w:vAlign w:val="center"/>
          </w:tcPr>
          <w:p w14:paraId="1CB4E78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定性指标</w:t>
            </w:r>
          </w:p>
        </w:tc>
      </w:tr>
      <w:tr w14:paraId="02CB84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restart"/>
            <w:vAlign w:val="center"/>
          </w:tcPr>
          <w:p w14:paraId="0E6B691B">
            <w:pPr>
              <w:pStyle w:val="23"/>
              <w:widowControl w:val="0"/>
              <w:bidi w:val="0"/>
              <w:spacing w:line="240" w:lineRule="auto"/>
              <w:ind w:left="0" w:leftChars="0" w:right="0" w:rightChars="0" w:firstLine="0" w:firstLineChars="0"/>
              <w:jc w:val="center"/>
              <w:rPr>
                <w:rFonts w:hint="default"/>
                <w:lang w:val="en-US" w:eastAsia="zh-CN"/>
              </w:rPr>
            </w:pPr>
            <w:r>
              <w:rPr>
                <w:rFonts w:hint="eastAsia"/>
                <w:lang w:val="en-US" w:eastAsia="zh-CN"/>
              </w:rPr>
              <w:t>环境维度</w:t>
            </w:r>
          </w:p>
        </w:tc>
        <w:tc>
          <w:tcPr>
            <w:tcW w:w="0" w:type="auto"/>
            <w:vAlign w:val="center"/>
          </w:tcPr>
          <w:p w14:paraId="3E74715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综合能源消费量累计增速</w:t>
            </w:r>
          </w:p>
        </w:tc>
        <w:tc>
          <w:tcPr>
            <w:tcW w:w="1854" w:type="dxa"/>
            <w:vAlign w:val="center"/>
          </w:tcPr>
          <w:p w14:paraId="7D368E6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定量指标</w:t>
            </w:r>
          </w:p>
        </w:tc>
      </w:tr>
      <w:tr w14:paraId="688BE8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7D790A22">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33472C7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sz w:val="18"/>
                <w:szCs w:val="18"/>
                <w:highlight w:val="none"/>
                <w:lang w:val="en-US" w:eastAsia="zh-CN"/>
              </w:rPr>
              <w:t>综合能源消费量</w:t>
            </w:r>
          </w:p>
        </w:tc>
        <w:tc>
          <w:tcPr>
            <w:tcW w:w="1854" w:type="dxa"/>
            <w:vAlign w:val="center"/>
          </w:tcPr>
          <w:p w14:paraId="604D5BA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定量指标</w:t>
            </w:r>
          </w:p>
        </w:tc>
      </w:tr>
      <w:tr w14:paraId="12CFE2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09C379BC">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197E80B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产值能耗</w:t>
            </w:r>
          </w:p>
        </w:tc>
        <w:tc>
          <w:tcPr>
            <w:tcW w:w="1854" w:type="dxa"/>
            <w:vAlign w:val="center"/>
          </w:tcPr>
          <w:p w14:paraId="4575578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定量指标</w:t>
            </w:r>
          </w:p>
        </w:tc>
      </w:tr>
      <w:tr w14:paraId="088C5E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09711F91">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7FA104B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是否被列为重点排污单位</w:t>
            </w:r>
          </w:p>
        </w:tc>
        <w:tc>
          <w:tcPr>
            <w:tcW w:w="1854" w:type="dxa"/>
            <w:vAlign w:val="center"/>
          </w:tcPr>
          <w:p w14:paraId="0F389CB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定性指标</w:t>
            </w:r>
          </w:p>
        </w:tc>
      </w:tr>
      <w:tr w14:paraId="6A1B2D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181D0DA0">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2E914FE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kern w:val="2"/>
                <w:sz w:val="18"/>
                <w:szCs w:val="20"/>
                <w:highlight w:val="none"/>
                <w:lang w:val="en-US" w:eastAsia="zh-CN" w:bidi="ar"/>
              </w:rPr>
              <w:t>是否因环保限产导致减产</w:t>
            </w:r>
          </w:p>
        </w:tc>
        <w:tc>
          <w:tcPr>
            <w:tcW w:w="1854" w:type="dxa"/>
            <w:vAlign w:val="center"/>
          </w:tcPr>
          <w:p w14:paraId="12023C6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定性指标</w:t>
            </w:r>
          </w:p>
        </w:tc>
      </w:tr>
      <w:tr w14:paraId="0189AB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0" w:type="auto"/>
            <w:vMerge w:val="continue"/>
            <w:vAlign w:val="center"/>
          </w:tcPr>
          <w:p w14:paraId="3DC2D327">
            <w:pPr>
              <w:pStyle w:val="23"/>
              <w:widowControl w:val="0"/>
              <w:bidi w:val="0"/>
              <w:spacing w:line="240" w:lineRule="auto"/>
              <w:ind w:left="0" w:leftChars="0" w:right="0" w:rightChars="0" w:firstLine="0" w:firstLineChars="0"/>
              <w:jc w:val="center"/>
              <w:rPr>
                <w:rFonts w:hint="eastAsia"/>
                <w:lang w:eastAsia="zh-CN"/>
              </w:rPr>
            </w:pPr>
          </w:p>
        </w:tc>
        <w:tc>
          <w:tcPr>
            <w:tcW w:w="0" w:type="auto"/>
            <w:vAlign w:val="center"/>
          </w:tcPr>
          <w:p w14:paraId="3BA1BD4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kern w:val="2"/>
                <w:sz w:val="18"/>
                <w:szCs w:val="20"/>
                <w:highlight w:val="none"/>
                <w:lang w:val="en-US" w:eastAsia="zh-CN" w:bidi="ar"/>
              </w:rPr>
              <w:t>是否属于水环境重点排污单位</w:t>
            </w:r>
          </w:p>
        </w:tc>
        <w:tc>
          <w:tcPr>
            <w:tcW w:w="1854" w:type="dxa"/>
            <w:vAlign w:val="center"/>
          </w:tcPr>
          <w:p w14:paraId="5D48F21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定性指标</w:t>
            </w:r>
          </w:p>
        </w:tc>
      </w:tr>
      <w:tr w14:paraId="496213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853" w:type="dxa"/>
            <w:vMerge w:val="continue"/>
            <w:vAlign w:val="center"/>
          </w:tcPr>
          <w:p w14:paraId="480001C0">
            <w:pPr>
              <w:pStyle w:val="23"/>
              <w:widowControl w:val="0"/>
              <w:bidi w:val="0"/>
              <w:spacing w:line="240" w:lineRule="auto"/>
              <w:ind w:left="0" w:leftChars="0" w:right="0" w:rightChars="0" w:firstLine="0" w:firstLineChars="0"/>
              <w:jc w:val="center"/>
              <w:rPr>
                <w:rFonts w:hint="eastAsia"/>
                <w:lang w:eastAsia="zh-CN"/>
              </w:rPr>
            </w:pPr>
          </w:p>
        </w:tc>
        <w:tc>
          <w:tcPr>
            <w:tcW w:w="5845" w:type="dxa"/>
            <w:vAlign w:val="center"/>
          </w:tcPr>
          <w:p w14:paraId="24F9FFF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Times New Roman"/>
                <w:kern w:val="2"/>
                <w:sz w:val="18"/>
                <w:szCs w:val="20"/>
                <w:highlight w:val="none"/>
                <w:lang w:val="en-US" w:eastAsia="zh-CN" w:bidi="ar"/>
              </w:rPr>
              <w:t>是否属于大气环境重点排污单位</w:t>
            </w:r>
          </w:p>
        </w:tc>
        <w:tc>
          <w:tcPr>
            <w:tcW w:w="1854" w:type="dxa"/>
            <w:vAlign w:val="center"/>
          </w:tcPr>
          <w:p w14:paraId="3BC0D58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18"/>
                <w:szCs w:val="18"/>
                <w:lang w:eastAsia="zh-CN"/>
              </w:rPr>
            </w:pPr>
            <w:r>
              <w:rPr>
                <w:rFonts w:hint="eastAsia" w:ascii="Times New Roman" w:hAnsi="Times New Roman" w:eastAsia="宋体" w:cs="宋体"/>
                <w:kern w:val="0"/>
                <w:sz w:val="18"/>
                <w:szCs w:val="21"/>
                <w:highlight w:val="none"/>
                <w:lang w:val="en-US" w:eastAsia="zh-CN" w:bidi="ar"/>
              </w:rPr>
              <w:t>定性指标</w:t>
            </w:r>
          </w:p>
        </w:tc>
      </w:tr>
      <w:bookmarkEnd w:id="4"/>
      <w:bookmarkEnd w:id="5"/>
      <w:bookmarkEnd w:id="6"/>
    </w:tbl>
    <w:p w14:paraId="75533FB3">
      <w:pPr>
        <w:pStyle w:val="21"/>
        <w:rPr>
          <w:rFonts w:hint="eastAsia" w:ascii="黑体" w:hAnsi="Times New Roman" w:eastAsia="黑体" w:cs="Times New Roman"/>
          <w:sz w:val="21"/>
          <w:szCs w:val="20"/>
          <w:lang w:val="en-US" w:eastAsia="zh-CN" w:bidi="ar-SA"/>
        </w:rPr>
      </w:pPr>
      <w:bookmarkStart w:id="47" w:name="_Toc14143"/>
      <w:r>
        <w:rPr>
          <w:rFonts w:hint="eastAsia" w:ascii="黑体" w:hAnsi="Times New Roman" w:eastAsia="黑体" w:cs="Times New Roman"/>
          <w:sz w:val="21"/>
          <w:szCs w:val="20"/>
          <w:lang w:val="en-US" w:eastAsia="zh-CN" w:bidi="ar-SA"/>
        </w:rPr>
        <w:t>指标权重确定</w:t>
      </w:r>
      <w:bookmarkEnd w:id="47"/>
    </w:p>
    <w:p w14:paraId="30F14144">
      <w:pPr>
        <w:pStyle w:val="24"/>
        <w:rPr>
          <w:rFonts w:hint="default" w:ascii="黑体" w:hAnsi="Times New Roman" w:eastAsia="黑体" w:cs="Times New Roman"/>
          <w:bCs w:val="0"/>
          <w:kern w:val="0"/>
          <w:szCs w:val="20"/>
          <w:lang w:val="en-US" w:eastAsia="zh-CN" w:bidi="ar"/>
        </w:rPr>
      </w:pPr>
      <w:r>
        <w:rPr>
          <w:rFonts w:hint="default" w:ascii="黑体" w:hAnsi="Times New Roman" w:eastAsia="黑体" w:cs="Times New Roman"/>
          <w:bCs w:val="0"/>
          <w:kern w:val="0"/>
          <w:sz w:val="21"/>
          <w:szCs w:val="20"/>
          <w:lang w:val="en-US" w:eastAsia="zh-CN" w:bidi="ar"/>
        </w:rPr>
        <w:t>确定步骤</w:t>
      </w:r>
    </w:p>
    <w:p w14:paraId="269536BA">
      <w:pPr>
        <w:pStyle w:val="28"/>
        <w:numPr>
          <w:ilvl w:val="-1"/>
          <w:numId w:val="0"/>
        </w:numPr>
        <w:spacing w:before="0" w:beforeLines="0" w:after="0" w:afterLines="0"/>
        <w:ind w:firstLine="420" w:firstLineChars="200"/>
        <w:rPr>
          <w:rFonts w:hint="eastAsia" w:ascii="宋体" w:hAnsi="Times New Roman" w:eastAsia="宋体" w:cs="Times New Roman"/>
          <w:bCs w:val="0"/>
          <w:kern w:val="0"/>
          <w:szCs w:val="20"/>
          <w:highlight w:val="none"/>
          <w:lang w:val="en-US" w:eastAsia="zh-CN" w:bidi="ar"/>
        </w:rPr>
      </w:pPr>
      <w:r>
        <w:rPr>
          <w:rFonts w:hint="eastAsia" w:ascii="宋体" w:hAnsi="Times New Roman" w:eastAsia="宋体" w:cs="Times New Roman"/>
          <w:bCs w:val="0"/>
          <w:kern w:val="0"/>
          <w:szCs w:val="20"/>
          <w:highlight w:val="none"/>
          <w:lang w:val="en-US" w:eastAsia="zh-CN" w:bidi="ar"/>
        </w:rPr>
        <w:t>采用主成分</w:t>
      </w:r>
      <w:r>
        <w:rPr>
          <w:rFonts w:hint="eastAsia" w:cs="Times New Roman"/>
          <w:bCs w:val="0"/>
          <w:kern w:val="0"/>
          <w:szCs w:val="20"/>
          <w:highlight w:val="none"/>
          <w:lang w:val="en-US" w:eastAsia="zh-CN" w:bidi="ar"/>
        </w:rPr>
        <w:t>分析</w:t>
      </w:r>
      <w:r>
        <w:rPr>
          <w:rFonts w:hint="eastAsia" w:ascii="宋体" w:hAnsi="Times New Roman" w:eastAsia="宋体" w:cs="Times New Roman"/>
          <w:bCs w:val="0"/>
          <w:kern w:val="0"/>
          <w:szCs w:val="20"/>
          <w:highlight w:val="none"/>
          <w:lang w:val="en-US" w:eastAsia="zh-CN" w:bidi="ar"/>
        </w:rPr>
        <w:t>（PCA）和熵权法确定行业发展健康指标的权重，包含主成分分析和熵权法两个步骤。先通过主成分（PCA）分析对原始指标降维，</w:t>
      </w:r>
      <w:r>
        <w:rPr>
          <w:rFonts w:hint="eastAsia" w:ascii="宋体" w:hAnsi="Times New Roman" w:eastAsia="宋体" w:cs="Times New Roman"/>
          <w:kern w:val="0"/>
          <w:szCs w:val="20"/>
          <w:highlight w:val="none"/>
          <w:lang w:val="en-US" w:eastAsia="zh-CN" w:bidi="ar"/>
        </w:rPr>
        <w:t>通过</w:t>
      </w:r>
      <w:r>
        <w:rPr>
          <w:rFonts w:hint="eastAsia" w:ascii="宋体" w:hAnsi="Times New Roman" w:eastAsia="宋体" w:cs="Times New Roman"/>
          <w:bCs w:val="0"/>
          <w:kern w:val="0"/>
          <w:szCs w:val="20"/>
          <w:highlight w:val="none"/>
          <w:lang w:val="en-US" w:eastAsia="zh-CN" w:bidi="ar"/>
        </w:rPr>
        <w:t>熵权法确定各主成分所占权重。</w:t>
      </w:r>
    </w:p>
    <w:p w14:paraId="29913B43">
      <w:pPr>
        <w:pStyle w:val="24"/>
        <w:rPr>
          <w:rFonts w:hint="default" w:ascii="黑体" w:hAnsi="Times New Roman" w:eastAsia="黑体" w:cs="Times New Roman"/>
          <w:bCs w:val="0"/>
          <w:kern w:val="0"/>
          <w:sz w:val="21"/>
          <w:szCs w:val="20"/>
          <w:lang w:val="en-US" w:eastAsia="zh-CN" w:bidi="ar"/>
        </w:rPr>
      </w:pPr>
      <w:r>
        <w:rPr>
          <w:rFonts w:hint="default" w:ascii="黑体" w:hAnsi="Times New Roman" w:eastAsia="黑体" w:cs="Times New Roman"/>
          <w:bCs w:val="0"/>
          <w:kern w:val="0"/>
          <w:sz w:val="21"/>
          <w:szCs w:val="20"/>
          <w:lang w:val="en-US" w:eastAsia="zh-CN" w:bidi="ar"/>
        </w:rPr>
        <w:t>主成分分析（PCA）</w:t>
      </w:r>
    </w:p>
    <w:p w14:paraId="4FD749A4">
      <w:pPr>
        <w:pStyle w:val="29"/>
        <w:rPr>
          <w:rFonts w:hint="eastAsia" w:ascii="宋体" w:hAnsi="宋体" w:eastAsia="宋体" w:cs="宋体"/>
          <w:bCs w:val="0"/>
          <w:kern w:val="0"/>
          <w:sz w:val="21"/>
          <w:szCs w:val="20"/>
          <w:lang w:val="en-US" w:eastAsia="zh-CN" w:bidi="ar"/>
        </w:rPr>
      </w:pPr>
      <w:r>
        <w:rPr>
          <w:rFonts w:hint="eastAsia" w:ascii="宋体" w:hAnsi="宋体" w:eastAsia="宋体" w:cs="宋体"/>
          <w:bCs w:val="0"/>
          <w:kern w:val="0"/>
          <w:sz w:val="21"/>
          <w:szCs w:val="20"/>
          <w:lang w:val="en-US" w:eastAsia="zh-CN" w:bidi="ar"/>
        </w:rPr>
        <w:t>按公式（1）计算样本数据的协方差矩阵：</w:t>
      </w:r>
    </w:p>
    <w:p w14:paraId="02AF7241">
      <w:pPr>
        <w:pStyle w:val="25"/>
        <w:bidi w:val="0"/>
        <w:rPr>
          <w:rFonts w:hint="eastAsia"/>
          <w:lang w:val="en-US" w:eastAsia="zh-CN"/>
        </w:rPr>
      </w:pPr>
      <w:r>
        <w:rPr>
          <w:rFonts w:hint="eastAsia"/>
          <w:lang w:val="en-US" w:eastAsia="zh-CN"/>
        </w:rPr>
        <w:tab/>
      </w:r>
      <m:oMath>
        <m:nary>
          <m:naryPr>
            <m:chr m:val="∑"/>
            <m:limLoc m:val="subSup"/>
            <m:subHide m:val="1"/>
            <m:supHide m:val="1"/>
            <m:ctrlPr>
              <w:rPr>
                <w:rFonts w:hint="default" w:ascii="Cambria Math" w:hAnsi="Cambria Math"/>
                <w:sz w:val="21"/>
              </w:rPr>
            </m:ctrlPr>
          </m:naryPr>
          <m:sub>
            <m:ctrlPr>
              <w:rPr>
                <w:rFonts w:ascii="Cambria Math" w:hAnsi="Cambria Math"/>
                <w:sz w:val="21"/>
              </w:rPr>
            </m:ctrlPr>
          </m:sub>
          <m:sup>
            <m:ctrlPr>
              <w:rPr>
                <w:rFonts w:ascii="Cambria Math" w:hAnsi="Cambria Math"/>
                <w:sz w:val="21"/>
              </w:rPr>
            </m:ctrlPr>
          </m:sup>
          <m:e>
            <m:r>
              <m:rPr/>
              <w:rPr>
                <w:rFonts w:hint="eastAsia" w:ascii="Cambria Math" w:hAnsi="Cambria Math"/>
                <w:sz w:val="21"/>
                <w:lang w:val="en-US" w:eastAsia="zh-CN"/>
              </w:rPr>
              <m:t>=</m:t>
            </m:r>
            <m:ctrlPr>
              <w:rPr>
                <w:rFonts w:ascii="Cambria Math" w:hAnsi="Cambria Math"/>
                <w:sz w:val="21"/>
              </w:rPr>
            </m:ctrlPr>
          </m:e>
        </m:nary>
        <m:d>
          <m:dPr>
            <m:ctrlPr>
              <w:rPr>
                <w:rFonts w:hint="default" w:ascii="Cambria Math" w:hAnsi="Cambria Math"/>
                <w:sz w:val="21"/>
              </w:rPr>
            </m:ctrlPr>
          </m:dPr>
          <m:e>
            <m:sSub>
              <m:sSubPr>
                <m:ctrlPr>
                  <w:rPr>
                    <w:rFonts w:hint="default" w:ascii="Cambria Math" w:hAnsi="Cambria Math"/>
                    <w:sz w:val="21"/>
                  </w:rPr>
                </m:ctrlPr>
              </m:sSubPr>
              <m:e>
                <m:r>
                  <m:rPr/>
                  <w:rPr>
                    <w:rFonts w:hint="default" w:ascii="Cambria Math" w:hAnsi="Cambria Math"/>
                    <w:sz w:val="21"/>
                  </w:rPr>
                  <m:t>s</m:t>
                </m:r>
                <m:ctrlPr>
                  <w:rPr>
                    <w:rFonts w:ascii="Cambria Math" w:hAnsi="Cambria Math"/>
                    <w:sz w:val="21"/>
                  </w:rPr>
                </m:ctrlPr>
              </m:e>
              <m:sub>
                <m:r>
                  <m:rPr/>
                  <w:rPr>
                    <w:rFonts w:hint="default" w:ascii="Cambria Math" w:hAnsi="Cambria Math"/>
                    <w:sz w:val="21"/>
                  </w:rPr>
                  <m:t>ij</m:t>
                </m:r>
                <m:ctrlPr>
                  <w:rPr>
                    <w:rFonts w:ascii="Cambria Math" w:hAnsi="Cambria Math"/>
                    <w:sz w:val="21"/>
                  </w:rPr>
                </m:ctrlPr>
              </m:sub>
            </m:sSub>
            <m:ctrlPr>
              <w:rPr>
                <w:rFonts w:hint="default" w:ascii="Cambria Math" w:hAnsi="Cambria Math"/>
                <w:sz w:val="21"/>
              </w:rPr>
            </m:ctrlPr>
          </m:e>
        </m:d>
        <m:r>
          <m:rPr/>
          <w:rPr>
            <w:rFonts w:hint="default" w:ascii="Cambria Math" w:hAnsi="Cambria Math"/>
            <w:sz w:val="21"/>
          </w:rPr>
          <m:t>p×p</m:t>
        </m:r>
      </m:oMath>
      <w:r>
        <w:rPr>
          <w:rFonts w:hint="eastAsia" w:ascii="微软雅黑" w:hAnsi="微软雅黑" w:eastAsia="微软雅黑" w:cs="微软雅黑"/>
          <w:lang w:val="en-US" w:eastAsia="zh-CN"/>
        </w:rPr>
        <w:tab/>
      </w:r>
      <w:r>
        <w:rPr>
          <w:rFonts w:hint="eastAsia"/>
          <w:lang w:val="en-US" w:eastAsia="zh-CN"/>
        </w:rPr>
        <w:t>(</w:t>
      </w:r>
      <w:r>
        <w:rPr>
          <w:rFonts w:hint="eastAsia"/>
          <w:lang w:val="en-US" w:eastAsia="zh-CN"/>
        </w:rPr>
        <w:fldChar w:fldCharType="begin"/>
      </w:r>
      <w:r>
        <w:rPr>
          <w:rFonts w:hint="eastAsia"/>
          <w:lang w:val="en-US" w:eastAsia="zh-CN"/>
        </w:rPr>
        <w:instrText xml:space="preserve"> SEQ 公式 \* ARABIC </w:instrText>
      </w:r>
      <w:r>
        <w:rPr>
          <w:rFonts w:hint="eastAsia"/>
          <w:lang w:val="en-US" w:eastAsia="zh-CN"/>
        </w:rPr>
        <w:fldChar w:fldCharType="separate"/>
      </w:r>
      <w:r>
        <w:rPr>
          <w:rFonts w:hint="eastAsia"/>
          <w:lang w:val="en-US" w:eastAsia="zh-CN"/>
        </w:rPr>
        <w:t>1</w:t>
      </w:r>
      <w:r>
        <w:rPr>
          <w:rFonts w:hint="eastAsia"/>
          <w:lang w:val="en-US" w:eastAsia="zh-CN"/>
        </w:rPr>
        <w:fldChar w:fldCharType="end"/>
      </w:r>
      <w:r>
        <w:rPr>
          <w:rFonts w:hint="eastAsia"/>
          <w:lang w:val="en-US" w:eastAsia="zh-CN"/>
        </w:rPr>
        <w:t>)</w:t>
      </w:r>
    </w:p>
    <w:p w14:paraId="5D35F893">
      <w:pPr>
        <w:widowControl/>
        <w:tabs>
          <w:tab w:val="center" w:pos="4200"/>
          <w:tab w:val="right" w:pos="8400"/>
        </w:tabs>
        <w:spacing w:line="240" w:lineRule="auto"/>
        <w:ind w:firstLine="420"/>
        <w:rPr>
          <w:rFonts w:hint="default" w:ascii="Times New Roman" w:hAnsi="Times New Roman" w:eastAsia="方正仿宋" w:cs="方正仿宋"/>
          <w:bCs/>
          <w:szCs w:val="21"/>
          <w:lang w:val="en-US" w:eastAsia="zh-CN" w:bidi="ar"/>
        </w:rPr>
      </w:pPr>
      <w:r>
        <w:rPr>
          <w:rFonts w:hint="default" w:ascii="Times New Roman" w:hAnsi="Times New Roman" w:eastAsia="方正仿宋" w:cs="方正仿宋"/>
          <w:bCs/>
          <w:szCs w:val="21"/>
          <w:lang w:val="en-US" w:eastAsia="zh-CN" w:bidi="ar"/>
        </w:rPr>
        <w:t>式中：</w:t>
      </w:r>
    </w:p>
    <w:p w14:paraId="7C3753CD">
      <w:pPr>
        <w:widowControl/>
        <w:tabs>
          <w:tab w:val="center" w:pos="4200"/>
          <w:tab w:val="right" w:pos="8400"/>
        </w:tabs>
        <w:ind w:firstLine="420"/>
        <w:rPr>
          <w:rFonts w:ascii="Times New Roman" w:hAnsi="Times New Roman" w:eastAsia="方正仿宋" w:cs="方正仿宋"/>
          <w:bCs/>
          <w:szCs w:val="21"/>
          <w:lang w:bidi="ar"/>
        </w:rPr>
      </w:pPr>
      <m:oMath>
        <m:nary>
          <m:naryPr>
            <m:chr m:val="∑"/>
            <m:limLoc m:val="subSup"/>
            <m:subHide m:val="1"/>
            <m:supHide m:val="1"/>
            <m:ctrlPr>
              <w:rPr>
                <w:rFonts w:ascii="Cambria Math" w:hAnsi="Cambria Math" w:eastAsia="方正仿宋" w:cs="方正仿宋"/>
                <w:bCs/>
                <w:szCs w:val="21"/>
                <w:lang w:bidi="ar"/>
              </w:rPr>
            </m:ctrlPr>
          </m:naryPr>
          <m:sub>
            <m:ctrlPr>
              <w:rPr>
                <w:rFonts w:ascii="Cambria Math" w:hAnsi="Cambria Math" w:eastAsia="方正仿宋" w:cs="方正仿宋"/>
                <w:bCs/>
                <w:szCs w:val="21"/>
                <w:lang w:bidi="ar"/>
              </w:rPr>
            </m:ctrlPr>
          </m:sub>
          <m:sup>
            <m:ctrlPr>
              <w:rPr>
                <w:rFonts w:ascii="Cambria Math" w:hAnsi="Cambria Math" w:eastAsia="方正仿宋" w:cs="方正仿宋"/>
                <w:bCs/>
                <w:szCs w:val="21"/>
                <w:lang w:bidi="ar"/>
              </w:rPr>
            </m:ctrlPr>
          </m:sup>
          <m:e>
            <m:r>
              <m:rPr>
                <m:sty m:val="p"/>
              </m:rPr>
              <w:rPr>
                <w:rFonts w:ascii="Times New Roman" w:hAnsi="Times New Roman" w:eastAsia="方正仿宋" w:cs="方正仿宋"/>
                <w:szCs w:val="21"/>
                <w:lang w:bidi="ar"/>
              </w:rPr>
              <m:t xml:space="preserve"> </m:t>
            </m:r>
            <m:ctrlPr>
              <w:rPr>
                <w:rFonts w:ascii="Cambria Math" w:hAnsi="Cambria Math" w:eastAsia="方正仿宋" w:cs="方正仿宋"/>
                <w:bCs/>
                <w:szCs w:val="21"/>
                <w:lang w:bidi="ar"/>
              </w:rPr>
            </m:ctrlPr>
          </m:e>
        </m:nary>
      </m:oMath>
      <w:r>
        <w:rPr>
          <w:rFonts w:ascii="Times New Roman" w:hAnsi="Times New Roman" w:eastAsia="方正仿宋" w:cs="方正仿宋"/>
          <w:bCs/>
          <w:szCs w:val="21"/>
          <w:lang w:bidi="ar"/>
        </w:rPr>
        <w:t>——整体协方差矩阵，维度p行p列</w:t>
      </w:r>
      <w:r>
        <w:rPr>
          <w:rFonts w:hint="eastAsia" w:ascii="Times New Roman" w:hAnsi="Times New Roman" w:eastAsia="方正仿宋" w:cs="方正仿宋"/>
          <w:bCs/>
          <w:szCs w:val="21"/>
          <w:lang w:bidi="ar"/>
        </w:rPr>
        <w:t>；</w:t>
      </w:r>
    </w:p>
    <w:p w14:paraId="05C8FB38">
      <w:pPr>
        <w:widowControl/>
        <w:tabs>
          <w:tab w:val="center" w:pos="4200"/>
          <w:tab w:val="right" w:pos="8400"/>
        </w:tabs>
        <w:ind w:firstLine="420"/>
        <w:rPr>
          <w:rFonts w:ascii="Times New Roman" w:hAnsi="Times New Roman" w:eastAsia="方正仿宋" w:cs="方正仿宋"/>
          <w:bCs/>
          <w:szCs w:val="21"/>
          <w:lang w:bidi="ar"/>
        </w:rPr>
      </w:pPr>
      <m:oMath>
        <m:sSub>
          <m:sSubPr>
            <m:ctrlPr>
              <w:rPr>
                <w:rFonts w:ascii="Cambria Math" w:hAnsi="Cambria Math" w:eastAsia="方正仿宋" w:cs="方正仿宋"/>
                <w:bCs/>
                <w:i/>
                <w:iCs/>
                <w:szCs w:val="21"/>
                <w:lang w:bidi="ar"/>
              </w:rPr>
            </m:ctrlPr>
          </m:sSubPr>
          <m:e>
            <m:r>
              <m:rPr/>
              <w:rPr>
                <w:rFonts w:ascii="Times New Roman" w:hAnsi="Times New Roman" w:eastAsia="方正仿宋" w:cs="方正仿宋"/>
                <w:szCs w:val="21"/>
                <w:lang w:bidi="ar"/>
              </w:rPr>
              <m:t>s</m:t>
            </m:r>
            <m:ctrlPr>
              <w:rPr>
                <w:rFonts w:ascii="Cambria Math" w:hAnsi="Cambria Math" w:eastAsia="方正仿宋" w:cs="方正仿宋"/>
                <w:bCs/>
                <w:i/>
                <w:iCs/>
                <w:szCs w:val="21"/>
                <w:lang w:bidi="ar"/>
              </w:rPr>
            </m:ctrlPr>
          </m:e>
          <m:sub>
            <m:r>
              <m:rPr/>
              <w:rPr>
                <w:rFonts w:ascii="Times New Roman" w:hAnsi="Times New Roman" w:eastAsia="方正仿宋" w:cs="方正仿宋"/>
                <w:szCs w:val="21"/>
                <w:lang w:bidi="ar"/>
              </w:rPr>
              <m:t>ij</m:t>
            </m:r>
            <m:ctrlPr>
              <w:rPr>
                <w:rFonts w:ascii="Cambria Math" w:hAnsi="Cambria Math" w:eastAsia="方正仿宋" w:cs="方正仿宋"/>
                <w:bCs/>
                <w:i/>
                <w:iCs/>
                <w:szCs w:val="21"/>
                <w:lang w:bidi="ar"/>
              </w:rPr>
            </m:ctrlPr>
          </m:sub>
        </m:sSub>
      </m:oMath>
      <w:r>
        <w:rPr>
          <w:rFonts w:ascii="Times New Roman" w:hAnsi="Times New Roman" w:eastAsia="方正仿宋" w:cs="方正仿宋"/>
          <w:bCs/>
          <w:szCs w:val="21"/>
          <w:lang w:bidi="ar"/>
        </w:rPr>
        <w:t>——第i个指标与第j个指标的样本协方差</w:t>
      </w:r>
      <w:r>
        <w:rPr>
          <w:rFonts w:hint="eastAsia" w:ascii="Times New Roman" w:hAnsi="Times New Roman" w:eastAsia="方正仿宋" w:cs="方正仿宋"/>
          <w:bCs/>
          <w:szCs w:val="21"/>
          <w:lang w:bidi="ar"/>
        </w:rPr>
        <w:t>；</w:t>
      </w:r>
    </w:p>
    <w:p w14:paraId="7B40E72A">
      <w:pPr>
        <w:widowControl/>
        <w:tabs>
          <w:tab w:val="center" w:pos="4200"/>
          <w:tab w:val="right" w:pos="8400"/>
        </w:tabs>
        <w:ind w:firstLine="420"/>
        <w:rPr>
          <w:rFonts w:ascii="Times New Roman" w:hAnsi="Times New Roman" w:eastAsia="方正仿宋" w:cs="方正仿宋"/>
          <w:bCs/>
          <w:szCs w:val="21"/>
          <w:lang w:bidi="ar"/>
        </w:rPr>
      </w:pPr>
      <m:oMath>
        <m:r>
          <m:rPr/>
          <w:rPr>
            <w:rFonts w:ascii="Times New Roman" w:hAnsi="Times New Roman" w:eastAsia="方正仿宋" w:cs="方正仿宋"/>
            <w:szCs w:val="21"/>
            <w:lang w:bidi="ar"/>
          </w:rPr>
          <m:t>p</m:t>
        </m:r>
      </m:oMath>
      <w:r>
        <w:rPr>
          <w:rFonts w:ascii="Times New Roman" w:hAnsi="Times New Roman" w:eastAsia="方正仿宋" w:cs="方正仿宋"/>
          <w:bCs/>
          <w:szCs w:val="21"/>
          <w:lang w:bidi="ar"/>
        </w:rPr>
        <w:t>——原始指标变量的个数。</w:t>
      </w:r>
    </w:p>
    <w:p w14:paraId="5ACA43D5">
      <w:pPr>
        <w:pStyle w:val="29"/>
        <w:rPr>
          <w:rFonts w:hint="eastAsia" w:ascii="宋体" w:hAnsi="宋体" w:eastAsia="宋体" w:cs="宋体"/>
          <w:bCs w:val="0"/>
          <w:kern w:val="0"/>
          <w:szCs w:val="20"/>
          <w:lang w:val="en-US" w:eastAsia="zh-CN" w:bidi="ar"/>
        </w:rPr>
      </w:pPr>
      <w:r>
        <w:rPr>
          <w:rFonts w:hint="eastAsia" w:ascii="宋体" w:hAnsi="宋体" w:eastAsia="宋体" w:cs="宋体"/>
          <w:bCs w:val="0"/>
          <w:kern w:val="0"/>
          <w:szCs w:val="20"/>
          <w:lang w:val="en-US" w:eastAsia="zh-CN" w:bidi="ar"/>
        </w:rPr>
        <w:t>按公式（2）计算第i个主成分的方差贡献率：</w:t>
      </w:r>
    </w:p>
    <w:p w14:paraId="25AE7EED">
      <w:pPr>
        <w:pStyle w:val="25"/>
        <w:bidi w:val="0"/>
        <w:rPr>
          <w:rFonts w:hint="eastAsia"/>
          <w:lang w:eastAsia="zh-CN"/>
        </w:rPr>
      </w:pPr>
      <w:r>
        <w:rPr>
          <w:rFonts w:hint="eastAsia"/>
          <w:lang w:eastAsia="zh-CN"/>
        </w:rPr>
        <w:tab/>
      </w:r>
      <m:oMath>
        <m:sSub>
          <m:sSubPr>
            <m:ctrlPr>
              <w:rPr>
                <w:rFonts w:hint="default" w:ascii="Cambria Math" w:hAnsi="Cambria Math"/>
                <w:sz w:val="21"/>
              </w:rPr>
            </m:ctrlPr>
          </m:sSubPr>
          <m:e>
            <m:r>
              <m:rPr/>
              <w:rPr>
                <w:rFonts w:hint="default" w:ascii="Cambria Math" w:hAnsi="Cambria Math"/>
                <w:sz w:val="21"/>
              </w:rPr>
              <m:t>α</m:t>
            </m:r>
            <m:ctrlPr>
              <w:rPr>
                <w:rFonts w:ascii="Cambria Math" w:hAnsi="Cambria Math"/>
                <w:sz w:val="21"/>
              </w:rPr>
            </m:ctrlPr>
          </m:e>
          <m:sub>
            <m:r>
              <m:rPr/>
              <w:rPr>
                <w:rFonts w:hint="default" w:ascii="Cambria Math" w:hAnsi="Cambria Math"/>
                <w:sz w:val="21"/>
              </w:rPr>
              <m:t>i</m:t>
            </m:r>
            <m:ctrlPr>
              <w:rPr>
                <w:rFonts w:ascii="Cambria Math" w:hAnsi="Cambria Math"/>
                <w:sz w:val="21"/>
              </w:rPr>
            </m:ctrlPr>
          </m:sub>
        </m:sSub>
        <m:r>
          <m:rPr/>
          <w:rPr>
            <w:rFonts w:hint="default" w:ascii="Cambria Math" w:hAnsi="Cambria Math"/>
            <w:sz w:val="21"/>
          </w:rPr>
          <m:t>=</m:t>
        </m:r>
        <m:sSub>
          <m:sSubPr>
            <m:ctrlPr>
              <w:rPr>
                <w:rFonts w:hint="default" w:ascii="Cambria Math" w:hAnsi="Cambria Math"/>
                <w:sz w:val="21"/>
              </w:rPr>
            </m:ctrlPr>
          </m:sSubPr>
          <m:e>
            <m:r>
              <m:rPr/>
              <w:rPr>
                <w:rFonts w:hint="default" w:ascii="Cambria Math" w:hAnsi="Cambria Math"/>
                <w:sz w:val="21"/>
              </w:rPr>
              <m:t>λ</m:t>
            </m:r>
            <m:ctrlPr>
              <w:rPr>
                <w:rFonts w:ascii="Cambria Math" w:hAnsi="Cambria Math"/>
                <w:sz w:val="21"/>
              </w:rPr>
            </m:ctrlPr>
          </m:e>
          <m:sub>
            <m:r>
              <m:rPr/>
              <w:rPr>
                <w:rFonts w:hint="default" w:ascii="Cambria Math" w:hAnsi="Cambria Math"/>
                <w:sz w:val="21"/>
              </w:rPr>
              <m:t>i</m:t>
            </m:r>
            <m:ctrlPr>
              <w:rPr>
                <w:rFonts w:ascii="Cambria Math" w:hAnsi="Cambria Math"/>
                <w:sz w:val="21"/>
              </w:rPr>
            </m:ctrlPr>
          </m:sub>
        </m:sSub>
        <m:r>
          <m:rPr/>
          <w:rPr>
            <w:rFonts w:hint="default" w:ascii="Cambria Math" w:hAnsi="Cambria Math"/>
            <w:sz w:val="21"/>
          </w:rPr>
          <m:t>/</m:t>
        </m:r>
        <m:nary>
          <m:naryPr>
            <m:chr m:val="∑"/>
            <m:limLoc m:val="subSup"/>
            <m:ctrlPr>
              <w:rPr>
                <w:rFonts w:hint="default" w:ascii="Cambria Math" w:hAnsi="Cambria Math"/>
                <w:sz w:val="21"/>
              </w:rPr>
            </m:ctrlPr>
          </m:naryPr>
          <m:sub>
            <m:r>
              <m:rPr/>
              <w:rPr>
                <w:rFonts w:hint="default" w:ascii="Cambria Math" w:hAnsi="Cambria Math"/>
                <w:sz w:val="21"/>
              </w:rPr>
              <m:t>i=1</m:t>
            </m:r>
            <m:ctrlPr>
              <w:rPr>
                <w:rFonts w:ascii="Cambria Math" w:hAnsi="Cambria Math"/>
                <w:sz w:val="21"/>
              </w:rPr>
            </m:ctrlPr>
          </m:sub>
          <m:sup>
            <m:r>
              <m:rPr/>
              <w:rPr>
                <w:rFonts w:hint="default" w:ascii="Cambria Math" w:hAnsi="Cambria Math"/>
                <w:sz w:val="21"/>
              </w:rPr>
              <m:t>m</m:t>
            </m:r>
            <m:ctrlPr>
              <w:rPr>
                <w:rFonts w:ascii="Cambria Math" w:hAnsi="Cambria Math"/>
                <w:sz w:val="21"/>
              </w:rPr>
            </m:ctrlPr>
          </m:sup>
          <m:e>
            <m:sSub>
              <m:sSubPr>
                <m:ctrlPr>
                  <w:rPr>
                    <w:rFonts w:hint="default" w:ascii="Cambria Math" w:hAnsi="Cambria Math"/>
                    <w:sz w:val="21"/>
                  </w:rPr>
                </m:ctrlPr>
              </m:sSubPr>
              <m:e>
                <m:r>
                  <m:rPr/>
                  <w:rPr>
                    <w:rFonts w:hint="default" w:ascii="Cambria Math" w:hAnsi="Cambria Math"/>
                    <w:sz w:val="21"/>
                  </w:rPr>
                  <m:t>λ</m:t>
                </m:r>
                <m:ctrlPr>
                  <w:rPr>
                    <w:rFonts w:ascii="Cambria Math" w:hAnsi="Cambria Math"/>
                    <w:sz w:val="21"/>
                  </w:rPr>
                </m:ctrlPr>
              </m:e>
              <m:sub>
                <m:r>
                  <m:rPr/>
                  <w:rPr>
                    <w:rFonts w:hint="default" w:ascii="Cambria Math" w:hAnsi="Cambria Math"/>
                    <w:sz w:val="21"/>
                  </w:rPr>
                  <m:t>i</m:t>
                </m:r>
                <m:ctrlPr>
                  <w:rPr>
                    <w:rFonts w:ascii="Cambria Math" w:hAnsi="Cambria Math"/>
                    <w:sz w:val="21"/>
                  </w:rPr>
                </m:ctrlPr>
              </m:sub>
            </m:sSub>
            <m:ctrlPr>
              <w:rPr>
                <w:rFonts w:hint="default" w:ascii="Cambria Math" w:hAnsi="Cambria Math"/>
                <w:sz w:val="21"/>
              </w:rPr>
            </m:ctrlPr>
          </m:e>
        </m:nary>
        <m:r>
          <m:rPr>
            <m:sty m:val="p"/>
          </m:rPr>
          <w:rPr>
            <w:rFonts w:hint="eastAsia"/>
            <w:lang w:val="en-US" w:eastAsia="zh-CN"/>
          </w:rPr>
          <m:t xml:space="preserve"> </m:t>
        </m:r>
      </m:oMath>
      <w:r>
        <w:rPr>
          <w:rFonts w:hint="eastAsia" w:ascii="微软雅黑" w:hAnsi="微软雅黑" w:eastAsia="微软雅黑" w:cs="微软雅黑"/>
          <w:lang w:eastAsia="zh-CN"/>
        </w:rPr>
        <w:tab/>
      </w:r>
      <w:r>
        <w:rPr>
          <w:rFonts w:hint="eastAsia"/>
          <w:lang w:eastAsia="zh-CN"/>
        </w:rPr>
        <w:t>(</w:t>
      </w:r>
      <w:r>
        <w:rPr>
          <w:rFonts w:hint="eastAsia"/>
          <w:lang w:eastAsia="zh-CN"/>
        </w:rPr>
        <w:fldChar w:fldCharType="begin"/>
      </w:r>
      <w:r>
        <w:rPr>
          <w:rFonts w:hint="eastAsia"/>
          <w:lang w:eastAsia="zh-CN"/>
        </w:rPr>
        <w:instrText xml:space="preserve"> SEQ 公式 \* ARABIC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w:t>
      </w:r>
    </w:p>
    <w:p w14:paraId="494A3A8C">
      <w:pPr>
        <w:widowControl/>
        <w:tabs>
          <w:tab w:val="center" w:pos="4200"/>
          <w:tab w:val="right" w:pos="8400"/>
        </w:tabs>
        <w:spacing w:line="240" w:lineRule="auto"/>
        <w:ind w:firstLine="420"/>
        <w:rPr>
          <w:rFonts w:hint="default" w:ascii="Times New Roman" w:hAnsi="Times New Roman" w:eastAsia="方正仿宋" w:cs="方正仿宋"/>
          <w:bCs/>
          <w:szCs w:val="21"/>
          <w:lang w:eastAsia="zh-CN" w:bidi="ar"/>
        </w:rPr>
      </w:pPr>
      <w:r>
        <w:rPr>
          <w:rFonts w:hint="default" w:ascii="Times New Roman" w:hAnsi="Times New Roman" w:eastAsia="方正仿宋" w:cs="方正仿宋"/>
          <w:bCs/>
          <w:szCs w:val="21"/>
          <w:lang w:eastAsia="zh-CN" w:bidi="ar"/>
        </w:rPr>
        <w:t>式中：</w:t>
      </w:r>
    </w:p>
    <w:p w14:paraId="76400833">
      <w:pPr>
        <w:widowControl/>
        <w:tabs>
          <w:tab w:val="center" w:pos="4200"/>
          <w:tab w:val="right" w:pos="8400"/>
        </w:tabs>
        <w:ind w:firstLine="420"/>
        <w:rPr>
          <w:rFonts w:ascii="Cambria Math" w:hAnsi="Cambria Math" w:eastAsia="方正仿宋" w:cs="方正仿宋"/>
          <w:bCs/>
          <w:szCs w:val="21"/>
          <w:lang w:bidi="ar"/>
        </w:rPr>
      </w:pPr>
      <m:oMath>
        <m:sSub>
          <m:sSubPr>
            <m:ctrlPr>
              <w:rPr>
                <w:rFonts w:ascii="Cambria Math" w:hAnsi="Cambria Math" w:eastAsia="方正仿宋" w:cs="方正仿宋"/>
                <w:bCs/>
                <w:szCs w:val="21"/>
                <w:lang w:bidi="ar"/>
              </w:rPr>
            </m:ctrlPr>
          </m:sSubPr>
          <m:e>
            <m:r>
              <m:rPr>
                <m:sty m:val="p"/>
              </m:rPr>
              <w:rPr>
                <w:rFonts w:ascii="Cambria Math" w:hAnsi="Cambria Math" w:eastAsia="方正仿宋" w:cs="方正仿宋"/>
                <w:szCs w:val="21"/>
                <w:lang w:bidi="ar"/>
              </w:rPr>
              <m:t>α</m:t>
            </m:r>
            <m:ctrlPr>
              <w:rPr>
                <w:rFonts w:ascii="Cambria Math" w:hAnsi="Cambria Math" w:eastAsia="方正仿宋" w:cs="方正仿宋"/>
                <w:bCs/>
                <w:szCs w:val="21"/>
                <w:lang w:bidi="ar"/>
              </w:rPr>
            </m:ctrlPr>
          </m:e>
          <m:sub>
            <m:r>
              <m:rPr>
                <m:sty m:val="p"/>
              </m:rPr>
              <w:rPr>
                <w:rFonts w:ascii="Cambria Math" w:hAnsi="Cambria Math" w:eastAsia="方正仿宋" w:cs="方正仿宋"/>
                <w:szCs w:val="21"/>
                <w:lang w:bidi="ar"/>
              </w:rPr>
              <m:t>i</m:t>
            </m:r>
            <m:ctrlPr>
              <w:rPr>
                <w:rFonts w:ascii="Cambria Math" w:hAnsi="Cambria Math" w:eastAsia="方正仿宋" w:cs="方正仿宋"/>
                <w:bCs/>
                <w:szCs w:val="21"/>
                <w:lang w:bidi="ar"/>
              </w:rPr>
            </m:ctrlPr>
          </m:sub>
        </m:sSub>
      </m:oMath>
      <w:r>
        <w:rPr>
          <w:rFonts w:ascii="Cambria Math" w:hAnsi="Cambria Math" w:eastAsia="方正仿宋" w:cs="方正仿宋"/>
          <w:bCs/>
          <w:szCs w:val="21"/>
          <w:lang w:bidi="ar"/>
        </w:rPr>
        <w:t>——第i个主成分的</w:t>
      </w:r>
      <w:r>
        <w:rPr>
          <w:rFonts w:hint="eastAsia" w:ascii="Cambria Math" w:hAnsi="Cambria Math" w:eastAsia="方正仿宋" w:cs="方正仿宋"/>
          <w:bCs/>
          <w:szCs w:val="21"/>
          <w:lang w:bidi="ar"/>
        </w:rPr>
        <w:t>单独</w:t>
      </w:r>
      <w:r>
        <w:rPr>
          <w:rFonts w:ascii="Cambria Math" w:hAnsi="Cambria Math" w:eastAsia="方正仿宋" w:cs="方正仿宋"/>
          <w:bCs/>
          <w:szCs w:val="21"/>
          <w:lang w:bidi="ar"/>
        </w:rPr>
        <w:t>方差贡献率；</w:t>
      </w:r>
    </w:p>
    <w:p w14:paraId="3A7A8C43">
      <w:pPr>
        <w:widowControl/>
        <w:tabs>
          <w:tab w:val="center" w:pos="4200"/>
          <w:tab w:val="right" w:pos="8400"/>
        </w:tabs>
        <w:ind w:firstLine="420"/>
        <w:rPr>
          <w:rFonts w:ascii="Times New Roman" w:hAnsi="Times New Roman" w:eastAsia="方正仿宋" w:cs="方正仿宋"/>
          <w:bCs/>
          <w:szCs w:val="21"/>
          <w:lang w:bidi="ar"/>
        </w:rPr>
      </w:pPr>
      <m:oMath>
        <m:sSub>
          <m:sSubPr>
            <m:ctrlPr>
              <w:rPr>
                <w:rFonts w:ascii="Cambria Math" w:hAnsi="Cambria Math" w:eastAsia="方正仿宋" w:cs="方正仿宋"/>
                <w:bCs/>
                <w:szCs w:val="21"/>
                <w:lang w:bidi="ar"/>
              </w:rPr>
            </m:ctrlPr>
          </m:sSubPr>
          <m:e>
            <m:r>
              <m:rPr>
                <m:sty m:val="p"/>
              </m:rPr>
              <w:rPr>
                <w:rFonts w:ascii="Times New Roman" w:hAnsi="Times New Roman" w:eastAsia="方正仿宋" w:cs="方正仿宋"/>
                <w:szCs w:val="21"/>
                <w:lang w:bidi="ar"/>
              </w:rPr>
              <m:t>λ</m:t>
            </m:r>
            <m:ctrlPr>
              <w:rPr>
                <w:rFonts w:ascii="Cambria Math" w:hAnsi="Cambria Math" w:eastAsia="方正仿宋" w:cs="方正仿宋"/>
                <w:bCs/>
                <w:szCs w:val="21"/>
                <w:lang w:bidi="ar"/>
              </w:rPr>
            </m:ctrlPr>
          </m:e>
          <m:sub>
            <m:r>
              <m:rPr>
                <m:sty m:val="p"/>
              </m:rPr>
              <w:rPr>
                <w:rFonts w:ascii="Times New Roman" w:hAnsi="Times New Roman" w:eastAsia="方正仿宋" w:cs="方正仿宋"/>
                <w:szCs w:val="21"/>
                <w:lang w:bidi="ar"/>
              </w:rPr>
              <m:t>i</m:t>
            </m:r>
            <m:ctrlPr>
              <w:rPr>
                <w:rFonts w:ascii="Cambria Math" w:hAnsi="Cambria Math" w:eastAsia="方正仿宋" w:cs="方正仿宋"/>
                <w:bCs/>
                <w:szCs w:val="21"/>
                <w:lang w:bidi="ar"/>
              </w:rPr>
            </m:ctrlPr>
          </m:sub>
        </m:sSub>
      </m:oMath>
      <w:r>
        <w:rPr>
          <w:rFonts w:ascii="Times New Roman" w:hAnsi="Times New Roman" w:eastAsia="方正仿宋" w:cs="方正仿宋"/>
          <w:bCs/>
          <w:szCs w:val="21"/>
          <w:lang w:bidi="ar"/>
        </w:rPr>
        <w:t>——</w:t>
      </w:r>
      <w:r>
        <w:rPr>
          <w:rFonts w:hint="eastAsia" w:ascii="Times New Roman" w:hAnsi="Times New Roman" w:eastAsia="方正仿宋" w:cs="方正仿宋"/>
          <w:bCs/>
          <w:szCs w:val="21"/>
          <w:lang w:bidi="ar"/>
        </w:rPr>
        <w:t>协方差矩阵第</w:t>
      </w:r>
      <w:r>
        <w:rPr>
          <w:rFonts w:ascii="Times New Roman" w:hAnsi="Times New Roman" w:eastAsia="方正仿宋" w:cs="方正仿宋"/>
          <w:bCs/>
          <w:szCs w:val="21"/>
          <w:lang w:bidi="ar"/>
        </w:rPr>
        <w:t>i</w:t>
      </w:r>
      <w:r>
        <w:rPr>
          <w:rFonts w:hint="eastAsia" w:ascii="Times New Roman" w:hAnsi="Times New Roman" w:eastAsia="方正仿宋" w:cs="方正仿宋"/>
          <w:bCs/>
          <w:szCs w:val="21"/>
          <w:lang w:bidi="ar"/>
        </w:rPr>
        <w:t>个特征值。</w:t>
      </w:r>
    </w:p>
    <w:p w14:paraId="3E6FD50F">
      <w:pPr>
        <w:pStyle w:val="29"/>
        <w:rPr>
          <w:rFonts w:hint="eastAsia" w:ascii="宋体" w:hAnsi="宋体" w:eastAsia="宋体" w:cs="宋体"/>
          <w:bCs w:val="0"/>
          <w:kern w:val="0"/>
          <w:sz w:val="21"/>
          <w:szCs w:val="20"/>
          <w:lang w:val="en-US" w:eastAsia="zh-CN" w:bidi="ar"/>
        </w:rPr>
      </w:pPr>
      <w:r>
        <w:rPr>
          <w:rFonts w:hint="eastAsia" w:ascii="宋体" w:hAnsi="宋体" w:eastAsia="宋体" w:cs="宋体"/>
          <w:bCs w:val="0"/>
          <w:kern w:val="0"/>
          <w:sz w:val="21"/>
          <w:szCs w:val="20"/>
          <w:lang w:val="en-US" w:eastAsia="zh-CN" w:bidi="ar"/>
        </w:rPr>
        <w:t>按公式（3）计算方差累积贡献率：</w:t>
      </w:r>
    </w:p>
    <w:p w14:paraId="14A66493">
      <w:pPr>
        <w:pStyle w:val="25"/>
        <w:bidi w:val="0"/>
        <w:rPr>
          <w:rFonts w:hint="eastAsia"/>
          <w:lang w:eastAsia="zh-CN"/>
        </w:rPr>
      </w:pPr>
      <w:r>
        <w:rPr>
          <w:rFonts w:hint="eastAsia"/>
          <w:lang w:eastAsia="zh-CN"/>
        </w:rPr>
        <w:tab/>
      </w:r>
      <m:oMath>
        <m:r>
          <m:rPr/>
          <w:rPr>
            <w:rFonts w:hint="default" w:ascii="Cambria Math" w:hAnsi="Cambria Math"/>
            <w:sz w:val="21"/>
          </w:rPr>
          <m:t>G(</m:t>
        </m:r>
        <m:r>
          <m:rPr/>
          <w:rPr>
            <w:rFonts w:hint="default" w:ascii="Cambria Math" w:hAnsi="Cambria Math"/>
            <w:sz w:val="21"/>
            <w:lang w:val="en-US" w:eastAsia="zh-CN"/>
          </w:rPr>
          <m:t>m</m:t>
        </m:r>
        <m:r>
          <m:rPr/>
          <w:rPr>
            <w:rFonts w:hint="eastAsia" w:ascii="Cambria Math" w:hAnsi="Cambria Math"/>
            <w:sz w:val="21"/>
          </w:rPr>
          <m:t>)</m:t>
        </m:r>
        <m:r>
          <m:rPr>
            <m:sty m:val="p"/>
          </m:rPr>
          <w:rPr>
            <w:rFonts w:hint="eastAsia" w:ascii="Cambria Math" w:hAnsi="Cambria Math"/>
            <w:sz w:val="21"/>
          </w:rPr>
          <m:t>=</m:t>
        </m:r>
        <m:nary>
          <m:naryPr>
            <m:chr m:val="∑"/>
            <m:limLoc m:val="subSup"/>
            <m:ctrlPr>
              <w:rPr>
                <w:rFonts w:hint="eastAsia" w:ascii="Cambria Math" w:hAnsi="Cambria Math"/>
                <w:sz w:val="21"/>
              </w:rPr>
            </m:ctrlPr>
          </m:naryPr>
          <m:sub>
            <m:r>
              <m:rPr>
                <m:sty m:val="p"/>
              </m:rPr>
              <w:rPr>
                <w:rFonts w:hint="eastAsia" w:ascii="Cambria Math" w:hAnsi="Cambria Math"/>
                <w:sz w:val="21"/>
              </w:rPr>
              <m:t>i=1</m:t>
            </m:r>
            <m:ctrlPr>
              <w:rPr>
                <w:rFonts w:hint="eastAsia" w:ascii="Cambria Math" w:hAnsi="Cambria Math"/>
                <w:sz w:val="21"/>
              </w:rPr>
            </m:ctrlPr>
          </m:sub>
          <m:sup>
            <m:r>
              <m:rPr>
                <m:sty m:val="p"/>
              </m:rPr>
              <w:rPr>
                <w:rFonts w:hint="eastAsia" w:ascii="Cambria Math" w:hAnsi="Cambria Math"/>
                <w:sz w:val="21"/>
              </w:rPr>
              <m:t>m</m:t>
            </m:r>
            <m:ctrlPr>
              <w:rPr>
                <w:rFonts w:hint="eastAsia" w:ascii="Cambria Math" w:hAnsi="Cambria Math"/>
                <w:sz w:val="21"/>
              </w:rPr>
            </m:ctrlPr>
          </m:sup>
          <m:e>
            <m:sSub>
              <m:sSubPr>
                <m:ctrlPr>
                  <w:rPr>
                    <w:rFonts w:hint="eastAsia" w:ascii="Cambria Math" w:hAnsi="Cambria Math"/>
                    <w:sz w:val="21"/>
                  </w:rPr>
                </m:ctrlPr>
              </m:sSubPr>
              <m:e>
                <m:r>
                  <m:rPr>
                    <m:sty m:val="p"/>
                  </m:rPr>
                  <w:rPr>
                    <w:rFonts w:hint="eastAsia" w:ascii="Cambria Math" w:hAnsi="Cambria Math"/>
                    <w:sz w:val="21"/>
                  </w:rPr>
                  <m:t>λ</m:t>
                </m:r>
                <m:ctrlPr>
                  <w:rPr>
                    <w:rFonts w:hint="eastAsia" w:ascii="Cambria Math" w:hAnsi="Cambria Math"/>
                    <w:sz w:val="21"/>
                  </w:rPr>
                </m:ctrlPr>
              </m:e>
              <m:sub>
                <m:r>
                  <m:rPr>
                    <m:sty m:val="p"/>
                  </m:rPr>
                  <w:rPr>
                    <w:rFonts w:hint="eastAsia" w:ascii="Cambria Math" w:hAnsi="Cambria Math"/>
                    <w:sz w:val="21"/>
                  </w:rPr>
                  <m:t>i</m:t>
                </m:r>
                <m:ctrlPr>
                  <w:rPr>
                    <w:rFonts w:hint="eastAsia" w:ascii="Cambria Math" w:hAnsi="Cambria Math"/>
                    <w:sz w:val="21"/>
                  </w:rPr>
                </m:ctrlPr>
              </m:sub>
            </m:sSub>
            <m:ctrlPr>
              <w:rPr>
                <w:rFonts w:hint="eastAsia" w:ascii="Cambria Math" w:hAnsi="Cambria Math"/>
                <w:sz w:val="21"/>
              </w:rPr>
            </m:ctrlPr>
          </m:e>
        </m:nary>
        <m:r>
          <m:rPr>
            <m:sty m:val="p"/>
          </m:rPr>
          <w:rPr>
            <w:rFonts w:hint="eastAsia" w:ascii="Cambria Math" w:hAnsi="Cambria Math"/>
            <w:sz w:val="21"/>
          </w:rPr>
          <m:t>/</m:t>
        </m:r>
        <m:nary>
          <m:naryPr>
            <m:chr m:val="∑"/>
            <m:limLoc m:val="subSup"/>
            <m:ctrlPr>
              <w:rPr>
                <w:rFonts w:hint="eastAsia" w:ascii="Cambria Math" w:hAnsi="Cambria Math"/>
                <w:sz w:val="21"/>
              </w:rPr>
            </m:ctrlPr>
          </m:naryPr>
          <m:sub>
            <m:r>
              <m:rPr>
                <m:sty m:val="p"/>
              </m:rPr>
              <w:rPr>
                <w:rFonts w:hint="eastAsia" w:ascii="Cambria Math" w:hAnsi="Cambria Math"/>
                <w:sz w:val="21"/>
              </w:rPr>
              <m:t>k=1</m:t>
            </m:r>
            <m:ctrlPr>
              <w:rPr>
                <w:rFonts w:hint="eastAsia" w:ascii="Cambria Math" w:hAnsi="Cambria Math"/>
                <w:sz w:val="21"/>
              </w:rPr>
            </m:ctrlPr>
          </m:sub>
          <m:sup>
            <m:r>
              <m:rPr>
                <m:sty m:val="p"/>
              </m:rPr>
              <w:rPr>
                <w:rFonts w:hint="eastAsia" w:ascii="Cambria Math" w:hAnsi="Cambria Math"/>
                <w:sz w:val="21"/>
              </w:rPr>
              <m:t>p</m:t>
            </m:r>
            <m:ctrlPr>
              <w:rPr>
                <w:rFonts w:hint="eastAsia" w:ascii="Cambria Math" w:hAnsi="Cambria Math"/>
                <w:sz w:val="21"/>
              </w:rPr>
            </m:ctrlPr>
          </m:sup>
          <m:e>
            <m:sSub>
              <m:sSubPr>
                <m:ctrlPr>
                  <w:rPr>
                    <w:rFonts w:hint="eastAsia" w:ascii="Cambria Math" w:hAnsi="Cambria Math"/>
                    <w:sz w:val="21"/>
                  </w:rPr>
                </m:ctrlPr>
              </m:sSubPr>
              <m:e>
                <m:r>
                  <m:rPr>
                    <m:sty m:val="p"/>
                  </m:rPr>
                  <w:rPr>
                    <w:rFonts w:hint="eastAsia" w:ascii="Cambria Math" w:hAnsi="Cambria Math"/>
                    <w:sz w:val="21"/>
                  </w:rPr>
                  <m:t>λ</m:t>
                </m:r>
                <m:ctrlPr>
                  <w:rPr>
                    <w:rFonts w:hint="eastAsia" w:ascii="Cambria Math" w:hAnsi="Cambria Math"/>
                    <w:sz w:val="21"/>
                  </w:rPr>
                </m:ctrlPr>
              </m:e>
              <m:sub>
                <m:r>
                  <m:rPr>
                    <m:sty m:val="p"/>
                  </m:rPr>
                  <w:rPr>
                    <w:rFonts w:hint="eastAsia" w:ascii="Cambria Math" w:hAnsi="Cambria Math"/>
                    <w:sz w:val="21"/>
                  </w:rPr>
                  <m:t>k</m:t>
                </m:r>
                <m:ctrlPr>
                  <w:rPr>
                    <w:rFonts w:hint="eastAsia" w:ascii="Cambria Math" w:hAnsi="Cambria Math"/>
                    <w:sz w:val="21"/>
                  </w:rPr>
                </m:ctrlPr>
              </m:sub>
            </m:sSub>
            <m:ctrlPr>
              <w:rPr>
                <w:rFonts w:hint="eastAsia" w:ascii="Cambria Math" w:hAnsi="Cambria Math"/>
                <w:sz w:val="21"/>
              </w:rPr>
            </m:ctrlPr>
          </m:e>
        </m:nary>
        <m:r>
          <m:rPr>
            <m:sty m:val="p"/>
          </m:rPr>
          <w:rPr>
            <w:rFonts w:hint="eastAsia" w:ascii="Times New Roman" w:hAnsi="Times New Roman"/>
            <w:lang w:val="en-US" w:eastAsia="zh-CN"/>
          </w:rPr>
          <m:t xml:space="preserve"> </m:t>
        </m:r>
      </m:oMath>
      <w:r>
        <w:rPr>
          <w:rFonts w:hint="eastAsia" w:ascii="宋体" w:hAnsi="宋体" w:eastAsiaTheme="minorEastAsia" w:cstheme="minorBidi"/>
          <w:lang w:eastAsia="zh-CN"/>
        </w:rPr>
        <w:tab/>
      </w:r>
      <w:r>
        <w:rPr>
          <w:rFonts w:hint="eastAsia"/>
          <w:lang w:eastAsia="zh-CN"/>
        </w:rPr>
        <w:t>(</w:t>
      </w:r>
      <w:r>
        <w:rPr>
          <w:rFonts w:hint="eastAsia"/>
          <w:lang w:eastAsia="zh-CN"/>
        </w:rPr>
        <w:fldChar w:fldCharType="begin"/>
      </w:r>
      <w:r>
        <w:rPr>
          <w:rFonts w:hint="eastAsia"/>
          <w:lang w:eastAsia="zh-CN"/>
        </w:rPr>
        <w:instrText xml:space="preserve"> SEQ 公式 \* ARABIC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w:t>
      </w:r>
    </w:p>
    <w:p w14:paraId="31FDAE81">
      <w:pPr>
        <w:widowControl/>
        <w:tabs>
          <w:tab w:val="center" w:pos="4200"/>
          <w:tab w:val="right" w:pos="8400"/>
        </w:tabs>
        <w:ind w:firstLineChars="200"/>
        <w:rPr>
          <w:rFonts w:hint="default" w:ascii="Times New Roman" w:hAnsi="Times New Roman" w:eastAsia="方正仿宋" w:cs="方正仿宋"/>
          <w:bCs/>
          <w:szCs w:val="21"/>
          <w:lang w:eastAsia="zh-CN" w:bidi="ar"/>
        </w:rPr>
      </w:pPr>
      <w:r>
        <w:rPr>
          <w:rFonts w:hint="default" w:ascii="Times New Roman" w:hAnsi="Times New Roman" w:eastAsia="方正仿宋" w:cs="方正仿宋"/>
          <w:bCs/>
          <w:szCs w:val="21"/>
          <w:lang w:eastAsia="zh-CN" w:bidi="ar"/>
        </w:rPr>
        <w:t>式中：</w:t>
      </w:r>
    </w:p>
    <w:p w14:paraId="31173BC0">
      <w:pPr>
        <w:widowControl/>
        <w:tabs>
          <w:tab w:val="center" w:pos="4200"/>
          <w:tab w:val="right" w:pos="8400"/>
        </w:tabs>
        <w:ind w:firstLine="420" w:firstLineChars="200"/>
        <w:rPr>
          <w:rFonts w:ascii="Times New Roman" w:hAnsi="Times New Roman" w:eastAsia="方正仿宋" w:cs="方正仿宋"/>
          <w:bCs/>
          <w:szCs w:val="21"/>
          <w:lang w:bidi="ar"/>
        </w:rPr>
      </w:pPr>
      <m:oMath>
        <m:r>
          <m:rPr/>
          <w:rPr>
            <w:rFonts w:ascii="Times New Roman" w:hAnsi="Times New Roman" w:eastAsia="方正仿宋" w:cs="方正仿宋"/>
            <w:szCs w:val="21"/>
            <w:lang w:bidi="ar"/>
          </w:rPr>
          <m:t>G(m)</m:t>
        </m:r>
      </m:oMath>
      <w:r>
        <w:rPr>
          <w:rFonts w:ascii="Times New Roman" w:hAnsi="Times New Roman" w:eastAsia="方正仿宋" w:cs="方正仿宋"/>
          <w:bCs/>
          <w:szCs w:val="21"/>
          <w:lang w:bidi="ar"/>
        </w:rPr>
        <w:t>——</w:t>
      </w:r>
      <w:r>
        <w:rPr>
          <w:rFonts w:hint="eastAsia" w:ascii="Times New Roman" w:hAnsi="Times New Roman" w:eastAsia="方正仿宋" w:cs="方正仿宋"/>
          <w:bCs/>
          <w:szCs w:val="21"/>
          <w:lang w:bidi="ar"/>
        </w:rPr>
        <w:t>前m个主成分</w:t>
      </w:r>
      <w:r>
        <w:rPr>
          <w:rFonts w:ascii="Times New Roman" w:hAnsi="Times New Roman" w:eastAsia="方正仿宋" w:cs="方正仿宋"/>
          <w:bCs/>
          <w:szCs w:val="21"/>
          <w:lang w:bidi="ar"/>
        </w:rPr>
        <w:t>方差累计贡献率；</w:t>
      </w:r>
    </w:p>
    <w:p w14:paraId="43E4B18A">
      <w:pPr>
        <w:widowControl/>
        <w:tabs>
          <w:tab w:val="center" w:pos="4200"/>
          <w:tab w:val="right" w:pos="8400"/>
        </w:tabs>
        <w:ind w:firstLine="420" w:firstLineChars="200"/>
        <w:rPr>
          <w:rFonts w:ascii="Times New Roman" w:hAnsi="Times New Roman" w:eastAsia="方正仿宋" w:cs="方正仿宋"/>
          <w:bCs/>
          <w:szCs w:val="21"/>
          <w:lang w:bidi="ar"/>
        </w:rPr>
      </w:pPr>
      <m:oMath>
        <m:r>
          <m:rPr/>
          <w:rPr>
            <w:rFonts w:ascii="Times New Roman" w:hAnsi="Times New Roman" w:eastAsia="方正仿宋" w:cs="方正仿宋"/>
            <w:szCs w:val="21"/>
            <w:lang w:bidi="ar"/>
          </w:rPr>
          <m:t>m</m:t>
        </m:r>
      </m:oMath>
      <w:r>
        <w:rPr>
          <w:rFonts w:ascii="Times New Roman" w:hAnsi="Times New Roman" w:eastAsia="方正仿宋" w:cs="方正仿宋"/>
          <w:bCs/>
          <w:szCs w:val="21"/>
          <w:lang w:bidi="ar"/>
        </w:rPr>
        <w:t>——</w:t>
      </w:r>
      <w:r>
        <w:rPr>
          <w:rFonts w:hint="eastAsia" w:ascii="Times New Roman" w:hAnsi="Times New Roman" w:eastAsia="方正仿宋" w:cs="方正仿宋"/>
          <w:bCs/>
          <w:szCs w:val="21"/>
          <w:lang w:bidi="ar"/>
        </w:rPr>
        <w:t>提取</w:t>
      </w:r>
      <w:r>
        <w:rPr>
          <w:rFonts w:ascii="Times New Roman" w:hAnsi="Times New Roman" w:eastAsia="方正仿宋" w:cs="方正仿宋"/>
          <w:bCs/>
          <w:szCs w:val="21"/>
          <w:lang w:bidi="ar"/>
        </w:rPr>
        <w:t>的主成分个数。</w:t>
      </w:r>
    </w:p>
    <w:p w14:paraId="5975AE4A">
      <w:pPr>
        <w:pStyle w:val="29"/>
        <w:rPr>
          <w:rFonts w:hint="eastAsia" w:ascii="宋体" w:hAnsi="宋体" w:eastAsia="宋体" w:cs="宋体"/>
          <w:bCs w:val="0"/>
          <w:kern w:val="0"/>
          <w:sz w:val="21"/>
          <w:szCs w:val="20"/>
          <w:lang w:val="en-US" w:eastAsia="zh-CN" w:bidi="ar"/>
        </w:rPr>
      </w:pPr>
      <w:r>
        <w:rPr>
          <w:rFonts w:hint="eastAsia" w:ascii="宋体" w:hAnsi="宋体" w:eastAsia="宋体" w:cs="宋体"/>
          <w:bCs w:val="0"/>
          <w:kern w:val="0"/>
          <w:sz w:val="21"/>
          <w:szCs w:val="20"/>
          <w:lang w:val="en-US" w:eastAsia="zh-CN" w:bidi="ar"/>
        </w:rPr>
        <w:t>按公式（4）计算主成分的载荷与得分：</w:t>
      </w:r>
    </w:p>
    <w:p w14:paraId="307ED794">
      <w:pPr>
        <w:pStyle w:val="25"/>
        <w:bidi w:val="0"/>
        <w:rPr>
          <w:rFonts w:hint="eastAsia"/>
          <w:lang w:eastAsia="zh-CN"/>
        </w:rPr>
      </w:pPr>
      <w:r>
        <w:rPr>
          <w:rFonts w:hint="eastAsia"/>
          <w:lang w:eastAsia="zh-CN"/>
        </w:rPr>
        <w:tab/>
      </w:r>
      <m:oMath>
        <m:r>
          <m:rPr/>
          <w:rPr>
            <w:rFonts w:hint="default" w:ascii="Cambria Math" w:hAnsi="Cambria Math"/>
          </w:rPr>
          <m:t>l</m:t>
        </m:r>
        <m:d>
          <m:dPr>
            <m:ctrlPr>
              <w:rPr>
                <w:rFonts w:hint="default" w:ascii="Cambria Math" w:hAnsi="Cambria Math"/>
              </w:rPr>
            </m:ctrlPr>
          </m:dPr>
          <m:e>
            <m:sSub>
              <m:sSubPr>
                <m:ctrlPr>
                  <w:rPr>
                    <w:rFonts w:hint="default" w:ascii="Cambria Math" w:hAnsi="Cambria Math"/>
                  </w:rPr>
                </m:ctrlPr>
              </m:sSubPr>
              <m:e>
                <m:r>
                  <m:rPr/>
                  <w:rPr>
                    <w:rFonts w:hint="default" w:ascii="Cambria Math" w:hAnsi="Cambria Math"/>
                  </w:rPr>
                  <m:t>Z</m:t>
                </m:r>
                <m:ctrlPr>
                  <w:rPr>
                    <w:rFonts w:ascii="Cambria Math" w:hAnsi="Cambria Math"/>
                  </w:rPr>
                </m:ctrlPr>
              </m:e>
              <m:sub>
                <m:r>
                  <m:rPr/>
                  <w:rPr>
                    <w:rFonts w:hint="default" w:ascii="Cambria Math" w:hAnsi="Cambria Math"/>
                  </w:rPr>
                  <m:t>i</m:t>
                </m:r>
                <m:ctrlPr>
                  <w:rPr>
                    <w:rFonts w:ascii="Cambria Math" w:hAnsi="Cambria Math"/>
                  </w:rPr>
                </m:ctrlPr>
              </m:sub>
            </m:sSub>
            <m:r>
              <m:rPr/>
              <w:rPr>
                <w:rFonts w:hint="default" w:ascii="Cambria Math" w:hAnsi="Cambria Math"/>
              </w:rPr>
              <m:t>,</m:t>
            </m:r>
            <m:sSub>
              <m:sSubPr>
                <m:ctrlPr>
                  <w:rPr>
                    <w:rFonts w:hint="default" w:ascii="Cambria Math" w:hAnsi="Cambria Math"/>
                  </w:rPr>
                </m:ctrlPr>
              </m:sSubPr>
              <m:e>
                <m:r>
                  <m:rPr/>
                  <w:rPr>
                    <w:rFonts w:hint="default" w:ascii="Cambria Math" w:hAnsi="Cambria Math"/>
                  </w:rPr>
                  <m:t>X</m:t>
                </m:r>
                <m:ctrlPr>
                  <w:rPr>
                    <w:rFonts w:ascii="Cambria Math" w:hAnsi="Cambria Math"/>
                  </w:rPr>
                </m:ctrlPr>
              </m:e>
              <m:sub>
                <m:r>
                  <m:rPr/>
                  <w:rPr>
                    <w:rFonts w:hint="default" w:ascii="Cambria Math" w:hAnsi="Cambria Math"/>
                  </w:rPr>
                  <m:t>j</m:t>
                </m:r>
                <m:ctrlPr>
                  <w:rPr>
                    <w:rFonts w:ascii="Cambria Math" w:hAnsi="Cambria Math"/>
                  </w:rPr>
                </m:ctrlPr>
              </m:sub>
            </m:sSub>
            <m:ctrlPr>
              <w:rPr>
                <w:rFonts w:hint="default" w:ascii="Cambria Math" w:hAnsi="Cambria Math"/>
              </w:rPr>
            </m:ctrlPr>
          </m:e>
        </m:d>
        <m:r>
          <m:rPr/>
          <w:rPr>
            <w:rFonts w:hint="default" w:ascii="Cambria Math" w:hAnsi="Cambria Math"/>
          </w:rPr>
          <m:t>=</m:t>
        </m:r>
        <m:rad>
          <m:radPr>
            <m:degHide m:val="1"/>
            <m:ctrlPr>
              <w:rPr>
                <w:rFonts w:hint="default" w:ascii="Cambria Math" w:hAnsi="Cambria Math"/>
              </w:rPr>
            </m:ctrlPr>
          </m:radPr>
          <m:deg>
            <m:ctrlPr>
              <w:rPr>
                <w:rFonts w:hint="default" w:ascii="Cambria Math" w:hAnsi="Cambria Math"/>
              </w:rPr>
            </m:ctrlPr>
          </m:deg>
          <m:e>
            <m:sSub>
              <m:sSubPr>
                <m:ctrlPr>
                  <w:rPr>
                    <w:rFonts w:hint="default" w:ascii="Cambria Math" w:hAnsi="Cambria Math"/>
                  </w:rPr>
                </m:ctrlPr>
              </m:sSubPr>
              <m:e>
                <m:r>
                  <m:rPr/>
                  <w:rPr>
                    <w:rFonts w:hint="default" w:ascii="Cambria Math" w:hAnsi="Cambria Math"/>
                  </w:rPr>
                  <m:t>λ</m:t>
                </m:r>
                <m:ctrlPr>
                  <w:rPr>
                    <w:rFonts w:ascii="Cambria Math" w:hAnsi="Cambria Math"/>
                  </w:rPr>
                </m:ctrlPr>
              </m:e>
              <m:sub>
                <m:r>
                  <m:rPr/>
                  <w:rPr>
                    <w:rFonts w:hint="default" w:ascii="Cambria Math" w:hAnsi="Cambria Math"/>
                  </w:rPr>
                  <m:t>i</m:t>
                </m:r>
                <m:ctrlPr>
                  <w:rPr>
                    <w:rFonts w:ascii="Cambria Math" w:hAnsi="Cambria Math"/>
                  </w:rPr>
                </m:ctrlPr>
              </m:sub>
            </m:sSub>
            <m:ctrlPr>
              <w:rPr>
                <w:rFonts w:hint="default" w:ascii="Cambria Math" w:hAnsi="Cambria Math"/>
              </w:rPr>
            </m:ctrlPr>
          </m:e>
        </m:rad>
        <m:sSub>
          <m:sSubPr>
            <m:ctrlPr>
              <w:rPr>
                <w:rFonts w:hint="default" w:ascii="Cambria Math" w:hAnsi="Cambria Math"/>
              </w:rPr>
            </m:ctrlPr>
          </m:sSubPr>
          <m:e>
            <m:r>
              <m:rPr/>
              <w:rPr>
                <w:rFonts w:hint="default" w:ascii="Cambria Math" w:hAnsi="Cambria Math"/>
              </w:rPr>
              <m:t>a</m:t>
            </m:r>
            <m:ctrlPr>
              <w:rPr>
                <w:rFonts w:hint="default" w:ascii="Cambria Math" w:hAnsi="Cambria Math"/>
              </w:rPr>
            </m:ctrlPr>
          </m:e>
          <m:sub>
            <m:r>
              <m:rPr/>
              <w:rPr>
                <w:rFonts w:hint="default" w:ascii="Cambria Math" w:hAnsi="Cambria Math"/>
              </w:rPr>
              <m:t>ij</m:t>
            </m:r>
            <m:ctrlPr>
              <w:rPr>
                <w:rFonts w:hint="default" w:ascii="Cambria Math" w:hAnsi="Cambria Math"/>
              </w:rPr>
            </m:ctrlPr>
          </m:sub>
        </m:sSub>
        <m:r>
          <m:rPr>
            <m:sty m:val="p"/>
          </m:rPr>
          <w:rPr>
            <w:rFonts w:hint="eastAsia"/>
            <w:lang w:val="en-US" w:eastAsia="zh-CN"/>
          </w:rPr>
          <m:t xml:space="preserve"> </m:t>
        </m:r>
      </m:oMath>
      <w:r>
        <w:rPr>
          <w:rFonts w:hint="eastAsia" w:ascii="微软雅黑" w:hAnsi="微软雅黑" w:eastAsia="微软雅黑" w:cs="微软雅黑"/>
          <w:lang w:eastAsia="zh-CN"/>
        </w:rPr>
        <w:tab/>
      </w:r>
      <w:r>
        <w:rPr>
          <w:rFonts w:hint="eastAsia"/>
          <w:lang w:eastAsia="zh-CN"/>
        </w:rPr>
        <w:t>(</w:t>
      </w:r>
      <w:r>
        <w:rPr>
          <w:rFonts w:hint="eastAsia"/>
          <w:lang w:eastAsia="zh-CN"/>
        </w:rPr>
        <w:fldChar w:fldCharType="begin"/>
      </w:r>
      <w:r>
        <w:rPr>
          <w:rFonts w:hint="eastAsia"/>
          <w:lang w:eastAsia="zh-CN"/>
        </w:rPr>
        <w:instrText xml:space="preserve"> SEQ 公式 \* ARABIC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w:t>
      </w:r>
    </w:p>
    <w:p w14:paraId="480546C1">
      <w:pPr>
        <w:widowControl/>
        <w:tabs>
          <w:tab w:val="center" w:pos="4200"/>
          <w:tab w:val="right" w:pos="8400"/>
        </w:tabs>
        <w:ind w:firstLine="420"/>
        <w:rPr>
          <w:rFonts w:hint="default" w:ascii="Times New Roman" w:hAnsi="Times New Roman" w:eastAsia="方正仿宋" w:cs="方正仿宋"/>
          <w:bCs/>
          <w:szCs w:val="21"/>
          <w:lang w:val="en-US" w:eastAsia="zh-CN" w:bidi="ar"/>
        </w:rPr>
      </w:pPr>
      <w:r>
        <w:rPr>
          <w:rFonts w:hint="default" w:ascii="Times New Roman" w:hAnsi="Times New Roman" w:eastAsia="方正仿宋" w:cs="方正仿宋"/>
          <w:bCs/>
          <w:szCs w:val="21"/>
          <w:lang w:val="en-US" w:eastAsia="zh-CN" w:bidi="ar"/>
        </w:rPr>
        <w:t>式中：</w:t>
      </w:r>
    </w:p>
    <w:p w14:paraId="3D810A47">
      <w:pPr>
        <w:tabs>
          <w:tab w:val="center" w:pos="4200"/>
          <w:tab w:val="right" w:pos="8400"/>
        </w:tabs>
        <w:ind w:firstLine="420"/>
        <w:rPr>
          <w:rFonts w:hint="eastAsia" w:hAnsi="Cambria Math" w:cs="方正仿宋" w:eastAsiaTheme="minorEastAsia"/>
          <w:bCs/>
          <w:szCs w:val="21"/>
          <w:lang w:eastAsia="zh-CN" w:bidi="ar"/>
        </w:rPr>
      </w:pPr>
      <m:oMath>
        <m:r>
          <m:rPr/>
          <w:rPr>
            <w:rFonts w:ascii="Cambria Math" w:hAnsi="Cambria Math"/>
          </w:rPr>
          <m:t>l</m:t>
        </m:r>
        <m:d>
          <m:dPr>
            <m:ctrlPr>
              <w:rPr>
                <w:rFonts w:ascii="Cambria Math" w:hAnsi="Cambria Math"/>
              </w:rPr>
            </m:ctrlPr>
          </m:dPr>
          <m:e>
            <m:sSub>
              <m:sSubPr>
                <m:ctrlPr>
                  <w:rPr>
                    <w:rFonts w:ascii="Cambria Math" w:hAnsi="Cambria Math"/>
                  </w:rPr>
                </m:ctrlPr>
              </m:sSubPr>
              <m:e>
                <m:r>
                  <m:rPr/>
                  <w:rPr>
                    <w:rFonts w:ascii="Cambria Math" w:hAnsi="Cambria Math"/>
                  </w:rPr>
                  <m:t>Z</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j</m:t>
                </m:r>
                <m:ctrlPr>
                  <w:rPr>
                    <w:rFonts w:ascii="Cambria Math" w:hAnsi="Cambria Math"/>
                  </w:rPr>
                </m:ctrlPr>
              </m:sub>
            </m:sSub>
            <m:ctrlPr>
              <w:rPr>
                <w:rFonts w:ascii="Cambria Math" w:hAnsi="Cambria Math"/>
              </w:rPr>
            </m:ctrlPr>
          </m:e>
        </m:d>
      </m:oMath>
      <w:r>
        <w:rPr>
          <w:rFonts w:hint="eastAsia" w:hAnsi="Cambria Math"/>
        </w:rPr>
        <w:t>——第j个原始指标</w:t>
      </w:r>
      <w:r>
        <w:rPr>
          <w:rFonts w:hAnsi="Cambria Math"/>
        </w:rPr>
        <w:t>在第i</w:t>
      </w:r>
      <w:r>
        <w:rPr>
          <w:rFonts w:hint="eastAsia" w:hAnsi="Cambria Math"/>
        </w:rPr>
        <w:t>个</w:t>
      </w:r>
      <w:r>
        <w:rPr>
          <w:rFonts w:hAnsi="Cambria Math"/>
        </w:rPr>
        <w:t>主成分上的因子载荷</w:t>
      </w:r>
      <w:r>
        <w:rPr>
          <w:rFonts w:hint="eastAsia" w:hAnsi="Cambria Math"/>
          <w:lang w:eastAsia="zh-CN"/>
        </w:rPr>
        <w:t>；</w:t>
      </w:r>
    </w:p>
    <w:p w14:paraId="47D89EC0">
      <w:pPr>
        <w:tabs>
          <w:tab w:val="center" w:pos="4200"/>
          <w:tab w:val="right" w:pos="8400"/>
        </w:tabs>
        <w:ind w:firstLine="420"/>
        <w:rPr>
          <w:rFonts w:ascii="Times New Roman" w:hAnsi="Times New Roman" w:eastAsia="方正仿宋" w:cs="方正仿宋"/>
          <w:bCs/>
          <w:szCs w:val="21"/>
          <w:lang w:bidi="ar"/>
        </w:rPr>
      </w:pPr>
      <m:oMath>
        <m:sSub>
          <m:sSubPr>
            <m:ctrlPr>
              <w:rPr>
                <w:rFonts w:ascii="Cambria Math" w:hAnsi="Cambria Math" w:eastAsia="方正仿宋" w:cs="方正仿宋"/>
                <w:bCs/>
                <w:szCs w:val="21"/>
                <w:lang w:bidi="ar"/>
              </w:rPr>
            </m:ctrlPr>
          </m:sSubPr>
          <m:e>
            <m:r>
              <m:rPr>
                <m:sty m:val="p"/>
              </m:rPr>
              <w:rPr>
                <w:rFonts w:ascii="Times New Roman" w:hAnsi="Times New Roman" w:eastAsia="方正仿宋" w:cs="方正仿宋"/>
                <w:szCs w:val="21"/>
                <w:lang w:bidi="ar"/>
              </w:rPr>
              <m:t>a</m:t>
            </m:r>
            <m:ctrlPr>
              <w:rPr>
                <w:rFonts w:ascii="Cambria Math" w:hAnsi="Cambria Math" w:eastAsia="方正仿宋" w:cs="方正仿宋"/>
                <w:bCs/>
                <w:szCs w:val="21"/>
                <w:lang w:bidi="ar"/>
              </w:rPr>
            </m:ctrlPr>
          </m:e>
          <m:sub>
            <m:r>
              <m:rPr>
                <m:sty m:val="p"/>
              </m:rPr>
              <w:rPr>
                <w:rFonts w:ascii="Times New Roman" w:hAnsi="Times New Roman" w:eastAsia="方正仿宋" w:cs="方正仿宋"/>
                <w:szCs w:val="21"/>
                <w:lang w:bidi="ar"/>
              </w:rPr>
              <m:t>ij</m:t>
            </m:r>
            <m:ctrlPr>
              <w:rPr>
                <w:rFonts w:ascii="Cambria Math" w:hAnsi="Cambria Math" w:eastAsia="方正仿宋" w:cs="方正仿宋"/>
                <w:bCs/>
                <w:szCs w:val="21"/>
                <w:lang w:bidi="ar"/>
              </w:rPr>
            </m:ctrlPr>
          </m:sub>
        </m:sSub>
      </m:oMath>
      <w:r>
        <w:rPr>
          <w:rFonts w:ascii="Times New Roman" w:hAnsi="Times New Roman" w:eastAsia="方正仿宋" w:cs="方正仿宋"/>
          <w:bCs/>
          <w:szCs w:val="21"/>
          <w:lang w:bidi="ar"/>
        </w:rPr>
        <w:t>——</w:t>
      </w:r>
      <w:r>
        <w:rPr>
          <w:rFonts w:hint="eastAsia" w:ascii="Times New Roman" w:hAnsi="Times New Roman" w:eastAsia="方正仿宋" w:cs="方正仿宋"/>
          <w:bCs/>
          <w:szCs w:val="21"/>
          <w:lang w:bidi="ar"/>
        </w:rPr>
        <w:t>第</w:t>
      </w:r>
      <w:r>
        <w:rPr>
          <w:rFonts w:ascii="Times New Roman" w:hAnsi="Times New Roman" w:eastAsia="方正仿宋" w:cs="方正仿宋"/>
          <w:bCs/>
          <w:szCs w:val="21"/>
          <w:lang w:bidi="ar"/>
        </w:rPr>
        <w:t>i</w:t>
      </w:r>
      <w:r>
        <w:rPr>
          <w:rFonts w:hint="eastAsia" w:ascii="Times New Roman" w:hAnsi="Times New Roman" w:eastAsia="方正仿宋" w:cs="方正仿宋"/>
          <w:bCs/>
          <w:szCs w:val="21"/>
          <w:lang w:bidi="ar"/>
        </w:rPr>
        <w:t>个特征向量中对应第</w:t>
      </w:r>
      <w:r>
        <w:rPr>
          <w:rFonts w:ascii="Times New Roman" w:hAnsi="Times New Roman" w:eastAsia="方正仿宋" w:cs="方正仿宋"/>
          <w:bCs/>
          <w:szCs w:val="21"/>
          <w:lang w:bidi="ar"/>
        </w:rPr>
        <w:t>j</w:t>
      </w:r>
      <w:r>
        <w:rPr>
          <w:rFonts w:hint="eastAsia" w:ascii="Times New Roman" w:hAnsi="Times New Roman" w:eastAsia="方正仿宋" w:cs="方正仿宋"/>
          <w:bCs/>
          <w:szCs w:val="21"/>
          <w:lang w:bidi="ar"/>
        </w:rPr>
        <w:t>指标的分量；</w:t>
      </w:r>
    </w:p>
    <w:p w14:paraId="40F36CCC">
      <w:pPr>
        <w:tabs>
          <w:tab w:val="center" w:pos="4200"/>
          <w:tab w:val="right" w:pos="8400"/>
        </w:tabs>
        <w:ind w:firstLine="420"/>
        <w:rPr>
          <w:rFonts w:ascii="Times New Roman" w:hAnsi="Times New Roman" w:eastAsia="方正仿宋" w:cs="方正仿宋"/>
          <w:bCs/>
          <w:szCs w:val="21"/>
          <w:lang w:bidi="ar"/>
        </w:rPr>
      </w:pPr>
      <w:r>
        <w:rPr>
          <w:rFonts w:ascii="Times New Roman" w:hAnsi="Times New Roman" w:eastAsia="方正仿宋" w:cs="方正仿宋"/>
          <w:bCs/>
          <w:i/>
          <w:iCs/>
          <w:szCs w:val="21"/>
          <w:lang w:bidi="ar"/>
        </w:rPr>
        <w:t>i</w:t>
      </w:r>
      <w:r>
        <w:rPr>
          <w:rFonts w:ascii="Times New Roman" w:hAnsi="Times New Roman" w:eastAsia="方正仿宋" w:cs="方正仿宋"/>
          <w:bCs/>
          <w:szCs w:val="21"/>
          <w:lang w:bidi="ar"/>
        </w:rPr>
        <w:t>——主成分序号，</w:t>
      </w:r>
      <w:r>
        <w:rPr>
          <w:rFonts w:ascii="Times New Roman" w:hAnsi="Times New Roman" w:eastAsia="方正仿宋" w:cs="方正仿宋"/>
          <w:bCs/>
          <w:i/>
          <w:iCs/>
          <w:szCs w:val="21"/>
          <w:lang w:bidi="ar"/>
        </w:rPr>
        <w:t>i=1,2,…m</w:t>
      </w:r>
      <w:r>
        <w:rPr>
          <w:rFonts w:ascii="Times New Roman" w:hAnsi="Times New Roman" w:eastAsia="方正仿宋" w:cs="方正仿宋"/>
          <w:bCs/>
          <w:szCs w:val="21"/>
          <w:lang w:bidi="ar"/>
        </w:rPr>
        <w:t>；</w:t>
      </w:r>
    </w:p>
    <w:p w14:paraId="1210B300">
      <w:pPr>
        <w:widowControl/>
        <w:tabs>
          <w:tab w:val="center" w:pos="4200"/>
          <w:tab w:val="right" w:pos="8400"/>
        </w:tabs>
        <w:ind w:firstLine="420"/>
        <w:rPr>
          <w:rFonts w:ascii="Times New Roman" w:hAnsi="Times New Roman" w:eastAsia="方正仿宋" w:cs="方正仿宋"/>
          <w:bCs/>
          <w:szCs w:val="21"/>
          <w:lang w:bidi="ar"/>
        </w:rPr>
      </w:pPr>
      <w:r>
        <w:rPr>
          <w:rFonts w:ascii="Times New Roman" w:hAnsi="Times New Roman" w:eastAsia="方正仿宋" w:cs="方正仿宋"/>
          <w:bCs/>
          <w:i/>
          <w:iCs/>
          <w:szCs w:val="21"/>
          <w:lang w:bidi="ar"/>
        </w:rPr>
        <w:t>j</w:t>
      </w:r>
      <w:r>
        <w:rPr>
          <w:rFonts w:ascii="Times New Roman" w:hAnsi="Times New Roman" w:eastAsia="方正仿宋" w:cs="方正仿宋"/>
          <w:bCs/>
          <w:szCs w:val="21"/>
          <w:lang w:bidi="ar"/>
        </w:rPr>
        <w:t>——指标序号，</w:t>
      </w:r>
      <w:r>
        <w:rPr>
          <w:rFonts w:ascii="Times New Roman" w:hAnsi="Times New Roman" w:eastAsia="方正仿宋" w:cs="方正仿宋"/>
          <w:bCs/>
          <w:i/>
          <w:iCs/>
          <w:szCs w:val="21"/>
          <w:lang w:bidi="ar"/>
        </w:rPr>
        <w:t>j=1,2,…,p</w:t>
      </w:r>
      <w:r>
        <w:rPr>
          <w:rFonts w:ascii="Times New Roman" w:hAnsi="Times New Roman" w:eastAsia="方正仿宋" w:cs="方正仿宋"/>
          <w:bCs/>
          <w:szCs w:val="21"/>
          <w:lang w:bidi="ar"/>
        </w:rPr>
        <w:t>。</w:t>
      </w:r>
    </w:p>
    <w:p w14:paraId="3B13E2FE">
      <w:pPr>
        <w:pStyle w:val="29"/>
        <w:rPr>
          <w:rFonts w:hint="eastAsia" w:ascii="宋体" w:hAnsi="宋体" w:eastAsia="宋体" w:cs="宋体"/>
          <w:bCs w:val="0"/>
          <w:kern w:val="0"/>
          <w:szCs w:val="20"/>
          <w:lang w:val="en-US" w:eastAsia="zh-CN" w:bidi="ar"/>
        </w:rPr>
      </w:pPr>
      <w:r>
        <w:rPr>
          <w:rFonts w:hint="eastAsia" w:ascii="宋体" w:hAnsi="宋体" w:eastAsia="宋体" w:cs="宋体"/>
          <w:bCs w:val="0"/>
          <w:kern w:val="0"/>
          <w:szCs w:val="20"/>
          <w:lang w:val="en-US" w:eastAsia="zh-CN" w:bidi="ar"/>
        </w:rPr>
        <w:t>按公式（5）</w:t>
      </w:r>
      <w:r>
        <w:rPr>
          <w:rFonts w:hint="eastAsia" w:ascii="宋体" w:hAnsi="宋体" w:eastAsia="宋体" w:cs="宋体"/>
          <w:bCs w:val="0"/>
          <w:kern w:val="0"/>
          <w:sz w:val="21"/>
          <w:szCs w:val="20"/>
          <w:lang w:val="en-US" w:eastAsia="zh-CN" w:bidi="ar"/>
        </w:rPr>
        <w:t>计算m个主成分上的得分：</w:t>
      </w:r>
    </w:p>
    <w:p w14:paraId="1205CFD5">
      <w:pPr>
        <w:pStyle w:val="25"/>
        <w:rPr>
          <w:rFonts w:hint="eastAsia"/>
        </w:rPr>
      </w:pPr>
      <w:r>
        <w:tab/>
      </w:r>
      <m:oMath>
        <m:r>
          <m:rPr>
            <m:sty m:val="p"/>
          </m:rPr>
          <w:rPr>
            <w:rFonts w:ascii="Cambria Math" w:hAnsi="Cambria Math"/>
          </w:rPr>
          <m:t xml:space="preserve"> </m:t>
        </m:r>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sSub>
          <m:sSubPr>
            <m:ctrlPr>
              <w:rPr>
                <w:rFonts w:ascii="Cambria Math" w:hAnsi="Cambria Math"/>
                <w:i/>
                <w:iCs/>
              </w:rPr>
            </m:ctrlPr>
          </m:sSubPr>
          <m:e>
            <m:r>
              <m:rPr/>
              <w:rPr>
                <w:rFonts w:hint="default" w:ascii="Cambria Math" w:hAnsi="Cambria Math"/>
              </w:rPr>
              <m:t>a</m:t>
            </m:r>
            <m:ctrlPr>
              <w:rPr>
                <w:rFonts w:ascii="Cambria Math" w:hAnsi="Cambria Math"/>
                <w:i/>
                <w:iCs/>
              </w:rPr>
            </m:ctrlPr>
          </m:e>
          <m:sub>
            <m:r>
              <m:rPr/>
              <w:rPr>
                <w:rFonts w:ascii="Cambria Math" w:hAnsi="Cambria Math"/>
              </w:rPr>
              <m:t>1</m:t>
            </m:r>
            <m:r>
              <m:rPr/>
              <w:rPr>
                <w:rFonts w:hint="default" w:ascii="Cambria Math" w:hAnsi="Cambria Math"/>
              </w:rPr>
              <m:t>i</m:t>
            </m:r>
            <m:ctrlPr>
              <w:rPr>
                <w:rFonts w:ascii="Cambria Math" w:hAnsi="Cambria Math"/>
                <w:i/>
                <w:iCs/>
              </w:rPr>
            </m:ctrlPr>
          </m:sub>
        </m:sSub>
        <m:sSub>
          <m:sSubPr>
            <m:ctrlPr>
              <w:rPr>
                <w:rFonts w:hint="eastAsia" w:ascii="Cambria Math" w:hAnsi="Cambria Math"/>
                <w:i/>
                <w:iCs/>
              </w:rPr>
            </m:ctrlPr>
          </m:sSubPr>
          <m:e>
            <m:r>
              <m:rPr/>
              <w:rPr>
                <w:rFonts w:hint="default" w:ascii="Cambria Math" w:hAnsi="Cambria Math"/>
              </w:rPr>
              <m:t>X</m:t>
            </m:r>
            <m:ctrlPr>
              <w:rPr>
                <w:rFonts w:hint="eastAsia" w:ascii="Cambria Math" w:hAnsi="Cambria Math"/>
                <w:i/>
                <w:iCs/>
              </w:rPr>
            </m:ctrlPr>
          </m:e>
          <m:sub>
            <m:r>
              <m:rPr/>
              <w:rPr>
                <w:rFonts w:ascii="Cambria Math" w:hAnsi="Cambria Math"/>
              </w:rPr>
              <m:t>1</m:t>
            </m:r>
            <m:ctrlPr>
              <w:rPr>
                <w:rFonts w:hint="eastAsia" w:ascii="Cambria Math" w:hAnsi="Cambria Math"/>
                <w:i/>
                <w:iCs/>
              </w:rPr>
            </m:ctrlPr>
          </m:sub>
        </m:sSub>
        <m:r>
          <m:rPr/>
          <w:rPr>
            <w:rFonts w:ascii="Cambria Math" w:hAnsi="Cambria Math"/>
          </w:rPr>
          <m:t>+</m:t>
        </m:r>
        <m:sSub>
          <m:sSubPr>
            <m:ctrlPr>
              <w:rPr>
                <w:rFonts w:ascii="Cambria Math" w:hAnsi="Cambria Math"/>
                <w:i/>
                <w:iCs/>
              </w:rPr>
            </m:ctrlPr>
          </m:sSubPr>
          <m:e>
            <m:r>
              <m:rPr/>
              <w:rPr>
                <w:rFonts w:hint="default" w:ascii="Cambria Math" w:hAnsi="Cambria Math"/>
              </w:rPr>
              <m:t>a</m:t>
            </m:r>
            <m:ctrlPr>
              <w:rPr>
                <w:rFonts w:ascii="Cambria Math" w:hAnsi="Cambria Math"/>
                <w:i/>
                <w:iCs/>
              </w:rPr>
            </m:ctrlPr>
          </m:e>
          <m:sub>
            <m:r>
              <m:rPr/>
              <w:rPr>
                <w:rFonts w:ascii="Cambria Math" w:hAnsi="Cambria Math"/>
              </w:rPr>
              <m:t>2</m:t>
            </m:r>
            <m:r>
              <m:rPr/>
              <w:rPr>
                <w:rFonts w:hint="default" w:ascii="Cambria Math" w:hAnsi="Cambria Math"/>
              </w:rPr>
              <m:t>i</m:t>
            </m:r>
            <m:ctrlPr>
              <w:rPr>
                <w:rFonts w:ascii="Cambria Math" w:hAnsi="Cambria Math"/>
                <w:i/>
                <w:iCs/>
              </w:rPr>
            </m:ctrlPr>
          </m:sub>
        </m:sSub>
        <m:sSub>
          <m:sSubPr>
            <m:ctrlPr>
              <w:rPr>
                <w:rFonts w:hint="eastAsia" w:ascii="Cambria Math" w:hAnsi="Cambria Math"/>
                <w:i/>
                <w:iCs/>
              </w:rPr>
            </m:ctrlPr>
          </m:sSubPr>
          <m:e>
            <m:r>
              <m:rPr/>
              <w:rPr>
                <w:rFonts w:hint="default" w:ascii="Cambria Math" w:hAnsi="Cambria Math"/>
              </w:rPr>
              <m:t>X</m:t>
            </m:r>
            <m:ctrlPr>
              <w:rPr>
                <w:rFonts w:hint="eastAsia" w:ascii="Cambria Math" w:hAnsi="Cambria Math"/>
                <w:i/>
                <w:iCs/>
              </w:rPr>
            </m:ctrlPr>
          </m:e>
          <m:sub>
            <m:r>
              <m:rPr/>
              <w:rPr>
                <w:rFonts w:ascii="Cambria Math" w:hAnsi="Cambria Math"/>
              </w:rPr>
              <m:t>2</m:t>
            </m:r>
            <m:ctrlPr>
              <w:rPr>
                <w:rFonts w:hint="eastAsia" w:ascii="Cambria Math" w:hAnsi="Cambria Math"/>
                <w:i/>
                <w:iCs/>
              </w:rPr>
            </m:ctrlPr>
          </m:sub>
        </m:sSub>
        <m:r>
          <m:rPr/>
          <w:rPr>
            <w:rFonts w:ascii="Cambria Math" w:hAnsi="Cambria Math"/>
          </w:rPr>
          <m:t>+</m:t>
        </m:r>
        <m:r>
          <m:rPr/>
          <w:rPr>
            <w:rFonts w:hint="eastAsia" w:ascii="Cambria Math" w:hAnsi="Cambria Math"/>
          </w:rPr>
          <m:t>…</m:t>
        </m:r>
        <m:r>
          <m:rPr/>
          <w:rPr>
            <w:rFonts w:ascii="Cambria Math" w:hAnsi="Cambria Math"/>
          </w:rPr>
          <m:t>+</m:t>
        </m:r>
        <m:sSub>
          <m:sSubPr>
            <m:ctrlPr>
              <w:rPr>
                <w:rFonts w:ascii="Cambria Math" w:hAnsi="Cambria Math"/>
                <w:i/>
                <w:iCs/>
              </w:rPr>
            </m:ctrlPr>
          </m:sSubPr>
          <m:e>
            <m:r>
              <m:rPr/>
              <w:rPr>
                <w:rFonts w:hint="default" w:ascii="Cambria Math" w:hAnsi="Cambria Math"/>
              </w:rPr>
              <m:t>a</m:t>
            </m:r>
            <m:ctrlPr>
              <w:rPr>
                <w:rFonts w:ascii="Cambria Math" w:hAnsi="Cambria Math"/>
                <w:i/>
                <w:iCs/>
              </w:rPr>
            </m:ctrlPr>
          </m:e>
          <m:sub>
            <m:r>
              <m:rPr/>
              <w:rPr>
                <w:rFonts w:hint="default" w:ascii="Cambria Math" w:hAnsi="Cambria Math"/>
              </w:rPr>
              <m:t>pi</m:t>
            </m:r>
            <m:ctrlPr>
              <w:rPr>
                <w:rFonts w:ascii="Cambria Math" w:hAnsi="Cambria Math"/>
                <w:i/>
                <w:iCs/>
              </w:rPr>
            </m:ctrlPr>
          </m:sub>
        </m:sSub>
        <m:sSub>
          <m:sSubPr>
            <m:ctrlPr>
              <w:rPr>
                <w:rFonts w:hint="eastAsia" w:ascii="Cambria Math" w:hAnsi="Cambria Math"/>
                <w:i/>
                <w:iCs/>
              </w:rPr>
            </m:ctrlPr>
          </m:sSubPr>
          <m:e>
            <m:r>
              <m:rPr/>
              <w:rPr>
                <w:rFonts w:hint="default" w:ascii="Cambria Math" w:hAnsi="Cambria Math"/>
              </w:rPr>
              <m:t>X</m:t>
            </m:r>
            <m:ctrlPr>
              <w:rPr>
                <w:rFonts w:hint="eastAsia" w:ascii="Cambria Math" w:hAnsi="Cambria Math"/>
                <w:i/>
                <w:iCs/>
              </w:rPr>
            </m:ctrlPr>
          </m:e>
          <m:sub>
            <m:r>
              <m:rPr/>
              <w:rPr>
                <w:rFonts w:hint="default" w:ascii="Cambria Math" w:hAnsi="Cambria Math"/>
              </w:rPr>
              <m:t>p</m:t>
            </m:r>
            <m:ctrlPr>
              <w:rPr>
                <w:rFonts w:hint="eastAsia" w:ascii="Cambria Math" w:hAnsi="Cambria Math"/>
                <w:i/>
                <w:iCs/>
              </w:rPr>
            </m:ctrlPr>
          </m:sub>
        </m:sSub>
      </m:oMath>
      <w:r>
        <w:rPr>
          <w:rFonts w:hint="eastAsia" w:ascii="微软雅黑" w:hAnsi="微软雅黑" w:eastAsia="微软雅黑" w:cs="微软雅黑"/>
        </w:rPr>
        <w:tab/>
      </w:r>
      <w:r>
        <w:rPr>
          <w:rFonts w:hint="eastAsia"/>
        </w:rPr>
        <w:t>(</w:t>
      </w:r>
      <w:r>
        <w:rPr>
          <w:rFonts w:hint="eastAsia"/>
        </w:rPr>
        <w:fldChar w:fldCharType="begin"/>
      </w:r>
      <w:r>
        <w:rPr>
          <w:rFonts w:hint="eastAsia"/>
        </w:rPr>
        <w:instrText xml:space="preserve"> SEQ 公式 \* ARABIC </w:instrText>
      </w:r>
      <w:r>
        <w:rPr>
          <w:rFonts w:hint="eastAsia"/>
        </w:rPr>
        <w:fldChar w:fldCharType="separate"/>
      </w:r>
      <w:r>
        <w:rPr>
          <w:rFonts w:hint="eastAsia"/>
        </w:rPr>
        <w:t>5</w:t>
      </w:r>
      <w:r>
        <w:rPr>
          <w:rFonts w:hint="eastAsia"/>
        </w:rPr>
        <w:fldChar w:fldCharType="end"/>
      </w:r>
      <w:r>
        <w:rPr>
          <w:rFonts w:hint="eastAsia"/>
        </w:rPr>
        <w:t>)</w:t>
      </w:r>
    </w:p>
    <w:p w14:paraId="211B1EEC">
      <w:pPr>
        <w:widowControl/>
        <w:tabs>
          <w:tab w:val="center" w:pos="4200"/>
          <w:tab w:val="right" w:pos="8400"/>
        </w:tabs>
        <w:ind w:firstLine="420"/>
        <w:rPr>
          <w:rFonts w:hint="default" w:ascii="Times New Roman" w:hAnsi="Times New Roman" w:eastAsia="方正仿宋" w:cs="方正仿宋"/>
          <w:bCs/>
          <w:kern w:val="2"/>
          <w:sz w:val="21"/>
          <w:szCs w:val="21"/>
          <w:lang w:val="en-US" w:eastAsia="zh-CN" w:bidi="ar"/>
        </w:rPr>
      </w:pPr>
      <w:r>
        <w:rPr>
          <w:rFonts w:hint="default" w:ascii="Times New Roman" w:hAnsi="Times New Roman" w:eastAsia="方正仿宋" w:cs="方正仿宋"/>
          <w:bCs/>
          <w:kern w:val="2"/>
          <w:sz w:val="21"/>
          <w:szCs w:val="21"/>
          <w:lang w:val="en-US" w:eastAsia="zh-CN" w:bidi="ar"/>
        </w:rPr>
        <w:t>式中：</w:t>
      </w:r>
    </w:p>
    <w:p w14:paraId="37A8BB15">
      <w:pPr>
        <w:widowControl/>
        <w:tabs>
          <w:tab w:val="center" w:pos="4200"/>
          <w:tab w:val="right" w:pos="8400"/>
        </w:tabs>
        <w:ind w:firstLine="420"/>
        <w:rPr>
          <w:rFonts w:ascii="Cambria Math" w:hAnsi="Cambria Math"/>
          <w:lang w:bidi="ar"/>
        </w:rPr>
      </w:pPr>
      <m:oMath>
        <m:sSub>
          <m:sSubPr>
            <m:ctrlPr>
              <w:rPr>
                <w:rFonts w:ascii="Cambria Math" w:hAnsi="Cambria Math"/>
                <w:i/>
                <w:iCs/>
              </w:rPr>
            </m:ctrlPr>
          </m:sSubPr>
          <m:e>
            <m:r>
              <m:rPr/>
              <w:rPr>
                <w:rFonts w:hint="default" w:ascii="Cambria Math" w:hAnsi="Cambria Math"/>
              </w:rPr>
              <m:t>F</m:t>
            </m:r>
            <m:ctrlPr>
              <w:rPr>
                <w:rFonts w:ascii="Cambria Math" w:hAnsi="Cambria Math"/>
                <w:i/>
                <w:iCs/>
              </w:rPr>
            </m:ctrlPr>
          </m:e>
          <m:sub>
            <m:r>
              <m:rPr/>
              <w:rPr>
                <w:rFonts w:hint="default" w:ascii="Cambria Math" w:hAnsi="Cambria Math"/>
              </w:rPr>
              <m:t>i</m:t>
            </m:r>
            <m:ctrlPr>
              <w:rPr>
                <w:rFonts w:ascii="Cambria Math" w:hAnsi="Cambria Math"/>
                <w:i/>
                <w:iCs/>
              </w:rPr>
            </m:ctrlPr>
          </m:sub>
        </m:sSub>
      </m:oMath>
      <w:r>
        <w:rPr>
          <w:rFonts w:ascii="Cambria Math" w:hAnsi="Cambria Math"/>
        </w:rPr>
        <w:t>——</w:t>
      </w:r>
      <w:r>
        <w:rPr>
          <w:rFonts w:hint="eastAsia" w:ascii="Cambria Math" w:hAnsi="Cambria Math"/>
        </w:rPr>
        <w:t>第</w:t>
      </w:r>
      <w:r>
        <w:rPr>
          <w:rFonts w:hint="eastAsia" w:ascii="Cambria Math" w:hAnsi="Cambria Math"/>
          <w:i/>
          <w:iCs/>
        </w:rPr>
        <w:t>i</w:t>
      </w:r>
      <w:r>
        <w:rPr>
          <w:rFonts w:ascii="Cambria Math" w:hAnsi="Cambria Math"/>
        </w:rPr>
        <w:t>个主成分的得分</w:t>
      </w:r>
      <w:r>
        <w:rPr>
          <w:rFonts w:hint="eastAsia" w:ascii="Cambria Math" w:hAnsi="Cambria Math"/>
          <w:lang w:eastAsia="zh-CN"/>
        </w:rPr>
        <w:t>，</w:t>
      </w:r>
      <w:r>
        <w:rPr>
          <w:rFonts w:hint="eastAsia" w:ascii="Cambria Math" w:hAnsi="Cambria Math"/>
          <w:i/>
          <w:iCs/>
        </w:rPr>
        <w:t>i</w:t>
      </w:r>
      <w:r>
        <w:rPr>
          <w:rFonts w:hint="eastAsia" w:ascii="Cambria Math" w:hAnsi="Cambria Math"/>
        </w:rPr>
        <w:t>=1,2,</w:t>
      </w:r>
      <w:r>
        <w:rPr>
          <w:rFonts w:ascii="Cambria Math" w:hAnsi="Cambria Math"/>
        </w:rPr>
        <w:t>…</w:t>
      </w:r>
      <w:r>
        <w:rPr>
          <w:rFonts w:hint="eastAsia" w:ascii="Cambria Math" w:hAnsi="Cambria Math"/>
        </w:rPr>
        <w:t>,m</w:t>
      </w:r>
      <w:r>
        <w:rPr>
          <w:rFonts w:ascii="Cambria Math" w:hAnsi="Cambria Math"/>
        </w:rPr>
        <w:t>；</w:t>
      </w:r>
    </w:p>
    <w:p w14:paraId="672C3420">
      <w:pPr>
        <w:widowControl/>
        <w:tabs>
          <w:tab w:val="center" w:pos="4200"/>
          <w:tab w:val="right" w:pos="8400"/>
        </w:tabs>
        <w:ind w:firstLine="420"/>
        <w:rPr>
          <w:rFonts w:ascii="Times New Roman" w:hAnsi="Times New Roman" w:eastAsia="方正仿宋" w:cs="方正仿宋"/>
          <w:bCs/>
          <w:szCs w:val="21"/>
          <w:lang w:bidi="ar"/>
        </w:rPr>
      </w:pPr>
      <m:oMath>
        <m:sSub>
          <m:sSubPr>
            <m:ctrlPr>
              <w:rPr>
                <w:rFonts w:ascii="Cambria Math" w:hAnsi="Cambria Math"/>
                <w:i/>
                <w:iCs/>
              </w:rPr>
            </m:ctrlPr>
          </m:sSubPr>
          <m:e>
            <m:r>
              <m:rPr/>
              <w:rPr>
                <w:rFonts w:hint="default" w:ascii="Cambria Math" w:hAnsi="Cambria Math"/>
              </w:rPr>
              <m:t>a</m:t>
            </m:r>
            <m:ctrlPr>
              <w:rPr>
                <w:rFonts w:ascii="Cambria Math" w:hAnsi="Cambria Math"/>
                <w:i/>
                <w:iCs/>
              </w:rPr>
            </m:ctrlPr>
          </m:e>
          <m:sub>
            <m:r>
              <m:rPr/>
              <w:rPr>
                <w:rFonts w:ascii="Cambria Math" w:hAnsi="Cambria Math"/>
              </w:rPr>
              <m:t>1</m:t>
            </m:r>
            <m:r>
              <m:rPr/>
              <w:rPr>
                <w:rFonts w:hint="default" w:ascii="Cambria Math" w:hAnsi="Cambria Math"/>
              </w:rPr>
              <m:t>i</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hint="default" w:ascii="Cambria Math" w:hAnsi="Cambria Math"/>
              </w:rPr>
              <m:t>a</m:t>
            </m:r>
            <m:ctrlPr>
              <w:rPr>
                <w:rFonts w:ascii="Cambria Math" w:hAnsi="Cambria Math"/>
                <w:i/>
                <w:iCs/>
              </w:rPr>
            </m:ctrlPr>
          </m:e>
          <m:sub>
            <m:r>
              <m:rPr/>
              <w:rPr>
                <w:rFonts w:ascii="Cambria Math" w:hAnsi="Cambria Math"/>
              </w:rPr>
              <m:t>2</m:t>
            </m:r>
            <m:r>
              <m:rPr/>
              <w:rPr>
                <w:rFonts w:hint="default" w:ascii="Cambria Math" w:hAnsi="Cambria Math"/>
              </w:rPr>
              <m:t>i</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hint="default" w:ascii="Cambria Math" w:hAnsi="Cambria Math"/>
              </w:rPr>
              <m:t>a</m:t>
            </m:r>
            <m:ctrlPr>
              <w:rPr>
                <w:rFonts w:ascii="Cambria Math" w:hAnsi="Cambria Math"/>
                <w:i/>
                <w:iCs/>
              </w:rPr>
            </m:ctrlPr>
          </m:e>
          <m:sub>
            <m:r>
              <m:rPr/>
              <w:rPr>
                <w:rFonts w:hint="default" w:ascii="Cambria Math" w:hAnsi="Cambria Math"/>
              </w:rPr>
              <m:t>pi</m:t>
            </m:r>
            <m:ctrlPr>
              <w:rPr>
                <w:rFonts w:ascii="Cambria Math" w:hAnsi="Cambria Math"/>
                <w:i/>
                <w:iCs/>
              </w:rPr>
            </m:ctrlPr>
          </m:sub>
        </m:sSub>
      </m:oMath>
      <w:r>
        <w:rPr>
          <w:rFonts w:ascii="Times New Roman" w:hAnsi="Times New Roman" w:eastAsia="方正仿宋" w:cs="方正仿宋"/>
          <w:bCs/>
          <w:szCs w:val="21"/>
          <w:lang w:bidi="ar"/>
        </w:rPr>
        <w:t>——第</w:t>
      </w:r>
      <w:r>
        <w:rPr>
          <w:rFonts w:hint="eastAsia" w:ascii="Times New Roman" w:hAnsi="Times New Roman" w:eastAsia="方正仿宋" w:cs="方正仿宋"/>
          <w:bCs/>
          <w:szCs w:val="21"/>
          <w:lang w:bidi="ar"/>
        </w:rPr>
        <w:t>i</w:t>
      </w:r>
      <w:r>
        <w:rPr>
          <w:rFonts w:ascii="Times New Roman" w:hAnsi="Times New Roman" w:eastAsia="方正仿宋" w:cs="方正仿宋"/>
          <w:bCs/>
          <w:szCs w:val="21"/>
          <w:lang w:bidi="ar"/>
        </w:rPr>
        <w:t>个正交单位特征向量的全部分量，对应各原始指标的系数；</w:t>
      </w:r>
    </w:p>
    <w:p w14:paraId="6AA57FC6">
      <w:pPr>
        <w:widowControl/>
        <w:tabs>
          <w:tab w:val="center" w:pos="4200"/>
          <w:tab w:val="right" w:pos="8400"/>
        </w:tabs>
        <w:ind w:firstLine="420"/>
        <w:rPr>
          <w:rFonts w:hint="default" w:ascii="Times New Roman" w:hAnsi="Times New Roman" w:eastAsia="方正仿宋" w:cs="方正仿宋"/>
          <w:bCs/>
          <w:kern w:val="2"/>
          <w:sz w:val="21"/>
          <w:szCs w:val="21"/>
          <w:lang w:val="en-US" w:eastAsia="zh-CN" w:bidi="ar"/>
        </w:rPr>
      </w:pPr>
      <m:oMath>
        <m:sSub>
          <m:sSubPr>
            <m:ctrlPr>
              <w:rPr>
                <w:rFonts w:ascii="Cambria Math" w:hAnsi="Cambria Math"/>
                <w:i/>
                <w:iCs/>
              </w:rPr>
            </m:ctrlPr>
          </m:sSubPr>
          <m:e>
            <m:sSub>
              <m:sSubPr>
                <m:ctrlPr>
                  <w:rPr>
                    <w:rFonts w:ascii="Cambria Math" w:hAnsi="Cambria Math"/>
                    <w:i/>
                    <w:iCs/>
                  </w:rPr>
                </m:ctrlPr>
              </m:sSubPr>
              <m:e>
                <m:r>
                  <m:rPr/>
                  <w:rPr>
                    <w:rFonts w:hint="default" w:ascii="Cambria Math" w:hAnsi="Cambria Math"/>
                  </w:rPr>
                  <m:t>X</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m:t>
            </m:r>
            <m:r>
              <m:rPr/>
              <w:rPr>
                <w:rFonts w:hint="default" w:ascii="Cambria Math" w:hAnsi="Cambria Math"/>
              </w:rPr>
              <m:t>,X</m:t>
            </m:r>
            <m:ctrlPr>
              <w:rPr>
                <w:rFonts w:ascii="Cambria Math" w:hAnsi="Cambria Math"/>
                <w:i/>
                <w:iCs/>
              </w:rPr>
            </m:ctrlPr>
          </m:e>
          <m:sub>
            <m:r>
              <m:rPr/>
              <w:rPr>
                <w:rFonts w:hint="default" w:ascii="Cambria Math" w:hAnsi="Cambria Math"/>
              </w:rPr>
              <m:t>p</m:t>
            </m:r>
            <m:ctrlPr>
              <w:rPr>
                <w:rFonts w:ascii="Cambria Math" w:hAnsi="Cambria Math"/>
                <w:i/>
                <w:iCs/>
              </w:rPr>
            </m:ctrlPr>
          </m:sub>
        </m:sSub>
      </m:oMath>
      <w:r>
        <w:rPr>
          <w:rFonts w:ascii="Times New Roman" w:hAnsi="Times New Roman" w:eastAsia="方正仿宋" w:cs="方正仿宋"/>
          <w:bCs/>
          <w:szCs w:val="21"/>
          <w:lang w:bidi="ar"/>
        </w:rPr>
        <w:t>—</w:t>
      </w:r>
      <w:r>
        <w:rPr>
          <w:rFonts w:hint="eastAsia" w:ascii="Times New Roman" w:hAnsi="Times New Roman" w:eastAsia="方正仿宋" w:cs="方正仿宋"/>
          <w:bCs/>
          <w:szCs w:val="21"/>
          <w:lang w:bidi="ar"/>
        </w:rPr>
        <w:t xml:space="preserve">标准化处理后的 </w:t>
      </w:r>
      <w:r>
        <w:rPr>
          <w:rFonts w:ascii="Times New Roman" w:hAnsi="Times New Roman" w:eastAsia="方正仿宋" w:cs="方正仿宋"/>
          <w:bCs/>
          <w:szCs w:val="21"/>
          <w:lang w:bidi="ar"/>
        </w:rPr>
        <w:t>p</w:t>
      </w:r>
      <w:r>
        <w:rPr>
          <w:rFonts w:hint="eastAsia" w:ascii="Times New Roman" w:hAnsi="Times New Roman" w:eastAsia="方正仿宋" w:cs="方正仿宋"/>
          <w:bCs/>
          <w:szCs w:val="21"/>
          <w:lang w:bidi="ar"/>
        </w:rPr>
        <w:t>项原始评价指标变量。</w:t>
      </w:r>
    </w:p>
    <w:p w14:paraId="464F34FC">
      <w:pPr>
        <w:pStyle w:val="24"/>
        <w:rPr>
          <w:rFonts w:hint="default" w:ascii="黑体" w:hAnsi="Times New Roman" w:eastAsia="黑体" w:cs="Times New Roman"/>
          <w:bCs w:val="0"/>
          <w:kern w:val="0"/>
          <w:sz w:val="21"/>
          <w:szCs w:val="20"/>
          <w:lang w:val="en-US" w:eastAsia="zh-CN" w:bidi="ar"/>
        </w:rPr>
      </w:pPr>
      <w:r>
        <w:rPr>
          <w:rFonts w:hint="default" w:ascii="黑体" w:hAnsi="Times New Roman" w:eastAsia="黑体" w:cs="Times New Roman"/>
          <w:bCs w:val="0"/>
          <w:kern w:val="0"/>
          <w:sz w:val="21"/>
          <w:szCs w:val="20"/>
          <w:lang w:val="en-US" w:eastAsia="zh-CN" w:bidi="ar"/>
        </w:rPr>
        <w:t>熵权法</w:t>
      </w:r>
    </w:p>
    <w:p w14:paraId="3DA4E84C">
      <w:pPr>
        <w:pStyle w:val="29"/>
        <w:rPr>
          <w:rFonts w:hint="eastAsia" w:ascii="宋体" w:hAnsi="宋体" w:eastAsia="宋体" w:cs="宋体"/>
          <w:bCs w:val="0"/>
          <w:kern w:val="0"/>
          <w:sz w:val="21"/>
          <w:szCs w:val="20"/>
          <w:lang w:val="en-US" w:eastAsia="zh-CN" w:bidi="ar"/>
        </w:rPr>
      </w:pPr>
      <w:r>
        <w:rPr>
          <w:rFonts w:hint="eastAsia" w:ascii="宋体" w:hAnsi="宋体" w:eastAsia="宋体" w:cs="宋体"/>
          <w:bCs w:val="0"/>
          <w:kern w:val="0"/>
          <w:sz w:val="21"/>
          <w:szCs w:val="20"/>
          <w:lang w:val="en-US" w:eastAsia="zh-CN" w:bidi="ar"/>
        </w:rPr>
        <w:t>对主成分分析提取的各主成分，采用熵权法确定权重。设定评价对象i、评价指标j，构建原始数据矩阵。按公式（6）计算原始数据矩阵：</w:t>
      </w:r>
    </w:p>
    <w:p w14:paraId="7EF9AB23">
      <w:pPr>
        <w:pStyle w:val="25"/>
        <w:rPr>
          <w:rFonts w:hint="eastAsia"/>
        </w:rPr>
      </w:pPr>
      <w:r>
        <w:rPr>
          <w:rFonts w:hint="eastAsia"/>
        </w:rPr>
        <w:tab/>
      </w:r>
      <m:oMath>
        <m:r>
          <m:rPr/>
          <w:rPr>
            <w:rFonts w:ascii="Cambria Math" w:hAnsi="Cambria Math"/>
          </w:rPr>
          <m:t>X=</m:t>
        </m:r>
        <m:d>
          <m:dPr>
            <m:begChr m:val="["/>
            <m:endChr m:val="]"/>
            <m:ctrlPr>
              <w:rPr>
                <w:rFonts w:ascii="Cambria Math" w:hAnsi="Cambria Math"/>
                <w:bCs/>
              </w:rPr>
            </m:ctrlPr>
          </m:dPr>
          <m:e>
            <m:m>
              <m:mPr>
                <m:mcs>
                  <m:mc>
                    <m:mcPr>
                      <m:count m:val="4"/>
                      <m:mcJc m:val="center"/>
                    </m:mcPr>
                  </m:mc>
                </m:mcs>
                <m:ctrlPr>
                  <w:rPr>
                    <w:rFonts w:ascii="Cambria Math" w:hAnsi="Cambria Math"/>
                    <w:bCs/>
                  </w:rPr>
                </m:ctrlPr>
              </m:mPr>
              <m:mr>
                <m:e>
                  <m:sSub>
                    <m:sSubPr>
                      <m:ctrlPr>
                        <w:rPr>
                          <w:rFonts w:ascii="Cambria Math" w:hAnsi="Cambria Math"/>
                          <w:bCs/>
                        </w:rPr>
                      </m:ctrlPr>
                    </m:sSubPr>
                    <m:e>
                      <m:r>
                        <m:rPr/>
                        <w:rPr>
                          <w:rFonts w:ascii="Cambria Math" w:hAnsi="Cambria Math"/>
                        </w:rPr>
                        <m:t>x</m:t>
                      </m:r>
                      <m:ctrlPr>
                        <w:rPr>
                          <w:rFonts w:ascii="Cambria Math" w:hAnsi="Cambria Math"/>
                          <w:bCs/>
                        </w:rPr>
                      </m:ctrlPr>
                    </m:e>
                    <m:sub>
                      <m:r>
                        <m:rPr/>
                        <w:rPr>
                          <w:rFonts w:ascii="Cambria Math" w:hAnsi="Cambria Math"/>
                        </w:rPr>
                        <m:t>11</m:t>
                      </m:r>
                      <m:ctrlPr>
                        <w:rPr>
                          <w:rFonts w:ascii="Cambria Math" w:hAnsi="Cambria Math"/>
                          <w:bCs/>
                        </w:rPr>
                      </m:ctrlPr>
                    </m:sub>
                  </m:sSub>
                  <m:ctrlPr>
                    <w:rPr>
                      <w:rFonts w:ascii="Cambria Math" w:hAnsi="Cambria Math"/>
                      <w:bCs/>
                    </w:rPr>
                  </m:ctrlPr>
                </m:e>
                <m:e>
                  <m:sSub>
                    <m:sSubPr>
                      <m:ctrlPr>
                        <w:rPr>
                          <w:rFonts w:ascii="Cambria Math" w:hAnsi="Cambria Math"/>
                          <w:bCs/>
                        </w:rPr>
                      </m:ctrlPr>
                    </m:sSubPr>
                    <m:e>
                      <m:r>
                        <m:rPr/>
                        <w:rPr>
                          <w:rFonts w:ascii="Cambria Math" w:hAnsi="Cambria Math"/>
                        </w:rPr>
                        <m:t>x</m:t>
                      </m:r>
                      <m:ctrlPr>
                        <w:rPr>
                          <w:rFonts w:ascii="Cambria Math" w:hAnsi="Cambria Math"/>
                          <w:bCs/>
                        </w:rPr>
                      </m:ctrlPr>
                    </m:e>
                    <m:sub>
                      <m:r>
                        <m:rPr/>
                        <w:rPr>
                          <w:rFonts w:ascii="Cambria Math" w:hAnsi="Cambria Math"/>
                        </w:rPr>
                        <m:t>12</m:t>
                      </m:r>
                      <m:ctrlPr>
                        <w:rPr>
                          <w:rFonts w:ascii="Cambria Math" w:hAnsi="Cambria Math"/>
                          <w:bCs/>
                        </w:rPr>
                      </m:ctrlPr>
                    </m:sub>
                  </m:sSub>
                  <m:ctrlPr>
                    <w:rPr>
                      <w:rFonts w:ascii="Cambria Math" w:hAnsi="Cambria Math"/>
                      <w:bCs/>
                    </w:rPr>
                  </m:ctrlPr>
                </m:e>
                <m:e>
                  <m:r>
                    <m:rPr/>
                    <w:rPr>
                      <w:rFonts w:ascii="Cambria Math" w:hAnsi="Cambria Math"/>
                    </w:rPr>
                    <m:t>…</m:t>
                  </m:r>
                  <m:ctrlPr>
                    <w:rPr>
                      <w:rFonts w:ascii="Cambria Math" w:hAnsi="Cambria Math"/>
                      <w:bCs/>
                    </w:rPr>
                  </m:ctrlPr>
                </m:e>
                <m:e>
                  <m:sSub>
                    <m:sSubPr>
                      <m:ctrlPr>
                        <w:rPr>
                          <w:rFonts w:ascii="Cambria Math" w:hAnsi="Cambria Math"/>
                          <w:bCs/>
                        </w:rPr>
                      </m:ctrlPr>
                    </m:sSubPr>
                    <m:e>
                      <m:r>
                        <m:rPr/>
                        <w:rPr>
                          <w:rFonts w:ascii="Cambria Math" w:hAnsi="Cambria Math"/>
                        </w:rPr>
                        <m:t>x</m:t>
                      </m:r>
                      <m:ctrlPr>
                        <w:rPr>
                          <w:rFonts w:ascii="Cambria Math" w:hAnsi="Cambria Math"/>
                          <w:bCs/>
                        </w:rPr>
                      </m:ctrlPr>
                    </m:e>
                    <m:sub>
                      <m:r>
                        <m:rPr/>
                        <w:rPr>
                          <w:rFonts w:ascii="Cambria Math" w:hAnsi="Cambria Math"/>
                        </w:rPr>
                        <m:t>1n</m:t>
                      </m:r>
                      <m:ctrlPr>
                        <w:rPr>
                          <w:rFonts w:ascii="Cambria Math" w:hAnsi="Cambria Math"/>
                          <w:bCs/>
                        </w:rPr>
                      </m:ctrlPr>
                    </m:sub>
                  </m:sSub>
                  <m:ctrlPr>
                    <w:rPr>
                      <w:rFonts w:ascii="Cambria Math" w:hAnsi="Cambria Math"/>
                      <w:bCs/>
                    </w:rPr>
                  </m:ctrlPr>
                </m:e>
              </m:mr>
              <m:mr>
                <m:e>
                  <m:sSub>
                    <m:sSubPr>
                      <m:ctrlPr>
                        <w:rPr>
                          <w:rFonts w:ascii="Cambria Math" w:hAnsi="Cambria Math"/>
                          <w:bCs/>
                        </w:rPr>
                      </m:ctrlPr>
                    </m:sSubPr>
                    <m:e>
                      <m:r>
                        <m:rPr/>
                        <w:rPr>
                          <w:rFonts w:ascii="Cambria Math" w:hAnsi="Cambria Math"/>
                        </w:rPr>
                        <m:t>x</m:t>
                      </m:r>
                      <m:ctrlPr>
                        <w:rPr>
                          <w:rFonts w:ascii="Cambria Math" w:hAnsi="Cambria Math"/>
                          <w:bCs/>
                        </w:rPr>
                      </m:ctrlPr>
                    </m:e>
                    <m:sub>
                      <m:r>
                        <m:rPr/>
                        <w:rPr>
                          <w:rFonts w:ascii="Cambria Math" w:hAnsi="Cambria Math"/>
                        </w:rPr>
                        <m:t>21</m:t>
                      </m:r>
                      <m:ctrlPr>
                        <w:rPr>
                          <w:rFonts w:ascii="Cambria Math" w:hAnsi="Cambria Math"/>
                          <w:bCs/>
                        </w:rPr>
                      </m:ctrlPr>
                    </m:sub>
                  </m:sSub>
                  <m:ctrlPr>
                    <w:rPr>
                      <w:rFonts w:ascii="Cambria Math" w:hAnsi="Cambria Math"/>
                      <w:bCs/>
                    </w:rPr>
                  </m:ctrlPr>
                </m:e>
                <m:e>
                  <m:sSub>
                    <m:sSubPr>
                      <m:ctrlPr>
                        <w:rPr>
                          <w:rFonts w:ascii="Cambria Math" w:hAnsi="Cambria Math"/>
                          <w:bCs/>
                        </w:rPr>
                      </m:ctrlPr>
                    </m:sSubPr>
                    <m:e>
                      <m:r>
                        <m:rPr/>
                        <w:rPr>
                          <w:rFonts w:ascii="Cambria Math" w:hAnsi="Cambria Math"/>
                        </w:rPr>
                        <m:t>x</m:t>
                      </m:r>
                      <m:ctrlPr>
                        <w:rPr>
                          <w:rFonts w:ascii="Cambria Math" w:hAnsi="Cambria Math"/>
                          <w:bCs/>
                        </w:rPr>
                      </m:ctrlPr>
                    </m:e>
                    <m:sub>
                      <m:r>
                        <m:rPr/>
                        <w:rPr>
                          <w:rFonts w:ascii="Cambria Math" w:hAnsi="Cambria Math"/>
                        </w:rPr>
                        <m:t>22</m:t>
                      </m:r>
                      <m:ctrlPr>
                        <w:rPr>
                          <w:rFonts w:ascii="Cambria Math" w:hAnsi="Cambria Math"/>
                          <w:bCs/>
                        </w:rPr>
                      </m:ctrlPr>
                    </m:sub>
                  </m:sSub>
                  <m:ctrlPr>
                    <w:rPr>
                      <w:rFonts w:ascii="Cambria Math" w:hAnsi="Cambria Math"/>
                      <w:bCs/>
                    </w:rPr>
                  </m:ctrlPr>
                </m:e>
                <m:e>
                  <m:r>
                    <m:rPr/>
                    <w:rPr>
                      <w:rFonts w:ascii="Cambria Math" w:hAnsi="Cambria Math"/>
                    </w:rPr>
                    <m:t>…</m:t>
                  </m:r>
                  <m:ctrlPr>
                    <w:rPr>
                      <w:rFonts w:ascii="Cambria Math" w:hAnsi="Cambria Math"/>
                      <w:bCs/>
                    </w:rPr>
                  </m:ctrlPr>
                </m:e>
                <m:e>
                  <m:sSub>
                    <m:sSubPr>
                      <m:ctrlPr>
                        <w:rPr>
                          <w:rFonts w:ascii="Cambria Math" w:hAnsi="Cambria Math"/>
                          <w:bCs/>
                        </w:rPr>
                      </m:ctrlPr>
                    </m:sSubPr>
                    <m:e>
                      <m:r>
                        <m:rPr/>
                        <w:rPr>
                          <w:rFonts w:ascii="Cambria Math" w:hAnsi="Cambria Math"/>
                        </w:rPr>
                        <m:t>x</m:t>
                      </m:r>
                      <m:ctrlPr>
                        <w:rPr>
                          <w:rFonts w:ascii="Cambria Math" w:hAnsi="Cambria Math"/>
                          <w:bCs/>
                        </w:rPr>
                      </m:ctrlPr>
                    </m:e>
                    <m:sub>
                      <m:r>
                        <m:rPr/>
                        <w:rPr>
                          <w:rFonts w:ascii="Cambria Math" w:hAnsi="Cambria Math"/>
                        </w:rPr>
                        <m:t>2n</m:t>
                      </m:r>
                      <m:ctrlPr>
                        <w:rPr>
                          <w:rFonts w:ascii="Cambria Math" w:hAnsi="Cambria Math"/>
                          <w:bCs/>
                        </w:rPr>
                      </m:ctrlPr>
                    </m:sub>
                  </m:sSub>
                  <m:ctrlPr>
                    <w:rPr>
                      <w:rFonts w:ascii="Cambria Math" w:hAnsi="Cambria Math"/>
                      <w:bCs/>
                    </w:rPr>
                  </m:ctrlPr>
                </m:e>
              </m:mr>
              <m:mr>
                <m:e>
                  <m:r>
                    <m:rPr/>
                    <w:rPr>
                      <w:rFonts w:ascii="Cambria Math" w:hAnsi="Cambria Math"/>
                    </w:rPr>
                    <m:t>…</m:t>
                  </m:r>
                  <m:ctrlPr>
                    <w:rPr>
                      <w:rFonts w:ascii="Cambria Math" w:hAnsi="Cambria Math"/>
                      <w:bCs/>
                    </w:rPr>
                  </m:ctrlPr>
                </m:e>
                <m:e>
                  <m:r>
                    <m:rPr/>
                    <w:rPr>
                      <w:rFonts w:ascii="Cambria Math" w:hAnsi="Cambria Math"/>
                    </w:rPr>
                    <m:t>…</m:t>
                  </m:r>
                  <m:ctrlPr>
                    <w:rPr>
                      <w:rFonts w:ascii="Cambria Math" w:hAnsi="Cambria Math"/>
                      <w:bCs/>
                    </w:rPr>
                  </m:ctrlPr>
                </m:e>
                <m:e>
                  <m:r>
                    <m:rPr/>
                    <w:rPr>
                      <w:rFonts w:ascii="Cambria Math" w:hAnsi="Cambria Math"/>
                    </w:rPr>
                    <m:t>…</m:t>
                  </m:r>
                  <m:ctrlPr>
                    <w:rPr>
                      <w:rFonts w:ascii="Cambria Math" w:hAnsi="Cambria Math"/>
                      <w:bCs/>
                    </w:rPr>
                  </m:ctrlPr>
                </m:e>
                <m:e>
                  <m:r>
                    <m:rPr/>
                    <w:rPr>
                      <w:rFonts w:ascii="Cambria Math" w:hAnsi="Cambria Math"/>
                    </w:rPr>
                    <m:t>…</m:t>
                  </m:r>
                  <m:ctrlPr>
                    <w:rPr>
                      <w:rFonts w:ascii="Cambria Math" w:hAnsi="Cambria Math"/>
                      <w:bCs/>
                    </w:rPr>
                  </m:ctrlPr>
                </m:e>
              </m:mr>
              <m:mr>
                <m:e>
                  <m:sSub>
                    <m:sSubPr>
                      <m:ctrlPr>
                        <w:rPr>
                          <w:rFonts w:ascii="Cambria Math" w:hAnsi="Cambria Math"/>
                          <w:bCs/>
                        </w:rPr>
                      </m:ctrlPr>
                    </m:sSubPr>
                    <m:e>
                      <m:r>
                        <m:rPr/>
                        <w:rPr>
                          <w:rFonts w:ascii="Cambria Math" w:hAnsi="Cambria Math"/>
                        </w:rPr>
                        <m:t>x</m:t>
                      </m:r>
                      <m:ctrlPr>
                        <w:rPr>
                          <w:rFonts w:ascii="Cambria Math" w:hAnsi="Cambria Math"/>
                          <w:bCs/>
                        </w:rPr>
                      </m:ctrlPr>
                    </m:e>
                    <m:sub>
                      <m:r>
                        <m:rPr/>
                        <w:rPr>
                          <w:rFonts w:hint="eastAsia" w:ascii="Cambria Math" w:hAnsi="Cambria Math"/>
                        </w:rPr>
                        <m:t>m</m:t>
                      </m:r>
                      <m:r>
                        <m:rPr/>
                        <w:rPr>
                          <w:rFonts w:ascii="Cambria Math" w:hAnsi="Cambria Math"/>
                        </w:rPr>
                        <m:t>1</m:t>
                      </m:r>
                      <m:ctrlPr>
                        <w:rPr>
                          <w:rFonts w:ascii="Cambria Math" w:hAnsi="Cambria Math"/>
                          <w:bCs/>
                        </w:rPr>
                      </m:ctrlPr>
                    </m:sub>
                  </m:sSub>
                  <m:ctrlPr>
                    <w:rPr>
                      <w:rFonts w:ascii="Cambria Math" w:hAnsi="Cambria Math"/>
                      <w:bCs/>
                    </w:rPr>
                  </m:ctrlPr>
                </m:e>
                <m:e>
                  <m:sSub>
                    <m:sSubPr>
                      <m:ctrlPr>
                        <w:rPr>
                          <w:rFonts w:ascii="Cambria Math" w:hAnsi="Cambria Math"/>
                          <w:bCs/>
                        </w:rPr>
                      </m:ctrlPr>
                    </m:sSubPr>
                    <m:e>
                      <m:r>
                        <m:rPr/>
                        <w:rPr>
                          <w:rFonts w:ascii="Cambria Math" w:hAnsi="Cambria Math"/>
                        </w:rPr>
                        <m:t>x</m:t>
                      </m:r>
                      <m:ctrlPr>
                        <w:rPr>
                          <w:rFonts w:ascii="Cambria Math" w:hAnsi="Cambria Math"/>
                          <w:bCs/>
                        </w:rPr>
                      </m:ctrlPr>
                    </m:e>
                    <m:sub>
                      <m:r>
                        <m:rPr/>
                        <w:rPr>
                          <w:rFonts w:ascii="Cambria Math" w:hAnsi="Cambria Math"/>
                        </w:rPr>
                        <m:t>m2</m:t>
                      </m:r>
                      <m:ctrlPr>
                        <w:rPr>
                          <w:rFonts w:ascii="Cambria Math" w:hAnsi="Cambria Math"/>
                          <w:bCs/>
                        </w:rPr>
                      </m:ctrlPr>
                    </m:sub>
                  </m:sSub>
                  <m:ctrlPr>
                    <w:rPr>
                      <w:rFonts w:ascii="Cambria Math" w:hAnsi="Cambria Math"/>
                      <w:bCs/>
                    </w:rPr>
                  </m:ctrlPr>
                </m:e>
                <m:e>
                  <m:r>
                    <m:rPr/>
                    <w:rPr>
                      <w:rFonts w:ascii="Cambria Math" w:hAnsi="Cambria Math"/>
                    </w:rPr>
                    <m:t>…</m:t>
                  </m:r>
                  <m:ctrlPr>
                    <w:rPr>
                      <w:rFonts w:ascii="Cambria Math" w:hAnsi="Cambria Math"/>
                      <w:bCs/>
                    </w:rPr>
                  </m:ctrlPr>
                </m:e>
                <m:e>
                  <m:sSub>
                    <m:sSubPr>
                      <m:ctrlPr>
                        <w:rPr>
                          <w:rFonts w:ascii="Cambria Math" w:hAnsi="Cambria Math"/>
                          <w:bCs/>
                        </w:rPr>
                      </m:ctrlPr>
                    </m:sSubPr>
                    <m:e>
                      <m:r>
                        <m:rPr/>
                        <w:rPr>
                          <w:rFonts w:ascii="Cambria Math" w:hAnsi="Cambria Math"/>
                        </w:rPr>
                        <m:t>x</m:t>
                      </m:r>
                      <m:ctrlPr>
                        <w:rPr>
                          <w:rFonts w:ascii="Cambria Math" w:hAnsi="Cambria Math"/>
                          <w:bCs/>
                        </w:rPr>
                      </m:ctrlPr>
                    </m:e>
                    <m:sub>
                      <m:r>
                        <m:rPr/>
                        <w:rPr>
                          <w:rFonts w:ascii="Cambria Math" w:hAnsi="Cambria Math"/>
                        </w:rPr>
                        <m:t>mn</m:t>
                      </m:r>
                      <m:ctrlPr>
                        <w:rPr>
                          <w:rFonts w:ascii="Cambria Math" w:hAnsi="Cambria Math"/>
                          <w:bCs/>
                        </w:rPr>
                      </m:ctrlPr>
                    </m:sub>
                  </m:sSub>
                  <m:ctrlPr>
                    <w:rPr>
                      <w:rFonts w:ascii="Cambria Math" w:hAnsi="Cambria Math"/>
                      <w:bCs/>
                    </w:rPr>
                  </m:ctrlPr>
                </m:e>
              </m:mr>
            </m:m>
            <m:ctrlPr>
              <w:rPr>
                <w:rFonts w:ascii="Cambria Math" w:hAnsi="Cambria Math"/>
                <w:bCs/>
              </w:rPr>
            </m:ctrlPr>
          </m:e>
        </m:d>
      </m:oMath>
      <w:r>
        <w:rPr>
          <w:rFonts w:hint="eastAsia" w:ascii="微软雅黑" w:hAnsi="微软雅黑" w:eastAsia="微软雅黑" w:cs="微软雅黑"/>
        </w:rPr>
        <w:tab/>
      </w:r>
      <w:r>
        <w:rPr>
          <w:rFonts w:hint="eastAsia"/>
        </w:rPr>
        <w:t>(</w:t>
      </w:r>
      <w:r>
        <w:rPr>
          <w:rFonts w:hint="eastAsia"/>
        </w:rPr>
        <w:fldChar w:fldCharType="begin"/>
      </w:r>
      <w:r>
        <w:rPr>
          <w:rFonts w:hint="eastAsia"/>
        </w:rPr>
        <w:instrText xml:space="preserve"> SEQ 公式 \* ARABIC </w:instrText>
      </w:r>
      <w:r>
        <w:rPr>
          <w:rFonts w:hint="eastAsia"/>
        </w:rPr>
        <w:fldChar w:fldCharType="separate"/>
      </w:r>
      <w:r>
        <w:rPr>
          <w:rFonts w:hint="eastAsia"/>
        </w:rPr>
        <w:t>6</w:t>
      </w:r>
      <w:r>
        <w:rPr>
          <w:rFonts w:hint="eastAsia"/>
        </w:rPr>
        <w:fldChar w:fldCharType="end"/>
      </w:r>
      <w:r>
        <w:rPr>
          <w:rFonts w:hint="eastAsia"/>
        </w:rPr>
        <w:t>)</w:t>
      </w:r>
    </w:p>
    <w:p w14:paraId="60CEE662">
      <w:pPr>
        <w:widowControl/>
        <w:tabs>
          <w:tab w:val="center" w:pos="4200"/>
          <w:tab w:val="right" w:pos="8400"/>
        </w:tabs>
        <w:ind w:firstLine="420"/>
        <w:rPr>
          <w:rFonts w:ascii="Times New Roman" w:hAnsi="Times New Roman" w:eastAsia="方正仿宋" w:cs="方正仿宋"/>
          <w:bCs/>
          <w:szCs w:val="21"/>
          <w:lang w:bidi="ar"/>
        </w:rPr>
      </w:pPr>
      <w:r>
        <w:rPr>
          <w:rFonts w:ascii="Times New Roman" w:hAnsi="Times New Roman" w:eastAsia="方正仿宋" w:cs="方正仿宋"/>
          <w:bCs/>
          <w:szCs w:val="21"/>
          <w:lang w:bidi="ar"/>
        </w:rPr>
        <w:t>式中：</w:t>
      </w:r>
    </w:p>
    <w:p w14:paraId="096C0DA6">
      <w:pPr>
        <w:widowControl/>
        <w:tabs>
          <w:tab w:val="center" w:pos="4200"/>
          <w:tab w:val="right" w:pos="8400"/>
        </w:tabs>
        <w:ind w:firstLine="420"/>
        <w:rPr>
          <w:rFonts w:ascii="Times New Roman" w:hAnsi="Times New Roman" w:eastAsia="方正仿宋" w:cs="方正仿宋"/>
          <w:bCs/>
          <w:szCs w:val="21"/>
          <w:lang w:bidi="ar"/>
        </w:rPr>
      </w:pPr>
      <m:oMath>
        <m:r>
          <m:rPr>
            <m:sty m:val="p"/>
          </m:rPr>
          <w:rPr>
            <w:rFonts w:ascii="Times New Roman" w:hAnsi="Times New Roman" w:eastAsia="方正仿宋" w:cs="方正仿宋"/>
            <w:szCs w:val="21"/>
            <w:lang w:bidi="ar"/>
          </w:rPr>
          <m:t>X</m:t>
        </m:r>
      </m:oMath>
      <w:r>
        <w:rPr>
          <w:rFonts w:ascii="Times New Roman" w:hAnsi="Times New Roman" w:eastAsia="方正仿宋" w:cs="方正仿宋"/>
          <w:bCs/>
          <w:szCs w:val="21"/>
          <w:lang w:bidi="ar"/>
        </w:rPr>
        <w:t>——原始数据矩阵；</w:t>
      </w:r>
    </w:p>
    <w:p w14:paraId="136090DE">
      <w:pPr>
        <w:widowControl/>
        <w:tabs>
          <w:tab w:val="center" w:pos="4200"/>
          <w:tab w:val="right" w:pos="8400"/>
        </w:tabs>
        <w:ind w:firstLine="420"/>
        <w:rPr>
          <w:rFonts w:ascii="Times New Roman" w:hAnsi="Times New Roman" w:eastAsia="方正仿宋" w:cs="方正仿宋"/>
          <w:bCs/>
          <w:szCs w:val="21"/>
          <w:lang w:bidi="ar"/>
        </w:rPr>
      </w:pPr>
      <m:oMath>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ij</m:t>
            </m:r>
            <m:ctrlPr>
              <w:rPr>
                <w:rFonts w:ascii="Cambria Math" w:hAnsi="Cambria Math"/>
              </w:rPr>
            </m:ctrlPr>
          </m:sub>
        </m:sSub>
      </m:oMath>
      <w:r>
        <w:rPr>
          <w:rFonts w:ascii="Times New Roman" w:hAnsi="Times New Roman" w:eastAsia="方正仿宋" w:cs="方正仿宋"/>
          <w:bCs/>
          <w:szCs w:val="21"/>
          <w:lang w:bidi="ar"/>
        </w:rPr>
        <w:t>——第i个评价对象在第j个指标下的值</w:t>
      </w:r>
      <w:r>
        <w:rPr>
          <w:rFonts w:hint="eastAsia" w:ascii="Times New Roman" w:hAnsi="Times New Roman" w:eastAsia="方正仿宋" w:cs="方正仿宋"/>
          <w:bCs/>
          <w:szCs w:val="21"/>
          <w:lang w:bidi="ar"/>
        </w:rPr>
        <w:t>；</w:t>
      </w:r>
    </w:p>
    <w:p w14:paraId="4C8E6C07">
      <w:pPr>
        <w:widowControl/>
        <w:tabs>
          <w:tab w:val="center" w:pos="4200"/>
          <w:tab w:val="right" w:pos="8400"/>
        </w:tabs>
        <w:ind w:firstLine="420"/>
        <w:rPr>
          <w:rFonts w:ascii="Times New Roman" w:hAnsi="Times New Roman" w:eastAsia="方正仿宋" w:cs="方正仿宋"/>
          <w:bCs/>
          <w:i/>
          <w:iCs/>
          <w:szCs w:val="21"/>
          <w:lang w:bidi="ar"/>
        </w:rPr>
      </w:pPr>
      <w:r>
        <w:rPr>
          <w:rFonts w:hint="eastAsia" w:ascii="Times New Roman" w:hAnsi="Times New Roman" w:eastAsia="方正仿宋" w:cs="方正仿宋"/>
          <w:bCs/>
          <w:i/>
          <w:iCs/>
          <w:szCs w:val="21"/>
          <w:lang w:bidi="ar"/>
        </w:rPr>
        <w:t>n</w:t>
      </w:r>
      <w:r>
        <w:rPr>
          <w:rFonts w:ascii="Times New Roman" w:hAnsi="Times New Roman" w:eastAsia="方正仿宋" w:cs="方正仿宋"/>
          <w:bCs/>
          <w:szCs w:val="21"/>
          <w:lang w:bidi="ar"/>
        </w:rPr>
        <w:t>——评价</w:t>
      </w:r>
      <w:r>
        <w:rPr>
          <w:rFonts w:hint="eastAsia" w:ascii="Times New Roman" w:hAnsi="Times New Roman" w:eastAsia="方正仿宋" w:cs="方正仿宋"/>
          <w:bCs/>
          <w:szCs w:val="21"/>
          <w:lang w:bidi="ar"/>
        </w:rPr>
        <w:t>指标</w:t>
      </w:r>
      <w:r>
        <w:rPr>
          <w:rFonts w:ascii="Times New Roman" w:hAnsi="Times New Roman" w:eastAsia="方正仿宋" w:cs="方正仿宋"/>
          <w:bCs/>
          <w:szCs w:val="21"/>
          <w:lang w:bidi="ar"/>
        </w:rPr>
        <w:t>数量；</w:t>
      </w:r>
    </w:p>
    <w:p w14:paraId="61B113B5">
      <w:pPr>
        <w:widowControl/>
        <w:tabs>
          <w:tab w:val="center" w:pos="4200"/>
          <w:tab w:val="right" w:pos="8400"/>
        </w:tabs>
        <w:ind w:firstLine="420"/>
        <w:rPr>
          <w:rFonts w:ascii="Times New Roman" w:hAnsi="Times New Roman" w:eastAsia="方正仿宋" w:cs="方正仿宋"/>
          <w:bCs/>
          <w:i/>
          <w:iCs/>
          <w:szCs w:val="21"/>
          <w:lang w:bidi="ar"/>
        </w:rPr>
      </w:pPr>
      <w:r>
        <w:rPr>
          <w:rFonts w:hint="eastAsia" w:ascii="Times New Roman" w:hAnsi="Times New Roman" w:eastAsia="方正仿宋" w:cs="方正仿宋"/>
          <w:bCs/>
          <w:i/>
          <w:iCs/>
          <w:szCs w:val="21"/>
          <w:lang w:bidi="ar"/>
        </w:rPr>
        <w:t>m</w:t>
      </w:r>
      <w:r>
        <w:rPr>
          <w:rFonts w:ascii="Times New Roman" w:hAnsi="Times New Roman" w:eastAsia="方正仿宋" w:cs="方正仿宋"/>
          <w:bCs/>
          <w:szCs w:val="21"/>
          <w:lang w:bidi="ar"/>
        </w:rPr>
        <w:t>——评价</w:t>
      </w:r>
      <w:r>
        <w:rPr>
          <w:rFonts w:hint="eastAsia" w:ascii="Times New Roman" w:hAnsi="Times New Roman" w:eastAsia="方正仿宋" w:cs="方正仿宋"/>
          <w:bCs/>
          <w:szCs w:val="21"/>
          <w:lang w:bidi="ar"/>
        </w:rPr>
        <w:t>对象</w:t>
      </w:r>
      <w:r>
        <w:rPr>
          <w:rFonts w:ascii="Times New Roman" w:hAnsi="Times New Roman" w:eastAsia="方正仿宋" w:cs="方正仿宋"/>
          <w:bCs/>
          <w:szCs w:val="21"/>
          <w:lang w:bidi="ar"/>
        </w:rPr>
        <w:t>数量。</w:t>
      </w:r>
    </w:p>
    <w:p w14:paraId="02BDBC2A">
      <w:pPr>
        <w:pStyle w:val="29"/>
        <w:rPr>
          <w:rFonts w:hint="eastAsia" w:ascii="宋体" w:hAnsi="宋体" w:eastAsia="宋体" w:cs="宋体"/>
          <w:bCs w:val="0"/>
          <w:kern w:val="0"/>
          <w:sz w:val="21"/>
          <w:szCs w:val="20"/>
          <w:lang w:val="en-US" w:eastAsia="zh-CN" w:bidi="ar"/>
        </w:rPr>
      </w:pPr>
      <w:r>
        <w:rPr>
          <w:rFonts w:hint="eastAsia" w:ascii="宋体" w:hAnsi="宋体" w:eastAsia="宋体" w:cs="宋体"/>
          <w:bCs w:val="0"/>
          <w:kern w:val="0"/>
          <w:szCs w:val="20"/>
          <w:lang w:bidi="ar"/>
        </w:rPr>
        <w:t>按公式（7）计算第j个指标下第i个评价对象的指标比重</w:t>
      </w:r>
      <w:r>
        <w:rPr>
          <w:rFonts w:hint="eastAsia" w:ascii="宋体" w:hAnsi="宋体" w:eastAsia="宋体" w:cs="宋体"/>
          <w:bCs w:val="0"/>
          <w:kern w:val="0"/>
          <w:szCs w:val="20"/>
          <w:lang w:eastAsia="zh-CN" w:bidi="ar"/>
        </w:rPr>
        <w:t>：</w:t>
      </w:r>
    </w:p>
    <w:p w14:paraId="5C93D789">
      <w:pPr>
        <w:pStyle w:val="25"/>
        <w:bidi w:val="0"/>
        <w:rPr>
          <w:rFonts w:hint="eastAsia"/>
          <w:lang w:eastAsia="zh-CN"/>
        </w:rPr>
      </w:pPr>
      <w:r>
        <w:rPr>
          <w:rFonts w:hint="eastAsia"/>
          <w:lang w:eastAsia="zh-CN"/>
        </w:rPr>
        <w:tab/>
      </w:r>
      <m:oMath>
        <m:sSub>
          <m:sSubPr>
            <m:ctrlPr>
              <w:rPr>
                <w:rFonts w:hint="default" w:ascii="Cambria Math" w:hAnsi="Cambria Math"/>
                <w:sz w:val="21"/>
              </w:rPr>
            </m:ctrlPr>
          </m:sSubPr>
          <m:e>
            <m:r>
              <m:rPr/>
              <w:rPr>
                <w:rFonts w:hint="default" w:ascii="Cambria Math" w:hAnsi="Cambria Math"/>
                <w:sz w:val="21"/>
              </w:rPr>
              <m:t>P</m:t>
            </m:r>
            <m:ctrlPr>
              <w:rPr>
                <w:rFonts w:ascii="Cambria Math" w:hAnsi="Cambria Math"/>
                <w:sz w:val="21"/>
              </w:rPr>
            </m:ctrlPr>
          </m:e>
          <m:sub>
            <m:r>
              <m:rPr/>
              <w:rPr>
                <w:rFonts w:hint="default" w:ascii="Cambria Math" w:hAnsi="Cambria Math"/>
                <w:sz w:val="21"/>
              </w:rPr>
              <m:t>ij</m:t>
            </m:r>
            <m:ctrlPr>
              <w:rPr>
                <w:rFonts w:ascii="Cambria Math" w:hAnsi="Cambria Math"/>
                <w:sz w:val="21"/>
              </w:rPr>
            </m:ctrlPr>
          </m:sub>
        </m:sSub>
        <m:r>
          <m:rPr/>
          <w:rPr>
            <w:rFonts w:hint="default" w:ascii="Cambria Math" w:hAnsi="Cambria Math"/>
            <w:sz w:val="21"/>
          </w:rPr>
          <m:t>=</m:t>
        </m:r>
        <m:sSub>
          <m:sSubPr>
            <m:ctrlPr>
              <w:rPr>
                <w:rFonts w:hint="default" w:ascii="Cambria Math" w:hAnsi="Cambria Math"/>
                <w:sz w:val="21"/>
              </w:rPr>
            </m:ctrlPr>
          </m:sSubPr>
          <m:e>
            <m:r>
              <m:rPr/>
              <w:rPr>
                <w:rFonts w:hint="default" w:ascii="Cambria Math" w:hAnsi="Cambria Math"/>
                <w:sz w:val="21"/>
              </w:rPr>
              <m:t>y</m:t>
            </m:r>
            <m:ctrlPr>
              <w:rPr>
                <w:rFonts w:ascii="Cambria Math" w:hAnsi="Cambria Math"/>
                <w:sz w:val="21"/>
              </w:rPr>
            </m:ctrlPr>
          </m:e>
          <m:sub>
            <m:r>
              <m:rPr/>
              <w:rPr>
                <w:rFonts w:hint="default" w:ascii="Cambria Math" w:hAnsi="Cambria Math"/>
                <w:sz w:val="21"/>
              </w:rPr>
              <m:t>ij</m:t>
            </m:r>
            <m:ctrlPr>
              <w:rPr>
                <w:rFonts w:ascii="Cambria Math" w:hAnsi="Cambria Math"/>
                <w:sz w:val="21"/>
              </w:rPr>
            </m:ctrlPr>
          </m:sub>
        </m:sSub>
        <m:r>
          <m:rPr/>
          <w:rPr>
            <w:rFonts w:hint="default" w:ascii="Cambria Math" w:hAnsi="Cambria Math"/>
            <w:sz w:val="21"/>
          </w:rPr>
          <m:t>/</m:t>
        </m:r>
        <m:nary>
          <m:naryPr>
            <m:chr m:val="∑"/>
            <m:limLoc m:val="subSup"/>
            <m:ctrlPr>
              <w:rPr>
                <w:rFonts w:hint="default" w:ascii="Cambria Math" w:hAnsi="Cambria Math"/>
                <w:sz w:val="21"/>
              </w:rPr>
            </m:ctrlPr>
          </m:naryPr>
          <m:sub>
            <m:r>
              <m:rPr/>
              <w:rPr>
                <w:rFonts w:hint="default" w:ascii="Cambria Math" w:hAnsi="Cambria Math"/>
                <w:sz w:val="21"/>
              </w:rPr>
              <m:t>i=1</m:t>
            </m:r>
            <m:ctrlPr>
              <w:rPr>
                <w:rFonts w:ascii="Cambria Math" w:hAnsi="Cambria Math"/>
                <w:sz w:val="21"/>
              </w:rPr>
            </m:ctrlPr>
          </m:sub>
          <m:sup>
            <m:r>
              <m:rPr/>
              <w:rPr>
                <w:rFonts w:hint="default" w:ascii="Cambria Math" w:hAnsi="Cambria Math"/>
                <w:sz w:val="21"/>
              </w:rPr>
              <m:t>m</m:t>
            </m:r>
            <m:ctrlPr>
              <w:rPr>
                <w:rFonts w:ascii="Cambria Math" w:hAnsi="Cambria Math"/>
                <w:sz w:val="21"/>
              </w:rPr>
            </m:ctrlPr>
          </m:sup>
          <m:e>
            <m:sSub>
              <m:sSubPr>
                <m:ctrlPr>
                  <w:rPr>
                    <w:rFonts w:hint="default" w:ascii="Cambria Math" w:hAnsi="Cambria Math"/>
                    <w:sz w:val="21"/>
                  </w:rPr>
                </m:ctrlPr>
              </m:sSubPr>
              <m:e>
                <m:r>
                  <m:rPr/>
                  <w:rPr>
                    <w:rFonts w:hint="default" w:ascii="Cambria Math" w:hAnsi="Cambria Math"/>
                    <w:sz w:val="21"/>
                  </w:rPr>
                  <m:t>y</m:t>
                </m:r>
                <m:ctrlPr>
                  <w:rPr>
                    <w:rFonts w:ascii="Cambria Math" w:hAnsi="Cambria Math"/>
                    <w:sz w:val="21"/>
                  </w:rPr>
                </m:ctrlPr>
              </m:e>
              <m:sub>
                <m:r>
                  <m:rPr/>
                  <w:rPr>
                    <w:rFonts w:hint="default" w:ascii="Cambria Math" w:hAnsi="Cambria Math"/>
                    <w:sz w:val="21"/>
                  </w:rPr>
                  <m:t>ij</m:t>
                </m:r>
                <m:ctrlPr>
                  <w:rPr>
                    <w:rFonts w:ascii="Cambria Math" w:hAnsi="Cambria Math"/>
                    <w:sz w:val="21"/>
                  </w:rPr>
                </m:ctrlPr>
              </m:sub>
            </m:sSub>
            <m:ctrlPr>
              <w:rPr>
                <w:rFonts w:hint="default" w:ascii="Cambria Math" w:hAnsi="Cambria Math"/>
                <w:sz w:val="21"/>
              </w:rPr>
            </m:ctrlPr>
          </m:e>
        </m:nary>
      </m:oMath>
      <w:r>
        <w:rPr>
          <w:rFonts w:hint="eastAsia" w:ascii="微软雅黑" w:hAnsi="微软雅黑" w:eastAsia="微软雅黑" w:cs="微软雅黑"/>
          <w:lang w:eastAsia="zh-CN"/>
        </w:rPr>
        <w:tab/>
      </w:r>
      <w:r>
        <w:rPr>
          <w:rFonts w:hint="eastAsia"/>
          <w:lang w:eastAsia="zh-CN"/>
        </w:rPr>
        <w:t>(</w:t>
      </w:r>
      <w:r>
        <w:rPr>
          <w:rFonts w:hint="eastAsia"/>
          <w:lang w:eastAsia="zh-CN"/>
        </w:rPr>
        <w:fldChar w:fldCharType="begin"/>
      </w:r>
      <w:r>
        <w:rPr>
          <w:rFonts w:hint="eastAsia"/>
          <w:lang w:eastAsia="zh-CN"/>
        </w:rPr>
        <w:instrText xml:space="preserve"> SEQ 公式 \* ARABIC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w:t>
      </w:r>
    </w:p>
    <w:p w14:paraId="4BDD327E">
      <w:pPr>
        <w:keepNext w:val="0"/>
        <w:keepLines w:val="0"/>
        <w:widowControl/>
        <w:suppressLineNumbers w:val="0"/>
        <w:tabs>
          <w:tab w:val="center" w:pos="4200"/>
          <w:tab w:val="right" w:pos="8400"/>
        </w:tabs>
        <w:snapToGrid/>
        <w:spacing w:before="0" w:beforeAutospacing="0" w:after="0" w:afterAutospacing="0" w:line="240" w:lineRule="auto"/>
        <w:ind w:left="0" w:right="0" w:firstLine="420" w:firstLineChars="0"/>
        <w:jc w:val="left"/>
        <w:rPr>
          <w:rFonts w:hint="default" w:ascii="Times New Roman" w:hAnsi="Times New Roman" w:eastAsia="方正仿宋" w:cs="方正仿宋"/>
          <w:bCs/>
          <w:kern w:val="2"/>
          <w:sz w:val="21"/>
          <w:szCs w:val="21"/>
          <w:lang w:val="en-US" w:eastAsia="zh-CN" w:bidi="ar"/>
        </w:rPr>
      </w:pPr>
      <w:r>
        <w:rPr>
          <w:rFonts w:hint="default" w:ascii="Times New Roman" w:hAnsi="Times New Roman" w:eastAsia="方正仿宋" w:cs="方正仿宋"/>
          <w:bCs/>
          <w:kern w:val="2"/>
          <w:sz w:val="21"/>
          <w:szCs w:val="21"/>
          <w:lang w:val="en-US" w:eastAsia="zh-CN" w:bidi="ar"/>
        </w:rPr>
        <w:t>式中：</w:t>
      </w:r>
    </w:p>
    <w:p w14:paraId="5939B8B9">
      <w:pPr>
        <w:widowControl/>
        <w:tabs>
          <w:tab w:val="center" w:pos="4200"/>
          <w:tab w:val="right" w:pos="8400"/>
        </w:tabs>
        <w:ind w:firstLine="420"/>
        <w:jc w:val="left"/>
        <w:rPr>
          <w:rFonts w:ascii="Times New Roman" w:hAnsi="Times New Roman" w:eastAsia="方正仿宋" w:cs="方正仿宋"/>
          <w:bCs/>
          <w:szCs w:val="21"/>
          <w:lang w:bidi="ar"/>
        </w:rPr>
      </w:pPr>
      <m:oMath>
        <m:sSub>
          <m:sSubPr>
            <m:ctrlPr>
              <w:rPr>
                <w:rFonts w:ascii="Cambria Math" w:hAnsi="Cambria Math" w:eastAsia="方正仿宋" w:cs="方正仿宋"/>
                <w:bCs/>
                <w:i/>
                <w:iCs/>
                <w:szCs w:val="21"/>
                <w:lang w:bidi="ar"/>
              </w:rPr>
            </m:ctrlPr>
          </m:sSubPr>
          <m:e>
            <m:r>
              <m:rPr/>
              <w:rPr>
                <w:rFonts w:ascii="Times New Roman" w:hAnsi="Times New Roman" w:eastAsia="方正仿宋" w:cs="方正仿宋"/>
                <w:szCs w:val="21"/>
                <w:lang w:bidi="ar"/>
              </w:rPr>
              <m:t>P</m:t>
            </m:r>
            <m:ctrlPr>
              <w:rPr>
                <w:rFonts w:ascii="Cambria Math" w:hAnsi="Cambria Math" w:eastAsia="方正仿宋" w:cs="方正仿宋"/>
                <w:bCs/>
                <w:i/>
                <w:iCs/>
                <w:szCs w:val="21"/>
                <w:lang w:bidi="ar"/>
              </w:rPr>
            </m:ctrlPr>
          </m:e>
          <m:sub>
            <m:r>
              <m:rPr/>
              <w:rPr>
                <w:rFonts w:ascii="Times New Roman" w:hAnsi="Times New Roman" w:eastAsia="方正仿宋" w:cs="方正仿宋"/>
                <w:szCs w:val="21"/>
                <w:lang w:bidi="ar"/>
              </w:rPr>
              <m:t>ij</m:t>
            </m:r>
            <m:ctrlPr>
              <w:rPr>
                <w:rFonts w:ascii="Cambria Math" w:hAnsi="Cambria Math" w:eastAsia="方正仿宋" w:cs="方正仿宋"/>
                <w:bCs/>
                <w:i/>
                <w:iCs/>
                <w:szCs w:val="21"/>
                <w:lang w:bidi="ar"/>
              </w:rPr>
            </m:ctrlPr>
          </m:sub>
        </m:sSub>
      </m:oMath>
      <w:r>
        <w:rPr>
          <w:rFonts w:ascii="Times New Roman" w:hAnsi="Times New Roman" w:eastAsia="方正仿宋" w:cs="方正仿宋"/>
          <w:bCs/>
          <w:szCs w:val="21"/>
          <w:lang w:bidi="ar"/>
        </w:rPr>
        <w:t>——</w:t>
      </w:r>
      <w:r>
        <w:rPr>
          <w:rFonts w:hint="eastAsia" w:ascii="Times New Roman" w:hAnsi="Times New Roman" w:eastAsia="方正仿宋" w:cs="方正仿宋"/>
          <w:bCs/>
          <w:szCs w:val="21"/>
          <w:lang w:bidi="ar"/>
        </w:rPr>
        <w:t>第j项指标下</w:t>
      </w:r>
      <w:r>
        <w:rPr>
          <w:rFonts w:ascii="Times New Roman" w:hAnsi="Times New Roman" w:eastAsia="方正仿宋" w:cs="方正仿宋"/>
          <w:bCs/>
          <w:szCs w:val="21"/>
          <w:lang w:bidi="ar"/>
        </w:rPr>
        <w:t>第</w:t>
      </w:r>
      <w:r>
        <w:rPr>
          <w:rFonts w:ascii="Times New Roman" w:hAnsi="Times New Roman" w:eastAsia="方正仿宋" w:cs="方正仿宋"/>
          <w:bCs/>
          <w:i/>
          <w:iCs/>
          <w:szCs w:val="21"/>
          <w:lang w:bidi="ar"/>
        </w:rPr>
        <w:t>i</w:t>
      </w:r>
      <w:r>
        <w:rPr>
          <w:rFonts w:ascii="Times New Roman" w:hAnsi="Times New Roman" w:eastAsia="方正仿宋" w:cs="方正仿宋"/>
          <w:bCs/>
          <w:szCs w:val="21"/>
          <w:lang w:bidi="ar"/>
        </w:rPr>
        <w:t>个评价对象的指标比重；</w:t>
      </w:r>
    </w:p>
    <w:p w14:paraId="0AF78067">
      <w:pPr>
        <w:keepNext w:val="0"/>
        <w:keepLines w:val="0"/>
        <w:widowControl/>
        <w:suppressLineNumbers w:val="0"/>
        <w:tabs>
          <w:tab w:val="center" w:pos="4200"/>
          <w:tab w:val="right" w:pos="8400"/>
        </w:tabs>
        <w:snapToGrid/>
        <w:spacing w:before="0" w:beforeAutospacing="0" w:after="0" w:afterAutospacing="0" w:line="240" w:lineRule="auto"/>
        <w:ind w:left="0" w:right="0" w:firstLine="420" w:firstLineChars="0"/>
        <w:jc w:val="left"/>
        <w:rPr>
          <w:rFonts w:hint="default" w:ascii="Times New Roman" w:hAnsi="Times New Roman" w:eastAsia="方正仿宋" w:cs="方正仿宋"/>
          <w:bCs/>
          <w:kern w:val="2"/>
          <w:sz w:val="21"/>
          <w:szCs w:val="21"/>
          <w:lang w:val="en-US" w:eastAsia="zh-CN" w:bidi="ar"/>
        </w:rPr>
      </w:pPr>
      <m:oMath>
        <m:sSub>
          <m:sSubPr>
            <m:ctrlPr>
              <w:rPr>
                <w:rFonts w:hint="default" w:ascii="Cambria Math" w:hAnsi="Cambria Math"/>
                <w:sz w:val="21"/>
              </w:rPr>
            </m:ctrlPr>
          </m:sSubPr>
          <m:e>
            <m:r>
              <m:rPr/>
              <w:rPr>
                <w:rFonts w:hint="default" w:ascii="Cambria Math" w:hAnsi="Cambria Math"/>
                <w:sz w:val="21"/>
              </w:rPr>
              <m:t>y</m:t>
            </m:r>
            <m:ctrlPr>
              <w:rPr>
                <w:rFonts w:ascii="Cambria Math" w:hAnsi="Cambria Math"/>
                <w:sz w:val="21"/>
              </w:rPr>
            </m:ctrlPr>
          </m:e>
          <m:sub>
            <m:r>
              <m:rPr/>
              <w:rPr>
                <w:rFonts w:hint="default" w:ascii="Cambria Math" w:hAnsi="Cambria Math"/>
                <w:sz w:val="21"/>
              </w:rPr>
              <m:t>ij</m:t>
            </m:r>
            <m:ctrlPr>
              <w:rPr>
                <w:rFonts w:ascii="Cambria Math" w:hAnsi="Cambria Math"/>
                <w:sz w:val="21"/>
              </w:rPr>
            </m:ctrlPr>
          </m:sub>
        </m:sSub>
      </m:oMath>
      <w:r>
        <w:rPr>
          <w:rFonts w:hint="default" w:ascii="Times New Roman" w:hAnsi="Times New Roman" w:eastAsia="方正仿宋" w:cs="方正仿宋"/>
          <w:bCs/>
          <w:kern w:val="2"/>
          <w:sz w:val="21"/>
          <w:szCs w:val="21"/>
          <w:lang w:val="en-US" w:eastAsia="zh-CN" w:bidi="ar"/>
        </w:rPr>
        <w:t>——第</w:t>
      </w:r>
      <w:r>
        <w:rPr>
          <w:rFonts w:hint="default" w:ascii="Times New Roman" w:hAnsi="Times New Roman" w:eastAsia="方正仿宋" w:cs="方正仿宋"/>
          <w:bCs/>
          <w:i/>
          <w:iCs/>
          <w:kern w:val="2"/>
          <w:sz w:val="21"/>
          <w:szCs w:val="21"/>
          <w:lang w:val="en-US" w:eastAsia="zh-CN" w:bidi="ar"/>
        </w:rPr>
        <w:t>i</w:t>
      </w:r>
      <w:r>
        <w:rPr>
          <w:rFonts w:hint="default" w:ascii="Times New Roman" w:hAnsi="Times New Roman" w:eastAsia="方正仿宋" w:cs="方正仿宋"/>
          <w:bCs/>
          <w:kern w:val="2"/>
          <w:sz w:val="21"/>
          <w:szCs w:val="21"/>
          <w:lang w:val="en-US" w:eastAsia="zh-CN" w:bidi="ar"/>
        </w:rPr>
        <w:t>个评价对象的第</w:t>
      </w:r>
      <w:r>
        <w:rPr>
          <w:rFonts w:hint="default" w:ascii="Times New Roman" w:hAnsi="Times New Roman" w:eastAsia="方正仿宋" w:cs="方正仿宋"/>
          <w:bCs/>
          <w:i/>
          <w:iCs/>
          <w:kern w:val="2"/>
          <w:sz w:val="21"/>
          <w:szCs w:val="21"/>
          <w:lang w:val="en-US" w:eastAsia="zh-CN" w:bidi="ar"/>
        </w:rPr>
        <w:t>j</w:t>
      </w:r>
      <w:r>
        <w:rPr>
          <w:rFonts w:hint="default" w:ascii="Times New Roman" w:hAnsi="Times New Roman" w:eastAsia="方正仿宋" w:cs="方正仿宋"/>
          <w:bCs/>
          <w:kern w:val="2"/>
          <w:sz w:val="21"/>
          <w:szCs w:val="21"/>
          <w:lang w:val="en-US" w:eastAsia="zh-CN" w:bidi="ar"/>
        </w:rPr>
        <w:t>个评估指标。</w:t>
      </w:r>
    </w:p>
    <w:p w14:paraId="5F217C83">
      <w:pPr>
        <w:pStyle w:val="29"/>
        <w:rPr>
          <w:rFonts w:hint="eastAsia" w:ascii="宋体" w:hAnsi="宋体" w:eastAsia="宋体" w:cs="宋体"/>
          <w:bCs w:val="0"/>
          <w:kern w:val="0"/>
          <w:sz w:val="21"/>
          <w:szCs w:val="20"/>
          <w:lang w:val="en-US" w:eastAsia="zh-CN" w:bidi="ar"/>
        </w:rPr>
      </w:pPr>
      <w:r>
        <w:rPr>
          <w:rFonts w:hint="eastAsia" w:ascii="宋体" w:hAnsi="宋体" w:eastAsia="宋体" w:cs="宋体"/>
          <w:bCs w:val="0"/>
          <w:kern w:val="0"/>
          <w:sz w:val="21"/>
          <w:szCs w:val="20"/>
          <w:lang w:val="en-US" w:eastAsia="zh-CN" w:bidi="ar"/>
        </w:rPr>
        <w:t>按公式（8）计算第</w:t>
      </w:r>
      <w:r>
        <w:rPr>
          <w:rFonts w:hint="eastAsia" w:ascii="宋体" w:hAnsi="宋体" w:eastAsia="宋体" w:cs="宋体"/>
          <w:bCs w:val="0"/>
          <w:i w:val="0"/>
          <w:iCs w:val="0"/>
          <w:kern w:val="0"/>
          <w:sz w:val="21"/>
          <w:szCs w:val="20"/>
          <w:lang w:val="en-US" w:eastAsia="zh-CN" w:bidi="ar"/>
        </w:rPr>
        <w:t>j</w:t>
      </w:r>
      <w:r>
        <w:rPr>
          <w:rFonts w:hint="eastAsia" w:ascii="宋体" w:hAnsi="宋体" w:eastAsia="宋体" w:cs="宋体"/>
          <w:bCs w:val="0"/>
          <w:kern w:val="0"/>
          <w:sz w:val="21"/>
          <w:szCs w:val="20"/>
          <w:lang w:val="en-US" w:eastAsia="zh-CN" w:bidi="ar"/>
        </w:rPr>
        <w:t>项指标熵值：</w:t>
      </w:r>
    </w:p>
    <w:p w14:paraId="7581054A">
      <w:pPr>
        <w:pStyle w:val="25"/>
        <w:bidi w:val="0"/>
        <w:rPr>
          <w:rFonts w:hint="eastAsia"/>
          <w:lang w:eastAsia="zh-CN"/>
        </w:rPr>
      </w:pPr>
      <w:r>
        <w:rPr>
          <w:rFonts w:hint="eastAsia"/>
          <w:lang w:eastAsia="zh-CN"/>
        </w:rPr>
        <w:tab/>
      </w:r>
      <m:oMath>
        <m:sSub>
          <m:sSubPr>
            <m:ctrlPr>
              <w:rPr>
                <w:rFonts w:hint="default" w:ascii="Cambria Math" w:hAnsi="Cambria Math"/>
                <w:sz w:val="21"/>
              </w:rPr>
            </m:ctrlPr>
          </m:sSubPr>
          <m:e>
            <m:r>
              <m:rPr/>
              <w:rPr>
                <w:rFonts w:hint="default" w:ascii="Cambria Math" w:hAnsi="Cambria Math"/>
                <w:sz w:val="21"/>
              </w:rPr>
              <m:t>e</m:t>
            </m:r>
            <m:ctrlPr>
              <w:rPr>
                <w:rFonts w:ascii="Cambria Math" w:hAnsi="Cambria Math"/>
                <w:sz w:val="21"/>
              </w:rPr>
            </m:ctrlPr>
          </m:e>
          <m:sub>
            <m:r>
              <m:rPr/>
              <w:rPr>
                <w:rFonts w:hint="default" w:ascii="Cambria Math" w:hAnsi="Cambria Math"/>
                <w:sz w:val="21"/>
              </w:rPr>
              <m:t>j</m:t>
            </m:r>
            <m:ctrlPr>
              <w:rPr>
                <w:rFonts w:ascii="Cambria Math" w:hAnsi="Cambria Math"/>
                <w:sz w:val="21"/>
              </w:rPr>
            </m:ctrlPr>
          </m:sub>
        </m:sSub>
        <m:r>
          <m:rPr/>
          <w:rPr>
            <w:rFonts w:hint="default" w:ascii="Cambria Math" w:hAnsi="Cambria Math"/>
            <w:sz w:val="21"/>
          </w:rPr>
          <m:t>=−k</m:t>
        </m:r>
        <m:nary>
          <m:naryPr>
            <m:chr m:val="∑"/>
            <m:limLoc m:val="subSup"/>
            <m:ctrlPr>
              <w:rPr>
                <w:rFonts w:hint="default" w:ascii="Cambria Math" w:hAnsi="Cambria Math"/>
                <w:sz w:val="21"/>
              </w:rPr>
            </m:ctrlPr>
          </m:naryPr>
          <m:sub>
            <m:r>
              <m:rPr/>
              <w:rPr>
                <w:rFonts w:hint="default" w:ascii="Cambria Math" w:hAnsi="Cambria Math"/>
                <w:sz w:val="21"/>
              </w:rPr>
              <m:t>i=1</m:t>
            </m:r>
            <m:ctrlPr>
              <w:rPr>
                <w:rFonts w:ascii="Cambria Math" w:hAnsi="Cambria Math"/>
                <w:sz w:val="21"/>
              </w:rPr>
            </m:ctrlPr>
          </m:sub>
          <m:sup>
            <m:r>
              <m:rPr/>
              <w:rPr>
                <w:rFonts w:hint="default" w:ascii="Cambria Math" w:hAnsi="Cambria Math"/>
                <w:sz w:val="21"/>
              </w:rPr>
              <m:t>m</m:t>
            </m:r>
            <m:ctrlPr>
              <w:rPr>
                <w:rFonts w:ascii="Cambria Math" w:hAnsi="Cambria Math"/>
                <w:sz w:val="21"/>
              </w:rPr>
            </m:ctrlPr>
          </m:sup>
          <m:e>
            <m:sSub>
              <m:sSubPr>
                <m:ctrlPr>
                  <w:rPr>
                    <w:rFonts w:hint="default" w:ascii="Cambria Math" w:hAnsi="Cambria Math"/>
                    <w:sz w:val="21"/>
                  </w:rPr>
                </m:ctrlPr>
              </m:sSubPr>
              <m:e>
                <m:r>
                  <m:rPr/>
                  <w:rPr>
                    <w:rFonts w:hint="default" w:ascii="Cambria Math" w:hAnsi="Cambria Math"/>
                    <w:sz w:val="21"/>
                  </w:rPr>
                  <m:t>P</m:t>
                </m:r>
                <m:ctrlPr>
                  <w:rPr>
                    <w:rFonts w:ascii="Cambria Math" w:hAnsi="Cambria Math"/>
                    <w:sz w:val="21"/>
                  </w:rPr>
                </m:ctrlPr>
              </m:e>
              <m:sub>
                <m:r>
                  <m:rPr/>
                  <w:rPr>
                    <w:rFonts w:hint="default" w:ascii="Cambria Math" w:hAnsi="Cambria Math"/>
                    <w:sz w:val="21"/>
                  </w:rPr>
                  <m:t>ij</m:t>
                </m:r>
                <m:ctrlPr>
                  <w:rPr>
                    <w:rFonts w:ascii="Cambria Math" w:hAnsi="Cambria Math"/>
                    <w:sz w:val="21"/>
                  </w:rPr>
                </m:ctrlPr>
              </m:sub>
            </m:sSub>
            <m:ctrlPr>
              <w:rPr>
                <w:rFonts w:hint="default" w:ascii="Cambria Math" w:hAnsi="Cambria Math"/>
                <w:sz w:val="21"/>
              </w:rPr>
            </m:ctrlPr>
          </m:e>
        </m:nary>
        <m:func>
          <m:funcPr>
            <m:ctrlPr>
              <w:rPr>
                <w:rFonts w:hint="default" w:ascii="Cambria Math" w:hAnsi="Cambria Math"/>
                <w:sz w:val="21"/>
              </w:rPr>
            </m:ctrlPr>
          </m:funcPr>
          <m:fName>
            <m:r>
              <m:rPr>
                <m:sty m:val="p"/>
              </m:rPr>
              <w:rPr>
                <w:rFonts w:hint="default" w:ascii="Cambria Math" w:hAnsi="Cambria Math"/>
                <w:sz w:val="21"/>
              </w:rPr>
              <m:t>ln</m:t>
            </m:r>
            <m:ctrlPr>
              <w:rPr>
                <w:rFonts w:hint="default" w:ascii="Cambria Math" w:hAnsi="Cambria Math"/>
                <w:sz w:val="21"/>
              </w:rPr>
            </m:ctrlPr>
          </m:fName>
          <m:e>
            <m:sSub>
              <m:sSubPr>
                <m:ctrlPr>
                  <w:rPr>
                    <w:rFonts w:hint="default" w:ascii="Cambria Math" w:hAnsi="Cambria Math"/>
                    <w:sz w:val="21"/>
                  </w:rPr>
                </m:ctrlPr>
              </m:sSubPr>
              <m:e>
                <m:r>
                  <m:rPr/>
                  <w:rPr>
                    <w:rFonts w:hint="default" w:ascii="Cambria Math" w:hAnsi="Cambria Math"/>
                    <w:sz w:val="21"/>
                  </w:rPr>
                  <m:t>P</m:t>
                </m:r>
                <m:ctrlPr>
                  <w:rPr>
                    <w:rFonts w:ascii="Cambria Math" w:hAnsi="Cambria Math"/>
                    <w:sz w:val="21"/>
                  </w:rPr>
                </m:ctrlPr>
              </m:e>
              <m:sub>
                <m:r>
                  <m:rPr/>
                  <w:rPr>
                    <w:rFonts w:hint="default" w:ascii="Cambria Math" w:hAnsi="Cambria Math"/>
                    <w:sz w:val="21"/>
                  </w:rPr>
                  <m:t>ij</m:t>
                </m:r>
                <m:ctrlPr>
                  <w:rPr>
                    <w:rFonts w:ascii="Cambria Math" w:hAnsi="Cambria Math"/>
                    <w:sz w:val="21"/>
                  </w:rPr>
                </m:ctrlPr>
              </m:sub>
            </m:sSub>
            <m:ctrlPr>
              <w:rPr>
                <w:rFonts w:hint="default" w:ascii="Cambria Math" w:hAnsi="Cambria Math"/>
                <w:sz w:val="21"/>
              </w:rPr>
            </m:ctrlPr>
          </m:e>
        </m:func>
        <m:r>
          <m:rPr/>
          <w:rPr>
            <w:rFonts w:hint="default" w:ascii="Cambria Math" w:hAnsi="Cambria Math"/>
            <w:sz w:val="21"/>
          </w:rPr>
          <m:t>,(j=1,2,…,n)</m:t>
        </m:r>
      </m:oMath>
      <w:r>
        <w:rPr>
          <w:rFonts w:hint="eastAsia" w:ascii="微软雅黑" w:hAnsi="微软雅黑" w:eastAsia="微软雅黑" w:cs="微软雅黑"/>
          <w:lang w:eastAsia="zh-CN"/>
        </w:rPr>
        <w:tab/>
      </w:r>
      <w:r>
        <w:rPr>
          <w:rFonts w:hint="eastAsia"/>
          <w:lang w:eastAsia="zh-CN"/>
        </w:rPr>
        <w:t>(</w:t>
      </w:r>
      <w:r>
        <w:rPr>
          <w:rFonts w:hint="eastAsia"/>
          <w:lang w:eastAsia="zh-CN"/>
        </w:rPr>
        <w:fldChar w:fldCharType="begin"/>
      </w:r>
      <w:r>
        <w:rPr>
          <w:rFonts w:hint="eastAsia"/>
          <w:lang w:eastAsia="zh-CN"/>
        </w:rPr>
        <w:instrText xml:space="preserve"> SEQ 公式 \* ARABIC </w:instrText>
      </w:r>
      <w:r>
        <w:rPr>
          <w:rFonts w:hint="eastAsia"/>
          <w:lang w:eastAsia="zh-CN"/>
        </w:rPr>
        <w:fldChar w:fldCharType="separate"/>
      </w:r>
      <w:r>
        <w:rPr>
          <w:rFonts w:hint="eastAsia"/>
          <w:lang w:eastAsia="zh-CN"/>
        </w:rPr>
        <w:t>7</w:t>
      </w:r>
      <w:r>
        <w:rPr>
          <w:rFonts w:hint="eastAsia"/>
          <w:lang w:eastAsia="zh-CN"/>
        </w:rPr>
        <w:fldChar w:fldCharType="end"/>
      </w:r>
      <w:r>
        <w:rPr>
          <w:rFonts w:hint="eastAsia"/>
          <w:lang w:eastAsia="zh-CN"/>
        </w:rPr>
        <w:t>)</w:t>
      </w:r>
    </w:p>
    <w:p w14:paraId="2165338C">
      <w:pPr>
        <w:keepNext w:val="0"/>
        <w:keepLines w:val="0"/>
        <w:widowControl/>
        <w:suppressLineNumbers w:val="0"/>
        <w:tabs>
          <w:tab w:val="center" w:pos="4200"/>
          <w:tab w:val="right" w:pos="8400"/>
        </w:tabs>
        <w:snapToGrid/>
        <w:spacing w:before="0" w:beforeAutospacing="0" w:after="0" w:afterAutospacing="0" w:line="240" w:lineRule="auto"/>
        <w:ind w:left="0" w:right="0" w:firstLine="420" w:firstLineChars="0"/>
        <w:jc w:val="left"/>
        <w:rPr>
          <w:rFonts w:hint="default" w:ascii="Times New Roman" w:hAnsi="Times New Roman" w:eastAsia="方正仿宋" w:cs="方正仿宋"/>
          <w:bCs/>
          <w:kern w:val="2"/>
          <w:sz w:val="21"/>
          <w:szCs w:val="21"/>
          <w:lang w:val="en-US" w:eastAsia="zh-CN" w:bidi="ar"/>
        </w:rPr>
      </w:pPr>
      <w:r>
        <w:rPr>
          <w:rFonts w:hint="default" w:ascii="Times New Roman" w:hAnsi="Times New Roman" w:eastAsia="方正仿宋" w:cs="方正仿宋"/>
          <w:bCs/>
          <w:kern w:val="2"/>
          <w:sz w:val="21"/>
          <w:szCs w:val="21"/>
          <w:lang w:val="en-US" w:eastAsia="zh-CN" w:bidi="ar"/>
        </w:rPr>
        <w:t>式中：</w:t>
      </w:r>
    </w:p>
    <w:p w14:paraId="7D4A2870">
      <w:pPr>
        <w:widowControl/>
        <w:tabs>
          <w:tab w:val="center" w:pos="4200"/>
          <w:tab w:val="right" w:pos="8400"/>
        </w:tabs>
        <w:ind w:firstLine="420"/>
        <w:jc w:val="left"/>
        <w:rPr>
          <w:rFonts w:ascii="Times New Roman" w:hAnsi="Times New Roman" w:eastAsia="方正仿宋" w:cs="方正仿宋"/>
          <w:bCs/>
          <w:szCs w:val="21"/>
          <w:lang w:bidi="ar"/>
        </w:rPr>
      </w:pPr>
      <m:oMath>
        <m:sSub>
          <m:sSubPr>
            <m:ctrlPr>
              <w:rPr>
                <w:rFonts w:ascii="Cambria Math" w:hAnsi="Cambria Math" w:eastAsia="方正仿宋" w:cs="方正仿宋"/>
                <w:bCs/>
                <w:i/>
                <w:iCs/>
                <w:szCs w:val="21"/>
                <w:lang w:bidi="ar"/>
              </w:rPr>
            </m:ctrlPr>
          </m:sSubPr>
          <m:e>
            <m:r>
              <m:rPr/>
              <w:rPr>
                <w:rFonts w:ascii="Times New Roman" w:hAnsi="Times New Roman" w:eastAsia="方正仿宋" w:cs="方正仿宋"/>
                <w:szCs w:val="21"/>
                <w:lang w:bidi="ar"/>
              </w:rPr>
              <m:t>e</m:t>
            </m:r>
            <m:ctrlPr>
              <w:rPr>
                <w:rFonts w:ascii="Cambria Math" w:hAnsi="Cambria Math" w:eastAsia="方正仿宋" w:cs="方正仿宋"/>
                <w:bCs/>
                <w:i/>
                <w:iCs/>
                <w:szCs w:val="21"/>
                <w:lang w:bidi="ar"/>
              </w:rPr>
            </m:ctrlPr>
          </m:e>
          <m:sub>
            <m:r>
              <m:rPr/>
              <w:rPr>
                <w:rFonts w:ascii="Times New Roman" w:hAnsi="Times New Roman" w:eastAsia="方正仿宋" w:cs="方正仿宋"/>
                <w:szCs w:val="21"/>
                <w:lang w:bidi="ar"/>
              </w:rPr>
              <m:t>j</m:t>
            </m:r>
            <m:ctrlPr>
              <w:rPr>
                <w:rFonts w:ascii="Cambria Math" w:hAnsi="Cambria Math" w:eastAsia="方正仿宋" w:cs="方正仿宋"/>
                <w:bCs/>
                <w:i/>
                <w:iCs/>
                <w:szCs w:val="21"/>
                <w:lang w:bidi="ar"/>
              </w:rPr>
            </m:ctrlPr>
          </m:sub>
        </m:sSub>
      </m:oMath>
      <w:r>
        <w:rPr>
          <w:rFonts w:ascii="Times New Roman" w:hAnsi="Times New Roman" w:eastAsia="方正仿宋" w:cs="方正仿宋"/>
          <w:bCs/>
          <w:szCs w:val="21"/>
          <w:lang w:bidi="ar"/>
        </w:rPr>
        <w:t>——第</w:t>
      </w:r>
      <w:r>
        <w:rPr>
          <w:rFonts w:ascii="Times New Roman" w:hAnsi="Times New Roman" w:eastAsia="方正仿宋" w:cs="方正仿宋"/>
          <w:bCs/>
          <w:i/>
          <w:iCs/>
          <w:szCs w:val="21"/>
          <w:lang w:bidi="ar"/>
        </w:rPr>
        <w:t>j</w:t>
      </w:r>
      <w:r>
        <w:rPr>
          <w:rFonts w:ascii="Times New Roman" w:hAnsi="Times New Roman" w:eastAsia="方正仿宋" w:cs="方正仿宋"/>
          <w:bCs/>
          <w:szCs w:val="21"/>
          <w:lang w:bidi="ar"/>
        </w:rPr>
        <w:t>个指标的信息熵</w:t>
      </w:r>
      <w:r>
        <w:rPr>
          <w:rFonts w:hint="eastAsia" w:ascii="Times New Roman" w:hAnsi="Times New Roman" w:eastAsia="方正仿宋" w:cs="方正仿宋"/>
          <w:bCs/>
          <w:szCs w:val="21"/>
          <w:lang w:bidi="ar"/>
        </w:rPr>
        <w:t>，</w:t>
      </w:r>
      <w:r>
        <w:rPr>
          <w:rFonts w:ascii="Times New Roman" w:hAnsi="Times New Roman" w:eastAsia="方正仿宋" w:cs="方正仿宋"/>
          <w:bCs/>
          <w:szCs w:val="21"/>
          <w:lang w:bidi="ar"/>
        </w:rPr>
        <w:t>熵值越大，指标区分度越低，权重越小</w:t>
      </w:r>
      <w:r>
        <w:rPr>
          <w:rFonts w:hint="eastAsia" w:ascii="Times New Roman" w:hAnsi="Times New Roman" w:eastAsia="方正仿宋" w:cs="方正仿宋"/>
          <w:bCs/>
          <w:szCs w:val="21"/>
          <w:lang w:bidi="ar"/>
        </w:rPr>
        <w:t>；</w:t>
      </w:r>
    </w:p>
    <w:p w14:paraId="08A6B443">
      <w:pPr>
        <w:widowControl/>
        <w:tabs>
          <w:tab w:val="center" w:pos="4200"/>
          <w:tab w:val="right" w:pos="8400"/>
        </w:tabs>
        <w:ind w:firstLine="420"/>
        <w:jc w:val="left"/>
        <w:rPr>
          <w:rFonts w:hAnsi="Cambria Math"/>
        </w:rPr>
      </w:pPr>
      <m:oMath>
        <m:r>
          <m:rPr/>
          <w:rPr>
            <w:rFonts w:ascii="Cambria Math" w:hAnsi="Cambria Math"/>
          </w:rPr>
          <m:t>k</m:t>
        </m:r>
      </m:oMath>
      <w:r>
        <w:rPr>
          <w:rFonts w:ascii="Times New Roman" w:hAnsi="Times New Roman" w:eastAsia="方正仿宋" w:cs="方正仿宋"/>
          <w:bCs/>
          <w:szCs w:val="21"/>
          <w:lang w:bidi="ar"/>
        </w:rPr>
        <w:t>——</w:t>
      </w:r>
      <w:r>
        <w:rPr>
          <w:rFonts w:hint="eastAsia" w:hAnsi="Cambria Math"/>
        </w:rPr>
        <w:t>常数，</w:t>
      </w:r>
      <m:oMath>
        <m:r>
          <m:rPr/>
          <w:rPr>
            <w:rFonts w:ascii="Cambria Math" w:hAnsi="Cambria Math"/>
          </w:rPr>
          <m:t>k</m:t>
        </m:r>
      </m:oMath>
      <w:r>
        <w:rPr>
          <w:rFonts w:hint="eastAsia" w:hAnsi="Cambria Math"/>
        </w:rPr>
        <w:t>=</w:t>
      </w:r>
      <m:oMath>
        <m:f>
          <m:fPr>
            <m:ctrlPr>
              <w:rPr>
                <w:rFonts w:ascii="Cambria Math" w:hAnsi="Cambria Math"/>
                <w:i/>
              </w:rPr>
            </m:ctrlPr>
          </m:fPr>
          <m:num>
            <m:r>
              <m:rPr/>
              <w:rPr>
                <w:rFonts w:hint="eastAsia" w:ascii="Cambria Math" w:hAnsi="Cambria Math"/>
              </w:rPr>
              <m:t>1</m:t>
            </m:r>
            <m:ctrlPr>
              <w:rPr>
                <w:rFonts w:ascii="Cambria Math" w:hAnsi="Cambria Math"/>
                <w:i/>
              </w:rPr>
            </m:ctrlPr>
          </m:num>
          <m:den>
            <m:func>
              <m:funcPr>
                <m:ctrlPr>
                  <w:rPr>
                    <w:rFonts w:ascii="Cambria Math" w:hAnsi="Cambria Math"/>
                  </w:rPr>
                </m:ctrlPr>
              </m:funcPr>
              <m:fName>
                <m:r>
                  <m:rPr>
                    <m:sty m:val="p"/>
                  </m:rPr>
                  <w:rPr>
                    <w:rFonts w:ascii="Cambria Math" w:hAnsi="Cambria Math"/>
                  </w:rPr>
                  <m:t>ln</m:t>
                </m:r>
                <m:ctrlPr>
                  <w:rPr>
                    <w:rFonts w:ascii="Cambria Math" w:hAnsi="Cambria Math"/>
                    <w:i/>
                  </w:rPr>
                </m:ctrlPr>
              </m:fName>
              <m:e>
                <m:r>
                  <m:rPr/>
                  <w:rPr>
                    <w:rFonts w:hint="eastAsia" w:ascii="Cambria Math" w:hAnsi="Cambria Math"/>
                  </w:rPr>
                  <m:t>m</m:t>
                </m:r>
                <m:ctrlPr>
                  <w:rPr>
                    <w:rFonts w:ascii="Cambria Math" w:hAnsi="Cambria Math"/>
                    <w:i/>
                  </w:rPr>
                </m:ctrlPr>
              </m:e>
            </m:func>
            <m:ctrlPr>
              <w:rPr>
                <w:rFonts w:ascii="Cambria Math" w:hAnsi="Cambria Math"/>
                <w:i/>
              </w:rPr>
            </m:ctrlPr>
          </m:den>
        </m:f>
      </m:oMath>
      <w:r>
        <w:rPr>
          <w:rFonts w:hint="eastAsia" w:hAnsi="Cambria Math"/>
        </w:rPr>
        <w:t>。</w:t>
      </w:r>
    </w:p>
    <w:p w14:paraId="55D2E12A">
      <w:pPr>
        <w:pStyle w:val="29"/>
        <w:rPr>
          <w:rFonts w:hint="eastAsia" w:ascii="宋体" w:hAnsi="宋体" w:eastAsia="宋体" w:cs="宋体"/>
          <w:bCs w:val="0"/>
          <w:kern w:val="0"/>
          <w:sz w:val="21"/>
          <w:szCs w:val="20"/>
          <w:lang w:val="en-US" w:eastAsia="zh-CN" w:bidi="ar"/>
        </w:rPr>
      </w:pPr>
      <w:r>
        <w:rPr>
          <w:rFonts w:hint="eastAsia" w:ascii="宋体" w:hAnsi="宋体" w:eastAsia="宋体" w:cs="宋体"/>
          <w:bCs w:val="0"/>
          <w:kern w:val="0"/>
          <w:sz w:val="21"/>
          <w:szCs w:val="20"/>
          <w:lang w:val="en-US" w:eastAsia="zh-CN" w:bidi="ar"/>
        </w:rPr>
        <w:t>按公式（9）计算权重：</w:t>
      </w:r>
    </w:p>
    <w:p w14:paraId="4982E816">
      <w:pPr>
        <w:pStyle w:val="25"/>
        <w:rPr>
          <w:rFonts w:hint="eastAsia"/>
          <w:lang w:eastAsia="zh-CN"/>
        </w:rPr>
      </w:pPr>
      <w:r>
        <w:rPr>
          <w:rFonts w:hint="eastAsia"/>
          <w:lang w:eastAsia="zh-CN"/>
        </w:rPr>
        <w:tab/>
      </w:r>
      <m:oMath>
        <m:sSubSup>
          <m:sSubSupPr>
            <m:ctrlPr>
              <w:rPr>
                <w:rFonts w:hint="default" w:ascii="Cambria Math" w:hAnsi="Cambria Math"/>
              </w:rPr>
            </m:ctrlPr>
          </m:sSubSupPr>
          <m:e>
            <m:r>
              <m:rPr/>
              <w:rPr>
                <w:rFonts w:hint="default" w:ascii="Cambria Math" w:hAnsi="Cambria Math"/>
              </w:rPr>
              <m:t>ω</m:t>
            </m:r>
            <m:ctrlPr>
              <w:rPr>
                <w:rFonts w:ascii="Cambria Math" w:hAnsi="Cambria Math"/>
              </w:rPr>
            </m:ctrlPr>
          </m:e>
          <m:sub>
            <m:r>
              <m:rPr/>
              <w:rPr>
                <w:rFonts w:hint="default" w:ascii="Cambria Math" w:hAnsi="Cambria Math"/>
              </w:rPr>
              <m:t>j</m:t>
            </m:r>
            <m:ctrlPr>
              <w:rPr>
                <w:rFonts w:ascii="Cambria Math" w:hAnsi="Cambria Math"/>
              </w:rPr>
            </m:ctrlPr>
          </m:sub>
          <m:sup>
            <m:r>
              <m:rPr/>
              <w:rPr>
                <w:rFonts w:hint="default" w:ascii="Cambria Math" w:hAnsi="Cambria Math"/>
              </w:rPr>
              <m:t>(0)</m:t>
            </m:r>
            <m:ctrlPr>
              <w:rPr>
                <w:rFonts w:ascii="Cambria Math" w:hAnsi="Cambria Math"/>
              </w:rPr>
            </m:ctrlPr>
          </m:sup>
        </m:sSubSup>
        <m:r>
          <m:rPr/>
          <w:rPr>
            <w:rFonts w:hint="default" w:ascii="Cambria Math" w:hAnsi="Cambria Math"/>
          </w:rPr>
          <m:t>=</m:t>
        </m:r>
        <m:d>
          <m:dPr>
            <m:ctrlPr>
              <w:rPr>
                <w:rFonts w:hint="default" w:ascii="Cambria Math" w:hAnsi="Cambria Math"/>
              </w:rPr>
            </m:ctrlPr>
          </m:dPr>
          <m:e>
            <m:r>
              <m:rPr/>
              <w:rPr>
                <w:rFonts w:hint="default" w:ascii="Cambria Math" w:hAnsi="Cambria Math"/>
              </w:rPr>
              <m:t>1−</m:t>
            </m:r>
            <m:sSub>
              <m:sSubPr>
                <m:ctrlPr>
                  <w:rPr>
                    <w:rFonts w:hint="default" w:ascii="Cambria Math" w:hAnsi="Cambria Math"/>
                  </w:rPr>
                </m:ctrlPr>
              </m:sSubPr>
              <m:e>
                <m:r>
                  <m:rPr/>
                  <w:rPr>
                    <w:rFonts w:hint="default" w:ascii="Cambria Math" w:hAnsi="Cambria Math"/>
                  </w:rPr>
                  <m:t>e</m:t>
                </m:r>
                <m:ctrlPr>
                  <w:rPr>
                    <w:rFonts w:ascii="Cambria Math" w:hAnsi="Cambria Math"/>
                  </w:rPr>
                </m:ctrlPr>
              </m:e>
              <m:sub>
                <m:r>
                  <m:rPr/>
                  <w:rPr>
                    <w:rFonts w:hint="default" w:ascii="Cambria Math" w:hAnsi="Cambria Math"/>
                  </w:rPr>
                  <m:t>j</m:t>
                </m:r>
                <m:ctrlPr>
                  <w:rPr>
                    <w:rFonts w:ascii="Cambria Math" w:hAnsi="Cambria Math"/>
                  </w:rPr>
                </m:ctrlPr>
              </m:sub>
            </m:sSub>
            <m:ctrlPr>
              <w:rPr>
                <w:rFonts w:hint="default" w:ascii="Cambria Math" w:hAnsi="Cambria Math"/>
              </w:rPr>
            </m:ctrlPr>
          </m:e>
        </m:d>
        <m:r>
          <m:rPr/>
          <w:rPr>
            <w:rFonts w:hint="default" w:ascii="Cambria Math" w:hAnsi="Cambria Math"/>
          </w:rPr>
          <m:t>/</m:t>
        </m:r>
        <m:d>
          <m:dPr>
            <m:ctrlPr>
              <w:rPr>
                <w:rFonts w:hint="default" w:ascii="Cambria Math" w:hAnsi="Cambria Math"/>
              </w:rPr>
            </m:ctrlPr>
          </m:dPr>
          <m:e>
            <m:r>
              <m:rPr/>
              <w:rPr>
                <w:rFonts w:hint="default" w:ascii="Cambria Math" w:hAnsi="Cambria Math"/>
              </w:rPr>
              <m:t>n−</m:t>
            </m:r>
            <m:nary>
              <m:naryPr>
                <m:chr m:val="∑"/>
                <m:limLoc m:val="subSup"/>
                <m:ctrlPr>
                  <w:rPr>
                    <w:rFonts w:hint="default" w:ascii="Cambria Math" w:hAnsi="Cambria Math"/>
                  </w:rPr>
                </m:ctrlPr>
              </m:naryPr>
              <m:sub>
                <m:r>
                  <m:rPr/>
                  <w:rPr>
                    <w:rFonts w:hint="default" w:ascii="Cambria Math" w:hAnsi="Cambria Math"/>
                  </w:rPr>
                  <m:t>j=1</m:t>
                </m:r>
                <m:ctrlPr>
                  <w:rPr>
                    <w:rFonts w:ascii="Cambria Math" w:hAnsi="Cambria Math"/>
                  </w:rPr>
                </m:ctrlPr>
              </m:sub>
              <m:sup>
                <m:r>
                  <m:rPr/>
                  <w:rPr>
                    <w:rFonts w:hint="default" w:ascii="Cambria Math" w:hAnsi="Cambria Math"/>
                  </w:rPr>
                  <m:t>n</m:t>
                </m:r>
                <m:ctrlPr>
                  <w:rPr>
                    <w:rFonts w:ascii="Cambria Math" w:hAnsi="Cambria Math"/>
                  </w:rPr>
                </m:ctrlPr>
              </m:sup>
              <m:e>
                <m:sSub>
                  <m:sSubPr>
                    <m:ctrlPr>
                      <w:rPr>
                        <w:rFonts w:hint="default" w:ascii="Cambria Math" w:hAnsi="Cambria Math"/>
                      </w:rPr>
                    </m:ctrlPr>
                  </m:sSubPr>
                  <m:e>
                    <m:r>
                      <m:rPr/>
                      <w:rPr>
                        <w:rFonts w:hint="default" w:ascii="Cambria Math" w:hAnsi="Cambria Math"/>
                      </w:rPr>
                      <m:t>e</m:t>
                    </m:r>
                    <m:ctrlPr>
                      <w:rPr>
                        <w:rFonts w:ascii="Cambria Math" w:hAnsi="Cambria Math"/>
                      </w:rPr>
                    </m:ctrlPr>
                  </m:e>
                  <m:sub>
                    <m:r>
                      <m:rPr/>
                      <w:rPr>
                        <w:rFonts w:hint="default" w:ascii="Cambria Math" w:hAnsi="Cambria Math"/>
                      </w:rPr>
                      <m:t>j</m:t>
                    </m:r>
                    <m:ctrlPr>
                      <w:rPr>
                        <w:rFonts w:ascii="Cambria Math" w:hAnsi="Cambria Math"/>
                      </w:rPr>
                    </m:ctrlPr>
                  </m:sub>
                </m:sSub>
                <m:ctrlPr>
                  <w:rPr>
                    <w:rFonts w:hint="default" w:ascii="Cambria Math" w:hAnsi="Cambria Math"/>
                  </w:rPr>
                </m:ctrlPr>
              </m:e>
            </m:nary>
            <m:ctrlPr>
              <w:rPr>
                <w:rFonts w:hint="default" w:ascii="Cambria Math" w:hAnsi="Cambria Math"/>
              </w:rPr>
            </m:ctrlPr>
          </m:e>
        </m:d>
      </m:oMath>
      <w:r>
        <w:rPr>
          <w:rFonts w:hint="eastAsia" w:ascii="微软雅黑" w:hAnsi="微软雅黑" w:eastAsia="微软雅黑" w:cs="微软雅黑"/>
          <w:lang w:eastAsia="zh-CN"/>
        </w:rPr>
        <w:tab/>
      </w:r>
      <w:r>
        <w:rPr>
          <w:rFonts w:hint="eastAsia"/>
          <w:lang w:eastAsia="zh-CN"/>
        </w:rPr>
        <w:t>(</w:t>
      </w:r>
      <w:r>
        <w:rPr>
          <w:rFonts w:hint="eastAsia"/>
          <w:lang w:eastAsia="zh-CN"/>
        </w:rPr>
        <w:fldChar w:fldCharType="begin"/>
      </w:r>
      <w:r>
        <w:rPr>
          <w:rFonts w:hint="eastAsia"/>
          <w:lang w:eastAsia="zh-CN"/>
        </w:rPr>
        <w:instrText xml:space="preserve"> SEQ 公式 \* ARABIC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w:t>
      </w:r>
    </w:p>
    <w:p w14:paraId="240A03F9">
      <w:pPr>
        <w:pStyle w:val="26"/>
        <w:rPr>
          <w:rFonts w:hint="eastAsia"/>
          <w:lang w:val="en-US" w:eastAsia="zh-CN"/>
        </w:rPr>
      </w:pPr>
      <w:r>
        <w:rPr>
          <w:rFonts w:hint="eastAsia"/>
          <w:lang w:val="en-US" w:eastAsia="zh-CN"/>
        </w:rPr>
        <w:t>式中：</w:t>
      </w:r>
    </w:p>
    <w:p w14:paraId="40B53CAB">
      <w:pPr>
        <w:pStyle w:val="26"/>
        <w:rPr>
          <w:rFonts w:hint="eastAsia" w:eastAsiaTheme="minorEastAsia"/>
          <w:lang w:val="en-US" w:eastAsia="zh-CN"/>
        </w:rPr>
      </w:pPr>
      <m:oMath>
        <m:sSubSup>
          <m:sSubSupPr>
            <m:ctrlPr>
              <w:rPr>
                <w:rFonts w:hint="eastAsia" w:ascii="Cambria Math" w:hAnsi="Cambria Math"/>
              </w:rPr>
            </m:ctrlPr>
          </m:sSubSupPr>
          <m:e>
            <m:r>
              <m:rPr>
                <m:sty m:val="p"/>
              </m:rPr>
              <w:rPr>
                <w:rFonts w:hint="eastAsia" w:ascii="Cambria Math" w:hAnsi="Cambria Math"/>
              </w:rPr>
              <m:t>ω</m:t>
            </m:r>
            <m:ctrlPr>
              <w:rPr>
                <w:rFonts w:hint="eastAsia" w:ascii="Cambria Math" w:hAnsi="Cambria Math"/>
              </w:rPr>
            </m:ctrlPr>
          </m:e>
          <m:sub>
            <m:r>
              <m:rPr>
                <m:sty m:val="p"/>
              </m:rPr>
              <w:rPr>
                <w:rFonts w:hint="eastAsia" w:ascii="Cambria Math" w:hAnsi="Cambria Math"/>
              </w:rPr>
              <m:t>j</m:t>
            </m:r>
            <m:ctrlPr>
              <w:rPr>
                <w:rFonts w:hint="eastAsia" w:ascii="Cambria Math" w:hAnsi="Cambria Math"/>
              </w:rPr>
            </m:ctrlPr>
          </m:sub>
          <m:sup>
            <m:r>
              <m:rPr>
                <m:sty m:val="p"/>
              </m:rPr>
              <w:rPr>
                <w:rFonts w:hint="eastAsia" w:ascii="Cambria Math" w:hAnsi="Cambria Math"/>
              </w:rPr>
              <m:t>(0)</m:t>
            </m:r>
            <m:ctrlPr>
              <w:rPr>
                <w:rFonts w:hint="eastAsia" w:ascii="Cambria Math" w:hAnsi="Cambria Math"/>
              </w:rPr>
            </m:ctrlPr>
          </m:sup>
        </m:sSubSup>
      </m:oMath>
      <w:r>
        <w:rPr>
          <w:rFonts w:hint="default" w:ascii="Times New Roman" w:hAnsi="Times New Roman" w:eastAsia="方正仿宋" w:cs="方正仿宋"/>
          <w:bCs/>
          <w:i w:val="0"/>
          <w:sz w:val="21"/>
          <w:szCs w:val="21"/>
          <w:lang w:eastAsia="zh-CN" w:bidi="ar"/>
        </w:rPr>
        <w:t>——</w:t>
      </w:r>
      <w:r>
        <w:rPr>
          <w:rFonts w:hint="eastAsia" w:hAnsiTheme="minorHAnsi"/>
          <w:i w:val="0"/>
          <w:lang w:val="en-US" w:eastAsia="zh-CN"/>
        </w:rPr>
        <w:t>指标权重。</w:t>
      </w:r>
    </w:p>
    <w:p w14:paraId="7BEED341">
      <w:pPr>
        <w:pStyle w:val="17"/>
        <w:spacing w:before="313" w:after="313"/>
        <w:rPr>
          <w:rFonts w:hint="eastAsia" w:ascii="黑体" w:hAnsi="Times New Roman" w:eastAsia="黑体" w:cs="Times New Roman"/>
          <w:szCs w:val="20"/>
          <w:lang w:val="en-US" w:eastAsia="zh-CN" w:bidi="ar-SA"/>
        </w:rPr>
      </w:pPr>
      <w:bookmarkStart w:id="48" w:name="_Toc10947"/>
      <w:bookmarkStart w:id="49" w:name="_Toc16598"/>
      <w:bookmarkStart w:id="50" w:name="_Toc27131"/>
      <w:r>
        <w:rPr>
          <w:rFonts w:hint="eastAsia" w:ascii="黑体" w:hAnsi="Times New Roman" w:eastAsia="黑体" w:cs="Times New Roman"/>
          <w:szCs w:val="20"/>
          <w:lang w:val="en-US" w:eastAsia="zh-CN" w:bidi="ar-SA"/>
        </w:rPr>
        <w:t>指数计算</w:t>
      </w:r>
      <w:bookmarkEnd w:id="48"/>
      <w:bookmarkEnd w:id="49"/>
      <w:bookmarkEnd w:id="50"/>
    </w:p>
    <w:p w14:paraId="56138939">
      <w:pPr>
        <w:pStyle w:val="21"/>
        <w:rPr>
          <w:rFonts w:hint="eastAsia"/>
          <w:lang w:val="en-US" w:eastAsia="zh-CN"/>
        </w:rPr>
      </w:pPr>
      <w:r>
        <w:rPr>
          <w:rFonts w:hint="eastAsia"/>
          <w:lang w:val="en-US" w:eastAsia="zh-CN"/>
        </w:rPr>
        <w:t>无缺项计算</w:t>
      </w:r>
    </w:p>
    <w:p w14:paraId="1AE59C70">
      <w:pPr>
        <w:widowControl w:val="0"/>
        <w:tabs>
          <w:tab w:val="center" w:pos="4200"/>
          <w:tab w:val="right" w:pos="8400"/>
        </w:tabs>
        <w:snapToGrid w:val="0"/>
        <w:spacing w:line="300" w:lineRule="auto"/>
        <w:ind w:firstLine="420" w:firstLineChars="200"/>
        <w:jc w:val="both"/>
        <w:rPr>
          <w:rFonts w:hint="default" w:ascii="Times New Roman" w:hAnsi="Times New Roman" w:eastAsia="方正仿宋" w:cs="方正仿宋"/>
          <w:bCs/>
          <w:kern w:val="2"/>
          <w:szCs w:val="21"/>
          <w:lang w:bidi="ar"/>
        </w:rPr>
      </w:pPr>
      <w:r>
        <w:rPr>
          <w:rFonts w:hint="default" w:ascii="Times New Roman" w:hAnsi="Times New Roman" w:eastAsia="方正仿宋" w:cs="方正仿宋"/>
          <w:bCs/>
          <w:kern w:val="2"/>
          <w:szCs w:val="21"/>
          <w:lang w:bidi="ar"/>
        </w:rPr>
        <w:t>无缺项时，行业发展健康指数</w:t>
      </w:r>
      <m:oMath>
        <m:r>
          <m:rPr/>
          <w:rPr>
            <w:rFonts w:hint="default" w:ascii="Cambria Math" w:hAnsi="Cambria Math"/>
            <w:sz w:val="21"/>
          </w:rPr>
          <m:t>S</m:t>
        </m:r>
      </m:oMath>
      <w:r>
        <w:rPr>
          <w:rFonts w:hint="default" w:ascii="Times New Roman" w:hAnsi="Times New Roman" w:eastAsia="方正仿宋" w:cs="方正仿宋"/>
          <w:bCs/>
          <w:kern w:val="2"/>
          <w:szCs w:val="21"/>
          <w:lang w:bidi="ar"/>
        </w:rPr>
        <w:t>按公式</w:t>
      </w:r>
      <w:r>
        <w:rPr>
          <w:rFonts w:hint="eastAsia" w:ascii="Times New Roman" w:hAnsi="Times New Roman" w:eastAsia="方正仿宋" w:cs="方正仿宋"/>
          <w:bCs/>
          <w:kern w:val="2"/>
          <w:szCs w:val="21"/>
          <w:lang w:eastAsia="zh-CN" w:bidi="ar"/>
        </w:rPr>
        <w:t>（</w:t>
      </w:r>
      <w:r>
        <w:rPr>
          <w:rFonts w:hint="eastAsia" w:ascii="Times New Roman" w:hAnsi="Times New Roman" w:eastAsia="方正仿宋" w:cs="方正仿宋"/>
          <w:bCs/>
          <w:kern w:val="2"/>
          <w:szCs w:val="21"/>
          <w:lang w:val="en-US" w:eastAsia="zh-CN" w:bidi="ar"/>
        </w:rPr>
        <w:t>10）</w:t>
      </w:r>
      <w:r>
        <w:rPr>
          <w:rFonts w:hint="default" w:ascii="Times New Roman" w:hAnsi="Times New Roman" w:eastAsia="方正仿宋" w:cs="方正仿宋"/>
          <w:bCs/>
          <w:kern w:val="2"/>
          <w:szCs w:val="21"/>
          <w:lang w:bidi="ar"/>
        </w:rPr>
        <w:t>计算：</w:t>
      </w:r>
    </w:p>
    <w:p w14:paraId="6A1EC5AC">
      <w:pPr>
        <w:pStyle w:val="25"/>
        <w:bidi w:val="0"/>
        <w:rPr>
          <w:rFonts w:hint="eastAsia"/>
          <w:lang w:eastAsia="zh-CN"/>
        </w:rPr>
      </w:pPr>
      <w:r>
        <w:rPr>
          <w:rFonts w:hint="eastAsia"/>
          <w:lang w:eastAsia="zh-CN"/>
        </w:rPr>
        <w:tab/>
      </w:r>
      <m:oMath>
        <m:r>
          <m:rPr/>
          <w:rPr>
            <w:rFonts w:hint="default" w:ascii="Cambria Math" w:hAnsi="Cambria Math"/>
            <w:sz w:val="21"/>
          </w:rPr>
          <m:t>S=</m:t>
        </m:r>
        <m:nary>
          <m:naryPr>
            <m:chr m:val="∑"/>
            <m:limLoc m:val="subSup"/>
            <m:ctrlPr>
              <w:rPr>
                <w:rFonts w:hint="default" w:ascii="Cambria Math" w:hAnsi="Cambria Math"/>
                <w:sz w:val="21"/>
              </w:rPr>
            </m:ctrlPr>
          </m:naryPr>
          <m:sub>
            <m:r>
              <m:rPr/>
              <w:rPr>
                <w:rFonts w:hint="default" w:ascii="Cambria Math" w:hAnsi="Cambria Math"/>
                <w:sz w:val="21"/>
              </w:rPr>
              <m:t>i=1</m:t>
            </m:r>
            <m:ctrlPr>
              <w:rPr>
                <w:rFonts w:ascii="Cambria Math" w:hAnsi="Cambria Math"/>
                <w:sz w:val="21"/>
              </w:rPr>
            </m:ctrlPr>
          </m:sub>
          <m:sup>
            <m:r>
              <m:rPr/>
              <w:rPr>
                <w:rFonts w:hint="default" w:ascii="Cambria Math" w:hAnsi="Cambria Math"/>
                <w:sz w:val="21"/>
              </w:rPr>
              <m:t>n</m:t>
            </m:r>
            <m:ctrlPr>
              <w:rPr>
                <w:rFonts w:ascii="Cambria Math" w:hAnsi="Cambria Math"/>
                <w:sz w:val="21"/>
              </w:rPr>
            </m:ctrlPr>
          </m:sup>
          <m:e>
            <m:sSub>
              <m:sSubPr>
                <m:ctrlPr>
                  <w:rPr>
                    <w:rFonts w:hint="default" w:ascii="Cambria Math" w:hAnsi="Cambria Math"/>
                    <w:sz w:val="21"/>
                  </w:rPr>
                </m:ctrlPr>
              </m:sSubPr>
              <m:e>
                <m:r>
                  <m:rPr/>
                  <w:rPr>
                    <w:rFonts w:hint="default" w:ascii="Cambria Math" w:hAnsi="Cambria Math"/>
                    <w:sz w:val="21"/>
                  </w:rPr>
                  <m:t>F</m:t>
                </m:r>
                <m:ctrlPr>
                  <w:rPr>
                    <w:rFonts w:ascii="Cambria Math" w:hAnsi="Cambria Math"/>
                    <w:sz w:val="21"/>
                  </w:rPr>
                </m:ctrlPr>
              </m:e>
              <m:sub>
                <m:r>
                  <m:rPr/>
                  <w:rPr>
                    <w:rFonts w:hint="default" w:ascii="Cambria Math" w:hAnsi="Cambria Math"/>
                    <w:sz w:val="21"/>
                  </w:rPr>
                  <m:t>i</m:t>
                </m:r>
                <m:ctrlPr>
                  <w:rPr>
                    <w:rFonts w:ascii="Cambria Math" w:hAnsi="Cambria Math"/>
                    <w:sz w:val="21"/>
                  </w:rPr>
                </m:ctrlPr>
              </m:sub>
            </m:sSub>
            <m:ctrlPr>
              <w:rPr>
                <w:rFonts w:hint="default" w:ascii="Cambria Math" w:hAnsi="Cambria Math"/>
                <w:sz w:val="21"/>
              </w:rPr>
            </m:ctrlPr>
          </m:e>
        </m:nary>
        <m:r>
          <m:rPr/>
          <w:rPr>
            <w:rFonts w:hint="default" w:ascii="Cambria Math" w:hAnsi="Cambria Math"/>
            <w:sz w:val="21"/>
          </w:rPr>
          <m:t>×</m:t>
        </m:r>
        <m:sSub>
          <m:sSubPr>
            <m:ctrlPr>
              <w:rPr>
                <w:rFonts w:hint="default" w:ascii="Cambria Math" w:hAnsi="Cambria Math"/>
                <w:sz w:val="21"/>
              </w:rPr>
            </m:ctrlPr>
          </m:sSubPr>
          <m:e>
            <m:r>
              <m:rPr/>
              <w:rPr>
                <w:rFonts w:hint="default" w:ascii="Cambria Math" w:hAnsi="Cambria Math"/>
                <w:sz w:val="21"/>
              </w:rPr>
              <m:t>ω</m:t>
            </m:r>
            <m:ctrlPr>
              <w:rPr>
                <w:rFonts w:hint="default" w:ascii="Cambria Math" w:hAnsi="Cambria Math"/>
                <w:sz w:val="21"/>
              </w:rPr>
            </m:ctrlPr>
          </m:e>
          <m:sub>
            <m:r>
              <m:rPr/>
              <w:rPr>
                <w:rFonts w:hint="default" w:ascii="Cambria Math" w:hAnsi="Cambria Math"/>
                <w:sz w:val="21"/>
              </w:rPr>
              <m:t>i</m:t>
            </m:r>
            <m:ctrlPr>
              <w:rPr>
                <w:rFonts w:hint="default" w:ascii="Cambria Math" w:hAnsi="Cambria Math"/>
                <w:sz w:val="21"/>
              </w:rPr>
            </m:ctrlPr>
          </m:sub>
        </m:sSub>
      </m:oMath>
      <w:r>
        <w:rPr>
          <w:rFonts w:hint="eastAsia" w:ascii="微软雅黑" w:hAnsi="微软雅黑" w:eastAsia="微软雅黑" w:cs="微软雅黑"/>
          <w:lang w:eastAsia="zh-CN"/>
        </w:rPr>
        <w:tab/>
      </w:r>
      <w:r>
        <w:rPr>
          <w:rFonts w:hint="eastAsia"/>
          <w:lang w:eastAsia="zh-CN"/>
        </w:rPr>
        <w:t>(</w:t>
      </w:r>
      <w:r>
        <w:rPr>
          <w:rFonts w:hint="eastAsia"/>
          <w:lang w:eastAsia="zh-CN"/>
        </w:rPr>
        <w:fldChar w:fldCharType="begin"/>
      </w:r>
      <w:r>
        <w:rPr>
          <w:rFonts w:hint="eastAsia"/>
          <w:lang w:eastAsia="zh-CN"/>
        </w:rPr>
        <w:instrText xml:space="preserve"> SEQ 公式 \* ARABIC </w:instrText>
      </w:r>
      <w:r>
        <w:rPr>
          <w:rFonts w:hint="eastAsia"/>
          <w:lang w:eastAsia="zh-CN"/>
        </w:rPr>
        <w:fldChar w:fldCharType="separate"/>
      </w:r>
      <w:r>
        <w:rPr>
          <w:rFonts w:hint="eastAsia"/>
          <w:lang w:eastAsia="zh-CN"/>
        </w:rPr>
        <w:t>9</w:t>
      </w:r>
      <w:r>
        <w:rPr>
          <w:rFonts w:hint="eastAsia"/>
          <w:lang w:eastAsia="zh-CN"/>
        </w:rPr>
        <w:fldChar w:fldCharType="end"/>
      </w:r>
      <w:r>
        <w:rPr>
          <w:rFonts w:hint="eastAsia"/>
          <w:lang w:eastAsia="zh-CN"/>
        </w:rPr>
        <w:t>)</w:t>
      </w:r>
    </w:p>
    <w:p w14:paraId="688D4D3D">
      <w:pPr>
        <w:widowControl/>
        <w:tabs>
          <w:tab w:val="center" w:pos="4200"/>
          <w:tab w:val="right" w:pos="8400"/>
        </w:tabs>
        <w:ind w:firstLine="420"/>
        <w:jc w:val="left"/>
        <w:rPr>
          <w:rFonts w:hint="default" w:ascii="Times New Roman" w:hAnsi="Times New Roman" w:eastAsia="方正仿宋" w:cs="方正仿宋"/>
          <w:bCs/>
          <w:szCs w:val="21"/>
          <w:lang w:bidi="ar"/>
        </w:rPr>
      </w:pPr>
      <w:r>
        <w:rPr>
          <w:rFonts w:hint="default" w:ascii="Times New Roman" w:hAnsi="Times New Roman" w:eastAsia="方正仿宋" w:cs="方正仿宋"/>
          <w:bCs/>
          <w:szCs w:val="21"/>
          <w:lang w:bidi="ar"/>
        </w:rPr>
        <w:t>式中：</w:t>
      </w:r>
    </w:p>
    <w:p w14:paraId="0FD91041">
      <w:pPr>
        <w:widowControl/>
        <w:tabs>
          <w:tab w:val="center" w:pos="4200"/>
          <w:tab w:val="right" w:pos="8400"/>
        </w:tabs>
        <w:ind w:firstLine="420"/>
        <w:jc w:val="left"/>
        <w:rPr>
          <w:rFonts w:hint="default" w:ascii="Times New Roman" w:hAnsi="Times New Roman" w:eastAsia="方正仿宋" w:cs="方正仿宋"/>
          <w:bCs/>
          <w:szCs w:val="21"/>
          <w:lang w:bidi="ar"/>
        </w:rPr>
      </w:pPr>
      <m:oMath>
        <m:r>
          <m:rPr/>
          <w:rPr>
            <w:rFonts w:hint="default" w:ascii="Cambria Math" w:hAnsi="Cambria Math"/>
            <w:sz w:val="21"/>
          </w:rPr>
          <m:t>S</m:t>
        </m:r>
      </m:oMath>
      <w:r>
        <w:rPr>
          <w:rFonts w:hint="default" w:ascii="Times New Roman" w:hAnsi="Times New Roman" w:eastAsia="方正仿宋" w:cs="方正仿宋"/>
          <w:bCs/>
          <w:szCs w:val="21"/>
          <w:lang w:bidi="ar"/>
        </w:rPr>
        <w:t>——行业发展健康指数，取值范围0-1；</w:t>
      </w:r>
    </w:p>
    <w:p w14:paraId="15514118">
      <w:pPr>
        <w:widowControl/>
        <w:tabs>
          <w:tab w:val="center" w:pos="4200"/>
          <w:tab w:val="right" w:pos="8400"/>
        </w:tabs>
        <w:ind w:firstLine="420"/>
        <w:jc w:val="left"/>
        <w:rPr>
          <w:rFonts w:hint="default" w:ascii="Times New Roman" w:hAnsi="Times New Roman" w:eastAsia="方正仿宋" w:cs="方正仿宋"/>
          <w:bCs/>
          <w:szCs w:val="21"/>
          <w:lang w:bidi="ar"/>
        </w:rPr>
      </w:pPr>
      <m:oMath>
        <m:sSub>
          <m:sSubPr>
            <m:ctrlPr>
              <w:rPr>
                <w:rFonts w:hint="default" w:ascii="Cambria Math" w:hAnsi="Cambria Math"/>
                <w:b w:val="0"/>
                <w:bCs w:val="0"/>
              </w:rPr>
            </m:ctrlPr>
          </m:sSubPr>
          <m:e>
            <m:r>
              <m:rPr/>
              <w:rPr>
                <w:rFonts w:hint="default" w:ascii="Cambria Math" w:hAnsi="Cambria Math"/>
              </w:rPr>
              <m:t>F</m:t>
            </m:r>
            <m:ctrlPr>
              <w:rPr>
                <w:rFonts w:ascii="Cambria Math" w:hAnsi="Cambria Math"/>
                <w:b w:val="0"/>
                <w:bCs w:val="0"/>
              </w:rPr>
            </m:ctrlPr>
          </m:e>
          <m:sub>
            <m:r>
              <m:rPr/>
              <w:rPr>
                <w:rFonts w:hint="default" w:ascii="Cambria Math" w:hAnsi="Cambria Math"/>
              </w:rPr>
              <m:t>i</m:t>
            </m:r>
            <m:ctrlPr>
              <w:rPr>
                <w:rFonts w:ascii="Cambria Math" w:hAnsi="Cambria Math"/>
                <w:b w:val="0"/>
                <w:bCs w:val="0"/>
              </w:rPr>
            </m:ctrlPr>
          </m:sub>
        </m:sSub>
      </m:oMath>
      <w:r>
        <w:rPr>
          <w:rFonts w:hint="default" w:ascii="Times New Roman" w:hAnsi="Times New Roman" w:eastAsia="方正仿宋" w:cs="方正仿宋"/>
          <w:bCs/>
          <w:szCs w:val="21"/>
          <w:lang w:bidi="ar"/>
        </w:rPr>
        <w:t>——第项</w:t>
      </w:r>
      <w:r>
        <w:rPr>
          <w:rFonts w:hint="eastAsia" w:ascii="Times New Roman" w:hAnsi="Times New Roman" w:eastAsia="方正仿宋" w:cs="方正仿宋"/>
          <w:bCs/>
          <w:szCs w:val="21"/>
          <w:lang w:val="en-US" w:eastAsia="zh-CN" w:bidi="ar"/>
        </w:rPr>
        <w:t>二</w:t>
      </w:r>
      <w:r>
        <w:rPr>
          <w:rFonts w:hint="default" w:ascii="Times New Roman" w:hAnsi="Times New Roman" w:eastAsia="方正仿宋" w:cs="方正仿宋"/>
          <w:bCs/>
          <w:szCs w:val="21"/>
          <w:lang w:bidi="ar"/>
        </w:rPr>
        <w:t>级评价指标标准化后的关键指标数据；</w:t>
      </w:r>
    </w:p>
    <w:p w14:paraId="693AE106">
      <w:pPr>
        <w:widowControl/>
        <w:tabs>
          <w:tab w:val="center" w:pos="4200"/>
          <w:tab w:val="right" w:pos="8400"/>
        </w:tabs>
        <w:ind w:firstLine="420"/>
        <w:jc w:val="left"/>
        <w:rPr>
          <w:rFonts w:hint="default" w:ascii="Times New Roman" w:hAnsi="Times New Roman" w:eastAsia="方正仿宋" w:cs="方正仿宋"/>
          <w:bCs/>
          <w:szCs w:val="21"/>
          <w:lang w:bidi="ar"/>
        </w:rPr>
      </w:pPr>
      <m:oMath>
        <m:sSub>
          <m:sSubPr>
            <m:ctrlPr>
              <w:rPr>
                <w:rFonts w:hint="default" w:ascii="Cambria Math" w:hAnsi="Cambria Math" w:eastAsia="方正仿宋" w:cs="方正仿宋"/>
                <w:bCs/>
                <w:sz w:val="21"/>
                <w:szCs w:val="21"/>
                <w:lang w:bidi="ar"/>
              </w:rPr>
            </m:ctrlPr>
          </m:sSubPr>
          <m:e>
            <m:r>
              <m:rPr>
                <m:sty m:val="p"/>
              </m:rPr>
              <w:rPr>
                <w:rFonts w:hint="default" w:ascii="Times New Roman" w:hAnsi="Times New Roman" w:eastAsia="方正仿宋" w:cs="方正仿宋"/>
                <w:sz w:val="21"/>
                <w:szCs w:val="21"/>
                <w:lang w:bidi="ar"/>
              </w:rPr>
              <m:t>ω</m:t>
            </m:r>
            <m:ctrlPr>
              <w:rPr>
                <w:rFonts w:hint="default" w:ascii="Cambria Math" w:hAnsi="Cambria Math" w:eastAsia="方正仿宋" w:cs="方正仿宋"/>
                <w:bCs/>
                <w:sz w:val="21"/>
                <w:szCs w:val="21"/>
                <w:lang w:bidi="ar"/>
              </w:rPr>
            </m:ctrlPr>
          </m:e>
          <m:sub>
            <m:r>
              <m:rPr>
                <m:sty m:val="p"/>
              </m:rPr>
              <w:rPr>
                <w:rFonts w:hint="default" w:ascii="Times New Roman" w:hAnsi="Times New Roman" w:eastAsia="方正仿宋" w:cs="方正仿宋"/>
                <w:sz w:val="21"/>
                <w:szCs w:val="21"/>
                <w:lang w:bidi="ar"/>
              </w:rPr>
              <m:t>i</m:t>
            </m:r>
            <m:ctrlPr>
              <w:rPr>
                <w:rFonts w:hint="default" w:ascii="Cambria Math" w:hAnsi="Cambria Math" w:eastAsia="方正仿宋" w:cs="方正仿宋"/>
                <w:bCs/>
                <w:sz w:val="21"/>
                <w:szCs w:val="21"/>
                <w:lang w:bidi="ar"/>
              </w:rPr>
            </m:ctrlPr>
          </m:sub>
        </m:sSub>
      </m:oMath>
      <w:r>
        <w:rPr>
          <w:rFonts w:hint="default" w:ascii="Times New Roman" w:hAnsi="Times New Roman" w:eastAsia="方正仿宋" w:cs="方正仿宋"/>
          <w:bCs/>
          <w:szCs w:val="21"/>
          <w:lang w:bidi="ar"/>
        </w:rPr>
        <w:t>——第</w:t>
      </w:r>
      <w:r>
        <w:rPr>
          <w:rFonts w:hint="default" w:ascii="Times New Roman" w:hAnsi="Times New Roman" w:eastAsia="方正仿宋" w:cs="方正仿宋"/>
          <w:bCs/>
          <w:i/>
          <w:iCs/>
          <w:szCs w:val="21"/>
          <w:lang w:val="en-US" w:eastAsia="zh-CN" w:bidi="ar"/>
        </w:rPr>
        <w:t>i</w:t>
      </w:r>
      <w:r>
        <w:rPr>
          <w:rFonts w:hint="default" w:ascii="Times New Roman" w:hAnsi="Times New Roman" w:eastAsia="方正仿宋" w:cs="方正仿宋"/>
          <w:bCs/>
          <w:szCs w:val="21"/>
          <w:lang w:bidi="ar"/>
        </w:rPr>
        <w:t>项</w:t>
      </w:r>
      <w:r>
        <w:rPr>
          <w:rFonts w:hint="eastAsia" w:ascii="Times New Roman" w:hAnsi="Times New Roman" w:eastAsia="方正仿宋" w:cs="方正仿宋"/>
          <w:bCs/>
          <w:szCs w:val="21"/>
          <w:lang w:val="en-US" w:eastAsia="zh-CN" w:bidi="ar"/>
        </w:rPr>
        <w:t>二</w:t>
      </w:r>
      <w:r>
        <w:rPr>
          <w:rFonts w:hint="default" w:ascii="Times New Roman" w:hAnsi="Times New Roman" w:eastAsia="方正仿宋" w:cs="方正仿宋"/>
          <w:bCs/>
          <w:szCs w:val="21"/>
          <w:lang w:bidi="ar"/>
        </w:rPr>
        <w:t>级评价指标的权重系数；</w:t>
      </w:r>
    </w:p>
    <w:p w14:paraId="12D7A2EF">
      <w:pPr>
        <w:widowControl/>
        <w:tabs>
          <w:tab w:val="center" w:pos="4200"/>
          <w:tab w:val="right" w:pos="8400"/>
        </w:tabs>
        <w:ind w:firstLine="420"/>
        <w:jc w:val="left"/>
        <w:rPr>
          <w:rFonts w:hint="default" w:ascii="Times New Roman" w:hAnsi="Times New Roman" w:eastAsia="方正仿宋" w:cs="方正仿宋"/>
          <w:bCs/>
          <w:szCs w:val="21"/>
          <w:lang w:bidi="ar"/>
        </w:rPr>
      </w:pPr>
      <w:r>
        <w:rPr>
          <w:rFonts w:hint="default" w:ascii="Times New Roman" w:hAnsi="Times New Roman" w:eastAsia="方正仿宋" w:cs="方正仿宋"/>
          <w:bCs/>
          <w:i/>
          <w:iCs/>
          <w:position w:val="0"/>
          <w:szCs w:val="21"/>
          <w:lang w:val="en-US" w:eastAsia="zh-CN" w:bidi="ar"/>
        </w:rPr>
        <w:t>n</w:t>
      </w:r>
      <w:r>
        <w:rPr>
          <w:rFonts w:hint="default" w:ascii="Times New Roman" w:hAnsi="Times New Roman" w:eastAsia="方正仿宋" w:cs="方正仿宋"/>
          <w:bCs/>
          <w:szCs w:val="21"/>
          <w:lang w:bidi="ar"/>
        </w:rPr>
        <w:t>——参与打分的</w:t>
      </w:r>
      <w:r>
        <w:rPr>
          <w:rFonts w:hint="eastAsia" w:ascii="Times New Roman" w:hAnsi="Times New Roman" w:eastAsia="方正仿宋" w:cs="方正仿宋"/>
          <w:bCs/>
          <w:szCs w:val="21"/>
          <w:lang w:val="en-US" w:eastAsia="zh-CN" w:bidi="ar"/>
        </w:rPr>
        <w:t>二</w:t>
      </w:r>
      <w:r>
        <w:rPr>
          <w:rFonts w:hint="default" w:ascii="Times New Roman" w:hAnsi="Times New Roman" w:eastAsia="方正仿宋" w:cs="方正仿宋"/>
          <w:bCs/>
          <w:szCs w:val="21"/>
          <w:lang w:bidi="ar"/>
        </w:rPr>
        <w:t>级指标数量。</w:t>
      </w:r>
    </w:p>
    <w:p w14:paraId="06EDAF0E">
      <w:pPr>
        <w:pStyle w:val="21"/>
        <w:rPr>
          <w:rFonts w:hint="eastAsia" w:ascii="黑体" w:hAnsi="Times New Roman" w:eastAsia="黑体" w:cs="Times New Roman"/>
          <w:szCs w:val="20"/>
        </w:rPr>
      </w:pPr>
      <w:r>
        <w:rPr>
          <w:rFonts w:hint="eastAsia" w:cs="Times New Roman"/>
          <w:szCs w:val="20"/>
          <w:lang w:val="en-US" w:eastAsia="zh-CN"/>
        </w:rPr>
        <w:t>存在不参评缺项的计算</w:t>
      </w:r>
    </w:p>
    <w:p w14:paraId="7592790C">
      <w:pPr>
        <w:widowControl/>
        <w:tabs>
          <w:tab w:val="center" w:pos="4200"/>
          <w:tab w:val="right" w:pos="8400"/>
        </w:tabs>
        <w:ind w:firstLine="420" w:firstLineChars="200"/>
        <w:jc w:val="left"/>
        <w:rPr>
          <w:rFonts w:hint="default" w:ascii="Times New Roman" w:hAnsi="Times New Roman" w:eastAsia="方正仿宋" w:cs="方正仿宋"/>
          <w:bCs/>
          <w:szCs w:val="21"/>
          <w:lang w:bidi="ar"/>
        </w:rPr>
      </w:pPr>
      <w:r>
        <w:rPr>
          <w:rFonts w:hint="default" w:ascii="Times New Roman" w:hAnsi="Times New Roman" w:eastAsia="方正仿宋" w:cs="方正仿宋"/>
          <w:bCs/>
          <w:szCs w:val="21"/>
          <w:lang w:bidi="ar"/>
        </w:rPr>
        <w:t>存在不参评缺项时，对缺项指标的权重进行归一化处理，行业发展健康水平综合值按公式</w:t>
      </w:r>
      <w:r>
        <w:rPr>
          <w:rFonts w:hint="default" w:ascii="Times New Roman" w:hAnsi="Times New Roman" w:eastAsia="方正仿宋" w:cs="方正仿宋"/>
          <w:bCs/>
          <w:szCs w:val="21"/>
          <w:lang w:eastAsia="zh-CN" w:bidi="ar"/>
        </w:rPr>
        <w:t>（</w:t>
      </w:r>
      <w:r>
        <w:rPr>
          <w:rFonts w:hint="default" w:ascii="Times New Roman" w:hAnsi="Times New Roman" w:eastAsia="方正仿宋" w:cs="方正仿宋"/>
          <w:bCs/>
          <w:szCs w:val="21"/>
          <w:lang w:val="en-US" w:eastAsia="zh-CN" w:bidi="ar"/>
        </w:rPr>
        <w:t>11）</w:t>
      </w:r>
      <w:r>
        <w:rPr>
          <w:rFonts w:hint="default" w:ascii="Times New Roman" w:hAnsi="Times New Roman" w:eastAsia="方正仿宋" w:cs="方正仿宋"/>
          <w:bCs/>
          <w:szCs w:val="21"/>
          <w:lang w:bidi="ar"/>
        </w:rPr>
        <w:t>折算，结果保留2位小数：</w:t>
      </w:r>
    </w:p>
    <w:p w14:paraId="0972EB77">
      <w:pPr>
        <w:pStyle w:val="25"/>
        <w:bidi w:val="0"/>
        <w:rPr>
          <w:rFonts w:hint="eastAsia"/>
          <w:lang w:eastAsia="zh-CN"/>
        </w:rPr>
      </w:pPr>
      <w:r>
        <w:rPr>
          <w:rFonts w:hint="eastAsia"/>
          <w:lang w:eastAsia="zh-CN"/>
        </w:rPr>
        <w:tab/>
      </w:r>
      <m:oMath>
        <m:r>
          <m:rPr/>
          <w:rPr>
            <w:rFonts w:hint="default" w:ascii="Cambria Math" w:hAnsi="Cambria Math"/>
            <w:sz w:val="21"/>
          </w:rPr>
          <m:t>S=</m:t>
        </m:r>
        <m:f>
          <m:fPr>
            <m:ctrlPr>
              <w:rPr>
                <w:rFonts w:hint="default" w:ascii="Cambria Math" w:hAnsi="Cambria Math"/>
                <w:sz w:val="21"/>
              </w:rPr>
            </m:ctrlPr>
          </m:fPr>
          <m:num>
            <m:nary>
              <m:naryPr>
                <m:chr m:val="∑"/>
                <m:limLoc m:val="subSup"/>
                <m:ctrlPr>
                  <w:rPr>
                    <w:rFonts w:hint="default" w:ascii="Cambria Math" w:hAnsi="Cambria Math"/>
                    <w:sz w:val="21"/>
                  </w:rPr>
                </m:ctrlPr>
              </m:naryPr>
              <m:sub>
                <m:r>
                  <m:rPr/>
                  <w:rPr>
                    <w:rFonts w:hint="default" w:ascii="Cambria Math" w:hAnsi="Cambria Math"/>
                    <w:sz w:val="21"/>
                  </w:rPr>
                  <m:t>i=1</m:t>
                </m:r>
                <m:ctrlPr>
                  <w:rPr>
                    <w:rFonts w:ascii="Cambria Math" w:hAnsi="Cambria Math"/>
                    <w:sz w:val="21"/>
                  </w:rPr>
                </m:ctrlPr>
              </m:sub>
              <m:sup>
                <m:r>
                  <m:rPr/>
                  <w:rPr>
                    <w:rFonts w:hint="default" w:ascii="Cambria Math" w:hAnsi="Cambria Math"/>
                    <w:sz w:val="21"/>
                  </w:rPr>
                  <m:t>k</m:t>
                </m:r>
                <m:ctrlPr>
                  <w:rPr>
                    <w:rFonts w:ascii="Cambria Math" w:hAnsi="Cambria Math"/>
                    <w:sz w:val="21"/>
                  </w:rPr>
                </m:ctrlPr>
              </m:sup>
              <m:e>
                <m:sSub>
                  <m:sSubPr>
                    <m:ctrlPr>
                      <w:rPr>
                        <w:rFonts w:hint="default" w:ascii="Cambria Math" w:hAnsi="Cambria Math"/>
                        <w:sz w:val="21"/>
                      </w:rPr>
                    </m:ctrlPr>
                  </m:sSubPr>
                  <m:e>
                    <m:r>
                      <m:rPr/>
                      <w:rPr>
                        <w:rFonts w:hint="default" w:ascii="Cambria Math" w:hAnsi="Cambria Math"/>
                        <w:sz w:val="21"/>
                      </w:rPr>
                      <m:t>F</m:t>
                    </m:r>
                    <m:ctrlPr>
                      <w:rPr>
                        <w:rFonts w:ascii="Cambria Math" w:hAnsi="Cambria Math"/>
                        <w:sz w:val="21"/>
                      </w:rPr>
                    </m:ctrlPr>
                  </m:e>
                  <m:sub>
                    <m:r>
                      <m:rPr/>
                      <w:rPr>
                        <w:rFonts w:hint="default" w:ascii="Cambria Math" w:hAnsi="Cambria Math"/>
                        <w:sz w:val="21"/>
                      </w:rPr>
                      <m:t>i</m:t>
                    </m:r>
                    <m:ctrlPr>
                      <w:rPr>
                        <w:rFonts w:ascii="Cambria Math" w:hAnsi="Cambria Math"/>
                        <w:sz w:val="21"/>
                      </w:rPr>
                    </m:ctrlPr>
                  </m:sub>
                </m:sSub>
                <m:ctrlPr>
                  <w:rPr>
                    <w:rFonts w:hint="default" w:ascii="Cambria Math" w:hAnsi="Cambria Math"/>
                    <w:sz w:val="21"/>
                  </w:rPr>
                </m:ctrlPr>
              </m:e>
            </m:nary>
            <m:r>
              <m:rPr/>
              <w:rPr>
                <w:rFonts w:hint="default" w:ascii="Cambria Math" w:hAnsi="Cambria Math"/>
                <w:sz w:val="21"/>
              </w:rPr>
              <m:t>×</m:t>
            </m:r>
            <m:sSub>
              <m:sSubPr>
                <m:ctrlPr>
                  <w:rPr>
                    <w:rFonts w:hint="default" w:ascii="Cambria Math" w:hAnsi="Cambria Math"/>
                    <w:sz w:val="21"/>
                  </w:rPr>
                </m:ctrlPr>
              </m:sSubPr>
              <m:e>
                <m:r>
                  <m:rPr/>
                  <w:rPr>
                    <w:rFonts w:hint="default" w:ascii="Cambria Math" w:hAnsi="Cambria Math"/>
                    <w:sz w:val="21"/>
                  </w:rPr>
                  <m:t>ω</m:t>
                </m:r>
                <m:ctrlPr>
                  <w:rPr>
                    <w:rFonts w:hint="default" w:ascii="Cambria Math" w:hAnsi="Cambria Math"/>
                    <w:sz w:val="21"/>
                  </w:rPr>
                </m:ctrlPr>
              </m:e>
              <m:sub>
                <m:r>
                  <m:rPr/>
                  <w:rPr>
                    <w:rFonts w:hint="default" w:ascii="Cambria Math" w:hAnsi="Cambria Math"/>
                    <w:sz w:val="21"/>
                  </w:rPr>
                  <m:t>i</m:t>
                </m:r>
                <m:ctrlPr>
                  <w:rPr>
                    <w:rFonts w:hint="default" w:ascii="Cambria Math" w:hAnsi="Cambria Math"/>
                    <w:sz w:val="21"/>
                  </w:rPr>
                </m:ctrlPr>
              </m:sub>
            </m:sSub>
            <m:ctrlPr>
              <w:rPr>
                <w:rFonts w:hint="default" w:ascii="Cambria Math" w:hAnsi="Cambria Math"/>
                <w:sz w:val="21"/>
              </w:rPr>
            </m:ctrlPr>
          </m:num>
          <m:den>
            <m:nary>
              <m:naryPr>
                <m:chr m:val="∑"/>
                <m:limLoc m:val="subSup"/>
                <m:ctrlPr>
                  <w:rPr>
                    <w:rFonts w:hint="default" w:ascii="Cambria Math" w:hAnsi="Cambria Math"/>
                    <w:sz w:val="21"/>
                  </w:rPr>
                </m:ctrlPr>
              </m:naryPr>
              <m:sub>
                <m:r>
                  <m:rPr/>
                  <w:rPr>
                    <w:rFonts w:hint="default" w:ascii="Cambria Math" w:hAnsi="Cambria Math"/>
                    <w:sz w:val="21"/>
                  </w:rPr>
                  <m:t>i=1</m:t>
                </m:r>
                <m:ctrlPr>
                  <w:rPr>
                    <w:rFonts w:hint="default" w:ascii="Cambria Math" w:hAnsi="Cambria Math"/>
                    <w:sz w:val="21"/>
                  </w:rPr>
                </m:ctrlPr>
              </m:sub>
              <m:sup>
                <m:r>
                  <m:rPr/>
                  <w:rPr>
                    <w:rFonts w:hint="default" w:ascii="Cambria Math" w:hAnsi="Cambria Math"/>
                    <w:sz w:val="21"/>
                  </w:rPr>
                  <m:t>k</m:t>
                </m:r>
                <m:ctrlPr>
                  <w:rPr>
                    <w:rFonts w:hint="default" w:ascii="Cambria Math" w:hAnsi="Cambria Math"/>
                    <w:sz w:val="21"/>
                  </w:rPr>
                </m:ctrlPr>
              </m:sup>
              <m:e>
                <m:sSub>
                  <m:sSubPr>
                    <m:ctrlPr>
                      <w:rPr>
                        <w:rFonts w:hint="default" w:ascii="Cambria Math" w:hAnsi="Cambria Math"/>
                        <w:sz w:val="21"/>
                      </w:rPr>
                    </m:ctrlPr>
                  </m:sSubPr>
                  <m:e>
                    <m:r>
                      <m:rPr/>
                      <w:rPr>
                        <w:rFonts w:hint="default" w:ascii="Cambria Math" w:hAnsi="Cambria Math"/>
                        <w:sz w:val="21"/>
                      </w:rPr>
                      <m:t>ω</m:t>
                    </m:r>
                    <m:ctrlPr>
                      <w:rPr>
                        <w:rFonts w:ascii="Cambria Math" w:hAnsi="Cambria Math"/>
                        <w:sz w:val="21"/>
                      </w:rPr>
                    </m:ctrlPr>
                  </m:e>
                  <m:sub>
                    <m:r>
                      <m:rPr/>
                      <w:rPr>
                        <w:rFonts w:hint="default" w:ascii="Cambria Math" w:hAnsi="Cambria Math"/>
                        <w:sz w:val="21"/>
                      </w:rPr>
                      <m:t>i</m:t>
                    </m:r>
                    <m:ctrlPr>
                      <w:rPr>
                        <w:rFonts w:ascii="Cambria Math" w:hAnsi="Cambria Math"/>
                        <w:sz w:val="21"/>
                      </w:rPr>
                    </m:ctrlPr>
                  </m:sub>
                </m:sSub>
                <m:ctrlPr>
                  <w:rPr>
                    <w:rFonts w:hint="default" w:ascii="Cambria Math" w:hAnsi="Cambria Math"/>
                    <w:sz w:val="21"/>
                  </w:rPr>
                </m:ctrlPr>
              </m:e>
            </m:nary>
            <m:ctrlPr>
              <w:rPr>
                <w:rFonts w:hint="default" w:ascii="Cambria Math" w:hAnsi="Cambria Math"/>
                <w:sz w:val="21"/>
              </w:rPr>
            </m:ctrlPr>
          </m:den>
        </m:f>
        <m:r>
          <m:rPr/>
          <w:rPr>
            <w:rFonts w:hint="default" w:ascii="Cambria Math" w:hAnsi="Cambria Math"/>
            <w:sz w:val="21"/>
          </w:rPr>
          <m:t>×100</m:t>
        </m:r>
      </m:oMath>
      <w:r>
        <w:rPr>
          <w:rFonts w:hint="eastAsia" w:ascii="微软雅黑" w:hAnsi="微软雅黑" w:eastAsia="微软雅黑" w:cs="微软雅黑"/>
          <w:lang w:eastAsia="zh-CN"/>
        </w:rPr>
        <w:tab/>
      </w:r>
      <w:r>
        <w:rPr>
          <w:rFonts w:hint="eastAsia"/>
          <w:lang w:eastAsia="zh-CN"/>
        </w:rPr>
        <w:t>(</w:t>
      </w:r>
      <w:r>
        <w:rPr>
          <w:rFonts w:hint="eastAsia"/>
          <w:lang w:eastAsia="zh-CN"/>
        </w:rPr>
        <w:fldChar w:fldCharType="begin"/>
      </w:r>
      <w:r>
        <w:rPr>
          <w:rFonts w:hint="eastAsia"/>
          <w:lang w:eastAsia="zh-CN"/>
        </w:rPr>
        <w:instrText xml:space="preserve"> SEQ 公式 \* ARABIC </w:instrText>
      </w:r>
      <w:r>
        <w:rPr>
          <w:rFonts w:hint="eastAsia"/>
          <w:lang w:eastAsia="zh-CN"/>
        </w:rPr>
        <w:fldChar w:fldCharType="separate"/>
      </w:r>
      <w:r>
        <w:rPr>
          <w:rFonts w:hint="eastAsia"/>
          <w:lang w:eastAsia="zh-CN"/>
        </w:rPr>
        <w:t>10</w:t>
      </w:r>
      <w:r>
        <w:rPr>
          <w:rFonts w:hint="eastAsia"/>
          <w:lang w:eastAsia="zh-CN"/>
        </w:rPr>
        <w:fldChar w:fldCharType="end"/>
      </w:r>
      <w:r>
        <w:rPr>
          <w:rFonts w:hint="eastAsia"/>
          <w:lang w:eastAsia="zh-CN"/>
        </w:rPr>
        <w:t>)</w:t>
      </w:r>
    </w:p>
    <w:p w14:paraId="3129EBC0">
      <w:pPr>
        <w:widowControl/>
        <w:tabs>
          <w:tab w:val="center" w:pos="4200"/>
          <w:tab w:val="right" w:pos="8400"/>
        </w:tabs>
        <w:ind w:firstLine="420"/>
        <w:jc w:val="left"/>
        <w:rPr>
          <w:rFonts w:hint="default" w:ascii="Times New Roman" w:hAnsi="Times New Roman" w:eastAsia="方正仿宋" w:cs="方正仿宋"/>
          <w:bCs/>
          <w:szCs w:val="21"/>
          <w:lang w:bidi="ar"/>
        </w:rPr>
      </w:pPr>
      <w:r>
        <w:rPr>
          <w:rFonts w:hint="default" w:ascii="Times New Roman" w:hAnsi="Times New Roman" w:eastAsia="方正仿宋" w:cs="方正仿宋"/>
          <w:bCs/>
          <w:szCs w:val="21"/>
          <w:lang w:bidi="ar"/>
        </w:rPr>
        <w:t>式中：</w:t>
      </w:r>
    </w:p>
    <w:p w14:paraId="3EEC3DCE">
      <w:pPr>
        <w:widowControl/>
        <w:tabs>
          <w:tab w:val="center" w:pos="4200"/>
          <w:tab w:val="right" w:pos="8400"/>
        </w:tabs>
        <w:ind w:firstLine="420"/>
        <w:jc w:val="left"/>
        <w:rPr>
          <w:rFonts w:hint="default" w:ascii="Times New Roman" w:hAnsi="Times New Roman" w:eastAsia="方正仿宋" w:cs="方正仿宋"/>
          <w:bCs/>
          <w:szCs w:val="21"/>
          <w:lang w:bidi="ar"/>
        </w:rPr>
      </w:pPr>
      <m:oMath>
        <m:r>
          <m:rPr/>
          <w:rPr>
            <w:rFonts w:hint="default" w:ascii="Cambria Math" w:hAnsi="Cambria Math"/>
            <w:sz w:val="21"/>
          </w:rPr>
          <m:t>S</m:t>
        </m:r>
      </m:oMath>
      <w:r>
        <w:rPr>
          <w:rFonts w:hint="default" w:ascii="Times New Roman" w:hAnsi="Times New Roman" w:eastAsia="方正仿宋" w:cs="方正仿宋"/>
          <w:bCs/>
          <w:szCs w:val="21"/>
          <w:lang w:bidi="ar"/>
        </w:rPr>
        <w:t>——行业发展健康指数，取值范围 0-1；</w:t>
      </w:r>
    </w:p>
    <w:p w14:paraId="3B4993F7">
      <w:pPr>
        <w:widowControl/>
        <w:tabs>
          <w:tab w:val="center" w:pos="4200"/>
          <w:tab w:val="right" w:pos="8400"/>
        </w:tabs>
        <w:ind w:firstLine="420"/>
        <w:jc w:val="left"/>
        <w:rPr>
          <w:rFonts w:hint="default" w:ascii="Times New Roman" w:hAnsi="Times New Roman" w:eastAsia="方正仿宋" w:cs="方正仿宋"/>
          <w:bCs/>
          <w:szCs w:val="21"/>
          <w:lang w:bidi="ar"/>
        </w:rPr>
      </w:pPr>
      <m:oMath>
        <m:sSub>
          <m:sSubPr>
            <m:ctrlPr>
              <w:rPr>
                <w:rFonts w:hint="default" w:ascii="Cambria Math" w:hAnsi="Cambria Math"/>
                <w:b w:val="0"/>
                <w:bCs w:val="0"/>
              </w:rPr>
            </m:ctrlPr>
          </m:sSubPr>
          <m:e>
            <m:r>
              <m:rPr/>
              <w:rPr>
                <w:rFonts w:hint="default" w:ascii="Cambria Math" w:hAnsi="Cambria Math"/>
              </w:rPr>
              <m:t>F</m:t>
            </m:r>
            <m:ctrlPr>
              <w:rPr>
                <w:rFonts w:ascii="Cambria Math" w:hAnsi="Cambria Math"/>
                <w:b w:val="0"/>
                <w:bCs w:val="0"/>
              </w:rPr>
            </m:ctrlPr>
          </m:e>
          <m:sub>
            <m:r>
              <m:rPr/>
              <w:rPr>
                <w:rFonts w:hint="default" w:ascii="Cambria Math" w:hAnsi="Cambria Math"/>
              </w:rPr>
              <m:t>i</m:t>
            </m:r>
            <m:ctrlPr>
              <w:rPr>
                <w:rFonts w:ascii="Cambria Math" w:hAnsi="Cambria Math"/>
                <w:b w:val="0"/>
                <w:bCs w:val="0"/>
              </w:rPr>
            </m:ctrlPr>
          </m:sub>
        </m:sSub>
      </m:oMath>
      <w:r>
        <w:rPr>
          <w:rFonts w:hint="default" w:ascii="Times New Roman" w:hAnsi="Times New Roman" w:eastAsia="方正仿宋" w:cs="方正仿宋"/>
          <w:bCs/>
          <w:szCs w:val="21"/>
          <w:lang w:bidi="ar"/>
        </w:rPr>
        <w:t>——第项</w:t>
      </w:r>
      <w:r>
        <w:rPr>
          <w:rFonts w:hint="eastAsia" w:ascii="Times New Roman" w:hAnsi="Times New Roman" w:eastAsia="方正仿宋" w:cs="方正仿宋"/>
          <w:bCs/>
          <w:szCs w:val="21"/>
          <w:lang w:val="en-US" w:eastAsia="zh-CN" w:bidi="ar"/>
        </w:rPr>
        <w:t>二</w:t>
      </w:r>
      <w:r>
        <w:rPr>
          <w:rFonts w:hint="default" w:ascii="Times New Roman" w:hAnsi="Times New Roman" w:eastAsia="方正仿宋" w:cs="方正仿宋"/>
          <w:bCs/>
          <w:szCs w:val="21"/>
          <w:lang w:bidi="ar"/>
        </w:rPr>
        <w:t>级评价指标标准化后的关键指标数据；</w:t>
      </w:r>
    </w:p>
    <w:p w14:paraId="5873CF5A">
      <w:pPr>
        <w:widowControl/>
        <w:tabs>
          <w:tab w:val="center" w:pos="4200"/>
          <w:tab w:val="right" w:pos="8400"/>
        </w:tabs>
        <w:ind w:firstLine="420"/>
        <w:jc w:val="left"/>
        <w:rPr>
          <w:rFonts w:hint="default" w:ascii="Times New Roman" w:hAnsi="Times New Roman" w:eastAsia="方正仿宋" w:cs="方正仿宋"/>
          <w:bCs/>
          <w:szCs w:val="21"/>
          <w:lang w:bidi="ar"/>
        </w:rPr>
      </w:pPr>
      <m:oMath>
        <m:sSub>
          <m:sSubPr>
            <m:ctrlPr>
              <w:rPr>
                <w:rFonts w:hint="default" w:ascii="Cambria Math" w:hAnsi="Cambria Math" w:eastAsia="方正仿宋" w:cs="方正仿宋"/>
                <w:bCs/>
                <w:sz w:val="21"/>
                <w:szCs w:val="21"/>
                <w:lang w:bidi="ar"/>
              </w:rPr>
            </m:ctrlPr>
          </m:sSubPr>
          <m:e>
            <m:r>
              <m:rPr>
                <m:sty m:val="p"/>
              </m:rPr>
              <w:rPr>
                <w:rFonts w:hint="default" w:ascii="Times New Roman" w:hAnsi="Times New Roman" w:eastAsia="方正仿宋" w:cs="方正仿宋"/>
                <w:sz w:val="21"/>
                <w:szCs w:val="21"/>
                <w:lang w:bidi="ar"/>
              </w:rPr>
              <m:t>ω</m:t>
            </m:r>
            <m:ctrlPr>
              <w:rPr>
                <w:rFonts w:hint="default" w:ascii="Cambria Math" w:hAnsi="Cambria Math" w:eastAsia="方正仿宋" w:cs="方正仿宋"/>
                <w:bCs/>
                <w:sz w:val="21"/>
                <w:szCs w:val="21"/>
                <w:lang w:bidi="ar"/>
              </w:rPr>
            </m:ctrlPr>
          </m:e>
          <m:sub>
            <m:r>
              <m:rPr>
                <m:sty m:val="p"/>
              </m:rPr>
              <w:rPr>
                <w:rFonts w:hint="default" w:ascii="Times New Roman" w:hAnsi="Times New Roman" w:eastAsia="方正仿宋" w:cs="方正仿宋"/>
                <w:sz w:val="21"/>
                <w:szCs w:val="21"/>
                <w:lang w:bidi="ar"/>
              </w:rPr>
              <m:t>i</m:t>
            </m:r>
            <m:ctrlPr>
              <w:rPr>
                <w:rFonts w:hint="default" w:ascii="Cambria Math" w:hAnsi="Cambria Math" w:eastAsia="方正仿宋" w:cs="方正仿宋"/>
                <w:bCs/>
                <w:sz w:val="21"/>
                <w:szCs w:val="21"/>
                <w:lang w:bidi="ar"/>
              </w:rPr>
            </m:ctrlPr>
          </m:sub>
        </m:sSub>
      </m:oMath>
      <w:r>
        <w:rPr>
          <w:rFonts w:hint="default" w:ascii="Times New Roman" w:hAnsi="Times New Roman" w:eastAsia="方正仿宋" w:cs="方正仿宋"/>
          <w:bCs/>
          <w:szCs w:val="21"/>
          <w:lang w:bidi="ar"/>
        </w:rPr>
        <w:t>——第</w:t>
      </w:r>
      <w:r>
        <w:rPr>
          <w:rFonts w:hint="default" w:ascii="Times New Roman" w:hAnsi="Times New Roman" w:eastAsia="方正仿宋" w:cs="方正仿宋"/>
          <w:bCs/>
          <w:i/>
          <w:iCs/>
          <w:szCs w:val="21"/>
          <w:lang w:val="en-US" w:eastAsia="zh-CN" w:bidi="ar"/>
        </w:rPr>
        <w:t>i</w:t>
      </w:r>
      <w:r>
        <w:rPr>
          <w:rFonts w:hint="default" w:ascii="Times New Roman" w:hAnsi="Times New Roman" w:eastAsia="方正仿宋" w:cs="方正仿宋"/>
          <w:bCs/>
          <w:szCs w:val="21"/>
          <w:lang w:bidi="ar"/>
        </w:rPr>
        <w:t>项</w:t>
      </w:r>
      <w:r>
        <w:rPr>
          <w:rFonts w:hint="eastAsia" w:ascii="Times New Roman" w:hAnsi="Times New Roman" w:eastAsia="方正仿宋" w:cs="方正仿宋"/>
          <w:bCs/>
          <w:szCs w:val="21"/>
          <w:lang w:val="en-US" w:eastAsia="zh-CN" w:bidi="ar"/>
        </w:rPr>
        <w:t>二</w:t>
      </w:r>
      <w:r>
        <w:rPr>
          <w:rFonts w:hint="default" w:ascii="Times New Roman" w:hAnsi="Times New Roman" w:eastAsia="方正仿宋" w:cs="方正仿宋"/>
          <w:bCs/>
          <w:szCs w:val="21"/>
          <w:lang w:bidi="ar"/>
        </w:rPr>
        <w:t>级评价指标的权重系数；</w:t>
      </w:r>
    </w:p>
    <w:p w14:paraId="7814B8A6">
      <w:pPr>
        <w:widowControl/>
        <w:tabs>
          <w:tab w:val="center" w:pos="4200"/>
          <w:tab w:val="right" w:pos="8400"/>
        </w:tabs>
        <w:ind w:firstLine="420"/>
        <w:jc w:val="left"/>
        <w:rPr>
          <w:rFonts w:hint="default" w:ascii="Times New Roman" w:hAnsi="Times New Roman" w:eastAsia="方正仿宋" w:cs="方正仿宋"/>
          <w:bCs/>
          <w:szCs w:val="21"/>
          <w:lang w:bidi="ar"/>
        </w:rPr>
      </w:pPr>
      <w:r>
        <w:rPr>
          <w:rFonts w:hint="default" w:ascii="Times New Roman" w:hAnsi="Times New Roman" w:eastAsia="方正仿宋" w:cs="方正仿宋"/>
          <w:bCs/>
          <w:i/>
          <w:iCs/>
          <w:position w:val="0"/>
          <w:szCs w:val="21"/>
          <w:lang w:val="en-US" w:eastAsia="zh-CN" w:bidi="ar"/>
        </w:rPr>
        <w:t>n</w:t>
      </w:r>
      <w:r>
        <w:rPr>
          <w:rFonts w:hint="default" w:ascii="Times New Roman" w:hAnsi="Times New Roman" w:eastAsia="方正仿宋" w:cs="方正仿宋"/>
          <w:bCs/>
          <w:szCs w:val="21"/>
          <w:lang w:bidi="ar"/>
        </w:rPr>
        <w:t>——参与打分的</w:t>
      </w:r>
      <w:r>
        <w:rPr>
          <w:rFonts w:hint="eastAsia" w:ascii="Times New Roman" w:hAnsi="Times New Roman" w:eastAsia="方正仿宋" w:cs="方正仿宋"/>
          <w:bCs/>
          <w:szCs w:val="21"/>
          <w:lang w:val="en-US" w:eastAsia="zh-CN" w:bidi="ar"/>
        </w:rPr>
        <w:t>二</w:t>
      </w:r>
      <w:r>
        <w:rPr>
          <w:rFonts w:hint="default" w:ascii="Times New Roman" w:hAnsi="Times New Roman" w:eastAsia="方正仿宋" w:cs="方正仿宋"/>
          <w:bCs/>
          <w:szCs w:val="21"/>
          <w:lang w:bidi="ar"/>
        </w:rPr>
        <w:t>级指标数量。</w:t>
      </w:r>
    </w:p>
    <w:p w14:paraId="6F0F40D4">
      <w:pPr>
        <w:pStyle w:val="17"/>
        <w:rPr>
          <w:rFonts w:hint="eastAsia" w:ascii="黑体" w:hAnsi="Times New Roman" w:eastAsia="黑体" w:cs="Times New Roman"/>
          <w:szCs w:val="20"/>
        </w:rPr>
      </w:pPr>
      <w:bookmarkStart w:id="51" w:name="_Toc20344"/>
      <w:bookmarkStart w:id="52" w:name="_Toc25481"/>
      <w:bookmarkStart w:id="53" w:name="_Toc2450"/>
      <w:r>
        <w:rPr>
          <w:rFonts w:hint="eastAsia" w:cs="Times New Roman"/>
          <w:szCs w:val="20"/>
          <w:lang w:val="en-US" w:eastAsia="zh-CN"/>
        </w:rPr>
        <w:t>结果评定</w:t>
      </w:r>
      <w:bookmarkEnd w:id="51"/>
      <w:bookmarkEnd w:id="52"/>
      <w:bookmarkEnd w:id="53"/>
    </w:p>
    <w:p w14:paraId="3736EAEB">
      <w:pPr>
        <w:ind w:firstLine="420" w:firstLineChars="200"/>
        <w:rPr>
          <w:rFonts w:hint="eastAsia" w:ascii="宋体" w:hAnsi="宋体" w:eastAsia="宋体" w:cs="宋体"/>
          <w:color w:val="000000"/>
          <w:szCs w:val="21"/>
        </w:rPr>
      </w:pPr>
      <w:r>
        <w:rPr>
          <w:rFonts w:hint="eastAsia" w:ascii="宋体" w:hAnsi="宋体" w:eastAsia="宋体" w:cs="宋体"/>
          <w:color w:val="000000"/>
          <w:szCs w:val="21"/>
        </w:rPr>
        <w:t>根据行业发展健康</w:t>
      </w:r>
      <w:r>
        <w:rPr>
          <w:rFonts w:hint="eastAsia" w:ascii="宋体" w:hAnsi="宋体" w:eastAsia="宋体" w:cs="宋体"/>
          <w:color w:val="000000"/>
          <w:szCs w:val="21"/>
          <w:lang w:val="en-US" w:eastAsia="zh-CN"/>
        </w:rPr>
        <w:t>指数S的计算结果</w:t>
      </w:r>
      <w:r>
        <w:rPr>
          <w:rFonts w:hint="eastAsia" w:ascii="宋体" w:hAnsi="宋体" w:eastAsia="宋体" w:cs="宋体"/>
          <w:color w:val="000000"/>
          <w:szCs w:val="21"/>
        </w:rPr>
        <w:t>，将行业发展健康水平划分为五个等级，如</w:t>
      </w:r>
      <w:r>
        <w:rPr>
          <w:rFonts w:hint="eastAsia" w:ascii="宋体" w:hAnsi="宋体" w:eastAsia="宋体" w:cs="宋体"/>
          <w:color w:val="000000"/>
          <w:szCs w:val="21"/>
          <w:lang w:val="en-US" w:eastAsia="zh-CN"/>
        </w:rPr>
        <w:t>表2所示</w:t>
      </w:r>
      <w:r>
        <w:rPr>
          <w:rFonts w:hint="eastAsia" w:ascii="宋体" w:hAnsi="宋体" w:eastAsia="宋体" w:cs="宋体"/>
          <w:color w:val="000000"/>
          <w:szCs w:val="21"/>
        </w:rPr>
        <w:t>：</w:t>
      </w:r>
    </w:p>
    <w:p w14:paraId="5788BC69">
      <w:pPr>
        <w:pStyle w:val="22"/>
        <w:bidi w:val="0"/>
        <w:rPr>
          <w:rFonts w:hint="eastAsia"/>
        </w:rPr>
      </w:pPr>
      <w:r>
        <w:rPr>
          <w:rFonts w:hint="eastAsia"/>
          <w:lang w:val="en-US" w:eastAsia="zh-CN"/>
        </w:rPr>
        <w:t>行业发展健康等级结果评定</w:t>
      </w:r>
    </w:p>
    <w:tbl>
      <w:tblPr>
        <w:tblStyle w:val="9"/>
        <w:tblW w:w="985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146"/>
        <w:gridCol w:w="1465"/>
        <w:gridCol w:w="7243"/>
      </w:tblGrid>
      <w:tr w14:paraId="10D1BF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146" w:type="dxa"/>
            <w:tcBorders>
              <w:bottom w:val="single" w:color="auto" w:sz="8" w:space="0"/>
            </w:tcBorders>
            <w:vAlign w:val="center"/>
          </w:tcPr>
          <w:p w14:paraId="25D6CF9C">
            <w:pPr>
              <w:pStyle w:val="23"/>
              <w:widowControl w:val="0"/>
              <w:bidi w:val="0"/>
              <w:spacing w:line="240" w:lineRule="auto"/>
              <w:ind w:left="0" w:leftChars="0" w:right="0" w:rightChars="0" w:firstLine="0" w:firstLineChars="0"/>
              <w:jc w:val="center"/>
              <w:rPr>
                <w:rFonts w:hint="eastAsia" w:ascii="Times New Roman" w:hAnsi="Times New Roman" w:eastAsia="宋体" w:cs="Times New Roman"/>
              </w:rPr>
            </w:pPr>
            <w:r>
              <w:rPr>
                <w:rFonts w:hint="eastAsia" w:ascii="Times New Roman" w:hAnsi="Times New Roman" w:eastAsia="宋体" w:cs="Times New Roman"/>
                <w:lang w:val="en-US" w:eastAsia="zh-CN"/>
              </w:rPr>
              <w:t>健康等级</w:t>
            </w:r>
          </w:p>
        </w:tc>
        <w:tc>
          <w:tcPr>
            <w:tcW w:w="1465" w:type="dxa"/>
            <w:tcBorders>
              <w:bottom w:val="single" w:color="auto" w:sz="8" w:space="0"/>
            </w:tcBorders>
            <w:vAlign w:val="center"/>
          </w:tcPr>
          <w:p w14:paraId="223953FC">
            <w:pPr>
              <w:pStyle w:val="23"/>
              <w:widowControl w:val="0"/>
              <w:bidi w:val="0"/>
              <w:spacing w:line="240" w:lineRule="auto"/>
              <w:ind w:left="0" w:leftChars="0" w:right="0" w:rightChars="0" w:firstLine="0" w:firstLineChars="0"/>
              <w:jc w:val="center"/>
              <w:rPr>
                <w:rFonts w:hint="eastAsia" w:ascii="Times New Roman" w:hAnsi="Times New Roman" w:eastAsia="宋体" w:cs="Times New Roman"/>
              </w:rPr>
            </w:pPr>
            <w:r>
              <w:rPr>
                <w:rFonts w:hint="eastAsia" w:ascii="Times New Roman" w:hAnsi="Times New Roman" w:eastAsia="宋体" w:cs="Times New Roman"/>
                <w:lang w:val="en-US" w:eastAsia="zh-CN"/>
              </w:rPr>
              <w:t>数值区间</w:t>
            </w:r>
          </w:p>
        </w:tc>
        <w:tc>
          <w:tcPr>
            <w:tcW w:w="7243" w:type="dxa"/>
            <w:tcBorders>
              <w:bottom w:val="single" w:color="auto" w:sz="8" w:space="0"/>
            </w:tcBorders>
            <w:vAlign w:val="center"/>
          </w:tcPr>
          <w:p w14:paraId="3D741F79">
            <w:pPr>
              <w:pStyle w:val="23"/>
              <w:widowControl w:val="0"/>
              <w:bidi w:val="0"/>
              <w:spacing w:line="240" w:lineRule="auto"/>
              <w:ind w:left="0" w:leftChars="0" w:right="0" w:rightChars="0" w:firstLine="0" w:firstLineChars="0"/>
              <w:jc w:val="center"/>
              <w:rPr>
                <w:rFonts w:hint="eastAsia" w:ascii="Times New Roman" w:hAnsi="Times New Roman" w:eastAsia="宋体" w:cs="Times New Roman"/>
              </w:rPr>
            </w:pPr>
            <w:r>
              <w:rPr>
                <w:rFonts w:hint="eastAsia" w:ascii="Times New Roman" w:hAnsi="Times New Roman" w:eastAsia="宋体" w:cs="Times New Roman"/>
                <w:lang w:val="en-US" w:eastAsia="zh-CN"/>
              </w:rPr>
              <w:t>状态描述</w:t>
            </w:r>
          </w:p>
        </w:tc>
      </w:tr>
      <w:tr w14:paraId="5BDC5A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146" w:type="dxa"/>
            <w:tcBorders>
              <w:top w:val="single" w:color="auto" w:sz="8" w:space="0"/>
            </w:tcBorders>
            <w:vAlign w:val="center"/>
          </w:tcPr>
          <w:p w14:paraId="0BA04804">
            <w:pPr>
              <w:pStyle w:val="23"/>
              <w:widowControl w:val="0"/>
              <w:bidi w:val="0"/>
              <w:spacing w:line="240" w:lineRule="auto"/>
              <w:ind w:left="0" w:leftChars="0" w:right="0" w:rightChars="0" w:firstLine="0" w:firstLineChars="0"/>
              <w:jc w:val="center"/>
              <w:rPr>
                <w:rFonts w:hint="eastAsia" w:ascii="Times New Roman" w:hAnsi="Times New Roman" w:eastAsia="宋体" w:cs="Times New Roman"/>
              </w:rPr>
            </w:pPr>
            <w:r>
              <w:rPr>
                <w:rFonts w:hint="eastAsia" w:ascii="Times New Roman" w:hAnsi="Times New Roman" w:eastAsia="宋体" w:cs="Times New Roman"/>
                <w:lang w:val="en-US" w:eastAsia="zh-CN"/>
              </w:rPr>
              <w:t>健康</w:t>
            </w:r>
          </w:p>
        </w:tc>
        <w:tc>
          <w:tcPr>
            <w:tcW w:w="1465" w:type="dxa"/>
            <w:tcBorders>
              <w:top w:val="single" w:color="auto" w:sz="8" w:space="0"/>
            </w:tcBorders>
            <w:vAlign w:val="center"/>
          </w:tcPr>
          <w:p w14:paraId="3FA648F3">
            <w:pPr>
              <w:pStyle w:val="23"/>
              <w:widowControl w:val="0"/>
              <w:bidi w:val="0"/>
              <w:spacing w:line="240" w:lineRule="auto"/>
              <w:ind w:left="0" w:leftChars="0" w:right="0" w:rightChars="0" w:firstLine="0" w:firstLineChars="0"/>
              <w:jc w:val="center"/>
              <w:rPr>
                <w:rFonts w:hint="eastAsia" w:ascii="Times New Roman" w:hAnsi="Times New Roman" w:eastAsia="宋体" w:cs="Times New Roman"/>
              </w:rPr>
            </w:pPr>
            <w:r>
              <w:rPr>
                <w:rFonts w:hint="default" w:ascii="Times New Roman" w:hAnsi="Times New Roman" w:eastAsia="宋体" w:cs="Times New Roman"/>
                <w:lang w:val="en-US" w:eastAsia="zh-CN"/>
              </w:rPr>
              <w:t>0.8&lt;</w:t>
            </w:r>
            <w:r>
              <w:rPr>
                <w:rFonts w:hint="eastAsia" w:ascii="Times New Roman" w:hAnsi="Times New Roman" w:eastAsia="宋体" w:cs="Times New Roman"/>
                <w:lang w:val="en-US" w:eastAsia="zh-CN"/>
              </w:rPr>
              <w:t>S</w:t>
            </w:r>
            <w:r>
              <w:rPr>
                <w:rFonts w:hint="default" w:ascii="Times New Roman" w:hAnsi="Times New Roman" w:eastAsia="宋体" w:cs="Times New Roman"/>
                <w:lang w:val="en-US" w:eastAsia="zh-CN"/>
              </w:rPr>
              <w:t>≤1.0</w:t>
            </w:r>
          </w:p>
        </w:tc>
        <w:tc>
          <w:tcPr>
            <w:tcW w:w="7243" w:type="dxa"/>
            <w:tcBorders>
              <w:top w:val="single" w:color="auto" w:sz="8" w:space="0"/>
            </w:tcBorders>
            <w:vAlign w:val="center"/>
          </w:tcPr>
          <w:p w14:paraId="2033082E">
            <w:pPr>
              <w:pStyle w:val="23"/>
              <w:widowControl w:val="0"/>
              <w:bidi w:val="0"/>
              <w:spacing w:line="240" w:lineRule="auto"/>
              <w:ind w:left="0" w:leftChars="0" w:right="0" w:rightChars="0" w:firstLine="0" w:firstLineChars="0"/>
              <w:jc w:val="both"/>
              <w:rPr>
                <w:rFonts w:hint="eastAsia" w:ascii="Times New Roman" w:hAnsi="Times New Roman" w:eastAsia="宋体" w:cs="Times New Roman"/>
              </w:rPr>
            </w:pPr>
            <w:r>
              <w:rPr>
                <w:rFonts w:hint="eastAsia" w:ascii="Times New Roman" w:hAnsi="Times New Roman" w:eastAsia="宋体" w:cs="Times New Roman"/>
                <w:lang w:val="en-US" w:eastAsia="zh-CN"/>
              </w:rPr>
              <w:t>行业处于高质量发展阶段。经济、社会、技术、环境四维度高度协调，不仅具备强劲的产值增长动力和就业吸纳能力，同时拥有领先的技术效率和较低的能耗与排放强度。</w:t>
            </w:r>
          </w:p>
        </w:tc>
      </w:tr>
      <w:tr w14:paraId="4E3675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146" w:type="dxa"/>
            <w:vAlign w:val="center"/>
          </w:tcPr>
          <w:p w14:paraId="4869BA53">
            <w:pPr>
              <w:pStyle w:val="23"/>
              <w:widowControl w:val="0"/>
              <w:bidi w:val="0"/>
              <w:spacing w:line="240" w:lineRule="auto"/>
              <w:ind w:left="0" w:leftChars="0" w:right="0" w:rightChars="0" w:firstLine="0" w:firstLineChars="0"/>
              <w:jc w:val="center"/>
              <w:rPr>
                <w:rFonts w:hint="eastAsia" w:ascii="Times New Roman" w:hAnsi="Times New Roman" w:eastAsia="宋体" w:cs="Times New Roman"/>
              </w:rPr>
            </w:pPr>
            <w:r>
              <w:rPr>
                <w:rFonts w:hint="eastAsia" w:ascii="Times New Roman" w:hAnsi="Times New Roman" w:eastAsia="宋体" w:cs="Times New Roman"/>
                <w:lang w:val="en-US" w:eastAsia="zh-CN"/>
              </w:rPr>
              <w:t>良好</w:t>
            </w:r>
          </w:p>
        </w:tc>
        <w:tc>
          <w:tcPr>
            <w:tcW w:w="1465" w:type="dxa"/>
            <w:vAlign w:val="center"/>
          </w:tcPr>
          <w:p w14:paraId="601CA618">
            <w:pPr>
              <w:pStyle w:val="23"/>
              <w:widowControl w:val="0"/>
              <w:bidi w:val="0"/>
              <w:spacing w:line="240" w:lineRule="auto"/>
              <w:ind w:left="0" w:leftChars="0" w:right="0" w:rightChars="0" w:firstLine="0" w:firstLineChars="0"/>
              <w:jc w:val="center"/>
              <w:rPr>
                <w:rFonts w:hint="eastAsia" w:ascii="Times New Roman" w:hAnsi="Times New Roman" w:eastAsia="宋体" w:cs="Times New Roman"/>
              </w:rPr>
            </w:pPr>
            <w:r>
              <w:rPr>
                <w:rFonts w:hint="default" w:ascii="Times New Roman" w:hAnsi="Times New Roman" w:eastAsia="宋体" w:cs="Times New Roman"/>
                <w:lang w:val="en-US" w:eastAsia="zh-CN"/>
              </w:rPr>
              <w:t>0.6&lt;</w:t>
            </w:r>
            <w:r>
              <w:rPr>
                <w:rFonts w:hint="eastAsia" w:ascii="Times New Roman" w:hAnsi="Times New Roman" w:eastAsia="宋体" w:cs="Times New Roman"/>
                <w:lang w:val="en-US" w:eastAsia="zh-CN"/>
              </w:rPr>
              <w:t>S</w:t>
            </w:r>
            <w:r>
              <w:rPr>
                <w:rFonts w:hint="default" w:ascii="Times New Roman" w:hAnsi="Times New Roman" w:eastAsia="宋体" w:cs="Times New Roman"/>
                <w:lang w:val="en-US" w:eastAsia="zh-CN"/>
              </w:rPr>
              <w:t>≤0.8</w:t>
            </w:r>
          </w:p>
        </w:tc>
        <w:tc>
          <w:tcPr>
            <w:tcW w:w="7243" w:type="dxa"/>
            <w:vAlign w:val="center"/>
          </w:tcPr>
          <w:p w14:paraId="7B9A6BA1">
            <w:pPr>
              <w:pStyle w:val="23"/>
              <w:widowControl w:val="0"/>
              <w:bidi w:val="0"/>
              <w:spacing w:line="240" w:lineRule="auto"/>
              <w:ind w:left="0" w:leftChars="0" w:right="0" w:rightChars="0" w:firstLine="0" w:firstLineChars="0"/>
              <w:jc w:val="both"/>
              <w:rPr>
                <w:rFonts w:hint="eastAsia" w:ascii="Times New Roman" w:hAnsi="Times New Roman" w:eastAsia="宋体" w:cs="Times New Roman"/>
              </w:rPr>
            </w:pPr>
            <w:r>
              <w:rPr>
                <w:rFonts w:hint="eastAsia" w:ascii="Times New Roman" w:hAnsi="Times New Roman" w:eastAsia="宋体" w:cs="Times New Roman"/>
                <w:lang w:val="en-US" w:eastAsia="zh-CN"/>
              </w:rPr>
              <w:t>行业整体运行稳健。多数核心指标表现优于行业基准，但在某一特定维度存在轻微短板，具备进一步提升为健康等级的潜力。</w:t>
            </w:r>
          </w:p>
        </w:tc>
      </w:tr>
      <w:tr w14:paraId="4BDD7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146" w:type="dxa"/>
            <w:vAlign w:val="center"/>
          </w:tcPr>
          <w:p w14:paraId="24F27BC2">
            <w:pPr>
              <w:pStyle w:val="23"/>
              <w:widowControl w:val="0"/>
              <w:bidi w:val="0"/>
              <w:spacing w:line="240" w:lineRule="auto"/>
              <w:ind w:left="0" w:leftChars="0" w:right="0" w:rightChars="0" w:firstLine="0" w:firstLineChars="0"/>
              <w:jc w:val="center"/>
              <w:rPr>
                <w:rFonts w:hint="eastAsia" w:ascii="Times New Roman" w:hAnsi="Times New Roman" w:eastAsia="宋体" w:cs="Times New Roman"/>
              </w:rPr>
            </w:pPr>
            <w:r>
              <w:rPr>
                <w:rFonts w:hint="eastAsia" w:ascii="Times New Roman" w:hAnsi="Times New Roman" w:eastAsia="宋体" w:cs="Times New Roman"/>
                <w:lang w:val="en-US" w:eastAsia="zh-CN"/>
              </w:rPr>
              <w:t>中等</w:t>
            </w:r>
          </w:p>
        </w:tc>
        <w:tc>
          <w:tcPr>
            <w:tcW w:w="1465" w:type="dxa"/>
            <w:vAlign w:val="center"/>
          </w:tcPr>
          <w:p w14:paraId="0EB7DD94">
            <w:pPr>
              <w:pStyle w:val="23"/>
              <w:widowControl w:val="0"/>
              <w:bidi w:val="0"/>
              <w:spacing w:line="240" w:lineRule="auto"/>
              <w:ind w:left="0" w:leftChars="0" w:right="0" w:rightChars="0" w:firstLine="0" w:firstLineChars="0"/>
              <w:jc w:val="center"/>
              <w:rPr>
                <w:rFonts w:hint="eastAsia" w:ascii="Times New Roman" w:hAnsi="Times New Roman" w:eastAsia="宋体" w:cs="Times New Roman"/>
              </w:rPr>
            </w:pPr>
            <w:r>
              <w:rPr>
                <w:rFonts w:hint="default" w:ascii="Times New Roman" w:hAnsi="Times New Roman" w:eastAsia="宋体" w:cs="Times New Roman"/>
                <w:lang w:val="en-US" w:eastAsia="zh-CN"/>
              </w:rPr>
              <w:t>0.4&lt;</w:t>
            </w:r>
            <w:r>
              <w:rPr>
                <w:rFonts w:hint="eastAsia" w:ascii="Times New Roman" w:hAnsi="Times New Roman" w:eastAsia="宋体" w:cs="Times New Roman"/>
                <w:lang w:val="en-US" w:eastAsia="zh-CN"/>
              </w:rPr>
              <w:t>S</w:t>
            </w:r>
            <w:r>
              <w:rPr>
                <w:rFonts w:hint="default" w:ascii="Times New Roman" w:hAnsi="Times New Roman" w:eastAsia="宋体" w:cs="Times New Roman"/>
                <w:lang w:val="en-US" w:eastAsia="zh-CN"/>
              </w:rPr>
              <w:t>≤0.6</w:t>
            </w:r>
          </w:p>
        </w:tc>
        <w:tc>
          <w:tcPr>
            <w:tcW w:w="7243" w:type="dxa"/>
            <w:vAlign w:val="center"/>
          </w:tcPr>
          <w:p w14:paraId="3E983E63">
            <w:pPr>
              <w:pStyle w:val="23"/>
              <w:widowControl w:val="0"/>
              <w:bidi w:val="0"/>
              <w:spacing w:line="240" w:lineRule="auto"/>
              <w:ind w:left="0" w:leftChars="0" w:right="0" w:rightChars="0" w:firstLine="0" w:firstLineChars="0"/>
              <w:jc w:val="both"/>
              <w:rPr>
                <w:rFonts w:hint="eastAsia" w:ascii="Times New Roman" w:hAnsi="Times New Roman" w:eastAsia="宋体" w:cs="Times New Roman"/>
              </w:rPr>
            </w:pPr>
            <w:r>
              <w:rPr>
                <w:rFonts w:hint="eastAsia" w:ascii="Times New Roman" w:hAnsi="Times New Roman" w:eastAsia="宋体" w:cs="Times New Roman"/>
                <w:lang w:val="en-US" w:eastAsia="zh-CN"/>
              </w:rPr>
              <w:t>行业处于转型升级的过渡期。传统要素驱动边际效应递减，而技术创新、绿色制造等新动能尚未完全形成主导优势，部分高耗能环节仍对综合表现形成拖累。</w:t>
            </w:r>
          </w:p>
        </w:tc>
      </w:tr>
      <w:tr w14:paraId="000116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146" w:type="dxa"/>
            <w:vAlign w:val="center"/>
          </w:tcPr>
          <w:p w14:paraId="44DB26F1">
            <w:pPr>
              <w:pStyle w:val="23"/>
              <w:widowControl w:val="0"/>
              <w:bidi w:val="0"/>
              <w:spacing w:line="240" w:lineRule="auto"/>
              <w:ind w:left="0" w:leftChars="0" w:right="0" w:rightChars="0" w:firstLine="0" w:firstLineChars="0"/>
              <w:jc w:val="center"/>
              <w:rPr>
                <w:rFonts w:hint="eastAsia" w:ascii="Times New Roman" w:hAnsi="Times New Roman" w:eastAsia="宋体" w:cs="Times New Roman"/>
              </w:rPr>
            </w:pPr>
            <w:r>
              <w:rPr>
                <w:rFonts w:hint="eastAsia" w:ascii="Times New Roman" w:hAnsi="Times New Roman" w:eastAsia="宋体" w:cs="Times New Roman"/>
                <w:lang w:val="en-US" w:eastAsia="zh-CN"/>
              </w:rPr>
              <w:t>关注</w:t>
            </w:r>
          </w:p>
        </w:tc>
        <w:tc>
          <w:tcPr>
            <w:tcW w:w="1465" w:type="dxa"/>
            <w:vAlign w:val="center"/>
          </w:tcPr>
          <w:p w14:paraId="6FCD1301">
            <w:pPr>
              <w:pStyle w:val="23"/>
              <w:widowControl w:val="0"/>
              <w:bidi w:val="0"/>
              <w:spacing w:line="240" w:lineRule="auto"/>
              <w:ind w:left="0" w:leftChars="0" w:right="0" w:rightChars="0" w:firstLine="0" w:firstLineChars="0"/>
              <w:jc w:val="center"/>
              <w:rPr>
                <w:rFonts w:hint="eastAsia" w:ascii="Times New Roman" w:hAnsi="Times New Roman" w:eastAsia="宋体" w:cs="Times New Roman"/>
              </w:rPr>
            </w:pPr>
            <w:r>
              <w:rPr>
                <w:rFonts w:hint="default" w:ascii="Times New Roman" w:hAnsi="Times New Roman" w:eastAsia="宋体" w:cs="Times New Roman"/>
                <w:lang w:val="en-US" w:eastAsia="zh-CN"/>
              </w:rPr>
              <w:t>0.2&lt;</w:t>
            </w:r>
            <w:r>
              <w:rPr>
                <w:rFonts w:hint="eastAsia" w:ascii="Times New Roman" w:hAnsi="Times New Roman" w:eastAsia="宋体" w:cs="Times New Roman"/>
                <w:lang w:val="en-US" w:eastAsia="zh-CN"/>
              </w:rPr>
              <w:t>S</w:t>
            </w:r>
            <w:r>
              <w:rPr>
                <w:rFonts w:hint="default" w:ascii="Times New Roman" w:hAnsi="Times New Roman" w:eastAsia="宋体" w:cs="Times New Roman"/>
                <w:lang w:val="en-US" w:eastAsia="zh-CN"/>
              </w:rPr>
              <w:t>≤0.4</w:t>
            </w:r>
          </w:p>
        </w:tc>
        <w:tc>
          <w:tcPr>
            <w:tcW w:w="7243" w:type="dxa"/>
            <w:vAlign w:val="center"/>
          </w:tcPr>
          <w:p w14:paraId="11F5C57D">
            <w:pPr>
              <w:pStyle w:val="23"/>
              <w:widowControl w:val="0"/>
              <w:bidi w:val="0"/>
              <w:spacing w:line="240" w:lineRule="auto"/>
              <w:ind w:left="0" w:leftChars="0" w:right="0" w:rightChars="0" w:firstLine="0" w:firstLineChars="0"/>
              <w:jc w:val="both"/>
              <w:rPr>
                <w:rFonts w:hint="eastAsia" w:ascii="Times New Roman" w:hAnsi="Times New Roman" w:eastAsia="宋体" w:cs="Times New Roman"/>
              </w:rPr>
            </w:pPr>
            <w:r>
              <w:rPr>
                <w:rFonts w:hint="eastAsia" w:ascii="Times New Roman" w:hAnsi="Times New Roman" w:eastAsia="宋体" w:cs="Times New Roman"/>
                <w:lang w:val="en-US" w:eastAsia="zh-CN"/>
              </w:rPr>
              <w:t>行业发展模式相对粗放。面临较显著的技术瓶颈、市场波动或环保合规压力，四维指标中至少有一个维度存在明显失衡，亟需外部政策引导或内部管理优化。</w:t>
            </w:r>
          </w:p>
        </w:tc>
      </w:tr>
      <w:tr w14:paraId="3D92E6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146" w:type="dxa"/>
            <w:vAlign w:val="center"/>
          </w:tcPr>
          <w:p w14:paraId="440C961F">
            <w:pPr>
              <w:pStyle w:val="23"/>
              <w:widowControl w:val="0"/>
              <w:bidi w:val="0"/>
              <w:spacing w:line="240" w:lineRule="auto"/>
              <w:ind w:left="0" w:leftChars="0" w:right="0" w:rightChars="0" w:firstLine="0" w:firstLineChars="0"/>
              <w:jc w:val="center"/>
              <w:rPr>
                <w:rFonts w:hint="eastAsia" w:ascii="Times New Roman" w:hAnsi="Times New Roman" w:eastAsia="宋体" w:cs="Times New Roman"/>
              </w:rPr>
            </w:pPr>
            <w:r>
              <w:rPr>
                <w:rFonts w:hint="eastAsia" w:ascii="Times New Roman" w:hAnsi="Times New Roman" w:eastAsia="宋体" w:cs="Times New Roman"/>
                <w:lang w:val="en-US" w:eastAsia="zh-CN"/>
              </w:rPr>
              <w:t>警示</w:t>
            </w:r>
          </w:p>
        </w:tc>
        <w:tc>
          <w:tcPr>
            <w:tcW w:w="1465" w:type="dxa"/>
            <w:vAlign w:val="center"/>
          </w:tcPr>
          <w:p w14:paraId="19010613">
            <w:pPr>
              <w:pStyle w:val="23"/>
              <w:widowControl w:val="0"/>
              <w:bidi w:val="0"/>
              <w:spacing w:line="240" w:lineRule="auto"/>
              <w:ind w:left="0" w:leftChars="0" w:right="0" w:rightChars="0" w:firstLine="0" w:firstLineChars="0"/>
              <w:jc w:val="center"/>
              <w:rPr>
                <w:rFonts w:hint="eastAsia" w:ascii="Times New Roman" w:hAnsi="Times New Roman" w:eastAsia="宋体" w:cs="Times New Roman"/>
              </w:rPr>
            </w:pPr>
            <w:r>
              <w:rPr>
                <w:rFonts w:hint="default" w:ascii="Times New Roman" w:hAnsi="Times New Roman" w:eastAsia="宋体" w:cs="Times New Roman"/>
                <w:lang w:val="en-US" w:eastAsia="zh-CN"/>
              </w:rPr>
              <w:t>0.0&lt;</w:t>
            </w:r>
            <w:r>
              <w:rPr>
                <w:rFonts w:hint="eastAsia" w:ascii="Times New Roman" w:hAnsi="Times New Roman" w:eastAsia="宋体" w:cs="Times New Roman"/>
                <w:lang w:val="en-US" w:eastAsia="zh-CN"/>
              </w:rPr>
              <w:t>S</w:t>
            </w:r>
            <w:r>
              <w:rPr>
                <w:rFonts w:hint="default" w:ascii="Times New Roman" w:hAnsi="Times New Roman" w:eastAsia="宋体" w:cs="Times New Roman"/>
                <w:lang w:val="en-US" w:eastAsia="zh-CN"/>
              </w:rPr>
              <w:t>≤0.2</w:t>
            </w:r>
          </w:p>
        </w:tc>
        <w:tc>
          <w:tcPr>
            <w:tcW w:w="7243" w:type="dxa"/>
            <w:vAlign w:val="center"/>
          </w:tcPr>
          <w:p w14:paraId="19A2B495">
            <w:pPr>
              <w:pStyle w:val="23"/>
              <w:widowControl w:val="0"/>
              <w:bidi w:val="0"/>
              <w:spacing w:line="240" w:lineRule="auto"/>
              <w:ind w:left="0" w:leftChars="0" w:right="0" w:rightChars="0" w:firstLine="0" w:firstLineChars="0"/>
              <w:jc w:val="both"/>
              <w:rPr>
                <w:rFonts w:hint="eastAsia" w:ascii="Times New Roman" w:hAnsi="Times New Roman" w:eastAsia="宋体" w:cs="Times New Roman"/>
              </w:rPr>
            </w:pPr>
            <w:r>
              <w:rPr>
                <w:rFonts w:hint="eastAsia" w:ascii="Times New Roman" w:hAnsi="Times New Roman" w:eastAsia="宋体" w:cs="Times New Roman"/>
                <w:lang w:val="en-US" w:eastAsia="zh-CN"/>
              </w:rPr>
              <w:t>行业系统严重失衡。多维度指标偏离健康区间，通常表现为高能耗、高排放与低附加值并存，或面临产业衰退风险，需采取结构性干预措施。</w:t>
            </w:r>
          </w:p>
        </w:tc>
      </w:tr>
    </w:tbl>
    <w:p w14:paraId="75F4E0AB">
      <w:pPr>
        <w:numPr>
          <w:ilvl w:val="0"/>
          <w:numId w:val="0"/>
        </w:numPr>
        <w:autoSpaceDE w:val="0"/>
        <w:autoSpaceDN w:val="0"/>
        <w:ind w:firstLine="0" w:firstLineChars="0"/>
        <w:jc w:val="both"/>
        <w:rPr>
          <w:rFonts w:hint="eastAsia" w:ascii="宋体" w:hAnsi="Times New Roman" w:eastAsia="宋体" w:cs="Times New Roman"/>
          <w:sz w:val="21"/>
          <w:lang w:val="en-US" w:eastAsia="zh-CN" w:bidi="ar-SA"/>
        </w:rPr>
      </w:pPr>
    </w:p>
    <w:p w14:paraId="6C310CA0">
      <w:pPr>
        <w:ind w:left="0" w:leftChars="0" w:firstLine="0" w:firstLineChars="0"/>
        <w:rPr>
          <w:rFonts w:hint="eastAsia" w:hAnsi="宋体" w:cs="宋体"/>
          <w:szCs w:val="21"/>
        </w:rPr>
        <w:sectPr>
          <w:headerReference r:id="rId14" w:type="default"/>
          <w:footerReference r:id="rId15" w:type="default"/>
          <w:pgSz w:w="11906" w:h="16838"/>
          <w:pgMar w:top="1417" w:right="1417" w:bottom="1134" w:left="1417" w:header="1417" w:footer="1134" w:gutter="0"/>
          <w:pgBorders>
            <w:top w:val="none" w:sz="0" w:space="0"/>
            <w:left w:val="none" w:sz="0" w:space="0"/>
            <w:bottom w:val="none" w:sz="0" w:space="0"/>
            <w:right w:val="none" w:sz="0" w:space="0"/>
          </w:pgBorders>
          <w:pgNumType w:start="1"/>
          <w:cols w:space="425" w:num="1"/>
          <w:docGrid w:type="lines" w:linePitch="312" w:charSpace="0"/>
        </w:sectPr>
      </w:pPr>
    </w:p>
    <w:p w14:paraId="6061DC51">
      <w:pPr>
        <w:pStyle w:val="27"/>
        <w:bidi w:val="0"/>
      </w:pPr>
      <w:bookmarkStart w:id="54" w:name="_Toc12836"/>
      <w:bookmarkEnd w:id="54"/>
      <w:bookmarkStart w:id="55" w:name="_Toc12920"/>
      <w:bookmarkEnd w:id="55"/>
      <w:bookmarkStart w:id="56" w:name="_Toc9604"/>
      <w:bookmarkStart w:id="57" w:name="_Toc7524"/>
      <w:r>
        <w:br w:type="textWrapping"/>
      </w:r>
      <w:r>
        <w:rPr>
          <w:rFonts w:hint="eastAsia"/>
          <w:lang w:eastAsia="zh-CN"/>
        </w:rPr>
        <w:t>（资料性）</w:t>
      </w:r>
      <w:r>
        <w:rPr>
          <w:rFonts w:hint="eastAsia"/>
          <w:lang w:eastAsia="zh-CN"/>
        </w:rPr>
        <w:br w:type="textWrapping"/>
      </w:r>
      <w:r>
        <w:rPr>
          <w:rFonts w:hint="eastAsia"/>
          <w:lang w:val="en-US" w:eastAsia="zh-CN"/>
        </w:rPr>
        <w:t>适用行业名称及行业代码</w:t>
      </w:r>
      <w:bookmarkEnd w:id="56"/>
      <w:bookmarkEnd w:id="57"/>
    </w:p>
    <w:p w14:paraId="0C79EAD7">
      <w:pPr>
        <w:tabs>
          <w:tab w:val="left" w:pos="709"/>
        </w:tabs>
        <w:spacing w:line="360" w:lineRule="auto"/>
        <w:ind w:firstLine="420" w:firstLineChars="200"/>
        <w:jc w:val="center"/>
        <w:rPr>
          <w:rFonts w:hint="eastAsia" w:ascii="黑体" w:hAnsi="黑体" w:eastAsia="黑体" w:cs="黑体"/>
          <w:sz w:val="21"/>
          <w:szCs w:val="21"/>
          <w:lang w:val="en-US" w:eastAsia="zh-CN" w:bidi="ar-SA"/>
        </w:rPr>
      </w:pPr>
      <w:bookmarkStart w:id="58" w:name="_Toc207832842"/>
      <w:r>
        <w:rPr>
          <w:rFonts w:hint="eastAsia" w:ascii="Calibri" w:hAnsi="Calibri" w:eastAsia="宋体" w:cs="Times New Roman"/>
          <w:color w:val="000000"/>
          <w:szCs w:val="21"/>
        </w:rPr>
        <w:t>表A.1</w:t>
      </w:r>
      <w:r>
        <w:rPr>
          <w:rFonts w:hint="eastAsia" w:ascii="Calibri" w:hAnsi="Calibri" w:eastAsia="宋体" w:cs="Times New Roman"/>
          <w:color w:val="000000"/>
          <w:szCs w:val="21"/>
          <w:lang w:val="en-US" w:eastAsia="zh-CN"/>
        </w:rPr>
        <w:t>适用行业名称及行业代码</w:t>
      </w:r>
    </w:p>
    <w:bookmarkEnd w:id="58"/>
    <w:tbl>
      <w:tblPr>
        <w:tblStyle w:val="9"/>
        <w:tblW w:w="928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60"/>
        <w:gridCol w:w="1018"/>
        <w:gridCol w:w="1867"/>
        <w:gridCol w:w="5141"/>
      </w:tblGrid>
      <w:tr w14:paraId="75A006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bottom w:val="single" w:color="auto" w:sz="8" w:space="0"/>
            </w:tcBorders>
            <w:vAlign w:val="center"/>
          </w:tcPr>
          <w:p w14:paraId="0CDAA346">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行业门类</w:t>
            </w:r>
          </w:p>
        </w:tc>
        <w:tc>
          <w:tcPr>
            <w:tcW w:w="0" w:type="auto"/>
            <w:tcBorders>
              <w:bottom w:val="single" w:color="auto" w:sz="8" w:space="0"/>
            </w:tcBorders>
            <w:vAlign w:val="center"/>
          </w:tcPr>
          <w:p w14:paraId="628085F2">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大类</w:t>
            </w:r>
          </w:p>
        </w:tc>
        <w:tc>
          <w:tcPr>
            <w:tcW w:w="0" w:type="auto"/>
            <w:tcBorders>
              <w:bottom w:val="single" w:color="auto" w:sz="8" w:space="0"/>
            </w:tcBorders>
            <w:vAlign w:val="center"/>
          </w:tcPr>
          <w:p w14:paraId="24A0FC34">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中类</w:t>
            </w:r>
          </w:p>
        </w:tc>
        <w:tc>
          <w:tcPr>
            <w:tcW w:w="5141" w:type="dxa"/>
            <w:tcBorders>
              <w:bottom w:val="single" w:color="auto" w:sz="8" w:space="0"/>
            </w:tcBorders>
            <w:vAlign w:val="center"/>
          </w:tcPr>
          <w:p w14:paraId="347E6426">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类别名称</w:t>
            </w:r>
          </w:p>
        </w:tc>
      </w:tr>
      <w:tr w14:paraId="4C205A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8" w:space="0"/>
              <w:tl2br w:val="nil"/>
              <w:tr2bl w:val="nil"/>
            </w:tcBorders>
            <w:vAlign w:val="center"/>
          </w:tcPr>
          <w:p w14:paraId="06ED7651">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B</w:t>
            </w:r>
          </w:p>
        </w:tc>
        <w:tc>
          <w:tcPr>
            <w:tcW w:w="0" w:type="auto"/>
            <w:tcBorders>
              <w:top w:val="single" w:color="auto" w:sz="8" w:space="0"/>
              <w:tl2br w:val="nil"/>
              <w:tr2bl w:val="nil"/>
            </w:tcBorders>
            <w:vAlign w:val="center"/>
          </w:tcPr>
          <w:p w14:paraId="4B8AFC22">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op w:val="single" w:color="auto" w:sz="8" w:space="0"/>
              <w:tl2br w:val="nil"/>
              <w:tr2bl w:val="nil"/>
            </w:tcBorders>
            <w:vAlign w:val="center"/>
          </w:tcPr>
          <w:p w14:paraId="71F7531D">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op w:val="single" w:color="auto" w:sz="8" w:space="0"/>
              <w:tl2br w:val="nil"/>
              <w:tr2bl w:val="nil"/>
            </w:tcBorders>
            <w:vAlign w:val="center"/>
          </w:tcPr>
          <w:p w14:paraId="2271C024">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b/>
                <w:bCs/>
                <w:color w:val="000000"/>
                <w:sz w:val="18"/>
                <w:szCs w:val="18"/>
                <w:vertAlign w:val="baseline"/>
                <w:lang w:val="en-US" w:eastAsia="zh-CN"/>
              </w:rPr>
            </w:pPr>
            <w:r>
              <w:rPr>
                <w:rFonts w:hint="eastAsia" w:ascii="Times New Roman" w:hAnsi="Times New Roman" w:eastAsia="宋体" w:cs="Times New Roman"/>
                <w:b/>
                <w:bCs/>
                <w:color w:val="000000"/>
                <w:sz w:val="18"/>
                <w:szCs w:val="18"/>
                <w:vertAlign w:val="baseline"/>
                <w:lang w:val="en-US" w:eastAsia="zh-CN"/>
              </w:rPr>
              <w:t>采矿业</w:t>
            </w:r>
          </w:p>
        </w:tc>
      </w:tr>
      <w:tr w14:paraId="55FB39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7C85BE5A">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019E7FF5">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06</w:t>
            </w:r>
          </w:p>
        </w:tc>
        <w:tc>
          <w:tcPr>
            <w:tcW w:w="0" w:type="auto"/>
            <w:tcBorders>
              <w:tl2br w:val="nil"/>
              <w:tr2bl w:val="nil"/>
            </w:tcBorders>
            <w:vAlign w:val="center"/>
          </w:tcPr>
          <w:p w14:paraId="6F6FE815">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18D240C2">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煤炭开采和洗选业</w:t>
            </w:r>
          </w:p>
        </w:tc>
      </w:tr>
      <w:tr w14:paraId="6F9196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03831B51">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31EA9EE5">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09</w:t>
            </w:r>
          </w:p>
        </w:tc>
        <w:tc>
          <w:tcPr>
            <w:tcW w:w="0" w:type="auto"/>
            <w:tcBorders>
              <w:tl2br w:val="nil"/>
              <w:tr2bl w:val="nil"/>
            </w:tcBorders>
            <w:vAlign w:val="center"/>
          </w:tcPr>
          <w:p w14:paraId="613CA5D4">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6CD74947">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有色金属矿采选业</w:t>
            </w:r>
          </w:p>
        </w:tc>
      </w:tr>
      <w:tr w14:paraId="767E3F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1EAD3BAF">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6EC1045C">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10</w:t>
            </w:r>
          </w:p>
        </w:tc>
        <w:tc>
          <w:tcPr>
            <w:tcW w:w="0" w:type="auto"/>
            <w:tcBorders>
              <w:tl2br w:val="nil"/>
              <w:tr2bl w:val="nil"/>
            </w:tcBorders>
            <w:vAlign w:val="center"/>
          </w:tcPr>
          <w:p w14:paraId="18FE9C22">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21AFA156">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非金属矿采选业</w:t>
            </w:r>
          </w:p>
        </w:tc>
      </w:tr>
      <w:tr w14:paraId="44192D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l2br w:val="nil"/>
              <w:tr2bl w:val="nil"/>
            </w:tcBorders>
            <w:vAlign w:val="center"/>
          </w:tcPr>
          <w:p w14:paraId="234583C8">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C</w:t>
            </w:r>
          </w:p>
        </w:tc>
        <w:tc>
          <w:tcPr>
            <w:tcW w:w="0" w:type="auto"/>
            <w:tcBorders>
              <w:tl2br w:val="nil"/>
              <w:tr2bl w:val="nil"/>
            </w:tcBorders>
            <w:vAlign w:val="center"/>
          </w:tcPr>
          <w:p w14:paraId="37CD434F">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1021BFBB">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090671DF">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b/>
                <w:bCs/>
                <w:color w:val="000000"/>
                <w:sz w:val="18"/>
                <w:szCs w:val="18"/>
                <w:vertAlign w:val="baseline"/>
                <w:lang w:val="en-US" w:eastAsia="zh-CN"/>
              </w:rPr>
            </w:pPr>
            <w:r>
              <w:rPr>
                <w:rFonts w:hint="eastAsia" w:ascii="Times New Roman" w:hAnsi="Times New Roman" w:eastAsia="宋体" w:cs="Times New Roman"/>
                <w:b/>
                <w:bCs/>
                <w:color w:val="000000"/>
                <w:sz w:val="18"/>
                <w:szCs w:val="18"/>
                <w:vertAlign w:val="baseline"/>
                <w:lang w:val="en-US" w:eastAsia="zh-CN"/>
              </w:rPr>
              <w:t>制造业</w:t>
            </w:r>
          </w:p>
        </w:tc>
      </w:tr>
      <w:tr w14:paraId="2F090D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10F0D3CC">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415BDDB5">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13</w:t>
            </w:r>
          </w:p>
        </w:tc>
        <w:tc>
          <w:tcPr>
            <w:tcW w:w="0" w:type="auto"/>
            <w:tcBorders>
              <w:tl2br w:val="nil"/>
              <w:tr2bl w:val="nil"/>
            </w:tcBorders>
            <w:vAlign w:val="center"/>
          </w:tcPr>
          <w:p w14:paraId="1F8910D4">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1AB75E2D">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农副产品加工业</w:t>
            </w:r>
          </w:p>
        </w:tc>
      </w:tr>
      <w:tr w14:paraId="6EA2C0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7379FA9B">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06C1621B">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14</w:t>
            </w:r>
          </w:p>
        </w:tc>
        <w:tc>
          <w:tcPr>
            <w:tcW w:w="0" w:type="auto"/>
            <w:tcBorders>
              <w:tl2br w:val="nil"/>
              <w:tr2bl w:val="nil"/>
            </w:tcBorders>
            <w:vAlign w:val="center"/>
          </w:tcPr>
          <w:p w14:paraId="19AF084D">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70CD36B1">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食品制造业</w:t>
            </w:r>
          </w:p>
        </w:tc>
      </w:tr>
      <w:tr w14:paraId="0E81D9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25B733F2">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6C764AE7">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15</w:t>
            </w:r>
          </w:p>
        </w:tc>
        <w:tc>
          <w:tcPr>
            <w:tcW w:w="0" w:type="auto"/>
            <w:tcBorders>
              <w:tl2br w:val="nil"/>
              <w:tr2bl w:val="nil"/>
            </w:tcBorders>
            <w:vAlign w:val="center"/>
          </w:tcPr>
          <w:p w14:paraId="363481C0">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45FA3E62">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酒、饮料和精制茶制造业</w:t>
            </w:r>
          </w:p>
        </w:tc>
      </w:tr>
      <w:tr w14:paraId="10303F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0" w:type="auto"/>
            <w:vMerge w:val="continue"/>
            <w:tcBorders>
              <w:tl2br w:val="nil"/>
              <w:tr2bl w:val="nil"/>
            </w:tcBorders>
            <w:vAlign w:val="center"/>
          </w:tcPr>
          <w:p w14:paraId="6F6C6AFA">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7D358DE2">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17</w:t>
            </w:r>
          </w:p>
        </w:tc>
        <w:tc>
          <w:tcPr>
            <w:tcW w:w="0" w:type="auto"/>
            <w:tcBorders>
              <w:tl2br w:val="nil"/>
              <w:tr2bl w:val="nil"/>
            </w:tcBorders>
            <w:vAlign w:val="center"/>
          </w:tcPr>
          <w:p w14:paraId="0587B87E">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3736CF3D">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纺织业</w:t>
            </w:r>
          </w:p>
        </w:tc>
      </w:tr>
      <w:tr w14:paraId="6A679C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314C796C">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2FF2FE0C">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18</w:t>
            </w:r>
          </w:p>
        </w:tc>
        <w:tc>
          <w:tcPr>
            <w:tcW w:w="0" w:type="auto"/>
            <w:tcBorders>
              <w:tl2br w:val="nil"/>
              <w:tr2bl w:val="nil"/>
            </w:tcBorders>
            <w:vAlign w:val="center"/>
          </w:tcPr>
          <w:p w14:paraId="4001FBB8">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3D026F67">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纺织服装、服饰业</w:t>
            </w:r>
          </w:p>
        </w:tc>
      </w:tr>
      <w:tr w14:paraId="448739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31C36E15">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090F3B2D">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19</w:t>
            </w:r>
          </w:p>
        </w:tc>
        <w:tc>
          <w:tcPr>
            <w:tcW w:w="0" w:type="auto"/>
            <w:tcBorders>
              <w:tl2br w:val="nil"/>
              <w:tr2bl w:val="nil"/>
            </w:tcBorders>
            <w:vAlign w:val="center"/>
          </w:tcPr>
          <w:p w14:paraId="73FF4DA2">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486F4EBE">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皮革、毛皮、羽毛及其制品和制鞋业</w:t>
            </w:r>
          </w:p>
        </w:tc>
      </w:tr>
      <w:tr w14:paraId="483D50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05AAE0D4">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73D2EC2D">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20</w:t>
            </w:r>
          </w:p>
        </w:tc>
        <w:tc>
          <w:tcPr>
            <w:tcW w:w="0" w:type="auto"/>
            <w:tcBorders>
              <w:tl2br w:val="nil"/>
              <w:tr2bl w:val="nil"/>
            </w:tcBorders>
            <w:vAlign w:val="center"/>
          </w:tcPr>
          <w:p w14:paraId="415223AC">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31598117">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木材加工和竹、藤、棕、草制品业</w:t>
            </w:r>
          </w:p>
        </w:tc>
      </w:tr>
      <w:tr w14:paraId="69A26E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2BBC7DCD">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39C39C2A">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21</w:t>
            </w:r>
          </w:p>
        </w:tc>
        <w:tc>
          <w:tcPr>
            <w:tcW w:w="0" w:type="auto"/>
            <w:tcBorders>
              <w:tl2br w:val="nil"/>
              <w:tr2bl w:val="nil"/>
            </w:tcBorders>
            <w:vAlign w:val="center"/>
          </w:tcPr>
          <w:p w14:paraId="3FB55AAF">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6A9375F5">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家具制造业</w:t>
            </w:r>
          </w:p>
        </w:tc>
      </w:tr>
      <w:tr w14:paraId="3DA31A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0F8E35ED">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7ED1FFFE">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22</w:t>
            </w:r>
          </w:p>
        </w:tc>
        <w:tc>
          <w:tcPr>
            <w:tcW w:w="0" w:type="auto"/>
            <w:tcBorders>
              <w:tl2br w:val="nil"/>
              <w:tr2bl w:val="nil"/>
            </w:tcBorders>
            <w:vAlign w:val="center"/>
          </w:tcPr>
          <w:p w14:paraId="07CBEFA0">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2F69812D">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造纸和纸制品业</w:t>
            </w:r>
          </w:p>
        </w:tc>
      </w:tr>
      <w:tr w14:paraId="45297C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7BC24960">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47C5886B">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23</w:t>
            </w:r>
          </w:p>
        </w:tc>
        <w:tc>
          <w:tcPr>
            <w:tcW w:w="0" w:type="auto"/>
            <w:tcBorders>
              <w:tl2br w:val="nil"/>
              <w:tr2bl w:val="nil"/>
            </w:tcBorders>
            <w:vAlign w:val="center"/>
          </w:tcPr>
          <w:p w14:paraId="1E1F0960">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2973E363">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印刷和记录媒介复制业</w:t>
            </w:r>
          </w:p>
        </w:tc>
      </w:tr>
      <w:tr w14:paraId="4028FD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670FB69D">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0FA718B3">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24</w:t>
            </w:r>
          </w:p>
        </w:tc>
        <w:tc>
          <w:tcPr>
            <w:tcW w:w="0" w:type="auto"/>
            <w:tcBorders>
              <w:tl2br w:val="nil"/>
              <w:tr2bl w:val="nil"/>
            </w:tcBorders>
            <w:vAlign w:val="center"/>
          </w:tcPr>
          <w:p w14:paraId="2CE596F7">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52736961">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文教、工美、体育和娱乐用品制造业</w:t>
            </w:r>
          </w:p>
        </w:tc>
      </w:tr>
      <w:tr w14:paraId="796196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60E38F92">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0F254F4D">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25</w:t>
            </w:r>
          </w:p>
        </w:tc>
        <w:tc>
          <w:tcPr>
            <w:tcW w:w="0" w:type="auto"/>
            <w:tcBorders>
              <w:tl2br w:val="nil"/>
              <w:tr2bl w:val="nil"/>
            </w:tcBorders>
            <w:vAlign w:val="center"/>
          </w:tcPr>
          <w:p w14:paraId="0DFA3329">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148BA543">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石油、煤炭及其他燃料加工业</w:t>
            </w:r>
          </w:p>
        </w:tc>
      </w:tr>
      <w:tr w14:paraId="693B55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323C56E7">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4F14C102">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26</w:t>
            </w:r>
          </w:p>
        </w:tc>
        <w:tc>
          <w:tcPr>
            <w:tcW w:w="0" w:type="auto"/>
            <w:tcBorders>
              <w:tl2br w:val="nil"/>
              <w:tr2bl w:val="nil"/>
            </w:tcBorders>
            <w:vAlign w:val="center"/>
          </w:tcPr>
          <w:p w14:paraId="63A65C8C">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5731C4CF">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化学原料和化学制品制造业</w:t>
            </w:r>
          </w:p>
        </w:tc>
      </w:tr>
      <w:tr w14:paraId="71EDD6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370794F0">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3DECC2A0">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27</w:t>
            </w:r>
          </w:p>
        </w:tc>
        <w:tc>
          <w:tcPr>
            <w:tcW w:w="0" w:type="auto"/>
            <w:tcBorders>
              <w:tl2br w:val="nil"/>
              <w:tr2bl w:val="nil"/>
            </w:tcBorders>
            <w:vAlign w:val="center"/>
          </w:tcPr>
          <w:p w14:paraId="70F15109">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5FC109B6">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医药制造业</w:t>
            </w:r>
          </w:p>
        </w:tc>
      </w:tr>
      <w:tr w14:paraId="42127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7A4E7AD0">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25C93FD6">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28</w:t>
            </w:r>
          </w:p>
        </w:tc>
        <w:tc>
          <w:tcPr>
            <w:tcW w:w="0" w:type="auto"/>
            <w:tcBorders>
              <w:tl2br w:val="nil"/>
              <w:tr2bl w:val="nil"/>
            </w:tcBorders>
            <w:vAlign w:val="center"/>
          </w:tcPr>
          <w:p w14:paraId="14CCA712">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2ED8B82D">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化学纤维制造业</w:t>
            </w:r>
          </w:p>
        </w:tc>
      </w:tr>
      <w:tr w14:paraId="5A7A23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4BB2DF15">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2247FFFE">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29、30</w:t>
            </w:r>
          </w:p>
        </w:tc>
        <w:tc>
          <w:tcPr>
            <w:tcW w:w="0" w:type="auto"/>
            <w:tcBorders>
              <w:tl2br w:val="nil"/>
              <w:tr2bl w:val="nil"/>
            </w:tcBorders>
            <w:vAlign w:val="center"/>
          </w:tcPr>
          <w:p w14:paraId="43BEBF15">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75817440">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橡胶和塑料制品业</w:t>
            </w:r>
          </w:p>
        </w:tc>
      </w:tr>
      <w:tr w14:paraId="172A95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5A8DC554">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4A34050D">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31</w:t>
            </w:r>
          </w:p>
        </w:tc>
        <w:tc>
          <w:tcPr>
            <w:tcW w:w="0" w:type="auto"/>
            <w:tcBorders>
              <w:tl2br w:val="nil"/>
              <w:tr2bl w:val="nil"/>
            </w:tcBorders>
            <w:vAlign w:val="center"/>
          </w:tcPr>
          <w:p w14:paraId="594E01F2">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790A0F86">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非金属矿物制品业</w:t>
            </w:r>
          </w:p>
        </w:tc>
      </w:tr>
      <w:tr w14:paraId="667862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6783D79E">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0B80563E">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32</w:t>
            </w:r>
          </w:p>
        </w:tc>
        <w:tc>
          <w:tcPr>
            <w:tcW w:w="0" w:type="auto"/>
            <w:tcBorders>
              <w:tl2br w:val="nil"/>
              <w:tr2bl w:val="nil"/>
            </w:tcBorders>
            <w:vAlign w:val="center"/>
          </w:tcPr>
          <w:p w14:paraId="4464B886">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260F4445">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黑色金属冶炼和压延加工业</w:t>
            </w:r>
          </w:p>
        </w:tc>
      </w:tr>
      <w:tr w14:paraId="0FCA09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48156B22">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3329D3D3">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33</w:t>
            </w:r>
          </w:p>
        </w:tc>
        <w:tc>
          <w:tcPr>
            <w:tcW w:w="0" w:type="auto"/>
            <w:tcBorders>
              <w:tl2br w:val="nil"/>
              <w:tr2bl w:val="nil"/>
            </w:tcBorders>
            <w:vAlign w:val="center"/>
          </w:tcPr>
          <w:p w14:paraId="6FCC3B42">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34207FED">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有色金属冶炼和压延加工业</w:t>
            </w:r>
          </w:p>
        </w:tc>
      </w:tr>
      <w:tr w14:paraId="59AFFC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065E71A3">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0F6E8A6E">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34</w:t>
            </w:r>
          </w:p>
        </w:tc>
        <w:tc>
          <w:tcPr>
            <w:tcW w:w="0" w:type="auto"/>
            <w:tcBorders>
              <w:tl2br w:val="nil"/>
              <w:tr2bl w:val="nil"/>
            </w:tcBorders>
            <w:vAlign w:val="center"/>
          </w:tcPr>
          <w:p w14:paraId="02C43850">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0B1B7F49">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金属制品业</w:t>
            </w:r>
          </w:p>
        </w:tc>
      </w:tr>
      <w:tr w14:paraId="32C198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2524DDEC">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0BD302E6">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35</w:t>
            </w:r>
          </w:p>
        </w:tc>
        <w:tc>
          <w:tcPr>
            <w:tcW w:w="0" w:type="auto"/>
            <w:tcBorders>
              <w:tl2br w:val="nil"/>
              <w:tr2bl w:val="nil"/>
            </w:tcBorders>
            <w:vAlign w:val="center"/>
          </w:tcPr>
          <w:p w14:paraId="7EF9DA6C">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35BE94DF">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通用设备制造业</w:t>
            </w:r>
          </w:p>
        </w:tc>
      </w:tr>
      <w:tr w14:paraId="591206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7E0D2C44">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0485D166">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36</w:t>
            </w:r>
          </w:p>
        </w:tc>
        <w:tc>
          <w:tcPr>
            <w:tcW w:w="0" w:type="auto"/>
            <w:tcBorders>
              <w:tl2br w:val="nil"/>
              <w:tr2bl w:val="nil"/>
            </w:tcBorders>
            <w:vAlign w:val="center"/>
          </w:tcPr>
          <w:p w14:paraId="479E10E9">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4D076620">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专用设备制造业</w:t>
            </w:r>
          </w:p>
        </w:tc>
      </w:tr>
      <w:tr w14:paraId="44C574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1B82AA55">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vMerge w:val="restart"/>
            <w:tcBorders>
              <w:tl2br w:val="nil"/>
              <w:tr2bl w:val="nil"/>
            </w:tcBorders>
            <w:vAlign w:val="center"/>
          </w:tcPr>
          <w:p w14:paraId="2C976D61">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37</w:t>
            </w:r>
          </w:p>
        </w:tc>
        <w:tc>
          <w:tcPr>
            <w:tcW w:w="0" w:type="auto"/>
            <w:tcBorders>
              <w:tl2br w:val="nil"/>
              <w:tr2bl w:val="nil"/>
            </w:tcBorders>
            <w:vAlign w:val="center"/>
          </w:tcPr>
          <w:p w14:paraId="7F6CE132">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372</w:t>
            </w:r>
          </w:p>
        </w:tc>
        <w:tc>
          <w:tcPr>
            <w:tcW w:w="5141" w:type="dxa"/>
            <w:tcBorders>
              <w:tl2br w:val="nil"/>
              <w:tr2bl w:val="nil"/>
            </w:tcBorders>
            <w:vAlign w:val="center"/>
          </w:tcPr>
          <w:p w14:paraId="7886790C">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汽车制造业</w:t>
            </w:r>
          </w:p>
        </w:tc>
      </w:tr>
      <w:tr w14:paraId="1116E6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07E9B421">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vMerge w:val="continue"/>
            <w:tcBorders>
              <w:tl2br w:val="nil"/>
              <w:tr2bl w:val="nil"/>
            </w:tcBorders>
            <w:vAlign w:val="center"/>
          </w:tcPr>
          <w:p w14:paraId="5A293783">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0E37C395">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375、376、379</w:t>
            </w:r>
          </w:p>
        </w:tc>
        <w:tc>
          <w:tcPr>
            <w:tcW w:w="5141" w:type="dxa"/>
            <w:tcBorders>
              <w:tl2br w:val="nil"/>
              <w:tr2bl w:val="nil"/>
            </w:tcBorders>
            <w:vAlign w:val="center"/>
          </w:tcPr>
          <w:p w14:paraId="1F1BA8F4">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铁路、船舶、航空航天和其他运输设备制造业</w:t>
            </w:r>
          </w:p>
        </w:tc>
      </w:tr>
      <w:tr w14:paraId="1B34FB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3B2A781B">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53EEF4FA">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39</w:t>
            </w:r>
          </w:p>
        </w:tc>
        <w:tc>
          <w:tcPr>
            <w:tcW w:w="0" w:type="auto"/>
            <w:tcBorders>
              <w:tl2br w:val="nil"/>
              <w:tr2bl w:val="nil"/>
            </w:tcBorders>
            <w:vAlign w:val="center"/>
          </w:tcPr>
          <w:p w14:paraId="1CD0BE4B">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733D5631">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电气机械和器材制造业</w:t>
            </w:r>
          </w:p>
        </w:tc>
      </w:tr>
      <w:tr w14:paraId="29157F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3B1E597B">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28D11485">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40</w:t>
            </w:r>
          </w:p>
        </w:tc>
        <w:tc>
          <w:tcPr>
            <w:tcW w:w="0" w:type="auto"/>
            <w:tcBorders>
              <w:tl2br w:val="nil"/>
              <w:tr2bl w:val="nil"/>
            </w:tcBorders>
            <w:vAlign w:val="center"/>
          </w:tcPr>
          <w:p w14:paraId="4BFD1911">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5C413327">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计算机、通信和其他电子设备制造业</w:t>
            </w:r>
          </w:p>
        </w:tc>
      </w:tr>
      <w:tr w14:paraId="100D80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5F54FF29">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09276075">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41</w:t>
            </w:r>
          </w:p>
        </w:tc>
        <w:tc>
          <w:tcPr>
            <w:tcW w:w="0" w:type="auto"/>
            <w:tcBorders>
              <w:tl2br w:val="nil"/>
              <w:tr2bl w:val="nil"/>
            </w:tcBorders>
            <w:vAlign w:val="center"/>
          </w:tcPr>
          <w:p w14:paraId="1503668A">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2A49E8BC">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仪器仪表制造业</w:t>
            </w:r>
          </w:p>
        </w:tc>
      </w:tr>
      <w:tr w14:paraId="56A558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3149FA01">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7DB91763">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42</w:t>
            </w:r>
          </w:p>
        </w:tc>
        <w:tc>
          <w:tcPr>
            <w:tcW w:w="0" w:type="auto"/>
            <w:tcBorders>
              <w:tl2br w:val="nil"/>
              <w:tr2bl w:val="nil"/>
            </w:tcBorders>
            <w:vAlign w:val="center"/>
          </w:tcPr>
          <w:p w14:paraId="6076D845">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5CF3D3F6">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其他制造业</w:t>
            </w:r>
          </w:p>
        </w:tc>
      </w:tr>
      <w:tr w14:paraId="5CF2AE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vAlign w:val="center"/>
          </w:tcPr>
          <w:p w14:paraId="1B13458A">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shd w:val="clear" w:color="auto" w:fill="auto"/>
            <w:vAlign w:val="center"/>
          </w:tcPr>
          <w:p w14:paraId="4ECD9E60">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kern w:val="2"/>
                <w:sz w:val="18"/>
                <w:szCs w:val="18"/>
                <w:vertAlign w:val="baseline"/>
                <w:lang w:val="en-US" w:eastAsia="zh-CN" w:bidi="ar-SA"/>
              </w:rPr>
            </w:pPr>
            <w:r>
              <w:rPr>
                <w:rFonts w:hint="eastAsia" w:ascii="Times New Roman" w:hAnsi="Times New Roman" w:eastAsia="宋体" w:cs="Times New Roman"/>
                <w:color w:val="000000"/>
                <w:sz w:val="18"/>
                <w:szCs w:val="18"/>
                <w:vertAlign w:val="baseline"/>
                <w:lang w:val="en-US" w:eastAsia="zh-CN"/>
              </w:rPr>
              <w:t>43</w:t>
            </w:r>
          </w:p>
        </w:tc>
        <w:tc>
          <w:tcPr>
            <w:tcW w:w="0" w:type="auto"/>
            <w:tcBorders>
              <w:tl2br w:val="nil"/>
              <w:tr2bl w:val="nil"/>
            </w:tcBorders>
            <w:shd w:val="clear" w:color="auto" w:fill="auto"/>
            <w:vAlign w:val="center"/>
          </w:tcPr>
          <w:p w14:paraId="55486BD4">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kern w:val="2"/>
                <w:sz w:val="18"/>
                <w:szCs w:val="18"/>
                <w:vertAlign w:val="baseline"/>
                <w:lang w:val="en-US" w:eastAsia="zh-CN" w:bidi="ar-SA"/>
              </w:rPr>
            </w:pPr>
          </w:p>
        </w:tc>
        <w:tc>
          <w:tcPr>
            <w:tcW w:w="5141" w:type="dxa"/>
            <w:tcBorders>
              <w:tl2br w:val="nil"/>
              <w:tr2bl w:val="nil"/>
            </w:tcBorders>
            <w:shd w:val="clear" w:color="auto" w:fill="auto"/>
            <w:vAlign w:val="center"/>
          </w:tcPr>
          <w:p w14:paraId="56E0B727">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kern w:val="2"/>
                <w:sz w:val="18"/>
                <w:szCs w:val="18"/>
                <w:vertAlign w:val="baseline"/>
                <w:lang w:val="en-US" w:eastAsia="zh-CN" w:bidi="ar-SA"/>
              </w:rPr>
            </w:pPr>
            <w:r>
              <w:rPr>
                <w:rFonts w:hint="eastAsia" w:ascii="Times New Roman" w:hAnsi="Times New Roman" w:eastAsia="宋体" w:cs="Times New Roman"/>
                <w:color w:val="000000"/>
                <w:sz w:val="18"/>
                <w:szCs w:val="18"/>
                <w:vertAlign w:val="baseline"/>
                <w:lang w:val="en-US" w:eastAsia="zh-CN"/>
              </w:rPr>
              <w:t>废弃资源综合利用业</w:t>
            </w:r>
          </w:p>
        </w:tc>
      </w:tr>
      <w:tr w14:paraId="0BE8F9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l2br w:val="nil"/>
              <w:tr2bl w:val="nil"/>
            </w:tcBorders>
            <w:vAlign w:val="center"/>
          </w:tcPr>
          <w:p w14:paraId="15F2778E">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D</w:t>
            </w:r>
          </w:p>
        </w:tc>
        <w:tc>
          <w:tcPr>
            <w:tcW w:w="0" w:type="auto"/>
            <w:tcBorders>
              <w:tl2br w:val="nil"/>
              <w:tr2bl w:val="nil"/>
            </w:tcBorders>
            <w:vAlign w:val="center"/>
          </w:tcPr>
          <w:p w14:paraId="3BC3A587">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2F523D67">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2049CCEA">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b/>
                <w:bCs/>
                <w:color w:val="000000"/>
                <w:sz w:val="18"/>
                <w:szCs w:val="18"/>
                <w:vertAlign w:val="baseline"/>
                <w:lang w:val="en-US" w:eastAsia="zh-CN"/>
              </w:rPr>
            </w:pPr>
            <w:r>
              <w:rPr>
                <w:rFonts w:hint="eastAsia" w:ascii="Times New Roman" w:hAnsi="Times New Roman" w:eastAsia="宋体" w:cs="Times New Roman"/>
                <w:b/>
                <w:bCs/>
                <w:color w:val="000000"/>
                <w:sz w:val="18"/>
                <w:szCs w:val="18"/>
                <w:vertAlign w:val="baseline"/>
                <w:lang w:val="en-US" w:eastAsia="zh-CN"/>
              </w:rPr>
              <w:t>电力、燃气及水的生产和供应业</w:t>
            </w:r>
          </w:p>
        </w:tc>
      </w:tr>
      <w:tr w14:paraId="4459EF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7E6FEE04">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1B5411D0">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44</w:t>
            </w:r>
          </w:p>
        </w:tc>
        <w:tc>
          <w:tcPr>
            <w:tcW w:w="0" w:type="auto"/>
            <w:tcBorders>
              <w:tl2br w:val="nil"/>
              <w:tr2bl w:val="nil"/>
            </w:tcBorders>
            <w:vAlign w:val="center"/>
          </w:tcPr>
          <w:p w14:paraId="18EA61C0">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53CB54A6">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电力、热力生产和供应业</w:t>
            </w:r>
          </w:p>
        </w:tc>
      </w:tr>
      <w:tr w14:paraId="5370FF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0EB4B20C">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0" w:type="auto"/>
            <w:tcBorders>
              <w:tl2br w:val="nil"/>
              <w:tr2bl w:val="nil"/>
            </w:tcBorders>
            <w:vAlign w:val="center"/>
          </w:tcPr>
          <w:p w14:paraId="4450650A">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45</w:t>
            </w:r>
          </w:p>
        </w:tc>
        <w:tc>
          <w:tcPr>
            <w:tcW w:w="0" w:type="auto"/>
            <w:tcBorders>
              <w:tl2br w:val="nil"/>
              <w:tr2bl w:val="nil"/>
            </w:tcBorders>
            <w:vAlign w:val="center"/>
          </w:tcPr>
          <w:p w14:paraId="07AF834C">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517A1748">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燃气生产和供应业</w:t>
            </w:r>
          </w:p>
        </w:tc>
      </w:tr>
      <w:tr w14:paraId="4609FE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vMerge w:val="continue"/>
            <w:tcBorders>
              <w:tl2br w:val="nil"/>
              <w:tr2bl w:val="nil"/>
            </w:tcBorders>
            <w:vAlign w:val="center"/>
          </w:tcPr>
          <w:p w14:paraId="646D7A82">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1018" w:type="dxa"/>
            <w:tcBorders>
              <w:tl2br w:val="nil"/>
              <w:tr2bl w:val="nil"/>
            </w:tcBorders>
            <w:vAlign w:val="center"/>
          </w:tcPr>
          <w:p w14:paraId="494AEAD2">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46</w:t>
            </w:r>
          </w:p>
        </w:tc>
        <w:tc>
          <w:tcPr>
            <w:tcW w:w="1867" w:type="dxa"/>
            <w:tcBorders>
              <w:tl2br w:val="nil"/>
              <w:tr2bl w:val="nil"/>
            </w:tcBorders>
            <w:vAlign w:val="center"/>
          </w:tcPr>
          <w:p w14:paraId="646F460B">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color w:val="000000"/>
                <w:sz w:val="18"/>
                <w:szCs w:val="18"/>
                <w:vertAlign w:val="baseline"/>
                <w:lang w:val="en-US" w:eastAsia="zh-CN"/>
              </w:rPr>
            </w:pPr>
          </w:p>
        </w:tc>
        <w:tc>
          <w:tcPr>
            <w:tcW w:w="5141" w:type="dxa"/>
            <w:tcBorders>
              <w:tl2br w:val="nil"/>
              <w:tr2bl w:val="nil"/>
            </w:tcBorders>
            <w:vAlign w:val="center"/>
          </w:tcPr>
          <w:p w14:paraId="7249DAD5">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水的生产和供应业</w:t>
            </w:r>
          </w:p>
        </w:tc>
      </w:tr>
    </w:tbl>
    <w:p w14:paraId="51E6EEFD">
      <w:pPr>
        <w:pStyle w:val="30"/>
        <w:bidi w:val="0"/>
        <w:rPr>
          <w:rFonts w:hint="eastAsia"/>
        </w:rPr>
      </w:pPr>
      <w:r>
        <w:rPr>
          <w:rFonts w:hint="eastAsia" w:ascii="宋体" w:hAnsi="Times New Roman" w:eastAsia="宋体" w:cs="Times New Roman"/>
          <w:i w:val="0"/>
          <w:iCs w:val="0"/>
          <w:caps w:val="0"/>
          <w:spacing w:val="0"/>
          <w:sz w:val="18"/>
          <w:szCs w:val="18"/>
          <w:shd w:val="clear"/>
        </w:rPr>
        <w:t>行业门类、大类及中类代码依据GB/T 4754。</w:t>
      </w:r>
    </w:p>
    <w:p w14:paraId="4DE05B81">
      <w:pPr>
        <w:tabs>
          <w:tab w:val="left" w:pos="709"/>
        </w:tabs>
        <w:spacing w:line="360" w:lineRule="auto"/>
        <w:ind w:firstLine="420" w:firstLineChars="200"/>
        <w:jc w:val="both"/>
        <w:rPr>
          <w:rFonts w:hint="eastAsia" w:ascii="Calibri" w:hAnsi="Calibri" w:eastAsia="宋体" w:cs="Times New Roman"/>
          <w:color w:val="000000"/>
          <w:szCs w:val="21"/>
          <w:lang w:val="en-US" w:eastAsia="zh-CN"/>
        </w:rPr>
      </w:pPr>
    </w:p>
    <w:p w14:paraId="769C4E25">
      <w:pPr>
        <w:pStyle w:val="18"/>
        <w:bidi w:val="0"/>
      </w:pPr>
    </w:p>
    <w:p w14:paraId="5BD1B7C8">
      <w:pPr>
        <w:pStyle w:val="18"/>
        <w:bidi w:val="0"/>
      </w:pPr>
    </w:p>
    <w:p w14:paraId="77CEB9C6">
      <w:pPr>
        <w:adjustRightInd w:val="0"/>
        <w:snapToGrid w:val="0"/>
        <w:jc w:val="center"/>
        <w:sectPr>
          <w:pgSz w:w="11906" w:h="16838"/>
          <w:pgMar w:top="1417" w:right="1417" w:bottom="1134" w:left="1417" w:header="1417" w:footer="1134" w:gutter="0"/>
          <w:pgBorders>
            <w:top w:val="none" w:sz="0" w:space="0"/>
            <w:left w:val="none" w:sz="0" w:space="0"/>
            <w:bottom w:val="none" w:sz="0" w:space="0"/>
            <w:right w:val="none" w:sz="0" w:space="0"/>
          </w:pgBorders>
          <w:cols w:space="425" w:num="1"/>
          <w:docGrid w:type="lines" w:linePitch="312" w:charSpace="0"/>
        </w:sectPr>
      </w:pPr>
    </w:p>
    <w:p w14:paraId="719772A6">
      <w:pPr>
        <w:pStyle w:val="31"/>
        <w:bidi w:val="0"/>
        <w:rPr>
          <w:rFonts w:hint="eastAsia" w:hAnsi="Calibri" w:cs="Times New Roman"/>
          <w:spacing w:val="105"/>
          <w:szCs w:val="21"/>
          <w:highlight w:val="none"/>
          <w:lang w:eastAsia="zh-CN"/>
        </w:rPr>
      </w:pPr>
      <w:bookmarkStart w:id="59" w:name="_Toc1418"/>
      <w:bookmarkStart w:id="60" w:name="_Toc11921"/>
      <w:bookmarkStart w:id="61" w:name="_Toc13943"/>
      <w:bookmarkStart w:id="62" w:name="_Toc19894"/>
      <w:bookmarkStart w:id="63" w:name="_Toc26469"/>
      <w:bookmarkStart w:id="64" w:name="_Toc207832854"/>
      <w:r>
        <w:rPr>
          <w:rFonts w:hint="eastAsia" w:hAnsi="Calibri" w:cs="Times New Roman"/>
          <w:spacing w:val="105"/>
          <w:szCs w:val="21"/>
          <w:highlight w:val="none"/>
          <w:lang w:eastAsia="zh-CN"/>
        </w:rPr>
        <w:t>参考文献</w:t>
      </w:r>
      <w:bookmarkEnd w:id="59"/>
      <w:bookmarkEnd w:id="60"/>
      <w:bookmarkEnd w:id="61"/>
      <w:bookmarkEnd w:id="62"/>
    </w:p>
    <w:bookmarkEnd w:id="63"/>
    <w:bookmarkEnd w:id="64"/>
    <w:p w14:paraId="2DCD01AB">
      <w:pPr>
        <w:numPr>
          <w:ilvl w:val="0"/>
          <w:numId w:val="5"/>
        </w:numPr>
        <w:tabs>
          <w:tab w:val="center" w:pos="4201"/>
          <w:tab w:val="right" w:leader="dot" w:pos="9298"/>
        </w:tabs>
        <w:autoSpaceDE w:val="0"/>
        <w:autoSpaceDN w:val="0"/>
        <w:ind w:firstLine="420" w:firstLineChars="0"/>
        <w:jc w:val="both"/>
        <w:rPr>
          <w:rFonts w:ascii="Times New Roman" w:hAnsi="Times New Roman" w:eastAsia="宋体" w:cs="Times New Roman"/>
          <w:sz w:val="21"/>
          <w:szCs w:val="21"/>
          <w:lang w:val="en-US" w:eastAsia="zh-CN" w:bidi="ar-SA"/>
        </w:rPr>
      </w:pPr>
      <w:r>
        <w:rPr>
          <w:rFonts w:hint="eastAsia" w:ascii="Times New Roman" w:hAnsi="Times New Roman" w:eastAsia="宋体" w:cs="Times New Roman"/>
          <w:sz w:val="21"/>
          <w:szCs w:val="21"/>
          <w:lang w:val="en-US" w:eastAsia="zh-CN" w:bidi="ar-SA"/>
        </w:rPr>
        <w:t>DL/T 2161—2020 电力需求侧资源分类与特性分析技术导则</w:t>
      </w:r>
    </w:p>
    <w:p w14:paraId="2CC5D9CF">
      <w:pPr>
        <w:numPr>
          <w:ilvl w:val="0"/>
          <w:numId w:val="5"/>
        </w:numPr>
        <w:tabs>
          <w:tab w:val="center" w:pos="4201"/>
          <w:tab w:val="right" w:leader="dot" w:pos="9298"/>
        </w:tabs>
        <w:autoSpaceDE w:val="0"/>
        <w:autoSpaceDN w:val="0"/>
        <w:ind w:firstLine="420" w:firstLineChars="0"/>
        <w:jc w:val="both"/>
        <w:rPr>
          <w:rFonts w:ascii="Times New Roman" w:hAnsi="Times New Roman" w:eastAsia="宋体" w:cs="Times New Roman"/>
          <w:sz w:val="21"/>
          <w:szCs w:val="21"/>
          <w:lang w:val="en-US" w:eastAsia="zh-CN" w:bidi="ar-SA"/>
        </w:rPr>
      </w:pPr>
      <w:r>
        <w:rPr>
          <w:rFonts w:hint="eastAsia" w:ascii="Times New Roman" w:hAnsi="Times New Roman" w:eastAsia="宋体" w:cs="Times New Roman"/>
          <w:sz w:val="21"/>
          <w:szCs w:val="21"/>
          <w:lang w:val="en-US" w:eastAsia="zh-CN" w:bidi="ar-SA"/>
        </w:rPr>
        <w:t>DB3303/T078—2024 规模以上工业企业健康评价指标体系</w:t>
      </w:r>
    </w:p>
    <w:p w14:paraId="3D41A820">
      <w:pPr>
        <w:numPr>
          <w:ilvl w:val="0"/>
          <w:numId w:val="5"/>
        </w:numPr>
        <w:tabs>
          <w:tab w:val="center" w:pos="4201"/>
          <w:tab w:val="right" w:leader="dot" w:pos="9298"/>
        </w:tabs>
        <w:autoSpaceDE w:val="0"/>
        <w:autoSpaceDN w:val="0"/>
        <w:ind w:firstLine="420" w:firstLineChars="0"/>
        <w:jc w:val="both"/>
        <w:rPr>
          <w:rFonts w:ascii="Times New Roman" w:hAnsi="Times New Roman" w:eastAsia="宋体" w:cs="Times New Roman"/>
          <w:sz w:val="21"/>
          <w:szCs w:val="21"/>
          <w:lang w:val="en-US" w:eastAsia="zh-CN" w:bidi="ar-SA"/>
        </w:rPr>
      </w:pPr>
      <w:r>
        <w:rPr>
          <w:rFonts w:hint="eastAsia" w:ascii="Times New Roman" w:hAnsi="Times New Roman" w:eastAsia="宋体" w:cs="Times New Roman"/>
          <w:sz w:val="21"/>
          <w:szCs w:val="21"/>
          <w:lang w:val="en-US" w:eastAsia="zh-CN" w:bidi="ar-SA"/>
        </w:rPr>
        <w:t>GB/T 36132—2025 绿色工厂评价通则</w:t>
      </w:r>
    </w:p>
    <w:p w14:paraId="1ADBA9DF">
      <w:pPr>
        <w:numPr>
          <w:ilvl w:val="0"/>
          <w:numId w:val="5"/>
        </w:numPr>
        <w:tabs>
          <w:tab w:val="center" w:pos="4201"/>
          <w:tab w:val="right" w:leader="dot" w:pos="9298"/>
        </w:tabs>
        <w:autoSpaceDE w:val="0"/>
        <w:autoSpaceDN w:val="0"/>
        <w:ind w:firstLine="420" w:firstLineChars="0"/>
        <w:jc w:val="both"/>
        <w:rPr>
          <w:rFonts w:ascii="Times New Roman" w:hAnsi="Times New Roman" w:eastAsia="宋体" w:cs="Times New Roman"/>
          <w:sz w:val="21"/>
          <w:szCs w:val="21"/>
          <w:lang w:val="en-US" w:eastAsia="zh-CN" w:bidi="ar-SA"/>
        </w:rPr>
      </w:pPr>
      <w:r>
        <w:rPr>
          <w:rFonts w:hint="eastAsia" w:ascii="Times New Roman" w:hAnsi="Times New Roman" w:eastAsia="宋体" w:cs="Times New Roman"/>
          <w:sz w:val="21"/>
          <w:szCs w:val="21"/>
          <w:lang w:val="en-US" w:eastAsia="zh-CN" w:bidi="ar-SA"/>
        </w:rPr>
        <w:t>GB/T 32151.25—2024 温室气体排放核算与报告要求</w:t>
      </w:r>
    </w:p>
    <w:p w14:paraId="2CF5BF8F">
      <w:pPr>
        <w:numPr>
          <w:ilvl w:val="0"/>
          <w:numId w:val="5"/>
        </w:numPr>
        <w:tabs>
          <w:tab w:val="center" w:pos="4201"/>
          <w:tab w:val="right" w:leader="dot" w:pos="9298"/>
        </w:tabs>
        <w:autoSpaceDE w:val="0"/>
        <w:autoSpaceDN w:val="0"/>
        <w:ind w:firstLine="420" w:firstLineChars="0"/>
        <w:jc w:val="both"/>
        <w:rPr>
          <w:rFonts w:ascii="Times New Roman" w:hAnsi="Times New Roman" w:eastAsia="宋体" w:cs="Times New Roman"/>
          <w:sz w:val="21"/>
          <w:szCs w:val="21"/>
          <w:lang w:val="en-US" w:eastAsia="zh-CN" w:bidi="ar-SA"/>
        </w:rPr>
      </w:pPr>
      <w:r>
        <w:rPr>
          <w:rFonts w:hint="eastAsia" w:ascii="Times New Roman" w:hAnsi="Times New Roman" w:eastAsia="宋体" w:cs="Times New Roman"/>
          <w:sz w:val="21"/>
          <w:szCs w:val="21"/>
          <w:lang w:val="en-US" w:eastAsia="zh-CN" w:bidi="ar-SA"/>
        </w:rPr>
        <w:t>GB/T 36713—2018 能源管理体系 能源基准和能源绩效参数</w:t>
      </w:r>
    </w:p>
    <w:p w14:paraId="6AC28D44">
      <w:pPr>
        <w:numPr>
          <w:ilvl w:val="0"/>
          <w:numId w:val="5"/>
        </w:numPr>
        <w:tabs>
          <w:tab w:val="center" w:pos="4201"/>
          <w:tab w:val="right" w:leader="dot" w:pos="9298"/>
        </w:tabs>
        <w:autoSpaceDE w:val="0"/>
        <w:autoSpaceDN w:val="0"/>
        <w:ind w:firstLine="420" w:firstLineChars="0"/>
        <w:jc w:val="both"/>
        <w:rPr>
          <w:rFonts w:ascii="Times New Roman" w:hAnsi="Times New Roman" w:eastAsia="宋体" w:cs="Times New Roman"/>
          <w:sz w:val="21"/>
          <w:szCs w:val="21"/>
          <w:lang w:val="en-US" w:eastAsia="zh-CN" w:bidi="ar-SA"/>
        </w:rPr>
      </w:pPr>
      <w:r>
        <w:rPr>
          <w:rFonts w:hint="eastAsia" w:ascii="Times New Roman" w:hAnsi="Times New Roman" w:eastAsia="宋体" w:cs="Times New Roman"/>
          <w:sz w:val="21"/>
          <w:szCs w:val="21"/>
          <w:lang w:val="en-US" w:eastAsia="zh-CN" w:bidi="ar-SA"/>
        </w:rPr>
        <w:t>GB 50052—2021 供配电系统设计规范</w:t>
      </w:r>
    </w:p>
    <w:p w14:paraId="44B24C02">
      <w:pPr>
        <w:numPr>
          <w:ilvl w:val="0"/>
          <w:numId w:val="5"/>
        </w:numPr>
        <w:tabs>
          <w:tab w:val="center" w:pos="4201"/>
          <w:tab w:val="right" w:leader="dot" w:pos="9298"/>
        </w:tabs>
        <w:autoSpaceDE w:val="0"/>
        <w:autoSpaceDN w:val="0"/>
        <w:ind w:firstLine="420" w:firstLineChars="0"/>
        <w:jc w:val="both"/>
        <w:rPr>
          <w:rFonts w:ascii="Times New Roman" w:hAnsi="Times New Roman" w:eastAsia="宋体" w:cs="Times New Roman"/>
          <w:sz w:val="21"/>
          <w:szCs w:val="21"/>
          <w:lang w:val="en-US" w:eastAsia="zh-CN" w:bidi="ar-SA"/>
        </w:rPr>
      </w:pPr>
      <w:r>
        <w:rPr>
          <w:rFonts w:hint="eastAsia" w:ascii="Times New Roman" w:hAnsi="Times New Roman" w:eastAsia="宋体" w:cs="Times New Roman"/>
          <w:sz w:val="21"/>
          <w:szCs w:val="21"/>
          <w:lang w:val="en-US" w:eastAsia="zh-CN" w:bidi="ar-SA"/>
        </w:rPr>
        <w:t>《电力需求侧管理办法（2023年版）》（发改运行规〔2023〕1283号）</w:t>
      </w:r>
    </w:p>
    <w:p w14:paraId="071ACE8F">
      <w:pPr>
        <w:tabs>
          <w:tab w:val="center" w:pos="4201"/>
          <w:tab w:val="right" w:leader="dot" w:pos="9298"/>
        </w:tabs>
        <w:autoSpaceDE w:val="0"/>
        <w:autoSpaceDN w:val="0"/>
        <w:ind w:firstLine="0" w:firstLineChars="0"/>
        <w:jc w:val="both"/>
        <w:rPr>
          <w:rFonts w:ascii="Times New Roman" w:hAnsi="Times New Roman" w:eastAsia="宋体" w:cs="Times New Roman"/>
          <w:sz w:val="21"/>
          <w:szCs w:val="21"/>
          <w:lang w:val="en-US" w:eastAsia="zh-CN" w:bidi="ar-SA"/>
        </w:rPr>
      </w:pPr>
    </w:p>
    <w:p w14:paraId="2A72F1A8">
      <w:pPr>
        <w:tabs>
          <w:tab w:val="center" w:pos="4201"/>
          <w:tab w:val="right" w:leader="dot" w:pos="9298"/>
        </w:tabs>
        <w:autoSpaceDE w:val="0"/>
        <w:autoSpaceDN w:val="0"/>
        <w:ind w:firstLine="0" w:firstLineChars="0"/>
        <w:jc w:val="both"/>
        <w:rPr>
          <w:rFonts w:ascii="Times New Roman" w:hAnsi="Times New Roman" w:eastAsia="宋体" w:cs="Times New Roman"/>
          <w:sz w:val="21"/>
          <w:szCs w:val="21"/>
          <w:lang w:val="en-US" w:eastAsia="zh-CN" w:bidi="ar-SA"/>
        </w:rPr>
      </w:pPr>
    </w:p>
    <w:p w14:paraId="16AD8C3B">
      <w:pPr>
        <w:tabs>
          <w:tab w:val="center" w:pos="4201"/>
          <w:tab w:val="right" w:leader="dot" w:pos="9298"/>
        </w:tabs>
        <w:autoSpaceDE w:val="0"/>
        <w:autoSpaceDN w:val="0"/>
        <w:ind w:firstLine="0" w:firstLineChars="0"/>
        <w:jc w:val="both"/>
        <w:rPr>
          <w:rFonts w:ascii="Times New Roman" w:hAnsi="Times New Roman" w:eastAsia="宋体" w:cs="Times New Roman"/>
          <w:sz w:val="21"/>
          <w:szCs w:val="21"/>
          <w:lang w:val="en-US" w:eastAsia="zh-CN" w:bidi="ar-SA"/>
        </w:rPr>
      </w:pPr>
    </w:p>
    <w:p w14:paraId="1AE970E1">
      <w:pPr>
        <w:widowControl/>
        <w:tabs>
          <w:tab w:val="center" w:pos="4201"/>
          <w:tab w:val="right" w:leader="dot" w:pos="9298"/>
        </w:tabs>
        <w:autoSpaceDE w:val="0"/>
        <w:autoSpaceDN w:val="0"/>
        <w:spacing w:line="480" w:lineRule="exact"/>
        <w:jc w:val="center"/>
        <w:rPr>
          <w:rFonts w:ascii="Times New Roman" w:hAnsi="Times New Roman" w:eastAsia="宋体" w:cs="Times New Roman"/>
          <w:kern w:val="0"/>
          <w:szCs w:val="20"/>
        </w:rPr>
      </w:pPr>
      <w:r>
        <w:rPr>
          <w:rFonts w:hint="eastAsia" w:ascii="宋体" w:hAnsi="宋体" w:eastAsia="宋体" w:cs="宋体"/>
          <w:spacing w:val="-2"/>
          <w:szCs w:val="21"/>
        </w:rPr>
        <w:t>_____________________________________</w:t>
      </w:r>
    </w:p>
    <w:p w14:paraId="089C191F">
      <w:pPr>
        <w:widowControl/>
        <w:tabs>
          <w:tab w:val="center" w:pos="4201"/>
          <w:tab w:val="right" w:leader="dot" w:pos="9298"/>
        </w:tabs>
        <w:autoSpaceDE w:val="0"/>
        <w:autoSpaceDN w:val="0"/>
        <w:spacing w:line="480" w:lineRule="exact"/>
        <w:jc w:val="center"/>
        <w:rPr>
          <w:rFonts w:ascii="Times New Roman" w:hAnsi="Times New Roman" w:eastAsia="宋体" w:cs="Times New Roman"/>
          <w:kern w:val="0"/>
          <w:szCs w:val="20"/>
        </w:rPr>
      </w:pPr>
    </w:p>
    <w:p w14:paraId="677C6245">
      <w:pPr>
        <w:adjustRightInd w:val="0"/>
        <w:snapToGrid w:val="0"/>
        <w:jc w:val="center"/>
        <w:rPr>
          <w:rFonts w:ascii="Calibri" w:hAnsi="Calibri" w:eastAsia="宋体" w:cs="Times New Roman"/>
          <w:szCs w:val="21"/>
        </w:rPr>
      </w:pPr>
    </w:p>
    <w:p w14:paraId="1877FE96"/>
    <w:sectPr>
      <w:headerReference r:id="rId16" w:type="default"/>
      <w:footerReference r:id="rId17" w:type="default"/>
      <w:pgSz w:w="11906" w:h="16838"/>
      <w:pgMar w:top="1417" w:right="1417" w:bottom="1134" w:left="1417" w:header="1418" w:footer="1134" w:gutter="0"/>
      <w:pgBorders>
        <w:top w:val="none" w:sz="0" w:space="0"/>
        <w:left w:val="none" w:sz="0" w:space="0"/>
        <w:bottom w:val="none" w:sz="0" w:space="0"/>
        <w:right w:val="none" w:sz="0" w:space="0"/>
      </w:pgBorders>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mbria Math">
    <w:panose1 w:val="02040503050406030204"/>
    <w:charset w:val="00"/>
    <w:family w:val="auto"/>
    <w:pitch w:val="default"/>
    <w:sig w:usb0="E00006FF" w:usb1="420024FF" w:usb2="02000000" w:usb3="00000000" w:csb0="2000019F" w:csb1="00000000"/>
  </w:font>
  <w:font w:name="方正仿宋">
    <w:altName w:val="宋体"/>
    <w:panose1 w:val="00000000000000000000"/>
    <w:charset w:val="00"/>
    <w:family w:val="auto"/>
    <w:pitch w:val="default"/>
    <w:sig w:usb0="00000000" w:usb1="00000000" w:usb2="00000000" w:usb3="00000000" w:csb0="0000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560C7">
    <w:pPr>
      <w:pStyle w:val="3"/>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7534DB">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4E7534D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5EB8D">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07DCA">
    <w:pPr>
      <w:widowControl w:val="0"/>
      <w:tabs>
        <w:tab w:val="center" w:pos="4153"/>
        <w:tab w:val="right" w:pos="8306"/>
      </w:tabs>
      <w:adjustRightInd w:val="0"/>
      <w:snapToGrid w:val="0"/>
      <w:jc w:val="center"/>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C48357">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10C48357">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9C062">
    <w:pPr>
      <w:widowControl w:val="0"/>
      <w:tabs>
        <w:tab w:val="center" w:pos="4153"/>
        <w:tab w:val="right" w:pos="8306"/>
      </w:tabs>
      <w:adjustRightInd w:val="0"/>
      <w:snapToGrid w:val="0"/>
      <w:jc w:val="center"/>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1BDC45">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341BDC45">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88F38">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B5D896">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14:paraId="41B5D896">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700D5">
    <w:pPr>
      <w:widowControl w:val="0"/>
      <w:tabs>
        <w:tab w:val="center" w:pos="4153"/>
        <w:tab w:val="right" w:pos="8306"/>
      </w:tabs>
      <w:adjustRightInd w:val="0"/>
      <w:snapToGrid w:val="0"/>
      <w:jc w:val="center"/>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58955B">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8V5Q0wAgAAY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MQJs+ysNMP&#10;lkfoKI+362OAnEnlKEqnBLoTD5i91Kd+T+Jw/3lOUY//Da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A8V5Q0wAgAAYwQAAA4AAAAAAAAAAQAgAAAAHwEAAGRycy9lMm9Eb2MueG1sUEsFBgAA&#10;AAAGAAYAWQEAAMEFAAAAAA==&#10;">
              <v:fill on="f" focussize="0,0"/>
              <v:stroke on="f" weight="0.5pt"/>
              <v:imagedata o:title=""/>
              <o:lock v:ext="edit" aspectratio="f"/>
              <v:textbox inset="0mm,0mm,0mm,0mm" style="mso-fit-shape-to-text:t;">
                <w:txbxContent>
                  <w:p w14:paraId="0158955B">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D142A">
    <w:pPr>
      <w:widowControl w:val="0"/>
      <w:tabs>
        <w:tab w:val="center" w:pos="4153"/>
        <w:tab w:val="right" w:pos="8306"/>
      </w:tabs>
      <w:snapToGrid w:val="0"/>
      <w:jc w:val="center"/>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A0DB7">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IV</w:t>
                          </w:r>
                          <w:r>
                            <w:rPr>
                              <w:rFonts w:ascii="Times New Roman" w:hAnsi="Times New Roman" w:eastAsia="宋体"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14:paraId="7C9A0DB7">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IV</w:t>
                    </w:r>
                    <w:r>
                      <w:rPr>
                        <w:rFonts w:ascii="Times New Roman" w:hAnsi="Times New Roman" w:eastAsia="宋体" w:cs="Times New Roman"/>
                        <w:kern w:val="2"/>
                        <w:sz w:val="18"/>
                        <w:szCs w:val="18"/>
                        <w:lang w:val="en-US" w:eastAsia="zh-CN" w:bidi="ar-S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0344D">
    <w:pPr>
      <w:pStyle w:val="4"/>
      <w:pBdr>
        <w:bottom w:val="none" w:color="auto" w:sz="0" w:space="0"/>
      </w:pBdr>
      <w:adjustRightInd w:val="0"/>
      <w:spacing w:after="170"/>
      <w:jc w:val="right"/>
      <w:rPr>
        <w:sz w:val="21"/>
        <w:szCs w:val="21"/>
      </w:rPr>
    </w:pPr>
    <w:r>
      <w:rPr>
        <w:sz w:val="18"/>
      </w:rPr>
      <w:drawing>
        <wp:anchor distT="0" distB="0" distL="114300" distR="114300" simplePos="0" relativeHeight="251667456" behindDoc="1" locked="0" layoutInCell="1" allowOverlap="1">
          <wp:simplePos x="0" y="0"/>
          <wp:positionH relativeFrom="margin">
            <wp:align>center</wp:align>
          </wp:positionH>
          <wp:positionV relativeFrom="margin">
            <wp:align>center</wp:align>
          </wp:positionV>
          <wp:extent cx="7558405" cy="10692130"/>
          <wp:effectExtent l="0" t="0" r="10795" b="1270"/>
          <wp:wrapNone/>
          <wp:docPr id="18" name="WordPictureWatermark74872" descr="CECA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WordPictureWatermark74872" descr="CECA水印"/>
                  <pic:cNvPicPr>
                    <a:picLocks noChangeAspect="1"/>
                  </pic:cNvPicPr>
                </pic:nvPicPr>
                <pic:blipFill>
                  <a:blip r:embed="rId1"/>
                  <a:stretch>
                    <a:fillRect/>
                  </a:stretch>
                </pic:blipFill>
                <pic:spPr>
                  <a:xfrm>
                    <a:off x="0" y="0"/>
                    <a:ext cx="7558405" cy="10692130"/>
                  </a:xfrm>
                  <a:prstGeom prst="rect">
                    <a:avLst/>
                  </a:prstGeom>
                  <a:noFill/>
                  <a:ln>
                    <a:noFill/>
                  </a:ln>
                </pic:spPr>
              </pic:pic>
            </a:graphicData>
          </a:graphic>
        </wp:anchor>
      </w:drawing>
    </w:r>
    <w:r>
      <w:rPr>
        <w:rFonts w:hint="eastAsia" w:ascii="黑体" w:hAnsi="黑体" w:eastAsia="黑体" w:cs="黑体"/>
        <w:sz w:val="21"/>
        <w:szCs w:val="21"/>
      </w:rPr>
      <w:t>T</w:t>
    </w:r>
    <w:r>
      <w:rPr>
        <w:rFonts w:hint="eastAsia" w:ascii="黑体" w:hAnsi="黑体" w:eastAsia="黑体" w:cs="黑体"/>
        <w:color w:val="000000"/>
        <w:kern w:val="0"/>
        <w:sz w:val="21"/>
        <w:szCs w:val="21"/>
      </w:rPr>
      <w:t>/</w:t>
    </w:r>
    <w:r>
      <w:rPr>
        <w:rFonts w:hint="eastAsia" w:ascii="黑体" w:hAnsi="黑体" w:eastAsia="黑体" w:cs="黑体"/>
        <w:sz w:val="21"/>
        <w:szCs w:val="21"/>
      </w:rPr>
      <w:t>CECA-</w:t>
    </w:r>
    <w:r>
      <w:rPr>
        <w:rFonts w:hint="eastAsia" w:ascii="黑体" w:hAnsi="黑体" w:eastAsia="黑体" w:cs="黑体"/>
        <w:sz w:val="21"/>
        <w:szCs w:val="21"/>
        <w:lang w:eastAsia="zh-CN"/>
      </w:rPr>
      <w:t xml:space="preserve">G </w:t>
    </w:r>
    <w:r>
      <w:rPr>
        <w:rFonts w:hint="eastAsia" w:ascii="黑体" w:hAnsi="黑体" w:eastAsia="黑体" w:cs="黑体"/>
        <w:sz w:val="21"/>
        <w:szCs w:val="21"/>
        <w:lang w:val="en-US" w:eastAsia="zh-CN"/>
      </w:rPr>
      <w:t>0415</w:t>
    </w:r>
    <w:r>
      <w:rPr>
        <w:rFonts w:hint="eastAsia" w:ascii="黑体" w:hAnsi="黑体" w:eastAsia="黑体" w:cs="黑体"/>
        <w:sz w:val="21"/>
        <w:szCs w:val="21"/>
      </w:rPr>
      <w:t>—20</w:t>
    </w:r>
    <w:r>
      <w:rPr>
        <w:rFonts w:hint="eastAsia" w:ascii="黑体" w:hAnsi="黑体" w:eastAsia="黑体" w:cs="黑体"/>
        <w:sz w:val="21"/>
        <w:szCs w:val="21"/>
        <w:lang w:val="en-US" w:eastAsia="zh-CN"/>
      </w:rPr>
      <w:t>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5BC5A">
    <w:pPr>
      <w:pStyle w:val="13"/>
      <w:tabs>
        <w:tab w:val="left" w:pos="9355"/>
      </w:tabs>
      <w:ind w:right="-1"/>
      <w:jc w:val="center"/>
      <w:rPr>
        <w:b/>
      </w:rPr>
    </w:pPr>
    <w:r>
      <w:t xml:space="preserve">                                                                XXXXX—2015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C6F9B">
    <w:pPr>
      <w:rPr>
        <w:rFonts w:hint="default"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ICS </w:t>
    </w:r>
    <w:r>
      <w:rPr>
        <w:rFonts w:hint="default" w:ascii="黑体" w:hAnsi="黑体" w:eastAsia="黑体" w:cs="黑体"/>
        <w:color w:val="000000" w:themeColor="text1"/>
        <w:sz w:val="21"/>
        <w:szCs w:val="21"/>
        <w:lang w:val="en-US" w:eastAsia="zh-CN"/>
        <w14:textFill>
          <w14:solidFill>
            <w14:schemeClr w14:val="tx1"/>
          </w14:solidFill>
        </w14:textFill>
      </w:rPr>
      <w:t>27.010</w:t>
    </w:r>
  </w:p>
  <w:p w14:paraId="7FAB48E1">
    <w:pPr>
      <w:pStyle w:val="4"/>
      <w:pBdr>
        <w:bottom w:val="none" w:color="auto" w:sz="0" w:space="0"/>
      </w:pBdr>
      <w:jc w:val="both"/>
      <w:rPr>
        <w:rFonts w:hint="default"/>
        <w:lang w:val="en-US"/>
      </w:rPr>
    </w:pPr>
    <w:r>
      <w:rPr>
        <w:sz w:val="18"/>
      </w:rPr>
      <w:drawing>
        <wp:anchor distT="0" distB="0" distL="114300" distR="114300" simplePos="0" relativeHeight="251668480" behindDoc="1" locked="0" layoutInCell="1" allowOverlap="1">
          <wp:simplePos x="0" y="0"/>
          <wp:positionH relativeFrom="margin">
            <wp:align>center</wp:align>
          </wp:positionH>
          <wp:positionV relativeFrom="margin">
            <wp:align>center</wp:align>
          </wp:positionV>
          <wp:extent cx="7558405" cy="10692130"/>
          <wp:effectExtent l="0" t="0" r="10795" b="1270"/>
          <wp:wrapNone/>
          <wp:docPr id="16" name="WordPictureWatermark74872" descr="CECA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ordPictureWatermark74872" descr="CECA水印"/>
                  <pic:cNvPicPr>
                    <a:picLocks noChangeAspect="1"/>
                  </pic:cNvPicPr>
                </pic:nvPicPr>
                <pic:blipFill>
                  <a:blip r:embed="rId1"/>
                  <a:stretch>
                    <a:fillRect/>
                  </a:stretch>
                </pic:blipFill>
                <pic:spPr>
                  <a:xfrm>
                    <a:off x="0" y="0"/>
                    <a:ext cx="7558405" cy="10692130"/>
                  </a:xfrm>
                  <a:prstGeom prst="rect">
                    <a:avLst/>
                  </a:prstGeom>
                  <a:noFill/>
                  <a:ln>
                    <a:noFill/>
                  </a:ln>
                </pic:spPr>
              </pic:pic>
            </a:graphicData>
          </a:graphic>
        </wp:anchor>
      </w:drawing>
    </w:r>
    <w:r>
      <w:rPr>
        <w:rFonts w:hint="eastAsia" w:ascii="黑体" w:hAnsi="黑体" w:eastAsia="黑体" w:cs="黑体"/>
        <w:color w:val="000000" w:themeColor="text1"/>
        <w:sz w:val="21"/>
        <w:szCs w:val="21"/>
        <w14:textFill>
          <w14:solidFill>
            <w14:schemeClr w14:val="tx1"/>
          </w14:solidFill>
        </w14:textFill>
      </w:rPr>
      <w:t xml:space="preserve">CCS </w:t>
    </w:r>
    <w:r>
      <w:rPr>
        <w:rFonts w:hint="default" w:ascii="黑体" w:hAnsi="黑体" w:eastAsia="黑体" w:cs="黑体"/>
        <w:color w:val="000000" w:themeColor="text1"/>
        <w:sz w:val="21"/>
        <w:szCs w:val="21"/>
        <w:lang w:val="en-US"/>
        <w14:textFill>
          <w14:solidFill>
            <w14:schemeClr w14:val="tx1"/>
          </w14:solidFill>
        </w14:textFill>
      </w:rPr>
      <w:t>F01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18559">
    <w:pPr>
      <w:spacing w:after="170" w:line="238" w:lineRule="auto"/>
      <w:ind w:left="6270"/>
      <w:jc w:val="right"/>
      <w:rPr>
        <w:rFonts w:ascii="Calibri" w:hAnsi="Calibri" w:eastAsia="宋体" w:cs="Times New Roman"/>
        <w:szCs w:val="21"/>
      </w:rPr>
    </w:pPr>
    <w:r>
      <w:rPr>
        <w:rFonts w:ascii="Calibri" w:hAnsi="Calibri" w:eastAsia="宋体" w:cs="Times New Roman"/>
        <w:sz w:val="18"/>
        <w:szCs w:val="21"/>
      </w:rPr>
      <w:drawing>
        <wp:anchor distT="0" distB="0" distL="114300" distR="114300" simplePos="0" relativeHeight="251666432" behindDoc="1" locked="0" layoutInCell="1" allowOverlap="1">
          <wp:simplePos x="0" y="0"/>
          <wp:positionH relativeFrom="margin">
            <wp:align>center</wp:align>
          </wp:positionH>
          <wp:positionV relativeFrom="margin">
            <wp:align>center</wp:align>
          </wp:positionV>
          <wp:extent cx="5274310" cy="5247640"/>
          <wp:effectExtent l="0" t="0" r="2540" b="635"/>
          <wp:wrapNone/>
          <wp:docPr id="9" name="WordPictureWatermark3400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4001" descr="LOGO"/>
                  <pic:cNvPicPr>
                    <a:picLocks noChangeAspect="1"/>
                  </pic:cNvPicPr>
                </pic:nvPicPr>
                <pic:blipFill>
                  <a:blip r:embed="rId1"/>
                  <a:stretch>
                    <a:fillRect/>
                  </a:stretch>
                </pic:blipFill>
                <pic:spPr>
                  <a:xfrm>
                    <a:off x="0" y="0"/>
                    <a:ext cx="5274310" cy="5247640"/>
                  </a:xfrm>
                  <a:prstGeom prst="rect">
                    <a:avLst/>
                  </a:prstGeom>
                  <a:noFill/>
                  <a:ln>
                    <a:noFill/>
                  </a:ln>
                </pic:spPr>
              </pic:pic>
            </a:graphicData>
          </a:graphic>
        </wp:anchor>
      </w:drawing>
    </w:r>
    <w:r>
      <w:rPr>
        <w:rFonts w:hint="eastAsia" w:ascii="黑体" w:hAnsi="黑体" w:eastAsia="黑体" w:cs="黑体"/>
        <w:szCs w:val="21"/>
      </w:rPr>
      <w:t>T</w:t>
    </w:r>
    <w:r>
      <w:rPr>
        <w:rFonts w:hint="eastAsia" w:ascii="黑体" w:hAnsi="黑体" w:eastAsia="黑体" w:cs="黑体"/>
        <w:color w:val="000000"/>
        <w:kern w:val="0"/>
        <w:szCs w:val="21"/>
      </w:rPr>
      <w:t>/</w:t>
    </w:r>
    <w:r>
      <w:rPr>
        <w:rFonts w:hint="eastAsia" w:ascii="黑体" w:hAnsi="黑体" w:eastAsia="黑体" w:cs="黑体"/>
        <w:szCs w:val="21"/>
      </w:rPr>
      <w:t>CECA-G XXXX—20XX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1F950">
    <w:pPr>
      <w:widowControl w:val="0"/>
      <w:pBdr>
        <w:bottom w:val="none" w:color="auto" w:sz="0" w:space="1"/>
      </w:pBdr>
      <w:tabs>
        <w:tab w:val="center" w:pos="4153"/>
        <w:tab w:val="right" w:pos="8306"/>
      </w:tabs>
      <w:snapToGrid w:val="0"/>
      <w:jc w:val="right"/>
      <w:rPr>
        <w:rFonts w:ascii="Calibri" w:hAnsi="Calibri" w:eastAsia="宋体" w:cs="Times New Roman"/>
        <w:kern w:val="2"/>
        <w:sz w:val="18"/>
        <w:szCs w:val="21"/>
        <w:lang w:val="en-US" w:eastAsia="zh-CN" w:bidi="ar-SA"/>
      </w:rPr>
    </w:pPr>
    <w:r>
      <w:rPr>
        <w:rFonts w:ascii="Calibri" w:hAnsi="Calibri" w:eastAsia="宋体" w:cs="Times New Roman"/>
        <w:kern w:val="2"/>
        <w:sz w:val="18"/>
        <w:szCs w:val="18"/>
        <w:lang w:val="en-US" w:eastAsia="zh-CN" w:bidi="ar-SA"/>
      </w:rPr>
      <w:drawing>
        <wp:anchor distT="0" distB="0" distL="114300" distR="114300" simplePos="0" relativeHeight="251667456" behindDoc="1" locked="0" layoutInCell="1" allowOverlap="1">
          <wp:simplePos x="0" y="0"/>
          <wp:positionH relativeFrom="margin">
            <wp:align>center</wp:align>
          </wp:positionH>
          <wp:positionV relativeFrom="margin">
            <wp:align>center</wp:align>
          </wp:positionV>
          <wp:extent cx="5274310" cy="5247640"/>
          <wp:effectExtent l="0" t="0" r="2540" b="635"/>
          <wp:wrapNone/>
          <wp:docPr id="12" name="WordPictureWatermark3400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34001" descr="LOGO"/>
                  <pic:cNvPicPr>
                    <a:picLocks noChangeAspect="1"/>
                  </pic:cNvPicPr>
                </pic:nvPicPr>
                <pic:blipFill>
                  <a:blip r:embed="rId1"/>
                  <a:stretch>
                    <a:fillRect/>
                  </a:stretch>
                </pic:blipFill>
                <pic:spPr>
                  <a:xfrm>
                    <a:off x="0" y="0"/>
                    <a:ext cx="5274310" cy="5247640"/>
                  </a:xfrm>
                  <a:prstGeom prst="rect">
                    <a:avLst/>
                  </a:prstGeom>
                  <a:noFill/>
                  <a:ln>
                    <a:noFill/>
                  </a:ln>
                </pic:spPr>
              </pic:pic>
            </a:graphicData>
          </a:graphic>
        </wp:anchor>
      </w:drawing>
    </w:r>
    <w:r>
      <w:rPr>
        <w:rFonts w:hint="eastAsia" w:ascii="Times New Roman" w:hAnsi="Times New Roman" w:eastAsia="宋体" w:cs="Times New Roman"/>
        <w:kern w:val="2"/>
        <w:sz w:val="18"/>
        <w:szCs w:val="18"/>
        <w:lang w:val="en-US" w:eastAsia="zh-CN" w:bidi="ar-SA"/>
      </w:rPr>
      <w:t>T/CECA-G XXXX—202X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1C966">
    <w:pPr>
      <w:spacing w:after="170" w:line="238" w:lineRule="auto"/>
      <w:ind w:left="6270"/>
      <w:jc w:val="right"/>
      <w:rPr>
        <w:rFonts w:ascii="Calibri" w:hAnsi="Calibri" w:eastAsia="宋体" w:cs="Times New Roman"/>
        <w:szCs w:val="21"/>
      </w:rPr>
    </w:pPr>
    <w:r>
      <w:rPr>
        <w:rFonts w:ascii="Calibri" w:hAnsi="Calibri" w:eastAsia="宋体" w:cs="Times New Roman"/>
        <w:sz w:val="18"/>
        <w:szCs w:val="21"/>
      </w:rPr>
      <w:drawing>
        <wp:anchor distT="0" distB="0" distL="114300" distR="114300" simplePos="0" relativeHeight="251668480" behindDoc="1" locked="0" layoutInCell="1" allowOverlap="1">
          <wp:simplePos x="0" y="0"/>
          <wp:positionH relativeFrom="margin">
            <wp:align>center</wp:align>
          </wp:positionH>
          <wp:positionV relativeFrom="margin">
            <wp:align>center</wp:align>
          </wp:positionV>
          <wp:extent cx="5274310" cy="5247640"/>
          <wp:effectExtent l="0" t="0" r="2540" b="635"/>
          <wp:wrapNone/>
          <wp:docPr id="13" name="WordPictureWatermark3400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ordPictureWatermark34001" descr="LOGO"/>
                  <pic:cNvPicPr>
                    <a:picLocks noChangeAspect="1"/>
                  </pic:cNvPicPr>
                </pic:nvPicPr>
                <pic:blipFill>
                  <a:blip r:embed="rId1"/>
                  <a:stretch>
                    <a:fillRect/>
                  </a:stretch>
                </pic:blipFill>
                <pic:spPr>
                  <a:xfrm>
                    <a:off x="0" y="0"/>
                    <a:ext cx="5274310" cy="5247640"/>
                  </a:xfrm>
                  <a:prstGeom prst="rect">
                    <a:avLst/>
                  </a:prstGeom>
                  <a:noFill/>
                  <a:ln>
                    <a:noFill/>
                  </a:ln>
                </pic:spPr>
              </pic:pic>
            </a:graphicData>
          </a:graphic>
        </wp:anchor>
      </w:drawing>
    </w:r>
    <w:r>
      <w:rPr>
        <w:rFonts w:hint="eastAsia" w:ascii="黑体" w:hAnsi="黑体" w:eastAsia="黑体" w:cs="黑体"/>
        <w:szCs w:val="21"/>
      </w:rPr>
      <w:t>T</w:t>
    </w:r>
    <w:r>
      <w:rPr>
        <w:rFonts w:hint="eastAsia" w:ascii="黑体" w:hAnsi="黑体" w:eastAsia="黑体" w:cs="黑体"/>
        <w:color w:val="000000"/>
        <w:kern w:val="0"/>
        <w:szCs w:val="21"/>
      </w:rPr>
      <w:t>/</w:t>
    </w:r>
    <w:r>
      <w:rPr>
        <w:rFonts w:hint="eastAsia" w:ascii="黑体" w:hAnsi="黑体" w:eastAsia="黑体" w:cs="黑体"/>
        <w:szCs w:val="21"/>
      </w:rPr>
      <w:t>CECA-G XXXX—20XX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62B21">
    <w:pPr>
      <w:spacing w:after="170" w:line="238" w:lineRule="auto"/>
      <w:ind w:left="6270"/>
      <w:jc w:val="right"/>
      <w:rPr>
        <w:rFonts w:ascii="Calibri" w:hAnsi="Calibri" w:eastAsia="宋体" w:cs="Times New Roman"/>
        <w:szCs w:val="21"/>
      </w:rPr>
    </w:pPr>
    <w:r>
      <w:rPr>
        <w:rFonts w:ascii="Calibri" w:hAnsi="Calibri" w:eastAsia="宋体" w:cs="Times New Roman"/>
        <w:sz w:val="18"/>
        <w:szCs w:val="21"/>
      </w:rPr>
      <w:drawing>
        <wp:anchor distT="0" distB="0" distL="114300" distR="114300" simplePos="0" relativeHeight="251669504" behindDoc="1" locked="0" layoutInCell="1" allowOverlap="1">
          <wp:simplePos x="0" y="0"/>
          <wp:positionH relativeFrom="margin">
            <wp:align>center</wp:align>
          </wp:positionH>
          <wp:positionV relativeFrom="margin">
            <wp:align>center</wp:align>
          </wp:positionV>
          <wp:extent cx="5274310" cy="5247640"/>
          <wp:effectExtent l="0" t="0" r="2540" b="635"/>
          <wp:wrapNone/>
          <wp:docPr id="14" name="WordPictureWatermark3400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ordPictureWatermark34001" descr="LOGO"/>
                  <pic:cNvPicPr>
                    <a:picLocks noChangeAspect="1"/>
                  </pic:cNvPicPr>
                </pic:nvPicPr>
                <pic:blipFill>
                  <a:blip r:embed="rId1"/>
                  <a:stretch>
                    <a:fillRect/>
                  </a:stretch>
                </pic:blipFill>
                <pic:spPr>
                  <a:xfrm>
                    <a:off x="0" y="0"/>
                    <a:ext cx="5274310" cy="5247640"/>
                  </a:xfrm>
                  <a:prstGeom prst="rect">
                    <a:avLst/>
                  </a:prstGeom>
                  <a:noFill/>
                  <a:ln>
                    <a:noFill/>
                  </a:ln>
                </pic:spPr>
              </pic:pic>
            </a:graphicData>
          </a:graphic>
        </wp:anchor>
      </w:drawing>
    </w:r>
    <w:r>
      <w:rPr>
        <w:rFonts w:hint="eastAsia" w:ascii="黑体" w:hAnsi="黑体" w:eastAsia="黑体" w:cs="黑体"/>
        <w:szCs w:val="21"/>
      </w:rPr>
      <w:t>T</w:t>
    </w:r>
    <w:r>
      <w:rPr>
        <w:rFonts w:hint="eastAsia" w:ascii="黑体" w:hAnsi="黑体" w:eastAsia="黑体" w:cs="黑体"/>
        <w:color w:val="000000"/>
        <w:kern w:val="0"/>
        <w:szCs w:val="21"/>
      </w:rPr>
      <w:t>/</w:t>
    </w:r>
    <w:r>
      <w:rPr>
        <w:rFonts w:hint="eastAsia" w:ascii="黑体" w:hAnsi="黑体" w:eastAsia="黑体" w:cs="黑体"/>
        <w:szCs w:val="21"/>
      </w:rPr>
      <w:t>CECA-G XXXX—20XX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E34F7">
    <w:pPr>
      <w:spacing w:after="170" w:line="238" w:lineRule="auto"/>
      <w:ind w:left="6270"/>
      <w:jc w:val="right"/>
      <w:rPr>
        <w:rFonts w:ascii="Calibri" w:hAnsi="Calibri" w:eastAsia="黑体" w:cs="Times New Roman"/>
        <w:szCs w:val="21"/>
      </w:rPr>
    </w:pPr>
    <w:r>
      <w:rPr>
        <w:rFonts w:ascii="Calibri" w:hAnsi="Calibri" w:eastAsia="宋体" w:cs="Times New Roman"/>
        <w:sz w:val="18"/>
        <w:szCs w:val="21"/>
      </w:rPr>
      <w:drawing>
        <wp:anchor distT="0" distB="0" distL="114300" distR="114300" simplePos="0" relativeHeight="251670528" behindDoc="1" locked="0" layoutInCell="1" allowOverlap="1">
          <wp:simplePos x="0" y="0"/>
          <wp:positionH relativeFrom="margin">
            <wp:align>center</wp:align>
          </wp:positionH>
          <wp:positionV relativeFrom="margin">
            <wp:align>center</wp:align>
          </wp:positionV>
          <wp:extent cx="5274310" cy="5247640"/>
          <wp:effectExtent l="0" t="0" r="2540" b="635"/>
          <wp:wrapNone/>
          <wp:docPr id="15" name="WordPictureWatermark3400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ordPictureWatermark34001" descr="LOGO"/>
                  <pic:cNvPicPr>
                    <a:picLocks noChangeAspect="1"/>
                  </pic:cNvPicPr>
                </pic:nvPicPr>
                <pic:blipFill>
                  <a:blip r:embed="rId1"/>
                  <a:stretch>
                    <a:fillRect/>
                  </a:stretch>
                </pic:blipFill>
                <pic:spPr>
                  <a:xfrm>
                    <a:off x="0" y="0"/>
                    <a:ext cx="5274310" cy="5247640"/>
                  </a:xfrm>
                  <a:prstGeom prst="rect">
                    <a:avLst/>
                  </a:prstGeom>
                  <a:noFill/>
                  <a:ln>
                    <a:noFill/>
                  </a:ln>
                </pic:spPr>
              </pic:pic>
            </a:graphicData>
          </a:graphic>
        </wp:anchor>
      </w:drawing>
    </w:r>
    <w:r>
      <w:rPr>
        <w:rFonts w:hint="eastAsia" w:ascii="黑体" w:hAnsi="黑体" w:eastAsia="黑体" w:cs="黑体"/>
        <w:szCs w:val="21"/>
      </w:rPr>
      <w:t>T</w:t>
    </w:r>
    <w:r>
      <w:rPr>
        <w:rFonts w:hint="eastAsia" w:ascii="黑体" w:hAnsi="黑体" w:eastAsia="黑体" w:cs="黑体"/>
        <w:color w:val="000000"/>
        <w:kern w:val="0"/>
        <w:szCs w:val="21"/>
      </w:rPr>
      <w:t>/</w:t>
    </w:r>
    <w:r>
      <w:rPr>
        <w:rFonts w:hint="eastAsia" w:ascii="黑体" w:hAnsi="黑体" w:eastAsia="黑体" w:cs="黑体"/>
        <w:szCs w:val="21"/>
      </w:rPr>
      <w:t>CECA-G XXXX—20XX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9D5905"/>
    <w:multiLevelType w:val="singleLevel"/>
    <w:tmpl w:val="AD9D5905"/>
    <w:lvl w:ilvl="0" w:tentative="0">
      <w:start w:val="1"/>
      <w:numFmt w:val="decimal"/>
      <w:suff w:val="space"/>
      <w:lvlText w:val="[%1]"/>
      <w:lvlJc w:val="left"/>
    </w:lvl>
  </w:abstractNum>
  <w:abstractNum w:abstractNumId="1">
    <w:nsid w:val="646260FA"/>
    <w:multiLevelType w:val="multilevel"/>
    <w:tmpl w:val="646260FA"/>
    <w:lvl w:ilvl="0" w:tentative="0">
      <w:start w:val="1"/>
      <w:numFmt w:val="decimal"/>
      <w:pStyle w:val="2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657D3FBC"/>
    <w:multiLevelType w:val="multilevel"/>
    <w:tmpl w:val="657D3FBC"/>
    <w:lvl w:ilvl="0" w:tentative="0">
      <w:start w:val="1"/>
      <w:numFmt w:val="upperLetter"/>
      <w:pStyle w:val="2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315"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7"/>
      <w:suff w:val="nothing"/>
      <w:lvlText w:val="%1%2　"/>
      <w:lvlJc w:val="left"/>
      <w:pPr>
        <w:ind w:left="0" w:firstLine="0"/>
      </w:pPr>
      <w:rPr>
        <w:rFonts w:hint="eastAsia" w:ascii="黑体" w:eastAsia="黑体"/>
        <w:b w:val="0"/>
        <w:i w:val="0"/>
        <w:sz w:val="21"/>
      </w:rPr>
    </w:lvl>
    <w:lvl w:ilvl="2" w:tentative="0">
      <w:start w:val="1"/>
      <w:numFmt w:val="decimal"/>
      <w:pStyle w:val="2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24"/>
      <w:suff w:val="nothing"/>
      <w:lvlText w:val="%1%2.%3.%4　"/>
      <w:lvlJc w:val="left"/>
      <w:pPr>
        <w:ind w:left="0" w:firstLine="0"/>
      </w:pPr>
      <w:rPr>
        <w:rFonts w:hint="eastAsia" w:ascii="黑体" w:eastAsia="黑体"/>
        <w:b w:val="0"/>
        <w:i w:val="0"/>
        <w:sz w:val="21"/>
      </w:rPr>
    </w:lvl>
    <w:lvl w:ilvl="4" w:tentative="0">
      <w:start w:val="1"/>
      <w:numFmt w:val="decimal"/>
      <w:pStyle w:val="29"/>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6DBF04F4"/>
    <w:multiLevelType w:val="multilevel"/>
    <w:tmpl w:val="6DBF04F4"/>
    <w:lvl w:ilvl="0" w:tentative="0">
      <w:start w:val="1"/>
      <w:numFmt w:val="none"/>
      <w:pStyle w:val="3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A44CA6"/>
    <w:rsid w:val="002E3848"/>
    <w:rsid w:val="00F54650"/>
    <w:rsid w:val="02B0310F"/>
    <w:rsid w:val="02CF55EC"/>
    <w:rsid w:val="038334D8"/>
    <w:rsid w:val="04B51AC0"/>
    <w:rsid w:val="0541763F"/>
    <w:rsid w:val="0545660C"/>
    <w:rsid w:val="05575D95"/>
    <w:rsid w:val="06946FBF"/>
    <w:rsid w:val="06DE1FCC"/>
    <w:rsid w:val="07376C1C"/>
    <w:rsid w:val="08A81E50"/>
    <w:rsid w:val="08EE38ED"/>
    <w:rsid w:val="09267C87"/>
    <w:rsid w:val="0A09111B"/>
    <w:rsid w:val="0A424F95"/>
    <w:rsid w:val="0B7C6038"/>
    <w:rsid w:val="0BFD504F"/>
    <w:rsid w:val="0C4B2AE6"/>
    <w:rsid w:val="0C67251C"/>
    <w:rsid w:val="0CCA74C4"/>
    <w:rsid w:val="0CFE523C"/>
    <w:rsid w:val="0D01078D"/>
    <w:rsid w:val="0D374021"/>
    <w:rsid w:val="0F0C2E8C"/>
    <w:rsid w:val="0FCF5510"/>
    <w:rsid w:val="10817FD4"/>
    <w:rsid w:val="115D1650"/>
    <w:rsid w:val="11652DB8"/>
    <w:rsid w:val="11952C0E"/>
    <w:rsid w:val="125A65C9"/>
    <w:rsid w:val="131D4496"/>
    <w:rsid w:val="13327A3E"/>
    <w:rsid w:val="134E7F33"/>
    <w:rsid w:val="13CE1EF1"/>
    <w:rsid w:val="1488346E"/>
    <w:rsid w:val="15233C15"/>
    <w:rsid w:val="154934A9"/>
    <w:rsid w:val="15F6656E"/>
    <w:rsid w:val="17712A16"/>
    <w:rsid w:val="18786758"/>
    <w:rsid w:val="19173862"/>
    <w:rsid w:val="19372E7B"/>
    <w:rsid w:val="196E3B92"/>
    <w:rsid w:val="19857CC3"/>
    <w:rsid w:val="1A0813E3"/>
    <w:rsid w:val="1B466D27"/>
    <w:rsid w:val="1BA46EB4"/>
    <w:rsid w:val="1C761F42"/>
    <w:rsid w:val="1D693828"/>
    <w:rsid w:val="1E0B2298"/>
    <w:rsid w:val="1E205BB9"/>
    <w:rsid w:val="1E274249"/>
    <w:rsid w:val="1E301246"/>
    <w:rsid w:val="1E4E1CF2"/>
    <w:rsid w:val="1ED43DFB"/>
    <w:rsid w:val="201B1684"/>
    <w:rsid w:val="201E10E5"/>
    <w:rsid w:val="202251F5"/>
    <w:rsid w:val="22142532"/>
    <w:rsid w:val="22A44CA6"/>
    <w:rsid w:val="235B390E"/>
    <w:rsid w:val="23F54E0A"/>
    <w:rsid w:val="2481372D"/>
    <w:rsid w:val="24E33EA6"/>
    <w:rsid w:val="24F66303"/>
    <w:rsid w:val="2567307F"/>
    <w:rsid w:val="256A591D"/>
    <w:rsid w:val="26AB662E"/>
    <w:rsid w:val="2761703C"/>
    <w:rsid w:val="28212236"/>
    <w:rsid w:val="28706D19"/>
    <w:rsid w:val="287A0B79"/>
    <w:rsid w:val="29643C88"/>
    <w:rsid w:val="29D50854"/>
    <w:rsid w:val="2A815695"/>
    <w:rsid w:val="2ABE1FBE"/>
    <w:rsid w:val="2B960845"/>
    <w:rsid w:val="2BA42353"/>
    <w:rsid w:val="2C1C3785"/>
    <w:rsid w:val="2D5C2460"/>
    <w:rsid w:val="2D8079FF"/>
    <w:rsid w:val="2DC919DD"/>
    <w:rsid w:val="2E3F15C3"/>
    <w:rsid w:val="2F513520"/>
    <w:rsid w:val="2F990904"/>
    <w:rsid w:val="30664660"/>
    <w:rsid w:val="312C26C3"/>
    <w:rsid w:val="31F12C79"/>
    <w:rsid w:val="323847A4"/>
    <w:rsid w:val="330611E9"/>
    <w:rsid w:val="33136C1F"/>
    <w:rsid w:val="33645A78"/>
    <w:rsid w:val="33F06FAA"/>
    <w:rsid w:val="34C60358"/>
    <w:rsid w:val="350360CB"/>
    <w:rsid w:val="36CD3B59"/>
    <w:rsid w:val="37645C9B"/>
    <w:rsid w:val="37786CF5"/>
    <w:rsid w:val="384E39E3"/>
    <w:rsid w:val="38733847"/>
    <w:rsid w:val="39AA53A6"/>
    <w:rsid w:val="39E97BF2"/>
    <w:rsid w:val="3A5F014B"/>
    <w:rsid w:val="3A8E20FA"/>
    <w:rsid w:val="3AF11425"/>
    <w:rsid w:val="3B033C77"/>
    <w:rsid w:val="3B1367FA"/>
    <w:rsid w:val="3B722917"/>
    <w:rsid w:val="3CE31194"/>
    <w:rsid w:val="3E2002A1"/>
    <w:rsid w:val="40385404"/>
    <w:rsid w:val="40483083"/>
    <w:rsid w:val="407F457D"/>
    <w:rsid w:val="40823474"/>
    <w:rsid w:val="413761BF"/>
    <w:rsid w:val="413D25A0"/>
    <w:rsid w:val="43F15584"/>
    <w:rsid w:val="44DF1057"/>
    <w:rsid w:val="46A9398E"/>
    <w:rsid w:val="47412E3C"/>
    <w:rsid w:val="47486CB4"/>
    <w:rsid w:val="48140A12"/>
    <w:rsid w:val="4A714A31"/>
    <w:rsid w:val="4A9D6952"/>
    <w:rsid w:val="4AEC627C"/>
    <w:rsid w:val="4C431456"/>
    <w:rsid w:val="4C436608"/>
    <w:rsid w:val="4CF7437F"/>
    <w:rsid w:val="4D580E90"/>
    <w:rsid w:val="4E5F254F"/>
    <w:rsid w:val="4FA60D47"/>
    <w:rsid w:val="504D0E86"/>
    <w:rsid w:val="5059342B"/>
    <w:rsid w:val="507E1724"/>
    <w:rsid w:val="512A62D4"/>
    <w:rsid w:val="51786FAB"/>
    <w:rsid w:val="53922198"/>
    <w:rsid w:val="53CB60CB"/>
    <w:rsid w:val="53DE49C5"/>
    <w:rsid w:val="54714874"/>
    <w:rsid w:val="5533743C"/>
    <w:rsid w:val="56151142"/>
    <w:rsid w:val="56270168"/>
    <w:rsid w:val="562F73BC"/>
    <w:rsid w:val="564876B7"/>
    <w:rsid w:val="56657D61"/>
    <w:rsid w:val="56C13162"/>
    <w:rsid w:val="56C77845"/>
    <w:rsid w:val="57065EEC"/>
    <w:rsid w:val="57AD39B5"/>
    <w:rsid w:val="595653E6"/>
    <w:rsid w:val="59AD7291"/>
    <w:rsid w:val="5A092C13"/>
    <w:rsid w:val="5A6F322D"/>
    <w:rsid w:val="5C053504"/>
    <w:rsid w:val="5DFB460D"/>
    <w:rsid w:val="5EE9089A"/>
    <w:rsid w:val="5F2F716C"/>
    <w:rsid w:val="5FEC38E4"/>
    <w:rsid w:val="608C77D4"/>
    <w:rsid w:val="618E7412"/>
    <w:rsid w:val="62EA3895"/>
    <w:rsid w:val="6300041B"/>
    <w:rsid w:val="64167E4C"/>
    <w:rsid w:val="644E661D"/>
    <w:rsid w:val="646E445C"/>
    <w:rsid w:val="648A39BD"/>
    <w:rsid w:val="648F3388"/>
    <w:rsid w:val="65EE6B62"/>
    <w:rsid w:val="666A5AE7"/>
    <w:rsid w:val="66B12266"/>
    <w:rsid w:val="67963DE3"/>
    <w:rsid w:val="693C3AD3"/>
    <w:rsid w:val="69912E28"/>
    <w:rsid w:val="69BE2739"/>
    <w:rsid w:val="6A1D140C"/>
    <w:rsid w:val="6A5203CB"/>
    <w:rsid w:val="6B7A072E"/>
    <w:rsid w:val="6CB41E14"/>
    <w:rsid w:val="6CB94F80"/>
    <w:rsid w:val="6F312E00"/>
    <w:rsid w:val="6F3F0FB5"/>
    <w:rsid w:val="70047CBF"/>
    <w:rsid w:val="71081111"/>
    <w:rsid w:val="72783DCD"/>
    <w:rsid w:val="74BA06CD"/>
    <w:rsid w:val="752848D6"/>
    <w:rsid w:val="75B117AA"/>
    <w:rsid w:val="75D527B9"/>
    <w:rsid w:val="777A2EF9"/>
    <w:rsid w:val="78483400"/>
    <w:rsid w:val="78D21842"/>
    <w:rsid w:val="79096C94"/>
    <w:rsid w:val="7A72080E"/>
    <w:rsid w:val="7B7C20E7"/>
    <w:rsid w:val="7C841E7A"/>
    <w:rsid w:val="7E0230E5"/>
    <w:rsid w:val="7F7E5250"/>
    <w:rsid w:val="7F8F2ABD"/>
    <w:rsid w:val="7FB82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0"/>
  </w:style>
  <w:style w:type="paragraph" w:styleId="6">
    <w:name w:val="toc 2"/>
    <w:basedOn w:val="1"/>
    <w:next w:val="1"/>
    <w:qFormat/>
    <w:uiPriority w:val="0"/>
    <w:pPr>
      <w:ind w:left="420" w:leftChars="200"/>
    </w:p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qFormat/>
    <w:uiPriority w:val="0"/>
    <w:rPr>
      <w:sz w:val="21"/>
      <w:szCs w:val="21"/>
    </w:rPr>
  </w:style>
  <w:style w:type="table" w:customStyle="1" w:styleId="12">
    <w:name w:val="网格型92"/>
    <w:qFormat/>
    <w:uiPriority w:val="0"/>
    <w:pPr>
      <w:keepNext w:val="0"/>
      <w:keepLines w:val="0"/>
      <w:widowControl/>
      <w:suppressLineNumbers w:val="0"/>
      <w:spacing w:before="0" w:beforeAutospacing="0" w:after="0" w:afterAutospacing="0"/>
      <w:ind w:left="0" w:right="0"/>
    </w:pPr>
    <w:rPr>
      <w:rFonts w:hint="default" w:ascii="Times New Roman" w:hAnsi="Times New Roman"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3">
    <w:name w:val="标准书眉_偶数页"/>
    <w:basedOn w:val="1"/>
    <w:next w:val="1"/>
    <w:qFormat/>
    <w:uiPriority w:val="99"/>
    <w:pPr>
      <w:widowControl/>
      <w:tabs>
        <w:tab w:val="center" w:pos="4154"/>
        <w:tab w:val="right" w:pos="8306"/>
      </w:tabs>
      <w:spacing w:after="120"/>
      <w:jc w:val="left"/>
    </w:pPr>
    <w:rPr>
      <w:rFonts w:ascii="Times New Roman" w:hAnsi="Times New Roman" w:eastAsia="宋体" w:cs="Times New Roman"/>
      <w:kern w:val="0"/>
      <w:szCs w:val="20"/>
    </w:rPr>
  </w:style>
  <w:style w:type="paragraph" w:customStyle="1" w:styleId="14">
    <w:name w:val="前言、引言标题"/>
    <w:next w:val="15"/>
    <w:qFormat/>
    <w:uiPriority w:val="99"/>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5">
    <w:name w:val="段"/>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6">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
    <w:name w:val="标准文件_章标题"/>
    <w:next w:val="18"/>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8">
    <w:name w:val="标准文件_段"/>
    <w:qFormat/>
    <w:uiPriority w:val="0"/>
    <w:pPr>
      <w:autoSpaceDE w:val="0"/>
      <w:autoSpaceDN w:val="0"/>
      <w:ind w:firstLine="200" w:firstLineChars="200"/>
      <w:jc w:val="both"/>
    </w:pPr>
    <w:rPr>
      <w:rFonts w:ascii="Times New Roman" w:hAnsi="Times New Roman" w:eastAsia="宋体" w:cs="Times New Roman"/>
      <w:sz w:val="21"/>
    </w:rPr>
  </w:style>
  <w:style w:type="paragraph" w:customStyle="1" w:styleId="19">
    <w:name w:val="标准文件_术语条一"/>
    <w:basedOn w:val="20"/>
    <w:next w:val="18"/>
    <w:qFormat/>
    <w:uiPriority w:val="0"/>
  </w:style>
  <w:style w:type="paragraph" w:customStyle="1" w:styleId="20">
    <w:name w:val="标准文件_一级无标题"/>
    <w:basedOn w:val="21"/>
    <w:qFormat/>
    <w:uiPriority w:val="0"/>
    <w:pPr>
      <w:spacing w:before="0" w:beforeLines="0" w:after="0" w:afterLines="0"/>
      <w:outlineLvl w:val="9"/>
    </w:pPr>
    <w:rPr>
      <w:rFonts w:ascii="宋体" w:eastAsia="宋体"/>
    </w:rPr>
  </w:style>
  <w:style w:type="paragraph" w:customStyle="1" w:styleId="21">
    <w:name w:val="标准文件_一级条标题"/>
    <w:basedOn w:val="17"/>
    <w:next w:val="18"/>
    <w:qFormat/>
    <w:uiPriority w:val="0"/>
    <w:pPr>
      <w:numPr>
        <w:ilvl w:val="2"/>
      </w:numPr>
      <w:spacing w:before="50" w:beforeLines="50" w:after="50" w:afterLines="50"/>
      <w:outlineLvl w:val="1"/>
    </w:pPr>
  </w:style>
  <w:style w:type="paragraph" w:customStyle="1" w:styleId="22">
    <w:name w:val="标准文件_正文表标题"/>
    <w:next w:val="18"/>
    <w:qFormat/>
    <w:uiPriority w:val="0"/>
    <w:pPr>
      <w:numPr>
        <w:ilvl w:val="0"/>
        <w:numId w:val="2"/>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23">
    <w:name w:val="标准文件_表格"/>
    <w:basedOn w:val="18"/>
    <w:qFormat/>
    <w:uiPriority w:val="0"/>
    <w:pPr>
      <w:ind w:firstLine="0" w:firstLineChars="0"/>
      <w:jc w:val="center"/>
    </w:pPr>
    <w:rPr>
      <w:sz w:val="18"/>
    </w:rPr>
  </w:style>
  <w:style w:type="paragraph" w:customStyle="1" w:styleId="24">
    <w:name w:val="标准文件_二级条标题"/>
    <w:next w:val="18"/>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25">
    <w:name w:val="标准文件_正文公式"/>
    <w:basedOn w:val="1"/>
    <w:next w:val="26"/>
    <w:qFormat/>
    <w:uiPriority w:val="0"/>
    <w:pPr>
      <w:tabs>
        <w:tab w:val="center" w:pos="4678"/>
        <w:tab w:val="right" w:leader="middleDot" w:pos="9356"/>
      </w:tabs>
      <w:spacing w:line="240" w:lineRule="auto"/>
    </w:pPr>
    <w:rPr>
      <w:rFonts w:ascii="宋体" w:hAnsi="宋体"/>
    </w:rPr>
  </w:style>
  <w:style w:type="paragraph" w:customStyle="1" w:styleId="26">
    <w:name w:val="标准文件_标准正文"/>
    <w:basedOn w:val="1"/>
    <w:next w:val="18"/>
    <w:qFormat/>
    <w:uiPriority w:val="0"/>
    <w:pPr>
      <w:snapToGrid w:val="0"/>
      <w:ind w:firstLine="200" w:firstLineChars="200"/>
    </w:pPr>
    <w:rPr>
      <w:kern w:val="0"/>
    </w:rPr>
  </w:style>
  <w:style w:type="paragraph" w:customStyle="1" w:styleId="27">
    <w:name w:val="标准文件_附录标识"/>
    <w:next w:val="18"/>
    <w:qFormat/>
    <w:uiPriority w:val="0"/>
    <w:pPr>
      <w:numPr>
        <w:ilvl w:val="0"/>
        <w:numId w:val="3"/>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28">
    <w:name w:val="标准文件_二级无标题"/>
    <w:basedOn w:val="24"/>
    <w:qFormat/>
    <w:uiPriority w:val="0"/>
    <w:pPr>
      <w:spacing w:before="0" w:beforeLines="0" w:after="0" w:afterLines="0"/>
      <w:outlineLvl w:val="9"/>
    </w:pPr>
    <w:rPr>
      <w:rFonts w:ascii="宋体" w:eastAsia="宋体"/>
    </w:rPr>
  </w:style>
  <w:style w:type="paragraph" w:customStyle="1" w:styleId="29">
    <w:name w:val="标准文件_三级条标题"/>
    <w:basedOn w:val="24"/>
    <w:next w:val="18"/>
    <w:qFormat/>
    <w:uiPriority w:val="0"/>
    <w:pPr>
      <w:widowControl/>
      <w:numPr>
        <w:ilvl w:val="4"/>
      </w:numPr>
      <w:outlineLvl w:val="3"/>
    </w:pPr>
  </w:style>
  <w:style w:type="paragraph" w:customStyle="1" w:styleId="30">
    <w:name w:val="标准文件_注："/>
    <w:next w:val="18"/>
    <w:qFormat/>
    <w:uiPriority w:val="0"/>
    <w:pPr>
      <w:widowControl w:val="0"/>
      <w:numPr>
        <w:ilvl w:val="0"/>
        <w:numId w:val="4"/>
      </w:numPr>
      <w:autoSpaceDE w:val="0"/>
      <w:autoSpaceDN w:val="0"/>
      <w:jc w:val="both"/>
    </w:pPr>
    <w:rPr>
      <w:rFonts w:ascii="宋体" w:hAnsi="Times New Roman" w:eastAsia="宋体" w:cs="Times New Roman"/>
      <w:sz w:val="18"/>
      <w:szCs w:val="18"/>
      <w:lang w:val="en-US" w:eastAsia="zh-CN" w:bidi="ar-SA"/>
    </w:rPr>
  </w:style>
  <w:style w:type="paragraph" w:customStyle="1" w:styleId="31">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character" w:styleId="32">
    <w:name w:val="Placeholder Text"/>
    <w:basedOn w:val="10"/>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4.jpeg"/><Relationship Id="rId2" Type="http://schemas.openxmlformats.org/officeDocument/2006/relationships/settings" Target="settings.xml"/><Relationship Id="rId19" Type="http://schemas.openxmlformats.org/officeDocument/2006/relationships/image" Target="media/image3.png"/><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1" Type="http://schemas.openxmlformats.org/officeDocument/2006/relationships/image" Target="media/image2.jpeg"/></Relationships>
</file>

<file path=word/_rels/header8.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e39999f-a1d3-48d6-9bfe-5c0cf92df848}"/>
        <w:style w:val=""/>
        <w:category>
          <w:name w:val="常规"/>
          <w:gallery w:val="placeholder"/>
        </w:category>
        <w:types>
          <w:type w:val="bbPlcHdr"/>
        </w:types>
        <w:behaviors>
          <w:behavior w:val="content"/>
        </w:behaviors>
        <w:description w:val=""/>
        <w:guid w:val="{be39999f-a1d3-48d6-9bfe-5c0cf92df848}"/>
      </w:docPartPr>
      <w:docPartBody>
        <w:p w14:paraId="251BB738">
          <w:pPr>
            <w:pStyle w:val="2"/>
          </w:pPr>
          <w:r>
            <w:rPr>
              <w:rStyle w:val="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9B3BEDB4F2724F9D81F4444A5CCE266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styleId="3">
    <w:name w:val="Placeholder Text"/>
    <w:basedOn w:val="1"/>
    <w:semiHidden/>
    <w:qFormat/>
    <w:uiPriority w:val="99"/>
    <w:rPr>
      <w:color w:val="808080"/>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1225</Words>
  <Characters>1423</Characters>
  <Lines>0</Lines>
  <Paragraphs>0</Paragraphs>
  <TotalTime>3</TotalTime>
  <ScaleCrop>false</ScaleCrop>
  <LinksUpToDate>false</LinksUpToDate>
  <CharactersWithSpaces>1545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2026-07-20T07:14:00Z</dcterms:created>
  <dc:creator>寻梦</dc:creator>
  <cp:lastModifiedBy>王珏旻</cp:lastModifiedBy>
  <dcterms:modified xsi:type="dcterms:W3CDTF">2026-09-01T02:42:36Z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90FAB2F6F16F43C7B2578B23954C60A0_13</vt:lpwstr>
  </property>
  <property fmtid="{D5CDD505-2E9C-101B-9397-08002B2CF9AE}" pid="4" name="KSOTemplateDocerSaveRecord">
    <vt:lpwstr>eyJoZGlkIjoiYzIzNjhjZjkxMjg2OGJjOTQ0NThhNzBhOGI4YTVmYWYiLCJ1c2VySWQiOiIzODk1NjY5ODUifQ==</vt:lpwstr>
  </property>
</Properties>
</file>