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1406F">
      <w:pPr>
        <w:spacing w:line="588" w:lineRule="exact"/>
      </w:pPr>
    </w:p>
    <w:p w14:paraId="34459F5B">
      <w:pPr>
        <w:keepNext/>
        <w:spacing w:line="588" w:lineRule="exact"/>
        <w:ind w:firstLine="0"/>
        <w:jc w:val="center"/>
      </w:pPr>
      <w:r>
        <w:rPr>
          <w:rFonts w:ascii="Times New Roman" w:hAnsi="Times New Roman" w:eastAsia="方正小标宋_GBK" w:cs="Times New Roman"/>
          <w:sz w:val="36"/>
        </w:rPr>
        <w:t>《T梁工业化建造碳排放核算》编制说明</w:t>
      </w:r>
    </w:p>
    <w:p w14:paraId="34459F5C">
      <w:pPr>
        <w:spacing w:line="588" w:lineRule="exact"/>
      </w:pPr>
    </w:p>
    <w:p w14:paraId="34459F5D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一、工作简况</w:t>
      </w:r>
    </w:p>
    <w:p w14:paraId="34459F5E">
      <w:pPr>
        <w:keepNext/>
        <w:spacing w:line="588" w:lineRule="exact"/>
        <w:ind w:firstLine="450"/>
      </w:pPr>
      <w:r>
        <w:rPr>
          <w:rFonts w:ascii="Times New Roman" w:hAnsi="Times New Roman" w:eastAsia="方正楷体_GBK" w:cs="Times New Roman"/>
          <w:sz w:val="30"/>
        </w:rPr>
        <w:t>（一）背景和任务来源</w:t>
      </w:r>
    </w:p>
    <w:p w14:paraId="34459F5F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交通基础设施建设是能源和资源消耗的重要领域，其绿色低碳转型是落实碳达峰、碳中和目标的重要组成部分。T梁作为公路、城市道路及相关交通工程中广泛应用的预制混凝土构件，具有材料投入量大、工厂化生产集中、运输环节多等特点，对其工业化建造过程开展碳排放核算，是识别重点排放环节、推进工程建设节能降碳的重要基础。</w:t>
      </w:r>
    </w:p>
    <w:p w14:paraId="34459F60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现有碳排放核算标准主要针对生命周期评价、建筑工程、公路工程或工业企业提出通用要求，未能充分反映T梁工业化建造的工艺特点，缺乏覆盖原材料生产、原材料运输、构件工厂化生产、构件运输和现场安装全过程的统一核算边界、数据要求和核算方法，导致不同项目的核算口径和结果可比性不足。</w:t>
      </w:r>
    </w:p>
    <w:p w14:paraId="34459F61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鉴于以上背景，编制《T梁工业化建造碳排放核算》具有重要意义。本文件将为T梁工业化建造碳排放核算提供统一的技术要求，规范活动数据和碳排放因子的选取，明确各阶段核算方法及结果核验要求，为工程碳排放管理和减排措施制定提供依据。</w:t>
      </w:r>
    </w:p>
    <w:p w14:paraId="34459F62">
      <w:pPr>
        <w:keepNext/>
        <w:spacing w:line="588" w:lineRule="exact"/>
        <w:ind w:firstLine="450"/>
      </w:pPr>
      <w:r>
        <w:rPr>
          <w:rFonts w:ascii="Times New Roman" w:hAnsi="Times New Roman" w:eastAsia="方正楷体_GBK" w:cs="Times New Roman"/>
          <w:sz w:val="30"/>
        </w:rPr>
        <w:t>（二）项目起草单位简况</w:t>
      </w:r>
    </w:p>
    <w:p w14:paraId="34459F63">
      <w:pPr>
        <w:spacing w:line="588" w:lineRule="exact"/>
        <w:ind w:firstLine="600"/>
        <w:jc w:val="both"/>
        <w:rPr>
          <w:rFonts w:ascii="Times New Roman" w:hAnsi="Times New Roman" w:eastAsia="方正仿宋_GBK" w:cs="Times New Roman"/>
          <w:sz w:val="30"/>
        </w:rPr>
      </w:pPr>
      <w:r>
        <w:rPr>
          <w:rFonts w:ascii="Times New Roman" w:hAnsi="Times New Roman" w:eastAsia="方正仿宋_GBK" w:cs="Times New Roman"/>
          <w:sz w:val="30"/>
        </w:rPr>
        <w:t>该标准由</w:t>
      </w:r>
      <w:r>
        <w:rPr>
          <w:rFonts w:hint="eastAsia" w:ascii="Times New Roman" w:hAnsi="Times New Roman" w:eastAsia="方正仿宋_GBK" w:cs="Times New Roman"/>
          <w:sz w:val="30"/>
        </w:rPr>
        <w:t>中国节能协会</w:t>
      </w:r>
      <w:r>
        <w:rPr>
          <w:rFonts w:ascii="Times New Roman" w:hAnsi="Times New Roman" w:eastAsia="方正仿宋_GBK" w:cs="Times New Roman"/>
          <w:sz w:val="30"/>
        </w:rPr>
        <w:t>提出并归口，由</w:t>
      </w:r>
      <w:r>
        <w:rPr>
          <w:rFonts w:hint="eastAsia" w:ascii="Times New Roman" w:hAnsi="Times New Roman" w:eastAsia="方正仿宋_GBK" w:cs="Times New Roman"/>
          <w:sz w:val="30"/>
        </w:rPr>
        <w:t>宁波交通工程建设集团有限公司</w:t>
      </w:r>
      <w:r>
        <w:rPr>
          <w:rFonts w:ascii="Times New Roman" w:hAnsi="Times New Roman" w:eastAsia="方正仿宋_GBK" w:cs="Times New Roman"/>
          <w:sz w:val="30"/>
        </w:rPr>
        <w:t>牵头起草，</w:t>
      </w:r>
      <w:r>
        <w:rPr>
          <w:rFonts w:hint="eastAsia" w:ascii="Times New Roman" w:hAnsi="Times New Roman" w:eastAsia="方正仿宋_GBK" w:cs="Times New Roman"/>
          <w:sz w:val="30"/>
        </w:rPr>
        <w:t>浙江宁波杭甬复线三期高速公路有限公司、中交第二公路工程局有限公司、东南大学</w:t>
      </w:r>
      <w:r>
        <w:rPr>
          <w:rFonts w:ascii="Times New Roman" w:hAnsi="Times New Roman" w:eastAsia="方正仿宋_GBK" w:cs="Times New Roman"/>
          <w:sz w:val="30"/>
        </w:rPr>
        <w:t>等单位参与起草。</w:t>
      </w:r>
    </w:p>
    <w:p w14:paraId="34459F64">
      <w:pPr>
        <w:keepNext/>
        <w:spacing w:line="588" w:lineRule="exact"/>
        <w:ind w:firstLine="450"/>
      </w:pPr>
      <w:r>
        <w:rPr>
          <w:rFonts w:ascii="Times New Roman" w:hAnsi="Times New Roman" w:eastAsia="方正楷体_GBK" w:cs="Times New Roman"/>
          <w:sz w:val="30"/>
        </w:rPr>
        <w:t>（三）标准编制原则</w:t>
      </w:r>
    </w:p>
    <w:p w14:paraId="34459F65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本文件的编制主要遵循科学性、合理性和可操作性原则。</w:t>
      </w:r>
    </w:p>
    <w:p w14:paraId="34459F66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科学性。以生命周期评价和温室气体核算方法为基础，结合T梁工业化建造的工艺流程、材料构成、能源使用和施工特点，合理确定核算边界和核算方法。</w:t>
      </w:r>
    </w:p>
    <w:p w14:paraId="34459F67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合理性。充分考虑T梁工业化建造的实际情况，与现行碳排放核算、T梁生产、工程量计算和相关定额文件相衔接，确保标准内容协调、合理。</w:t>
      </w:r>
    </w:p>
    <w:p w14:paraId="34459F68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可操作性。明确活动数据和碳排放因子的选取原则，对缺少实际数据的情形给出缺省参数，并设置结果汇总与核验表，便于相关单位开展核算。</w:t>
      </w:r>
    </w:p>
    <w:p w14:paraId="34459F69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二、标准制定的依据与主要工作研究过程</w:t>
      </w:r>
    </w:p>
    <w:p w14:paraId="34459F6A">
      <w:pPr>
        <w:keepNext/>
        <w:spacing w:line="588" w:lineRule="exact"/>
        <w:ind w:firstLine="450"/>
      </w:pPr>
      <w:r>
        <w:rPr>
          <w:rFonts w:ascii="Times New Roman" w:hAnsi="Times New Roman" w:eastAsia="方正楷体_GBK" w:cs="Times New Roman"/>
          <w:sz w:val="30"/>
        </w:rPr>
        <w:t>（一）制定依据</w:t>
      </w:r>
    </w:p>
    <w:p w14:paraId="34459F6B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1、按照GB/T 1.1-2020《标准化工作导则 第1部分：标准化文件的结构和起草规则》的要求和规定编写标准内容；</w:t>
      </w:r>
    </w:p>
    <w:p w14:paraId="34459F6C">
      <w:pPr>
        <w:keepNext/>
        <w:spacing w:line="588" w:lineRule="exact"/>
        <w:ind w:firstLine="600" w:firstLineChars="200"/>
        <w:jc w:val="left"/>
      </w:pPr>
      <w:r>
        <w:rPr>
          <w:rFonts w:ascii="Times New Roman" w:hAnsi="Times New Roman" w:eastAsia="方正仿宋_GBK" w:cs="Times New Roman"/>
          <w:sz w:val="30"/>
        </w:rPr>
        <w:t>2、本文件充分参考了颁布实施的相关标准，如GB/T 24040—2008《环境管理 生命周期评价 原则与框架》、GB/T 51366—2019《建筑碳排放计算标准》、T/CHSDA 0001—2024《公路工程建设期碳排放计算标准》，在技术上进行了很好的衔接；</w:t>
      </w:r>
    </w:p>
    <w:p w14:paraId="34459F6D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3、本文件充分考虑T梁工业化建造的实际情况和绿色低碳发展需求。</w:t>
      </w:r>
    </w:p>
    <w:p w14:paraId="34459F6E">
      <w:pPr>
        <w:keepNext/>
        <w:spacing w:line="588" w:lineRule="exact"/>
        <w:ind w:firstLine="450"/>
      </w:pPr>
      <w:r>
        <w:rPr>
          <w:rFonts w:ascii="Times New Roman" w:hAnsi="Times New Roman" w:eastAsia="方正楷体_GBK" w:cs="Times New Roman"/>
          <w:sz w:val="30"/>
        </w:rPr>
        <w:t>（二）主要工作过程</w:t>
      </w:r>
    </w:p>
    <w:p w14:paraId="34459F6F">
      <w:pPr>
        <w:keepNext/>
        <w:spacing w:line="588" w:lineRule="exact"/>
        <w:ind w:firstLine="600" w:firstLineChars="200"/>
      </w:pPr>
      <w:r>
        <w:rPr>
          <w:rFonts w:ascii="Times New Roman" w:hAnsi="Times New Roman" w:eastAsia="方正楷体_GBK" w:cs="Times New Roman"/>
          <w:sz w:val="30"/>
        </w:rPr>
        <w:t>1、前期研究</w:t>
      </w:r>
    </w:p>
    <w:p w14:paraId="34459F70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起草组围绕T梁工业化建造、工程建设碳排放核算、生命周期评价及相关定额开展资料收集、标准调研和工程实践分析。鉴于尚缺少适用于T梁工业化建造全过程的专项核算要求，XX等有关单位共同起草了项目建议书和标准草案。</w:t>
      </w:r>
    </w:p>
    <w:p w14:paraId="34459F71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2、标准立项</w:t>
      </w:r>
    </w:p>
    <w:p w14:paraId="34459F72">
      <w:pPr>
        <w:spacing w:line="588" w:lineRule="exact"/>
        <w:ind w:firstLine="600"/>
        <w:jc w:val="both"/>
      </w:pP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3</w:t>
      </w:r>
      <w:r>
        <w:rPr>
          <w:rFonts w:ascii="Times New Roman" w:hAnsi="Times New Roman" w:eastAsia="方正仿宋_GBK" w:cs="Times New Roman"/>
          <w:sz w:val="30"/>
        </w:rPr>
        <w:t>月，起草组在研究T梁工业化建造碳排放核算的国内外标准现状后，认为现有相关标准尚不能满足全过程核算需要，故向</w:t>
      </w:r>
      <w:r>
        <w:rPr>
          <w:rFonts w:hint="eastAsia" w:cs="Times New Roman"/>
          <w:sz w:val="30"/>
          <w:lang w:val="en-US" w:eastAsia="zh-CN"/>
        </w:rPr>
        <w:t>中国节能协会</w:t>
      </w:r>
      <w:r>
        <w:rPr>
          <w:rFonts w:ascii="Times New Roman" w:hAnsi="Times New Roman" w:eastAsia="方正仿宋_GBK" w:cs="Times New Roman"/>
          <w:sz w:val="30"/>
        </w:rPr>
        <w:t>提出立项申请，并于</w:t>
      </w: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0"/>
        </w:rPr>
        <w:t>月正式获得立项批准（立项编号：</w:t>
      </w:r>
      <w:r>
        <w:rPr>
          <w:rFonts w:hint="eastAsia" w:cs="Times New Roman"/>
          <w:sz w:val="30"/>
          <w:lang w:val="en-US" w:eastAsia="zh-CN"/>
        </w:rPr>
        <w:t>TB-20260051</w:t>
      </w:r>
      <w:r>
        <w:rPr>
          <w:rFonts w:ascii="Times New Roman" w:hAnsi="Times New Roman" w:eastAsia="方正仿宋_GBK" w:cs="Times New Roman"/>
          <w:sz w:val="30"/>
        </w:rPr>
        <w:t>）。</w:t>
      </w:r>
    </w:p>
    <w:p w14:paraId="34459F73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3、成立标准编制小组</w:t>
      </w:r>
    </w:p>
    <w:p w14:paraId="34459F74">
      <w:pPr>
        <w:spacing w:line="588" w:lineRule="exact"/>
        <w:ind w:firstLine="600"/>
        <w:jc w:val="both"/>
      </w:pP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0"/>
        </w:rPr>
        <w:t>月，成立标准起草组，开始标准的起草工作。</w:t>
      </w:r>
    </w:p>
    <w:p w14:paraId="34459F75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4、多方讨论后形成征求意见稿，公开并定向征集意见</w:t>
      </w:r>
    </w:p>
    <w:p w14:paraId="34459F76">
      <w:pPr>
        <w:spacing w:line="588" w:lineRule="exact"/>
        <w:ind w:firstLine="600"/>
        <w:jc w:val="both"/>
      </w:pP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0"/>
        </w:rPr>
        <w:t>月—</w:t>
      </w: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9</w:t>
      </w:r>
      <w:r>
        <w:rPr>
          <w:rFonts w:ascii="Times New Roman" w:hAnsi="Times New Roman" w:eastAsia="方正仿宋_GBK" w:cs="Times New Roman"/>
          <w:sz w:val="30"/>
        </w:rPr>
        <w:t>月，多次召开讨论会，根据各方意见修改整理，形成征求意见稿。</w:t>
      </w:r>
    </w:p>
    <w:p w14:paraId="34459F77">
      <w:pPr>
        <w:spacing w:line="588" w:lineRule="exact"/>
        <w:ind w:firstLine="600"/>
        <w:jc w:val="both"/>
      </w:pP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9</w:t>
      </w:r>
      <w:r>
        <w:rPr>
          <w:rFonts w:ascii="Times New Roman" w:hAnsi="Times New Roman" w:eastAsia="方正仿宋_GBK" w:cs="Times New Roman"/>
          <w:sz w:val="30"/>
        </w:rPr>
        <w:t>月，向社会各界公开并定向征求意见。</w:t>
      </w:r>
    </w:p>
    <w:p w14:paraId="34459F78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5、召开标准审定会</w:t>
      </w:r>
    </w:p>
    <w:p w14:paraId="34459F79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计划于</w:t>
      </w:r>
      <w:r>
        <w:rPr>
          <w:rFonts w:hint="eastAsia" w:cs="Times New Roman"/>
          <w:sz w:val="30"/>
          <w:lang w:val="en-US" w:eastAsia="zh-CN"/>
        </w:rPr>
        <w:t>2026</w:t>
      </w:r>
      <w:r>
        <w:rPr>
          <w:rFonts w:ascii="Times New Roman" w:hAnsi="Times New Roman" w:eastAsia="方正仿宋_GBK" w:cs="Times New Roman"/>
          <w:sz w:val="30"/>
        </w:rPr>
        <w:t>年</w:t>
      </w:r>
      <w:r>
        <w:rPr>
          <w:rFonts w:hint="eastAsia" w:cs="Times New Roman"/>
          <w:sz w:val="30"/>
          <w:lang w:val="en-US" w:eastAsia="zh-CN"/>
        </w:rPr>
        <w:t>11</w:t>
      </w:r>
      <w:r>
        <w:rPr>
          <w:rFonts w:ascii="Times New Roman" w:hAnsi="Times New Roman" w:eastAsia="方正仿宋_GBK" w:cs="Times New Roman"/>
          <w:sz w:val="30"/>
        </w:rPr>
        <w:t>月，根据各界意见修改，形成送审稿，并召开专家审定会。</w:t>
      </w:r>
    </w:p>
    <w:p w14:paraId="34459F7A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三、文件的主要内容及各项技术依据</w:t>
      </w:r>
    </w:p>
    <w:p w14:paraId="34459F7B">
      <w:pPr>
        <w:keepNext/>
        <w:spacing w:line="588" w:lineRule="exact"/>
        <w:ind w:firstLine="450"/>
      </w:pPr>
      <w:r>
        <w:rPr>
          <w:rFonts w:ascii="Times New Roman" w:hAnsi="Times New Roman" w:eastAsia="方正楷体_GBK" w:cs="Times New Roman"/>
          <w:sz w:val="30"/>
        </w:rPr>
        <w:t>（一）文件的主要内容</w:t>
      </w:r>
    </w:p>
    <w:p w14:paraId="34459F7C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1 范围</w:t>
      </w:r>
    </w:p>
    <w:p w14:paraId="34459F7D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本文件规定了工业化建造T梁碳排放核算的术语和定义、基本规定、核算边界、数据要求、核算方法及结果核验要求，适用于原材料生产、原材料运输、构件工厂化生产、构件运输和现场安装阶段，不包括使用、拆除和回收阶段。</w:t>
      </w:r>
    </w:p>
    <w:p w14:paraId="34459F7E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2 规范引用文件</w:t>
      </w:r>
    </w:p>
    <w:p w14:paraId="34459F7F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主要包括：</w:t>
      </w:r>
    </w:p>
    <w:p w14:paraId="34459F80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24040　环境管理 生命周期评价 原则与框架</w:t>
      </w:r>
    </w:p>
    <w:p w14:paraId="34459F81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24044　环境管理 生命周期评价 要求与指南</w:t>
      </w:r>
    </w:p>
    <w:p w14:paraId="34459F82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2589　综合能耗计算通则</w:t>
      </w:r>
    </w:p>
    <w:p w14:paraId="34459F83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32150　工业企业温室气体排放核算和报告通则</w:t>
      </w:r>
    </w:p>
    <w:p w14:paraId="34459F84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51366　建筑碳排放计算标准</w:t>
      </w:r>
    </w:p>
    <w:p w14:paraId="34459F85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50854　房屋建筑与装饰工程工程量计算标准</w:t>
      </w:r>
    </w:p>
    <w:p w14:paraId="34459F86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GB/T 50861　城市轨道交通工程工程量计算标准</w:t>
      </w:r>
    </w:p>
    <w:p w14:paraId="34459F87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JC/T 2359　预应力混凝土T型梁</w:t>
      </w:r>
    </w:p>
    <w:p w14:paraId="34459F8E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3 术语和定义</w:t>
      </w:r>
    </w:p>
    <w:p w14:paraId="34459F8F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对工业化建造T梁、工业化建造T梁碳排放量、单位产品碳排放量、碳排放因子和周转材料等术语进行说明。</w:t>
      </w:r>
    </w:p>
    <w:p w14:paraId="34459F90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4 基本规定</w:t>
      </w:r>
    </w:p>
    <w:p w14:paraId="34459F91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明确核算对象、声明单位、核算边界和核算记录等基本要求。</w:t>
      </w:r>
    </w:p>
    <w:p w14:paraId="34459F92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5 碳排放核算要求</w:t>
      </w:r>
    </w:p>
    <w:p w14:paraId="34459F93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规定T梁工业化建造各阶段的核算范围、核算方法、活动数据和碳排放因子的选取要求。</w:t>
      </w:r>
    </w:p>
    <w:p w14:paraId="34459F94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6 工厂化生产及运输阶段碳排放核算</w:t>
      </w:r>
    </w:p>
    <w:p w14:paraId="34459F95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规定原材料生产、原材料运输、构件工厂化生产和构件运输阶段的核算方法。其中，构件工厂化生产阶段包括生产能源和周转材料消耗产生的碳排放。</w:t>
      </w:r>
    </w:p>
    <w:p w14:paraId="34459F96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7 现场安装阶段碳排放核算</w:t>
      </w:r>
    </w:p>
    <w:p w14:paraId="34459F97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规定现场安装阶段机械能源消耗、材料消耗和措施项目的碳排放核算方法。</w:t>
      </w:r>
    </w:p>
    <w:p w14:paraId="34459F98">
      <w:pPr>
        <w:keepNext/>
        <w:spacing w:line="588" w:lineRule="exact"/>
        <w:ind w:firstLine="600" w:firstLineChars="200"/>
        <w:rPr>
          <w:rFonts w:eastAsia="方正楷体_GBK"/>
        </w:rPr>
      </w:pPr>
      <w:r>
        <w:rPr>
          <w:rFonts w:ascii="Times New Roman" w:hAnsi="Times New Roman" w:eastAsia="方正楷体_GBK" w:cs="Times New Roman"/>
          <w:sz w:val="30"/>
        </w:rPr>
        <w:t>8 附录</w:t>
      </w:r>
    </w:p>
    <w:p w14:paraId="34459F99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附录A为资料性附录，给出碳排放核算参数缺省值。</w:t>
      </w:r>
    </w:p>
    <w:p w14:paraId="265FA53C">
      <w:pPr>
        <w:spacing w:line="588" w:lineRule="exact"/>
        <w:ind w:firstLine="600"/>
        <w:jc w:val="both"/>
        <w:rPr>
          <w:rFonts w:hint="eastAsia" w:cs="Times New Roman"/>
          <w:sz w:val="30"/>
          <w:lang w:eastAsia="zh-CN"/>
        </w:rPr>
      </w:pPr>
      <w:r>
        <w:rPr>
          <w:rFonts w:ascii="Times New Roman" w:hAnsi="Times New Roman" w:eastAsia="方正仿宋_GBK" w:cs="Times New Roman"/>
          <w:sz w:val="30"/>
        </w:rPr>
        <w:t>附录B为</w:t>
      </w:r>
      <w:r>
        <w:rPr>
          <w:rFonts w:hint="eastAsia" w:cs="Times New Roman"/>
          <w:sz w:val="30"/>
          <w:lang w:val="en-US" w:eastAsia="zh-CN"/>
        </w:rPr>
        <w:t>资料</w:t>
      </w:r>
      <w:r>
        <w:rPr>
          <w:rFonts w:ascii="Times New Roman" w:hAnsi="Times New Roman" w:eastAsia="方正仿宋_GBK" w:cs="Times New Roman"/>
          <w:sz w:val="30"/>
        </w:rPr>
        <w:t>性附录，给出T梁产品信息</w:t>
      </w:r>
      <w:r>
        <w:rPr>
          <w:rFonts w:hint="eastAsia" w:cs="Times New Roman"/>
          <w:sz w:val="30"/>
          <w:lang w:eastAsia="zh-CN"/>
        </w:rPr>
        <w:t>。</w:t>
      </w:r>
    </w:p>
    <w:p w14:paraId="34459F9A">
      <w:pPr>
        <w:spacing w:line="588" w:lineRule="exact"/>
        <w:ind w:firstLine="600"/>
        <w:jc w:val="both"/>
      </w:pPr>
      <w:r>
        <w:rPr>
          <w:rFonts w:hint="eastAsia" w:cs="Times New Roman"/>
          <w:sz w:val="30"/>
          <w:lang w:val="en-US" w:eastAsia="zh-CN"/>
        </w:rPr>
        <w:t>附录C为规范性附录，规定</w:t>
      </w:r>
      <w:r>
        <w:rPr>
          <w:rFonts w:ascii="Times New Roman" w:hAnsi="Times New Roman" w:eastAsia="方正仿宋_GBK" w:cs="Times New Roman"/>
          <w:sz w:val="30"/>
        </w:rPr>
        <w:t>碳排放核算结果汇总及核验表。</w:t>
      </w:r>
    </w:p>
    <w:p w14:paraId="34459F9B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四、采用国际标准和国外先进标准的程度，以及与国际、国外同类标准水平的对比情况</w:t>
      </w:r>
    </w:p>
    <w:p w14:paraId="34459F9C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本文件为首次制定，未采用某一项国际标准或国外先进标准。国际相关文件主要规定生命周期评价、产品碳足迹和组织温室气体核算等通用方法，尚无专门覆盖T梁工业化建造全过程的同类标准。本文件在国内外通用方法、T梁产品与生产标准以及工程量计算和定额资料基础上进行专项整合。</w:t>
      </w:r>
    </w:p>
    <w:p w14:paraId="34459F9D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五、与有关的现行法律、法规和强制性国家标准的关系</w:t>
      </w:r>
    </w:p>
    <w:p w14:paraId="34459F9E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本文件符合国家碳达峰、碳中和及交通基础设施绿色低碳发展的总体要求，与现行法律、法规和强制性国家标准协调一致。本文件为核算方法类团体标准，不替代工程建设、产品质量、安全生产和环境保护等强制性要求。</w:t>
      </w:r>
    </w:p>
    <w:p w14:paraId="34459F9F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六、重大分歧意见的处理经过和依据</w:t>
      </w:r>
    </w:p>
    <w:p w14:paraId="34459FA0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本文件起草过程中暂无重大分歧意见。后续如出现重大分歧，将按照团体标准制定程序记录意见、论证过程、处理结果及依据。</w:t>
      </w:r>
    </w:p>
    <w:p w14:paraId="34459FA1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七、标准作为强制性标准或推荐性标准的建议</w:t>
      </w:r>
    </w:p>
    <w:p w14:paraId="34459FA2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建议本文件作为推荐性团体标准发布。</w:t>
      </w:r>
      <w:bookmarkStart w:id="0" w:name="_GoBack"/>
      <w:bookmarkEnd w:id="0"/>
    </w:p>
    <w:p w14:paraId="34459FA3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八、代替或废止现行有关标准</w:t>
      </w:r>
    </w:p>
    <w:p w14:paraId="34459FA4">
      <w:pPr>
        <w:spacing w:line="588" w:lineRule="exact"/>
        <w:ind w:firstLine="600"/>
        <w:jc w:val="both"/>
      </w:pPr>
      <w:r>
        <w:rPr>
          <w:rFonts w:ascii="Times New Roman" w:hAnsi="Times New Roman" w:eastAsia="方正仿宋_GBK" w:cs="Times New Roman"/>
          <w:sz w:val="30"/>
        </w:rPr>
        <w:t>本文件为首次制定，不代替或废止现行标准。</w:t>
      </w:r>
    </w:p>
    <w:p w14:paraId="34459FA5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九、贯彻标准的要求和措施建议</w:t>
      </w:r>
    </w:p>
    <w:p w14:paraId="34459FA6">
      <w:pPr>
        <w:spacing w:line="588" w:lineRule="exact"/>
        <w:ind w:firstLine="600"/>
        <w:jc w:val="both"/>
      </w:pPr>
      <w:r>
        <w:rPr>
          <w:rFonts w:hint="eastAsia" w:ascii="Times New Roman" w:hAnsi="Times New Roman" w:eastAsia="方正仿宋_GBK" w:cs="Times New Roman"/>
          <w:sz w:val="30"/>
        </w:rPr>
        <w:t>T梁工业化建造碳排放核算涉及原材料、能源、用水、运输、机械台班和周转材料等多类活动数据，是一项涵盖多个建造环节和数据来源的系统性工作。规范碳排放核算过程，有利于提高核算结果的一致性、完整性和可追溯性，为T梁工业化建造碳排放管理提供基础支撑。贯标措施建议如下：</w:t>
      </w:r>
    </w:p>
    <w:p w14:paraId="34459FA7">
      <w:pPr>
        <w:spacing w:line="588" w:lineRule="exact"/>
        <w:ind w:firstLine="600"/>
        <w:jc w:val="both"/>
      </w:pPr>
      <w:r>
        <w:rPr>
          <w:rFonts w:hint="eastAsia" w:ascii="Times New Roman" w:hAnsi="Times New Roman" w:eastAsia="方正仿宋_GBK" w:cs="Times New Roman"/>
          <w:sz w:val="30"/>
        </w:rPr>
        <w:t>明确核算要求。根据本文件有关核算边界、数据要求和核算方法的规定，结合具体项目实际情况，合理确定核算对象和数据来源，按照附录B做好相关数据采集与核算。</w:t>
      </w:r>
    </w:p>
    <w:p w14:paraId="34459FA8">
      <w:pPr>
        <w:spacing w:line="588" w:lineRule="exact"/>
        <w:ind w:firstLine="600"/>
        <w:jc w:val="both"/>
      </w:pPr>
      <w:r>
        <w:rPr>
          <w:rFonts w:hint="eastAsia" w:ascii="Times New Roman" w:hAnsi="Times New Roman" w:eastAsia="方正仿宋_GBK" w:cs="Times New Roman"/>
          <w:sz w:val="30"/>
        </w:rPr>
        <w:t>完善数据管理。做好材料、能源、用水、运输、机械台班和周转材料等活动数据的记录与整理，采用适用于核算期的碳排放因子，并结合技术发展和数据变化适时更新相关缺省参数。</w:t>
      </w:r>
    </w:p>
    <w:p w14:paraId="34459FA9">
      <w:pPr>
        <w:spacing w:line="588" w:lineRule="exact"/>
        <w:ind w:firstLine="600"/>
        <w:jc w:val="both"/>
      </w:pPr>
      <w:r>
        <w:rPr>
          <w:rFonts w:hint="eastAsia" w:ascii="Times New Roman" w:hAnsi="Times New Roman" w:eastAsia="方正仿宋_GBK" w:cs="Times New Roman"/>
          <w:sz w:val="30"/>
        </w:rPr>
        <w:t>加强培训与交流。加强对相关人员的标准宣贯和业务培训，提高碳排放数据采集与核算的规范性；同时，加强相关单位之间的经验交流，为本文件的实施提供支撑。</w:t>
      </w:r>
    </w:p>
    <w:p w14:paraId="34459FAA">
      <w:pPr>
        <w:keepNext/>
        <w:spacing w:line="588" w:lineRule="exact"/>
        <w:ind w:firstLine="640"/>
      </w:pPr>
      <w:r>
        <w:rPr>
          <w:rFonts w:ascii="Times New Roman" w:hAnsi="Times New Roman" w:eastAsia="方正黑体_GBK" w:cs="Times New Roman"/>
          <w:sz w:val="30"/>
        </w:rPr>
        <w:t>十、其它需要说明的事项</w:t>
      </w:r>
    </w:p>
    <w:p w14:paraId="34459FAB">
      <w:pPr>
        <w:spacing w:line="588" w:lineRule="exact"/>
        <w:ind w:firstLine="600"/>
        <w:jc w:val="both"/>
      </w:pPr>
      <w:r>
        <w:rPr>
          <w:rFonts w:hint="eastAsia" w:cs="Times New Roman"/>
          <w:sz w:val="30"/>
          <w:lang w:val="en-US" w:eastAsia="zh-CN"/>
        </w:rPr>
        <w:t>无</w:t>
      </w:r>
      <w:r>
        <w:rPr>
          <w:rFonts w:ascii="Times New Roman" w:hAnsi="Times New Roman" w:eastAsia="方正仿宋_GBK" w:cs="Times New Roman"/>
          <w:sz w:val="30"/>
        </w:rPr>
        <w:t>。</w:t>
      </w:r>
    </w:p>
    <w:p w14:paraId="34459FAC">
      <w:pPr>
        <w:spacing w:line="588" w:lineRule="exact"/>
      </w:pPr>
    </w:p>
    <w:p w14:paraId="34459FAD">
      <w:pPr>
        <w:spacing w:line="588" w:lineRule="exact"/>
        <w:ind w:firstLine="0"/>
        <w:jc w:val="right"/>
      </w:pPr>
      <w:r>
        <w:rPr>
          <w:rFonts w:ascii="Times New Roman" w:hAnsi="Times New Roman" w:eastAsia="方正仿宋_GBK" w:cs="Times New Roman"/>
          <w:sz w:val="30"/>
        </w:rPr>
        <w:t>《T梁工业化建造碳排放核算》编制组</w:t>
      </w:r>
    </w:p>
    <w:p w14:paraId="34459FAE">
      <w:pPr>
        <w:spacing w:line="588" w:lineRule="exact"/>
        <w:ind w:firstLine="0"/>
        <w:jc w:val="right"/>
      </w:pPr>
      <w:r>
        <w:rPr>
          <w:rFonts w:ascii="Times New Roman" w:hAnsi="Times New Roman" w:eastAsia="方正仿宋_GBK" w:cs="Times New Roman"/>
          <w:sz w:val="30"/>
        </w:rPr>
        <w:t>2026年</w:t>
      </w:r>
      <w:r>
        <w:rPr>
          <w:rFonts w:hint="eastAsia" w:cs="Times New Roman"/>
          <w:sz w:val="30"/>
          <w:lang w:val="en-US" w:eastAsia="zh-CN"/>
        </w:rPr>
        <w:t>9</w:t>
      </w:r>
      <w:r>
        <w:rPr>
          <w:rFonts w:ascii="Times New Roman" w:hAnsi="Times New Roman" w:eastAsia="方正仿宋_GBK" w:cs="Times New Roman"/>
          <w:sz w:val="30"/>
        </w:rPr>
        <w:t>月</w:t>
      </w:r>
    </w:p>
    <w:sectPr>
      <w:footerReference r:id="rId5" w:type="default"/>
      <w:pgSz w:w="11906" w:h="16838"/>
      <w:pgMar w:top="1984" w:right="1587" w:bottom="1701" w:left="1587" w:header="850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8B2B1">
    <w:pPr>
      <w:keepNext/>
      <w:ind w:firstLine="600" w:firstLineChars="200"/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4569F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4569F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trackRevisions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223"/>
    <w:rsid w:val="000D7503"/>
    <w:rsid w:val="00397F9F"/>
    <w:rsid w:val="005510FD"/>
    <w:rsid w:val="00693175"/>
    <w:rsid w:val="00A26754"/>
    <w:rsid w:val="00EE3112"/>
    <w:rsid w:val="00FE7223"/>
    <w:rsid w:val="04976BAC"/>
    <w:rsid w:val="205C6411"/>
    <w:rsid w:val="206859B7"/>
    <w:rsid w:val="297D7942"/>
    <w:rsid w:val="2EFB42EC"/>
    <w:rsid w:val="55FD4F55"/>
    <w:rsid w:val="6CB429A9"/>
    <w:rsid w:val="72F46C7C"/>
    <w:rsid w:val="7F33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8" w:lineRule="exact"/>
    </w:pPr>
    <w:rPr>
      <w:rFonts w:ascii="Times New Roman" w:hAnsi="Times New Roman" w:eastAsia="方正仿宋_GBK" w:cs="Times New Roman"/>
      <w:sz w:val="30"/>
      <w:szCs w:val="3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Revision"/>
    <w:hidden/>
    <w:unhideWhenUsed/>
    <w:qFormat/>
    <w:uiPriority w:val="99"/>
    <w:rPr>
      <w:rFonts w:ascii="Times New Roman" w:hAnsi="Times New Roman" w:eastAsia="仿宋_GB2312" w:cs="Times New Roman"/>
      <w:sz w:val="30"/>
      <w:szCs w:val="3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2900</Words>
  <Characters>3102</Characters>
  <Lines>111</Lines>
  <Paragraphs>116</Paragraphs>
  <TotalTime>12</TotalTime>
  <ScaleCrop>false</ScaleCrop>
  <LinksUpToDate>false</LinksUpToDate>
  <CharactersWithSpaces>3148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2026-08-10T02:59:00Z</dcterms:created>
  <dc:creator>Admin</dc:creator>
  <dc:description>依据T梁工业化建造碳排放核算标准草案和相关团体标准项目建议书编制</dc:description>
  <cp:keywords>T梁；工业化建造；碳排放核算；编制说明</cp:keywords>
  <cp:lastModifiedBy>Xinyao</cp:lastModifiedBy>
  <dcterms:modified xsi:type="dcterms:W3CDTF">2026-09-09T02:18:47Z</dcterms:modified>
  <dc:subject>团体标准编制说明</dc:subject>
  <dc:title>《T梁工业化建造碳排放核算》编制说明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eyJoZGlkIjoiYzRlYTk5YjUxYzhkNDk4OTdmNDJlMzU5OTM0ZjZjM2QiLCJ1c2VySWQiOiIxNzE1NTMzODY5In0=</vt:lpwstr>
  </property>
  <property fmtid="{D5CDD505-2E9C-101B-9397-08002B2CF9AE}" pid="3" name="KSOProductBuildVer">
    <vt:lpwstr>2052-12.1.0.28505</vt:lpwstr>
  </property>
  <property fmtid="{D5CDD505-2E9C-101B-9397-08002B2CF9AE}" pid="4" name="ICV">
    <vt:lpwstr>456D52D6F4434530A3C55679AD741A8C_13</vt:lpwstr>
  </property>
</Properties>
</file>