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878A" w14:textId="77777777" w:rsidR="009E2F59" w:rsidRPr="00B4284C" w:rsidRDefault="00000000" w:rsidP="008415B7">
      <w:pPr>
        <w:snapToGrid w:val="0"/>
        <w:spacing w:line="581" w:lineRule="exact"/>
        <w:jc w:val="center"/>
        <w:rPr>
          <w:rFonts w:asciiTheme="minorEastAsia" w:hAnsiTheme="minorEastAsia" w:cs="微软雅黑" w:hint="eastAsia"/>
          <w:b/>
          <w:bCs/>
          <w:sz w:val="44"/>
          <w:szCs w:val="44"/>
        </w:rPr>
      </w:pPr>
      <w:r w:rsidRPr="00B4284C">
        <w:rPr>
          <w:rFonts w:asciiTheme="minorEastAsia" w:hAnsiTheme="minorEastAsia" w:cs="微软雅黑" w:hint="eastAsia"/>
          <w:b/>
          <w:bCs/>
          <w:sz w:val="44"/>
          <w:szCs w:val="44"/>
        </w:rPr>
        <w:t>《混凝土行业数智化产品推荐目录》</w:t>
      </w:r>
    </w:p>
    <w:p w14:paraId="0D560652" w14:textId="77777777" w:rsidR="009E2F59" w:rsidRPr="00B4284C" w:rsidRDefault="00000000" w:rsidP="008415B7">
      <w:pPr>
        <w:snapToGrid w:val="0"/>
        <w:spacing w:line="581" w:lineRule="exact"/>
        <w:jc w:val="center"/>
        <w:rPr>
          <w:rFonts w:asciiTheme="minorEastAsia" w:hAnsiTheme="minorEastAsia" w:cs="微软雅黑" w:hint="eastAsia"/>
          <w:b/>
          <w:bCs/>
          <w:sz w:val="44"/>
          <w:szCs w:val="44"/>
        </w:rPr>
      </w:pPr>
      <w:r w:rsidRPr="00B4284C">
        <w:rPr>
          <w:rFonts w:asciiTheme="minorEastAsia" w:hAnsiTheme="minorEastAsia" w:cs="微软雅黑" w:hint="eastAsia"/>
          <w:b/>
          <w:bCs/>
          <w:sz w:val="44"/>
          <w:szCs w:val="44"/>
        </w:rPr>
        <w:t>管理办法</w:t>
      </w:r>
    </w:p>
    <w:p w14:paraId="383D3CCC" w14:textId="77777777" w:rsidR="009E2F59" w:rsidRPr="00B4284C" w:rsidRDefault="009E2F59" w:rsidP="008415B7">
      <w:pPr>
        <w:snapToGrid w:val="0"/>
        <w:spacing w:line="581" w:lineRule="exact"/>
        <w:jc w:val="center"/>
        <w:rPr>
          <w:rFonts w:asciiTheme="minorEastAsia" w:hAnsiTheme="minorEastAsia" w:cs="微软雅黑" w:hint="eastAsia"/>
          <w:sz w:val="44"/>
          <w:szCs w:val="44"/>
        </w:rPr>
      </w:pPr>
    </w:p>
    <w:p w14:paraId="2052431D" w14:textId="77777777" w:rsidR="009E2F59" w:rsidRPr="009F4B43" w:rsidRDefault="00000000" w:rsidP="008415B7">
      <w:pPr>
        <w:snapToGrid w:val="0"/>
        <w:spacing w:beforeLines="100" w:before="312" w:afterLines="50" w:after="156" w:line="581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9F4B43">
        <w:rPr>
          <w:rFonts w:ascii="黑体" w:eastAsia="黑体" w:hAnsi="黑体" w:cs="黑体" w:hint="eastAsia"/>
          <w:sz w:val="32"/>
          <w:szCs w:val="32"/>
        </w:rPr>
        <w:t>第一章　总　则</w:t>
      </w:r>
    </w:p>
    <w:p w14:paraId="0EE583AF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第一条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为了深入贯彻《“十四五”数字经济发展规划》的总体要求，推动混凝土产业数字化转型、推进人工智能（AI）技术在行业的广泛应用，积极构建行业数字化与人工智能生态体系，中国混凝土与水泥制品协会（以下简称协会）将分批次评价混凝土</w:t>
      </w:r>
      <w:proofErr w:type="gramStart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行业数智化</w:t>
      </w:r>
      <w:proofErr w:type="gramEnd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产品，并发布《混凝土行业数智化产品推荐目录》（以下简称《推荐目录》）。</w:t>
      </w:r>
    </w:p>
    <w:p w14:paraId="15F98361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为做好《推荐目录》的申报、评价、发布、宣传和管理工作，特制定本办法。</w:t>
      </w:r>
    </w:p>
    <w:p w14:paraId="2031D990" w14:textId="77777777" w:rsidR="009E2F59" w:rsidRPr="009F4B43" w:rsidRDefault="00000000" w:rsidP="008415B7">
      <w:pPr>
        <w:numPr>
          <w:ilvl w:val="0"/>
          <w:numId w:val="1"/>
        </w:num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 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本办法所称“混凝土行业数智化产品”是指应用于混凝土与水泥制品生产、运输、施工、</w:t>
      </w:r>
      <w:r w:rsidRPr="009F4B43">
        <w:rPr>
          <w:rFonts w:ascii="仿宋_GB2312" w:eastAsia="仿宋_GB2312" w:hAnsiTheme="minorEastAsia" w:cs="微软雅黑" w:hint="eastAsia"/>
          <w:sz w:val="32"/>
          <w:szCs w:val="32"/>
        </w:rPr>
        <w:t>运维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、经营管理等环节</w:t>
      </w:r>
      <w:proofErr w:type="gramStart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的数智化</w:t>
      </w:r>
      <w:proofErr w:type="gramEnd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产品。</w:t>
      </w:r>
    </w:p>
    <w:p w14:paraId="79A2C5FD" w14:textId="77777777" w:rsidR="009E2F59" w:rsidRPr="009F4B43" w:rsidRDefault="00000000" w:rsidP="008415B7">
      <w:pPr>
        <w:snapToGrid w:val="0"/>
        <w:spacing w:beforeLines="100" w:before="312" w:afterLines="50" w:after="156" w:line="581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9F4B43">
        <w:rPr>
          <w:rFonts w:ascii="黑体" w:eastAsia="黑体" w:hAnsi="黑体" w:cs="黑体" w:hint="eastAsia"/>
          <w:sz w:val="32"/>
          <w:szCs w:val="32"/>
        </w:rPr>
        <w:t>第二章　工作机构及职责</w:t>
      </w:r>
    </w:p>
    <w:p w14:paraId="749266E1" w14:textId="15E7EF59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第三条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成立混凝土</w:t>
      </w:r>
      <w:proofErr w:type="gramStart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行业数智化</w:t>
      </w:r>
      <w:proofErr w:type="gramEnd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产品推荐委员会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（以下简称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“</w:t>
      </w:r>
      <w:bookmarkStart w:id="0" w:name="OLE_LINK1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推荐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委</w:t>
      </w:r>
      <w:bookmarkEnd w:id="0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”）、评审专家委员会（以下简称“评审委”）和工作办公室。</w:t>
      </w:r>
    </w:p>
    <w:p w14:paraId="2F81BC34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第四条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推荐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委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由协会领</w:t>
      </w:r>
      <w:r w:rsidRPr="009F4B43">
        <w:rPr>
          <w:rFonts w:ascii="仿宋_GB2312" w:eastAsia="仿宋_GB2312" w:hAnsiTheme="minorEastAsia" w:cs="微软雅黑" w:hint="eastAsia"/>
          <w:sz w:val="32"/>
          <w:szCs w:val="32"/>
        </w:rPr>
        <w:t>导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和本行业知名专家组成，其主要职责为：</w:t>
      </w:r>
    </w:p>
    <w:p w14:paraId="0C889688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（一）领</w:t>
      </w:r>
      <w:r w:rsidRPr="009F4B43">
        <w:rPr>
          <w:rFonts w:ascii="仿宋_GB2312" w:eastAsia="仿宋_GB2312" w:hAnsiTheme="minorEastAsia" w:cs="微软雅黑" w:hint="eastAsia"/>
          <w:sz w:val="32"/>
          <w:szCs w:val="32"/>
        </w:rPr>
        <w:t>导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和管理评审工作，指</w:t>
      </w:r>
      <w:r w:rsidRPr="009F4B43">
        <w:rPr>
          <w:rFonts w:ascii="仿宋_GB2312" w:eastAsia="仿宋_GB2312" w:hAnsiTheme="minorEastAsia" w:cs="微软雅黑" w:hint="eastAsia"/>
          <w:sz w:val="32"/>
          <w:szCs w:val="32"/>
        </w:rPr>
        <w:t>导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混凝土</w:t>
      </w:r>
      <w:proofErr w:type="gramStart"/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行业数智化</w:t>
      </w:r>
      <w:proofErr w:type="gramEnd"/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产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lastRenderedPageBreak/>
        <w:t>品评审工作；</w:t>
      </w:r>
    </w:p>
    <w:p w14:paraId="6F039D5F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（二）监督</w:t>
      </w:r>
      <w:r w:rsidRPr="009F4B43">
        <w:rPr>
          <w:rFonts w:ascii="仿宋_GB2312" w:eastAsia="仿宋_GB2312" w:hAnsiTheme="minorEastAsia" w:cs="微软雅黑" w:hint="eastAsia"/>
          <w:sz w:val="32"/>
          <w:szCs w:val="32"/>
        </w:rPr>
        <w:t>落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实《混凝土行业数智化产品推荐目录管理办法》；</w:t>
      </w:r>
    </w:p>
    <w:p w14:paraId="78B927AA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（三）聘任评审委主任委员、副主任委员和委员；</w:t>
      </w:r>
    </w:p>
    <w:p w14:paraId="7233A329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（四）对评审中出现的争议</w:t>
      </w:r>
      <w:r w:rsidRPr="009F4B43">
        <w:rPr>
          <w:rFonts w:ascii="仿宋_GB2312" w:eastAsia="仿宋_GB2312" w:hAnsiTheme="minorEastAsia" w:cs="微软雅黑" w:hint="eastAsia"/>
          <w:sz w:val="32"/>
          <w:szCs w:val="32"/>
        </w:rPr>
        <w:t>问题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和评审结果公示后的异议</w:t>
      </w:r>
      <w:r w:rsidRPr="009F4B43">
        <w:rPr>
          <w:rFonts w:ascii="仿宋_GB2312" w:eastAsia="仿宋_GB2312" w:hAnsiTheme="minorEastAsia" w:cs="微软雅黑" w:hint="eastAsia"/>
          <w:sz w:val="32"/>
          <w:szCs w:val="32"/>
        </w:rPr>
        <w:t>决</w:t>
      </w:r>
      <w:r w:rsidRPr="009F4B43">
        <w:rPr>
          <w:rFonts w:ascii="仿宋_GB2312" w:eastAsia="仿宋_GB2312" w:hAnsiTheme="minorEastAsia" w:cs="___WRD_EMBED_SUB_50" w:hint="eastAsia"/>
          <w:sz w:val="32"/>
          <w:szCs w:val="32"/>
        </w:rPr>
        <w:t>定处理意见；</w:t>
      </w:r>
    </w:p>
    <w:p w14:paraId="58C5C5B1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（五）审定混凝土</w:t>
      </w:r>
      <w:proofErr w:type="gramStart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行业数智化</w:t>
      </w:r>
      <w:proofErr w:type="gramEnd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产品推荐目录评审结果。</w:t>
      </w:r>
    </w:p>
    <w:p w14:paraId="39BF3A12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第五条  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评审委由行业各领域专家组成，主要职责为按照评审工作程序和要求对申报项目进行评审，提出评审意见和建议。</w:t>
      </w:r>
    </w:p>
    <w:p w14:paraId="3A49B954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第六条 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评审委设主任委员1人，副主任委员2人，委员若干人。</w:t>
      </w:r>
    </w:p>
    <w:p w14:paraId="11A1D75D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>第七条</w:t>
      </w:r>
      <w:r w:rsidRPr="009F4B43">
        <w:rPr>
          <w:rFonts w:ascii="仿宋_GB2312" w:eastAsia="仿宋_GB2312" w:hAnsiTheme="minorEastAsia" w:cs="Times New Roman Regular" w:hint="eastAsia"/>
          <w:b/>
          <w:bCs/>
          <w:sz w:val="32"/>
          <w:szCs w:val="32"/>
        </w:rPr>
        <w:t xml:space="preserve"> 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工作办公室设在中国混凝土与水泥制品协会秘书处，负责组织评审工作细则，组织实施评审工作。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 </w:t>
      </w:r>
    </w:p>
    <w:p w14:paraId="08CFCFF3" w14:textId="77777777" w:rsidR="009E2F59" w:rsidRPr="009F4B43" w:rsidRDefault="00000000" w:rsidP="008415B7">
      <w:pPr>
        <w:snapToGrid w:val="0"/>
        <w:spacing w:beforeLines="100" w:before="312" w:afterLines="50" w:after="156" w:line="581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9F4B43">
        <w:rPr>
          <w:rFonts w:ascii="黑体" w:eastAsia="黑体" w:hAnsi="黑体" w:cs="黑体" w:hint="eastAsia"/>
          <w:sz w:val="32"/>
          <w:szCs w:val="32"/>
        </w:rPr>
        <w:t>第三章　申报与评审</w:t>
      </w:r>
    </w:p>
    <w:p w14:paraId="2769437E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第八条 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《推荐目录》采取企业自愿申报和专家推荐方式，申报及评审不收取任何费用。</w:t>
      </w:r>
    </w:p>
    <w:p w14:paraId="0C4F04AE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第九条 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申报企业须填写统一格式的申报书，提供必要的第三方证明和相关材料。申报企业应当承诺填报信息属实，并对其填报内容的真实性负责，如存在隐瞒事实或者提供虚假材料的，一经确认即取消推荐资格。</w:t>
      </w:r>
    </w:p>
    <w:p w14:paraId="35A2237B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第十条 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评审工作程序</w:t>
      </w:r>
    </w:p>
    <w:p w14:paraId="2837FAF4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1．工作办公室对申报材料进行初审，初审合格的申报材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lastRenderedPageBreak/>
        <w:t>料提交评审委评审；</w:t>
      </w:r>
    </w:p>
    <w:p w14:paraId="3081F088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2．评审委专家对通过初审的项目进行评审，独立给出评审意见；</w:t>
      </w:r>
    </w:p>
    <w:p w14:paraId="06A3313F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3.工作办公室汇总评审委评审意见，报推荐委审核同意后，在协会官方网站上进行公示；</w:t>
      </w:r>
    </w:p>
    <w:p w14:paraId="3DA4DFC1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4．公示（含异议处理）结束后，在协会官方网站上正式发布《推荐目录》。</w:t>
      </w:r>
    </w:p>
    <w:p w14:paraId="2D478397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第十一条  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公示与异议处理</w:t>
      </w:r>
    </w:p>
    <w:p w14:paraId="0386F69C" w14:textId="77777777" w:rsidR="009E2F59" w:rsidRPr="009F4B43" w:rsidRDefault="00000000" w:rsidP="008415B7">
      <w:pPr>
        <w:numPr>
          <w:ilvl w:val="0"/>
          <w:numId w:val="2"/>
        </w:num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将拟入选《推荐目录》的产品名单及主要信息在</w:t>
      </w:r>
      <w:proofErr w:type="gramStart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协会官网进行</w:t>
      </w:r>
      <w:proofErr w:type="gramEnd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公示。</w:t>
      </w:r>
    </w:p>
    <w:p w14:paraId="3945B9BD" w14:textId="77777777" w:rsidR="009E2F59" w:rsidRPr="009F4B43" w:rsidRDefault="00000000" w:rsidP="008415B7">
      <w:pPr>
        <w:numPr>
          <w:ilvl w:val="0"/>
          <w:numId w:val="2"/>
        </w:num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提出</w:t>
      </w:r>
      <w:bookmarkStart w:id="1" w:name="OLE_LINK2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异议</w:t>
      </w:r>
      <w:bookmarkEnd w:id="1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的单位应当提供书面材料、加盖单位公章，并提供具体联系方式；提出异议的个人应当实名并附个人签字，提供身份证明材料和联系方式。</w:t>
      </w:r>
    </w:p>
    <w:p w14:paraId="02BA9476" w14:textId="77777777" w:rsidR="009E2F59" w:rsidRPr="009F4B43" w:rsidRDefault="00000000" w:rsidP="008415B7">
      <w:pPr>
        <w:numPr>
          <w:ilvl w:val="0"/>
          <w:numId w:val="2"/>
        </w:num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办公室应将异议审查和处理结果书面通知申报《推荐目录》的单位、提出异议的单位和个人。</w:t>
      </w:r>
    </w:p>
    <w:p w14:paraId="3E479B3C" w14:textId="77777777" w:rsidR="009E2F59" w:rsidRPr="009F4B43" w:rsidRDefault="00000000" w:rsidP="008415B7">
      <w:pPr>
        <w:numPr>
          <w:ilvl w:val="0"/>
          <w:numId w:val="2"/>
        </w:num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申报材料如发现有弄虚作假、剽窃抄袭违法违规行为的，一经查实，立即中止评审，并通过</w:t>
      </w:r>
      <w:proofErr w:type="gramStart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协会官网向</w:t>
      </w:r>
      <w:proofErr w:type="gramEnd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社会公示。</w:t>
      </w:r>
    </w:p>
    <w:p w14:paraId="1A9A3663" w14:textId="77777777" w:rsidR="009E2F59" w:rsidRPr="009F4B43" w:rsidRDefault="00000000" w:rsidP="008415B7">
      <w:pPr>
        <w:snapToGrid w:val="0"/>
        <w:spacing w:beforeLines="100" w:before="312" w:afterLines="50" w:after="156" w:line="581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9F4B43">
        <w:rPr>
          <w:rFonts w:ascii="黑体" w:eastAsia="黑体" w:hAnsi="黑体" w:cs="黑体" w:hint="eastAsia"/>
          <w:sz w:val="32"/>
          <w:szCs w:val="32"/>
        </w:rPr>
        <w:t>第四章　宣传与推介</w:t>
      </w:r>
    </w:p>
    <w:p w14:paraId="292532D5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第十二条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在协会中英文官方网站、行业大会和展会上正式发布《推荐目录》，并在国内外交流活动、协会官方</w:t>
      </w:r>
      <w:proofErr w:type="gramStart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微信公众号</w:t>
      </w:r>
      <w:proofErr w:type="gramEnd"/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和协会视频号等渠道持续宣传。</w:t>
      </w:r>
    </w:p>
    <w:p w14:paraId="6E29E7A0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第十三条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向国家行业主管部门以及各级建设主管部门报送《推荐目录》，并向混凝土与水泥制品全行业、国内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lastRenderedPageBreak/>
        <w:t>外大型工程建设集团和有关行业协会进行宣传和推介。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 </w:t>
      </w:r>
    </w:p>
    <w:p w14:paraId="58A7D90A" w14:textId="77777777" w:rsidR="009E2F59" w:rsidRPr="009F4B43" w:rsidRDefault="00000000" w:rsidP="007E60A5">
      <w:pPr>
        <w:snapToGrid w:val="0"/>
        <w:spacing w:beforeLines="100" w:before="312" w:afterLines="50" w:after="156" w:line="581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9F4B43">
        <w:rPr>
          <w:rFonts w:ascii="黑体" w:eastAsia="黑体" w:hAnsi="黑体" w:cs="黑体" w:hint="eastAsia"/>
          <w:sz w:val="32"/>
          <w:szCs w:val="32"/>
        </w:rPr>
        <w:t>第五章　动态管理</w:t>
      </w:r>
    </w:p>
    <w:p w14:paraId="3A3E2E79" w14:textId="12E067B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第十四条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协会对《推荐目录》实施动态管理，每年进行评审发布，有效期为两年。</w:t>
      </w:r>
    </w:p>
    <w:p w14:paraId="7E89A9A0" w14:textId="45F79B71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第十五条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对已列入《推荐目录》的重点产品、装备和技术项目及其企业，如出现以下情况之一，予以撤销。</w:t>
      </w:r>
    </w:p>
    <w:p w14:paraId="076DAC0B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1．申报企业发生重大变化或已不存在；</w:t>
      </w:r>
    </w:p>
    <w:p w14:paraId="156DCE5C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2</w:t>
      </w:r>
      <w:r w:rsidRPr="009F4B43">
        <w:rPr>
          <w:rFonts w:ascii="仿宋_GB2312" w:eastAsia="仿宋_GB2312" w:hAnsiTheme="minorEastAsia" w:cs="Times New Roman Regular" w:hint="eastAsia"/>
          <w:b/>
          <w:bCs/>
          <w:sz w:val="32"/>
          <w:szCs w:val="32"/>
        </w:rPr>
        <w:t>.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申报项目在国家或省级质量监督抽查被判定为不合格；</w:t>
      </w:r>
    </w:p>
    <w:p w14:paraId="309257E9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3．发生重大质量、安全、环保事故；</w:t>
      </w:r>
    </w:p>
    <w:p w14:paraId="79434E96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4．企业被认定有严重失信行为；</w:t>
      </w:r>
    </w:p>
    <w:p w14:paraId="4FB6CB00" w14:textId="77777777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5．其它严重违反法律法规行为。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 </w:t>
      </w:r>
    </w:p>
    <w:p w14:paraId="3296A31B" w14:textId="77777777" w:rsidR="009E2F59" w:rsidRPr="00C940B5" w:rsidRDefault="00000000" w:rsidP="008415B7">
      <w:pPr>
        <w:snapToGrid w:val="0"/>
        <w:spacing w:beforeLines="100" w:before="312" w:afterLines="50" w:after="156" w:line="581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C940B5">
        <w:rPr>
          <w:rFonts w:ascii="黑体" w:eastAsia="黑体" w:hAnsi="黑体" w:cs="黑体" w:hint="eastAsia"/>
          <w:sz w:val="32"/>
          <w:szCs w:val="32"/>
        </w:rPr>
        <w:t>第六章　附　则</w:t>
      </w:r>
    </w:p>
    <w:p w14:paraId="57FC100F" w14:textId="47130E39" w:rsidR="009E2F59" w:rsidRPr="009F4B43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第十六条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本办法由中国混凝土与水泥制品协会负责解释。</w:t>
      </w:r>
    </w:p>
    <w:p w14:paraId="2AC6FF72" w14:textId="6DB84489" w:rsidR="009E2F59" w:rsidRPr="008415B7" w:rsidRDefault="00000000" w:rsidP="008415B7">
      <w:pPr>
        <w:snapToGrid w:val="0"/>
        <w:spacing w:line="581" w:lineRule="exact"/>
        <w:ind w:firstLineChars="200" w:firstLine="640"/>
        <w:rPr>
          <w:rFonts w:ascii="仿宋_GB2312" w:eastAsia="仿宋_GB2312" w:hAnsiTheme="minorEastAsia" w:cs="Times New Roman Regular" w:hint="eastAsia"/>
          <w:sz w:val="32"/>
          <w:szCs w:val="32"/>
        </w:rPr>
      </w:pPr>
      <w:r w:rsidRPr="008415B7">
        <w:rPr>
          <w:rFonts w:ascii="楷体" w:eastAsia="楷体" w:hAnsi="楷体" w:cs="Times New Roman Regular" w:hint="eastAsia"/>
          <w:sz w:val="32"/>
          <w:szCs w:val="32"/>
        </w:rPr>
        <w:t xml:space="preserve">第十七条　</w:t>
      </w:r>
      <w:r w:rsidRPr="009F4B43">
        <w:rPr>
          <w:rFonts w:ascii="仿宋_GB2312" w:eastAsia="仿宋_GB2312" w:hAnsiTheme="minorEastAsia" w:cs="Times New Roman Regular" w:hint="eastAsia"/>
          <w:sz w:val="32"/>
          <w:szCs w:val="32"/>
        </w:rPr>
        <w:t>本办法自2025年6月25日起实施。</w:t>
      </w:r>
    </w:p>
    <w:sectPr w:rsidR="009E2F59" w:rsidRPr="0084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E772520-65FA-4182-980F-01EA8C14233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BD95E17-DFCD-4E45-A31A-DAC28D469ED6}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7559B77-9106-4320-8C96-4C1BBC6EA54A}"/>
    <w:embedBold r:id="rId4" w:subsetted="1" w:fontKey="{A534C6A3-BDA6-499C-960F-C937FB76A515}"/>
  </w:font>
  <w:font w:name="___WRD_EMBED_SUB_50">
    <w:altName w:val="宋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58762C"/>
    <w:multiLevelType w:val="singleLevel"/>
    <w:tmpl w:val="925876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A5AF23A"/>
    <w:multiLevelType w:val="singleLevel"/>
    <w:tmpl w:val="9CC00578"/>
    <w:lvl w:ilvl="0">
      <w:start w:val="2"/>
      <w:numFmt w:val="chineseCounting"/>
      <w:suff w:val="space"/>
      <w:lvlText w:val="第%1条"/>
      <w:lvlJc w:val="left"/>
      <w:rPr>
        <w:rFonts w:ascii="楷体" w:eastAsia="楷体" w:hAnsi="楷体" w:hint="eastAsia"/>
        <w:b w:val="0"/>
        <w:bCs w:val="0"/>
      </w:rPr>
    </w:lvl>
  </w:abstractNum>
  <w:num w:numId="1" w16cid:durableId="1000347726">
    <w:abstractNumId w:val="1"/>
  </w:num>
  <w:num w:numId="2" w16cid:durableId="89805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25DF3"/>
    <w:rsid w:val="000C4F4F"/>
    <w:rsid w:val="001E12C8"/>
    <w:rsid w:val="003C4059"/>
    <w:rsid w:val="00583971"/>
    <w:rsid w:val="00585EAB"/>
    <w:rsid w:val="007D3069"/>
    <w:rsid w:val="007E60A5"/>
    <w:rsid w:val="008415B7"/>
    <w:rsid w:val="008F5871"/>
    <w:rsid w:val="009E2F59"/>
    <w:rsid w:val="009F4B43"/>
    <w:rsid w:val="00A1788D"/>
    <w:rsid w:val="00A248B8"/>
    <w:rsid w:val="00A36038"/>
    <w:rsid w:val="00A45B58"/>
    <w:rsid w:val="00A659F7"/>
    <w:rsid w:val="00B4284C"/>
    <w:rsid w:val="00C14A57"/>
    <w:rsid w:val="00C940B5"/>
    <w:rsid w:val="00CD6722"/>
    <w:rsid w:val="00D06748"/>
    <w:rsid w:val="00D74A4B"/>
    <w:rsid w:val="00DB2AB9"/>
    <w:rsid w:val="00ED7417"/>
    <w:rsid w:val="00EF538C"/>
    <w:rsid w:val="00FC0AB2"/>
    <w:rsid w:val="048E247B"/>
    <w:rsid w:val="34125DF3"/>
    <w:rsid w:val="37CB0D94"/>
    <w:rsid w:val="399F4370"/>
    <w:rsid w:val="39CF3C81"/>
    <w:rsid w:val="43BB58A3"/>
    <w:rsid w:val="47E33446"/>
    <w:rsid w:val="57B452BD"/>
    <w:rsid w:val="65CE1699"/>
    <w:rsid w:val="6A7B433D"/>
    <w:rsid w:val="79E12377"/>
    <w:rsid w:val="7E9B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69754"/>
  <w15:docId w15:val="{DFA18B8C-AA95-481C-BC76-F2CE045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732"/>
      <w:outlineLvl w:val="0"/>
    </w:pPr>
    <w:rPr>
      <w:rFonts w:ascii="Arial Unicode MS" w:eastAsia="Arial Unicode MS" w:hAnsi="Arial Unicode MS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</w:pPr>
    <w:rPr>
      <w:rFonts w:ascii="Times New Roman" w:eastAsia="宋体" w:hAnsi="Times New Roman" w:cs="Times New Roman"/>
      <w:sz w:val="18"/>
      <w:szCs w:val="20"/>
    </w:rPr>
  </w:style>
  <w:style w:type="paragraph" w:styleId="a4">
    <w:name w:val="Normal (Web)"/>
    <w:basedOn w:val="a"/>
    <w:qFormat/>
    <w:rPr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otnote reference"/>
    <w:uiPriority w:val="99"/>
    <w:unhideWhenUsed/>
    <w:qFormat/>
    <w:rPr>
      <w:vertAlign w:val="superscript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Revision"/>
    <w:hidden/>
    <w:uiPriority w:val="99"/>
    <w:unhideWhenUsed/>
    <w:rsid w:val="001E12C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226C-301C-48B1-BFD8-42B46EE2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黄凌</dc:creator>
  <cp:lastModifiedBy>朱吉乔</cp:lastModifiedBy>
  <cp:revision>5</cp:revision>
  <cp:lastPrinted>2025-06-23T09:44:00Z</cp:lastPrinted>
  <dcterms:created xsi:type="dcterms:W3CDTF">2025-06-25T02:13:00Z</dcterms:created>
  <dcterms:modified xsi:type="dcterms:W3CDTF">2025-06-25T02:17:00Z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BE3DA99318BF49B89C9B501462E5D2D6_13</vt:lpwstr>
  </property>
  <property fmtid="{D5CDD505-2E9C-101B-9397-08002B2CF9AE}" pid="4" name="KSOTemplateDocerSaveRecord">
    <vt:lpwstr>eyJoZGlkIjoiYTYzODFlMmMwM2U1NWU1MmFlODE5ZGUzMGRkMjY3ODYiLCJ1c2VySWQiOiI1ODU2NTA1OTkifQ==</vt:lpwstr>
  </property>
</Properties>
</file>