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48" w:firstLineChars="49"/>
        <w:jc w:val="left"/>
        <w:rPr>
          <w:rFonts w:ascii="宋体" w:hAnsi="宋体" w:cs="宋体"/>
          <w:b/>
          <w:color w:val="000000"/>
          <w:kern w:val="0"/>
          <w:sz w:val="30"/>
          <w:szCs w:val="30"/>
        </w:rPr>
      </w:pPr>
      <w:r>
        <w:rPr>
          <w:rFonts w:hint="eastAsia" w:ascii="宋体" w:hAnsi="宋体" w:cs="宋体"/>
          <w:b/>
          <w:color w:val="000000"/>
          <w:kern w:val="0"/>
          <w:sz w:val="30"/>
          <w:szCs w:val="30"/>
        </w:rPr>
        <w:t>附件：</w:t>
      </w:r>
    </w:p>
    <w:p>
      <w:pPr>
        <w:ind w:firstLine="452"/>
        <w:jc w:val="center"/>
        <w:rPr>
          <w:rFonts w:ascii="宋体" w:hAnsi="宋体" w:cs="宋体"/>
          <w:b/>
          <w:color w:val="000000"/>
          <w:kern w:val="0"/>
          <w:sz w:val="30"/>
          <w:szCs w:val="30"/>
        </w:rPr>
      </w:pPr>
      <w:bookmarkStart w:id="0" w:name="_GoBack"/>
      <w:r>
        <w:rPr>
          <w:rFonts w:ascii="宋体" w:hAnsi="宋体" w:cs="宋体"/>
          <w:b/>
          <w:color w:val="000000"/>
          <w:kern w:val="0"/>
          <w:sz w:val="30"/>
          <w:szCs w:val="30"/>
        </w:rPr>
        <w:t>CIS</w:t>
      </w:r>
      <w:r>
        <w:rPr>
          <w:rFonts w:hint="eastAsia" w:ascii="宋体" w:hAnsi="宋体" w:cs="宋体"/>
          <w:b/>
          <w:color w:val="000000"/>
          <w:kern w:val="0"/>
          <w:sz w:val="30"/>
          <w:szCs w:val="30"/>
        </w:rPr>
        <w:t>标准项目公示表</w:t>
      </w:r>
    </w:p>
    <w:bookmarkEnd w:id="0"/>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1006"/>
        <w:gridCol w:w="503"/>
        <w:gridCol w:w="503"/>
        <w:gridCol w:w="1006"/>
        <w:gridCol w:w="1441"/>
        <w:gridCol w:w="2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79" w:type="dxa"/>
            <w:tcBorders>
              <w:bottom w:val="single" w:color="auto" w:sz="4" w:space="0"/>
            </w:tcBorders>
            <w:vAlign w:val="center"/>
          </w:tcPr>
          <w:p>
            <w:pPr>
              <w:autoSpaceDE w:val="0"/>
              <w:autoSpaceDN w:val="0"/>
              <w:adjustRightInd w:val="0"/>
              <w:snapToGrid w:val="0"/>
              <w:ind w:firstLine="0" w:firstLineChars="0"/>
              <w:rPr>
                <w:rFonts w:ascii="仿宋" w:hAnsi="仿宋" w:eastAsia="仿宋"/>
              </w:rPr>
            </w:pPr>
            <w:r>
              <w:rPr>
                <w:rFonts w:hint="eastAsia" w:ascii="仿宋" w:hAnsi="仿宋" w:eastAsia="仿宋" w:cs="宋体"/>
                <w:color w:val="000000"/>
                <w:kern w:val="0"/>
                <w:szCs w:val="21"/>
              </w:rPr>
              <w:t>申请/</w:t>
            </w:r>
            <w:r>
              <w:rPr>
                <w:rFonts w:ascii="仿宋" w:hAnsi="仿宋" w:eastAsia="仿宋" w:cs="宋体"/>
                <w:color w:val="000000"/>
                <w:kern w:val="0"/>
                <w:szCs w:val="21"/>
              </w:rPr>
              <w:t>建议项目名称(中文)</w:t>
            </w:r>
          </w:p>
        </w:tc>
        <w:tc>
          <w:tcPr>
            <w:tcW w:w="2928" w:type="dxa"/>
            <w:gridSpan w:val="4"/>
            <w:tcBorders>
              <w:bottom w:val="single" w:color="auto" w:sz="4" w:space="0"/>
            </w:tcBorders>
            <w:vAlign w:val="center"/>
          </w:tcPr>
          <w:p>
            <w:pPr>
              <w:ind w:firstLine="0" w:firstLineChars="0"/>
              <w:jc w:val="center"/>
              <w:rPr>
                <w:rFonts w:ascii="仿宋" w:hAnsi="仿宋" w:eastAsia="仿宋"/>
              </w:rPr>
            </w:pPr>
            <w:r>
              <w:rPr>
                <w:rFonts w:ascii="仿宋" w:hAnsi="仿宋" w:eastAsia="仿宋" w:cs="宋体"/>
                <w:kern w:val="36"/>
                <w:szCs w:val="21"/>
              </w:rPr>
              <w:t>中药生产过程</w:t>
            </w:r>
            <w:r>
              <w:rPr>
                <w:rFonts w:hint="eastAsia" w:ascii="仿宋" w:hAnsi="仿宋" w:eastAsia="仿宋" w:cs="宋体"/>
                <w:kern w:val="36"/>
                <w:szCs w:val="21"/>
              </w:rPr>
              <w:t xml:space="preserve">柱层析洗脱起点与终点的实时判断 </w:t>
            </w:r>
            <w:r>
              <w:rPr>
                <w:rFonts w:ascii="仿宋" w:hAnsi="仿宋" w:eastAsia="仿宋" w:cs="宋体"/>
                <w:kern w:val="36"/>
                <w:szCs w:val="21"/>
              </w:rPr>
              <w:t>近红外光谱法</w:t>
            </w:r>
          </w:p>
        </w:tc>
        <w:tc>
          <w:tcPr>
            <w:tcW w:w="1441" w:type="dxa"/>
            <w:tcBorders>
              <w:bottom w:val="single" w:color="auto" w:sz="4" w:space="0"/>
            </w:tcBorders>
            <w:vAlign w:val="center"/>
          </w:tcPr>
          <w:p>
            <w:pPr>
              <w:autoSpaceDE w:val="0"/>
              <w:autoSpaceDN w:val="0"/>
              <w:adjustRightInd w:val="0"/>
              <w:snapToGrid w:val="0"/>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申请/</w:t>
            </w:r>
            <w:r>
              <w:rPr>
                <w:rFonts w:ascii="仿宋" w:hAnsi="仿宋" w:eastAsia="仿宋" w:cs="宋体"/>
                <w:color w:val="000000"/>
                <w:kern w:val="0"/>
                <w:szCs w:val="21"/>
              </w:rPr>
              <w:t>建议项目名称(</w:t>
            </w:r>
            <w:r>
              <w:rPr>
                <w:rFonts w:hint="eastAsia" w:ascii="仿宋" w:hAnsi="仿宋" w:eastAsia="仿宋" w:cs="宋体"/>
                <w:color w:val="000000"/>
                <w:kern w:val="0"/>
                <w:szCs w:val="21"/>
              </w:rPr>
              <w:t>英</w:t>
            </w:r>
            <w:r>
              <w:rPr>
                <w:rFonts w:ascii="仿宋" w:hAnsi="仿宋" w:eastAsia="仿宋" w:cs="宋体"/>
                <w:color w:val="000000"/>
                <w:kern w:val="0"/>
                <w:szCs w:val="21"/>
              </w:rPr>
              <w:t>文)</w:t>
            </w:r>
          </w:p>
        </w:tc>
        <w:tc>
          <w:tcPr>
            <w:tcW w:w="2548" w:type="dxa"/>
            <w:tcBorders>
              <w:bottom w:val="single" w:color="auto" w:sz="4" w:space="0"/>
            </w:tcBorders>
            <w:vAlign w:val="center"/>
          </w:tcPr>
          <w:p>
            <w:pPr>
              <w:ind w:firstLine="0" w:firstLineChars="0"/>
              <w:jc w:val="center"/>
              <w:rPr>
                <w:rFonts w:ascii="仿宋" w:hAnsi="仿宋" w:eastAsia="仿宋"/>
              </w:rPr>
            </w:pPr>
            <w:r>
              <w:rPr>
                <w:rFonts w:hint="eastAsia" w:ascii="Times New Roman" w:hAnsi="Times New Roman" w:eastAsia="仿宋" w:cs="宋体"/>
                <w:color w:val="000000"/>
                <w:kern w:val="0"/>
                <w:szCs w:val="21"/>
              </w:rPr>
              <w:t>Real</w:t>
            </w:r>
            <w:r>
              <w:rPr>
                <w:rFonts w:ascii="Times New Roman" w:hAnsi="Times New Roman" w:eastAsia="仿宋" w:cs="宋体"/>
                <w:color w:val="000000"/>
                <w:kern w:val="0"/>
                <w:szCs w:val="21"/>
              </w:rPr>
              <w:t>-</w:t>
            </w:r>
            <w:r>
              <w:rPr>
                <w:rFonts w:hint="eastAsia" w:ascii="Times New Roman" w:hAnsi="Times New Roman" w:eastAsia="仿宋" w:cs="宋体"/>
                <w:color w:val="000000"/>
                <w:kern w:val="0"/>
                <w:szCs w:val="21"/>
              </w:rPr>
              <w:t>timed</w:t>
            </w:r>
            <w:r>
              <w:rPr>
                <w:rFonts w:ascii="Times New Roman" w:hAnsi="Times New Roman" w:eastAsia="仿宋" w:cs="宋体"/>
                <w:color w:val="000000"/>
                <w:kern w:val="0"/>
                <w:szCs w:val="21"/>
              </w:rPr>
              <w:t xml:space="preserve">etermination of </w:t>
            </w:r>
            <w:r>
              <w:rPr>
                <w:rFonts w:hint="eastAsia" w:ascii="Times New Roman" w:hAnsi="Times New Roman" w:eastAsia="仿宋" w:cs="宋体"/>
                <w:color w:val="000000"/>
                <w:kern w:val="0"/>
                <w:szCs w:val="21"/>
              </w:rPr>
              <w:t xml:space="preserve">the starting point and end pointofcolumn chromatography elutionintraditional </w:t>
            </w:r>
            <w:r>
              <w:rPr>
                <w:rFonts w:ascii="Times New Roman" w:hAnsi="Times New Roman" w:eastAsia="仿宋" w:cs="宋体"/>
                <w:color w:val="000000"/>
                <w:kern w:val="0"/>
                <w:szCs w:val="21"/>
              </w:rPr>
              <w:t xml:space="preserve">Chinese medicine production process </w:t>
            </w:r>
            <w:r>
              <w:rPr>
                <w:rFonts w:hint="eastAsia" w:ascii="Times New Roman" w:hAnsi="Times New Roman" w:eastAsia="仿宋" w:cs="宋体"/>
                <w:color w:val="000000"/>
                <w:kern w:val="0"/>
                <w:szCs w:val="21"/>
              </w:rPr>
              <w:t xml:space="preserve">by </w:t>
            </w:r>
            <w:r>
              <w:rPr>
                <w:rFonts w:ascii="Times New Roman" w:hAnsi="Times New Roman" w:eastAsia="仿宋" w:cs="宋体"/>
                <w:color w:val="000000"/>
                <w:kern w:val="0"/>
                <w:szCs w:val="21"/>
              </w:rPr>
              <w:t>Near infrared spectroscopy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rPr>
                <w:rFonts w:ascii="仿宋" w:hAnsi="仿宋" w:eastAsia="仿宋"/>
                <w:kern w:val="0"/>
                <w:szCs w:val="21"/>
              </w:rPr>
            </w:pPr>
            <w:r>
              <w:rPr>
                <w:rFonts w:ascii="仿宋" w:hAnsi="仿宋" w:eastAsia="仿宋" w:cs="宋体"/>
                <w:color w:val="000000"/>
                <w:kern w:val="0"/>
                <w:szCs w:val="21"/>
              </w:rPr>
              <w:t>制定或修订</w:t>
            </w:r>
          </w:p>
        </w:tc>
        <w:tc>
          <w:tcPr>
            <w:tcW w:w="146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315"/>
              <w:jc w:val="center"/>
              <w:rPr>
                <w:rFonts w:ascii="仿宋" w:hAnsi="仿宋" w:eastAsia="仿宋" w:cs="宋体"/>
                <w:color w:val="000000"/>
                <w:kern w:val="0"/>
                <w:szCs w:val="21"/>
              </w:rPr>
            </w:pPr>
            <w:r>
              <w:rPr>
                <w:rFonts w:hint="eastAsia" w:ascii="仿宋" w:hAnsi="仿宋" w:eastAsia="仿宋" w:cs="宋体"/>
                <w:color w:val="000000"/>
                <w:kern w:val="0"/>
                <w:szCs w:val="21"/>
              </w:rPr>
              <w:t>■</w:t>
            </w:r>
            <w:r>
              <w:rPr>
                <w:rFonts w:ascii="仿宋" w:hAnsi="仿宋" w:eastAsia="仿宋" w:cs="宋体"/>
                <w:color w:val="000000"/>
                <w:kern w:val="0"/>
                <w:szCs w:val="21"/>
              </w:rPr>
              <w:t>制定</w:t>
            </w:r>
          </w:p>
        </w:tc>
        <w:tc>
          <w:tcPr>
            <w:tcW w:w="146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315"/>
              <w:jc w:val="center"/>
              <w:rPr>
                <w:rFonts w:ascii="仿宋" w:hAnsi="仿宋" w:eastAsia="仿宋" w:cs="宋体"/>
                <w:color w:val="000000"/>
                <w:kern w:val="0"/>
                <w:szCs w:val="21"/>
              </w:rPr>
            </w:pPr>
            <w:r>
              <w:rPr>
                <w:rFonts w:ascii="仿宋" w:hAnsi="仿宋" w:eastAsia="仿宋" w:cs="宋体"/>
                <w:color w:val="000000"/>
                <w:kern w:val="0"/>
                <w:szCs w:val="21"/>
              </w:rPr>
              <w:t>□修订</w:t>
            </w:r>
          </w:p>
        </w:tc>
        <w:tc>
          <w:tcPr>
            <w:tcW w:w="1441"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kern w:val="0"/>
                <w:szCs w:val="21"/>
              </w:rPr>
            </w:pPr>
            <w:r>
              <w:rPr>
                <w:rFonts w:ascii="仿宋" w:hAnsi="仿宋" w:eastAsia="仿宋" w:cs="宋体"/>
                <w:color w:val="000000"/>
                <w:kern w:val="0"/>
                <w:szCs w:val="21"/>
              </w:rPr>
              <w:t>被修订标准编号</w:t>
            </w:r>
          </w:p>
        </w:tc>
        <w:tc>
          <w:tcPr>
            <w:tcW w:w="2548" w:type="dxa"/>
            <w:tcBorders>
              <w:top w:val="single" w:color="auto" w:sz="4" w:space="0"/>
              <w:left w:val="single" w:color="auto" w:sz="4" w:space="0"/>
              <w:bottom w:val="single" w:color="auto" w:sz="4" w:space="0"/>
              <w:right w:val="single" w:color="auto" w:sz="4" w:space="0"/>
            </w:tcBorders>
          </w:tcPr>
          <w:p>
            <w:pPr>
              <w:ind w:firstLine="315"/>
              <w:rPr>
                <w:rFonts w:ascii="仿宋" w:hAnsi="仿宋" w:eastAsia="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9" w:type="dxa"/>
            <w:tcBorders>
              <w:top w:val="single" w:color="auto" w:sz="4" w:space="0"/>
              <w:left w:val="single" w:color="auto" w:sz="4" w:space="0"/>
              <w:bottom w:val="single" w:color="auto" w:sz="4" w:space="0"/>
              <w:right w:val="single" w:color="auto" w:sz="4" w:space="0"/>
            </w:tcBorders>
            <w:vAlign w:val="center"/>
          </w:tcPr>
          <w:p>
            <w:pPr>
              <w:ind w:firstLine="149" w:firstLineChars="71"/>
              <w:rPr>
                <w:rFonts w:ascii="仿宋" w:hAnsi="仿宋" w:eastAsia="仿宋"/>
              </w:rPr>
            </w:pPr>
            <w:r>
              <w:rPr>
                <w:rFonts w:hint="eastAsia" w:ascii="仿宋" w:hAnsi="仿宋" w:eastAsia="仿宋" w:cs="宋体"/>
                <w:color w:val="000000"/>
                <w:kern w:val="0"/>
                <w:szCs w:val="21"/>
              </w:rPr>
              <w:t>采标程度</w:t>
            </w:r>
          </w:p>
        </w:tc>
        <w:tc>
          <w:tcPr>
            <w:tcW w:w="9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285"/>
              <w:jc w:val="center"/>
              <w:rPr>
                <w:rFonts w:ascii="仿宋" w:hAnsi="仿宋" w:eastAsia="仿宋"/>
                <w:kern w:val="0"/>
                <w:sz w:val="24"/>
                <w:szCs w:val="24"/>
              </w:rPr>
            </w:pPr>
            <w:r>
              <w:rPr>
                <w:rFonts w:ascii="仿宋" w:hAnsi="仿宋" w:eastAsia="仿宋" w:cs="宋体"/>
                <w:color w:val="000000"/>
                <w:kern w:val="0"/>
                <w:sz w:val="19"/>
                <w:szCs w:val="19"/>
              </w:rPr>
              <w:t>□IDT</w:t>
            </w:r>
          </w:p>
        </w:tc>
        <w:tc>
          <w:tcPr>
            <w:tcW w:w="97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285"/>
              <w:jc w:val="center"/>
              <w:rPr>
                <w:rFonts w:ascii="仿宋" w:hAnsi="仿宋" w:eastAsia="仿宋"/>
                <w:kern w:val="0"/>
                <w:sz w:val="24"/>
                <w:szCs w:val="24"/>
              </w:rPr>
            </w:pPr>
            <w:r>
              <w:rPr>
                <w:rFonts w:ascii="仿宋" w:hAnsi="仿宋" w:eastAsia="仿宋" w:cs="宋体"/>
                <w:color w:val="000000"/>
                <w:kern w:val="0"/>
                <w:sz w:val="19"/>
                <w:szCs w:val="19"/>
              </w:rPr>
              <w:t>□MOD</w:t>
            </w:r>
          </w:p>
        </w:tc>
        <w:tc>
          <w:tcPr>
            <w:tcW w:w="9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285"/>
              <w:jc w:val="center"/>
              <w:rPr>
                <w:rFonts w:ascii="仿宋" w:hAnsi="仿宋" w:eastAsia="仿宋"/>
                <w:kern w:val="0"/>
                <w:sz w:val="24"/>
                <w:szCs w:val="24"/>
              </w:rPr>
            </w:pPr>
            <w:r>
              <w:rPr>
                <w:rFonts w:ascii="仿宋" w:hAnsi="仿宋" w:eastAsia="仿宋" w:cs="宋体"/>
                <w:color w:val="000000"/>
                <w:kern w:val="0"/>
                <w:sz w:val="19"/>
                <w:szCs w:val="19"/>
              </w:rPr>
              <w:t>□NEQ</w:t>
            </w:r>
          </w:p>
        </w:tc>
        <w:tc>
          <w:tcPr>
            <w:tcW w:w="1441" w:type="dxa"/>
            <w:tcBorders>
              <w:top w:val="single" w:color="auto" w:sz="4" w:space="0"/>
              <w:left w:val="single" w:color="auto" w:sz="4" w:space="0"/>
              <w:bottom w:val="single" w:color="auto" w:sz="4" w:space="0"/>
              <w:right w:val="single" w:color="auto" w:sz="4" w:space="0"/>
            </w:tcBorders>
            <w:vAlign w:val="center"/>
          </w:tcPr>
          <w:p>
            <w:pPr>
              <w:ind w:firstLine="149" w:firstLineChars="71"/>
              <w:rPr>
                <w:rFonts w:ascii="仿宋" w:hAnsi="仿宋" w:eastAsia="仿宋" w:cs="宋体"/>
                <w:color w:val="000000"/>
                <w:kern w:val="0"/>
                <w:szCs w:val="21"/>
              </w:rPr>
            </w:pPr>
            <w:r>
              <w:rPr>
                <w:rFonts w:hint="eastAsia" w:ascii="仿宋" w:hAnsi="仿宋" w:eastAsia="仿宋" w:cs="宋体"/>
                <w:color w:val="000000"/>
                <w:kern w:val="0"/>
                <w:szCs w:val="21"/>
              </w:rPr>
              <w:t>采标编号</w:t>
            </w:r>
          </w:p>
        </w:tc>
        <w:tc>
          <w:tcPr>
            <w:tcW w:w="2548" w:type="dxa"/>
            <w:tcBorders>
              <w:top w:val="single" w:color="auto" w:sz="4" w:space="0"/>
              <w:left w:val="single" w:color="auto" w:sz="4" w:space="0"/>
              <w:bottom w:val="single" w:color="auto" w:sz="4" w:space="0"/>
              <w:right w:val="single" w:color="auto" w:sz="4" w:space="0"/>
            </w:tcBorders>
          </w:tcPr>
          <w:p>
            <w:pPr>
              <w:ind w:firstLine="315"/>
              <w:rPr>
                <w:rFonts w:ascii="仿宋" w:hAnsi="仿宋" w:eastAsia="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3" w:hRule="atLeast"/>
        </w:trPr>
        <w:tc>
          <w:tcPr>
            <w:tcW w:w="13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left"/>
              <w:rPr>
                <w:rFonts w:ascii="仿宋" w:hAnsi="仿宋" w:eastAsia="仿宋" w:cs="宋体"/>
                <w:color w:val="000000"/>
                <w:kern w:val="0"/>
                <w:szCs w:val="21"/>
              </w:rPr>
            </w:pPr>
            <w:r>
              <w:rPr>
                <w:rFonts w:ascii="仿宋" w:hAnsi="仿宋" w:eastAsia="仿宋" w:cs="宋体"/>
                <w:color w:val="000000"/>
                <w:kern w:val="0"/>
                <w:szCs w:val="21"/>
              </w:rPr>
              <w:t>国际标准</w:t>
            </w:r>
            <w:r>
              <w:rPr>
                <w:rFonts w:hint="eastAsia" w:ascii="仿宋" w:hAnsi="仿宋" w:eastAsia="仿宋" w:cs="宋体"/>
                <w:color w:val="000000"/>
                <w:kern w:val="0"/>
                <w:szCs w:val="21"/>
              </w:rPr>
              <w:t>/</w:t>
            </w:r>
            <w:r>
              <w:rPr>
                <w:rFonts w:ascii="仿宋" w:hAnsi="仿宋" w:eastAsia="仿宋" w:cs="宋体"/>
                <w:color w:val="000000"/>
                <w:kern w:val="0"/>
                <w:szCs w:val="21"/>
              </w:rPr>
              <w:t>国外先进标准名称(中文)</w:t>
            </w:r>
          </w:p>
        </w:tc>
        <w:tc>
          <w:tcPr>
            <w:tcW w:w="2928" w:type="dxa"/>
            <w:gridSpan w:val="4"/>
            <w:tcBorders>
              <w:top w:val="single" w:color="auto" w:sz="4" w:space="0"/>
              <w:left w:val="single" w:color="auto" w:sz="4" w:space="0"/>
              <w:bottom w:val="single" w:color="auto" w:sz="4" w:space="0"/>
              <w:right w:val="single" w:color="auto" w:sz="4" w:space="0"/>
            </w:tcBorders>
            <w:vAlign w:val="center"/>
          </w:tcPr>
          <w:p>
            <w:pPr>
              <w:ind w:firstLine="315"/>
              <w:jc w:val="center"/>
              <w:rPr>
                <w:rFonts w:ascii="仿宋" w:hAnsi="仿宋" w:eastAsia="仿宋"/>
              </w:rPr>
            </w:pPr>
            <w:r>
              <w:rPr>
                <w:rFonts w:hint="eastAsia" w:ascii="仿宋" w:hAnsi="仿宋" w:eastAsia="仿宋"/>
              </w:rPr>
              <w:t>无</w:t>
            </w:r>
          </w:p>
        </w:tc>
        <w:tc>
          <w:tcPr>
            <w:tcW w:w="14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left"/>
              <w:rPr>
                <w:rFonts w:ascii="仿宋" w:hAnsi="仿宋" w:eastAsia="仿宋" w:cs="宋体"/>
                <w:color w:val="000000"/>
                <w:kern w:val="0"/>
                <w:szCs w:val="21"/>
              </w:rPr>
            </w:pPr>
            <w:r>
              <w:rPr>
                <w:rFonts w:ascii="仿宋" w:hAnsi="仿宋" w:eastAsia="仿宋" w:cs="宋体"/>
                <w:color w:val="000000"/>
                <w:kern w:val="0"/>
                <w:szCs w:val="21"/>
              </w:rPr>
              <w:t>国际标准</w:t>
            </w:r>
            <w:r>
              <w:rPr>
                <w:rFonts w:hint="eastAsia" w:ascii="仿宋" w:hAnsi="仿宋" w:eastAsia="仿宋" w:cs="宋体"/>
                <w:color w:val="000000"/>
                <w:kern w:val="0"/>
                <w:szCs w:val="21"/>
              </w:rPr>
              <w:t>/</w:t>
            </w:r>
            <w:r>
              <w:rPr>
                <w:rFonts w:ascii="仿宋" w:hAnsi="仿宋" w:eastAsia="仿宋" w:cs="宋体"/>
                <w:color w:val="000000"/>
                <w:kern w:val="0"/>
                <w:szCs w:val="21"/>
              </w:rPr>
              <w:t>国外先进标准名称(</w:t>
            </w:r>
            <w:r>
              <w:rPr>
                <w:rFonts w:hint="eastAsia" w:ascii="仿宋" w:hAnsi="仿宋" w:eastAsia="仿宋" w:cs="宋体"/>
                <w:color w:val="000000"/>
                <w:kern w:val="0"/>
                <w:szCs w:val="21"/>
              </w:rPr>
              <w:t>英</w:t>
            </w:r>
            <w:r>
              <w:rPr>
                <w:rFonts w:ascii="仿宋" w:hAnsi="仿宋" w:eastAsia="仿宋" w:cs="宋体"/>
                <w:color w:val="000000"/>
                <w:kern w:val="0"/>
                <w:szCs w:val="21"/>
              </w:rPr>
              <w:t>文)</w:t>
            </w:r>
          </w:p>
        </w:tc>
        <w:tc>
          <w:tcPr>
            <w:tcW w:w="2548" w:type="dxa"/>
            <w:tcBorders>
              <w:top w:val="single" w:color="auto" w:sz="4" w:space="0"/>
              <w:left w:val="single" w:color="auto" w:sz="4" w:space="0"/>
              <w:bottom w:val="single" w:color="auto" w:sz="4" w:space="0"/>
              <w:right w:val="single" w:color="auto" w:sz="4" w:space="0"/>
            </w:tcBorders>
            <w:vAlign w:val="center"/>
          </w:tcPr>
          <w:p>
            <w:pPr>
              <w:ind w:firstLine="315"/>
              <w:jc w:val="center"/>
              <w:rPr>
                <w:rFonts w:ascii="仿宋" w:hAnsi="仿宋" w:eastAsia="仿宋"/>
              </w:rPr>
            </w:pPr>
            <w:r>
              <w:rPr>
                <w:rFonts w:hint="eastAsia" w:ascii="仿宋" w:hAnsi="仿宋" w:eastAsia="仿宋"/>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3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项目申报</w:t>
            </w:r>
            <w:r>
              <w:rPr>
                <w:rFonts w:ascii="仿宋" w:hAnsi="仿宋" w:eastAsia="仿宋" w:cs="宋体"/>
                <w:color w:val="000000"/>
                <w:kern w:val="0"/>
                <w:szCs w:val="21"/>
              </w:rPr>
              <w:t>单位</w:t>
            </w:r>
          </w:p>
        </w:tc>
        <w:tc>
          <w:tcPr>
            <w:tcW w:w="6917" w:type="dxa"/>
            <w:gridSpan w:val="6"/>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 w:hAnsi="仿宋" w:eastAsia="仿宋"/>
                <w:szCs w:val="21"/>
              </w:rPr>
            </w:pPr>
            <w:r>
              <w:rPr>
                <w:rFonts w:hint="eastAsia" w:ascii="仿宋" w:hAnsi="仿宋" w:eastAsia="仿宋" w:cs="宋体"/>
                <w:color w:val="000000"/>
                <w:kern w:val="0"/>
                <w:szCs w:val="21"/>
              </w:rPr>
              <w:t>苏州泽达兴邦医药科技有限公司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2" w:hRule="atLeast"/>
        </w:trPr>
        <w:tc>
          <w:tcPr>
            <w:tcW w:w="13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rPr>
                <w:rFonts w:ascii="仿宋" w:hAnsi="仿宋" w:eastAsia="仿宋" w:cs="宋体"/>
                <w:color w:val="000000"/>
                <w:kern w:val="0"/>
                <w:szCs w:val="21"/>
              </w:rPr>
            </w:pPr>
            <w:r>
              <w:rPr>
                <w:rFonts w:ascii="仿宋" w:hAnsi="仿宋" w:eastAsia="仿宋" w:cs="宋体"/>
                <w:color w:val="000000"/>
                <w:kern w:val="0"/>
                <w:szCs w:val="21"/>
              </w:rPr>
              <w:t>目的、意义或必要性</w:t>
            </w:r>
          </w:p>
        </w:tc>
        <w:tc>
          <w:tcPr>
            <w:tcW w:w="6917" w:type="dxa"/>
            <w:gridSpan w:val="6"/>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仿宋" w:hAnsi="仿宋" w:eastAsia="仿宋" w:cs="宋体"/>
                <w:kern w:val="0"/>
                <w:szCs w:val="21"/>
              </w:rPr>
            </w:pPr>
            <w:r>
              <w:rPr>
                <w:rFonts w:hint="eastAsia" w:ascii="仿宋" w:hAnsi="仿宋" w:eastAsia="仿宋" w:cs="宋体"/>
                <w:kern w:val="0"/>
                <w:szCs w:val="21"/>
              </w:rPr>
              <w:t>柱层析技术是一种基于样品组分在互不相溶的两相之间分配系数、带电性质或分子大小不同而实现组分分离的色谱技术。其特点是分离效率高，能分离结构和性质相似的化合物。作为一种重要的分离手段，柱层析技术广泛应用于中药、天然产物等的生产过程，然而，由于生产原料、工艺参数存在波动因素，为保证生产稳定、终产品质量均一，提高收率、降低成本，往往需要在柱层析过程中监测现场工艺状况，并在目标药物洗脱流出时及时启动收集，洗脱结束时及时停止收集。传统上，现场操作人员往往根据个人经验，通过看药液颜色，闻药液气味等方法来进行操作，主观性强，存在较多不确定因素和不可控风险。因此，利用近红外光谱技术对中药生产过程柱层析洗脱起点和终点进行实时判断，将有助于及时、精准地监控生产过程，降低生产成本，提高原料利用率，保证产品质量的均一稳定。</w:t>
            </w:r>
          </w:p>
          <w:p>
            <w:pPr>
              <w:spacing w:line="360" w:lineRule="auto"/>
              <w:ind w:firstLine="420" w:firstLineChars="200"/>
              <w:rPr>
                <w:rFonts w:ascii="仿宋" w:hAnsi="仿宋" w:eastAsia="仿宋" w:cs="宋体"/>
                <w:kern w:val="0"/>
                <w:szCs w:val="21"/>
              </w:rPr>
            </w:pPr>
            <w:r>
              <w:rPr>
                <w:rFonts w:ascii="仿宋" w:hAnsi="仿宋" w:eastAsia="仿宋" w:cs="宋体"/>
                <w:kern w:val="0"/>
                <w:szCs w:val="21"/>
              </w:rPr>
              <w:t>为规范</w:t>
            </w:r>
            <w:r>
              <w:rPr>
                <w:rFonts w:hint="eastAsia" w:ascii="仿宋" w:hAnsi="仿宋" w:eastAsia="仿宋" w:cs="宋体"/>
                <w:kern w:val="0"/>
                <w:szCs w:val="21"/>
              </w:rPr>
              <w:t>柱层析洗脱起点与终点</w:t>
            </w:r>
            <w:r>
              <w:rPr>
                <w:rFonts w:ascii="仿宋" w:hAnsi="仿宋" w:eastAsia="仿宋" w:cs="宋体"/>
                <w:kern w:val="0"/>
                <w:szCs w:val="21"/>
              </w:rPr>
              <w:t>评价指标</w:t>
            </w:r>
            <w:r>
              <w:rPr>
                <w:rFonts w:hint="eastAsia" w:ascii="仿宋" w:hAnsi="仿宋" w:eastAsia="仿宋" w:cs="宋体"/>
                <w:kern w:val="0"/>
                <w:szCs w:val="21"/>
              </w:rPr>
              <w:t>的实时判断依据</w:t>
            </w:r>
            <w:r>
              <w:rPr>
                <w:rFonts w:ascii="仿宋" w:hAnsi="仿宋" w:eastAsia="仿宋" w:cs="宋体"/>
                <w:kern w:val="0"/>
                <w:szCs w:val="21"/>
              </w:rPr>
              <w:t>，为</w:t>
            </w:r>
            <w:r>
              <w:rPr>
                <w:rFonts w:hint="eastAsia" w:ascii="仿宋" w:hAnsi="仿宋" w:eastAsia="仿宋" w:cs="宋体"/>
                <w:kern w:val="0"/>
                <w:szCs w:val="21"/>
              </w:rPr>
              <w:t>中药生产过程</w:t>
            </w:r>
            <w:r>
              <w:rPr>
                <w:rFonts w:ascii="仿宋" w:hAnsi="仿宋" w:eastAsia="仿宋" w:cs="宋体"/>
                <w:kern w:val="0"/>
                <w:szCs w:val="21"/>
              </w:rPr>
              <w:t>质量的智能控制提供理论支撑和技术支持，</w:t>
            </w:r>
            <w:r>
              <w:rPr>
                <w:rFonts w:hint="eastAsia" w:ascii="仿宋" w:hAnsi="仿宋" w:eastAsia="仿宋" w:cs="宋体"/>
                <w:kern w:val="0"/>
                <w:szCs w:val="21"/>
              </w:rPr>
              <w:t>拟</w:t>
            </w:r>
            <w:r>
              <w:rPr>
                <w:rFonts w:ascii="仿宋" w:hAnsi="仿宋" w:eastAsia="仿宋" w:cs="宋体"/>
                <w:kern w:val="0"/>
                <w:szCs w:val="21"/>
              </w:rPr>
              <w:t>制定团体标准《中药生产过程</w:t>
            </w:r>
            <w:r>
              <w:rPr>
                <w:rFonts w:hint="eastAsia" w:ascii="仿宋" w:hAnsi="仿宋" w:eastAsia="仿宋" w:cs="宋体"/>
                <w:kern w:val="0"/>
                <w:szCs w:val="21"/>
              </w:rPr>
              <w:t xml:space="preserve">柱层析洗脱起点与终点的实时判断 </w:t>
            </w:r>
            <w:r>
              <w:rPr>
                <w:rFonts w:ascii="仿宋" w:hAnsi="仿宋" w:eastAsia="仿宋" w:cs="宋体"/>
                <w:kern w:val="0"/>
                <w:szCs w:val="21"/>
              </w:rPr>
              <w:t>近红外光谱法》</w:t>
            </w:r>
            <w:r>
              <w:rPr>
                <w:rFonts w:hint="eastAsia" w:ascii="仿宋" w:hAnsi="仿宋" w:eastAsia="仿宋" w:cs="宋体"/>
                <w:kern w:val="0"/>
                <w:szCs w:val="21"/>
              </w:rPr>
              <w:t>，助推行业</w:t>
            </w:r>
            <w:r>
              <w:rPr>
                <w:rFonts w:ascii="仿宋" w:hAnsi="仿宋" w:eastAsia="仿宋" w:cs="宋体"/>
                <w:kern w:val="0"/>
                <w:szCs w:val="21"/>
              </w:rPr>
              <w:t>发展及应用</w:t>
            </w:r>
            <w:r>
              <w:rPr>
                <w:rFonts w:hint="eastAsia" w:ascii="仿宋" w:hAnsi="仿宋" w:eastAsia="仿宋" w:cs="宋体"/>
                <w:kern w:val="0"/>
                <w:szCs w:val="21"/>
              </w:rPr>
              <w:t>。</w:t>
            </w:r>
          </w:p>
          <w:p>
            <w:pPr>
              <w:spacing w:line="360" w:lineRule="auto"/>
              <w:ind w:firstLine="420" w:firstLineChars="200"/>
              <w:rPr>
                <w:rFonts w:ascii="仿宋" w:hAnsi="仿宋" w:eastAsia="仿宋" w:cs="宋体"/>
                <w:kern w:val="0"/>
                <w:szCs w:val="21"/>
              </w:rPr>
            </w:pPr>
            <w:r>
              <w:rPr>
                <w:rFonts w:hint="eastAsia" w:ascii="仿宋" w:hAnsi="仿宋" w:eastAsia="仿宋" w:cs="宋体"/>
                <w:kern w:val="0"/>
                <w:szCs w:val="21"/>
              </w:rPr>
              <w:t>目前没有检索到国内外有相同的已发布标准。</w:t>
            </w:r>
          </w:p>
          <w:p>
            <w:pPr>
              <w:spacing w:line="360" w:lineRule="auto"/>
              <w:ind w:firstLine="420" w:firstLineChars="200"/>
              <w:rPr>
                <w:rFonts w:ascii="仿宋" w:hAnsi="仿宋" w:eastAsia="仿宋" w:cs="宋体"/>
                <w:kern w:val="0"/>
                <w:szCs w:val="21"/>
              </w:rPr>
            </w:pPr>
          </w:p>
          <w:p>
            <w:pPr>
              <w:spacing w:line="360" w:lineRule="auto"/>
              <w:ind w:firstLine="420" w:firstLineChars="200"/>
              <w:rPr>
                <w:rFonts w:ascii="仿宋" w:hAnsi="仿宋" w:eastAsia="仿宋" w:cs="宋体"/>
                <w:kern w:val="0"/>
                <w:szCs w:val="21"/>
              </w:rPr>
            </w:pPr>
          </w:p>
          <w:p>
            <w:pPr>
              <w:spacing w:line="360" w:lineRule="auto"/>
              <w:ind w:firstLine="420" w:firstLineChars="200"/>
              <w:rPr>
                <w:rFonts w:ascii="仿宋" w:hAnsi="仿宋" w:eastAsia="仿宋" w:cs="宋体"/>
                <w:kern w:val="0"/>
                <w:szCs w:val="21"/>
              </w:rPr>
            </w:pPr>
          </w:p>
          <w:p>
            <w:pPr>
              <w:pStyle w:val="16"/>
              <w:autoSpaceDE w:val="0"/>
              <w:autoSpaceDN w:val="0"/>
              <w:adjustRightInd w:val="0"/>
              <w:snapToGrid w:val="0"/>
              <w:spacing w:line="360" w:lineRule="auto"/>
              <w:rPr>
                <w:rFonts w:ascii="仿宋" w:hAnsi="仿宋" w:eastAsia="仿宋" w:cs="宋体"/>
                <w:kern w:val="0"/>
                <w:szCs w:val="21"/>
              </w:rPr>
            </w:pPr>
          </w:p>
          <w:p>
            <w:pPr>
              <w:pStyle w:val="16"/>
              <w:autoSpaceDE w:val="0"/>
              <w:autoSpaceDN w:val="0"/>
              <w:adjustRightInd w:val="0"/>
              <w:snapToGrid w:val="0"/>
              <w:spacing w:line="360" w:lineRule="auto"/>
              <w:rPr>
                <w:rFonts w:ascii="仿宋" w:hAnsi="仿宋" w:eastAsia="仿宋"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9" w:hRule="atLeast"/>
        </w:trPr>
        <w:tc>
          <w:tcPr>
            <w:tcW w:w="1379" w:type="dxa"/>
            <w:tcBorders>
              <w:top w:val="single" w:color="auto" w:sz="4" w:space="0"/>
              <w:left w:val="single" w:color="auto" w:sz="4" w:space="0"/>
              <w:bottom w:val="single" w:color="auto" w:sz="4" w:space="0"/>
              <w:right w:val="single" w:color="auto" w:sz="4" w:space="0"/>
            </w:tcBorders>
            <w:vAlign w:val="center"/>
          </w:tcPr>
          <w:p>
            <w:pPr>
              <w:ind w:firstLine="149" w:firstLineChars="71"/>
              <w:rPr>
                <w:rFonts w:ascii="仿宋" w:hAnsi="仿宋" w:eastAsia="仿宋" w:cs="宋体"/>
                <w:color w:val="000000"/>
                <w:kern w:val="0"/>
                <w:szCs w:val="21"/>
              </w:rPr>
            </w:pPr>
            <w:r>
              <w:rPr>
                <w:rFonts w:hint="eastAsia" w:ascii="仿宋" w:hAnsi="仿宋" w:eastAsia="仿宋" w:cs="宋体"/>
                <w:color w:val="000000"/>
                <w:kern w:val="0"/>
                <w:szCs w:val="21"/>
              </w:rPr>
              <w:t>反馈意见</w:t>
            </w:r>
          </w:p>
        </w:tc>
        <w:tc>
          <w:tcPr>
            <w:tcW w:w="6917"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ind w:firstLine="240"/>
              <w:jc w:val="left"/>
              <w:rPr>
                <w:rFonts w:ascii="仿宋" w:hAnsi="仿宋" w:eastAsia="仿宋" w:cs="宋体"/>
                <w:i/>
                <w:color w:val="000000"/>
                <w:kern w:val="0"/>
                <w:sz w:val="16"/>
                <w:szCs w:val="16"/>
              </w:rPr>
            </w:pPr>
          </w:p>
          <w:p>
            <w:pPr>
              <w:autoSpaceDE w:val="0"/>
              <w:autoSpaceDN w:val="0"/>
              <w:adjustRightInd w:val="0"/>
              <w:snapToGrid w:val="0"/>
              <w:ind w:firstLine="240"/>
              <w:jc w:val="left"/>
              <w:rPr>
                <w:rFonts w:ascii="仿宋" w:hAnsi="仿宋" w:eastAsia="仿宋" w:cs="宋体"/>
                <w:i/>
                <w:color w:val="000000"/>
                <w:kern w:val="0"/>
                <w:sz w:val="16"/>
                <w:szCs w:val="16"/>
              </w:rPr>
            </w:pPr>
          </w:p>
          <w:p>
            <w:pPr>
              <w:autoSpaceDE w:val="0"/>
              <w:autoSpaceDN w:val="0"/>
              <w:adjustRightInd w:val="0"/>
              <w:snapToGrid w:val="0"/>
              <w:ind w:firstLine="240"/>
              <w:jc w:val="left"/>
              <w:rPr>
                <w:rFonts w:ascii="仿宋" w:hAnsi="仿宋" w:eastAsia="仿宋" w:cs="宋体"/>
                <w:i/>
                <w:color w:val="000000"/>
                <w:kern w:val="0"/>
                <w:sz w:val="16"/>
                <w:szCs w:val="16"/>
              </w:rPr>
            </w:pPr>
          </w:p>
          <w:p>
            <w:pPr>
              <w:autoSpaceDE w:val="0"/>
              <w:autoSpaceDN w:val="0"/>
              <w:adjustRightInd w:val="0"/>
              <w:snapToGrid w:val="0"/>
              <w:ind w:firstLine="240"/>
              <w:jc w:val="left"/>
              <w:rPr>
                <w:rFonts w:ascii="仿宋" w:hAnsi="仿宋" w:eastAsia="仿宋" w:cs="宋体"/>
                <w:i/>
                <w:color w:val="000000"/>
                <w:kern w:val="0"/>
                <w:sz w:val="16"/>
                <w:szCs w:val="16"/>
              </w:rPr>
            </w:pPr>
          </w:p>
          <w:p>
            <w:pPr>
              <w:autoSpaceDE w:val="0"/>
              <w:autoSpaceDN w:val="0"/>
              <w:adjustRightInd w:val="0"/>
              <w:snapToGrid w:val="0"/>
              <w:ind w:firstLine="240"/>
              <w:jc w:val="left"/>
              <w:rPr>
                <w:rFonts w:ascii="仿宋" w:hAnsi="仿宋" w:eastAsia="仿宋" w:cs="宋体"/>
                <w:i/>
                <w:color w:val="000000"/>
                <w:kern w:val="0"/>
                <w:sz w:val="16"/>
                <w:szCs w:val="16"/>
              </w:rPr>
            </w:pPr>
          </w:p>
          <w:p>
            <w:pPr>
              <w:autoSpaceDE w:val="0"/>
              <w:autoSpaceDN w:val="0"/>
              <w:adjustRightInd w:val="0"/>
              <w:snapToGrid w:val="0"/>
              <w:ind w:firstLine="240"/>
              <w:jc w:val="left"/>
              <w:rPr>
                <w:rFonts w:ascii="仿宋" w:hAnsi="仿宋" w:eastAsia="仿宋" w:cs="宋体"/>
                <w:i/>
                <w:color w:val="000000"/>
                <w:kern w:val="0"/>
                <w:sz w:val="16"/>
                <w:szCs w:val="16"/>
              </w:rPr>
            </w:pPr>
          </w:p>
          <w:p>
            <w:pPr>
              <w:autoSpaceDE w:val="0"/>
              <w:autoSpaceDN w:val="0"/>
              <w:adjustRightInd w:val="0"/>
              <w:snapToGrid w:val="0"/>
              <w:ind w:firstLine="240"/>
              <w:jc w:val="left"/>
              <w:rPr>
                <w:rFonts w:ascii="仿宋" w:hAnsi="仿宋" w:eastAsia="仿宋" w:cs="宋体"/>
                <w:i/>
                <w:color w:val="000000"/>
                <w:kern w:val="0"/>
                <w:sz w:val="16"/>
                <w:szCs w:val="16"/>
              </w:rPr>
            </w:pPr>
          </w:p>
          <w:p>
            <w:pPr>
              <w:autoSpaceDE w:val="0"/>
              <w:autoSpaceDN w:val="0"/>
              <w:adjustRightInd w:val="0"/>
              <w:snapToGrid w:val="0"/>
              <w:ind w:firstLine="240"/>
              <w:jc w:val="left"/>
              <w:rPr>
                <w:rFonts w:ascii="仿宋" w:hAnsi="仿宋" w:eastAsia="仿宋" w:cs="宋体"/>
                <w:i/>
                <w:color w:val="000000"/>
                <w:kern w:val="0"/>
                <w:sz w:val="16"/>
                <w:szCs w:val="16"/>
              </w:rPr>
            </w:pPr>
          </w:p>
          <w:p>
            <w:pPr>
              <w:autoSpaceDE w:val="0"/>
              <w:autoSpaceDN w:val="0"/>
              <w:adjustRightInd w:val="0"/>
              <w:snapToGrid w:val="0"/>
              <w:ind w:firstLine="240"/>
              <w:jc w:val="left"/>
              <w:rPr>
                <w:rFonts w:ascii="仿宋" w:hAnsi="仿宋" w:eastAsia="仿宋" w:cs="宋体"/>
                <w:i/>
                <w:color w:val="000000"/>
                <w:kern w:val="0"/>
                <w:sz w:val="16"/>
                <w:szCs w:val="16"/>
              </w:rPr>
            </w:pPr>
          </w:p>
          <w:p>
            <w:pPr>
              <w:autoSpaceDE w:val="0"/>
              <w:autoSpaceDN w:val="0"/>
              <w:adjustRightInd w:val="0"/>
              <w:snapToGrid w:val="0"/>
              <w:ind w:firstLine="315"/>
              <w:jc w:val="left"/>
              <w:rPr>
                <w:rFonts w:ascii="仿宋" w:hAnsi="仿宋" w:eastAsia="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0" w:hRule="atLeast"/>
        </w:trPr>
        <w:tc>
          <w:tcPr>
            <w:tcW w:w="13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反馈意见</w:t>
            </w:r>
            <w:r>
              <w:rPr>
                <w:rFonts w:ascii="仿宋" w:hAnsi="仿宋" w:eastAsia="仿宋" w:cs="宋体"/>
                <w:color w:val="000000"/>
                <w:kern w:val="0"/>
                <w:szCs w:val="21"/>
              </w:rPr>
              <w:t>单位</w:t>
            </w:r>
          </w:p>
        </w:tc>
        <w:tc>
          <w:tcPr>
            <w:tcW w:w="6917" w:type="dxa"/>
            <w:gridSpan w:val="6"/>
            <w:tcBorders>
              <w:top w:val="single" w:color="auto" w:sz="4" w:space="0"/>
              <w:left w:val="single" w:color="auto" w:sz="4" w:space="0"/>
              <w:bottom w:val="single" w:color="auto" w:sz="4" w:space="0"/>
              <w:right w:val="single" w:color="auto" w:sz="4" w:space="0"/>
            </w:tcBorders>
          </w:tcPr>
          <w:p>
            <w:pPr>
              <w:ind w:firstLine="240"/>
              <w:rPr>
                <w:rFonts w:ascii="仿宋" w:hAnsi="仿宋" w:eastAsia="仿宋" w:cs="宋体"/>
                <w:i/>
                <w:color w:val="000000"/>
                <w:kern w:val="0"/>
                <w:sz w:val="16"/>
                <w:szCs w:val="16"/>
              </w:rPr>
            </w:pPr>
          </w:p>
          <w:p>
            <w:pPr>
              <w:ind w:firstLine="240"/>
              <w:rPr>
                <w:rFonts w:ascii="仿宋" w:hAnsi="仿宋" w:eastAsia="仿宋" w:cs="宋体"/>
                <w:i/>
                <w:color w:val="000000"/>
                <w:kern w:val="0"/>
                <w:sz w:val="16"/>
                <w:szCs w:val="16"/>
              </w:rPr>
            </w:pPr>
          </w:p>
          <w:p>
            <w:pPr>
              <w:ind w:firstLine="270"/>
              <w:rPr>
                <w:rFonts w:ascii="仿宋" w:hAnsi="仿宋" w:eastAsia="仿宋" w:cs="宋体"/>
                <w:i/>
                <w:color w:val="000000"/>
                <w:kern w:val="0"/>
                <w:sz w:val="18"/>
                <w:szCs w:val="18"/>
              </w:rPr>
            </w:pPr>
          </w:p>
          <w:p>
            <w:pPr>
              <w:ind w:firstLine="270"/>
              <w:rPr>
                <w:rFonts w:ascii="仿宋" w:hAnsi="仿宋" w:eastAsia="仿宋" w:cs="宋体"/>
                <w:i/>
                <w:color w:val="000000"/>
                <w:kern w:val="0"/>
                <w:sz w:val="18"/>
                <w:szCs w:val="18"/>
              </w:rPr>
            </w:pPr>
            <w:r>
              <w:rPr>
                <w:rFonts w:ascii="仿宋" w:hAnsi="仿宋" w:eastAsia="仿宋" w:cs="宋体"/>
                <w:i/>
                <w:color w:val="000000"/>
                <w:kern w:val="0"/>
                <w:sz w:val="18"/>
                <w:szCs w:val="18"/>
              </w:rPr>
              <w:t>（</w:t>
            </w:r>
            <w:r>
              <w:rPr>
                <w:rFonts w:hint="eastAsia" w:ascii="仿宋" w:hAnsi="仿宋" w:eastAsia="仿宋" w:cs="宋体"/>
                <w:i/>
                <w:color w:val="000000"/>
                <w:kern w:val="0"/>
                <w:sz w:val="18"/>
                <w:szCs w:val="18"/>
              </w:rPr>
              <w:t>负责人</w:t>
            </w:r>
            <w:r>
              <w:rPr>
                <w:rFonts w:ascii="仿宋" w:hAnsi="仿宋" w:eastAsia="仿宋" w:cs="宋体"/>
                <w:i/>
                <w:color w:val="000000"/>
                <w:kern w:val="0"/>
                <w:sz w:val="18"/>
                <w:szCs w:val="18"/>
              </w:rPr>
              <w:t>签字、盖公章）</w:t>
            </w:r>
          </w:p>
          <w:p>
            <w:pPr>
              <w:autoSpaceDE w:val="0"/>
              <w:autoSpaceDN w:val="0"/>
              <w:adjustRightInd w:val="0"/>
              <w:snapToGrid w:val="0"/>
              <w:ind w:firstLine="4935" w:firstLineChars="2350"/>
              <w:jc w:val="left"/>
              <w:rPr>
                <w:rFonts w:ascii="仿宋" w:hAnsi="仿宋" w:eastAsia="仿宋"/>
              </w:rPr>
            </w:pPr>
            <w:r>
              <w:rPr>
                <w:rFonts w:hint="eastAsia" w:ascii="仿宋" w:hAnsi="仿宋" w:eastAsia="仿宋" w:cs="宋体"/>
                <w:color w:val="000000"/>
                <w:kern w:val="0"/>
                <w:szCs w:val="21"/>
              </w:rPr>
              <w:t>年  月  日</w:t>
            </w:r>
          </w:p>
        </w:tc>
      </w:tr>
    </w:tbl>
    <w:p>
      <w:pPr>
        <w:ind w:firstLine="0" w:firstLineChars="0"/>
        <w:rPr>
          <w:rFonts w:ascii="Times New Roman" w:hAnsi="Times New Roman" w:eastAsia="仿宋" w:cs="Times New Roman"/>
          <w:i/>
        </w:rPr>
      </w:pPr>
      <w:r>
        <w:rPr>
          <w:rFonts w:hint="eastAsia" w:ascii="仿宋" w:hAnsi="仿宋" w:eastAsia="仿宋"/>
          <w:b/>
          <w:i/>
        </w:rPr>
        <w:t>注：</w:t>
      </w:r>
      <w:r>
        <w:rPr>
          <w:rFonts w:hint="eastAsia" w:ascii="仿宋" w:hAnsi="仿宋" w:eastAsia="仿宋"/>
          <w:i/>
        </w:rPr>
        <w:t>意见反馈可以填写此表后，可以通过电子邮箱或电话联系反馈给中国仪器仪表学会标准化工作委员会。电话：010-82</w:t>
      </w:r>
      <w:r>
        <w:rPr>
          <w:rFonts w:ascii="仿宋" w:hAnsi="仿宋" w:eastAsia="仿宋"/>
          <w:i/>
        </w:rPr>
        <w:t>961039</w:t>
      </w:r>
      <w:r>
        <w:rPr>
          <w:rFonts w:hint="eastAsia" w:ascii="仿宋" w:hAnsi="仿宋" w:eastAsia="仿宋"/>
          <w:i/>
        </w:rPr>
        <w:t>，010-82800385；</w:t>
      </w:r>
      <w:r>
        <w:fldChar w:fldCharType="begin"/>
      </w:r>
      <w:r>
        <w:instrText xml:space="preserve"> HYPERLINK "mailto:scis@cis.org.cn" </w:instrText>
      </w:r>
      <w:r>
        <w:fldChar w:fldCharType="separate"/>
      </w:r>
      <w:r>
        <w:rPr>
          <w:rFonts w:ascii="Times New Roman" w:hAnsi="Times New Roman" w:cs="Times New Roman"/>
          <w:i/>
        </w:rPr>
        <w:t>scis@cis.org.cn</w:t>
      </w:r>
      <w:r>
        <w:rPr>
          <w:rFonts w:ascii="Times New Roman" w:hAnsi="Times New Roman" w:cs="Times New Roman"/>
          <w:i/>
        </w:rPr>
        <w:fldChar w:fldCharType="end"/>
      </w:r>
      <w:r>
        <w:rPr>
          <w:rFonts w:ascii="Times New Roman" w:hAnsi="Times New Roman" w:eastAsia="仿宋" w:cs="Times New Roman"/>
          <w:i/>
        </w:rPr>
        <w:t xml:space="preserve">, </w:t>
      </w:r>
      <w:r>
        <w:fldChar w:fldCharType="begin"/>
      </w:r>
      <w:r>
        <w:instrText xml:space="preserve"> HYPERLINK "mailto:liuli@cis.org.cn" </w:instrText>
      </w:r>
      <w:r>
        <w:fldChar w:fldCharType="separate"/>
      </w:r>
      <w:r>
        <w:rPr>
          <w:rStyle w:val="11"/>
          <w:rFonts w:ascii="Times New Roman" w:hAnsi="Times New Roman" w:eastAsia="仿宋" w:cs="Times New Roman"/>
          <w:i/>
        </w:rPr>
        <w:t>liuli@cis.org.cn</w:t>
      </w:r>
      <w:r>
        <w:rPr>
          <w:rStyle w:val="11"/>
          <w:rFonts w:ascii="Times New Roman" w:hAnsi="Times New Roman" w:eastAsia="仿宋" w:cs="Times New Roman"/>
          <w:i/>
        </w:rPr>
        <w:fldChar w:fldCharType="end"/>
      </w:r>
    </w:p>
    <w:p>
      <w:pPr>
        <w:ind w:firstLine="315"/>
        <w:rPr>
          <w:rFonts w:ascii="仿宋" w:hAnsi="仿宋" w:eastAsia="仿宋"/>
        </w:rPr>
      </w:pPr>
    </w:p>
    <w:p>
      <w:pPr>
        <w:ind w:firstLine="315"/>
        <w:rPr>
          <w:rFonts w:ascii="仿宋" w:hAnsi="仿宋" w:eastAsia="仿宋"/>
        </w:rPr>
      </w:pPr>
    </w:p>
    <w:p>
      <w:pPr>
        <w:ind w:firstLine="452"/>
        <w:jc w:val="center"/>
        <w:rPr>
          <w:rFonts w:ascii="宋体" w:hAnsi="宋体" w:cs="宋体"/>
          <w:b/>
          <w:color w:val="000000"/>
          <w:kern w:val="0"/>
          <w:sz w:val="30"/>
          <w:szCs w:val="30"/>
        </w:rPr>
      </w:pPr>
    </w:p>
    <w:p>
      <w:pPr>
        <w:ind w:firstLine="452"/>
        <w:jc w:val="center"/>
        <w:rPr>
          <w:rFonts w:ascii="宋体" w:hAnsi="宋体" w:cs="宋体"/>
          <w:b/>
          <w:color w:val="000000"/>
          <w:kern w:val="0"/>
          <w:sz w:val="30"/>
          <w:szCs w:val="30"/>
        </w:rPr>
      </w:pPr>
    </w:p>
    <w:p>
      <w:pPr>
        <w:ind w:firstLine="452"/>
        <w:jc w:val="center"/>
        <w:rPr>
          <w:rFonts w:ascii="宋体" w:hAnsi="宋体" w:cs="宋体"/>
          <w:b/>
          <w:color w:val="000000"/>
          <w:kern w:val="0"/>
          <w:sz w:val="30"/>
          <w:szCs w:val="30"/>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315"/>
      </w:pPr>
      <w:r>
        <w:separator/>
      </w:r>
    </w:p>
  </w:endnote>
  <w:endnote w:type="continuationSeparator" w:id="1">
    <w:p>
      <w:pPr>
        <w:ind w:firstLine="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78547"/>
      <w:docPartObj>
        <w:docPartGallery w:val="AutoText"/>
      </w:docPartObj>
    </w:sdtPr>
    <w:sdtContent>
      <w:sdt>
        <w:sdtPr>
          <w:id w:val="171357217"/>
          <w:docPartObj>
            <w:docPartGallery w:val="AutoText"/>
          </w:docPartObj>
        </w:sdtPr>
        <w:sdtContent>
          <w:p>
            <w:pPr>
              <w:pStyle w:val="5"/>
              <w:ind w:firstLine="270"/>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5"/>
      <w:ind w:firstLine="27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7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7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315"/>
      </w:pPr>
      <w:r>
        <w:separator/>
      </w:r>
    </w:p>
  </w:footnote>
  <w:footnote w:type="continuationSeparator" w:id="1">
    <w:p>
      <w:pPr>
        <w:ind w:firstLine="31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0" w:firstLineChars="0"/>
      <w:rPr>
        <w:rFonts w:ascii="微软雅黑" w:hAnsi="微软雅黑" w:eastAsia="微软雅黑"/>
        <w:b/>
        <w:color w:val="FF0000"/>
        <w:sz w:val="48"/>
        <w:szCs w:val="48"/>
      </w:rPr>
    </w:pPr>
    <w:r>
      <w:rPr>
        <w:rFonts w:hint="eastAsia" w:ascii="微软雅黑" w:hAnsi="微软雅黑" w:eastAsia="微软雅黑"/>
        <w:b/>
        <w:color w:val="FF0000"/>
        <w:sz w:val="48"/>
        <w:szCs w:val="48"/>
      </w:rPr>
      <w:t>中国仪器仪表学会标准化工作委员会</w:t>
    </w:r>
  </w:p>
  <w:p>
    <w:pPr>
      <w:pStyle w:val="6"/>
      <w:ind w:firstLine="27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7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7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375"/>
    <w:rsid w:val="00004C8B"/>
    <w:rsid w:val="000270A0"/>
    <w:rsid w:val="00041EC8"/>
    <w:rsid w:val="000458ED"/>
    <w:rsid w:val="00053FEB"/>
    <w:rsid w:val="000550F5"/>
    <w:rsid w:val="00061C4D"/>
    <w:rsid w:val="000B525A"/>
    <w:rsid w:val="000C1656"/>
    <w:rsid w:val="000D29AB"/>
    <w:rsid w:val="000D6349"/>
    <w:rsid w:val="000E2F24"/>
    <w:rsid w:val="000F033C"/>
    <w:rsid w:val="000F4448"/>
    <w:rsid w:val="00102706"/>
    <w:rsid w:val="00107FFE"/>
    <w:rsid w:val="00111090"/>
    <w:rsid w:val="00122DE7"/>
    <w:rsid w:val="00123AD2"/>
    <w:rsid w:val="0012514F"/>
    <w:rsid w:val="001323D1"/>
    <w:rsid w:val="00136E99"/>
    <w:rsid w:val="00143E7C"/>
    <w:rsid w:val="001455CB"/>
    <w:rsid w:val="0015702F"/>
    <w:rsid w:val="001679B5"/>
    <w:rsid w:val="001818B3"/>
    <w:rsid w:val="001A02C7"/>
    <w:rsid w:val="001D3F13"/>
    <w:rsid w:val="001E1BC9"/>
    <w:rsid w:val="001E2F88"/>
    <w:rsid w:val="001F0993"/>
    <w:rsid w:val="00222515"/>
    <w:rsid w:val="00235817"/>
    <w:rsid w:val="00261BA6"/>
    <w:rsid w:val="00272F10"/>
    <w:rsid w:val="002738E0"/>
    <w:rsid w:val="002A7719"/>
    <w:rsid w:val="002B2BCF"/>
    <w:rsid w:val="002E1140"/>
    <w:rsid w:val="002E5EB6"/>
    <w:rsid w:val="00301DF5"/>
    <w:rsid w:val="00327E82"/>
    <w:rsid w:val="00340A5F"/>
    <w:rsid w:val="00384463"/>
    <w:rsid w:val="00390512"/>
    <w:rsid w:val="003A1432"/>
    <w:rsid w:val="003D4A21"/>
    <w:rsid w:val="00400579"/>
    <w:rsid w:val="00412705"/>
    <w:rsid w:val="00415D99"/>
    <w:rsid w:val="004814EA"/>
    <w:rsid w:val="004A6B0F"/>
    <w:rsid w:val="004F2BC9"/>
    <w:rsid w:val="005172F4"/>
    <w:rsid w:val="00522314"/>
    <w:rsid w:val="00534F1B"/>
    <w:rsid w:val="0055717A"/>
    <w:rsid w:val="00575AC9"/>
    <w:rsid w:val="005F2994"/>
    <w:rsid w:val="0067001D"/>
    <w:rsid w:val="00683FE6"/>
    <w:rsid w:val="00692537"/>
    <w:rsid w:val="00695A89"/>
    <w:rsid w:val="006A1E0F"/>
    <w:rsid w:val="006A63AD"/>
    <w:rsid w:val="006C0C4E"/>
    <w:rsid w:val="006C77CF"/>
    <w:rsid w:val="006E2AF6"/>
    <w:rsid w:val="00737375"/>
    <w:rsid w:val="0075124A"/>
    <w:rsid w:val="0077011C"/>
    <w:rsid w:val="00773B98"/>
    <w:rsid w:val="007A46EE"/>
    <w:rsid w:val="007A5FD2"/>
    <w:rsid w:val="007F23B1"/>
    <w:rsid w:val="007F76F0"/>
    <w:rsid w:val="00801400"/>
    <w:rsid w:val="00811205"/>
    <w:rsid w:val="00836B88"/>
    <w:rsid w:val="008449C5"/>
    <w:rsid w:val="008503FE"/>
    <w:rsid w:val="00856978"/>
    <w:rsid w:val="00856C68"/>
    <w:rsid w:val="008855EB"/>
    <w:rsid w:val="008A765A"/>
    <w:rsid w:val="008B52C4"/>
    <w:rsid w:val="0090316A"/>
    <w:rsid w:val="0090522C"/>
    <w:rsid w:val="009058D5"/>
    <w:rsid w:val="00911906"/>
    <w:rsid w:val="00921B71"/>
    <w:rsid w:val="00925F43"/>
    <w:rsid w:val="00952340"/>
    <w:rsid w:val="0095456E"/>
    <w:rsid w:val="00960CF2"/>
    <w:rsid w:val="009864DE"/>
    <w:rsid w:val="00990064"/>
    <w:rsid w:val="00991739"/>
    <w:rsid w:val="009B1D44"/>
    <w:rsid w:val="009C5807"/>
    <w:rsid w:val="009D3927"/>
    <w:rsid w:val="009D59FF"/>
    <w:rsid w:val="009E5F42"/>
    <w:rsid w:val="00A053E2"/>
    <w:rsid w:val="00A1139E"/>
    <w:rsid w:val="00A44F4B"/>
    <w:rsid w:val="00A50C20"/>
    <w:rsid w:val="00A57B9F"/>
    <w:rsid w:val="00A60754"/>
    <w:rsid w:val="00A64BC6"/>
    <w:rsid w:val="00A745EC"/>
    <w:rsid w:val="00A92782"/>
    <w:rsid w:val="00AA3BAB"/>
    <w:rsid w:val="00AA766D"/>
    <w:rsid w:val="00AC3A0E"/>
    <w:rsid w:val="00AD17EA"/>
    <w:rsid w:val="00B11C07"/>
    <w:rsid w:val="00B23E98"/>
    <w:rsid w:val="00B2752D"/>
    <w:rsid w:val="00B31722"/>
    <w:rsid w:val="00B35E84"/>
    <w:rsid w:val="00B513FF"/>
    <w:rsid w:val="00BC30A9"/>
    <w:rsid w:val="00BC4344"/>
    <w:rsid w:val="00BD04FE"/>
    <w:rsid w:val="00BD0D3B"/>
    <w:rsid w:val="00BE6360"/>
    <w:rsid w:val="00BF2384"/>
    <w:rsid w:val="00C1459B"/>
    <w:rsid w:val="00C47DF2"/>
    <w:rsid w:val="00C54FDF"/>
    <w:rsid w:val="00C619B3"/>
    <w:rsid w:val="00C657C4"/>
    <w:rsid w:val="00C8319C"/>
    <w:rsid w:val="00CE2C61"/>
    <w:rsid w:val="00D034E5"/>
    <w:rsid w:val="00D0522E"/>
    <w:rsid w:val="00D07B4D"/>
    <w:rsid w:val="00D07D3E"/>
    <w:rsid w:val="00D1102D"/>
    <w:rsid w:val="00D11200"/>
    <w:rsid w:val="00D13D2A"/>
    <w:rsid w:val="00D34655"/>
    <w:rsid w:val="00D35D88"/>
    <w:rsid w:val="00D61E66"/>
    <w:rsid w:val="00D82088"/>
    <w:rsid w:val="00D87AB3"/>
    <w:rsid w:val="00D95F99"/>
    <w:rsid w:val="00DB78EF"/>
    <w:rsid w:val="00DC24D5"/>
    <w:rsid w:val="00DD1724"/>
    <w:rsid w:val="00DD5E47"/>
    <w:rsid w:val="00DF21B6"/>
    <w:rsid w:val="00DF3095"/>
    <w:rsid w:val="00E23E13"/>
    <w:rsid w:val="00E328E1"/>
    <w:rsid w:val="00E37657"/>
    <w:rsid w:val="00E52818"/>
    <w:rsid w:val="00EA4E31"/>
    <w:rsid w:val="00EF004A"/>
    <w:rsid w:val="00EF31EA"/>
    <w:rsid w:val="00F04077"/>
    <w:rsid w:val="00F23E29"/>
    <w:rsid w:val="00F71F3C"/>
    <w:rsid w:val="00FA6E14"/>
    <w:rsid w:val="00FC4BA5"/>
    <w:rsid w:val="00FC51A8"/>
    <w:rsid w:val="00FF68F3"/>
    <w:rsid w:val="21A56B88"/>
    <w:rsid w:val="679E2B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150" w:firstLineChars="15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uiPriority w:val="99"/>
    <w:pPr>
      <w:widowControl w:val="0"/>
      <w:ind w:firstLine="0" w:firstLineChars="0"/>
      <w:jc w:val="left"/>
    </w:pPr>
  </w:style>
  <w:style w:type="paragraph" w:styleId="3">
    <w:name w:val="Date"/>
    <w:basedOn w:val="1"/>
    <w:next w:val="1"/>
    <w:link w:val="19"/>
    <w:semiHidden/>
    <w:unhideWhenUsed/>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spacing w:before="100" w:beforeAutospacing="1" w:after="100" w:afterAutospacing="1"/>
      <w:ind w:firstLine="0" w:firstLineChars="0"/>
      <w:jc w:val="left"/>
    </w:pPr>
    <w:rPr>
      <w:rFonts w:ascii="宋体" w:hAnsi="宋体" w:eastAsia="宋体" w:cs="宋体"/>
      <w:kern w:val="0"/>
      <w:sz w:val="24"/>
      <w:szCs w:val="24"/>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uiPriority w:val="99"/>
    <w:rPr>
      <w:color w:val="0000FF" w:themeColor="hyperlink"/>
      <w:u w:val="single"/>
    </w:rPr>
  </w:style>
  <w:style w:type="character" w:styleId="12">
    <w:name w:val="annotation reference"/>
    <w:basedOn w:val="10"/>
    <w:semiHidden/>
    <w:unhideWhenUsed/>
    <w:uiPriority w:val="99"/>
    <w:rPr>
      <w:sz w:val="21"/>
      <w:szCs w:val="21"/>
    </w:rPr>
  </w:style>
  <w:style w:type="character" w:customStyle="1" w:styleId="13">
    <w:name w:val="页眉 Char"/>
    <w:basedOn w:val="10"/>
    <w:link w:val="6"/>
    <w:uiPriority w:val="99"/>
    <w:rPr>
      <w:sz w:val="18"/>
      <w:szCs w:val="18"/>
    </w:rPr>
  </w:style>
  <w:style w:type="character" w:customStyle="1" w:styleId="14">
    <w:name w:val="页脚 Char"/>
    <w:basedOn w:val="10"/>
    <w:link w:val="5"/>
    <w:uiPriority w:val="99"/>
    <w:rPr>
      <w:sz w:val="18"/>
      <w:szCs w:val="18"/>
    </w:rPr>
  </w:style>
  <w:style w:type="character" w:customStyle="1" w:styleId="15">
    <w:name w:val="批注框文本 Char"/>
    <w:basedOn w:val="10"/>
    <w:link w:val="4"/>
    <w:semiHidden/>
    <w:uiPriority w:val="99"/>
    <w:rPr>
      <w:sz w:val="18"/>
      <w:szCs w:val="18"/>
    </w:rPr>
  </w:style>
  <w:style w:type="paragraph" w:styleId="16">
    <w:name w:val="List Paragraph"/>
    <w:basedOn w:val="1"/>
    <w:qFormat/>
    <w:uiPriority w:val="99"/>
    <w:pPr>
      <w:ind w:firstLine="420" w:firstLineChars="200"/>
    </w:pPr>
  </w:style>
  <w:style w:type="paragraph" w:customStyle="1" w:styleId="17">
    <w:name w:val="段"/>
    <w:uiPriority w:val="99"/>
    <w:pPr>
      <w:autoSpaceDE w:val="0"/>
      <w:autoSpaceDN w:val="0"/>
      <w:ind w:firstLine="200" w:firstLineChars="200"/>
      <w:jc w:val="both"/>
    </w:pPr>
    <w:rPr>
      <w:rFonts w:ascii="宋体" w:hAnsi="Times New Roman" w:eastAsia="宋体" w:cs="宋体"/>
      <w:kern w:val="0"/>
      <w:sz w:val="21"/>
      <w:szCs w:val="21"/>
      <w:lang w:val="en-US" w:eastAsia="zh-CN" w:bidi="ar-SA"/>
    </w:rPr>
  </w:style>
  <w:style w:type="paragraph" w:customStyle="1" w:styleId="18">
    <w:name w:val="目次、标准名称标题"/>
    <w:basedOn w:val="1"/>
    <w:next w:val="17"/>
    <w:uiPriority w:val="0"/>
    <w:pPr>
      <w:keepNext/>
      <w:pageBreakBefore/>
      <w:shd w:val="clear" w:color="FFFFFF" w:fill="FFFFFF"/>
      <w:spacing w:before="640" w:after="560" w:line="460" w:lineRule="exact"/>
      <w:ind w:firstLine="0" w:firstLineChars="0"/>
      <w:jc w:val="center"/>
      <w:outlineLvl w:val="0"/>
    </w:pPr>
    <w:rPr>
      <w:rFonts w:ascii="黑体" w:hAnsi="Times New Roman" w:eastAsia="黑体" w:cs="Times New Roman"/>
      <w:kern w:val="0"/>
      <w:sz w:val="32"/>
      <w:szCs w:val="20"/>
    </w:rPr>
  </w:style>
  <w:style w:type="character" w:customStyle="1" w:styleId="19">
    <w:name w:val="日期 Char"/>
    <w:basedOn w:val="10"/>
    <w:link w:val="3"/>
    <w:semiHidden/>
    <w:uiPriority w:val="99"/>
  </w:style>
  <w:style w:type="character" w:customStyle="1" w:styleId="20">
    <w:name w:val="批注文字 Char"/>
    <w:basedOn w:val="10"/>
    <w:link w:val="2"/>
    <w:semiHidden/>
    <w:uiPriority w:val="99"/>
  </w:style>
  <w:style w:type="character" w:customStyle="1" w:styleId="21">
    <w:name w:val="未处理的提及1"/>
    <w:basedOn w:val="10"/>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EEF255-78F1-4CBF-BA82-58FD3666E4AC}">
  <ds:schemaRefs/>
</ds:datastoreItem>
</file>

<file path=docProps/app.xml><?xml version="1.0" encoding="utf-8"?>
<Properties xmlns="http://schemas.openxmlformats.org/officeDocument/2006/extended-properties" xmlns:vt="http://schemas.openxmlformats.org/officeDocument/2006/docPropsVTypes">
  <Template>Normal</Template>
  <Company>地址：北京市海淀区知春路6号锦秋国际大厦A座23层   网址：www.cis.org.cn   电话：010-82800385</Company>
  <Pages>4</Pages>
  <Words>242</Words>
  <Characters>1386</Characters>
  <Lines>11</Lines>
  <Paragraphs>3</Paragraphs>
  <TotalTime>7</TotalTime>
  <ScaleCrop>false</ScaleCrop>
  <LinksUpToDate>false</LinksUpToDate>
  <CharactersWithSpaces>1625</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2021-06-15T04:01:00Z</dcterms:created>
  <dc:creator>liu</dc:creator>
  <cp:lastModifiedBy>A张磊¹³⁹⁴⁶⁰⁸³⁶⁰⁸</cp:lastModifiedBy>
  <cp:lastPrinted>2020-12-09T02:51:00Z</cp:lastPrinted>
  <dcterms:modified xsi:type="dcterms:W3CDTF">2021-06-15T09:49:15Z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16A4E9632DE94355820F5C53CD2B3B56</vt:lpwstr>
  </property>
</Properties>
</file>