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9D5B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2CB8366">
            <w:pPr>
              <w:framePr w:wrap="notBeside" w:vAnchor="page" w:hAnchor="page" w:x="1372" w:y="568"/>
              <w:snapToGrid w:val="0"/>
              <w:jc w:val="left"/>
              <w:rPr>
                <w:rFonts w:ascii="黑体" w:hAnsi="黑体" w:eastAsia="黑体" w:cs="Times New Roman"/>
                <w:szCs w:val="21"/>
              </w:rPr>
            </w:pPr>
            <w:r>
              <w:rPr>
                <w:rFonts w:ascii="Times New Roman" w:hAnsi="Times New Roman" w:eastAsia="黑体" w:cs="Times New Roman"/>
                <w:szCs w:val="21"/>
              </w:rPr>
              <w:t>ICS</w:t>
            </w:r>
            <w:r>
              <w:rPr>
                <w:rFonts w:ascii="黑体" w:hAnsi="黑体" w:eastAsia="黑体" w:cs="Times New Roman"/>
                <w:szCs w:val="21"/>
              </w:rPr>
              <w:t xml:space="preserve">  </w:t>
            </w:r>
          </w:p>
        </w:tc>
        <w:tc>
          <w:tcPr>
            <w:tcW w:w="8855" w:type="dxa"/>
          </w:tcPr>
          <w:p w14:paraId="247C910F">
            <w:pPr>
              <w:framePr w:wrap="notBeside" w:vAnchor="page" w:hAnchor="page" w:x="1372" w:y="568"/>
              <w:snapToGrid w:val="0"/>
              <w:rPr>
                <w:rFonts w:ascii="黑体" w:hAnsi="黑体" w:eastAsia="黑体" w:cs="Times New Roman"/>
                <w:szCs w:val="21"/>
              </w:rPr>
            </w:pPr>
            <w:r>
              <w:rPr>
                <w:rFonts w:hint="eastAsia" w:ascii="黑体" w:hAnsi="黑体" w:eastAsia="黑体" w:cs="Times New Roman"/>
                <w:szCs w:val="21"/>
              </w:rPr>
              <w:t>13.120</w:t>
            </w:r>
          </w:p>
        </w:tc>
      </w:tr>
      <w:tr w14:paraId="0A207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7F42443">
            <w:pPr>
              <w:framePr w:wrap="notBeside" w:vAnchor="page" w:hAnchor="page" w:x="1372" w:y="568"/>
              <w:snapToGrid w:val="0"/>
              <w:spacing w:before="40"/>
              <w:jc w:val="left"/>
              <w:rPr>
                <w:rFonts w:ascii="黑体" w:hAnsi="黑体" w:eastAsia="黑体" w:cs="Times New Roman"/>
                <w:szCs w:val="21"/>
              </w:rPr>
            </w:pPr>
            <w:r>
              <w:rPr>
                <w:rFonts w:ascii="Times New Roman" w:hAnsi="Times New Roman" w:eastAsia="黑体" w:cs="Times New Roman"/>
                <w:szCs w:val="21"/>
              </w:rPr>
              <w:t xml:space="preserve">CCS </w:t>
            </w:r>
            <w:r>
              <w:rPr>
                <w:rFonts w:ascii="黑体" w:hAnsi="黑体" w:eastAsia="黑体" w:cs="Times New Roman"/>
                <w:szCs w:val="21"/>
              </w:rPr>
              <w:t xml:space="preserve"> </w:t>
            </w:r>
          </w:p>
        </w:tc>
        <w:tc>
          <w:tcPr>
            <w:tcW w:w="8855" w:type="dxa"/>
          </w:tcPr>
          <w:tbl>
            <w:tblPr>
              <w:tblStyle w:val="9"/>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23A8B5A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C200690">
                  <w:pPr>
                    <w:framePr w:wrap="notBeside" w:vAnchor="page" w:hAnchor="page" w:x="1372" w:y="568"/>
                    <w:widowControl/>
                    <w:shd w:val="solid" w:color="FFFFFF" w:fill="FFFFFF"/>
                    <w:spacing w:line="0" w:lineRule="atLeast"/>
                    <w:ind w:left="420" w:right="624"/>
                    <w:jc w:val="right"/>
                    <w:rPr>
                      <w:rFonts w:ascii="宋体" w:hAnsi="宋体" w:eastAsia="宋体" w:cs="Times New Roman"/>
                      <w:b/>
                      <w:w w:val="130"/>
                      <w:kern w:val="0"/>
                      <w:sz w:val="28"/>
                      <w:szCs w:val="28"/>
                    </w:rPr>
                  </w:pPr>
                  <w:r>
                    <w:rPr>
                      <w:rFonts w:ascii="Times New Roman" w:hAnsi="Times New Roman" w:eastAsia="宋体" w:cs="Times New Roman"/>
                      <w:b/>
                      <w:w w:val="130"/>
                      <w:kern w:val="0"/>
                      <w:szCs w:val="21"/>
                    </w:rPr>
                    <w:t xml:space="preserve"> </w:t>
                  </w:r>
                </w:p>
              </w:tc>
            </w:tr>
          </w:tbl>
          <w:p w14:paraId="1A4CA9F2">
            <w:pPr>
              <w:framePr w:wrap="notBeside" w:vAnchor="page" w:hAnchor="page" w:x="1372" w:y="568"/>
              <w:snapToGrid w:val="0"/>
              <w:spacing w:before="40"/>
              <w:jc w:val="left"/>
              <w:rPr>
                <w:rFonts w:ascii="黑体" w:hAnsi="黑体" w:eastAsia="黑体" w:cs="Times New Roman"/>
                <w:szCs w:val="21"/>
              </w:rPr>
            </w:pPr>
            <w:r>
              <w:rPr>
                <w:rFonts w:hint="eastAsia" w:ascii="黑体" w:hAnsi="黑体" w:eastAsia="黑体" w:cs="Times New Roman"/>
                <w:szCs w:val="21"/>
              </w:rPr>
              <w:t>Y 44</w:t>
            </w:r>
          </w:p>
        </w:tc>
      </w:tr>
    </w:tbl>
    <w:p w14:paraId="1A3CAF32">
      <w:pPr>
        <w:framePr w:w="9639" w:h="1207" w:hRule="exact" w:hSpace="181" w:vSpace="181" w:wrap="around" w:vAnchor="page" w:hAnchor="page" w:x="1305" w:y="1675" w:anchorLock="1"/>
        <w:kinsoku w:val="0"/>
        <w:overflowPunct w:val="0"/>
        <w:autoSpaceDE w:val="0"/>
        <w:autoSpaceDN w:val="0"/>
        <w:spacing w:line="0" w:lineRule="atLeast"/>
        <w:jc w:val="distribute"/>
        <w:rPr>
          <w:rFonts w:ascii="黑体" w:hAnsi="黑体" w:eastAsia="黑体" w:cs="Times New Roman"/>
          <w:kern w:val="0"/>
          <w:sz w:val="84"/>
          <w:szCs w:val="84"/>
        </w:rPr>
      </w:pPr>
      <w:bookmarkStart w:id="0" w:name="_Hlk26473981"/>
      <w:r>
        <w:rPr>
          <w:rFonts w:hint="eastAsia" w:ascii="黑体" w:hAnsi="Times New Roman" w:eastAsia="黑体" w:cs="Times New Roman"/>
          <w:bCs/>
          <w:kern w:val="0"/>
          <w:sz w:val="84"/>
          <w:szCs w:val="84"/>
        </w:rPr>
        <w:t>团体</w:t>
      </w:r>
      <w:r>
        <w:rPr>
          <w:rFonts w:hint="eastAsia" w:ascii="黑体" w:hAnsi="黑体" w:eastAsia="黑体" w:cs="Times New Roman"/>
          <w:kern w:val="0"/>
          <w:sz w:val="84"/>
          <w:szCs w:val="84"/>
        </w:rPr>
        <w:t>标准</w:t>
      </w:r>
    </w:p>
    <w:bookmarkEnd w:id="0"/>
    <w:p w14:paraId="2519D533">
      <w:pPr>
        <w:framePr w:w="9356" w:h="624" w:hRule="exact" w:hSpace="181" w:vSpace="181" w:wrap="around" w:vAnchor="page" w:hAnchor="page" w:x="1419" w:y="3284"/>
        <w:widowControl/>
        <w:wordWrap w:val="0"/>
        <w:autoSpaceDE w:val="0"/>
        <w:autoSpaceDN w:val="0"/>
        <w:spacing w:line="280" w:lineRule="exact"/>
        <w:jc w:val="right"/>
        <w:rPr>
          <w:rFonts w:ascii="黑体" w:hAnsi="Times New Roman" w:eastAsia="黑体" w:cs="Times New Roman"/>
          <w:bCs/>
          <w:kern w:val="0"/>
          <w:sz w:val="28"/>
          <w:szCs w:val="28"/>
          <w:highlight w:val="none"/>
        </w:rPr>
      </w:pPr>
      <w:r>
        <w:rPr>
          <w:rFonts w:ascii="黑体" w:hAnsi="Times New Roman" w:eastAsia="黑体" w:cs="Times New Roman"/>
          <w:bCs/>
          <w:kern w:val="0"/>
          <w:sz w:val="28"/>
          <w:szCs w:val="28"/>
          <w:highlight w:val="none"/>
        </w:rPr>
        <w:t>T/</w:t>
      </w:r>
      <w:r>
        <w:rPr>
          <w:rFonts w:hint="eastAsia" w:ascii="黑体" w:hAnsi="Times New Roman" w:eastAsia="黑体" w:cs="Times New Roman"/>
          <w:bCs/>
          <w:kern w:val="0"/>
          <w:sz w:val="28"/>
          <w:szCs w:val="28"/>
          <w:highlight w:val="none"/>
        </w:rPr>
        <w:t>CRH 0011—2026</w:t>
      </w:r>
    </w:p>
    <w:p w14:paraId="6B14DCAB">
      <w:pPr>
        <w:framePr w:w="9356" w:h="624" w:hRule="exact" w:hSpace="181" w:vSpace="181" w:wrap="around" w:vAnchor="page" w:hAnchor="page" w:x="1419" w:y="3284"/>
        <w:widowControl/>
        <w:wordWrap w:val="0"/>
        <w:autoSpaceDE w:val="0"/>
        <w:autoSpaceDN w:val="0"/>
        <w:spacing w:before="57" w:line="280" w:lineRule="exact"/>
        <w:jc w:val="right"/>
        <w:rPr>
          <w:rFonts w:ascii="黑体" w:hAnsi="黑体" w:eastAsia="黑体" w:cs="Times New Roman"/>
          <w:bCs/>
          <w:kern w:val="0"/>
          <w:szCs w:val="28"/>
        </w:rPr>
      </w:pPr>
    </w:p>
    <w:p w14:paraId="1A626F7B">
      <w:pPr>
        <w:adjustRightInd w:val="0"/>
        <w:rPr>
          <w:rFonts w:ascii="黑体" w:hAnsi="黑体" w:eastAsia="黑体" w:cs="Times New Roman"/>
          <w:kern w:val="0"/>
          <w:sz w:val="10"/>
          <w:szCs w:val="10"/>
        </w:rPr>
      </w:pPr>
      <w:r>
        <w:rPr>
          <w:rFonts w:ascii="黑体" w:hAnsi="黑体" w:eastAsia="黑体" w:cs="Times New Roman"/>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D5B6FC4">
      <w:pPr>
        <w:framePr w:w="9639" w:h="6976" w:hRule="exact" w:wrap="around" w:vAnchor="page" w:hAnchor="page" w:xAlign="center" w:y="6408" w:anchorLock="1"/>
        <w:kinsoku w:val="0"/>
        <w:overflowPunct w:val="0"/>
        <w:autoSpaceDE w:val="0"/>
        <w:autoSpaceDN w:val="0"/>
        <w:spacing w:line="0" w:lineRule="atLeast"/>
        <w:jc w:val="center"/>
        <w:rPr>
          <w:rFonts w:ascii="黑体" w:hAnsi="黑体" w:eastAsia="黑体" w:cs="Times New Roman"/>
          <w:kern w:val="0"/>
          <w:sz w:val="52"/>
          <w:szCs w:val="20"/>
        </w:rPr>
      </w:pPr>
    </w:p>
    <w:p w14:paraId="47DB80E1">
      <w:pPr>
        <w:framePr w:w="9639" w:h="6974" w:hRule="exact" w:wrap="around" w:vAnchor="page" w:hAnchor="page" w:x="1419" w:y="6408" w:anchorLock="1"/>
        <w:widowControl/>
        <w:spacing w:line="700" w:lineRule="exact"/>
        <w:jc w:val="center"/>
        <w:rPr>
          <w:rFonts w:ascii="黑体" w:hAnsi="黑体" w:eastAsia="黑体" w:cs="Times New Roman"/>
          <w:bCs/>
          <w:kern w:val="0"/>
          <w:sz w:val="52"/>
          <w:szCs w:val="20"/>
        </w:rPr>
      </w:pPr>
      <w:r>
        <w:rPr>
          <w:rFonts w:hint="eastAsia" w:ascii="黑体" w:hAnsi="黑体" w:eastAsia="黑体" w:cs="Times New Roman"/>
          <w:bCs/>
          <w:kern w:val="0"/>
          <w:sz w:val="52"/>
          <w:szCs w:val="20"/>
        </w:rPr>
        <w:t>医用级一次性卫生指套</w:t>
      </w:r>
    </w:p>
    <w:p w14:paraId="4AEC06F0">
      <w:pPr>
        <w:framePr w:w="9639" w:h="6974" w:hRule="exact" w:wrap="around" w:vAnchor="page" w:hAnchor="page" w:x="1419" w:y="6408" w:anchorLock="1"/>
        <w:adjustRightInd w:val="0"/>
        <w:spacing w:line="400" w:lineRule="exact"/>
        <w:ind w:left="-1418"/>
        <w:rPr>
          <w:rFonts w:ascii="Calibri" w:hAnsi="Calibri" w:eastAsia="宋体" w:cs="Times New Roman"/>
          <w:szCs w:val="21"/>
        </w:rPr>
      </w:pPr>
    </w:p>
    <w:p w14:paraId="5BD2FECD">
      <w:pPr>
        <w:framePr w:w="9639" w:h="6974" w:hRule="exact" w:wrap="around" w:vAnchor="page" w:hAnchor="page" w:x="1419" w:y="6408" w:anchorLock="1"/>
        <w:spacing w:line="360" w:lineRule="exact"/>
        <w:jc w:val="center"/>
        <w:textAlignment w:val="bottom"/>
        <w:rPr>
          <w:rFonts w:ascii="Times New Roman" w:hAnsi="Times New Roman" w:eastAsia="黑体" w:cs="Times New Roman"/>
          <w:kern w:val="0"/>
          <w:sz w:val="28"/>
          <w:szCs w:val="28"/>
        </w:rPr>
      </w:pPr>
      <w:r>
        <w:rPr>
          <w:rFonts w:ascii="Times New Roman" w:hAnsi="Times New Roman" w:eastAsia="黑体" w:cs="Times New Roman"/>
          <w:kern w:val="0"/>
          <w:sz w:val="28"/>
          <w:szCs w:val="28"/>
        </w:rPr>
        <w:t xml:space="preserve"> Medical grade disposable sanitary finger cot</w:t>
      </w:r>
    </w:p>
    <w:p w14:paraId="4885E19A">
      <w:pPr>
        <w:framePr w:w="9639" w:h="6974" w:hRule="exact" w:wrap="around" w:vAnchor="page" w:hAnchor="page" w:x="1419" w:y="6408" w:anchorLock="1"/>
        <w:adjustRightInd w:val="0"/>
        <w:spacing w:line="760" w:lineRule="exact"/>
        <w:ind w:left="-1418"/>
        <w:rPr>
          <w:rFonts w:ascii="Calibri" w:hAnsi="Calibri" w:eastAsia="宋体" w:cs="Times New Roman"/>
          <w:szCs w:val="21"/>
        </w:rPr>
      </w:pPr>
    </w:p>
    <w:p w14:paraId="532CB6B2">
      <w:pPr>
        <w:framePr w:w="9639" w:h="6974" w:hRule="exact" w:wrap="around" w:vAnchor="page" w:hAnchor="page" w:x="1419" w:y="6408" w:anchorLock="1"/>
        <w:spacing w:line="360" w:lineRule="exact"/>
        <w:jc w:val="center"/>
        <w:textAlignment w:val="bottom"/>
        <w:rPr>
          <w:rFonts w:ascii="Times New Roman" w:hAnsi="Times New Roman" w:eastAsia="黑体" w:cs="Times New Roman"/>
          <w:kern w:val="0"/>
          <w:sz w:val="28"/>
          <w:szCs w:val="28"/>
        </w:rPr>
      </w:pPr>
    </w:p>
    <w:p w14:paraId="7569BE20">
      <w:pPr>
        <w:framePr w:w="9639" w:h="6974" w:hRule="exact" w:wrap="around" w:vAnchor="page" w:hAnchor="page" w:x="1419" w:y="6408" w:anchorLock="1"/>
        <w:spacing w:before="440" w:after="160" w:line="360" w:lineRule="exact"/>
        <w:textAlignment w:val="bottom"/>
        <w:rPr>
          <w:rFonts w:ascii="Times New Roman" w:hAnsi="Times New Roman" w:eastAsia="宋体" w:cs="Times New Roman"/>
          <w:kern w:val="0"/>
          <w:sz w:val="24"/>
          <w:szCs w:val="28"/>
        </w:rPr>
      </w:pPr>
    </w:p>
    <w:p w14:paraId="74AFCE4E">
      <w:pPr>
        <w:framePr w:w="9639" w:h="6974" w:hRule="exact" w:wrap="around" w:vAnchor="page" w:hAnchor="page" w:x="1419" w:y="6408" w:anchorLock="1"/>
        <w:spacing w:before="180" w:line="240" w:lineRule="atLeast"/>
        <w:textAlignment w:val="bottom"/>
        <w:rPr>
          <w:rFonts w:ascii="Times New Roman" w:hAnsi="Times New Roman" w:eastAsia="宋体" w:cs="Times New Roman"/>
          <w:kern w:val="0"/>
          <w:szCs w:val="28"/>
        </w:rPr>
      </w:pPr>
    </w:p>
    <w:p w14:paraId="178A69C5">
      <w:pPr>
        <w:framePr w:w="9639" w:h="6974" w:hRule="exact" w:wrap="around" w:vAnchor="page" w:hAnchor="page" w:x="1419" w:y="6408" w:anchorLock="1"/>
        <w:spacing w:before="720" w:beforeLines="300" w:after="72" w:afterLines="30"/>
        <w:jc w:val="center"/>
        <w:textAlignment w:val="bottom"/>
        <w:rPr>
          <w:rFonts w:ascii="Times New Roman" w:hAnsi="Times New Roman" w:eastAsia="宋体" w:cs="Times New Roman"/>
          <w:b/>
          <w:kern w:val="0"/>
          <w:szCs w:val="28"/>
        </w:rPr>
      </w:pPr>
      <w:bookmarkStart w:id="14" w:name="_GoBack"/>
      <w:bookmarkEnd w:id="14"/>
    </w:p>
    <w:p w14:paraId="34085F8B">
      <w:pPr>
        <w:framePr w:w="3997" w:h="471" w:hRule="exact" w:vSpace="181" w:wrap="around" w:vAnchor="page" w:hAnchor="page" w:x="1419" w:y="14176" w:anchorLock="1"/>
        <w:widowControl/>
        <w:jc w:val="left"/>
        <w:rPr>
          <w:rFonts w:ascii="Times New Roman" w:hAnsi="Times New Roman" w:eastAsia="黑体" w:cs="Times New Roman"/>
          <w:kern w:val="0"/>
          <w:sz w:val="28"/>
          <w:szCs w:val="20"/>
        </w:rPr>
      </w:pPr>
      <w:r>
        <w:rPr>
          <w:rFonts w:hint="eastAsia" w:ascii="黑体" w:hAnsi="黑体" w:eastAsia="黑体" w:cs="黑体"/>
          <w:kern w:val="0"/>
          <w:sz w:val="28"/>
          <w:szCs w:val="20"/>
        </w:rPr>
        <w:t>202</w:t>
      </w:r>
      <w:r>
        <w:rPr>
          <w:rFonts w:hint="eastAsia" w:ascii="黑体" w:hAnsi="黑体" w:eastAsia="黑体" w:cs="黑体"/>
          <w:kern w:val="0"/>
          <w:sz w:val="28"/>
          <w:szCs w:val="20"/>
          <w:lang w:val="en-US" w:eastAsia="zh-CN"/>
        </w:rPr>
        <w:t>6</w:t>
      </w:r>
      <w:r>
        <w:t xml:space="preserve"> </w:t>
      </w:r>
      <w:r>
        <w:rPr>
          <w:rFonts w:hint="eastAsia" w:ascii="黑体" w:hAnsi="黑体" w:eastAsia="黑体" w:cs="黑体"/>
          <w:kern w:val="0"/>
          <w:sz w:val="28"/>
          <w:szCs w:val="20"/>
        </w:rPr>
        <w:t>-</w:t>
      </w:r>
      <w:r>
        <w:t xml:space="preserve"> </w:t>
      </w:r>
      <w:r>
        <w:rPr>
          <w:rFonts w:hint="eastAsia" w:ascii="黑体" w:hAnsi="黑体" w:eastAsia="黑体" w:cs="黑体"/>
          <w:kern w:val="0"/>
          <w:sz w:val="28"/>
          <w:szCs w:val="20"/>
          <w:lang w:val="en-US" w:eastAsia="zh-CN"/>
        </w:rPr>
        <w:t>07</w:t>
      </w:r>
      <w:r>
        <w:t xml:space="preserve"> </w:t>
      </w:r>
      <w:r>
        <w:rPr>
          <w:rFonts w:hint="eastAsia" w:ascii="黑体" w:hAnsi="黑体" w:eastAsia="黑体" w:cs="黑体"/>
          <w:kern w:val="0"/>
          <w:sz w:val="28"/>
          <w:szCs w:val="20"/>
        </w:rPr>
        <w:t>-</w:t>
      </w:r>
      <w:r>
        <w:t xml:space="preserve"> </w:t>
      </w:r>
      <w:r>
        <w:rPr>
          <w:rFonts w:hint="eastAsia" w:ascii="黑体" w:hAnsi="黑体" w:eastAsia="黑体" w:cs="黑体"/>
          <w:kern w:val="0"/>
          <w:sz w:val="28"/>
          <w:szCs w:val="20"/>
          <w:lang w:val="en-US" w:eastAsia="zh-CN"/>
        </w:rPr>
        <w:t>06</w:t>
      </w:r>
      <w:r>
        <w:rPr>
          <w:rFonts w:hint="eastAsia" w:ascii="Times New Roman" w:hAnsi="Times New Roman" w:eastAsia="黑体" w:cs="Times New Roman"/>
          <w:kern w:val="0"/>
          <w:sz w:val="28"/>
          <w:szCs w:val="20"/>
        </w:rPr>
        <w:t>发布</w:t>
      </w:r>
    </w:p>
    <w:p w14:paraId="40461B15">
      <w:pPr>
        <w:framePr w:w="3997" w:h="471" w:hRule="exact" w:vSpace="181" w:wrap="around" w:vAnchor="page" w:hAnchor="page" w:x="7089" w:y="14176" w:anchorLock="1"/>
        <w:widowControl/>
        <w:jc w:val="right"/>
        <w:rPr>
          <w:rFonts w:ascii="Times New Roman" w:hAnsi="Times New Roman" w:eastAsia="黑体" w:cs="Times New Roman"/>
          <w:kern w:val="0"/>
          <w:sz w:val="28"/>
          <w:szCs w:val="20"/>
        </w:rPr>
      </w:pPr>
      <w:r>
        <w:rPr>
          <w:rFonts w:hint="eastAsia" w:ascii="黑体" w:hAnsi="黑体" w:eastAsia="黑体" w:cs="黑体"/>
          <w:kern w:val="0"/>
          <w:sz w:val="28"/>
          <w:szCs w:val="20"/>
          <w:highlight w:val="none"/>
        </w:rPr>
        <w:t>2027</w:t>
      </w:r>
      <w:r>
        <w:rPr>
          <w:highlight w:val="none"/>
        </w:rPr>
        <w:t xml:space="preserve"> </w:t>
      </w:r>
      <w:r>
        <w:rPr>
          <w:rFonts w:hint="eastAsia" w:ascii="黑体" w:hAnsi="黑体" w:eastAsia="黑体" w:cs="黑体"/>
          <w:kern w:val="0"/>
          <w:sz w:val="28"/>
          <w:szCs w:val="20"/>
          <w:highlight w:val="none"/>
        </w:rPr>
        <w:t>-</w:t>
      </w:r>
      <w:r>
        <w:rPr>
          <w:highlight w:val="none"/>
        </w:rPr>
        <w:t xml:space="preserve"> </w:t>
      </w:r>
      <w:r>
        <w:rPr>
          <w:rFonts w:hint="eastAsia" w:ascii="黑体" w:hAnsi="黑体" w:eastAsia="黑体" w:cs="黑体"/>
          <w:kern w:val="0"/>
          <w:sz w:val="28"/>
          <w:szCs w:val="20"/>
          <w:highlight w:val="none"/>
        </w:rPr>
        <w:t>01</w:t>
      </w:r>
      <w:r>
        <w:rPr>
          <w:highlight w:val="none"/>
        </w:rPr>
        <w:t xml:space="preserve"> </w:t>
      </w:r>
      <w:r>
        <w:rPr>
          <w:rFonts w:hint="eastAsia" w:ascii="黑体" w:hAnsi="黑体" w:eastAsia="黑体" w:cs="黑体"/>
          <w:kern w:val="0"/>
          <w:sz w:val="28"/>
          <w:szCs w:val="20"/>
          <w:highlight w:val="none"/>
        </w:rPr>
        <w:t>-</w:t>
      </w:r>
      <w:r>
        <w:rPr>
          <w:highlight w:val="none"/>
        </w:rPr>
        <w:t xml:space="preserve"> </w:t>
      </w:r>
      <w:r>
        <w:rPr>
          <w:rFonts w:hint="eastAsia" w:ascii="黑体" w:hAnsi="黑体" w:eastAsia="黑体" w:cs="黑体"/>
          <w:kern w:val="0"/>
          <w:sz w:val="28"/>
          <w:szCs w:val="20"/>
          <w:highlight w:val="none"/>
        </w:rPr>
        <w:t>01</w:t>
      </w:r>
      <w:r>
        <w:rPr>
          <w:rFonts w:hint="eastAsia" w:ascii="Times New Roman" w:hAnsi="Times New Roman" w:eastAsia="黑体" w:cs="Times New Roman"/>
          <w:kern w:val="0"/>
          <w:sz w:val="28"/>
          <w:szCs w:val="20"/>
        </w:rPr>
        <w:t>实施</w:t>
      </w:r>
    </w:p>
    <w:p w14:paraId="5C89C853">
      <w:pPr>
        <w:framePr w:w="7433" w:h="584" w:hRule="exact" w:hSpace="181" w:vSpace="181" w:wrap="around" w:vAnchor="margin" w:hAnchor="margin" w:xAlign="center" w:y="14800" w:anchorLock="1"/>
        <w:widowControl/>
        <w:spacing w:line="0" w:lineRule="atLeast"/>
        <w:jc w:val="center"/>
        <w:rPr>
          <w:rFonts w:ascii="黑体" w:hAnsi="黑体" w:eastAsia="黑体" w:cs="Times New Roman"/>
          <w:w w:val="135"/>
          <w:kern w:val="0"/>
          <w:sz w:val="36"/>
          <w:szCs w:val="20"/>
        </w:rPr>
      </w:pPr>
      <w:r>
        <w:rPr>
          <w:rFonts w:hint="eastAsia" w:ascii="黑体" w:hAnsi="黑体" w:eastAsia="黑体" w:cs="Times New Roman"/>
          <w:kern w:val="0"/>
          <w:sz w:val="28"/>
          <w:szCs w:val="20"/>
        </w:rPr>
        <w:t>中国生殖产业协会</w:t>
      </w:r>
      <w:r>
        <w:rPr>
          <w:rFonts w:ascii="Times New Roman" w:hAnsi="Times New Roman" w:eastAsia="黑体" w:cs="Times New Roman"/>
          <w:kern w:val="0"/>
          <w:sz w:val="28"/>
          <w:szCs w:val="20"/>
        </w:rPr>
        <w:t> </w:t>
      </w:r>
      <w:r>
        <w:rPr>
          <w:rFonts w:hint="eastAsia" w:ascii="黑体" w:hAnsi="黑体" w:eastAsia="黑体" w:cs="Times New Roman"/>
          <w:spacing w:val="85"/>
          <w:kern w:val="0"/>
          <w:sz w:val="28"/>
          <w:szCs w:val="28"/>
        </w:rPr>
        <w:t>发</w:t>
      </w:r>
      <w:r>
        <w:rPr>
          <w:rFonts w:hint="eastAsia" w:ascii="黑体" w:hAnsi="黑体" w:eastAsia="黑体" w:cs="Times New Roman"/>
          <w:kern w:val="0"/>
          <w:sz w:val="28"/>
          <w:szCs w:val="28"/>
        </w:rPr>
        <w:t>布</w:t>
      </w:r>
    </w:p>
    <w:p w14:paraId="2CD6EDDF">
      <w:pPr>
        <w:adjustRightInd w:val="0"/>
        <w:spacing w:line="400" w:lineRule="exact"/>
        <w:rPr>
          <w:rFonts w:ascii="宋体" w:hAnsi="宋体" w:eastAsia="宋体" w:cs="Times New Roman"/>
          <w:sz w:val="28"/>
          <w:szCs w:val="28"/>
        </w:rPr>
        <w:sectPr>
          <w:headerReference r:id="rId4" w:type="first"/>
          <w:footerReference r:id="rId6" w:type="first"/>
          <w:headerReference r:id="rId3" w:type="default"/>
          <w:footerReference r:id="rId5" w:type="even"/>
          <w:pgSz w:w="11906" w:h="16838"/>
          <w:pgMar w:top="567" w:right="1134" w:bottom="1134" w:left="1134" w:header="1418" w:footer="1134" w:gutter="284"/>
          <w:cols w:space="425" w:num="1"/>
          <w:titlePg/>
          <w:docGrid w:linePitch="312" w:charSpace="0"/>
        </w:sectPr>
      </w:pPr>
      <w:r>
        <w:rPr>
          <w:rFonts w:hint="eastAsia" w:ascii="宋体" w:hAnsi="宋体" w:eastAsia="宋体" w:cs="Times New Roman"/>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C70560F">
      <w:pPr>
        <w:adjustRightInd w:val="0"/>
        <w:spacing w:before="480" w:after="360" w:afterLines="150"/>
        <w:jc w:val="center"/>
        <w:rPr>
          <w:rFonts w:ascii="黑体" w:hAnsi="Calibri" w:eastAsia="黑体" w:cs="Times New Roman"/>
          <w:sz w:val="32"/>
          <w:szCs w:val="21"/>
        </w:rPr>
      </w:pPr>
      <w:bookmarkStart w:id="1" w:name="BookMark1"/>
      <w:bookmarkStart w:id="2" w:name="_Toc13589"/>
      <w:r>
        <w:rPr>
          <w:rFonts w:hint="eastAsia" w:ascii="黑体" w:hAnsi="Calibri" w:eastAsia="黑体" w:cs="Times New Roman"/>
          <w:spacing w:val="320"/>
          <w:sz w:val="32"/>
          <w:szCs w:val="21"/>
        </w:rPr>
        <w:t>目</w:t>
      </w:r>
      <w:r>
        <w:rPr>
          <w:rFonts w:hint="eastAsia" w:ascii="黑体" w:hAnsi="Calibri" w:eastAsia="黑体" w:cs="Times New Roman"/>
          <w:sz w:val="32"/>
          <w:szCs w:val="21"/>
        </w:rPr>
        <w:t>次</w:t>
      </w:r>
    </w:p>
    <w:p w14:paraId="0CA25352">
      <w:pPr>
        <w:tabs>
          <w:tab w:val="right" w:leader="dot" w:pos="9354"/>
        </w:tabs>
        <w:adjustRightInd w:val="0"/>
        <w:spacing w:line="400" w:lineRule="exact"/>
        <w:rPr>
          <w:rFonts w:ascii="宋体" w:hAnsi="Calibri" w:eastAsia="宋体" w:cs="Times New Roman"/>
          <w:szCs w:val="21"/>
        </w:rPr>
      </w:pPr>
      <w:r>
        <w:rPr>
          <w:rFonts w:hint="eastAsia" w:ascii="宋体" w:hAnsi="Calibri" w:eastAsia="宋体" w:cs="Times New Roman"/>
          <w:szCs w:val="21"/>
        </w:rPr>
        <w:fldChar w:fldCharType="begin"/>
      </w:r>
      <w:r>
        <w:rPr>
          <w:rFonts w:hint="eastAsia" w:ascii="宋体" w:hAnsi="Calibri" w:eastAsia="宋体" w:cs="Times New Roman"/>
          <w:szCs w:val="21"/>
        </w:rPr>
        <w:instrText xml:space="preserve">TOC \o "1-1" \h</w:instrText>
      </w:r>
      <w:r>
        <w:rPr>
          <w:rFonts w:hint="eastAsia" w:ascii="宋体" w:hAnsi="Calibri" w:eastAsia="宋体" w:cs="Times New Roman"/>
          <w:szCs w:val="21"/>
        </w:rPr>
        <w:fldChar w:fldCharType="separate"/>
      </w:r>
      <w:r>
        <w:fldChar w:fldCharType="begin"/>
      </w:r>
      <w:r>
        <w:instrText xml:space="preserve"> HYPERLINK \l "_Toc22144" </w:instrText>
      </w:r>
      <w:r>
        <w:fldChar w:fldCharType="separate"/>
      </w:r>
      <w:r>
        <w:rPr>
          <w:rFonts w:hint="eastAsia" w:ascii="宋体" w:hAnsi="Calibri" w:eastAsia="宋体" w:cs="Times New Roman"/>
          <w:szCs w:val="21"/>
        </w:rPr>
        <w:t>前言</w:t>
      </w:r>
      <w:r>
        <w:rPr>
          <w:rFonts w:ascii="宋体" w:hAnsi="Calibri" w:eastAsia="宋体" w:cs="Times New Roman"/>
          <w:szCs w:val="21"/>
        </w:rPr>
        <w:tab/>
      </w:r>
      <w:r>
        <w:rPr>
          <w:rFonts w:ascii="宋体" w:hAnsi="Calibri" w:eastAsia="宋体" w:cs="Times New Roman"/>
          <w:szCs w:val="21"/>
        </w:rPr>
        <w:fldChar w:fldCharType="begin"/>
      </w:r>
      <w:r>
        <w:rPr>
          <w:rFonts w:ascii="宋体" w:hAnsi="Calibri" w:eastAsia="宋体" w:cs="Times New Roman"/>
          <w:szCs w:val="21"/>
        </w:rPr>
        <w:instrText xml:space="preserve"> PAGEREF _Toc22144 \h </w:instrText>
      </w:r>
      <w:r>
        <w:rPr>
          <w:rFonts w:ascii="宋体" w:hAnsi="Calibri" w:eastAsia="宋体" w:cs="Times New Roman"/>
          <w:szCs w:val="21"/>
        </w:rPr>
        <w:fldChar w:fldCharType="separate"/>
      </w:r>
      <w:r>
        <w:rPr>
          <w:rFonts w:ascii="宋体" w:hAnsi="Calibri" w:eastAsia="宋体" w:cs="Times New Roman"/>
          <w:szCs w:val="21"/>
        </w:rPr>
        <w:t>II</w:t>
      </w:r>
      <w:r>
        <w:rPr>
          <w:rFonts w:ascii="宋体" w:hAnsi="Calibri" w:eastAsia="宋体" w:cs="Times New Roman"/>
          <w:szCs w:val="21"/>
        </w:rPr>
        <w:fldChar w:fldCharType="end"/>
      </w:r>
      <w:r>
        <w:rPr>
          <w:rFonts w:ascii="宋体" w:hAnsi="Calibri" w:eastAsia="宋体" w:cs="Times New Roman"/>
          <w:szCs w:val="21"/>
        </w:rPr>
        <w:fldChar w:fldCharType="end"/>
      </w:r>
    </w:p>
    <w:p w14:paraId="4A632A69">
      <w:pPr>
        <w:tabs>
          <w:tab w:val="right" w:leader="dot" w:pos="9354"/>
        </w:tabs>
        <w:adjustRightInd w:val="0"/>
        <w:spacing w:line="400" w:lineRule="exact"/>
        <w:rPr>
          <w:rFonts w:ascii="宋体" w:hAnsi="Calibri" w:eastAsia="宋体" w:cs="Times New Roman"/>
          <w:szCs w:val="21"/>
        </w:rPr>
      </w:pPr>
      <w:r>
        <w:fldChar w:fldCharType="begin"/>
      </w:r>
      <w:r>
        <w:instrText xml:space="preserve"> HYPERLINK \l "_Toc19604" </w:instrText>
      </w:r>
      <w:r>
        <w:fldChar w:fldCharType="separate"/>
      </w:r>
      <w:r>
        <w:rPr>
          <w:rFonts w:hint="eastAsia" w:ascii="黑体" w:hAnsi="Calibri" w:eastAsia="黑体" w:cs="Times New Roman"/>
          <w:szCs w:val="21"/>
        </w:rPr>
        <w:t xml:space="preserve">1  </w:t>
      </w:r>
      <w:r>
        <w:rPr>
          <w:rFonts w:hint="eastAsia" w:ascii="宋体" w:hAnsi="Calibri" w:eastAsia="宋体" w:cs="Times New Roman"/>
          <w:szCs w:val="21"/>
        </w:rPr>
        <w:t>范围</w:t>
      </w:r>
      <w:r>
        <w:rPr>
          <w:rFonts w:ascii="宋体" w:hAnsi="Calibri" w:eastAsia="宋体" w:cs="Times New Roman"/>
          <w:szCs w:val="21"/>
        </w:rPr>
        <w:tab/>
      </w:r>
      <w:r>
        <w:rPr>
          <w:rFonts w:ascii="宋体" w:hAnsi="Calibri" w:eastAsia="宋体" w:cs="Times New Roman"/>
          <w:szCs w:val="21"/>
        </w:rPr>
        <w:fldChar w:fldCharType="begin"/>
      </w:r>
      <w:r>
        <w:rPr>
          <w:rFonts w:ascii="宋体" w:hAnsi="Calibri" w:eastAsia="宋体" w:cs="Times New Roman"/>
          <w:szCs w:val="21"/>
        </w:rPr>
        <w:instrText xml:space="preserve"> PAGEREF _Toc19604 \h </w:instrText>
      </w:r>
      <w:r>
        <w:rPr>
          <w:rFonts w:ascii="宋体" w:hAnsi="Calibri" w:eastAsia="宋体" w:cs="Times New Roman"/>
          <w:szCs w:val="21"/>
        </w:rPr>
        <w:fldChar w:fldCharType="separate"/>
      </w:r>
      <w:r>
        <w:rPr>
          <w:rFonts w:ascii="宋体" w:hAnsi="Calibri" w:eastAsia="宋体" w:cs="Times New Roman"/>
          <w:szCs w:val="21"/>
        </w:rPr>
        <w:t>1</w:t>
      </w:r>
      <w:r>
        <w:rPr>
          <w:rFonts w:ascii="宋体" w:hAnsi="Calibri" w:eastAsia="宋体" w:cs="Times New Roman"/>
          <w:szCs w:val="21"/>
        </w:rPr>
        <w:fldChar w:fldCharType="end"/>
      </w:r>
      <w:r>
        <w:rPr>
          <w:rFonts w:ascii="宋体" w:hAnsi="Calibri" w:eastAsia="宋体" w:cs="Times New Roman"/>
          <w:szCs w:val="21"/>
        </w:rPr>
        <w:fldChar w:fldCharType="end"/>
      </w:r>
    </w:p>
    <w:p w14:paraId="595ECBC5">
      <w:pPr>
        <w:tabs>
          <w:tab w:val="right" w:leader="dot" w:pos="9354"/>
        </w:tabs>
        <w:adjustRightInd w:val="0"/>
        <w:spacing w:line="400" w:lineRule="exact"/>
        <w:rPr>
          <w:rFonts w:ascii="宋体" w:hAnsi="Calibri" w:eastAsia="宋体" w:cs="Times New Roman"/>
          <w:szCs w:val="21"/>
        </w:rPr>
      </w:pPr>
      <w:r>
        <w:fldChar w:fldCharType="begin"/>
      </w:r>
      <w:r>
        <w:instrText xml:space="preserve"> HYPERLINK \l "_Toc29727" </w:instrText>
      </w:r>
      <w:r>
        <w:fldChar w:fldCharType="separate"/>
      </w:r>
      <w:r>
        <w:rPr>
          <w:rFonts w:hint="eastAsia" w:ascii="黑体" w:hAnsi="Calibri" w:eastAsia="黑体" w:cs="Times New Roman"/>
          <w:szCs w:val="21"/>
        </w:rPr>
        <w:t xml:space="preserve">2  </w:t>
      </w:r>
      <w:r>
        <w:rPr>
          <w:rFonts w:hint="eastAsia" w:ascii="宋体" w:hAnsi="Calibri" w:eastAsia="宋体" w:cs="Times New Roman"/>
          <w:szCs w:val="21"/>
        </w:rPr>
        <w:t>规范性引用文件</w:t>
      </w:r>
      <w:r>
        <w:rPr>
          <w:rFonts w:ascii="宋体" w:hAnsi="Calibri" w:eastAsia="宋体" w:cs="Times New Roman"/>
          <w:szCs w:val="21"/>
        </w:rPr>
        <w:tab/>
      </w:r>
      <w:r>
        <w:rPr>
          <w:rFonts w:ascii="宋体" w:hAnsi="Calibri" w:eastAsia="宋体" w:cs="Times New Roman"/>
          <w:szCs w:val="21"/>
        </w:rPr>
        <w:fldChar w:fldCharType="begin"/>
      </w:r>
      <w:r>
        <w:rPr>
          <w:rFonts w:ascii="宋体" w:hAnsi="Calibri" w:eastAsia="宋体" w:cs="Times New Roman"/>
          <w:szCs w:val="21"/>
        </w:rPr>
        <w:instrText xml:space="preserve"> PAGEREF _Toc29727 \h </w:instrText>
      </w:r>
      <w:r>
        <w:rPr>
          <w:rFonts w:ascii="宋体" w:hAnsi="Calibri" w:eastAsia="宋体" w:cs="Times New Roman"/>
          <w:szCs w:val="21"/>
        </w:rPr>
        <w:fldChar w:fldCharType="separate"/>
      </w:r>
      <w:r>
        <w:rPr>
          <w:rFonts w:ascii="宋体" w:hAnsi="Calibri" w:eastAsia="宋体" w:cs="Times New Roman"/>
          <w:szCs w:val="21"/>
        </w:rPr>
        <w:t>1</w:t>
      </w:r>
      <w:r>
        <w:rPr>
          <w:rFonts w:ascii="宋体" w:hAnsi="Calibri" w:eastAsia="宋体" w:cs="Times New Roman"/>
          <w:szCs w:val="21"/>
        </w:rPr>
        <w:fldChar w:fldCharType="end"/>
      </w:r>
      <w:r>
        <w:rPr>
          <w:rFonts w:ascii="宋体" w:hAnsi="Calibri" w:eastAsia="宋体" w:cs="Times New Roman"/>
          <w:szCs w:val="21"/>
        </w:rPr>
        <w:fldChar w:fldCharType="end"/>
      </w:r>
    </w:p>
    <w:p w14:paraId="24BC254D">
      <w:pPr>
        <w:tabs>
          <w:tab w:val="right" w:leader="dot" w:pos="9354"/>
        </w:tabs>
        <w:adjustRightInd w:val="0"/>
        <w:spacing w:line="400" w:lineRule="exact"/>
        <w:rPr>
          <w:rFonts w:ascii="宋体" w:hAnsi="Calibri" w:eastAsia="宋体" w:cs="Times New Roman"/>
          <w:szCs w:val="21"/>
        </w:rPr>
      </w:pPr>
      <w:r>
        <w:fldChar w:fldCharType="begin"/>
      </w:r>
      <w:r>
        <w:instrText xml:space="preserve"> HYPERLINK \l "_Toc24090" </w:instrText>
      </w:r>
      <w:r>
        <w:fldChar w:fldCharType="separate"/>
      </w:r>
      <w:r>
        <w:rPr>
          <w:rFonts w:hint="eastAsia" w:ascii="黑体" w:hAnsi="Calibri" w:eastAsia="黑体" w:cs="Times New Roman"/>
          <w:szCs w:val="21"/>
        </w:rPr>
        <w:t xml:space="preserve">3  </w:t>
      </w:r>
      <w:r>
        <w:rPr>
          <w:rFonts w:hint="eastAsia" w:ascii="宋体" w:hAnsi="Calibri" w:eastAsia="宋体" w:cs="Times New Roman"/>
          <w:szCs w:val="21"/>
        </w:rPr>
        <w:t>术语和定义</w:t>
      </w:r>
      <w:r>
        <w:rPr>
          <w:rFonts w:ascii="宋体" w:hAnsi="Calibri" w:eastAsia="宋体" w:cs="Times New Roman"/>
          <w:szCs w:val="21"/>
        </w:rPr>
        <w:tab/>
      </w:r>
      <w:r>
        <w:rPr>
          <w:rFonts w:ascii="宋体" w:hAnsi="Calibri" w:eastAsia="宋体" w:cs="Times New Roman"/>
          <w:szCs w:val="21"/>
        </w:rPr>
        <w:fldChar w:fldCharType="begin"/>
      </w:r>
      <w:r>
        <w:rPr>
          <w:rFonts w:ascii="宋体" w:hAnsi="Calibri" w:eastAsia="宋体" w:cs="Times New Roman"/>
          <w:szCs w:val="21"/>
        </w:rPr>
        <w:instrText xml:space="preserve"> PAGEREF _Toc24090 \h </w:instrText>
      </w:r>
      <w:r>
        <w:rPr>
          <w:rFonts w:ascii="宋体" w:hAnsi="Calibri" w:eastAsia="宋体" w:cs="Times New Roman"/>
          <w:szCs w:val="21"/>
        </w:rPr>
        <w:fldChar w:fldCharType="separate"/>
      </w:r>
      <w:r>
        <w:rPr>
          <w:rFonts w:ascii="宋体" w:hAnsi="Calibri" w:eastAsia="宋体" w:cs="Times New Roman"/>
          <w:szCs w:val="21"/>
        </w:rPr>
        <w:t>1</w:t>
      </w:r>
      <w:r>
        <w:rPr>
          <w:rFonts w:ascii="宋体" w:hAnsi="Calibri" w:eastAsia="宋体" w:cs="Times New Roman"/>
          <w:szCs w:val="21"/>
        </w:rPr>
        <w:fldChar w:fldCharType="end"/>
      </w:r>
      <w:r>
        <w:rPr>
          <w:rFonts w:ascii="宋体" w:hAnsi="Calibri" w:eastAsia="宋体" w:cs="Times New Roman"/>
          <w:szCs w:val="21"/>
        </w:rPr>
        <w:fldChar w:fldCharType="end"/>
      </w:r>
    </w:p>
    <w:p w14:paraId="60EFC18E">
      <w:pPr>
        <w:tabs>
          <w:tab w:val="right" w:leader="dot" w:pos="9354"/>
        </w:tabs>
        <w:adjustRightInd w:val="0"/>
        <w:spacing w:line="400" w:lineRule="exact"/>
        <w:rPr>
          <w:rFonts w:ascii="宋体" w:hAnsi="Calibri" w:eastAsia="宋体" w:cs="Times New Roman"/>
          <w:szCs w:val="21"/>
        </w:rPr>
      </w:pPr>
      <w:r>
        <w:fldChar w:fldCharType="begin"/>
      </w:r>
      <w:r>
        <w:instrText xml:space="preserve"> HYPERLINK \l "_Toc17542" </w:instrText>
      </w:r>
      <w:r>
        <w:fldChar w:fldCharType="separate"/>
      </w:r>
      <w:r>
        <w:rPr>
          <w:rFonts w:hint="eastAsia" w:ascii="黑体" w:hAnsi="Calibri" w:eastAsia="黑体" w:cs="Times New Roman"/>
          <w:szCs w:val="21"/>
        </w:rPr>
        <w:t xml:space="preserve">4  </w:t>
      </w:r>
      <w:r>
        <w:rPr>
          <w:rFonts w:hint="eastAsia" w:ascii="宋体" w:hAnsi="Calibri" w:eastAsia="宋体" w:cs="Times New Roman"/>
          <w:szCs w:val="21"/>
        </w:rPr>
        <w:t>分类</w:t>
      </w:r>
      <w:r>
        <w:rPr>
          <w:rFonts w:ascii="宋体" w:hAnsi="Calibri" w:eastAsia="宋体" w:cs="Times New Roman"/>
          <w:szCs w:val="21"/>
        </w:rPr>
        <w:tab/>
      </w:r>
      <w:r>
        <w:rPr>
          <w:rFonts w:hint="eastAsia" w:ascii="宋体" w:hAnsi="Calibri" w:eastAsia="宋体" w:cs="Times New Roman"/>
          <w:szCs w:val="21"/>
        </w:rPr>
        <w:t>2</w:t>
      </w:r>
      <w:r>
        <w:rPr>
          <w:rFonts w:hint="eastAsia" w:ascii="宋体" w:hAnsi="Calibri" w:eastAsia="宋体" w:cs="Times New Roman"/>
          <w:szCs w:val="21"/>
        </w:rPr>
        <w:fldChar w:fldCharType="end"/>
      </w:r>
    </w:p>
    <w:p w14:paraId="68E14278">
      <w:pPr>
        <w:tabs>
          <w:tab w:val="right" w:leader="dot" w:pos="9354"/>
        </w:tabs>
        <w:adjustRightInd w:val="0"/>
        <w:spacing w:line="400" w:lineRule="exact"/>
        <w:rPr>
          <w:rFonts w:ascii="宋体" w:hAnsi="Calibri" w:eastAsia="宋体" w:cs="Times New Roman"/>
          <w:szCs w:val="21"/>
        </w:rPr>
      </w:pPr>
      <w:r>
        <w:fldChar w:fldCharType="begin"/>
      </w:r>
      <w:r>
        <w:instrText xml:space="preserve"> HYPERLINK \l "_Toc4508" </w:instrText>
      </w:r>
      <w:r>
        <w:fldChar w:fldCharType="separate"/>
      </w:r>
      <w:r>
        <w:rPr>
          <w:rFonts w:hint="eastAsia" w:ascii="黑体" w:hAnsi="Calibri" w:eastAsia="黑体" w:cs="Times New Roman"/>
          <w:szCs w:val="21"/>
        </w:rPr>
        <w:t xml:space="preserve">5  </w:t>
      </w:r>
      <w:r>
        <w:rPr>
          <w:rFonts w:hint="eastAsia" w:ascii="宋体" w:hAnsi="Calibri" w:eastAsia="宋体" w:cs="Times New Roman"/>
          <w:szCs w:val="21"/>
        </w:rPr>
        <w:t>要求</w:t>
      </w:r>
      <w:r>
        <w:rPr>
          <w:rFonts w:ascii="宋体" w:hAnsi="Calibri" w:eastAsia="宋体" w:cs="Times New Roman"/>
          <w:szCs w:val="21"/>
        </w:rPr>
        <w:tab/>
      </w:r>
      <w:r>
        <w:rPr>
          <w:rFonts w:hint="eastAsia" w:ascii="宋体" w:hAnsi="Calibri" w:eastAsia="宋体" w:cs="Times New Roman"/>
          <w:szCs w:val="21"/>
        </w:rPr>
        <w:t>2</w:t>
      </w:r>
      <w:r>
        <w:rPr>
          <w:rFonts w:hint="eastAsia" w:ascii="宋体" w:hAnsi="Calibri" w:eastAsia="宋体" w:cs="Times New Roman"/>
          <w:szCs w:val="21"/>
        </w:rPr>
        <w:fldChar w:fldCharType="end"/>
      </w:r>
    </w:p>
    <w:p w14:paraId="24BFE64A">
      <w:pPr>
        <w:tabs>
          <w:tab w:val="right" w:leader="dot" w:pos="9354"/>
        </w:tabs>
        <w:adjustRightInd w:val="0"/>
        <w:spacing w:line="400" w:lineRule="exact"/>
        <w:rPr>
          <w:rFonts w:ascii="宋体" w:hAnsi="Calibri" w:eastAsia="宋体" w:cs="Times New Roman"/>
          <w:szCs w:val="21"/>
        </w:rPr>
      </w:pPr>
      <w:r>
        <w:fldChar w:fldCharType="begin"/>
      </w:r>
      <w:r>
        <w:instrText xml:space="preserve"> HYPERLINK \l "_Toc8444" </w:instrText>
      </w:r>
      <w:r>
        <w:fldChar w:fldCharType="separate"/>
      </w:r>
      <w:r>
        <w:rPr>
          <w:rFonts w:hint="eastAsia" w:ascii="黑体" w:hAnsi="Calibri" w:eastAsia="黑体" w:cs="Times New Roman"/>
          <w:szCs w:val="21"/>
        </w:rPr>
        <w:t xml:space="preserve">6  </w:t>
      </w:r>
      <w:r>
        <w:rPr>
          <w:rFonts w:hint="eastAsia" w:ascii="宋体" w:hAnsi="Calibri" w:eastAsia="宋体" w:cs="Times New Roman"/>
          <w:szCs w:val="21"/>
        </w:rPr>
        <w:t>试验方法</w:t>
      </w:r>
      <w:r>
        <w:rPr>
          <w:rFonts w:ascii="宋体" w:hAnsi="Calibri" w:eastAsia="宋体" w:cs="Times New Roman"/>
          <w:szCs w:val="21"/>
        </w:rPr>
        <w:tab/>
      </w:r>
      <w:r>
        <w:rPr>
          <w:rFonts w:hint="eastAsia" w:ascii="宋体" w:hAnsi="Calibri" w:eastAsia="宋体" w:cs="Times New Roman"/>
          <w:szCs w:val="21"/>
        </w:rPr>
        <w:t>5</w:t>
      </w:r>
      <w:r>
        <w:rPr>
          <w:rFonts w:hint="eastAsia" w:ascii="宋体" w:hAnsi="Calibri" w:eastAsia="宋体" w:cs="Times New Roman"/>
          <w:szCs w:val="21"/>
        </w:rPr>
        <w:fldChar w:fldCharType="end"/>
      </w:r>
    </w:p>
    <w:p w14:paraId="70F25F8D">
      <w:pPr>
        <w:tabs>
          <w:tab w:val="right" w:leader="dot" w:pos="9354"/>
        </w:tabs>
        <w:adjustRightInd w:val="0"/>
        <w:spacing w:line="400" w:lineRule="exact"/>
        <w:rPr>
          <w:rFonts w:ascii="宋体" w:hAnsi="Calibri" w:eastAsia="宋体" w:cs="Times New Roman"/>
          <w:szCs w:val="21"/>
        </w:rPr>
      </w:pPr>
      <w:r>
        <w:fldChar w:fldCharType="begin"/>
      </w:r>
      <w:r>
        <w:instrText xml:space="preserve"> HYPERLINK \l "_Toc26600" </w:instrText>
      </w:r>
      <w:r>
        <w:fldChar w:fldCharType="separate"/>
      </w:r>
      <w:r>
        <w:rPr>
          <w:rFonts w:hint="eastAsia" w:ascii="黑体" w:hAnsi="Calibri" w:eastAsia="黑体" w:cs="Times New Roman"/>
          <w:szCs w:val="21"/>
        </w:rPr>
        <w:t xml:space="preserve">7  </w:t>
      </w:r>
      <w:r>
        <w:rPr>
          <w:rFonts w:hint="eastAsia" w:ascii="宋体" w:hAnsi="Calibri" w:eastAsia="宋体" w:cs="Times New Roman"/>
          <w:szCs w:val="21"/>
        </w:rPr>
        <w:t>检验规则</w:t>
      </w:r>
      <w:r>
        <w:rPr>
          <w:rFonts w:ascii="宋体" w:hAnsi="Calibri" w:eastAsia="宋体" w:cs="Times New Roman"/>
          <w:szCs w:val="21"/>
        </w:rPr>
        <w:tab/>
      </w:r>
      <w:r>
        <w:rPr>
          <w:rFonts w:hint="eastAsia" w:ascii="宋体" w:hAnsi="Calibri" w:eastAsia="宋体" w:cs="Times New Roman"/>
          <w:szCs w:val="21"/>
        </w:rPr>
        <w:t>6</w:t>
      </w:r>
      <w:r>
        <w:rPr>
          <w:rFonts w:hint="eastAsia" w:ascii="宋体" w:hAnsi="Calibri" w:eastAsia="宋体" w:cs="Times New Roman"/>
          <w:szCs w:val="21"/>
        </w:rPr>
        <w:fldChar w:fldCharType="end"/>
      </w:r>
    </w:p>
    <w:p w14:paraId="1D4886AE">
      <w:pPr>
        <w:tabs>
          <w:tab w:val="right" w:leader="dot" w:pos="9354"/>
        </w:tabs>
        <w:adjustRightInd w:val="0"/>
        <w:spacing w:line="400" w:lineRule="exact"/>
        <w:rPr>
          <w:rFonts w:ascii="宋体" w:hAnsi="Calibri" w:eastAsia="宋体" w:cs="Times New Roman"/>
          <w:szCs w:val="21"/>
        </w:rPr>
      </w:pPr>
      <w:r>
        <w:fldChar w:fldCharType="begin"/>
      </w:r>
      <w:r>
        <w:instrText xml:space="preserve"> HYPERLINK \l "_Toc26929" </w:instrText>
      </w:r>
      <w:r>
        <w:fldChar w:fldCharType="separate"/>
      </w:r>
      <w:r>
        <w:rPr>
          <w:rFonts w:hint="eastAsia" w:ascii="黑体" w:hAnsi="Calibri" w:eastAsia="黑体" w:cs="Times New Roman"/>
          <w:szCs w:val="21"/>
        </w:rPr>
        <w:t xml:space="preserve">8  </w:t>
      </w:r>
      <w:r>
        <w:rPr>
          <w:rFonts w:hint="eastAsia" w:ascii="宋体" w:hAnsi="Calibri" w:eastAsia="宋体" w:cs="Times New Roman"/>
          <w:szCs w:val="21"/>
        </w:rPr>
        <w:t>标识、包装、运输和贮存</w:t>
      </w:r>
      <w:r>
        <w:rPr>
          <w:rFonts w:ascii="宋体" w:hAnsi="Calibri" w:eastAsia="宋体" w:cs="Times New Roman"/>
          <w:szCs w:val="21"/>
        </w:rPr>
        <w:tab/>
      </w:r>
      <w:r>
        <w:rPr>
          <w:rFonts w:hint="eastAsia" w:ascii="宋体" w:hAnsi="Calibri" w:eastAsia="宋体" w:cs="Times New Roman"/>
          <w:szCs w:val="21"/>
        </w:rPr>
        <w:t>7</w:t>
      </w:r>
      <w:r>
        <w:rPr>
          <w:rFonts w:hint="eastAsia" w:ascii="宋体" w:hAnsi="Calibri" w:eastAsia="宋体" w:cs="Times New Roman"/>
          <w:szCs w:val="21"/>
        </w:rPr>
        <w:fldChar w:fldCharType="end"/>
      </w:r>
    </w:p>
    <w:p w14:paraId="02638EC4">
      <w:pPr>
        <w:tabs>
          <w:tab w:val="right" w:leader="dot" w:pos="9354"/>
        </w:tabs>
        <w:adjustRightInd w:val="0"/>
        <w:spacing w:line="400" w:lineRule="exact"/>
        <w:rPr>
          <w:rFonts w:ascii="宋体" w:hAnsi="Calibri" w:eastAsia="宋体" w:cs="Times New Roman"/>
          <w:szCs w:val="21"/>
        </w:rPr>
      </w:pPr>
      <w:r>
        <w:fldChar w:fldCharType="begin"/>
      </w:r>
      <w:r>
        <w:instrText xml:space="preserve"> HYPERLINK \l "_Toc925" </w:instrText>
      </w:r>
      <w:r>
        <w:fldChar w:fldCharType="separate"/>
      </w:r>
      <w:r>
        <w:rPr>
          <w:rFonts w:hint="eastAsia" w:ascii="黑体" w:hAnsi="Calibri" w:eastAsia="黑体" w:cs="Times New Roman"/>
          <w:szCs w:val="21"/>
        </w:rPr>
        <w:t xml:space="preserve">9  </w:t>
      </w:r>
      <w:r>
        <w:rPr>
          <w:rFonts w:hint="eastAsia" w:ascii="宋体" w:hAnsi="Calibri" w:eastAsia="宋体" w:cs="Times New Roman"/>
          <w:szCs w:val="21"/>
        </w:rPr>
        <w:t>生产管理要求</w:t>
      </w:r>
      <w:r>
        <w:rPr>
          <w:rFonts w:ascii="宋体" w:hAnsi="Calibri" w:eastAsia="宋体" w:cs="Times New Roman"/>
          <w:szCs w:val="21"/>
        </w:rPr>
        <w:tab/>
      </w:r>
      <w:r>
        <w:rPr>
          <w:rFonts w:hint="eastAsia" w:ascii="宋体" w:hAnsi="Calibri" w:eastAsia="宋体" w:cs="Times New Roman"/>
          <w:szCs w:val="21"/>
        </w:rPr>
        <w:t>9</w:t>
      </w:r>
      <w:r>
        <w:rPr>
          <w:rFonts w:hint="eastAsia" w:ascii="宋体" w:hAnsi="Calibri" w:eastAsia="宋体" w:cs="Times New Roman"/>
          <w:szCs w:val="21"/>
        </w:rPr>
        <w:fldChar w:fldCharType="end"/>
      </w:r>
    </w:p>
    <w:p w14:paraId="4068A89B">
      <w:pPr>
        <w:tabs>
          <w:tab w:val="right" w:leader="dot" w:pos="9354"/>
        </w:tabs>
        <w:adjustRightInd w:val="0"/>
        <w:spacing w:line="400" w:lineRule="exact"/>
        <w:rPr>
          <w:rFonts w:cs="Times New Roman" w:asciiTheme="minorEastAsia" w:hAnsiTheme="minorEastAsia"/>
          <w:szCs w:val="21"/>
        </w:rPr>
      </w:pPr>
      <w:r>
        <w:fldChar w:fldCharType="begin"/>
      </w:r>
      <w:r>
        <w:instrText xml:space="preserve"> HYPERLINK \l "_Toc14385" </w:instrText>
      </w:r>
      <w:r>
        <w:fldChar w:fldCharType="separate"/>
      </w:r>
      <w:r>
        <w:rPr>
          <w:rFonts w:ascii="Times New Roman" w:hAnsi="Times New Roman" w:cs="Times New Roman"/>
          <w:szCs w:val="21"/>
        </w:rPr>
        <w:t>10</w:t>
      </w:r>
      <w:r>
        <w:rPr>
          <w:rFonts w:hint="eastAsia" w:cs="Times New Roman" w:asciiTheme="minorEastAsia" w:hAnsiTheme="minorEastAsia"/>
          <w:szCs w:val="21"/>
        </w:rPr>
        <w:t xml:space="preserve"> 附录A （规范性附录） 产品使用说明</w:t>
      </w:r>
      <w:r>
        <w:rPr>
          <w:rFonts w:cs="Times New Roman" w:asciiTheme="minorEastAsia" w:hAnsiTheme="minorEastAsia"/>
          <w:szCs w:val="21"/>
        </w:rPr>
        <w:tab/>
      </w:r>
      <w:r>
        <w:rPr>
          <w:rFonts w:hint="eastAsia" w:cs="Times New Roman" w:asciiTheme="minorEastAsia" w:hAnsiTheme="minorEastAsia"/>
          <w:szCs w:val="21"/>
        </w:rPr>
        <w:t>10</w:t>
      </w:r>
      <w:r>
        <w:rPr>
          <w:rFonts w:hint="eastAsia" w:cs="Times New Roman" w:asciiTheme="minorEastAsia" w:hAnsiTheme="minorEastAsia"/>
          <w:szCs w:val="21"/>
        </w:rPr>
        <w:fldChar w:fldCharType="end"/>
      </w:r>
    </w:p>
    <w:p w14:paraId="7E15209A">
      <w:pPr>
        <w:adjustRightInd w:val="0"/>
        <w:spacing w:before="480" w:after="360" w:afterLines="150"/>
        <w:jc w:val="center"/>
        <w:rPr>
          <w:rFonts w:ascii="黑体" w:hAnsi="Calibri" w:eastAsia="黑体" w:cs="Times New Roman"/>
          <w:sz w:val="32"/>
          <w:szCs w:val="21"/>
        </w:rPr>
        <w:sectPr>
          <w:headerReference r:id="rId7" w:type="default"/>
          <w:footerReference r:id="rId8" w:type="default"/>
          <w:pgSz w:w="11906" w:h="16838"/>
          <w:pgMar w:top="1928" w:right="1134" w:bottom="1134" w:left="1134" w:header="1418" w:footer="1134" w:gutter="284"/>
          <w:pgNumType w:fmt="upperRoman" w:start="1"/>
          <w:cols w:space="425" w:num="1"/>
          <w:formProt w:val="0"/>
          <w:docGrid w:linePitch="312" w:charSpace="0"/>
        </w:sectPr>
      </w:pPr>
      <w:r>
        <w:rPr>
          <w:rFonts w:hint="eastAsia" w:ascii="黑体" w:hAnsi="Calibri" w:eastAsia="黑体" w:cs="Times New Roman"/>
          <w:sz w:val="32"/>
          <w:szCs w:val="21"/>
        </w:rPr>
        <w:fldChar w:fldCharType="end"/>
      </w:r>
    </w:p>
    <w:bookmarkEnd w:id="1"/>
    <w:p w14:paraId="0B909F19">
      <w:pPr>
        <w:widowControl/>
        <w:shd w:val="clear" w:color="FFFFFF" w:fill="FFFFFF"/>
        <w:spacing w:before="560" w:after="360" w:afterLines="150"/>
        <w:ind w:left="425" w:hanging="425"/>
        <w:jc w:val="center"/>
        <w:outlineLvl w:val="0"/>
        <w:rPr>
          <w:rFonts w:ascii="黑体" w:hAnsi="Times New Roman" w:eastAsia="黑体" w:cs="Times New Roman"/>
          <w:kern w:val="0"/>
          <w:sz w:val="32"/>
          <w:szCs w:val="20"/>
        </w:rPr>
      </w:pPr>
      <w:bookmarkStart w:id="3" w:name="_Toc22144"/>
      <w:bookmarkStart w:id="4" w:name="BookMark2"/>
      <w:r>
        <w:rPr>
          <w:rFonts w:hint="eastAsia" w:ascii="黑体" w:hAnsi="Times New Roman" w:eastAsia="黑体" w:cs="Times New Roman"/>
          <w:spacing w:val="320"/>
          <w:kern w:val="0"/>
          <w:sz w:val="32"/>
          <w:szCs w:val="20"/>
        </w:rPr>
        <w:t>前</w:t>
      </w:r>
      <w:r>
        <w:rPr>
          <w:rFonts w:hint="eastAsia" w:ascii="黑体" w:hAnsi="Times New Roman" w:eastAsia="黑体" w:cs="Times New Roman"/>
          <w:kern w:val="0"/>
          <w:sz w:val="32"/>
          <w:szCs w:val="20"/>
        </w:rPr>
        <w:t>言</w:t>
      </w:r>
      <w:bookmarkEnd w:id="2"/>
      <w:bookmarkEnd w:id="3"/>
    </w:p>
    <w:p w14:paraId="46342BF8">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本文件按照GB/T 1.1—2020《标准化工作导则  第1部分：标准化文件的结构和起草规则》的规定起草。</w:t>
      </w:r>
    </w:p>
    <w:p w14:paraId="5A87912C">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请注意本文件的某些内容可能涉及专利。本文件的发布机构不承担识别专利的责任。</w:t>
      </w:r>
    </w:p>
    <w:p w14:paraId="1DD93B26">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本文件由中国生殖健康产业协会提出并归口。</w:t>
      </w:r>
    </w:p>
    <w:p w14:paraId="590206E4">
      <w:pPr>
        <w:widowControl/>
        <w:autoSpaceDE w:val="0"/>
        <w:autoSpaceDN w:val="0"/>
        <w:ind w:firstLine="420" w:firstLineChars="200"/>
        <w:rPr>
          <w:rFonts w:hint="eastAsia" w:ascii="Times New Roman" w:hAnsi="Times New Roman" w:eastAsia="宋体" w:cs="Times New Roman"/>
          <w:kern w:val="0"/>
          <w:szCs w:val="20"/>
          <w:lang w:bidi="ar"/>
        </w:rPr>
      </w:pPr>
      <w:r>
        <w:rPr>
          <w:rFonts w:hint="eastAsia" w:ascii="Times New Roman" w:hAnsi="Times New Roman" w:eastAsia="宋体" w:cs="Times New Roman"/>
          <w:kern w:val="0"/>
          <w:szCs w:val="20"/>
        </w:rPr>
        <w:t>本文件起草单位：</w:t>
      </w:r>
      <w:r>
        <w:rPr>
          <w:rFonts w:hint="eastAsia" w:ascii="Times New Roman" w:hAnsi="Times New Roman" w:eastAsia="宋体" w:cs="Times New Roman"/>
          <w:kern w:val="0"/>
          <w:szCs w:val="20"/>
          <w:lang w:bidi="ar"/>
        </w:rPr>
        <w:t xml:space="preserve">北京萨福予万物科技有限公司、北京顶业工贸有限公司、乐福思健康产业股份公司、广西桂林逐境健康产业有限公司、广西桂林恒保健康防护有限公司、北京大象和他的朋友们科技有限公司。  </w:t>
      </w:r>
      <w:r>
        <w:rPr>
          <w:rFonts w:hint="eastAsia" w:ascii="Times New Roman" w:hAnsi="Times New Roman" w:eastAsia="宋体" w:cs="Times New Roman"/>
          <w:kern w:val="0"/>
          <w:szCs w:val="20"/>
          <w:lang w:bidi="ar"/>
        </w:rPr>
        <w:tab/>
      </w:r>
      <w:r>
        <w:rPr>
          <w:rFonts w:hint="eastAsia" w:ascii="Times New Roman" w:hAnsi="Times New Roman" w:eastAsia="宋体" w:cs="Times New Roman"/>
          <w:kern w:val="0"/>
          <w:szCs w:val="20"/>
          <w:lang w:bidi="ar"/>
        </w:rPr>
        <w:tab/>
      </w:r>
      <w:r>
        <w:rPr>
          <w:rFonts w:hint="eastAsia" w:ascii="Times New Roman" w:hAnsi="Times New Roman" w:eastAsia="宋体" w:cs="Times New Roman"/>
          <w:kern w:val="0"/>
          <w:szCs w:val="20"/>
          <w:lang w:bidi="ar"/>
        </w:rPr>
        <w:tab/>
      </w:r>
    </w:p>
    <w:p w14:paraId="0374E237">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本文件主要起草人：</w:t>
      </w:r>
      <w:r>
        <w:rPr>
          <w:rFonts w:hint="eastAsia" w:ascii="Times New Roman" w:hAnsi="Times New Roman" w:eastAsia="宋体" w:cs="Times New Roman"/>
          <w:kern w:val="0"/>
          <w:szCs w:val="20"/>
          <w:lang w:bidi="ar"/>
        </w:rPr>
        <w:t>刘一格、李志新、任娟、王英杰、李竟峰、周豆豆、张玺涛。</w:t>
      </w:r>
    </w:p>
    <w:p w14:paraId="2F5B5F71">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本标准由中国生殖健康产业协会标准化技术委员会负责解释。</w:t>
      </w:r>
    </w:p>
    <w:p w14:paraId="5F693CFA">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本标准为首次发布。</w:t>
      </w:r>
    </w:p>
    <w:p w14:paraId="6355353C">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本标准知识产权归属中国生殖健康产业协会所有。</w:t>
      </w:r>
    </w:p>
    <w:p w14:paraId="56E826A5">
      <w:pPr>
        <w:widowControl/>
        <w:autoSpaceDE w:val="0"/>
        <w:autoSpaceDN w:val="0"/>
        <w:ind w:firstLine="420" w:firstLineChars="200"/>
        <w:rPr>
          <w:rFonts w:ascii="Times New Roman" w:hAnsi="Times New Roman" w:eastAsia="宋体" w:cs="Times New Roman"/>
          <w:kern w:val="0"/>
          <w:szCs w:val="20"/>
        </w:rPr>
        <w:sectPr>
          <w:pgSz w:w="11906" w:h="16838"/>
          <w:pgMar w:top="1928" w:right="1134" w:bottom="1134" w:left="1134" w:header="1418" w:footer="1134" w:gutter="284"/>
          <w:pgNumType w:fmt="upperRoman"/>
          <w:cols w:space="425" w:num="1"/>
          <w:formProt w:val="0"/>
          <w:docGrid w:linePitch="312" w:charSpace="0"/>
        </w:sectPr>
      </w:pPr>
    </w:p>
    <w:bookmarkEnd w:id="4"/>
    <w:p w14:paraId="231F7EB4">
      <w:pPr>
        <w:adjustRightInd w:val="0"/>
        <w:spacing w:line="20" w:lineRule="exact"/>
        <w:jc w:val="center"/>
        <w:rPr>
          <w:rFonts w:ascii="黑体" w:hAnsi="黑体" w:eastAsia="黑体" w:cs="Times New Roman"/>
          <w:sz w:val="32"/>
          <w:szCs w:val="32"/>
        </w:rPr>
      </w:pPr>
      <w:bookmarkStart w:id="5" w:name="BookMark4"/>
    </w:p>
    <w:p w14:paraId="0A4C9569">
      <w:pPr>
        <w:adjustRightInd w:val="0"/>
        <w:spacing w:line="20" w:lineRule="exact"/>
        <w:jc w:val="center"/>
        <w:rPr>
          <w:rFonts w:ascii="黑体" w:hAnsi="黑体" w:eastAsia="黑体" w:cs="Times New Roman"/>
          <w:sz w:val="32"/>
          <w:szCs w:val="32"/>
        </w:rPr>
      </w:pPr>
    </w:p>
    <w:bookmarkEnd w:id="5"/>
    <w:p w14:paraId="3A9751BF">
      <w:pPr>
        <w:pStyle w:val="12"/>
        <w:spacing w:before="312" w:beforeLines="100" w:after="686" w:afterLines="220"/>
      </w:pPr>
      <w:bookmarkStart w:id="6" w:name="_Toc26986532"/>
      <w:bookmarkEnd w:id="6"/>
      <w:r>
        <w:t xml:space="preserve"> 医用</w:t>
      </w:r>
      <w:r>
        <w:rPr>
          <w:rFonts w:hint="eastAsia"/>
        </w:rPr>
        <w:t>级一次性卫生</w:t>
      </w:r>
      <w:r>
        <w:t>指套</w:t>
      </w:r>
    </w:p>
    <w:p w14:paraId="4C7E8895">
      <w:pPr>
        <w:pStyle w:val="13"/>
        <w:spacing w:before="312" w:after="312"/>
      </w:pPr>
      <w:r>
        <w:t>1 范围</w:t>
      </w:r>
    </w:p>
    <w:p w14:paraId="15B79C27">
      <w:pPr>
        <w:pStyle w:val="14"/>
      </w:pPr>
      <w:r>
        <w:t>本文件规定了医用级一次性</w:t>
      </w:r>
      <w:r>
        <w:rPr>
          <w:rFonts w:hint="eastAsia"/>
        </w:rPr>
        <w:t>卫生</w:t>
      </w:r>
      <w:r>
        <w:t>指套的分类、要求、试验方法、检验规则、标识、包装、运输和贮存</w:t>
      </w:r>
      <w:r>
        <w:rPr>
          <w:rFonts w:hint="eastAsia"/>
        </w:rPr>
        <w:t>及生产管理要求</w:t>
      </w:r>
      <w:r>
        <w:t>等内容。</w:t>
      </w:r>
    </w:p>
    <w:p w14:paraId="2D721C95">
      <w:pPr>
        <w:pStyle w:val="14"/>
      </w:pPr>
      <w:r>
        <w:rPr>
          <w:rFonts w:hint="eastAsia"/>
        </w:rPr>
        <w:t>本文件适用于以天然胶乳和聚氨酯为主要原料的医用级一次性卫生指套，不适用于</w:t>
      </w:r>
      <w:r>
        <w:t>外科手术专用指套及用于侵入性操作的特殊指套。</w:t>
      </w:r>
    </w:p>
    <w:p w14:paraId="53D05B77">
      <w:pPr>
        <w:pStyle w:val="13"/>
        <w:spacing w:before="312" w:after="312"/>
      </w:pPr>
      <w:r>
        <w:t>2 规范性引用文件</w:t>
      </w:r>
    </w:p>
    <w:p w14:paraId="261790C8">
      <w:pPr>
        <w:pStyle w:val="15"/>
        <w:ind w:firstLine="420"/>
      </w:pPr>
      <w:r>
        <w:t>下列文件对于本文件的应用是必不可少的。凡是注日期的引用文件，仅注日期的版本适用于本文件；凡是不注日期的引用文件，其最新版本（包括所有的修改单）适用于本文件。</w:t>
      </w:r>
    </w:p>
    <w:p w14:paraId="1DBD98D0">
      <w:pPr>
        <w:pStyle w:val="15"/>
        <w:ind w:firstLine="420"/>
      </w:pPr>
      <w:r>
        <w:t>GB/T 191 包装储运图示标志</w:t>
      </w:r>
    </w:p>
    <w:p w14:paraId="7B356FCB">
      <w:pPr>
        <w:pStyle w:val="15"/>
        <w:ind w:firstLine="420"/>
      </w:pPr>
      <w:r>
        <w:t>GB/T 528 硫化橡胶或热塑性橡胶 拉伸应力应变性能的测定</w:t>
      </w:r>
    </w:p>
    <w:p w14:paraId="31A87983">
      <w:pPr>
        <w:pStyle w:val="15"/>
        <w:ind w:firstLine="420"/>
      </w:pPr>
      <w:r>
        <w:t>GB/T 2828.1 计数抽样检验程序 第 1 部分：按接收质量限（AQL）检索的逐批检验抽样计划</w:t>
      </w:r>
    </w:p>
    <w:p w14:paraId="274A6890">
      <w:pPr>
        <w:pStyle w:val="15"/>
        <w:ind w:firstLine="420"/>
      </w:pPr>
      <w:r>
        <w:t>GB/T 3512 硫化橡胶或热塑性橡胶 热空气加速老化和耐热试验</w:t>
      </w:r>
    </w:p>
    <w:p w14:paraId="42BC2CD3">
      <w:pPr>
        <w:pStyle w:val="15"/>
        <w:ind w:firstLine="420"/>
      </w:pPr>
      <w:r>
        <w:rPr>
          <w:rFonts w:hint="eastAsia"/>
        </w:rPr>
        <w:t xml:space="preserve">GB </w:t>
      </w:r>
      <w:bookmarkStart w:id="7" w:name="OLE_LINK9"/>
      <w:bookmarkStart w:id="8" w:name="OLE_LINK8"/>
      <w:r>
        <w:rPr>
          <w:rFonts w:hint="eastAsia"/>
        </w:rPr>
        <w:t>15979</w:t>
      </w:r>
      <w:bookmarkEnd w:id="7"/>
      <w:bookmarkEnd w:id="8"/>
      <w:r>
        <w:rPr>
          <w:rFonts w:hint="eastAsia"/>
        </w:rPr>
        <w:t>-2024 一次性使用卫生用品卫生标准 附录B</w:t>
      </w:r>
    </w:p>
    <w:p w14:paraId="1DFE6986">
      <w:pPr>
        <w:pStyle w:val="15"/>
        <w:ind w:firstLine="420"/>
      </w:pPr>
      <w:r>
        <w:rPr>
          <w:rFonts w:hint="eastAsia"/>
        </w:rPr>
        <w:t>GB/T 7544 天然橡胶胶乳男用避孕套技术要求与试验方法</w:t>
      </w:r>
    </w:p>
    <w:p w14:paraId="1DD45EBF">
      <w:pPr>
        <w:pStyle w:val="15"/>
        <w:ind w:firstLine="420"/>
      </w:pPr>
      <w:r>
        <w:rPr>
          <w:rFonts w:hint="eastAsia"/>
        </w:rPr>
        <w:t>GB/T 14233.1 医用输液、输血、注射器具检验方法 第1部分：化学分析方法</w:t>
      </w:r>
    </w:p>
    <w:p w14:paraId="00DAABC8">
      <w:pPr>
        <w:pStyle w:val="15"/>
        <w:ind w:firstLine="420"/>
        <w:rPr>
          <w:rFonts w:ascii="MS Gothic" w:hAnsi="MS Gothic" w:cs="MS Gothic" w:eastAsiaTheme="minorEastAsia"/>
        </w:rPr>
      </w:pPr>
      <w:r>
        <w:t xml:space="preserve">GB/T 16886.10 </w:t>
      </w:r>
      <w:r>
        <w:rPr>
          <w:rFonts w:hint="eastAsia"/>
        </w:rPr>
        <w:t>医疗器械生物学评价</w:t>
      </w:r>
      <w:r>
        <w:t xml:space="preserve"> </w:t>
      </w:r>
      <w:r>
        <w:rPr>
          <w:rFonts w:hint="eastAsia"/>
        </w:rPr>
        <w:t>第</w:t>
      </w:r>
      <w:r>
        <w:t xml:space="preserve"> 10 </w:t>
      </w:r>
      <w:r>
        <w:rPr>
          <w:rFonts w:hint="eastAsia"/>
        </w:rPr>
        <w:t>部分：皮肤致敏试验</w:t>
      </w:r>
    </w:p>
    <w:p w14:paraId="5FFCD64B">
      <w:pPr>
        <w:pStyle w:val="15"/>
        <w:ind w:firstLine="420"/>
        <w:rPr>
          <w:rFonts w:eastAsiaTheme="minorEastAsia"/>
        </w:rPr>
      </w:pPr>
      <w:r>
        <w:rPr>
          <w:rFonts w:hint="eastAsia" w:eastAsiaTheme="minorEastAsia"/>
        </w:rPr>
        <w:t>GB/T 16886.23 医疗器械生物学评价 第 23 部分：刺激试验</w:t>
      </w:r>
    </w:p>
    <w:p w14:paraId="727014D4">
      <w:pPr>
        <w:pStyle w:val="15"/>
        <w:ind w:firstLine="420"/>
      </w:pPr>
      <w:r>
        <w:rPr>
          <w:rFonts w:hint="eastAsia"/>
        </w:rPr>
        <w:t>GB/T 21870</w:t>
      </w:r>
      <w:r>
        <w:t>-2008</w:t>
      </w:r>
      <w:r>
        <w:rPr>
          <w:rFonts w:hint="eastAsia"/>
        </w:rPr>
        <w:t xml:space="preserve"> 天然胶乳医用手套水抽提蛋白质的测定 改进 Lowry法</w:t>
      </w:r>
    </w:p>
    <w:p w14:paraId="267B2F4E">
      <w:pPr>
        <w:pStyle w:val="15"/>
        <w:ind w:firstLine="420"/>
        <w:rPr>
          <w:rFonts w:eastAsiaTheme="minorEastAsia"/>
        </w:rPr>
      </w:pPr>
      <w:bookmarkStart w:id="9" w:name="OLE_LINK7"/>
      <w:bookmarkStart w:id="10" w:name="OLE_LINK6"/>
      <w:r>
        <w:rPr>
          <w:rFonts w:hint="eastAsia" w:eastAsiaTheme="minorEastAsia"/>
        </w:rPr>
        <w:t xml:space="preserve">GB/T </w:t>
      </w:r>
      <w:r>
        <w:rPr>
          <w:rFonts w:eastAsiaTheme="minorEastAsia"/>
        </w:rPr>
        <w:t xml:space="preserve">42061 </w:t>
      </w:r>
      <w:r>
        <w:rPr>
          <w:rFonts w:hint="eastAsia" w:eastAsiaTheme="minorEastAsia"/>
        </w:rPr>
        <w:t>医疗器械</w:t>
      </w:r>
      <w:r>
        <w:rPr>
          <w:rFonts w:eastAsiaTheme="minorEastAsia"/>
        </w:rPr>
        <w:t xml:space="preserve"> </w:t>
      </w:r>
      <w:r>
        <w:rPr>
          <w:rFonts w:hint="eastAsia" w:eastAsiaTheme="minorEastAsia"/>
        </w:rPr>
        <w:t>质量管理体系</w:t>
      </w:r>
      <w:r>
        <w:rPr>
          <w:rFonts w:eastAsiaTheme="minorEastAsia"/>
        </w:rPr>
        <w:t xml:space="preserve"> </w:t>
      </w:r>
      <w:r>
        <w:rPr>
          <w:rFonts w:hint="eastAsia" w:eastAsiaTheme="minorEastAsia"/>
        </w:rPr>
        <w:t xml:space="preserve">用于法规的要求 </w:t>
      </w:r>
      <w:bookmarkEnd w:id="9"/>
      <w:bookmarkEnd w:id="10"/>
      <w:r>
        <w:rPr>
          <w:rFonts w:hint="eastAsia" w:eastAsiaTheme="minorEastAsia"/>
        </w:rPr>
        <w:t xml:space="preserve"> </w:t>
      </w:r>
    </w:p>
    <w:p w14:paraId="6FC48328">
      <w:pPr>
        <w:pStyle w:val="15"/>
        <w:ind w:firstLine="420"/>
      </w:pPr>
      <w:r>
        <w:rPr>
          <w:rFonts w:hint="eastAsia"/>
        </w:rPr>
        <w:t>《中华人民共和国药典</w:t>
      </w:r>
      <w:r>
        <w:t>》</w:t>
      </w:r>
      <w:r>
        <w:rPr>
          <w:rFonts w:hint="eastAsia"/>
        </w:rPr>
        <w:t>（2025年版）</w:t>
      </w:r>
      <w:r>
        <w:t xml:space="preserve"> </w:t>
      </w:r>
      <w:r>
        <w:rPr>
          <w:rFonts w:hint="eastAsia"/>
        </w:rPr>
        <w:t>四部</w:t>
      </w:r>
      <w:r>
        <w:t xml:space="preserve"> </w:t>
      </w:r>
      <w:r>
        <w:rPr>
          <w:rFonts w:hint="eastAsia"/>
        </w:rPr>
        <w:t>药用辅料</w:t>
      </w:r>
      <w:r>
        <w:rPr>
          <w:rFonts w:hint="eastAsia" w:ascii="MS Gothic" w:hAnsi="MS Gothic" w:eastAsia="MS Gothic" w:cs="MS Gothic"/>
        </w:rPr>
        <w:t>​</w:t>
      </w:r>
    </w:p>
    <w:p w14:paraId="5864323D">
      <w:pPr>
        <w:pStyle w:val="15"/>
        <w:ind w:firstLine="420"/>
      </w:pPr>
      <w:r>
        <w:rPr>
          <w:rFonts w:hint="eastAsia"/>
        </w:rPr>
        <w:t>《医疗器械监督管理条例》 （国务院令第 773 号）</w:t>
      </w:r>
    </w:p>
    <w:p w14:paraId="379B192B">
      <w:pPr>
        <w:pStyle w:val="13"/>
        <w:spacing w:before="312" w:after="312"/>
        <w:rPr>
          <w:szCs w:val="21"/>
        </w:rPr>
      </w:pPr>
      <w:r>
        <w:rPr>
          <w:szCs w:val="21"/>
        </w:rPr>
        <w:t>3 术语和定义</w:t>
      </w:r>
    </w:p>
    <w:p w14:paraId="66EE4362">
      <w:pPr>
        <w:pStyle w:val="15"/>
        <w:ind w:firstLine="420"/>
      </w:pPr>
      <w:r>
        <w:t>下列术语和定义适用于本文件。</w:t>
      </w:r>
    </w:p>
    <w:p w14:paraId="629D15A2">
      <w:pPr>
        <w:pStyle w:val="13"/>
        <w:spacing w:before="312" w:after="312"/>
        <w:rPr>
          <w:szCs w:val="21"/>
        </w:rPr>
      </w:pPr>
      <w:r>
        <w:rPr>
          <w:szCs w:val="21"/>
        </w:rPr>
        <w:t xml:space="preserve">3.1 </w:t>
      </w:r>
    </w:p>
    <w:p w14:paraId="3A0E2E26">
      <w:pPr>
        <w:pStyle w:val="13"/>
        <w:spacing w:before="312" w:after="312"/>
        <w:ind w:firstLine="420" w:firstLineChars="200"/>
        <w:rPr>
          <w:szCs w:val="21"/>
        </w:rPr>
      </w:pPr>
      <w:r>
        <w:rPr>
          <w:szCs w:val="21"/>
        </w:rPr>
        <w:t>医用级一次性卫生指套 medical grade disposable</w:t>
      </w:r>
      <w:r>
        <w:rPr>
          <w:rFonts w:hint="eastAsia"/>
          <w:szCs w:val="21"/>
        </w:rPr>
        <w:t xml:space="preserve"> sanitary</w:t>
      </w:r>
      <w:r>
        <w:rPr>
          <w:szCs w:val="21"/>
        </w:rPr>
        <w:t xml:space="preserve"> finger cot</w:t>
      </w:r>
    </w:p>
    <w:p w14:paraId="5EA5DFE4">
      <w:pPr>
        <w:pStyle w:val="17"/>
        <w:spacing w:before="156" w:after="156"/>
        <w:ind w:firstLine="420" w:firstLineChars="200"/>
        <w:rPr>
          <w:rFonts w:ascii="宋体" w:eastAsia="宋体"/>
          <w:szCs w:val="20"/>
        </w:rPr>
      </w:pPr>
      <w:r>
        <w:rPr>
          <w:rFonts w:ascii="宋体" w:eastAsia="宋体"/>
          <w:szCs w:val="20"/>
        </w:rPr>
        <w:t>以</w:t>
      </w:r>
      <w:r>
        <w:rPr>
          <w:rFonts w:hint="eastAsia" w:ascii="宋体" w:eastAsia="宋体"/>
          <w:szCs w:val="20"/>
        </w:rPr>
        <w:t>医用高分子材料</w:t>
      </w:r>
      <w:r>
        <w:rPr>
          <w:rFonts w:ascii="宋体" w:eastAsia="宋体"/>
          <w:szCs w:val="20"/>
        </w:rPr>
        <w:t>为主要原料，经成型、硫化（天然胶乳）或固化（聚氨酯）及灭菌或消毒处理等工艺制成，</w:t>
      </w:r>
      <w:r>
        <w:rPr>
          <w:rFonts w:hint="eastAsia" w:ascii="宋体" w:eastAsia="宋体"/>
          <w:szCs w:val="20"/>
        </w:rPr>
        <w:t>穿戴于手指部位，用于隔绝手指与被接触表面之间的直接接触，防止交叉感染的一次性医用制品。</w:t>
      </w:r>
    </w:p>
    <w:p w14:paraId="0ECF6BB9">
      <w:pPr>
        <w:pStyle w:val="13"/>
        <w:spacing w:before="312" w:after="312"/>
        <w:rPr>
          <w:szCs w:val="21"/>
        </w:rPr>
      </w:pPr>
      <w:r>
        <w:rPr>
          <w:szCs w:val="21"/>
        </w:rPr>
        <w:t xml:space="preserve">3.2 </w:t>
      </w:r>
    </w:p>
    <w:p w14:paraId="4F6D345F">
      <w:pPr>
        <w:pStyle w:val="13"/>
        <w:spacing w:before="312" w:after="312"/>
        <w:ind w:firstLine="420" w:firstLineChars="200"/>
        <w:rPr>
          <w:szCs w:val="21"/>
        </w:rPr>
      </w:pPr>
      <w:r>
        <w:rPr>
          <w:szCs w:val="21"/>
        </w:rPr>
        <w:t>天然胶乳医用</w:t>
      </w:r>
      <w:r>
        <w:rPr>
          <w:rFonts w:hint="eastAsia"/>
          <w:szCs w:val="21"/>
        </w:rPr>
        <w:t>级一次性卫生</w:t>
      </w:r>
      <w:r>
        <w:rPr>
          <w:szCs w:val="21"/>
        </w:rPr>
        <w:t>指套 natural latex medical grade disposable sanitary finger cot</w:t>
      </w:r>
    </w:p>
    <w:p w14:paraId="23641352">
      <w:pPr>
        <w:pStyle w:val="17"/>
        <w:spacing w:before="156" w:after="156"/>
        <w:ind w:firstLine="420" w:firstLineChars="200"/>
        <w:rPr>
          <w:rFonts w:ascii="宋体" w:eastAsia="宋体"/>
          <w:szCs w:val="20"/>
        </w:rPr>
      </w:pPr>
      <w:r>
        <w:rPr>
          <w:rFonts w:ascii="宋体" w:eastAsia="宋体"/>
          <w:szCs w:val="20"/>
        </w:rPr>
        <w:t>以天然胶乳为主要原料，添加必要的配合剂，经浸渍、硫化、脱模等工艺制成的医用级指套。</w:t>
      </w:r>
    </w:p>
    <w:p w14:paraId="0F1D3CBE">
      <w:pPr>
        <w:pStyle w:val="17"/>
        <w:spacing w:before="156" w:after="156"/>
      </w:pPr>
      <w:r>
        <w:t xml:space="preserve">3.3 </w:t>
      </w:r>
    </w:p>
    <w:p w14:paraId="5308F349">
      <w:pPr>
        <w:pStyle w:val="17"/>
        <w:spacing w:before="156" w:after="156"/>
        <w:ind w:firstLine="420" w:firstLineChars="200"/>
      </w:pPr>
      <w:r>
        <w:t>聚氨酯医用</w:t>
      </w:r>
      <w:r>
        <w:rPr>
          <w:rFonts w:hint="eastAsia"/>
        </w:rPr>
        <w:t>级一次性卫生</w:t>
      </w:r>
      <w:r>
        <w:t>指套 polyurethane medical  grade disposable sanitary finger cot</w:t>
      </w:r>
    </w:p>
    <w:p w14:paraId="2E7EA548">
      <w:pPr>
        <w:pStyle w:val="17"/>
        <w:spacing w:before="156" w:after="156"/>
        <w:ind w:firstLine="420" w:firstLineChars="200"/>
        <w:rPr>
          <w:rFonts w:ascii="宋体" w:eastAsia="宋体"/>
          <w:szCs w:val="20"/>
        </w:rPr>
      </w:pPr>
      <w:r>
        <w:rPr>
          <w:rFonts w:ascii="宋体" w:eastAsia="宋体"/>
          <w:szCs w:val="20"/>
        </w:rPr>
        <w:t>以聚氨酯树脂为主要原料，添加必要的助剂，经涂覆、固化、脱模等工艺制成的医用级指套。</w:t>
      </w:r>
    </w:p>
    <w:p w14:paraId="1EA00A45">
      <w:pPr>
        <w:pStyle w:val="13"/>
        <w:spacing w:before="312" w:after="312"/>
        <w:rPr>
          <w:szCs w:val="21"/>
        </w:rPr>
      </w:pPr>
      <w:r>
        <w:rPr>
          <w:szCs w:val="21"/>
        </w:rPr>
        <w:t>3.</w:t>
      </w:r>
      <w:r>
        <w:rPr>
          <w:rFonts w:hint="eastAsia"/>
          <w:szCs w:val="21"/>
        </w:rPr>
        <w:t>4</w:t>
      </w:r>
      <w:r>
        <w:rPr>
          <w:szCs w:val="21"/>
        </w:rPr>
        <w:t xml:space="preserve"> </w:t>
      </w:r>
    </w:p>
    <w:p w14:paraId="1DC14C06">
      <w:pPr>
        <w:pStyle w:val="13"/>
        <w:spacing w:before="312" w:after="312"/>
        <w:ind w:firstLine="420" w:firstLineChars="200"/>
        <w:rPr>
          <w:szCs w:val="21"/>
        </w:rPr>
      </w:pPr>
      <w:r>
        <w:rPr>
          <w:szCs w:val="21"/>
        </w:rPr>
        <w:t>拉伸强度 tensile strength</w:t>
      </w:r>
    </w:p>
    <w:p w14:paraId="5E97CC3A">
      <w:pPr>
        <w:pStyle w:val="17"/>
        <w:spacing w:before="156" w:after="156"/>
        <w:ind w:firstLine="420" w:firstLineChars="200"/>
        <w:rPr>
          <w:rFonts w:ascii="宋体" w:eastAsia="宋体"/>
          <w:szCs w:val="20"/>
        </w:rPr>
      </w:pPr>
      <w:r>
        <w:rPr>
          <w:rFonts w:ascii="宋体" w:eastAsia="宋体"/>
          <w:szCs w:val="20"/>
        </w:rPr>
        <w:t>指套材料在拉伸试验中，单位截面积所能承受的最大拉力，</w:t>
      </w:r>
      <w:r>
        <w:rPr>
          <w:rFonts w:hint="eastAsia" w:ascii="宋体" w:eastAsia="宋体"/>
          <w:szCs w:val="20"/>
        </w:rPr>
        <w:t>单位以兆帕（MPa）表示。</w:t>
      </w:r>
    </w:p>
    <w:p w14:paraId="07901BF7">
      <w:pPr>
        <w:pStyle w:val="13"/>
        <w:spacing w:before="312" w:after="312"/>
        <w:rPr>
          <w:szCs w:val="21"/>
        </w:rPr>
      </w:pPr>
      <w:r>
        <w:rPr>
          <w:szCs w:val="21"/>
        </w:rPr>
        <w:t>3.</w:t>
      </w:r>
      <w:r>
        <w:rPr>
          <w:rFonts w:hint="eastAsia"/>
          <w:szCs w:val="21"/>
        </w:rPr>
        <w:t>5</w:t>
      </w:r>
      <w:r>
        <w:rPr>
          <w:szCs w:val="21"/>
        </w:rPr>
        <w:t xml:space="preserve"> </w:t>
      </w:r>
    </w:p>
    <w:p w14:paraId="063E47EE">
      <w:pPr>
        <w:pStyle w:val="13"/>
        <w:spacing w:before="312" w:after="312"/>
        <w:ind w:firstLine="420" w:firstLineChars="200"/>
        <w:rPr>
          <w:szCs w:val="21"/>
        </w:rPr>
      </w:pPr>
      <w:r>
        <w:rPr>
          <w:szCs w:val="21"/>
        </w:rPr>
        <w:t>拉断伸长率 elongation at break</w:t>
      </w:r>
    </w:p>
    <w:p w14:paraId="11AE527A">
      <w:pPr>
        <w:pStyle w:val="17"/>
        <w:spacing w:before="156" w:after="156"/>
        <w:ind w:firstLine="420" w:firstLineChars="200"/>
        <w:rPr>
          <w:rFonts w:ascii="宋体" w:eastAsia="宋体"/>
          <w:szCs w:val="20"/>
        </w:rPr>
      </w:pPr>
      <w:r>
        <w:rPr>
          <w:rFonts w:ascii="宋体" w:eastAsia="宋体"/>
          <w:szCs w:val="20"/>
        </w:rPr>
        <w:t>指套材料在拉伸断裂时，其伸长量与原始长度的比值，</w:t>
      </w:r>
      <w:r>
        <w:rPr>
          <w:rFonts w:hint="eastAsia" w:ascii="宋体" w:eastAsia="宋体"/>
          <w:szCs w:val="20"/>
        </w:rPr>
        <w:t>以百分比（%）表示。</w:t>
      </w:r>
    </w:p>
    <w:p w14:paraId="5570FBCA">
      <w:pPr>
        <w:pStyle w:val="13"/>
        <w:spacing w:before="312" w:after="312"/>
        <w:rPr>
          <w:szCs w:val="21"/>
        </w:rPr>
      </w:pPr>
      <w:r>
        <w:rPr>
          <w:szCs w:val="21"/>
        </w:rPr>
        <w:t>3.</w:t>
      </w:r>
      <w:r>
        <w:rPr>
          <w:rFonts w:hint="eastAsia"/>
          <w:szCs w:val="21"/>
        </w:rPr>
        <w:t>6</w:t>
      </w:r>
      <w:r>
        <w:rPr>
          <w:szCs w:val="21"/>
        </w:rPr>
        <w:t xml:space="preserve"> </w:t>
      </w:r>
    </w:p>
    <w:p w14:paraId="6C49626C">
      <w:pPr>
        <w:pStyle w:val="13"/>
        <w:spacing w:before="312" w:after="312"/>
        <w:ind w:firstLine="420" w:firstLineChars="200"/>
        <w:rPr>
          <w:szCs w:val="21"/>
        </w:rPr>
      </w:pPr>
      <w:r>
        <w:rPr>
          <w:rFonts w:hint="eastAsia"/>
          <w:szCs w:val="21"/>
        </w:rPr>
        <w:t>无菌保证水平</w:t>
      </w:r>
      <w:r>
        <w:rPr>
          <w:szCs w:val="21"/>
        </w:rPr>
        <w:t xml:space="preserve"> sterility assurance level</w:t>
      </w:r>
      <w:r>
        <w:rPr>
          <w:rFonts w:hint="eastAsia"/>
          <w:szCs w:val="21"/>
        </w:rPr>
        <w:t>（</w:t>
      </w:r>
      <w:r>
        <w:rPr>
          <w:szCs w:val="21"/>
        </w:rPr>
        <w:t>SAL</w:t>
      </w:r>
      <w:r>
        <w:rPr>
          <w:rFonts w:hint="eastAsia"/>
          <w:szCs w:val="21"/>
        </w:rPr>
        <w:t>）​</w:t>
      </w:r>
    </w:p>
    <w:p w14:paraId="3D4EB59C">
      <w:pPr>
        <w:pStyle w:val="14"/>
      </w:pPr>
      <w:r>
        <w:rPr>
          <w:rFonts w:hint="eastAsia"/>
        </w:rPr>
        <w:t>灭菌后产品上存在单个活微生物的概率。</w:t>
      </w:r>
    </w:p>
    <w:p w14:paraId="4C751482">
      <w:pPr>
        <w:pStyle w:val="13"/>
        <w:spacing w:before="312" w:after="312"/>
      </w:pPr>
      <w:r>
        <w:rPr>
          <w:rFonts w:hint="eastAsia"/>
        </w:rPr>
        <w:t>4分类</w:t>
      </w:r>
    </w:p>
    <w:p w14:paraId="6956DCCE">
      <w:r>
        <w:rPr>
          <w:rFonts w:hint="eastAsia"/>
        </w:rPr>
        <w:t>4.1 按材质分为天然胶乳指套、聚氨酯指套。</w:t>
      </w:r>
    </w:p>
    <w:p w14:paraId="200932FD">
      <w:r>
        <w:rPr>
          <w:rFonts w:hint="eastAsia"/>
        </w:rPr>
        <w:t>4.2 按规格尺寸分为小号（S）、中号（M）、大号（L）、特殊尺码（SP）。</w:t>
      </w:r>
    </w:p>
    <w:p w14:paraId="5A3209A4">
      <w:r>
        <w:rPr>
          <w:rFonts w:hint="eastAsia"/>
        </w:rPr>
        <w:t>4.3 按表面形态分为光面型和非光面型。</w:t>
      </w:r>
    </w:p>
    <w:p w14:paraId="41F7250C">
      <w:r>
        <w:rPr>
          <w:rFonts w:hint="eastAsia"/>
        </w:rPr>
        <w:t>4.4 按有无润滑剂分为有润滑剂型和无润滑剂型。</w:t>
      </w:r>
    </w:p>
    <w:p w14:paraId="6F3085E1">
      <w:pPr>
        <w:pStyle w:val="13"/>
        <w:spacing w:before="312" w:after="312"/>
      </w:pPr>
      <w:r>
        <w:rPr>
          <w:rFonts w:hint="eastAsia"/>
        </w:rPr>
        <w:t>5</w:t>
      </w:r>
      <w:r>
        <w:t xml:space="preserve"> 要求</w:t>
      </w:r>
    </w:p>
    <w:p w14:paraId="72A3BAD9">
      <w:pPr>
        <w:pStyle w:val="13"/>
        <w:spacing w:before="312" w:after="312"/>
      </w:pPr>
      <w:r>
        <w:rPr>
          <w:rFonts w:hint="eastAsia"/>
        </w:rPr>
        <w:t>5</w:t>
      </w:r>
      <w:r>
        <w:t>.1 原材料要求</w:t>
      </w:r>
    </w:p>
    <w:p w14:paraId="2ABE288D">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.1.1</w:t>
      </w:r>
      <w:r>
        <w:rPr>
          <w:rFonts w:ascii="宋体" w:eastAsia="宋体"/>
          <w:szCs w:val="20"/>
        </w:rPr>
        <w:t xml:space="preserve"> </w:t>
      </w:r>
      <w:r>
        <w:rPr>
          <w:rFonts w:hint="eastAsia" w:ascii="宋体" w:eastAsia="宋体"/>
          <w:szCs w:val="20"/>
        </w:rPr>
        <w:t>所用原料、配合剂、润滑剂等材料，需满足医用使用要求，具备良好生物相容性，杂质、析出物、微生物等指标符合相关医用标准及产品使用风险管控要求。</w:t>
      </w:r>
    </w:p>
    <w:p w14:paraId="4B6A90B7">
      <w:pPr>
        <w:pStyle w:val="17"/>
        <w:spacing w:before="156" w:after="156"/>
        <w:rPr>
          <w:rFonts w:ascii="宋体" w:eastAsia="宋体"/>
          <w:szCs w:val="20"/>
        </w:rPr>
      </w:pPr>
      <w:r>
        <w:rPr>
          <w:rFonts w:hint="eastAsia" w:asciiTheme="minorHAnsi" w:hAnsiTheme="minorHAnsi" w:eastAsiaTheme="minorEastAsia" w:cstheme="minorBidi"/>
          <w:kern w:val="2"/>
          <w:szCs w:val="22"/>
        </w:rPr>
        <w:t xml:space="preserve">5.1.2 </w:t>
      </w:r>
      <w:r>
        <w:rPr>
          <w:rFonts w:hint="eastAsia" w:ascii="宋体" w:eastAsia="宋体"/>
          <w:szCs w:val="20"/>
        </w:rPr>
        <w:t>影响卫生质量的原材料需有检验报告，必要时做微生物监控。</w:t>
      </w:r>
    </w:p>
    <w:p w14:paraId="7397217D">
      <w:pPr>
        <w:pStyle w:val="13"/>
        <w:spacing w:before="312" w:after="312"/>
      </w:pPr>
      <w:r>
        <w:rPr>
          <w:rFonts w:hint="eastAsia"/>
        </w:rPr>
        <w:t>5</w:t>
      </w:r>
      <w:r>
        <w:t>.2 外观要求</w:t>
      </w:r>
    </w:p>
    <w:p w14:paraId="095D130C">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.2.1</w:t>
      </w:r>
      <w:r>
        <w:rPr>
          <w:rFonts w:ascii="宋体" w:eastAsia="宋体"/>
          <w:szCs w:val="20"/>
        </w:rPr>
        <w:t xml:space="preserve"> 指套表面应洁净，无明显气泡、裂纹、缺胶、飞边、杂质、污渍等缺陷。</w:t>
      </w:r>
    </w:p>
    <w:p w14:paraId="1A4AFD16">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.2.2</w:t>
      </w:r>
      <w:r>
        <w:rPr>
          <w:rFonts w:ascii="宋体" w:eastAsia="宋体"/>
          <w:szCs w:val="20"/>
        </w:rPr>
        <w:t xml:space="preserve"> 天然胶乳医用指套颜色应为</w:t>
      </w:r>
      <w:r>
        <w:rPr>
          <w:rFonts w:hint="eastAsia" w:ascii="宋体" w:eastAsia="宋体"/>
          <w:szCs w:val="20"/>
        </w:rPr>
        <w:t>胶乳原色或指定的颜色</w:t>
      </w:r>
      <w:r>
        <w:rPr>
          <w:rFonts w:ascii="宋体" w:eastAsia="宋体"/>
          <w:szCs w:val="20"/>
        </w:rPr>
        <w:t>，色泽均匀；聚氨酯医用指套颜色应为透明或半透明，色泽均匀，无明显色差。</w:t>
      </w:r>
    </w:p>
    <w:p w14:paraId="57BD88F7">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.2.3</w:t>
      </w:r>
      <w:r>
        <w:rPr>
          <w:rFonts w:ascii="宋体" w:eastAsia="宋体"/>
          <w:szCs w:val="20"/>
        </w:rPr>
        <w:t xml:space="preserve"> 指套开口边缘应整齐、无毛刺，不应有影响穿戴的褶皱或变形。</w:t>
      </w:r>
    </w:p>
    <w:p w14:paraId="7F0474BC">
      <w:pPr>
        <w:pStyle w:val="13"/>
        <w:spacing w:before="312" w:after="312"/>
      </w:pPr>
      <w:r>
        <w:rPr>
          <w:rFonts w:hint="eastAsia"/>
        </w:rPr>
        <w:t>5</w:t>
      </w:r>
      <w:r>
        <w:t>.3 尺寸要求</w:t>
      </w:r>
    </w:p>
    <w:p w14:paraId="5EEA4469">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.3.1</w:t>
      </w:r>
      <w:r>
        <w:rPr>
          <w:rFonts w:ascii="宋体" w:eastAsia="宋体"/>
          <w:szCs w:val="20"/>
        </w:rPr>
        <w:t xml:space="preserve"> 指套长度和宽度应符合表 1 的规定，</w:t>
      </w:r>
      <w:r>
        <w:rPr>
          <w:rFonts w:hint="eastAsia" w:ascii="宋体" w:eastAsia="宋体"/>
          <w:szCs w:val="20"/>
        </w:rPr>
        <w:t>实际宽度相对于标称宽度的允许偏差为</w:t>
      </w:r>
      <w:r>
        <w:rPr>
          <w:rFonts w:ascii="宋体" w:eastAsia="宋体"/>
          <w:szCs w:val="20"/>
        </w:rPr>
        <w:t xml:space="preserve"> ±</w:t>
      </w:r>
      <w:r>
        <w:rPr>
          <w:rFonts w:hint="eastAsia" w:ascii="宋体" w:eastAsia="宋体"/>
          <w:szCs w:val="20"/>
        </w:rPr>
        <w:t>3 mm</w:t>
      </w:r>
      <w:r>
        <w:rPr>
          <w:rFonts w:ascii="宋体" w:eastAsia="宋体"/>
          <w:szCs w:val="20"/>
        </w:rPr>
        <w:t>。</w:t>
      </w:r>
    </w:p>
    <w:p w14:paraId="660110E3">
      <w:pPr>
        <w:pStyle w:val="14"/>
      </w:pPr>
    </w:p>
    <w:p w14:paraId="20351BC0">
      <w:pPr>
        <w:pStyle w:val="14"/>
        <w:jc w:val="center"/>
      </w:pPr>
      <w:r>
        <w:rPr>
          <w:rFonts w:hint="eastAsia"/>
        </w:rPr>
        <w:t>表1 规格尺寸（长度和宽度）</w:t>
      </w:r>
    </w:p>
    <w:tbl>
      <w:tblPr>
        <w:tblStyle w:val="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2693"/>
        <w:gridCol w:w="2694"/>
      </w:tblGrid>
      <w:tr w14:paraId="48EE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Borders>
              <w:top w:val="single" w:color="auto" w:sz="8" w:space="0"/>
              <w:bottom w:val="single" w:color="auto" w:sz="8" w:space="0"/>
            </w:tcBorders>
            <w:vAlign w:val="center"/>
          </w:tcPr>
          <w:p w14:paraId="3322957F">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型号</w:t>
            </w:r>
          </w:p>
        </w:tc>
        <w:tc>
          <w:tcPr>
            <w:tcW w:w="2693" w:type="dxa"/>
            <w:tcBorders>
              <w:top w:val="single" w:color="auto" w:sz="8" w:space="0"/>
              <w:bottom w:val="single" w:color="auto" w:sz="8" w:space="0"/>
            </w:tcBorders>
            <w:vAlign w:val="center"/>
          </w:tcPr>
          <w:p w14:paraId="5F244256">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长度（mm）</w:t>
            </w:r>
          </w:p>
        </w:tc>
        <w:tc>
          <w:tcPr>
            <w:tcW w:w="2694" w:type="dxa"/>
            <w:tcBorders>
              <w:top w:val="single" w:color="auto" w:sz="8" w:space="0"/>
              <w:bottom w:val="single" w:color="auto" w:sz="8" w:space="0"/>
            </w:tcBorders>
          </w:tcPr>
          <w:p w14:paraId="3C929532">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宽度（mm）</w:t>
            </w:r>
          </w:p>
        </w:tc>
      </w:tr>
      <w:tr w14:paraId="3EE3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Borders>
              <w:top w:val="single" w:color="auto" w:sz="8" w:space="0"/>
            </w:tcBorders>
            <w:vAlign w:val="center"/>
          </w:tcPr>
          <w:p w14:paraId="0AB498E6">
            <w:pPr>
              <w:adjustRightInd w:val="0"/>
              <w:spacing w:line="400" w:lineRule="exact"/>
              <w:jc w:val="center"/>
              <w:rPr>
                <w:rFonts w:ascii="宋体" w:hAnsi="Calibri" w:eastAsia="宋体" w:cs="Times New Roman"/>
                <w:sz w:val="18"/>
                <w:szCs w:val="21"/>
              </w:rPr>
            </w:pPr>
            <w:r>
              <w:rPr>
                <w:rFonts w:ascii="宋体" w:hAnsi="Calibri" w:eastAsia="宋体" w:cs="Times New Roman"/>
                <w:sz w:val="18"/>
                <w:szCs w:val="21"/>
              </w:rPr>
              <w:t>S</w:t>
            </w:r>
          </w:p>
        </w:tc>
        <w:tc>
          <w:tcPr>
            <w:tcW w:w="2693" w:type="dxa"/>
            <w:vMerge w:val="restart"/>
            <w:tcBorders>
              <w:top w:val="single" w:color="auto" w:sz="8" w:space="0"/>
            </w:tcBorders>
            <w:vAlign w:val="center"/>
          </w:tcPr>
          <w:p w14:paraId="277EC129">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≥80</w:t>
            </w:r>
          </w:p>
        </w:tc>
        <w:tc>
          <w:tcPr>
            <w:tcW w:w="2694" w:type="dxa"/>
            <w:tcBorders>
              <w:top w:val="single" w:color="auto" w:sz="8" w:space="0"/>
            </w:tcBorders>
          </w:tcPr>
          <w:p w14:paraId="5464EF62">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23</w:t>
            </w:r>
          </w:p>
        </w:tc>
      </w:tr>
      <w:tr w14:paraId="081F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Borders>
              <w:top w:val="single" w:color="auto" w:sz="4" w:space="0"/>
              <w:bottom w:val="single" w:color="auto" w:sz="8" w:space="0"/>
            </w:tcBorders>
            <w:vAlign w:val="center"/>
          </w:tcPr>
          <w:p w14:paraId="75DDA24D">
            <w:pPr>
              <w:adjustRightInd w:val="0"/>
              <w:spacing w:line="400" w:lineRule="exact"/>
              <w:jc w:val="center"/>
              <w:rPr>
                <w:rFonts w:ascii="宋体" w:hAnsi="Calibri" w:eastAsia="宋体" w:cs="Times New Roman"/>
                <w:sz w:val="18"/>
                <w:szCs w:val="21"/>
              </w:rPr>
            </w:pPr>
            <w:r>
              <w:rPr>
                <w:rFonts w:ascii="宋体" w:hAnsi="Calibri" w:eastAsia="宋体" w:cs="Times New Roman"/>
                <w:sz w:val="18"/>
                <w:szCs w:val="21"/>
              </w:rPr>
              <w:t>M</w:t>
            </w:r>
          </w:p>
        </w:tc>
        <w:tc>
          <w:tcPr>
            <w:tcW w:w="2693" w:type="dxa"/>
            <w:vMerge w:val="continue"/>
            <w:vAlign w:val="center"/>
          </w:tcPr>
          <w:p w14:paraId="562BA05E">
            <w:pPr>
              <w:adjustRightInd w:val="0"/>
              <w:spacing w:line="400" w:lineRule="exact"/>
              <w:jc w:val="center"/>
              <w:rPr>
                <w:rFonts w:ascii="宋体" w:hAnsi="Calibri" w:eastAsia="宋体" w:cs="Times New Roman"/>
                <w:sz w:val="18"/>
                <w:szCs w:val="21"/>
              </w:rPr>
            </w:pPr>
          </w:p>
        </w:tc>
        <w:tc>
          <w:tcPr>
            <w:tcW w:w="2694" w:type="dxa"/>
            <w:tcBorders>
              <w:top w:val="single" w:color="auto" w:sz="4" w:space="0"/>
              <w:bottom w:val="single" w:color="auto" w:sz="8" w:space="0"/>
            </w:tcBorders>
          </w:tcPr>
          <w:p w14:paraId="1325F643">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28</w:t>
            </w:r>
          </w:p>
        </w:tc>
      </w:tr>
      <w:tr w14:paraId="58EC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Borders>
              <w:top w:val="single" w:color="auto" w:sz="4" w:space="0"/>
              <w:bottom w:val="single" w:color="auto" w:sz="4" w:space="0"/>
            </w:tcBorders>
            <w:vAlign w:val="center"/>
          </w:tcPr>
          <w:p w14:paraId="70598AE0">
            <w:pPr>
              <w:adjustRightInd w:val="0"/>
              <w:spacing w:line="400" w:lineRule="exact"/>
              <w:jc w:val="center"/>
              <w:rPr>
                <w:rFonts w:ascii="宋体" w:hAnsi="Calibri" w:eastAsia="宋体" w:cs="Times New Roman"/>
                <w:sz w:val="18"/>
                <w:szCs w:val="21"/>
              </w:rPr>
            </w:pPr>
            <w:r>
              <w:rPr>
                <w:rFonts w:ascii="宋体" w:hAnsi="Calibri" w:eastAsia="宋体" w:cs="Times New Roman"/>
                <w:sz w:val="18"/>
                <w:szCs w:val="21"/>
              </w:rPr>
              <w:t>L</w:t>
            </w:r>
          </w:p>
        </w:tc>
        <w:tc>
          <w:tcPr>
            <w:tcW w:w="2693" w:type="dxa"/>
            <w:vMerge w:val="continue"/>
            <w:tcBorders>
              <w:bottom w:val="single" w:color="auto" w:sz="4" w:space="0"/>
            </w:tcBorders>
            <w:vAlign w:val="center"/>
          </w:tcPr>
          <w:p w14:paraId="2721711C">
            <w:pPr>
              <w:adjustRightInd w:val="0"/>
              <w:spacing w:line="400" w:lineRule="exact"/>
              <w:jc w:val="center"/>
              <w:rPr>
                <w:rFonts w:ascii="宋体" w:hAnsi="Calibri" w:eastAsia="宋体" w:cs="Times New Roman"/>
                <w:sz w:val="18"/>
                <w:szCs w:val="21"/>
              </w:rPr>
            </w:pPr>
          </w:p>
        </w:tc>
        <w:tc>
          <w:tcPr>
            <w:tcW w:w="2694" w:type="dxa"/>
            <w:tcBorders>
              <w:top w:val="single" w:color="auto" w:sz="4" w:space="0"/>
              <w:bottom w:val="single" w:color="auto" w:sz="4" w:space="0"/>
            </w:tcBorders>
          </w:tcPr>
          <w:p w14:paraId="26F0E44D">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33</w:t>
            </w:r>
          </w:p>
        </w:tc>
      </w:tr>
      <w:tr w14:paraId="5023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Borders>
              <w:top w:val="single" w:color="auto" w:sz="4" w:space="0"/>
              <w:bottom w:val="single" w:color="auto" w:sz="4" w:space="0"/>
            </w:tcBorders>
            <w:vAlign w:val="center"/>
          </w:tcPr>
          <w:p w14:paraId="7EA4548D">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特殊尺码(SP)</w:t>
            </w:r>
          </w:p>
        </w:tc>
        <w:tc>
          <w:tcPr>
            <w:tcW w:w="2693" w:type="dxa"/>
            <w:tcBorders>
              <w:top w:val="single" w:color="auto" w:sz="4" w:space="0"/>
              <w:bottom w:val="single" w:color="auto" w:sz="4" w:space="0"/>
            </w:tcBorders>
            <w:vAlign w:val="center"/>
          </w:tcPr>
          <w:p w14:paraId="6BA6CAD4">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依据定制要求</w:t>
            </w:r>
          </w:p>
        </w:tc>
        <w:tc>
          <w:tcPr>
            <w:tcW w:w="2694" w:type="dxa"/>
            <w:tcBorders>
              <w:top w:val="single" w:color="auto" w:sz="4" w:space="0"/>
              <w:bottom w:val="single" w:color="auto" w:sz="4" w:space="0"/>
            </w:tcBorders>
          </w:tcPr>
          <w:p w14:paraId="55CB0010">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依据定制要求</w:t>
            </w:r>
          </w:p>
        </w:tc>
      </w:tr>
    </w:tbl>
    <w:p w14:paraId="11C0D608">
      <w:pPr>
        <w:pStyle w:val="14"/>
      </w:pPr>
    </w:p>
    <w:p w14:paraId="7B1D9F5B">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.3.2</w:t>
      </w:r>
      <w:r>
        <w:rPr>
          <w:rFonts w:ascii="宋体" w:eastAsia="宋体"/>
          <w:szCs w:val="20"/>
        </w:rPr>
        <w:t xml:space="preserve"> 指套厚度（指套中段侧壁）应符合规定，</w:t>
      </w:r>
      <w:r>
        <w:rPr>
          <w:rFonts w:hint="eastAsia" w:ascii="宋体" w:eastAsia="宋体"/>
          <w:szCs w:val="20"/>
        </w:rPr>
        <w:t>厚度在0.050 mm以下的指套允许偏差为±0.008 mm，厚度在0.050 mm以上的指套允许偏差为±0.010 mm</w:t>
      </w:r>
      <w:r>
        <w:rPr>
          <w:rFonts w:ascii="宋体" w:eastAsia="宋体"/>
          <w:szCs w:val="20"/>
        </w:rPr>
        <w:t>。</w:t>
      </w:r>
    </w:p>
    <w:p w14:paraId="11CBBA8E">
      <w:pPr>
        <w:pStyle w:val="13"/>
        <w:spacing w:before="312" w:after="312"/>
      </w:pPr>
      <w:r>
        <w:rPr>
          <w:rFonts w:hint="eastAsia"/>
        </w:rPr>
        <w:t>5.4 包装完整性要求</w:t>
      </w:r>
    </w:p>
    <w:p w14:paraId="120770DC">
      <w:r>
        <w:rPr>
          <w:rFonts w:hint="eastAsia"/>
        </w:rPr>
        <w:t>5.4.1 密封的单个产品应包装完整、密封有效，无破损、渗漏、开口、穿孔、撕裂等。</w:t>
      </w:r>
    </w:p>
    <w:p w14:paraId="34E405AA">
      <w:pPr>
        <w:pStyle w:val="13"/>
        <w:spacing w:before="312" w:after="312"/>
      </w:pPr>
      <w:r>
        <w:rPr>
          <w:rFonts w:hint="eastAsia"/>
        </w:rPr>
        <w:t>5</w:t>
      </w:r>
      <w:r>
        <w:t>.</w:t>
      </w:r>
      <w:r>
        <w:rPr>
          <w:rFonts w:hint="eastAsia"/>
        </w:rPr>
        <w:t>5</w:t>
      </w:r>
      <w:r>
        <w:t xml:space="preserve"> 物理性能要求</w:t>
      </w:r>
    </w:p>
    <w:p w14:paraId="58F95D31">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.1</w:t>
      </w:r>
      <w:r>
        <w:rPr>
          <w:rFonts w:ascii="宋体" w:eastAsia="宋体"/>
          <w:szCs w:val="20"/>
        </w:rPr>
        <w:t xml:space="preserve"> 拉伸强度：天然胶乳医用级一次性卫生指套≥1</w:t>
      </w:r>
      <w:r>
        <w:rPr>
          <w:rFonts w:hint="eastAsia" w:ascii="宋体" w:eastAsia="宋体"/>
          <w:szCs w:val="20"/>
        </w:rPr>
        <w:t>5</w:t>
      </w:r>
      <w:r>
        <w:rPr>
          <w:rFonts w:ascii="宋体" w:eastAsia="宋体"/>
          <w:szCs w:val="20"/>
        </w:rPr>
        <w:t>.0 MPa；聚氨酯医用级一次性卫生指套≥20.0 MPa。</w:t>
      </w:r>
    </w:p>
    <w:p w14:paraId="1A2F027E">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.2</w:t>
      </w:r>
      <w:r>
        <w:rPr>
          <w:rFonts w:ascii="宋体" w:eastAsia="宋体"/>
          <w:szCs w:val="20"/>
        </w:rPr>
        <w:t xml:space="preserve"> 拉断伸长率：天然胶乳医用级一次性卫生指套≥</w:t>
      </w:r>
      <w:r>
        <w:rPr>
          <w:rFonts w:hint="eastAsia" w:ascii="宋体" w:eastAsia="宋体"/>
          <w:szCs w:val="20"/>
        </w:rPr>
        <w:t>5</w:t>
      </w:r>
      <w:r>
        <w:rPr>
          <w:rFonts w:ascii="宋体" w:eastAsia="宋体"/>
          <w:szCs w:val="20"/>
        </w:rPr>
        <w:t>00%；聚氨酯医用级一次性卫生指套≥</w:t>
      </w:r>
      <w:r>
        <w:rPr>
          <w:rFonts w:hint="eastAsia" w:ascii="宋体" w:eastAsia="宋体"/>
          <w:szCs w:val="20"/>
        </w:rPr>
        <w:t>4</w:t>
      </w:r>
      <w:r>
        <w:rPr>
          <w:rFonts w:ascii="宋体" w:eastAsia="宋体"/>
          <w:szCs w:val="20"/>
        </w:rPr>
        <w:t>00%。</w:t>
      </w:r>
    </w:p>
    <w:p w14:paraId="52D3A719">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.3</w:t>
      </w:r>
      <w:r>
        <w:rPr>
          <w:rFonts w:ascii="宋体" w:eastAsia="宋体"/>
          <w:szCs w:val="20"/>
        </w:rPr>
        <w:t xml:space="preserve"> 不透水性：无撕裂、无渗漏或漏水。采用一般检</w:t>
      </w:r>
      <w:r>
        <w:rPr>
          <w:rFonts w:hint="eastAsia" w:ascii="宋体" w:eastAsia="宋体"/>
          <w:szCs w:val="20"/>
        </w:rPr>
        <w:t>验</w:t>
      </w:r>
      <w:r>
        <w:rPr>
          <w:rFonts w:ascii="宋体" w:eastAsia="宋体"/>
          <w:szCs w:val="20"/>
        </w:rPr>
        <w:t>水平I，每批接收质量限AQL为</w:t>
      </w:r>
      <w:r>
        <w:rPr>
          <w:rFonts w:hint="eastAsia" w:ascii="宋体" w:eastAsia="宋体"/>
          <w:szCs w:val="20"/>
        </w:rPr>
        <w:t>1.5</w:t>
      </w:r>
      <w:r>
        <w:rPr>
          <w:rFonts w:ascii="宋体" w:eastAsia="宋体"/>
          <w:szCs w:val="20"/>
        </w:rPr>
        <w:t>。</w:t>
      </w:r>
    </w:p>
    <w:p w14:paraId="6C296F74">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4</w:t>
      </w:r>
      <w:r>
        <w:rPr>
          <w:rFonts w:ascii="宋体" w:eastAsia="宋体"/>
          <w:szCs w:val="20"/>
        </w:rPr>
        <w:t xml:space="preserve"> 热稳定性：经热空气老化试验后，天然胶乳医用级一次性卫生指套拉伸强度</w:t>
      </w:r>
      <w:r>
        <w:rPr>
          <w:rFonts w:hint="eastAsia" w:ascii="宋体" w:eastAsia="宋体"/>
          <w:szCs w:val="20"/>
        </w:rPr>
        <w:t>≥12.0 MPa</w:t>
      </w:r>
      <w:r>
        <w:rPr>
          <w:rFonts w:ascii="宋体" w:eastAsia="宋体"/>
          <w:szCs w:val="20"/>
        </w:rPr>
        <w:t>，拉断伸长率≥</w:t>
      </w:r>
      <w:r>
        <w:rPr>
          <w:rFonts w:hint="eastAsia" w:ascii="宋体" w:eastAsia="宋体"/>
          <w:szCs w:val="20"/>
        </w:rPr>
        <w:t>400%</w:t>
      </w:r>
      <w:r>
        <w:rPr>
          <w:rFonts w:ascii="宋体" w:eastAsia="宋体"/>
          <w:szCs w:val="20"/>
        </w:rPr>
        <w:t>；聚氨酯医用级一次性卫生指套拉伸强度≥</w:t>
      </w:r>
      <w:r>
        <w:rPr>
          <w:rFonts w:hint="eastAsia" w:ascii="宋体" w:eastAsia="宋体"/>
          <w:szCs w:val="20"/>
        </w:rPr>
        <w:t xml:space="preserve">17.0 </w:t>
      </w:r>
      <w:r>
        <w:rPr>
          <w:rFonts w:ascii="宋体" w:eastAsia="宋体"/>
          <w:szCs w:val="20"/>
        </w:rPr>
        <w:t>MPa，拉断伸长率≥</w:t>
      </w:r>
      <w:r>
        <w:rPr>
          <w:rFonts w:hint="eastAsia" w:ascii="宋体" w:eastAsia="宋体"/>
          <w:szCs w:val="20"/>
        </w:rPr>
        <w:t>300%</w:t>
      </w:r>
      <w:r>
        <w:rPr>
          <w:rFonts w:ascii="宋体" w:eastAsia="宋体"/>
          <w:szCs w:val="20"/>
        </w:rPr>
        <w:t>。</w:t>
      </w:r>
    </w:p>
    <w:p w14:paraId="3C339BA7">
      <w:pPr>
        <w:pStyle w:val="13"/>
        <w:spacing w:before="312" w:after="312"/>
      </w:pPr>
      <w:r>
        <w:rPr>
          <w:rFonts w:hint="eastAsia"/>
        </w:rPr>
        <w:t>5</w:t>
      </w:r>
      <w:r>
        <w:t>.</w:t>
      </w:r>
      <w:r>
        <w:rPr>
          <w:rFonts w:hint="eastAsia"/>
        </w:rPr>
        <w:t>6</w:t>
      </w:r>
      <w:r>
        <w:t xml:space="preserve"> 无菌要求（适用于无菌医用指套）</w:t>
      </w:r>
    </w:p>
    <w:p w14:paraId="0E0AA013">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6</w:t>
      </w:r>
      <w:r>
        <w:rPr>
          <w:rFonts w:asciiTheme="minorHAnsi" w:hAnsiTheme="minorHAnsi" w:eastAsiaTheme="minorEastAsia" w:cstheme="minorBidi"/>
          <w:kern w:val="2"/>
          <w:szCs w:val="22"/>
        </w:rPr>
        <w:t>.1</w:t>
      </w:r>
      <w:r>
        <w:rPr>
          <w:rFonts w:ascii="宋体" w:eastAsia="宋体"/>
          <w:szCs w:val="20"/>
        </w:rPr>
        <w:t xml:space="preserve"> </w:t>
      </w:r>
      <w:r>
        <w:rPr>
          <w:rFonts w:hint="eastAsia" w:ascii="宋体" w:eastAsia="宋体"/>
          <w:szCs w:val="20"/>
        </w:rPr>
        <w:t>无菌医用指套应经过有效的灭菌处理。</w:t>
      </w:r>
      <w:r>
        <w:rPr>
          <w:rFonts w:hint="eastAsia" w:ascii="MS Gothic" w:hAnsi="MS Gothic" w:eastAsia="MS Gothic" w:cs="MS Gothic"/>
          <w:szCs w:val="20"/>
        </w:rPr>
        <w:t>​</w:t>
      </w:r>
    </w:p>
    <w:p w14:paraId="45C9518F">
      <w:pPr>
        <w:pStyle w:val="17"/>
        <w:spacing w:before="156" w:after="156"/>
        <w:rPr>
          <w:rFonts w:ascii="宋体" w:eastAsiaTheme="minorEastAsia"/>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6</w:t>
      </w:r>
      <w:r>
        <w:rPr>
          <w:rFonts w:asciiTheme="minorHAnsi" w:hAnsiTheme="minorHAnsi" w:eastAsiaTheme="minorEastAsia" w:cstheme="minorBidi"/>
          <w:kern w:val="2"/>
          <w:szCs w:val="22"/>
        </w:rPr>
        <w:t>.2</w:t>
      </w:r>
      <w:r>
        <w:rPr>
          <w:rFonts w:ascii="宋体" w:eastAsia="宋体"/>
          <w:szCs w:val="20"/>
        </w:rPr>
        <w:t xml:space="preserve"> </w:t>
      </w:r>
      <w:r>
        <w:rPr>
          <w:rFonts w:hint="eastAsia" w:ascii="宋体" w:eastAsia="宋体"/>
          <w:szCs w:val="20"/>
        </w:rPr>
        <w:t>灭菌后的产品经无菌检查，无菌保证水平（</w:t>
      </w:r>
      <w:r>
        <w:rPr>
          <w:rFonts w:ascii="宋体" w:eastAsia="宋体"/>
          <w:szCs w:val="20"/>
        </w:rPr>
        <w:t>SAL</w:t>
      </w:r>
      <w:r>
        <w:rPr>
          <w:rFonts w:hint="eastAsia" w:ascii="宋体" w:eastAsia="宋体"/>
          <w:szCs w:val="20"/>
        </w:rPr>
        <w:t>）≤</w:t>
      </w:r>
      <w:r>
        <w:rPr>
          <w:rFonts w:ascii="宋体" w:eastAsia="宋体"/>
          <w:szCs w:val="20"/>
        </w:rPr>
        <w:t>10⁻⁶</w:t>
      </w:r>
      <w:r>
        <w:rPr>
          <w:rFonts w:hint="eastAsia" w:ascii="宋体" w:eastAsia="宋体"/>
          <w:szCs w:val="20"/>
        </w:rPr>
        <w:t>。</w:t>
      </w:r>
    </w:p>
    <w:p w14:paraId="007D321B">
      <w:pPr>
        <w:pStyle w:val="17"/>
        <w:spacing w:before="156" w:after="156"/>
        <w:rPr>
          <w:rFonts w:ascii="宋体" w:eastAsia="宋体"/>
          <w:szCs w:val="20"/>
        </w:rPr>
      </w:pPr>
      <w:r>
        <w:rPr>
          <w:rFonts w:hint="eastAsia" w:asciiTheme="minorHAnsi" w:hAnsiTheme="minorHAnsi" w:eastAsiaTheme="minorEastAsia" w:cstheme="minorBidi"/>
          <w:kern w:val="2"/>
          <w:szCs w:val="22"/>
        </w:rPr>
        <w:t>5.6.3</w:t>
      </w:r>
      <w:r>
        <w:rPr>
          <w:rFonts w:hint="eastAsia" w:ascii="宋体" w:eastAsia="宋体"/>
          <w:szCs w:val="20"/>
        </w:rPr>
        <w:t xml:space="preserve"> 灭菌后产品应在包装上标明灭菌方式、灭菌日期或批号、有效期。</w:t>
      </w:r>
    </w:p>
    <w:p w14:paraId="0A068281">
      <w:pPr>
        <w:pStyle w:val="13"/>
        <w:spacing w:before="312" w:after="312"/>
      </w:pPr>
      <w:r>
        <w:rPr>
          <w:rFonts w:hint="eastAsia"/>
        </w:rPr>
        <w:t>5</w:t>
      </w:r>
      <w:r>
        <w:t>.</w:t>
      </w:r>
      <w:r>
        <w:rPr>
          <w:rFonts w:hint="eastAsia"/>
        </w:rPr>
        <w:t>7</w:t>
      </w:r>
      <w:r>
        <w:t xml:space="preserve"> 微生物限度要求（适用于非无菌医用指套）</w:t>
      </w:r>
    </w:p>
    <w:p w14:paraId="1E37F8E2">
      <w:pPr>
        <w:pStyle w:val="17"/>
        <w:spacing w:before="156" w:after="156"/>
        <w:ind w:firstLine="420" w:firstLineChars="200"/>
        <w:rPr>
          <w:rFonts w:ascii="宋体" w:eastAsia="宋体"/>
          <w:szCs w:val="20"/>
        </w:rPr>
      </w:pPr>
      <w:r>
        <w:rPr>
          <w:rFonts w:ascii="宋体" w:eastAsia="宋体"/>
          <w:szCs w:val="20"/>
        </w:rPr>
        <w:t xml:space="preserve">非无菌医用指套的微生物限度应符合GB </w:t>
      </w:r>
      <w:r>
        <w:rPr>
          <w:rFonts w:hint="eastAsia" w:ascii="宋体" w:eastAsia="宋体"/>
          <w:szCs w:val="20"/>
        </w:rPr>
        <w:t>15979</w:t>
      </w:r>
      <w:r>
        <w:rPr>
          <w:rFonts w:ascii="宋体" w:eastAsia="宋体"/>
          <w:szCs w:val="20"/>
        </w:rPr>
        <w:t>的要求，具体见表</w:t>
      </w:r>
      <w:r>
        <w:rPr>
          <w:rFonts w:hint="eastAsia" w:ascii="宋体" w:eastAsia="宋体"/>
          <w:szCs w:val="20"/>
        </w:rPr>
        <w:t>2</w:t>
      </w:r>
      <w:r>
        <w:rPr>
          <w:rFonts w:ascii="宋体" w:eastAsia="宋体"/>
          <w:szCs w:val="20"/>
        </w:rPr>
        <w:t>。</w:t>
      </w:r>
    </w:p>
    <w:p w14:paraId="4F516930">
      <w:pPr>
        <w:pStyle w:val="14"/>
        <w:jc w:val="center"/>
      </w:pPr>
      <w:r>
        <w:t>表</w:t>
      </w:r>
      <w:r>
        <w:rPr>
          <w:rFonts w:hint="eastAsia"/>
        </w:rPr>
        <w:t>2 微生物指标</w:t>
      </w:r>
    </w:p>
    <w:tbl>
      <w:tblPr>
        <w:tblStyle w:val="8"/>
        <w:tblW w:w="8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8"/>
        <w:gridCol w:w="2623"/>
        <w:gridCol w:w="3105"/>
      </w:tblGrid>
      <w:tr w14:paraId="7E14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8" w:type="dxa"/>
            <w:tcBorders>
              <w:top w:val="single" w:color="auto" w:sz="8" w:space="0"/>
              <w:bottom w:val="single" w:color="auto" w:sz="8" w:space="0"/>
            </w:tcBorders>
            <w:vAlign w:val="center"/>
          </w:tcPr>
          <w:p w14:paraId="39D6AD5A">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项目</w:t>
            </w:r>
          </w:p>
        </w:tc>
        <w:tc>
          <w:tcPr>
            <w:tcW w:w="2623" w:type="dxa"/>
            <w:tcBorders>
              <w:top w:val="single" w:color="auto" w:sz="8" w:space="0"/>
              <w:bottom w:val="single" w:color="auto" w:sz="8" w:space="0"/>
            </w:tcBorders>
            <w:vAlign w:val="center"/>
          </w:tcPr>
          <w:p w14:paraId="3AE5D2CF">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一般指标要求</w:t>
            </w:r>
          </w:p>
        </w:tc>
        <w:tc>
          <w:tcPr>
            <w:tcW w:w="3105" w:type="dxa"/>
            <w:tcBorders>
              <w:top w:val="single" w:color="auto" w:sz="8" w:space="0"/>
              <w:bottom w:val="single" w:color="auto" w:sz="8" w:space="0"/>
            </w:tcBorders>
            <w:vAlign w:val="center"/>
          </w:tcPr>
          <w:p w14:paraId="0BF272F9">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特殊指标要求（与眼或黏膜接触时）</w:t>
            </w:r>
          </w:p>
        </w:tc>
      </w:tr>
      <w:tr w14:paraId="6BF2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8" w:type="dxa"/>
            <w:tcBorders>
              <w:top w:val="single" w:color="auto" w:sz="8" w:space="0"/>
            </w:tcBorders>
            <w:vAlign w:val="center"/>
          </w:tcPr>
          <w:p w14:paraId="2224F3D1">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细菌菌落总数</w:t>
            </w:r>
          </w:p>
        </w:tc>
        <w:tc>
          <w:tcPr>
            <w:tcW w:w="2623" w:type="dxa"/>
            <w:tcBorders>
              <w:top w:val="single" w:color="auto" w:sz="8" w:space="0"/>
            </w:tcBorders>
            <w:vAlign w:val="center"/>
          </w:tcPr>
          <w:p w14:paraId="1B17E19F">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≤200 CFU/g</w:t>
            </w:r>
          </w:p>
        </w:tc>
        <w:tc>
          <w:tcPr>
            <w:tcW w:w="3105" w:type="dxa"/>
            <w:tcBorders>
              <w:top w:val="single" w:color="auto" w:sz="8" w:space="0"/>
            </w:tcBorders>
            <w:vAlign w:val="center"/>
          </w:tcPr>
          <w:p w14:paraId="6826991C">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≤20 CFU/g</w:t>
            </w:r>
          </w:p>
        </w:tc>
      </w:tr>
      <w:tr w14:paraId="3516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8" w:type="dxa"/>
            <w:tcBorders>
              <w:top w:val="single" w:color="auto" w:sz="4" w:space="0"/>
              <w:bottom w:val="single" w:color="auto" w:sz="8" w:space="0"/>
            </w:tcBorders>
            <w:vAlign w:val="center"/>
          </w:tcPr>
          <w:p w14:paraId="633CCAA1">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真菌菌落总数</w:t>
            </w:r>
          </w:p>
        </w:tc>
        <w:tc>
          <w:tcPr>
            <w:tcW w:w="2623" w:type="dxa"/>
            <w:tcBorders>
              <w:top w:val="single" w:color="auto" w:sz="4" w:space="0"/>
              <w:bottom w:val="single" w:color="auto" w:sz="8" w:space="0"/>
            </w:tcBorders>
            <w:vAlign w:val="center"/>
          </w:tcPr>
          <w:p w14:paraId="7C6CBFF4">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≤100 CFU/g</w:t>
            </w:r>
          </w:p>
        </w:tc>
        <w:tc>
          <w:tcPr>
            <w:tcW w:w="3105" w:type="dxa"/>
            <w:tcBorders>
              <w:bottom w:val="single" w:color="auto" w:sz="8" w:space="0"/>
            </w:tcBorders>
            <w:vAlign w:val="center"/>
          </w:tcPr>
          <w:p w14:paraId="468F5CFD">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不应检出</w:t>
            </w:r>
          </w:p>
        </w:tc>
      </w:tr>
      <w:tr w14:paraId="25CD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8" w:type="dxa"/>
            <w:tcBorders>
              <w:top w:val="single" w:color="auto" w:sz="4" w:space="0"/>
              <w:bottom w:val="single" w:color="auto" w:sz="4" w:space="0"/>
            </w:tcBorders>
            <w:vAlign w:val="center"/>
          </w:tcPr>
          <w:p w14:paraId="6C0C1E39">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大肠菌群</w:t>
            </w:r>
          </w:p>
        </w:tc>
        <w:tc>
          <w:tcPr>
            <w:tcW w:w="2623" w:type="dxa"/>
            <w:tcBorders>
              <w:top w:val="single" w:color="auto" w:sz="4" w:space="0"/>
              <w:bottom w:val="single" w:color="auto" w:sz="4" w:space="0"/>
            </w:tcBorders>
            <w:vAlign w:val="center"/>
          </w:tcPr>
          <w:p w14:paraId="6BA92D56">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不应检出</w:t>
            </w:r>
          </w:p>
        </w:tc>
        <w:tc>
          <w:tcPr>
            <w:tcW w:w="3105" w:type="dxa"/>
            <w:tcBorders>
              <w:top w:val="single" w:color="auto" w:sz="4" w:space="0"/>
              <w:bottom w:val="single" w:color="auto" w:sz="4" w:space="0"/>
            </w:tcBorders>
            <w:shd w:val="clear" w:color="auto" w:fill="auto"/>
            <w:vAlign w:val="center"/>
          </w:tcPr>
          <w:p w14:paraId="3B34D9D9">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不应检出</w:t>
            </w:r>
          </w:p>
        </w:tc>
      </w:tr>
      <w:tr w14:paraId="4A80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8" w:type="dxa"/>
            <w:tcBorders>
              <w:top w:val="single" w:color="auto" w:sz="4" w:space="0"/>
              <w:bottom w:val="single" w:color="auto" w:sz="4" w:space="0"/>
            </w:tcBorders>
            <w:vAlign w:val="center"/>
          </w:tcPr>
          <w:p w14:paraId="041126C0">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金黄色葡萄球菌</w:t>
            </w:r>
          </w:p>
        </w:tc>
        <w:tc>
          <w:tcPr>
            <w:tcW w:w="2623" w:type="dxa"/>
            <w:tcBorders>
              <w:top w:val="single" w:color="auto" w:sz="4" w:space="0"/>
              <w:bottom w:val="single" w:color="auto" w:sz="4" w:space="0"/>
            </w:tcBorders>
            <w:vAlign w:val="center"/>
          </w:tcPr>
          <w:p w14:paraId="15B312B2">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不应检出</w:t>
            </w:r>
          </w:p>
        </w:tc>
        <w:tc>
          <w:tcPr>
            <w:tcW w:w="3105" w:type="dxa"/>
            <w:tcBorders>
              <w:top w:val="single" w:color="auto" w:sz="4" w:space="0"/>
              <w:bottom w:val="single" w:color="auto" w:sz="4" w:space="0"/>
            </w:tcBorders>
            <w:shd w:val="clear" w:color="auto" w:fill="auto"/>
            <w:vAlign w:val="center"/>
          </w:tcPr>
          <w:p w14:paraId="7EE07B2A">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不应检出</w:t>
            </w:r>
          </w:p>
        </w:tc>
      </w:tr>
      <w:tr w14:paraId="4BE4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8" w:type="dxa"/>
            <w:tcBorders>
              <w:top w:val="single" w:color="auto" w:sz="4" w:space="0"/>
              <w:bottom w:val="single" w:color="auto" w:sz="4" w:space="0"/>
            </w:tcBorders>
            <w:vAlign w:val="center"/>
          </w:tcPr>
          <w:p w14:paraId="74DD4C31">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铜绿假单胞菌</w:t>
            </w:r>
          </w:p>
        </w:tc>
        <w:tc>
          <w:tcPr>
            <w:tcW w:w="2623" w:type="dxa"/>
            <w:tcBorders>
              <w:top w:val="single" w:color="auto" w:sz="4" w:space="0"/>
              <w:bottom w:val="single" w:color="auto" w:sz="4" w:space="0"/>
            </w:tcBorders>
            <w:vAlign w:val="center"/>
          </w:tcPr>
          <w:p w14:paraId="103EDB21">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不应检出</w:t>
            </w:r>
          </w:p>
        </w:tc>
        <w:tc>
          <w:tcPr>
            <w:tcW w:w="3105" w:type="dxa"/>
            <w:tcBorders>
              <w:top w:val="single" w:color="auto" w:sz="4" w:space="0"/>
              <w:bottom w:val="single" w:color="auto" w:sz="4" w:space="0"/>
            </w:tcBorders>
            <w:shd w:val="clear" w:color="auto" w:fill="auto"/>
            <w:vAlign w:val="center"/>
          </w:tcPr>
          <w:p w14:paraId="2C5FBE36">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不应检出</w:t>
            </w:r>
          </w:p>
        </w:tc>
      </w:tr>
      <w:tr w14:paraId="36B9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8" w:type="dxa"/>
            <w:tcBorders>
              <w:top w:val="single" w:color="auto" w:sz="4" w:space="0"/>
              <w:bottom w:val="single" w:color="auto" w:sz="4" w:space="0"/>
            </w:tcBorders>
            <w:vAlign w:val="center"/>
          </w:tcPr>
          <w:p w14:paraId="76CAD30C">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溶血性链球菌</w:t>
            </w:r>
          </w:p>
        </w:tc>
        <w:tc>
          <w:tcPr>
            <w:tcW w:w="2623" w:type="dxa"/>
            <w:tcBorders>
              <w:top w:val="single" w:color="auto" w:sz="4" w:space="0"/>
              <w:bottom w:val="single" w:color="auto" w:sz="4" w:space="0"/>
            </w:tcBorders>
            <w:vAlign w:val="center"/>
          </w:tcPr>
          <w:p w14:paraId="4147E441">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不应检出</w:t>
            </w:r>
          </w:p>
        </w:tc>
        <w:tc>
          <w:tcPr>
            <w:tcW w:w="3105" w:type="dxa"/>
            <w:tcBorders>
              <w:top w:val="single" w:color="auto" w:sz="4" w:space="0"/>
              <w:bottom w:val="single" w:color="auto" w:sz="4" w:space="0"/>
            </w:tcBorders>
            <w:shd w:val="clear" w:color="auto" w:fill="auto"/>
            <w:vAlign w:val="center"/>
          </w:tcPr>
          <w:p w14:paraId="009AC9F9">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不应检出</w:t>
            </w:r>
          </w:p>
        </w:tc>
      </w:tr>
    </w:tbl>
    <w:p w14:paraId="738C931E">
      <w:pPr>
        <w:pStyle w:val="14"/>
        <w:ind w:firstLine="0" w:firstLineChars="0"/>
      </w:pPr>
    </w:p>
    <w:p w14:paraId="69A346FE">
      <w:pPr>
        <w:pStyle w:val="13"/>
        <w:spacing w:before="312" w:after="312"/>
      </w:pPr>
      <w:r>
        <w:rPr>
          <w:rFonts w:hint="eastAsia"/>
        </w:rPr>
        <w:t>5</w:t>
      </w:r>
      <w:r>
        <w:t>.</w:t>
      </w:r>
      <w:r>
        <w:rPr>
          <w:rFonts w:hint="eastAsia"/>
        </w:rPr>
        <w:t>8</w:t>
      </w:r>
      <w:r>
        <w:t xml:space="preserve"> 有害物质残留要求</w:t>
      </w:r>
    </w:p>
    <w:p w14:paraId="0FC9DDDB">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8</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1</w:t>
      </w:r>
      <w:r>
        <w:rPr>
          <w:rFonts w:ascii="宋体" w:eastAsia="宋体"/>
          <w:szCs w:val="20"/>
        </w:rPr>
        <w:t xml:space="preserve"> 环氧乙烷残留量（适用于环氧乙烷灭菌产品）：</w:t>
      </w:r>
      <w:r>
        <w:rPr>
          <w:rFonts w:hint="eastAsia" w:ascii="宋体" w:eastAsia="宋体"/>
          <w:szCs w:val="20"/>
        </w:rPr>
        <w:t xml:space="preserve">经环氧乙烷灭菌的医用指套,其环氧乙烷残留量应不大于10 </w:t>
      </w:r>
      <w:r>
        <w:rPr>
          <w:rFonts w:ascii="宋体" w:eastAsia="宋体"/>
          <w:szCs w:val="20"/>
        </w:rPr>
        <w:t>μ</w:t>
      </w:r>
      <w:r>
        <w:rPr>
          <w:rFonts w:hint="eastAsia" w:ascii="宋体" w:eastAsia="宋体"/>
          <w:szCs w:val="20"/>
        </w:rPr>
        <w:t>g/cm</w:t>
      </w:r>
      <w:r>
        <w:rPr>
          <w:rFonts w:hint="eastAsia" w:ascii="宋体" w:eastAsia="宋体"/>
          <w:szCs w:val="20"/>
          <w:vertAlign w:val="superscript"/>
        </w:rPr>
        <w:t>2</w:t>
      </w:r>
      <w:r>
        <w:rPr>
          <w:rFonts w:hint="eastAsia" w:ascii="宋体" w:eastAsia="宋体"/>
          <w:szCs w:val="20"/>
        </w:rPr>
        <w:t>。</w:t>
      </w:r>
    </w:p>
    <w:p w14:paraId="605C80C2">
      <w:pPr>
        <w:pStyle w:val="17"/>
        <w:spacing w:before="156" w:after="156"/>
        <w:rPr>
          <w:rFonts w:ascii="宋体" w:eastAsia="宋体"/>
          <w:szCs w:val="20"/>
        </w:rPr>
      </w:pPr>
      <w:r>
        <w:rPr>
          <w:rFonts w:hint="eastAsia" w:asciiTheme="minorHAnsi" w:hAnsiTheme="minorHAnsi" w:eastAsiaTheme="minorEastAsia" w:cstheme="minorBidi"/>
          <w:kern w:val="2"/>
          <w:szCs w:val="22"/>
        </w:rPr>
        <w:t>5.8.2</w:t>
      </w:r>
      <w:r>
        <w:rPr>
          <w:rFonts w:hint="eastAsia" w:ascii="宋体" w:eastAsia="宋体"/>
          <w:szCs w:val="20"/>
        </w:rPr>
        <w:t xml:space="preserve"> 荧光增白剂：在波长 365 nm 紫外光下观察，不应有明显荧光。</w:t>
      </w:r>
    </w:p>
    <w:p w14:paraId="38E27DA4">
      <w:pPr>
        <w:pStyle w:val="14"/>
        <w:ind w:firstLine="0" w:firstLineChars="0"/>
      </w:pPr>
      <w:r>
        <w:rPr>
          <w:rFonts w:hint="eastAsia" w:asciiTheme="minorHAnsi" w:hAnsiTheme="minorHAnsi" w:eastAsiaTheme="minorEastAsia" w:cstheme="minorBidi"/>
          <w:kern w:val="2"/>
          <w:szCs w:val="22"/>
        </w:rPr>
        <w:t>5.8.3</w:t>
      </w:r>
      <w:r>
        <w:rPr>
          <w:rFonts w:hint="eastAsia"/>
        </w:rPr>
        <w:t xml:space="preserve"> 天然橡胶胶乳水抽提蛋白质限量：含量应不大于200 </w:t>
      </w:r>
      <w:r>
        <w:t>μg</w:t>
      </w:r>
      <w:r>
        <w:rPr>
          <w:rFonts w:hint="eastAsia"/>
        </w:rPr>
        <w:t>/dm</w:t>
      </w:r>
      <w:r>
        <w:rPr>
          <w:rFonts w:hint="eastAsia"/>
          <w:vertAlign w:val="superscript"/>
        </w:rPr>
        <w:t>2</w:t>
      </w:r>
      <w:r>
        <w:rPr>
          <w:rFonts w:hint="eastAsia"/>
        </w:rPr>
        <w:t xml:space="preserve"> 。</w:t>
      </w:r>
    </w:p>
    <w:p w14:paraId="6007FCB9">
      <w:pPr>
        <w:pStyle w:val="13"/>
        <w:spacing w:before="312" w:after="312"/>
      </w:pPr>
      <w:r>
        <w:rPr>
          <w:rFonts w:hint="eastAsia"/>
        </w:rPr>
        <w:t>5</w:t>
      </w:r>
      <w:r>
        <w:t>.</w:t>
      </w:r>
      <w:r>
        <w:rPr>
          <w:rFonts w:hint="eastAsia"/>
        </w:rPr>
        <w:t>9</w:t>
      </w:r>
      <w:r>
        <w:t xml:space="preserve"> 生物学评价要求</w:t>
      </w:r>
    </w:p>
    <w:p w14:paraId="1E3A4B9A">
      <w:pPr>
        <w:pStyle w:val="17"/>
        <w:spacing w:before="156" w:after="156"/>
        <w:rPr>
          <w:rFonts w:ascii="宋体" w:eastAsia="宋体"/>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9</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1</w:t>
      </w:r>
      <w:r>
        <w:rPr>
          <w:rFonts w:ascii="宋体" w:eastAsia="宋体"/>
          <w:szCs w:val="20"/>
        </w:rPr>
        <w:t xml:space="preserve"> </w:t>
      </w:r>
      <w:r>
        <w:rPr>
          <w:rFonts w:hint="eastAsia" w:ascii="宋体" w:eastAsia="宋体"/>
          <w:szCs w:val="20"/>
        </w:rPr>
        <w:t>刺激：应符合</w:t>
      </w:r>
      <w:r>
        <w:rPr>
          <w:rFonts w:ascii="宋体" w:eastAsia="宋体"/>
          <w:szCs w:val="20"/>
        </w:rPr>
        <w:t xml:space="preserve"> GB/T 16886.</w:t>
      </w:r>
      <w:r>
        <w:rPr>
          <w:rFonts w:hint="eastAsia" w:ascii="宋体" w:eastAsia="宋体"/>
          <w:szCs w:val="20"/>
        </w:rPr>
        <w:t>23</w:t>
      </w:r>
      <w:r>
        <w:rPr>
          <w:rFonts w:ascii="宋体" w:eastAsia="宋体"/>
          <w:szCs w:val="20"/>
        </w:rPr>
        <w:t xml:space="preserve"> </w:t>
      </w:r>
      <w:r>
        <w:rPr>
          <w:rFonts w:hint="eastAsia" w:ascii="宋体" w:eastAsia="宋体"/>
          <w:szCs w:val="20"/>
        </w:rPr>
        <w:t>中无刺激反应或极轻微刺激反应的要求。</w:t>
      </w:r>
      <w:r>
        <w:rPr>
          <w:rFonts w:hint="eastAsia" w:ascii="MS Gothic" w:hAnsi="MS Gothic" w:eastAsia="MS Gothic" w:cs="MS Gothic"/>
          <w:szCs w:val="20"/>
        </w:rPr>
        <w:t>​</w:t>
      </w:r>
    </w:p>
    <w:p w14:paraId="2112AF9B">
      <w:pPr>
        <w:pStyle w:val="17"/>
        <w:spacing w:before="156" w:after="156"/>
        <w:rPr>
          <w:rFonts w:ascii="MS Gothic" w:hAnsi="MS Gothic" w:cs="MS Gothic" w:eastAsiaTheme="minorEastAsia"/>
          <w:szCs w:val="20"/>
        </w:rPr>
      </w:pP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9</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2</w:t>
      </w:r>
      <w:r>
        <w:rPr>
          <w:rFonts w:ascii="宋体" w:eastAsia="宋体"/>
          <w:szCs w:val="20"/>
        </w:rPr>
        <w:t xml:space="preserve"> 皮肤致敏</w:t>
      </w:r>
      <w:r>
        <w:rPr>
          <w:rFonts w:hint="eastAsia" w:ascii="宋体" w:eastAsia="宋体"/>
          <w:szCs w:val="20"/>
        </w:rPr>
        <w:t>：应符合</w:t>
      </w:r>
      <w:r>
        <w:rPr>
          <w:rFonts w:ascii="宋体" w:eastAsia="宋体"/>
          <w:szCs w:val="20"/>
        </w:rPr>
        <w:t xml:space="preserve"> GB/T 16886.10 </w:t>
      </w:r>
      <w:r>
        <w:rPr>
          <w:rFonts w:hint="eastAsia" w:ascii="宋体" w:eastAsia="宋体"/>
          <w:szCs w:val="20"/>
        </w:rPr>
        <w:t>中无致敏性的要求。</w:t>
      </w:r>
      <w:r>
        <w:rPr>
          <w:rFonts w:hint="eastAsia" w:ascii="MS Gothic" w:hAnsi="MS Gothic" w:eastAsia="MS Gothic" w:cs="MS Gothic"/>
          <w:szCs w:val="20"/>
        </w:rPr>
        <w:t>​</w:t>
      </w:r>
    </w:p>
    <w:p w14:paraId="3B803B5E">
      <w:pPr>
        <w:pStyle w:val="14"/>
        <w:ind w:firstLine="0" w:firstLineChars="0"/>
      </w:pPr>
      <w:r>
        <w:rPr>
          <w:rFonts w:ascii="Calibri" w:hAnsi="Calibri" w:cs="Calibri"/>
        </w:rPr>
        <w:t>5.</w:t>
      </w:r>
      <w:r>
        <w:rPr>
          <w:rFonts w:hint="eastAsia" w:ascii="Calibri" w:hAnsi="Calibri" w:cs="Calibri"/>
        </w:rPr>
        <w:t>9.3 接触指定身体部位的生物学评价试验：根据产品使用时指定的接触部位（如眼、黏膜等），应按照</w:t>
      </w:r>
      <w:r>
        <w:t>GB/T 16886</w:t>
      </w:r>
      <w:r>
        <w:rPr>
          <w:rFonts w:hint="eastAsia"/>
        </w:rPr>
        <w:t>.23中的要求，做对应部位的刺激实验。</w:t>
      </w:r>
    </w:p>
    <w:p w14:paraId="0F79493B">
      <w:pPr>
        <w:pStyle w:val="13"/>
        <w:spacing w:before="312" w:after="312"/>
      </w:pPr>
      <w:r>
        <w:rPr>
          <w:rFonts w:hint="eastAsia"/>
        </w:rPr>
        <w:t>5</w:t>
      </w:r>
      <w:r>
        <w:t>.</w:t>
      </w:r>
      <w:r>
        <w:rPr>
          <w:rFonts w:hint="eastAsia"/>
        </w:rPr>
        <w:t>10</w:t>
      </w:r>
      <w:r>
        <w:t xml:space="preserve"> 穿戴性能要求</w:t>
      </w:r>
    </w:p>
    <w:p w14:paraId="62E8063E">
      <w:pPr>
        <w:pStyle w:val="17"/>
        <w:spacing w:before="156" w:after="156"/>
        <w:ind w:firstLine="420" w:firstLineChars="200"/>
        <w:rPr>
          <w:rFonts w:ascii="宋体" w:eastAsia="宋体"/>
          <w:szCs w:val="20"/>
        </w:rPr>
      </w:pPr>
      <w:r>
        <w:rPr>
          <w:rFonts w:hint="eastAsia" w:ascii="宋体" w:eastAsia="宋体"/>
          <w:szCs w:val="20"/>
        </w:rPr>
        <w:t>指套穿戴应方便、舒适，穿戴时间≤5 s/只，不应有过紧、过松或易滑脱的现象；穿戴过程中不应出现撕裂、破损等情况，手指无明显压迫痕迹。</w:t>
      </w:r>
    </w:p>
    <w:p w14:paraId="6BF6E9E1">
      <w:pPr>
        <w:pStyle w:val="13"/>
        <w:spacing w:before="312" w:after="312"/>
      </w:pPr>
      <w:r>
        <w:rPr>
          <w:rFonts w:hint="eastAsia"/>
        </w:rPr>
        <w:t>6</w:t>
      </w:r>
      <w:r>
        <w:t xml:space="preserve"> 试验方法</w:t>
      </w:r>
    </w:p>
    <w:p w14:paraId="3050675F">
      <w:pPr>
        <w:pStyle w:val="13"/>
        <w:spacing w:before="312" w:after="312"/>
      </w:pPr>
      <w:r>
        <w:rPr>
          <w:rFonts w:hint="eastAsia"/>
        </w:rPr>
        <w:t>6</w:t>
      </w:r>
      <w:r>
        <w:t>.1 原材料检验</w:t>
      </w:r>
    </w:p>
    <w:p w14:paraId="179A634F">
      <w:pPr>
        <w:pStyle w:val="17"/>
        <w:spacing w:before="156" w:after="156"/>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对使用的原材料进行验收，必要时进行抽样检验，确保其符合医用级要求。</w:t>
      </w:r>
    </w:p>
    <w:p w14:paraId="10B2A591">
      <w:pPr>
        <w:pStyle w:val="13"/>
        <w:spacing w:before="312" w:after="312"/>
      </w:pPr>
      <w:r>
        <w:rPr>
          <w:rFonts w:hint="eastAsia"/>
        </w:rPr>
        <w:t>6</w:t>
      </w:r>
      <w:r>
        <w:t>.2 外观检验</w:t>
      </w:r>
    </w:p>
    <w:p w14:paraId="4E80BA10">
      <w:pPr>
        <w:pStyle w:val="17"/>
        <w:spacing w:before="156" w:after="156"/>
        <w:rPr>
          <w:rFonts w:ascii="宋体" w:eastAsia="宋体"/>
          <w:szCs w:val="20"/>
        </w:rPr>
      </w:pPr>
      <w:r>
        <w:rPr>
          <w:rFonts w:ascii="宋体" w:eastAsia="宋体"/>
          <w:szCs w:val="20"/>
        </w:rPr>
        <w:t>在自然光或 40</w:t>
      </w:r>
      <w:r>
        <w:rPr>
          <w:rFonts w:hint="eastAsia" w:ascii="宋体" w:eastAsia="宋体"/>
          <w:szCs w:val="20"/>
        </w:rPr>
        <w:t xml:space="preserve"> </w:t>
      </w:r>
      <w:r>
        <w:rPr>
          <w:rFonts w:ascii="宋体" w:eastAsia="宋体"/>
          <w:szCs w:val="20"/>
        </w:rPr>
        <w:t xml:space="preserve">W 日光灯下，距离样品 </w:t>
      </w:r>
      <w:r>
        <w:rPr>
          <w:rFonts w:hint="eastAsia" w:ascii="宋体" w:eastAsia="宋体"/>
          <w:szCs w:val="20"/>
        </w:rPr>
        <w:t>（</w:t>
      </w:r>
      <w:r>
        <w:rPr>
          <w:rFonts w:ascii="宋体" w:eastAsia="宋体"/>
          <w:szCs w:val="20"/>
        </w:rPr>
        <w:t>30</w:t>
      </w:r>
      <w:r>
        <w:rPr>
          <w:rFonts w:hint="eastAsia" w:ascii="宋体" w:hAnsi="宋体" w:eastAsia="宋体"/>
          <w:szCs w:val="20"/>
        </w:rPr>
        <w:t>～</w:t>
      </w:r>
      <w:r>
        <w:rPr>
          <w:rFonts w:ascii="宋体" w:eastAsia="宋体"/>
          <w:szCs w:val="20"/>
        </w:rPr>
        <w:t>50</w:t>
      </w:r>
      <w:r>
        <w:rPr>
          <w:rFonts w:hint="eastAsia" w:ascii="宋体" w:eastAsia="宋体"/>
          <w:szCs w:val="20"/>
        </w:rPr>
        <w:t>）</w:t>
      </w:r>
      <w:r>
        <w:rPr>
          <w:rFonts w:ascii="宋体" w:eastAsia="宋体"/>
          <w:szCs w:val="20"/>
        </w:rPr>
        <w:t>cm 处，用肉眼观察指套的外观、颜色、开口边缘、粉末分布等情况，记录是否存在缺陷。</w:t>
      </w:r>
    </w:p>
    <w:p w14:paraId="0CC8033A">
      <w:pPr>
        <w:pStyle w:val="13"/>
        <w:spacing w:before="312" w:after="312"/>
      </w:pPr>
      <w:r>
        <w:rPr>
          <w:rFonts w:hint="eastAsia"/>
        </w:rPr>
        <w:t>6</w:t>
      </w:r>
      <w:r>
        <w:t>.3 尺寸测量</w:t>
      </w:r>
    </w:p>
    <w:p w14:paraId="476C3D85">
      <w:pPr>
        <w:pStyle w:val="17"/>
        <w:spacing w:before="156" w:after="156"/>
        <w:rPr>
          <w:rFonts w:ascii="宋体" w:eastAsia="宋体"/>
          <w:szCs w:val="20"/>
        </w:rPr>
      </w:pPr>
      <w:r>
        <w:rPr>
          <w:rFonts w:hint="eastAsia" w:asciiTheme="minorHAnsi" w:hAnsiTheme="minorHAnsi" w:eastAsiaTheme="minorEastAsia" w:cstheme="minorBidi"/>
          <w:kern w:val="2"/>
          <w:szCs w:val="22"/>
        </w:rPr>
        <w:t>6</w:t>
      </w:r>
      <w:r>
        <w:rPr>
          <w:rFonts w:asciiTheme="minorHAnsi" w:hAnsiTheme="minorHAnsi" w:eastAsiaTheme="minorEastAsia" w:cstheme="minorBidi"/>
          <w:kern w:val="2"/>
          <w:szCs w:val="22"/>
        </w:rPr>
        <w:t>.3.1</w:t>
      </w:r>
      <w:r>
        <w:rPr>
          <w:rFonts w:ascii="宋体" w:eastAsia="宋体"/>
          <w:szCs w:val="20"/>
        </w:rPr>
        <w:t xml:space="preserve"> </w:t>
      </w:r>
      <w:r>
        <w:rPr>
          <w:rFonts w:hint="eastAsia" w:ascii="宋体" w:eastAsia="宋体"/>
          <w:szCs w:val="20"/>
        </w:rPr>
        <w:t>长度测量：用精度为</w:t>
      </w:r>
      <w:r>
        <w:rPr>
          <w:rFonts w:ascii="宋体" w:eastAsia="宋体"/>
          <w:szCs w:val="20"/>
        </w:rPr>
        <w:t xml:space="preserve"> </w:t>
      </w:r>
      <w:r>
        <w:rPr>
          <w:rFonts w:hint="eastAsia" w:ascii="宋体" w:eastAsia="宋体"/>
          <w:szCs w:val="20"/>
        </w:rPr>
        <w:t xml:space="preserve">1 </w:t>
      </w:r>
      <w:r>
        <w:rPr>
          <w:rFonts w:ascii="宋体" w:eastAsia="宋体"/>
          <w:szCs w:val="20"/>
        </w:rPr>
        <w:t xml:space="preserve">mm </w:t>
      </w:r>
      <w:r>
        <w:rPr>
          <w:rFonts w:hint="eastAsia" w:ascii="宋体" w:eastAsia="宋体"/>
          <w:szCs w:val="20"/>
        </w:rPr>
        <w:t>的直尺，从指套开口边缘到指尖的最短距离。</w:t>
      </w:r>
    </w:p>
    <w:p w14:paraId="3C7DB72C">
      <w:pPr>
        <w:pStyle w:val="17"/>
        <w:spacing w:before="156" w:after="156"/>
        <w:rPr>
          <w:rFonts w:ascii="宋体" w:eastAsiaTheme="minorEastAsia"/>
          <w:szCs w:val="20"/>
        </w:rPr>
      </w:pPr>
      <w:r>
        <w:rPr>
          <w:rFonts w:hint="eastAsia" w:asciiTheme="minorHAnsi" w:hAnsiTheme="minorHAnsi" w:eastAsiaTheme="minorEastAsia" w:cstheme="minorBidi"/>
          <w:kern w:val="2"/>
          <w:szCs w:val="22"/>
        </w:rPr>
        <w:t>6.3.2</w:t>
      </w:r>
      <w:r>
        <w:rPr>
          <w:rFonts w:hint="eastAsia" w:ascii="MS Gothic" w:hAnsi="MS Gothic" w:eastAsia="MS Gothic" w:cs="MS Gothic"/>
          <w:szCs w:val="20"/>
        </w:rPr>
        <w:t>​</w:t>
      </w:r>
      <w:r>
        <w:rPr>
          <w:rFonts w:hint="eastAsia" w:ascii="MS Gothic" w:hAnsi="MS Gothic" w:cs="MS Gothic" w:eastAsiaTheme="minorEastAsia"/>
          <w:szCs w:val="20"/>
        </w:rPr>
        <w:t xml:space="preserve"> 宽度测量：用精度为0.5 mm的直尺，在距开口端20 mm处测量宽度。</w:t>
      </w:r>
    </w:p>
    <w:p w14:paraId="43C69991">
      <w:pPr>
        <w:pStyle w:val="17"/>
        <w:spacing w:before="156" w:after="156"/>
        <w:rPr>
          <w:rFonts w:ascii="宋体" w:eastAsia="宋体"/>
          <w:szCs w:val="20"/>
        </w:rPr>
      </w:pPr>
      <w:r>
        <w:rPr>
          <w:rFonts w:hint="eastAsia" w:asciiTheme="minorHAnsi" w:hAnsiTheme="minorHAnsi" w:eastAsiaTheme="minorEastAsia" w:cstheme="minorBidi"/>
          <w:kern w:val="2"/>
          <w:szCs w:val="22"/>
        </w:rPr>
        <w:t>6</w:t>
      </w:r>
      <w:r>
        <w:rPr>
          <w:rFonts w:asciiTheme="minorHAnsi" w:hAnsiTheme="minorHAnsi" w:eastAsiaTheme="minorEastAsia" w:cstheme="minorBidi"/>
          <w:kern w:val="2"/>
          <w:szCs w:val="22"/>
        </w:rPr>
        <w:t>.3.</w:t>
      </w:r>
      <w:r>
        <w:rPr>
          <w:rFonts w:hint="eastAsia" w:asciiTheme="minorHAnsi" w:hAnsiTheme="minorHAnsi" w:eastAsiaTheme="minorEastAsia" w:cstheme="minorBidi"/>
          <w:kern w:val="2"/>
          <w:szCs w:val="22"/>
        </w:rPr>
        <w:t>3</w:t>
      </w:r>
      <w:r>
        <w:rPr>
          <w:rFonts w:ascii="宋体" w:eastAsia="宋体"/>
          <w:szCs w:val="20"/>
        </w:rPr>
        <w:t xml:space="preserve"> </w:t>
      </w:r>
      <w:r>
        <w:rPr>
          <w:rFonts w:hint="eastAsia" w:ascii="宋体" w:eastAsia="宋体"/>
          <w:szCs w:val="20"/>
        </w:rPr>
        <w:t>厚度测量：用精度为</w:t>
      </w:r>
      <w:r>
        <w:rPr>
          <w:rFonts w:ascii="宋体" w:eastAsia="宋体"/>
          <w:szCs w:val="20"/>
        </w:rPr>
        <w:t xml:space="preserve"> 0.001</w:t>
      </w:r>
      <w:r>
        <w:rPr>
          <w:rFonts w:hint="eastAsia" w:ascii="宋体" w:eastAsia="宋体"/>
          <w:szCs w:val="20"/>
        </w:rPr>
        <w:t xml:space="preserve"> </w:t>
      </w:r>
      <w:r>
        <w:rPr>
          <w:rFonts w:ascii="宋体" w:eastAsia="宋体"/>
          <w:szCs w:val="20"/>
        </w:rPr>
        <w:t xml:space="preserve">mm </w:t>
      </w:r>
      <w:r>
        <w:rPr>
          <w:rFonts w:hint="eastAsia" w:ascii="宋体" w:eastAsia="宋体"/>
          <w:szCs w:val="20"/>
        </w:rPr>
        <w:t>的厚度计，测试压力为（22±5）kPa，建议检测直径处于3mm</w:t>
      </w:r>
      <w:r>
        <w:rPr>
          <w:rFonts w:hint="eastAsia" w:ascii="宋体" w:hAnsi="宋体" w:eastAsia="宋体"/>
          <w:szCs w:val="20"/>
        </w:rPr>
        <w:t>～</w:t>
      </w:r>
      <w:r>
        <w:rPr>
          <w:rFonts w:hint="eastAsia" w:ascii="宋体" w:eastAsia="宋体"/>
          <w:szCs w:val="20"/>
        </w:rPr>
        <w:t>10mm之间。在指套中段侧壁均匀选取</w:t>
      </w:r>
      <w:r>
        <w:rPr>
          <w:rFonts w:ascii="宋体" w:eastAsia="宋体"/>
          <w:szCs w:val="20"/>
        </w:rPr>
        <w:t xml:space="preserve"> 3 </w:t>
      </w:r>
      <w:r>
        <w:rPr>
          <w:rFonts w:hint="eastAsia" w:ascii="宋体" w:eastAsia="宋体"/>
          <w:szCs w:val="20"/>
        </w:rPr>
        <w:t>个点进行测量，取平均值。</w:t>
      </w:r>
    </w:p>
    <w:p w14:paraId="6EC5F10E">
      <w:pPr>
        <w:pStyle w:val="13"/>
        <w:spacing w:before="312" w:after="312"/>
      </w:pPr>
      <w:r>
        <w:rPr>
          <w:rFonts w:hint="eastAsia"/>
        </w:rPr>
        <w:t>6.4 包装完整性试验</w:t>
      </w:r>
    </w:p>
    <w:p w14:paraId="3243A484">
      <w:pPr>
        <w:spacing w:before="156" w:beforeLines="50" w:after="156" w:afterLines="50"/>
      </w:pPr>
      <w:r>
        <w:rPr>
          <w:rFonts w:hint="eastAsia"/>
        </w:rPr>
        <w:t>6.4.1 单个包装是由一层薄膜或多层柔性薄膜构成，按GB/T 7544 附录N的规定进行，每批产品的接收质量限AQL为2.5，检验水平为特殊检验水平S-3。</w:t>
      </w:r>
    </w:p>
    <w:p w14:paraId="5C9AFB27">
      <w:pPr>
        <w:spacing w:before="156" w:beforeLines="50" w:after="156" w:afterLines="50"/>
      </w:pPr>
      <w:r>
        <w:rPr>
          <w:rFonts w:hint="eastAsia"/>
        </w:rPr>
        <w:t>6.4.2 对于非软性薄膜单个包装的设计，按GB/T 7544 附录N的规定进行，将试验箱抽真空至绝对压力（40±5）kPa。每批产品的接收质量限AQL为2.5，检验水平为特殊检验水平S-3。</w:t>
      </w:r>
    </w:p>
    <w:p w14:paraId="4332473A">
      <w:pPr>
        <w:pStyle w:val="13"/>
        <w:spacing w:before="312" w:after="312"/>
      </w:pPr>
      <w:r>
        <w:rPr>
          <w:rFonts w:hint="eastAsia"/>
        </w:rPr>
        <w:t>6</w:t>
      </w:r>
      <w:r>
        <w:t>.</w:t>
      </w:r>
      <w:r>
        <w:rPr>
          <w:rFonts w:hint="eastAsia"/>
        </w:rPr>
        <w:t>5</w:t>
      </w:r>
      <w:r>
        <w:t xml:space="preserve"> 物理性能试验</w:t>
      </w:r>
    </w:p>
    <w:p w14:paraId="4943AF00">
      <w:pPr>
        <w:pStyle w:val="17"/>
        <w:spacing w:before="156" w:after="156"/>
        <w:rPr>
          <w:rFonts w:ascii="宋体" w:eastAsia="宋体"/>
          <w:szCs w:val="20"/>
        </w:rPr>
      </w:pPr>
      <w:r>
        <w:rPr>
          <w:rFonts w:hint="eastAsia" w:asciiTheme="minorHAnsi" w:hAnsiTheme="minorHAnsi" w:eastAsiaTheme="minorEastAsia" w:cstheme="minorBidi"/>
          <w:kern w:val="2"/>
          <w:szCs w:val="22"/>
        </w:rPr>
        <w:t>6</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.1</w:t>
      </w:r>
      <w:r>
        <w:rPr>
          <w:rFonts w:ascii="宋体" w:eastAsia="宋体"/>
          <w:szCs w:val="20"/>
        </w:rPr>
        <w:t xml:space="preserve"> </w:t>
      </w:r>
      <w:r>
        <w:rPr>
          <w:rFonts w:hint="eastAsia" w:ascii="宋体" w:eastAsia="宋体"/>
          <w:szCs w:val="20"/>
        </w:rPr>
        <w:t>拉伸强度和拉断伸长率：按</w:t>
      </w:r>
      <w:r>
        <w:rPr>
          <w:rFonts w:ascii="宋体" w:eastAsia="宋体"/>
          <w:szCs w:val="20"/>
        </w:rPr>
        <w:t xml:space="preserve"> GB/T 528 </w:t>
      </w:r>
      <w:r>
        <w:rPr>
          <w:rFonts w:hint="eastAsia" w:ascii="宋体" w:eastAsia="宋体"/>
          <w:szCs w:val="20"/>
        </w:rPr>
        <w:t>的规定进行，在指身中部位置沿轴线方向用4型裁刀裁切试片，每个样品测试</w:t>
      </w:r>
      <w:r>
        <w:rPr>
          <w:rFonts w:ascii="宋体" w:eastAsia="宋体"/>
          <w:szCs w:val="20"/>
        </w:rPr>
        <w:t xml:space="preserve"> 3 </w:t>
      </w:r>
      <w:r>
        <w:rPr>
          <w:rFonts w:hint="eastAsia" w:ascii="宋体" w:eastAsia="宋体"/>
          <w:szCs w:val="20"/>
        </w:rPr>
        <w:t>个试样，取平均值。</w:t>
      </w:r>
      <w:r>
        <w:rPr>
          <w:rFonts w:hint="eastAsia" w:ascii="MS Gothic" w:hAnsi="MS Gothic" w:eastAsia="MS Gothic" w:cs="MS Gothic"/>
          <w:szCs w:val="20"/>
        </w:rPr>
        <w:t>​</w:t>
      </w:r>
    </w:p>
    <w:p w14:paraId="170ACAE6">
      <w:pPr>
        <w:pStyle w:val="17"/>
        <w:spacing w:before="156" w:after="156"/>
        <w:rPr>
          <w:rFonts w:ascii="宋体" w:eastAsiaTheme="minorEastAsia"/>
          <w:szCs w:val="20"/>
        </w:rPr>
      </w:pPr>
      <w:r>
        <w:rPr>
          <w:rFonts w:hint="eastAsia" w:asciiTheme="minorHAnsi" w:hAnsiTheme="minorHAnsi" w:eastAsiaTheme="minorEastAsia" w:cstheme="minorBidi"/>
          <w:kern w:val="2"/>
          <w:szCs w:val="22"/>
        </w:rPr>
        <w:t>6</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.2</w:t>
      </w:r>
      <w:r>
        <w:rPr>
          <w:rFonts w:ascii="宋体" w:eastAsia="宋体"/>
          <w:szCs w:val="20"/>
        </w:rPr>
        <w:t xml:space="preserve"> </w:t>
      </w:r>
      <w:r>
        <w:rPr>
          <w:rFonts w:hint="eastAsia" w:ascii="宋体" w:eastAsia="宋体"/>
          <w:szCs w:val="20"/>
        </w:rPr>
        <w:t>不透水性</w:t>
      </w:r>
      <w:r>
        <w:rPr>
          <w:rFonts w:hint="eastAsia" w:ascii="MS Gothic" w:hAnsi="MS Gothic" w:eastAsia="MS Gothic" w:cs="MS Gothic"/>
          <w:szCs w:val="20"/>
        </w:rPr>
        <w:t>​</w:t>
      </w:r>
      <w:r>
        <w:rPr>
          <w:rFonts w:hint="eastAsia" w:ascii="宋体" w:eastAsia="宋体"/>
          <w:szCs w:val="20"/>
        </w:rPr>
        <w:t>：向指套内注入50 mL 清水，观察指套表面是否有渗漏现象，记录渗漏数量。</w:t>
      </w:r>
    </w:p>
    <w:p w14:paraId="34374CEE">
      <w:pPr>
        <w:pStyle w:val="17"/>
        <w:spacing w:before="156" w:after="156"/>
        <w:rPr>
          <w:rFonts w:ascii="宋体" w:eastAsia="宋体"/>
          <w:szCs w:val="20"/>
        </w:rPr>
      </w:pPr>
      <w:r>
        <w:rPr>
          <w:rFonts w:hint="eastAsia" w:asciiTheme="minorHAnsi" w:hAnsiTheme="minorHAnsi" w:eastAsiaTheme="minorEastAsia" w:cstheme="minorBidi"/>
          <w:kern w:val="2"/>
          <w:szCs w:val="22"/>
        </w:rPr>
        <w:t>6</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5</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3</w:t>
      </w:r>
      <w:r>
        <w:rPr>
          <w:rFonts w:asciiTheme="minorHAnsi" w:hAnsiTheme="minorHAnsi" w:eastAsiaTheme="minorEastAsia" w:cstheme="minorBidi"/>
          <w:kern w:val="2"/>
          <w:szCs w:val="22"/>
        </w:rPr>
        <w:t xml:space="preserve"> </w:t>
      </w:r>
      <w:r>
        <w:rPr>
          <w:rFonts w:hint="eastAsia" w:ascii="宋体" w:eastAsia="宋体"/>
          <w:szCs w:val="20"/>
        </w:rPr>
        <w:t>热稳定性试验：按</w:t>
      </w:r>
      <w:r>
        <w:rPr>
          <w:rFonts w:ascii="宋体" w:eastAsia="宋体"/>
          <w:szCs w:val="20"/>
        </w:rPr>
        <w:t xml:space="preserve"> GB/T 3512 </w:t>
      </w:r>
      <w:r>
        <w:rPr>
          <w:rFonts w:hint="eastAsia" w:ascii="宋体" w:eastAsia="宋体"/>
          <w:szCs w:val="20"/>
        </w:rPr>
        <w:t>的规定进行，老化条件：</w:t>
      </w:r>
      <w:r>
        <w:rPr>
          <w:rFonts w:ascii="宋体" w:eastAsia="宋体"/>
          <w:szCs w:val="20"/>
        </w:rPr>
        <w:t>70</w:t>
      </w:r>
      <w:r>
        <w:rPr>
          <w:rFonts w:hint="eastAsia" w:ascii="宋体" w:eastAsia="宋体"/>
          <w:szCs w:val="20"/>
        </w:rPr>
        <w:t>±</w:t>
      </w:r>
      <w:r>
        <w:rPr>
          <w:rFonts w:ascii="宋体" w:eastAsia="宋体"/>
          <w:szCs w:val="20"/>
        </w:rPr>
        <w:t>2</w:t>
      </w:r>
      <w:r>
        <w:rPr>
          <w:rFonts w:hint="eastAsia" w:ascii="宋体" w:eastAsia="宋体"/>
          <w:szCs w:val="20"/>
        </w:rPr>
        <w:t>℃，72 h.再按</w:t>
      </w:r>
      <w:r>
        <w:rPr>
          <w:rFonts w:ascii="宋体" w:eastAsia="宋体"/>
          <w:szCs w:val="20"/>
        </w:rPr>
        <w:t xml:space="preserve"> </w:t>
      </w:r>
      <w:r>
        <w:rPr>
          <w:rFonts w:hint="eastAsia" w:ascii="宋体" w:eastAsia="宋体"/>
          <w:szCs w:val="20"/>
        </w:rPr>
        <w:t>6</w:t>
      </w:r>
      <w:r>
        <w:rPr>
          <w:rFonts w:ascii="宋体" w:eastAsia="宋体"/>
          <w:szCs w:val="20"/>
        </w:rPr>
        <w:t>.</w:t>
      </w:r>
      <w:r>
        <w:rPr>
          <w:rFonts w:hint="eastAsia" w:ascii="宋体" w:eastAsia="宋体"/>
          <w:szCs w:val="20"/>
        </w:rPr>
        <w:t>5</w:t>
      </w:r>
      <w:r>
        <w:rPr>
          <w:rFonts w:ascii="宋体" w:eastAsia="宋体"/>
          <w:szCs w:val="20"/>
        </w:rPr>
        <w:t xml:space="preserve">.1 </w:t>
      </w:r>
      <w:r>
        <w:rPr>
          <w:rFonts w:hint="eastAsia" w:ascii="宋体" w:eastAsia="宋体"/>
          <w:szCs w:val="20"/>
        </w:rPr>
        <w:t>的方法测试拉伸强度和拉断伸长率。</w:t>
      </w:r>
      <w:r>
        <w:rPr>
          <w:rFonts w:hint="eastAsia" w:ascii="MS Gothic" w:hAnsi="MS Gothic" w:eastAsia="MS Gothic" w:cs="MS Gothic"/>
          <w:szCs w:val="20"/>
        </w:rPr>
        <w:t>​</w:t>
      </w:r>
    </w:p>
    <w:p w14:paraId="630B6804">
      <w:pPr>
        <w:pStyle w:val="13"/>
        <w:spacing w:before="312" w:after="312"/>
      </w:pPr>
      <w:r>
        <w:rPr>
          <w:rFonts w:hint="eastAsia"/>
        </w:rPr>
        <w:t>6</w:t>
      </w:r>
      <w:r>
        <w:t>.</w:t>
      </w:r>
      <w:r>
        <w:rPr>
          <w:rFonts w:hint="eastAsia"/>
        </w:rPr>
        <w:t>6</w:t>
      </w:r>
      <w:r>
        <w:t xml:space="preserve"> 无菌检验</w:t>
      </w:r>
    </w:p>
    <w:p w14:paraId="09E2DFF3">
      <w:pPr>
        <w:pStyle w:val="17"/>
        <w:spacing w:before="156" w:after="156"/>
        <w:ind w:firstLine="420" w:firstLineChars="200"/>
        <w:rPr>
          <w:rFonts w:ascii="宋体" w:eastAsia="宋体"/>
          <w:szCs w:val="20"/>
        </w:rPr>
      </w:pPr>
      <w:r>
        <w:rPr>
          <w:rFonts w:ascii="宋体" w:eastAsia="宋体"/>
          <w:szCs w:val="20"/>
        </w:rPr>
        <w:t>经灭菌处理的指套按《中华人民共和国药典》（</w:t>
      </w:r>
      <w:r>
        <w:rPr>
          <w:rFonts w:hint="eastAsia" w:ascii="宋体" w:eastAsia="宋体"/>
          <w:szCs w:val="20"/>
        </w:rPr>
        <w:t>2025年版）四部1101无菌检查法中的直接接种法进行。</w:t>
      </w:r>
    </w:p>
    <w:p w14:paraId="76790216">
      <w:pPr>
        <w:pStyle w:val="13"/>
        <w:spacing w:before="312" w:after="312"/>
      </w:pPr>
      <w:r>
        <w:rPr>
          <w:rFonts w:hint="eastAsia"/>
        </w:rPr>
        <w:t>6</w:t>
      </w:r>
      <w:r>
        <w:t>.</w:t>
      </w:r>
      <w:r>
        <w:rPr>
          <w:rFonts w:hint="eastAsia"/>
        </w:rPr>
        <w:t>7</w:t>
      </w:r>
      <w:r>
        <w:t xml:space="preserve"> 微生物限度检验</w:t>
      </w:r>
    </w:p>
    <w:p w14:paraId="4778A43C">
      <w:pPr>
        <w:pStyle w:val="17"/>
        <w:spacing w:before="156" w:after="156"/>
        <w:ind w:firstLine="420" w:firstLineChars="200"/>
        <w:rPr>
          <w:rFonts w:ascii="宋体" w:eastAsia="宋体"/>
          <w:szCs w:val="20"/>
        </w:rPr>
      </w:pPr>
      <w:r>
        <w:rPr>
          <w:rFonts w:hint="eastAsia" w:ascii="宋体" w:eastAsia="宋体"/>
          <w:szCs w:val="20"/>
        </w:rPr>
        <w:t>非灭菌的指套按GB 15979中附录B的规定进行。</w:t>
      </w:r>
    </w:p>
    <w:p w14:paraId="275E7F31">
      <w:pPr>
        <w:pStyle w:val="13"/>
        <w:spacing w:before="312" w:after="312"/>
      </w:pPr>
      <w:r>
        <w:rPr>
          <w:rFonts w:hint="eastAsia"/>
        </w:rPr>
        <w:t>6</w:t>
      </w:r>
      <w:r>
        <w:t>.</w:t>
      </w:r>
      <w:r>
        <w:rPr>
          <w:rFonts w:hint="eastAsia"/>
        </w:rPr>
        <w:t>8</w:t>
      </w:r>
      <w:r>
        <w:t xml:space="preserve"> 有害物质残留检验</w:t>
      </w:r>
    </w:p>
    <w:p w14:paraId="18A13AF5">
      <w:pPr>
        <w:pStyle w:val="17"/>
        <w:spacing w:before="156" w:after="156"/>
        <w:rPr>
          <w:rFonts w:ascii="宋体" w:eastAsia="宋体"/>
          <w:szCs w:val="20"/>
        </w:rPr>
      </w:pPr>
      <w:r>
        <w:rPr>
          <w:rFonts w:hint="eastAsia" w:asciiTheme="minorHAnsi" w:hAnsiTheme="minorHAnsi" w:eastAsiaTheme="minorEastAsia" w:cstheme="minorBidi"/>
          <w:kern w:val="2"/>
          <w:szCs w:val="22"/>
        </w:rPr>
        <w:t xml:space="preserve">6.8.1 </w:t>
      </w:r>
      <w:r>
        <w:rPr>
          <w:rFonts w:hint="eastAsia" w:ascii="宋体" w:eastAsia="宋体"/>
          <w:szCs w:val="20"/>
        </w:rPr>
        <w:t>环氧乙烷残留量：经过环氧乙烷灭菌工序的指套，应按照GB/T 14233.1中环氧乙烷残留量测定的方法进行，结果要求符合5.8.1的要求。</w:t>
      </w:r>
    </w:p>
    <w:p w14:paraId="66D6CDA2">
      <w:pPr>
        <w:pStyle w:val="17"/>
        <w:spacing w:before="156" w:after="156"/>
        <w:rPr>
          <w:rFonts w:ascii="宋体" w:eastAsia="宋体"/>
          <w:szCs w:val="20"/>
        </w:rPr>
      </w:pPr>
      <w:r>
        <w:rPr>
          <w:rFonts w:hint="eastAsia" w:asciiTheme="minorHAnsi" w:hAnsiTheme="minorHAnsi" w:eastAsiaTheme="minorEastAsia" w:cstheme="minorBidi"/>
          <w:kern w:val="2"/>
          <w:szCs w:val="22"/>
        </w:rPr>
        <w:t>6.8.2</w:t>
      </w:r>
      <w:r>
        <w:rPr>
          <w:rFonts w:hint="eastAsia" w:ascii="宋体" w:eastAsia="宋体"/>
          <w:szCs w:val="20"/>
        </w:rPr>
        <w:t xml:space="preserve"> 荧光增白剂：取5</w:t>
      </w:r>
      <w:r>
        <w:rPr>
          <w:rFonts w:hint="eastAsia" w:ascii="宋体" w:eastAsia="宋体"/>
          <w:szCs w:val="20"/>
          <w:lang w:val="en-US" w:eastAsia="zh-CN"/>
        </w:rPr>
        <w:t xml:space="preserve">  </w:t>
      </w:r>
      <w:r>
        <w:rPr>
          <w:rFonts w:hint="eastAsia" w:ascii="宋体" w:eastAsia="宋体"/>
          <w:szCs w:val="20"/>
        </w:rPr>
        <w:t>样品置于暗箱中，用波长 365 nm 的紫外灯距离样品 （10～15）cm照射，观察是否有明显荧光。无明显差异即为合格。</w:t>
      </w:r>
    </w:p>
    <w:p w14:paraId="2A6CAF03">
      <w:pPr>
        <w:pStyle w:val="17"/>
        <w:spacing w:before="156" w:after="156"/>
        <w:rPr>
          <w:rFonts w:ascii="宋体" w:eastAsia="宋体"/>
          <w:szCs w:val="20"/>
        </w:rPr>
      </w:pPr>
      <w:r>
        <w:rPr>
          <w:rFonts w:hint="eastAsia" w:asciiTheme="minorHAnsi" w:hAnsiTheme="minorHAnsi" w:eastAsiaTheme="minorEastAsia" w:cstheme="minorBidi"/>
          <w:kern w:val="2"/>
          <w:szCs w:val="22"/>
        </w:rPr>
        <w:t>6.8.3</w:t>
      </w:r>
      <w:r>
        <w:rPr>
          <w:rFonts w:hint="eastAsia" w:ascii="宋体" w:eastAsia="宋体"/>
          <w:szCs w:val="20"/>
        </w:rPr>
        <w:t xml:space="preserve"> 天然橡胶胶乳水抽提蛋白含量：按 GB/T 21870</w:t>
      </w:r>
      <w:r>
        <w:rPr>
          <w:rFonts w:ascii="宋体" w:eastAsia="宋体"/>
          <w:szCs w:val="20"/>
        </w:rPr>
        <w:t>-2008</w:t>
      </w:r>
      <w:r>
        <w:rPr>
          <w:rFonts w:hint="eastAsia" w:ascii="宋体" w:eastAsia="宋体"/>
          <w:szCs w:val="20"/>
        </w:rPr>
        <w:t xml:space="preserve"> 中方法A进行</w:t>
      </w:r>
      <w:r>
        <w:rPr>
          <w:rFonts w:ascii="宋体" w:eastAsia="宋体"/>
          <w:szCs w:val="20"/>
        </w:rPr>
        <w:t>。</w:t>
      </w:r>
    </w:p>
    <w:p w14:paraId="3EE156CC">
      <w:pPr>
        <w:pStyle w:val="13"/>
        <w:spacing w:before="312" w:after="312"/>
      </w:pPr>
      <w:r>
        <w:rPr>
          <w:rFonts w:hint="eastAsia"/>
        </w:rPr>
        <w:t>6</w:t>
      </w:r>
      <w:r>
        <w:t>.</w:t>
      </w:r>
      <w:r>
        <w:rPr>
          <w:rFonts w:hint="eastAsia"/>
        </w:rPr>
        <w:t>9</w:t>
      </w:r>
      <w:r>
        <w:t xml:space="preserve"> 生物学评价试验</w:t>
      </w:r>
    </w:p>
    <w:p w14:paraId="5F4BB1C8">
      <w:pPr>
        <w:pStyle w:val="13"/>
        <w:spacing w:before="312" w:after="312"/>
        <w:rPr>
          <w:rFonts w:ascii="宋体" w:eastAsia="宋体"/>
        </w:rPr>
      </w:pPr>
      <w:r>
        <w:rPr>
          <w:rFonts w:hint="eastAsia" w:asciiTheme="minorHAnsi" w:hAnsiTheme="minorHAnsi" w:eastAsiaTheme="minorEastAsia" w:cstheme="minorBidi"/>
          <w:kern w:val="2"/>
          <w:szCs w:val="22"/>
        </w:rPr>
        <w:t>6</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9</w:t>
      </w:r>
      <w:r>
        <w:rPr>
          <w:rFonts w:asciiTheme="minorHAnsi" w:hAnsiTheme="minorHAnsi" w:eastAsiaTheme="minorEastAsia" w:cstheme="minorBidi"/>
          <w:kern w:val="2"/>
          <w:szCs w:val="22"/>
        </w:rPr>
        <w:t>.</w:t>
      </w:r>
      <w:r>
        <w:rPr>
          <w:rFonts w:hint="eastAsia" w:asciiTheme="minorHAnsi" w:hAnsiTheme="minorHAnsi" w:eastAsiaTheme="minorEastAsia" w:cstheme="minorBidi"/>
          <w:kern w:val="2"/>
          <w:szCs w:val="22"/>
        </w:rPr>
        <w:t>1</w:t>
      </w:r>
      <w:r>
        <w:rPr>
          <w:rFonts w:ascii="宋体" w:eastAsia="宋体"/>
        </w:rPr>
        <w:t xml:space="preserve"> </w:t>
      </w:r>
      <w:r>
        <w:rPr>
          <w:rFonts w:hint="eastAsia" w:ascii="宋体" w:eastAsia="宋体"/>
        </w:rPr>
        <w:t>刺激试验：按</w:t>
      </w:r>
      <w:r>
        <w:rPr>
          <w:rFonts w:ascii="宋体" w:eastAsia="宋体"/>
        </w:rPr>
        <w:t xml:space="preserve"> GB/T 16886.</w:t>
      </w:r>
      <w:r>
        <w:rPr>
          <w:rFonts w:hint="eastAsia" w:ascii="宋体" w:eastAsia="宋体"/>
        </w:rPr>
        <w:t>23</w:t>
      </w:r>
      <w:r>
        <w:rPr>
          <w:rFonts w:ascii="宋体" w:eastAsia="宋体"/>
        </w:rPr>
        <w:t xml:space="preserve"> </w:t>
      </w:r>
      <w:r>
        <w:rPr>
          <w:rFonts w:hint="eastAsia" w:ascii="宋体" w:eastAsia="宋体"/>
        </w:rPr>
        <w:t>的规定进行。</w:t>
      </w:r>
    </w:p>
    <w:p w14:paraId="601D67D8">
      <w:pPr>
        <w:pStyle w:val="13"/>
        <w:spacing w:before="312" w:after="312"/>
        <w:rPr>
          <w:rFonts w:ascii="宋体" w:eastAsia="宋体"/>
        </w:rPr>
      </w:pPr>
      <w:r>
        <w:rPr>
          <w:rFonts w:hint="eastAsia" w:asciiTheme="minorHAnsi" w:hAnsiTheme="minorHAnsi" w:eastAsiaTheme="minorEastAsia" w:cstheme="minorBidi"/>
          <w:kern w:val="2"/>
          <w:szCs w:val="22"/>
        </w:rPr>
        <w:t>6.9.2</w:t>
      </w:r>
      <w:r>
        <w:rPr>
          <w:rFonts w:hint="eastAsia" w:ascii="宋体" w:eastAsia="宋体"/>
        </w:rPr>
        <w:t xml:space="preserve"> 皮肤致敏试验：按 GB/T 16886.10 的规定进行。</w:t>
      </w:r>
    </w:p>
    <w:p w14:paraId="35572FAB">
      <w:r>
        <w:rPr>
          <w:rFonts w:hint="eastAsia"/>
        </w:rPr>
        <w:t>6.9.3 接触指定身体部位的生物学评价试验：按</w:t>
      </w:r>
      <w:r>
        <w:rPr>
          <w:rFonts w:ascii="宋体" w:hAnsi="宋体" w:eastAsia="宋体" w:cs="宋体"/>
        </w:rPr>
        <w:t xml:space="preserve">GB/T 16886.23 </w:t>
      </w:r>
      <w:r>
        <w:rPr>
          <w:rFonts w:hint="eastAsia"/>
        </w:rPr>
        <w:t>的规定进行。</w:t>
      </w:r>
    </w:p>
    <w:p w14:paraId="0A06CDA2">
      <w:pPr>
        <w:pStyle w:val="13"/>
        <w:spacing w:before="312" w:after="312"/>
      </w:pPr>
      <w:r>
        <w:rPr>
          <w:rFonts w:hint="eastAsia"/>
        </w:rPr>
        <w:t>6</w:t>
      </w:r>
      <w:r>
        <w:t>.</w:t>
      </w:r>
      <w:r>
        <w:rPr>
          <w:rFonts w:hint="eastAsia"/>
        </w:rPr>
        <w:t>10</w:t>
      </w:r>
      <w:r>
        <w:t xml:space="preserve"> 穿戴性能试验</w:t>
      </w:r>
    </w:p>
    <w:p w14:paraId="39CA249C">
      <w:pPr>
        <w:pStyle w:val="17"/>
        <w:spacing w:before="156" w:after="156"/>
        <w:ind w:firstLine="420" w:firstLineChars="200"/>
        <w:rPr>
          <w:rFonts w:ascii="宋体" w:eastAsia="宋体"/>
          <w:szCs w:val="20"/>
        </w:rPr>
      </w:pPr>
      <w:r>
        <w:rPr>
          <w:rFonts w:hint="eastAsia" w:ascii="宋体" w:eastAsia="宋体"/>
          <w:szCs w:val="20"/>
        </w:rPr>
        <w:t>由手指周长在 （5.0</w:t>
      </w:r>
      <w:r>
        <w:rPr>
          <w:rFonts w:hint="eastAsia" w:ascii="宋体" w:hAnsi="宋体" w:eastAsia="宋体"/>
          <w:szCs w:val="20"/>
        </w:rPr>
        <w:t>～</w:t>
      </w:r>
      <w:r>
        <w:rPr>
          <w:rFonts w:hint="eastAsia" w:ascii="宋体" w:eastAsia="宋体"/>
          <w:szCs w:val="20"/>
        </w:rPr>
        <w:t>7.0）cm范围内的受试者穿戴指套，每种型号穿戴 15 只；记录单只指套的穿戴时间（从开始佩戴至完全贴合手指的时间），并评价穿戴便利性；观察手指是否有压迫痕迹、麻木感等不适症状，记录受试者对舒适度、贴合度、是否易滑脱的反馈意见，综合判定穿戴性能是否合格。</w:t>
      </w:r>
    </w:p>
    <w:p w14:paraId="6A59B123">
      <w:pPr>
        <w:pStyle w:val="13"/>
        <w:spacing w:before="312" w:after="312"/>
      </w:pPr>
      <w:r>
        <w:rPr>
          <w:rFonts w:hint="eastAsia"/>
        </w:rPr>
        <w:t>7</w:t>
      </w:r>
      <w:r>
        <w:t xml:space="preserve"> 检验规则</w:t>
      </w:r>
    </w:p>
    <w:p w14:paraId="31F6F552">
      <w:pPr>
        <w:pStyle w:val="13"/>
        <w:spacing w:before="312" w:after="312"/>
      </w:pPr>
      <w:r>
        <w:rPr>
          <w:rFonts w:hint="eastAsia"/>
        </w:rPr>
        <w:t>7</w:t>
      </w:r>
      <w:r>
        <w:t>.1 检验分类</w:t>
      </w:r>
    </w:p>
    <w:p w14:paraId="05857126">
      <w:pPr>
        <w:pStyle w:val="17"/>
        <w:spacing w:before="156" w:after="156"/>
        <w:ind w:firstLine="420" w:firstLineChars="200"/>
        <w:rPr>
          <w:rFonts w:ascii="宋体" w:eastAsia="宋体"/>
          <w:szCs w:val="20"/>
        </w:rPr>
      </w:pPr>
      <w:r>
        <w:rPr>
          <w:rFonts w:ascii="宋体" w:eastAsia="宋体"/>
          <w:szCs w:val="20"/>
        </w:rPr>
        <w:t>检验分为出厂检验和型式检验。</w:t>
      </w:r>
    </w:p>
    <w:p w14:paraId="40A18334">
      <w:pPr>
        <w:pStyle w:val="13"/>
        <w:spacing w:before="312" w:after="312"/>
      </w:pPr>
      <w:r>
        <w:rPr>
          <w:rFonts w:hint="eastAsia"/>
        </w:rPr>
        <w:t>7</w:t>
      </w:r>
      <w:r>
        <w:t>.2 出厂检验</w:t>
      </w:r>
    </w:p>
    <w:p w14:paraId="06A7B4F6">
      <w:pPr>
        <w:pStyle w:val="17"/>
        <w:spacing w:before="156" w:after="156"/>
        <w:rPr>
          <w:rFonts w:ascii="宋体" w:eastAsia="宋体"/>
          <w:szCs w:val="20"/>
        </w:rPr>
      </w:pPr>
      <w:r>
        <w:rPr>
          <w:rFonts w:hint="eastAsia" w:asciiTheme="minorHAnsi" w:hAnsiTheme="minorHAnsi" w:eastAsiaTheme="minorEastAsia" w:cstheme="minorBidi"/>
          <w:kern w:val="2"/>
          <w:szCs w:val="22"/>
        </w:rPr>
        <w:t>7.2.1</w:t>
      </w:r>
      <w:r>
        <w:rPr>
          <w:rFonts w:hint="eastAsia" w:ascii="宋体" w:eastAsia="宋体"/>
          <w:szCs w:val="20"/>
        </w:rPr>
        <w:t xml:space="preserve"> 每批产品出厂前应进行出厂检验，检验合格并附产品质量检验合格证明后方可出厂。</w:t>
      </w:r>
    </w:p>
    <w:p w14:paraId="54E9A1B0">
      <w:pPr>
        <w:pStyle w:val="17"/>
        <w:spacing w:before="156" w:after="156"/>
        <w:rPr>
          <w:rFonts w:ascii="宋体" w:eastAsia="宋体"/>
          <w:szCs w:val="20"/>
        </w:rPr>
      </w:pPr>
      <w:r>
        <w:rPr>
          <w:rFonts w:hint="eastAsia" w:asciiTheme="minorHAnsi" w:hAnsiTheme="minorHAnsi" w:eastAsiaTheme="minorEastAsia" w:cstheme="minorBidi"/>
          <w:kern w:val="2"/>
          <w:szCs w:val="22"/>
        </w:rPr>
        <w:t>7.2.2</w:t>
      </w:r>
      <w:r>
        <w:rPr>
          <w:rFonts w:hint="eastAsia" w:ascii="宋体" w:eastAsia="宋体"/>
          <w:szCs w:val="20"/>
        </w:rPr>
        <w:t xml:space="preserve"> 出厂检验项目包括：外观（5.2）、尺寸（5.3）、包装完整性(5.4)、物理性能（5.5）、无菌要求（5.6，仅无菌产品）、微生物限度（5.7，仅非无菌产品）、有害物质残留（5.8）、穿戴性能（5.10）。</w:t>
      </w:r>
    </w:p>
    <w:p w14:paraId="3A9272F1">
      <w:pPr>
        <w:pStyle w:val="17"/>
        <w:spacing w:before="156" w:after="156"/>
        <w:rPr>
          <w:rFonts w:ascii="宋体" w:eastAsia="宋体"/>
          <w:szCs w:val="20"/>
        </w:rPr>
      </w:pPr>
      <w:r>
        <w:rPr>
          <w:rFonts w:hint="eastAsia" w:asciiTheme="minorHAnsi" w:hAnsiTheme="minorHAnsi" w:eastAsiaTheme="minorEastAsia" w:cstheme="minorBidi"/>
          <w:kern w:val="2"/>
          <w:szCs w:val="22"/>
        </w:rPr>
        <w:t>7.2.3</w:t>
      </w:r>
      <w:r>
        <w:rPr>
          <w:rFonts w:hint="eastAsia" w:ascii="宋体" w:eastAsia="宋体"/>
          <w:szCs w:val="20"/>
        </w:rPr>
        <w:t xml:space="preserve"> 判定规则：所有检验项目均符合本标准要求，判定该批产品出厂检验合格；若有不合格项目，允许在同批产品中加倍抽样复检，复检后全部项目合格，该批产品仍为合格；若复检仍有不合格项目，则判定该批产品出厂检验不合格，不应出厂</w:t>
      </w:r>
      <w:r>
        <w:rPr>
          <w:rFonts w:ascii="宋体" w:eastAsia="宋体"/>
          <w:szCs w:val="20"/>
        </w:rPr>
        <w:t>。</w:t>
      </w:r>
    </w:p>
    <w:p w14:paraId="55DE5177">
      <w:pPr>
        <w:pStyle w:val="13"/>
        <w:spacing w:before="312" w:after="312"/>
      </w:pPr>
      <w:r>
        <w:rPr>
          <w:rFonts w:hint="eastAsia"/>
        </w:rPr>
        <w:t>7</w:t>
      </w:r>
      <w:r>
        <w:t>.3 型式检验</w:t>
      </w:r>
    </w:p>
    <w:p w14:paraId="611281E6">
      <w:pPr>
        <w:pStyle w:val="17"/>
        <w:spacing w:before="156" w:after="156"/>
        <w:rPr>
          <w:rFonts w:ascii="宋体" w:eastAsia="宋体"/>
          <w:szCs w:val="20"/>
        </w:rPr>
      </w:pPr>
      <w:r>
        <w:rPr>
          <w:rFonts w:hint="eastAsia" w:asciiTheme="minorHAnsi" w:hAnsiTheme="minorHAnsi" w:eastAsiaTheme="minorEastAsia" w:cstheme="minorBidi"/>
          <w:kern w:val="2"/>
          <w:szCs w:val="22"/>
        </w:rPr>
        <w:t>7</w:t>
      </w:r>
      <w:r>
        <w:rPr>
          <w:rFonts w:asciiTheme="minorHAnsi" w:hAnsiTheme="minorHAnsi" w:eastAsiaTheme="minorEastAsia" w:cstheme="minorBidi"/>
          <w:kern w:val="2"/>
          <w:szCs w:val="22"/>
        </w:rPr>
        <w:t>.3.1</w:t>
      </w:r>
      <w:r>
        <w:rPr>
          <w:rFonts w:ascii="宋体" w:eastAsia="宋体"/>
          <w:szCs w:val="20"/>
        </w:rPr>
        <w:t xml:space="preserve"> 有下列情况之一时，应进行型式检验：</w:t>
      </w:r>
    </w:p>
    <w:p w14:paraId="3F005F11">
      <w:pPr>
        <w:pStyle w:val="17"/>
        <w:spacing w:before="156" w:after="156"/>
        <w:rPr>
          <w:rFonts w:ascii="宋体" w:eastAsia="宋体"/>
          <w:szCs w:val="20"/>
        </w:rPr>
      </w:pPr>
      <w:r>
        <w:rPr>
          <w:rFonts w:ascii="宋体" w:eastAsia="宋体"/>
          <w:szCs w:val="20"/>
        </w:rPr>
        <w:t>a) 新产品投产或老产品转产、</w:t>
      </w:r>
      <w:r>
        <w:rPr>
          <w:rFonts w:hint="eastAsia" w:ascii="宋体" w:eastAsia="宋体"/>
          <w:szCs w:val="20"/>
        </w:rPr>
        <w:t>转厂生产的试制定型鉴定</w:t>
      </w:r>
      <w:r>
        <w:rPr>
          <w:rFonts w:ascii="宋体" w:eastAsia="宋体"/>
          <w:szCs w:val="20"/>
        </w:rPr>
        <w:t>时；</w:t>
      </w:r>
    </w:p>
    <w:p w14:paraId="185F28BF">
      <w:pPr>
        <w:pStyle w:val="17"/>
        <w:spacing w:before="156" w:after="156"/>
        <w:rPr>
          <w:rFonts w:ascii="宋体" w:eastAsia="宋体"/>
          <w:szCs w:val="20"/>
        </w:rPr>
      </w:pPr>
      <w:r>
        <w:rPr>
          <w:rFonts w:ascii="宋体" w:eastAsia="宋体"/>
          <w:szCs w:val="20"/>
        </w:rPr>
        <w:t>b) 原材料、生产工艺发生重大变化，可能影响产品质量时；</w:t>
      </w:r>
    </w:p>
    <w:p w14:paraId="2993D696">
      <w:pPr>
        <w:pStyle w:val="17"/>
        <w:spacing w:before="156" w:after="156"/>
        <w:rPr>
          <w:rFonts w:ascii="宋体" w:eastAsia="宋体"/>
          <w:szCs w:val="20"/>
        </w:rPr>
      </w:pPr>
      <w:r>
        <w:rPr>
          <w:rFonts w:ascii="宋体" w:eastAsia="宋体"/>
          <w:szCs w:val="20"/>
        </w:rPr>
        <w:t>c) 产品连续生产满 1 年时；</w:t>
      </w:r>
    </w:p>
    <w:p w14:paraId="2C46B8EB">
      <w:pPr>
        <w:pStyle w:val="17"/>
        <w:spacing w:before="156" w:after="156"/>
        <w:rPr>
          <w:rFonts w:ascii="宋体" w:eastAsia="宋体"/>
          <w:szCs w:val="20"/>
        </w:rPr>
      </w:pPr>
      <w:r>
        <w:rPr>
          <w:rFonts w:ascii="宋体" w:eastAsia="宋体"/>
          <w:szCs w:val="20"/>
        </w:rPr>
        <w:t>d) 产品停产 6 个月以上，恢复生产时；</w:t>
      </w:r>
    </w:p>
    <w:p w14:paraId="73E4469F">
      <w:pPr>
        <w:pStyle w:val="17"/>
        <w:spacing w:before="156" w:after="156"/>
        <w:rPr>
          <w:rFonts w:ascii="宋体" w:eastAsia="宋体"/>
          <w:szCs w:val="20"/>
        </w:rPr>
      </w:pPr>
      <w:r>
        <w:rPr>
          <w:rFonts w:ascii="宋体" w:eastAsia="宋体"/>
          <w:szCs w:val="20"/>
        </w:rPr>
        <w:t>e) 出厂检验结果与上次型式检验结果有较大差异时；</w:t>
      </w:r>
    </w:p>
    <w:p w14:paraId="0BAE38B5">
      <w:pPr>
        <w:pStyle w:val="17"/>
        <w:spacing w:before="156" w:after="156"/>
        <w:rPr>
          <w:rFonts w:ascii="宋体" w:eastAsia="宋体"/>
          <w:szCs w:val="20"/>
        </w:rPr>
      </w:pPr>
      <w:r>
        <w:rPr>
          <w:rFonts w:ascii="宋体" w:eastAsia="宋体"/>
          <w:szCs w:val="20"/>
        </w:rPr>
        <w:t>f) 国家监管部门提出型式检验要求时；</w:t>
      </w:r>
    </w:p>
    <w:p w14:paraId="4DB4AB81">
      <w:pPr>
        <w:pStyle w:val="14"/>
        <w:ind w:firstLine="0" w:firstLineChars="0"/>
      </w:pPr>
      <w:r>
        <w:rPr>
          <w:rFonts w:hint="eastAsia"/>
        </w:rPr>
        <w:t>g) 产品质量出现重大投诉或不合格事件时。</w:t>
      </w:r>
    </w:p>
    <w:p w14:paraId="541BD355">
      <w:pPr>
        <w:pStyle w:val="17"/>
        <w:spacing w:before="156" w:after="156"/>
        <w:rPr>
          <w:rFonts w:ascii="宋体" w:eastAsia="宋体"/>
          <w:szCs w:val="20"/>
        </w:rPr>
      </w:pPr>
      <w:r>
        <w:rPr>
          <w:rFonts w:hint="eastAsia" w:asciiTheme="minorHAnsi" w:hAnsiTheme="minorHAnsi" w:eastAsiaTheme="minorEastAsia" w:cstheme="minorBidi"/>
          <w:kern w:val="2"/>
          <w:szCs w:val="22"/>
        </w:rPr>
        <w:t>7</w:t>
      </w:r>
      <w:r>
        <w:rPr>
          <w:rFonts w:asciiTheme="minorHAnsi" w:hAnsiTheme="minorHAnsi" w:eastAsiaTheme="minorEastAsia" w:cstheme="minorBidi"/>
          <w:kern w:val="2"/>
          <w:szCs w:val="22"/>
        </w:rPr>
        <w:t>.3.2</w:t>
      </w:r>
      <w:r>
        <w:rPr>
          <w:rFonts w:ascii="宋体" w:eastAsia="宋体"/>
          <w:szCs w:val="20"/>
        </w:rPr>
        <w:t xml:space="preserve"> 型式检验项目包括本标准第 </w:t>
      </w:r>
      <w:r>
        <w:rPr>
          <w:rFonts w:hint="eastAsia" w:ascii="宋体" w:eastAsia="宋体"/>
          <w:szCs w:val="20"/>
        </w:rPr>
        <w:t>5</w:t>
      </w:r>
      <w:r>
        <w:rPr>
          <w:rFonts w:ascii="宋体" w:eastAsia="宋体"/>
          <w:szCs w:val="20"/>
        </w:rPr>
        <w:t xml:space="preserve"> 章规定的全部要求</w:t>
      </w:r>
      <w:r>
        <w:rPr>
          <w:rFonts w:hint="eastAsia" w:ascii="宋体" w:eastAsia="宋体"/>
          <w:szCs w:val="20"/>
        </w:rPr>
        <w:t>(5.1-5.10)</w:t>
      </w:r>
      <w:r>
        <w:rPr>
          <w:rFonts w:ascii="宋体" w:eastAsia="宋体"/>
          <w:szCs w:val="20"/>
        </w:rPr>
        <w:t>。</w:t>
      </w:r>
    </w:p>
    <w:p w14:paraId="3A3CB5E2">
      <w:pPr>
        <w:pStyle w:val="17"/>
        <w:spacing w:before="156" w:after="156"/>
        <w:rPr>
          <w:rFonts w:ascii="宋体" w:eastAsia="宋体"/>
          <w:szCs w:val="20"/>
          <w:highlight w:val="green"/>
        </w:rPr>
      </w:pPr>
      <w:r>
        <w:rPr>
          <w:rFonts w:hint="eastAsia" w:asciiTheme="minorHAnsi" w:hAnsiTheme="minorHAnsi" w:eastAsiaTheme="minorEastAsia" w:cstheme="minorBidi"/>
          <w:kern w:val="2"/>
          <w:szCs w:val="22"/>
        </w:rPr>
        <w:t>7</w:t>
      </w:r>
      <w:r>
        <w:rPr>
          <w:rFonts w:asciiTheme="minorHAnsi" w:hAnsiTheme="minorHAnsi" w:eastAsiaTheme="minorEastAsia" w:cstheme="minorBidi"/>
          <w:kern w:val="2"/>
          <w:szCs w:val="22"/>
        </w:rPr>
        <w:t>.3.</w:t>
      </w:r>
      <w:r>
        <w:rPr>
          <w:rFonts w:hint="eastAsia" w:asciiTheme="minorHAnsi" w:hAnsiTheme="minorHAnsi" w:eastAsiaTheme="minorEastAsia" w:cstheme="minorBidi"/>
          <w:kern w:val="2"/>
          <w:szCs w:val="22"/>
        </w:rPr>
        <w:t>3</w:t>
      </w:r>
      <w:r>
        <w:rPr>
          <w:rFonts w:ascii="宋体" w:eastAsia="宋体"/>
          <w:szCs w:val="20"/>
        </w:rPr>
        <w:t xml:space="preserve"> 判定规则：</w:t>
      </w:r>
      <w:r>
        <w:rPr>
          <w:rFonts w:hint="eastAsia" w:ascii="宋体" w:eastAsia="宋体"/>
          <w:szCs w:val="20"/>
        </w:rPr>
        <w:t>型式检验所有项目均符合本标准要求，判定该批产品型式检验合格；若有不合格项目，应分析原因，采取整改措施后重新抽样进行型式检验，重新检验仍有不合格项目，则判定型式检验不合格，产品不应投放市场。</w:t>
      </w:r>
    </w:p>
    <w:p w14:paraId="5E8EE647">
      <w:pPr>
        <w:pStyle w:val="13"/>
        <w:spacing w:before="312" w:after="312"/>
      </w:pPr>
      <w:r>
        <w:rPr>
          <w:rFonts w:hint="eastAsia"/>
        </w:rPr>
        <w:t>7.4 抽样方案</w:t>
      </w:r>
    </w:p>
    <w:p w14:paraId="52290D20">
      <w:pPr>
        <w:pStyle w:val="17"/>
        <w:spacing w:before="156" w:after="156"/>
        <w:rPr>
          <w:rFonts w:ascii="宋体" w:eastAsia="宋体"/>
          <w:szCs w:val="20"/>
        </w:rPr>
      </w:pPr>
      <w:r>
        <w:rPr>
          <w:rFonts w:hint="eastAsia" w:asciiTheme="minorHAnsi" w:hAnsiTheme="minorHAnsi" w:eastAsiaTheme="minorEastAsia" w:cstheme="minorBidi"/>
          <w:kern w:val="2"/>
          <w:szCs w:val="22"/>
        </w:rPr>
        <w:t>7.4.1</w:t>
      </w:r>
      <w:r>
        <w:rPr>
          <w:rFonts w:hint="eastAsia" w:ascii="宋体" w:eastAsia="宋体"/>
          <w:szCs w:val="20"/>
        </w:rPr>
        <w:t xml:space="preserve"> 按 GB/T 2828.1 的规定，采用一次抽样方案，检验水平和接收质量限（AQL）</w:t>
      </w:r>
    </w:p>
    <w:p w14:paraId="77796E27">
      <w:pPr>
        <w:pStyle w:val="17"/>
        <w:spacing w:before="156" w:after="156"/>
        <w:rPr>
          <w:rFonts w:ascii="宋体" w:eastAsia="宋体"/>
          <w:szCs w:val="20"/>
        </w:rPr>
      </w:pPr>
      <w:r>
        <w:rPr>
          <w:rFonts w:hint="eastAsia" w:ascii="宋体" w:eastAsia="宋体"/>
          <w:szCs w:val="20"/>
        </w:rPr>
        <w:t>见表3。</w:t>
      </w:r>
    </w:p>
    <w:p w14:paraId="07472563">
      <w:pPr>
        <w:pStyle w:val="14"/>
        <w:jc w:val="center"/>
      </w:pPr>
      <w:r>
        <w:t>表</w:t>
      </w:r>
      <w:r>
        <w:rPr>
          <w:rFonts w:hint="eastAsia"/>
        </w:rPr>
        <w:t>3 检验水平和接收质量限（AQL）</w:t>
      </w:r>
    </w:p>
    <w:tbl>
      <w:tblPr>
        <w:tblStyle w:val="8"/>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260"/>
        <w:gridCol w:w="1417"/>
        <w:gridCol w:w="2552"/>
      </w:tblGrid>
      <w:tr w14:paraId="493B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8" w:space="0"/>
              <w:bottom w:val="single" w:color="auto" w:sz="8" w:space="0"/>
            </w:tcBorders>
            <w:vAlign w:val="center"/>
          </w:tcPr>
          <w:p w14:paraId="52EF6B4B">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序号</w:t>
            </w:r>
          </w:p>
        </w:tc>
        <w:tc>
          <w:tcPr>
            <w:tcW w:w="3260" w:type="dxa"/>
            <w:tcBorders>
              <w:top w:val="single" w:color="auto" w:sz="8" w:space="0"/>
              <w:bottom w:val="single" w:color="auto" w:sz="8" w:space="0"/>
            </w:tcBorders>
            <w:vAlign w:val="center"/>
          </w:tcPr>
          <w:p w14:paraId="68371CB8">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特性（项目）</w:t>
            </w:r>
          </w:p>
        </w:tc>
        <w:tc>
          <w:tcPr>
            <w:tcW w:w="1417" w:type="dxa"/>
            <w:tcBorders>
              <w:top w:val="single" w:color="auto" w:sz="8" w:space="0"/>
              <w:bottom w:val="single" w:color="auto" w:sz="8" w:space="0"/>
            </w:tcBorders>
          </w:tcPr>
          <w:p w14:paraId="51B022BD">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检验水平</w:t>
            </w:r>
          </w:p>
        </w:tc>
        <w:tc>
          <w:tcPr>
            <w:tcW w:w="2552" w:type="dxa"/>
            <w:tcBorders>
              <w:top w:val="single" w:color="auto" w:sz="8" w:space="0"/>
              <w:bottom w:val="single" w:color="auto" w:sz="8" w:space="0"/>
            </w:tcBorders>
          </w:tcPr>
          <w:p w14:paraId="7BA7D4D4">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接收质量限（AQL）</w:t>
            </w:r>
          </w:p>
        </w:tc>
      </w:tr>
      <w:tr w14:paraId="4035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8" w:space="0"/>
            </w:tcBorders>
            <w:vAlign w:val="center"/>
          </w:tcPr>
          <w:p w14:paraId="77E10735">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1</w:t>
            </w:r>
          </w:p>
        </w:tc>
        <w:tc>
          <w:tcPr>
            <w:tcW w:w="3260" w:type="dxa"/>
            <w:tcBorders>
              <w:top w:val="single" w:color="auto" w:sz="8" w:space="0"/>
            </w:tcBorders>
            <w:vAlign w:val="center"/>
          </w:tcPr>
          <w:p w14:paraId="3D6CCA25">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外观</w:t>
            </w:r>
          </w:p>
        </w:tc>
        <w:tc>
          <w:tcPr>
            <w:tcW w:w="1417" w:type="dxa"/>
            <w:tcBorders>
              <w:top w:val="single" w:color="auto" w:sz="8" w:space="0"/>
            </w:tcBorders>
          </w:tcPr>
          <w:p w14:paraId="02D40056">
            <w:pPr>
              <w:adjustRightInd w:val="0"/>
              <w:spacing w:line="400" w:lineRule="exact"/>
              <w:jc w:val="center"/>
              <w:rPr>
                <w:rFonts w:ascii="宋体" w:hAnsi="Calibri" w:eastAsia="宋体" w:cs="Times New Roman"/>
                <w:sz w:val="18"/>
                <w:szCs w:val="21"/>
              </w:rPr>
            </w:pPr>
            <w:r>
              <w:rPr>
                <w:rFonts w:ascii="宋体" w:hAnsi="Calibri" w:eastAsia="宋体" w:cs="Times New Roman"/>
                <w:sz w:val="18"/>
                <w:szCs w:val="21"/>
              </w:rPr>
              <w:t>S-2</w:t>
            </w:r>
          </w:p>
        </w:tc>
        <w:tc>
          <w:tcPr>
            <w:tcW w:w="2552" w:type="dxa"/>
            <w:tcBorders>
              <w:top w:val="single" w:color="auto" w:sz="8" w:space="0"/>
            </w:tcBorders>
          </w:tcPr>
          <w:p w14:paraId="2728F627">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4.0</w:t>
            </w:r>
          </w:p>
        </w:tc>
      </w:tr>
      <w:tr w14:paraId="76CC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8" w:space="0"/>
            </w:tcBorders>
            <w:vAlign w:val="center"/>
          </w:tcPr>
          <w:p w14:paraId="527220B3">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2</w:t>
            </w:r>
          </w:p>
        </w:tc>
        <w:tc>
          <w:tcPr>
            <w:tcW w:w="3260" w:type="dxa"/>
            <w:tcBorders>
              <w:top w:val="single" w:color="auto" w:sz="8" w:space="0"/>
            </w:tcBorders>
            <w:vAlign w:val="center"/>
          </w:tcPr>
          <w:p w14:paraId="24D5B192">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尺寸</w:t>
            </w:r>
          </w:p>
        </w:tc>
        <w:tc>
          <w:tcPr>
            <w:tcW w:w="1417" w:type="dxa"/>
            <w:tcBorders>
              <w:top w:val="single" w:color="auto" w:sz="8" w:space="0"/>
            </w:tcBorders>
          </w:tcPr>
          <w:p w14:paraId="1D229954">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13只</w:t>
            </w:r>
          </w:p>
        </w:tc>
        <w:tc>
          <w:tcPr>
            <w:tcW w:w="2552" w:type="dxa"/>
            <w:tcBorders>
              <w:top w:val="single" w:color="auto" w:sz="8" w:space="0"/>
            </w:tcBorders>
          </w:tcPr>
          <w:p w14:paraId="2337D0C8">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全部合格</w:t>
            </w:r>
          </w:p>
        </w:tc>
      </w:tr>
      <w:tr w14:paraId="3CE0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8" w:space="0"/>
            </w:tcBorders>
            <w:vAlign w:val="center"/>
          </w:tcPr>
          <w:p w14:paraId="03512913">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3</w:t>
            </w:r>
          </w:p>
        </w:tc>
        <w:tc>
          <w:tcPr>
            <w:tcW w:w="3260" w:type="dxa"/>
            <w:tcBorders>
              <w:top w:val="single" w:color="auto" w:sz="8" w:space="0"/>
            </w:tcBorders>
            <w:vAlign w:val="center"/>
          </w:tcPr>
          <w:p w14:paraId="5BA162B1">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包装完整性</w:t>
            </w:r>
          </w:p>
        </w:tc>
        <w:tc>
          <w:tcPr>
            <w:tcW w:w="1417" w:type="dxa"/>
            <w:tcBorders>
              <w:top w:val="single" w:color="auto" w:sz="8" w:space="0"/>
            </w:tcBorders>
          </w:tcPr>
          <w:p w14:paraId="59540142">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S-3</w:t>
            </w:r>
          </w:p>
        </w:tc>
        <w:tc>
          <w:tcPr>
            <w:tcW w:w="2552" w:type="dxa"/>
            <w:tcBorders>
              <w:top w:val="single" w:color="auto" w:sz="8" w:space="0"/>
            </w:tcBorders>
          </w:tcPr>
          <w:p w14:paraId="06C13379">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2.5</w:t>
            </w:r>
          </w:p>
        </w:tc>
      </w:tr>
      <w:tr w14:paraId="2CB0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bottom w:val="single" w:color="auto" w:sz="4" w:space="0"/>
            </w:tcBorders>
            <w:vAlign w:val="center"/>
          </w:tcPr>
          <w:p w14:paraId="1BDDBC21">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4</w:t>
            </w:r>
          </w:p>
        </w:tc>
        <w:tc>
          <w:tcPr>
            <w:tcW w:w="3260" w:type="dxa"/>
            <w:tcBorders>
              <w:top w:val="single" w:color="auto" w:sz="4" w:space="0"/>
              <w:bottom w:val="single" w:color="auto" w:sz="4" w:space="0"/>
            </w:tcBorders>
            <w:vAlign w:val="center"/>
          </w:tcPr>
          <w:p w14:paraId="659B74E3">
            <w:pPr>
              <w:adjustRightInd w:val="0"/>
              <w:spacing w:line="400" w:lineRule="exact"/>
              <w:jc w:val="center"/>
              <w:rPr>
                <w:rFonts w:ascii="宋体" w:hAnsi="Calibri" w:eastAsia="宋体" w:cs="Times New Roman"/>
                <w:sz w:val="18"/>
                <w:szCs w:val="21"/>
              </w:rPr>
            </w:pPr>
            <w:r>
              <w:rPr>
                <w:rFonts w:ascii="宋体" w:hAnsi="Calibri" w:eastAsia="宋体" w:cs="Times New Roman"/>
                <w:sz w:val="18"/>
                <w:szCs w:val="21"/>
              </w:rPr>
              <w:t>拉伸强度、拉断伸长率</w:t>
            </w:r>
          </w:p>
        </w:tc>
        <w:tc>
          <w:tcPr>
            <w:tcW w:w="1417" w:type="dxa"/>
            <w:tcBorders>
              <w:top w:val="single" w:color="auto" w:sz="4" w:space="0"/>
              <w:bottom w:val="single" w:color="auto" w:sz="4" w:space="0"/>
            </w:tcBorders>
          </w:tcPr>
          <w:p w14:paraId="4C59518B">
            <w:pPr>
              <w:adjustRightInd w:val="0"/>
              <w:spacing w:line="400" w:lineRule="exact"/>
              <w:jc w:val="center"/>
              <w:rPr>
                <w:rFonts w:ascii="宋体" w:hAnsi="Calibri" w:eastAsia="宋体" w:cs="Times New Roman"/>
                <w:sz w:val="18"/>
                <w:szCs w:val="21"/>
              </w:rPr>
            </w:pPr>
            <w:r>
              <w:rPr>
                <w:rFonts w:ascii="宋体" w:hAnsi="Calibri" w:eastAsia="宋体" w:cs="Times New Roman"/>
                <w:sz w:val="18"/>
                <w:szCs w:val="21"/>
              </w:rPr>
              <w:t>S-</w:t>
            </w:r>
            <w:r>
              <w:rPr>
                <w:rFonts w:hint="eastAsia" w:ascii="宋体" w:hAnsi="Calibri" w:eastAsia="宋体" w:cs="Times New Roman"/>
                <w:sz w:val="18"/>
                <w:szCs w:val="21"/>
              </w:rPr>
              <w:t>2</w:t>
            </w:r>
          </w:p>
        </w:tc>
        <w:tc>
          <w:tcPr>
            <w:tcW w:w="2552" w:type="dxa"/>
            <w:tcBorders>
              <w:top w:val="single" w:color="auto" w:sz="4" w:space="0"/>
              <w:bottom w:val="single" w:color="auto" w:sz="4" w:space="0"/>
            </w:tcBorders>
          </w:tcPr>
          <w:p w14:paraId="4D6F1242">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4.0</w:t>
            </w:r>
          </w:p>
        </w:tc>
      </w:tr>
      <w:tr w14:paraId="6FD9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bottom w:val="single" w:color="auto" w:sz="4" w:space="0"/>
            </w:tcBorders>
            <w:vAlign w:val="center"/>
          </w:tcPr>
          <w:p w14:paraId="5CAA28E0">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5</w:t>
            </w:r>
          </w:p>
        </w:tc>
        <w:tc>
          <w:tcPr>
            <w:tcW w:w="3260" w:type="dxa"/>
            <w:tcBorders>
              <w:top w:val="single" w:color="auto" w:sz="4" w:space="0"/>
              <w:bottom w:val="single" w:color="auto" w:sz="4" w:space="0"/>
            </w:tcBorders>
            <w:vAlign w:val="center"/>
          </w:tcPr>
          <w:p w14:paraId="06EEF4A4">
            <w:pPr>
              <w:adjustRightInd w:val="0"/>
              <w:spacing w:line="400" w:lineRule="exact"/>
              <w:jc w:val="center"/>
              <w:rPr>
                <w:rFonts w:ascii="宋体" w:hAnsi="Calibri" w:eastAsia="宋体" w:cs="Times New Roman"/>
                <w:sz w:val="18"/>
                <w:szCs w:val="21"/>
              </w:rPr>
            </w:pPr>
            <w:r>
              <w:rPr>
                <w:rFonts w:ascii="宋体" w:hAnsi="Calibri" w:eastAsia="宋体" w:cs="Times New Roman"/>
                <w:sz w:val="18"/>
                <w:szCs w:val="21"/>
              </w:rPr>
              <w:t>热稳定性</w:t>
            </w:r>
          </w:p>
        </w:tc>
        <w:tc>
          <w:tcPr>
            <w:tcW w:w="1417" w:type="dxa"/>
            <w:tcBorders>
              <w:top w:val="single" w:color="auto" w:sz="4" w:space="0"/>
              <w:bottom w:val="single" w:color="auto" w:sz="4" w:space="0"/>
            </w:tcBorders>
          </w:tcPr>
          <w:p w14:paraId="182BF433">
            <w:pPr>
              <w:adjustRightInd w:val="0"/>
              <w:spacing w:line="400" w:lineRule="exact"/>
              <w:jc w:val="center"/>
              <w:rPr>
                <w:rFonts w:ascii="宋体" w:hAnsi="Calibri" w:eastAsia="宋体" w:cs="Times New Roman"/>
                <w:sz w:val="18"/>
                <w:szCs w:val="21"/>
              </w:rPr>
            </w:pPr>
            <w:r>
              <w:rPr>
                <w:rFonts w:ascii="宋体" w:hAnsi="Calibri" w:eastAsia="宋体" w:cs="Times New Roman"/>
                <w:sz w:val="18"/>
                <w:szCs w:val="21"/>
              </w:rPr>
              <w:t>S-</w:t>
            </w:r>
            <w:r>
              <w:rPr>
                <w:rFonts w:hint="eastAsia" w:ascii="宋体" w:hAnsi="Calibri" w:eastAsia="宋体" w:cs="Times New Roman"/>
                <w:sz w:val="18"/>
                <w:szCs w:val="21"/>
              </w:rPr>
              <w:t>2</w:t>
            </w:r>
          </w:p>
        </w:tc>
        <w:tc>
          <w:tcPr>
            <w:tcW w:w="2552" w:type="dxa"/>
            <w:tcBorders>
              <w:top w:val="single" w:color="auto" w:sz="4" w:space="0"/>
              <w:bottom w:val="single" w:color="auto" w:sz="4" w:space="0"/>
            </w:tcBorders>
          </w:tcPr>
          <w:p w14:paraId="6943F9FA">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4.0</w:t>
            </w:r>
          </w:p>
        </w:tc>
      </w:tr>
      <w:tr w14:paraId="5DEA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bottom w:val="single" w:color="auto" w:sz="4" w:space="0"/>
            </w:tcBorders>
            <w:vAlign w:val="center"/>
          </w:tcPr>
          <w:p w14:paraId="21E7F351">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6</w:t>
            </w:r>
          </w:p>
        </w:tc>
        <w:tc>
          <w:tcPr>
            <w:tcW w:w="3260" w:type="dxa"/>
            <w:tcBorders>
              <w:top w:val="single" w:color="auto" w:sz="4" w:space="0"/>
              <w:bottom w:val="single" w:color="auto" w:sz="4" w:space="0"/>
            </w:tcBorders>
            <w:vAlign w:val="center"/>
          </w:tcPr>
          <w:p w14:paraId="5B0BD485">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不透水性</w:t>
            </w:r>
          </w:p>
        </w:tc>
        <w:tc>
          <w:tcPr>
            <w:tcW w:w="1417" w:type="dxa"/>
            <w:tcBorders>
              <w:top w:val="single" w:color="auto" w:sz="4" w:space="0"/>
              <w:bottom w:val="single" w:color="auto" w:sz="4" w:space="0"/>
            </w:tcBorders>
          </w:tcPr>
          <w:p w14:paraId="532509B1">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I</w:t>
            </w:r>
          </w:p>
        </w:tc>
        <w:tc>
          <w:tcPr>
            <w:tcW w:w="2552" w:type="dxa"/>
            <w:tcBorders>
              <w:top w:val="single" w:color="auto" w:sz="4" w:space="0"/>
              <w:bottom w:val="single" w:color="auto" w:sz="4" w:space="0"/>
            </w:tcBorders>
          </w:tcPr>
          <w:p w14:paraId="0C7DDB30">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1.5</w:t>
            </w:r>
          </w:p>
        </w:tc>
      </w:tr>
      <w:tr w14:paraId="3B37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bottom w:val="single" w:color="auto" w:sz="4" w:space="0"/>
            </w:tcBorders>
            <w:vAlign w:val="center"/>
          </w:tcPr>
          <w:p w14:paraId="320F1CBE">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7</w:t>
            </w:r>
          </w:p>
        </w:tc>
        <w:tc>
          <w:tcPr>
            <w:tcW w:w="3260" w:type="dxa"/>
            <w:tcBorders>
              <w:top w:val="single" w:color="auto" w:sz="4" w:space="0"/>
              <w:bottom w:val="single" w:color="auto" w:sz="4" w:space="0"/>
            </w:tcBorders>
            <w:vAlign w:val="center"/>
          </w:tcPr>
          <w:p w14:paraId="08CE61A5">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荧光增白剂</w:t>
            </w:r>
          </w:p>
        </w:tc>
        <w:tc>
          <w:tcPr>
            <w:tcW w:w="1417" w:type="dxa"/>
            <w:tcBorders>
              <w:top w:val="single" w:color="auto" w:sz="4" w:space="0"/>
              <w:bottom w:val="single" w:color="auto" w:sz="4" w:space="0"/>
            </w:tcBorders>
          </w:tcPr>
          <w:p w14:paraId="7084A864">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5只</w:t>
            </w:r>
          </w:p>
        </w:tc>
        <w:tc>
          <w:tcPr>
            <w:tcW w:w="2552" w:type="dxa"/>
            <w:tcBorders>
              <w:top w:val="single" w:color="auto" w:sz="4" w:space="0"/>
              <w:bottom w:val="single" w:color="auto" w:sz="4" w:space="0"/>
            </w:tcBorders>
          </w:tcPr>
          <w:p w14:paraId="2C3D0009">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全部合格</w:t>
            </w:r>
          </w:p>
        </w:tc>
      </w:tr>
      <w:tr w14:paraId="346B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bottom w:val="single" w:color="auto" w:sz="8" w:space="0"/>
            </w:tcBorders>
            <w:vAlign w:val="center"/>
          </w:tcPr>
          <w:p w14:paraId="33D5C0B4">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8</w:t>
            </w:r>
          </w:p>
        </w:tc>
        <w:tc>
          <w:tcPr>
            <w:tcW w:w="3260" w:type="dxa"/>
            <w:tcBorders>
              <w:top w:val="single" w:color="auto" w:sz="4" w:space="0"/>
              <w:bottom w:val="single" w:color="auto" w:sz="8" w:space="0"/>
            </w:tcBorders>
            <w:vAlign w:val="center"/>
          </w:tcPr>
          <w:p w14:paraId="3A0142D9">
            <w:pPr>
              <w:adjustRightInd w:val="0"/>
              <w:spacing w:line="400" w:lineRule="exact"/>
              <w:jc w:val="center"/>
              <w:rPr>
                <w:rFonts w:ascii="宋体" w:hAnsi="Calibri" w:eastAsia="宋体" w:cs="Times New Roman"/>
                <w:sz w:val="18"/>
                <w:szCs w:val="21"/>
              </w:rPr>
            </w:pPr>
            <w:r>
              <w:rPr>
                <w:rFonts w:hint="eastAsia"/>
              </w:rPr>
              <w:t>穿戴性能</w:t>
            </w:r>
          </w:p>
        </w:tc>
        <w:tc>
          <w:tcPr>
            <w:tcW w:w="1417" w:type="dxa"/>
            <w:tcBorders>
              <w:top w:val="single" w:color="auto" w:sz="4" w:space="0"/>
              <w:bottom w:val="single" w:color="auto" w:sz="8" w:space="0"/>
            </w:tcBorders>
          </w:tcPr>
          <w:p w14:paraId="1630D359">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15只</w:t>
            </w:r>
          </w:p>
        </w:tc>
        <w:tc>
          <w:tcPr>
            <w:tcW w:w="2552" w:type="dxa"/>
            <w:tcBorders>
              <w:top w:val="single" w:color="auto" w:sz="4" w:space="0"/>
              <w:bottom w:val="single" w:color="auto" w:sz="8" w:space="0"/>
            </w:tcBorders>
          </w:tcPr>
          <w:p w14:paraId="399FD539">
            <w:pPr>
              <w:adjustRightInd w:val="0"/>
              <w:spacing w:line="400" w:lineRule="exact"/>
              <w:jc w:val="center"/>
              <w:rPr>
                <w:rFonts w:ascii="宋体" w:hAnsi="Calibri" w:eastAsia="宋体" w:cs="Times New Roman"/>
                <w:sz w:val="18"/>
                <w:szCs w:val="21"/>
              </w:rPr>
            </w:pPr>
            <w:r>
              <w:rPr>
                <w:rFonts w:hint="eastAsia" w:ascii="宋体" w:hAnsi="Calibri" w:eastAsia="宋体" w:cs="Times New Roman"/>
                <w:sz w:val="18"/>
                <w:szCs w:val="21"/>
              </w:rPr>
              <w:t>全部合格</w:t>
            </w:r>
          </w:p>
        </w:tc>
      </w:tr>
    </w:tbl>
    <w:p w14:paraId="64B7F54E">
      <w:pPr>
        <w:pStyle w:val="14"/>
        <w:jc w:val="center"/>
      </w:pPr>
    </w:p>
    <w:p w14:paraId="5CA5355C">
      <w:pPr>
        <w:pStyle w:val="14"/>
        <w:ind w:firstLine="0" w:firstLineChars="0"/>
      </w:pPr>
      <w:r>
        <w:rPr>
          <w:rFonts w:hint="eastAsia" w:asciiTheme="minorHAnsi" w:hAnsiTheme="minorHAnsi" w:eastAsiaTheme="minorEastAsia" w:cstheme="minorBidi"/>
          <w:kern w:val="2"/>
          <w:szCs w:val="22"/>
        </w:rPr>
        <w:t xml:space="preserve">7.4.2 </w:t>
      </w:r>
      <w:r>
        <w:rPr>
          <w:rFonts w:hint="eastAsia"/>
        </w:rPr>
        <w:t>无菌、微生物限度、环氧乙烷残留、水抽提蛋白质含量、皮肤刺激、皮肤致敏应按照测试方法规定，从每批产品中抽取的样本中随机抽取足够数量的样品进行检验。</w:t>
      </w:r>
    </w:p>
    <w:p w14:paraId="6B45136F">
      <w:pPr>
        <w:pStyle w:val="13"/>
        <w:spacing w:before="312" w:after="312"/>
      </w:pPr>
      <w:r>
        <w:rPr>
          <w:rFonts w:hint="eastAsia"/>
        </w:rPr>
        <w:t>8 标识、包装、运输和贮存</w:t>
      </w:r>
    </w:p>
    <w:p w14:paraId="79CECB49">
      <w:pPr>
        <w:pStyle w:val="13"/>
        <w:spacing w:before="312" w:after="312"/>
      </w:pPr>
      <w:r>
        <w:rPr>
          <w:rFonts w:hint="eastAsia"/>
        </w:rPr>
        <w:t>8.1 标识</w:t>
      </w:r>
    </w:p>
    <w:p w14:paraId="01A06186">
      <w:pPr>
        <w:pStyle w:val="17"/>
        <w:spacing w:before="156" w:after="156"/>
        <w:rPr>
          <w:rFonts w:ascii="宋体" w:eastAsia="宋体"/>
          <w:szCs w:val="20"/>
        </w:rPr>
      </w:pPr>
      <w:r>
        <w:rPr>
          <w:rFonts w:hint="eastAsia" w:asciiTheme="minorHAnsi" w:hAnsiTheme="minorHAnsi" w:eastAsiaTheme="minorEastAsia" w:cstheme="minorBidi"/>
          <w:kern w:val="2"/>
          <w:szCs w:val="22"/>
        </w:rPr>
        <w:t>8</w:t>
      </w:r>
      <w:r>
        <w:rPr>
          <w:rFonts w:asciiTheme="minorHAnsi" w:hAnsiTheme="minorHAnsi" w:eastAsiaTheme="minorEastAsia" w:cstheme="minorBidi"/>
          <w:kern w:val="2"/>
          <w:szCs w:val="22"/>
        </w:rPr>
        <w:t>.1.1</w:t>
      </w:r>
      <w:r>
        <w:rPr>
          <w:rFonts w:ascii="宋体" w:eastAsia="宋体"/>
          <w:szCs w:val="20"/>
        </w:rPr>
        <w:t xml:space="preserve"> </w:t>
      </w:r>
      <w:r>
        <w:rPr>
          <w:rFonts w:hint="eastAsia" w:ascii="宋体" w:eastAsia="宋体"/>
          <w:szCs w:val="20"/>
        </w:rPr>
        <w:t>产品最小销售包装上应标明以下内容：</w:t>
      </w:r>
    </w:p>
    <w:p w14:paraId="4B00B004">
      <w:pPr>
        <w:pStyle w:val="17"/>
        <w:spacing w:before="156" w:after="156"/>
        <w:rPr>
          <w:rFonts w:ascii="宋体" w:eastAsia="宋体"/>
          <w:szCs w:val="20"/>
        </w:rPr>
      </w:pPr>
      <w:r>
        <w:rPr>
          <w:rFonts w:ascii="宋体" w:eastAsia="宋体"/>
          <w:szCs w:val="20"/>
        </w:rPr>
        <w:t xml:space="preserve">a) </w:t>
      </w:r>
      <w:r>
        <w:rPr>
          <w:rFonts w:hint="eastAsia" w:ascii="宋体" w:eastAsia="宋体"/>
          <w:szCs w:val="20"/>
        </w:rPr>
        <w:t>产品名称；</w:t>
      </w:r>
    </w:p>
    <w:p w14:paraId="2682659A">
      <w:pPr>
        <w:pStyle w:val="17"/>
        <w:spacing w:before="156" w:after="156"/>
        <w:rPr>
          <w:rFonts w:ascii="宋体" w:eastAsia="宋体"/>
          <w:szCs w:val="20"/>
        </w:rPr>
      </w:pPr>
      <w:r>
        <w:rPr>
          <w:rFonts w:ascii="宋体" w:eastAsia="宋体"/>
          <w:szCs w:val="20"/>
        </w:rPr>
        <w:t xml:space="preserve">b) </w:t>
      </w:r>
      <w:r>
        <w:rPr>
          <w:rFonts w:hint="eastAsia" w:ascii="宋体" w:eastAsia="宋体"/>
          <w:szCs w:val="20"/>
        </w:rPr>
        <w:t>材质（天然胶乳</w:t>
      </w:r>
      <w:r>
        <w:rPr>
          <w:rFonts w:ascii="宋体" w:eastAsia="宋体"/>
          <w:szCs w:val="20"/>
        </w:rPr>
        <w:t xml:space="preserve"> / </w:t>
      </w:r>
      <w:r>
        <w:rPr>
          <w:rFonts w:hint="eastAsia" w:ascii="宋体" w:eastAsia="宋体"/>
          <w:szCs w:val="20"/>
        </w:rPr>
        <w:t>聚氨酯）；</w:t>
      </w:r>
    </w:p>
    <w:p w14:paraId="74EEB7D3">
      <w:pPr>
        <w:pStyle w:val="17"/>
        <w:spacing w:before="156" w:after="156"/>
        <w:rPr>
          <w:rFonts w:ascii="宋体" w:eastAsia="宋体"/>
          <w:szCs w:val="20"/>
        </w:rPr>
      </w:pPr>
      <w:r>
        <w:rPr>
          <w:rFonts w:ascii="宋体" w:eastAsia="宋体"/>
          <w:szCs w:val="20"/>
        </w:rPr>
        <w:t xml:space="preserve">c) </w:t>
      </w:r>
      <w:r>
        <w:rPr>
          <w:rFonts w:hint="eastAsia" w:ascii="宋体" w:eastAsia="宋体"/>
          <w:szCs w:val="20"/>
        </w:rPr>
        <w:t>型号：尺寸（</w:t>
      </w:r>
      <w:r>
        <w:rPr>
          <w:rFonts w:ascii="宋体" w:eastAsia="宋体"/>
          <w:szCs w:val="20"/>
        </w:rPr>
        <w:t>S/M/L/SP</w:t>
      </w:r>
      <w:r>
        <w:rPr>
          <w:rFonts w:hint="eastAsia" w:ascii="宋体" w:eastAsia="宋体"/>
          <w:szCs w:val="20"/>
        </w:rPr>
        <w:t>）/类型（光面型/非光面型/其他）；</w:t>
      </w:r>
    </w:p>
    <w:p w14:paraId="0C080504">
      <w:pPr>
        <w:pStyle w:val="17"/>
        <w:spacing w:before="156" w:after="156"/>
        <w:rPr>
          <w:rFonts w:ascii="宋体" w:eastAsia="宋体"/>
          <w:szCs w:val="20"/>
        </w:rPr>
      </w:pPr>
      <w:r>
        <w:rPr>
          <w:rFonts w:ascii="宋体" w:eastAsia="宋体"/>
          <w:szCs w:val="20"/>
        </w:rPr>
        <w:t xml:space="preserve">d) </w:t>
      </w:r>
      <w:r>
        <w:rPr>
          <w:rFonts w:hint="eastAsia" w:ascii="宋体" w:eastAsia="宋体"/>
          <w:szCs w:val="20"/>
        </w:rPr>
        <w:t>规格（单只</w:t>
      </w:r>
      <w:r>
        <w:rPr>
          <w:rFonts w:ascii="宋体" w:eastAsia="宋体"/>
          <w:szCs w:val="20"/>
        </w:rPr>
        <w:t>/</w:t>
      </w:r>
      <w:r>
        <w:rPr>
          <w:rFonts w:hint="eastAsia" w:ascii="宋体" w:eastAsia="宋体"/>
          <w:szCs w:val="20"/>
        </w:rPr>
        <w:t>包（盒），每包（盒）数量）；</w:t>
      </w:r>
    </w:p>
    <w:p w14:paraId="7669339E">
      <w:pPr>
        <w:pStyle w:val="17"/>
        <w:spacing w:before="156" w:after="156"/>
        <w:rPr>
          <w:rFonts w:ascii="宋体" w:eastAsia="宋体"/>
          <w:szCs w:val="20"/>
        </w:rPr>
      </w:pPr>
      <w:r>
        <w:rPr>
          <w:rFonts w:ascii="宋体" w:eastAsia="宋体"/>
          <w:szCs w:val="20"/>
        </w:rPr>
        <w:t xml:space="preserve">e) </w:t>
      </w:r>
      <w:r>
        <w:rPr>
          <w:rFonts w:hint="eastAsia" w:ascii="宋体" w:eastAsia="宋体"/>
          <w:szCs w:val="20"/>
        </w:rPr>
        <w:t>无菌</w:t>
      </w:r>
      <w:r>
        <w:rPr>
          <w:rFonts w:ascii="宋体" w:eastAsia="宋体"/>
          <w:szCs w:val="20"/>
        </w:rPr>
        <w:t>/</w:t>
      </w:r>
      <w:r>
        <w:rPr>
          <w:rFonts w:hint="eastAsia" w:ascii="宋体" w:eastAsia="宋体"/>
          <w:szCs w:val="20"/>
        </w:rPr>
        <w:t>非无菌标识（无菌产品需标注</w:t>
      </w:r>
      <w:r>
        <w:rPr>
          <w:rFonts w:ascii="宋体" w:eastAsia="宋体"/>
          <w:szCs w:val="20"/>
        </w:rPr>
        <w:t xml:space="preserve"> “</w:t>
      </w:r>
      <w:r>
        <w:rPr>
          <w:rFonts w:hint="eastAsia" w:ascii="宋体" w:eastAsia="宋体"/>
          <w:szCs w:val="20"/>
        </w:rPr>
        <w:t>无菌”及无菌保证水平</w:t>
      </w:r>
      <w:r>
        <w:rPr>
          <w:rFonts w:ascii="宋体" w:eastAsia="宋体"/>
          <w:szCs w:val="20"/>
        </w:rPr>
        <w:t xml:space="preserve"> SAL</w:t>
      </w:r>
      <w:r>
        <w:rPr>
          <w:rFonts w:hint="eastAsia" w:ascii="宋体" w:eastAsia="宋体"/>
          <w:szCs w:val="20"/>
        </w:rPr>
        <w:t>≤</w:t>
      </w:r>
      <w:r>
        <w:rPr>
          <w:rFonts w:ascii="宋体" w:eastAsia="宋体"/>
          <w:szCs w:val="20"/>
        </w:rPr>
        <w:t>10⁻⁶</w:t>
      </w:r>
      <w:r>
        <w:rPr>
          <w:rFonts w:hint="eastAsia" w:ascii="宋体" w:eastAsia="宋体"/>
          <w:szCs w:val="20"/>
        </w:rPr>
        <w:t>）；</w:t>
      </w:r>
    </w:p>
    <w:p w14:paraId="545D0256">
      <w:pPr>
        <w:pStyle w:val="17"/>
        <w:spacing w:before="156" w:after="156"/>
        <w:rPr>
          <w:rFonts w:ascii="宋体" w:eastAsia="宋体"/>
          <w:szCs w:val="20"/>
        </w:rPr>
      </w:pPr>
      <w:r>
        <w:rPr>
          <w:rFonts w:ascii="宋体" w:eastAsia="宋体"/>
          <w:szCs w:val="20"/>
        </w:rPr>
        <w:t xml:space="preserve">f) </w:t>
      </w:r>
      <w:r>
        <w:rPr>
          <w:rFonts w:hint="eastAsia" w:ascii="宋体" w:eastAsia="宋体"/>
          <w:szCs w:val="20"/>
        </w:rPr>
        <w:t>灭菌方式（仅无菌产品，如</w:t>
      </w:r>
      <w:r>
        <w:rPr>
          <w:rFonts w:ascii="宋体" w:eastAsia="宋体"/>
          <w:szCs w:val="20"/>
        </w:rPr>
        <w:t xml:space="preserve"> “</w:t>
      </w:r>
      <w:r>
        <w:rPr>
          <w:rFonts w:hint="eastAsia" w:ascii="宋体" w:eastAsia="宋体"/>
          <w:szCs w:val="20"/>
        </w:rPr>
        <w:t>环氧乙烷灭菌”“辐照灭菌”）；</w:t>
      </w:r>
    </w:p>
    <w:p w14:paraId="080F544B">
      <w:pPr>
        <w:pStyle w:val="17"/>
        <w:spacing w:before="156" w:after="156"/>
        <w:rPr>
          <w:rFonts w:ascii="宋体" w:eastAsia="宋体"/>
          <w:szCs w:val="20"/>
        </w:rPr>
      </w:pPr>
      <w:r>
        <w:rPr>
          <w:rFonts w:ascii="宋体" w:eastAsia="宋体"/>
          <w:szCs w:val="20"/>
        </w:rPr>
        <w:t xml:space="preserve">g) </w:t>
      </w:r>
      <w:r>
        <w:rPr>
          <w:rFonts w:hint="eastAsia" w:ascii="宋体" w:eastAsia="宋体"/>
          <w:szCs w:val="20"/>
        </w:rPr>
        <w:t>批号；</w:t>
      </w:r>
    </w:p>
    <w:p w14:paraId="3C2ABAA2">
      <w:pPr>
        <w:pStyle w:val="17"/>
        <w:spacing w:before="156" w:after="156"/>
        <w:rPr>
          <w:rFonts w:ascii="宋体" w:eastAsia="宋体"/>
          <w:szCs w:val="20"/>
        </w:rPr>
      </w:pPr>
      <w:r>
        <w:rPr>
          <w:rFonts w:ascii="宋体" w:eastAsia="宋体"/>
          <w:szCs w:val="20"/>
        </w:rPr>
        <w:t xml:space="preserve">h) </w:t>
      </w:r>
      <w:r>
        <w:rPr>
          <w:rFonts w:hint="eastAsia" w:ascii="宋体" w:eastAsia="宋体"/>
          <w:szCs w:val="20"/>
        </w:rPr>
        <w:t>生产日期；</w:t>
      </w:r>
    </w:p>
    <w:p w14:paraId="448C7258">
      <w:pPr>
        <w:pStyle w:val="17"/>
        <w:spacing w:before="156" w:after="156"/>
        <w:rPr>
          <w:rFonts w:ascii="宋体" w:eastAsia="宋体"/>
          <w:szCs w:val="20"/>
        </w:rPr>
      </w:pPr>
      <w:r>
        <w:rPr>
          <w:rFonts w:ascii="宋体" w:eastAsia="宋体"/>
          <w:szCs w:val="20"/>
        </w:rPr>
        <w:t xml:space="preserve">i) </w:t>
      </w:r>
      <w:r>
        <w:rPr>
          <w:rFonts w:hint="eastAsia" w:ascii="宋体" w:eastAsia="宋体"/>
          <w:szCs w:val="20"/>
        </w:rPr>
        <w:t>有效期（或失效日期）；</w:t>
      </w:r>
    </w:p>
    <w:p w14:paraId="58610CF7">
      <w:pPr>
        <w:pStyle w:val="17"/>
        <w:spacing w:before="156" w:after="156"/>
        <w:rPr>
          <w:rFonts w:ascii="宋体" w:eastAsia="宋体"/>
          <w:szCs w:val="20"/>
        </w:rPr>
      </w:pPr>
      <w:r>
        <w:rPr>
          <w:rFonts w:ascii="宋体" w:eastAsia="宋体"/>
          <w:szCs w:val="20"/>
        </w:rPr>
        <w:t xml:space="preserve">j) </w:t>
      </w:r>
      <w:r>
        <w:rPr>
          <w:rFonts w:hint="eastAsia" w:ascii="宋体" w:eastAsia="宋体"/>
          <w:szCs w:val="20"/>
        </w:rPr>
        <w:t>生产企业名称、地址、联系方式；</w:t>
      </w:r>
    </w:p>
    <w:p w14:paraId="124B581D">
      <w:pPr>
        <w:pStyle w:val="17"/>
        <w:spacing w:before="156" w:after="156"/>
        <w:rPr>
          <w:rFonts w:ascii="宋体" w:eastAsia="宋体"/>
          <w:szCs w:val="20"/>
        </w:rPr>
      </w:pPr>
      <w:r>
        <w:rPr>
          <w:rFonts w:ascii="宋体" w:eastAsia="宋体"/>
          <w:szCs w:val="20"/>
        </w:rPr>
        <w:t xml:space="preserve">k) </w:t>
      </w:r>
      <w:r>
        <w:rPr>
          <w:rFonts w:hint="eastAsia" w:ascii="宋体" w:eastAsia="宋体"/>
          <w:szCs w:val="20"/>
        </w:rPr>
        <w:t>产品标准编号；</w:t>
      </w:r>
    </w:p>
    <w:p w14:paraId="4D0A5767">
      <w:pPr>
        <w:pStyle w:val="17"/>
        <w:spacing w:before="156" w:after="156"/>
        <w:rPr>
          <w:rFonts w:ascii="宋体" w:eastAsia="宋体"/>
          <w:szCs w:val="20"/>
        </w:rPr>
      </w:pPr>
      <w:r>
        <w:rPr>
          <w:rFonts w:hint="eastAsia" w:ascii="宋体" w:eastAsia="宋体"/>
          <w:szCs w:val="20"/>
        </w:rPr>
        <w:t>l) 警示语（天然胶乳产品标注 “含有天然胶乳，可能引起过敏”；产品标注 “一次性使用，禁止重复使用”）；</w:t>
      </w:r>
    </w:p>
    <w:p w14:paraId="65B0A2E9">
      <w:pPr>
        <w:pStyle w:val="17"/>
        <w:spacing w:before="156" w:after="156"/>
        <w:rPr>
          <w:rFonts w:ascii="宋体" w:eastAsia="宋体"/>
          <w:szCs w:val="20"/>
        </w:rPr>
      </w:pPr>
      <w:r>
        <w:rPr>
          <w:rFonts w:hint="eastAsia" w:ascii="宋体" w:eastAsia="宋体"/>
          <w:szCs w:val="20"/>
        </w:rPr>
        <w:t>m) 贮存条件提示；</w:t>
      </w:r>
    </w:p>
    <w:p w14:paraId="66B8EBE8">
      <w:pPr>
        <w:pStyle w:val="17"/>
        <w:spacing w:before="156" w:after="156"/>
        <w:rPr>
          <w:rFonts w:ascii="宋体" w:eastAsia="宋体"/>
          <w:szCs w:val="20"/>
        </w:rPr>
      </w:pPr>
      <w:r>
        <w:rPr>
          <w:rFonts w:hint="eastAsia" w:ascii="宋体" w:eastAsia="宋体"/>
          <w:szCs w:val="20"/>
        </w:rPr>
        <w:t>n) 包装破损禁用标识。</w:t>
      </w:r>
    </w:p>
    <w:p w14:paraId="22A4B6CD">
      <w:pPr>
        <w:pStyle w:val="17"/>
        <w:spacing w:before="156" w:after="156"/>
        <w:rPr>
          <w:rFonts w:ascii="宋体" w:eastAsia="宋体"/>
          <w:szCs w:val="20"/>
        </w:rPr>
      </w:pPr>
      <w:r>
        <w:rPr>
          <w:rFonts w:hint="eastAsia" w:asciiTheme="minorHAnsi" w:hAnsiTheme="minorHAnsi" w:eastAsiaTheme="minorEastAsia" w:cstheme="minorBidi"/>
          <w:kern w:val="2"/>
          <w:szCs w:val="22"/>
        </w:rPr>
        <w:t>8.1.2</w:t>
      </w:r>
      <w:r>
        <w:rPr>
          <w:rFonts w:hint="eastAsia" w:ascii="宋体" w:eastAsia="宋体"/>
          <w:szCs w:val="20"/>
        </w:rPr>
        <w:t xml:space="preserve"> 运输包装上应标明以下内容：</w:t>
      </w:r>
    </w:p>
    <w:p w14:paraId="6D289207">
      <w:pPr>
        <w:pStyle w:val="17"/>
        <w:spacing w:before="156" w:after="156"/>
        <w:rPr>
          <w:rFonts w:ascii="宋体" w:eastAsia="宋体"/>
          <w:szCs w:val="20"/>
        </w:rPr>
      </w:pPr>
      <w:r>
        <w:rPr>
          <w:rFonts w:hint="eastAsia" w:ascii="宋体" w:eastAsia="宋体"/>
          <w:szCs w:val="20"/>
        </w:rPr>
        <w:t>a) 生产企业名称、地址、联系方式；</w:t>
      </w:r>
    </w:p>
    <w:p w14:paraId="162C5A8F">
      <w:pPr>
        <w:pStyle w:val="17"/>
        <w:spacing w:before="156" w:after="156"/>
        <w:rPr>
          <w:rFonts w:ascii="宋体" w:eastAsia="宋体"/>
          <w:szCs w:val="20"/>
        </w:rPr>
      </w:pPr>
      <w:r>
        <w:rPr>
          <w:rFonts w:hint="eastAsia" w:ascii="宋体" w:eastAsia="宋体"/>
          <w:szCs w:val="20"/>
        </w:rPr>
        <w:t>b) 产品名称、型号、规格、数量；</w:t>
      </w:r>
    </w:p>
    <w:p w14:paraId="5D0B0247">
      <w:pPr>
        <w:pStyle w:val="17"/>
        <w:spacing w:before="156" w:after="156"/>
        <w:rPr>
          <w:rFonts w:ascii="宋体" w:eastAsia="宋体"/>
          <w:szCs w:val="20"/>
        </w:rPr>
      </w:pPr>
      <w:r>
        <w:rPr>
          <w:rFonts w:hint="eastAsia" w:ascii="宋体" w:eastAsia="宋体"/>
          <w:szCs w:val="20"/>
        </w:rPr>
        <w:t>c) 批号、生产日期、有效期；</w:t>
      </w:r>
    </w:p>
    <w:p w14:paraId="6078E100">
      <w:pPr>
        <w:pStyle w:val="17"/>
        <w:spacing w:before="156" w:after="156"/>
        <w:rPr>
          <w:rFonts w:ascii="宋体" w:eastAsia="宋体"/>
          <w:szCs w:val="20"/>
        </w:rPr>
      </w:pPr>
      <w:r>
        <w:rPr>
          <w:rFonts w:hint="eastAsia" w:ascii="宋体" w:eastAsia="宋体"/>
          <w:szCs w:val="20"/>
        </w:rPr>
        <w:t>d) 无菌 / 非无菌标识；</w:t>
      </w:r>
    </w:p>
    <w:p w14:paraId="54DDFC10">
      <w:pPr>
        <w:pStyle w:val="17"/>
        <w:spacing w:before="156" w:after="156"/>
        <w:rPr>
          <w:rFonts w:ascii="宋体" w:eastAsia="宋体"/>
          <w:szCs w:val="20"/>
        </w:rPr>
      </w:pPr>
      <w:r>
        <w:rPr>
          <w:rFonts w:hint="eastAsia" w:ascii="宋体" w:eastAsia="宋体"/>
          <w:szCs w:val="20"/>
        </w:rPr>
        <w:t>e) 运输包装图示标志按 GB/T 191 规定，包括 “小心轻放”“怕潮”“禁止挤压” 等；</w:t>
      </w:r>
    </w:p>
    <w:p w14:paraId="62D4A4EF">
      <w:pPr>
        <w:pStyle w:val="17"/>
        <w:spacing w:before="156" w:after="156"/>
        <w:rPr>
          <w:rFonts w:ascii="宋体" w:eastAsia="宋体"/>
          <w:szCs w:val="20"/>
        </w:rPr>
      </w:pPr>
      <w:r>
        <w:rPr>
          <w:rFonts w:hint="eastAsia" w:ascii="宋体" w:eastAsia="宋体"/>
          <w:szCs w:val="20"/>
        </w:rPr>
        <w:t>f) 毛重、净重、体积（长 × 宽 × 高，单位 mm）；</w:t>
      </w:r>
    </w:p>
    <w:p w14:paraId="089477AF">
      <w:pPr>
        <w:pStyle w:val="17"/>
        <w:spacing w:before="156" w:after="156"/>
        <w:rPr>
          <w:rFonts w:ascii="宋体" w:eastAsia="宋体"/>
          <w:szCs w:val="20"/>
        </w:rPr>
      </w:pPr>
      <w:r>
        <w:rPr>
          <w:rFonts w:hint="eastAsia" w:ascii="宋体" w:eastAsia="宋体"/>
          <w:szCs w:val="20"/>
        </w:rPr>
        <w:t>g) 产品标准编号。</w:t>
      </w:r>
    </w:p>
    <w:p w14:paraId="148F4910">
      <w:pPr>
        <w:pStyle w:val="17"/>
        <w:spacing w:before="156" w:after="156"/>
        <w:rPr>
          <w:rFonts w:ascii="宋体" w:eastAsia="宋体"/>
          <w:szCs w:val="20"/>
        </w:rPr>
      </w:pPr>
      <w:r>
        <w:rPr>
          <w:rFonts w:hint="eastAsia" w:asciiTheme="minorHAnsi" w:hAnsiTheme="minorHAnsi" w:eastAsiaTheme="minorEastAsia" w:cstheme="minorBidi"/>
          <w:kern w:val="2"/>
          <w:szCs w:val="22"/>
        </w:rPr>
        <w:t xml:space="preserve">8.1.3 </w:t>
      </w:r>
      <w:r>
        <w:rPr>
          <w:rFonts w:hint="eastAsia" w:ascii="宋体" w:eastAsia="宋体"/>
          <w:szCs w:val="20"/>
        </w:rPr>
        <w:t>标志应清晰、牢固，不易脱落，文字、图案易于识别。</w:t>
      </w:r>
    </w:p>
    <w:p w14:paraId="7DB77AB8">
      <w:pPr>
        <w:pStyle w:val="13"/>
        <w:spacing w:before="312" w:after="312"/>
      </w:pPr>
      <w:r>
        <w:rPr>
          <w:rFonts w:hint="eastAsia"/>
        </w:rPr>
        <w:t>8.2 包装</w:t>
      </w:r>
    </w:p>
    <w:p w14:paraId="1845237A">
      <w:pPr>
        <w:pStyle w:val="17"/>
        <w:spacing w:before="156" w:after="156"/>
        <w:rPr>
          <w:rFonts w:ascii="宋体" w:eastAsia="宋体"/>
          <w:szCs w:val="20"/>
        </w:rPr>
      </w:pPr>
      <w:r>
        <w:rPr>
          <w:rFonts w:hint="eastAsia" w:asciiTheme="minorHAnsi" w:hAnsiTheme="minorHAnsi" w:eastAsiaTheme="minorEastAsia" w:cstheme="minorBidi"/>
          <w:kern w:val="2"/>
          <w:szCs w:val="22"/>
        </w:rPr>
        <w:t xml:space="preserve">8.2.1 </w:t>
      </w:r>
      <w:r>
        <w:rPr>
          <w:rFonts w:hint="eastAsia" w:ascii="宋体" w:eastAsia="宋体"/>
          <w:szCs w:val="20"/>
        </w:rPr>
        <w:t>最小销售包装应采用符合医用要求的包装材料（如聚乙烯薄膜、纸塑复合膜等），包装材料应无毒、无异味、不透气、不透水，具有良好的阻隔性能，能防止产品污染和受潮。</w:t>
      </w:r>
    </w:p>
    <w:p w14:paraId="04CE9705">
      <w:pPr>
        <w:pStyle w:val="17"/>
        <w:spacing w:before="156" w:after="156"/>
        <w:rPr>
          <w:rFonts w:ascii="宋体" w:eastAsia="宋体"/>
          <w:szCs w:val="20"/>
        </w:rPr>
      </w:pPr>
      <w:r>
        <w:rPr>
          <w:rFonts w:hint="eastAsia" w:asciiTheme="minorHAnsi" w:hAnsiTheme="minorHAnsi" w:eastAsiaTheme="minorEastAsia" w:cstheme="minorBidi"/>
          <w:kern w:val="2"/>
          <w:szCs w:val="22"/>
        </w:rPr>
        <w:t>8.2.2</w:t>
      </w:r>
      <w:r>
        <w:rPr>
          <w:rFonts w:hint="eastAsia" w:ascii="宋体" w:eastAsia="宋体"/>
          <w:szCs w:val="20"/>
        </w:rPr>
        <w:t xml:space="preserve"> 无菌产品的最小销售包装应采用无菌包装，包装密封性应符合要求，经灭菌后无破损、无泄漏。</w:t>
      </w:r>
    </w:p>
    <w:p w14:paraId="696EF2F7">
      <w:pPr>
        <w:pStyle w:val="17"/>
        <w:spacing w:before="156" w:after="156"/>
        <w:rPr>
          <w:rFonts w:ascii="宋体" w:eastAsia="宋体"/>
          <w:szCs w:val="20"/>
        </w:rPr>
      </w:pPr>
      <w:r>
        <w:rPr>
          <w:rFonts w:hint="eastAsia" w:asciiTheme="minorHAnsi" w:hAnsiTheme="minorHAnsi" w:eastAsiaTheme="minorEastAsia" w:cstheme="minorBidi"/>
          <w:kern w:val="2"/>
          <w:szCs w:val="22"/>
        </w:rPr>
        <w:t>8.2.3</w:t>
      </w:r>
      <w:r>
        <w:rPr>
          <w:rFonts w:hint="eastAsia" w:ascii="宋体" w:eastAsia="宋体"/>
          <w:szCs w:val="20"/>
        </w:rPr>
        <w:t xml:space="preserve"> 每包产品数量应统一，允许偏差 ±1%，包装内不应有异物、破损产品。</w:t>
      </w:r>
    </w:p>
    <w:p w14:paraId="5ABEA8AD">
      <w:pPr>
        <w:pStyle w:val="17"/>
        <w:spacing w:before="156" w:after="156"/>
        <w:rPr>
          <w:rFonts w:ascii="宋体" w:eastAsia="宋体"/>
          <w:szCs w:val="20"/>
        </w:rPr>
      </w:pPr>
      <w:r>
        <w:rPr>
          <w:rFonts w:hint="eastAsia" w:asciiTheme="minorHAnsi" w:hAnsiTheme="minorHAnsi" w:eastAsiaTheme="minorEastAsia" w:cstheme="minorBidi"/>
          <w:kern w:val="2"/>
          <w:szCs w:val="22"/>
        </w:rPr>
        <w:t>8.2.4</w:t>
      </w:r>
      <w:r>
        <w:rPr>
          <w:rFonts w:hint="eastAsia" w:ascii="宋体" w:eastAsia="宋体"/>
          <w:szCs w:val="20"/>
        </w:rPr>
        <w:t xml:space="preserve"> 运输包装应采用双瓦楞纸箱，箱内应有缓冲材料（如泡沫、瓦楞纸隔板等），防止产品在运输过程中挤压、破损；箱体应牢固，封口严密，捆扎结实。</w:t>
      </w:r>
    </w:p>
    <w:p w14:paraId="40A2AD1F">
      <w:pPr>
        <w:pStyle w:val="17"/>
        <w:spacing w:before="156" w:after="156"/>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8.2.5 包装上应根据产品特性标注相应的防护标识，如 “防潮”“避光” 等。</w:t>
      </w:r>
    </w:p>
    <w:p w14:paraId="6A12BB5F">
      <w:pPr>
        <w:pStyle w:val="13"/>
        <w:spacing w:before="312" w:after="312"/>
      </w:pPr>
      <w:r>
        <w:rPr>
          <w:rFonts w:hint="eastAsia"/>
        </w:rPr>
        <w:t>8.3 运输</w:t>
      </w:r>
    </w:p>
    <w:p w14:paraId="1A6BB2AF">
      <w:pPr>
        <w:pStyle w:val="17"/>
        <w:spacing w:before="156" w:after="156"/>
        <w:rPr>
          <w:rFonts w:ascii="宋体" w:eastAsia="宋体"/>
          <w:szCs w:val="20"/>
        </w:rPr>
      </w:pPr>
      <w:r>
        <w:rPr>
          <w:rFonts w:hint="eastAsia" w:asciiTheme="minorHAnsi" w:hAnsiTheme="minorHAnsi" w:eastAsiaTheme="minorEastAsia" w:cstheme="minorBidi"/>
          <w:kern w:val="2"/>
          <w:szCs w:val="22"/>
        </w:rPr>
        <w:t>8.3.1</w:t>
      </w:r>
      <w:r>
        <w:rPr>
          <w:rFonts w:hint="eastAsia" w:ascii="宋体" w:eastAsia="宋体"/>
          <w:szCs w:val="20"/>
        </w:rPr>
        <w:t xml:space="preserve"> 产品运输应遵守相关运输法规的规定，运输工具应清洁、干燥、无污染，不应与有毒、有害、有异味或腐蚀性物质混运。</w:t>
      </w:r>
    </w:p>
    <w:p w14:paraId="16383107">
      <w:pPr>
        <w:pStyle w:val="17"/>
        <w:spacing w:before="156" w:after="156"/>
        <w:rPr>
          <w:rFonts w:ascii="宋体" w:eastAsia="宋体"/>
          <w:szCs w:val="20"/>
        </w:rPr>
      </w:pPr>
      <w:r>
        <w:rPr>
          <w:rFonts w:hint="eastAsia" w:asciiTheme="minorHAnsi" w:hAnsiTheme="minorHAnsi" w:eastAsiaTheme="minorEastAsia" w:cstheme="minorBidi"/>
          <w:kern w:val="2"/>
          <w:szCs w:val="22"/>
        </w:rPr>
        <w:t>8.3.2</w:t>
      </w:r>
      <w:r>
        <w:rPr>
          <w:rFonts w:hint="eastAsia" w:ascii="宋体" w:eastAsia="宋体"/>
          <w:szCs w:val="20"/>
        </w:rPr>
        <w:t xml:space="preserve"> 运输过程中应避免阳光直射、雨淋、高温、高湿环境，防止包装破损、产品受潮或污染。</w:t>
      </w:r>
    </w:p>
    <w:p w14:paraId="2C43E180">
      <w:pPr>
        <w:pStyle w:val="17"/>
        <w:spacing w:before="156" w:after="156"/>
        <w:rPr>
          <w:rFonts w:ascii="宋体" w:eastAsia="宋体"/>
          <w:szCs w:val="20"/>
        </w:rPr>
      </w:pPr>
      <w:r>
        <w:rPr>
          <w:rFonts w:hint="eastAsia" w:asciiTheme="minorHAnsi" w:hAnsiTheme="minorHAnsi" w:eastAsiaTheme="minorEastAsia" w:cstheme="minorBidi"/>
          <w:kern w:val="2"/>
          <w:szCs w:val="22"/>
        </w:rPr>
        <w:t>8.3.3</w:t>
      </w:r>
      <w:r>
        <w:rPr>
          <w:rFonts w:hint="eastAsia" w:ascii="宋体" w:eastAsia="宋体"/>
          <w:szCs w:val="20"/>
        </w:rPr>
        <w:t xml:space="preserve"> 运输过程中应轻拿轻放，避免剧烈碰撞、挤压和抛掷，确保产品不受损。</w:t>
      </w:r>
    </w:p>
    <w:p w14:paraId="40B3FD2A">
      <w:pPr>
        <w:pStyle w:val="17"/>
        <w:spacing w:before="156" w:after="156"/>
        <w:rPr>
          <w:rFonts w:ascii="宋体" w:eastAsia="宋体"/>
          <w:szCs w:val="20"/>
        </w:rPr>
      </w:pPr>
      <w:r>
        <w:rPr>
          <w:rFonts w:hint="eastAsia" w:asciiTheme="minorHAnsi" w:hAnsiTheme="minorHAnsi" w:eastAsiaTheme="minorEastAsia" w:cstheme="minorBidi"/>
          <w:kern w:val="2"/>
          <w:szCs w:val="22"/>
        </w:rPr>
        <w:t>8.3.4</w:t>
      </w:r>
      <w:r>
        <w:rPr>
          <w:rFonts w:hint="eastAsia" w:ascii="宋体" w:eastAsia="宋体"/>
          <w:szCs w:val="20"/>
        </w:rPr>
        <w:t xml:space="preserve"> 无菌产品运输应符合无菌医疗器械运输要求，避免灭菌后包装破损导致污染。</w:t>
      </w:r>
    </w:p>
    <w:p w14:paraId="2BF23D31">
      <w:pPr>
        <w:pStyle w:val="13"/>
        <w:spacing w:before="312" w:after="312"/>
      </w:pPr>
      <w:r>
        <w:rPr>
          <w:rFonts w:hint="eastAsia"/>
        </w:rPr>
        <w:t>8.4 贮存</w:t>
      </w:r>
    </w:p>
    <w:p w14:paraId="7B2D5CD9">
      <w:pPr>
        <w:pStyle w:val="17"/>
        <w:spacing w:before="156" w:after="156"/>
        <w:rPr>
          <w:rFonts w:ascii="宋体" w:eastAsia="宋体"/>
          <w:szCs w:val="20"/>
        </w:rPr>
      </w:pPr>
      <w:r>
        <w:rPr>
          <w:rFonts w:hint="eastAsia" w:asciiTheme="minorHAnsi" w:hAnsiTheme="minorHAnsi" w:eastAsiaTheme="minorEastAsia" w:cstheme="minorBidi"/>
          <w:kern w:val="2"/>
          <w:szCs w:val="22"/>
        </w:rPr>
        <w:t xml:space="preserve">8.4.1 </w:t>
      </w:r>
      <w:r>
        <w:rPr>
          <w:rFonts w:hint="eastAsia" w:ascii="宋体" w:eastAsia="宋体"/>
          <w:szCs w:val="20"/>
        </w:rPr>
        <w:t>产品应贮存在清洁、干燥、通风、阴凉的库房内，远离火源、热源（距离≥1 m）和污染源，不应与有毒、有害、有异味或腐蚀性物质同库贮存。</w:t>
      </w:r>
    </w:p>
    <w:p w14:paraId="720B89C1">
      <w:pPr>
        <w:pStyle w:val="17"/>
        <w:spacing w:before="156" w:after="156"/>
        <w:rPr>
          <w:rFonts w:ascii="宋体" w:eastAsia="宋体"/>
          <w:szCs w:val="20"/>
        </w:rPr>
      </w:pPr>
      <w:r>
        <w:rPr>
          <w:rFonts w:hint="eastAsia" w:asciiTheme="minorHAnsi" w:hAnsiTheme="minorHAnsi" w:eastAsiaTheme="minorEastAsia" w:cstheme="minorBidi"/>
          <w:kern w:val="2"/>
          <w:szCs w:val="22"/>
        </w:rPr>
        <w:t>8.4.2</w:t>
      </w:r>
      <w:r>
        <w:rPr>
          <w:rFonts w:hint="eastAsia" w:ascii="宋体" w:eastAsia="宋体"/>
          <w:szCs w:val="20"/>
        </w:rPr>
        <w:t xml:space="preserve"> 产品应放在货架上，离地面≥10 cm，离墙壁≥5 cm，防止受潮、发霉；堆放高度不得超过规定限度（按运输包装标注要求），避免挤压破损。</w:t>
      </w:r>
    </w:p>
    <w:p w14:paraId="5E742106">
      <w:pPr>
        <w:pStyle w:val="17"/>
        <w:spacing w:before="156" w:after="156"/>
        <w:rPr>
          <w:rFonts w:ascii="宋体" w:eastAsia="宋体"/>
          <w:szCs w:val="20"/>
        </w:rPr>
      </w:pPr>
      <w:r>
        <w:rPr>
          <w:rFonts w:hint="eastAsia" w:asciiTheme="minorHAnsi" w:hAnsiTheme="minorHAnsi" w:eastAsiaTheme="minorEastAsia" w:cstheme="minorBidi"/>
          <w:kern w:val="2"/>
          <w:szCs w:val="22"/>
        </w:rPr>
        <w:t>8.4.3</w:t>
      </w:r>
      <w:r>
        <w:rPr>
          <w:rFonts w:hint="eastAsia" w:ascii="宋体" w:eastAsia="宋体"/>
          <w:szCs w:val="20"/>
        </w:rPr>
        <w:t xml:space="preserve"> 无菌产品应单独贮存，贮存环境应符合洁净要求，防止包装破损导致污染；非无菌产品与无菌产品应分区贮存，并有明显标识。</w:t>
      </w:r>
    </w:p>
    <w:p w14:paraId="39433C6D">
      <w:pPr>
        <w:pStyle w:val="17"/>
        <w:spacing w:before="156" w:after="156"/>
        <w:rPr>
          <w:rFonts w:ascii="宋体" w:eastAsia="宋体"/>
          <w:szCs w:val="20"/>
        </w:rPr>
      </w:pPr>
      <w:r>
        <w:rPr>
          <w:rFonts w:hint="eastAsia" w:asciiTheme="minorHAnsi" w:hAnsiTheme="minorHAnsi" w:eastAsiaTheme="minorEastAsia" w:cstheme="minorBidi"/>
          <w:kern w:val="2"/>
          <w:szCs w:val="22"/>
        </w:rPr>
        <w:t>8.4.4</w:t>
      </w:r>
      <w:r>
        <w:rPr>
          <w:rFonts w:hint="eastAsia" w:ascii="宋体" w:eastAsia="宋体"/>
          <w:szCs w:val="20"/>
        </w:rPr>
        <w:t xml:space="preserve"> 产品在符合8.4规定的贮存条件下，有效期应符合以下要求：天然胶乳医用指套有效期≥2 年，聚氨酯医用指套有效期≥3 年（自生产日期起计算）。</w:t>
      </w:r>
    </w:p>
    <w:p w14:paraId="1BBCBF97">
      <w:pPr>
        <w:pStyle w:val="13"/>
        <w:spacing w:before="312" w:after="312"/>
      </w:pPr>
      <w:bookmarkStart w:id="11" w:name="_Toc925"/>
      <w:bookmarkStart w:id="12" w:name="_Toc565"/>
      <w:r>
        <w:rPr>
          <w:rFonts w:hint="eastAsia"/>
        </w:rPr>
        <w:t>9 生产管理要求</w:t>
      </w:r>
      <w:bookmarkEnd w:id="11"/>
      <w:bookmarkEnd w:id="12"/>
    </w:p>
    <w:p w14:paraId="0C3EA797">
      <w:pPr>
        <w:widowControl/>
        <w:numPr>
          <w:ilvl w:val="2"/>
          <w:numId w:val="0"/>
        </w:numPr>
        <w:spacing w:before="156" w:beforeLines="50" w:after="156" w:afterLines="50"/>
        <w:outlineLvl w:val="1"/>
        <w:rPr>
          <w:rFonts w:ascii="黑体" w:hAnsi="Times New Roman" w:eastAsia="黑体" w:cs="Times New Roman"/>
          <w:kern w:val="0"/>
          <w:szCs w:val="20"/>
        </w:rPr>
      </w:pPr>
      <w:bookmarkStart w:id="13" w:name="_Toc19461"/>
      <w:r>
        <w:rPr>
          <w:rFonts w:hint="eastAsia" w:ascii="黑体" w:hAnsi="Times New Roman" w:eastAsia="黑体" w:cs="Times New Roman"/>
          <w:kern w:val="0"/>
          <w:szCs w:val="20"/>
        </w:rPr>
        <w:t>9.1 总体要求</w:t>
      </w:r>
    </w:p>
    <w:p w14:paraId="60A2E47E">
      <w:pPr>
        <w:widowControl/>
        <w:numPr>
          <w:ilvl w:val="2"/>
          <w:numId w:val="0"/>
        </w:numPr>
        <w:spacing w:before="156" w:beforeLines="50" w:after="156" w:afterLines="50"/>
        <w:ind w:firstLine="420" w:firstLineChars="200"/>
        <w:outlineLvl w:val="1"/>
        <w:rPr>
          <w:rFonts w:ascii="黑体" w:hAnsi="Times New Roman" w:eastAsia="黑体" w:cs="Times New Roman"/>
          <w:kern w:val="0"/>
          <w:szCs w:val="20"/>
        </w:rPr>
      </w:pPr>
      <w:r>
        <w:rPr>
          <w:rFonts w:hint="eastAsia" w:ascii="Times New Roman" w:hAnsi="Times New Roman" w:eastAsia="宋体" w:cs="Times New Roman"/>
          <w:kern w:val="0"/>
          <w:szCs w:val="20"/>
        </w:rPr>
        <w:t>应遵循《医疗器械监督管理条例》相关规定。</w:t>
      </w:r>
      <w:r>
        <w:rPr>
          <w:rFonts w:hint="eastAsia" w:ascii="黑体" w:hAnsi="Times New Roman" w:eastAsia="黑体" w:cs="Times New Roman"/>
          <w:kern w:val="0"/>
          <w:szCs w:val="20"/>
        </w:rPr>
        <w:t xml:space="preserve"> </w:t>
      </w:r>
    </w:p>
    <w:p w14:paraId="4450E1F2">
      <w:pPr>
        <w:widowControl/>
        <w:numPr>
          <w:ilvl w:val="2"/>
          <w:numId w:val="0"/>
        </w:numPr>
        <w:spacing w:before="156" w:beforeLines="50" w:after="156" w:afterLines="50"/>
        <w:outlineLvl w:val="1"/>
        <w:rPr>
          <w:rFonts w:ascii="黑体" w:hAnsi="Times New Roman" w:eastAsia="黑体" w:cs="Times New Roman"/>
          <w:kern w:val="0"/>
          <w:szCs w:val="20"/>
        </w:rPr>
      </w:pPr>
      <w:r>
        <w:rPr>
          <w:rFonts w:hint="eastAsia" w:ascii="黑体" w:hAnsi="Times New Roman" w:eastAsia="黑体" w:cs="Times New Roman"/>
          <w:kern w:val="0"/>
          <w:szCs w:val="20"/>
        </w:rPr>
        <w:t>9.2 生产环境</w:t>
      </w:r>
      <w:bookmarkEnd w:id="13"/>
      <w:r>
        <w:rPr>
          <w:rFonts w:hint="eastAsia" w:ascii="黑体" w:hAnsi="Times New Roman" w:eastAsia="黑体" w:cs="Times New Roman"/>
          <w:kern w:val="0"/>
          <w:szCs w:val="20"/>
        </w:rPr>
        <w:t xml:space="preserve">  </w:t>
      </w:r>
    </w:p>
    <w:p w14:paraId="2655A56A">
      <w:pPr>
        <w:widowControl/>
        <w:tabs>
          <w:tab w:val="center" w:pos="4201"/>
          <w:tab w:val="right" w:leader="dot" w:pos="9298"/>
        </w:tabs>
        <w:autoSpaceDE w:val="0"/>
        <w:autoSpaceDN w:val="0"/>
        <w:ind w:firstLine="420" w:firstLineChars="200"/>
        <w:rPr>
          <w:rFonts w:ascii="宋体" w:hAnsi="Times New Roman" w:eastAsia="宋体" w:cs="Times New Roman"/>
          <w:kern w:val="0"/>
          <w:szCs w:val="21"/>
        </w:rPr>
      </w:pPr>
      <w:r>
        <w:rPr>
          <w:rFonts w:hint="eastAsia" w:hAnsi="Times New Roman" w:cs="Times New Roman"/>
          <w:szCs w:val="21"/>
        </w:rPr>
        <w:t>生产质量管理体系应遵循GB/T42061的相关要求。</w:t>
      </w:r>
    </w:p>
    <w:p w14:paraId="2DC08738">
      <w:pPr>
        <w:widowControl/>
        <w:tabs>
          <w:tab w:val="center" w:pos="4201"/>
          <w:tab w:val="right" w:leader="dot" w:pos="9298"/>
        </w:tabs>
        <w:autoSpaceDE w:val="0"/>
        <w:autoSpaceDN w:val="0"/>
        <w:ind w:firstLine="420" w:firstLineChars="200"/>
        <w:rPr>
          <w:rFonts w:ascii="宋体" w:hAnsi="Times New Roman" w:eastAsia="宋体" w:cs="Times New Roman"/>
          <w:kern w:val="0"/>
          <w:szCs w:val="20"/>
        </w:rPr>
        <w:sectPr>
          <w:footerReference r:id="rId9" w:type="default"/>
          <w:pgSz w:w="11906" w:h="16838"/>
          <w:pgMar w:top="1440" w:right="1800" w:bottom="1440" w:left="1800" w:header="851" w:footer="992" w:gutter="0"/>
          <w:cols w:space="425" w:num="1"/>
          <w:docGrid w:type="lines" w:linePitch="312" w:charSpace="0"/>
        </w:sectPr>
      </w:pPr>
    </w:p>
    <w:p w14:paraId="387F82A3">
      <w:pPr>
        <w:widowControl/>
        <w:tabs>
          <w:tab w:val="center" w:pos="4201"/>
          <w:tab w:val="right" w:leader="dot" w:pos="9298"/>
        </w:tabs>
        <w:autoSpaceDE w:val="0"/>
        <w:autoSpaceDN w:val="0"/>
        <w:ind w:firstLine="420" w:firstLineChars="200"/>
        <w:rPr>
          <w:rFonts w:ascii="宋体" w:hAnsi="Times New Roman" w:eastAsia="宋体" w:cs="Times New Roman"/>
          <w:kern w:val="0"/>
          <w:szCs w:val="20"/>
        </w:rPr>
      </w:pPr>
    </w:p>
    <w:p w14:paraId="2262C527">
      <w:pPr>
        <w:widowControl/>
        <w:tabs>
          <w:tab w:val="center" w:pos="4201"/>
          <w:tab w:val="right" w:leader="dot" w:pos="9298"/>
        </w:tabs>
        <w:autoSpaceDE w:val="0"/>
        <w:autoSpaceDN w:val="0"/>
        <w:ind w:firstLine="420" w:firstLineChars="200"/>
        <w:rPr>
          <w:rFonts w:ascii="宋体" w:hAnsi="Times New Roman" w:eastAsia="宋体" w:cs="Times New Roman"/>
          <w:kern w:val="0"/>
          <w:szCs w:val="20"/>
        </w:rPr>
      </w:pPr>
    </w:p>
    <w:p w14:paraId="08131AB1">
      <w:pPr>
        <w:pStyle w:val="13"/>
        <w:spacing w:before="0" w:beforeLines="0" w:after="0" w:afterLines="0"/>
        <w:jc w:val="center"/>
      </w:pPr>
      <w:r>
        <w:rPr>
          <w:rFonts w:hint="eastAsia"/>
        </w:rPr>
        <w:t xml:space="preserve"> 附录A</w:t>
      </w:r>
    </w:p>
    <w:p w14:paraId="29FBC235">
      <w:pPr>
        <w:pStyle w:val="13"/>
        <w:spacing w:before="0" w:beforeLines="0" w:after="0" w:afterLines="0"/>
        <w:jc w:val="center"/>
      </w:pPr>
      <w:r>
        <w:rPr>
          <w:rFonts w:hint="eastAsia"/>
        </w:rPr>
        <w:t>（规范性附录）</w:t>
      </w:r>
    </w:p>
    <w:p w14:paraId="6A200B1E">
      <w:pPr>
        <w:pStyle w:val="13"/>
        <w:spacing w:before="0" w:beforeLines="0" w:after="0" w:afterLines="0"/>
        <w:jc w:val="center"/>
      </w:pPr>
      <w:r>
        <w:rPr>
          <w:rFonts w:hint="eastAsia"/>
        </w:rPr>
        <w:t>产品使用说明</w:t>
      </w:r>
    </w:p>
    <w:p w14:paraId="3BA6083D">
      <w:pPr>
        <w:pStyle w:val="13"/>
        <w:spacing w:before="312" w:after="312"/>
      </w:pPr>
      <w:r>
        <w:t>A</w:t>
      </w:r>
      <w:r>
        <w:rPr>
          <w:rFonts w:hint="eastAsia"/>
        </w:rPr>
        <w:t>.1 适用范围</w:t>
      </w:r>
    </w:p>
    <w:p w14:paraId="09853B9E">
      <w:pPr>
        <w:pStyle w:val="14"/>
      </w:pPr>
      <w:r>
        <w:rPr>
          <w:rFonts w:hint="eastAsia"/>
        </w:rPr>
        <w:t>本产品穿戴于手指部位，用于隔绝与被手指与接触表面之间的直接接触，防止交叉感染。</w:t>
      </w:r>
    </w:p>
    <w:p w14:paraId="19C9960C">
      <w:pPr>
        <w:pStyle w:val="13"/>
        <w:spacing w:before="156" w:beforeLines="50" w:after="156" w:afterLines="50"/>
      </w:pPr>
      <w:r>
        <w:t>A</w:t>
      </w:r>
      <w:r>
        <w:rPr>
          <w:rFonts w:hint="eastAsia"/>
        </w:rPr>
        <w:t>.2 使用方法</w:t>
      </w:r>
    </w:p>
    <w:p w14:paraId="0FF46CF9">
      <w:pPr>
        <w:pStyle w:val="14"/>
      </w:pPr>
      <w:r>
        <w:rPr>
          <w:rFonts w:hint="eastAsia"/>
        </w:rPr>
        <w:t>使用方法</w:t>
      </w:r>
      <w:r>
        <w:t>包括：</w:t>
      </w:r>
    </w:p>
    <w:p w14:paraId="25D3EC4A">
      <w:pPr>
        <w:pStyle w:val="14"/>
      </w:pPr>
      <w:r>
        <w:rPr>
          <w:rFonts w:hint="eastAsia"/>
        </w:rPr>
        <w:t>a) 使用前检查产品包装是否完好，确认未过期、无破损；</w:t>
      </w:r>
    </w:p>
    <w:p w14:paraId="55F8DDB8">
      <w:pPr>
        <w:pStyle w:val="14"/>
      </w:pPr>
      <w:r>
        <w:rPr>
          <w:rFonts w:hint="eastAsia"/>
        </w:rPr>
        <w:t>b) 选择合适型号的指套，撕开包装，取出指套；</w:t>
      </w:r>
    </w:p>
    <w:p w14:paraId="325682C1">
      <w:pPr>
        <w:pStyle w:val="14"/>
      </w:pPr>
      <w:r>
        <w:rPr>
          <w:rFonts w:hint="eastAsia"/>
        </w:rPr>
        <w:t>c) 洗净双手并擦干，将指套开口端对准手指，轻轻套入至指套完全贴合手指；</w:t>
      </w:r>
    </w:p>
    <w:p w14:paraId="25CB1C92">
      <w:pPr>
        <w:pStyle w:val="14"/>
      </w:pPr>
      <w:r>
        <w:rPr>
          <w:rFonts w:hint="eastAsia"/>
        </w:rPr>
        <w:t>d) 本产品不能重复使用。</w:t>
      </w:r>
    </w:p>
    <w:p w14:paraId="7E36B8B6">
      <w:pPr>
        <w:pStyle w:val="13"/>
        <w:spacing w:before="156" w:beforeLines="50" w:after="156" w:afterLines="50"/>
      </w:pPr>
      <w:r>
        <w:t>A</w:t>
      </w:r>
      <w:r>
        <w:rPr>
          <w:rFonts w:hint="eastAsia"/>
        </w:rPr>
        <w:t>.3 注意事项</w:t>
      </w:r>
    </w:p>
    <w:p w14:paraId="02CDAC21">
      <w:pPr>
        <w:ind w:firstLine="420" w:firstLineChars="200"/>
      </w:pPr>
      <w:r>
        <w:rPr>
          <w:rFonts w:hint="eastAsia"/>
        </w:rPr>
        <w:t>注意事项包括：</w:t>
      </w:r>
    </w:p>
    <w:p w14:paraId="5DEA8DFB">
      <w:pPr>
        <w:pStyle w:val="14"/>
      </w:pPr>
      <w:r>
        <w:rPr>
          <w:rFonts w:hint="eastAsia"/>
        </w:rPr>
        <w:t>a) 本产品为一次性使用，用作医疗用途使用后应按医疗废物处理规定处置；</w:t>
      </w:r>
    </w:p>
    <w:p w14:paraId="3377605D">
      <w:pPr>
        <w:pStyle w:val="14"/>
      </w:pPr>
      <w:r>
        <w:rPr>
          <w:rFonts w:hint="eastAsia"/>
        </w:rPr>
        <w:t>b) 天然胶乳过敏者禁用天然胶乳医用指套，使用前应确认使用者是否有过敏史；</w:t>
      </w:r>
    </w:p>
    <w:p w14:paraId="048685A8">
      <w:pPr>
        <w:pStyle w:val="14"/>
      </w:pPr>
      <w:r>
        <w:rPr>
          <w:rFonts w:hint="eastAsia"/>
        </w:rPr>
        <w:t>c) 若使用过程中发现指套破损、渗漏，应立即更换；</w:t>
      </w:r>
    </w:p>
    <w:p w14:paraId="78BE4586">
      <w:pPr>
        <w:pStyle w:val="14"/>
      </w:pPr>
      <w:r>
        <w:rPr>
          <w:rFonts w:hint="eastAsia"/>
        </w:rPr>
        <w:t>d) 本产品不应用于外科手术、侵入性操作或高压灭菌后重复使用；</w:t>
      </w:r>
    </w:p>
    <w:p w14:paraId="51BF70F1">
      <w:pPr>
        <w:pStyle w:val="14"/>
      </w:pPr>
      <w:r>
        <w:rPr>
          <w:rFonts w:hint="eastAsia"/>
        </w:rPr>
        <w:t>e) 应避免接触尖锐物体，防止指套破损；</w:t>
      </w:r>
    </w:p>
    <w:p w14:paraId="173F38F6">
      <w:pPr>
        <w:pStyle w:val="14"/>
      </w:pPr>
      <w:r>
        <w:rPr>
          <w:rFonts w:hint="eastAsia"/>
        </w:rPr>
        <w:t>f) 超出有效期的产品不应使用。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63A5E">
    <w:pPr>
      <w:pStyle w:val="5"/>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AE152">
    <w:pPr>
      <w:pStyle w:val="5"/>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FCBFF">
    <w:pPr>
      <w:pStyle w:val="29"/>
    </w:pPr>
    <w:r>
      <w:fldChar w:fldCharType="begin"/>
    </w:r>
    <w:r>
      <w:instrText xml:space="preserve">PAGE   \* MERGEFORMAT</w:instrText>
    </w:r>
    <w:r>
      <w:fldChar w:fldCharType="separate"/>
    </w:r>
    <w:r>
      <w:rPr>
        <w:lang w:val="zh-CN"/>
      </w:rPr>
      <w:t>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6431126"/>
    </w:sdtPr>
    <w:sdtContent>
      <w:sdt>
        <w:sdtPr>
          <w:id w:val="-1669238322"/>
        </w:sdtPr>
        <w:sdtContent>
          <w:p w14:paraId="5B4DC3DC">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w:t>
            </w:r>
          </w:p>
        </w:sdtContent>
      </w:sdt>
    </w:sdtContent>
  </w:sdt>
  <w:p w14:paraId="69913793">
    <w:pPr>
      <w:pStyle w:val="5"/>
    </w:pPr>
  </w:p>
  <w:p w14:paraId="2896D6C1"/>
  <w:p w14:paraId="26B0566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EB0F9">
    <w:pPr>
      <w:pStyle w:val="6"/>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55EFE">
    <w:pPr>
      <w:pStyle w:val="6"/>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6217D">
    <w:pPr>
      <w:widowControl/>
      <w:wordWrap w:val="0"/>
      <w:autoSpaceDE w:val="0"/>
      <w:autoSpaceDN w:val="0"/>
      <w:spacing w:line="280" w:lineRule="exact"/>
      <w:jc w:val="right"/>
      <w:rPr>
        <w:rFonts w:ascii="黑体" w:hAnsi="Times New Roman" w:eastAsia="黑体" w:cs="Times New Roman"/>
        <w:bCs/>
        <w:kern w:val="0"/>
        <w:sz w:val="21"/>
        <w:szCs w:val="21"/>
        <w:highlight w:val="none"/>
      </w:rPr>
    </w:pPr>
    <w:r>
      <w:rPr>
        <w:rFonts w:ascii="黑体" w:hAnsi="Times New Roman" w:eastAsia="黑体" w:cs="Times New Roman"/>
        <w:bCs/>
        <w:kern w:val="0"/>
        <w:sz w:val="21"/>
        <w:szCs w:val="21"/>
        <w:highlight w:val="none"/>
      </w:rPr>
      <w:t>T/</w:t>
    </w:r>
    <w:r>
      <w:rPr>
        <w:rFonts w:hint="eastAsia" w:ascii="黑体" w:hAnsi="Times New Roman" w:eastAsia="黑体" w:cs="Times New Roman"/>
        <w:bCs/>
        <w:kern w:val="0"/>
        <w:sz w:val="21"/>
        <w:szCs w:val="21"/>
        <w:highlight w:val="none"/>
      </w:rPr>
      <w:t>CRH 0011—2026</w:t>
    </w:r>
  </w:p>
  <w:p w14:paraId="72CB4AC0">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328369"/>
    <w:multiLevelType w:val="multilevel"/>
    <w:tmpl w:val="18328369"/>
    <w:lvl w:ilvl="0" w:tentative="0">
      <w:start w:val="1"/>
      <w:numFmt w:val="lowerLetter"/>
      <w:pStyle w:val="22"/>
      <w:lvlText w:val="%1)"/>
      <w:lvlJc w:val="left"/>
      <w:pPr>
        <w:tabs>
          <w:tab w:val="left" w:pos="851"/>
        </w:tabs>
        <w:ind w:left="851" w:hanging="426"/>
      </w:pPr>
      <w:rPr>
        <w:rFonts w:hint="eastAsia" w:ascii="宋体" w:hAnsi="Times New Roman" w:eastAsia="宋体"/>
        <w:sz w:val="21"/>
      </w:rPr>
    </w:lvl>
    <w:lvl w:ilvl="1" w:tentative="0">
      <w:start w:val="1"/>
      <w:numFmt w:val="decimal"/>
      <w:pStyle w:val="20"/>
      <w:lvlText w:val="%2)"/>
      <w:lvlJc w:val="left"/>
      <w:pPr>
        <w:tabs>
          <w:tab w:val="left" w:pos="1276"/>
        </w:tabs>
        <w:ind w:left="1276" w:hanging="425"/>
      </w:pPr>
      <w:rPr>
        <w:rFonts w:hint="eastAsia" w:ascii="宋体" w:hAnsi="Times New Roman" w:eastAsia="宋体"/>
        <w:sz w:val="21"/>
      </w:rPr>
    </w:lvl>
    <w:lvl w:ilvl="2" w:tentative="0">
      <w:start w:val="1"/>
      <w:numFmt w:val="decimal"/>
      <w:pStyle w:val="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44C50F90"/>
    <w:multiLevelType w:val="multilevel"/>
    <w:tmpl w:val="44C50F90"/>
    <w:lvl w:ilvl="0" w:tentative="0">
      <w:start w:val="1"/>
      <w:numFmt w:val="lowerLetter"/>
      <w:pStyle w:val="23"/>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D49"/>
    <w:rsid w:val="00015790"/>
    <w:rsid w:val="000348C9"/>
    <w:rsid w:val="00062DBC"/>
    <w:rsid w:val="000648CF"/>
    <w:rsid w:val="0009234F"/>
    <w:rsid w:val="000A0444"/>
    <w:rsid w:val="000A64F8"/>
    <w:rsid w:val="000A7542"/>
    <w:rsid w:val="000B3FF6"/>
    <w:rsid w:val="000C4FFD"/>
    <w:rsid w:val="001022AA"/>
    <w:rsid w:val="00115D7D"/>
    <w:rsid w:val="00146937"/>
    <w:rsid w:val="00157F67"/>
    <w:rsid w:val="001604D8"/>
    <w:rsid w:val="00165882"/>
    <w:rsid w:val="00174EA2"/>
    <w:rsid w:val="00182DA5"/>
    <w:rsid w:val="00195171"/>
    <w:rsid w:val="001A2D21"/>
    <w:rsid w:val="001A690B"/>
    <w:rsid w:val="001B1777"/>
    <w:rsid w:val="001D4A15"/>
    <w:rsid w:val="0020201B"/>
    <w:rsid w:val="0021615A"/>
    <w:rsid w:val="00236432"/>
    <w:rsid w:val="00264246"/>
    <w:rsid w:val="00265230"/>
    <w:rsid w:val="00282F15"/>
    <w:rsid w:val="00285243"/>
    <w:rsid w:val="002A071A"/>
    <w:rsid w:val="002B1033"/>
    <w:rsid w:val="002B5D5A"/>
    <w:rsid w:val="002C3322"/>
    <w:rsid w:val="002C506A"/>
    <w:rsid w:val="002D5CC9"/>
    <w:rsid w:val="002E4DD6"/>
    <w:rsid w:val="003025A0"/>
    <w:rsid w:val="0030645E"/>
    <w:rsid w:val="00331FAC"/>
    <w:rsid w:val="00333C55"/>
    <w:rsid w:val="00345CAC"/>
    <w:rsid w:val="00345F8D"/>
    <w:rsid w:val="0035617F"/>
    <w:rsid w:val="0038223F"/>
    <w:rsid w:val="003A56A9"/>
    <w:rsid w:val="003A64B1"/>
    <w:rsid w:val="003B4421"/>
    <w:rsid w:val="003E46ED"/>
    <w:rsid w:val="003F3918"/>
    <w:rsid w:val="004113BE"/>
    <w:rsid w:val="004145F4"/>
    <w:rsid w:val="00442E82"/>
    <w:rsid w:val="00451825"/>
    <w:rsid w:val="00453F12"/>
    <w:rsid w:val="00470790"/>
    <w:rsid w:val="00485BB6"/>
    <w:rsid w:val="0049626E"/>
    <w:rsid w:val="004B4242"/>
    <w:rsid w:val="004B6517"/>
    <w:rsid w:val="004C2FEC"/>
    <w:rsid w:val="004C3C70"/>
    <w:rsid w:val="004D13F9"/>
    <w:rsid w:val="004D66E7"/>
    <w:rsid w:val="004F20E6"/>
    <w:rsid w:val="00500D2D"/>
    <w:rsid w:val="00521FDC"/>
    <w:rsid w:val="0052360E"/>
    <w:rsid w:val="005535F7"/>
    <w:rsid w:val="005734A1"/>
    <w:rsid w:val="005800FA"/>
    <w:rsid w:val="005809B8"/>
    <w:rsid w:val="005A284D"/>
    <w:rsid w:val="005A5EEF"/>
    <w:rsid w:val="005B5531"/>
    <w:rsid w:val="005B7711"/>
    <w:rsid w:val="005D03CA"/>
    <w:rsid w:val="005D1003"/>
    <w:rsid w:val="005D5A2F"/>
    <w:rsid w:val="005D6152"/>
    <w:rsid w:val="005D6FE6"/>
    <w:rsid w:val="006346FF"/>
    <w:rsid w:val="00651AA1"/>
    <w:rsid w:val="00664297"/>
    <w:rsid w:val="00673EC5"/>
    <w:rsid w:val="00673ED2"/>
    <w:rsid w:val="00681C5C"/>
    <w:rsid w:val="00687E12"/>
    <w:rsid w:val="00690BEC"/>
    <w:rsid w:val="006B5752"/>
    <w:rsid w:val="006D068A"/>
    <w:rsid w:val="006D64CC"/>
    <w:rsid w:val="006E1FB0"/>
    <w:rsid w:val="006E22BD"/>
    <w:rsid w:val="006E295D"/>
    <w:rsid w:val="00714238"/>
    <w:rsid w:val="0072115B"/>
    <w:rsid w:val="0074570B"/>
    <w:rsid w:val="00750D02"/>
    <w:rsid w:val="007538DE"/>
    <w:rsid w:val="007616AC"/>
    <w:rsid w:val="00765595"/>
    <w:rsid w:val="00766E19"/>
    <w:rsid w:val="00780D49"/>
    <w:rsid w:val="0079693F"/>
    <w:rsid w:val="007A621F"/>
    <w:rsid w:val="007D121D"/>
    <w:rsid w:val="0080270E"/>
    <w:rsid w:val="00821375"/>
    <w:rsid w:val="008272F3"/>
    <w:rsid w:val="00861DF1"/>
    <w:rsid w:val="008816D4"/>
    <w:rsid w:val="00884545"/>
    <w:rsid w:val="00885CA2"/>
    <w:rsid w:val="00886D76"/>
    <w:rsid w:val="00890DA2"/>
    <w:rsid w:val="008A07EF"/>
    <w:rsid w:val="008C2315"/>
    <w:rsid w:val="008D114C"/>
    <w:rsid w:val="008D3574"/>
    <w:rsid w:val="008D7603"/>
    <w:rsid w:val="00907379"/>
    <w:rsid w:val="00947DDD"/>
    <w:rsid w:val="00985363"/>
    <w:rsid w:val="009A2A9F"/>
    <w:rsid w:val="009E5BE5"/>
    <w:rsid w:val="009F51A0"/>
    <w:rsid w:val="009F76CA"/>
    <w:rsid w:val="00A01C90"/>
    <w:rsid w:val="00A050BD"/>
    <w:rsid w:val="00A05FE7"/>
    <w:rsid w:val="00A0638B"/>
    <w:rsid w:val="00A231DB"/>
    <w:rsid w:val="00A24551"/>
    <w:rsid w:val="00A3515F"/>
    <w:rsid w:val="00A40AB5"/>
    <w:rsid w:val="00A51554"/>
    <w:rsid w:val="00A52140"/>
    <w:rsid w:val="00A53D90"/>
    <w:rsid w:val="00A55152"/>
    <w:rsid w:val="00A625C4"/>
    <w:rsid w:val="00A76DA1"/>
    <w:rsid w:val="00A863DC"/>
    <w:rsid w:val="00A87063"/>
    <w:rsid w:val="00A95204"/>
    <w:rsid w:val="00A979A4"/>
    <w:rsid w:val="00AA62AB"/>
    <w:rsid w:val="00AB077A"/>
    <w:rsid w:val="00B04F5A"/>
    <w:rsid w:val="00B24F44"/>
    <w:rsid w:val="00B26746"/>
    <w:rsid w:val="00B47EF2"/>
    <w:rsid w:val="00B5244F"/>
    <w:rsid w:val="00B70E63"/>
    <w:rsid w:val="00B82BDC"/>
    <w:rsid w:val="00BC26E4"/>
    <w:rsid w:val="00BC75DE"/>
    <w:rsid w:val="00C01A61"/>
    <w:rsid w:val="00C160CA"/>
    <w:rsid w:val="00C5022A"/>
    <w:rsid w:val="00C5284D"/>
    <w:rsid w:val="00C57E2C"/>
    <w:rsid w:val="00C709B4"/>
    <w:rsid w:val="00C82C44"/>
    <w:rsid w:val="00C934D7"/>
    <w:rsid w:val="00C9500C"/>
    <w:rsid w:val="00C9542F"/>
    <w:rsid w:val="00CA6751"/>
    <w:rsid w:val="00CB1B17"/>
    <w:rsid w:val="00CD5CE6"/>
    <w:rsid w:val="00D06A7C"/>
    <w:rsid w:val="00D1382A"/>
    <w:rsid w:val="00D21BE0"/>
    <w:rsid w:val="00D33806"/>
    <w:rsid w:val="00D34BA2"/>
    <w:rsid w:val="00D53E72"/>
    <w:rsid w:val="00D54000"/>
    <w:rsid w:val="00D549B7"/>
    <w:rsid w:val="00D60C91"/>
    <w:rsid w:val="00D72C5D"/>
    <w:rsid w:val="00D72E6E"/>
    <w:rsid w:val="00D75248"/>
    <w:rsid w:val="00D96499"/>
    <w:rsid w:val="00DB3D25"/>
    <w:rsid w:val="00DC67D7"/>
    <w:rsid w:val="00DD6C94"/>
    <w:rsid w:val="00DD7D3A"/>
    <w:rsid w:val="00DF19EF"/>
    <w:rsid w:val="00E22930"/>
    <w:rsid w:val="00E53758"/>
    <w:rsid w:val="00E53D28"/>
    <w:rsid w:val="00E616E7"/>
    <w:rsid w:val="00E722F2"/>
    <w:rsid w:val="00E801E7"/>
    <w:rsid w:val="00E907D8"/>
    <w:rsid w:val="00E91CC0"/>
    <w:rsid w:val="00E97205"/>
    <w:rsid w:val="00EA11F9"/>
    <w:rsid w:val="00EB0293"/>
    <w:rsid w:val="00EB2AB7"/>
    <w:rsid w:val="00EC3441"/>
    <w:rsid w:val="00EC4DB8"/>
    <w:rsid w:val="00F127EA"/>
    <w:rsid w:val="00F143A3"/>
    <w:rsid w:val="00F21E1C"/>
    <w:rsid w:val="00F3196F"/>
    <w:rsid w:val="00F55E77"/>
    <w:rsid w:val="00F64080"/>
    <w:rsid w:val="00F876F7"/>
    <w:rsid w:val="00FA1C0D"/>
    <w:rsid w:val="00FB2D94"/>
    <w:rsid w:val="00FF7A75"/>
    <w:rsid w:val="00FF7F7E"/>
    <w:rsid w:val="054A79E2"/>
    <w:rsid w:val="072D0E81"/>
    <w:rsid w:val="072E41AC"/>
    <w:rsid w:val="0FA25419"/>
    <w:rsid w:val="18565296"/>
    <w:rsid w:val="19D27846"/>
    <w:rsid w:val="23526A65"/>
    <w:rsid w:val="33BE6FF0"/>
    <w:rsid w:val="38D51BB3"/>
    <w:rsid w:val="4F586138"/>
    <w:rsid w:val="50FC3FEF"/>
    <w:rsid w:val="517029D5"/>
    <w:rsid w:val="527755AF"/>
    <w:rsid w:val="537E7E10"/>
    <w:rsid w:val="5EA655CC"/>
    <w:rsid w:val="62FF575B"/>
    <w:rsid w:val="670D5AF5"/>
    <w:rsid w:val="69D674DB"/>
    <w:rsid w:val="6A2E0A61"/>
    <w:rsid w:val="6F753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5"/>
    <w:semiHidden/>
    <w:unhideWhenUsed/>
    <w:qFormat/>
    <w:uiPriority w:val="99"/>
    <w:pPr>
      <w:jc w:val="left"/>
    </w:pPr>
  </w:style>
  <w:style w:type="paragraph" w:styleId="3">
    <w:name w:val="Date"/>
    <w:basedOn w:val="1"/>
    <w:next w:val="1"/>
    <w:link w:val="24"/>
    <w:semiHidden/>
    <w:unhideWhenUsed/>
    <w:qFormat/>
    <w:uiPriority w:val="99"/>
    <w:pPr>
      <w:ind w:left="100" w:leftChars="2500"/>
    </w:pPr>
  </w:style>
  <w:style w:type="paragraph" w:styleId="4">
    <w:name w:val="Balloon Text"/>
    <w:basedOn w:val="1"/>
    <w:link w:val="27"/>
    <w:semiHidden/>
    <w:unhideWhenUsed/>
    <w:qFormat/>
    <w:uiPriority w:val="99"/>
    <w:rPr>
      <w:sz w:val="18"/>
      <w:szCs w:val="18"/>
    </w:r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paragraph" w:customStyle="1" w:styleId="12">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3">
    <w:name w:val="标准文件_章标题"/>
    <w:next w:val="1"/>
    <w:qFormat/>
    <w:uiPriority w:val="0"/>
    <w:p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5">
    <w:name w:val="标准文件_段"/>
    <w:link w:val="16"/>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character" w:customStyle="1" w:styleId="16">
    <w:name w:val="标准文件_段 Char"/>
    <w:link w:val="15"/>
    <w:qFormat/>
    <w:uiPriority w:val="0"/>
    <w:rPr>
      <w:rFonts w:ascii="Times New Roman" w:hAnsi="Times New Roman" w:eastAsia="宋体" w:cs="Times New Roman"/>
      <w:kern w:val="0"/>
      <w:szCs w:val="20"/>
    </w:rPr>
  </w:style>
  <w:style w:type="paragraph" w:customStyle="1" w:styleId="17">
    <w:name w:val="一级条标题"/>
    <w:next w:val="14"/>
    <w:qFormat/>
    <w:uiPriority w:val="0"/>
    <w:pPr>
      <w:spacing w:beforeLines="50" w:afterLines="50"/>
      <w:outlineLvl w:val="2"/>
    </w:pPr>
    <w:rPr>
      <w:rFonts w:ascii="黑体" w:hAnsi="Times New Roman" w:eastAsia="黑体" w:cs="Times New Roman"/>
      <w:sz w:val="21"/>
      <w:szCs w:val="21"/>
      <w:lang w:val="en-US" w:eastAsia="zh-CN" w:bidi="ar-SA"/>
    </w:rPr>
  </w:style>
  <w:style w:type="character" w:customStyle="1" w:styleId="18">
    <w:name w:val="页眉 Char"/>
    <w:basedOn w:val="10"/>
    <w:link w:val="6"/>
    <w:qFormat/>
    <w:uiPriority w:val="99"/>
    <w:rPr>
      <w:sz w:val="18"/>
      <w:szCs w:val="18"/>
    </w:rPr>
  </w:style>
  <w:style w:type="character" w:customStyle="1" w:styleId="19">
    <w:name w:val="页脚 Char"/>
    <w:basedOn w:val="10"/>
    <w:link w:val="5"/>
    <w:qFormat/>
    <w:uiPriority w:val="99"/>
    <w:rPr>
      <w:sz w:val="18"/>
      <w:szCs w:val="18"/>
    </w:rPr>
  </w:style>
  <w:style w:type="paragraph" w:customStyle="1" w:styleId="20">
    <w:name w:val="标准文件_数字编号列项（二级）"/>
    <w:qFormat/>
    <w:uiPriority w:val="0"/>
    <w:pPr>
      <w:numPr>
        <w:ilvl w:val="1"/>
        <w:numId w:val="1"/>
      </w:numPr>
      <w:jc w:val="both"/>
    </w:pPr>
    <w:rPr>
      <w:rFonts w:ascii="宋体" w:hAnsi="Times New Roman" w:eastAsia="宋体" w:cs="Times New Roman"/>
      <w:sz w:val="21"/>
      <w:lang w:val="en-US" w:eastAsia="zh-CN" w:bidi="ar-SA"/>
    </w:rPr>
  </w:style>
  <w:style w:type="paragraph" w:customStyle="1" w:styleId="21">
    <w:name w:val="标准文件_编号列项（三级）"/>
    <w:qFormat/>
    <w:uiPriority w:val="0"/>
    <w:pPr>
      <w:numPr>
        <w:ilvl w:val="2"/>
        <w:numId w:val="1"/>
      </w:numPr>
    </w:pPr>
    <w:rPr>
      <w:rFonts w:ascii="宋体" w:hAnsi="Times New Roman" w:eastAsia="宋体" w:cs="Times New Roman"/>
      <w:sz w:val="21"/>
      <w:lang w:val="en-US" w:eastAsia="zh-CN" w:bidi="ar-SA"/>
    </w:rPr>
  </w:style>
  <w:style w:type="paragraph" w:customStyle="1" w:styleId="22">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23">
    <w:name w:val="字母编号列项（一级）"/>
    <w:qFormat/>
    <w:uiPriority w:val="0"/>
    <w:pPr>
      <w:numPr>
        <w:ilvl w:val="0"/>
        <w:numId w:val="2"/>
      </w:numPr>
      <w:jc w:val="both"/>
    </w:pPr>
    <w:rPr>
      <w:rFonts w:ascii="宋体" w:hAnsi="Times New Roman" w:eastAsia="宋体" w:cs="Times New Roman"/>
      <w:sz w:val="21"/>
      <w:lang w:val="en-US" w:eastAsia="zh-CN" w:bidi="ar-SA"/>
    </w:rPr>
  </w:style>
  <w:style w:type="character" w:customStyle="1" w:styleId="24">
    <w:name w:val="日期 Char"/>
    <w:basedOn w:val="10"/>
    <w:link w:val="3"/>
    <w:semiHidden/>
    <w:qFormat/>
    <w:uiPriority w:val="99"/>
  </w:style>
  <w:style w:type="character" w:customStyle="1" w:styleId="25">
    <w:name w:val="批注文字 Char"/>
    <w:basedOn w:val="10"/>
    <w:link w:val="2"/>
    <w:semiHidden/>
    <w:qFormat/>
    <w:uiPriority w:val="99"/>
  </w:style>
  <w:style w:type="character" w:customStyle="1" w:styleId="26">
    <w:name w:val="批注主题 Char"/>
    <w:basedOn w:val="25"/>
    <w:link w:val="7"/>
    <w:semiHidden/>
    <w:qFormat/>
    <w:uiPriority w:val="99"/>
    <w:rPr>
      <w:b/>
      <w:bCs/>
    </w:rPr>
  </w:style>
  <w:style w:type="character" w:customStyle="1" w:styleId="27">
    <w:name w:val="批注框文本 Char"/>
    <w:basedOn w:val="10"/>
    <w:link w:val="4"/>
    <w:semiHidden/>
    <w:qFormat/>
    <w:uiPriority w:val="99"/>
    <w:rPr>
      <w:sz w:val="18"/>
      <w:szCs w:val="18"/>
    </w:rPr>
  </w:style>
  <w:style w:type="paragraph" w:customStyle="1" w:styleId="2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30">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60e9c59d-7023-43db-99e2-7f03a4187816</errorID>
      <errorWord>(</errorWord>
      <group>L1_Format</group>
      <groupName>格式问题</groupName>
      <ability>L2_HalfPunc</ability>
      <abilityName>全半角检查</abilityName>
      <candidateList>
        <item>（</item>
      </candidateList>
      <explain>文本全半角错误。</explain>
      <paraID>7EA4548D</paraID>
      <start>4</start>
      <end>5</end>
      <status>unmodified</status>
      <modifiedWord/>
      <trackRevisions>false</trackRevisions>
    </reviewItem>
    <reviewItem>
      <errorID>ba1692a0-2c74-4bb2-86f5-dc22472ff3c1</errorID>
      <errorWord>)</errorWord>
      <group>L1_Format</group>
      <groupName>格式问题</groupName>
      <ability>L2_HalfPunc</ability>
      <abilityName>全半角检查</abilityName>
      <candidateList>
        <item>）</item>
      </candidateList>
      <explain>文本全半角错误。</explain>
      <paraID>7EA4548D</paraID>
      <start>7</start>
      <end>8</end>
      <status>unmodified</status>
      <modifiedWord/>
      <trackRevisions>false</trackRevisions>
    </reviewItem>
    <reviewItem>
      <errorID>554d00e5-3692-450e-9a27-62b49fe1470c</errorID>
      <errorWord>,</errorWord>
      <group>L1_Format</group>
      <groupName>格式问题</groupName>
      <ability>L2_HalfPunc</ability>
      <abilityName>全半角检查</abilityName>
      <candidateList>
        <item>，</item>
      </candidateList>
      <explain>文本全半角错误。</explain>
      <paraID> FC9DDDB</paraID>
      <start>39</start>
      <end>40</end>
      <status>unmodified</status>
      <modifiedWord/>
      <trackRevisions>false</trackRevisions>
    </reviewItem>
    <reviewItem>
      <errorID>fbcd35ad-6173-4f7c-8c54-3f805e0ba09b</errorID>
      <errorWord>紫外光</errorWord>
      <group>L1_Word</group>
      <groupName>字词问题</groupName>
      <ability>L2_Typo</ability>
      <abilityName>字词错误</abilityName>
      <candidateList>
        <item>紫外线</item>
      </candidateList>
      <explain/>
      <paraID>605C80C2</paraID>
      <start>23</start>
      <end>26</end>
      <status>unmodified</status>
      <modifiedWord/>
      <trackRevisions>false</trackRevisions>
    </reviewItem>
    <reviewItem>
      <errorID>84c353a5-e4f7-4816-8eec-87b5e3199e71</errorID>
      <errorWord>按《中华人民共和国</errorWord>
      <group>L1_Political</group>
      <groupName>政治性问题</groupName>
      <ability>L2_Unpolitical</ability>
      <abilityName>政治敏感错误</abilityName>
      <candidateList>
        <item>按照《中华人民共和国</item>
      </candidateList>
      <explain/>
      <paraID> 9E2DFF3</paraID>
      <start>8</start>
      <end>17</end>
      <status>unmodified</status>
      <modifiedWord/>
      <trackRevisions>false</trackRevisions>
    </reviewItem>
    <reviewItem>
      <errorID>40882357-f508-41a1-9bc2-5c0eb3513c6a</errorID>
      <errorWord>）</errorWord>
      <group>L1_Word</group>
      <groupName>字词问题</groupName>
      <ability>L2_Typo</ability>
      <abilityName>字词错误</abilityName>
      <candidateList>
        <item>）第</item>
      </candidateList>
      <explain/>
      <paraID> 9E2DFF3</paraID>
      <start>27</start>
      <end>28</end>
      <status>unmodified</status>
      <modifiedWord/>
      <trackRevisions>false</trackRevisions>
    </reviewItem>
    <reviewItem>
      <errorID>95da3eae-de43-4135-9b65-01f02cd870c4</errorID>
      <errorWord>只</errorWord>
      <group>L1_Knowledge</group>
      <groupName>知识性问题</groupName>
      <ability>L2_Knowledge</ability>
      <abilityName>其他知识</abilityName>
      <candidateList>
        <item>支</item>
      </candidateList>
      <explain>请检查“只”是否为量词使用错误，建议修改为“支”。</explain>
      <paraID>66D6CDA2</paraID>
      <start>14</start>
      <end>15</end>
      <status>unmodified</status>
      <modifiedWord/>
      <trackRevisions>false</trackRevisions>
    </reviewItem>
    <reviewItem>
      <errorID>fc68f499-ae97-4f40-8d1e-86dfbaf99fa3</errorID>
      <errorWord>2）、</errorWord>
      <group>L1_Punc</group>
      <groupName>标点问题</groupName>
      <ability>L2_Punc</ability>
      <abilityName>标点符号检查</abilityName>
      <candidateList>
        <item>2）</item>
      </candidateList>
      <explain>根据国标GB/T 15834-2011《标点符号用法》中的4.5.3.3节，带括号的汉字数字或阿拉伯数字表次序时，后面通常不加顿号。如“（一）指导思想”“（二）行动指南”。</explain>
      <paraID>54E9A1B0</paraID>
      <start>20</start>
      <end>23</end>
      <status>unmodified</status>
      <modifiedWord/>
      <trackRevisions>false</trackRevisions>
    </reviewItem>
    <reviewItem>
      <errorID>faa38509-0931-456c-82c8-178a23d00926</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54E9A1B0</paraID>
      <start>28</start>
      <end>31</end>
      <status>unmodified</status>
      <modifiedWord/>
      <trackRevisions>false</trackRevisions>
    </reviewItem>
    <reviewItem>
      <errorID>76167f8c-7891-46ef-bf9e-c56166faab1c</errorID>
      <errorWord>(</errorWord>
      <group>L1_Format</group>
      <groupName>格式问题</groupName>
      <ability>L2_HalfPunc</ability>
      <abilityName>全半角检查</abilityName>
      <candidateList>
        <item>（</item>
      </candidateList>
      <explain>文本全半角错误。</explain>
      <paraID>54E9A1B0</paraID>
      <start>36</start>
      <end>37</end>
      <status>unmodified</status>
      <modifiedWord/>
      <trackRevisions>false</trackRevisions>
    </reviewItem>
    <reviewItem>
      <errorID>ac3e7066-48de-41de-8200-8ea9c00513ef</errorID>
      <errorWord>4)、</errorWord>
      <group>L1_Punc</group>
      <groupName>标点问题</groupName>
      <ability>L2_Punc</ability>
      <abilityName>标点符号检查</abilityName>
      <candidateList>
        <item>4)</item>
      </candidateList>
      <explain>根据国标GB/T 15834-2011《标点符号用法》中的4.5.3.3节，带括号的汉字数字或阿拉伯数字表次序时，后面通常不加顿号。如“（一）指导思想”“（二）行动指南”。</explain>
      <paraID>54E9A1B0</paraID>
      <start>39</start>
      <end>42</end>
      <status>unmodified</status>
      <modifiedWord/>
      <trackRevisions>false</trackRevisions>
    </reviewItem>
    <reviewItem>
      <errorID>461b070b-9b42-42c6-b0af-d2716c14d570</errorID>
      <errorWord>5）、</errorWord>
      <group>L1_Punc</group>
      <groupName>标点问题</groupName>
      <ability>L2_Punc</ability>
      <abilityName>标点符号检查</abilityName>
      <candidateList>
        <item>5）</item>
      </candidateList>
      <explain>根据国标GB/T 15834-2011《标点符号用法》中的4.5.3.3节，带括号的汉字数字或阿拉伯数字表次序时，后面通常不加顿号。如“（一）指导思想”“（二）行动指南”。</explain>
      <paraID>54E9A1B0</paraID>
      <start>49</start>
      <end>52</end>
      <status>unmodified</status>
      <modifiedWord/>
      <trackRevisions>false</trackRevisions>
    </reviewItem>
    <reviewItem>
      <errorID>3f17385e-0baa-4b07-ae29-97a8a7a79e9c</errorID>
      <errorWord>8）、</errorWord>
      <group>L1_Punc</group>
      <groupName>标点问题</groupName>
      <ability>L2_Punc</ability>
      <abilityName>标点符号检查</abilityName>
      <candidateList>
        <item>8）</item>
      </candidateList>
      <explain>根据国标GB/T 15834-2011《标点符号用法》中的4.5.3.3节，带括号的汉字数字或阿拉伯数字表次序时，后面通常不加顿号。如“（一）指导思想”“（二）行动指南”。</explain>
      <paraID>54E9A1B0</paraID>
      <start>95</start>
      <end>98</end>
      <status>unmodified</status>
      <modifiedWord/>
      <trackRevisions>false</trackRevisions>
    </reviewItem>
    <reviewItem>
      <errorID>e7592052-c8b1-4a0a-a825-621260fff47d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3F005F11</paraID>
      <start>0</start>
      <end>2</end>
      <status>unmodified</status>
      <modifiedWord/>
      <trackRevisions>false</trackRevisions>
    </reviewItem>
    <reviewItem>
      <errorID>8f339dff-ce80-4a9d-9a1e-c7fd6e5b8e84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185F28BF</paraID>
      <start>0</start>
      <end>2</end>
      <status>unmodified</status>
      <modifiedWord/>
      <trackRevisions>false</trackRevisions>
    </reviewItem>
    <reviewItem>
      <errorID>1b237cec-553b-4eda-8625-3f5b187d3118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2993D696</paraID>
      <start>0</start>
      <end>2</end>
      <status>unmodified</status>
      <modifiedWord/>
      <trackRevisions>false</trackRevisions>
    </reviewItem>
    <reviewItem>
      <errorID>c7d9f6bd-5f1d-4586-a657-d7f60b3631cd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2C46B8EB</paraID>
      <start>0</start>
      <end>2</end>
      <status>unmodified</status>
      <modifiedWord/>
      <trackRevisions>false</trackRevisions>
    </reviewItem>
    <reviewItem>
      <errorID>45cb52c3-c306-433d-9856-c62b458029b3</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73E4469F</paraID>
      <start>0</start>
      <end>2</end>
      <status>unmodified</status>
      <modifiedWord/>
      <trackRevisions>false</trackRevisions>
    </reviewItem>
    <reviewItem>
      <errorID>dd174ed5-55c4-4404-9a96-e35e484c75c3</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BAE38B5</paraID>
      <start>0</start>
      <end>2</end>
      <status>unmodified</status>
      <modifiedWord/>
      <trackRevisions>false</trackRevisions>
    </reviewItem>
    <reviewItem>
      <errorID>bb4987df-d95f-4676-9de7-cfecece4d280</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4DB4AB81</paraID>
      <start>0</start>
      <end>2</end>
      <status>unmodified</status>
      <modifiedWord/>
      <trackRevisions>false</trackRevisions>
    </reviewItem>
    <reviewItem>
      <errorID>9218da01-b62f-4d2b-b8c1-2362aa7aca32</errorID>
      <errorWord>(</errorWord>
      <group>L1_Format</group>
      <groupName>格式问题</groupName>
      <ability>L2_HalfPunc</ability>
      <abilityName>全半角检查</abilityName>
      <candidateList>
        <item>（</item>
      </candidateList>
      <explain>文本全半角错误。</explain>
      <paraID>541BD355</paraID>
      <start>29</start>
      <end>30</end>
      <status>unmodified</status>
      <modifiedWord/>
      <trackRevisions>false</trackRevisions>
    </reviewItem>
    <reviewItem>
      <errorID>da148ea3-55b7-4d8c-a902-fb9b0a545ffc</errorID>
      <errorWord>)</errorWord>
      <group>L1_Format</group>
      <groupName>格式问题</groupName>
      <ability>L2_HalfPunc</ability>
      <abilityName>全半角检查</abilityName>
      <candidateList>
        <item>）</item>
      </candidateList>
      <explain>文本全半角错误。</explain>
      <paraID>541BD355</paraID>
      <start>38</start>
      <end>39</end>
      <status>unmodified</status>
      <modifiedWord/>
      <trackRevisions>false</trackRevisions>
    </reviewItem>
    <reviewItem>
      <errorID>753b1888-bbc2-4923-b6c4-d668b6460b61</errorID>
      <errorWord>热</errorWord>
      <group>L1_Word</group>
      <groupName>字词问题</groupName>
      <ability>L2_Typo</ability>
      <abilityName>字词错误</abilityName>
      <candidateList>
        <item>的</item>
      </candidateList>
      <explain>“的”常用于连接修饰语与名词性中心语，表示属性、所属或描述。</explain>
      <paraID> 6EEF4A4</paraID>
      <start>0</start>
      <end>1</end>
      <status>unmodified</status>
      <modifiedWord/>
      <trackRevisions>false</trackRevisions>
    </reviewItem>
    <reviewItem>
      <errorID>a94f00b2-1411-4f4e-a446-8950b538b016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4B00B004</paraID>
      <start>0</start>
      <end>2</end>
      <status>unmodified</status>
      <modifiedWord/>
      <trackRevisions>false</trackRevisions>
    </reviewItem>
    <reviewItem>
      <errorID>c01c5331-9137-4aaf-b8de-902b0b7518e4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2682659A</paraID>
      <start>0</start>
      <end>2</end>
      <status>unmodified</status>
      <modifiedWord/>
      <trackRevisions>false</trackRevisions>
    </reviewItem>
    <reviewItem>
      <errorID>90a9ac4a-cfb0-434c-9d5c-e5853c9f1981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74EEB7D3</paraID>
      <start>0</start>
      <end>2</end>
      <status>unmodified</status>
      <modifiedWord/>
      <trackRevisions>false</trackRevisions>
    </reviewItem>
    <reviewItem>
      <errorID>232092a2-9a5c-41fa-9e4c-f7d004d4df94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C080504</paraID>
      <start>0</start>
      <end>2</end>
      <status>unmodified</status>
      <modifiedWord/>
      <trackRevisions>false</trackRevisions>
    </reviewItem>
    <reviewItem>
      <errorID>ddc4eb2c-14e6-4c39-bda4-90bf7578c77c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7669339E</paraID>
      <start>0</start>
      <end>2</end>
      <status>unmodified</status>
      <modifiedWord/>
      <trackRevisions>false</trackRevisions>
    </reviewItem>
    <reviewItem>
      <errorID>cb9b10db-2d9a-4ca6-a477-e3b006d60985</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545D0256</paraID>
      <start>0</start>
      <end>2</end>
      <status>unmodified</status>
      <modifiedWord/>
      <trackRevisions>false</trackRevisions>
    </reviewItem>
    <reviewItem>
      <errorID>c88d87e6-0b05-446f-acd6-af976099dafb</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80F544B</paraID>
      <start>0</start>
      <end>2</end>
      <status>unmodified</status>
      <modifiedWord/>
      <trackRevisions>false</trackRevisions>
    </reviewItem>
    <reviewItem>
      <errorID>d2333616-e529-43ec-be44-17b5e048f3a2</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3C2ABAA2</paraID>
      <start>0</start>
      <end>2</end>
      <status>unmodified</status>
      <modifiedWord/>
      <trackRevisions>false</trackRevisions>
    </reviewItem>
    <reviewItem>
      <errorID>a3135d6b-b880-4c4d-9f0b-69df6b5e5c07</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448C7258</paraID>
      <start>0</start>
      <end>2</end>
      <status>unmodified</status>
      <modifiedWord/>
      <trackRevisions>false</trackRevisions>
    </reviewItem>
    <reviewItem>
      <errorID>f1deebdd-15f2-4f94-92d6-5aecc91810d8</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58610CF7</paraID>
      <start>0</start>
      <end>2</end>
      <status>unmodified</status>
      <modifiedWord/>
      <trackRevisions>false</trackRevisions>
    </reviewItem>
    <reviewItem>
      <errorID>03314917-4656-4c8e-aea4-962b2970166a</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124B581D</paraID>
      <start>0</start>
      <end>2</end>
      <status>unmodified</status>
      <modifiedWord/>
      <trackRevisions>false</trackRevisions>
    </reviewItem>
    <reviewItem>
      <errorID>1f36fc0c-34ec-4149-92be-2a73d08a116e</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4D0A5767</paraID>
      <start>0</start>
      <end>2</end>
      <status>unmodified</status>
      <modifiedWord/>
      <trackRevisions>false</trackRevisions>
    </reviewItem>
    <reviewItem>
      <errorID>1e853777-799f-4ae5-b49e-135e99366d8a</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65B0A2E9</paraID>
      <start>0</start>
      <end>2</end>
      <status>unmodified</status>
      <modifiedWord/>
      <trackRevisions>false</trackRevisions>
    </reviewItem>
    <reviewItem>
      <errorID>700e1d8c-79d4-4772-a9b1-db8e25d20a34</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66B8EBE8</paraID>
      <start>0</start>
      <end>2</end>
      <status>unmodified</status>
      <modifiedWord/>
      <trackRevisions>false</trackRevisions>
    </reviewItem>
    <reviewItem>
      <errorID>c32e31d3-7ccf-4f9c-a755-3cd8a772d85e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6D289207</paraID>
      <start>0</start>
      <end>2</end>
      <status>unmodified</status>
      <modifiedWord/>
      <trackRevisions>false</trackRevisions>
    </reviewItem>
    <reviewItem>
      <errorID>624bc555-bd90-4509-bac9-832f828bf9cb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162C5A8F</paraID>
      <start>0</start>
      <end>2</end>
      <status>unmodified</status>
      <modifiedWord/>
      <trackRevisions>false</trackRevisions>
    </reviewItem>
    <reviewItem>
      <errorID>4315db92-189b-4efc-ae74-3b18a7948558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5D0B0247</paraID>
      <start>0</start>
      <end>2</end>
      <status>unmodified</status>
      <modifiedWord/>
      <trackRevisions>false</trackRevisions>
    </reviewItem>
    <reviewItem>
      <errorID>28e6bd26-0c3d-4a39-84e6-f23c42380809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6078E100</paraID>
      <start>0</start>
      <end>2</end>
      <status>unmodified</status>
      <modifiedWord/>
      <trackRevisions>false</trackRevisions>
    </reviewItem>
    <reviewItem>
      <errorID>e3cbd24b-3414-4eb6-a798-0488940bed03</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54DDFC10</paraID>
      <start>0</start>
      <end>2</end>
      <status>unmodified</status>
      <modifiedWord/>
      <trackRevisions>false</trackRevisions>
    </reviewItem>
    <reviewItem>
      <errorID>0107121b-14e3-4fb2-a65f-7738735d9489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62D4A4EF</paraID>
      <start>0</start>
      <end>2</end>
      <status>unmodified</status>
      <modifiedWord/>
      <trackRevisions>false</trackRevisions>
    </reviewItem>
    <reviewItem>
      <errorID>df382737-0827-44d1-a6b0-5b2dce22a8fc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89477AF</paraID>
      <start>0</start>
      <end>2</end>
      <status>unmodified</status>
      <modifiedWord/>
      <trackRevisions>false</trackRevisions>
    </reviewItem>
    <reviewItem>
      <errorID>8bf98f0a-e4c9-4c3b-9810-d130e13503b3</errorID>
      <errorWord>》</errorWord>
      <group>L1_Word</group>
      <groupName>字词问题</groupName>
      <ability>L2_Typo</ability>
      <abilityName>字词错误</abilityName>
      <candidateList>
        <item>》等</item>
      </candidateList>
      <explain/>
      <paraID>60A2E47E</paraID>
      <start>14</start>
      <end>15</end>
      <status>unmodified</status>
      <modifiedWord/>
      <trackRevisions>false</trackRevisions>
    </reviewItem>
    <reviewItem>
      <errorID>926e3292-2822-42e8-bc41-0565783654ce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25D3EC4A</paraID>
      <start>0</start>
      <end>2</end>
      <status>unmodified</status>
      <modifiedWord/>
      <trackRevisions>false</trackRevisions>
    </reviewItem>
    <reviewItem>
      <errorID>89361ddf-039e-449c-bb2e-cac190d51ecc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55F8DDB8</paraID>
      <start>0</start>
      <end>2</end>
      <status>unmodified</status>
      <modifiedWord/>
      <trackRevisions>false</trackRevisions>
    </reviewItem>
    <reviewItem>
      <errorID>5a2d3cfb-cf91-4364-a431-3eb79f8af746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325682C1</paraID>
      <start>0</start>
      <end>2</end>
      <status>unmodified</status>
      <modifiedWord/>
      <trackRevisions>false</trackRevisions>
    </reviewItem>
    <reviewItem>
      <errorID>27645677-3140-40aa-8636-e479b0340e26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25CB1C92</paraID>
      <start>0</start>
      <end>2</end>
      <status>unmodified</status>
      <modifiedWord/>
      <trackRevisions>false</trackRevisions>
    </reviewItem>
    <reviewItem>
      <errorID>b8ebdd93-cc89-41b8-b105-a372d5e48950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5DEA8DFB</paraID>
      <start>0</start>
      <end>2</end>
      <status>unmodified</status>
      <modifiedWord/>
      <trackRevisions>false</trackRevisions>
    </reviewItem>
    <reviewItem>
      <errorID>51f0f04f-833f-4a74-90ef-676ceeb24830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3377605D</paraID>
      <start>0</start>
      <end>2</end>
      <status>unmodified</status>
      <modifiedWord/>
      <trackRevisions>false</trackRevisions>
    </reviewItem>
    <reviewItem>
      <errorID>2b96bd49-a5cd-4ce6-9ddb-9b9965879e67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48685A8</paraID>
      <start>0</start>
      <end>2</end>
      <status>unmodified</status>
      <modifiedWord/>
      <trackRevisions>false</trackRevisions>
    </reviewItem>
    <reviewItem>
      <errorID>a969348d-974c-4a39-977f-d3eb7bea75d7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78BE4586</paraID>
      <start>0</start>
      <end>2</end>
      <status>unmodified</status>
      <modifiedWord/>
      <trackRevisions>false</trackRevisions>
    </reviewItem>
    <reviewItem>
      <errorID>191c52b1-9cfb-4d90-a1db-d0098045c9b0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51BF70F1</paraID>
      <start>0</start>
      <end>2</end>
      <status>unmodified</status>
      <modifiedWord/>
      <trackRevisions>false</trackRevisions>
    </reviewItem>
    <reviewItem>
      <errorID>6aced22a-ca4b-471d-b5f8-432ece7f423f</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173F38F6</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DA761D-72DF-4A50-9ED5-322EE2BEDD6F}">
  <ds:schemaRefs/>
</ds:datastoreItem>
</file>

<file path=customXml/itemProps3.xml><?xml version="1.0" encoding="utf-8"?>
<ds:datastoreItem xmlns:ds="http://schemas.openxmlformats.org/officeDocument/2006/customXml" ds:itemID="{833c0626-d470-42a6-abf6-06b8ee8dbc74}">
  <ds:schemaRefs/>
</ds:datastoreItem>
</file>

<file path=docProps/app.xml><?xml version="1.0" encoding="utf-8"?>
<Properties xmlns="http://schemas.openxmlformats.org/officeDocument/2006/extended-properties" xmlns:vt="http://schemas.openxmlformats.org/officeDocument/2006/docPropsVTypes">
  <Template>Normal</Template>
  <Pages>14</Pages>
  <Words>5785</Words>
  <Characters>6882</Characters>
  <Lines>57</Lines>
  <Paragraphs>16</Paragraphs>
  <TotalTime>22</TotalTime>
  <ScaleCrop>false</ScaleCrop>
  <LinksUpToDate>false</LinksUpToDate>
  <CharactersWithSpaces>7292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2026-05-29T03:11:00Z</dcterms:created>
  <dc:creator>NingLF</dc:creator>
  <cp:lastModifiedBy>Ruthless，，</cp:lastModifiedBy>
  <cp:lastPrinted>2026-06-29T06:18:00Z</cp:lastPrinted>
  <dcterms:modified xsi:type="dcterms:W3CDTF">2026-07-06T04:12:16Z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eyJoZGlkIjoiNDg4MGU2NDRmZTIyYjY4MDZiZjZlMjY1ZGExZDc1ZGYiLCJ1c2VySWQiOiIxMDU3MTQyNjEwIn0=</vt:lpwstr>
  </property>
  <property fmtid="{D5CDD505-2E9C-101B-9397-08002B2CF9AE}" pid="3" name="KSOProductBuildVer">
    <vt:lpwstr>2052-12.1.0.26375</vt:lpwstr>
  </property>
  <property fmtid="{D5CDD505-2E9C-101B-9397-08002B2CF9AE}" pid="4" name="ICV">
    <vt:lpwstr>50792BEC90164A348DE5EB07EF573314_13</vt:lpwstr>
  </property>
</Properties>
</file>