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仿宋" w:hAnsi="仿宋" w:cs="仿宋"/>
          <w:sz w:val="32"/>
          <w:szCs w:val="32"/>
          <w:lang w:val="en-US" w:eastAsia="zh-CN"/>
        </w:rPr>
      </w:pPr>
      <w:r>
        <w:rPr>
          <w:rFonts w:hint="eastAsia" w:ascii="仿宋" w:hAnsi="仿宋" w:cs="仿宋"/>
          <w:sz w:val="32"/>
          <w:szCs w:val="32"/>
          <w:lang w:val="en-US" w:eastAsia="zh-CN"/>
        </w:rPr>
        <w:t>附件：</w:t>
      </w:r>
    </w:p>
    <w:p>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仿宋" w:hAnsi="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cs="仿宋"/>
          <w:b/>
          <w:bCs/>
          <w:sz w:val="44"/>
          <w:szCs w:val="44"/>
          <w:lang w:val="en-US" w:eastAsia="zh-CN"/>
        </w:rPr>
      </w:pPr>
      <w:bookmarkStart w:id="4" w:name="_GoBack"/>
      <w:r>
        <w:rPr>
          <w:rFonts w:hint="eastAsia" w:ascii="仿宋" w:hAnsi="仿宋" w:cs="仿宋"/>
          <w:b/>
          <w:bCs/>
          <w:sz w:val="44"/>
          <w:szCs w:val="44"/>
          <w:lang w:val="en-US" w:eastAsia="zh-CN"/>
        </w:rPr>
        <w:t>2024中国精益数智化创新改善大赛</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cs="仿宋"/>
          <w:b/>
          <w:bCs/>
          <w:sz w:val="44"/>
          <w:szCs w:val="44"/>
          <w:lang w:val="en-US" w:eastAsia="zh-CN"/>
        </w:rPr>
      </w:pPr>
      <w:r>
        <w:rPr>
          <w:rFonts w:hint="eastAsia" w:ascii="仿宋" w:hAnsi="仿宋" w:cs="仿宋"/>
          <w:b/>
          <w:bCs/>
          <w:sz w:val="44"/>
          <w:szCs w:val="44"/>
          <w:lang w:val="en-US" w:eastAsia="zh-CN"/>
        </w:rPr>
        <w:t>参赛须知</w:t>
      </w:r>
    </w:p>
    <w:bookmarkEnd w:id="4"/>
    <w:p>
      <w:pPr>
        <w:spacing w:line="360" w:lineRule="auto"/>
        <w:ind w:left="0" w:leftChars="0" w:firstLine="0" w:firstLineChars="0"/>
        <w:jc w:val="both"/>
        <w:rPr>
          <w:rFonts w:hint="eastAsia" w:ascii="仿宋" w:hAnsi="仿宋" w:eastAsia="仿宋" w:cs="仿宋"/>
          <w:sz w:val="32"/>
          <w:szCs w:val="32"/>
          <w:lang w:eastAsia="zh-CN"/>
        </w:rPr>
      </w:pPr>
    </w:p>
    <w:p>
      <w:pPr>
        <w:spacing w:line="360" w:lineRule="auto"/>
        <w:ind w:left="0"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为</w:t>
      </w:r>
      <w:r>
        <w:rPr>
          <w:rFonts w:hint="eastAsia" w:ascii="仿宋" w:hAnsi="仿宋" w:eastAsia="仿宋" w:cs="仿宋"/>
          <w:sz w:val="32"/>
          <w:szCs w:val="32"/>
        </w:rPr>
        <w:t>推动企业在管理创新、技术创新、模式创新以及服务创新等多维度进行深入探索与实践，</w:t>
      </w:r>
      <w:r>
        <w:rPr>
          <w:rFonts w:hint="eastAsia" w:ascii="仿宋" w:hAnsi="仿宋" w:eastAsia="仿宋" w:cs="仿宋"/>
          <w:sz w:val="32"/>
          <w:szCs w:val="32"/>
          <w:lang w:eastAsia="zh-CN"/>
        </w:rPr>
        <w:t>加强中国企业精益管理人才培养，</w:t>
      </w:r>
      <w:r>
        <w:rPr>
          <w:rFonts w:hint="eastAsia" w:ascii="仿宋" w:hAnsi="仿宋" w:eastAsia="仿宋" w:cs="仿宋"/>
          <w:sz w:val="32"/>
          <w:szCs w:val="32"/>
        </w:rPr>
        <w:t>提升</w:t>
      </w:r>
      <w:r>
        <w:rPr>
          <w:rFonts w:hint="eastAsia" w:ascii="仿宋" w:hAnsi="仿宋" w:eastAsia="仿宋" w:cs="仿宋"/>
          <w:sz w:val="32"/>
          <w:szCs w:val="32"/>
          <w:lang w:eastAsia="zh-CN"/>
        </w:rPr>
        <w:t>企业</w:t>
      </w:r>
      <w:r>
        <w:rPr>
          <w:rFonts w:hint="eastAsia" w:ascii="仿宋" w:hAnsi="仿宋" w:eastAsia="仿宋" w:cs="仿宋"/>
          <w:sz w:val="32"/>
          <w:szCs w:val="32"/>
        </w:rPr>
        <w:t>精益</w:t>
      </w:r>
      <w:r>
        <w:rPr>
          <w:rFonts w:hint="eastAsia" w:ascii="仿宋" w:hAnsi="仿宋" w:eastAsia="仿宋" w:cs="仿宋"/>
          <w:sz w:val="32"/>
          <w:szCs w:val="32"/>
          <w:lang w:val="en-US" w:eastAsia="zh-CN"/>
        </w:rPr>
        <w:t>数智化</w:t>
      </w:r>
      <w:r>
        <w:rPr>
          <w:rFonts w:hint="eastAsia" w:ascii="仿宋" w:hAnsi="仿宋" w:eastAsia="仿宋" w:cs="仿宋"/>
          <w:sz w:val="32"/>
          <w:szCs w:val="32"/>
        </w:rPr>
        <w:t>管理水平，</w:t>
      </w:r>
      <w:r>
        <w:rPr>
          <w:rFonts w:hint="eastAsia" w:ascii="仿宋" w:hAnsi="仿宋" w:eastAsia="仿宋" w:cs="仿宋"/>
          <w:sz w:val="32"/>
          <w:szCs w:val="32"/>
          <w:lang w:eastAsia="zh-CN"/>
        </w:rPr>
        <w:t>推动精益管理向</w:t>
      </w:r>
      <w:r>
        <w:rPr>
          <w:rFonts w:hint="eastAsia" w:ascii="仿宋" w:hAnsi="仿宋" w:eastAsia="仿宋" w:cs="仿宋"/>
          <w:sz w:val="32"/>
          <w:szCs w:val="32"/>
        </w:rPr>
        <w:t>全产业链价值链</w:t>
      </w:r>
      <w:r>
        <w:rPr>
          <w:rFonts w:hint="eastAsia" w:ascii="仿宋" w:hAnsi="仿宋" w:eastAsia="仿宋" w:cs="仿宋"/>
          <w:sz w:val="32"/>
          <w:szCs w:val="32"/>
          <w:lang w:eastAsia="zh-CN"/>
        </w:rPr>
        <w:t>延伸</w:t>
      </w:r>
      <w:r>
        <w:rPr>
          <w:rFonts w:hint="eastAsia" w:ascii="仿宋" w:hAnsi="仿宋" w:eastAsia="仿宋" w:cs="仿宋"/>
          <w:sz w:val="32"/>
          <w:szCs w:val="32"/>
        </w:rPr>
        <w:t>，以科技和智慧赋能</w:t>
      </w:r>
      <w:r>
        <w:rPr>
          <w:rFonts w:hint="eastAsia" w:ascii="仿宋" w:hAnsi="仿宋" w:eastAsia="仿宋" w:cs="仿宋"/>
          <w:sz w:val="32"/>
          <w:szCs w:val="32"/>
          <w:lang w:val="en-US" w:eastAsia="zh-CN"/>
        </w:rPr>
        <w:t>新质</w:t>
      </w:r>
      <w:r>
        <w:rPr>
          <w:rFonts w:hint="eastAsia" w:ascii="仿宋" w:hAnsi="仿宋" w:eastAsia="仿宋" w:cs="仿宋"/>
          <w:sz w:val="32"/>
          <w:szCs w:val="32"/>
        </w:rPr>
        <w:t>生产力</w:t>
      </w:r>
      <w:r>
        <w:rPr>
          <w:rFonts w:hint="eastAsia" w:ascii="仿宋" w:hAnsi="仿宋" w:eastAsia="仿宋" w:cs="仿宋"/>
          <w:sz w:val="32"/>
          <w:szCs w:val="32"/>
          <w:lang w:eastAsia="zh-CN"/>
        </w:rPr>
        <w:t>高质量发展，中国企业改革与发展研究会决定举办“</w:t>
      </w:r>
      <w:r>
        <w:rPr>
          <w:rFonts w:hint="eastAsia" w:ascii="仿宋" w:hAnsi="仿宋" w:eastAsia="仿宋" w:cs="仿宋"/>
          <w:sz w:val="32"/>
          <w:szCs w:val="32"/>
        </w:rPr>
        <w:t>2024中国精益数智化创新改善大赛</w:t>
      </w:r>
      <w:r>
        <w:rPr>
          <w:rFonts w:hint="eastAsia" w:ascii="仿宋" w:hAnsi="仿宋" w:eastAsia="仿宋" w:cs="仿宋"/>
          <w:sz w:val="32"/>
          <w:szCs w:val="32"/>
          <w:lang w:eastAsia="zh-CN"/>
        </w:rPr>
        <w:t>”。</w:t>
      </w:r>
    </w:p>
    <w:p>
      <w:pPr>
        <w:numPr>
          <w:ilvl w:val="-1"/>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一、大赛</w:t>
      </w:r>
      <w:r>
        <w:rPr>
          <w:rFonts w:hint="eastAsia" w:ascii="黑体" w:hAnsi="黑体" w:eastAsia="黑体" w:cs="黑体"/>
          <w:sz w:val="32"/>
          <w:szCs w:val="32"/>
          <w:lang w:eastAsia="zh-CN"/>
        </w:rPr>
        <w:t>主题</w:t>
      </w:r>
    </w:p>
    <w:p>
      <w:pPr>
        <w:numPr>
          <w:ilvl w:val="-1"/>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“推进管理数智化，发展新质生产力”</w:t>
      </w:r>
    </w:p>
    <w:p>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二、举办单位</w:t>
      </w:r>
    </w:p>
    <w:p>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主办单位：中国企业改革与发展研究会</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承办单位：中国企业改革与发展研究会</w:t>
      </w:r>
      <w:r>
        <w:rPr>
          <w:rFonts w:hint="eastAsia" w:ascii="仿宋_GB2312" w:hAnsi="仿宋_GB2312" w:eastAsia="仿宋_GB2312" w:cs="仿宋_GB2312"/>
          <w:sz w:val="32"/>
          <w:szCs w:val="32"/>
          <w:lang w:val="en-US" w:eastAsia="zh-CN"/>
        </w:rPr>
        <w:t>企业管理研究分会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天津爱波瑞科技发展有限公司</w:t>
      </w:r>
    </w:p>
    <w:p>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三、时间地点</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根据赛制安排，大赛举办时间为2024年6月-9月。总决赛在9月举办。</w:t>
      </w:r>
    </w:p>
    <w:p>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四、竞赛目标</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通过长周期、大密度、高质量的赛前培训、针对训练、赛场历练，力求达到以下目标：</w:t>
      </w:r>
    </w:p>
    <w:p>
      <w:pPr>
        <w:numPr>
          <w:ilvl w:val="0"/>
          <w:numId w:val="0"/>
        </w:numPr>
        <w:spacing w:line="360" w:lineRule="auto"/>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1.激发企业精益管理创新热情。</w:t>
      </w:r>
      <w:r>
        <w:rPr>
          <w:rFonts w:hint="eastAsia" w:ascii="仿宋_GB2312" w:hAnsi="仿宋_GB2312" w:eastAsia="仿宋_GB2312" w:cs="仿宋_GB2312"/>
          <w:sz w:val="32"/>
          <w:szCs w:val="32"/>
          <w:lang w:val="en-US" w:eastAsia="zh-CN"/>
        </w:rPr>
        <w:t>引导</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树立敢为人先的创新精神和止于至善的工匠精神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转换理念，创新思路，</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运用</w:t>
      </w:r>
      <w:r>
        <w:rPr>
          <w:rFonts w:hint="eastAsia" w:ascii="仿宋_GB2312" w:hAnsi="仿宋_GB2312" w:eastAsia="仿宋_GB2312" w:cs="仿宋_GB2312"/>
          <w:sz w:val="32"/>
          <w:szCs w:val="32"/>
        </w:rPr>
        <w:t>新技术、新方法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新手段</w:t>
      </w:r>
      <w:r>
        <w:rPr>
          <w:rFonts w:hint="eastAsia" w:ascii="仿宋_GB2312" w:hAnsi="仿宋_GB2312" w:eastAsia="仿宋_GB2312" w:cs="仿宋_GB2312"/>
          <w:sz w:val="32"/>
          <w:szCs w:val="32"/>
        </w:rPr>
        <w:t>，推动企业</w:t>
      </w:r>
      <w:r>
        <w:rPr>
          <w:rFonts w:hint="eastAsia" w:ascii="仿宋_GB2312" w:hAnsi="仿宋_GB2312" w:eastAsia="仿宋_GB2312" w:cs="仿宋_GB2312"/>
          <w:sz w:val="32"/>
          <w:szCs w:val="32"/>
          <w:lang w:val="en-US" w:eastAsia="zh-CN"/>
        </w:rPr>
        <w:t>精益管理</w:t>
      </w:r>
      <w:r>
        <w:rPr>
          <w:rFonts w:hint="eastAsia" w:ascii="仿宋_GB2312" w:hAnsi="仿宋_GB2312" w:eastAsia="仿宋_GB2312" w:cs="仿宋_GB2312"/>
          <w:sz w:val="32"/>
          <w:szCs w:val="32"/>
        </w:rPr>
        <w:t>持续创新改善。</w:t>
      </w:r>
    </w:p>
    <w:p>
      <w:pPr>
        <w:numPr>
          <w:ilvl w:val="-1"/>
          <w:numId w:val="0"/>
        </w:numPr>
        <w:spacing w:line="360" w:lineRule="auto"/>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2.助</w:t>
      </w:r>
      <w:r>
        <w:rPr>
          <w:rFonts w:hint="eastAsia" w:ascii="仿宋_GB2312" w:hAnsi="仿宋_GB2312" w:eastAsia="仿宋_GB2312" w:cs="仿宋_GB2312"/>
          <w:b/>
          <w:bCs/>
          <w:sz w:val="32"/>
          <w:szCs w:val="32"/>
        </w:rPr>
        <w:t>燃新质生产力</w:t>
      </w:r>
      <w:r>
        <w:rPr>
          <w:rFonts w:hint="eastAsia" w:ascii="仿宋_GB2312" w:hAnsi="仿宋_GB2312" w:eastAsia="仿宋_GB2312" w:cs="仿宋_GB2312"/>
          <w:b/>
          <w:bCs/>
          <w:sz w:val="32"/>
          <w:szCs w:val="32"/>
          <w:lang w:val="en-US" w:eastAsia="zh-CN"/>
        </w:rPr>
        <w:t>发展</w:t>
      </w:r>
      <w:r>
        <w:rPr>
          <w:rFonts w:hint="eastAsia" w:ascii="仿宋_GB2312" w:hAnsi="仿宋_GB2312" w:eastAsia="仿宋_GB2312" w:cs="仿宋_GB2312"/>
          <w:b/>
          <w:bCs/>
          <w:sz w:val="32"/>
          <w:szCs w:val="32"/>
        </w:rPr>
        <w:t>引擎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val="en-US" w:eastAsia="zh-CN"/>
        </w:rPr>
        <w:t>引导企业积极探索数字技术与精益管理融合发展的新路子，</w:t>
      </w:r>
      <w:r>
        <w:rPr>
          <w:rFonts w:hint="eastAsia" w:ascii="仿宋_GB2312" w:hAnsi="仿宋_GB2312" w:eastAsia="仿宋_GB2312" w:cs="仿宋_GB2312"/>
          <w:b w:val="0"/>
          <w:bCs w:val="0"/>
          <w:sz w:val="32"/>
          <w:szCs w:val="32"/>
        </w:rPr>
        <w:t>提升精益</w:t>
      </w:r>
      <w:r>
        <w:rPr>
          <w:rFonts w:hint="eastAsia" w:ascii="仿宋_GB2312" w:hAnsi="仿宋_GB2312" w:eastAsia="仿宋_GB2312" w:cs="仿宋_GB2312"/>
          <w:b w:val="0"/>
          <w:bCs w:val="0"/>
          <w:sz w:val="32"/>
          <w:szCs w:val="32"/>
          <w:lang w:val="en-US" w:eastAsia="zh-CN"/>
        </w:rPr>
        <w:t>数智化</w:t>
      </w: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val="en-US" w:eastAsia="zh-CN"/>
        </w:rPr>
        <w:t>水平，优化劳动、知识、技术、管理、资本、数据等各类生产要素配置，实现</w:t>
      </w:r>
      <w:r>
        <w:rPr>
          <w:rFonts w:hint="eastAsia" w:ascii="仿宋_GB2312" w:hAnsi="仿宋_GB2312" w:eastAsia="仿宋_GB2312" w:cs="仿宋_GB2312"/>
          <w:sz w:val="32"/>
          <w:szCs w:val="32"/>
        </w:rPr>
        <w:t>管理模式和生产方式的根本性改变。</w:t>
      </w:r>
    </w:p>
    <w:p>
      <w:pPr>
        <w:numPr>
          <w:ilvl w:val="-1"/>
          <w:numId w:val="0"/>
        </w:numPr>
        <w:spacing w:line="360" w:lineRule="auto"/>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培育企业</w:t>
      </w:r>
      <w:r>
        <w:rPr>
          <w:rFonts w:hint="eastAsia" w:ascii="仿宋_GB2312" w:hAnsi="仿宋_GB2312" w:eastAsia="仿宋_GB2312" w:cs="仿宋_GB2312"/>
          <w:b/>
          <w:bCs/>
          <w:sz w:val="32"/>
          <w:szCs w:val="32"/>
          <w:lang w:val="en-US" w:eastAsia="zh-CN"/>
        </w:rPr>
        <w:t>精益管理</w:t>
      </w:r>
      <w:r>
        <w:rPr>
          <w:rFonts w:hint="eastAsia" w:ascii="仿宋_GB2312" w:hAnsi="仿宋_GB2312" w:eastAsia="仿宋_GB2312" w:cs="仿宋_GB2312"/>
          <w:b/>
          <w:bCs/>
          <w:sz w:val="32"/>
          <w:szCs w:val="32"/>
        </w:rPr>
        <w:t>人才优势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通过搭建开放的交流与展示平台，促进企业间的经验分享和相互学习，提升参与企业和个人的</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创新思维与问题解决能力。</w:t>
      </w:r>
    </w:p>
    <w:p>
      <w:pPr>
        <w:numPr>
          <w:ilvl w:val="-1"/>
          <w:numId w:val="0"/>
        </w:numPr>
        <w:spacing w:line="360" w:lineRule="auto"/>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4.推动</w:t>
      </w:r>
      <w:r>
        <w:rPr>
          <w:rFonts w:hint="eastAsia" w:ascii="仿宋_GB2312" w:hAnsi="仿宋_GB2312" w:eastAsia="仿宋_GB2312" w:cs="仿宋_GB2312"/>
          <w:b/>
          <w:bCs/>
          <w:sz w:val="32"/>
          <w:szCs w:val="32"/>
        </w:rPr>
        <w:t>全产业链</w:t>
      </w:r>
      <w:r>
        <w:rPr>
          <w:rFonts w:hint="eastAsia" w:ascii="仿宋_GB2312" w:hAnsi="仿宋_GB2312" w:eastAsia="仿宋_GB2312" w:cs="仿宋_GB2312"/>
          <w:b/>
          <w:bCs/>
          <w:sz w:val="32"/>
          <w:szCs w:val="32"/>
          <w:lang w:val="en-US" w:eastAsia="zh-CN"/>
        </w:rPr>
        <w:t>和价值链</w:t>
      </w:r>
      <w:r>
        <w:rPr>
          <w:rFonts w:hint="eastAsia" w:ascii="仿宋_GB2312" w:hAnsi="仿宋_GB2312" w:eastAsia="仿宋_GB2312" w:cs="仿宋_GB2312"/>
          <w:b/>
          <w:bCs/>
          <w:sz w:val="32"/>
          <w:szCs w:val="32"/>
        </w:rPr>
        <w:t>协同</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推动精益管理向全产业链和价值链延伸，</w:t>
      </w:r>
      <w:r>
        <w:rPr>
          <w:rFonts w:hint="eastAsia" w:ascii="仿宋_GB2312" w:hAnsi="仿宋_GB2312" w:eastAsia="仿宋_GB2312" w:cs="仿宋_GB2312"/>
          <w:sz w:val="32"/>
          <w:szCs w:val="32"/>
        </w:rPr>
        <w:t>促进上下游企业之间的紧密合作，实现全产业链和价值链的优化协同，提升整个产业生态的效率和效益。</w:t>
      </w:r>
    </w:p>
    <w:p>
      <w:pPr>
        <w:numPr>
          <w:ilvl w:val="-1"/>
          <w:numId w:val="0"/>
        </w:numPr>
        <w:spacing w:line="360" w:lineRule="auto"/>
        <w:ind w:left="0" w:leftChars="0"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五、赛事安排</w:t>
      </w:r>
    </w:p>
    <w:p>
      <w:pPr>
        <w:numPr>
          <w:ilvl w:val="0"/>
          <w:numId w:val="1"/>
        </w:numPr>
        <w:spacing w:line="360" w:lineRule="auto"/>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参赛题</w:t>
      </w:r>
      <w:r>
        <w:rPr>
          <w:rFonts w:hint="eastAsia" w:ascii="仿宋_GB2312" w:hAnsi="仿宋_GB2312" w:eastAsia="仿宋_GB2312" w:cs="仿宋_GB2312"/>
          <w:b/>
          <w:bCs/>
          <w:sz w:val="32"/>
          <w:szCs w:val="32"/>
          <w:lang w:eastAsia="zh-CN"/>
        </w:rPr>
        <w:t>目</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共两个，分别是</w:t>
      </w:r>
      <w:r>
        <w:rPr>
          <w:rFonts w:hint="eastAsia" w:ascii="仿宋_GB2312" w:hAnsi="仿宋_GB2312" w:eastAsia="仿宋_GB2312" w:cs="仿宋_GB2312"/>
          <w:sz w:val="32"/>
          <w:szCs w:val="32"/>
        </w:rPr>
        <w:t>精益数智化创新课题</w:t>
      </w:r>
      <w:r>
        <w:rPr>
          <w:rFonts w:hint="eastAsia" w:ascii="仿宋_GB2312" w:hAnsi="仿宋_GB2312" w:eastAsia="仿宋_GB2312" w:cs="仿宋_GB2312"/>
          <w:sz w:val="32"/>
          <w:szCs w:val="32"/>
          <w:lang w:val="en-US" w:eastAsia="zh-CN"/>
        </w:rPr>
        <w:t>与班组现场改善。</w:t>
      </w:r>
    </w:p>
    <w:p>
      <w:pPr>
        <w:numPr>
          <w:ilvl w:val="0"/>
          <w:numId w:val="1"/>
        </w:numPr>
        <w:spacing w:line="360" w:lineRule="auto"/>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赛道设置：</w:t>
      </w:r>
      <w:r>
        <w:rPr>
          <w:rFonts w:hint="eastAsia" w:ascii="仿宋_GB2312" w:hAnsi="仿宋_GB2312" w:eastAsia="仿宋_GB2312" w:cs="仿宋_GB2312"/>
          <w:sz w:val="32"/>
          <w:szCs w:val="32"/>
          <w:lang w:eastAsia="zh-CN"/>
        </w:rPr>
        <w:t>共设</w:t>
      </w:r>
      <w:r>
        <w:rPr>
          <w:rFonts w:hint="eastAsia" w:ascii="仿宋_GB2312" w:hAnsi="仿宋_GB2312" w:eastAsia="仿宋_GB2312" w:cs="仿宋_GB2312"/>
          <w:sz w:val="32"/>
          <w:szCs w:val="32"/>
        </w:rPr>
        <w:t>离散制造、流程制造、能源、服务业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企业创新课题</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班组改善（全行业）</w:t>
      </w:r>
      <w:r>
        <w:rPr>
          <w:rFonts w:hint="eastAsia" w:ascii="仿宋_GB2312" w:hAnsi="仿宋_GB2312" w:eastAsia="仿宋_GB2312" w:cs="仿宋_GB2312"/>
          <w:sz w:val="32"/>
          <w:szCs w:val="32"/>
          <w:lang w:val="en-US" w:eastAsia="zh-CN"/>
        </w:rPr>
        <w:t>5个组别，</w:t>
      </w:r>
      <w:r>
        <w:rPr>
          <w:rFonts w:hint="eastAsia" w:ascii="仿宋_GB2312" w:hAnsi="仿宋_GB2312" w:eastAsia="仿宋_GB2312" w:cs="仿宋_GB2312"/>
          <w:sz w:val="32"/>
          <w:szCs w:val="32"/>
          <w:lang w:eastAsia="zh-CN"/>
        </w:rPr>
        <w:t>参赛单位可以自主选择参加相应组别的比赛。</w:t>
      </w:r>
    </w:p>
    <w:p>
      <w:pPr>
        <w:numPr>
          <w:ilvl w:val="0"/>
          <w:numId w:val="1"/>
        </w:numPr>
        <w:spacing w:line="360" w:lineRule="auto"/>
        <w:ind w:left="0" w:leftChars="0" w:firstLine="420" w:firstLineChars="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参赛内容：</w:t>
      </w:r>
      <w:r>
        <w:rPr>
          <w:rFonts w:hint="eastAsia" w:ascii="仿宋_GB2312" w:hAnsi="仿宋_GB2312" w:eastAsia="仿宋_GB2312" w:cs="仿宋_GB2312"/>
          <w:sz w:val="32"/>
          <w:szCs w:val="32"/>
        </w:rPr>
        <w:t>离散制造、流程制造、能源、服务业以精益数智化创新课题为主体，班组改善（全行业）以现场改善提案为主体，参赛项目主题不限，注重创新价值与项目成果，参赛项目明确主题、目标、方法、举措与改善成果。</w:t>
      </w:r>
    </w:p>
    <w:p>
      <w:pPr>
        <w:numPr>
          <w:ilvl w:val="0"/>
          <w:numId w:val="1"/>
        </w:numPr>
        <w:spacing w:line="360" w:lineRule="auto"/>
        <w:ind w:left="0" w:leftChars="0" w:firstLine="42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评审规则：</w:t>
      </w:r>
      <w:r>
        <w:rPr>
          <w:rFonts w:hint="eastAsia" w:ascii="仿宋_GB2312" w:hAnsi="仿宋_GB2312" w:eastAsia="仿宋_GB2312" w:cs="仿宋_GB2312"/>
          <w:sz w:val="32"/>
          <w:szCs w:val="32"/>
          <w:lang w:val="en-US" w:eastAsia="zh-CN"/>
        </w:rPr>
        <w:t>专家评审依据大赛评选维度（创新课题与班组改善有区别）的标准说明为依据，进行分项打分并汇总计算，满分为100分。</w:t>
      </w:r>
    </w:p>
    <w:p>
      <w:pPr>
        <w:numPr>
          <w:ilvl w:val="0"/>
          <w:numId w:val="0"/>
        </w:numPr>
        <w:spacing w:line="360" w:lineRule="auto"/>
        <w:ind w:left="420" w:leftChars="0"/>
        <w:rPr>
          <w:rFonts w:hint="eastAsia" w:ascii="仿宋_GB2312" w:hAnsi="仿宋_GB2312" w:eastAsia="仿宋_GB2312" w:cs="仿宋_GB2312"/>
          <w:sz w:val="32"/>
          <w:szCs w:val="32"/>
          <w:lang w:val="en-US" w:eastAsia="zh-CN"/>
        </w:rPr>
      </w:pPr>
    </w:p>
    <w:p>
      <w:pPr>
        <w:numPr>
          <w:ilvl w:val="0"/>
          <w:numId w:val="2"/>
        </w:numPr>
        <w:spacing w:line="360" w:lineRule="auto"/>
        <w:ind w:left="42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32"/>
          <w:szCs w:val="32"/>
          <w:lang w:val="en-US" w:eastAsia="zh-CN"/>
        </w:rPr>
        <w:t>创新课题评审标准：</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离散制造、流程制造、能源、服务业</w:t>
      </w:r>
      <w:r>
        <w:rPr>
          <w:rFonts w:hint="eastAsia" w:ascii="仿宋_GB2312" w:hAnsi="仿宋_GB2312" w:eastAsia="仿宋_GB2312" w:cs="仿宋_GB2312"/>
          <w:sz w:val="24"/>
          <w:szCs w:val="24"/>
          <w:lang w:val="en-US" w:eastAsia="zh-CN"/>
        </w:rPr>
        <w:t>）</w:t>
      </w:r>
    </w:p>
    <w:tbl>
      <w:tblPr>
        <w:tblStyle w:val="7"/>
        <w:tblW w:w="8218" w:type="dxa"/>
        <w:tblCellSpacing w:w="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93"/>
        <w:gridCol w:w="570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blCellSpacing w:w="0" w:type="dxa"/>
        </w:trPr>
        <w:tc>
          <w:tcPr>
            <w:tcW w:w="1493" w:type="dxa"/>
            <w:shd w:val="clear" w:color="auto" w:fill="2F5496" w:themeFill="accent1" w:themeFillShade="BF"/>
            <w:tcMar>
              <w:top w:w="20" w:type="dxa"/>
              <w:left w:w="20" w:type="dxa"/>
              <w:bottom w:w="72" w:type="dxa"/>
              <w:right w:w="20" w:type="dxa"/>
            </w:tcMar>
            <w:vAlign w:val="center"/>
          </w:tcPr>
          <w:p>
            <w:pPr>
              <w:spacing w:line="240" w:lineRule="auto"/>
              <w:ind w:left="0" w:leftChars="0" w:firstLine="0" w:firstLineChars="0"/>
              <w:jc w:val="cente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t>评审维度</w:t>
            </w:r>
          </w:p>
        </w:tc>
        <w:tc>
          <w:tcPr>
            <w:tcW w:w="5707" w:type="dxa"/>
            <w:shd w:val="clear" w:color="auto" w:fill="2F5496" w:themeFill="accent1" w:themeFillShade="BF"/>
            <w:tcMar>
              <w:top w:w="20" w:type="dxa"/>
              <w:left w:w="20" w:type="dxa"/>
              <w:bottom w:w="72" w:type="dxa"/>
              <w:right w:w="20" w:type="dxa"/>
            </w:tcMar>
            <w:vAlign w:val="center"/>
          </w:tcPr>
          <w:p>
            <w:pPr>
              <w:spacing w:line="240" w:lineRule="auto"/>
              <w:ind w:firstLine="2249" w:firstLineChars="800"/>
              <w:jc w:val="both"/>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t>标准说明</w:t>
            </w:r>
          </w:p>
        </w:tc>
        <w:tc>
          <w:tcPr>
            <w:tcW w:w="1018" w:type="dxa"/>
            <w:shd w:val="clear" w:color="auto" w:fill="2F5496" w:themeFill="accent1" w:themeFillShade="BF"/>
            <w:tcMar>
              <w:top w:w="20" w:type="dxa"/>
              <w:left w:w="20" w:type="dxa"/>
              <w:bottom w:w="72" w:type="dxa"/>
              <w:right w:w="20" w:type="dxa"/>
            </w:tcMar>
            <w:vAlign w:val="center"/>
          </w:tcPr>
          <w:p>
            <w:pPr>
              <w:spacing w:line="240" w:lineRule="auto"/>
              <w:ind w:left="0" w:leftChars="0" w:firstLine="0" w:firstLineChars="0"/>
              <w:jc w:val="cente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7" w:hRule="atLeast"/>
          <w:tblCellSpacing w:w="0" w:type="dxa"/>
        </w:trPr>
        <w:tc>
          <w:tcPr>
            <w:tcW w:w="149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课题选定</w:t>
            </w:r>
          </w:p>
        </w:tc>
        <w:tc>
          <w:tcPr>
            <w:tcW w:w="5707"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课题选定理由充分，现状把握较全面，目标可量化</w:t>
            </w:r>
          </w:p>
        </w:tc>
        <w:tc>
          <w:tcPr>
            <w:tcW w:w="1018" w:type="dxa"/>
            <w:shd w:val="clear" w:color="auto" w:fill="auto"/>
            <w:tcMar>
              <w:top w:w="20" w:type="dxa"/>
              <w:left w:w="20" w:type="dxa"/>
              <w:bottom w:w="72" w:type="dxa"/>
              <w:right w:w="20" w:type="dxa"/>
            </w:tcMar>
            <w:vAlign w:val="center"/>
          </w:tcPr>
          <w:p>
            <w:pPr>
              <w:pStyle w:val="6"/>
              <w:keepNext w:val="0"/>
              <w:keepLines w:val="0"/>
              <w:widowControl/>
              <w:suppressLineNumbers w:val="0"/>
              <w:ind w:left="0" w:leftChars="0" w:right="0" w:right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blCellSpacing w:w="0" w:type="dxa"/>
        </w:trPr>
        <w:tc>
          <w:tcPr>
            <w:tcW w:w="149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原因分析</w:t>
            </w:r>
          </w:p>
        </w:tc>
        <w:tc>
          <w:tcPr>
            <w:tcW w:w="5707"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原因分析工具应用适当，分析到根本原因、且全面充分</w:t>
            </w:r>
          </w:p>
        </w:tc>
        <w:tc>
          <w:tcPr>
            <w:tcW w:w="1018" w:type="dxa"/>
            <w:shd w:val="clear" w:color="auto" w:fill="auto"/>
            <w:tcMar>
              <w:top w:w="20" w:type="dxa"/>
              <w:left w:w="20" w:type="dxa"/>
              <w:bottom w:w="72" w:type="dxa"/>
              <w:right w:w="20" w:type="dxa"/>
            </w:tcMar>
            <w:vAlign w:val="center"/>
          </w:tcPr>
          <w:p>
            <w:pPr>
              <w:pStyle w:val="6"/>
              <w:keepNext w:val="0"/>
              <w:keepLines w:val="0"/>
              <w:widowControl/>
              <w:suppressLineNumbers w:val="0"/>
              <w:ind w:left="0" w:leftChars="0" w:right="0" w:right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49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对策实施</w:t>
            </w:r>
          </w:p>
        </w:tc>
        <w:tc>
          <w:tcPr>
            <w:tcW w:w="5707"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对策制定详细（5W1H），对策实施计划、效果、点检较完善，有精益改善工具应用</w:t>
            </w:r>
          </w:p>
        </w:tc>
        <w:tc>
          <w:tcPr>
            <w:tcW w:w="1018" w:type="dxa"/>
            <w:shd w:val="clear" w:color="auto" w:fill="auto"/>
            <w:tcMar>
              <w:top w:w="20" w:type="dxa"/>
              <w:left w:w="20" w:type="dxa"/>
              <w:bottom w:w="72" w:type="dxa"/>
              <w:right w:w="20" w:type="dxa"/>
            </w:tcMar>
            <w:vAlign w:val="center"/>
          </w:tcPr>
          <w:p>
            <w:pPr>
              <w:pStyle w:val="6"/>
              <w:keepNext w:val="0"/>
              <w:keepLines w:val="0"/>
              <w:widowControl/>
              <w:suppressLineNumbers w:val="0"/>
              <w:ind w:left="0" w:leftChars="0" w:right="0" w:right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1" w:hRule="atLeast"/>
          <w:tblCellSpacing w:w="0" w:type="dxa"/>
        </w:trPr>
        <w:tc>
          <w:tcPr>
            <w:tcW w:w="149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改善效果</w:t>
            </w:r>
          </w:p>
        </w:tc>
        <w:tc>
          <w:tcPr>
            <w:tcW w:w="5707"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改善有创新性，改善量化成果显著，改善结果有维持管理机制保障，</w:t>
            </w:r>
            <w:r>
              <w:rPr>
                <w:rFonts w:hint="eastAsia" w:ascii="仿宋_GB2312" w:hAnsi="仿宋_GB2312" w:eastAsia="仿宋_GB2312" w:cs="仿宋_GB2312"/>
                <w:color w:val="000000"/>
                <w:sz w:val="24"/>
                <w:szCs w:val="24"/>
                <w:lang w:eastAsia="zh-CN"/>
              </w:rPr>
              <w:t>并运</w:t>
            </w:r>
            <w:r>
              <w:rPr>
                <w:rFonts w:hint="eastAsia" w:ascii="仿宋_GB2312" w:hAnsi="仿宋_GB2312" w:eastAsia="仿宋_GB2312" w:cs="仿宋_GB2312"/>
                <w:color w:val="000000"/>
                <w:sz w:val="24"/>
                <w:szCs w:val="24"/>
              </w:rPr>
              <w:t>用</w:t>
            </w:r>
            <w:r>
              <w:rPr>
                <w:rFonts w:hint="eastAsia" w:ascii="仿宋_GB2312" w:hAnsi="仿宋_GB2312" w:eastAsia="仿宋_GB2312" w:cs="仿宋_GB2312"/>
                <w:color w:val="000000"/>
                <w:sz w:val="24"/>
                <w:szCs w:val="24"/>
                <w:lang w:eastAsia="zh-CN"/>
              </w:rPr>
              <w:t>了</w:t>
            </w:r>
            <w:r>
              <w:rPr>
                <w:rFonts w:hint="eastAsia" w:ascii="仿宋_GB2312" w:hAnsi="仿宋_GB2312" w:eastAsia="仿宋_GB2312" w:cs="仿宋_GB2312"/>
                <w:color w:val="000000"/>
                <w:sz w:val="24"/>
                <w:szCs w:val="24"/>
              </w:rPr>
              <w:t>数字化管理工具</w:t>
            </w:r>
          </w:p>
        </w:tc>
        <w:tc>
          <w:tcPr>
            <w:tcW w:w="1018" w:type="dxa"/>
            <w:shd w:val="clear" w:color="auto" w:fill="auto"/>
            <w:tcMar>
              <w:top w:w="20" w:type="dxa"/>
              <w:left w:w="20" w:type="dxa"/>
              <w:bottom w:w="72" w:type="dxa"/>
              <w:right w:w="20" w:type="dxa"/>
            </w:tcMar>
            <w:vAlign w:val="center"/>
          </w:tcPr>
          <w:p>
            <w:pPr>
              <w:pStyle w:val="6"/>
              <w:keepNext w:val="0"/>
              <w:keepLines w:val="0"/>
              <w:widowControl/>
              <w:suppressLineNumbers w:val="0"/>
              <w:ind w:left="0" w:leftChars="0" w:right="0" w:right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blCellSpacing w:w="0" w:type="dxa"/>
        </w:trPr>
        <w:tc>
          <w:tcPr>
            <w:tcW w:w="149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课题发表</w:t>
            </w:r>
          </w:p>
        </w:tc>
        <w:tc>
          <w:tcPr>
            <w:tcW w:w="5707"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发表资料文案美观，逻辑性好，图文并茂，发表人精神饱满，讲述流利清晰</w:t>
            </w:r>
          </w:p>
        </w:tc>
        <w:tc>
          <w:tcPr>
            <w:tcW w:w="1018" w:type="dxa"/>
            <w:shd w:val="clear" w:color="auto" w:fill="auto"/>
            <w:tcMar>
              <w:top w:w="20" w:type="dxa"/>
              <w:left w:w="20" w:type="dxa"/>
              <w:bottom w:w="72" w:type="dxa"/>
              <w:right w:w="20" w:type="dxa"/>
            </w:tcMar>
            <w:vAlign w:val="center"/>
          </w:tcPr>
          <w:p>
            <w:pPr>
              <w:pStyle w:val="6"/>
              <w:keepNext w:val="0"/>
              <w:keepLines w:val="0"/>
              <w:widowControl/>
              <w:suppressLineNumbers w:val="0"/>
              <w:ind w:left="0" w:leftChars="0" w:right="0" w:right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25</w:t>
            </w:r>
          </w:p>
        </w:tc>
      </w:tr>
    </w:tbl>
    <w:p>
      <w:pPr>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32"/>
          <w:szCs w:val="32"/>
          <w:lang w:val="en-US" w:eastAsia="zh-CN"/>
        </w:rPr>
        <w:br w:type="page"/>
      </w:r>
    </w:p>
    <w:p>
      <w:pPr>
        <w:numPr>
          <w:ilvl w:val="0"/>
          <w:numId w:val="2"/>
        </w:numPr>
        <w:spacing w:line="360" w:lineRule="auto"/>
        <w:ind w:left="420" w:leftChars="0" w:firstLine="0" w:firstLine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32"/>
          <w:szCs w:val="32"/>
          <w:lang w:val="en-US" w:eastAsia="zh-CN"/>
        </w:rPr>
        <w:t>班组改善评审标准：</w:t>
      </w:r>
      <w:r>
        <w:rPr>
          <w:rFonts w:hint="eastAsia" w:ascii="仿宋_GB2312" w:hAnsi="仿宋_GB2312" w:eastAsia="仿宋_GB2312" w:cs="仿宋_GB2312"/>
          <w:b w:val="0"/>
          <w:bCs w:val="0"/>
          <w:sz w:val="24"/>
          <w:szCs w:val="24"/>
          <w:lang w:val="en-US" w:eastAsia="zh-CN"/>
        </w:rPr>
        <w:t>（班组改善）</w:t>
      </w:r>
    </w:p>
    <w:tbl>
      <w:tblPr>
        <w:tblStyle w:val="7"/>
        <w:tblW w:w="82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33"/>
        <w:gridCol w:w="579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1" w:hRule="atLeast"/>
          <w:tblCellSpacing w:w="0" w:type="dxa"/>
          <w:jc w:val="center"/>
        </w:trPr>
        <w:tc>
          <w:tcPr>
            <w:tcW w:w="1433" w:type="dxa"/>
            <w:shd w:val="clear" w:color="auto" w:fill="2F5496" w:themeFill="accent1" w:themeFillShade="BF"/>
            <w:tcMar>
              <w:top w:w="20" w:type="dxa"/>
              <w:left w:w="20" w:type="dxa"/>
              <w:bottom w:w="72" w:type="dxa"/>
              <w:right w:w="20" w:type="dxa"/>
            </w:tcMar>
            <w:vAlign w:val="center"/>
          </w:tcPr>
          <w:p>
            <w:pPr>
              <w:spacing w:line="240" w:lineRule="auto"/>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t>评审维度</w:t>
            </w:r>
          </w:p>
        </w:tc>
        <w:tc>
          <w:tcPr>
            <w:tcW w:w="5794" w:type="dxa"/>
            <w:shd w:val="clear" w:color="auto" w:fill="2F5496" w:themeFill="accent1" w:themeFillShade="BF"/>
            <w:tcMar>
              <w:top w:w="20" w:type="dxa"/>
              <w:left w:w="20" w:type="dxa"/>
              <w:bottom w:w="72" w:type="dxa"/>
              <w:right w:w="20" w:type="dxa"/>
            </w:tcMar>
            <w:vAlign w:val="center"/>
          </w:tcPr>
          <w:p>
            <w:pPr>
              <w:spacing w:line="240" w:lineRule="auto"/>
              <w:ind w:firstLine="2249" w:firstLineChars="80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t>标准说明</w:t>
            </w:r>
          </w:p>
        </w:tc>
        <w:tc>
          <w:tcPr>
            <w:tcW w:w="991" w:type="dxa"/>
            <w:shd w:val="clear" w:color="auto" w:fill="2F5496" w:themeFill="accent1" w:themeFillShade="BF"/>
            <w:tcMar>
              <w:top w:w="20" w:type="dxa"/>
              <w:left w:w="20" w:type="dxa"/>
              <w:bottom w:w="72" w:type="dxa"/>
              <w:right w:w="20" w:type="dxa"/>
            </w:tcMar>
            <w:vAlign w:val="center"/>
          </w:tcPr>
          <w:p>
            <w:pPr>
              <w:spacing w:line="240" w:lineRule="auto"/>
              <w:ind w:left="0" w:leftChars="0"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9" w:hRule="atLeast"/>
          <w:tblCellSpacing w:w="0" w:type="dxa"/>
          <w:jc w:val="center"/>
        </w:trPr>
        <w:tc>
          <w:tcPr>
            <w:tcW w:w="143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问题描述</w:t>
            </w:r>
          </w:p>
        </w:tc>
        <w:tc>
          <w:tcPr>
            <w:tcW w:w="5794"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问题描述清晰，改善着眼点好，构思有创意</w:t>
            </w:r>
          </w:p>
        </w:tc>
        <w:tc>
          <w:tcPr>
            <w:tcW w:w="991"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CellSpacing w:w="0" w:type="dxa"/>
          <w:jc w:val="center"/>
        </w:trPr>
        <w:tc>
          <w:tcPr>
            <w:tcW w:w="143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改善过程</w:t>
            </w:r>
          </w:p>
        </w:tc>
        <w:tc>
          <w:tcPr>
            <w:tcW w:w="5794"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提案的部分内容或想法可以被借鉴与利用，能看出付出了努力</w:t>
            </w:r>
          </w:p>
        </w:tc>
        <w:tc>
          <w:tcPr>
            <w:tcW w:w="991"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blCellSpacing w:w="0" w:type="dxa"/>
          <w:jc w:val="center"/>
        </w:trPr>
        <w:tc>
          <w:tcPr>
            <w:tcW w:w="143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改善效果</w:t>
            </w:r>
          </w:p>
        </w:tc>
        <w:tc>
          <w:tcPr>
            <w:tcW w:w="5794"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取得了较好的改善效果，改善成果尽可能被量化描述</w:t>
            </w:r>
          </w:p>
        </w:tc>
        <w:tc>
          <w:tcPr>
            <w:tcW w:w="991"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blCellSpacing w:w="0" w:type="dxa"/>
          <w:jc w:val="center"/>
        </w:trPr>
        <w:tc>
          <w:tcPr>
            <w:tcW w:w="1433"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提案发表</w:t>
            </w:r>
          </w:p>
        </w:tc>
        <w:tc>
          <w:tcPr>
            <w:tcW w:w="5794"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发表资料文案美观，逻辑性好，图文并茂，发表人精神饱满，讲述流利清晰</w:t>
            </w:r>
          </w:p>
        </w:tc>
        <w:tc>
          <w:tcPr>
            <w:tcW w:w="991" w:type="dxa"/>
            <w:shd w:val="clear" w:color="auto" w:fill="auto"/>
            <w:tcMar>
              <w:top w:w="20" w:type="dxa"/>
              <w:left w:w="20" w:type="dxa"/>
              <w:bottom w:w="72" w:type="dxa"/>
              <w:right w:w="20" w:type="dxa"/>
            </w:tcMar>
            <w:vAlign w:val="center"/>
          </w:tcPr>
          <w:p>
            <w:pPr>
              <w:pStyle w:val="6"/>
              <w:keepNext w:val="0"/>
              <w:keepLines w:val="0"/>
              <w:widowControl/>
              <w:suppressLineNumbers w:val="0"/>
              <w:spacing w:line="240" w:lineRule="auto"/>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20</w:t>
            </w:r>
          </w:p>
        </w:tc>
      </w:tr>
    </w:tbl>
    <w:p>
      <w:pPr>
        <w:numPr>
          <w:ilvl w:val="0"/>
          <w:numId w:val="0"/>
        </w:numPr>
        <w:spacing w:line="360" w:lineRule="auto"/>
        <w:rPr>
          <w:rFonts w:hint="eastAsia" w:ascii="仿宋_GB2312" w:hAnsi="仿宋_GB2312" w:eastAsia="仿宋_GB2312" w:cs="仿宋_GB2312"/>
          <w:b/>
          <w:bCs/>
          <w:sz w:val="32"/>
          <w:szCs w:val="32"/>
          <w:lang w:val="en-US" w:eastAsia="zh-CN"/>
        </w:rPr>
      </w:pPr>
    </w:p>
    <w:p>
      <w:pPr>
        <w:numPr>
          <w:ilvl w:val="0"/>
          <w:numId w:val="1"/>
        </w:numPr>
        <w:spacing w:line="360" w:lineRule="auto"/>
        <w:ind w:left="0" w:leftChars="0" w:firstLine="42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奖项设置：</w:t>
      </w:r>
    </w:p>
    <w:p>
      <w:pPr>
        <w:spacing w:line="360" w:lineRule="auto"/>
        <w:ind w:left="0" w:leftChars="0" w:firstLine="540" w:firstLineChars="168"/>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lang w:val="en-US" w:eastAsia="zh-CN"/>
        </w:rPr>
        <w:t>特别大奖：</w:t>
      </w:r>
    </w:p>
    <w:p>
      <w:pPr>
        <w:spacing w:line="360" w:lineRule="auto"/>
        <w:ind w:left="0" w:leftChars="0" w:firstLine="540" w:firstLineChars="168"/>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32"/>
          <w:szCs w:val="32"/>
        </w:rPr>
        <w:t>创新卓越金奖</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1名</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 xml:space="preserve">   颁发年度巡回奖杯</w:t>
      </w:r>
    </w:p>
    <w:p>
      <w:pPr>
        <w:spacing w:line="480" w:lineRule="auto"/>
        <w:ind w:left="0" w:leftChars="0" w:firstLine="537" w:firstLineChars="16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340360</wp:posOffset>
                </wp:positionH>
                <wp:positionV relativeFrom="paragraph">
                  <wp:posOffset>24765</wp:posOffset>
                </wp:positionV>
                <wp:extent cx="4762500" cy="0"/>
                <wp:effectExtent l="0" t="4445" r="0" b="5080"/>
                <wp:wrapNone/>
                <wp:docPr id="1" name="直接连接符 1"/>
                <wp:cNvGraphicFramePr/>
                <a:graphic xmlns:a="http://schemas.openxmlformats.org/drawingml/2006/main">
                  <a:graphicData uri="http://schemas.microsoft.com/office/word/2010/wordprocessingShape">
                    <wps:wsp>
                      <wps:cNvCnPr/>
                      <wps:spPr>
                        <a:xfrm>
                          <a:off x="1559560" y="2929255"/>
                          <a:ext cx="4762500" cy="0"/>
                        </a:xfrm>
                        <a:prstGeom prst="line">
                          <a:avLst/>
                        </a:prstGeom>
                        <a:ln w="3175">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8pt;margin-top:1.95pt;height:0pt;width:375pt;z-index:251659264;mso-width-relative:page;mso-height-relative:page;" filled="f" stroked="t" coordsize="21600,21600" o:gfxdata="UEsDBAoAAAAAAIdO4kAAAAAAAAAAAAAAAAAEAAAAZHJzL1BLAwQUAAAACACHTuJAD5ygkNQAAAAG&#10;AQAADwAAAGRycy9kb3ducmV2LnhtbE2Oy27CMBRE95X4B+sidROBDSkU0jgskFArtZumsDfxbRLV&#10;vo5s8+jf13TTLo9mNHPKzdUadkYfekcSZlMBDKlxuqdWwv5jN1kBC1GRVsYRSvjGAJtqdFeqQrsL&#10;veO5ji1LIxQKJaGLcSg4D02HVoWpG5BS9um8VTGhb7n26pLGreFzIZbcqp7SQ6cG3HbYfNUnK+E1&#10;M4/0lrts7x/a7OW5Pqz7xU7K+/FMPAGLeI1/ZbjpJ3WoktPRnUgHZiQs8mVqSsjXwFK8Ejc+/jKv&#10;Sv5fv/oBUEsDBBQAAAAIAIdO4kAZYdEg8QEAALwDAAAOAAAAZHJzL2Uyb0RvYy54bWytU0tu2zAQ&#10;3RfoHQjua9lu5SSC5SxipJuiNdD2ADRFSQT4wwxj2ZfoBQp016667L63SXqMDik3SZNNFpEAakg+&#10;vuF7M1qe761hOwWovav5bDLlTDnpG+26mn/+dPnqlDOMwjXCeKdqflDIz1cvXyyHUKm5771pFDAi&#10;cVgNoeZ9jKEqCpS9sgInPihHm60HKyJNoSsaEAOxW1PMp9NFMXhoAnipEGl1PW7yIyM8hdC3rZZq&#10;7eWVVS6OrKCMiCQJex2Qr/Jt21bJ+KFtUUVmak5KYx4pCcXbNBarpag6EKHX8ngF8ZQrPNBkhXaU&#10;9JZqLaJgV6AfUVktwaNv40R6W4xCsiOkYjZ94M3HXgSVtZDVGG5Nx+ejle93G2C6oU7gzAlLBb/5&#10;+uv6y/c/v7/RePPzB5slk4aAFWEv3AaOMwwbSIr3Ldj0JS1sTzRleVYuyN5Dzedn9JblaLLaRyYJ&#10;8OZkMS+nBJCEyAUo7kgCYHyrvGUpqLnRLukXldi9w0iJCfoPkpadv9TG5Boax4aav56dlMQsqC9b&#10;6gcKbSBt6DrOhOmo4WWEzIje6CadTjwI3fbCANuJ1Cb5SZembP/BUuq1wH7ENRSN0qyO9EsYbWt+&#10;ev+wccSRnBu9StHWN4dsYV6nouYsxwZMXXN/nk/f/XS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coJDUAAAABgEAAA8AAAAAAAAAAQAgAAAAIgAAAGRycy9kb3ducmV2LnhtbFBLAQIUABQAAAAI&#10;AIdO4kAZYdEg8QEAALwDAAAOAAAAAAAAAAEAIAAAACMBAABkcnMvZTJvRG9jLnhtbFBLBQYAAAAA&#10;BgAGAFkBAACGBQAAAAA=&#10;">
                <v:fill on="f" focussize="0,0"/>
                <v:stroke weight="0.25pt" color="#000000 [3213]" miterlimit="8" joinstyle="miter" dashstyle="dash"/>
                <v:imagedata o:title=""/>
                <o:lock v:ext="edit" aspectratio="f"/>
              </v:line>
            </w:pict>
          </mc:Fallback>
        </mc:AlternateContent>
      </w:r>
      <w:r>
        <w:rPr>
          <w:rFonts w:hint="eastAsia" w:ascii="仿宋_GB2312" w:hAnsi="仿宋_GB2312" w:eastAsia="仿宋_GB2312" w:cs="仿宋_GB2312"/>
          <w:b/>
          <w:bCs/>
          <w:sz w:val="32"/>
          <w:szCs w:val="32"/>
          <w:lang w:val="en-US" w:eastAsia="zh-CN"/>
        </w:rPr>
        <w:t>赛道奖项：</w:t>
      </w:r>
    </w:p>
    <w:p>
      <w:pPr>
        <w:spacing w:line="360" w:lineRule="auto"/>
        <w:ind w:left="0" w:leftChars="0" w:firstLine="540" w:firstLineChars="168"/>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一等奖（</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 xml:space="preserve">名）      </w:t>
      </w:r>
      <w:r>
        <w:rPr>
          <w:rFonts w:hint="eastAsia" w:ascii="仿宋_GB2312" w:hAnsi="仿宋_GB2312" w:eastAsia="仿宋_GB2312" w:cs="仿宋_GB2312"/>
          <w:b/>
          <w:bCs/>
          <w:color w:val="auto"/>
          <w:sz w:val="32"/>
          <w:szCs w:val="32"/>
          <w:lang w:val="en-US" w:eastAsia="zh-CN"/>
        </w:rPr>
        <w:t>奖金+颁发奖杯与</w:t>
      </w:r>
      <w:r>
        <w:rPr>
          <w:rFonts w:hint="eastAsia" w:ascii="仿宋_GB2312" w:hAnsi="仿宋_GB2312" w:eastAsia="仿宋_GB2312" w:cs="仿宋_GB2312"/>
          <w:b/>
          <w:bCs/>
          <w:color w:val="auto"/>
          <w:sz w:val="32"/>
          <w:szCs w:val="32"/>
        </w:rPr>
        <w:t>荣誉证书</w:t>
      </w:r>
    </w:p>
    <w:p>
      <w:pPr>
        <w:spacing w:line="360" w:lineRule="auto"/>
        <w:ind w:left="0" w:leftChars="0" w:firstLine="540" w:firstLineChars="168"/>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二等奖（3名）      </w:t>
      </w:r>
      <w:r>
        <w:rPr>
          <w:rFonts w:hint="eastAsia" w:ascii="仿宋_GB2312" w:hAnsi="仿宋_GB2312" w:eastAsia="仿宋_GB2312" w:cs="仿宋_GB2312"/>
          <w:b/>
          <w:bCs/>
          <w:color w:val="auto"/>
          <w:sz w:val="32"/>
          <w:szCs w:val="32"/>
          <w:lang w:val="en-US" w:eastAsia="zh-CN"/>
        </w:rPr>
        <w:t>奖金+颁发奖杯与</w:t>
      </w:r>
      <w:r>
        <w:rPr>
          <w:rFonts w:hint="eastAsia" w:ascii="仿宋_GB2312" w:hAnsi="仿宋_GB2312" w:eastAsia="仿宋_GB2312" w:cs="仿宋_GB2312"/>
          <w:b/>
          <w:bCs/>
          <w:color w:val="auto"/>
          <w:sz w:val="32"/>
          <w:szCs w:val="32"/>
        </w:rPr>
        <w:t>荣誉证书</w:t>
      </w:r>
    </w:p>
    <w:p>
      <w:pPr>
        <w:spacing w:line="360" w:lineRule="auto"/>
        <w:ind w:left="0" w:leftChars="0" w:firstLine="540" w:firstLineChars="168"/>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rPr>
        <w:t>三等奖（</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 xml:space="preserve">名）      </w:t>
      </w:r>
      <w:r>
        <w:rPr>
          <w:rFonts w:hint="eastAsia" w:ascii="仿宋_GB2312" w:hAnsi="仿宋_GB2312" w:eastAsia="仿宋_GB2312" w:cs="仿宋_GB2312"/>
          <w:b/>
          <w:bCs/>
          <w:color w:val="auto"/>
          <w:sz w:val="32"/>
          <w:szCs w:val="32"/>
          <w:lang w:val="en-US" w:eastAsia="zh-CN"/>
        </w:rPr>
        <w:t>奖金+颁发奖杯与</w:t>
      </w:r>
      <w:r>
        <w:rPr>
          <w:rFonts w:hint="eastAsia" w:ascii="仿宋_GB2312" w:hAnsi="仿宋_GB2312" w:eastAsia="仿宋_GB2312" w:cs="仿宋_GB2312"/>
          <w:b/>
          <w:bCs/>
          <w:color w:val="auto"/>
          <w:sz w:val="32"/>
          <w:szCs w:val="32"/>
        </w:rPr>
        <w:t>荣誉证书</w:t>
      </w:r>
    </w:p>
    <w:p>
      <w:pPr>
        <w:spacing w:line="600" w:lineRule="auto"/>
        <w:ind w:left="0" w:leftChars="0" w:firstLine="537" w:firstLineChars="168"/>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340360</wp:posOffset>
                </wp:positionH>
                <wp:positionV relativeFrom="paragraph">
                  <wp:posOffset>44450</wp:posOffset>
                </wp:positionV>
                <wp:extent cx="47625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4762500" cy="0"/>
                        </a:xfrm>
                        <a:prstGeom prst="line">
                          <a:avLst/>
                        </a:prstGeom>
                        <a:ln w="3175">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8pt;margin-top:3.5pt;height:0pt;width:375pt;z-index:251660288;mso-width-relative:page;mso-height-relative:page;" filled="f" stroked="t" coordsize="21600,21600" o:gfxdata="UEsDBAoAAAAAAIdO4kAAAAAAAAAAAAAAAAAEAAAAZHJzL1BLAwQUAAAACACHTuJA0QSFPdMAAAAG&#10;AQAADwAAAGRycy9kb3ducmV2LnhtbE2Py07DMBBF90j8gzVIbCJql9IHIU4XSBVIsCGUvRsPSYQ9&#10;jmz3wd8zZQPLo3t150y1PnknDhjTEEjDdKJAILXBDtRp2L5vblYgUjZkjQuEGr4xwbq+vKhMacOR&#10;3vDQ5E7wCKXSaOhzHkspU9ujN2kSRiTOPkP0JjPGTtpojjzunbxVaiG9GYgv9GbExx7br2bvNbwU&#10;bkmvs1Bs411XPD81H/fDfKP19dVUPYDIeMp/ZTjrszrU7LQLe7JJOA3z2YKbGpb8EccrdebdL8u6&#10;kv/16x9QSwMEFAAAAAgAh07iQFCOUnzkAQAAsAMAAA4AAABkcnMvZTJvRG9jLnhtbK1TzW7UMBC+&#10;I/EOlu9ssoH+KNpsD12VC4KVgAfwOk5iyX+acTe7L8ELIHGDE0fuvA3lMRg7221pLz00h8l4PPON&#10;v8/jxcXOGrZVgNq7hs9nJWfKSd9q1zf886erV+ecYRSuFcY71fC9Qn6xfPliMYZaVX7wplXACMRh&#10;PYaGDzGGuihQDsoKnPmgHG12HqyItIS+aEGMhG5NUZXlaTF6aAN4qRApupo2+QERngLou05LtfLy&#10;2ioXJ1RQRkSihIMOyJf5tF2nZPzQdagiMw0npjFbakL+JtliuRB1DyIMWh6OIJ5yhAecrNCOmh6h&#10;ViIKdg36EZTVEjz6Ls6kt8VEJCtCLOblA20+DiKozIWkxnAUHZ8PVr7froHptuEVZ05YuvCbr7/+&#10;fPn+9/c3sjc/f7AqiTQGrCn30q3hsMKwhsR414FNf+LCdlnY/VFYtYtMUvDN2Wl1UpLm8navuCsM&#10;gPGt8pYlp+FGu8RZ1GL7DiM1o9TblBR2/kobk+/NODY2/PX87ISQBc1iRzNArg3EB13PmTA9DbmM&#10;kBHRG92m6oSD0G8uDbCtSKORv0SUuv2XllqvBA5TXkveNDNWR3oGRtuGn98vNo4wklqTPsnb+Haf&#10;Zctxusjc5TB0aVLur3P13UNb/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BIU90wAAAAYBAAAP&#10;AAAAAAAAAAEAIAAAACIAAABkcnMvZG93bnJldi54bWxQSwECFAAUAAAACACHTuJAUI5SfOQBAACw&#10;AwAADgAAAAAAAAABACAAAAAiAQAAZHJzL2Uyb0RvYy54bWxQSwUGAAAAAAYABgBZAQAAeAUAAAAA&#10;">
                <v:fill on="f" focussize="0,0"/>
                <v:stroke weight="0.25pt" color="#000000 [3213]" miterlimit="8" joinstyle="miter" dashstyle="dash"/>
                <v:imagedata o:title=""/>
                <o:lock v:ext="edit" aspectratio="f"/>
              </v:line>
            </w:pict>
          </mc:Fallback>
        </mc:AlternateContent>
      </w:r>
      <w:r>
        <w:rPr>
          <w:rFonts w:hint="eastAsia" w:ascii="仿宋_GB2312" w:hAnsi="仿宋_GB2312" w:eastAsia="仿宋_GB2312" w:cs="仿宋_GB2312"/>
          <w:b/>
          <w:bCs/>
          <w:sz w:val="32"/>
          <w:szCs w:val="32"/>
          <w:lang w:val="en-US" w:eastAsia="zh-CN"/>
        </w:rPr>
        <w:t>价值贡献奖：</w:t>
      </w:r>
    </w:p>
    <w:p>
      <w:pPr>
        <w:keepNext w:val="0"/>
        <w:keepLines w:val="0"/>
        <w:pageBreakBefore w:val="0"/>
        <w:widowControl w:val="0"/>
        <w:numPr>
          <w:ilvl w:val="-1"/>
          <w:numId w:val="0"/>
        </w:numPr>
        <w:kinsoku/>
        <w:wordWrap/>
        <w:overflowPunct/>
        <w:topLinePunct w:val="0"/>
        <w:autoSpaceDE/>
        <w:autoSpaceDN/>
        <w:bidi w:val="0"/>
        <w:adjustRightInd/>
        <w:snapToGrid/>
        <w:spacing w:line="600" w:lineRule="atLeas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社会责任奖   5名  展现出卓越社会责任感和可持续发展意识</w:t>
      </w:r>
    </w:p>
    <w:p>
      <w:pPr>
        <w:keepNext w:val="0"/>
        <w:keepLines w:val="0"/>
        <w:pageBreakBefore w:val="0"/>
        <w:widowControl w:val="0"/>
        <w:numPr>
          <w:ilvl w:val="-1"/>
          <w:numId w:val="0"/>
        </w:numPr>
        <w:kinsoku/>
        <w:wordWrap/>
        <w:overflowPunct/>
        <w:topLinePunct w:val="0"/>
        <w:autoSpaceDE/>
        <w:autoSpaceDN/>
        <w:bidi w:val="0"/>
        <w:adjustRightInd/>
        <w:snapToGrid/>
        <w:spacing w:line="600" w:lineRule="atLeas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团队协作奖   5名  在团队合作、协调和沟通方面表现突出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atLeas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技术突破奖   5名  在技术创新和突破方面取得显著成就</w:t>
      </w:r>
    </w:p>
    <w:p>
      <w:pPr>
        <w:keepNext w:val="0"/>
        <w:keepLines w:val="0"/>
        <w:pageBreakBefore w:val="0"/>
        <w:widowControl w:val="0"/>
        <w:numPr>
          <w:ilvl w:val="-1"/>
          <w:numId w:val="0"/>
        </w:numPr>
        <w:kinsoku/>
        <w:wordWrap/>
        <w:overflowPunct/>
        <w:topLinePunct w:val="0"/>
        <w:autoSpaceDE/>
        <w:autoSpaceDN/>
        <w:bidi w:val="0"/>
        <w:adjustRightInd/>
        <w:snapToGrid/>
        <w:spacing w:line="600" w:lineRule="atLeas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投资价值奖   5名  潜在投资价值、市场前景和商业模式创新</w:t>
      </w:r>
    </w:p>
    <w:p>
      <w:pPr>
        <w:keepNext w:val="0"/>
        <w:keepLines w:val="0"/>
        <w:pageBreakBefore w:val="0"/>
        <w:widowControl w:val="0"/>
        <w:numPr>
          <w:ilvl w:val="-1"/>
          <w:numId w:val="0"/>
        </w:numPr>
        <w:kinsoku/>
        <w:wordWrap/>
        <w:overflowPunct/>
        <w:topLinePunct w:val="0"/>
        <w:autoSpaceDE/>
        <w:autoSpaceDN/>
        <w:bidi w:val="0"/>
        <w:adjustRightInd/>
        <w:snapToGrid/>
        <w:spacing w:line="600" w:lineRule="atLeas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大众人气奖   5名  由公众投票选出的最受欢迎项目奖项</w:t>
      </w:r>
    </w:p>
    <w:p>
      <w:pPr>
        <w:keepNext w:val="0"/>
        <w:keepLines w:val="0"/>
        <w:pageBreakBefore w:val="0"/>
        <w:widowControl w:val="0"/>
        <w:numPr>
          <w:ilvl w:val="-1"/>
          <w:numId w:val="0"/>
        </w:numPr>
        <w:kinsoku/>
        <w:wordWrap/>
        <w:overflowPunct/>
        <w:topLinePunct w:val="0"/>
        <w:autoSpaceDE/>
        <w:autoSpaceDN/>
        <w:bidi w:val="0"/>
        <w:adjustRightInd/>
        <w:snapToGrid/>
        <w:spacing w:line="600" w:lineRule="atLeas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行业贡献奖   5名  在特定行业推动行业发展、创新和变革</w:t>
      </w:r>
    </w:p>
    <w:p>
      <w:pPr>
        <w:spacing w:line="480" w:lineRule="auto"/>
        <w:ind w:left="0" w:leftChars="0" w:firstLine="518" w:firstLineChars="16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340360</wp:posOffset>
                </wp:positionH>
                <wp:positionV relativeFrom="paragraph">
                  <wp:posOffset>12700</wp:posOffset>
                </wp:positionV>
                <wp:extent cx="47625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4762500" cy="0"/>
                        </a:xfrm>
                        <a:prstGeom prst="line">
                          <a:avLst/>
                        </a:prstGeom>
                        <a:ln w="3175">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8pt;margin-top:1pt;height:0pt;width:375pt;z-index:251661312;mso-width-relative:page;mso-height-relative:page;" filled="f" stroked="t" coordsize="21600,21600" o:gfxdata="UEsDBAoAAAAAAIdO4kAAAAAAAAAAAAAAAAAEAAAAZHJzL1BLAwQUAAAACACHTuJAzFgvu9QAAAAG&#10;AQAADwAAAGRycy9kb3ducmV2LnhtbE2Py07DMBBF90j8gzVIbCJqt6WlhDhdIFUgwYZQ9m48JBH2&#10;OLLdB3/PlA0sj+7VnTPV+uSdOGBMQyAN04kCgdQGO1CnYfu+uVmBSNmQNS4QavjGBOv68qIypQ1H&#10;esNDkzvBI5RKo6HPeSylTG2P3qRJGJE4+wzRm8wYO2mjOfK4d3Km1FJ6MxBf6M2Ijz22X83ea3gp&#10;3B29zkOxjbdd8fzUfNwPi43W11dT9QAi4yn/leGsz+pQs9Mu7Mkm4TQs5ktuapjxRxyv1Jl3vyzr&#10;Sv7Xr38AUEsDBBQAAAAIAIdO4kDBg5ih4wEAALADAAAOAAAAZHJzL2Uyb0RvYy54bWytUzuO2zAQ&#10;7QPkDgT7WLLj/UCwvMUamyZIDCQ5AE1REgH+MMO17EvkAgHSJVXK9LlNdo+RIeX1/potomI0HM68&#10;4XscLi521rCtAtTe1Xw6KTlTTvpGu67mXz5fvTnnDKNwjTDeqZrvFfKL5etXiyFUauZ7bxoFjEAc&#10;VkOoeR9jqIoCZa+swIkPytFm68GKSEvoigbEQOjWFLOyPC0GD00ALxUiRVfjJj8gwksAfdtqqVZe&#10;Xlvl4ogKyohIlLDXAfkyn7ZtlYwf2xZVZKbmxDRmS03I3yRbLBei6kCEXsvDEcRLjvCEkxXaUdMj&#10;1EpEwa5BP4OyWoJH38aJ9LYYiWRFiMW0fKLNp14ElbmQ1BiOouP/g5Uftmtguqn5nDMnLF34zbff&#10;f7/+uP3znezNr59snkQaAlaUe+nWcFhhWENivGvBpj9xYbss7P4orNpFJik4PzudnZSkubzbK+4L&#10;A2B8p7xlyam50S5xFpXYvsdIzSj1LiWFnb/SxuR7M44NNX87PTshZEGz2NIMkGsD8UHXcSZMR0Mu&#10;I2RE9EY3qTrhIHSbSwNsK9Jo5C8RpW6P0lLrlcB+zGvIG2fG6kjPwGhb8/OHxcYRRlJr1Cd5G9/s&#10;s2w5TheZuxyGLk3Kw3Wuvn9oy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WC+71AAAAAYBAAAP&#10;AAAAAAAAAAEAIAAAACIAAABkcnMvZG93bnJldi54bWxQSwECFAAUAAAACACHTuJAwYOYoeMBAACw&#10;AwAADgAAAAAAAAABACAAAAAjAQAAZHJzL2Uyb0RvYy54bWxQSwUGAAAAAAYABgBZAQAAeAUAAAAA&#10;">
                <v:fill on="f" focussize="0,0"/>
                <v:stroke weight="0.25pt" color="#000000 [3213]" miterlimit="8" joinstyle="miter" dashstyle="dash"/>
                <v:imagedata o:title=""/>
                <o:lock v:ext="edit" aspectratio="f"/>
              </v:line>
            </w:pict>
          </mc:Fallback>
        </mc:AlternateContent>
      </w:r>
      <w:r>
        <w:rPr>
          <w:rFonts w:hint="eastAsia" w:ascii="仿宋_GB2312" w:hAnsi="仿宋_GB2312" w:eastAsia="仿宋_GB2312" w:cs="仿宋_GB2312"/>
          <w:b/>
          <w:bCs/>
          <w:sz w:val="32"/>
          <w:szCs w:val="32"/>
          <w:lang w:val="en-US" w:eastAsia="zh-CN"/>
        </w:rPr>
        <w:t>创新先锋奖：</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精益先锋奖   5名  在精益生产和管理方面取得突出成就</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数智先锋奖   5名  推动工业智能和数字化转型取得重要进展</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环保先锋奖   5名  在环境保护和可持续发展取得显著成就</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文化先锋奖   5名  在企业持续改善文化传承和创新表现突出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班组先锋奖   5名  在生产班组管理和效率提升方面表现突出</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实践先锋奖   5名  在实践创新和应用方面取得显著成就</w:t>
      </w:r>
    </w:p>
    <w:p>
      <w:pPr>
        <w:spacing w:line="600" w:lineRule="auto"/>
        <w:ind w:left="0" w:leftChars="0" w:firstLine="560" w:firstLineChars="17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340360</wp:posOffset>
                </wp:positionH>
                <wp:positionV relativeFrom="paragraph">
                  <wp:posOffset>25400</wp:posOffset>
                </wp:positionV>
                <wp:extent cx="47625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4762500" cy="0"/>
                        </a:xfrm>
                        <a:prstGeom prst="line">
                          <a:avLst/>
                        </a:prstGeom>
                        <a:ln w="3175">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6.8pt;margin-top:2pt;height:0pt;width:375pt;z-index:251662336;mso-width-relative:page;mso-height-relative:page;" filled="f" stroked="t" coordsize="21600,21600" o:gfxdata="UEsDBAoAAAAAAIdO4kAAAAAAAAAAAAAAAAAEAAAAZHJzL1BLAwQUAAAACACHTuJA5TLM9tMAAAAG&#10;AQAADwAAAGRycy9kb3ducmV2LnhtbE2Py07DMBBF90j8gzVIbCJqlz4oIU4XSBVIsCGUvRsPSYQ9&#10;jmz3wd8zZQPLo3t150y1PnknDhjTEEjDdKJAILXBDtRp2L5vblYgUjZkjQuEGr4xwbq+vKhMacOR&#10;3vDQ5E7wCKXSaOhzHkspU9ujN2kSRiTOPkP0JjPGTtpojjzunbxVaim9GYgv9GbExx7br2bvNbwU&#10;7o5eZ6HYxnlXPD81H/fDYqP19dVUPYDIeMp/ZTjrszrU7LQLe7JJOA2L2ZKbGub8EccrdebdL8u6&#10;kv/16x9QSwMEFAAAAAgAh07iQE6H3urjAQAAsAMAAA4AAABkcnMvZTJvRG9jLnhtbK1TzW4TMRC+&#10;I/EOlu9kk0DTapVND43KBUEk4AEcr71ryX+acbPJS/ACSNzgxJE7b0N5DMbeNC3l0gN7mB2PZ77x&#10;93m8vNw7y3YK0ATf8NlkypnyMrTGdw3/+OH6xQVnmIRvhQ1eNfygkF+unj9bDrFW89AH2ypgBOKx&#10;HmLD+5RiXVUoe+UETkJUnjZ1ACcSLaGrWhADoTtbzafTRTUEaCMEqRApuh43+RERngIYtDZSrYO8&#10;ccqnERWUFYkoYW8i8lU5rdZKpndao0rMNpyYpmKpCfnbbKvVUtQdiNgbeTyCeMoRHnFywnhqeoJa&#10;iyTYDZh/oJyREDDoNJHBVSORogixmE0fafO+F1EVLiQ1xpPo+P9g5dvdBphpG77gzAtHF377+cev&#10;T19///xC9vb7N7bIIg0Ra8q98hs4rjBuIDPea3D5T1zYvgh7OAmr9olJCr46X8zPpqS5vNur7gsj&#10;YHqtgmPZabg1PnMWtdi9wUTNKPUuJYd9uDbWlnuzng0Nfzk7PyNkQbOoaQbIdZH4oO84E7ajIZcJ&#10;CiIGa9pcnXEQuu2VBbYTeTTKl4lSt7/Scuu1wH7Ma8kbZ8aZRM/AGtfwi4fF1hNGVmvUJ3vb0B6K&#10;bCVOF1m6HIcuT8rDdam+f2i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UyzPbTAAAABgEAAA8A&#10;AAAAAAAAAQAgAAAAIgAAAGRycy9kb3ducmV2LnhtbFBLAQIUABQAAAAIAIdO4kBOh97q4wEAALAD&#10;AAAOAAAAAAAAAAEAIAAAACIBAABkcnMvZTJvRG9jLnhtbFBLBQYAAAAABgAGAFkBAAB3BQAAAAA=&#10;">
                <v:fill on="f" focussize="0,0"/>
                <v:stroke weight="0.25pt" color="#000000 [3213]" miterlimit="8" joinstyle="miter" dashstyle="dash"/>
                <v:imagedata o:title=""/>
                <o:lock v:ext="edit" aspectratio="f"/>
              </v:line>
            </w:pict>
          </mc:Fallback>
        </mc:AlternateContent>
      </w:r>
      <w:r>
        <w:rPr>
          <w:rFonts w:hint="eastAsia" w:ascii="仿宋_GB2312" w:hAnsi="仿宋_GB2312" w:eastAsia="仿宋_GB2312" w:cs="仿宋_GB2312"/>
          <w:b/>
          <w:bCs/>
          <w:sz w:val="32"/>
          <w:szCs w:val="32"/>
          <w:lang w:val="en-US" w:eastAsia="zh-CN"/>
        </w:rPr>
        <w:t>创新实践奖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入围全国总决赛，未获得其他奖项的优秀参赛队</w:t>
      </w:r>
    </w:p>
    <w:p>
      <w:pPr>
        <w:numPr>
          <w:ilvl w:val="-1"/>
          <w:numId w:val="0"/>
        </w:numPr>
        <w:spacing w:line="36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六、大赛规程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预选赛</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集团企业预选赛：</w:t>
      </w:r>
      <w:r>
        <w:rPr>
          <w:rFonts w:hint="eastAsia" w:ascii="仿宋_GB2312" w:hAnsi="仿宋_GB2312" w:eastAsia="仿宋_GB2312" w:cs="仿宋_GB2312"/>
          <w:b w:val="0"/>
          <w:bCs w:val="0"/>
          <w:sz w:val="32"/>
          <w:szCs w:val="32"/>
          <w:lang w:val="en-US" w:eastAsia="zh-CN"/>
        </w:rPr>
        <w:t>由各大型集团企业内部进行组织竞赛选拔，鼓励大型集团企业积极组织内部竞赛，通过创新改善大赛活动激发企业内部精益数智化管理变革创新。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大赛注册：</w:t>
      </w:r>
      <w:r>
        <w:rPr>
          <w:rFonts w:hint="eastAsia" w:ascii="仿宋_GB2312" w:hAnsi="仿宋_GB2312" w:eastAsia="仿宋_GB2312" w:cs="仿宋_GB2312"/>
          <w:b w:val="0"/>
          <w:bCs w:val="0"/>
          <w:sz w:val="32"/>
          <w:szCs w:val="32"/>
          <w:lang w:val="en-US" w:eastAsia="zh-CN"/>
        </w:rPr>
        <w:t>请于</w:t>
      </w:r>
      <w:bookmarkStart w:id="0" w:name="OLE_LINK1"/>
      <w:r>
        <w:rPr>
          <w:rFonts w:hint="eastAsia" w:ascii="仿宋_GB2312" w:hAnsi="仿宋_GB2312" w:eastAsia="仿宋_GB2312" w:cs="仿宋_GB2312"/>
          <w:b w:val="0"/>
          <w:bCs w:val="0"/>
          <w:sz w:val="32"/>
          <w:szCs w:val="32"/>
          <w:u w:val="single"/>
          <w:lang w:val="en-US" w:eastAsia="zh-CN"/>
        </w:rPr>
        <w:t>2024年6月4日-7月14日</w:t>
      </w:r>
      <w:bookmarkEnd w:id="0"/>
      <w:r>
        <w:rPr>
          <w:rFonts w:hint="eastAsia" w:ascii="仿宋_GB2312" w:hAnsi="仿宋_GB2312" w:eastAsia="仿宋_GB2312" w:cs="仿宋_GB2312"/>
          <w:b w:val="0"/>
          <w:bCs w:val="0"/>
          <w:sz w:val="32"/>
          <w:szCs w:val="32"/>
          <w:lang w:val="en-US" w:eastAsia="zh-CN"/>
        </w:rPr>
        <w:t>在大赛官方系统进行集团企业预选赛注册备案，以保障企业预选赛参赛队具备在大赛系统提报参赛作品权限。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32"/>
          <w:szCs w:val="32"/>
          <w:lang w:val="en-US" w:eastAsia="zh-CN"/>
        </w:rPr>
        <w:t>比赛时间：2024年6月-7月</w:t>
      </w:r>
      <w:r>
        <w:rPr>
          <w:rFonts w:hint="eastAsia" w:ascii="仿宋_GB2312" w:hAnsi="仿宋_GB2312" w:eastAsia="仿宋_GB2312" w:cs="仿宋_GB2312"/>
          <w:b w:val="0"/>
          <w:bCs w:val="0"/>
          <w:sz w:val="24"/>
          <w:szCs w:val="24"/>
          <w:lang w:val="en-US" w:eastAsia="zh-CN"/>
        </w:rPr>
        <w:t>（比赛时间由企业自行安排）</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初赛名额：</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央国企集团直通初赛名额8支参赛队，集团产值规模2000亿以上增加4支参赛队；其他企业直通初赛名额5支参赛队，集团产值规模2000亿以上增加4支参赛队。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网络公开预选赛：</w:t>
      </w:r>
      <w:r>
        <w:rPr>
          <w:rFonts w:hint="eastAsia" w:ascii="仿宋_GB2312" w:hAnsi="仿宋_GB2312" w:eastAsia="仿宋_GB2312" w:cs="仿宋_GB2312"/>
          <w:b w:val="0"/>
          <w:bCs w:val="0"/>
          <w:sz w:val="32"/>
          <w:szCs w:val="32"/>
          <w:lang w:val="en-US" w:eastAsia="zh-CN"/>
        </w:rPr>
        <w:t>面向非集团企业参赛队，通过大赛官方系统线上注册、提交参赛作品，由大赛组委会专业评委统一进行评审选拔。</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提交时间：</w:t>
      </w:r>
      <w:r>
        <w:rPr>
          <w:rFonts w:hint="eastAsia" w:ascii="仿宋_GB2312" w:hAnsi="仿宋_GB2312" w:eastAsia="仿宋_GB2312" w:cs="仿宋_GB2312"/>
          <w:b w:val="0"/>
          <w:bCs w:val="0"/>
          <w:sz w:val="32"/>
          <w:szCs w:val="32"/>
          <w:lang w:val="en-US" w:eastAsia="zh-CN"/>
        </w:rPr>
        <w:t>请各参赛队于</w:t>
      </w:r>
      <w:r>
        <w:rPr>
          <w:rFonts w:hint="eastAsia" w:ascii="仿宋_GB2312" w:hAnsi="仿宋_GB2312" w:eastAsia="仿宋_GB2312" w:cs="仿宋_GB2312"/>
          <w:b w:val="0"/>
          <w:bCs w:val="0"/>
          <w:sz w:val="32"/>
          <w:szCs w:val="32"/>
          <w:u w:val="single"/>
          <w:lang w:val="en-US" w:eastAsia="zh-CN"/>
        </w:rPr>
        <w:t>2024年6月4日-7月14日</w:t>
      </w:r>
      <w:r>
        <w:rPr>
          <w:rFonts w:hint="eastAsia" w:ascii="仿宋_GB2312" w:hAnsi="仿宋_GB2312" w:eastAsia="仿宋_GB2312" w:cs="仿宋_GB2312"/>
          <w:b w:val="0"/>
          <w:bCs w:val="0"/>
          <w:sz w:val="32"/>
          <w:szCs w:val="32"/>
          <w:lang w:val="en-US" w:eastAsia="zh-CN"/>
        </w:rPr>
        <w:t>在大赛官方系统注册报名并提交参赛作品，注册报名请选择正确的赛道、主题类型等事项。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参赛名额：</w:t>
      </w:r>
      <w:r>
        <w:rPr>
          <w:rFonts w:hint="eastAsia" w:ascii="仿宋_GB2312" w:hAnsi="仿宋_GB2312" w:eastAsia="仿宋_GB2312" w:cs="仿宋_GB2312"/>
          <w:b w:val="0"/>
          <w:bCs w:val="0"/>
          <w:sz w:val="32"/>
          <w:szCs w:val="32"/>
          <w:lang w:val="en-US" w:eastAsia="zh-CN"/>
        </w:rPr>
        <w:t>每家企业限报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2支参赛队，参</w:t>
      </w:r>
      <w:r>
        <w:rPr>
          <w:rFonts w:hint="eastAsia" w:ascii="仿宋_GB2312" w:hAnsi="仿宋_GB2312" w:eastAsia="仿宋_GB2312" w:cs="仿宋_GB2312"/>
          <w:b w:val="0"/>
          <w:bCs w:val="0"/>
          <w:sz w:val="32"/>
          <w:szCs w:val="32"/>
          <w:lang w:val="en-US" w:eastAsia="zh-CN"/>
        </w:rPr>
        <w:t>赛赛道由企业根据自身行业类别进行报名。</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评审时间：</w:t>
      </w:r>
      <w:r>
        <w:rPr>
          <w:rFonts w:hint="eastAsia" w:ascii="仿宋_GB2312" w:hAnsi="仿宋_GB2312" w:eastAsia="仿宋_GB2312" w:cs="仿宋_GB2312"/>
          <w:b w:val="0"/>
          <w:bCs w:val="0"/>
          <w:sz w:val="32"/>
          <w:szCs w:val="32"/>
          <w:lang w:val="en-US" w:eastAsia="zh-CN"/>
        </w:rPr>
        <w:t>2024年7月14日—7月31日，大赛组委会组织专业评委在大赛官方系统对参赛作品进行打分评审，评审结束后将进行晋级正赛公示，各参赛队可在系统查看评审分数、意见与排名。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赛道初赛：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赛道初赛由集团企业预选赛与网络公开预选赛选送的参赛队进行线下路演初赛，各赛道分别举办线下初赛，选拔出优秀参赛队进入到总决赛。</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初赛场次：</w:t>
      </w:r>
      <w:r>
        <w:rPr>
          <w:rFonts w:hint="eastAsia" w:ascii="仿宋_GB2312" w:hAnsi="仿宋_GB2312" w:eastAsia="仿宋_GB2312" w:cs="仿宋_GB2312"/>
          <w:sz w:val="32"/>
          <w:szCs w:val="32"/>
          <w:lang w:val="en-US" w:eastAsia="zh-CN"/>
        </w:rPr>
        <w:t>共计举办5场初赛，其中课题类4场，分别是离散</w:t>
      </w:r>
      <w:r>
        <w:rPr>
          <w:rFonts w:hint="eastAsia" w:ascii="仿宋_GB2312" w:hAnsi="仿宋_GB2312" w:eastAsia="仿宋_GB2312" w:cs="仿宋_GB2312"/>
          <w:sz w:val="32"/>
          <w:szCs w:val="32"/>
        </w:rPr>
        <w:t>制造、流程制造、能源、服务业</w:t>
      </w:r>
      <w:r>
        <w:rPr>
          <w:rFonts w:hint="eastAsia" w:ascii="仿宋_GB2312" w:hAnsi="仿宋_GB2312" w:eastAsia="仿宋_GB2312" w:cs="仿宋_GB2312"/>
          <w:sz w:val="32"/>
          <w:szCs w:val="32"/>
          <w:lang w:val="en-US" w:eastAsia="zh-CN"/>
        </w:rPr>
        <w:t>赛道各1场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改善类1场，为班组改善赛道。</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初赛时间：2024年8月</w:t>
      </w:r>
      <w:r>
        <w:rPr>
          <w:rFonts w:hint="eastAsia" w:ascii="仿宋_GB2312" w:hAnsi="仿宋_GB2312" w:eastAsia="仿宋_GB2312" w:cs="仿宋_GB2312"/>
          <w:sz w:val="32"/>
          <w:szCs w:val="32"/>
          <w:lang w:val="en-US" w:eastAsia="zh-CN"/>
        </w:rPr>
        <w:t>（具体场次时间、地点、参赛队等信息，以大赛组委会官方初赛通告为准）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决赛晋级：</w:t>
      </w:r>
      <w:r>
        <w:rPr>
          <w:rFonts w:hint="eastAsia" w:ascii="仿宋_GB2312" w:hAnsi="仿宋_GB2312" w:eastAsia="仿宋_GB2312" w:cs="仿宋_GB2312"/>
          <w:b w:val="0"/>
          <w:bCs w:val="0"/>
          <w:sz w:val="32"/>
          <w:szCs w:val="32"/>
          <w:lang w:val="en-US" w:eastAsia="zh-CN"/>
        </w:rPr>
        <w:t>参赛队通过路演演讲方式进行竞赛展示，由大赛专家评委会进行现场评审打分，最终以赛道初赛的参赛队分数排名确定最终晋级总决赛的参赛队。(如参赛队分数相同，将由专家评委集体复核审议最终确定晋级队伍)</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决赛名额：</w:t>
      </w:r>
      <w:r>
        <w:rPr>
          <w:rFonts w:hint="eastAsia" w:ascii="仿宋_GB2312" w:hAnsi="仿宋_GB2312" w:eastAsia="仿宋_GB2312" w:cs="仿宋_GB2312"/>
          <w:b w:val="0"/>
          <w:bCs w:val="0"/>
          <w:sz w:val="32"/>
          <w:szCs w:val="32"/>
          <w:lang w:val="en-US" w:eastAsia="zh-CN"/>
        </w:rPr>
        <w:t>总决赛各赛道（组别）晋级队伍不超过150支参赛队（初赛参赛晋级比例不超过40%），每个赛道（课题类：</w:t>
      </w:r>
      <w:r>
        <w:rPr>
          <w:rFonts w:hint="eastAsia" w:ascii="仿宋_GB2312" w:hAnsi="仿宋_GB2312" w:eastAsia="仿宋_GB2312" w:cs="仿宋_GB2312"/>
          <w:sz w:val="32"/>
          <w:szCs w:val="32"/>
        </w:rPr>
        <w:t>离散制造、流程制造、能源、服务业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班组改善类</w:t>
      </w:r>
      <w:r>
        <w:rPr>
          <w:rFonts w:hint="eastAsia" w:ascii="仿宋_GB2312" w:hAnsi="仿宋_GB2312" w:eastAsia="仿宋_GB2312" w:cs="仿宋_GB2312"/>
          <w:b w:val="0"/>
          <w:bCs w:val="0"/>
          <w:sz w:val="32"/>
          <w:szCs w:val="32"/>
          <w:lang w:val="en-US" w:eastAsia="zh-CN"/>
        </w:rPr>
        <w:t>）分别选拔出30支参赛队晋级大赛总决赛，最终晋级队名单在大赛官方平台与权威媒体公示。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总决赛</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00" w:firstLineChars="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32"/>
          <w:szCs w:val="32"/>
          <w:lang w:val="en-US" w:eastAsia="zh-CN"/>
        </w:rPr>
        <w:t>时间场次：2024年9月</w:t>
      </w:r>
      <w:r>
        <w:rPr>
          <w:rFonts w:hint="eastAsia" w:ascii="仿宋_GB2312" w:hAnsi="仿宋_GB2312" w:eastAsia="仿宋_GB2312" w:cs="仿宋_GB2312"/>
          <w:b w:val="0"/>
          <w:bCs w:val="0"/>
          <w:sz w:val="24"/>
          <w:szCs w:val="24"/>
          <w:lang w:val="en-US" w:eastAsia="zh-CN"/>
        </w:rPr>
        <w:t>（具体比赛时间地点以官方通告为准）</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0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分组场次：</w:t>
      </w:r>
      <w:r>
        <w:rPr>
          <w:rFonts w:hint="eastAsia" w:ascii="仿宋_GB2312" w:hAnsi="仿宋_GB2312" w:eastAsia="仿宋_GB2312" w:cs="仿宋_GB2312"/>
          <w:b w:val="0"/>
          <w:bCs w:val="0"/>
          <w:sz w:val="32"/>
          <w:szCs w:val="32"/>
          <w:lang w:val="en-US" w:eastAsia="zh-CN"/>
        </w:rPr>
        <w:t>每个赛道（组别）独立场次进行总决赛，共计举办5场赛道总决赛，分别为</w:t>
      </w:r>
      <w:r>
        <w:rPr>
          <w:rFonts w:hint="eastAsia" w:ascii="仿宋_GB2312" w:hAnsi="仿宋_GB2312" w:eastAsia="仿宋_GB2312" w:cs="仿宋_GB2312"/>
          <w:sz w:val="32"/>
          <w:szCs w:val="32"/>
          <w:lang w:val="en-US" w:eastAsia="zh-CN"/>
        </w:rPr>
        <w:t>离散</w:t>
      </w:r>
      <w:r>
        <w:rPr>
          <w:rFonts w:hint="eastAsia" w:ascii="仿宋_GB2312" w:hAnsi="仿宋_GB2312" w:eastAsia="仿宋_GB2312" w:cs="仿宋_GB2312"/>
          <w:sz w:val="32"/>
          <w:szCs w:val="32"/>
        </w:rPr>
        <w:t>制造、流程制造、能源、服务业</w:t>
      </w:r>
      <w:r>
        <w:rPr>
          <w:rFonts w:hint="eastAsia" w:ascii="仿宋_GB2312" w:hAnsi="仿宋_GB2312" w:eastAsia="仿宋_GB2312" w:cs="仿宋_GB2312"/>
          <w:sz w:val="32"/>
          <w:szCs w:val="32"/>
          <w:lang w:val="en-US" w:eastAsia="zh-CN"/>
        </w:rPr>
        <w:t>、班组改善赛道总决赛，每个赛道总决赛分别由30支初赛晋级参赛队进行集中现场展示竞赛。</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50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评奖规则：</w:t>
      </w:r>
      <w:r>
        <w:rPr>
          <w:rFonts w:hint="eastAsia" w:ascii="仿宋_GB2312" w:hAnsi="仿宋_GB2312" w:eastAsia="仿宋_GB2312" w:cs="仿宋_GB2312"/>
          <w:b w:val="0"/>
          <w:bCs w:val="0"/>
          <w:sz w:val="32"/>
          <w:szCs w:val="32"/>
          <w:lang w:val="en-US" w:eastAsia="zh-CN"/>
        </w:rPr>
        <w:t>每个赛道总决赛由7位行业专家评委进行评审打分，各赛道决赛以评委打分平均分（</w:t>
      </w:r>
      <w:r>
        <w:rPr>
          <w:rFonts w:hint="eastAsia" w:ascii="仿宋_GB2312" w:hAnsi="仿宋_GB2312" w:eastAsia="仿宋_GB2312" w:cs="仿宋_GB2312"/>
          <w:sz w:val="32"/>
          <w:szCs w:val="32"/>
          <w:lang w:val="en-US" w:eastAsia="zh-CN"/>
        </w:rPr>
        <w:t>保留小数点后两位</w:t>
      </w:r>
      <w:r>
        <w:rPr>
          <w:rFonts w:hint="eastAsia" w:ascii="仿宋_GB2312" w:hAnsi="仿宋_GB2312" w:eastAsia="仿宋_GB2312" w:cs="仿宋_GB2312"/>
          <w:b w:val="0"/>
          <w:bCs w:val="0"/>
          <w:sz w:val="32"/>
          <w:szCs w:val="32"/>
          <w:lang w:val="en-US" w:eastAsia="zh-CN"/>
        </w:rPr>
        <w:t>）作为参赛队得分分别独立计分排名，依据参赛队得分排名的先后顺序评选出各赛道一二三等奖。(如参赛队分数相同，将以网络人气投票票数排名确定奖项。)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大赛特别大奖—</w:t>
      </w:r>
      <w:r>
        <w:rPr>
          <w:rFonts w:hint="eastAsia" w:ascii="仿宋_GB2312" w:hAnsi="仿宋_GB2312" w:eastAsia="仿宋_GB2312" w:cs="仿宋_GB2312"/>
          <w:b/>
          <w:bCs/>
          <w:sz w:val="32"/>
          <w:szCs w:val="32"/>
        </w:rPr>
        <w:t>创新卓越金奖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1名），总决赛各赛道的第1名参评，由大赛组委会评审组组长组织评委选出。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价值贡献奖与创新先锋奖</w:t>
      </w:r>
      <w:r>
        <w:rPr>
          <w:rFonts w:hint="eastAsia" w:ascii="仿宋_GB2312" w:hAnsi="仿宋_GB2312" w:eastAsia="仿宋_GB2312" w:cs="仿宋_GB2312"/>
          <w:b w:val="0"/>
          <w:bCs w:val="0"/>
          <w:sz w:val="32"/>
          <w:szCs w:val="32"/>
          <w:lang w:val="en-US" w:eastAsia="zh-CN"/>
        </w:rPr>
        <w:t>由各赛道总决赛专家评委集体商议，各奖项推选出1名参赛队获此殊荣。</w:t>
      </w:r>
      <w:r>
        <w:rPr>
          <w:rFonts w:hint="eastAsia" w:ascii="仿宋_GB2312" w:hAnsi="仿宋_GB2312" w:eastAsia="仿宋_GB2312" w:cs="仿宋_GB2312"/>
          <w:b/>
          <w:bCs/>
          <w:sz w:val="32"/>
          <w:szCs w:val="32"/>
          <w:lang w:val="en-US" w:eastAsia="zh-CN"/>
        </w:rPr>
        <w:t>大众人气奖</w:t>
      </w:r>
      <w:r>
        <w:rPr>
          <w:rFonts w:hint="eastAsia" w:ascii="仿宋_GB2312" w:hAnsi="仿宋_GB2312" w:eastAsia="仿宋_GB2312" w:cs="仿宋_GB2312"/>
          <w:b w:val="0"/>
          <w:bCs w:val="0"/>
          <w:sz w:val="32"/>
          <w:szCs w:val="32"/>
          <w:lang w:val="en-US" w:eastAsia="zh-CN"/>
        </w:rPr>
        <w:t>则由公众通过网络投票选出最受欢迎参赛队作品。（以上奖项不得重复得奖，各赛道一二三等奖不在此奖项候选范围）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特别提醒：大赛总决赛将邀请公证处全程监督大赛评比，并由公证员对各场次分数排名与最终奖项予以现场公正，确保大赛公平公正公开。</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5" w:leftChars="0" w:firstLine="475"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颁奖仪式：</w:t>
      </w:r>
      <w:r>
        <w:rPr>
          <w:rFonts w:hint="eastAsia" w:ascii="仿宋_GB2312" w:hAnsi="仿宋_GB2312" w:eastAsia="仿宋_GB2312" w:cs="仿宋_GB2312"/>
          <w:b w:val="0"/>
          <w:bCs w:val="0"/>
          <w:sz w:val="32"/>
          <w:szCs w:val="32"/>
          <w:lang w:val="en-US" w:eastAsia="zh-CN"/>
        </w:rPr>
        <w:t>大赛颁奖仪式将在总决赛期间同期举办，具体颁奖时间与颁奖奖项将在总决赛期间公布。</w:t>
      </w:r>
    </w:p>
    <w:p>
      <w:pPr>
        <w:numPr>
          <w:ilvl w:val="-1"/>
          <w:numId w:val="0"/>
        </w:numPr>
        <w:spacing w:line="360" w:lineRule="auto"/>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七、大赛支持：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（一）精益创新改善</w:t>
      </w:r>
      <w:r>
        <w:rPr>
          <w:rFonts w:hint="eastAsia" w:ascii="仿宋_GB2312" w:hAnsi="仿宋_GB2312" w:eastAsia="仿宋_GB2312" w:cs="仿宋_GB2312"/>
          <w:b/>
          <w:bCs/>
          <w:sz w:val="32"/>
          <w:szCs w:val="32"/>
          <w:lang w:val="en-US" w:eastAsia="zh-CN"/>
        </w:rPr>
        <w:t>官方</w:t>
      </w:r>
      <w:r>
        <w:rPr>
          <w:rFonts w:hint="eastAsia" w:ascii="仿宋_GB2312" w:hAnsi="仿宋_GB2312" w:eastAsia="仿宋_GB2312" w:cs="仿宋_GB2312"/>
          <w:b/>
          <w:bCs/>
          <w:sz w:val="32"/>
          <w:szCs w:val="32"/>
        </w:rPr>
        <w:t>评比系统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所有报名参赛企业需要到大赛指定的精益创新改善官方评比系统</w:t>
      </w:r>
      <w:r>
        <w:rPr>
          <w:rFonts w:hint="eastAsia" w:ascii="仿宋_GB2312" w:hAnsi="仿宋_GB2312" w:eastAsia="仿宋_GB2312" w:cs="仿宋_GB2312"/>
          <w:sz w:val="32"/>
          <w:szCs w:val="32"/>
        </w:rPr>
        <w:t>（KMS）</w:t>
      </w:r>
      <w:r>
        <w:rPr>
          <w:rFonts w:hint="eastAsia" w:ascii="仿宋_GB2312" w:hAnsi="仿宋_GB2312" w:eastAsia="仿宋_GB2312" w:cs="仿宋_GB2312"/>
          <w:sz w:val="32"/>
          <w:szCs w:val="32"/>
          <w:lang w:val="en-US" w:eastAsia="zh-CN"/>
        </w:rPr>
        <w:t>进行统一注册，注册缴费后待大赛组委会系统审核通过后登录系统提交参赛作品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集团企业参赛队在集团企业预选赛下</w:t>
      </w:r>
      <w:bookmarkStart w:id="1" w:name="OLE_LINK2"/>
      <w:r>
        <w:rPr>
          <w:rFonts w:hint="eastAsia" w:ascii="仿宋_GB2312" w:hAnsi="仿宋_GB2312" w:eastAsia="仿宋_GB2312" w:cs="仿宋_GB2312"/>
          <w:sz w:val="32"/>
          <w:szCs w:val="32"/>
          <w:lang w:val="en-US" w:eastAsia="zh-CN"/>
        </w:rPr>
        <w:t>填写</w:t>
      </w:r>
      <w:bookmarkEnd w:id="1"/>
      <w:r>
        <w:rPr>
          <w:rFonts w:hint="eastAsia" w:ascii="仿宋_GB2312" w:hAnsi="仿宋_GB2312" w:eastAsia="仿宋_GB2312" w:cs="仿宋_GB2312"/>
          <w:sz w:val="32"/>
          <w:szCs w:val="32"/>
          <w:lang w:val="en-US" w:eastAsia="zh-CN"/>
        </w:rPr>
        <w:t>注册，其他企业在网络公开预选赛下填写注册。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大赛系统账号官方统一收取工本费：800元/个</w:t>
      </w:r>
    </w:p>
    <w:p>
      <w:pPr>
        <w:keepNext w:val="0"/>
        <w:keepLines w:val="0"/>
        <w:pageBreakBefore w:val="0"/>
        <w:widowControl w:val="0"/>
        <w:numPr>
          <w:ilvl w:val="0"/>
          <w:numId w:val="0"/>
        </w:numPr>
        <w:shd w:val="clear" w:fill="2F5496" w:themeFill="accent1" w:themeFillShade="BF"/>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t>大赛系统网址</w:t>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begin"/>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instrText xml:space="preserve"> HYPERLINK "https://one.leandc.cn/competition/index" </w:instrText>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separate"/>
      </w:r>
      <w:r>
        <w:rPr>
          <w:rStyle w:val="11"/>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t>https://one.leandc.cn/competition/index</w:t>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（二）大赛官方课程</w:t>
      </w:r>
      <w:r>
        <w:rPr>
          <w:rFonts w:hint="eastAsia" w:ascii="仿宋_GB2312" w:hAnsi="仿宋_GB2312" w:eastAsia="仿宋_GB2312" w:cs="仿宋_GB2312"/>
          <w:b/>
          <w:bCs/>
          <w:sz w:val="32"/>
          <w:szCs w:val="32"/>
          <w:lang w:val="en-US" w:eastAsia="zh-CN"/>
        </w:rPr>
        <w:t>培训辅导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大赛官方</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精益数智化的</w:t>
      </w:r>
      <w:r>
        <w:rPr>
          <w:rFonts w:hint="eastAsia" w:ascii="仿宋_GB2312" w:hAnsi="仿宋_GB2312" w:eastAsia="仿宋_GB2312" w:cs="仿宋_GB2312"/>
          <w:sz w:val="32"/>
          <w:szCs w:val="32"/>
        </w:rPr>
        <w:t>在线课程</w:t>
      </w:r>
      <w:r>
        <w:rPr>
          <w:rFonts w:hint="eastAsia" w:ascii="仿宋_GB2312" w:hAnsi="仿宋_GB2312" w:eastAsia="仿宋_GB2312" w:cs="仿宋_GB2312"/>
          <w:sz w:val="32"/>
          <w:szCs w:val="32"/>
          <w:lang w:val="en-US" w:eastAsia="zh-CN"/>
        </w:rPr>
        <w:t>与线下培训，具体内容如下：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在线课程：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程包括初级与高级的专业化内容：初级课程包括精益思想与文化、精益概论、精益连续流、质量管理、精益生产与现场管理、持续改善方法；高级课程包括方针管理与精益运营、全价值链成本介绍、运营质量、运营质量指标改善、研发管理课程、精益供应链管理、精益营销管理、生产均衡化、精益数字化。</w:t>
      </w:r>
    </w:p>
    <w:p>
      <w:pPr>
        <w:keepNext w:val="0"/>
        <w:keepLines w:val="0"/>
        <w:pageBreakBefore w:val="0"/>
        <w:widowControl w:val="0"/>
        <w:numPr>
          <w:ilvl w:val="0"/>
          <w:numId w:val="0"/>
        </w:numPr>
        <w:shd w:val="clear" w:fill="2F5496" w:themeFill="accent1" w:themeFillShade="BF"/>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t>根据学习需求选择报名，在线课程网址：</w:t>
      </w:r>
    </w:p>
    <w:p>
      <w:pPr>
        <w:keepNext w:val="0"/>
        <w:keepLines w:val="0"/>
        <w:pageBreakBefore w:val="0"/>
        <w:widowControl w:val="0"/>
        <w:numPr>
          <w:ilvl w:val="0"/>
          <w:numId w:val="0"/>
        </w:numPr>
        <w:shd w:val="clear" w:fill="2F5496" w:themeFill="accent1" w:themeFillShade="BF"/>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t>初级课程：</w:t>
      </w:r>
      <w:r>
        <w:rPr>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begin"/>
      </w:r>
      <w:r>
        <w:rPr>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instrText xml:space="preserve"> HYPERLINK "https://abhih.xetsl.com/s/1KnxHJ" </w:instrText>
      </w:r>
      <w:r>
        <w:rPr>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separate"/>
      </w:r>
      <w:r>
        <w:rPr>
          <w:rStyle w:val="12"/>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t>https://abhih.xetsl.com/s/1KnxHJ</w:t>
      </w:r>
      <w:r>
        <w:rPr>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end"/>
      </w:r>
    </w:p>
    <w:p>
      <w:pPr>
        <w:keepNext w:val="0"/>
        <w:keepLines w:val="0"/>
        <w:pageBreakBefore w:val="0"/>
        <w:widowControl w:val="0"/>
        <w:numPr>
          <w:ilvl w:val="0"/>
          <w:numId w:val="0"/>
        </w:numPr>
        <w:shd w:val="clear" w:fill="2F5496" w:themeFill="accent1" w:themeFillShade="BF"/>
        <w:kinsoku/>
        <w:wordWrap/>
        <w:overflowPunct/>
        <w:topLinePunct w:val="0"/>
        <w:autoSpaceDE/>
        <w:autoSpaceDN/>
        <w:bidi w:val="0"/>
        <w:adjustRightInd/>
        <w:snapToGrid/>
        <w:spacing w:line="360" w:lineRule="auto"/>
        <w:ind w:firstLine="643" w:firstLineChars="200"/>
        <w:textAlignment w:val="auto"/>
        <w:rPr>
          <w:rFonts w:hint="default" w:ascii="仿宋_GB2312" w:hAnsi="仿宋_GB2312" w:eastAsia="仿宋_GB2312" w:cs="仿宋_GB2312"/>
          <w:b/>
          <w:bCs/>
          <w:color w:val="FFFFFF" w:themeColor="background1"/>
          <w:sz w:val="32"/>
          <w:szCs w:val="32"/>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t>高级课程：</w:t>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begin"/>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instrText xml:space="preserve"> HYPERLINK "https://abhih.xetsl.com/s/xH9Ht" </w:instrText>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separate"/>
      </w:r>
      <w:r>
        <w:rPr>
          <w:rStyle w:val="11"/>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t>https://abhih.xetsl.com/s/xH9Ht</w:t>
      </w:r>
      <w:r>
        <w:rPr>
          <w:rFonts w:hint="eastAsia" w:ascii="仿宋_GB2312" w:hAnsi="仿宋_GB2312" w:eastAsia="仿宋_GB2312" w:cs="仿宋_GB2312"/>
          <w:b/>
          <w:bCs/>
          <w:color w:val="FFFFFF" w:themeColor="background1"/>
          <w:sz w:val="32"/>
          <w:szCs w:val="32"/>
          <w:lang w:val="en-US" w:eastAsia="zh-CN"/>
          <w14:textFill>
            <w14:solidFill>
              <w14:schemeClr w14:val="bg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收费标准：</w:t>
      </w:r>
    </w:p>
    <w:tbl>
      <w:tblPr>
        <w:tblStyle w:val="8"/>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014"/>
        <w:gridCol w:w="2536"/>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shd w:val="clear" w:color="auto" w:fill="2F5496" w:themeFill="accent1" w:themeFillShade="B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t>课程</w:t>
            </w:r>
          </w:p>
        </w:tc>
        <w:tc>
          <w:tcPr>
            <w:tcW w:w="2014" w:type="dxa"/>
            <w:shd w:val="clear" w:color="auto" w:fill="2F5496" w:themeFill="accent1" w:themeFillShade="B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t>1人</w:t>
            </w:r>
          </w:p>
        </w:tc>
        <w:tc>
          <w:tcPr>
            <w:tcW w:w="2536" w:type="dxa"/>
            <w:shd w:val="clear" w:color="auto" w:fill="2F5496" w:themeFill="accent1" w:themeFillShade="B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t>5-10人（5折）</w:t>
            </w:r>
          </w:p>
        </w:tc>
        <w:tc>
          <w:tcPr>
            <w:tcW w:w="2486" w:type="dxa"/>
            <w:shd w:val="clear" w:color="auto" w:fill="2F5496" w:themeFill="accent1" w:themeFillShade="B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32"/>
                <w:szCs w:val="32"/>
                <w:vertAlign w:val="baseline"/>
                <w:lang w:val="en-US" w:eastAsia="zh-CN"/>
                <w14:textFill>
                  <w14:solidFill>
                    <w14:schemeClr w14:val="bg1"/>
                  </w14:solidFill>
                </w14:textFill>
              </w:rPr>
              <w:t>10人以上（3折）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3"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初级</w:t>
            </w:r>
          </w:p>
        </w:tc>
        <w:tc>
          <w:tcPr>
            <w:tcW w:w="2014"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1666元/人</w:t>
            </w:r>
          </w:p>
        </w:tc>
        <w:tc>
          <w:tcPr>
            <w:tcW w:w="2536"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833元/人</w:t>
            </w:r>
          </w:p>
        </w:tc>
        <w:tc>
          <w:tcPr>
            <w:tcW w:w="2486"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z w:val="32"/>
                <w:szCs w:val="32"/>
                <w:vertAlign w:val="baseline"/>
                <w:lang w:val="en-US" w:eastAsia="zh-CN"/>
              </w:rPr>
              <w:t>499元/人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43"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高级</w:t>
            </w:r>
          </w:p>
        </w:tc>
        <w:tc>
          <w:tcPr>
            <w:tcW w:w="2014"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2370元/人</w:t>
            </w:r>
          </w:p>
        </w:tc>
        <w:tc>
          <w:tcPr>
            <w:tcW w:w="2536"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z w:val="32"/>
                <w:szCs w:val="32"/>
                <w:vertAlign w:val="baseline"/>
                <w:lang w:val="en-US" w:eastAsia="zh-CN"/>
              </w:rPr>
              <w:t>1185元/人</w:t>
            </w:r>
          </w:p>
        </w:tc>
        <w:tc>
          <w:tcPr>
            <w:tcW w:w="2486" w:type="dxa"/>
            <w:shd w:val="clear" w:color="auto" w:fill="DAE3F3" w:themeFill="accent1"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仿宋_GB2312" w:eastAsia="仿宋_GB2312" w:cs="仿宋_GB2312"/>
                <w:b/>
                <w:bCs/>
                <w:color w:val="auto"/>
                <w:sz w:val="32"/>
                <w:szCs w:val="32"/>
                <w:vertAlign w:val="baseline"/>
              </w:rPr>
            </w:pPr>
            <w:r>
              <w:rPr>
                <w:rFonts w:hint="eastAsia" w:ascii="仿宋_GB2312" w:hAnsi="仿宋_GB2312" w:eastAsia="仿宋_GB2312" w:cs="仿宋_GB2312"/>
                <w:b/>
                <w:bCs/>
                <w:color w:val="auto"/>
                <w:sz w:val="32"/>
                <w:szCs w:val="32"/>
                <w:vertAlign w:val="baseline"/>
                <w:lang w:val="en-US" w:eastAsia="zh-CN"/>
              </w:rPr>
              <w:t>711元/人</w:t>
            </w:r>
          </w:p>
        </w:tc>
      </w:tr>
    </w:tbl>
    <w:p>
      <w:pPr>
        <w:keepNext w:val="0"/>
        <w:keepLines w:val="0"/>
        <w:pageBreakBefore w:val="0"/>
        <w:widowControl w:val="0"/>
        <w:numPr>
          <w:ilvl w:val="0"/>
          <w:numId w:val="9"/>
        </w:numPr>
        <w:kinsoku/>
        <w:wordWrap/>
        <w:overflowPunct/>
        <w:topLinePunct w:val="0"/>
        <w:autoSpaceDE/>
        <w:autoSpaceDN/>
        <w:bidi w:val="0"/>
        <w:adjustRightInd/>
        <w:snapToGrid/>
        <w:spacing w:line="480"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线下培训：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2024年6、7月共举办4次培训班（2天1夜），课程内容包括：</w:t>
      </w:r>
      <w:r>
        <w:rPr>
          <w:rFonts w:hint="default" w:ascii="仿宋_GB2312" w:hAnsi="仿宋_GB2312" w:eastAsia="仿宋_GB2312" w:cs="仿宋_GB2312"/>
          <w:sz w:val="32"/>
          <w:szCs w:val="32"/>
          <w:lang w:val="en-US" w:eastAsia="zh-CN"/>
        </w:rPr>
        <w:t>精益经营与方针管理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改善提案管理</w:t>
      </w:r>
      <w:r>
        <w:rPr>
          <w:rFonts w:hint="eastAsia" w:ascii="仿宋_GB2312" w:hAnsi="仿宋_GB2312" w:eastAsia="仿宋_GB2312" w:cs="仿宋_GB2312"/>
          <w:sz w:val="32"/>
          <w:szCs w:val="32"/>
          <w:lang w:val="en-US" w:eastAsia="zh-CN"/>
        </w:rPr>
        <w:t>、课题管理、持续改善机制，以理论授课、案例解析、小组别一对一实务轻辅导、课后线上实务深度辅导，全方位提升参赛队伍的创新课题与改善提案作品质量。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参加对象：</w:t>
      </w:r>
      <w:r>
        <w:rPr>
          <w:rFonts w:hint="eastAsia" w:ascii="仿宋_GB2312" w:hAnsi="仿宋_GB2312" w:eastAsia="仿宋_GB2312" w:cs="仿宋_GB2312"/>
          <w:sz w:val="32"/>
          <w:szCs w:val="32"/>
          <w:lang w:val="en-US" w:eastAsia="zh-CN"/>
        </w:rPr>
        <w:t>制造业企业总经理、厂长、中高层管理者、精益推进负责人、主管、班组长等方面负责人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培训地点：</w:t>
      </w:r>
      <w:r>
        <w:rPr>
          <w:rFonts w:hint="eastAsia" w:ascii="仿宋_GB2312" w:hAnsi="仿宋_GB2312" w:eastAsia="仿宋_GB2312" w:cs="仿宋_GB2312"/>
          <w:b w:val="0"/>
          <w:bCs w:val="0"/>
          <w:sz w:val="32"/>
          <w:szCs w:val="32"/>
          <w:lang w:val="en-US" w:eastAsia="zh-CN"/>
        </w:rPr>
        <w:t>中国·</w:t>
      </w:r>
      <w:bookmarkStart w:id="2" w:name="OLE_LINK3"/>
      <w:r>
        <w:rPr>
          <w:rFonts w:hint="eastAsia" w:ascii="仿宋_GB2312" w:hAnsi="仿宋_GB2312" w:eastAsia="仿宋_GB2312" w:cs="仿宋_GB2312"/>
          <w:b w:val="0"/>
          <w:bCs w:val="0"/>
          <w:sz w:val="32"/>
          <w:szCs w:val="32"/>
          <w:lang w:val="en-US" w:eastAsia="zh-CN"/>
        </w:rPr>
        <w:t>江苏省无锡市江阴市</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培训时间：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6月13-14日（周四-五）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6月27-28日（周四-五）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7月11-12日（周四-五）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7月25-26日（周四-五）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收费</w:t>
      </w:r>
      <w:r>
        <w:rPr>
          <w:rFonts w:hint="eastAsia" w:ascii="仿宋_GB2312" w:hAnsi="仿宋_GB2312" w:eastAsia="仿宋_GB2312" w:cs="仿宋_GB2312"/>
          <w:b/>
          <w:bCs/>
          <w:sz w:val="32"/>
          <w:szCs w:val="32"/>
          <w:lang w:val="en-US" w:eastAsia="zh-CN"/>
        </w:rPr>
        <w:t>标准</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4980元/人</w:t>
      </w:r>
      <w:r>
        <w:rPr>
          <w:rFonts w:hint="eastAsia" w:ascii="仿宋_GB2312" w:hAnsi="仿宋_GB2312" w:eastAsia="仿宋_GB2312" w:cs="仿宋_GB2312"/>
          <w:b w:val="0"/>
          <w:bCs w:val="0"/>
          <w:sz w:val="32"/>
          <w:szCs w:val="32"/>
          <w:lang w:val="en-US" w:eastAsia="zh-CN"/>
        </w:rPr>
        <w:t xml:space="preserve"> (包含午餐、教材、茶歇等)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套卡优惠价：20916元（6人次），即单人3486元/人</w:t>
      </w:r>
    </w:p>
    <w:p>
      <w:pPr>
        <w:keepNext w:val="0"/>
        <w:keepLines w:val="0"/>
        <w:pageBreakBefore w:val="0"/>
        <w:widowControl w:val="0"/>
        <w:numPr>
          <w:ilvl w:val="0"/>
          <w:numId w:val="0"/>
        </w:numPr>
        <w:shd w:val="clear" w:fill="595959" w:themeFill="text1" w:themeFillTint="A5"/>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FFFFFF" w:themeColor="background1"/>
          <w:sz w:val="28"/>
          <w:szCs w:val="28"/>
          <w:lang w:val="en-US" w:eastAsia="zh-CN"/>
          <w14:textFill>
            <w14:solidFill>
              <w14:schemeClr w14:val="bg1"/>
            </w14:solidFill>
          </w14:textFill>
        </w:rPr>
      </w:pPr>
      <w:r>
        <w:rPr>
          <w:rFonts w:hint="eastAsia" w:ascii="仿宋_GB2312" w:hAnsi="仿宋_GB2312" w:eastAsia="仿宋_GB2312" w:cs="仿宋_GB2312"/>
          <w:b/>
          <w:bCs/>
          <w:color w:val="FFFFFF" w:themeColor="background1"/>
          <w:sz w:val="28"/>
          <w:szCs w:val="28"/>
          <w:lang w:val="en-US" w:eastAsia="zh-CN"/>
          <w14:textFill>
            <w14:solidFill>
              <w14:schemeClr w14:val="bg1"/>
            </w14:solidFill>
          </w14:textFill>
        </w:rPr>
        <w:t>特别说明：本次大赛最终解释权归大赛组委会所有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b/>
          <w:bCs/>
          <w:color w:val="auto"/>
          <w:sz w:val="32"/>
          <w:szCs w:val="32"/>
          <w:highlight w:val="none"/>
          <w:lang w:val="en-US" w:eastAsia="zh-CN"/>
        </w:rPr>
      </w:pPr>
    </w:p>
    <w:p>
      <w:pP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参赛报名回执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85725</wp:posOffset>
                </wp:positionV>
                <wp:extent cx="5249545" cy="0"/>
                <wp:effectExtent l="0" t="4445" r="0" b="5080"/>
                <wp:wrapNone/>
                <wp:docPr id="7" name="直接连接符 7"/>
                <wp:cNvGraphicFramePr/>
                <a:graphic xmlns:a="http://schemas.openxmlformats.org/drawingml/2006/main">
                  <a:graphicData uri="http://schemas.microsoft.com/office/word/2010/wordprocessingShape">
                    <wps:wsp>
                      <wps:cNvCnPr/>
                      <wps:spPr>
                        <a:xfrm>
                          <a:off x="1155700" y="1254125"/>
                          <a:ext cx="5249545" cy="0"/>
                        </a:xfrm>
                        <a:prstGeom prst="line">
                          <a:avLst/>
                        </a:prstGeom>
                        <a:ln w="3175">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pt;margin-top:6.75pt;height:0pt;width:413.35pt;z-index:251663360;mso-width-relative:page;mso-height-relative:page;" filled="f" stroked="t" coordsize="21600,21600" o:gfxdata="UEsDBAoAAAAAAIdO4kAAAAAAAAAAAAAAAAAEAAAAZHJzL1BLAwQUAAAACACHTuJAu0Y8ENUAAAAH&#10;AQAADwAAAGRycy9kb3ducmV2LnhtbE2PzU7DMBCE70i8g7VIXCLqNKU0hDg9IFUg0Quh3N14SSLs&#10;dWS7P7w9izjAcWZWM9/W67Oz4oghjp4UzGc5CKTOm5F6Bbu3zU0JIiZNRltPqOALI6yby4taV8af&#10;6BWPbeoFl1CstIIhpamSMnYDOh1nfkLi7MMHpxPL0EsT9InLnZVFnt9Jp0fihUFP+Dhg99kenIKX&#10;zK5ou/DZLtz22fNT+34/LjdKXV/N8wcQCc/p7xh+8BkdGmba+wOZKKyCgj9JbC+WIDgui3IFYv9r&#10;yKaW//mbb1BLAwQUAAAACACHTuJAuknOee8BAAC8AwAADgAAAGRycy9lMm9Eb2MueG1srVPNjtMw&#10;EL4j8Q6W7zRtaegSNd3DVssFQSXgAaaOk1jynzzepn0JXgCJG5w4cudtWB6DsdP95bIHIsUe2+Nv&#10;5vtmvDo/GM32MqBytuazyZQzaYVrlO1q/unj5YszzjCCbUA7K2t+lMjP18+frQZfybnrnW5kYARi&#10;sRp8zfsYfVUUKHppACfOS0uHrQsGIi1DVzQBBkI3uphPp6+KwYXGByckIu1uxkN+QgxPAXRtq4Tc&#10;OHFlpI0japAaIlHCXnnk65xt20oR37ctysh0zYlpzCMFIXuXxmK9gqoL4HslTinAU1J4xMmAshT0&#10;FmoDEdhVUP9AGSWCQ9fGiXCmGIlkRYjFbPpImw89eJm5kNTob0XH/wcr3u23gamm5kvOLBgq+PWX&#10;n78/f/vz6yuN1z++s2USafBYke+F3YbTCv02JMaHNpg0Exd2oIaaleVySvIeyZ6XC/pHkeUhMkEO&#10;5XzxulyUnAnyyAUo7kB8wPhGOsOSUXOtbOIPFezfYqTA5Hrjkratu1Ra5xpqy4aav5wtEzJQX7bU&#10;D2QaT9zQdpyB7qjhRQwZEZ1WTbqdcDB0uwsd2B5Sm+QvJU3RHril0BvAfvRryBqpGRXpSWhlan52&#10;/7K2hJGUG7VK1s41xyxh3qei5iinBkxdc3+db989uv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0Y8ENUAAAAHAQAADwAAAAAAAAABACAAAAAiAAAAZHJzL2Rvd25yZXYueG1sUEsBAhQAFAAAAAgA&#10;h07iQLpJznnvAQAAvAMAAA4AAAAAAAAAAQAgAAAAJAEAAGRycy9lMm9Eb2MueG1sUEsFBgAAAAAG&#10;AAYAWQEAAIUFAAAAAA==&#10;">
                <v:fill on="f" focussize="0,0"/>
                <v:stroke weight="0.25pt" color="#000000 [3213]" miterlimit="8" joinstyle="miter" dashstyle="dash"/>
                <v:imagedata o:title=""/>
                <o:lock v:ext="edit" aspectratio="f"/>
              </v:line>
            </w:pict>
          </mc:Fallback>
        </mc:AlternateConten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企业名称</w:t>
            </w:r>
          </w:p>
        </w:tc>
        <w:tc>
          <w:tcPr>
            <w:tcW w:w="2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所属集团</w:t>
            </w:r>
          </w:p>
        </w:tc>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联系人</w:t>
            </w:r>
          </w:p>
        </w:tc>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p>
        </w:tc>
        <w:tc>
          <w:tcPr>
            <w:tcW w:w="21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p>
        </w:tc>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p>
        </w:tc>
        <w:tc>
          <w:tcPr>
            <w:tcW w:w="21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大赛官方系统报名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"https://one.leandc.cn/competition/index" </w:instrText>
      </w:r>
      <w:r>
        <w:rPr>
          <w:rFonts w:hint="eastAsia" w:ascii="仿宋_GB2312" w:hAnsi="仿宋_GB2312" w:eastAsia="仿宋_GB2312" w:cs="仿宋_GB2312"/>
          <w:b/>
          <w:bCs/>
          <w:sz w:val="28"/>
          <w:szCs w:val="28"/>
          <w:lang w:val="en-US" w:eastAsia="zh-CN"/>
        </w:rPr>
        <w:fldChar w:fldCharType="separate"/>
      </w:r>
      <w:r>
        <w:rPr>
          <w:rStyle w:val="12"/>
          <w:rFonts w:hint="eastAsia" w:ascii="仿宋_GB2312" w:hAnsi="仿宋_GB2312" w:eastAsia="仿宋_GB2312" w:cs="仿宋_GB2312"/>
          <w:b/>
          <w:bCs/>
          <w:sz w:val="28"/>
          <w:szCs w:val="28"/>
          <w:lang w:val="en-US" w:eastAsia="zh-CN"/>
        </w:rPr>
        <w:t>https://one.leandc.cn/competition/index</w:t>
      </w:r>
      <w:r>
        <w:rPr>
          <w:rFonts w:hint="eastAsia" w:ascii="仿宋_GB2312" w:hAnsi="仿宋_GB2312" w:eastAsia="仿宋_GB2312" w:cs="仿宋_GB2312"/>
          <w:b/>
          <w:bCs/>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请您在系统注册报名，审核通过后在线提交参赛作品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500" w:firstLine="852" w:firstLineChars="303"/>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大赛组委会联系方式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left"/>
        <w:textAlignment w:val="auto"/>
        <w:rPr>
          <w:rFonts w:hint="eastAsia" w:ascii="仿宋_GB2312" w:hAnsi="仿宋_GB2312" w:eastAsia="仿宋_GB2312" w:cs="仿宋_GB2312"/>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50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【赛事联络】    </w:t>
      </w:r>
      <w:r>
        <w:rPr>
          <w:rFonts w:hint="eastAsia" w:ascii="仿宋_GB2312" w:hAnsi="仿宋_GB2312" w:eastAsia="仿宋_GB2312" w:cs="仿宋_GB2312"/>
          <w:b w:val="0"/>
          <w:bCs w:val="0"/>
          <w:sz w:val="32"/>
          <w:szCs w:val="32"/>
          <w:lang w:val="en-US" w:eastAsia="zh-CN"/>
        </w:rPr>
        <w:t>莫  迪   13552146015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500" w:firstLine="2560" w:firstLineChars="8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马达菲   17800172935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50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【参赛报名</w:t>
      </w:r>
      <w:bookmarkStart w:id="3" w:name="OLE_LINK4"/>
      <w:r>
        <w:rPr>
          <w:rFonts w:hint="eastAsia" w:ascii="仿宋_GB2312" w:hAnsi="仿宋_GB2312" w:eastAsia="仿宋_GB2312" w:cs="仿宋_GB2312"/>
          <w:b/>
          <w:bCs/>
          <w:sz w:val="32"/>
          <w:szCs w:val="32"/>
          <w:lang w:val="en-US" w:eastAsia="zh-CN"/>
        </w:rPr>
        <w:t>】</w:t>
      </w:r>
      <w:bookmarkEnd w:id="3"/>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孔祥雪   18602628557</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500" w:firstLine="2560" w:firstLineChars="8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  凯   18602631719</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50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【辅导联络】    </w:t>
      </w:r>
      <w:r>
        <w:rPr>
          <w:rFonts w:hint="eastAsia" w:ascii="仿宋_GB2312" w:hAnsi="仿宋_GB2312" w:eastAsia="仿宋_GB2312" w:cs="仿宋_GB2312"/>
          <w:sz w:val="32"/>
          <w:szCs w:val="32"/>
          <w:lang w:val="en-US" w:eastAsia="zh-CN"/>
        </w:rPr>
        <w:t>杨雅静   18722434345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0" w:leftChars="50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【技术支持】    </w:t>
      </w:r>
      <w:r>
        <w:rPr>
          <w:rFonts w:hint="eastAsia" w:ascii="仿宋_GB2312" w:hAnsi="仿宋_GB2312" w:eastAsia="仿宋_GB2312" w:cs="仿宋_GB2312"/>
          <w:sz w:val="32"/>
          <w:szCs w:val="32"/>
          <w:lang w:val="en-US" w:eastAsia="zh-CN"/>
        </w:rPr>
        <w:t>江文林   17695760335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大赛统一付款账户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户</w:t>
      </w:r>
      <w:r>
        <w:rPr>
          <w:rFonts w:hint="eastAsia" w:ascii="仿宋" w:hAnsi="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名：中国企业改革与发展研究会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开户行：中国民生银行北京木樨地支行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账</w:t>
      </w:r>
      <w:r>
        <w:rPr>
          <w:rFonts w:hint="eastAsia" w:ascii="仿宋" w:hAnsi="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号：</w:t>
      </w:r>
      <w:r>
        <w:rPr>
          <w:rFonts w:hint="eastAsia" w:ascii="仿宋" w:hAnsi="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0101014400000195</w:t>
      </w:r>
    </w:p>
    <w:p>
      <w:pPr>
        <w:ind w:left="0" w:leftChars="0" w:firstLine="0" w:firstLineChars="0"/>
        <w:rPr>
          <w:rFonts w:hint="eastAsia" w:ascii="仿宋" w:hAnsi="仿宋" w:eastAsia="仿宋" w:cs="仿宋"/>
          <w:sz w:val="32"/>
          <w:szCs w:val="40"/>
        </w:rPr>
      </w:pPr>
    </w:p>
    <w:sectPr>
      <w:headerReference r:id="rId6" w:type="first"/>
      <w:footerReference r:id="rId8" w:type="first"/>
      <w:headerReference r:id="rId5" w:type="default"/>
      <w:footerReference r:id="rId7" w:type="default"/>
      <w:pgSz w:w="11906" w:h="16838"/>
      <w:pgMar w:top="2098" w:right="1474" w:bottom="993" w:left="1588" w:header="851" w:footer="992" w:gutter="0"/>
      <w:pgNumType w:fmt="decimal" w:start="2"/>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A31A89-8F99-4B98-9638-D376186B22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82629C9D-4C11-4ACF-AEC7-19EED19C4A4E}"/>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embedRegular r:id="rId3" w:fontKey="{9A729456-B649-4FC7-ADBC-AB41CF6513C6}"/>
  </w:font>
  <w:font w:name="仿宋_GB2312">
    <w:altName w:val="仿宋"/>
    <w:panose1 w:val="02010609030101010101"/>
    <w:charset w:val="86"/>
    <w:family w:val="auto"/>
    <w:pitch w:val="default"/>
    <w:sig w:usb0="00000000" w:usb1="00000000" w:usb2="00000000" w:usb3="00000000" w:csb0="00040000" w:csb1="00000000"/>
    <w:embedRegular r:id="rId4" w:fontKey="{A1DAA61B-090C-4519-8A82-A2DE74FB41DB}"/>
  </w:font>
  <w:font w:name="方正黑体_GBK">
    <w:altName w:val="微软雅黑"/>
    <w:panose1 w:val="02000000000000000000"/>
    <w:charset w:val="86"/>
    <w:family w:val="auto"/>
    <w:pitch w:val="default"/>
    <w:sig w:usb0="00000000" w:usb1="00000000" w:usb2="00000000" w:usb3="00000000" w:csb0="00040000" w:csb1="00000000"/>
    <w:embedRegular r:id="rId5" w:fontKey="{0FFB7E37-1E6C-43D7-B419-58FE26B05A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E88A8"/>
    <w:multiLevelType w:val="singleLevel"/>
    <w:tmpl w:val="A7AE88A8"/>
    <w:lvl w:ilvl="0" w:tentative="0">
      <w:start w:val="1"/>
      <w:numFmt w:val="decimal"/>
      <w:lvlText w:val="(%1)"/>
      <w:lvlJc w:val="left"/>
      <w:pPr>
        <w:ind w:left="425" w:hanging="425"/>
      </w:pPr>
      <w:rPr>
        <w:rFonts w:hint="default"/>
      </w:rPr>
    </w:lvl>
  </w:abstractNum>
  <w:abstractNum w:abstractNumId="1">
    <w:nsid w:val="AD463230"/>
    <w:multiLevelType w:val="singleLevel"/>
    <w:tmpl w:val="AD463230"/>
    <w:lvl w:ilvl="0" w:tentative="0">
      <w:start w:val="1"/>
      <w:numFmt w:val="decimal"/>
      <w:suff w:val="nothing"/>
      <w:lvlText w:val="%1、"/>
      <w:lvlJc w:val="left"/>
      <w:rPr>
        <w:rFonts w:hint="default"/>
        <w:b/>
        <w:bCs/>
      </w:rPr>
    </w:lvl>
  </w:abstractNum>
  <w:abstractNum w:abstractNumId="2">
    <w:nsid w:val="B7744CE8"/>
    <w:multiLevelType w:val="singleLevel"/>
    <w:tmpl w:val="B7744CE8"/>
    <w:lvl w:ilvl="0" w:tentative="0">
      <w:start w:val="1"/>
      <w:numFmt w:val="decimal"/>
      <w:lvlText w:val="(%1)"/>
      <w:lvlJc w:val="left"/>
      <w:pPr>
        <w:ind w:left="425" w:hanging="425"/>
      </w:pPr>
      <w:rPr>
        <w:rFonts w:hint="default"/>
        <w:b w:val="0"/>
        <w:bCs w:val="0"/>
        <w:sz w:val="32"/>
        <w:szCs w:val="32"/>
      </w:rPr>
    </w:lvl>
  </w:abstractNum>
  <w:abstractNum w:abstractNumId="3">
    <w:nsid w:val="E3E43EDD"/>
    <w:multiLevelType w:val="singleLevel"/>
    <w:tmpl w:val="E3E43EDD"/>
    <w:lvl w:ilvl="0" w:tentative="0">
      <w:start w:val="1"/>
      <w:numFmt w:val="decimal"/>
      <w:lvlText w:val="%1."/>
      <w:lvlJc w:val="left"/>
      <w:pPr>
        <w:ind w:left="425" w:hanging="425"/>
      </w:pPr>
      <w:rPr>
        <w:rFonts w:hint="default"/>
        <w:b/>
        <w:bCs/>
      </w:rPr>
    </w:lvl>
  </w:abstractNum>
  <w:abstractNum w:abstractNumId="4">
    <w:nsid w:val="0995E119"/>
    <w:multiLevelType w:val="singleLevel"/>
    <w:tmpl w:val="0995E119"/>
    <w:lvl w:ilvl="0" w:tentative="0">
      <w:start w:val="1"/>
      <w:numFmt w:val="bullet"/>
      <w:lvlText w:val=""/>
      <w:lvlJc w:val="left"/>
      <w:pPr>
        <w:ind w:left="420" w:hanging="420"/>
      </w:pPr>
      <w:rPr>
        <w:rFonts w:hint="default" w:ascii="Wingdings" w:hAnsi="Wingdings"/>
      </w:rPr>
    </w:lvl>
  </w:abstractNum>
  <w:abstractNum w:abstractNumId="5">
    <w:nsid w:val="0C69011A"/>
    <w:multiLevelType w:val="singleLevel"/>
    <w:tmpl w:val="0C69011A"/>
    <w:lvl w:ilvl="0" w:tentative="0">
      <w:start w:val="1"/>
      <w:numFmt w:val="chineseCounting"/>
      <w:suff w:val="nothing"/>
      <w:lvlText w:val="（%1）"/>
      <w:lvlJc w:val="left"/>
      <w:pPr>
        <w:ind w:left="0" w:firstLine="420"/>
      </w:pPr>
      <w:rPr>
        <w:rFonts w:hint="eastAsia"/>
        <w:b/>
        <w:bCs/>
      </w:rPr>
    </w:lvl>
  </w:abstractNum>
  <w:abstractNum w:abstractNumId="6">
    <w:nsid w:val="312B3045"/>
    <w:multiLevelType w:val="singleLevel"/>
    <w:tmpl w:val="312B3045"/>
    <w:lvl w:ilvl="0" w:tentative="0">
      <w:start w:val="1"/>
      <w:numFmt w:val="decimal"/>
      <w:suff w:val="nothing"/>
      <w:lvlText w:val="%1、"/>
      <w:lvlJc w:val="left"/>
    </w:lvl>
  </w:abstractNum>
  <w:abstractNum w:abstractNumId="7">
    <w:nsid w:val="3D48DBEC"/>
    <w:multiLevelType w:val="singleLevel"/>
    <w:tmpl w:val="3D48DBEC"/>
    <w:lvl w:ilvl="0" w:tentative="0">
      <w:start w:val="1"/>
      <w:numFmt w:val="chineseCounting"/>
      <w:suff w:val="nothing"/>
      <w:lvlText w:val="（%1）"/>
      <w:lvlJc w:val="left"/>
      <w:pPr>
        <w:ind w:left="0" w:firstLine="420"/>
      </w:pPr>
      <w:rPr>
        <w:rFonts w:hint="eastAsia"/>
        <w:b/>
        <w:bCs/>
      </w:rPr>
    </w:lvl>
  </w:abstractNum>
  <w:abstractNum w:abstractNumId="8">
    <w:nsid w:val="709A45F5"/>
    <w:multiLevelType w:val="singleLevel"/>
    <w:tmpl w:val="709A45F5"/>
    <w:lvl w:ilvl="0" w:tentative="0">
      <w:start w:val="1"/>
      <w:numFmt w:val="decimal"/>
      <w:lvlText w:val="%1."/>
      <w:lvlJc w:val="left"/>
      <w:pPr>
        <w:ind w:left="425" w:hanging="425"/>
      </w:pPr>
      <w:rPr>
        <w:rFonts w:hint="default"/>
        <w:b/>
        <w:bCs/>
        <w:sz w:val="32"/>
        <w:szCs w:val="32"/>
      </w:rPr>
    </w:lvl>
  </w:abstractNum>
  <w:num w:numId="1">
    <w:abstractNumId w:val="7"/>
  </w:num>
  <w:num w:numId="2">
    <w:abstractNumId w:val="4"/>
  </w:num>
  <w:num w:numId="3">
    <w:abstractNumId w:val="5"/>
  </w:num>
  <w:num w:numId="4">
    <w:abstractNumId w:val="3"/>
  </w:num>
  <w:num w:numId="5">
    <w:abstractNumId w:val="2"/>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ODQ5Y2U0YTEwMzEwMzYxZGQxNjNjMGQxYjM4ZTYifQ=="/>
  </w:docVars>
  <w:rsids>
    <w:rsidRoot w:val="00173A24"/>
    <w:rsid w:val="00050C1E"/>
    <w:rsid w:val="000A517B"/>
    <w:rsid w:val="001058F6"/>
    <w:rsid w:val="00122A62"/>
    <w:rsid w:val="001356E7"/>
    <w:rsid w:val="00173A24"/>
    <w:rsid w:val="00187837"/>
    <w:rsid w:val="00195110"/>
    <w:rsid w:val="001B3F16"/>
    <w:rsid w:val="00213508"/>
    <w:rsid w:val="00227637"/>
    <w:rsid w:val="002510DA"/>
    <w:rsid w:val="00251106"/>
    <w:rsid w:val="00256E6F"/>
    <w:rsid w:val="00284A49"/>
    <w:rsid w:val="002C5050"/>
    <w:rsid w:val="002E25F3"/>
    <w:rsid w:val="002E4398"/>
    <w:rsid w:val="00313258"/>
    <w:rsid w:val="003C6A1A"/>
    <w:rsid w:val="003F7A85"/>
    <w:rsid w:val="004809A1"/>
    <w:rsid w:val="004B3DBE"/>
    <w:rsid w:val="004E05B5"/>
    <w:rsid w:val="004F0C2F"/>
    <w:rsid w:val="004F5519"/>
    <w:rsid w:val="00540359"/>
    <w:rsid w:val="00600354"/>
    <w:rsid w:val="006710AF"/>
    <w:rsid w:val="00672573"/>
    <w:rsid w:val="00683982"/>
    <w:rsid w:val="006D14F2"/>
    <w:rsid w:val="006E6FA9"/>
    <w:rsid w:val="007A7D35"/>
    <w:rsid w:val="007E27D2"/>
    <w:rsid w:val="007F0A3C"/>
    <w:rsid w:val="008152DC"/>
    <w:rsid w:val="008349F4"/>
    <w:rsid w:val="00887BC8"/>
    <w:rsid w:val="008B16A1"/>
    <w:rsid w:val="008C166D"/>
    <w:rsid w:val="008C1F60"/>
    <w:rsid w:val="008D034D"/>
    <w:rsid w:val="008F3172"/>
    <w:rsid w:val="00953D69"/>
    <w:rsid w:val="009E1E22"/>
    <w:rsid w:val="00A1646A"/>
    <w:rsid w:val="00A84624"/>
    <w:rsid w:val="00B14F49"/>
    <w:rsid w:val="00B17C65"/>
    <w:rsid w:val="00C331E0"/>
    <w:rsid w:val="00C71BA1"/>
    <w:rsid w:val="00CE41F2"/>
    <w:rsid w:val="00D50863"/>
    <w:rsid w:val="00D878AC"/>
    <w:rsid w:val="00D90290"/>
    <w:rsid w:val="00D955CD"/>
    <w:rsid w:val="00DB0E9F"/>
    <w:rsid w:val="00DE58BF"/>
    <w:rsid w:val="00E1531E"/>
    <w:rsid w:val="00E91F37"/>
    <w:rsid w:val="00EF645F"/>
    <w:rsid w:val="00F1610A"/>
    <w:rsid w:val="00F34E0B"/>
    <w:rsid w:val="00F56CDA"/>
    <w:rsid w:val="00F903CC"/>
    <w:rsid w:val="00F95A57"/>
    <w:rsid w:val="00FB1D28"/>
    <w:rsid w:val="019670B0"/>
    <w:rsid w:val="04217117"/>
    <w:rsid w:val="04942090"/>
    <w:rsid w:val="08597DA5"/>
    <w:rsid w:val="08B1198F"/>
    <w:rsid w:val="0A573505"/>
    <w:rsid w:val="0E540384"/>
    <w:rsid w:val="0EA0672E"/>
    <w:rsid w:val="0EAD2BF9"/>
    <w:rsid w:val="0F39623B"/>
    <w:rsid w:val="0F7D59F6"/>
    <w:rsid w:val="10AC70C3"/>
    <w:rsid w:val="10B647F9"/>
    <w:rsid w:val="11BC1B28"/>
    <w:rsid w:val="12527D3F"/>
    <w:rsid w:val="13AD6A55"/>
    <w:rsid w:val="13C46A1B"/>
    <w:rsid w:val="1A266374"/>
    <w:rsid w:val="1CA11007"/>
    <w:rsid w:val="1EE066D3"/>
    <w:rsid w:val="20862EEB"/>
    <w:rsid w:val="20FA1CCE"/>
    <w:rsid w:val="21316869"/>
    <w:rsid w:val="22F0425E"/>
    <w:rsid w:val="24267B5E"/>
    <w:rsid w:val="248E4928"/>
    <w:rsid w:val="27F37477"/>
    <w:rsid w:val="28902F18"/>
    <w:rsid w:val="2A13795C"/>
    <w:rsid w:val="2A21112E"/>
    <w:rsid w:val="2BEE242F"/>
    <w:rsid w:val="2D54576D"/>
    <w:rsid w:val="2E4270DC"/>
    <w:rsid w:val="2ED8336B"/>
    <w:rsid w:val="32460A89"/>
    <w:rsid w:val="32E95D13"/>
    <w:rsid w:val="33282A00"/>
    <w:rsid w:val="338E58F1"/>
    <w:rsid w:val="33B36A61"/>
    <w:rsid w:val="38A65280"/>
    <w:rsid w:val="3A7641F6"/>
    <w:rsid w:val="3DAD4CBD"/>
    <w:rsid w:val="3EE5603F"/>
    <w:rsid w:val="40B065AF"/>
    <w:rsid w:val="40C874D9"/>
    <w:rsid w:val="43252782"/>
    <w:rsid w:val="439D4A0F"/>
    <w:rsid w:val="49681325"/>
    <w:rsid w:val="4BA91A77"/>
    <w:rsid w:val="4E7D0D54"/>
    <w:rsid w:val="4F9B25EA"/>
    <w:rsid w:val="50E45131"/>
    <w:rsid w:val="55E524FA"/>
    <w:rsid w:val="570E1063"/>
    <w:rsid w:val="57A005D2"/>
    <w:rsid w:val="57C70491"/>
    <w:rsid w:val="580B1E7F"/>
    <w:rsid w:val="5A777D7A"/>
    <w:rsid w:val="5C472574"/>
    <w:rsid w:val="5CD146D7"/>
    <w:rsid w:val="608F2E78"/>
    <w:rsid w:val="647629E6"/>
    <w:rsid w:val="64794D78"/>
    <w:rsid w:val="655F01DD"/>
    <w:rsid w:val="684F2AAF"/>
    <w:rsid w:val="693343A6"/>
    <w:rsid w:val="6CDE15A9"/>
    <w:rsid w:val="70C40BBA"/>
    <w:rsid w:val="72FD0776"/>
    <w:rsid w:val="7331488C"/>
    <w:rsid w:val="736742B6"/>
    <w:rsid w:val="73DD0A26"/>
    <w:rsid w:val="75FE2420"/>
    <w:rsid w:val="77561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eastAsia="仿宋" w:asciiTheme="minorHAnsi" w:hAnsiTheme="minorHAnsi" w:cstheme="minorBidi"/>
      <w:kern w:val="2"/>
      <w:sz w:val="32"/>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28"/>
      <w:szCs w:val="28"/>
      <w:lang w:val="zh-CN" w:bidi="zh-CN"/>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4305</Words>
  <Characters>4676</Characters>
  <Lines>12</Lines>
  <Paragraphs>3</Paragraphs>
  <TotalTime>46</TotalTime>
  <ScaleCrop>false</ScaleCrop>
  <LinksUpToDate>false</LinksUpToDate>
  <CharactersWithSpaces>4842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2024-01-26T11:32:00Z</dcterms:created>
  <dc:creator>张 静</dc:creator>
  <cp:lastModifiedBy>习惯了，孤独。</cp:lastModifiedBy>
  <cp:lastPrinted>2024-05-30T06:00:00Z</cp:lastPrinted>
  <dcterms:modified xsi:type="dcterms:W3CDTF">2024-06-04T02:26:37Z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3F6D3E9D8389431DA804D98783F25FEE_13</vt:lpwstr>
  </property>
</Properties>
</file>