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Autospacing="0"/>
        <w:rPr>
          <w:rFonts w:hint="eastAsia" w:ascii="黑体" w:hAnsi="黑体" w:eastAsia="黑体" w:cs="仿宋"/>
          <w:sz w:val="32"/>
          <w:szCs w:val="32"/>
          <w:lang w:val="en-US" w:eastAsia="zh-CN"/>
        </w:rPr>
      </w:pPr>
      <w:bookmarkStart w:id="0" w:name="_GoBack"/>
      <w:bookmarkEnd w:id="0"/>
      <w:r>
        <w:rPr>
          <w:rFonts w:hint="eastAsia" w:ascii="黑体" w:hAnsi="黑体" w:eastAsia="黑体" w:cs="仿宋"/>
          <w:sz w:val="32"/>
          <w:szCs w:val="32"/>
        </w:rPr>
        <w:t>附件</w:t>
      </w:r>
      <w:r>
        <w:rPr>
          <w:rFonts w:hint="eastAsia" w:ascii="黑体" w:hAnsi="黑体" w:eastAsia="黑体" w:cs="仿宋"/>
          <w:sz w:val="32"/>
          <w:szCs w:val="32"/>
          <w:lang w:val="en-US" w:eastAsia="zh-CN"/>
        </w:rPr>
        <w:t>1</w:t>
      </w:r>
    </w:p>
    <w:p>
      <w:pPr>
        <w:spacing w:afterAutospacing="0"/>
        <w:rPr>
          <w:rFonts w:hint="eastAsia" w:ascii="黑体" w:hAnsi="黑体" w:eastAsia="黑体" w:cs="仿宋"/>
          <w:sz w:val="32"/>
          <w:szCs w:val="32"/>
          <w:lang w:val="en-US" w:eastAsia="zh-CN"/>
        </w:rPr>
      </w:pPr>
    </w:p>
    <w:p>
      <w:pPr>
        <w:pStyle w:val="4"/>
        <w:spacing w:beforeAutospacing="0" w:after="159" w:afterLines="50" w:afterAutospacing="0" w:line="5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“中国ESG卓越实践”征集申报表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730"/>
        <w:gridCol w:w="2018"/>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479" w:type="dxa"/>
            <w:vAlign w:val="center"/>
          </w:tcPr>
          <w:p>
            <w:pPr>
              <w:pStyle w:val="4"/>
              <w:keepNext w:val="0"/>
              <w:keepLines w:val="0"/>
              <w:pageBreakBefore w:val="0"/>
              <w:widowControl w:val="0"/>
              <w:kinsoku/>
              <w:wordWrap/>
              <w:overflowPunct/>
              <w:topLinePunct w:val="0"/>
              <w:autoSpaceDE/>
              <w:autoSpaceDN/>
              <w:bidi w:val="0"/>
              <w:adjustRightInd/>
              <w:snapToGrid w:val="0"/>
              <w:spacing w:beforeAutospacing="0"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单位名称</w:t>
            </w:r>
          </w:p>
        </w:tc>
        <w:tc>
          <w:tcPr>
            <w:tcW w:w="7040" w:type="dxa"/>
            <w:gridSpan w:val="3"/>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9"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案例名称</w:t>
            </w:r>
          </w:p>
        </w:tc>
        <w:tc>
          <w:tcPr>
            <w:tcW w:w="7040" w:type="dxa"/>
            <w:gridSpan w:val="3"/>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地址</w:t>
            </w:r>
          </w:p>
        </w:tc>
        <w:tc>
          <w:tcPr>
            <w:tcW w:w="2730" w:type="dxa"/>
          </w:tcPr>
          <w:p>
            <w:pPr>
              <w:pStyle w:val="4"/>
              <w:spacing w:line="580" w:lineRule="exact"/>
              <w:rPr>
                <w:rFonts w:ascii="仿宋" w:hAnsi="仿宋" w:eastAsia="仿宋" w:cs="仿宋"/>
                <w:sz w:val="24"/>
                <w:szCs w:val="24"/>
              </w:rPr>
            </w:pPr>
          </w:p>
        </w:tc>
        <w:tc>
          <w:tcPr>
            <w:tcW w:w="2018"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2292" w:type="dxa"/>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联系人姓名</w:t>
            </w:r>
          </w:p>
        </w:tc>
        <w:tc>
          <w:tcPr>
            <w:tcW w:w="2730" w:type="dxa"/>
          </w:tcPr>
          <w:p>
            <w:pPr>
              <w:pStyle w:val="4"/>
              <w:spacing w:line="580" w:lineRule="exact"/>
              <w:rPr>
                <w:rFonts w:ascii="仿宋" w:hAnsi="仿宋" w:eastAsia="仿宋" w:cs="仿宋"/>
                <w:sz w:val="24"/>
                <w:szCs w:val="24"/>
              </w:rPr>
            </w:pPr>
          </w:p>
        </w:tc>
        <w:tc>
          <w:tcPr>
            <w:tcW w:w="2018"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联系手机</w:t>
            </w:r>
          </w:p>
        </w:tc>
        <w:tc>
          <w:tcPr>
            <w:tcW w:w="2292" w:type="dxa"/>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pStyle w:val="4"/>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主创人姓名及职务</w:t>
            </w:r>
          </w:p>
        </w:tc>
        <w:tc>
          <w:tcPr>
            <w:tcW w:w="7040" w:type="dxa"/>
            <w:gridSpan w:val="3"/>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参创人</w:t>
            </w:r>
          </w:p>
        </w:tc>
        <w:tc>
          <w:tcPr>
            <w:tcW w:w="7040" w:type="dxa"/>
            <w:gridSpan w:val="3"/>
          </w:tcPr>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pStyle w:val="4"/>
              <w:spacing w:line="580" w:lineRule="exact"/>
              <w:jc w:val="center"/>
              <w:rPr>
                <w:rFonts w:ascii="仿宋" w:hAnsi="仿宋" w:eastAsia="仿宋" w:cs="仿宋"/>
                <w:sz w:val="24"/>
                <w:szCs w:val="24"/>
              </w:rPr>
            </w:pPr>
            <w:r>
              <w:rPr>
                <w:rFonts w:hint="eastAsia" w:ascii="仿宋" w:hAnsi="仿宋" w:eastAsia="仿宋" w:cs="仿宋"/>
                <w:sz w:val="24"/>
                <w:szCs w:val="24"/>
              </w:rPr>
              <w:t>原创申明</w:t>
            </w:r>
          </w:p>
        </w:tc>
        <w:tc>
          <w:tcPr>
            <w:tcW w:w="7040" w:type="dxa"/>
            <w:gridSpan w:val="3"/>
          </w:tcPr>
          <w:p>
            <w:pPr>
              <w:pStyle w:val="4"/>
              <w:spacing w:line="580" w:lineRule="exact"/>
              <w:rPr>
                <w:rFonts w:ascii="仿宋" w:hAnsi="仿宋" w:eastAsia="仿宋" w:cs="仿宋"/>
                <w:sz w:val="24"/>
                <w:szCs w:val="24"/>
              </w:rPr>
            </w:pPr>
            <w:r>
              <w:rPr>
                <w:rFonts w:hint="eastAsia" w:ascii="仿宋" w:hAnsi="仿宋" w:eastAsia="仿宋" w:cs="仿宋"/>
                <w:sz w:val="24"/>
                <w:szCs w:val="24"/>
              </w:rPr>
              <w:t>本成果由本</w:t>
            </w:r>
            <w:r>
              <w:rPr>
                <w:rFonts w:hint="eastAsia" w:ascii="仿宋" w:hAnsi="仿宋" w:eastAsia="仿宋" w:cs="仿宋"/>
                <w:sz w:val="24"/>
                <w:szCs w:val="24"/>
                <w:lang w:val="en-US" w:eastAsia="zh-CN"/>
              </w:rPr>
              <w:t>单位</w:t>
            </w:r>
            <w:r>
              <w:rPr>
                <w:rFonts w:hint="eastAsia" w:ascii="仿宋" w:hAnsi="仿宋" w:eastAsia="仿宋" w:cs="仿宋"/>
                <w:sz w:val="24"/>
                <w:szCs w:val="24"/>
              </w:rPr>
              <w:t>创作；申报内容真实、可信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8519" w:type="dxa"/>
            <w:gridSpan w:val="4"/>
          </w:tcPr>
          <w:p>
            <w:pPr>
              <w:pStyle w:val="4"/>
              <w:spacing w:line="580" w:lineRule="exact"/>
              <w:rPr>
                <w:rFonts w:ascii="仿宋" w:hAnsi="仿宋" w:eastAsia="仿宋" w:cs="仿宋"/>
                <w:sz w:val="24"/>
                <w:szCs w:val="24"/>
              </w:rPr>
            </w:pPr>
            <w:r>
              <w:rPr>
                <w:rFonts w:hint="eastAsia" w:ascii="仿宋" w:hAnsi="仿宋" w:eastAsia="仿宋" w:cs="仿宋"/>
                <w:sz w:val="24"/>
                <w:szCs w:val="24"/>
              </w:rPr>
              <w:t>案例</w:t>
            </w:r>
            <w:r>
              <w:rPr>
                <w:rFonts w:hint="eastAsia" w:ascii="仿宋" w:hAnsi="仿宋" w:eastAsia="仿宋" w:cs="仿宋"/>
                <w:sz w:val="24"/>
                <w:szCs w:val="24"/>
                <w:lang w:val="en-US" w:eastAsia="zh-CN"/>
              </w:rPr>
              <w:t>摘要</w:t>
            </w:r>
            <w:r>
              <w:rPr>
                <w:rFonts w:hint="eastAsia" w:ascii="仿宋" w:hAnsi="仿宋" w:eastAsia="仿宋" w:cs="仿宋"/>
                <w:sz w:val="24"/>
                <w:szCs w:val="24"/>
              </w:rPr>
              <w:t>（300字内）</w:t>
            </w:r>
          </w:p>
          <w:p>
            <w:pPr>
              <w:pStyle w:val="4"/>
              <w:spacing w:line="5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519" w:type="dxa"/>
            <w:gridSpan w:val="4"/>
          </w:tcPr>
          <w:p>
            <w:pPr>
              <w:pStyle w:val="4"/>
              <w:spacing w:line="580" w:lineRule="exact"/>
              <w:rPr>
                <w:rFonts w:ascii="仿宋" w:hAnsi="仿宋" w:eastAsia="仿宋" w:cs="仿宋"/>
                <w:sz w:val="24"/>
                <w:szCs w:val="24"/>
              </w:rPr>
            </w:pPr>
            <w:r>
              <w:rPr>
                <w:rFonts w:hint="eastAsia" w:ascii="仿宋" w:hAnsi="仿宋" w:eastAsia="仿宋" w:cs="仿宋"/>
                <w:sz w:val="24"/>
                <w:szCs w:val="24"/>
              </w:rPr>
              <w:t>申报单位意见：</w:t>
            </w:r>
          </w:p>
          <w:p>
            <w:pPr>
              <w:pStyle w:val="4"/>
              <w:spacing w:line="580" w:lineRule="exact"/>
              <w:rPr>
                <w:rFonts w:ascii="仿宋" w:hAnsi="仿宋" w:eastAsia="仿宋" w:cs="仿宋"/>
                <w:sz w:val="24"/>
                <w:szCs w:val="24"/>
              </w:rPr>
            </w:pPr>
            <w:r>
              <w:rPr>
                <w:rFonts w:hint="eastAsia" w:ascii="仿宋" w:hAnsi="仿宋" w:eastAsia="仿宋" w:cs="仿宋"/>
                <w:sz w:val="24"/>
                <w:szCs w:val="24"/>
              </w:rPr>
              <w:t xml:space="preserve">申报单位负责人签字：            （公章）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600" w:lineRule="exact"/>
        <w:ind w:right="0" w:firstLine="620" w:firstLineChars="200"/>
        <w:textAlignment w:val="auto"/>
        <w:rPr>
          <w:rFonts w:hint="default" w:ascii="Times New Roman" w:hAnsi="Times New Roman"/>
          <w:spacing w:val="0"/>
          <w:lang w:val="en-US" w:eastAsia="zh-CN"/>
        </w:rPr>
      </w:pPr>
    </w:p>
    <w:p>
      <w:pPr>
        <w:rPr>
          <w:rFonts w:hint="default" w:ascii="Times New Roman" w:hAnsi="Times New Roman"/>
          <w:spacing w:val="0"/>
          <w:lang w:val="en-US" w:eastAsia="zh-CN"/>
        </w:rPr>
      </w:pPr>
      <w:r>
        <w:rPr>
          <w:rFonts w:hint="default" w:ascii="Times New Roman" w:hAnsi="Times New Roman"/>
          <w:spacing w:val="0"/>
          <w:lang w:val="en-US" w:eastAsia="zh-CN"/>
        </w:rPr>
        <w:br w:type="page"/>
      </w:r>
    </w:p>
    <w:p>
      <w:pPr>
        <w:pStyle w:val="4"/>
        <w:spacing w:afterAutospacing="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spacing w:afterAutospacing="0"/>
        <w:rPr>
          <w:rFonts w:hint="eastAsia" w:ascii="黑体" w:hAnsi="黑体" w:eastAsia="黑体" w:cs="黑体"/>
          <w:sz w:val="32"/>
          <w:szCs w:val="32"/>
          <w:lang w:val="en-US" w:eastAsia="zh-CN"/>
        </w:rPr>
      </w:pPr>
    </w:p>
    <w:p>
      <w:pPr>
        <w:pStyle w:val="4"/>
        <w:spacing w:before="159" w:beforeLines="50" w:beforeAutospacing="0" w:after="159" w:afterLines="50" w:afterAutospacing="0" w:line="240" w:lineRule="auto"/>
        <w:jc w:val="center"/>
        <w:rPr>
          <w:rFonts w:hint="eastAsia" w:asciiTheme="majorEastAsia" w:hAnsiTheme="majorEastAsia" w:eastAsiaTheme="majorEastAsia" w:cstheme="majorEastAsia"/>
          <w:b/>
          <w:bCs/>
          <w:spacing w:val="-17"/>
          <w:sz w:val="44"/>
          <w:szCs w:val="44"/>
        </w:rPr>
      </w:pPr>
      <w:r>
        <w:rPr>
          <w:rFonts w:hint="eastAsia" w:asciiTheme="majorEastAsia" w:hAnsiTheme="majorEastAsia" w:eastAsiaTheme="majorEastAsia" w:cstheme="majorEastAsia"/>
          <w:b/>
          <w:bCs/>
          <w:spacing w:val="-17"/>
          <w:sz w:val="44"/>
          <w:szCs w:val="44"/>
          <w:lang w:val="en-US" w:eastAsia="zh-CN"/>
        </w:rPr>
        <w:t>“中国ESG卓越实践”</w:t>
      </w:r>
      <w:r>
        <w:rPr>
          <w:rFonts w:hint="eastAsia" w:asciiTheme="majorEastAsia" w:hAnsiTheme="majorEastAsia" w:eastAsiaTheme="majorEastAsia" w:cstheme="majorEastAsia"/>
          <w:b/>
          <w:bCs/>
          <w:spacing w:val="-17"/>
          <w:sz w:val="44"/>
          <w:szCs w:val="44"/>
          <w:highlight w:val="none"/>
          <w:lang w:val="en-US" w:eastAsia="zh-CN"/>
        </w:rPr>
        <w:t>案例报告</w:t>
      </w:r>
      <w:r>
        <w:rPr>
          <w:rFonts w:hint="eastAsia" w:asciiTheme="majorEastAsia" w:hAnsiTheme="majorEastAsia" w:eastAsiaTheme="majorEastAsia" w:cstheme="majorEastAsia"/>
          <w:b/>
          <w:bCs/>
          <w:spacing w:val="-17"/>
          <w:sz w:val="44"/>
          <w:szCs w:val="44"/>
          <w:lang w:val="en-US" w:eastAsia="zh-CN"/>
        </w:rPr>
        <w:t>撰</w:t>
      </w:r>
      <w:r>
        <w:rPr>
          <w:rFonts w:hint="eastAsia" w:asciiTheme="majorEastAsia" w:hAnsiTheme="majorEastAsia" w:eastAsiaTheme="majorEastAsia" w:cstheme="majorEastAsia"/>
          <w:b/>
          <w:bCs/>
          <w:spacing w:val="-17"/>
          <w:sz w:val="44"/>
          <w:szCs w:val="44"/>
        </w:rPr>
        <w:t>写要求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ESG卓越实践”审定过程中，评审组专家将对“中国ESG卓越实践”征集申报表及“中国ESG卓越实践”案例报告进行审定。审定活动办公室将以“中国ESG卓越实践征集申报表”及“中国ESG卓越实践”案例报告为依据，对审定结果进行核实公布，并编辑为正式出版物。结合成果审定和推广需要，现将撰写要求归纳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1.卓越实践报告原则上由题目和正文组成，题目要简洁、突出，反映企业ESG实践的核心内容及特色，正文原则上包括背景、内涵、责任行动、履责成效、展望等，逻辑严谨，结构完整；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2.报告字数应控制在1万左右，以第三人称阐述，可采用企业简称；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3.报告标题统一使用2号加粗宋体字，正文使用3号仿宋体字；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4.报告层次表述统一使用一、（一）、1、（1）、①，最多5级，尽量减少不必要的层级，一级标题使用3号黑体字，二级标题使用3号加粗楷体，三级标题使用3号加粗仿宋，四级标题使用3号仿宋字体；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5.报告正文选择行间距为单倍行距，首行缩进2个字符；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告文字表述要科学、准确、清楚、朴素，各类表格、数据、计量单位等要按照公开出版物的标准编排。出版案例集采用黑白印刷，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报送电子版原图，命名与图片编号说明相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7.论文注释统一采用尾注格式，注释与参考文献格式统一。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（1）序号格式为[1] [2]等。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（2）著作著录格式为：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 著者姓名.书名.出版地:出版者,出版年：起止页码.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（3）期刊论文著录格式为：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 著者姓名.篇名.刊名,出版年,卷(期):起止页码.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（4）报纸论文著录格式为：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 著者姓名.篇名.报纸名称,出版年—月—日(版次)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（5）网络文献著录格式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 著者姓名.篇名.IP地址.阅读日期.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无著者、篇名的，只著录该网页详细的IP地址，阅读日期。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8.报告中应对已取得相关研究成果社会评价予以注明，（包括引用、转载、获奖及被采纳情况），参与申报即视为同意由审定活动办公室组织相关申报材料进行公开出版。</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pStyle w:val="4"/>
        <w:spacing w:afterAutospacing="0"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4"/>
        <w:spacing w:afterAutospacing="0" w:line="240" w:lineRule="auto"/>
        <w:rPr>
          <w:rFonts w:hint="eastAsia" w:ascii="黑体" w:hAnsi="黑体" w:eastAsia="黑体" w:cs="黑体"/>
          <w:sz w:val="32"/>
          <w:szCs w:val="32"/>
          <w:lang w:val="en-US" w:eastAsia="zh-CN"/>
        </w:rPr>
      </w:pPr>
    </w:p>
    <w:p>
      <w:pPr>
        <w:pStyle w:val="4"/>
        <w:spacing w:before="159" w:beforeLines="50" w:beforeAutospacing="0" w:after="159" w:afterLines="50" w:afterAutospacing="0" w:line="240" w:lineRule="auto"/>
        <w:jc w:val="center"/>
        <w:rPr>
          <w:rFonts w:hint="default" w:ascii="仿宋" w:hAnsi="仿宋" w:eastAsia="仿宋" w:cs="仿宋"/>
          <w:sz w:val="32"/>
          <w:szCs w:val="32"/>
          <w:lang w:val="en-US" w:eastAsia="zh-CN"/>
        </w:rPr>
      </w:pPr>
      <w:r>
        <w:rPr>
          <w:rFonts w:hint="eastAsia" w:asciiTheme="majorEastAsia" w:hAnsiTheme="majorEastAsia" w:eastAsiaTheme="majorEastAsia" w:cstheme="majorEastAsia"/>
          <w:b/>
          <w:bCs/>
          <w:spacing w:val="0"/>
          <w:sz w:val="44"/>
          <w:szCs w:val="44"/>
          <w:lang w:val="en-US" w:eastAsia="zh-CN"/>
        </w:rPr>
        <w:t>“中国ESG卓越实践”案例报告框架模板</w:t>
      </w:r>
    </w:p>
    <w:p>
      <w:pPr>
        <w:spacing w:beforeAutospacing="0"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以下为“中国ESG卓越实践”案例报告撰写框架参考，仅供参考格式及结构，各级标题、具体内容可自定。</w:t>
      </w:r>
    </w:p>
    <w:p>
      <w:pPr>
        <w:spacing w:line="240" w:lineRule="auto"/>
        <w:jc w:val="center"/>
        <w:rPr>
          <w:rFonts w:hint="eastAsia" w:ascii="仿宋" w:hAnsi="仿宋" w:eastAsia="仿宋" w:cs="仿宋"/>
          <w:sz w:val="32"/>
          <w:szCs w:val="32"/>
          <w:lang w:val="en-US" w:eastAsia="zh-CN"/>
        </w:rPr>
      </w:pPr>
      <w:r>
        <w:rPr>
          <w:rFonts w:hint="eastAsia" w:asciiTheme="majorEastAsia" w:hAnsiTheme="majorEastAsia" w:eastAsiaTheme="majorEastAsia" w:cstheme="majorEastAsia"/>
          <w:b/>
          <w:bCs/>
          <w:sz w:val="44"/>
          <w:szCs w:val="44"/>
          <w:lang w:val="en-US" w:eastAsia="zh-CN"/>
        </w:rPr>
        <w:t>标题</w:t>
      </w:r>
    </w:p>
    <w:p>
      <w:pPr>
        <w:spacing w:line="240" w:lineRule="auto"/>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摘要</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案例简述（300字以内）：包括其核心价值、所应对的挑战、采取的创新手段及其成效，以及对未来的展望。</w:t>
      </w:r>
    </w:p>
    <w:p>
      <w:pPr>
        <w:spacing w:line="240" w:lineRule="auto"/>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一、背景</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阐述案例所处的宏观背景和微观背景，分析外部环境如何塑造企业内部ESG行动的需求与方向。这部分不仅阐述宏观政策、市场趋势，还深入描绘行业现状与挑战，以及来自政府、消费者、员工等多方的具体期望，为后续的责任行动奠定基础。</w:t>
      </w:r>
    </w:p>
    <w:p>
      <w:pPr>
        <w:spacing w:line="24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二、责任行动</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细介绍企业在环境、社会、治理三个层面的实践细节，展现其如何通过创新策略、制度优化、流程改进等多维度举措，积极应对ESG挑战，从而体现案例的战略性、创新性、实践性、社会性、引领性、系统性、可持续性或规范性。</w:t>
      </w:r>
    </w:p>
    <w:p>
      <w:pPr>
        <w:pStyle w:val="4"/>
        <w:numPr>
          <w:ilvl w:val="0"/>
          <w:numId w:val="1"/>
        </w:numPr>
        <w:spacing w:afterAutospacing="0" w:line="240" w:lineRule="auto"/>
        <w:ind w:firstLine="643" w:firstLineChars="200"/>
        <w:jc w:val="both"/>
        <w:rPr>
          <w:rStyle w:val="11"/>
          <w:rFonts w:hint="eastAsia" w:ascii="楷体" w:hAnsi="楷体" w:eastAsia="楷体" w:cs="楷体"/>
          <w:b/>
          <w:bCs/>
          <w:i w:val="0"/>
          <w:iCs w:val="0"/>
          <w:caps w:val="0"/>
          <w:color w:val="2C2C36"/>
          <w:spacing w:val="0"/>
          <w:sz w:val="32"/>
          <w:szCs w:val="32"/>
          <w:shd w:val="clear" w:fill="FFFFFF"/>
          <w:lang w:val="en-US" w:eastAsia="zh-CN"/>
        </w:rPr>
      </w:pPr>
      <w:r>
        <w:rPr>
          <w:rStyle w:val="11"/>
          <w:rFonts w:hint="eastAsia" w:ascii="楷体" w:hAnsi="楷体" w:eastAsia="楷体" w:cs="楷体"/>
          <w:b/>
          <w:bCs/>
          <w:i w:val="0"/>
          <w:iCs w:val="0"/>
          <w:caps w:val="0"/>
          <w:color w:val="2C2C36"/>
          <w:spacing w:val="0"/>
          <w:sz w:val="32"/>
          <w:szCs w:val="32"/>
          <w:shd w:val="clear" w:fill="FFFFFF"/>
          <w:lang w:val="en-US" w:eastAsia="zh-CN"/>
        </w:rPr>
        <w:t>环境维度</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1.策略与目标</w:t>
      </w:r>
    </w:p>
    <w:p>
      <w:pPr>
        <w:spacing w:line="24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环保策略与具体目标设定</w:t>
      </w:r>
      <w:r>
        <w:rPr>
          <w:rFonts w:hint="eastAsia" w:ascii="仿宋" w:hAnsi="仿宋" w:eastAsia="仿宋" w:cs="仿宋"/>
          <w:sz w:val="32"/>
          <w:szCs w:val="32"/>
          <w:lang w:val="en-US" w:eastAsia="zh-CN"/>
        </w:rPr>
        <w:t>,体现项目的战略性。</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实施举措</w:t>
      </w:r>
    </w:p>
    <w:p>
      <w:pPr>
        <w:spacing w:line="24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绿色生产、节能减排、循环经济等实践</w:t>
      </w:r>
      <w:r>
        <w:rPr>
          <w:rFonts w:hint="eastAsia" w:ascii="仿宋" w:hAnsi="仿宋" w:eastAsia="仿宋" w:cs="仿宋"/>
          <w:sz w:val="32"/>
          <w:szCs w:val="32"/>
          <w:lang w:val="en-US" w:eastAsia="zh-CN"/>
        </w:rPr>
        <w:t>行为。</w:t>
      </w:r>
    </w:p>
    <w:p>
      <w:pPr>
        <w:pStyle w:val="4"/>
        <w:numPr>
          <w:ilvl w:val="0"/>
          <w:numId w:val="1"/>
        </w:numPr>
        <w:spacing w:afterAutospacing="0" w:line="240" w:lineRule="auto"/>
        <w:ind w:firstLine="643" w:firstLineChars="200"/>
        <w:jc w:val="both"/>
        <w:rPr>
          <w:rStyle w:val="11"/>
          <w:rFonts w:hint="eastAsia" w:ascii="楷体" w:hAnsi="楷体" w:eastAsia="楷体" w:cs="楷体"/>
          <w:b/>
          <w:bCs/>
          <w:i w:val="0"/>
          <w:iCs w:val="0"/>
          <w:caps w:val="0"/>
          <w:color w:val="2C2C36"/>
          <w:spacing w:val="0"/>
          <w:sz w:val="32"/>
          <w:szCs w:val="32"/>
          <w:shd w:val="clear" w:fill="FFFFFF"/>
          <w:lang w:val="en-US" w:eastAsia="zh-CN"/>
        </w:rPr>
      </w:pPr>
      <w:r>
        <w:rPr>
          <w:rStyle w:val="11"/>
          <w:rFonts w:hint="eastAsia" w:ascii="楷体" w:hAnsi="楷体" w:eastAsia="楷体" w:cs="楷体"/>
          <w:b/>
          <w:bCs/>
          <w:i w:val="0"/>
          <w:iCs w:val="0"/>
          <w:caps w:val="0"/>
          <w:color w:val="2C2C36"/>
          <w:spacing w:val="0"/>
          <w:sz w:val="32"/>
          <w:szCs w:val="32"/>
          <w:shd w:val="clear" w:fill="FFFFFF"/>
          <w:lang w:val="en-US" w:eastAsia="zh-CN"/>
        </w:rPr>
        <w:t>社会维度</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default" w:ascii="仿宋" w:hAnsi="仿宋" w:eastAsia="仿宋" w:cs="仿宋"/>
          <w:b/>
          <w:bCs/>
          <w:sz w:val="32"/>
          <w:szCs w:val="32"/>
          <w:lang w:val="en-US" w:eastAsia="zh-CN"/>
        </w:rPr>
        <w:t>社区参与</w:t>
      </w:r>
    </w:p>
    <w:p>
      <w:pPr>
        <w:spacing w:line="24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社会责任项目、公益支持等。</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员工福祉</w:t>
      </w:r>
    </w:p>
    <w:p>
      <w:pPr>
        <w:spacing w:line="24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多元化、培训发展、健康安全措施。</w:t>
      </w:r>
    </w:p>
    <w:p>
      <w:pPr>
        <w:pStyle w:val="4"/>
        <w:numPr>
          <w:ilvl w:val="0"/>
          <w:numId w:val="1"/>
        </w:numPr>
        <w:spacing w:afterAutospacing="0" w:line="240" w:lineRule="auto"/>
        <w:ind w:firstLine="643" w:firstLineChars="200"/>
        <w:jc w:val="both"/>
        <w:rPr>
          <w:rStyle w:val="11"/>
          <w:rFonts w:hint="eastAsia" w:ascii="楷体" w:hAnsi="楷体" w:eastAsia="楷体" w:cs="楷体"/>
          <w:b/>
          <w:bCs/>
          <w:i w:val="0"/>
          <w:iCs w:val="0"/>
          <w:caps w:val="0"/>
          <w:color w:val="2C2C36"/>
          <w:spacing w:val="0"/>
          <w:sz w:val="32"/>
          <w:szCs w:val="32"/>
          <w:shd w:val="clear" w:fill="FFFFFF"/>
          <w:lang w:val="en-US" w:eastAsia="zh-CN"/>
        </w:rPr>
      </w:pPr>
      <w:r>
        <w:rPr>
          <w:rStyle w:val="11"/>
          <w:rFonts w:hint="eastAsia" w:ascii="楷体" w:hAnsi="楷体" w:eastAsia="楷体" w:cs="楷体"/>
          <w:b/>
          <w:bCs/>
          <w:i w:val="0"/>
          <w:iCs w:val="0"/>
          <w:caps w:val="0"/>
          <w:color w:val="2C2C36"/>
          <w:spacing w:val="0"/>
          <w:sz w:val="32"/>
          <w:szCs w:val="32"/>
          <w:shd w:val="clear" w:fill="FFFFFF"/>
          <w:lang w:val="en-US" w:eastAsia="zh-CN"/>
        </w:rPr>
        <w:t>治理维度</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default" w:ascii="仿宋" w:hAnsi="仿宋" w:eastAsia="仿宋" w:cs="仿宋"/>
          <w:b/>
          <w:bCs/>
          <w:sz w:val="32"/>
          <w:szCs w:val="32"/>
          <w:lang w:val="en-US" w:eastAsia="zh-CN"/>
        </w:rPr>
        <w:t>透明度与合规</w:t>
      </w:r>
    </w:p>
    <w:p>
      <w:p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信息披露、政策落实等。</w:t>
      </w:r>
    </w:p>
    <w:p>
      <w:pPr>
        <w:spacing w:line="24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风险管理</w:t>
      </w:r>
    </w:p>
    <w:p>
      <w:pPr>
        <w:spacing w:line="24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ESG风险评估与应对机制。</w:t>
      </w:r>
    </w:p>
    <w:p>
      <w:p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三、履责成效</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通过丰富的数据与实证分析，展示上述责任行动带来的具体成效。定性描述和定量数据相结合，同时，引用权威第三方评价、奖项认证、媒体正面报道及重要利益相关方的直接反馈，以增加说服力。</w:t>
      </w:r>
    </w:p>
    <w:p>
      <w:pPr>
        <w:spacing w:line="24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挑战与反思</w:t>
      </w:r>
    </w:p>
    <w:p>
      <w:pPr>
        <w:spacing w:line="240" w:lineRule="auto"/>
        <w:ind w:firstLine="640" w:firstLineChars="200"/>
        <w:rPr>
          <w:rFonts w:hint="default" w:ascii="黑体" w:hAnsi="黑体" w:eastAsia="黑体" w:cs="黑体"/>
          <w:sz w:val="32"/>
          <w:szCs w:val="32"/>
          <w:lang w:val="en-US" w:eastAsia="zh-CN"/>
        </w:rPr>
      </w:pPr>
      <w:r>
        <w:rPr>
          <w:rFonts w:hint="default" w:ascii="仿宋" w:hAnsi="仿宋" w:eastAsia="仿宋" w:cs="仿宋"/>
          <w:sz w:val="32"/>
          <w:szCs w:val="32"/>
          <w:lang w:val="en-US" w:eastAsia="zh-CN"/>
        </w:rPr>
        <w:t>回顾在实施ESG实践过程中遇到的主要挑战、未达预期的领域及其原因分析。讨论如何通过调整策略、加强内部沟通、引入外部合作等方式克服这些障碍，展现企业持续改进的决心与能力。</w:t>
      </w:r>
    </w:p>
    <w:p>
      <w:pPr>
        <w:spacing w:line="24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展望</w:t>
      </w:r>
    </w:p>
    <w:p>
      <w:pPr>
        <w:spacing w:line="24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总结项目经验的基础上，提出未来一年至三年内的ESG战略方向、具体目标与行动计划。展望中应体现对新技术、新标准的适应计划，以及如何进一步深化与各利益相关方的合作，共同推进可持续发展目标。同时，表达对行业乃至全球ESG发展趋势的见解，以及企业准备如何引领或响应这些变化，展现前瞻性的思考与领导力。</w:t>
      </w:r>
    </w:p>
    <w:p>
      <w:pPr>
        <w:pStyle w:val="4"/>
        <w:widowControl w:val="0"/>
        <w:numPr>
          <w:ilvl w:val="0"/>
          <w:numId w:val="0"/>
        </w:numPr>
        <w:snapToGrid w:val="0"/>
        <w:spacing w:afterAutospacing="0" w:line="240" w:lineRule="auto"/>
        <w:ind w:firstLine="640" w:firstLineChars="200"/>
        <w:jc w:val="both"/>
        <w:rPr>
          <w:rStyle w:val="11"/>
          <w:rFonts w:hint="eastAsia" w:ascii="仿宋" w:hAnsi="仿宋" w:eastAsia="仿宋" w:cs="仿宋"/>
          <w:b w:val="0"/>
          <w:bCs w:val="0"/>
          <w:i w:val="0"/>
          <w:iCs w:val="0"/>
          <w:caps w:val="0"/>
          <w:color w:val="2C2C36"/>
          <w:spacing w:val="0"/>
          <w:sz w:val="32"/>
          <w:szCs w:val="32"/>
          <w:shd w:val="clear" w:fill="FFFFFF"/>
          <w:lang w:val="en-US" w:eastAsia="zh-CN"/>
        </w:rPr>
      </w:pPr>
    </w:p>
    <w:sectPr>
      <w:footerReference r:id="rId3" w:type="default"/>
      <w:pgSz w:w="11906" w:h="16838"/>
      <w:pgMar w:top="1134" w:right="1599" w:bottom="1417" w:left="16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AD604-62A9-4B94-B98B-B117F7B717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1C50C07-BEC7-4E06-83C2-3CB3CA002A66}"/>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3" w:fontKey="{BC845C3D-FB5F-49DF-A1C7-F4317A438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5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8A9E8"/>
    <w:multiLevelType w:val="singleLevel"/>
    <w:tmpl w:val="7318A9E8"/>
    <w:lvl w:ilvl="0" w:tentative="0">
      <w:start w:val="1"/>
      <w:numFmt w:val="chineseCounting"/>
      <w:suff w:val="nothing"/>
      <w:lvlText w:val="（%1）"/>
      <w:lvlJc w:val="left"/>
      <w:rPr>
        <w:rFonts w:hint="eastAsia" w:ascii="楷体" w:hAnsi="楷体" w:eastAsia="楷体" w:cs="楷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Q5Y2U0YTEwMzEwMzYxZGQxNjNjMGQxYjM4ZTYifQ=="/>
  </w:docVars>
  <w:rsids>
    <w:rsidRoot w:val="3CBC5DD2"/>
    <w:rsid w:val="027408C4"/>
    <w:rsid w:val="03B64B9A"/>
    <w:rsid w:val="04770389"/>
    <w:rsid w:val="048760F2"/>
    <w:rsid w:val="04DA26C6"/>
    <w:rsid w:val="05C56ED2"/>
    <w:rsid w:val="084762C4"/>
    <w:rsid w:val="0946032A"/>
    <w:rsid w:val="09802FF9"/>
    <w:rsid w:val="09D25B38"/>
    <w:rsid w:val="0A852B6F"/>
    <w:rsid w:val="0B4B60CB"/>
    <w:rsid w:val="0C2B3071"/>
    <w:rsid w:val="0DC52562"/>
    <w:rsid w:val="0EAC50D3"/>
    <w:rsid w:val="0EFE5F57"/>
    <w:rsid w:val="10A2678D"/>
    <w:rsid w:val="111331E7"/>
    <w:rsid w:val="111F09A5"/>
    <w:rsid w:val="114C66F9"/>
    <w:rsid w:val="12021237"/>
    <w:rsid w:val="13E64BE3"/>
    <w:rsid w:val="144B713C"/>
    <w:rsid w:val="15D373E9"/>
    <w:rsid w:val="160E21CF"/>
    <w:rsid w:val="186B6F60"/>
    <w:rsid w:val="18DD40DB"/>
    <w:rsid w:val="192F0DDA"/>
    <w:rsid w:val="193E2DCB"/>
    <w:rsid w:val="19510D51"/>
    <w:rsid w:val="195B3280"/>
    <w:rsid w:val="19E03E83"/>
    <w:rsid w:val="1A1F2193"/>
    <w:rsid w:val="1B9C027D"/>
    <w:rsid w:val="1C611D5B"/>
    <w:rsid w:val="1C760ACE"/>
    <w:rsid w:val="1CAF529D"/>
    <w:rsid w:val="20476A09"/>
    <w:rsid w:val="208F6602"/>
    <w:rsid w:val="20C77FDD"/>
    <w:rsid w:val="21F42BC1"/>
    <w:rsid w:val="22733FBC"/>
    <w:rsid w:val="22877591"/>
    <w:rsid w:val="229D4A1D"/>
    <w:rsid w:val="23496084"/>
    <w:rsid w:val="23EC0C7E"/>
    <w:rsid w:val="255676EF"/>
    <w:rsid w:val="264A1001"/>
    <w:rsid w:val="273D0B66"/>
    <w:rsid w:val="276A7481"/>
    <w:rsid w:val="28225B42"/>
    <w:rsid w:val="2916066A"/>
    <w:rsid w:val="2FD032F2"/>
    <w:rsid w:val="2FEF49C8"/>
    <w:rsid w:val="306B04F2"/>
    <w:rsid w:val="31D04385"/>
    <w:rsid w:val="32295F53"/>
    <w:rsid w:val="32E26A66"/>
    <w:rsid w:val="33953AD8"/>
    <w:rsid w:val="34493528"/>
    <w:rsid w:val="34B33A20"/>
    <w:rsid w:val="34C40BBD"/>
    <w:rsid w:val="35064C8D"/>
    <w:rsid w:val="362A7DBE"/>
    <w:rsid w:val="36C1722B"/>
    <w:rsid w:val="39FE4185"/>
    <w:rsid w:val="3A773F37"/>
    <w:rsid w:val="3B0C28D2"/>
    <w:rsid w:val="3B7D37CF"/>
    <w:rsid w:val="3B7F4E52"/>
    <w:rsid w:val="3C8C3D1C"/>
    <w:rsid w:val="3CBC5DD2"/>
    <w:rsid w:val="3CDE48D7"/>
    <w:rsid w:val="3D295DFE"/>
    <w:rsid w:val="3DD0505D"/>
    <w:rsid w:val="3E1925D2"/>
    <w:rsid w:val="3E3824EF"/>
    <w:rsid w:val="3E8D1F7B"/>
    <w:rsid w:val="41320BB8"/>
    <w:rsid w:val="42E5336C"/>
    <w:rsid w:val="42EA799C"/>
    <w:rsid w:val="44C6250B"/>
    <w:rsid w:val="45917FEF"/>
    <w:rsid w:val="47413512"/>
    <w:rsid w:val="47705F96"/>
    <w:rsid w:val="48054931"/>
    <w:rsid w:val="487F7E37"/>
    <w:rsid w:val="488404F0"/>
    <w:rsid w:val="48B445F1"/>
    <w:rsid w:val="490C7F41"/>
    <w:rsid w:val="498254F9"/>
    <w:rsid w:val="4ACE1753"/>
    <w:rsid w:val="4C07336D"/>
    <w:rsid w:val="4C363144"/>
    <w:rsid w:val="4C6F490A"/>
    <w:rsid w:val="4D9F690C"/>
    <w:rsid w:val="4DB35167"/>
    <w:rsid w:val="4DCA1F89"/>
    <w:rsid w:val="4DD0778F"/>
    <w:rsid w:val="4DE60D60"/>
    <w:rsid w:val="4DFF0074"/>
    <w:rsid w:val="4E122803"/>
    <w:rsid w:val="4E375A60"/>
    <w:rsid w:val="501320EF"/>
    <w:rsid w:val="506A7D65"/>
    <w:rsid w:val="50812FC2"/>
    <w:rsid w:val="53760DD8"/>
    <w:rsid w:val="53D65408"/>
    <w:rsid w:val="547E6196"/>
    <w:rsid w:val="549A28A4"/>
    <w:rsid w:val="552E39E2"/>
    <w:rsid w:val="56B440F1"/>
    <w:rsid w:val="56C16A21"/>
    <w:rsid w:val="597B5329"/>
    <w:rsid w:val="5B846626"/>
    <w:rsid w:val="5C950521"/>
    <w:rsid w:val="5D030A3F"/>
    <w:rsid w:val="5DDB6408"/>
    <w:rsid w:val="5E7423B8"/>
    <w:rsid w:val="5F50072F"/>
    <w:rsid w:val="5FB5193C"/>
    <w:rsid w:val="602C4CF9"/>
    <w:rsid w:val="605424A1"/>
    <w:rsid w:val="60F021CA"/>
    <w:rsid w:val="61241E74"/>
    <w:rsid w:val="61AD00BB"/>
    <w:rsid w:val="61C251E9"/>
    <w:rsid w:val="630A1C87"/>
    <w:rsid w:val="63C7271E"/>
    <w:rsid w:val="640F5EA1"/>
    <w:rsid w:val="64E67604"/>
    <w:rsid w:val="64FD3107"/>
    <w:rsid w:val="65242442"/>
    <w:rsid w:val="69FD14B4"/>
    <w:rsid w:val="6A1B7B8C"/>
    <w:rsid w:val="6B1271E1"/>
    <w:rsid w:val="6C77719D"/>
    <w:rsid w:val="6E963C85"/>
    <w:rsid w:val="6EF4842C"/>
    <w:rsid w:val="6F7C10CD"/>
    <w:rsid w:val="6FEC6252"/>
    <w:rsid w:val="7040034C"/>
    <w:rsid w:val="706F0F1D"/>
    <w:rsid w:val="722C0B88"/>
    <w:rsid w:val="725F0CB0"/>
    <w:rsid w:val="73014D0C"/>
    <w:rsid w:val="730E64E0"/>
    <w:rsid w:val="73AD3F4B"/>
    <w:rsid w:val="746C5BB4"/>
    <w:rsid w:val="77F82541"/>
    <w:rsid w:val="78146346"/>
    <w:rsid w:val="7AD61FD9"/>
    <w:rsid w:val="7B225958"/>
    <w:rsid w:val="7BBD6CF5"/>
    <w:rsid w:val="7CB65C1E"/>
    <w:rsid w:val="7D625DA6"/>
    <w:rsid w:val="7D6E474B"/>
    <w:rsid w:val="7D9D6DDE"/>
    <w:rsid w:val="7DF2702E"/>
    <w:rsid w:val="7E5D1475"/>
    <w:rsid w:val="7E997AC0"/>
    <w:rsid w:val="7F9367EC"/>
    <w:rsid w:val="EFEF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widowControl/>
      <w:kinsoku w:val="0"/>
      <w:autoSpaceDE w:val="0"/>
      <w:autoSpaceDN w:val="0"/>
      <w:adjustRightInd w:val="0"/>
      <w:snapToGrid w:val="0"/>
      <w:jc w:val="left"/>
    </w:pPr>
    <w:rPr>
      <w:rFonts w:ascii="仿宋" w:hAnsi="仿宋" w:eastAsia="仿宋" w:cs="宋体"/>
      <w:color w:val="000000"/>
      <w:kern w:val="0"/>
      <w:sz w:val="31"/>
      <w:szCs w:val="31"/>
    </w:r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2"/>
    <w:basedOn w:val="3"/>
    <w:autoRedefine/>
    <w:qFormat/>
    <w:uiPriority w:val="0"/>
    <w:pPr>
      <w:ind w:firstLine="420" w:firstLineChars="200"/>
    </w:p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样式1"/>
    <w:basedOn w:val="1"/>
    <w:next w:val="7"/>
    <w:autoRedefine/>
    <w:qFormat/>
    <w:uiPriority w:val="0"/>
    <w:pPr>
      <w:jc w:val="left"/>
    </w:pPr>
    <w:rPr>
      <w:rFonts w:hint="default" w:eastAsia="仿宋" w:asciiTheme="minorAscii" w:hAnsiTheme="minorAscii"/>
      <w:sz w:val="32"/>
    </w:rPr>
  </w:style>
  <w:style w:type="paragraph" w:customStyle="1" w:styleId="14">
    <w:name w:val="列出段落1"/>
    <w:basedOn w:val="1"/>
    <w:autoRedefine/>
    <w:qFormat/>
    <w:uiPriority w:val="99"/>
    <w:pPr>
      <w:adjustRightInd w:val="0"/>
      <w:spacing w:line="560" w:lineRule="exact"/>
      <w:ind w:firstLine="420" w:firstLineChars="200"/>
      <w:textAlignment w:val="baseline"/>
    </w:pPr>
    <w:rPr>
      <w:rFonts w:ascii="仿宋_GB2312" w:hAnsi="Times New Roman" w:cs="Times New Roman"/>
      <w:snapToGrid/>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3562</Words>
  <Characters>3779</Characters>
  <Lines>0</Lines>
  <Paragraphs>0</Paragraphs>
  <TotalTime>6</TotalTime>
  <ScaleCrop>false</ScaleCrop>
  <LinksUpToDate>false</LinksUpToDate>
  <CharactersWithSpaces>3814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2023-03-27T15:30:00Z</dcterms:created>
  <dc:creator>一同</dc:creator>
  <cp:lastModifiedBy>习惯了，孤独。</cp:lastModifiedBy>
  <cp:lastPrinted>2024-06-13T08:14:00Z</cp:lastPrinted>
  <dcterms:modified xsi:type="dcterms:W3CDTF">2024-06-19T08:49:22Z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E7D5A4574F7E4D5E92E94890858ADBAE_13</vt:lpwstr>
  </property>
</Properties>
</file>