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1F00C">
      <w:pPr>
        <w:keepNext w:val="0"/>
        <w:keepLines w:val="0"/>
        <w:pageBreakBefore w:val="0"/>
        <w:widowControl/>
        <w:kinsoku/>
        <w:wordWrap/>
        <w:overflowPunct/>
        <w:topLinePunct w:val="0"/>
        <w:autoSpaceDE w:val="0"/>
        <w:autoSpaceDN w:val="0"/>
        <w:bidi w:val="0"/>
        <w:adjustRightInd w:val="0"/>
        <w:snapToGrid w:val="0"/>
        <w:spacing w:before="100" w:line="227" w:lineRule="auto"/>
        <w:ind w:left="15"/>
        <w:textAlignment w:val="baseline"/>
        <w:rPr>
          <w:rFonts w:ascii="Times New Roman" w:hAnsi="Times New Roman"/>
          <w:sz w:val="21"/>
          <w:highlight w:val="none"/>
        </w:rPr>
      </w:pPr>
      <w:r>
        <w:rPr>
          <w:rFonts w:hint="eastAsia" w:ascii="Times New Roman" w:hAnsi="Times New Roman" w:eastAsia="黑体" w:cs="黑体"/>
          <w:spacing w:val="0"/>
          <w:sz w:val="31"/>
          <w:szCs w:val="31"/>
          <w:highlight w:val="none"/>
          <w:lang w:val="en-US" w:eastAsia="zh-CN"/>
        </w:rPr>
        <w:t>附件 4</w:t>
      </w:r>
    </w:p>
    <w:p w14:paraId="207FE89B">
      <w:pPr>
        <w:keepNext w:val="0"/>
        <w:keepLines w:val="0"/>
        <w:pageBreakBefore w:val="0"/>
        <w:widowControl/>
        <w:kinsoku/>
        <w:wordWrap/>
        <w:overflowPunct/>
        <w:topLinePunct w:val="0"/>
        <w:autoSpaceDE w:val="0"/>
        <w:autoSpaceDN w:val="0"/>
        <w:bidi w:val="0"/>
        <w:adjustRightInd w:val="0"/>
        <w:snapToGrid w:val="0"/>
        <w:spacing w:before="140" w:line="223" w:lineRule="auto"/>
        <w:ind w:left="3104"/>
        <w:textAlignment w:val="baseline"/>
        <w:rPr>
          <w:rFonts w:ascii="Times New Roman" w:hAnsi="Times New Roman" w:eastAsia="宋体" w:cs="宋体"/>
          <w:spacing w:val="7"/>
          <w:sz w:val="43"/>
          <w:szCs w:val="43"/>
          <w:highlight w:val="none"/>
          <w14:textOutline w14:w="7968" w14:cap="flat" w14:cmpd="sng">
            <w14:solidFill>
              <w14:srgbClr w14:val="000000"/>
            </w14:solidFill>
            <w14:prstDash w14:val="solid"/>
            <w14:miter w14:val="0"/>
          </w14:textOutline>
        </w:rPr>
      </w:pPr>
      <w:r>
        <w:rPr>
          <w:rFonts w:ascii="Times New Roman" w:hAnsi="Times New Roman" w:eastAsia="宋体" w:cs="宋体"/>
          <w:spacing w:val="7"/>
          <w:sz w:val="43"/>
          <w:szCs w:val="43"/>
          <w:highlight w:val="none"/>
          <w14:textOutline w14:w="7968" w14:cap="flat" w14:cmpd="sng">
            <w14:solidFill>
              <w14:srgbClr w14:val="000000"/>
            </w14:solidFill>
            <w14:prstDash w14:val="solid"/>
            <w14:miter w14:val="0"/>
          </w14:textOutline>
        </w:rPr>
        <w:t>主办机构简介</w:t>
      </w:r>
    </w:p>
    <w:p w14:paraId="0D67BE84">
      <w:pPr>
        <w:keepNext w:val="0"/>
        <w:keepLines w:val="0"/>
        <w:pageBreakBefore w:val="0"/>
        <w:widowControl/>
        <w:kinsoku/>
        <w:wordWrap/>
        <w:overflowPunct/>
        <w:topLinePunct w:val="0"/>
        <w:autoSpaceDE w:val="0"/>
        <w:autoSpaceDN w:val="0"/>
        <w:bidi w:val="0"/>
        <w:adjustRightInd w:val="0"/>
        <w:snapToGrid w:val="0"/>
        <w:spacing w:before="140" w:line="560" w:lineRule="exact"/>
        <w:ind w:left="3104"/>
        <w:textAlignment w:val="baseline"/>
        <w:rPr>
          <w:rFonts w:ascii="Times New Roman" w:hAnsi="Times New Roman" w:eastAsia="宋体" w:cs="宋体"/>
          <w:spacing w:val="7"/>
          <w:sz w:val="43"/>
          <w:szCs w:val="43"/>
          <w:highlight w:val="none"/>
          <w14:textOutline w14:w="7968" w14:cap="flat" w14:cmpd="sng">
            <w14:solidFill>
              <w14:srgbClr w14:val="000000"/>
            </w14:solidFill>
            <w14:prstDash w14:val="solid"/>
            <w14:miter w14:val="0"/>
          </w14:textOutline>
        </w:rPr>
      </w:pPr>
    </w:p>
    <w:p w14:paraId="5346D8D1">
      <w:pPr>
        <w:pStyle w:val="2"/>
        <w:keepNext w:val="0"/>
        <w:keepLines w:val="0"/>
        <w:pageBreakBefore w:val="0"/>
        <w:widowControl/>
        <w:kinsoku/>
        <w:wordWrap/>
        <w:overflowPunct/>
        <w:topLinePunct w:val="0"/>
        <w:autoSpaceDE w:val="0"/>
        <w:autoSpaceDN w:val="0"/>
        <w:bidi w:val="0"/>
        <w:adjustRightInd w:val="0"/>
        <w:snapToGrid w:val="0"/>
        <w:spacing w:before="101" w:line="560" w:lineRule="exact"/>
        <w:ind w:left="19"/>
        <w:textAlignment w:val="baseline"/>
        <w:outlineLvl w:val="0"/>
        <w:rPr>
          <w:rFonts w:ascii="Times New Roman" w:hAnsi="Times New Roman"/>
          <w:highlight w:val="none"/>
        </w:rPr>
      </w:pPr>
      <w:r>
        <w:rPr>
          <w:rFonts w:ascii="Times New Roman" w:hAnsi="Times New Roman"/>
          <w:spacing w:val="3"/>
          <w:highlight w:val="none"/>
          <w14:textOutline w14:w="5791" w14:cap="flat" w14:cmpd="sng">
            <w14:solidFill>
              <w14:srgbClr w14:val="000000"/>
            </w14:solidFill>
            <w14:prstDash w14:val="solid"/>
            <w14:miter w14:val="0"/>
          </w14:textOutline>
        </w:rPr>
        <w:t>1.</w:t>
      </w:r>
      <w:r>
        <w:rPr>
          <w:rFonts w:ascii="Times New Roman" w:hAnsi="Times New Roman"/>
          <w:spacing w:val="-87"/>
          <w:highlight w:val="none"/>
        </w:rPr>
        <w:t xml:space="preserve"> </w:t>
      </w:r>
      <w:r>
        <w:rPr>
          <w:rFonts w:ascii="Times New Roman" w:hAnsi="Times New Roman"/>
          <w:spacing w:val="3"/>
          <w:highlight w:val="none"/>
          <w14:textOutline w14:w="5791" w14:cap="flat" w14:cmpd="sng">
            <w14:solidFill>
              <w14:srgbClr w14:val="000000"/>
            </w14:solidFill>
            <w14:prstDash w14:val="solid"/>
            <w14:miter w14:val="0"/>
          </w14:textOutline>
        </w:rPr>
        <w:t>中国企业改革与发展研究会</w:t>
      </w:r>
    </w:p>
    <w:p w14:paraId="3C745265">
      <w:pPr>
        <w:pStyle w:val="2"/>
        <w:keepNext w:val="0"/>
        <w:keepLines w:val="0"/>
        <w:pageBreakBefore w:val="0"/>
        <w:widowControl/>
        <w:kinsoku/>
        <w:wordWrap/>
        <w:overflowPunct/>
        <w:topLinePunct w:val="0"/>
        <w:autoSpaceDE w:val="0"/>
        <w:autoSpaceDN w:val="0"/>
        <w:bidi w:val="0"/>
        <w:adjustRightInd w:val="0"/>
        <w:snapToGrid w:val="0"/>
        <w:spacing w:before="176" w:line="560" w:lineRule="exact"/>
        <w:ind w:left="5" w:firstLine="682"/>
        <w:jc w:val="both"/>
        <w:textAlignment w:val="baseline"/>
        <w:rPr>
          <w:rFonts w:ascii="Times New Roman" w:hAnsi="Times New Roman"/>
          <w:sz w:val="21"/>
          <w:highlight w:val="none"/>
        </w:rPr>
      </w:pPr>
      <w:r>
        <w:rPr>
          <w:rFonts w:ascii="Times New Roman" w:hAnsi="Times New Roman"/>
          <w:highlight w:val="none"/>
        </w:rPr>
        <w:t>中国企业改革与发展研究会（简称“中企研”）成立于1991</w:t>
      </w:r>
      <w:r>
        <w:rPr>
          <w:rFonts w:ascii="Times New Roman" w:hAnsi="Times New Roman"/>
          <w:spacing w:val="9"/>
          <w:highlight w:val="none"/>
        </w:rPr>
        <w:t>年，是经中华人民共和国国务院批准，民政部注册的全国性</w:t>
      </w:r>
      <w:r>
        <w:rPr>
          <w:rFonts w:ascii="Times New Roman" w:hAnsi="Times New Roman"/>
          <w:spacing w:val="13"/>
          <w:highlight w:val="none"/>
        </w:rPr>
        <w:t>社团组织，业务主管部门现为国务院国有资产监督</w:t>
      </w:r>
      <w:r>
        <w:rPr>
          <w:rFonts w:ascii="Times New Roman" w:hAnsi="Times New Roman"/>
          <w:spacing w:val="12"/>
          <w:highlight w:val="none"/>
        </w:rPr>
        <w:t>管理委员会。</w:t>
      </w:r>
      <w:r>
        <w:rPr>
          <w:rFonts w:ascii="Times New Roman" w:hAnsi="Times New Roman"/>
          <w:spacing w:val="9"/>
          <w:highlight w:val="none"/>
        </w:rPr>
        <w:t>中企研在国务院国资委领导下，在国家有关部委指导下及相关研究机构、高等院校与企业界共同支持下，打造企业改革发展领域</w:t>
      </w:r>
      <w:r>
        <w:rPr>
          <w:rFonts w:ascii="Times New Roman" w:hAnsi="Times New Roman"/>
          <w:highlight w:val="none"/>
        </w:rPr>
        <w:t>具有全国影响力的新型智库。自成立以来，紧密结</w:t>
      </w:r>
      <w:r>
        <w:rPr>
          <w:rFonts w:ascii="Times New Roman" w:hAnsi="Times New Roman"/>
          <w:spacing w:val="-1"/>
          <w:highlight w:val="none"/>
        </w:rPr>
        <w:t>合不同时期改</w:t>
      </w:r>
      <w:r>
        <w:rPr>
          <w:rFonts w:ascii="Times New Roman" w:hAnsi="Times New Roman"/>
          <w:spacing w:val="9"/>
          <w:highlight w:val="none"/>
        </w:rPr>
        <w:t>革发展工作重点，通过独立调查、深度分析等开展企业改革发展研究，积极向政府建言献策，反映企业诉求，为国家制定与企业相关的政策和法律法规提供依据。中企研以习近平新时代中国特</w:t>
      </w:r>
      <w:r>
        <w:rPr>
          <w:rFonts w:ascii="Times New Roman" w:hAnsi="Times New Roman"/>
          <w:spacing w:val="3"/>
          <w:highlight w:val="none"/>
        </w:rPr>
        <w:t>色社会主义思想为指引，立足当前，着眼未来，持续做好为政府</w:t>
      </w:r>
      <w:r>
        <w:rPr>
          <w:rFonts w:ascii="Times New Roman" w:hAnsi="Times New Roman"/>
          <w:spacing w:val="9"/>
          <w:highlight w:val="none"/>
        </w:rPr>
        <w:t>部门和广大企业的服务工作，为培育具有全球竞争力的世界一流</w:t>
      </w:r>
      <w:r>
        <w:rPr>
          <w:rFonts w:ascii="Times New Roman" w:hAnsi="Times New Roman"/>
          <w:spacing w:val="3"/>
          <w:highlight w:val="none"/>
        </w:rPr>
        <w:t>企业不断做出新的贡献。</w:t>
      </w:r>
    </w:p>
    <w:p w14:paraId="391F6272">
      <w:pPr>
        <w:pStyle w:val="2"/>
        <w:keepNext w:val="0"/>
        <w:keepLines w:val="0"/>
        <w:pageBreakBefore w:val="0"/>
        <w:widowControl/>
        <w:kinsoku/>
        <w:wordWrap/>
        <w:overflowPunct/>
        <w:topLinePunct w:val="0"/>
        <w:autoSpaceDE w:val="0"/>
        <w:autoSpaceDN w:val="0"/>
        <w:bidi w:val="0"/>
        <w:adjustRightInd w:val="0"/>
        <w:snapToGrid w:val="0"/>
        <w:spacing w:before="102" w:line="560" w:lineRule="exact"/>
        <w:textAlignment w:val="baseline"/>
        <w:outlineLvl w:val="0"/>
        <w:rPr>
          <w:rFonts w:ascii="Times New Roman" w:hAnsi="Times New Roman"/>
          <w:highlight w:val="none"/>
        </w:rPr>
      </w:pPr>
      <w:r>
        <w:rPr>
          <w:rFonts w:ascii="Times New Roman" w:hAnsi="Times New Roman"/>
          <w:spacing w:val="3"/>
          <w:highlight w:val="none"/>
          <w14:textOutline w14:w="5791" w14:cap="flat" w14:cmpd="sng">
            <w14:solidFill>
              <w14:srgbClr w14:val="000000"/>
            </w14:solidFill>
            <w14:prstDash w14:val="solid"/>
            <w14:miter w14:val="0"/>
          </w14:textOutline>
        </w:rPr>
        <w:t>2.</w:t>
      </w:r>
      <w:r>
        <w:rPr>
          <w:rFonts w:ascii="Times New Roman" w:hAnsi="Times New Roman"/>
          <w:spacing w:val="-84"/>
          <w:highlight w:val="none"/>
        </w:rPr>
        <w:t xml:space="preserve"> </w:t>
      </w:r>
      <w:r>
        <w:rPr>
          <w:rFonts w:ascii="Times New Roman" w:hAnsi="Times New Roman"/>
          <w:spacing w:val="3"/>
          <w:highlight w:val="none"/>
          <w14:textOutline w14:w="5791" w14:cap="flat" w14:cmpd="sng">
            <w14:solidFill>
              <w14:srgbClr w14:val="000000"/>
            </w14:solidFill>
            <w14:prstDash w14:val="solid"/>
            <w14:miter w14:val="0"/>
          </w14:textOutline>
        </w:rPr>
        <w:t>中国大连高级经理学院</w:t>
      </w:r>
    </w:p>
    <w:p w14:paraId="40F64FA5">
      <w:pPr>
        <w:pStyle w:val="2"/>
        <w:keepNext w:val="0"/>
        <w:keepLines w:val="0"/>
        <w:pageBreakBefore w:val="0"/>
        <w:widowControl/>
        <w:kinsoku/>
        <w:wordWrap/>
        <w:overflowPunct/>
        <w:topLinePunct w:val="0"/>
        <w:autoSpaceDE w:val="0"/>
        <w:autoSpaceDN w:val="0"/>
        <w:bidi w:val="0"/>
        <w:adjustRightInd w:val="0"/>
        <w:snapToGrid w:val="0"/>
        <w:spacing w:before="187" w:line="560" w:lineRule="exact"/>
        <w:ind w:left="23" w:right="102" w:firstLine="664"/>
        <w:jc w:val="both"/>
        <w:textAlignment w:val="baseline"/>
        <w:rPr>
          <w:rFonts w:ascii="Times New Roman" w:hAnsi="Times New Roman"/>
          <w:spacing w:val="0"/>
          <w:highlight w:val="none"/>
        </w:rPr>
      </w:pPr>
      <w:r>
        <w:rPr>
          <w:rFonts w:ascii="Times New Roman" w:hAnsi="Times New Roman"/>
          <w:spacing w:val="0"/>
          <w:highlight w:val="none"/>
        </w:rPr>
        <w:t>中国大连高级经理学院肇始于 1980 年成立的中国工业科技管理大连培训中心，是中国现代管理教育的重要发源地之一。</w:t>
      </w:r>
    </w:p>
    <w:p w14:paraId="04C5930E">
      <w:pPr>
        <w:pStyle w:val="2"/>
        <w:keepNext w:val="0"/>
        <w:keepLines w:val="0"/>
        <w:pageBreakBefore w:val="0"/>
        <w:widowControl/>
        <w:kinsoku/>
        <w:wordWrap/>
        <w:overflowPunct/>
        <w:topLinePunct w:val="0"/>
        <w:autoSpaceDE w:val="0"/>
        <w:autoSpaceDN w:val="0"/>
        <w:bidi w:val="0"/>
        <w:adjustRightInd w:val="0"/>
        <w:snapToGrid w:val="0"/>
        <w:spacing w:before="187" w:line="560" w:lineRule="exact"/>
        <w:ind w:left="23" w:right="102" w:firstLine="664"/>
        <w:jc w:val="both"/>
        <w:textAlignment w:val="baseline"/>
        <w:rPr>
          <w:rFonts w:ascii="Times New Roman" w:hAnsi="Times New Roman"/>
          <w:spacing w:val="0"/>
          <w:highlight w:val="none"/>
        </w:rPr>
      </w:pPr>
      <w:r>
        <w:rPr>
          <w:rFonts w:ascii="Times New Roman" w:hAnsi="Times New Roman"/>
          <w:spacing w:val="0"/>
          <w:highlight w:val="none"/>
        </w:rPr>
        <w:t>2006 年 1 月 13 日揭牌成立，是全国唯一专门培训企业领导人员的国家级干部教育培训基地。 2007年，中央组织部、教育部联合 发文，明确学院职责为“主要承担中央组织部下达的企业高级经营管理人员培训任务。重点承担中央企业和中央管理的金融机构的领导班子成员及其后备领导人员的教育培训，承担全国企业培训基地骨干师资的教育培训”。学院作为落实国家人才强国战略 的重要载体之一，与中共中央党校（国家行政学院）、中国浦东干部学院、中国井冈山干部学院、中国延安干部学院共同构成国家级干部教育培训体系。</w:t>
      </w:r>
    </w:p>
    <w:p w14:paraId="32B3754D">
      <w:pPr>
        <w:pStyle w:val="2"/>
        <w:keepNext w:val="0"/>
        <w:keepLines w:val="0"/>
        <w:pageBreakBefore w:val="0"/>
        <w:widowControl/>
        <w:kinsoku/>
        <w:wordWrap/>
        <w:overflowPunct/>
        <w:topLinePunct w:val="0"/>
        <w:autoSpaceDE w:val="0"/>
        <w:autoSpaceDN w:val="0"/>
        <w:bidi w:val="0"/>
        <w:adjustRightInd w:val="0"/>
        <w:snapToGrid w:val="0"/>
        <w:spacing w:before="187" w:line="560" w:lineRule="exact"/>
        <w:ind w:left="23" w:right="102" w:firstLine="664"/>
        <w:jc w:val="both"/>
        <w:textAlignment w:val="baseline"/>
        <w:rPr>
          <w:rFonts w:ascii="Times New Roman" w:hAnsi="Times New Roman"/>
          <w:spacing w:val="0"/>
          <w:highlight w:val="none"/>
        </w:rPr>
      </w:pPr>
      <w:r>
        <w:rPr>
          <w:rFonts w:ascii="Times New Roman" w:hAnsi="Times New Roman"/>
          <w:spacing w:val="0"/>
          <w:highlight w:val="none"/>
        </w:rPr>
        <w:t>2012 年，学院隶属关系由中央组织部调整至国务院国资委。 截至目前，实体培训 8 万多人次，中国干部网络学院企业分院、基层专区和国企学习网络学院综合版、国际版注册学员数达 650万人。</w:t>
      </w:r>
    </w:p>
    <w:p w14:paraId="4B95707C">
      <w:pPr>
        <w:pStyle w:val="2"/>
        <w:keepNext w:val="0"/>
        <w:keepLines w:val="0"/>
        <w:pageBreakBefore w:val="0"/>
        <w:widowControl/>
        <w:kinsoku/>
        <w:wordWrap/>
        <w:overflowPunct/>
        <w:topLinePunct w:val="0"/>
        <w:autoSpaceDE w:val="0"/>
        <w:autoSpaceDN w:val="0"/>
        <w:bidi w:val="0"/>
        <w:adjustRightInd w:val="0"/>
        <w:snapToGrid w:val="0"/>
        <w:spacing w:before="187" w:line="560" w:lineRule="exact"/>
        <w:ind w:left="23" w:right="102" w:firstLine="664"/>
        <w:jc w:val="both"/>
        <w:textAlignment w:val="baseline"/>
        <w:rPr>
          <w:rFonts w:hint="eastAsia" w:ascii="Times New Roman" w:hAnsi="Times New Roman"/>
          <w:spacing w:val="0"/>
          <w:highlight w:val="none"/>
          <w:lang w:eastAsia="zh-CN"/>
        </w:rPr>
      </w:pPr>
      <w:r>
        <w:rPr>
          <w:rFonts w:ascii="Times New Roman" w:hAnsi="Times New Roman"/>
          <w:spacing w:val="0"/>
          <w:highlight w:val="none"/>
        </w:rPr>
        <w:t>学院高举中国特色社会主义伟大旗帜，以习近平新时代中国特色社会主义思想为指导，全面贯彻党的二十大精神，坚持党校姓党根本原则，牢牢抓好后继有人这个根本大计，按照新时代好干部标准，贯彻落实《干部教育培训工作条例》《全国干部教育培训规划（</w:t>
      </w:r>
      <w:r>
        <w:rPr>
          <w:rFonts w:hint="eastAsia" w:ascii="Times New Roman" w:hAnsi="Times New Roman"/>
          <w:spacing w:val="0"/>
          <w:highlight w:val="none"/>
          <w:lang w:val="en-US" w:eastAsia="zh-CN"/>
        </w:rPr>
        <w:t xml:space="preserve"> </w:t>
      </w:r>
      <w:r>
        <w:rPr>
          <w:rFonts w:ascii="Times New Roman" w:hAnsi="Times New Roman"/>
          <w:spacing w:val="0"/>
          <w:highlight w:val="none"/>
        </w:rPr>
        <w:t>2023—2027 年）》要求，坚持理论联系实际，深入学习研究、宣传贯彻习近平总书记关于国有企业改革发展和党的建设的重要论述精神，建强师资队伍、提升办学质量、弘扬优良学风，培养造就堪当民族复兴重任的高素质干部队伍，努力打造具有中国特色、国企特点、国家级的干部教育培训机构，高质量高水平服务国资国企新发展</w:t>
      </w:r>
      <w:r>
        <w:rPr>
          <w:rFonts w:hint="eastAsia" w:ascii="Times New Roman" w:hAnsi="Times New Roman"/>
          <w:spacing w:val="0"/>
          <w:highlight w:val="none"/>
          <w:lang w:eastAsia="zh-CN"/>
        </w:rPr>
        <w:t>。</w:t>
      </w:r>
    </w:p>
    <w:p w14:paraId="13D2606B">
      <w:pPr>
        <w:pStyle w:val="2"/>
        <w:keepNext w:val="0"/>
        <w:keepLines w:val="0"/>
        <w:pageBreakBefore w:val="0"/>
        <w:widowControl/>
        <w:kinsoku/>
        <w:wordWrap/>
        <w:overflowPunct/>
        <w:topLinePunct w:val="0"/>
        <w:autoSpaceDE w:val="0"/>
        <w:autoSpaceDN w:val="0"/>
        <w:bidi w:val="0"/>
        <w:adjustRightInd w:val="0"/>
        <w:snapToGrid w:val="0"/>
        <w:spacing w:before="187" w:line="560" w:lineRule="exact"/>
        <w:ind w:right="102"/>
        <w:jc w:val="both"/>
        <w:textAlignment w:val="baseline"/>
        <w:rPr>
          <w:rFonts w:hint="eastAsia" w:ascii="仿宋" w:hAnsi="仿宋" w:eastAsia="仿宋" w:cs="仿宋"/>
          <w:b/>
          <w:bCs/>
          <w:spacing w:val="0"/>
          <w:sz w:val="32"/>
          <w:szCs w:val="32"/>
          <w:highlight w:val="none"/>
          <w:lang w:val="en-US" w:eastAsia="zh-CN"/>
        </w:rPr>
      </w:pPr>
      <w:r>
        <w:rPr>
          <w:rFonts w:hint="eastAsia" w:ascii="仿宋" w:hAnsi="仿宋" w:eastAsia="仿宋" w:cs="仿宋"/>
          <w:b/>
          <w:bCs/>
          <w:spacing w:val="0"/>
          <w:sz w:val="32"/>
          <w:szCs w:val="32"/>
          <w:highlight w:val="none"/>
          <w:lang w:val="en-US" w:eastAsia="zh-CN"/>
        </w:rPr>
        <w:t>3.责任云研究院</w:t>
      </w:r>
    </w:p>
    <w:p w14:paraId="3675395E">
      <w:pPr>
        <w:pStyle w:val="2"/>
        <w:keepNext w:val="0"/>
        <w:keepLines w:val="0"/>
        <w:pageBreakBefore w:val="0"/>
        <w:widowControl/>
        <w:kinsoku/>
        <w:wordWrap/>
        <w:overflowPunct/>
        <w:topLinePunct w:val="0"/>
        <w:autoSpaceDE w:val="0"/>
        <w:autoSpaceDN w:val="0"/>
        <w:bidi w:val="0"/>
        <w:adjustRightInd w:val="0"/>
        <w:snapToGrid w:val="0"/>
        <w:spacing w:before="187" w:line="560" w:lineRule="exact"/>
        <w:ind w:right="102" w:firstLine="620" w:firstLineChars="200"/>
        <w:jc w:val="both"/>
        <w:textAlignment w:val="baseline"/>
        <w:rPr>
          <w:rFonts w:hint="default" w:ascii="Times New Roman" w:hAnsi="Times New Roman"/>
          <w:spacing w:val="0"/>
          <w:highlight w:val="none"/>
          <w:lang w:val="en-US" w:eastAsia="zh-CN"/>
        </w:rPr>
      </w:pPr>
      <w:r>
        <w:rPr>
          <w:rFonts w:hint="default" w:ascii="Times New Roman" w:hAnsi="Times New Roman"/>
          <w:spacing w:val="0"/>
          <w:highlight w:val="none"/>
          <w:lang w:val="en-US" w:eastAsia="zh-CN"/>
        </w:rPr>
        <w:t>责任云研究院是专注于企业社会责任/ESG/可持续发展领域的专业机构，以中国社科院、清华大学、北京师范大学等教研机构学者为依托，打造连接政商学界的专业平台。现任院长由中国社科院教授钟宏武博士担任，并有专职研究员10人，客座研究员5人。研究领域包括政策研究、标准研究、行业研究、议题研究及教材研究。</w:t>
      </w:r>
    </w:p>
    <w:p w14:paraId="07D4954F">
      <w:pPr>
        <w:pStyle w:val="2"/>
        <w:keepNext w:val="0"/>
        <w:keepLines w:val="0"/>
        <w:pageBreakBefore w:val="0"/>
        <w:widowControl/>
        <w:kinsoku/>
        <w:wordWrap/>
        <w:overflowPunct/>
        <w:topLinePunct w:val="0"/>
        <w:autoSpaceDE w:val="0"/>
        <w:autoSpaceDN w:val="0"/>
        <w:bidi w:val="0"/>
        <w:adjustRightInd w:val="0"/>
        <w:snapToGrid w:val="0"/>
        <w:spacing w:before="187" w:line="560" w:lineRule="exact"/>
        <w:ind w:right="102" w:firstLine="620" w:firstLineChars="200"/>
        <w:jc w:val="both"/>
        <w:textAlignment w:val="baseline"/>
        <w:rPr>
          <w:rFonts w:hint="default" w:ascii="Times New Roman" w:hAnsi="Times New Roman"/>
          <w:spacing w:val="0"/>
          <w:highlight w:val="none"/>
          <w:lang w:val="en-US" w:eastAsia="zh-CN"/>
        </w:rPr>
      </w:pPr>
      <w:r>
        <w:rPr>
          <w:rFonts w:hint="default" w:ascii="Times New Roman" w:hAnsi="Times New Roman"/>
          <w:spacing w:val="0"/>
          <w:highlight w:val="none"/>
          <w:lang w:val="en-US" w:eastAsia="zh-CN"/>
        </w:rPr>
        <w:t>2008年以来，长期支持国务院国资委社会责任暨ESG政策制定、课题研究、专题培训、会议论坛等各项工作，责任云专家参与了2008年1号文《关于中央企业履行社会责任的指导意见》、2016年105号文《关于国有企业更好履行社会责任的指导意见》的编写，执笔了2022年《提高央企控股上市公司质量工作方案》（ESG部分），连续多年编制中央企业社会责任暨ESG系列蓝皮书，举办报告集中发布仪式，获得中央电视台等主流媒体报道。执行国家发改委、工信部、财政部、农业农村部、全国工商联、原国土资源部、原中国保监会、原国家食药监局等国家部委委托的社会责任、ESG、“一带一路”、乡村振兴等领域的多项研究课题；支撑北京、上海、广东、山西、河北、湖北、辽宁、天津、四川、云南、青岛等13个省市区国资委以及中国电力联合会、中国煤炭工业协会等社会组织的社会责任/ESG工作。尤其是在国资央企领域，责任云研究院有良好的研究积淀。</w:t>
      </w:r>
    </w:p>
    <w:p w14:paraId="055ECFC0">
      <w:pPr>
        <w:pStyle w:val="2"/>
        <w:keepNext w:val="0"/>
        <w:keepLines w:val="0"/>
        <w:pageBreakBefore w:val="0"/>
        <w:widowControl/>
        <w:kinsoku/>
        <w:wordWrap/>
        <w:overflowPunct/>
        <w:topLinePunct w:val="0"/>
        <w:autoSpaceDE w:val="0"/>
        <w:autoSpaceDN w:val="0"/>
        <w:bidi w:val="0"/>
        <w:adjustRightInd w:val="0"/>
        <w:snapToGrid w:val="0"/>
        <w:spacing w:before="187" w:line="560" w:lineRule="exact"/>
        <w:ind w:right="102" w:firstLine="620" w:firstLineChars="200"/>
        <w:jc w:val="both"/>
        <w:textAlignment w:val="baseline"/>
        <w:rPr>
          <w:rFonts w:hint="default" w:ascii="Times New Roman" w:hAnsi="Times New Roman"/>
          <w:spacing w:val="0"/>
          <w:highlight w:val="none"/>
          <w:lang w:val="en-US" w:eastAsia="zh-CN"/>
        </w:rPr>
      </w:pPr>
      <w:r>
        <w:rPr>
          <w:rFonts w:hint="default" w:ascii="Times New Roman" w:hAnsi="Times New Roman"/>
          <w:spacing w:val="0"/>
          <w:highlight w:val="none"/>
          <w:lang w:val="en-US" w:eastAsia="zh-CN"/>
        </w:rPr>
        <w:t>此外，责任云研究院作为中国企业社会责任与ESG教材研发的先驱和领军者，2013年主编了中国首部系统性的《企业社会责任基础教材（第一版）》，2019年推出更具指导性和实用性的《企业社会责任基础教材（第二版）》，2023年正式出版中国第一本ESG教材《环境、社会及治理（ESG）基础教材》。</w:t>
      </w:r>
    </w:p>
    <w:p w14:paraId="47905C83">
      <w:pPr>
        <w:pStyle w:val="2"/>
        <w:keepNext w:val="0"/>
        <w:keepLines w:val="0"/>
        <w:pageBreakBefore w:val="0"/>
        <w:widowControl/>
        <w:kinsoku/>
        <w:wordWrap/>
        <w:overflowPunct/>
        <w:topLinePunct w:val="0"/>
        <w:autoSpaceDE w:val="0"/>
        <w:autoSpaceDN w:val="0"/>
        <w:bidi w:val="0"/>
        <w:adjustRightInd w:val="0"/>
        <w:snapToGrid w:val="0"/>
        <w:spacing w:before="187" w:line="333" w:lineRule="auto"/>
        <w:ind w:right="102"/>
        <w:jc w:val="both"/>
        <w:textAlignment w:val="baseline"/>
        <w:rPr>
          <w:rFonts w:ascii="Times New Roman" w:hAnsi="Times New Roman"/>
          <w:spacing w:val="0"/>
          <w:highlight w:val="none"/>
        </w:rPr>
      </w:pPr>
    </w:p>
    <w:p w14:paraId="2EDC3629">
      <w:bookmarkStart w:id="0" w:name="_GoBack"/>
      <w:bookmarkEnd w:id="0"/>
    </w:p>
    <w:sectPr>
      <w:headerReference r:id="rId6" w:type="first"/>
      <w:footerReference r:id="rId8" w:type="first"/>
      <w:headerReference r:id="rId5"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15056">
    <w:pPr>
      <w:tabs>
        <w:tab w:val="left" w:pos="4846"/>
      </w:tabs>
      <w:spacing w:line="167" w:lineRule="auto"/>
      <w:ind w:left="4403"/>
      <w:rPr>
        <w:rFonts w:hint="default" w:ascii="Calibri" w:hAnsi="Calibri" w:eastAsia="宋体" w:cs="Calibri"/>
        <w:spacing w:val="-4"/>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364FA">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EB364FA">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85FB4">
    <w:pPr>
      <w:pStyle w:val="3"/>
      <w:jc w:val="center"/>
      <w:rPr>
        <w:rFonts w:hint="default" w:eastAsia="宋体"/>
        <w:lang w:val="en-US" w:eastAsia="zh-CN"/>
      </w:rPr>
    </w:pPr>
    <w:r>
      <w:rPr>
        <w:rFonts w:hint="eastAsia" w:eastAsia="宋体"/>
        <w:lang w:val="en-US" w:eastAsia="zh-CN"/>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DCD35">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7F69B">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9753D"/>
    <w:rsid w:val="1CB9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2025-04-03T06:31:00Z</dcterms:created>
  <dc:creator>duoduo</dc:creator>
  <cp:lastModifiedBy>duoduo</cp:lastModifiedBy>
  <dcterms:modified xsi:type="dcterms:W3CDTF">2025-04-03T06:32:03Z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C3EFB57F43904BEBBAC2D45FBCB01464_11</vt:lpwstr>
  </property>
  <property fmtid="{D5CDD505-2E9C-101B-9397-08002B2CF9AE}" pid="4" name="KSOTemplateDocerSaveRecord">
    <vt:lpwstr>eyJoZGlkIjoiMGFiNzI1ZjAzMzAzYjg5NWVmZjg2YmIzNmRkOTUxZDQiLCJ1c2VySWQiOiIyODc3NTYyNTMifQ==</vt:lpwstr>
  </property>
</Properties>
</file>