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FBC0">
      <w:pPr>
        <w:pStyle w:val="29"/>
        <w:framePr w:w="0" w:hRule="auto" w:wrap="auto" w:vAnchor="margin" w:hAnchor="text" w:yAlign="inline"/>
        <w:ind w:firstLine="420"/>
        <w:rPr>
          <w:rFonts w:ascii="宋体" w:hAnsi="宋体" w:eastAsia="宋体"/>
          <w:b/>
          <w:bCs w:val="0"/>
          <w:sz w:val="36"/>
          <w:szCs w:val="36"/>
        </w:rPr>
      </w:pPr>
    </w:p>
    <w:p w14:paraId="35178D3A">
      <w:pPr>
        <w:pStyle w:val="29"/>
        <w:framePr w:w="0" w:hRule="auto" w:wrap="auto" w:vAnchor="margin" w:hAnchor="text" w:yAlign="inline"/>
        <w:ind w:firstLine="420"/>
        <w:rPr>
          <w:rFonts w:ascii="宋体" w:hAnsi="宋体" w:eastAsia="宋体"/>
          <w:b/>
          <w:bCs w:val="0"/>
          <w:sz w:val="36"/>
          <w:szCs w:val="36"/>
        </w:rPr>
      </w:pPr>
    </w:p>
    <w:p w14:paraId="68D93696">
      <w:pPr>
        <w:pStyle w:val="29"/>
        <w:framePr w:w="0" w:hRule="auto" w:wrap="auto" w:vAnchor="margin" w:hAnchor="text" w:yAlign="inline"/>
        <w:ind w:firstLine="420"/>
        <w:rPr>
          <w:rFonts w:ascii="宋体" w:hAnsi="宋体" w:eastAsia="宋体"/>
          <w:b/>
          <w:bCs w:val="0"/>
          <w:sz w:val="36"/>
          <w:szCs w:val="36"/>
        </w:rPr>
      </w:pPr>
    </w:p>
    <w:p w14:paraId="6028758B">
      <w:pPr>
        <w:pStyle w:val="29"/>
        <w:framePr w:w="0" w:hRule="auto" w:wrap="auto" w:vAnchor="margin" w:hAnchor="text" w:yAlign="inline"/>
        <w:ind w:firstLine="420"/>
        <w:rPr>
          <w:rFonts w:ascii="宋体" w:hAnsi="宋体" w:eastAsia="宋体"/>
          <w:b/>
          <w:bCs w:val="0"/>
          <w:sz w:val="36"/>
          <w:szCs w:val="36"/>
        </w:rPr>
      </w:pPr>
      <w:bookmarkStart w:id="24" w:name="_GoBack"/>
      <w:r>
        <w:rPr>
          <w:rFonts w:hint="eastAsia" w:ascii="宋体" w:hAnsi="宋体" w:eastAsia="宋体"/>
          <w:b/>
          <w:bCs w:val="0"/>
          <w:sz w:val="36"/>
          <w:szCs w:val="36"/>
        </w:rPr>
        <w:t>《水基钻井废弃泥浆全量集中处理与资源化利用技术规范》（征求意见稿）编制说明</w:t>
      </w:r>
    </w:p>
    <w:bookmarkEnd w:id="24"/>
    <w:p w14:paraId="5CE6F920">
      <w:pPr>
        <w:ind w:firstLine="480"/>
      </w:pPr>
    </w:p>
    <w:p w14:paraId="480DFFB5">
      <w:pPr>
        <w:ind w:firstLine="480"/>
      </w:pPr>
    </w:p>
    <w:p w14:paraId="2AE4911E">
      <w:pPr>
        <w:ind w:firstLine="480"/>
      </w:pPr>
    </w:p>
    <w:p w14:paraId="0D689A0F">
      <w:pPr>
        <w:ind w:firstLine="480"/>
      </w:pPr>
    </w:p>
    <w:p w14:paraId="3540D384">
      <w:pPr>
        <w:ind w:firstLine="480"/>
      </w:pPr>
    </w:p>
    <w:p w14:paraId="326A078B">
      <w:pPr>
        <w:ind w:firstLine="480"/>
      </w:pPr>
    </w:p>
    <w:p w14:paraId="7C5B81B3">
      <w:pPr>
        <w:ind w:firstLine="480"/>
      </w:pPr>
    </w:p>
    <w:p w14:paraId="4962AC9F"/>
    <w:p w14:paraId="032B42A7"/>
    <w:p w14:paraId="07009F80"/>
    <w:p w14:paraId="77C5E582"/>
    <w:p w14:paraId="30E95E72"/>
    <w:p w14:paraId="0A7651C3"/>
    <w:p w14:paraId="409A7C46"/>
    <w:p w14:paraId="41686089"/>
    <w:p w14:paraId="5AA42559"/>
    <w:p w14:paraId="50159AC1"/>
    <w:p w14:paraId="5314542E"/>
    <w:p w14:paraId="768CA3EC"/>
    <w:p w14:paraId="256737DA">
      <w:pPr>
        <w:ind w:firstLine="480"/>
      </w:pPr>
    </w:p>
    <w:p w14:paraId="6EC24465"/>
    <w:p w14:paraId="1159BB66">
      <w:pPr>
        <w:rPr>
          <w:rFonts w:ascii="宋体" w:hAnsi="宋体"/>
          <w:b/>
          <w:bCs/>
          <w:sz w:val="28"/>
          <w:szCs w:val="28"/>
        </w:rPr>
      </w:pPr>
      <w:r>
        <w:rPr>
          <w:rFonts w:hint="eastAsia" w:ascii="宋体" w:hAnsi="宋体"/>
          <w:b/>
          <w:bCs/>
          <w:sz w:val="28"/>
          <w:szCs w:val="28"/>
        </w:rPr>
        <w:t>《水基钻井废弃泥浆全量集中处理与资源化利用技术规范》编制组</w:t>
      </w:r>
    </w:p>
    <w:p w14:paraId="5221120A">
      <w:pPr>
        <w:jc w:val="center"/>
        <w:rPr>
          <w:rFonts w:ascii="宋体" w:hAnsi="宋体"/>
          <w:b/>
          <w:bCs/>
          <w:sz w:val="28"/>
          <w:szCs w:val="28"/>
        </w:rPr>
      </w:pPr>
      <w:r>
        <w:rPr>
          <w:rFonts w:hint="eastAsia" w:ascii="宋体" w:hAnsi="宋体"/>
          <w:b/>
          <w:bCs/>
          <w:sz w:val="28"/>
          <w:szCs w:val="28"/>
        </w:rPr>
        <w:t>2024年7月</w:t>
      </w:r>
    </w:p>
    <w:p w14:paraId="61340C3B">
      <w:pPr>
        <w:widowControl/>
        <w:jc w:val="left"/>
      </w:pPr>
      <w:r>
        <w:br w:type="page"/>
      </w:r>
    </w:p>
    <w:p w14:paraId="5BDD5E0C">
      <w:pPr>
        <w:jc w:val="center"/>
        <w:rPr>
          <w:rFonts w:ascii="宋体" w:hAnsi="宋体"/>
          <w:b/>
          <w:bCs/>
          <w:sz w:val="28"/>
          <w:szCs w:val="28"/>
        </w:rPr>
      </w:pPr>
      <w:r>
        <w:rPr>
          <w:rFonts w:hint="eastAsia" w:ascii="宋体" w:hAnsi="宋体"/>
          <w:b/>
          <w:bCs/>
          <w:sz w:val="28"/>
          <w:szCs w:val="28"/>
        </w:rPr>
        <w:t>目录</w:t>
      </w:r>
    </w:p>
    <w:p w14:paraId="13E4A7FC">
      <w:pPr>
        <w:pStyle w:val="13"/>
        <w:tabs>
          <w:tab w:val="right" w:leader="dot" w:pos="8296"/>
        </w:tabs>
        <w:rPr>
          <w:rFonts w:eastAsiaTheme="minorEastAsia" w:cstheme="minorBidi"/>
          <w:b w:val="0"/>
          <w:bCs w:val="0"/>
          <w:i w:val="0"/>
          <w:iCs w:val="0"/>
          <w:sz w:val="22"/>
          <w14:ligatures w14:val="standardContextual"/>
        </w:rPr>
      </w:pPr>
      <w:r>
        <w:rPr>
          <w:rFonts w:ascii="Times New Roman" w:hAnsi="Times New Roman" w:cs="Times New Roman" w:eastAsiaTheme="majorEastAsia"/>
          <w:b w:val="0"/>
          <w:bCs w:val="0"/>
          <w:i w:val="0"/>
          <w:iCs w:val="0"/>
        </w:rPr>
        <w:fldChar w:fldCharType="begin"/>
      </w:r>
      <w:r>
        <w:rPr>
          <w:rFonts w:ascii="Times New Roman" w:hAnsi="Times New Roman" w:cs="Times New Roman" w:eastAsiaTheme="majorEastAsia"/>
          <w:b w:val="0"/>
          <w:bCs w:val="0"/>
          <w:i w:val="0"/>
          <w:iCs w:val="0"/>
        </w:rPr>
        <w:instrText xml:space="preserve"> TOC \o "1-3" \h \z \u </w:instrText>
      </w:r>
      <w:r>
        <w:rPr>
          <w:rFonts w:ascii="Times New Roman" w:hAnsi="Times New Roman" w:cs="Times New Roman" w:eastAsiaTheme="majorEastAsia"/>
          <w:b w:val="0"/>
          <w:bCs w:val="0"/>
          <w:i w:val="0"/>
          <w:iCs w:val="0"/>
        </w:rPr>
        <w:fldChar w:fldCharType="separate"/>
      </w:r>
      <w:r>
        <w:fldChar w:fldCharType="begin"/>
      </w:r>
      <w:r>
        <w:instrText xml:space="preserve"> HYPERLINK \l "_Toc172817417" </w:instrText>
      </w:r>
      <w:r>
        <w:fldChar w:fldCharType="separate"/>
      </w:r>
      <w:r>
        <w:rPr>
          <w:rStyle w:val="22"/>
          <w:b w:val="0"/>
          <w:bCs w:val="0"/>
          <w:i w:val="0"/>
          <w:iCs w:val="0"/>
        </w:rPr>
        <w:t>一、 工作简况</w:t>
      </w:r>
      <w:r>
        <w:rPr>
          <w:b w:val="0"/>
          <w:bCs w:val="0"/>
          <w:i w:val="0"/>
          <w:iCs w:val="0"/>
        </w:rPr>
        <w:tab/>
      </w:r>
      <w:r>
        <w:rPr>
          <w:b w:val="0"/>
          <w:bCs w:val="0"/>
          <w:i w:val="0"/>
          <w:iCs w:val="0"/>
        </w:rPr>
        <w:fldChar w:fldCharType="begin"/>
      </w:r>
      <w:r>
        <w:rPr>
          <w:b w:val="0"/>
          <w:bCs w:val="0"/>
          <w:i w:val="0"/>
          <w:iCs w:val="0"/>
        </w:rPr>
        <w:instrText xml:space="preserve"> PAGEREF _Toc172817417 \h </w:instrText>
      </w:r>
      <w:r>
        <w:rPr>
          <w:b w:val="0"/>
          <w:bCs w:val="0"/>
          <w:i w:val="0"/>
          <w:iCs w:val="0"/>
        </w:rPr>
        <w:fldChar w:fldCharType="separate"/>
      </w:r>
      <w:r>
        <w:rPr>
          <w:b w:val="0"/>
          <w:bCs w:val="0"/>
          <w:i w:val="0"/>
          <w:iCs w:val="0"/>
        </w:rPr>
        <w:t>1</w:t>
      </w:r>
      <w:r>
        <w:rPr>
          <w:b w:val="0"/>
          <w:bCs w:val="0"/>
          <w:i w:val="0"/>
          <w:iCs w:val="0"/>
        </w:rPr>
        <w:fldChar w:fldCharType="end"/>
      </w:r>
      <w:r>
        <w:rPr>
          <w:b w:val="0"/>
          <w:bCs w:val="0"/>
          <w:i w:val="0"/>
          <w:iCs w:val="0"/>
        </w:rPr>
        <w:fldChar w:fldCharType="end"/>
      </w:r>
    </w:p>
    <w:p w14:paraId="460D241F">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"_Toc172817418" </w:instrText>
      </w:r>
      <w:r>
        <w:fldChar w:fldCharType="separate"/>
      </w:r>
      <w:r>
        <w:rPr>
          <w:rStyle w:val="22"/>
          <w:rFonts w:ascii="Times New Roman" w:hAnsi="Times New Roman"/>
          <w:b w:val="0"/>
          <w:bCs w:val="0"/>
        </w:rPr>
        <w:t>1、任务来源</w:t>
      </w:r>
      <w:r>
        <w:rPr>
          <w:b w:val="0"/>
          <w:bCs w:val="0"/>
        </w:rPr>
        <w:tab/>
      </w:r>
      <w:r>
        <w:rPr>
          <w:b w:val="0"/>
          <w:bCs w:val="0"/>
        </w:rPr>
        <w:fldChar w:fldCharType="begin"/>
      </w:r>
      <w:r>
        <w:rPr>
          <w:b w:val="0"/>
          <w:bCs w:val="0"/>
        </w:rPr>
        <w:instrText xml:space="preserve"> PAGEREF _Toc172817418 \h </w:instrText>
      </w:r>
      <w:r>
        <w:rPr>
          <w:b w:val="0"/>
          <w:bCs w:val="0"/>
        </w:rPr>
        <w:fldChar w:fldCharType="separate"/>
      </w:r>
      <w:r>
        <w:rPr>
          <w:b w:val="0"/>
          <w:bCs w:val="0"/>
        </w:rPr>
        <w:t>1</w:t>
      </w:r>
      <w:r>
        <w:rPr>
          <w:b w:val="0"/>
          <w:bCs w:val="0"/>
        </w:rPr>
        <w:fldChar w:fldCharType="end"/>
      </w:r>
      <w:r>
        <w:rPr>
          <w:b w:val="0"/>
          <w:bCs w:val="0"/>
        </w:rPr>
        <w:fldChar w:fldCharType="end"/>
      </w:r>
    </w:p>
    <w:p w14:paraId="012F8E3C">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"_Toc172817419" </w:instrText>
      </w:r>
      <w:r>
        <w:fldChar w:fldCharType="separate"/>
      </w:r>
      <w:r>
        <w:rPr>
          <w:rStyle w:val="22"/>
          <w:rFonts w:ascii="Times New Roman" w:hAnsi="Times New Roman"/>
          <w:b w:val="0"/>
          <w:bCs w:val="0"/>
        </w:rPr>
        <w:t>2、主要参加单位</w:t>
      </w:r>
      <w:r>
        <w:rPr>
          <w:b w:val="0"/>
          <w:bCs w:val="0"/>
        </w:rPr>
        <w:tab/>
      </w:r>
      <w:r>
        <w:rPr>
          <w:b w:val="0"/>
          <w:bCs w:val="0"/>
        </w:rPr>
        <w:fldChar w:fldCharType="begin"/>
      </w:r>
      <w:r>
        <w:rPr>
          <w:b w:val="0"/>
          <w:bCs w:val="0"/>
        </w:rPr>
        <w:instrText xml:space="preserve"> PAGEREF _Toc172817419 \h </w:instrText>
      </w:r>
      <w:r>
        <w:rPr>
          <w:b w:val="0"/>
          <w:bCs w:val="0"/>
        </w:rPr>
        <w:fldChar w:fldCharType="separate"/>
      </w:r>
      <w:r>
        <w:rPr>
          <w:b w:val="0"/>
          <w:bCs w:val="0"/>
        </w:rPr>
        <w:t>1</w:t>
      </w:r>
      <w:r>
        <w:rPr>
          <w:b w:val="0"/>
          <w:bCs w:val="0"/>
        </w:rPr>
        <w:fldChar w:fldCharType="end"/>
      </w:r>
      <w:r>
        <w:rPr>
          <w:b w:val="0"/>
          <w:bCs w:val="0"/>
        </w:rPr>
        <w:fldChar w:fldCharType="end"/>
      </w:r>
    </w:p>
    <w:p w14:paraId="18704687">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"_Toc172817420" </w:instrText>
      </w:r>
      <w:r>
        <w:fldChar w:fldCharType="separate"/>
      </w:r>
      <w:r>
        <w:rPr>
          <w:rStyle w:val="22"/>
          <w:rFonts w:ascii="Times New Roman" w:hAnsi="Times New Roman"/>
          <w:b w:val="0"/>
          <w:bCs w:val="0"/>
        </w:rPr>
        <w:t>3、主要工作过程</w:t>
      </w:r>
      <w:r>
        <w:rPr>
          <w:b w:val="0"/>
          <w:bCs w:val="0"/>
        </w:rPr>
        <w:tab/>
      </w:r>
      <w:r>
        <w:rPr>
          <w:b w:val="0"/>
          <w:bCs w:val="0"/>
        </w:rPr>
        <w:fldChar w:fldCharType="begin"/>
      </w:r>
      <w:r>
        <w:rPr>
          <w:b w:val="0"/>
          <w:bCs w:val="0"/>
        </w:rPr>
        <w:instrText xml:space="preserve"> PAGEREF _Toc172817420 \h </w:instrText>
      </w:r>
      <w:r>
        <w:rPr>
          <w:b w:val="0"/>
          <w:bCs w:val="0"/>
        </w:rPr>
        <w:fldChar w:fldCharType="separate"/>
      </w:r>
      <w:r>
        <w:rPr>
          <w:b w:val="0"/>
          <w:bCs w:val="0"/>
        </w:rPr>
        <w:t>1</w:t>
      </w:r>
      <w:r>
        <w:rPr>
          <w:b w:val="0"/>
          <w:bCs w:val="0"/>
        </w:rPr>
        <w:fldChar w:fldCharType="end"/>
      </w:r>
      <w:r>
        <w:rPr>
          <w:b w:val="0"/>
          <w:bCs w:val="0"/>
        </w:rPr>
        <w:fldChar w:fldCharType="end"/>
      </w:r>
    </w:p>
    <w:p w14:paraId="264E5B66">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"_Toc172817421" </w:instrText>
      </w:r>
      <w:r>
        <w:fldChar w:fldCharType="separate"/>
      </w:r>
      <w:r>
        <w:rPr>
          <w:rStyle w:val="22"/>
          <w:rFonts w:ascii="Times New Roman" w:hAnsi="Times New Roman"/>
          <w:b w:val="0"/>
          <w:bCs w:val="0"/>
        </w:rPr>
        <w:t>4、起草组成员及其所做的主要工作</w:t>
      </w:r>
      <w:r>
        <w:rPr>
          <w:b w:val="0"/>
          <w:bCs w:val="0"/>
        </w:rPr>
        <w:tab/>
      </w:r>
      <w:r>
        <w:rPr>
          <w:b w:val="0"/>
          <w:bCs w:val="0"/>
        </w:rPr>
        <w:fldChar w:fldCharType="begin"/>
      </w:r>
      <w:r>
        <w:rPr>
          <w:b w:val="0"/>
          <w:bCs w:val="0"/>
        </w:rPr>
        <w:instrText xml:space="preserve"> PAGEREF _Toc172817421 \h </w:instrText>
      </w:r>
      <w:r>
        <w:rPr>
          <w:b w:val="0"/>
          <w:bCs w:val="0"/>
        </w:rPr>
        <w:fldChar w:fldCharType="separate"/>
      </w:r>
      <w:r>
        <w:rPr>
          <w:b w:val="0"/>
          <w:bCs w:val="0"/>
        </w:rPr>
        <w:t>2</w:t>
      </w:r>
      <w:r>
        <w:rPr>
          <w:b w:val="0"/>
          <w:bCs w:val="0"/>
        </w:rPr>
        <w:fldChar w:fldCharType="end"/>
      </w:r>
      <w:r>
        <w:rPr>
          <w:b w:val="0"/>
          <w:bCs w:val="0"/>
        </w:rPr>
        <w:fldChar w:fldCharType="end"/>
      </w:r>
    </w:p>
    <w:p w14:paraId="2715196E">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"_Toc172817422" </w:instrText>
      </w:r>
      <w:r>
        <w:fldChar w:fldCharType="separate"/>
      </w:r>
      <w:r>
        <w:rPr>
          <w:rStyle w:val="22"/>
          <w:b w:val="0"/>
          <w:bCs w:val="0"/>
          <w:i w:val="0"/>
          <w:iCs w:val="0"/>
        </w:rPr>
        <w:t>二、 标准编制原则和确定标准主要内容</w:t>
      </w:r>
      <w:r>
        <w:rPr>
          <w:b w:val="0"/>
          <w:bCs w:val="0"/>
          <w:i w:val="0"/>
          <w:iCs w:val="0"/>
        </w:rPr>
        <w:tab/>
      </w:r>
      <w:r>
        <w:rPr>
          <w:b w:val="0"/>
          <w:bCs w:val="0"/>
          <w:i w:val="0"/>
          <w:iCs w:val="0"/>
        </w:rPr>
        <w:fldChar w:fldCharType="begin"/>
      </w:r>
      <w:r>
        <w:rPr>
          <w:b w:val="0"/>
          <w:bCs w:val="0"/>
          <w:i w:val="0"/>
          <w:iCs w:val="0"/>
        </w:rPr>
        <w:instrText xml:space="preserve"> PAGEREF _Toc172817422 \h </w:instrText>
      </w:r>
      <w:r>
        <w:rPr>
          <w:b w:val="0"/>
          <w:bCs w:val="0"/>
          <w:i w:val="0"/>
          <w:iCs w:val="0"/>
        </w:rPr>
        <w:fldChar w:fldCharType="separate"/>
      </w:r>
      <w:r>
        <w:rPr>
          <w:b w:val="0"/>
          <w:bCs w:val="0"/>
          <w:i w:val="0"/>
          <w:iCs w:val="0"/>
        </w:rPr>
        <w:t>2</w:t>
      </w:r>
      <w:r>
        <w:rPr>
          <w:b w:val="0"/>
          <w:bCs w:val="0"/>
          <w:i w:val="0"/>
          <w:iCs w:val="0"/>
        </w:rPr>
        <w:fldChar w:fldCharType="end"/>
      </w:r>
      <w:r>
        <w:rPr>
          <w:b w:val="0"/>
          <w:bCs w:val="0"/>
          <w:i w:val="0"/>
          <w:iCs w:val="0"/>
        </w:rPr>
        <w:fldChar w:fldCharType="end"/>
      </w:r>
    </w:p>
    <w:p w14:paraId="6F7D6A16">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"_Toc172817423" </w:instrText>
      </w:r>
      <w:r>
        <w:fldChar w:fldCharType="separate"/>
      </w:r>
      <w:r>
        <w:rPr>
          <w:rStyle w:val="22"/>
          <w:rFonts w:ascii="Times New Roman" w:hAnsi="Times New Roman"/>
          <w:b w:val="0"/>
          <w:bCs w:val="0"/>
        </w:rPr>
        <w:t>1、标准编制原则</w:t>
      </w:r>
      <w:r>
        <w:rPr>
          <w:b w:val="0"/>
          <w:bCs w:val="0"/>
        </w:rPr>
        <w:tab/>
      </w:r>
      <w:r>
        <w:rPr>
          <w:b w:val="0"/>
          <w:bCs w:val="0"/>
        </w:rPr>
        <w:fldChar w:fldCharType="begin"/>
      </w:r>
      <w:r>
        <w:rPr>
          <w:b w:val="0"/>
          <w:bCs w:val="0"/>
        </w:rPr>
        <w:instrText xml:space="preserve"> PAGEREF _Toc172817423 \h </w:instrText>
      </w:r>
      <w:r>
        <w:rPr>
          <w:b w:val="0"/>
          <w:bCs w:val="0"/>
        </w:rPr>
        <w:fldChar w:fldCharType="separate"/>
      </w:r>
      <w:r>
        <w:rPr>
          <w:b w:val="0"/>
          <w:bCs w:val="0"/>
        </w:rPr>
        <w:t>2</w:t>
      </w:r>
      <w:r>
        <w:rPr>
          <w:b w:val="0"/>
          <w:bCs w:val="0"/>
        </w:rPr>
        <w:fldChar w:fldCharType="end"/>
      </w:r>
      <w:r>
        <w:rPr>
          <w:b w:val="0"/>
          <w:bCs w:val="0"/>
        </w:rPr>
        <w:fldChar w:fldCharType="end"/>
      </w:r>
    </w:p>
    <w:p w14:paraId="395BBD60">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"_Toc172817424" </w:instrText>
      </w:r>
      <w:r>
        <w:fldChar w:fldCharType="separate"/>
      </w:r>
      <w:r>
        <w:rPr>
          <w:rStyle w:val="22"/>
          <w:rFonts w:ascii="Times New Roman" w:hAnsi="Times New Roman"/>
          <w:b w:val="0"/>
          <w:bCs w:val="0"/>
        </w:rPr>
        <w:t>2、标准主要内容的论据</w:t>
      </w:r>
      <w:r>
        <w:rPr>
          <w:b w:val="0"/>
          <w:bCs w:val="0"/>
        </w:rPr>
        <w:tab/>
      </w:r>
      <w:r>
        <w:rPr>
          <w:b w:val="0"/>
          <w:bCs w:val="0"/>
        </w:rPr>
        <w:fldChar w:fldCharType="begin"/>
      </w:r>
      <w:r>
        <w:rPr>
          <w:b w:val="0"/>
          <w:bCs w:val="0"/>
        </w:rPr>
        <w:instrText xml:space="preserve"> PAGEREF _Toc172817424 \h </w:instrText>
      </w:r>
      <w:r>
        <w:rPr>
          <w:b w:val="0"/>
          <w:bCs w:val="0"/>
        </w:rPr>
        <w:fldChar w:fldCharType="separate"/>
      </w:r>
      <w:r>
        <w:rPr>
          <w:b w:val="0"/>
          <w:bCs w:val="0"/>
        </w:rPr>
        <w:t>2</w:t>
      </w:r>
      <w:r>
        <w:rPr>
          <w:b w:val="0"/>
          <w:bCs w:val="0"/>
        </w:rPr>
        <w:fldChar w:fldCharType="end"/>
      </w:r>
      <w:r>
        <w:rPr>
          <w:b w:val="0"/>
          <w:bCs w:val="0"/>
        </w:rPr>
        <w:fldChar w:fldCharType="end"/>
      </w:r>
    </w:p>
    <w:p w14:paraId="0F7CD2D6">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"_Toc172817425" </w:instrText>
      </w:r>
      <w:r>
        <w:fldChar w:fldCharType="separate"/>
      </w:r>
      <w:r>
        <w:rPr>
          <w:rStyle w:val="22"/>
          <w:rFonts w:ascii="Times New Roman" w:hAnsi="Times New Roman"/>
          <w:b w:val="0"/>
          <w:bCs w:val="0"/>
        </w:rPr>
        <w:t>3、主要条款的说明</w:t>
      </w:r>
      <w:r>
        <w:rPr>
          <w:b w:val="0"/>
          <w:bCs w:val="0"/>
        </w:rPr>
        <w:tab/>
      </w:r>
      <w:r>
        <w:rPr>
          <w:b w:val="0"/>
          <w:bCs w:val="0"/>
        </w:rPr>
        <w:fldChar w:fldCharType="begin"/>
      </w:r>
      <w:r>
        <w:rPr>
          <w:b w:val="0"/>
          <w:bCs w:val="0"/>
        </w:rPr>
        <w:instrText xml:space="preserve"> PAGEREF _Toc172817425 \h </w:instrText>
      </w:r>
      <w:r>
        <w:rPr>
          <w:b w:val="0"/>
          <w:bCs w:val="0"/>
        </w:rPr>
        <w:fldChar w:fldCharType="separate"/>
      </w:r>
      <w:r>
        <w:rPr>
          <w:b w:val="0"/>
          <w:bCs w:val="0"/>
        </w:rPr>
        <w:t>3</w:t>
      </w:r>
      <w:r>
        <w:rPr>
          <w:b w:val="0"/>
          <w:bCs w:val="0"/>
        </w:rPr>
        <w:fldChar w:fldCharType="end"/>
      </w:r>
      <w:r>
        <w:rPr>
          <w:b w:val="0"/>
          <w:bCs w:val="0"/>
        </w:rPr>
        <w:fldChar w:fldCharType="end"/>
      </w:r>
    </w:p>
    <w:p w14:paraId="42B10FBE">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"_Toc172817426" </w:instrText>
      </w:r>
      <w:r>
        <w:fldChar w:fldCharType="separate"/>
      </w:r>
      <w:r>
        <w:rPr>
          <w:rStyle w:val="22"/>
          <w:rFonts w:ascii="Times New Roman" w:hAnsi="Times New Roman"/>
          <w:b w:val="0"/>
          <w:bCs w:val="0"/>
        </w:rPr>
        <w:t>4、解决的主要问题</w:t>
      </w:r>
      <w:r>
        <w:rPr>
          <w:b w:val="0"/>
          <w:bCs w:val="0"/>
        </w:rPr>
        <w:tab/>
      </w:r>
      <w:r>
        <w:rPr>
          <w:b w:val="0"/>
          <w:bCs w:val="0"/>
        </w:rPr>
        <w:fldChar w:fldCharType="begin"/>
      </w:r>
      <w:r>
        <w:rPr>
          <w:b w:val="0"/>
          <w:bCs w:val="0"/>
        </w:rPr>
        <w:instrText xml:space="preserve"> PAGEREF _Toc172817426 \h </w:instrText>
      </w:r>
      <w:r>
        <w:rPr>
          <w:b w:val="0"/>
          <w:bCs w:val="0"/>
        </w:rPr>
        <w:fldChar w:fldCharType="separate"/>
      </w:r>
      <w:r>
        <w:rPr>
          <w:b w:val="0"/>
          <w:bCs w:val="0"/>
        </w:rPr>
        <w:t>5</w:t>
      </w:r>
      <w:r>
        <w:rPr>
          <w:b w:val="0"/>
          <w:bCs w:val="0"/>
        </w:rPr>
        <w:fldChar w:fldCharType="end"/>
      </w:r>
      <w:r>
        <w:rPr>
          <w:b w:val="0"/>
          <w:bCs w:val="0"/>
        </w:rPr>
        <w:fldChar w:fldCharType="end"/>
      </w:r>
    </w:p>
    <w:p w14:paraId="1DB5C81D">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"_Toc172817427" </w:instrText>
      </w:r>
      <w:r>
        <w:fldChar w:fldCharType="separate"/>
      </w:r>
      <w:r>
        <w:rPr>
          <w:rStyle w:val="22"/>
          <w:b w:val="0"/>
          <w:bCs w:val="0"/>
          <w:i w:val="0"/>
          <w:iCs w:val="0"/>
        </w:rPr>
        <w:t>三、主要试验（或验证）的情况</w:t>
      </w:r>
      <w:r>
        <w:rPr>
          <w:b w:val="0"/>
          <w:bCs w:val="0"/>
          <w:i w:val="0"/>
          <w:iCs w:val="0"/>
        </w:rPr>
        <w:tab/>
      </w:r>
      <w:r>
        <w:rPr>
          <w:b w:val="0"/>
          <w:bCs w:val="0"/>
          <w:i w:val="0"/>
          <w:iCs w:val="0"/>
        </w:rPr>
        <w:fldChar w:fldCharType="begin"/>
      </w:r>
      <w:r>
        <w:rPr>
          <w:b w:val="0"/>
          <w:bCs w:val="0"/>
          <w:i w:val="0"/>
          <w:iCs w:val="0"/>
        </w:rPr>
        <w:instrText xml:space="preserve"> PAGEREF _Toc172817427 \h </w:instrText>
      </w:r>
      <w:r>
        <w:rPr>
          <w:b w:val="0"/>
          <w:bCs w:val="0"/>
          <w:i w:val="0"/>
          <w:iCs w:val="0"/>
        </w:rPr>
        <w:fldChar w:fldCharType="separate"/>
      </w:r>
      <w:r>
        <w:rPr>
          <w:b w:val="0"/>
          <w:bCs w:val="0"/>
          <w:i w:val="0"/>
          <w:iCs w:val="0"/>
        </w:rPr>
        <w:t>5</w:t>
      </w:r>
      <w:r>
        <w:rPr>
          <w:b w:val="0"/>
          <w:bCs w:val="0"/>
          <w:i w:val="0"/>
          <w:iCs w:val="0"/>
        </w:rPr>
        <w:fldChar w:fldCharType="end"/>
      </w:r>
      <w:r>
        <w:rPr>
          <w:b w:val="0"/>
          <w:bCs w:val="0"/>
          <w:i w:val="0"/>
          <w:iCs w:val="0"/>
        </w:rPr>
        <w:fldChar w:fldCharType="end"/>
      </w:r>
    </w:p>
    <w:p w14:paraId="61CABD13">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"_Toc172817428" </w:instrText>
      </w:r>
      <w:r>
        <w:fldChar w:fldCharType="separate"/>
      </w:r>
      <w:r>
        <w:rPr>
          <w:rStyle w:val="22"/>
          <w:rFonts w:ascii="Times New Roman" w:hAnsi="Times New Roman"/>
          <w:b w:val="0"/>
          <w:bCs w:val="0"/>
        </w:rPr>
        <w:t>1、参编单位的验证分析</w:t>
      </w:r>
      <w:r>
        <w:rPr>
          <w:b w:val="0"/>
          <w:bCs w:val="0"/>
        </w:rPr>
        <w:tab/>
      </w:r>
      <w:r>
        <w:rPr>
          <w:b w:val="0"/>
          <w:bCs w:val="0"/>
        </w:rPr>
        <w:fldChar w:fldCharType="begin"/>
      </w:r>
      <w:r>
        <w:rPr>
          <w:b w:val="0"/>
          <w:bCs w:val="0"/>
        </w:rPr>
        <w:instrText xml:space="preserve"> PAGEREF _Toc172817428 \h </w:instrText>
      </w:r>
      <w:r>
        <w:rPr>
          <w:b w:val="0"/>
          <w:bCs w:val="0"/>
        </w:rPr>
        <w:fldChar w:fldCharType="separate"/>
      </w:r>
      <w:r>
        <w:rPr>
          <w:b w:val="0"/>
          <w:bCs w:val="0"/>
        </w:rPr>
        <w:t>5</w:t>
      </w:r>
      <w:r>
        <w:rPr>
          <w:b w:val="0"/>
          <w:bCs w:val="0"/>
        </w:rPr>
        <w:fldChar w:fldCharType="end"/>
      </w:r>
      <w:r>
        <w:rPr>
          <w:b w:val="0"/>
          <w:bCs w:val="0"/>
        </w:rPr>
        <w:fldChar w:fldCharType="end"/>
      </w:r>
    </w:p>
    <w:p w14:paraId="39C4791D">
      <w:pPr>
        <w:pStyle w:val="16"/>
        <w:tabs>
          <w:tab w:val="right" w:leader="dot" w:pos="8296"/>
        </w:tabs>
        <w:rPr>
          <w:rFonts w:eastAsiaTheme="minorEastAsia" w:cstheme="minorBidi"/>
          <w:b w:val="0"/>
          <w:bCs w:val="0"/>
          <w:szCs w:val="24"/>
          <w14:ligatures w14:val="standardContextual"/>
        </w:rPr>
      </w:pPr>
      <w:r>
        <w:fldChar w:fldCharType="begin"/>
      </w:r>
      <w:r>
        <w:instrText xml:space="preserve"> HYPERLINK \l "_Toc172817429" </w:instrText>
      </w:r>
      <w:r>
        <w:fldChar w:fldCharType="separate"/>
      </w:r>
      <w:r>
        <w:rPr>
          <w:rStyle w:val="22"/>
          <w:rFonts w:ascii="Times New Roman" w:hAnsi="Times New Roman"/>
          <w:b w:val="0"/>
          <w:bCs w:val="0"/>
        </w:rPr>
        <w:t>2、技术水平及成效评估</w:t>
      </w:r>
      <w:r>
        <w:rPr>
          <w:b w:val="0"/>
          <w:bCs w:val="0"/>
        </w:rPr>
        <w:tab/>
      </w:r>
      <w:r>
        <w:rPr>
          <w:b w:val="0"/>
          <w:bCs w:val="0"/>
        </w:rPr>
        <w:fldChar w:fldCharType="begin"/>
      </w:r>
      <w:r>
        <w:rPr>
          <w:b w:val="0"/>
          <w:bCs w:val="0"/>
        </w:rPr>
        <w:instrText xml:space="preserve"> PAGEREF _Toc172817429 \h </w:instrText>
      </w:r>
      <w:r>
        <w:rPr>
          <w:b w:val="0"/>
          <w:bCs w:val="0"/>
        </w:rPr>
        <w:fldChar w:fldCharType="separate"/>
      </w:r>
      <w:r>
        <w:rPr>
          <w:b w:val="0"/>
          <w:bCs w:val="0"/>
        </w:rPr>
        <w:t>6</w:t>
      </w:r>
      <w:r>
        <w:rPr>
          <w:b w:val="0"/>
          <w:bCs w:val="0"/>
        </w:rPr>
        <w:fldChar w:fldCharType="end"/>
      </w:r>
      <w:r>
        <w:rPr>
          <w:b w:val="0"/>
          <w:bCs w:val="0"/>
        </w:rPr>
        <w:fldChar w:fldCharType="end"/>
      </w:r>
    </w:p>
    <w:p w14:paraId="41672700">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"_Toc172817430" </w:instrText>
      </w:r>
      <w:r>
        <w:fldChar w:fldCharType="separate"/>
      </w:r>
      <w:r>
        <w:rPr>
          <w:rStyle w:val="22"/>
          <w:b w:val="0"/>
          <w:bCs w:val="0"/>
          <w:i w:val="0"/>
          <w:iCs w:val="0"/>
        </w:rPr>
        <w:t>四、标准涉及的相关知识产权说明</w:t>
      </w:r>
      <w:r>
        <w:rPr>
          <w:b w:val="0"/>
          <w:bCs w:val="0"/>
          <w:i w:val="0"/>
          <w:iCs w:val="0"/>
        </w:rPr>
        <w:tab/>
      </w:r>
      <w:r>
        <w:rPr>
          <w:b w:val="0"/>
          <w:bCs w:val="0"/>
          <w:i w:val="0"/>
          <w:iCs w:val="0"/>
        </w:rPr>
        <w:fldChar w:fldCharType="begin"/>
      </w:r>
      <w:r>
        <w:rPr>
          <w:b w:val="0"/>
          <w:bCs w:val="0"/>
          <w:i w:val="0"/>
          <w:iCs w:val="0"/>
        </w:rPr>
        <w:instrText xml:space="preserve"> PAGEREF _Toc172817430 \h </w:instrText>
      </w:r>
      <w:r>
        <w:rPr>
          <w:b w:val="0"/>
          <w:bCs w:val="0"/>
          <w:i w:val="0"/>
          <w:iCs w:val="0"/>
        </w:rPr>
        <w:fldChar w:fldCharType="separate"/>
      </w:r>
      <w:r>
        <w:rPr>
          <w:b w:val="0"/>
          <w:bCs w:val="0"/>
          <w:i w:val="0"/>
          <w:iCs w:val="0"/>
        </w:rPr>
        <w:t>6</w:t>
      </w:r>
      <w:r>
        <w:rPr>
          <w:b w:val="0"/>
          <w:bCs w:val="0"/>
          <w:i w:val="0"/>
          <w:iCs w:val="0"/>
        </w:rPr>
        <w:fldChar w:fldCharType="end"/>
      </w:r>
      <w:r>
        <w:rPr>
          <w:b w:val="0"/>
          <w:bCs w:val="0"/>
          <w:i w:val="0"/>
          <w:iCs w:val="0"/>
        </w:rPr>
        <w:fldChar w:fldCharType="end"/>
      </w:r>
    </w:p>
    <w:p w14:paraId="2D500032">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"_Toc172817431" </w:instrText>
      </w:r>
      <w:r>
        <w:fldChar w:fldCharType="separate"/>
      </w:r>
      <w:r>
        <w:rPr>
          <w:rStyle w:val="22"/>
          <w:b w:val="0"/>
          <w:bCs w:val="0"/>
          <w:i w:val="0"/>
          <w:iCs w:val="0"/>
        </w:rPr>
        <w:t>五、预期达到的社会效益</w:t>
      </w:r>
      <w:r>
        <w:rPr>
          <w:b w:val="0"/>
          <w:bCs w:val="0"/>
          <w:i w:val="0"/>
          <w:iCs w:val="0"/>
        </w:rPr>
        <w:tab/>
      </w:r>
      <w:r>
        <w:rPr>
          <w:b w:val="0"/>
          <w:bCs w:val="0"/>
          <w:i w:val="0"/>
          <w:iCs w:val="0"/>
        </w:rPr>
        <w:fldChar w:fldCharType="begin"/>
      </w:r>
      <w:r>
        <w:rPr>
          <w:b w:val="0"/>
          <w:bCs w:val="0"/>
          <w:i w:val="0"/>
          <w:iCs w:val="0"/>
        </w:rPr>
        <w:instrText xml:space="preserve"> PAGEREF _Toc172817431 \h </w:instrText>
      </w:r>
      <w:r>
        <w:rPr>
          <w:b w:val="0"/>
          <w:bCs w:val="0"/>
          <w:i w:val="0"/>
          <w:iCs w:val="0"/>
        </w:rPr>
        <w:fldChar w:fldCharType="separate"/>
      </w:r>
      <w:r>
        <w:rPr>
          <w:b w:val="0"/>
          <w:bCs w:val="0"/>
          <w:i w:val="0"/>
          <w:iCs w:val="0"/>
        </w:rPr>
        <w:t>7</w:t>
      </w:r>
      <w:r>
        <w:rPr>
          <w:b w:val="0"/>
          <w:bCs w:val="0"/>
          <w:i w:val="0"/>
          <w:iCs w:val="0"/>
        </w:rPr>
        <w:fldChar w:fldCharType="end"/>
      </w:r>
      <w:r>
        <w:rPr>
          <w:b w:val="0"/>
          <w:bCs w:val="0"/>
          <w:i w:val="0"/>
          <w:iCs w:val="0"/>
        </w:rPr>
        <w:fldChar w:fldCharType="end"/>
      </w:r>
    </w:p>
    <w:p w14:paraId="712445CB">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"_Toc172817432" </w:instrText>
      </w:r>
      <w:r>
        <w:fldChar w:fldCharType="separate"/>
      </w:r>
      <w:r>
        <w:rPr>
          <w:rStyle w:val="22"/>
          <w:b w:val="0"/>
          <w:bCs w:val="0"/>
          <w:i w:val="0"/>
          <w:iCs w:val="0"/>
        </w:rPr>
        <w:t>六、与国际、国内标准对比情况</w:t>
      </w:r>
      <w:r>
        <w:rPr>
          <w:b w:val="0"/>
          <w:bCs w:val="0"/>
          <w:i w:val="0"/>
          <w:iCs w:val="0"/>
        </w:rPr>
        <w:tab/>
      </w:r>
      <w:r>
        <w:rPr>
          <w:b w:val="0"/>
          <w:bCs w:val="0"/>
          <w:i w:val="0"/>
          <w:iCs w:val="0"/>
        </w:rPr>
        <w:fldChar w:fldCharType="begin"/>
      </w:r>
      <w:r>
        <w:rPr>
          <w:b w:val="0"/>
          <w:bCs w:val="0"/>
          <w:i w:val="0"/>
          <w:iCs w:val="0"/>
        </w:rPr>
        <w:instrText xml:space="preserve"> PAGEREF _Toc172817432 \h </w:instrText>
      </w:r>
      <w:r>
        <w:rPr>
          <w:b w:val="0"/>
          <w:bCs w:val="0"/>
          <w:i w:val="0"/>
          <w:iCs w:val="0"/>
        </w:rPr>
        <w:fldChar w:fldCharType="separate"/>
      </w:r>
      <w:r>
        <w:rPr>
          <w:b w:val="0"/>
          <w:bCs w:val="0"/>
          <w:i w:val="0"/>
          <w:iCs w:val="0"/>
        </w:rPr>
        <w:t>7</w:t>
      </w:r>
      <w:r>
        <w:rPr>
          <w:b w:val="0"/>
          <w:bCs w:val="0"/>
          <w:i w:val="0"/>
          <w:iCs w:val="0"/>
        </w:rPr>
        <w:fldChar w:fldCharType="end"/>
      </w:r>
      <w:r>
        <w:rPr>
          <w:b w:val="0"/>
          <w:bCs w:val="0"/>
          <w:i w:val="0"/>
          <w:iCs w:val="0"/>
        </w:rPr>
        <w:fldChar w:fldCharType="end"/>
      </w:r>
    </w:p>
    <w:p w14:paraId="17966F77">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"_Toc172817433" </w:instrText>
      </w:r>
      <w:r>
        <w:fldChar w:fldCharType="separate"/>
      </w:r>
      <w:r>
        <w:rPr>
          <w:rStyle w:val="22"/>
          <w:b w:val="0"/>
          <w:bCs w:val="0"/>
          <w:i w:val="0"/>
          <w:iCs w:val="0"/>
        </w:rPr>
        <w:t>七、与现行相关法律、法规、规章及相关标准</w:t>
      </w:r>
      <w:r>
        <w:rPr>
          <w:b w:val="0"/>
          <w:bCs w:val="0"/>
          <w:i w:val="0"/>
          <w:iCs w:val="0"/>
        </w:rPr>
        <w:tab/>
      </w:r>
      <w:r>
        <w:rPr>
          <w:b w:val="0"/>
          <w:bCs w:val="0"/>
          <w:i w:val="0"/>
          <w:iCs w:val="0"/>
        </w:rPr>
        <w:fldChar w:fldCharType="begin"/>
      </w:r>
      <w:r>
        <w:rPr>
          <w:b w:val="0"/>
          <w:bCs w:val="0"/>
          <w:i w:val="0"/>
          <w:iCs w:val="0"/>
        </w:rPr>
        <w:instrText xml:space="preserve"> PAGEREF _Toc172817433 \h </w:instrText>
      </w:r>
      <w:r>
        <w:rPr>
          <w:b w:val="0"/>
          <w:bCs w:val="0"/>
          <w:i w:val="0"/>
          <w:iCs w:val="0"/>
        </w:rPr>
        <w:fldChar w:fldCharType="separate"/>
      </w:r>
      <w:r>
        <w:rPr>
          <w:b w:val="0"/>
          <w:bCs w:val="0"/>
          <w:i w:val="0"/>
          <w:iCs w:val="0"/>
        </w:rPr>
        <w:t>9</w:t>
      </w:r>
      <w:r>
        <w:rPr>
          <w:b w:val="0"/>
          <w:bCs w:val="0"/>
          <w:i w:val="0"/>
          <w:iCs w:val="0"/>
        </w:rPr>
        <w:fldChar w:fldCharType="end"/>
      </w:r>
      <w:r>
        <w:rPr>
          <w:b w:val="0"/>
          <w:bCs w:val="0"/>
          <w:i w:val="0"/>
          <w:iCs w:val="0"/>
        </w:rPr>
        <w:fldChar w:fldCharType="end"/>
      </w:r>
    </w:p>
    <w:p w14:paraId="013EDF4F">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"_Toc172817434" </w:instrText>
      </w:r>
      <w:r>
        <w:fldChar w:fldCharType="separate"/>
      </w:r>
      <w:r>
        <w:rPr>
          <w:rStyle w:val="22"/>
          <w:b w:val="0"/>
          <w:bCs w:val="0"/>
          <w:i w:val="0"/>
          <w:iCs w:val="0"/>
        </w:rPr>
        <w:t>八、重大意见分歧的处理经过和依据</w:t>
      </w:r>
      <w:r>
        <w:rPr>
          <w:b w:val="0"/>
          <w:bCs w:val="0"/>
          <w:i w:val="0"/>
          <w:iCs w:val="0"/>
        </w:rPr>
        <w:tab/>
      </w:r>
      <w:r>
        <w:rPr>
          <w:b w:val="0"/>
          <w:bCs w:val="0"/>
          <w:i w:val="0"/>
          <w:iCs w:val="0"/>
        </w:rPr>
        <w:fldChar w:fldCharType="begin"/>
      </w:r>
      <w:r>
        <w:rPr>
          <w:b w:val="0"/>
          <w:bCs w:val="0"/>
          <w:i w:val="0"/>
          <w:iCs w:val="0"/>
        </w:rPr>
        <w:instrText xml:space="preserve"> PAGEREF _Toc172817434 \h </w:instrText>
      </w:r>
      <w:r>
        <w:rPr>
          <w:b w:val="0"/>
          <w:bCs w:val="0"/>
          <w:i w:val="0"/>
          <w:iCs w:val="0"/>
        </w:rPr>
        <w:fldChar w:fldCharType="separate"/>
      </w:r>
      <w:r>
        <w:rPr>
          <w:b w:val="0"/>
          <w:bCs w:val="0"/>
          <w:i w:val="0"/>
          <w:iCs w:val="0"/>
        </w:rPr>
        <w:t>9</w:t>
      </w:r>
      <w:r>
        <w:rPr>
          <w:b w:val="0"/>
          <w:bCs w:val="0"/>
          <w:i w:val="0"/>
          <w:iCs w:val="0"/>
        </w:rPr>
        <w:fldChar w:fldCharType="end"/>
      </w:r>
      <w:r>
        <w:rPr>
          <w:b w:val="0"/>
          <w:bCs w:val="0"/>
          <w:i w:val="0"/>
          <w:iCs w:val="0"/>
        </w:rPr>
        <w:fldChar w:fldCharType="end"/>
      </w:r>
    </w:p>
    <w:p w14:paraId="64097A37">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"_Toc172817435" </w:instrText>
      </w:r>
      <w:r>
        <w:fldChar w:fldCharType="separate"/>
      </w:r>
      <w:r>
        <w:rPr>
          <w:rStyle w:val="22"/>
          <w:b w:val="0"/>
          <w:bCs w:val="0"/>
          <w:i w:val="0"/>
          <w:iCs w:val="0"/>
        </w:rPr>
        <w:t>九、标准性质的建议说明</w:t>
      </w:r>
      <w:r>
        <w:rPr>
          <w:b w:val="0"/>
          <w:bCs w:val="0"/>
          <w:i w:val="0"/>
          <w:iCs w:val="0"/>
        </w:rPr>
        <w:tab/>
      </w:r>
      <w:r>
        <w:rPr>
          <w:b w:val="0"/>
          <w:bCs w:val="0"/>
          <w:i w:val="0"/>
          <w:iCs w:val="0"/>
        </w:rPr>
        <w:fldChar w:fldCharType="begin"/>
      </w:r>
      <w:r>
        <w:rPr>
          <w:b w:val="0"/>
          <w:bCs w:val="0"/>
          <w:i w:val="0"/>
          <w:iCs w:val="0"/>
        </w:rPr>
        <w:instrText xml:space="preserve"> PAGEREF _Toc172817435 \h </w:instrText>
      </w:r>
      <w:r>
        <w:rPr>
          <w:b w:val="0"/>
          <w:bCs w:val="0"/>
          <w:i w:val="0"/>
          <w:iCs w:val="0"/>
        </w:rPr>
        <w:fldChar w:fldCharType="separate"/>
      </w:r>
      <w:r>
        <w:rPr>
          <w:b w:val="0"/>
          <w:bCs w:val="0"/>
          <w:i w:val="0"/>
          <w:iCs w:val="0"/>
        </w:rPr>
        <w:t>9</w:t>
      </w:r>
      <w:r>
        <w:rPr>
          <w:b w:val="0"/>
          <w:bCs w:val="0"/>
          <w:i w:val="0"/>
          <w:iCs w:val="0"/>
        </w:rPr>
        <w:fldChar w:fldCharType="end"/>
      </w:r>
      <w:r>
        <w:rPr>
          <w:b w:val="0"/>
          <w:bCs w:val="0"/>
          <w:i w:val="0"/>
          <w:iCs w:val="0"/>
        </w:rPr>
        <w:fldChar w:fldCharType="end"/>
      </w:r>
    </w:p>
    <w:p w14:paraId="5AA289BD">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"_Toc172817436" </w:instrText>
      </w:r>
      <w:r>
        <w:fldChar w:fldCharType="separate"/>
      </w:r>
      <w:r>
        <w:rPr>
          <w:rStyle w:val="22"/>
          <w:b w:val="0"/>
          <w:bCs w:val="0"/>
          <w:i w:val="0"/>
          <w:iCs w:val="0"/>
        </w:rPr>
        <w:t>十、贯彻标准的要求和措施建议</w:t>
      </w:r>
      <w:r>
        <w:rPr>
          <w:b w:val="0"/>
          <w:bCs w:val="0"/>
          <w:i w:val="0"/>
          <w:iCs w:val="0"/>
        </w:rPr>
        <w:tab/>
      </w:r>
      <w:r>
        <w:rPr>
          <w:b w:val="0"/>
          <w:bCs w:val="0"/>
          <w:i w:val="0"/>
          <w:iCs w:val="0"/>
        </w:rPr>
        <w:fldChar w:fldCharType="begin"/>
      </w:r>
      <w:r>
        <w:rPr>
          <w:b w:val="0"/>
          <w:bCs w:val="0"/>
          <w:i w:val="0"/>
          <w:iCs w:val="0"/>
        </w:rPr>
        <w:instrText xml:space="preserve"> PAGEREF _Toc172817436 \h </w:instrText>
      </w:r>
      <w:r>
        <w:rPr>
          <w:b w:val="0"/>
          <w:bCs w:val="0"/>
          <w:i w:val="0"/>
          <w:iCs w:val="0"/>
        </w:rPr>
        <w:fldChar w:fldCharType="separate"/>
      </w:r>
      <w:r>
        <w:rPr>
          <w:b w:val="0"/>
          <w:bCs w:val="0"/>
          <w:i w:val="0"/>
          <w:iCs w:val="0"/>
        </w:rPr>
        <w:t>9</w:t>
      </w:r>
      <w:r>
        <w:rPr>
          <w:b w:val="0"/>
          <w:bCs w:val="0"/>
          <w:i w:val="0"/>
          <w:iCs w:val="0"/>
        </w:rPr>
        <w:fldChar w:fldCharType="end"/>
      </w:r>
      <w:r>
        <w:rPr>
          <w:b w:val="0"/>
          <w:bCs w:val="0"/>
          <w:i w:val="0"/>
          <w:iCs w:val="0"/>
        </w:rPr>
        <w:fldChar w:fldCharType="end"/>
      </w:r>
    </w:p>
    <w:p w14:paraId="288B0355">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"_Toc172817437" </w:instrText>
      </w:r>
      <w:r>
        <w:fldChar w:fldCharType="separate"/>
      </w:r>
      <w:r>
        <w:rPr>
          <w:rStyle w:val="22"/>
          <w:b w:val="0"/>
          <w:bCs w:val="0"/>
          <w:i w:val="0"/>
          <w:iCs w:val="0"/>
        </w:rPr>
        <w:t>十一、废止现行相关标准的建议项</w:t>
      </w:r>
      <w:r>
        <w:rPr>
          <w:b w:val="0"/>
          <w:bCs w:val="0"/>
          <w:i w:val="0"/>
          <w:iCs w:val="0"/>
        </w:rPr>
        <w:tab/>
      </w:r>
      <w:r>
        <w:rPr>
          <w:b w:val="0"/>
          <w:bCs w:val="0"/>
          <w:i w:val="0"/>
          <w:iCs w:val="0"/>
        </w:rPr>
        <w:fldChar w:fldCharType="begin"/>
      </w:r>
      <w:r>
        <w:rPr>
          <w:b w:val="0"/>
          <w:bCs w:val="0"/>
          <w:i w:val="0"/>
          <w:iCs w:val="0"/>
        </w:rPr>
        <w:instrText xml:space="preserve"> PAGEREF _Toc172817437 \h </w:instrText>
      </w:r>
      <w:r>
        <w:rPr>
          <w:b w:val="0"/>
          <w:bCs w:val="0"/>
          <w:i w:val="0"/>
          <w:iCs w:val="0"/>
        </w:rPr>
        <w:fldChar w:fldCharType="separate"/>
      </w:r>
      <w:r>
        <w:rPr>
          <w:b w:val="0"/>
          <w:bCs w:val="0"/>
          <w:i w:val="0"/>
          <w:iCs w:val="0"/>
        </w:rPr>
        <w:t>9</w:t>
      </w:r>
      <w:r>
        <w:rPr>
          <w:b w:val="0"/>
          <w:bCs w:val="0"/>
          <w:i w:val="0"/>
          <w:iCs w:val="0"/>
        </w:rPr>
        <w:fldChar w:fldCharType="end"/>
      </w:r>
      <w:r>
        <w:rPr>
          <w:b w:val="0"/>
          <w:bCs w:val="0"/>
          <w:i w:val="0"/>
          <w:iCs w:val="0"/>
        </w:rPr>
        <w:fldChar w:fldCharType="end"/>
      </w:r>
    </w:p>
    <w:p w14:paraId="780BAE64">
      <w:pPr>
        <w:pStyle w:val="13"/>
        <w:tabs>
          <w:tab w:val="right" w:leader="dot" w:pos="8296"/>
        </w:tabs>
        <w:rPr>
          <w:rFonts w:eastAsiaTheme="minorEastAsia" w:cstheme="minorBidi"/>
          <w:b w:val="0"/>
          <w:bCs w:val="0"/>
          <w:i w:val="0"/>
          <w:iCs w:val="0"/>
          <w:sz w:val="22"/>
          <w14:ligatures w14:val="standardContextual"/>
        </w:rPr>
      </w:pPr>
      <w:r>
        <w:fldChar w:fldCharType="begin"/>
      </w:r>
      <w:r>
        <w:instrText xml:space="preserve"> HYPERLINK \l "_Toc172817438" </w:instrText>
      </w:r>
      <w:r>
        <w:fldChar w:fldCharType="separate"/>
      </w:r>
      <w:r>
        <w:rPr>
          <w:rStyle w:val="22"/>
          <w:b w:val="0"/>
          <w:bCs w:val="0"/>
          <w:i w:val="0"/>
          <w:iCs w:val="0"/>
        </w:rPr>
        <w:t>十二、其他应予说明的事项</w:t>
      </w:r>
      <w:r>
        <w:rPr>
          <w:b w:val="0"/>
          <w:bCs w:val="0"/>
          <w:i w:val="0"/>
          <w:iCs w:val="0"/>
        </w:rPr>
        <w:tab/>
      </w:r>
      <w:r>
        <w:rPr>
          <w:b w:val="0"/>
          <w:bCs w:val="0"/>
          <w:i w:val="0"/>
          <w:iCs w:val="0"/>
        </w:rPr>
        <w:fldChar w:fldCharType="begin"/>
      </w:r>
      <w:r>
        <w:rPr>
          <w:b w:val="0"/>
          <w:bCs w:val="0"/>
          <w:i w:val="0"/>
          <w:iCs w:val="0"/>
        </w:rPr>
        <w:instrText xml:space="preserve"> PAGEREF _Toc172817438 \h </w:instrText>
      </w:r>
      <w:r>
        <w:rPr>
          <w:b w:val="0"/>
          <w:bCs w:val="0"/>
          <w:i w:val="0"/>
          <w:iCs w:val="0"/>
        </w:rPr>
        <w:fldChar w:fldCharType="separate"/>
      </w:r>
      <w:r>
        <w:rPr>
          <w:b w:val="0"/>
          <w:bCs w:val="0"/>
          <w:i w:val="0"/>
          <w:iCs w:val="0"/>
        </w:rPr>
        <w:t>9</w:t>
      </w:r>
      <w:r>
        <w:rPr>
          <w:b w:val="0"/>
          <w:bCs w:val="0"/>
          <w:i w:val="0"/>
          <w:iCs w:val="0"/>
        </w:rPr>
        <w:fldChar w:fldCharType="end"/>
      </w:r>
      <w:r>
        <w:rPr>
          <w:b w:val="0"/>
          <w:bCs w:val="0"/>
          <w:i w:val="0"/>
          <w:iCs w:val="0"/>
        </w:rPr>
        <w:fldChar w:fldCharType="end"/>
      </w:r>
    </w:p>
    <w:p w14:paraId="1FE55B44">
      <w:pPr>
        <w:spacing w:line="336" w:lineRule="auto"/>
      </w:pPr>
      <w:r>
        <w:rPr>
          <w:rFonts w:eastAsiaTheme="majorEastAsia"/>
        </w:rPr>
        <w:fldChar w:fldCharType="end"/>
      </w:r>
    </w:p>
    <w:p w14:paraId="29106BAC"/>
    <w:p w14:paraId="0B208485"/>
    <w:p w14:paraId="5B3A3DB1"/>
    <w:p w14:paraId="3C8D0202"/>
    <w:p w14:paraId="6F4A3BA4">
      <w:pPr>
        <w:sectPr>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pPr>
    </w:p>
    <w:p w14:paraId="6FC4383A"/>
    <w:p w14:paraId="7298EAEB">
      <w:pPr>
        <w:jc w:val="center"/>
        <w:rPr>
          <w:rFonts w:ascii="宋体" w:hAnsi="宋体"/>
          <w:b/>
          <w:kern w:val="0"/>
          <w:sz w:val="28"/>
          <w:szCs w:val="28"/>
        </w:rPr>
      </w:pPr>
      <w:r>
        <w:rPr>
          <w:rFonts w:hint="eastAsia" w:ascii="宋体" w:hAnsi="宋体"/>
          <w:b/>
          <w:bCs/>
          <w:sz w:val="28"/>
          <w:szCs w:val="28"/>
        </w:rPr>
        <w:t>《水基钻井废弃泥浆全量集中处理与资源化利用技术规范》</w:t>
      </w:r>
    </w:p>
    <w:p w14:paraId="2A686722">
      <w:pPr>
        <w:pStyle w:val="29"/>
        <w:framePr w:w="0" w:hRule="auto" w:wrap="auto" w:vAnchor="margin" w:hAnchor="text" w:yAlign="inline"/>
        <w:ind w:firstLine="420"/>
        <w:rPr>
          <w:rFonts w:ascii="宋体" w:hAnsi="宋体" w:eastAsia="宋体"/>
          <w:b/>
          <w:bCs w:val="0"/>
          <w:sz w:val="28"/>
          <w:szCs w:val="28"/>
        </w:rPr>
      </w:pPr>
      <w:r>
        <w:rPr>
          <w:rFonts w:hint="eastAsia" w:ascii="宋体" w:hAnsi="宋体" w:eastAsia="宋体"/>
          <w:b/>
          <w:bCs w:val="0"/>
          <w:sz w:val="28"/>
          <w:szCs w:val="28"/>
        </w:rPr>
        <w:t>（征求意见稿）编制说明</w:t>
      </w:r>
    </w:p>
    <w:p w14:paraId="1688AD3D">
      <w:pPr>
        <w:spacing w:line="360" w:lineRule="auto"/>
        <w:jc w:val="center"/>
        <w:rPr>
          <w:rFonts w:eastAsia="黑体"/>
          <w:b/>
          <w:sz w:val="44"/>
          <w:szCs w:val="44"/>
        </w:rPr>
      </w:pPr>
    </w:p>
    <w:p w14:paraId="3F95DC5C">
      <w:pPr>
        <w:pStyle w:val="3"/>
        <w:numPr>
          <w:ilvl w:val="0"/>
          <w:numId w:val="1"/>
        </w:numPr>
        <w:spacing w:before="0" w:after="0" w:line="360" w:lineRule="auto"/>
        <w:rPr>
          <w:sz w:val="28"/>
          <w:szCs w:val="28"/>
        </w:rPr>
      </w:pPr>
      <w:bookmarkStart w:id="0" w:name="_Toc172817417"/>
      <w:r>
        <w:rPr>
          <w:sz w:val="28"/>
          <w:szCs w:val="28"/>
        </w:rPr>
        <w:t>工作简况</w:t>
      </w:r>
      <w:bookmarkEnd w:id="0"/>
    </w:p>
    <w:p w14:paraId="5D7FD932">
      <w:pPr>
        <w:pStyle w:val="2"/>
        <w:spacing w:before="0" w:after="0" w:line="360" w:lineRule="auto"/>
        <w:ind w:firstLine="241" w:firstLineChars="100"/>
        <w:rPr>
          <w:rFonts w:ascii="Times New Roman" w:hAnsi="Times New Roman" w:eastAsia="宋体"/>
          <w:sz w:val="24"/>
          <w:szCs w:val="24"/>
        </w:rPr>
      </w:pPr>
      <w:bookmarkStart w:id="1" w:name="_Toc172817418"/>
      <w:r>
        <w:rPr>
          <w:rFonts w:ascii="Times New Roman" w:hAnsi="Times New Roman" w:eastAsia="宋体"/>
          <w:sz w:val="24"/>
          <w:szCs w:val="24"/>
        </w:rPr>
        <w:t>1、任务来源</w:t>
      </w:r>
      <w:bookmarkEnd w:id="1"/>
    </w:p>
    <w:p w14:paraId="03BE45C5">
      <w:pPr>
        <w:spacing w:line="360" w:lineRule="auto"/>
        <w:ind w:firstLine="480" w:firstLineChars="200"/>
        <w:rPr>
          <w:sz w:val="24"/>
          <w:szCs w:val="24"/>
        </w:rPr>
      </w:pPr>
      <w:r>
        <w:rPr>
          <w:rFonts w:hint="eastAsia"/>
          <w:sz w:val="24"/>
          <w:szCs w:val="24"/>
        </w:rPr>
        <w:t>为了规范水基钻井废弃泥浆全量集中处理与资源化利用，推动固废处理处置工作的规范化，</w:t>
      </w:r>
      <w:r>
        <w:rPr>
          <w:sz w:val="24"/>
          <w:szCs w:val="24"/>
        </w:rPr>
        <w:t>本项目基于国家重点研发项目—《油田开采区土壤污染控制与修复技术集成示范 2019YFC1804100》</w:t>
      </w:r>
      <w:r>
        <w:rPr>
          <w:rFonts w:hint="eastAsia"/>
          <w:sz w:val="24"/>
          <w:szCs w:val="24"/>
        </w:rPr>
        <w:t>，拟参考发达国家的相关标准或法规，在对我国水基钻井废弃泥浆全量集中处理后产物的COD、BOD、氨氮等污染物进行检测和分析的基础上，制定水基钻井废弃泥浆全量集中处理与资源化利用的总体要求、污染物和污染负荷、集中处理工艺设计等。该标准对于规范水基钻井废弃泥浆全量集中处理与资源化利用技术规范具有重要意义。</w:t>
      </w:r>
    </w:p>
    <w:p w14:paraId="6FAE1411">
      <w:pPr>
        <w:pStyle w:val="2"/>
        <w:spacing w:before="0" w:after="0" w:line="360" w:lineRule="auto"/>
        <w:ind w:firstLine="241" w:firstLineChars="100"/>
        <w:rPr>
          <w:rFonts w:ascii="Times New Roman" w:hAnsi="Times New Roman" w:eastAsia="宋体"/>
          <w:sz w:val="24"/>
          <w:szCs w:val="24"/>
        </w:rPr>
      </w:pPr>
      <w:bookmarkStart w:id="2" w:name="_Toc172817419"/>
      <w:r>
        <w:rPr>
          <w:rFonts w:ascii="Times New Roman" w:hAnsi="Times New Roman" w:eastAsia="宋体"/>
          <w:sz w:val="24"/>
          <w:szCs w:val="24"/>
        </w:rPr>
        <w:t>2、主要</w:t>
      </w:r>
      <w:r>
        <w:rPr>
          <w:rFonts w:hint="eastAsia" w:ascii="Times New Roman" w:hAnsi="Times New Roman" w:eastAsia="宋体"/>
          <w:sz w:val="24"/>
          <w:szCs w:val="24"/>
        </w:rPr>
        <w:t>参加单位</w:t>
      </w:r>
      <w:bookmarkEnd w:id="2"/>
    </w:p>
    <w:p w14:paraId="0CF95D7A">
      <w:pPr>
        <w:spacing w:line="360" w:lineRule="auto"/>
        <w:ind w:firstLine="480" w:firstLineChars="200"/>
        <w:rPr>
          <w:sz w:val="24"/>
          <w:szCs w:val="24"/>
        </w:rPr>
      </w:pPr>
      <w:r>
        <w:rPr>
          <w:sz w:val="24"/>
          <w:szCs w:val="24"/>
        </w:rPr>
        <w:t>南开大学、</w:t>
      </w:r>
      <w:r>
        <w:rPr>
          <w:rFonts w:hint="eastAsia"/>
          <w:sz w:val="24"/>
          <w:szCs w:val="24"/>
        </w:rPr>
        <w:t>中海石油环保服务(天津）有限公司、中国石油大学（北京）</w:t>
      </w:r>
    </w:p>
    <w:p w14:paraId="2357CDCD">
      <w:pPr>
        <w:pStyle w:val="2"/>
        <w:spacing w:before="0" w:after="0" w:line="360" w:lineRule="auto"/>
        <w:ind w:firstLine="241" w:firstLineChars="100"/>
        <w:rPr>
          <w:rFonts w:ascii="Times New Roman" w:hAnsi="Times New Roman" w:eastAsia="宋体"/>
          <w:sz w:val="24"/>
          <w:szCs w:val="24"/>
        </w:rPr>
      </w:pPr>
      <w:bookmarkStart w:id="3" w:name="_Toc172817420"/>
      <w:r>
        <w:rPr>
          <w:rFonts w:ascii="Times New Roman" w:hAnsi="Times New Roman" w:eastAsia="宋体"/>
          <w:sz w:val="24"/>
          <w:szCs w:val="24"/>
        </w:rPr>
        <w:t>3、主要工作过程</w:t>
      </w:r>
      <w:bookmarkEnd w:id="3"/>
    </w:p>
    <w:p w14:paraId="7B002859">
      <w:pPr>
        <w:pStyle w:val="6"/>
        <w:spacing w:after="0" w:line="360" w:lineRule="auto"/>
        <w:ind w:firstLine="480" w:firstLineChars="200"/>
        <w:rPr>
          <w:sz w:val="24"/>
          <w:szCs w:val="24"/>
        </w:rPr>
      </w:pPr>
      <w:r>
        <w:rPr>
          <w:rFonts w:hint="eastAsia"/>
          <w:sz w:val="24"/>
          <w:szCs w:val="24"/>
        </w:rPr>
        <w:t>2019年12月，项目立项，签订任务书。</w:t>
      </w:r>
    </w:p>
    <w:p w14:paraId="0E76D456">
      <w:pPr>
        <w:pStyle w:val="6"/>
        <w:spacing w:after="0" w:line="360" w:lineRule="auto"/>
        <w:ind w:firstLine="480" w:firstLineChars="200"/>
        <w:rPr>
          <w:sz w:val="24"/>
          <w:szCs w:val="24"/>
        </w:rPr>
      </w:pPr>
      <w:r>
        <w:rPr>
          <w:rFonts w:hint="eastAsia"/>
          <w:sz w:val="24"/>
          <w:szCs w:val="24"/>
        </w:rPr>
        <w:t>编制单位于2020年～2023年期间，调研了国外发达国家对水基钻井废弃液相关标准、法规及相关工程案例，结合编制单位前期在天津、内蒙古等污染场地试点工程经验，完成</w:t>
      </w:r>
      <w:r>
        <w:rPr>
          <w:sz w:val="24"/>
          <w:szCs w:val="24"/>
        </w:rPr>
        <w:t>《</w:t>
      </w:r>
      <w:r>
        <w:rPr>
          <w:rFonts w:hint="eastAsia"/>
          <w:sz w:val="24"/>
          <w:szCs w:val="24"/>
        </w:rPr>
        <w:t>废弃水基钻井液集中处理技术规范</w:t>
      </w:r>
      <w:r>
        <w:rPr>
          <w:sz w:val="24"/>
          <w:szCs w:val="24"/>
        </w:rPr>
        <w:t>》</w:t>
      </w:r>
      <w:r>
        <w:rPr>
          <w:rFonts w:hint="eastAsia"/>
          <w:sz w:val="24"/>
          <w:szCs w:val="24"/>
        </w:rPr>
        <w:t>（草案）编制工作。</w:t>
      </w:r>
    </w:p>
    <w:p w14:paraId="251833BD">
      <w:pPr>
        <w:spacing w:line="360" w:lineRule="auto"/>
        <w:ind w:firstLine="480" w:firstLineChars="200"/>
        <w:rPr>
          <w:sz w:val="24"/>
          <w:szCs w:val="24"/>
        </w:rPr>
      </w:pPr>
      <w:r>
        <w:rPr>
          <w:sz w:val="24"/>
          <w:szCs w:val="24"/>
        </w:rPr>
        <w:t>中国</w:t>
      </w:r>
      <w:r>
        <w:rPr>
          <w:rFonts w:hint="eastAsia"/>
          <w:sz w:val="24"/>
          <w:szCs w:val="24"/>
        </w:rPr>
        <w:t>环境科学学</w:t>
      </w:r>
      <w:r>
        <w:rPr>
          <w:sz w:val="24"/>
          <w:szCs w:val="24"/>
        </w:rPr>
        <w:t>会于202</w:t>
      </w:r>
      <w:r>
        <w:rPr>
          <w:rFonts w:hint="eastAsia"/>
          <w:sz w:val="24"/>
          <w:szCs w:val="24"/>
        </w:rPr>
        <w:t>3</w:t>
      </w:r>
      <w:r>
        <w:rPr>
          <w:sz w:val="24"/>
          <w:szCs w:val="24"/>
        </w:rPr>
        <w:t>年</w:t>
      </w:r>
      <w:r>
        <w:rPr>
          <w:rFonts w:hint="eastAsia"/>
          <w:sz w:val="24"/>
          <w:szCs w:val="24"/>
        </w:rPr>
        <w:t>3月30日</w:t>
      </w:r>
      <w:r>
        <w:rPr>
          <w:sz w:val="24"/>
          <w:szCs w:val="24"/>
        </w:rPr>
        <w:t>召开</w:t>
      </w:r>
      <w:r>
        <w:rPr>
          <w:rFonts w:hint="eastAsia"/>
          <w:sz w:val="24"/>
          <w:szCs w:val="24"/>
        </w:rPr>
        <w:t>并通过</w:t>
      </w:r>
      <w:r>
        <w:rPr>
          <w:sz w:val="24"/>
          <w:szCs w:val="24"/>
        </w:rPr>
        <w:t>《</w:t>
      </w:r>
      <w:r>
        <w:rPr>
          <w:rFonts w:hint="eastAsia"/>
          <w:sz w:val="24"/>
          <w:szCs w:val="24"/>
        </w:rPr>
        <w:t>废弃水基钻井液集中处理技术规范</w:t>
      </w:r>
      <w:r>
        <w:rPr>
          <w:sz w:val="24"/>
          <w:szCs w:val="24"/>
        </w:rPr>
        <w:t>》</w:t>
      </w:r>
      <w:r>
        <w:rPr>
          <w:rFonts w:hint="eastAsia"/>
          <w:sz w:val="24"/>
          <w:szCs w:val="24"/>
        </w:rPr>
        <w:t>（草案）</w:t>
      </w:r>
      <w:r>
        <w:rPr>
          <w:sz w:val="24"/>
          <w:szCs w:val="24"/>
        </w:rPr>
        <w:t>立项</w:t>
      </w:r>
      <w:r>
        <w:rPr>
          <w:rFonts w:hint="eastAsia"/>
          <w:sz w:val="24"/>
          <w:szCs w:val="24"/>
        </w:rPr>
        <w:t>论证</w:t>
      </w:r>
      <w:r>
        <w:rPr>
          <w:sz w:val="24"/>
          <w:szCs w:val="24"/>
        </w:rPr>
        <w:t>会，</w:t>
      </w:r>
      <w:r>
        <w:rPr>
          <w:rFonts w:hint="eastAsia"/>
          <w:sz w:val="24"/>
          <w:szCs w:val="24"/>
        </w:rPr>
        <w:t>会后就与会专家提出的问题和建议，进行</w:t>
      </w:r>
      <w:r>
        <w:rPr>
          <w:sz w:val="24"/>
          <w:szCs w:val="24"/>
        </w:rPr>
        <w:t>《</w:t>
      </w:r>
      <w:r>
        <w:rPr>
          <w:rFonts w:hint="eastAsia"/>
          <w:sz w:val="24"/>
          <w:szCs w:val="24"/>
        </w:rPr>
        <w:t>废弃水基钻井液集中处理技术规范</w:t>
      </w:r>
      <w:r>
        <w:rPr>
          <w:sz w:val="24"/>
          <w:szCs w:val="24"/>
        </w:rPr>
        <w:t>》</w:t>
      </w:r>
      <w:r>
        <w:rPr>
          <w:rFonts w:hint="eastAsia"/>
          <w:sz w:val="24"/>
          <w:szCs w:val="24"/>
        </w:rPr>
        <w:t>（草案）修改工作，编制单位针对水基钻井液废弃泥浆的全量集中处理和资源化利用技术继续开展重点调研，进一步明确适用范围，梳理技术内容。在与相关国家标准和行业标准相衔接的基础上，编制单位修改团体标准的名称为</w:t>
      </w:r>
      <w:r>
        <w:rPr>
          <w:sz w:val="24"/>
          <w:szCs w:val="24"/>
        </w:rPr>
        <w:t>《</w:t>
      </w:r>
      <w:r>
        <w:rPr>
          <w:rFonts w:hint="eastAsia"/>
          <w:sz w:val="24"/>
          <w:szCs w:val="24"/>
        </w:rPr>
        <w:t>水基钻井废弃泥浆全量集中处理与资源化利用技术规范</w:t>
      </w:r>
      <w:r>
        <w:rPr>
          <w:sz w:val="24"/>
          <w:szCs w:val="24"/>
        </w:rPr>
        <w:t>》</w:t>
      </w:r>
      <w:r>
        <w:rPr>
          <w:rFonts w:hint="eastAsia"/>
          <w:sz w:val="24"/>
          <w:szCs w:val="24"/>
        </w:rPr>
        <w:t>，并完成文本修改。</w:t>
      </w:r>
    </w:p>
    <w:p w14:paraId="50A9CDCB">
      <w:pPr>
        <w:spacing w:line="360" w:lineRule="auto"/>
        <w:ind w:firstLine="480" w:firstLineChars="200"/>
        <w:rPr>
          <w:sz w:val="24"/>
          <w:szCs w:val="24"/>
        </w:rPr>
      </w:pPr>
      <w:r>
        <w:rPr>
          <w:sz w:val="24"/>
          <w:szCs w:val="24"/>
        </w:rPr>
        <w:t>中国</w:t>
      </w:r>
      <w:r>
        <w:rPr>
          <w:rFonts w:hint="eastAsia"/>
          <w:sz w:val="24"/>
          <w:szCs w:val="24"/>
        </w:rPr>
        <w:t>环境科学学</w:t>
      </w:r>
      <w:r>
        <w:rPr>
          <w:sz w:val="24"/>
          <w:szCs w:val="24"/>
        </w:rPr>
        <w:t>会于202</w:t>
      </w:r>
      <w:r>
        <w:rPr>
          <w:rFonts w:hint="eastAsia"/>
          <w:sz w:val="24"/>
          <w:szCs w:val="24"/>
        </w:rPr>
        <w:t>4</w:t>
      </w:r>
      <w:r>
        <w:rPr>
          <w:sz w:val="24"/>
          <w:szCs w:val="24"/>
        </w:rPr>
        <w:t>年</w:t>
      </w:r>
      <w:r>
        <w:rPr>
          <w:rFonts w:hint="eastAsia"/>
          <w:sz w:val="24"/>
          <w:szCs w:val="24"/>
        </w:rPr>
        <w:t>7月25日召开</w:t>
      </w:r>
      <w:r>
        <w:rPr>
          <w:sz w:val="24"/>
          <w:szCs w:val="24"/>
        </w:rPr>
        <w:t>《</w:t>
      </w:r>
      <w:r>
        <w:rPr>
          <w:rFonts w:hint="eastAsia"/>
          <w:sz w:val="24"/>
          <w:szCs w:val="24"/>
        </w:rPr>
        <w:t>水基钻井废弃泥浆全量集中处理与资源化利用技术规范</w:t>
      </w:r>
      <w:r>
        <w:rPr>
          <w:sz w:val="24"/>
          <w:szCs w:val="24"/>
        </w:rPr>
        <w:t>》</w:t>
      </w:r>
      <w:r>
        <w:rPr>
          <w:rFonts w:hint="eastAsia"/>
          <w:sz w:val="24"/>
          <w:szCs w:val="24"/>
        </w:rPr>
        <w:t>（征求意见稿）技术审查会，会后根据专家意见对文本进一步修改，形成最新版本的</w:t>
      </w:r>
      <w:r>
        <w:rPr>
          <w:sz w:val="24"/>
          <w:szCs w:val="24"/>
        </w:rPr>
        <w:t>《</w:t>
      </w:r>
      <w:r>
        <w:rPr>
          <w:rFonts w:hint="eastAsia"/>
          <w:sz w:val="24"/>
          <w:szCs w:val="24"/>
        </w:rPr>
        <w:t>水基钻井废弃泥浆全量集中处理与资源化利用技术规范（征求意见稿）</w:t>
      </w:r>
      <w:r>
        <w:rPr>
          <w:sz w:val="24"/>
          <w:szCs w:val="24"/>
        </w:rPr>
        <w:t>》</w:t>
      </w:r>
      <w:r>
        <w:rPr>
          <w:rFonts w:hint="eastAsia"/>
          <w:sz w:val="24"/>
          <w:szCs w:val="24"/>
        </w:rPr>
        <w:t>。</w:t>
      </w:r>
    </w:p>
    <w:p w14:paraId="71C1BE9D">
      <w:pPr>
        <w:pStyle w:val="2"/>
        <w:spacing w:before="0" w:after="0" w:line="360" w:lineRule="auto"/>
        <w:ind w:firstLine="241" w:firstLineChars="100"/>
        <w:rPr>
          <w:rFonts w:ascii="Times New Roman" w:hAnsi="Times New Roman"/>
        </w:rPr>
      </w:pPr>
      <w:bookmarkStart w:id="4" w:name="_Toc172817421"/>
      <w:r>
        <w:rPr>
          <w:rFonts w:ascii="Times New Roman" w:hAnsi="Times New Roman" w:eastAsia="宋体"/>
          <w:sz w:val="24"/>
          <w:szCs w:val="24"/>
        </w:rPr>
        <w:t>4、起草组成员及其所做的主要工作</w:t>
      </w:r>
      <w:bookmarkEnd w:id="4"/>
    </w:p>
    <w:p w14:paraId="6DC1236B">
      <w:pPr>
        <w:spacing w:line="360" w:lineRule="auto"/>
        <w:jc w:val="center"/>
      </w:pPr>
      <w:r>
        <w:t>表1标准制定的主要参与单位及其相关工作</w:t>
      </w:r>
    </w:p>
    <w:tbl>
      <w:tblPr>
        <w:tblStyle w:val="19"/>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985"/>
        <w:gridCol w:w="3806"/>
      </w:tblGrid>
      <w:tr w14:paraId="10B0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88" w:type="dxa"/>
            <w:vAlign w:val="center"/>
          </w:tcPr>
          <w:p w14:paraId="56589D3F">
            <w:pPr>
              <w:spacing w:line="360" w:lineRule="auto"/>
              <w:jc w:val="center"/>
              <w:rPr>
                <w:b/>
                <w:bCs/>
              </w:rPr>
            </w:pPr>
            <w:r>
              <w:rPr>
                <w:b/>
                <w:bCs/>
              </w:rPr>
              <w:t>主要参加单位</w:t>
            </w:r>
          </w:p>
        </w:tc>
        <w:tc>
          <w:tcPr>
            <w:tcW w:w="2985" w:type="dxa"/>
            <w:vAlign w:val="center"/>
          </w:tcPr>
          <w:p w14:paraId="447BA4C9">
            <w:pPr>
              <w:spacing w:line="360" w:lineRule="auto"/>
              <w:jc w:val="center"/>
              <w:rPr>
                <w:b/>
                <w:bCs/>
              </w:rPr>
            </w:pPr>
            <w:r>
              <w:rPr>
                <w:b/>
                <w:bCs/>
              </w:rPr>
              <w:t>成员</w:t>
            </w:r>
          </w:p>
        </w:tc>
        <w:tc>
          <w:tcPr>
            <w:tcW w:w="3806" w:type="dxa"/>
            <w:vAlign w:val="center"/>
          </w:tcPr>
          <w:p w14:paraId="1A617D54">
            <w:pPr>
              <w:spacing w:line="360" w:lineRule="auto"/>
              <w:jc w:val="center"/>
              <w:rPr>
                <w:b/>
                <w:bCs/>
              </w:rPr>
            </w:pPr>
            <w:r>
              <w:rPr>
                <w:b/>
                <w:bCs/>
              </w:rPr>
              <w:t>工作</w:t>
            </w:r>
          </w:p>
        </w:tc>
      </w:tr>
      <w:tr w14:paraId="0B9D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088" w:type="dxa"/>
            <w:vAlign w:val="center"/>
          </w:tcPr>
          <w:p w14:paraId="660454B0">
            <w:pPr>
              <w:spacing w:line="360" w:lineRule="auto"/>
              <w:jc w:val="center"/>
            </w:pPr>
            <w:r>
              <w:t>南开大学</w:t>
            </w:r>
          </w:p>
        </w:tc>
        <w:tc>
          <w:tcPr>
            <w:tcW w:w="2985" w:type="dxa"/>
            <w:vAlign w:val="center"/>
          </w:tcPr>
          <w:p w14:paraId="462AB2A5">
            <w:pPr>
              <w:spacing w:line="360" w:lineRule="auto"/>
              <w:jc w:val="center"/>
            </w:pPr>
            <w:r>
              <w:rPr>
                <w:rFonts w:hint="eastAsia"/>
              </w:rPr>
              <w:t>周启星、郭晓燕、</w:t>
            </w:r>
          </w:p>
          <w:p w14:paraId="2C4D65F6">
            <w:pPr>
              <w:spacing w:line="360" w:lineRule="auto"/>
              <w:jc w:val="center"/>
            </w:pPr>
            <w:r>
              <w:rPr>
                <w:rFonts w:hint="eastAsia"/>
              </w:rPr>
              <w:t>汪玉、陈翠红</w:t>
            </w:r>
          </w:p>
        </w:tc>
        <w:tc>
          <w:tcPr>
            <w:tcW w:w="3806" w:type="dxa"/>
            <w:vAlign w:val="center"/>
          </w:tcPr>
          <w:p w14:paraId="2FCCFE64">
            <w:pPr>
              <w:spacing w:line="360" w:lineRule="auto"/>
              <w:jc w:val="center"/>
            </w:pPr>
            <w:r>
              <w:t>负责组织标准起草单位及相关单位成立标准工作组，及技术方案制定和试验验证的组实施等工作</w:t>
            </w:r>
          </w:p>
        </w:tc>
      </w:tr>
      <w:tr w14:paraId="57E8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088" w:type="dxa"/>
            <w:vAlign w:val="center"/>
          </w:tcPr>
          <w:p w14:paraId="194CAA85">
            <w:pPr>
              <w:spacing w:line="360" w:lineRule="auto"/>
              <w:jc w:val="center"/>
            </w:pPr>
            <w:r>
              <w:rPr>
                <w:rFonts w:hint="eastAsia"/>
              </w:rPr>
              <w:t>中海石油环保服务（天津）</w:t>
            </w:r>
          </w:p>
        </w:tc>
        <w:tc>
          <w:tcPr>
            <w:tcW w:w="2985" w:type="dxa"/>
            <w:vAlign w:val="center"/>
          </w:tcPr>
          <w:p w14:paraId="1ED37F6E">
            <w:pPr>
              <w:spacing w:line="360" w:lineRule="auto"/>
              <w:jc w:val="center"/>
            </w:pPr>
            <w:r>
              <w:rPr>
                <w:rFonts w:hint="eastAsia"/>
              </w:rPr>
              <w:t>宿辉、杨勇、</w:t>
            </w:r>
          </w:p>
          <w:p w14:paraId="68E3B39C">
            <w:pPr>
              <w:spacing w:line="360" w:lineRule="auto"/>
              <w:jc w:val="center"/>
            </w:pPr>
            <w:r>
              <w:rPr>
                <w:rFonts w:hint="eastAsia"/>
              </w:rPr>
              <w:t>邵国彪、李凤娟、李小龙</w:t>
            </w:r>
          </w:p>
        </w:tc>
        <w:tc>
          <w:tcPr>
            <w:tcW w:w="3806" w:type="dxa"/>
            <w:vAlign w:val="center"/>
          </w:tcPr>
          <w:p w14:paraId="20D7DC9B">
            <w:pPr>
              <w:spacing w:line="360" w:lineRule="auto"/>
              <w:jc w:val="center"/>
            </w:pPr>
            <w:r>
              <w:t>负责起草标准、征求意见稿、送审稿以及试验验证实施工作等工作</w:t>
            </w:r>
          </w:p>
        </w:tc>
      </w:tr>
      <w:tr w14:paraId="276C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088" w:type="dxa"/>
            <w:vAlign w:val="center"/>
          </w:tcPr>
          <w:p w14:paraId="1620331E">
            <w:pPr>
              <w:spacing w:line="360" w:lineRule="auto"/>
              <w:jc w:val="center"/>
            </w:pPr>
            <w:r>
              <w:rPr>
                <w:rFonts w:hint="eastAsia"/>
              </w:rPr>
              <w:t>中国石油大学（北京）</w:t>
            </w:r>
          </w:p>
        </w:tc>
        <w:tc>
          <w:tcPr>
            <w:tcW w:w="2985" w:type="dxa"/>
            <w:vAlign w:val="center"/>
          </w:tcPr>
          <w:p w14:paraId="521F4707">
            <w:pPr>
              <w:spacing w:line="360" w:lineRule="auto"/>
              <w:jc w:val="center"/>
            </w:pPr>
            <w:r>
              <w:rPr>
                <w:rFonts w:hint="eastAsia"/>
              </w:rPr>
              <w:t>陈建义、王赫名、陈翠红、张志勇、吕静</w:t>
            </w:r>
          </w:p>
        </w:tc>
        <w:tc>
          <w:tcPr>
            <w:tcW w:w="3806" w:type="dxa"/>
            <w:vAlign w:val="center"/>
          </w:tcPr>
          <w:p w14:paraId="2F51C9BF">
            <w:pPr>
              <w:spacing w:line="360" w:lineRule="auto"/>
              <w:jc w:val="center"/>
            </w:pPr>
            <w:r>
              <w:t>参与技术方案的制定、技术指导、标准制定和现场技术试验验证实施等工作</w:t>
            </w:r>
          </w:p>
        </w:tc>
      </w:tr>
      <w:tr w14:paraId="4ECA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088" w:type="dxa"/>
            <w:vAlign w:val="center"/>
          </w:tcPr>
          <w:p w14:paraId="28E0A110">
            <w:pPr>
              <w:spacing w:line="360" w:lineRule="auto"/>
              <w:jc w:val="center"/>
              <w:rPr>
                <w:b/>
                <w:bCs/>
              </w:rPr>
            </w:pPr>
            <w:r>
              <w:t>中国</w:t>
            </w:r>
            <w:r>
              <w:rPr>
                <w:rFonts w:hint="eastAsia"/>
              </w:rPr>
              <w:t>环境科学</w:t>
            </w:r>
            <w:r>
              <w:t>学会</w:t>
            </w:r>
          </w:p>
        </w:tc>
        <w:tc>
          <w:tcPr>
            <w:tcW w:w="2985" w:type="dxa"/>
            <w:vAlign w:val="center"/>
          </w:tcPr>
          <w:p w14:paraId="4B0C5C88">
            <w:pPr>
              <w:spacing w:line="360" w:lineRule="auto"/>
              <w:jc w:val="center"/>
              <w:rPr>
                <w:bCs/>
              </w:rPr>
            </w:pPr>
            <w:r>
              <w:rPr>
                <w:rFonts w:hint="eastAsia"/>
                <w:bCs/>
              </w:rPr>
              <w:t>高强</w:t>
            </w:r>
          </w:p>
        </w:tc>
        <w:tc>
          <w:tcPr>
            <w:tcW w:w="3806" w:type="dxa"/>
            <w:vAlign w:val="center"/>
          </w:tcPr>
          <w:p w14:paraId="0CBA9D9C">
            <w:pPr>
              <w:spacing w:line="360" w:lineRule="auto"/>
              <w:jc w:val="center"/>
              <w:rPr>
                <w:b/>
                <w:bCs/>
              </w:rPr>
            </w:pPr>
            <w:r>
              <w:t>负责标准立项审查、送审稿审查、批准发布等工作</w:t>
            </w:r>
          </w:p>
        </w:tc>
      </w:tr>
    </w:tbl>
    <w:p w14:paraId="6E80F871">
      <w:pPr>
        <w:pStyle w:val="3"/>
        <w:numPr>
          <w:ilvl w:val="0"/>
          <w:numId w:val="1"/>
        </w:numPr>
        <w:spacing w:before="0" w:after="0" w:line="360" w:lineRule="auto"/>
        <w:rPr>
          <w:sz w:val="28"/>
          <w:szCs w:val="28"/>
        </w:rPr>
      </w:pPr>
      <w:bookmarkStart w:id="5" w:name="_Toc172817422"/>
      <w:r>
        <w:rPr>
          <w:sz w:val="28"/>
          <w:szCs w:val="28"/>
        </w:rPr>
        <w:t>标准编制原则和确定标准主要内容</w:t>
      </w:r>
      <w:bookmarkEnd w:id="5"/>
    </w:p>
    <w:p w14:paraId="0D2BAB4B">
      <w:pPr>
        <w:pStyle w:val="2"/>
        <w:spacing w:before="0" w:after="0" w:line="360" w:lineRule="auto"/>
        <w:rPr>
          <w:rFonts w:ascii="Times New Roman" w:hAnsi="Times New Roman" w:eastAsia="宋体"/>
          <w:sz w:val="24"/>
          <w:szCs w:val="24"/>
        </w:rPr>
      </w:pPr>
      <w:bookmarkStart w:id="6" w:name="_Toc172817423"/>
      <w:r>
        <w:rPr>
          <w:rFonts w:hint="eastAsia" w:ascii="Times New Roman" w:hAnsi="Times New Roman" w:eastAsia="宋体"/>
          <w:sz w:val="24"/>
          <w:szCs w:val="24"/>
        </w:rPr>
        <w:t>1、标准编制原则</w:t>
      </w:r>
      <w:bookmarkEnd w:id="6"/>
    </w:p>
    <w:p w14:paraId="099C04B9">
      <w:pPr>
        <w:spacing w:line="360" w:lineRule="auto"/>
        <w:ind w:firstLine="480" w:firstLineChars="200"/>
        <w:rPr>
          <w:sz w:val="24"/>
          <w:szCs w:val="24"/>
        </w:rPr>
      </w:pPr>
      <w:r>
        <w:rPr>
          <w:rFonts w:hint="eastAsia"/>
          <w:sz w:val="24"/>
          <w:szCs w:val="24"/>
        </w:rPr>
        <w:t>（1）</w:t>
      </w:r>
      <w:r>
        <w:rPr>
          <w:rFonts w:hint="eastAsia"/>
          <w:sz w:val="24"/>
          <w:szCs w:val="24"/>
        </w:rPr>
        <w:tab/>
      </w:r>
      <w:r>
        <w:rPr>
          <w:rFonts w:hint="eastAsia"/>
          <w:sz w:val="24"/>
          <w:szCs w:val="24"/>
        </w:rPr>
        <w:t>符合国家和行业有关方针、政策、法律、法规的原则；</w:t>
      </w:r>
    </w:p>
    <w:p w14:paraId="5DC20597">
      <w:pPr>
        <w:spacing w:line="360" w:lineRule="auto"/>
        <w:ind w:firstLine="480" w:firstLineChars="200"/>
        <w:rPr>
          <w:sz w:val="24"/>
          <w:szCs w:val="24"/>
        </w:rPr>
      </w:pPr>
      <w:r>
        <w:rPr>
          <w:rFonts w:hint="eastAsia"/>
          <w:sz w:val="24"/>
          <w:szCs w:val="24"/>
        </w:rPr>
        <w:t>（2）</w:t>
      </w:r>
      <w:r>
        <w:rPr>
          <w:rFonts w:hint="eastAsia"/>
          <w:sz w:val="24"/>
          <w:szCs w:val="24"/>
        </w:rPr>
        <w:tab/>
      </w:r>
      <w:r>
        <w:rPr>
          <w:rFonts w:hint="eastAsia"/>
          <w:sz w:val="24"/>
          <w:szCs w:val="24"/>
        </w:rPr>
        <w:t>根据GB1.1-2009《标准化工作原则 第1部分：标准的结构和编写》的规定，严格遵循统一性、协调性、适用性和规范性，从实际出发指导废弃水基钻井液集中处理。</w:t>
      </w:r>
    </w:p>
    <w:p w14:paraId="04C980AB">
      <w:pPr>
        <w:spacing w:line="360" w:lineRule="auto"/>
        <w:ind w:firstLine="480" w:firstLineChars="200"/>
        <w:rPr>
          <w:sz w:val="24"/>
          <w:szCs w:val="24"/>
        </w:rPr>
      </w:pPr>
      <w:r>
        <w:rPr>
          <w:rFonts w:hint="eastAsia"/>
          <w:sz w:val="24"/>
          <w:szCs w:val="24"/>
        </w:rPr>
        <w:t>（3）</w:t>
      </w:r>
      <w:r>
        <w:rPr>
          <w:rFonts w:hint="eastAsia"/>
          <w:sz w:val="24"/>
          <w:szCs w:val="24"/>
        </w:rPr>
        <w:tab/>
      </w:r>
      <w:r>
        <w:rPr>
          <w:rFonts w:hint="eastAsia"/>
          <w:sz w:val="24"/>
          <w:szCs w:val="24"/>
        </w:rPr>
        <w:t>广泛征求意见，保证标准的先进性、实用性和可操作性。</w:t>
      </w:r>
    </w:p>
    <w:p w14:paraId="3D3C2B75">
      <w:pPr>
        <w:pStyle w:val="2"/>
        <w:spacing w:before="0" w:after="0" w:line="360" w:lineRule="auto"/>
        <w:rPr>
          <w:rFonts w:ascii="Times New Roman" w:hAnsi="Times New Roman" w:eastAsia="宋体"/>
          <w:sz w:val="24"/>
          <w:szCs w:val="24"/>
        </w:rPr>
      </w:pPr>
      <w:bookmarkStart w:id="7" w:name="_Toc172817424"/>
      <w:r>
        <w:rPr>
          <w:rFonts w:hint="eastAsia" w:ascii="Times New Roman" w:hAnsi="Times New Roman" w:eastAsia="宋体"/>
          <w:sz w:val="24"/>
          <w:szCs w:val="24"/>
        </w:rPr>
        <w:t>2、标准主要内容的论据</w:t>
      </w:r>
      <w:bookmarkEnd w:id="7"/>
    </w:p>
    <w:p w14:paraId="27E8ED63">
      <w:pPr>
        <w:spacing w:line="360" w:lineRule="auto"/>
        <w:ind w:firstLine="480" w:firstLineChars="200"/>
        <w:rPr>
          <w:sz w:val="24"/>
          <w:szCs w:val="24"/>
        </w:rPr>
      </w:pPr>
      <w:r>
        <w:rPr>
          <w:rFonts w:hint="eastAsia"/>
          <w:sz w:val="24"/>
          <w:szCs w:val="24"/>
        </w:rPr>
        <w:t>（1）</w:t>
      </w:r>
      <w:r>
        <w:rPr>
          <w:rFonts w:hint="eastAsia"/>
          <w:sz w:val="24"/>
          <w:szCs w:val="24"/>
        </w:rPr>
        <w:tab/>
      </w:r>
      <w:r>
        <w:rPr>
          <w:rFonts w:hint="eastAsia"/>
          <w:sz w:val="24"/>
          <w:szCs w:val="24"/>
        </w:rPr>
        <w:t>总体框架</w:t>
      </w:r>
    </w:p>
    <w:p w14:paraId="5797B981">
      <w:pPr>
        <w:spacing w:line="360" w:lineRule="auto"/>
        <w:ind w:firstLine="480" w:firstLineChars="200"/>
        <w:rPr>
          <w:sz w:val="24"/>
          <w:szCs w:val="24"/>
        </w:rPr>
      </w:pPr>
      <w:r>
        <w:rPr>
          <w:rFonts w:hint="eastAsia"/>
          <w:sz w:val="24"/>
          <w:szCs w:val="24"/>
        </w:rPr>
        <w:t>根据GB1.1-2009《标准化工作原则 第1部分：标准的结构和编写》中对标准结构的规定和中国环境学会标准的写法，最后确定本标准的主要框架和内容。</w:t>
      </w:r>
    </w:p>
    <w:p w14:paraId="1391890A">
      <w:pPr>
        <w:spacing w:line="360" w:lineRule="auto"/>
        <w:ind w:firstLine="480" w:firstLineChars="200"/>
        <w:rPr>
          <w:sz w:val="24"/>
          <w:szCs w:val="24"/>
        </w:rPr>
      </w:pPr>
      <w:r>
        <w:rPr>
          <w:rFonts w:hint="eastAsia"/>
          <w:sz w:val="24"/>
          <w:szCs w:val="24"/>
        </w:rPr>
        <w:t>（2）</w:t>
      </w:r>
      <w:r>
        <w:rPr>
          <w:rFonts w:hint="eastAsia"/>
          <w:sz w:val="24"/>
          <w:szCs w:val="24"/>
        </w:rPr>
        <w:tab/>
      </w:r>
      <w:r>
        <w:rPr>
          <w:rFonts w:hint="eastAsia"/>
          <w:sz w:val="24"/>
          <w:szCs w:val="24"/>
        </w:rPr>
        <w:t>封面、目次、前言</w:t>
      </w:r>
    </w:p>
    <w:p w14:paraId="415C3CEF">
      <w:pPr>
        <w:spacing w:line="360" w:lineRule="auto"/>
        <w:ind w:firstLine="480" w:firstLineChars="200"/>
        <w:rPr>
          <w:sz w:val="24"/>
          <w:szCs w:val="24"/>
        </w:rPr>
      </w:pPr>
      <w:r>
        <w:rPr>
          <w:rFonts w:hint="eastAsia"/>
          <w:sz w:val="24"/>
          <w:szCs w:val="24"/>
        </w:rPr>
        <w:t>本标准的封面、目次和前言分别按照 GB 1.1- 2009以及中国环境学会团体标准要求设置。</w:t>
      </w:r>
    </w:p>
    <w:p w14:paraId="02F8F4CE">
      <w:pPr>
        <w:spacing w:line="360" w:lineRule="auto"/>
        <w:ind w:firstLine="480" w:firstLineChars="200"/>
        <w:rPr>
          <w:sz w:val="24"/>
          <w:szCs w:val="24"/>
        </w:rPr>
      </w:pPr>
      <w:r>
        <w:rPr>
          <w:rFonts w:hint="eastAsia"/>
          <w:sz w:val="24"/>
          <w:szCs w:val="24"/>
        </w:rPr>
        <w:t>（3）</w:t>
      </w:r>
      <w:r>
        <w:rPr>
          <w:rFonts w:hint="eastAsia"/>
          <w:sz w:val="24"/>
          <w:szCs w:val="24"/>
        </w:rPr>
        <w:tab/>
      </w:r>
      <w:r>
        <w:rPr>
          <w:rFonts w:hint="eastAsia"/>
          <w:sz w:val="24"/>
          <w:szCs w:val="24"/>
        </w:rPr>
        <w:t>范围</w:t>
      </w:r>
    </w:p>
    <w:p w14:paraId="4C324F8A">
      <w:pPr>
        <w:spacing w:line="360" w:lineRule="auto"/>
        <w:ind w:firstLine="480" w:firstLineChars="200"/>
        <w:rPr>
          <w:sz w:val="24"/>
          <w:szCs w:val="24"/>
        </w:rPr>
      </w:pPr>
      <w:r>
        <w:rPr>
          <w:rFonts w:hint="eastAsia"/>
          <w:sz w:val="24"/>
          <w:szCs w:val="24"/>
        </w:rPr>
        <w:t>本标准的范围是按照立项申请书的内容，依据国家现有水基钻井废弃泥浆全量集中处理与资源化利用技术的现状与需求，结合我国水基钻井废弃泥浆全量集中处理与资源化利用技术的具体情况编写的。</w:t>
      </w:r>
    </w:p>
    <w:p w14:paraId="21719D4A">
      <w:pPr>
        <w:spacing w:line="360" w:lineRule="auto"/>
        <w:ind w:firstLine="480" w:firstLineChars="200"/>
        <w:rPr>
          <w:sz w:val="24"/>
          <w:szCs w:val="24"/>
        </w:rPr>
      </w:pPr>
      <w:r>
        <w:rPr>
          <w:rFonts w:hint="eastAsia"/>
          <w:sz w:val="24"/>
          <w:szCs w:val="24"/>
        </w:rPr>
        <w:t>（4）</w:t>
      </w:r>
      <w:r>
        <w:rPr>
          <w:rFonts w:hint="eastAsia"/>
          <w:sz w:val="24"/>
          <w:szCs w:val="24"/>
        </w:rPr>
        <w:tab/>
      </w:r>
      <w:r>
        <w:rPr>
          <w:rFonts w:hint="eastAsia"/>
          <w:sz w:val="24"/>
          <w:szCs w:val="24"/>
        </w:rPr>
        <w:t>规范性引用文件</w:t>
      </w:r>
    </w:p>
    <w:p w14:paraId="77B396F5">
      <w:pPr>
        <w:spacing w:line="360" w:lineRule="auto"/>
        <w:ind w:firstLine="480" w:firstLineChars="200"/>
        <w:rPr>
          <w:sz w:val="24"/>
          <w:szCs w:val="24"/>
        </w:rPr>
      </w:pPr>
      <w:r>
        <w:rPr>
          <w:rFonts w:hint="eastAsia"/>
          <w:sz w:val="24"/>
          <w:szCs w:val="24"/>
        </w:rPr>
        <w:t>本标准的规范性引用文件是按照 GB 1.1- 2009 中“6.2.3 规范性引用文件”的规定编写的。</w:t>
      </w:r>
    </w:p>
    <w:p w14:paraId="27376340">
      <w:pPr>
        <w:spacing w:line="360" w:lineRule="auto"/>
        <w:ind w:firstLine="480" w:firstLineChars="200"/>
        <w:rPr>
          <w:sz w:val="24"/>
          <w:szCs w:val="24"/>
        </w:rPr>
      </w:pPr>
      <w:r>
        <w:rPr>
          <w:rFonts w:hint="eastAsia"/>
          <w:sz w:val="24"/>
          <w:szCs w:val="24"/>
        </w:rPr>
        <w:t>（5）</w:t>
      </w:r>
      <w:r>
        <w:rPr>
          <w:sz w:val="24"/>
          <w:szCs w:val="24"/>
        </w:rPr>
        <w:tab/>
      </w:r>
      <w:r>
        <w:rPr>
          <w:rFonts w:hint="eastAsia"/>
          <w:sz w:val="24"/>
          <w:szCs w:val="24"/>
        </w:rPr>
        <w:t>集中处理工艺设计</w:t>
      </w:r>
    </w:p>
    <w:p w14:paraId="7769F175">
      <w:pPr>
        <w:spacing w:line="360" w:lineRule="auto"/>
        <w:ind w:firstLine="480" w:firstLineChars="200"/>
        <w:rPr>
          <w:sz w:val="24"/>
          <w:szCs w:val="24"/>
        </w:rPr>
      </w:pPr>
      <w:r>
        <w:rPr>
          <w:rFonts w:hint="eastAsia"/>
          <w:sz w:val="24"/>
          <w:szCs w:val="24"/>
        </w:rPr>
        <w:t>本标准第6 部分为该标准的主体。编制组调查、收集了大量国内外有关的文献资料。同时，编制组在长期的工作经验积累的基础上，对各实验方法的实验条件进行了大量的验证试验。</w:t>
      </w:r>
    </w:p>
    <w:p w14:paraId="36F2047B">
      <w:pPr>
        <w:pStyle w:val="2"/>
        <w:spacing w:before="0" w:after="0" w:line="360" w:lineRule="auto"/>
        <w:rPr>
          <w:rFonts w:ascii="Times New Roman" w:hAnsi="Times New Roman" w:eastAsia="宋体"/>
          <w:sz w:val="24"/>
          <w:szCs w:val="24"/>
        </w:rPr>
      </w:pPr>
      <w:bookmarkStart w:id="8" w:name="_Toc172817425"/>
      <w:r>
        <w:rPr>
          <w:rFonts w:hint="eastAsia" w:ascii="Times New Roman" w:hAnsi="Times New Roman" w:eastAsia="宋体"/>
          <w:sz w:val="24"/>
          <w:szCs w:val="24"/>
        </w:rPr>
        <w:t>3、主要条款的说明</w:t>
      </w:r>
      <w:bookmarkEnd w:id="8"/>
    </w:p>
    <w:p w14:paraId="2D0D306C">
      <w:pPr>
        <w:spacing w:line="360" w:lineRule="auto"/>
        <w:ind w:firstLine="480" w:firstLineChars="200"/>
        <w:rPr>
          <w:sz w:val="24"/>
          <w:szCs w:val="24"/>
        </w:rPr>
      </w:pPr>
      <w:r>
        <w:rPr>
          <w:rFonts w:hint="eastAsia"/>
          <w:sz w:val="24"/>
          <w:szCs w:val="24"/>
        </w:rPr>
        <w:t>3</w:t>
      </w:r>
      <w:r>
        <w:rPr>
          <w:sz w:val="24"/>
          <w:szCs w:val="24"/>
        </w:rPr>
        <w:t>.1</w:t>
      </w:r>
      <w:r>
        <w:rPr>
          <w:rFonts w:hint="eastAsia"/>
          <w:sz w:val="24"/>
          <w:szCs w:val="24"/>
        </w:rPr>
        <w:t xml:space="preserve">工艺设计原则 </w:t>
      </w:r>
    </w:p>
    <w:p w14:paraId="30CEC524">
      <w:pPr>
        <w:spacing w:line="360" w:lineRule="auto"/>
        <w:ind w:firstLine="480" w:firstLineChars="200"/>
        <w:rPr>
          <w:color w:val="000000"/>
          <w:sz w:val="24"/>
          <w:szCs w:val="24"/>
        </w:rPr>
      </w:pPr>
      <w:r>
        <w:rPr>
          <w:color w:val="000000"/>
          <w:sz w:val="24"/>
          <w:szCs w:val="24"/>
        </w:rPr>
        <w:t>通过查阅相关文献资料和长期工作经验基础上， 对工艺设计原则进行编</w:t>
      </w:r>
      <w:r>
        <w:rPr>
          <w:rFonts w:hint="eastAsia"/>
          <w:color w:val="000000"/>
          <w:sz w:val="24"/>
          <w:szCs w:val="24"/>
        </w:rPr>
        <w:t>制。</w:t>
      </w:r>
    </w:p>
    <w:p w14:paraId="5A2EE03C">
      <w:pPr>
        <w:spacing w:line="360" w:lineRule="auto"/>
        <w:ind w:firstLine="480" w:firstLineChars="200"/>
        <w:rPr>
          <w:sz w:val="24"/>
          <w:szCs w:val="24"/>
        </w:rPr>
      </w:pPr>
      <w:r>
        <w:rPr>
          <w:rFonts w:hint="eastAsia"/>
          <w:sz w:val="24"/>
        </w:rPr>
        <w:t xml:space="preserve">3.2处理流程 </w:t>
      </w:r>
    </w:p>
    <w:p w14:paraId="16B567EB">
      <w:pPr>
        <w:spacing w:line="360" w:lineRule="auto"/>
        <w:ind w:firstLine="480" w:firstLineChars="200"/>
        <w:rPr>
          <w:color w:val="000000"/>
          <w:sz w:val="24"/>
          <w:szCs w:val="24"/>
        </w:rPr>
      </w:pPr>
      <w:r>
        <w:rPr>
          <w:rFonts w:hint="eastAsia"/>
          <w:color w:val="000000"/>
          <w:sz w:val="24"/>
          <w:szCs w:val="24"/>
        </w:rPr>
        <w:t>根据工艺设计，制定废弃水基钻井液集中处理工艺流程。废弃水基钻井液运输至集中处理厂后进入筛分单元、破胶单元、固液分离单元、预处理单元、生物处理单元、深度处理、膜分离等单元处理后进行不同途径的资源化利用。</w:t>
      </w:r>
    </w:p>
    <w:p w14:paraId="11A49ACE">
      <w:pPr>
        <w:spacing w:line="360" w:lineRule="auto"/>
        <w:jc w:val="center"/>
      </w:pPr>
      <w:r>
        <w:rPr>
          <w:rFonts w:hint="eastAsia"/>
          <w:color w:val="000000"/>
          <w:spacing w:val="-4"/>
        </w:rPr>
        <w:t>表2 废弃水基钻井液集中处理各工艺单元推荐技术参数范围</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26"/>
      </w:tblGrid>
      <w:tr w14:paraId="3262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5B61328C">
            <w:pPr>
              <w:widowControl/>
              <w:spacing w:line="360" w:lineRule="auto"/>
              <w:ind w:firstLine="200"/>
              <w:rPr>
                <w:rFonts w:cs="宋体"/>
                <w:kern w:val="0"/>
                <w:lang w:bidi="ar"/>
              </w:rPr>
            </w:pPr>
            <w:r>
              <w:rPr>
                <w:rFonts w:hint="eastAsia" w:cs="宋体"/>
                <w:kern w:val="0"/>
                <w:lang w:bidi="ar"/>
              </w:rPr>
              <w:t>筛分单元</w:t>
            </w:r>
          </w:p>
        </w:tc>
        <w:tc>
          <w:tcPr>
            <w:tcW w:w="6826" w:type="dxa"/>
          </w:tcPr>
          <w:p w14:paraId="172346B5">
            <w:pPr>
              <w:widowControl/>
              <w:spacing w:line="360" w:lineRule="auto"/>
              <w:ind w:firstLine="200"/>
              <w:rPr>
                <w:rFonts w:cs="宋体"/>
                <w:kern w:val="0"/>
                <w:lang w:bidi="ar"/>
              </w:rPr>
            </w:pPr>
            <w:r>
              <w:rPr>
                <w:rFonts w:hint="eastAsia" w:cs="宋体"/>
                <w:kern w:val="0"/>
                <w:lang w:bidi="ar"/>
              </w:rPr>
              <w:t>筛分设备推荐但不限于高频率直线/椭圆型振动筛，筛网开孔80-120目</w:t>
            </w:r>
          </w:p>
        </w:tc>
      </w:tr>
      <w:tr w14:paraId="54A5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691C3E79">
            <w:pPr>
              <w:widowControl/>
              <w:spacing w:line="360" w:lineRule="auto"/>
              <w:ind w:firstLine="200"/>
              <w:rPr>
                <w:rFonts w:cs="宋体"/>
                <w:kern w:val="0"/>
                <w:lang w:bidi="ar"/>
              </w:rPr>
            </w:pPr>
            <w:r>
              <w:rPr>
                <w:rFonts w:hint="eastAsia" w:cs="宋体"/>
                <w:kern w:val="0"/>
                <w:lang w:bidi="ar"/>
              </w:rPr>
              <w:t>破胶单元</w:t>
            </w:r>
          </w:p>
        </w:tc>
        <w:tc>
          <w:tcPr>
            <w:tcW w:w="6826" w:type="dxa"/>
          </w:tcPr>
          <w:p w14:paraId="450959D2">
            <w:pPr>
              <w:widowControl/>
              <w:spacing w:line="360" w:lineRule="auto"/>
              <w:ind w:firstLine="200"/>
              <w:rPr>
                <w:rFonts w:cs="宋体"/>
                <w:kern w:val="0"/>
                <w:lang w:bidi="ar"/>
              </w:rPr>
            </w:pPr>
            <w:r>
              <w:rPr>
                <w:rFonts w:hint="eastAsia" w:cs="宋体"/>
                <w:kern w:val="0"/>
                <w:lang w:bidi="ar"/>
              </w:rPr>
              <w:t>破胶剂添加量1%-3%，破胶剂推荐使用聚合氯化铝、聚合氯化铁等</w:t>
            </w:r>
          </w:p>
        </w:tc>
      </w:tr>
      <w:tr w14:paraId="63DB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1FA3859E">
            <w:pPr>
              <w:widowControl/>
              <w:spacing w:line="360" w:lineRule="auto"/>
              <w:ind w:firstLine="200"/>
              <w:rPr>
                <w:rFonts w:cs="宋体"/>
                <w:kern w:val="0"/>
                <w:lang w:bidi="ar"/>
              </w:rPr>
            </w:pPr>
            <w:r>
              <w:rPr>
                <w:rFonts w:hint="eastAsia" w:cs="宋体"/>
                <w:kern w:val="0"/>
                <w:lang w:bidi="ar"/>
              </w:rPr>
              <w:t>固液分离单元</w:t>
            </w:r>
          </w:p>
        </w:tc>
        <w:tc>
          <w:tcPr>
            <w:tcW w:w="6826" w:type="dxa"/>
          </w:tcPr>
          <w:p w14:paraId="13BBFD7C">
            <w:pPr>
              <w:widowControl/>
              <w:spacing w:line="360" w:lineRule="auto"/>
              <w:ind w:firstLine="200"/>
              <w:rPr>
                <w:rFonts w:cs="宋体"/>
                <w:kern w:val="0"/>
                <w:lang w:bidi="ar"/>
              </w:rPr>
            </w:pPr>
            <w:r>
              <w:rPr>
                <w:rFonts w:hint="eastAsia" w:cs="宋体"/>
                <w:kern w:val="0"/>
                <w:lang w:bidi="ar"/>
              </w:rPr>
              <w:t>固液分离推荐但不限于隔膜式板框压滤机，滤布选用耐酸碱材料，固液分离后泥饼含水率≤65%</w:t>
            </w:r>
          </w:p>
        </w:tc>
      </w:tr>
      <w:tr w14:paraId="7906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4E502724">
            <w:pPr>
              <w:widowControl/>
              <w:spacing w:line="360" w:lineRule="auto"/>
              <w:ind w:firstLine="200"/>
              <w:rPr>
                <w:rFonts w:cs="宋体"/>
                <w:kern w:val="0"/>
                <w:lang w:bidi="ar"/>
              </w:rPr>
            </w:pPr>
            <w:r>
              <w:rPr>
                <w:rFonts w:hint="eastAsia" w:cs="宋体"/>
                <w:kern w:val="0"/>
                <w:lang w:bidi="ar"/>
              </w:rPr>
              <w:t>预处理单元</w:t>
            </w:r>
          </w:p>
        </w:tc>
        <w:tc>
          <w:tcPr>
            <w:tcW w:w="6826" w:type="dxa"/>
          </w:tcPr>
          <w:p w14:paraId="5D24FEAA">
            <w:pPr>
              <w:widowControl/>
              <w:spacing w:line="360" w:lineRule="auto"/>
              <w:ind w:firstLine="200"/>
              <w:rPr>
                <w:rFonts w:cs="宋体"/>
                <w:kern w:val="0"/>
                <w:lang w:bidi="ar"/>
              </w:rPr>
            </w:pPr>
            <w:r>
              <w:rPr>
                <w:rFonts w:hint="eastAsia" w:cs="宋体"/>
                <w:kern w:val="0"/>
                <w:lang w:bidi="ar"/>
              </w:rPr>
              <w:t>预处理中氧化剂添加量为0.1%-0.3%，pH=3~5,反应时间≥2</w:t>
            </w:r>
            <w:r>
              <w:rPr>
                <w:rFonts w:cs="宋体"/>
                <w:kern w:val="0"/>
                <w:lang w:bidi="ar"/>
              </w:rPr>
              <w:t xml:space="preserve"> </w:t>
            </w:r>
            <w:r>
              <w:rPr>
                <w:rFonts w:hint="eastAsia" w:cs="宋体"/>
                <w:kern w:val="0"/>
                <w:lang w:bidi="ar"/>
              </w:rPr>
              <w:t>h</w:t>
            </w:r>
          </w:p>
        </w:tc>
      </w:tr>
      <w:tr w14:paraId="2447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05A2B3BE">
            <w:pPr>
              <w:widowControl/>
              <w:spacing w:line="360" w:lineRule="auto"/>
              <w:ind w:firstLine="200"/>
              <w:rPr>
                <w:rFonts w:cs="宋体"/>
                <w:kern w:val="0"/>
                <w:lang w:bidi="ar"/>
              </w:rPr>
            </w:pPr>
            <w:r>
              <w:rPr>
                <w:rFonts w:hint="eastAsia" w:cs="宋体"/>
                <w:kern w:val="0"/>
                <w:lang w:bidi="ar"/>
              </w:rPr>
              <w:t>生化单元</w:t>
            </w:r>
          </w:p>
        </w:tc>
        <w:tc>
          <w:tcPr>
            <w:tcW w:w="6826" w:type="dxa"/>
          </w:tcPr>
          <w:p w14:paraId="4BA5E009">
            <w:pPr>
              <w:widowControl/>
              <w:spacing w:line="360" w:lineRule="auto"/>
              <w:ind w:firstLine="200"/>
              <w:rPr>
                <w:rFonts w:cs="宋体"/>
                <w:kern w:val="0"/>
                <w:lang w:bidi="ar"/>
              </w:rPr>
            </w:pPr>
            <w:r>
              <w:rPr>
                <w:rFonts w:hint="eastAsia" w:cs="宋体"/>
                <w:kern w:val="0"/>
                <w:lang w:bidi="ar"/>
              </w:rPr>
              <w:t>兼氧菌处理废水：停留时间≥12</w:t>
            </w:r>
            <w:r>
              <w:rPr>
                <w:rFonts w:cs="宋体"/>
                <w:kern w:val="0"/>
                <w:lang w:bidi="ar"/>
              </w:rPr>
              <w:t xml:space="preserve"> </w:t>
            </w:r>
            <w:r>
              <w:rPr>
                <w:rFonts w:hint="eastAsia" w:cs="宋体"/>
                <w:kern w:val="0"/>
                <w:lang w:bidi="ar"/>
              </w:rPr>
              <w:t>h，0.2＜溶解氧＜0.5</w:t>
            </w:r>
            <w:r>
              <w:rPr>
                <w:rFonts w:cs="宋体"/>
                <w:kern w:val="0"/>
                <w:lang w:bidi="ar"/>
              </w:rPr>
              <w:t xml:space="preserve"> </w:t>
            </w:r>
            <w:r>
              <w:rPr>
                <w:rFonts w:hint="eastAsia" w:cs="宋体"/>
                <w:kern w:val="0"/>
                <w:lang w:bidi="ar"/>
              </w:rPr>
              <w:t>mg/L；厌氧菌处理废水：停留时间≥15，溶解氧＜0.2</w:t>
            </w:r>
            <w:r>
              <w:rPr>
                <w:rFonts w:cs="宋体"/>
                <w:kern w:val="0"/>
                <w:lang w:bidi="ar"/>
              </w:rPr>
              <w:t xml:space="preserve"> </w:t>
            </w:r>
            <w:r>
              <w:rPr>
                <w:rFonts w:hint="eastAsia" w:cs="宋体"/>
                <w:kern w:val="0"/>
                <w:lang w:bidi="ar"/>
              </w:rPr>
              <w:t>mg/</w:t>
            </w:r>
            <w:r>
              <w:rPr>
                <w:rFonts w:cs="宋体"/>
                <w:kern w:val="0"/>
                <w:lang w:bidi="ar"/>
              </w:rPr>
              <w:t>L</w:t>
            </w:r>
            <w:r>
              <w:rPr>
                <w:rFonts w:hint="eastAsia" w:cs="宋体"/>
                <w:kern w:val="0"/>
                <w:lang w:bidi="ar"/>
              </w:rPr>
              <w:t>；好氧菌处理废水：停留时间≥24</w:t>
            </w:r>
            <w:r>
              <w:rPr>
                <w:rFonts w:cs="宋体"/>
                <w:kern w:val="0"/>
                <w:lang w:bidi="ar"/>
              </w:rPr>
              <w:t xml:space="preserve"> </w:t>
            </w:r>
            <w:r>
              <w:rPr>
                <w:rFonts w:hint="eastAsia" w:cs="宋体"/>
                <w:kern w:val="0"/>
                <w:lang w:bidi="ar"/>
              </w:rPr>
              <w:t>h，2</w:t>
            </w:r>
            <w:r>
              <w:rPr>
                <w:rFonts w:cs="宋体"/>
                <w:kern w:val="0"/>
                <w:lang w:bidi="ar"/>
              </w:rPr>
              <w:t xml:space="preserve"> </w:t>
            </w:r>
            <w:r>
              <w:rPr>
                <w:rFonts w:hint="eastAsia" w:cs="宋体"/>
                <w:kern w:val="0"/>
                <w:lang w:bidi="ar"/>
              </w:rPr>
              <w:t>mg/L＜溶解氧＜5</w:t>
            </w:r>
            <w:r>
              <w:rPr>
                <w:rFonts w:cs="宋体"/>
                <w:kern w:val="0"/>
                <w:lang w:bidi="ar"/>
              </w:rPr>
              <w:t xml:space="preserve"> </w:t>
            </w:r>
            <w:r>
              <w:rPr>
                <w:rFonts w:hint="eastAsia" w:cs="宋体"/>
                <w:kern w:val="0"/>
                <w:lang w:bidi="ar"/>
              </w:rPr>
              <w:t>mg/L</w:t>
            </w:r>
          </w:p>
        </w:tc>
      </w:tr>
      <w:tr w14:paraId="4F8A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58D1528A">
            <w:pPr>
              <w:widowControl/>
              <w:spacing w:line="360" w:lineRule="auto"/>
              <w:ind w:firstLine="200"/>
              <w:rPr>
                <w:rFonts w:cs="宋体"/>
                <w:kern w:val="0"/>
                <w:lang w:bidi="ar"/>
              </w:rPr>
            </w:pPr>
            <w:r>
              <w:rPr>
                <w:rFonts w:hint="eastAsia" w:cs="宋体"/>
                <w:kern w:val="0"/>
                <w:lang w:bidi="ar"/>
              </w:rPr>
              <w:t>膜处理单元</w:t>
            </w:r>
          </w:p>
        </w:tc>
        <w:tc>
          <w:tcPr>
            <w:tcW w:w="6826" w:type="dxa"/>
          </w:tcPr>
          <w:p w14:paraId="193FB94F">
            <w:pPr>
              <w:widowControl/>
              <w:spacing w:line="360" w:lineRule="auto"/>
              <w:ind w:firstLine="200"/>
              <w:rPr>
                <w:rFonts w:cs="宋体"/>
                <w:kern w:val="0"/>
                <w:lang w:bidi="ar"/>
              </w:rPr>
            </w:pPr>
            <w:r>
              <w:rPr>
                <w:rFonts w:hint="eastAsia" w:cs="宋体"/>
                <w:kern w:val="0"/>
                <w:lang w:bidi="ar"/>
              </w:rPr>
              <w:t>进水硬度≤500</w:t>
            </w:r>
            <w:r>
              <w:rPr>
                <w:rFonts w:cs="宋体"/>
                <w:kern w:val="0"/>
                <w:lang w:bidi="ar"/>
              </w:rPr>
              <w:t xml:space="preserve"> </w:t>
            </w:r>
            <w:r>
              <w:rPr>
                <w:rFonts w:hint="eastAsia" w:cs="宋体"/>
                <w:kern w:val="0"/>
                <w:lang w:bidi="ar"/>
              </w:rPr>
              <w:t>mg/</w:t>
            </w:r>
            <w:r>
              <w:rPr>
                <w:rFonts w:cs="宋体"/>
                <w:kern w:val="0"/>
                <w:lang w:bidi="ar"/>
              </w:rPr>
              <w:t>L</w:t>
            </w:r>
            <w:r>
              <w:rPr>
                <w:rFonts w:hint="eastAsia" w:cs="宋体"/>
                <w:kern w:val="0"/>
                <w:lang w:bidi="ar"/>
              </w:rPr>
              <w:t>，-200</w:t>
            </w:r>
            <w:r>
              <w:rPr>
                <w:rFonts w:cs="宋体"/>
                <w:kern w:val="0"/>
                <w:lang w:bidi="ar"/>
              </w:rPr>
              <w:t xml:space="preserve"> mV</w:t>
            </w:r>
            <w:r>
              <w:rPr>
                <w:rFonts w:hint="eastAsia" w:cs="宋体"/>
                <w:kern w:val="0"/>
                <w:lang w:bidi="ar"/>
              </w:rPr>
              <w:t>＜氧化还原电位＜150</w:t>
            </w:r>
            <w:r>
              <w:rPr>
                <w:rFonts w:cs="宋体"/>
                <w:kern w:val="0"/>
                <w:lang w:bidi="ar"/>
              </w:rPr>
              <w:t xml:space="preserve"> </w:t>
            </w:r>
            <w:r>
              <w:rPr>
                <w:rFonts w:hint="eastAsia" w:cs="宋体"/>
                <w:kern w:val="0"/>
                <w:lang w:bidi="ar"/>
              </w:rPr>
              <w:t>m</w:t>
            </w:r>
            <w:r>
              <w:rPr>
                <w:rFonts w:cs="宋体"/>
                <w:kern w:val="0"/>
                <w:lang w:bidi="ar"/>
              </w:rPr>
              <w:t>V</w:t>
            </w:r>
          </w:p>
        </w:tc>
      </w:tr>
      <w:tr w14:paraId="5E5F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3D0DD1E8">
            <w:pPr>
              <w:widowControl/>
              <w:spacing w:line="360" w:lineRule="auto"/>
              <w:ind w:firstLine="200"/>
              <w:jc w:val="center"/>
              <w:rPr>
                <w:rFonts w:cs="宋体"/>
                <w:kern w:val="0"/>
                <w:lang w:bidi="ar"/>
              </w:rPr>
            </w:pPr>
            <w:r>
              <w:rPr>
                <w:rFonts w:hint="eastAsia" w:cs="宋体"/>
                <w:kern w:val="0"/>
                <w:lang w:bidi="ar"/>
              </w:rPr>
              <w:t>MVR处理</w:t>
            </w:r>
          </w:p>
          <w:p w14:paraId="4A222954">
            <w:pPr>
              <w:widowControl/>
              <w:spacing w:line="360" w:lineRule="auto"/>
              <w:ind w:firstLine="200"/>
              <w:jc w:val="center"/>
              <w:rPr>
                <w:rFonts w:cs="宋体"/>
                <w:kern w:val="0"/>
                <w:lang w:bidi="ar"/>
              </w:rPr>
            </w:pPr>
            <w:r>
              <w:rPr>
                <w:rFonts w:hint="eastAsia" w:cs="宋体"/>
                <w:kern w:val="0"/>
                <w:lang w:bidi="ar"/>
              </w:rPr>
              <w:t>单元</w:t>
            </w:r>
          </w:p>
        </w:tc>
        <w:tc>
          <w:tcPr>
            <w:tcW w:w="6826" w:type="dxa"/>
          </w:tcPr>
          <w:p w14:paraId="6EF4B79C">
            <w:pPr>
              <w:widowControl/>
              <w:spacing w:line="360" w:lineRule="auto"/>
              <w:ind w:firstLine="200"/>
              <w:rPr>
                <w:rFonts w:cs="宋体"/>
                <w:kern w:val="0"/>
                <w:lang w:bidi="ar"/>
              </w:rPr>
            </w:pPr>
            <w:r>
              <w:rPr>
                <w:rFonts w:hint="eastAsia" w:cs="宋体"/>
                <w:kern w:val="0"/>
                <w:lang w:bidi="ar"/>
              </w:rPr>
              <w:t>进水硬度＜500</w:t>
            </w:r>
            <w:r>
              <w:rPr>
                <w:rFonts w:cs="宋体"/>
                <w:kern w:val="0"/>
                <w:lang w:bidi="ar"/>
              </w:rPr>
              <w:t xml:space="preserve"> </w:t>
            </w:r>
            <w:r>
              <w:rPr>
                <w:rFonts w:hint="eastAsia" w:cs="宋体"/>
                <w:kern w:val="0"/>
                <w:lang w:bidi="ar"/>
              </w:rPr>
              <w:t>mg/</w:t>
            </w:r>
            <w:r>
              <w:rPr>
                <w:rFonts w:cs="宋体"/>
                <w:kern w:val="0"/>
                <w:lang w:bidi="ar"/>
              </w:rPr>
              <w:t>L</w:t>
            </w:r>
          </w:p>
        </w:tc>
      </w:tr>
    </w:tbl>
    <w:p w14:paraId="1819D1B4">
      <w:pPr>
        <w:spacing w:line="360" w:lineRule="auto"/>
        <w:ind w:firstLine="480" w:firstLineChars="200"/>
        <w:rPr>
          <w:sz w:val="24"/>
          <w:szCs w:val="24"/>
        </w:rPr>
      </w:pPr>
      <w:r>
        <w:rPr>
          <w:rFonts w:hint="eastAsia"/>
          <w:sz w:val="24"/>
          <w:szCs w:val="24"/>
        </w:rPr>
        <w:t>3</w:t>
      </w:r>
      <w:r>
        <w:rPr>
          <w:sz w:val="24"/>
          <w:szCs w:val="24"/>
        </w:rPr>
        <w:t>.2.1</w:t>
      </w:r>
      <w:r>
        <w:rPr>
          <w:rFonts w:hint="eastAsia"/>
          <w:sz w:val="24"/>
          <w:szCs w:val="24"/>
        </w:rPr>
        <w:t>筛分单元</w:t>
      </w:r>
    </w:p>
    <w:p w14:paraId="386A693B">
      <w:pPr>
        <w:snapToGrid w:val="0"/>
        <w:spacing w:line="360" w:lineRule="auto"/>
        <w:ind w:firstLine="480" w:firstLineChars="200"/>
        <w:jc w:val="left"/>
        <w:rPr>
          <w:color w:val="000000"/>
        </w:rPr>
      </w:pPr>
      <w:r>
        <w:rPr>
          <w:color w:val="000000"/>
          <w:sz w:val="24"/>
          <w:szCs w:val="24"/>
        </w:rPr>
        <w:t>进行负压筛分设备现场中试试验，运行参数：筛网为100目，激振力为8G，处理量设置为5 m</w:t>
      </w:r>
      <w:r>
        <w:rPr>
          <w:color w:val="000000"/>
          <w:sz w:val="24"/>
          <w:szCs w:val="24"/>
          <w:vertAlign w:val="superscript"/>
        </w:rPr>
        <w:t>3</w:t>
      </w:r>
      <w:r>
        <w:rPr>
          <w:color w:val="000000"/>
          <w:sz w:val="24"/>
          <w:szCs w:val="24"/>
        </w:rPr>
        <w:t>/h，共运行15天，共计处置废弃泥浆45000方，每天定时采样检测筛分效果。筛上物岩屑的含水率为43%左右，筛下液相含固率为24%左右。</w:t>
      </w:r>
    </w:p>
    <w:p w14:paraId="59AAB0D0">
      <w:pPr>
        <w:spacing w:line="360" w:lineRule="auto"/>
        <w:ind w:firstLine="480" w:firstLineChars="200"/>
        <w:rPr>
          <w:sz w:val="24"/>
          <w:szCs w:val="24"/>
        </w:rPr>
      </w:pPr>
      <w:r>
        <w:rPr>
          <w:rFonts w:hint="eastAsia"/>
          <w:sz w:val="24"/>
          <w:szCs w:val="24"/>
        </w:rPr>
        <w:t>3</w:t>
      </w:r>
      <w:r>
        <w:rPr>
          <w:sz w:val="24"/>
          <w:szCs w:val="24"/>
        </w:rPr>
        <w:t>.2.2</w:t>
      </w:r>
      <w:r>
        <w:rPr>
          <w:rFonts w:hint="eastAsia"/>
          <w:sz w:val="24"/>
          <w:szCs w:val="24"/>
        </w:rPr>
        <w:t>破胶单元</w:t>
      </w:r>
    </w:p>
    <w:p w14:paraId="2E002EC7">
      <w:pPr>
        <w:spacing w:line="360" w:lineRule="auto"/>
        <w:ind w:firstLine="600" w:firstLineChars="250"/>
        <w:rPr>
          <w:sz w:val="24"/>
          <w:szCs w:val="24"/>
        </w:rPr>
      </w:pPr>
      <w:r>
        <w:rPr>
          <w:rFonts w:hint="eastAsia"/>
          <w:sz w:val="24"/>
          <w:szCs w:val="24"/>
        </w:rPr>
        <w:t>通过室内探究实验，确定破胶剂最佳的使用条件，投加量为3%、pH为8、搅拌时间为15</w:t>
      </w:r>
      <w:r>
        <w:rPr>
          <w:sz w:val="24"/>
          <w:szCs w:val="24"/>
        </w:rPr>
        <w:t xml:space="preserve"> </w:t>
      </w:r>
      <w:r>
        <w:rPr>
          <w:rFonts w:hint="eastAsia"/>
          <w:sz w:val="24"/>
          <w:szCs w:val="24"/>
        </w:rPr>
        <w:t>min。</w:t>
      </w:r>
    </w:p>
    <w:p w14:paraId="10A1D603">
      <w:pPr>
        <w:spacing w:line="360" w:lineRule="auto"/>
        <w:ind w:firstLine="480" w:firstLineChars="200"/>
        <w:rPr>
          <w:sz w:val="24"/>
          <w:szCs w:val="24"/>
        </w:rPr>
      </w:pPr>
      <w:r>
        <w:rPr>
          <w:rFonts w:hint="eastAsia"/>
          <w:sz w:val="24"/>
          <w:szCs w:val="24"/>
        </w:rPr>
        <w:t>3</w:t>
      </w:r>
      <w:r>
        <w:rPr>
          <w:sz w:val="24"/>
          <w:szCs w:val="24"/>
        </w:rPr>
        <w:t>.2.3</w:t>
      </w:r>
      <w:r>
        <w:rPr>
          <w:rFonts w:hint="eastAsia"/>
          <w:sz w:val="24"/>
          <w:szCs w:val="24"/>
        </w:rPr>
        <w:t>固液分离单元</w:t>
      </w:r>
    </w:p>
    <w:p w14:paraId="5EAF9273">
      <w:pPr>
        <w:spacing w:line="360" w:lineRule="auto"/>
        <w:ind w:firstLine="480" w:firstLineChars="200"/>
        <w:rPr>
          <w:sz w:val="24"/>
          <w:szCs w:val="24"/>
        </w:rPr>
      </w:pPr>
      <w:r>
        <w:rPr>
          <w:rFonts w:hint="eastAsia"/>
          <w:sz w:val="24"/>
          <w:szCs w:val="24"/>
        </w:rPr>
        <w:t>利用筛分设备现场中试试验，处理量设置为5</w:t>
      </w:r>
      <w:r>
        <w:rPr>
          <w:sz w:val="24"/>
          <w:szCs w:val="24"/>
        </w:rPr>
        <w:t xml:space="preserve"> </w:t>
      </w:r>
      <w:r>
        <w:rPr>
          <w:rFonts w:hint="eastAsia"/>
          <w:sz w:val="24"/>
          <w:szCs w:val="24"/>
        </w:rPr>
        <w:t>m</w:t>
      </w:r>
      <w:r>
        <w:rPr>
          <w:rFonts w:hint="eastAsia"/>
          <w:sz w:val="24"/>
          <w:szCs w:val="24"/>
          <w:vertAlign w:val="superscript"/>
        </w:rPr>
        <w:t>3</w:t>
      </w:r>
      <w:r>
        <w:rPr>
          <w:rFonts w:hint="eastAsia"/>
          <w:sz w:val="24"/>
          <w:szCs w:val="24"/>
        </w:rPr>
        <w:t>/h，共运行15天，共计处置废弃泥浆450方，每天定时采样检测板框效果。板框压滤设备出泥的含水率为60.27%左右，压滤出的液相浊度在14-16NTU。</w:t>
      </w:r>
    </w:p>
    <w:p w14:paraId="24CF4F61">
      <w:pPr>
        <w:spacing w:line="360" w:lineRule="auto"/>
        <w:ind w:firstLine="480" w:firstLineChars="200"/>
        <w:rPr>
          <w:sz w:val="24"/>
          <w:szCs w:val="24"/>
        </w:rPr>
      </w:pPr>
      <w:r>
        <w:rPr>
          <w:rFonts w:hint="eastAsia"/>
          <w:sz w:val="24"/>
          <w:szCs w:val="24"/>
        </w:rPr>
        <w:t>3</w:t>
      </w:r>
      <w:r>
        <w:rPr>
          <w:sz w:val="24"/>
          <w:szCs w:val="24"/>
        </w:rPr>
        <w:t>.2.4</w:t>
      </w:r>
      <w:r>
        <w:rPr>
          <w:rFonts w:hint="eastAsia"/>
          <w:sz w:val="24"/>
          <w:szCs w:val="24"/>
        </w:rPr>
        <w:t>预处理单元</w:t>
      </w:r>
    </w:p>
    <w:p w14:paraId="25464EE5">
      <w:pPr>
        <w:spacing w:line="360" w:lineRule="auto"/>
        <w:ind w:firstLine="480" w:firstLineChars="200"/>
        <w:rPr>
          <w:sz w:val="24"/>
          <w:szCs w:val="24"/>
        </w:rPr>
      </w:pPr>
      <w:r>
        <w:rPr>
          <w:rFonts w:hint="eastAsia"/>
          <w:sz w:val="24"/>
          <w:szCs w:val="24"/>
        </w:rPr>
        <w:t>通过实验确定多金属催化氧化的最优反应条件为：p</w:t>
      </w:r>
      <w:r>
        <w:rPr>
          <w:sz w:val="24"/>
          <w:szCs w:val="24"/>
        </w:rPr>
        <w:t>H</w:t>
      </w:r>
      <w:r>
        <w:rPr>
          <w:rFonts w:hint="eastAsia"/>
          <w:sz w:val="24"/>
          <w:szCs w:val="24"/>
        </w:rPr>
        <w:t>为5，填料投加量为100</w:t>
      </w:r>
      <w:r>
        <w:rPr>
          <w:sz w:val="24"/>
          <w:szCs w:val="24"/>
        </w:rPr>
        <w:t xml:space="preserve"> </w:t>
      </w:r>
      <w:r>
        <w:rPr>
          <w:rFonts w:hint="eastAsia"/>
          <w:sz w:val="24"/>
          <w:szCs w:val="24"/>
        </w:rPr>
        <w:t>g/L，催化剂投加量为处理水量的0.1%，反应时间为16 h，COD去除率可以达到75%左右。</w:t>
      </w:r>
    </w:p>
    <w:p w14:paraId="128E5E4B">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.2.5</w:t>
      </w:r>
      <w:r>
        <w:rPr>
          <w:rFonts w:hint="eastAsia"/>
          <w:color w:val="000000" w:themeColor="text1"/>
          <w:sz w:val="24"/>
          <w:szCs w:val="24"/>
          <w14:textFill>
            <w14:solidFill>
              <w14:schemeClr w14:val="tx1"/>
            </w14:solidFill>
          </w14:textFill>
        </w:rPr>
        <w:t>生化单元</w:t>
      </w:r>
    </w:p>
    <w:p w14:paraId="30491A83">
      <w:pPr>
        <w:spacing w:line="360" w:lineRule="auto"/>
        <w:ind w:firstLine="480" w:firstLineChars="200"/>
        <w:rPr>
          <w:sz w:val="24"/>
          <w:szCs w:val="24"/>
        </w:rPr>
      </w:pPr>
      <w:r>
        <w:rPr>
          <w:sz w:val="24"/>
          <w:szCs w:val="24"/>
        </w:rPr>
        <w:t>经过实验，确定采用兼氧菌处理废水，具体参数如下。</w:t>
      </w:r>
    </w:p>
    <w:p w14:paraId="5D6CDD80">
      <w:pPr>
        <w:spacing w:line="360" w:lineRule="auto"/>
        <w:ind w:firstLine="480" w:firstLineChars="200"/>
        <w:rPr>
          <w:sz w:val="24"/>
          <w:szCs w:val="24"/>
        </w:rPr>
      </w:pPr>
      <w:r>
        <w:rPr>
          <w:rFonts w:hint="eastAsia" w:cs="宋体"/>
          <w:kern w:val="0"/>
          <w:sz w:val="24"/>
          <w:szCs w:val="24"/>
          <w:lang w:bidi="ar"/>
        </w:rPr>
        <w:t>兼氧菌处理废水：停留时间≥12</w:t>
      </w:r>
      <w:r>
        <w:rPr>
          <w:rFonts w:cs="宋体"/>
          <w:kern w:val="0"/>
          <w:sz w:val="24"/>
          <w:szCs w:val="24"/>
          <w:lang w:bidi="ar"/>
        </w:rPr>
        <w:t xml:space="preserve"> </w:t>
      </w:r>
      <w:r>
        <w:rPr>
          <w:rFonts w:hint="eastAsia" w:cs="宋体"/>
          <w:kern w:val="0"/>
          <w:sz w:val="24"/>
          <w:szCs w:val="24"/>
          <w:lang w:bidi="ar"/>
        </w:rPr>
        <w:t>h，0.2＜溶解氧＜0.5</w:t>
      </w:r>
      <w:r>
        <w:rPr>
          <w:rFonts w:cs="宋体"/>
          <w:kern w:val="0"/>
          <w:sz w:val="24"/>
          <w:szCs w:val="24"/>
          <w:lang w:bidi="ar"/>
        </w:rPr>
        <w:t xml:space="preserve"> </w:t>
      </w:r>
      <w:r>
        <w:rPr>
          <w:rFonts w:hint="eastAsia" w:cs="宋体"/>
          <w:kern w:val="0"/>
          <w:sz w:val="24"/>
          <w:szCs w:val="24"/>
          <w:lang w:bidi="ar"/>
        </w:rPr>
        <w:t>mg/</w:t>
      </w:r>
      <w:r>
        <w:rPr>
          <w:rFonts w:cs="宋体"/>
          <w:kern w:val="0"/>
          <w:sz w:val="24"/>
          <w:szCs w:val="24"/>
          <w:lang w:bidi="ar"/>
        </w:rPr>
        <w:t>L</w:t>
      </w:r>
      <w:r>
        <w:rPr>
          <w:rFonts w:hint="eastAsia" w:cs="宋体"/>
          <w:kern w:val="0"/>
          <w:sz w:val="24"/>
          <w:szCs w:val="24"/>
          <w:lang w:bidi="ar"/>
        </w:rPr>
        <w:t>；厌氧菌处理废水：停留时间≥15</w:t>
      </w:r>
      <w:r>
        <w:rPr>
          <w:rFonts w:cs="宋体"/>
          <w:kern w:val="0"/>
          <w:sz w:val="24"/>
          <w:szCs w:val="24"/>
          <w:lang w:bidi="ar"/>
        </w:rPr>
        <w:t xml:space="preserve"> </w:t>
      </w:r>
      <w:r>
        <w:rPr>
          <w:rFonts w:hint="eastAsia" w:cs="宋体"/>
          <w:kern w:val="0"/>
          <w:sz w:val="24"/>
          <w:szCs w:val="24"/>
          <w:lang w:bidi="ar"/>
        </w:rPr>
        <w:t>h，溶解氧＜0.2</w:t>
      </w:r>
      <w:r>
        <w:rPr>
          <w:rFonts w:cs="宋体"/>
          <w:kern w:val="0"/>
          <w:sz w:val="24"/>
          <w:szCs w:val="24"/>
          <w:lang w:bidi="ar"/>
        </w:rPr>
        <w:t xml:space="preserve"> </w:t>
      </w:r>
      <w:r>
        <w:rPr>
          <w:rFonts w:hint="eastAsia" w:cs="宋体"/>
          <w:kern w:val="0"/>
          <w:sz w:val="24"/>
          <w:szCs w:val="24"/>
          <w:lang w:bidi="ar"/>
        </w:rPr>
        <w:t>mg/</w:t>
      </w:r>
      <w:r>
        <w:rPr>
          <w:rFonts w:cs="宋体"/>
          <w:kern w:val="0"/>
          <w:sz w:val="24"/>
          <w:szCs w:val="24"/>
          <w:lang w:bidi="ar"/>
        </w:rPr>
        <w:t>L</w:t>
      </w:r>
      <w:r>
        <w:rPr>
          <w:rFonts w:hint="eastAsia" w:cs="宋体"/>
          <w:kern w:val="0"/>
          <w:sz w:val="24"/>
          <w:szCs w:val="24"/>
          <w:lang w:bidi="ar"/>
        </w:rPr>
        <w:t>；好氧菌处理废水：停留时间≥24</w:t>
      </w:r>
      <w:r>
        <w:rPr>
          <w:rFonts w:cs="宋体"/>
          <w:kern w:val="0"/>
          <w:sz w:val="24"/>
          <w:szCs w:val="24"/>
          <w:lang w:bidi="ar"/>
        </w:rPr>
        <w:t xml:space="preserve"> </w:t>
      </w:r>
      <w:r>
        <w:rPr>
          <w:rFonts w:hint="eastAsia" w:cs="宋体"/>
          <w:kern w:val="0"/>
          <w:sz w:val="24"/>
          <w:szCs w:val="24"/>
          <w:lang w:bidi="ar"/>
        </w:rPr>
        <w:t>h，2</w:t>
      </w:r>
      <w:r>
        <w:rPr>
          <w:rFonts w:cs="宋体"/>
          <w:kern w:val="0"/>
          <w:sz w:val="24"/>
          <w:szCs w:val="24"/>
          <w:lang w:bidi="ar"/>
        </w:rPr>
        <w:t xml:space="preserve"> </w:t>
      </w:r>
      <w:r>
        <w:rPr>
          <w:rFonts w:hint="eastAsia" w:cs="宋体"/>
          <w:kern w:val="0"/>
          <w:sz w:val="24"/>
          <w:szCs w:val="24"/>
          <w:lang w:bidi="ar"/>
        </w:rPr>
        <w:t>mg/</w:t>
      </w:r>
      <w:r>
        <w:rPr>
          <w:rFonts w:cs="宋体"/>
          <w:kern w:val="0"/>
          <w:sz w:val="24"/>
          <w:szCs w:val="24"/>
          <w:lang w:bidi="ar"/>
        </w:rPr>
        <w:t>L</w:t>
      </w:r>
      <w:r>
        <w:rPr>
          <w:rFonts w:hint="eastAsia" w:cs="宋体"/>
          <w:kern w:val="0"/>
          <w:sz w:val="24"/>
          <w:szCs w:val="24"/>
          <w:lang w:bidi="ar"/>
        </w:rPr>
        <w:t>＜溶解氧＜5</w:t>
      </w:r>
      <w:r>
        <w:rPr>
          <w:rFonts w:cs="宋体"/>
          <w:kern w:val="0"/>
          <w:sz w:val="24"/>
          <w:szCs w:val="24"/>
          <w:lang w:bidi="ar"/>
        </w:rPr>
        <w:t xml:space="preserve"> </w:t>
      </w:r>
      <w:r>
        <w:rPr>
          <w:rFonts w:hint="eastAsia" w:cs="宋体"/>
          <w:kern w:val="0"/>
          <w:sz w:val="24"/>
          <w:szCs w:val="24"/>
          <w:lang w:bidi="ar"/>
        </w:rPr>
        <w:t>mg/</w:t>
      </w:r>
      <w:r>
        <w:rPr>
          <w:rFonts w:cs="宋体"/>
          <w:kern w:val="0"/>
          <w:sz w:val="24"/>
          <w:szCs w:val="24"/>
          <w:lang w:bidi="ar"/>
        </w:rPr>
        <w:t>L</w:t>
      </w:r>
      <w:r>
        <w:rPr>
          <w:rFonts w:hint="eastAsia" w:cs="宋体"/>
          <w:kern w:val="0"/>
          <w:sz w:val="24"/>
          <w:szCs w:val="24"/>
          <w:lang w:bidi="ar"/>
        </w:rPr>
        <w:t>。</w:t>
      </w:r>
    </w:p>
    <w:p w14:paraId="59BE3F89">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3.2.6 膜处理单元</w:t>
      </w:r>
    </w:p>
    <w:p w14:paraId="20CEDB3C">
      <w:pPr>
        <w:spacing w:line="360" w:lineRule="auto"/>
        <w:ind w:firstLine="480" w:firstLineChars="200"/>
        <w:rPr>
          <w:sz w:val="24"/>
          <w:szCs w:val="24"/>
        </w:rPr>
      </w:pPr>
      <w:r>
        <w:rPr>
          <w:sz w:val="24"/>
          <w:szCs w:val="24"/>
        </w:rPr>
        <w:t>选用醋酸纤维素膜（非对称膜）组件、芳香族聚酰胺膜（复合膜）、芳香族聚酰肼膜（复合膜）过滤除硬后的压滤液，检测出水后的悬浮物、COD、总盐含量，同时计算悬浮物、COD的去除率以及脱盐率。运行压力设置为100 bar，进水量设置为2.5 m</w:t>
      </w:r>
      <w:r>
        <w:rPr>
          <w:sz w:val="24"/>
          <w:szCs w:val="24"/>
          <w:vertAlign w:val="superscript"/>
        </w:rPr>
        <w:t>3</w:t>
      </w:r>
      <w:r>
        <w:rPr>
          <w:sz w:val="24"/>
          <w:szCs w:val="24"/>
        </w:rPr>
        <w:t>/h</w:t>
      </w:r>
      <w:r>
        <w:rPr>
          <w:rFonts w:hint="eastAsia"/>
          <w:sz w:val="24"/>
          <w:szCs w:val="24"/>
        </w:rPr>
        <w:t>，截留效率最高为</w:t>
      </w:r>
      <w:r>
        <w:rPr>
          <w:sz w:val="24"/>
          <w:szCs w:val="24"/>
        </w:rPr>
        <w:t>芳香族聚酰胺膜（复合膜）</w:t>
      </w:r>
      <w:r>
        <w:rPr>
          <w:rFonts w:hint="eastAsia"/>
          <w:sz w:val="24"/>
          <w:szCs w:val="24"/>
        </w:rPr>
        <w:t>。</w:t>
      </w:r>
    </w:p>
    <w:p w14:paraId="3DB2D7C4">
      <w:pPr>
        <w:spacing w:line="360" w:lineRule="auto"/>
        <w:jc w:val="center"/>
        <w:rPr>
          <w:bCs/>
          <w:color w:val="000000" w:themeColor="text1"/>
          <w14:textFill>
            <w14:solidFill>
              <w14:schemeClr w14:val="tx1"/>
            </w14:solidFill>
          </w14:textFill>
        </w:rPr>
      </w:pPr>
    </w:p>
    <w:p w14:paraId="448F0F83">
      <w:pPr>
        <w:pStyle w:val="24"/>
        <w:numPr>
          <w:ilvl w:val="2"/>
          <w:numId w:val="2"/>
        </w:numPr>
        <w:spacing w:line="360" w:lineRule="auto"/>
        <w:ind w:firstLineChars="0"/>
        <w:rPr>
          <w:color w:val="000000" w:themeColor="text1"/>
          <w:sz w:val="24"/>
          <w14:textFill>
            <w14:solidFill>
              <w14:schemeClr w14:val="tx1"/>
            </w14:solidFill>
          </w14:textFill>
        </w:rPr>
      </w:pPr>
      <w:bookmarkStart w:id="9" w:name="OLE_LINK1"/>
      <w:r>
        <w:rPr>
          <w:rFonts w:hint="eastAsia"/>
          <w:color w:val="000000" w:themeColor="text1"/>
          <w:sz w:val="24"/>
          <w14:textFill>
            <w14:solidFill>
              <w14:schemeClr w14:val="tx1"/>
            </w14:solidFill>
          </w14:textFill>
        </w:rPr>
        <w:t>M</w:t>
      </w:r>
      <w:r>
        <w:rPr>
          <w:color w:val="000000" w:themeColor="text1"/>
          <w:sz w:val="24"/>
          <w14:textFill>
            <w14:solidFill>
              <w14:schemeClr w14:val="tx1"/>
            </w14:solidFill>
          </w14:textFill>
        </w:rPr>
        <w:t>VR处理单元</w:t>
      </w:r>
    </w:p>
    <w:bookmarkEnd w:id="9"/>
    <w:p w14:paraId="6DFDE3FF">
      <w:pPr>
        <w:spacing w:line="360" w:lineRule="auto"/>
        <w:ind w:firstLine="480" w:firstLineChars="200"/>
        <w:rPr>
          <w:sz w:val="24"/>
          <w:szCs w:val="24"/>
        </w:rPr>
      </w:pPr>
      <w:r>
        <w:rPr>
          <w:rFonts w:hint="eastAsia"/>
          <w:sz w:val="24"/>
          <w:szCs w:val="24"/>
        </w:rPr>
        <w:t>蒸发结晶单元处理量6</w:t>
      </w:r>
      <w:r>
        <w:rPr>
          <w:sz w:val="24"/>
          <w:szCs w:val="24"/>
        </w:rPr>
        <w:t xml:space="preserve"> </w:t>
      </w:r>
      <w:r>
        <w:rPr>
          <w:rFonts w:hint="eastAsia"/>
          <w:sz w:val="24"/>
          <w:szCs w:val="24"/>
        </w:rPr>
        <w:t>t/h，采用降膜+强制MVR蒸发结晶工艺，主要包括预热系统、降膜蒸发器、强制循环蒸发器、结晶系统、二级除沫器、清洗系统。</w:t>
      </w:r>
      <w:r>
        <w:rPr>
          <w:sz w:val="24"/>
          <w:szCs w:val="24"/>
        </w:rPr>
        <w:t>MVR蒸发获得的冷凝水电导率在400 μs/cm以下（低于一般自来水的电导率），可以回用。</w:t>
      </w:r>
    </w:p>
    <w:p w14:paraId="6CAB2CC7">
      <w:pPr>
        <w:pStyle w:val="24"/>
        <w:numPr>
          <w:ilvl w:val="2"/>
          <w:numId w:val="2"/>
        </w:numPr>
        <w:spacing w:line="360" w:lineRule="auto"/>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固相资源化利用</w:t>
      </w:r>
      <w:r>
        <w:rPr>
          <w:color w:val="000000" w:themeColor="text1"/>
          <w:sz w:val="24"/>
          <w14:textFill>
            <w14:solidFill>
              <w14:schemeClr w14:val="tx1"/>
            </w14:solidFill>
          </w14:textFill>
        </w:rPr>
        <w:t>单元</w:t>
      </w:r>
    </w:p>
    <w:p w14:paraId="06606F1B">
      <w:pPr>
        <w:pStyle w:val="25"/>
        <w:spacing w:line="360" w:lineRule="auto"/>
        <w:ind w:firstLine="464"/>
        <w:rPr>
          <w:rFonts w:ascii="Times New Roman"/>
          <w:color w:val="000000"/>
          <w:spacing w:val="-4"/>
          <w:kern w:val="2"/>
          <w:sz w:val="24"/>
          <w:szCs w:val="24"/>
        </w:rPr>
      </w:pPr>
      <w:r>
        <w:rPr>
          <w:rFonts w:hint="eastAsia" w:ascii="Times New Roman"/>
          <w:color w:val="000000"/>
          <w:spacing w:val="-4"/>
          <w:kern w:val="2"/>
          <w:sz w:val="24"/>
          <w:szCs w:val="24"/>
        </w:rPr>
        <w:t>废弃水基泥浆经处理后，固相进行制备免烧砖或制备陶粒或制备绿化土，陶粒满足GBT17431.1-2010 轻集料及其试验方法-第1部分-轻集料要求，绿化土满足GB 4284-2018 农用污泥污染物控制标准要求；液相达到国家污水排放标准；结晶盐进行资源化处置，利用结晶盐制备加重剂，满足Q/HS 2014.1-2004 完井液性能指标无固相水基完井液，可以用于油田修井作业，达到了废弃泥浆的无害化处置。</w:t>
      </w:r>
    </w:p>
    <w:p w14:paraId="66AD5E1C">
      <w:pPr>
        <w:pStyle w:val="2"/>
        <w:spacing w:before="0" w:after="0" w:line="360" w:lineRule="auto"/>
        <w:ind w:firstLine="241" w:firstLineChars="100"/>
        <w:rPr>
          <w:rFonts w:ascii="Times New Roman" w:hAnsi="Times New Roman" w:eastAsia="宋体"/>
          <w:sz w:val="24"/>
          <w:szCs w:val="24"/>
        </w:rPr>
      </w:pPr>
      <w:bookmarkStart w:id="10" w:name="_Toc172817426"/>
      <w:r>
        <w:rPr>
          <w:rFonts w:hint="eastAsia" w:ascii="Times New Roman" w:hAnsi="Times New Roman" w:eastAsia="宋体"/>
          <w:sz w:val="24"/>
          <w:szCs w:val="24"/>
        </w:rPr>
        <w:t>4</w:t>
      </w:r>
      <w:r>
        <w:rPr>
          <w:rFonts w:ascii="Times New Roman" w:hAnsi="Times New Roman" w:eastAsia="宋体"/>
          <w:sz w:val="24"/>
          <w:szCs w:val="24"/>
        </w:rPr>
        <w:t>、</w:t>
      </w:r>
      <w:r>
        <w:rPr>
          <w:rFonts w:hint="eastAsia" w:ascii="Times New Roman" w:hAnsi="Times New Roman" w:eastAsia="宋体"/>
          <w:sz w:val="24"/>
          <w:szCs w:val="24"/>
        </w:rPr>
        <w:t>解决的主要问题</w:t>
      </w:r>
      <w:bookmarkEnd w:id="10"/>
    </w:p>
    <w:p w14:paraId="68F6D53C">
      <w:pPr>
        <w:spacing w:line="360" w:lineRule="auto"/>
        <w:ind w:firstLine="464" w:firstLineChars="200"/>
        <w:rPr>
          <w:color w:val="000000"/>
          <w:spacing w:val="-4"/>
          <w:sz w:val="24"/>
          <w:szCs w:val="24"/>
        </w:rPr>
      </w:pPr>
      <w:r>
        <w:rPr>
          <w:rFonts w:hint="eastAsia"/>
          <w:color w:val="000000"/>
          <w:spacing w:val="-4"/>
          <w:sz w:val="24"/>
          <w:szCs w:val="24"/>
        </w:rPr>
        <w:t>由于环保法律法规的相继实施，油气开采行业的生态环境保护要求日趋严格。近年来进入油气田处理行业的企业越来越多，各企业的处理工艺存在显著差异，当前关于水基钻井废弃泥浆处理的技术规范和实施细则等依然缺失。因此，亟需提出经济合理的水基钻井废弃泥浆集中处置技术指南和实施细则，明确技术规范。</w:t>
      </w:r>
    </w:p>
    <w:p w14:paraId="06F78724">
      <w:pPr>
        <w:spacing w:line="360" w:lineRule="auto"/>
        <w:ind w:firstLine="464" w:firstLineChars="200"/>
        <w:rPr>
          <w:color w:val="000000"/>
          <w:spacing w:val="-4"/>
          <w:sz w:val="24"/>
          <w:szCs w:val="24"/>
        </w:rPr>
      </w:pPr>
      <w:r>
        <w:rPr>
          <w:rFonts w:hint="eastAsia"/>
          <w:color w:val="000000"/>
          <w:spacing w:val="-4"/>
          <w:sz w:val="24"/>
          <w:szCs w:val="24"/>
        </w:rPr>
        <w:t>《水基钻井废弃泥浆全量集中处理与资源化利用技术》的制定对水基钻井废弃泥浆集中处理技术研究起到重要的指导作用，并提供技术保障，其成果的应用将会促进油气田水基钻井废弃泥浆集中无害化处理技术的开发和应用，解决企业钻井废物随钻处理带来的技术问题，节约成本、具有广阔前景和经济效益。</w:t>
      </w:r>
    </w:p>
    <w:p w14:paraId="1BF41AFD">
      <w:pPr>
        <w:pStyle w:val="3"/>
        <w:spacing w:before="0" w:after="0" w:line="360" w:lineRule="auto"/>
        <w:rPr>
          <w:sz w:val="28"/>
          <w:szCs w:val="28"/>
        </w:rPr>
      </w:pPr>
      <w:bookmarkStart w:id="11" w:name="_Toc172817427"/>
      <w:r>
        <w:rPr>
          <w:sz w:val="28"/>
          <w:szCs w:val="28"/>
        </w:rPr>
        <w:t>三、主要试验（或验证）的</w:t>
      </w:r>
      <w:r>
        <w:rPr>
          <w:rFonts w:hint="eastAsia"/>
          <w:sz w:val="28"/>
          <w:szCs w:val="28"/>
        </w:rPr>
        <w:t>情况</w:t>
      </w:r>
      <w:bookmarkEnd w:id="11"/>
    </w:p>
    <w:p w14:paraId="46265051">
      <w:pPr>
        <w:pStyle w:val="2"/>
        <w:spacing w:before="0" w:after="0" w:line="360" w:lineRule="auto"/>
        <w:ind w:firstLine="241" w:firstLineChars="100"/>
        <w:rPr>
          <w:rFonts w:ascii="Times New Roman" w:hAnsi="Times New Roman" w:eastAsia="宋体"/>
          <w:sz w:val="24"/>
          <w:szCs w:val="24"/>
        </w:rPr>
      </w:pPr>
      <w:bookmarkStart w:id="12" w:name="_Toc172817428"/>
      <w:r>
        <w:rPr>
          <w:rFonts w:ascii="Times New Roman" w:hAnsi="Times New Roman" w:eastAsia="宋体"/>
          <w:sz w:val="24"/>
          <w:szCs w:val="24"/>
        </w:rPr>
        <w:t>1、参编单位的验证分析</w:t>
      </w:r>
      <w:bookmarkEnd w:id="12"/>
    </w:p>
    <w:p w14:paraId="3148F1F1">
      <w:pPr>
        <w:spacing w:line="360" w:lineRule="auto"/>
        <w:ind w:firstLine="480" w:firstLineChars="200"/>
        <w:rPr>
          <w:szCs w:val="20"/>
        </w:rPr>
      </w:pPr>
      <w:r>
        <w:rPr>
          <w:rFonts w:hint="eastAsia"/>
          <w:sz w:val="24"/>
          <w:szCs w:val="24"/>
        </w:rPr>
        <w:t>2023年4月-11月，编制组针对水基钻井废弃泥浆全量集中处理与资源化利用技术进行了详细的资料查阅和调研，同时完成了相关的验证实验。选取</w:t>
      </w:r>
      <w:r>
        <w:rPr>
          <w:rFonts w:ascii="宋体" w:hAnsi="宋体"/>
          <w:color w:val="000000"/>
          <w:sz w:val="24"/>
          <w:szCs w:val="24"/>
        </w:rPr>
        <w:t>渤海油田废弃泥浆</w:t>
      </w:r>
      <w:r>
        <w:rPr>
          <w:rFonts w:hint="eastAsia" w:ascii="宋体" w:hAnsi="宋体"/>
          <w:color w:val="000000"/>
          <w:sz w:val="24"/>
          <w:szCs w:val="24"/>
        </w:rPr>
        <w:t>为试验点，</w:t>
      </w:r>
      <w:r>
        <w:rPr>
          <w:rFonts w:hint="eastAsia"/>
          <w:sz w:val="24"/>
          <w:szCs w:val="24"/>
        </w:rPr>
        <w:t>根据废弃水基钻井液集中处理厂（站）工艺控制的要求设置水量计量仪、液位观察、水质监测、取样检测化验点、药品计量的仪器、仪表。根据工艺要求确定采样频率和检测项目，监测点的设置可实现废弃水基钻井液集中处理厂（站）处理过程的全流程控制，在各处理单元内以及进出口。对示范场地进行了调查和采样分析，委托第三方有资质机构对处理后的水质进行检测并出具报告。</w:t>
      </w:r>
      <w:r>
        <w:rPr>
          <w:sz w:val="24"/>
          <w:szCs w:val="24"/>
        </w:rPr>
        <w:t>结果表明：</w:t>
      </w:r>
      <w:r>
        <w:rPr>
          <w:rFonts w:hint="eastAsia"/>
          <w:sz w:val="24"/>
          <w:szCs w:val="24"/>
        </w:rPr>
        <w:t>废弃水基钻井液集中处理过程中排放的废水、废气、噪声和挥发性有机物应符合 GB 8978（所有部分）、GB 16297（所有部分）、 GB 12348（所有部分）、GB 37822（所有部分）中的规定。</w:t>
      </w:r>
    </w:p>
    <w:p w14:paraId="06C8158D">
      <w:pPr>
        <w:pStyle w:val="2"/>
        <w:spacing w:before="0" w:after="0" w:line="360" w:lineRule="auto"/>
        <w:ind w:firstLine="241" w:firstLineChars="100"/>
        <w:rPr>
          <w:rFonts w:ascii="Times New Roman" w:hAnsi="Times New Roman" w:eastAsia="宋体"/>
          <w:sz w:val="24"/>
          <w:szCs w:val="24"/>
        </w:rPr>
      </w:pPr>
      <w:bookmarkStart w:id="13" w:name="_Toc172817429"/>
      <w:r>
        <w:rPr>
          <w:rFonts w:ascii="Times New Roman" w:hAnsi="Times New Roman" w:eastAsia="宋体"/>
          <w:sz w:val="24"/>
          <w:szCs w:val="24"/>
        </w:rPr>
        <w:t>2、</w:t>
      </w:r>
      <w:r>
        <w:rPr>
          <w:rFonts w:hint="eastAsia" w:ascii="Times New Roman" w:hAnsi="Times New Roman" w:eastAsia="宋体"/>
          <w:sz w:val="24"/>
          <w:szCs w:val="24"/>
        </w:rPr>
        <w:t>技术水平及成效评估</w:t>
      </w:r>
      <w:bookmarkEnd w:id="13"/>
    </w:p>
    <w:p w14:paraId="08574E35">
      <w:pPr>
        <w:spacing w:line="360" w:lineRule="auto"/>
        <w:ind w:firstLine="480" w:firstLineChars="200"/>
        <w:rPr>
          <w:sz w:val="24"/>
          <w:szCs w:val="24"/>
        </w:rPr>
      </w:pPr>
      <w:r>
        <w:rPr>
          <w:rFonts w:hint="eastAsia"/>
          <w:sz w:val="24"/>
          <w:szCs w:val="24"/>
        </w:rPr>
        <w:t>本规范在内蒙古鄂尔多斯市乌审旗落地应用，试验地针对油田废弃泥浆进行了基于固液分离/液相氧化-蒸发结晶深度处理技术/固相复合微生物降解技术为核心的示范工程，建立了废弃泥浆处理集成技术及装备处理能力25 m</w:t>
      </w:r>
      <w:r>
        <w:rPr>
          <w:rFonts w:hint="eastAsia"/>
          <w:sz w:val="24"/>
          <w:szCs w:val="24"/>
          <w:vertAlign w:val="superscript"/>
        </w:rPr>
        <w:t>3</w:t>
      </w:r>
      <w:r>
        <w:rPr>
          <w:rFonts w:hint="eastAsia"/>
          <w:sz w:val="24"/>
          <w:szCs w:val="24"/>
        </w:rPr>
        <w:t>/h，生态堆修复工程2500 m</w:t>
      </w:r>
      <w:r>
        <w:rPr>
          <w:rFonts w:hint="eastAsia"/>
          <w:sz w:val="24"/>
          <w:szCs w:val="24"/>
          <w:vertAlign w:val="superscript"/>
        </w:rPr>
        <w:t>3</w:t>
      </w:r>
      <w:r>
        <w:rPr>
          <w:rFonts w:hint="eastAsia"/>
          <w:sz w:val="24"/>
          <w:szCs w:val="24"/>
        </w:rPr>
        <w:t>的示范项目。通过负压振动筛分-大长径比离心-破胶与固液分离技术实现了油田废弃泥浆的有效固液分离；通过复合微生物降解技术对固相岩屑进行生态堆修复，降解了岩屑的有害物质，实现了固相岩屑的无害化、资源化；通过液相氧化-蒸发结晶深度处理技术实现了液相的资源化。膜过滤出水、蒸发结晶出水满足《城市污水再生利用 绿地灌溉水质》（GB/T 25499-2010）；生态堆修复后岩屑满足《城镇污水处理厂污泥处置 园林绿化用泥质》（GB/T</w:t>
      </w:r>
      <w:r>
        <w:rPr>
          <w:sz w:val="24"/>
          <w:szCs w:val="24"/>
        </w:rPr>
        <w:t xml:space="preserve"> </w:t>
      </w:r>
      <w:r>
        <w:rPr>
          <w:rFonts w:hint="eastAsia"/>
          <w:sz w:val="24"/>
          <w:szCs w:val="24"/>
        </w:rPr>
        <w:t>23486-2009）绿化种植用土要求。整套废弃泥浆处理集成技术及装备实现了油田废弃泥浆的完全无害化、资源化处理，其核心技术均为本项目研究，代表了油田废弃钻井泥浆处理的领先水平。</w:t>
      </w:r>
    </w:p>
    <w:p w14:paraId="202DB1ED">
      <w:pPr>
        <w:spacing w:line="360" w:lineRule="auto"/>
        <w:ind w:firstLine="480" w:firstLineChars="200"/>
        <w:rPr>
          <w:sz w:val="24"/>
          <w:szCs w:val="24"/>
        </w:rPr>
      </w:pPr>
      <w:r>
        <w:rPr>
          <w:sz w:val="24"/>
          <w:szCs w:val="24"/>
        </w:rPr>
        <w:t>本规范规定的废弃钻井泥浆处理集成技术及装备解决了油田废弃泥浆高盐、高有机物含量技术难题，废弃泥浆压滤液处理后满足《城市污水再生利用 绿地灌溉水质》（GB/T 25499-2010）；脱水泥饼及筛分岩屑处理后满足《城镇污水处理厂污泥处置 园林绿化用泥质》（GB/T 23486-2009）绿化种植用土要求，全面实现了废弃泥浆的无害化、减量化、资源化处置利用，指导了鄂尔多斯市油气田水基钻井岩屑处理地方标准的制定，在废弃泥浆集中处置方面有很好的规范作用。</w:t>
      </w:r>
    </w:p>
    <w:p w14:paraId="1DCC5E9B">
      <w:pPr>
        <w:pStyle w:val="3"/>
        <w:spacing w:before="0" w:after="0" w:line="360" w:lineRule="auto"/>
        <w:rPr>
          <w:sz w:val="28"/>
          <w:szCs w:val="28"/>
        </w:rPr>
      </w:pPr>
      <w:bookmarkStart w:id="14" w:name="_Toc172817430"/>
      <w:r>
        <w:rPr>
          <w:sz w:val="28"/>
          <w:szCs w:val="28"/>
        </w:rPr>
        <w:t>四、标准涉及的相关知识产权说明</w:t>
      </w:r>
      <w:bookmarkEnd w:id="14"/>
    </w:p>
    <w:p w14:paraId="3F8A2469">
      <w:pPr>
        <w:spacing w:line="360" w:lineRule="auto"/>
        <w:ind w:firstLine="480" w:firstLineChars="200"/>
        <w:rPr>
          <w:rFonts w:ascii="宋体" w:hAnsi="宋体"/>
          <w:color w:val="000000"/>
          <w:sz w:val="24"/>
          <w:szCs w:val="24"/>
        </w:rPr>
      </w:pPr>
      <w:r>
        <w:rPr>
          <w:rFonts w:ascii="宋体" w:hAnsi="宋体"/>
          <w:color w:val="000000"/>
          <w:sz w:val="24"/>
          <w:szCs w:val="24"/>
        </w:rPr>
        <w:t>相关</w:t>
      </w:r>
      <w:r>
        <w:rPr>
          <w:rFonts w:hint="eastAsia" w:ascii="宋体" w:hAnsi="宋体"/>
          <w:color w:val="000000"/>
          <w:sz w:val="24"/>
          <w:szCs w:val="24"/>
        </w:rPr>
        <w:t>专利</w:t>
      </w:r>
      <w:r>
        <w:rPr>
          <w:rFonts w:ascii="宋体" w:hAnsi="宋体"/>
          <w:color w:val="000000"/>
          <w:sz w:val="24"/>
          <w:szCs w:val="24"/>
        </w:rPr>
        <w:t>资料相关证明</w:t>
      </w:r>
      <w:r>
        <w:rPr>
          <w:rFonts w:hint="eastAsia" w:ascii="宋体" w:hAnsi="宋体"/>
          <w:color w:val="000000"/>
          <w:sz w:val="24"/>
          <w:szCs w:val="24"/>
        </w:rPr>
        <w:t>。</w:t>
      </w:r>
    </w:p>
    <w:p w14:paraId="1634C352">
      <w:pPr>
        <w:spacing w:line="360" w:lineRule="auto"/>
        <w:jc w:val="center"/>
      </w:pPr>
      <w:r>
        <w:rPr>
          <w:rFonts w:hint="eastAsia"/>
        </w:rPr>
        <w:t>表</w:t>
      </w:r>
      <w:r>
        <w:t>3</w:t>
      </w:r>
      <w:r>
        <w:rPr>
          <w:rFonts w:hint="eastAsia"/>
        </w:rPr>
        <w:t xml:space="preserve"> 专利证明材料</w:t>
      </w:r>
    </w:p>
    <w:tbl>
      <w:tblPr>
        <w:tblStyle w:val="18"/>
        <w:tblW w:w="7088" w:type="dxa"/>
        <w:jc w:val="center"/>
        <w:tblLayout w:type="fixed"/>
        <w:tblCellMar>
          <w:top w:w="0" w:type="dxa"/>
          <w:left w:w="108" w:type="dxa"/>
          <w:bottom w:w="0" w:type="dxa"/>
          <w:right w:w="108" w:type="dxa"/>
        </w:tblCellMar>
      </w:tblPr>
      <w:tblGrid>
        <w:gridCol w:w="670"/>
        <w:gridCol w:w="1317"/>
        <w:gridCol w:w="3116"/>
        <w:gridCol w:w="1279"/>
        <w:gridCol w:w="706"/>
      </w:tblGrid>
      <w:tr w14:paraId="1B1CFFD1">
        <w:tblPrEx>
          <w:tblCellMar>
            <w:top w:w="0" w:type="dxa"/>
            <w:left w:w="108" w:type="dxa"/>
            <w:bottom w:w="0" w:type="dxa"/>
            <w:right w:w="108" w:type="dxa"/>
          </w:tblCellMar>
        </w:tblPrEx>
        <w:trPr>
          <w:trHeight w:val="699" w:hRule="atLeast"/>
          <w:jc w:val="center"/>
        </w:trPr>
        <w:tc>
          <w:tcPr>
            <w:tcW w:w="670" w:type="dxa"/>
            <w:tcBorders>
              <w:top w:val="single" w:color="auto" w:sz="12" w:space="0"/>
              <w:left w:val="nil"/>
              <w:bottom w:val="single" w:color="auto" w:sz="8" w:space="0"/>
              <w:right w:val="nil"/>
            </w:tcBorders>
            <w:shd w:val="clear" w:color="auto" w:fill="FFFFFF"/>
            <w:noWrap/>
            <w:vAlign w:val="center"/>
          </w:tcPr>
          <w:p w14:paraId="38BBE979">
            <w:pPr>
              <w:widowControl/>
              <w:spacing w:line="360" w:lineRule="auto"/>
              <w:jc w:val="center"/>
              <w:textAlignment w:val="center"/>
            </w:pPr>
            <w:r>
              <w:rPr>
                <w:rFonts w:ascii="宋体" w:hAnsi="宋体"/>
                <w:kern w:val="0"/>
              </w:rPr>
              <w:t>序号</w:t>
            </w:r>
          </w:p>
        </w:tc>
        <w:tc>
          <w:tcPr>
            <w:tcW w:w="1317" w:type="dxa"/>
            <w:tcBorders>
              <w:top w:val="single" w:color="auto" w:sz="12" w:space="0"/>
              <w:left w:val="nil"/>
              <w:bottom w:val="single" w:color="auto" w:sz="8" w:space="0"/>
              <w:right w:val="nil"/>
            </w:tcBorders>
            <w:vAlign w:val="center"/>
          </w:tcPr>
          <w:p w14:paraId="74C14E41">
            <w:pPr>
              <w:widowControl/>
              <w:spacing w:line="360" w:lineRule="auto"/>
              <w:jc w:val="center"/>
              <w:textAlignment w:val="center"/>
              <w:rPr>
                <w:kern w:val="0"/>
              </w:rPr>
            </w:pPr>
            <w:r>
              <w:rPr>
                <w:rFonts w:ascii="宋体" w:hAnsi="宋体"/>
                <w:kern w:val="0"/>
              </w:rPr>
              <w:t>专利号</w:t>
            </w:r>
          </w:p>
        </w:tc>
        <w:tc>
          <w:tcPr>
            <w:tcW w:w="3116" w:type="dxa"/>
            <w:tcBorders>
              <w:top w:val="single" w:color="auto" w:sz="12" w:space="0"/>
              <w:left w:val="nil"/>
              <w:bottom w:val="single" w:color="auto" w:sz="8" w:space="0"/>
              <w:right w:val="nil"/>
            </w:tcBorders>
            <w:vAlign w:val="center"/>
          </w:tcPr>
          <w:p w14:paraId="71305178">
            <w:pPr>
              <w:widowControl/>
              <w:spacing w:line="360" w:lineRule="auto"/>
              <w:jc w:val="center"/>
              <w:textAlignment w:val="center"/>
            </w:pPr>
            <w:r>
              <w:rPr>
                <w:rFonts w:ascii="宋体" w:hAnsi="宋体"/>
                <w:kern w:val="0"/>
              </w:rPr>
              <w:t>名称</w:t>
            </w:r>
          </w:p>
        </w:tc>
        <w:tc>
          <w:tcPr>
            <w:tcW w:w="1279" w:type="dxa"/>
            <w:tcBorders>
              <w:top w:val="single" w:color="auto" w:sz="12" w:space="0"/>
              <w:left w:val="nil"/>
              <w:bottom w:val="single" w:color="auto" w:sz="8" w:space="0"/>
              <w:right w:val="nil"/>
            </w:tcBorders>
            <w:noWrap/>
            <w:vAlign w:val="center"/>
          </w:tcPr>
          <w:p w14:paraId="1BB8ABE1">
            <w:pPr>
              <w:widowControl/>
              <w:spacing w:line="360" w:lineRule="auto"/>
              <w:jc w:val="center"/>
              <w:textAlignment w:val="center"/>
            </w:pPr>
            <w:r>
              <w:rPr>
                <w:rFonts w:ascii="宋体" w:hAnsi="宋体"/>
                <w:kern w:val="0"/>
              </w:rPr>
              <w:t>申请日</w:t>
            </w:r>
          </w:p>
        </w:tc>
        <w:tc>
          <w:tcPr>
            <w:tcW w:w="706" w:type="dxa"/>
            <w:tcBorders>
              <w:top w:val="single" w:color="auto" w:sz="12" w:space="0"/>
              <w:left w:val="nil"/>
              <w:bottom w:val="single" w:color="auto" w:sz="8" w:space="0"/>
              <w:right w:val="nil"/>
            </w:tcBorders>
            <w:noWrap/>
            <w:vAlign w:val="center"/>
          </w:tcPr>
          <w:p w14:paraId="10303A1E">
            <w:pPr>
              <w:widowControl/>
              <w:spacing w:line="360" w:lineRule="auto"/>
              <w:jc w:val="center"/>
              <w:textAlignment w:val="center"/>
            </w:pPr>
            <w:r>
              <w:rPr>
                <w:rFonts w:ascii="宋体" w:hAnsi="宋体"/>
                <w:kern w:val="0"/>
              </w:rPr>
              <w:t>类型</w:t>
            </w:r>
          </w:p>
        </w:tc>
      </w:tr>
      <w:tr w14:paraId="0B9AEC6E">
        <w:tblPrEx>
          <w:tblCellMar>
            <w:top w:w="0" w:type="dxa"/>
            <w:left w:w="108" w:type="dxa"/>
            <w:bottom w:w="0" w:type="dxa"/>
            <w:right w:w="108" w:type="dxa"/>
          </w:tblCellMar>
        </w:tblPrEx>
        <w:trPr>
          <w:trHeight w:val="699" w:hRule="atLeast"/>
          <w:jc w:val="center"/>
        </w:trPr>
        <w:tc>
          <w:tcPr>
            <w:tcW w:w="670" w:type="dxa"/>
            <w:tcBorders>
              <w:top w:val="single" w:color="auto" w:sz="8" w:space="0"/>
              <w:left w:val="nil"/>
              <w:bottom w:val="nil"/>
              <w:right w:val="nil"/>
            </w:tcBorders>
            <w:shd w:val="clear" w:color="auto" w:fill="FFFFFF"/>
            <w:noWrap/>
            <w:vAlign w:val="center"/>
          </w:tcPr>
          <w:p w14:paraId="50932ADA">
            <w:pPr>
              <w:widowControl/>
              <w:spacing w:line="360" w:lineRule="auto"/>
              <w:jc w:val="center"/>
              <w:textAlignment w:val="center"/>
            </w:pPr>
            <w:r>
              <w:rPr>
                <w:kern w:val="0"/>
              </w:rPr>
              <w:t>1</w:t>
            </w:r>
          </w:p>
        </w:tc>
        <w:tc>
          <w:tcPr>
            <w:tcW w:w="1317" w:type="dxa"/>
            <w:tcBorders>
              <w:top w:val="single" w:color="auto" w:sz="8" w:space="0"/>
              <w:left w:val="nil"/>
              <w:bottom w:val="nil"/>
              <w:right w:val="nil"/>
            </w:tcBorders>
            <w:vAlign w:val="center"/>
          </w:tcPr>
          <w:p w14:paraId="01C06BD1">
            <w:pPr>
              <w:widowControl/>
              <w:spacing w:line="360" w:lineRule="auto"/>
              <w:jc w:val="center"/>
              <w:textAlignment w:val="center"/>
              <w:rPr>
                <w:kern w:val="0"/>
              </w:rPr>
            </w:pPr>
            <w:r>
              <w:rPr>
                <w:kern w:val="0"/>
              </w:rPr>
              <w:t>2022108836267.4</w:t>
            </w:r>
          </w:p>
        </w:tc>
        <w:tc>
          <w:tcPr>
            <w:tcW w:w="3116" w:type="dxa"/>
            <w:tcBorders>
              <w:top w:val="single" w:color="auto" w:sz="8" w:space="0"/>
              <w:left w:val="nil"/>
              <w:bottom w:val="nil"/>
              <w:right w:val="nil"/>
            </w:tcBorders>
            <w:vAlign w:val="center"/>
          </w:tcPr>
          <w:p w14:paraId="2C7FD50A">
            <w:pPr>
              <w:widowControl/>
              <w:spacing w:line="360" w:lineRule="auto"/>
              <w:jc w:val="center"/>
              <w:textAlignment w:val="bottom"/>
            </w:pPr>
            <w:r>
              <w:rPr>
                <w:rFonts w:ascii="宋体" w:hAnsi="宋体"/>
                <w:kern w:val="0"/>
              </w:rPr>
              <w:t>一种高浓废液处理系统和处理方法</w:t>
            </w:r>
          </w:p>
        </w:tc>
        <w:tc>
          <w:tcPr>
            <w:tcW w:w="1279" w:type="dxa"/>
            <w:tcBorders>
              <w:top w:val="single" w:color="auto" w:sz="8" w:space="0"/>
              <w:left w:val="nil"/>
              <w:bottom w:val="nil"/>
              <w:right w:val="nil"/>
            </w:tcBorders>
            <w:noWrap/>
            <w:vAlign w:val="center"/>
          </w:tcPr>
          <w:p w14:paraId="389F523E">
            <w:pPr>
              <w:widowControl/>
              <w:spacing w:line="360" w:lineRule="auto"/>
              <w:jc w:val="center"/>
              <w:textAlignment w:val="bottom"/>
            </w:pPr>
            <w:r>
              <w:rPr>
                <w:kern w:val="0"/>
              </w:rPr>
              <w:t>2022/7/27</w:t>
            </w:r>
          </w:p>
        </w:tc>
        <w:tc>
          <w:tcPr>
            <w:tcW w:w="706" w:type="dxa"/>
            <w:tcBorders>
              <w:top w:val="single" w:color="auto" w:sz="8" w:space="0"/>
              <w:left w:val="nil"/>
              <w:bottom w:val="nil"/>
              <w:right w:val="nil"/>
            </w:tcBorders>
            <w:noWrap/>
            <w:vAlign w:val="center"/>
          </w:tcPr>
          <w:p w14:paraId="77ED508E">
            <w:pPr>
              <w:widowControl/>
              <w:spacing w:line="360" w:lineRule="auto"/>
              <w:jc w:val="center"/>
              <w:textAlignment w:val="bottom"/>
            </w:pPr>
            <w:r>
              <w:rPr>
                <w:rFonts w:ascii="宋体" w:hAnsi="宋体"/>
                <w:kern w:val="0"/>
              </w:rPr>
              <w:t>发明</w:t>
            </w:r>
          </w:p>
        </w:tc>
      </w:tr>
      <w:tr w14:paraId="726422A5">
        <w:tblPrEx>
          <w:tblCellMar>
            <w:top w:w="0" w:type="dxa"/>
            <w:left w:w="108" w:type="dxa"/>
            <w:bottom w:w="0" w:type="dxa"/>
            <w:right w:w="108" w:type="dxa"/>
          </w:tblCellMar>
        </w:tblPrEx>
        <w:trPr>
          <w:trHeight w:val="699" w:hRule="atLeast"/>
          <w:jc w:val="center"/>
        </w:trPr>
        <w:tc>
          <w:tcPr>
            <w:tcW w:w="670" w:type="dxa"/>
            <w:tcBorders>
              <w:top w:val="nil"/>
              <w:left w:val="nil"/>
              <w:bottom w:val="nil"/>
              <w:right w:val="nil"/>
            </w:tcBorders>
            <w:shd w:val="clear" w:color="auto" w:fill="FFFFFF"/>
            <w:noWrap/>
            <w:vAlign w:val="center"/>
          </w:tcPr>
          <w:p w14:paraId="3A00C36F">
            <w:pPr>
              <w:widowControl/>
              <w:spacing w:line="360" w:lineRule="auto"/>
              <w:jc w:val="center"/>
              <w:textAlignment w:val="center"/>
              <w:rPr>
                <w:kern w:val="0"/>
              </w:rPr>
            </w:pPr>
            <w:r>
              <w:rPr>
                <w:kern w:val="0"/>
              </w:rPr>
              <w:t>2</w:t>
            </w:r>
          </w:p>
        </w:tc>
        <w:tc>
          <w:tcPr>
            <w:tcW w:w="1317" w:type="dxa"/>
            <w:tcBorders>
              <w:top w:val="nil"/>
              <w:left w:val="nil"/>
              <w:bottom w:val="nil"/>
              <w:right w:val="nil"/>
            </w:tcBorders>
            <w:vAlign w:val="center"/>
          </w:tcPr>
          <w:p w14:paraId="683B0FC4">
            <w:pPr>
              <w:widowControl/>
              <w:spacing w:line="360" w:lineRule="auto"/>
              <w:jc w:val="center"/>
              <w:textAlignment w:val="center"/>
              <w:rPr>
                <w:kern w:val="0"/>
              </w:rPr>
            </w:pPr>
            <w:r>
              <w:rPr>
                <w:kern w:val="0"/>
              </w:rPr>
              <w:t>202210885221.6</w:t>
            </w:r>
          </w:p>
        </w:tc>
        <w:tc>
          <w:tcPr>
            <w:tcW w:w="3116" w:type="dxa"/>
            <w:tcBorders>
              <w:top w:val="nil"/>
              <w:left w:val="nil"/>
              <w:bottom w:val="nil"/>
              <w:right w:val="nil"/>
            </w:tcBorders>
            <w:vAlign w:val="center"/>
          </w:tcPr>
          <w:p w14:paraId="64196F3D">
            <w:pPr>
              <w:widowControl/>
              <w:spacing w:line="360" w:lineRule="auto"/>
              <w:jc w:val="center"/>
              <w:textAlignment w:val="bottom"/>
              <w:rPr>
                <w:kern w:val="0"/>
              </w:rPr>
            </w:pPr>
            <w:r>
              <w:rPr>
                <w:rFonts w:ascii="宋体" w:hAnsi="宋体"/>
                <w:kern w:val="0"/>
              </w:rPr>
              <w:t>一种水基钻井泥浆资源化处置系统和方法</w:t>
            </w:r>
          </w:p>
        </w:tc>
        <w:tc>
          <w:tcPr>
            <w:tcW w:w="1279" w:type="dxa"/>
            <w:tcBorders>
              <w:top w:val="nil"/>
              <w:left w:val="nil"/>
              <w:bottom w:val="nil"/>
              <w:right w:val="nil"/>
            </w:tcBorders>
            <w:noWrap/>
            <w:vAlign w:val="center"/>
          </w:tcPr>
          <w:p w14:paraId="5CD372A3">
            <w:pPr>
              <w:widowControl/>
              <w:spacing w:line="360" w:lineRule="auto"/>
              <w:jc w:val="center"/>
              <w:textAlignment w:val="bottom"/>
              <w:rPr>
                <w:kern w:val="0"/>
              </w:rPr>
            </w:pPr>
            <w:r>
              <w:rPr>
                <w:kern w:val="0"/>
              </w:rPr>
              <w:t>2022/7/27</w:t>
            </w:r>
          </w:p>
        </w:tc>
        <w:tc>
          <w:tcPr>
            <w:tcW w:w="706" w:type="dxa"/>
            <w:tcBorders>
              <w:top w:val="nil"/>
              <w:left w:val="nil"/>
              <w:bottom w:val="nil"/>
              <w:right w:val="nil"/>
            </w:tcBorders>
            <w:noWrap/>
            <w:vAlign w:val="center"/>
          </w:tcPr>
          <w:p w14:paraId="267163DD">
            <w:pPr>
              <w:widowControl/>
              <w:spacing w:line="360" w:lineRule="auto"/>
              <w:jc w:val="center"/>
              <w:textAlignment w:val="bottom"/>
              <w:rPr>
                <w:kern w:val="0"/>
              </w:rPr>
            </w:pPr>
            <w:r>
              <w:rPr>
                <w:rFonts w:ascii="宋体" w:hAnsi="宋体"/>
                <w:kern w:val="0"/>
              </w:rPr>
              <w:t>发明</w:t>
            </w:r>
          </w:p>
        </w:tc>
      </w:tr>
      <w:tr w14:paraId="5FBB6E89">
        <w:tblPrEx>
          <w:tblCellMar>
            <w:top w:w="0" w:type="dxa"/>
            <w:left w:w="108" w:type="dxa"/>
            <w:bottom w:w="0" w:type="dxa"/>
            <w:right w:w="108" w:type="dxa"/>
          </w:tblCellMar>
        </w:tblPrEx>
        <w:trPr>
          <w:trHeight w:val="929" w:hRule="atLeast"/>
          <w:jc w:val="center"/>
        </w:trPr>
        <w:tc>
          <w:tcPr>
            <w:tcW w:w="670" w:type="dxa"/>
            <w:tcBorders>
              <w:top w:val="nil"/>
              <w:left w:val="nil"/>
              <w:bottom w:val="single" w:color="auto" w:sz="12" w:space="0"/>
              <w:right w:val="nil"/>
            </w:tcBorders>
            <w:shd w:val="clear" w:color="auto" w:fill="FFFFFF"/>
            <w:noWrap/>
            <w:vAlign w:val="center"/>
          </w:tcPr>
          <w:p w14:paraId="5DBC27B5">
            <w:pPr>
              <w:widowControl/>
              <w:spacing w:line="360" w:lineRule="auto"/>
              <w:jc w:val="center"/>
              <w:textAlignment w:val="center"/>
              <w:rPr>
                <w:kern w:val="0"/>
              </w:rPr>
            </w:pPr>
            <w:r>
              <w:rPr>
                <w:kern w:val="0"/>
              </w:rPr>
              <w:t>3</w:t>
            </w:r>
          </w:p>
        </w:tc>
        <w:tc>
          <w:tcPr>
            <w:tcW w:w="1317" w:type="dxa"/>
            <w:tcBorders>
              <w:top w:val="nil"/>
              <w:left w:val="nil"/>
              <w:bottom w:val="single" w:color="auto" w:sz="12" w:space="0"/>
              <w:right w:val="nil"/>
            </w:tcBorders>
            <w:vAlign w:val="center"/>
          </w:tcPr>
          <w:p w14:paraId="761FF5B6">
            <w:pPr>
              <w:widowControl/>
              <w:spacing w:line="360" w:lineRule="auto"/>
              <w:jc w:val="center"/>
              <w:textAlignment w:val="center"/>
              <w:rPr>
                <w:kern w:val="0"/>
              </w:rPr>
            </w:pPr>
            <w:r>
              <w:rPr>
                <w:kern w:val="0"/>
              </w:rPr>
              <w:t>202211535472.8</w:t>
            </w:r>
          </w:p>
        </w:tc>
        <w:tc>
          <w:tcPr>
            <w:tcW w:w="3116" w:type="dxa"/>
            <w:tcBorders>
              <w:top w:val="nil"/>
              <w:left w:val="nil"/>
              <w:bottom w:val="single" w:color="auto" w:sz="12" w:space="0"/>
              <w:right w:val="nil"/>
            </w:tcBorders>
            <w:vAlign w:val="center"/>
          </w:tcPr>
          <w:p w14:paraId="3957D60F">
            <w:pPr>
              <w:widowControl/>
              <w:spacing w:line="360" w:lineRule="auto"/>
              <w:jc w:val="center"/>
              <w:textAlignment w:val="bottom"/>
              <w:rPr>
                <w:kern w:val="0"/>
              </w:rPr>
            </w:pPr>
            <w:r>
              <w:rPr>
                <w:rFonts w:ascii="宋体" w:hAnsi="宋体"/>
                <w:kern w:val="0"/>
              </w:rPr>
              <w:t>一种多金属催化氧化填料及其制备方法和应用</w:t>
            </w:r>
          </w:p>
        </w:tc>
        <w:tc>
          <w:tcPr>
            <w:tcW w:w="1279" w:type="dxa"/>
            <w:tcBorders>
              <w:top w:val="nil"/>
              <w:left w:val="nil"/>
              <w:bottom w:val="single" w:color="auto" w:sz="12" w:space="0"/>
              <w:right w:val="nil"/>
            </w:tcBorders>
            <w:noWrap/>
            <w:vAlign w:val="center"/>
          </w:tcPr>
          <w:p w14:paraId="4C8F637F">
            <w:pPr>
              <w:widowControl/>
              <w:spacing w:line="360" w:lineRule="auto"/>
              <w:jc w:val="center"/>
              <w:textAlignment w:val="bottom"/>
              <w:rPr>
                <w:kern w:val="0"/>
              </w:rPr>
            </w:pPr>
            <w:r>
              <w:rPr>
                <w:kern w:val="0"/>
              </w:rPr>
              <w:t>2022/12/2</w:t>
            </w:r>
          </w:p>
        </w:tc>
        <w:tc>
          <w:tcPr>
            <w:tcW w:w="706" w:type="dxa"/>
            <w:tcBorders>
              <w:top w:val="nil"/>
              <w:left w:val="nil"/>
              <w:bottom w:val="single" w:color="auto" w:sz="12" w:space="0"/>
              <w:right w:val="nil"/>
            </w:tcBorders>
            <w:noWrap/>
            <w:vAlign w:val="center"/>
          </w:tcPr>
          <w:p w14:paraId="7BF0855E">
            <w:pPr>
              <w:widowControl/>
              <w:spacing w:line="360" w:lineRule="auto"/>
              <w:jc w:val="center"/>
              <w:textAlignment w:val="bottom"/>
              <w:rPr>
                <w:kern w:val="0"/>
              </w:rPr>
            </w:pPr>
            <w:r>
              <w:rPr>
                <w:rFonts w:ascii="宋体" w:hAnsi="宋体"/>
                <w:kern w:val="0"/>
              </w:rPr>
              <w:t>发明</w:t>
            </w:r>
          </w:p>
        </w:tc>
      </w:tr>
    </w:tbl>
    <w:p w14:paraId="326B8F0A">
      <w:pPr>
        <w:pStyle w:val="3"/>
        <w:spacing w:before="0" w:after="0" w:line="360" w:lineRule="auto"/>
        <w:rPr>
          <w:sz w:val="28"/>
          <w:szCs w:val="28"/>
        </w:rPr>
      </w:pPr>
      <w:bookmarkStart w:id="15" w:name="_Toc172817431"/>
      <w:r>
        <w:rPr>
          <w:sz w:val="28"/>
          <w:szCs w:val="28"/>
        </w:rPr>
        <w:t>五、</w:t>
      </w:r>
      <w:r>
        <w:rPr>
          <w:rFonts w:hint="eastAsia"/>
          <w:sz w:val="28"/>
          <w:szCs w:val="28"/>
        </w:rPr>
        <w:t>预期达到的社会效益</w:t>
      </w:r>
      <w:bookmarkEnd w:id="15"/>
    </w:p>
    <w:p w14:paraId="68FB8845">
      <w:pPr>
        <w:spacing w:line="360" w:lineRule="auto"/>
        <w:ind w:firstLine="480" w:firstLineChars="200"/>
        <w:rPr>
          <w:sz w:val="24"/>
          <w:szCs w:val="24"/>
        </w:rPr>
      </w:pPr>
      <w:r>
        <w:rPr>
          <w:sz w:val="24"/>
          <w:szCs w:val="24"/>
        </w:rPr>
        <w:t>本</w:t>
      </w:r>
      <w:r>
        <w:rPr>
          <w:rFonts w:hint="eastAsia"/>
          <w:sz w:val="24"/>
          <w:szCs w:val="24"/>
        </w:rPr>
        <w:t>规范所研发的技术已经成熟，完全可以推广应用，且在中海油渤海油田和胜利油田的成套废弃泥浆处理集成技术及装备的成功应用中起到了重要指导作用。为油田钻井泥浆集中处理站建设以及改造提供了具体可行的实例和方案。其中“负压振动筛+大长径比卧螺离心机+碟片分离机”技术体系及装备泥浆回收率达到30%，比其他固控系统提高50%，而建造成本只有进口设备的60%，可广泛用于随钻固控系统或泥浆集中处理站。多金属催化氧化技术COD降解率达到51%，成本40元/吨，比常用的芬顿氧化工艺（COD降解率50%，成本80~100元/吨）成本降低50%以上，在泥浆液相处理以及其他高盐高浓废液处理中具有较好的推广前景。规范增强了技术在用户中的认可度，为后续在类似污染场地推广应用奠定了基础。试验的成功运营达成了项目考核指标的要求，验证了规范的先进性、有效性。本规范发挥了重要的技术支撑和推广作用，对油气田废弃泥浆处理具有重要的示范推动意义。</w:t>
      </w:r>
    </w:p>
    <w:p w14:paraId="5FDA6833">
      <w:pPr>
        <w:pStyle w:val="3"/>
        <w:spacing w:before="0" w:after="0" w:line="360" w:lineRule="auto"/>
        <w:rPr>
          <w:sz w:val="28"/>
          <w:szCs w:val="28"/>
        </w:rPr>
      </w:pPr>
      <w:bookmarkStart w:id="16" w:name="_Toc172817432"/>
      <w:r>
        <w:rPr>
          <w:rFonts w:hint="eastAsia"/>
          <w:sz w:val="28"/>
          <w:szCs w:val="28"/>
        </w:rPr>
        <w:t>六</w:t>
      </w:r>
      <w:r>
        <w:rPr>
          <w:sz w:val="28"/>
          <w:szCs w:val="28"/>
        </w:rPr>
        <w:t>、</w:t>
      </w:r>
      <w:r>
        <w:rPr>
          <w:rFonts w:hint="eastAsia"/>
          <w:sz w:val="28"/>
          <w:szCs w:val="28"/>
        </w:rPr>
        <w:t>与国际、国内标准对比情况</w:t>
      </w:r>
      <w:bookmarkEnd w:id="16"/>
    </w:p>
    <w:p w14:paraId="779A80B8">
      <w:pPr>
        <w:spacing w:line="360" w:lineRule="auto"/>
        <w:ind w:firstLine="420" w:firstLineChars="200"/>
        <w:rPr>
          <w:sz w:val="24"/>
          <w:szCs w:val="24"/>
        </w:rPr>
      </w:pPr>
      <w:r>
        <w:t xml:space="preserve"> </w:t>
      </w:r>
      <w:r>
        <w:rPr>
          <w:sz w:val="24"/>
          <w:szCs w:val="24"/>
        </w:rPr>
        <w:t>本团标参考的国际相关标准如下：</w:t>
      </w:r>
    </w:p>
    <w:p w14:paraId="1F3192FC">
      <w:pPr>
        <w:spacing w:line="360" w:lineRule="auto"/>
        <w:ind w:firstLine="480" w:firstLineChars="200"/>
        <w:rPr>
          <w:sz w:val="24"/>
          <w:szCs w:val="24"/>
        </w:rPr>
      </w:pPr>
      <w:r>
        <w:rPr>
          <w:sz w:val="24"/>
          <w:szCs w:val="24"/>
        </w:rPr>
        <w:t xml:space="preserve">（1）国际标准化组织（ISO）相关标准 </w:t>
      </w:r>
    </w:p>
    <w:p w14:paraId="47F84018">
      <w:pPr>
        <w:spacing w:line="360" w:lineRule="auto"/>
        <w:ind w:firstLine="480" w:firstLineChars="200"/>
        <w:rPr>
          <w:sz w:val="24"/>
          <w:szCs w:val="24"/>
        </w:rPr>
      </w:pPr>
      <w:r>
        <w:rPr>
          <w:sz w:val="24"/>
          <w:szCs w:val="24"/>
        </w:rPr>
        <w:t>国际组织-国际标准化组织（IX-ISO）于20</w:t>
      </w:r>
      <w:r>
        <w:rPr>
          <w:rFonts w:hint="eastAsia"/>
          <w:sz w:val="24"/>
          <w:szCs w:val="24"/>
        </w:rPr>
        <w:t>17</w:t>
      </w:r>
      <w:r>
        <w:rPr>
          <w:sz w:val="24"/>
          <w:szCs w:val="24"/>
        </w:rPr>
        <w:t>年</w:t>
      </w:r>
      <w:r>
        <w:rPr>
          <w:rFonts w:hint="eastAsia"/>
          <w:sz w:val="24"/>
          <w:szCs w:val="24"/>
        </w:rPr>
        <w:t>8</w:t>
      </w:r>
      <w:r>
        <w:rPr>
          <w:sz w:val="24"/>
          <w:szCs w:val="24"/>
        </w:rPr>
        <w:t>月2</w:t>
      </w:r>
      <w:r>
        <w:rPr>
          <w:rFonts w:hint="eastAsia"/>
          <w:sz w:val="24"/>
          <w:szCs w:val="24"/>
        </w:rPr>
        <w:t>8</w:t>
      </w:r>
      <w:r>
        <w:rPr>
          <w:sz w:val="24"/>
          <w:szCs w:val="24"/>
        </w:rPr>
        <w:t>日颁布了《土壤质量-石油烃污染土壤的影响评估》（ISO 11504-2017）。</w:t>
      </w:r>
      <w:r>
        <w:rPr>
          <w:rFonts w:hint="eastAsia"/>
          <w:sz w:val="24"/>
          <w:szCs w:val="24"/>
        </w:rPr>
        <w:t>该标准</w:t>
      </w:r>
      <w:r>
        <w:rPr>
          <w:sz w:val="24"/>
          <w:szCs w:val="24"/>
        </w:rPr>
        <w:t>为评估对人类健康、环境和其他可能受体的风险，对土壤、土壤材料和相关材料（包括沉积物）中的石油碳氢化合物进行分析时，给出了有关馏分和单个化合物选择的指南。</w:t>
      </w:r>
    </w:p>
    <w:p w14:paraId="517B4502">
      <w:pPr>
        <w:spacing w:line="360" w:lineRule="auto"/>
        <w:ind w:firstLine="480" w:firstLineChars="200"/>
        <w:rPr>
          <w:sz w:val="24"/>
          <w:szCs w:val="24"/>
        </w:rPr>
      </w:pPr>
      <w:r>
        <w:rPr>
          <w:rFonts w:hint="eastAsia"/>
          <w:sz w:val="24"/>
          <w:szCs w:val="24"/>
        </w:rPr>
        <w:t>（2）俄罗斯标准</w:t>
      </w:r>
    </w:p>
    <w:p w14:paraId="117819D4">
      <w:pPr>
        <w:spacing w:line="360" w:lineRule="auto"/>
        <w:ind w:firstLine="480" w:firstLineChars="200"/>
        <w:rPr>
          <w:sz w:val="24"/>
          <w:szCs w:val="24"/>
        </w:rPr>
      </w:pPr>
      <w:r>
        <w:rPr>
          <w:sz w:val="24"/>
          <w:szCs w:val="24"/>
        </w:rPr>
        <w:t>俄罗斯-</w:t>
      </w:r>
      <w:r>
        <w:rPr>
          <w:rFonts w:hint="eastAsia"/>
          <w:sz w:val="24"/>
          <w:szCs w:val="24"/>
        </w:rPr>
        <w:t>俄罗斯国家标准（RU-GOST）于2020年起草，2021年实施的《环境保护 被破坏和石油污染土地复垦的一般要求》（GOST R 59070-2020），该标准就被破坏和受石油污染的土地的恢复所产生的关系范围内确定术语和定义。</w:t>
      </w:r>
    </w:p>
    <w:p w14:paraId="2A360230">
      <w:pPr>
        <w:spacing w:line="360" w:lineRule="auto"/>
        <w:ind w:firstLine="480" w:firstLineChars="200"/>
        <w:rPr>
          <w:sz w:val="24"/>
          <w:szCs w:val="24"/>
        </w:rPr>
      </w:pPr>
      <w:r>
        <w:rPr>
          <w:rFonts w:hint="eastAsia"/>
          <w:sz w:val="24"/>
          <w:szCs w:val="24"/>
        </w:rPr>
        <w:t>2017 年制定的俄罗斯国家标准《最好的技术 石油污染土地的复垦 主要条款》（GOST R 57447-2017）概述了石油污染土地复垦的最佳可用技术。该标准定义了石油和石油产品污染土地的最佳恢复方法，旨在将土地、领土、景观和生态系统恢复到尽可能接近原始状态。重点是使用有效和适当的技术全面恢复受影响区域。</w:t>
      </w:r>
    </w:p>
    <w:p w14:paraId="325CD024">
      <w:pPr>
        <w:spacing w:line="360" w:lineRule="auto"/>
        <w:ind w:firstLine="480" w:firstLineChars="200"/>
        <w:rPr>
          <w:sz w:val="24"/>
          <w:szCs w:val="24"/>
        </w:rPr>
      </w:pPr>
      <w:r>
        <w:rPr>
          <w:sz w:val="24"/>
          <w:szCs w:val="24"/>
        </w:rPr>
        <w:t>（</w:t>
      </w:r>
      <w:r>
        <w:rPr>
          <w:rFonts w:hint="eastAsia"/>
          <w:sz w:val="24"/>
          <w:szCs w:val="24"/>
        </w:rPr>
        <w:t>3</w:t>
      </w:r>
      <w:r>
        <w:rPr>
          <w:sz w:val="24"/>
          <w:szCs w:val="24"/>
        </w:rPr>
        <w:t xml:space="preserve">）美国相关标准 </w:t>
      </w:r>
    </w:p>
    <w:p w14:paraId="5B84C5C1">
      <w:pPr>
        <w:spacing w:line="360" w:lineRule="auto"/>
        <w:ind w:firstLine="480" w:firstLineChars="200"/>
        <w:rPr>
          <w:sz w:val="24"/>
          <w:szCs w:val="24"/>
        </w:rPr>
      </w:pPr>
      <w:r>
        <w:rPr>
          <w:sz w:val="24"/>
          <w:szCs w:val="24"/>
        </w:rPr>
        <w:t>美国没有国家标准方法和规范，主要以行业或协会的标准方法或规范为主。有关</w:t>
      </w:r>
      <w:r>
        <w:rPr>
          <w:rFonts w:hint="eastAsia"/>
          <w:sz w:val="24"/>
          <w:szCs w:val="24"/>
        </w:rPr>
        <w:t>石油污染</w:t>
      </w:r>
      <w:r>
        <w:rPr>
          <w:sz w:val="24"/>
          <w:szCs w:val="24"/>
        </w:rPr>
        <w:t xml:space="preserve">土壤的标准和规范主要有EPA方法和美国测试与材料学会（ASTM）标准，ASTM建立的有关土壤采样的标准方法已被许多国家采用（如日本与加拿大等）。 </w:t>
      </w:r>
    </w:p>
    <w:p w14:paraId="3C5BF4F4">
      <w:pPr>
        <w:spacing w:line="360" w:lineRule="auto"/>
        <w:ind w:firstLine="480" w:firstLineChars="200"/>
        <w:rPr>
          <w:sz w:val="24"/>
          <w:szCs w:val="24"/>
        </w:rPr>
      </w:pPr>
      <w:r>
        <w:rPr>
          <w:sz w:val="24"/>
          <w:szCs w:val="24"/>
        </w:rPr>
        <w:t>（</w:t>
      </w:r>
      <w:r>
        <w:rPr>
          <w:rFonts w:hint="eastAsia"/>
          <w:sz w:val="24"/>
          <w:szCs w:val="24"/>
        </w:rPr>
        <w:t>4</w:t>
      </w:r>
      <w:r>
        <w:rPr>
          <w:sz w:val="24"/>
          <w:szCs w:val="24"/>
        </w:rPr>
        <w:t xml:space="preserve">）英国相关标准 </w:t>
      </w:r>
    </w:p>
    <w:p w14:paraId="4C9897A8">
      <w:pPr>
        <w:spacing w:line="360" w:lineRule="auto"/>
        <w:ind w:firstLine="480" w:firstLineChars="200"/>
        <w:rPr>
          <w:sz w:val="24"/>
          <w:szCs w:val="24"/>
        </w:rPr>
      </w:pPr>
      <w:r>
        <w:rPr>
          <w:sz w:val="24"/>
          <w:szCs w:val="24"/>
        </w:rPr>
        <w:t>英国-</w:t>
      </w:r>
      <w:r>
        <w:rPr>
          <w:rFonts w:hint="eastAsia"/>
          <w:sz w:val="24"/>
          <w:szCs w:val="24"/>
        </w:rPr>
        <w:t>英国技术法规（GB-LEX）</w:t>
      </w:r>
      <w:r>
        <w:rPr>
          <w:sz w:val="24"/>
          <w:szCs w:val="24"/>
        </w:rPr>
        <w:t>于</w:t>
      </w:r>
      <w:r>
        <w:rPr>
          <w:rFonts w:hint="eastAsia"/>
          <w:sz w:val="24"/>
          <w:szCs w:val="24"/>
        </w:rPr>
        <w:t>2011</w:t>
      </w:r>
      <w:r>
        <w:rPr>
          <w:sz w:val="24"/>
          <w:szCs w:val="24"/>
        </w:rPr>
        <w:t xml:space="preserve">年颁布了《土壤质量 - 评估土壤污染石油烃的影响》 (2011 No. 983)，该规范规定了一般土壤污染调查的程序和方法指导，包括准备、布点方法、样品采集数量、样品采集方法、质量控制及报告编写等内容。 </w:t>
      </w:r>
    </w:p>
    <w:p w14:paraId="56AA2EFC">
      <w:pPr>
        <w:spacing w:line="360" w:lineRule="auto"/>
        <w:ind w:firstLine="480" w:firstLineChars="200"/>
        <w:rPr>
          <w:sz w:val="24"/>
          <w:szCs w:val="24"/>
        </w:rPr>
      </w:pPr>
      <w:r>
        <w:rPr>
          <w:rFonts w:hint="eastAsia"/>
          <w:sz w:val="24"/>
          <w:szCs w:val="24"/>
        </w:rPr>
        <w:t>国内主要和现行标准DB 61/T 1365-2020《</w:t>
      </w:r>
      <w:bookmarkStart w:id="17" w:name="OLE_LINK3"/>
      <w:r>
        <w:rPr>
          <w:rFonts w:hint="eastAsia"/>
          <w:sz w:val="24"/>
          <w:szCs w:val="24"/>
        </w:rPr>
        <w:t>油气田废弃钻井液处理技术规范</w:t>
      </w:r>
      <w:bookmarkEnd w:id="17"/>
      <w:r>
        <w:rPr>
          <w:rFonts w:hint="eastAsia"/>
          <w:sz w:val="24"/>
          <w:szCs w:val="24"/>
        </w:rPr>
        <w:t>》和SY/T 7466-2020《陆上石油天然气开采水基钻井废弃物处理处置及资源化利用技术规范》进行比较。三个标准均对水基钻井废弃泥浆处理路线进行了描述，均为首先进行固液分离，液相处理后回用、回注或外排，固相进行资源化利用。</w:t>
      </w:r>
    </w:p>
    <w:p w14:paraId="40A8D00D">
      <w:pPr>
        <w:spacing w:line="360" w:lineRule="auto"/>
        <w:ind w:firstLine="480" w:firstLineChars="200"/>
        <w:rPr>
          <w:sz w:val="24"/>
          <w:szCs w:val="24"/>
        </w:rPr>
      </w:pPr>
      <w:r>
        <w:rPr>
          <w:rFonts w:hint="eastAsia"/>
          <w:sz w:val="24"/>
          <w:szCs w:val="24"/>
        </w:rPr>
        <w:t>液相处理处置方面，本团标详细规定了液相处理的总体要求、污染物与污染负荷、集中处理工艺设计、主要工艺设备和材料、检测与过程控制等技术要求，处置方式有外排以及回用。其余两个标准均简单推荐了处理工艺，最终处置方式为回用配液或者回注。</w:t>
      </w:r>
    </w:p>
    <w:p w14:paraId="2092AA87">
      <w:pPr>
        <w:spacing w:line="360" w:lineRule="auto"/>
        <w:ind w:firstLine="480" w:firstLineChars="200"/>
      </w:pPr>
      <w:r>
        <w:rPr>
          <w:rFonts w:hint="eastAsia"/>
          <w:sz w:val="24"/>
          <w:szCs w:val="24"/>
        </w:rPr>
        <w:t>固相处理处置方面，本团标简略规定了固相的资源化利用途径及应符合的要求，包括指标陶粒、免烧砖和绿化土。《油气田废弃钻井液处理技术规范》规定了固相处理技术为固化处理、生物堆和高温处理，均属于无害化处理。《陆上石油天然气开采水基钻井废弃物处理处置及资源化利用技术规范》规定了固相资源化方向主要是制备建材产品和作为水泥窑协同处置的原料。</w:t>
      </w:r>
    </w:p>
    <w:p w14:paraId="003BD9F0">
      <w:pPr>
        <w:spacing w:line="360" w:lineRule="auto"/>
        <w:ind w:firstLine="480" w:firstLineChars="200"/>
        <w:rPr>
          <w:sz w:val="24"/>
          <w:szCs w:val="24"/>
          <w:highlight w:val="yellow"/>
        </w:rPr>
      </w:pPr>
      <w:r>
        <w:rPr>
          <w:rFonts w:hint="eastAsia"/>
          <w:sz w:val="24"/>
          <w:szCs w:val="24"/>
        </w:rPr>
        <w:t>综上，本团标更详细地规定了水基钻井废弃泥浆处理处置工艺设计方面的内容，特别是对固液分离后液相处理的规定，同时丰富了固相资源化利用的途径，为国内水基钻井废弃泥浆处理处置提供了思路。</w:t>
      </w:r>
    </w:p>
    <w:p w14:paraId="52BCA3AB">
      <w:pPr>
        <w:pStyle w:val="3"/>
        <w:spacing w:before="0" w:after="0" w:line="360" w:lineRule="auto"/>
        <w:rPr>
          <w:sz w:val="28"/>
          <w:szCs w:val="28"/>
        </w:rPr>
      </w:pPr>
      <w:bookmarkStart w:id="18" w:name="_Toc172817433"/>
      <w:r>
        <w:rPr>
          <w:rFonts w:hint="eastAsia"/>
          <w:sz w:val="28"/>
          <w:szCs w:val="28"/>
        </w:rPr>
        <w:t>七</w:t>
      </w:r>
      <w:r>
        <w:rPr>
          <w:sz w:val="28"/>
          <w:szCs w:val="28"/>
        </w:rPr>
        <w:t>、</w:t>
      </w:r>
      <w:r>
        <w:rPr>
          <w:rFonts w:hint="eastAsia"/>
          <w:sz w:val="28"/>
          <w:szCs w:val="28"/>
        </w:rPr>
        <w:t>与现行相关法律、法规、规章及相关标准</w:t>
      </w:r>
      <w:bookmarkEnd w:id="18"/>
    </w:p>
    <w:p w14:paraId="0B8E2E59">
      <w:pPr>
        <w:spacing w:line="360" w:lineRule="auto"/>
        <w:ind w:firstLine="480" w:firstLineChars="200"/>
        <w:rPr>
          <w:sz w:val="24"/>
          <w:szCs w:val="24"/>
        </w:rPr>
      </w:pPr>
      <w:r>
        <w:rPr>
          <w:rFonts w:hint="eastAsia"/>
          <w:sz w:val="24"/>
          <w:szCs w:val="24"/>
        </w:rPr>
        <w:t>标准与强制标准协调一致，与现行的相关法律法规、规章及相关标准协调一致。</w:t>
      </w:r>
    </w:p>
    <w:p w14:paraId="466FF7B8">
      <w:pPr>
        <w:pStyle w:val="3"/>
        <w:spacing w:before="0" w:after="0" w:line="360" w:lineRule="auto"/>
        <w:rPr>
          <w:sz w:val="28"/>
          <w:szCs w:val="28"/>
        </w:rPr>
      </w:pPr>
      <w:bookmarkStart w:id="19" w:name="_Toc172817434"/>
      <w:r>
        <w:rPr>
          <w:rFonts w:hint="eastAsia"/>
          <w:sz w:val="28"/>
          <w:szCs w:val="28"/>
        </w:rPr>
        <w:t>八</w:t>
      </w:r>
      <w:r>
        <w:rPr>
          <w:sz w:val="28"/>
          <w:szCs w:val="28"/>
        </w:rPr>
        <w:t>、重大意见分歧的处理经过和依据</w:t>
      </w:r>
      <w:bookmarkEnd w:id="19"/>
    </w:p>
    <w:p w14:paraId="114FA427">
      <w:pPr>
        <w:spacing w:line="360" w:lineRule="auto"/>
        <w:ind w:firstLine="480" w:firstLineChars="200"/>
        <w:rPr>
          <w:sz w:val="24"/>
          <w:szCs w:val="24"/>
        </w:rPr>
      </w:pPr>
      <w:r>
        <w:rPr>
          <w:sz w:val="24"/>
          <w:szCs w:val="24"/>
        </w:rPr>
        <w:t>标准未产生重大分歧意见。</w:t>
      </w:r>
    </w:p>
    <w:p w14:paraId="57A3F29C">
      <w:pPr>
        <w:pStyle w:val="3"/>
        <w:spacing w:before="0" w:after="0" w:line="360" w:lineRule="auto"/>
        <w:rPr>
          <w:sz w:val="28"/>
          <w:szCs w:val="28"/>
        </w:rPr>
      </w:pPr>
      <w:bookmarkStart w:id="20" w:name="_Toc172817435"/>
      <w:r>
        <w:rPr>
          <w:rFonts w:hint="eastAsia"/>
          <w:sz w:val="28"/>
          <w:szCs w:val="28"/>
        </w:rPr>
        <w:t>九、标准性质的建议说明</w:t>
      </w:r>
      <w:bookmarkEnd w:id="20"/>
    </w:p>
    <w:p w14:paraId="5EC461BA">
      <w:pPr>
        <w:spacing w:line="360" w:lineRule="auto"/>
        <w:ind w:firstLine="480" w:firstLineChars="200"/>
        <w:rPr>
          <w:sz w:val="24"/>
          <w:szCs w:val="24"/>
        </w:rPr>
      </w:pPr>
      <w:r>
        <w:rPr>
          <w:rFonts w:hint="eastAsia"/>
          <w:sz w:val="24"/>
          <w:szCs w:val="24"/>
        </w:rPr>
        <w:t>本标准为团体标准，为自愿标准。</w:t>
      </w:r>
    </w:p>
    <w:p w14:paraId="6E3D375C">
      <w:pPr>
        <w:pStyle w:val="3"/>
        <w:spacing w:before="0" w:after="0" w:line="360" w:lineRule="auto"/>
        <w:rPr>
          <w:sz w:val="28"/>
          <w:szCs w:val="28"/>
        </w:rPr>
      </w:pPr>
      <w:bookmarkStart w:id="21" w:name="_Toc172817436"/>
      <w:r>
        <w:rPr>
          <w:rFonts w:hint="eastAsia"/>
          <w:sz w:val="28"/>
          <w:szCs w:val="28"/>
        </w:rPr>
        <w:t>十、贯彻标准的要求和措施建议</w:t>
      </w:r>
      <w:bookmarkEnd w:id="21"/>
    </w:p>
    <w:p w14:paraId="5F31CEB2">
      <w:pPr>
        <w:spacing w:line="360" w:lineRule="auto"/>
        <w:ind w:firstLine="480" w:firstLineChars="200"/>
        <w:rPr>
          <w:sz w:val="24"/>
          <w:szCs w:val="24"/>
        </w:rPr>
      </w:pPr>
      <w:r>
        <w:rPr>
          <w:rFonts w:hint="eastAsia"/>
          <w:sz w:val="24"/>
          <w:szCs w:val="24"/>
        </w:rPr>
        <w:t>废弃水基钻井液集中处理应以减量化、资源化、再利用为基本原则。废弃水基钻井液集中处理设施和设备的设计和建设除应遵守本标准和环境影响评价审批文件的规定外，还应符合国家基本建设程序以及有关标准、规范和规划的规定。应积极引进使用新工艺、新材料、新设备、新技术，在设计阶段应充分考虑废弃水基钻井液的资源化利用途径。处理工艺设计应优先选用处理效率高、能耗低、投资省的处理工艺。处理工艺设计应保证处理设施稳定、处理设施或设备设计应考虑生产事故等非正常工况时的污染防治应急措施。</w:t>
      </w:r>
    </w:p>
    <w:p w14:paraId="7D2236A0">
      <w:pPr>
        <w:pStyle w:val="3"/>
        <w:spacing w:before="0" w:after="0" w:line="360" w:lineRule="auto"/>
        <w:rPr>
          <w:sz w:val="28"/>
          <w:szCs w:val="28"/>
        </w:rPr>
      </w:pPr>
      <w:bookmarkStart w:id="22" w:name="_Toc172817437"/>
      <w:r>
        <w:rPr>
          <w:rFonts w:hint="eastAsia"/>
          <w:sz w:val="28"/>
          <w:szCs w:val="28"/>
        </w:rPr>
        <w:t>十一、废止现行相关标准的建议</w:t>
      </w:r>
      <w:r>
        <w:rPr>
          <w:sz w:val="28"/>
          <w:szCs w:val="28"/>
        </w:rPr>
        <w:t>项</w:t>
      </w:r>
      <w:bookmarkEnd w:id="22"/>
    </w:p>
    <w:p w14:paraId="190FE82C">
      <w:pPr>
        <w:spacing w:line="360" w:lineRule="auto"/>
        <w:ind w:firstLine="480" w:firstLineChars="200"/>
        <w:rPr>
          <w:sz w:val="24"/>
          <w:szCs w:val="24"/>
        </w:rPr>
      </w:pPr>
      <w:r>
        <w:rPr>
          <w:rFonts w:hint="eastAsia"/>
          <w:sz w:val="24"/>
          <w:szCs w:val="24"/>
        </w:rPr>
        <w:t>本标准无替代旧标准相关项。</w:t>
      </w:r>
    </w:p>
    <w:p w14:paraId="208881BD">
      <w:pPr>
        <w:pStyle w:val="3"/>
        <w:spacing w:before="0" w:after="0" w:line="360" w:lineRule="auto"/>
        <w:rPr>
          <w:sz w:val="28"/>
          <w:szCs w:val="28"/>
        </w:rPr>
      </w:pPr>
      <w:bookmarkStart w:id="23" w:name="_Toc172817438"/>
      <w:r>
        <w:rPr>
          <w:rFonts w:hint="eastAsia"/>
          <w:sz w:val="28"/>
          <w:szCs w:val="28"/>
        </w:rPr>
        <w:t>十二、</w:t>
      </w:r>
      <w:r>
        <w:rPr>
          <w:sz w:val="28"/>
          <w:szCs w:val="28"/>
        </w:rPr>
        <w:t>其他应予说明的事项</w:t>
      </w:r>
      <w:bookmarkEnd w:id="23"/>
    </w:p>
    <w:p w14:paraId="552FBCC7">
      <w:pPr>
        <w:spacing w:line="360" w:lineRule="auto"/>
        <w:ind w:firstLine="480" w:firstLineChars="200"/>
        <w:rPr>
          <w:sz w:val="24"/>
          <w:szCs w:val="24"/>
        </w:rPr>
      </w:pPr>
      <w:r>
        <w:rPr>
          <w:sz w:val="24"/>
          <w:szCs w:val="24"/>
        </w:rPr>
        <w:t>目前未有其他需要说明的事项。</w:t>
      </w:r>
    </w:p>
    <w:p w14:paraId="23EBA441">
      <w:pPr>
        <w:pStyle w:val="23"/>
        <w:spacing w:after="0" w:line="360" w:lineRule="auto"/>
        <w:ind w:firstLine="0" w:firstLineChars="0"/>
        <w:jc w:val="both"/>
        <w:rPr>
          <w:rFonts w:ascii="Times New Roman" w:hAnsi="Times New Roman" w:eastAsia="宋体"/>
          <w:sz w:val="24"/>
          <w:szCs w:val="24"/>
        </w:rPr>
      </w:pPr>
    </w:p>
    <w:sectPr>
      <w:footerReference r:id="rId5" w:type="firs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255979709"/>
      <w:docPartObj>
        <w:docPartGallery w:val="autotext"/>
      </w:docPartObj>
    </w:sdtPr>
    <w:sdtEndPr>
      <w:rPr>
        <w:rStyle w:val="21"/>
      </w:rPr>
    </w:sdtEndPr>
    <w:sdtContent>
      <w:p w14:paraId="64861070">
        <w:pPr>
          <w:pStyle w:val="11"/>
          <w:framePr w:wrap="auto" w:vAnchor="text" w:hAnchor="margin" w:xAlign="center" w:y="1"/>
          <w:rPr>
            <w:rStyle w:val="21"/>
          </w:rPr>
        </w:pPr>
        <w:r>
          <w:rPr>
            <w:rStyle w:val="21"/>
          </w:rPr>
          <w:fldChar w:fldCharType="begin"/>
        </w:r>
        <w:r>
          <w:rPr>
            <w:rStyle w:val="21"/>
          </w:rPr>
          <w:instrText xml:space="preserve"> PAGE </w:instrText>
        </w:r>
        <w:r>
          <w:rPr>
            <w:rStyle w:val="21"/>
          </w:rPr>
          <w:fldChar w:fldCharType="separate"/>
        </w:r>
        <w:r>
          <w:rPr>
            <w:rStyle w:val="21"/>
          </w:rPr>
          <w:t>4</w:t>
        </w:r>
        <w:r>
          <w:rPr>
            <w:rStyle w:val="21"/>
          </w:rPr>
          <w:fldChar w:fldCharType="end"/>
        </w:r>
      </w:p>
    </w:sdtContent>
  </w:sdt>
  <w:p w14:paraId="4F486B3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309870337"/>
      <w:docPartObj>
        <w:docPartGallery w:val="autotext"/>
      </w:docPartObj>
    </w:sdtPr>
    <w:sdtEndPr>
      <w:rPr>
        <w:rStyle w:val="21"/>
      </w:rPr>
    </w:sdtEndPr>
    <w:sdtContent>
      <w:p w14:paraId="1315BB92">
        <w:pPr>
          <w:pStyle w:val="11"/>
          <w:framePr w:wrap="auto" w:vAnchor="text" w:hAnchor="margin" w:xAlign="center" w:y="1"/>
          <w:rPr>
            <w:rStyle w:val="21"/>
          </w:rPr>
        </w:pPr>
        <w:r>
          <w:rPr>
            <w:rStyle w:val="21"/>
          </w:rPr>
          <w:fldChar w:fldCharType="begin"/>
        </w:r>
        <w:r>
          <w:rPr>
            <w:rStyle w:val="21"/>
          </w:rPr>
          <w:instrText xml:space="preserve"> PAGE </w:instrText>
        </w:r>
        <w:r>
          <w:rPr>
            <w:rStyle w:val="21"/>
          </w:rPr>
          <w:fldChar w:fldCharType="end"/>
        </w:r>
      </w:p>
    </w:sdtContent>
  </w:sdt>
  <w:sdt>
    <w:sdtPr>
      <w:rPr>
        <w:rStyle w:val="21"/>
      </w:rPr>
      <w:id w:val="-557314963"/>
      <w:docPartObj>
        <w:docPartGallery w:val="autotext"/>
      </w:docPartObj>
    </w:sdtPr>
    <w:sdtEndPr>
      <w:rPr>
        <w:rStyle w:val="21"/>
      </w:rPr>
    </w:sdtEndPr>
    <w:sdtContent>
      <w:p w14:paraId="3939F4EE">
        <w:pPr>
          <w:pStyle w:val="11"/>
          <w:framePr w:wrap="auto" w:vAnchor="text" w:hAnchor="margin" w:xAlign="center" w:y="1"/>
          <w:rPr>
            <w:rStyle w:val="21"/>
          </w:rPr>
        </w:pPr>
        <w:r>
          <w:rPr>
            <w:rStyle w:val="21"/>
          </w:rPr>
          <w:fldChar w:fldCharType="begin"/>
        </w:r>
        <w:r>
          <w:rPr>
            <w:rStyle w:val="21"/>
          </w:rPr>
          <w:instrText xml:space="preserve"> PAGE </w:instrText>
        </w:r>
        <w:r>
          <w:rPr>
            <w:rStyle w:val="21"/>
          </w:rPr>
          <w:fldChar w:fldCharType="end"/>
        </w:r>
      </w:p>
    </w:sdtContent>
  </w:sdt>
  <w:p w14:paraId="733AAD7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1751808481"/>
      <w:docPartObj>
        <w:docPartGallery w:val="autotext"/>
      </w:docPartObj>
    </w:sdtPr>
    <w:sdtEndPr>
      <w:rPr>
        <w:rStyle w:val="21"/>
      </w:rPr>
    </w:sdtEndPr>
    <w:sdtContent>
      <w:p w14:paraId="47E500BB">
        <w:pPr>
          <w:pStyle w:val="11"/>
          <w:framePr w:wrap="auto" w:vAnchor="text" w:hAnchor="margin" w:xAlign="center" w:y="1"/>
          <w:rPr>
            <w:rStyle w:val="21"/>
          </w:rPr>
        </w:pPr>
        <w:r>
          <w:rPr>
            <w:rStyle w:val="21"/>
          </w:rPr>
          <w:fldChar w:fldCharType="begin"/>
        </w:r>
        <w:r>
          <w:rPr>
            <w:rStyle w:val="21"/>
          </w:rPr>
          <w:instrText xml:space="preserve"> PAGE </w:instrText>
        </w:r>
        <w:r>
          <w:rPr>
            <w:rStyle w:val="21"/>
          </w:rPr>
          <w:fldChar w:fldCharType="separate"/>
        </w:r>
        <w:r>
          <w:rPr>
            <w:rStyle w:val="21"/>
          </w:rPr>
          <w:t>1</w:t>
        </w:r>
        <w:r>
          <w:rPr>
            <w:rStyle w:val="21"/>
          </w:rPr>
          <w:fldChar w:fldCharType="end"/>
        </w:r>
      </w:p>
    </w:sdtContent>
  </w:sdt>
  <w:p w14:paraId="6E936658">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82C6D"/>
    <w:multiLevelType w:val="singleLevel"/>
    <w:tmpl w:val="19882C6D"/>
    <w:lvl w:ilvl="0" w:tentative="0">
      <w:start w:val="1"/>
      <w:numFmt w:val="chineseCounting"/>
      <w:suff w:val="nothing"/>
      <w:lvlText w:val="%1、"/>
      <w:lvlJc w:val="left"/>
      <w:rPr>
        <w:rFonts w:hint="eastAsia"/>
      </w:rPr>
    </w:lvl>
  </w:abstractNum>
  <w:abstractNum w:abstractNumId="1">
    <w:nsid w:val="19F32F1A"/>
    <w:multiLevelType w:val="multilevel"/>
    <w:tmpl w:val="19F32F1A"/>
    <w:lvl w:ilvl="0" w:tentative="0">
      <w:start w:val="3"/>
      <w:numFmt w:val="decimal"/>
      <w:lvlText w:val="%1"/>
      <w:lvlJc w:val="left"/>
      <w:pPr>
        <w:ind w:left="480" w:hanging="480"/>
      </w:pPr>
      <w:rPr>
        <w:rFonts w:hint="default"/>
      </w:rPr>
    </w:lvl>
    <w:lvl w:ilvl="1" w:tentative="0">
      <w:start w:val="2"/>
      <w:numFmt w:val="decimal"/>
      <w:lvlText w:val="%1.%2"/>
      <w:lvlJc w:val="left"/>
      <w:pPr>
        <w:ind w:left="720" w:hanging="480"/>
      </w:pPr>
      <w:rPr>
        <w:rFonts w:hint="default"/>
      </w:rPr>
    </w:lvl>
    <w:lvl w:ilvl="2" w:tentative="0">
      <w:start w:val="7"/>
      <w:numFmt w:val="decimal"/>
      <w:lvlText w:val="%1.%2.%3"/>
      <w:lvlJc w:val="left"/>
      <w:pPr>
        <w:ind w:left="1200" w:hanging="720"/>
      </w:pPr>
      <w:rPr>
        <w:rFonts w:hint="default"/>
      </w:rPr>
    </w:lvl>
    <w:lvl w:ilvl="3" w:tentative="0">
      <w:start w:val="1"/>
      <w:numFmt w:val="decimal"/>
      <w:lvlText w:val="%1.%2.%3.%4"/>
      <w:lvlJc w:val="left"/>
      <w:pPr>
        <w:ind w:left="1440" w:hanging="72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280" w:hanging="1080"/>
      </w:pPr>
      <w:rPr>
        <w:rFonts w:hint="default"/>
      </w:rPr>
    </w:lvl>
    <w:lvl w:ilvl="6" w:tentative="0">
      <w:start w:val="1"/>
      <w:numFmt w:val="decimal"/>
      <w:lvlText w:val="%1.%2.%3.%4.%5.%6.%7"/>
      <w:lvlJc w:val="left"/>
      <w:pPr>
        <w:ind w:left="2880" w:hanging="1440"/>
      </w:pPr>
      <w:rPr>
        <w:rFonts w:hint="default"/>
      </w:rPr>
    </w:lvl>
    <w:lvl w:ilvl="7" w:tentative="0">
      <w:start w:val="1"/>
      <w:numFmt w:val="decimal"/>
      <w:lvlText w:val="%1.%2.%3.%4.%5.%6.%7.%8"/>
      <w:lvlJc w:val="left"/>
      <w:pPr>
        <w:ind w:left="3120" w:hanging="1440"/>
      </w:pPr>
      <w:rPr>
        <w:rFonts w:hint="default"/>
      </w:rPr>
    </w:lvl>
    <w:lvl w:ilvl="8" w:tentative="0">
      <w:start w:val="1"/>
      <w:numFmt w:val="decimal"/>
      <w:lvlText w:val="%1.%2.%3.%4.%5.%6.%7.%8.%9"/>
      <w:lvlJc w:val="left"/>
      <w:pPr>
        <w:ind w:left="37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ZDE4MmNlZjEzODZlY2VlZDJhODA1ZGFlYTM1ZWIifQ=="/>
  </w:docVars>
  <w:rsids>
    <w:rsidRoot w:val="004A189A"/>
    <w:rsid w:val="00004C07"/>
    <w:rsid w:val="00006608"/>
    <w:rsid w:val="000636AF"/>
    <w:rsid w:val="00074F6E"/>
    <w:rsid w:val="00084C06"/>
    <w:rsid w:val="000872FB"/>
    <w:rsid w:val="000F66E9"/>
    <w:rsid w:val="00172410"/>
    <w:rsid w:val="00192250"/>
    <w:rsid w:val="00275627"/>
    <w:rsid w:val="0027566D"/>
    <w:rsid w:val="00284A4F"/>
    <w:rsid w:val="00286046"/>
    <w:rsid w:val="002B3A50"/>
    <w:rsid w:val="002F2681"/>
    <w:rsid w:val="00331247"/>
    <w:rsid w:val="00376CBC"/>
    <w:rsid w:val="003B60B8"/>
    <w:rsid w:val="003C2276"/>
    <w:rsid w:val="004A189A"/>
    <w:rsid w:val="004D3D13"/>
    <w:rsid w:val="005409CE"/>
    <w:rsid w:val="005610F3"/>
    <w:rsid w:val="005656BE"/>
    <w:rsid w:val="00570184"/>
    <w:rsid w:val="00595157"/>
    <w:rsid w:val="00753823"/>
    <w:rsid w:val="00757E63"/>
    <w:rsid w:val="00760830"/>
    <w:rsid w:val="007938F0"/>
    <w:rsid w:val="008563FF"/>
    <w:rsid w:val="008678BC"/>
    <w:rsid w:val="008D25A3"/>
    <w:rsid w:val="008D2688"/>
    <w:rsid w:val="00932C7D"/>
    <w:rsid w:val="00974BA0"/>
    <w:rsid w:val="009A35A4"/>
    <w:rsid w:val="009B25C1"/>
    <w:rsid w:val="009D47F6"/>
    <w:rsid w:val="009E27C4"/>
    <w:rsid w:val="00A264F0"/>
    <w:rsid w:val="00A67F0C"/>
    <w:rsid w:val="00AD292D"/>
    <w:rsid w:val="00B15627"/>
    <w:rsid w:val="00B23DA8"/>
    <w:rsid w:val="00B53289"/>
    <w:rsid w:val="00B60856"/>
    <w:rsid w:val="00B951DC"/>
    <w:rsid w:val="00BE29C4"/>
    <w:rsid w:val="00C75922"/>
    <w:rsid w:val="00C93635"/>
    <w:rsid w:val="00CC073F"/>
    <w:rsid w:val="00CF3FEC"/>
    <w:rsid w:val="00D93D65"/>
    <w:rsid w:val="00DB1D6D"/>
    <w:rsid w:val="00E82D67"/>
    <w:rsid w:val="00E90220"/>
    <w:rsid w:val="00EB2C48"/>
    <w:rsid w:val="00F06C25"/>
    <w:rsid w:val="00F7760F"/>
    <w:rsid w:val="091000E3"/>
    <w:rsid w:val="19283E1F"/>
    <w:rsid w:val="22916C57"/>
    <w:rsid w:val="25C4278D"/>
    <w:rsid w:val="307C01A2"/>
    <w:rsid w:val="341A72AD"/>
    <w:rsid w:val="42931729"/>
    <w:rsid w:val="44AC71D7"/>
    <w:rsid w:val="4BA61E2C"/>
    <w:rsid w:val="502A762A"/>
    <w:rsid w:val="524E5126"/>
    <w:rsid w:val="5B4E5E98"/>
    <w:rsid w:val="6A4E1D0F"/>
    <w:rsid w:val="6B5A0673"/>
    <w:rsid w:val="6DE23BE3"/>
    <w:rsid w:val="74475B12"/>
    <w:rsid w:val="7CF7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unhideWhenUsed/>
    <w:qFormat/>
    <w:uiPriority w:val="39"/>
    <w:pPr>
      <w:ind w:left="1260"/>
      <w:jc w:val="left"/>
    </w:pPr>
    <w:rPr>
      <w:rFonts w:asciiTheme="minorHAnsi" w:hAnsiTheme="minorHAnsi" w:cstheme="minorHAnsi"/>
      <w:sz w:val="20"/>
      <w:szCs w:val="20"/>
    </w:rPr>
  </w:style>
  <w:style w:type="paragraph" w:styleId="6">
    <w:name w:val="Body Text"/>
    <w:basedOn w:val="1"/>
    <w:qFormat/>
    <w:uiPriority w:val="0"/>
    <w:pPr>
      <w:spacing w:after="120"/>
    </w:pPr>
  </w:style>
  <w:style w:type="paragraph" w:styleId="7">
    <w:name w:val="toc 5"/>
    <w:basedOn w:val="1"/>
    <w:next w:val="1"/>
    <w:autoRedefine/>
    <w:semiHidden/>
    <w:unhideWhenUsed/>
    <w:qFormat/>
    <w:uiPriority w:val="39"/>
    <w:pPr>
      <w:ind w:left="840"/>
      <w:jc w:val="left"/>
    </w:pPr>
    <w:rPr>
      <w:rFonts w:asciiTheme="minorHAnsi" w:hAnsiTheme="minorHAnsi" w:cstheme="minorHAnsi"/>
      <w:sz w:val="20"/>
      <w:szCs w:val="20"/>
    </w:rPr>
  </w:style>
  <w:style w:type="paragraph" w:styleId="8">
    <w:name w:val="toc 3"/>
    <w:basedOn w:val="1"/>
    <w:next w:val="1"/>
    <w:autoRedefine/>
    <w:semiHidden/>
    <w:unhideWhenUsed/>
    <w:qFormat/>
    <w:uiPriority w:val="39"/>
    <w:pPr>
      <w:ind w:left="420"/>
      <w:jc w:val="left"/>
    </w:pPr>
    <w:rPr>
      <w:rFonts w:asciiTheme="minorHAnsi" w:hAnsiTheme="minorHAnsi" w:cstheme="minorHAnsi"/>
      <w:sz w:val="20"/>
      <w:szCs w:val="20"/>
    </w:rPr>
  </w:style>
  <w:style w:type="paragraph" w:styleId="9">
    <w:name w:val="toc 8"/>
    <w:basedOn w:val="1"/>
    <w:next w:val="1"/>
    <w:autoRedefine/>
    <w:semiHidden/>
    <w:unhideWhenUsed/>
    <w:qFormat/>
    <w:uiPriority w:val="39"/>
    <w:pPr>
      <w:ind w:left="1470"/>
      <w:jc w:val="left"/>
    </w:pPr>
    <w:rPr>
      <w:rFonts w:asciiTheme="minorHAnsi" w:hAnsiTheme="minorHAnsi" w:cstheme="minorHAnsi"/>
      <w:sz w:val="20"/>
      <w:szCs w:val="20"/>
    </w:rPr>
  </w:style>
  <w:style w:type="paragraph" w:styleId="10">
    <w:name w:val="Date"/>
    <w:basedOn w:val="1"/>
    <w:next w:val="1"/>
    <w:link w:val="32"/>
    <w:semiHidden/>
    <w:unhideWhenUsed/>
    <w:qFormat/>
    <w:uiPriority w:val="99"/>
    <w:pPr>
      <w:ind w:left="100" w:leftChars="25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before="120"/>
      <w:jc w:val="left"/>
    </w:pPr>
    <w:rPr>
      <w:rFonts w:asciiTheme="minorHAnsi" w:hAnsiTheme="minorHAnsi" w:cstheme="minorHAnsi"/>
      <w:b/>
      <w:bCs/>
      <w:i/>
      <w:iCs/>
      <w:sz w:val="24"/>
      <w:szCs w:val="24"/>
    </w:rPr>
  </w:style>
  <w:style w:type="paragraph" w:styleId="14">
    <w:name w:val="toc 4"/>
    <w:basedOn w:val="1"/>
    <w:next w:val="1"/>
    <w:autoRedefine/>
    <w:semiHidden/>
    <w:unhideWhenUsed/>
    <w:qFormat/>
    <w:uiPriority w:val="39"/>
    <w:pPr>
      <w:ind w:left="630"/>
      <w:jc w:val="left"/>
    </w:pPr>
    <w:rPr>
      <w:rFonts w:asciiTheme="minorHAnsi" w:hAnsiTheme="minorHAnsi" w:cstheme="minorHAnsi"/>
      <w:sz w:val="20"/>
      <w:szCs w:val="20"/>
    </w:rPr>
  </w:style>
  <w:style w:type="paragraph" w:styleId="15">
    <w:name w:val="toc 6"/>
    <w:basedOn w:val="1"/>
    <w:next w:val="1"/>
    <w:autoRedefine/>
    <w:semiHidden/>
    <w:unhideWhenUsed/>
    <w:qFormat/>
    <w:uiPriority w:val="39"/>
    <w:pPr>
      <w:ind w:left="1050"/>
      <w:jc w:val="left"/>
    </w:pPr>
    <w:rPr>
      <w:rFonts w:asciiTheme="minorHAnsi" w:hAnsiTheme="minorHAnsi" w:cstheme="minorHAnsi"/>
      <w:sz w:val="20"/>
      <w:szCs w:val="20"/>
    </w:rPr>
  </w:style>
  <w:style w:type="paragraph" w:styleId="16">
    <w:name w:val="toc 2"/>
    <w:basedOn w:val="1"/>
    <w:next w:val="1"/>
    <w:autoRedefine/>
    <w:unhideWhenUsed/>
    <w:qFormat/>
    <w:uiPriority w:val="39"/>
    <w:pPr>
      <w:spacing w:before="120"/>
      <w:ind w:left="210"/>
      <w:jc w:val="left"/>
    </w:pPr>
    <w:rPr>
      <w:rFonts w:asciiTheme="minorHAnsi" w:hAnsiTheme="minorHAnsi" w:cstheme="minorHAnsi"/>
      <w:b/>
      <w:bCs/>
      <w:sz w:val="22"/>
      <w:szCs w:val="22"/>
    </w:rPr>
  </w:style>
  <w:style w:type="paragraph" w:styleId="17">
    <w:name w:val="toc 9"/>
    <w:basedOn w:val="1"/>
    <w:next w:val="1"/>
    <w:autoRedefine/>
    <w:semiHidden/>
    <w:unhideWhenUsed/>
    <w:qFormat/>
    <w:uiPriority w:val="39"/>
    <w:pPr>
      <w:ind w:left="1680"/>
      <w:jc w:val="left"/>
    </w:pPr>
    <w:rPr>
      <w:rFonts w:asciiTheme="minorHAnsi" w:hAnsiTheme="minorHAnsi" w:cstheme="minorHAnsi"/>
      <w:sz w:val="20"/>
      <w:szCs w:val="20"/>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semiHidden/>
    <w:unhideWhenUsed/>
    <w:qFormat/>
    <w:uiPriority w:val="99"/>
  </w:style>
  <w:style w:type="character" w:styleId="22">
    <w:name w:val="Hyperlink"/>
    <w:unhideWhenUsed/>
    <w:qFormat/>
    <w:uiPriority w:val="99"/>
    <w:rPr>
      <w:color w:val="0000FF"/>
      <w:u w:val="single"/>
    </w:rPr>
  </w:style>
  <w:style w:type="paragraph" w:customStyle="1" w:styleId="23">
    <w:name w:val="列表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styleId="24">
    <w:name w:val="List Paragraph"/>
    <w:basedOn w:val="1"/>
    <w:qFormat/>
    <w:uiPriority w:val="34"/>
    <w:pPr>
      <w:ind w:firstLine="420" w:firstLineChars="200"/>
    </w:pPr>
    <w:rPr>
      <w:szCs w:val="24"/>
    </w:rPr>
  </w:style>
  <w:style w:type="paragraph" w:customStyle="1" w:styleId="25">
    <w:name w:val="标准文件_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标准文件_段 Char"/>
    <w:link w:val="25"/>
    <w:qFormat/>
    <w:uiPriority w:val="0"/>
    <w:rPr>
      <w:rFonts w:ascii="宋体"/>
      <w:sz w:val="21"/>
    </w:rPr>
  </w:style>
  <w:style w:type="table" w:customStyle="1" w:styleId="27">
    <w:name w:val="网格型2"/>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标题 3 字符"/>
    <w:basedOn w:val="20"/>
    <w:link w:val="4"/>
    <w:semiHidden/>
    <w:qFormat/>
    <w:uiPriority w:val="9"/>
    <w:rPr>
      <w:b/>
      <w:bCs/>
      <w:kern w:val="2"/>
      <w:sz w:val="32"/>
      <w:szCs w:val="32"/>
    </w:rPr>
  </w:style>
  <w:style w:type="paragraph" w:customStyle="1" w:styleId="29">
    <w:name w:val="标准文件_文件名称"/>
    <w:basedOn w:val="1"/>
    <w:next w:val="1"/>
    <w:qFormat/>
    <w:uiPriority w:val="0"/>
    <w:pPr>
      <w:framePr w:w="9639" w:h="6976" w:hRule="exact" w:wrap="around" w:vAnchor="page" w:hAnchor="page" w:y="6408"/>
      <w:widowControl/>
      <w:spacing w:line="700" w:lineRule="exact"/>
      <w:jc w:val="center"/>
    </w:pPr>
    <w:rPr>
      <w:rFonts w:ascii="黑体" w:hAnsi="黑体" w:eastAsia="黑体"/>
      <w:bCs/>
      <w:kern w:val="0"/>
      <w:sz w:val="52"/>
      <w:szCs w:val="20"/>
      <w14:ligatures w14:val="standardContextual"/>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31">
    <w:name w:val="页眉 字符"/>
    <w:basedOn w:val="20"/>
    <w:link w:val="12"/>
    <w:qFormat/>
    <w:uiPriority w:val="99"/>
    <w:rPr>
      <w:kern w:val="2"/>
      <w:sz w:val="18"/>
      <w:szCs w:val="18"/>
    </w:rPr>
  </w:style>
  <w:style w:type="character" w:customStyle="1" w:styleId="32">
    <w:name w:val="日期 字符"/>
    <w:basedOn w:val="20"/>
    <w:link w:val="10"/>
    <w:semiHidden/>
    <w:qFormat/>
    <w:uiPriority w:val="99"/>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348E-1E93-41C5-8552-1514679D2AC2}">
  <ds:schemaRefs/>
</ds:datastoreItem>
</file>

<file path=docProps/app.xml><?xml version="1.0" encoding="utf-8"?>
<Properties xmlns="http://schemas.openxmlformats.org/officeDocument/2006/extended-properties" xmlns:vt="http://schemas.openxmlformats.org/officeDocument/2006/docPropsVTypes">
  <Template>Normal</Template>
  <Pages>11</Pages>
  <Words>6396</Words>
  <Characters>6973</Characters>
  <Lines>61</Lines>
  <Paragraphs>17</Paragraphs>
  <TotalTime>1</TotalTime>
  <ScaleCrop>false</ScaleCrop>
  <LinksUpToDate>false</LinksUpToDate>
  <CharactersWithSpaces>7094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2024-07-25T11:37:00Z</dcterms:created>
  <dc:creator>zhangdan</dc:creator>
  <cp:lastModifiedBy>xry</cp:lastModifiedBy>
  <dcterms:modified xsi:type="dcterms:W3CDTF">2024-07-29T01:30:00Z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A19290154C3943E8AB0F45D7A9324D1A_13</vt:lpwstr>
  </property>
</Properties>
</file>