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5940F">
      <w:pPr>
        <w:jc w:val="both"/>
        <w:rPr>
          <w:rFonts w:eastAsia="黑体" w:cs="Times New Roman"/>
          <w:sz w:val="21"/>
          <w:lang w:eastAsia="zh-CN"/>
        </w:rPr>
      </w:pPr>
      <w:r>
        <w:rPr>
          <w:rFonts w:eastAsia="黑体" w:cs="Times New Roman"/>
          <w:sz w:val="21"/>
        </w:rPr>
        <w:pict>
          <v:shape id="_x0000_s2050" o:spid="_x0000_s2050" style="position:absolute;left:0pt;margin-left:66.8pt;margin-top:272.6pt;height:0.75pt;width:481.9pt;mso-position-horizontal-relative:page;mso-position-vertical-relative:page;z-index:251661312;mso-width-relative:page;mso-height-relative:page;" filled="f" coordsize="9637,15" o:allowincell="f" path="m0,7l9637,7e">
            <v:fill on="f" focussize="0,0"/>
            <v:stroke weight="0.72pt" miterlimit="10"/>
            <v:imagedata o:title=""/>
            <o:lock v:ext="edit"/>
          </v:shape>
        </w:pict>
      </w:r>
      <w:r>
        <w:rPr>
          <w:rFonts w:eastAsia="黑体" w:cs="Times New Roman"/>
          <w:spacing w:val="-3"/>
          <w:sz w:val="21"/>
        </w:rPr>
        <w:t>ICS</w:t>
      </w:r>
      <w:r>
        <w:rPr>
          <w:rFonts w:hint="eastAsia" w:eastAsia="黑体" w:cs="Times New Roman"/>
          <w:spacing w:val="-3"/>
          <w:sz w:val="21"/>
          <w:lang w:eastAsia="zh-CN"/>
        </w:rPr>
        <w:t xml:space="preserve"> 13.020.40</w:t>
      </w:r>
    </w:p>
    <w:p w14:paraId="7A4DD1AC">
      <w:pPr>
        <w:pStyle w:val="5"/>
        <w:rPr>
          <w:rFonts w:ascii="Times New Roman" w:hAnsi="Times New Roman" w:cs="Times New Roman"/>
          <w:sz w:val="21"/>
          <w:szCs w:val="21"/>
          <w:lang w:eastAsia="zh-CN"/>
        </w:rPr>
      </w:pPr>
      <w:r>
        <w:rPr>
          <w:rFonts w:ascii="Times New Roman" w:hAnsi="Times New Roman" w:cs="Times New Roman"/>
          <w:spacing w:val="-2"/>
          <w:position w:val="1"/>
          <w:sz w:val="21"/>
          <w:szCs w:val="21"/>
        </w:rPr>
        <w:t>CCS</w:t>
      </w:r>
      <w:r>
        <w:rPr>
          <w:rFonts w:hint="eastAsia" w:ascii="Times New Roman" w:hAnsi="Times New Roman" w:cs="Times New Roman"/>
          <w:spacing w:val="-2"/>
          <w:position w:val="1"/>
          <w:sz w:val="21"/>
          <w:szCs w:val="21"/>
          <w:lang w:eastAsia="zh-CN"/>
        </w:rPr>
        <w:t xml:space="preserve"> Z00/09</w:t>
      </w:r>
    </w:p>
    <w:p w14:paraId="1671A59A">
      <w:pPr>
        <w:ind w:firstLine="480" w:firstLineChars="200"/>
        <w:jc w:val="both"/>
        <w:rPr>
          <w:rFonts w:cs="Times New Roman"/>
        </w:rPr>
      </w:pPr>
    </w:p>
    <w:p w14:paraId="20EAD100">
      <w:pPr>
        <w:ind w:firstLine="480" w:firstLineChars="200"/>
        <w:jc w:val="both"/>
        <w:rPr>
          <w:rFonts w:cs="Times New Roman"/>
        </w:rPr>
      </w:pPr>
    </w:p>
    <w:p w14:paraId="6B60AE7C">
      <w:pPr>
        <w:jc w:val="both"/>
        <w:rPr>
          <w:rFonts w:cs="Times New Roman"/>
        </w:rPr>
      </w:pPr>
    </w:p>
    <w:p w14:paraId="7712C1CE">
      <w:pPr>
        <w:jc w:val="both"/>
        <w:rPr>
          <w:rFonts w:cs="Times New Roman"/>
        </w:rPr>
      </w:pPr>
    </w:p>
    <w:p w14:paraId="25A1F84B">
      <w:pPr>
        <w:ind w:firstLine="480" w:firstLineChars="200"/>
        <w:jc w:val="both"/>
        <w:rPr>
          <w:rFonts w:cs="Times New Roman"/>
        </w:rPr>
      </w:pPr>
    </w:p>
    <w:p w14:paraId="7D3FA32A">
      <w:pPr>
        <w:ind w:firstLine="480" w:firstLineChars="200"/>
        <w:jc w:val="both"/>
        <w:rPr>
          <w:rFonts w:cs="Times New Roman"/>
        </w:rPr>
        <w:sectPr>
          <w:pgSz w:w="11907" w:h="16839"/>
          <w:pgMar w:top="567" w:right="821" w:bottom="0" w:left="1417" w:header="0" w:footer="0" w:gutter="0"/>
          <w:cols w:equalWidth="0" w:num="1">
            <w:col w:w="10022"/>
          </w:cols>
        </w:sectPr>
      </w:pPr>
    </w:p>
    <w:p w14:paraId="2CCF0410">
      <w:pPr>
        <w:pStyle w:val="5"/>
        <w:rPr>
          <w:sz w:val="48"/>
          <w:szCs w:val="48"/>
          <w:lang w:eastAsia="zh-CN"/>
        </w:rPr>
      </w:pPr>
      <w:bookmarkStart w:id="0" w:name="_Toc113"/>
      <w:r>
        <w:rPr>
          <w:sz w:val="48"/>
          <w:szCs w:val="48"/>
          <w:lang w:eastAsia="zh-CN"/>
        </w:rPr>
        <w:t>团</w:t>
      </w:r>
      <w:bookmarkEnd w:id="0"/>
    </w:p>
    <w:p w14:paraId="1CDBB78D">
      <w:pPr>
        <w:ind w:firstLine="40" w:firstLineChars="200"/>
        <w:jc w:val="both"/>
        <w:rPr>
          <w:rFonts w:ascii="Arial"/>
          <w:sz w:val="2"/>
          <w:lang w:eastAsia="zh-CN"/>
        </w:rPr>
      </w:pPr>
      <w:r>
        <w:rPr>
          <w:rFonts w:ascii="Arial" w:hAnsi="Arial" w:eastAsia="Arial"/>
          <w:sz w:val="2"/>
          <w:szCs w:val="2"/>
          <w:lang w:eastAsia="zh-CN"/>
        </w:rPr>
        <w:br w:type="column"/>
      </w:r>
    </w:p>
    <w:p w14:paraId="341D589E">
      <w:pPr>
        <w:pStyle w:val="5"/>
        <w:rPr>
          <w:sz w:val="48"/>
          <w:szCs w:val="48"/>
          <w:lang w:eastAsia="zh-CN"/>
        </w:rPr>
      </w:pPr>
      <w:bookmarkStart w:id="1" w:name="_Toc9314"/>
      <w:r>
        <w:rPr>
          <w:sz w:val="48"/>
          <w:szCs w:val="48"/>
          <w:lang w:eastAsia="zh-CN"/>
        </w:rPr>
        <w:t>体</w:t>
      </w:r>
      <w:bookmarkEnd w:id="1"/>
    </w:p>
    <w:p w14:paraId="64DD684F">
      <w:pPr>
        <w:ind w:firstLine="40" w:firstLineChars="200"/>
        <w:jc w:val="both"/>
        <w:rPr>
          <w:rFonts w:ascii="Arial"/>
          <w:sz w:val="2"/>
          <w:lang w:eastAsia="zh-CN"/>
        </w:rPr>
      </w:pPr>
      <w:r>
        <w:rPr>
          <w:rFonts w:ascii="Arial" w:hAnsi="Arial" w:eastAsia="Arial"/>
          <w:sz w:val="2"/>
          <w:szCs w:val="2"/>
          <w:lang w:eastAsia="zh-CN"/>
        </w:rPr>
        <w:br w:type="column"/>
      </w:r>
    </w:p>
    <w:p w14:paraId="1CF78068">
      <w:pPr>
        <w:pStyle w:val="5"/>
        <w:rPr>
          <w:sz w:val="48"/>
          <w:szCs w:val="48"/>
          <w:lang w:eastAsia="zh-CN"/>
        </w:rPr>
      </w:pPr>
      <w:r>
        <w:rPr>
          <w:spacing w:val="-5"/>
          <w:position w:val="27"/>
          <w:sz w:val="48"/>
          <w:szCs w:val="48"/>
          <w:lang w:eastAsia="zh-CN"/>
        </w:rPr>
        <w:t>标</w:t>
      </w:r>
      <w:r>
        <w:rPr>
          <w:spacing w:val="19"/>
          <w:position w:val="27"/>
          <w:sz w:val="48"/>
          <w:szCs w:val="48"/>
          <w:lang w:eastAsia="zh-CN"/>
        </w:rPr>
        <w:t xml:space="preserve">          </w:t>
      </w:r>
      <w:r>
        <w:rPr>
          <w:spacing w:val="-5"/>
          <w:position w:val="27"/>
          <w:sz w:val="48"/>
          <w:szCs w:val="48"/>
          <w:lang w:eastAsia="zh-CN"/>
        </w:rPr>
        <w:t>准</w:t>
      </w:r>
    </w:p>
    <w:p w14:paraId="4CDB6AE4">
      <w:pPr>
        <w:pStyle w:val="5"/>
        <w:ind w:firstLine="1112" w:firstLineChars="400"/>
        <w:rPr>
          <w:lang w:eastAsia="zh-CN"/>
        </w:rPr>
        <w:sectPr>
          <w:type w:val="continuous"/>
          <w:pgSz w:w="11907" w:h="16839"/>
          <w:pgMar w:top="583" w:right="821" w:bottom="0" w:left="1063" w:header="0" w:footer="0" w:gutter="0"/>
          <w:cols w:equalWidth="0" w:num="3">
            <w:col w:w="3211" w:space="100"/>
            <w:col w:w="2947" w:space="100"/>
            <w:col w:w="3666"/>
          </w:cols>
        </w:sectPr>
      </w:pPr>
      <w:r>
        <w:rPr>
          <w:spacing w:val="-1"/>
          <w:lang w:eastAsia="zh-CN"/>
        </w:rPr>
        <w:t>T/CSES XXXX—XXXX</w:t>
      </w:r>
    </w:p>
    <w:p w14:paraId="23F781BF">
      <w:pPr>
        <w:ind w:firstLine="420" w:firstLineChars="200"/>
        <w:jc w:val="center"/>
        <w:rPr>
          <w:rFonts w:cs="Times New Roman"/>
          <w:sz w:val="21"/>
          <w:lang w:eastAsia="zh-CN"/>
        </w:rPr>
      </w:pPr>
    </w:p>
    <w:p w14:paraId="69394B95">
      <w:pPr>
        <w:ind w:firstLine="420" w:firstLineChars="200"/>
        <w:jc w:val="center"/>
        <w:rPr>
          <w:rFonts w:cs="Times New Roman"/>
          <w:sz w:val="21"/>
          <w:lang w:eastAsia="zh-CN"/>
        </w:rPr>
      </w:pPr>
    </w:p>
    <w:p w14:paraId="5615931B">
      <w:pPr>
        <w:ind w:firstLine="420" w:firstLineChars="200"/>
        <w:jc w:val="center"/>
        <w:rPr>
          <w:rFonts w:cs="Times New Roman"/>
          <w:sz w:val="21"/>
          <w:lang w:eastAsia="zh-CN"/>
        </w:rPr>
      </w:pPr>
    </w:p>
    <w:p w14:paraId="14B955F1">
      <w:pPr>
        <w:ind w:firstLine="420" w:firstLineChars="200"/>
        <w:jc w:val="center"/>
        <w:rPr>
          <w:rFonts w:cs="Times New Roman"/>
          <w:sz w:val="21"/>
          <w:lang w:eastAsia="zh-CN"/>
        </w:rPr>
      </w:pPr>
    </w:p>
    <w:p w14:paraId="2522BDF1">
      <w:pPr>
        <w:jc w:val="center"/>
        <w:rPr>
          <w:rFonts w:cs="Times New Roman"/>
          <w:sz w:val="21"/>
          <w:lang w:eastAsia="zh-CN"/>
        </w:rPr>
      </w:pPr>
    </w:p>
    <w:p w14:paraId="40DD93A7">
      <w:pPr>
        <w:ind w:firstLine="420" w:firstLineChars="200"/>
        <w:jc w:val="center"/>
        <w:rPr>
          <w:rFonts w:cs="Times New Roman"/>
          <w:sz w:val="21"/>
          <w:lang w:eastAsia="zh-CN"/>
        </w:rPr>
      </w:pPr>
    </w:p>
    <w:p w14:paraId="0F7643FD">
      <w:pPr>
        <w:ind w:firstLine="420" w:firstLineChars="200"/>
        <w:jc w:val="center"/>
        <w:rPr>
          <w:rFonts w:cs="Times New Roman"/>
          <w:sz w:val="21"/>
          <w:lang w:eastAsia="zh-CN"/>
        </w:rPr>
      </w:pPr>
    </w:p>
    <w:p w14:paraId="471AFDFA">
      <w:pPr>
        <w:ind w:firstLine="420" w:firstLineChars="200"/>
        <w:jc w:val="center"/>
        <w:rPr>
          <w:rFonts w:cs="Times New Roman"/>
          <w:sz w:val="21"/>
          <w:lang w:eastAsia="zh-CN"/>
        </w:rPr>
      </w:pPr>
    </w:p>
    <w:p w14:paraId="718E3B15">
      <w:pPr>
        <w:pStyle w:val="5"/>
        <w:jc w:val="center"/>
        <w:rPr>
          <w:rFonts w:ascii="Times New Roman" w:hAnsi="Times New Roman" w:cs="Times New Roman"/>
          <w:sz w:val="21"/>
          <w:lang w:eastAsia="zh-CN"/>
        </w:rPr>
      </w:pPr>
      <w:r>
        <w:rPr>
          <w:rFonts w:ascii="Times New Roman" w:hAnsi="Times New Roman" w:cs="Times New Roman"/>
          <w:spacing w:val="-2"/>
          <w:sz w:val="52"/>
          <w:szCs w:val="52"/>
          <w:lang w:eastAsia="zh-CN"/>
        </w:rPr>
        <w:t>流域水环境耗氧污染物溯源技术指南</w:t>
      </w:r>
    </w:p>
    <w:p w14:paraId="787D779B">
      <w:pPr>
        <w:jc w:val="center"/>
        <w:rPr>
          <w:rFonts w:cs="Times New Roman"/>
          <w:spacing w:val="-4"/>
          <w:sz w:val="28"/>
          <w:szCs w:val="28"/>
          <w:lang w:eastAsia="zh-CN"/>
        </w:rPr>
      </w:pPr>
      <w:bookmarkStart w:id="2" w:name="_Toc32526"/>
      <w:r>
        <w:rPr>
          <w:rFonts w:cs="Times New Roman"/>
          <w:spacing w:val="-1"/>
          <w:sz w:val="28"/>
          <w:szCs w:val="28"/>
          <w:lang w:eastAsia="zh-CN"/>
        </w:rPr>
        <w:t xml:space="preserve">Technical guidelines for source tracing of oxygen-consuming substances </w:t>
      </w:r>
      <w:r>
        <w:rPr>
          <w:rFonts w:eastAsia="黑体" w:cs="Times New Roman"/>
          <w:sz w:val="28"/>
          <w:szCs w:val="28"/>
        </w:rPr>
        <w:t>for watershed water environment</w:t>
      </w:r>
    </w:p>
    <w:p w14:paraId="00627391">
      <w:pPr>
        <w:jc w:val="center"/>
        <w:rPr>
          <w:rFonts w:cs="Times New Roman"/>
          <w:lang w:eastAsia="zh-CN"/>
        </w:rPr>
      </w:pPr>
      <w:r>
        <w:rPr>
          <w:rFonts w:cs="Times New Roman"/>
          <w:spacing w:val="-4"/>
          <w:szCs w:val="24"/>
          <w:lang w:eastAsia="zh-CN"/>
        </w:rPr>
        <w:t>（征求意见稿</w:t>
      </w:r>
      <w:bookmarkEnd w:id="2"/>
      <w:r>
        <w:rPr>
          <w:rFonts w:cs="Times New Roman"/>
          <w:spacing w:val="-4"/>
          <w:szCs w:val="24"/>
          <w:lang w:eastAsia="zh-CN"/>
        </w:rPr>
        <w:t>）</w:t>
      </w:r>
    </w:p>
    <w:p w14:paraId="5BF837B3">
      <w:pPr>
        <w:ind w:firstLine="480" w:firstLineChars="200"/>
        <w:jc w:val="center"/>
        <w:rPr>
          <w:rFonts w:cs="Times New Roman"/>
          <w:lang w:eastAsia="zh-CN"/>
        </w:rPr>
      </w:pPr>
    </w:p>
    <w:p w14:paraId="5C7DA671">
      <w:pPr>
        <w:pStyle w:val="3"/>
        <w:ind w:firstLine="0" w:firstLineChars="0"/>
        <w:jc w:val="center"/>
        <w:rPr>
          <w:rFonts w:ascii="Times New Roman" w:hAnsi="Times New Roman" w:cs="Times New Roman"/>
          <w:lang w:eastAsia="zh-CN"/>
        </w:rPr>
      </w:pPr>
    </w:p>
    <w:p w14:paraId="5B67322A">
      <w:pPr>
        <w:jc w:val="center"/>
        <w:rPr>
          <w:rFonts w:cs="Times New Roman"/>
          <w:lang w:eastAsia="zh-CN"/>
        </w:rPr>
      </w:pPr>
    </w:p>
    <w:p w14:paraId="20FC4B6D">
      <w:pPr>
        <w:jc w:val="center"/>
        <w:rPr>
          <w:rFonts w:cs="Times New Roman"/>
          <w:lang w:eastAsia="zh-CN"/>
        </w:rPr>
      </w:pPr>
    </w:p>
    <w:p w14:paraId="09E66A18">
      <w:pPr>
        <w:jc w:val="center"/>
        <w:rPr>
          <w:rFonts w:cs="Times New Roman"/>
          <w:lang w:eastAsia="zh-CN"/>
        </w:rPr>
      </w:pPr>
    </w:p>
    <w:p w14:paraId="6780D7DC">
      <w:pPr>
        <w:jc w:val="center"/>
        <w:rPr>
          <w:rFonts w:cs="Times New Roman"/>
          <w:lang w:eastAsia="zh-CN"/>
        </w:rPr>
      </w:pPr>
    </w:p>
    <w:p w14:paraId="54E5F527">
      <w:pPr>
        <w:jc w:val="center"/>
        <w:rPr>
          <w:rFonts w:cs="Times New Roman"/>
          <w:lang w:eastAsia="zh-CN"/>
        </w:rPr>
      </w:pPr>
    </w:p>
    <w:p w14:paraId="14FAB808">
      <w:pPr>
        <w:jc w:val="center"/>
        <w:rPr>
          <w:rFonts w:cs="Times New Roman"/>
          <w:lang w:eastAsia="zh-CN"/>
        </w:rPr>
      </w:pPr>
    </w:p>
    <w:p w14:paraId="7172BCBB">
      <w:pPr>
        <w:jc w:val="center"/>
        <w:rPr>
          <w:rFonts w:cs="Times New Roman"/>
          <w:lang w:eastAsia="zh-CN"/>
        </w:rPr>
      </w:pPr>
      <w:r>
        <w:rPr>
          <w:rFonts w:hint="eastAsia" w:cs="Times New Roman"/>
          <w:lang w:eastAsia="zh-CN"/>
        </w:rPr>
        <w:t xml:space="preserve"> </w:t>
      </w:r>
    </w:p>
    <w:p w14:paraId="59BF4A1E">
      <w:pPr>
        <w:jc w:val="center"/>
        <w:rPr>
          <w:rFonts w:ascii="黑体" w:hAnsi="黑体" w:eastAsia="黑体" w:cs="黑体"/>
          <w:spacing w:val="-3"/>
          <w:sz w:val="28"/>
          <w:szCs w:val="22"/>
          <w:lang w:eastAsia="zh-CN"/>
        </w:rPr>
      </w:pPr>
      <w:r>
        <w:rPr>
          <w:rFonts w:eastAsia="黑体" w:cs="Times New Roman"/>
          <w:sz w:val="21"/>
        </w:rPr>
        <w:pict>
          <v:shape id="_x0000_s2051" o:spid="_x0000_s2051" style="position:absolute;left:0pt;margin-left:70.9pt;margin-top:718.5pt;height:0.75pt;width:481.9pt;mso-position-horizontal-relative:page;mso-position-vertical-relative:page;z-index:251660288;mso-width-relative:page;mso-height-relative:page;" filled="f" coordsize="9637,15" o:allowincell="f" path="m0,7l9637,7e">
            <v:fill on="f" focussize="0,0"/>
            <v:stroke weight="0.72pt" miterlimit="10"/>
            <v:imagedata o:title=""/>
            <o:lock v:ext="edit"/>
          </v:shape>
        </w:pict>
      </w:r>
      <w:r>
        <w:rPr>
          <w:rFonts w:hint="eastAsia" w:ascii="黑体" w:hAnsi="黑体" w:eastAsia="黑体" w:cs="黑体"/>
          <w:spacing w:val="-3"/>
          <w:sz w:val="28"/>
          <w:szCs w:val="22"/>
          <w:lang w:eastAsia="zh-CN"/>
        </w:rPr>
        <w:t xml:space="preserve">   XXXX</w:t>
      </w:r>
      <w:r>
        <w:rPr>
          <w:rFonts w:hint="eastAsia" w:ascii="黑体" w:hAnsi="黑体" w:eastAsia="黑体" w:cs="黑体"/>
          <w:spacing w:val="-57"/>
          <w:sz w:val="28"/>
          <w:szCs w:val="22"/>
          <w:lang w:eastAsia="zh-CN"/>
        </w:rPr>
        <w:t xml:space="preserve"> </w:t>
      </w:r>
      <w:r>
        <w:rPr>
          <w:rFonts w:hint="eastAsia" w:ascii="黑体" w:hAnsi="黑体" w:eastAsia="黑体" w:cs="黑体"/>
          <w:spacing w:val="-3"/>
          <w:sz w:val="28"/>
          <w:szCs w:val="22"/>
          <w:lang w:eastAsia="zh-CN"/>
        </w:rPr>
        <w:t>-</w:t>
      </w:r>
      <w:r>
        <w:rPr>
          <w:rFonts w:hint="eastAsia" w:ascii="黑体" w:hAnsi="黑体" w:eastAsia="黑体" w:cs="黑体"/>
          <w:spacing w:val="-67"/>
          <w:sz w:val="28"/>
          <w:szCs w:val="22"/>
          <w:lang w:eastAsia="zh-CN"/>
        </w:rPr>
        <w:t xml:space="preserve"> </w:t>
      </w:r>
      <w:r>
        <w:rPr>
          <w:rFonts w:hint="eastAsia" w:ascii="黑体" w:hAnsi="黑体" w:eastAsia="黑体" w:cs="黑体"/>
          <w:spacing w:val="-3"/>
          <w:sz w:val="28"/>
          <w:szCs w:val="22"/>
          <w:lang w:eastAsia="zh-CN"/>
        </w:rPr>
        <w:t>XX</w:t>
      </w:r>
      <w:r>
        <w:rPr>
          <w:rFonts w:hint="eastAsia" w:ascii="黑体" w:hAnsi="黑体" w:eastAsia="黑体" w:cs="黑体"/>
          <w:spacing w:val="-66"/>
          <w:sz w:val="28"/>
          <w:szCs w:val="22"/>
          <w:lang w:eastAsia="zh-CN"/>
        </w:rPr>
        <w:t xml:space="preserve"> </w:t>
      </w:r>
      <w:r>
        <w:rPr>
          <w:rFonts w:hint="eastAsia" w:ascii="黑体" w:hAnsi="黑体" w:eastAsia="黑体" w:cs="黑体"/>
          <w:spacing w:val="-3"/>
          <w:sz w:val="28"/>
          <w:szCs w:val="22"/>
          <w:lang w:eastAsia="zh-CN"/>
        </w:rPr>
        <w:t>-</w:t>
      </w:r>
      <w:r>
        <w:rPr>
          <w:rFonts w:hint="eastAsia" w:ascii="黑体" w:hAnsi="黑体" w:eastAsia="黑体" w:cs="黑体"/>
          <w:spacing w:val="-65"/>
          <w:sz w:val="28"/>
          <w:szCs w:val="22"/>
          <w:lang w:eastAsia="zh-CN"/>
        </w:rPr>
        <w:t xml:space="preserve"> </w:t>
      </w:r>
      <w:r>
        <w:rPr>
          <w:rFonts w:hint="eastAsia" w:ascii="黑体" w:hAnsi="黑体" w:eastAsia="黑体" w:cs="黑体"/>
          <w:spacing w:val="-3"/>
          <w:sz w:val="28"/>
          <w:szCs w:val="22"/>
          <w:lang w:eastAsia="zh-CN"/>
        </w:rPr>
        <w:t>XX</w:t>
      </w:r>
      <w:r>
        <w:rPr>
          <w:rFonts w:hint="eastAsia" w:ascii="黑体" w:hAnsi="黑体" w:eastAsia="黑体" w:cs="黑体"/>
          <w:spacing w:val="-58"/>
          <w:sz w:val="28"/>
          <w:szCs w:val="22"/>
          <w:lang w:eastAsia="zh-CN"/>
        </w:rPr>
        <w:t xml:space="preserve"> </w:t>
      </w:r>
      <w:r>
        <w:rPr>
          <w:rFonts w:hint="eastAsia" w:ascii="黑体" w:hAnsi="黑体" w:eastAsia="黑体" w:cs="黑体"/>
          <w:spacing w:val="-3"/>
          <w:sz w:val="28"/>
          <w:szCs w:val="22"/>
          <w:lang w:eastAsia="zh-CN"/>
        </w:rPr>
        <w:t xml:space="preserve">发布                                  </w:t>
      </w:r>
      <w:r>
        <w:rPr>
          <w:rFonts w:hint="eastAsia" w:cs="黑体"/>
          <w:spacing w:val="-3"/>
          <w:sz w:val="28"/>
          <w:szCs w:val="22"/>
          <w:lang w:eastAsia="zh-CN"/>
        </w:rPr>
        <w:t xml:space="preserve">   </w:t>
      </w:r>
      <w:r>
        <w:rPr>
          <w:rFonts w:hint="eastAsia" w:ascii="黑体" w:hAnsi="黑体" w:eastAsia="黑体" w:cs="黑体"/>
          <w:spacing w:val="-3"/>
          <w:sz w:val="28"/>
          <w:szCs w:val="22"/>
          <w:lang w:eastAsia="zh-CN"/>
        </w:rPr>
        <w:t>XXXX</w:t>
      </w:r>
      <w:r>
        <w:rPr>
          <w:rFonts w:hint="eastAsia" w:ascii="黑体" w:hAnsi="黑体" w:eastAsia="黑体" w:cs="黑体"/>
          <w:spacing w:val="-57"/>
          <w:sz w:val="28"/>
          <w:szCs w:val="22"/>
          <w:lang w:eastAsia="zh-CN"/>
        </w:rPr>
        <w:t xml:space="preserve"> </w:t>
      </w:r>
      <w:r>
        <w:rPr>
          <w:rFonts w:hint="eastAsia" w:ascii="黑体" w:hAnsi="黑体" w:eastAsia="黑体" w:cs="黑体"/>
          <w:spacing w:val="-3"/>
          <w:sz w:val="28"/>
          <w:szCs w:val="22"/>
          <w:lang w:eastAsia="zh-CN"/>
        </w:rPr>
        <w:t>-</w:t>
      </w:r>
      <w:r>
        <w:rPr>
          <w:rFonts w:hint="eastAsia" w:ascii="黑体" w:hAnsi="黑体" w:eastAsia="黑体" w:cs="黑体"/>
          <w:spacing w:val="-67"/>
          <w:sz w:val="28"/>
          <w:szCs w:val="22"/>
          <w:lang w:eastAsia="zh-CN"/>
        </w:rPr>
        <w:t xml:space="preserve"> </w:t>
      </w:r>
      <w:r>
        <w:rPr>
          <w:rFonts w:hint="eastAsia" w:ascii="黑体" w:hAnsi="黑体" w:eastAsia="黑体" w:cs="黑体"/>
          <w:spacing w:val="-3"/>
          <w:sz w:val="28"/>
          <w:szCs w:val="22"/>
          <w:lang w:eastAsia="zh-CN"/>
        </w:rPr>
        <w:t>XX</w:t>
      </w:r>
      <w:r>
        <w:rPr>
          <w:rFonts w:hint="eastAsia" w:ascii="黑体" w:hAnsi="黑体" w:eastAsia="黑体" w:cs="黑体"/>
          <w:spacing w:val="-66"/>
          <w:sz w:val="28"/>
          <w:szCs w:val="22"/>
          <w:lang w:eastAsia="zh-CN"/>
        </w:rPr>
        <w:t xml:space="preserve"> </w:t>
      </w:r>
      <w:r>
        <w:rPr>
          <w:rFonts w:hint="eastAsia" w:ascii="黑体" w:hAnsi="黑体" w:eastAsia="黑体" w:cs="黑体"/>
          <w:spacing w:val="-3"/>
          <w:sz w:val="28"/>
          <w:szCs w:val="22"/>
          <w:lang w:eastAsia="zh-CN"/>
        </w:rPr>
        <w:t>-</w:t>
      </w:r>
      <w:r>
        <w:rPr>
          <w:rFonts w:hint="eastAsia" w:ascii="黑体" w:hAnsi="黑体" w:eastAsia="黑体" w:cs="黑体"/>
          <w:spacing w:val="-65"/>
          <w:sz w:val="28"/>
          <w:szCs w:val="22"/>
          <w:lang w:eastAsia="zh-CN"/>
        </w:rPr>
        <w:t xml:space="preserve"> </w:t>
      </w:r>
      <w:r>
        <w:rPr>
          <w:rFonts w:hint="eastAsia" w:ascii="黑体" w:hAnsi="黑体" w:eastAsia="黑体" w:cs="黑体"/>
          <w:spacing w:val="-3"/>
          <w:sz w:val="28"/>
          <w:szCs w:val="22"/>
          <w:lang w:eastAsia="zh-CN"/>
        </w:rPr>
        <w:t>XX</w:t>
      </w:r>
      <w:r>
        <w:rPr>
          <w:rFonts w:hint="eastAsia" w:ascii="黑体" w:hAnsi="黑体" w:eastAsia="黑体" w:cs="黑体"/>
          <w:spacing w:val="-58"/>
          <w:sz w:val="28"/>
          <w:szCs w:val="22"/>
          <w:lang w:eastAsia="zh-CN"/>
        </w:rPr>
        <w:t xml:space="preserve"> </w:t>
      </w:r>
      <w:r>
        <w:rPr>
          <w:rFonts w:hint="eastAsia" w:ascii="黑体" w:hAnsi="黑体" w:eastAsia="黑体" w:cs="黑体"/>
          <w:spacing w:val="-3"/>
          <w:sz w:val="28"/>
          <w:szCs w:val="22"/>
          <w:lang w:eastAsia="zh-CN"/>
        </w:rPr>
        <w:t>实施</w:t>
      </w:r>
    </w:p>
    <w:p w14:paraId="1A8B483A">
      <w:pPr>
        <w:jc w:val="both"/>
        <w:rPr>
          <w:rFonts w:cs="Times New Roman"/>
          <w:sz w:val="21"/>
          <w:lang w:eastAsia="zh-CN"/>
        </w:rPr>
      </w:pPr>
    </w:p>
    <w:p w14:paraId="4224C10D">
      <w:pPr>
        <w:pStyle w:val="5"/>
        <w:jc w:val="center"/>
        <w:rPr>
          <w:rFonts w:ascii="Times New Roman" w:hAnsi="Times New Roman" w:cs="Times New Roman"/>
          <w:lang w:eastAsia="zh-CN"/>
        </w:rPr>
        <w:sectPr>
          <w:type w:val="continuous"/>
          <w:pgSz w:w="11907" w:h="16839"/>
          <w:pgMar w:top="583" w:right="821" w:bottom="0" w:left="1063" w:header="0" w:footer="0" w:gutter="0"/>
          <w:cols w:equalWidth="0" w:num="1">
            <w:col w:w="10022"/>
          </w:cols>
        </w:sectPr>
      </w:pPr>
      <w:bookmarkStart w:id="3" w:name="_Toc18770"/>
      <w:r>
        <w:rPr>
          <w:rFonts w:ascii="Times New Roman" w:hAnsi="Times New Roman" w:cs="Times New Roman"/>
          <w:spacing w:val="-3"/>
          <w:lang w:eastAsia="zh-CN"/>
        </w:rPr>
        <w:t xml:space="preserve">中国环境科学学会    </w:t>
      </w:r>
      <w:r>
        <w:rPr>
          <w:rFonts w:ascii="Times New Roman" w:hAnsi="Times New Roman" w:cs="Times New Roman"/>
          <w:spacing w:val="-3"/>
          <w:position w:val="2"/>
          <w:lang w:eastAsia="zh-CN"/>
        </w:rPr>
        <w:t>发</w:t>
      </w:r>
      <w:r>
        <w:rPr>
          <w:rFonts w:ascii="Times New Roman" w:hAnsi="Times New Roman" w:cs="Times New Roman"/>
          <w:spacing w:val="46"/>
          <w:position w:val="2"/>
          <w:lang w:eastAsia="zh-CN"/>
        </w:rPr>
        <w:t xml:space="preserve"> </w:t>
      </w:r>
      <w:r>
        <w:rPr>
          <w:rFonts w:ascii="Times New Roman" w:hAnsi="Times New Roman" w:cs="Times New Roman"/>
          <w:spacing w:val="-3"/>
          <w:position w:val="2"/>
          <w:lang w:eastAsia="zh-CN"/>
        </w:rPr>
        <w:t>布</w:t>
      </w:r>
      <w:bookmarkEnd w:id="3"/>
    </w:p>
    <w:sdt>
      <w:sdtPr>
        <w:rPr>
          <w:rFonts w:cs="Times New Roman"/>
          <w:b/>
          <w:bCs/>
          <w:sz w:val="32"/>
          <w:szCs w:val="32"/>
        </w:rPr>
        <w:id w:val="147462218"/>
        <w15:color w:val="DBDBDB"/>
        <w:docPartObj>
          <w:docPartGallery w:val="Table of Contents"/>
          <w:docPartUnique/>
        </w:docPartObj>
      </w:sdtPr>
      <w:sdtEndPr>
        <w:rPr>
          <w:rFonts w:cs="Times New Roman"/>
          <w:b/>
          <w:bCs/>
          <w:sz w:val="32"/>
          <w:szCs w:val="32"/>
        </w:rPr>
      </w:sdtEndPr>
      <w:sdtContent>
        <w:p w14:paraId="0508A897">
          <w:pPr>
            <w:snapToGrid w:val="0"/>
            <w:spacing w:before="850" w:after="680" w:line="240" w:lineRule="auto"/>
            <w:jc w:val="center"/>
            <w:rPr>
              <w:rFonts w:ascii="黑体" w:hAnsi="Calibri" w:eastAsia="黑体" w:cs="Times New Roman"/>
              <w:snapToGrid/>
              <w:spacing w:val="320"/>
              <w:kern w:val="2"/>
              <w:sz w:val="32"/>
              <w:lang w:eastAsia="zh-CN"/>
            </w:rPr>
          </w:pPr>
          <w:r>
            <w:rPr>
              <w:rFonts w:ascii="黑体" w:hAnsi="Calibri" w:eastAsia="黑体" w:cs="Times New Roman"/>
              <w:snapToGrid/>
              <w:spacing w:val="320"/>
              <w:kern w:val="2"/>
              <w:sz w:val="32"/>
              <w:lang w:eastAsia="zh-CN"/>
            </w:rPr>
            <w:t>目</w:t>
          </w:r>
          <w:r>
            <w:rPr>
              <w:rFonts w:hint="eastAsia" w:ascii="黑体" w:hAnsi="Calibri" w:eastAsia="黑体" w:cs="Times New Roman"/>
              <w:snapToGrid/>
              <w:spacing w:val="320"/>
              <w:kern w:val="2"/>
              <w:sz w:val="32"/>
              <w:lang w:eastAsia="zh-CN"/>
            </w:rPr>
            <w:t xml:space="preserve"> </w:t>
          </w:r>
          <w:r>
            <w:rPr>
              <w:rFonts w:ascii="黑体" w:hAnsi="Calibri" w:eastAsia="黑体" w:cs="Times New Roman"/>
              <w:snapToGrid/>
              <w:spacing w:val="320"/>
              <w:kern w:val="2"/>
              <w:sz w:val="32"/>
              <w:lang w:eastAsia="zh-CN"/>
            </w:rPr>
            <w:t>次</w:t>
          </w:r>
        </w:p>
        <w:p w14:paraId="38386DDD">
          <w:pPr>
            <w:pStyle w:val="10"/>
            <w:tabs>
              <w:tab w:val="right" w:leader="dot" w:pos="9356"/>
            </w:tabs>
            <w:spacing w:line="400" w:lineRule="exact"/>
            <w:rPr>
              <w:rFonts w:ascii="宋体" w:hAnsi="宋体" w:cs="宋体"/>
              <w:sz w:val="21"/>
            </w:rPr>
          </w:pPr>
          <w:r>
            <w:rPr>
              <w:rFonts w:hint="eastAsia" w:ascii="宋体" w:hAnsi="宋体" w:cs="宋体"/>
              <w:sz w:val="21"/>
            </w:rPr>
            <w:fldChar w:fldCharType="begin"/>
          </w:r>
          <w:r>
            <w:rPr>
              <w:rFonts w:hint="eastAsia" w:ascii="宋体" w:hAnsi="宋体" w:cs="宋体"/>
              <w:sz w:val="21"/>
            </w:rPr>
            <w:instrText xml:space="preserve">TOC \o "1-2" \h \u </w:instrText>
          </w:r>
          <w:r>
            <w:rPr>
              <w:rFonts w:hint="eastAsia" w:ascii="宋体" w:hAnsi="宋体" w:cs="宋体"/>
              <w:sz w:val="21"/>
            </w:rPr>
            <w:fldChar w:fldCharType="separate"/>
          </w:r>
          <w:r>
            <w:fldChar w:fldCharType="begin"/>
          </w:r>
          <w:r>
            <w:instrText xml:space="preserve"> HYPERLINK \l "_Toc27511" </w:instrText>
          </w:r>
          <w:r>
            <w:fldChar w:fldCharType="separate"/>
          </w:r>
          <w:r>
            <w:rPr>
              <w:rFonts w:hint="eastAsia" w:ascii="宋体" w:hAnsi="宋体" w:cs="宋体"/>
              <w:sz w:val="21"/>
              <w:lang w:eastAsia="zh-CN"/>
            </w:rPr>
            <w:t>前言</w:t>
          </w:r>
          <w:r>
            <w:rPr>
              <w:rFonts w:hint="eastAsia" w:ascii="宋体" w:hAnsi="宋体" w:cs="宋体"/>
              <w:sz w:val="21"/>
              <w:lang w:eastAsia="zh-CN"/>
            </w:rPr>
            <w:tab/>
          </w:r>
          <w:r>
            <w:rPr>
              <w:rFonts w:hint="eastAsia" w:ascii="宋体" w:hAnsi="宋体" w:cs="宋体"/>
              <w:sz w:val="21"/>
              <w:lang w:eastAsia="zh-CN"/>
            </w:rPr>
            <w:fldChar w:fldCharType="begin"/>
          </w:r>
          <w:r>
            <w:rPr>
              <w:rFonts w:hint="eastAsia" w:ascii="宋体" w:hAnsi="宋体" w:cs="宋体"/>
              <w:sz w:val="21"/>
              <w:lang w:eastAsia="zh-CN"/>
            </w:rPr>
            <w:instrText xml:space="preserve"> PAGEREF _Toc27511 \h </w:instrText>
          </w:r>
          <w:r>
            <w:rPr>
              <w:rFonts w:hint="eastAsia" w:ascii="宋体" w:hAnsi="宋体" w:cs="宋体"/>
              <w:sz w:val="21"/>
              <w:lang w:eastAsia="zh-CN"/>
            </w:rPr>
            <w:fldChar w:fldCharType="separate"/>
          </w:r>
          <w:r>
            <w:rPr>
              <w:rFonts w:hint="eastAsia" w:ascii="宋体" w:hAnsi="宋体" w:cs="宋体"/>
              <w:sz w:val="21"/>
              <w:lang w:eastAsia="zh-CN"/>
            </w:rPr>
            <w:t>II</w:t>
          </w:r>
          <w:r>
            <w:rPr>
              <w:rFonts w:hint="eastAsia" w:ascii="宋体" w:hAnsi="宋体" w:cs="宋体"/>
              <w:sz w:val="21"/>
              <w:lang w:eastAsia="zh-CN"/>
            </w:rPr>
            <w:fldChar w:fldCharType="end"/>
          </w:r>
          <w:r>
            <w:rPr>
              <w:rFonts w:hint="eastAsia" w:ascii="宋体" w:hAnsi="宋体" w:cs="宋体"/>
              <w:sz w:val="21"/>
              <w:lang w:eastAsia="zh-CN"/>
            </w:rPr>
            <w:fldChar w:fldCharType="end"/>
          </w:r>
        </w:p>
        <w:p w14:paraId="67DB9C49">
          <w:pPr>
            <w:pStyle w:val="10"/>
            <w:tabs>
              <w:tab w:val="right" w:leader="dot" w:pos="9356"/>
            </w:tabs>
            <w:spacing w:line="400" w:lineRule="exact"/>
            <w:rPr>
              <w:rFonts w:ascii="宋体" w:hAnsi="宋体" w:cs="宋体"/>
              <w:sz w:val="21"/>
            </w:rPr>
          </w:pPr>
          <w:r>
            <w:fldChar w:fldCharType="begin"/>
          </w:r>
          <w:r>
            <w:instrText xml:space="preserve"> HYPERLINK \l "_Toc31100" </w:instrText>
          </w:r>
          <w:r>
            <w:fldChar w:fldCharType="separate"/>
          </w:r>
          <w:r>
            <w:rPr>
              <w:rFonts w:hint="eastAsia" w:ascii="宋体" w:hAnsi="宋体" w:cs="宋体"/>
              <w:sz w:val="21"/>
              <w:lang w:eastAsia="zh-CN"/>
            </w:rPr>
            <w:t>引言</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_Toc31100 \h </w:instrText>
          </w:r>
          <w:r>
            <w:rPr>
              <w:rFonts w:hint="eastAsia" w:ascii="宋体" w:hAnsi="宋体" w:cs="宋体"/>
              <w:sz w:val="21"/>
            </w:rPr>
            <w:fldChar w:fldCharType="separate"/>
          </w:r>
          <w:r>
            <w:rPr>
              <w:rFonts w:hint="eastAsia" w:ascii="宋体" w:hAnsi="宋体" w:cs="宋体"/>
              <w:sz w:val="21"/>
            </w:rPr>
            <w:t>III</w:t>
          </w:r>
          <w:r>
            <w:rPr>
              <w:rFonts w:hint="eastAsia" w:ascii="宋体" w:hAnsi="宋体" w:cs="宋体"/>
              <w:sz w:val="21"/>
            </w:rPr>
            <w:fldChar w:fldCharType="end"/>
          </w:r>
          <w:r>
            <w:rPr>
              <w:rFonts w:hint="eastAsia" w:ascii="宋体" w:hAnsi="宋体" w:cs="宋体"/>
              <w:sz w:val="21"/>
            </w:rPr>
            <w:fldChar w:fldCharType="end"/>
          </w:r>
        </w:p>
        <w:p w14:paraId="6F079706">
          <w:pPr>
            <w:pStyle w:val="10"/>
            <w:tabs>
              <w:tab w:val="right" w:leader="dot" w:pos="9356"/>
            </w:tabs>
            <w:spacing w:line="400" w:lineRule="exact"/>
            <w:rPr>
              <w:rFonts w:ascii="宋体" w:hAnsi="宋体" w:cs="宋体"/>
              <w:sz w:val="21"/>
            </w:rPr>
          </w:pPr>
          <w:r>
            <w:fldChar w:fldCharType="begin"/>
          </w:r>
          <w:r>
            <w:instrText xml:space="preserve"> HYPERLINK \l "_Toc6325" </w:instrText>
          </w:r>
          <w:r>
            <w:fldChar w:fldCharType="separate"/>
          </w:r>
          <w:r>
            <w:rPr>
              <w:rFonts w:hint="eastAsia" w:ascii="宋体" w:hAnsi="宋体" w:cs="宋体"/>
              <w:sz w:val="21"/>
              <w:lang w:eastAsia="zh-CN"/>
            </w:rPr>
            <w:t>1 范围</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_Toc6325 \h </w:instrText>
          </w:r>
          <w:r>
            <w:rPr>
              <w:rFonts w:hint="eastAsia" w:ascii="宋体" w:hAnsi="宋体" w:cs="宋体"/>
              <w:sz w:val="21"/>
            </w:rPr>
            <w:fldChar w:fldCharType="separate"/>
          </w:r>
          <w:r>
            <w:rPr>
              <w:rFonts w:hint="eastAsia" w:ascii="宋体" w:hAnsi="宋体" w:cs="宋体"/>
              <w:sz w:val="21"/>
            </w:rPr>
            <w:t>4</w:t>
          </w:r>
          <w:r>
            <w:rPr>
              <w:rFonts w:hint="eastAsia" w:ascii="宋体" w:hAnsi="宋体" w:cs="宋体"/>
              <w:sz w:val="21"/>
            </w:rPr>
            <w:fldChar w:fldCharType="end"/>
          </w:r>
          <w:r>
            <w:rPr>
              <w:rFonts w:hint="eastAsia" w:ascii="宋体" w:hAnsi="宋体" w:cs="宋体"/>
              <w:sz w:val="21"/>
            </w:rPr>
            <w:fldChar w:fldCharType="end"/>
          </w:r>
        </w:p>
        <w:p w14:paraId="1139C0B6">
          <w:pPr>
            <w:pStyle w:val="10"/>
            <w:tabs>
              <w:tab w:val="right" w:leader="dot" w:pos="9356"/>
            </w:tabs>
            <w:spacing w:line="400" w:lineRule="exact"/>
            <w:rPr>
              <w:rFonts w:ascii="宋体" w:hAnsi="宋体" w:cs="宋体"/>
              <w:sz w:val="21"/>
            </w:rPr>
          </w:pPr>
          <w:r>
            <w:fldChar w:fldCharType="begin"/>
          </w:r>
          <w:r>
            <w:instrText xml:space="preserve"> HYPERLINK \l "_Toc25188" </w:instrText>
          </w:r>
          <w:r>
            <w:fldChar w:fldCharType="separate"/>
          </w:r>
          <w:r>
            <w:rPr>
              <w:rFonts w:hint="eastAsia" w:ascii="宋体" w:hAnsi="宋体" w:cs="宋体"/>
              <w:sz w:val="21"/>
              <w:lang w:eastAsia="zh-CN"/>
            </w:rPr>
            <w:t>2 规范性引用文件</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_Toc25188 \h </w:instrText>
          </w:r>
          <w:r>
            <w:rPr>
              <w:rFonts w:hint="eastAsia" w:ascii="宋体" w:hAnsi="宋体" w:cs="宋体"/>
              <w:sz w:val="21"/>
            </w:rPr>
            <w:fldChar w:fldCharType="separate"/>
          </w:r>
          <w:r>
            <w:rPr>
              <w:rFonts w:hint="eastAsia" w:ascii="宋体" w:hAnsi="宋体" w:cs="宋体"/>
              <w:sz w:val="21"/>
            </w:rPr>
            <w:t>4</w:t>
          </w:r>
          <w:r>
            <w:rPr>
              <w:rFonts w:hint="eastAsia" w:ascii="宋体" w:hAnsi="宋体" w:cs="宋体"/>
              <w:sz w:val="21"/>
            </w:rPr>
            <w:fldChar w:fldCharType="end"/>
          </w:r>
          <w:r>
            <w:rPr>
              <w:rFonts w:hint="eastAsia" w:ascii="宋体" w:hAnsi="宋体" w:cs="宋体"/>
              <w:sz w:val="21"/>
            </w:rPr>
            <w:fldChar w:fldCharType="end"/>
          </w:r>
        </w:p>
        <w:p w14:paraId="6FA2BF96">
          <w:pPr>
            <w:pStyle w:val="10"/>
            <w:tabs>
              <w:tab w:val="right" w:leader="dot" w:pos="9356"/>
            </w:tabs>
            <w:spacing w:line="400" w:lineRule="exact"/>
            <w:rPr>
              <w:rFonts w:ascii="宋体" w:hAnsi="宋体" w:cs="宋体"/>
              <w:sz w:val="21"/>
            </w:rPr>
          </w:pPr>
          <w:r>
            <w:fldChar w:fldCharType="begin"/>
          </w:r>
          <w:r>
            <w:instrText xml:space="preserve"> HYPERLINK \l "_Toc17844" </w:instrText>
          </w:r>
          <w:r>
            <w:fldChar w:fldCharType="separate"/>
          </w:r>
          <w:r>
            <w:rPr>
              <w:rFonts w:hint="eastAsia" w:ascii="宋体" w:hAnsi="宋体" w:cs="宋体"/>
              <w:sz w:val="21"/>
              <w:lang w:eastAsia="zh-CN"/>
            </w:rPr>
            <w:t>3 术语和定义</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_Toc17844 \h </w:instrText>
          </w:r>
          <w:r>
            <w:rPr>
              <w:rFonts w:hint="eastAsia" w:ascii="宋体" w:hAnsi="宋体" w:cs="宋体"/>
              <w:sz w:val="21"/>
            </w:rPr>
            <w:fldChar w:fldCharType="separate"/>
          </w:r>
          <w:r>
            <w:rPr>
              <w:rFonts w:hint="eastAsia" w:ascii="宋体" w:hAnsi="宋体" w:cs="宋体"/>
              <w:sz w:val="21"/>
            </w:rPr>
            <w:t>4</w:t>
          </w:r>
          <w:r>
            <w:rPr>
              <w:rFonts w:hint="eastAsia" w:ascii="宋体" w:hAnsi="宋体" w:cs="宋体"/>
              <w:sz w:val="21"/>
            </w:rPr>
            <w:fldChar w:fldCharType="end"/>
          </w:r>
          <w:r>
            <w:rPr>
              <w:rFonts w:hint="eastAsia" w:ascii="宋体" w:hAnsi="宋体" w:cs="宋体"/>
              <w:sz w:val="21"/>
            </w:rPr>
            <w:fldChar w:fldCharType="end"/>
          </w:r>
        </w:p>
        <w:p w14:paraId="519CC38B">
          <w:pPr>
            <w:pStyle w:val="10"/>
            <w:tabs>
              <w:tab w:val="right" w:leader="dot" w:pos="9356"/>
            </w:tabs>
            <w:spacing w:line="400" w:lineRule="exact"/>
            <w:rPr>
              <w:rFonts w:ascii="宋体" w:hAnsi="宋体" w:cs="宋体"/>
              <w:sz w:val="21"/>
            </w:rPr>
          </w:pPr>
          <w:r>
            <w:fldChar w:fldCharType="begin"/>
          </w:r>
          <w:r>
            <w:instrText xml:space="preserve"> HYPERLINK \l "_Toc30550" </w:instrText>
          </w:r>
          <w:r>
            <w:fldChar w:fldCharType="separate"/>
          </w:r>
          <w:r>
            <w:rPr>
              <w:rFonts w:hint="eastAsia" w:ascii="宋体" w:hAnsi="宋体" w:cs="宋体"/>
              <w:sz w:val="21"/>
              <w:lang w:eastAsia="zh-CN"/>
            </w:rPr>
            <w:t>4 耗氧污染物溯源技术流程</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_Toc30550 \h </w:instrText>
          </w:r>
          <w:r>
            <w:rPr>
              <w:rFonts w:hint="eastAsia" w:ascii="宋体" w:hAnsi="宋体" w:cs="宋体"/>
              <w:sz w:val="21"/>
            </w:rPr>
            <w:fldChar w:fldCharType="separate"/>
          </w:r>
          <w:r>
            <w:rPr>
              <w:rFonts w:hint="eastAsia" w:ascii="宋体" w:hAnsi="宋体" w:cs="宋体"/>
              <w:sz w:val="21"/>
            </w:rPr>
            <w:t>4</w:t>
          </w:r>
          <w:r>
            <w:rPr>
              <w:rFonts w:hint="eastAsia" w:ascii="宋体" w:hAnsi="宋体" w:cs="宋体"/>
              <w:sz w:val="21"/>
            </w:rPr>
            <w:fldChar w:fldCharType="end"/>
          </w:r>
          <w:r>
            <w:rPr>
              <w:rFonts w:hint="eastAsia" w:ascii="宋体" w:hAnsi="宋体" w:cs="宋体"/>
              <w:sz w:val="21"/>
            </w:rPr>
            <w:fldChar w:fldCharType="end"/>
          </w:r>
        </w:p>
        <w:p w14:paraId="060694A0">
          <w:pPr>
            <w:pStyle w:val="10"/>
            <w:tabs>
              <w:tab w:val="right" w:leader="dot" w:pos="9356"/>
            </w:tabs>
            <w:spacing w:line="400" w:lineRule="exact"/>
            <w:rPr>
              <w:rFonts w:ascii="宋体" w:hAnsi="宋体" w:cs="宋体"/>
              <w:sz w:val="21"/>
            </w:rPr>
          </w:pPr>
          <w:r>
            <w:fldChar w:fldCharType="begin"/>
          </w:r>
          <w:r>
            <w:instrText xml:space="preserve"> HYPERLINK \l "_Toc14763" </w:instrText>
          </w:r>
          <w:r>
            <w:fldChar w:fldCharType="separate"/>
          </w:r>
          <w:r>
            <w:rPr>
              <w:rFonts w:hint="eastAsia" w:ascii="宋体" w:hAnsi="宋体" w:cs="宋体"/>
              <w:sz w:val="21"/>
              <w:lang w:eastAsia="zh-CN"/>
            </w:rPr>
            <w:t>5 污染超标流域范围确定</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_Toc14763 \h </w:instrText>
          </w:r>
          <w:r>
            <w:rPr>
              <w:rFonts w:hint="eastAsia" w:ascii="宋体" w:hAnsi="宋体" w:cs="宋体"/>
              <w:sz w:val="21"/>
            </w:rPr>
            <w:fldChar w:fldCharType="separate"/>
          </w:r>
          <w:r>
            <w:rPr>
              <w:rFonts w:hint="eastAsia" w:ascii="宋体" w:hAnsi="宋体" w:cs="宋体"/>
              <w:sz w:val="21"/>
            </w:rPr>
            <w:t>5</w:t>
          </w:r>
          <w:r>
            <w:rPr>
              <w:rFonts w:hint="eastAsia" w:ascii="宋体" w:hAnsi="宋体" w:cs="宋体"/>
              <w:sz w:val="21"/>
            </w:rPr>
            <w:fldChar w:fldCharType="end"/>
          </w:r>
          <w:r>
            <w:rPr>
              <w:rFonts w:hint="eastAsia" w:ascii="宋体" w:hAnsi="宋体" w:cs="宋体"/>
              <w:sz w:val="21"/>
            </w:rPr>
            <w:fldChar w:fldCharType="end"/>
          </w:r>
        </w:p>
        <w:p w14:paraId="45806B88">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"_Toc28461" </w:instrText>
          </w:r>
          <w:r>
            <w:fldChar w:fldCharType="separate"/>
          </w:r>
          <w:r>
            <w:rPr>
              <w:rFonts w:hint="eastAsia" w:ascii="宋体" w:hAnsi="宋体" w:cs="宋体"/>
              <w:sz w:val="21"/>
            </w:rPr>
            <w:t>5.1 收集历史监测数据</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_Toc28461 \h </w:instrText>
          </w:r>
          <w:r>
            <w:rPr>
              <w:rFonts w:hint="eastAsia" w:ascii="宋体" w:hAnsi="宋体" w:cs="宋体"/>
              <w:sz w:val="21"/>
            </w:rPr>
            <w:fldChar w:fldCharType="separate"/>
          </w:r>
          <w:r>
            <w:rPr>
              <w:rFonts w:hint="eastAsia" w:ascii="宋体" w:hAnsi="宋体" w:cs="宋体"/>
              <w:sz w:val="21"/>
            </w:rPr>
            <w:t>5</w:t>
          </w:r>
          <w:r>
            <w:rPr>
              <w:rFonts w:hint="eastAsia" w:ascii="宋体" w:hAnsi="宋体" w:cs="宋体"/>
              <w:sz w:val="21"/>
            </w:rPr>
            <w:fldChar w:fldCharType="end"/>
          </w:r>
          <w:r>
            <w:rPr>
              <w:rFonts w:hint="eastAsia" w:ascii="宋体" w:hAnsi="宋体" w:cs="宋体"/>
              <w:sz w:val="21"/>
            </w:rPr>
            <w:fldChar w:fldCharType="end"/>
          </w:r>
        </w:p>
        <w:p w14:paraId="6AAA1D17">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"_Toc4760" </w:instrText>
          </w:r>
          <w:r>
            <w:fldChar w:fldCharType="separate"/>
          </w:r>
          <w:r>
            <w:rPr>
              <w:rFonts w:hint="eastAsia" w:ascii="宋体" w:hAnsi="宋体" w:cs="宋体"/>
              <w:sz w:val="21"/>
            </w:rPr>
            <w:t>5.2 污染超标的初步筛查</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_Toc4760 \h </w:instrText>
          </w:r>
          <w:r>
            <w:rPr>
              <w:rFonts w:hint="eastAsia" w:ascii="宋体" w:hAnsi="宋体" w:cs="宋体"/>
              <w:sz w:val="21"/>
            </w:rPr>
            <w:fldChar w:fldCharType="separate"/>
          </w:r>
          <w:r>
            <w:rPr>
              <w:rFonts w:hint="eastAsia" w:ascii="宋体" w:hAnsi="宋体" w:cs="宋体"/>
              <w:sz w:val="21"/>
            </w:rPr>
            <w:t>5</w:t>
          </w:r>
          <w:r>
            <w:rPr>
              <w:rFonts w:hint="eastAsia" w:ascii="宋体" w:hAnsi="宋体" w:cs="宋体"/>
              <w:sz w:val="21"/>
            </w:rPr>
            <w:fldChar w:fldCharType="end"/>
          </w:r>
          <w:r>
            <w:rPr>
              <w:rFonts w:hint="eastAsia" w:ascii="宋体" w:hAnsi="宋体" w:cs="宋体"/>
              <w:sz w:val="21"/>
            </w:rPr>
            <w:fldChar w:fldCharType="end"/>
          </w:r>
        </w:p>
        <w:p w14:paraId="1B2AEFA6">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"_Toc28724" </w:instrText>
          </w:r>
          <w:r>
            <w:fldChar w:fldCharType="separate"/>
          </w:r>
          <w:r>
            <w:rPr>
              <w:rFonts w:hint="eastAsia" w:ascii="宋体" w:hAnsi="宋体" w:cs="宋体"/>
              <w:sz w:val="21"/>
              <w:lang w:eastAsia="zh-CN"/>
            </w:rPr>
            <w:t>5.3 初步确定污染超标流域范围</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_Toc28724 \h </w:instrText>
          </w:r>
          <w:r>
            <w:rPr>
              <w:rFonts w:hint="eastAsia" w:ascii="宋体" w:hAnsi="宋体" w:cs="宋体"/>
              <w:sz w:val="21"/>
            </w:rPr>
            <w:fldChar w:fldCharType="separate"/>
          </w:r>
          <w:r>
            <w:rPr>
              <w:rFonts w:hint="eastAsia" w:ascii="宋体" w:hAnsi="宋体" w:cs="宋体"/>
              <w:sz w:val="21"/>
            </w:rPr>
            <w:t>5</w:t>
          </w:r>
          <w:r>
            <w:rPr>
              <w:rFonts w:hint="eastAsia" w:ascii="宋体" w:hAnsi="宋体" w:cs="宋体"/>
              <w:sz w:val="21"/>
            </w:rPr>
            <w:fldChar w:fldCharType="end"/>
          </w:r>
          <w:r>
            <w:rPr>
              <w:rFonts w:hint="eastAsia" w:ascii="宋体" w:hAnsi="宋体" w:cs="宋体"/>
              <w:sz w:val="21"/>
            </w:rPr>
            <w:fldChar w:fldCharType="end"/>
          </w:r>
        </w:p>
        <w:p w14:paraId="5938632F">
          <w:pPr>
            <w:pStyle w:val="10"/>
            <w:tabs>
              <w:tab w:val="right" w:leader="dot" w:pos="9356"/>
            </w:tabs>
            <w:spacing w:line="400" w:lineRule="exact"/>
            <w:rPr>
              <w:rFonts w:ascii="宋体" w:hAnsi="宋体" w:cs="宋体"/>
              <w:sz w:val="21"/>
            </w:rPr>
          </w:pPr>
          <w:r>
            <w:fldChar w:fldCharType="begin"/>
          </w:r>
          <w:r>
            <w:instrText xml:space="preserve"> HYPERLINK \l "_Toc1211" </w:instrText>
          </w:r>
          <w:r>
            <w:fldChar w:fldCharType="separate"/>
          </w:r>
          <w:r>
            <w:rPr>
              <w:rFonts w:hint="eastAsia" w:ascii="宋体" w:hAnsi="宋体" w:cs="宋体"/>
              <w:sz w:val="21"/>
              <w:lang w:eastAsia="zh-CN"/>
            </w:rPr>
            <w:t>6 资料收集与初步分析</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_Toc1211 \h </w:instrText>
          </w:r>
          <w:r>
            <w:rPr>
              <w:rFonts w:hint="eastAsia" w:ascii="宋体" w:hAnsi="宋体" w:cs="宋体"/>
              <w:sz w:val="21"/>
            </w:rPr>
            <w:fldChar w:fldCharType="separate"/>
          </w:r>
          <w:r>
            <w:rPr>
              <w:rFonts w:hint="eastAsia" w:ascii="宋体" w:hAnsi="宋体" w:cs="宋体"/>
              <w:sz w:val="21"/>
            </w:rPr>
            <w:t>5</w:t>
          </w:r>
          <w:r>
            <w:rPr>
              <w:rFonts w:hint="eastAsia" w:ascii="宋体" w:hAnsi="宋体" w:cs="宋体"/>
              <w:sz w:val="21"/>
            </w:rPr>
            <w:fldChar w:fldCharType="end"/>
          </w:r>
          <w:r>
            <w:rPr>
              <w:rFonts w:hint="eastAsia" w:ascii="宋体" w:hAnsi="宋体" w:cs="宋体"/>
              <w:sz w:val="21"/>
            </w:rPr>
            <w:fldChar w:fldCharType="end"/>
          </w:r>
        </w:p>
        <w:p w14:paraId="6341DE89">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"_Toc28740" </w:instrText>
          </w:r>
          <w:r>
            <w:fldChar w:fldCharType="separate"/>
          </w:r>
          <w:r>
            <w:rPr>
              <w:rFonts w:hint="eastAsia" w:ascii="宋体" w:hAnsi="宋体" w:cs="宋体"/>
              <w:sz w:val="21"/>
              <w:lang w:eastAsia="zh-CN"/>
            </w:rPr>
            <w:t>6.1 适用条件</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_Toc28740 \h </w:instrText>
          </w:r>
          <w:r>
            <w:rPr>
              <w:rFonts w:hint="eastAsia" w:ascii="宋体" w:hAnsi="宋体" w:cs="宋体"/>
              <w:sz w:val="21"/>
            </w:rPr>
            <w:fldChar w:fldCharType="separate"/>
          </w:r>
          <w:r>
            <w:rPr>
              <w:rFonts w:hint="eastAsia" w:ascii="宋体" w:hAnsi="宋体" w:cs="宋体"/>
              <w:sz w:val="21"/>
            </w:rPr>
            <w:t>5</w:t>
          </w:r>
          <w:r>
            <w:rPr>
              <w:rFonts w:hint="eastAsia" w:ascii="宋体" w:hAnsi="宋体" w:cs="宋体"/>
              <w:sz w:val="21"/>
            </w:rPr>
            <w:fldChar w:fldCharType="end"/>
          </w:r>
          <w:r>
            <w:rPr>
              <w:rFonts w:hint="eastAsia" w:ascii="宋体" w:hAnsi="宋体" w:cs="宋体"/>
              <w:sz w:val="21"/>
            </w:rPr>
            <w:fldChar w:fldCharType="end"/>
          </w:r>
        </w:p>
        <w:p w14:paraId="71030D27">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"_Toc24248" </w:instrText>
          </w:r>
          <w:r>
            <w:fldChar w:fldCharType="separate"/>
          </w:r>
          <w:r>
            <w:rPr>
              <w:rFonts w:hint="eastAsia" w:ascii="宋体" w:hAnsi="宋体" w:cs="宋体"/>
              <w:sz w:val="21"/>
              <w:lang w:eastAsia="zh-CN"/>
            </w:rPr>
            <w:t>6.2 污染源类型及分布</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_Toc24248 \h </w:instrText>
          </w:r>
          <w:r>
            <w:rPr>
              <w:rFonts w:hint="eastAsia" w:ascii="宋体" w:hAnsi="宋体" w:cs="宋体"/>
              <w:sz w:val="21"/>
            </w:rPr>
            <w:fldChar w:fldCharType="separate"/>
          </w:r>
          <w:r>
            <w:rPr>
              <w:rFonts w:hint="eastAsia" w:ascii="宋体" w:hAnsi="宋体" w:cs="宋体"/>
              <w:sz w:val="21"/>
            </w:rPr>
            <w:t>5</w:t>
          </w:r>
          <w:r>
            <w:rPr>
              <w:rFonts w:hint="eastAsia" w:ascii="宋体" w:hAnsi="宋体" w:cs="宋体"/>
              <w:sz w:val="21"/>
            </w:rPr>
            <w:fldChar w:fldCharType="end"/>
          </w:r>
          <w:r>
            <w:rPr>
              <w:rFonts w:hint="eastAsia" w:ascii="宋体" w:hAnsi="宋体" w:cs="宋体"/>
              <w:sz w:val="21"/>
            </w:rPr>
            <w:fldChar w:fldCharType="end"/>
          </w:r>
        </w:p>
        <w:p w14:paraId="1D1C73C7">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"_Toc15073" </w:instrText>
          </w:r>
          <w:r>
            <w:fldChar w:fldCharType="separate"/>
          </w:r>
          <w:r>
            <w:rPr>
              <w:rFonts w:hint="eastAsia" w:ascii="宋体" w:hAnsi="宋体" w:cs="宋体"/>
              <w:sz w:val="21"/>
              <w:lang w:eastAsia="zh-CN"/>
            </w:rPr>
            <w:t>6.3 水质监测数据</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_Toc15073 \h </w:instrText>
          </w:r>
          <w:r>
            <w:rPr>
              <w:rFonts w:hint="eastAsia" w:ascii="宋体" w:hAnsi="宋体" w:cs="宋体"/>
              <w:sz w:val="21"/>
            </w:rPr>
            <w:fldChar w:fldCharType="separate"/>
          </w:r>
          <w:r>
            <w:rPr>
              <w:rFonts w:hint="eastAsia" w:ascii="宋体" w:hAnsi="宋体" w:cs="宋体"/>
              <w:sz w:val="21"/>
            </w:rPr>
            <w:t>6</w:t>
          </w:r>
          <w:r>
            <w:rPr>
              <w:rFonts w:hint="eastAsia" w:ascii="宋体" w:hAnsi="宋体" w:cs="宋体"/>
              <w:sz w:val="21"/>
            </w:rPr>
            <w:fldChar w:fldCharType="end"/>
          </w:r>
          <w:r>
            <w:rPr>
              <w:rFonts w:hint="eastAsia" w:ascii="宋体" w:hAnsi="宋体" w:cs="宋体"/>
              <w:sz w:val="21"/>
            </w:rPr>
            <w:fldChar w:fldCharType="end"/>
          </w:r>
        </w:p>
        <w:p w14:paraId="67924E44">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"_Toc16331" </w:instrText>
          </w:r>
          <w:r>
            <w:fldChar w:fldCharType="separate"/>
          </w:r>
          <w:r>
            <w:rPr>
              <w:rFonts w:hint="eastAsia" w:ascii="宋体" w:hAnsi="宋体" w:cs="宋体"/>
              <w:sz w:val="21"/>
              <w:lang w:eastAsia="zh-CN"/>
            </w:rPr>
            <w:t>6.4 流域与气象数据</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_Toc16331 \h </w:instrText>
          </w:r>
          <w:r>
            <w:rPr>
              <w:rFonts w:hint="eastAsia" w:ascii="宋体" w:hAnsi="宋体" w:cs="宋体"/>
              <w:sz w:val="21"/>
            </w:rPr>
            <w:fldChar w:fldCharType="separate"/>
          </w:r>
          <w:r>
            <w:rPr>
              <w:rFonts w:hint="eastAsia" w:ascii="宋体" w:hAnsi="宋体" w:cs="宋体"/>
              <w:sz w:val="21"/>
            </w:rPr>
            <w:t>6</w:t>
          </w:r>
          <w:r>
            <w:rPr>
              <w:rFonts w:hint="eastAsia" w:ascii="宋体" w:hAnsi="宋体" w:cs="宋体"/>
              <w:sz w:val="21"/>
            </w:rPr>
            <w:fldChar w:fldCharType="end"/>
          </w:r>
          <w:r>
            <w:rPr>
              <w:rFonts w:hint="eastAsia" w:ascii="宋体" w:hAnsi="宋体" w:cs="宋体"/>
              <w:sz w:val="21"/>
            </w:rPr>
            <w:fldChar w:fldCharType="end"/>
          </w:r>
        </w:p>
        <w:p w14:paraId="72D170A6">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"_Toc29964" </w:instrText>
          </w:r>
          <w:r>
            <w:fldChar w:fldCharType="separate"/>
          </w:r>
          <w:r>
            <w:rPr>
              <w:rFonts w:hint="eastAsia" w:ascii="宋体" w:hAnsi="宋体" w:cs="宋体"/>
              <w:sz w:val="21"/>
              <w:lang w:eastAsia="zh-CN"/>
            </w:rPr>
            <w:t>6.5 初步分析与溯源判断</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_Toc29964 \h </w:instrText>
          </w:r>
          <w:r>
            <w:rPr>
              <w:rFonts w:hint="eastAsia" w:ascii="宋体" w:hAnsi="宋体" w:cs="宋体"/>
              <w:sz w:val="21"/>
            </w:rPr>
            <w:fldChar w:fldCharType="separate"/>
          </w:r>
          <w:r>
            <w:rPr>
              <w:rFonts w:hint="eastAsia" w:ascii="宋体" w:hAnsi="宋体" w:cs="宋体"/>
              <w:sz w:val="21"/>
            </w:rPr>
            <w:t>6</w:t>
          </w:r>
          <w:r>
            <w:rPr>
              <w:rFonts w:hint="eastAsia" w:ascii="宋体" w:hAnsi="宋体" w:cs="宋体"/>
              <w:sz w:val="21"/>
            </w:rPr>
            <w:fldChar w:fldCharType="end"/>
          </w:r>
          <w:r>
            <w:rPr>
              <w:rFonts w:hint="eastAsia" w:ascii="宋体" w:hAnsi="宋体" w:cs="宋体"/>
              <w:sz w:val="21"/>
            </w:rPr>
            <w:fldChar w:fldCharType="end"/>
          </w:r>
        </w:p>
        <w:p w14:paraId="67DB8A5C">
          <w:pPr>
            <w:pStyle w:val="10"/>
            <w:tabs>
              <w:tab w:val="right" w:leader="dot" w:pos="9356"/>
            </w:tabs>
            <w:spacing w:line="400" w:lineRule="exact"/>
            <w:rPr>
              <w:rFonts w:ascii="宋体" w:hAnsi="宋体" w:cs="宋体"/>
              <w:sz w:val="21"/>
            </w:rPr>
          </w:pPr>
          <w:r>
            <w:fldChar w:fldCharType="begin"/>
          </w:r>
          <w:r>
            <w:instrText xml:space="preserve"> HYPERLINK \l "_Toc6337" </w:instrText>
          </w:r>
          <w:r>
            <w:fldChar w:fldCharType="separate"/>
          </w:r>
          <w:r>
            <w:rPr>
              <w:rFonts w:hint="eastAsia" w:ascii="宋体" w:hAnsi="宋体" w:cs="宋体"/>
              <w:sz w:val="21"/>
              <w:lang w:eastAsia="zh-CN"/>
            </w:rPr>
            <w:t>7 野外现场勘察</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_Toc6337 \h </w:instrText>
          </w:r>
          <w:r>
            <w:rPr>
              <w:rFonts w:hint="eastAsia" w:ascii="宋体" w:hAnsi="宋体" w:cs="宋体"/>
              <w:sz w:val="21"/>
            </w:rPr>
            <w:fldChar w:fldCharType="separate"/>
          </w:r>
          <w:r>
            <w:rPr>
              <w:rFonts w:hint="eastAsia" w:ascii="宋体" w:hAnsi="宋体" w:cs="宋体"/>
              <w:sz w:val="21"/>
            </w:rPr>
            <w:t>7</w:t>
          </w:r>
          <w:r>
            <w:rPr>
              <w:rFonts w:hint="eastAsia" w:ascii="宋体" w:hAnsi="宋体" w:cs="宋体"/>
              <w:sz w:val="21"/>
            </w:rPr>
            <w:fldChar w:fldCharType="end"/>
          </w:r>
          <w:r>
            <w:rPr>
              <w:rFonts w:hint="eastAsia" w:ascii="宋体" w:hAnsi="宋体" w:cs="宋体"/>
              <w:sz w:val="21"/>
            </w:rPr>
            <w:fldChar w:fldCharType="end"/>
          </w:r>
        </w:p>
        <w:p w14:paraId="6C57E793">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"_Toc29928" </w:instrText>
          </w:r>
          <w:r>
            <w:fldChar w:fldCharType="separate"/>
          </w:r>
          <w:r>
            <w:rPr>
              <w:rFonts w:hint="eastAsia" w:ascii="宋体" w:hAnsi="宋体" w:cs="宋体"/>
              <w:sz w:val="21"/>
              <w:lang w:eastAsia="zh-CN"/>
            </w:rPr>
            <w:t>7.1 适用条件</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_Toc29928 \h </w:instrText>
          </w:r>
          <w:r>
            <w:rPr>
              <w:rFonts w:hint="eastAsia" w:ascii="宋体" w:hAnsi="宋体" w:cs="宋体"/>
              <w:sz w:val="21"/>
            </w:rPr>
            <w:fldChar w:fldCharType="separate"/>
          </w:r>
          <w:r>
            <w:rPr>
              <w:rFonts w:hint="eastAsia" w:ascii="宋体" w:hAnsi="宋体" w:cs="宋体"/>
              <w:sz w:val="21"/>
            </w:rPr>
            <w:t>7</w:t>
          </w:r>
          <w:r>
            <w:rPr>
              <w:rFonts w:hint="eastAsia" w:ascii="宋体" w:hAnsi="宋体" w:cs="宋体"/>
              <w:sz w:val="21"/>
            </w:rPr>
            <w:fldChar w:fldCharType="end"/>
          </w:r>
          <w:r>
            <w:rPr>
              <w:rFonts w:hint="eastAsia" w:ascii="宋体" w:hAnsi="宋体" w:cs="宋体"/>
              <w:sz w:val="21"/>
            </w:rPr>
            <w:fldChar w:fldCharType="end"/>
          </w:r>
        </w:p>
        <w:p w14:paraId="035BF1C9">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"_Toc5519" </w:instrText>
          </w:r>
          <w:r>
            <w:fldChar w:fldCharType="separate"/>
          </w:r>
          <w:r>
            <w:rPr>
              <w:rFonts w:hint="eastAsia" w:ascii="宋体" w:hAnsi="宋体" w:cs="宋体"/>
              <w:sz w:val="21"/>
              <w:lang w:eastAsia="zh-CN"/>
            </w:rPr>
            <w:t>7.2 绘制点位布设草图</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_Toc5519 \h </w:instrText>
          </w:r>
          <w:r>
            <w:rPr>
              <w:rFonts w:hint="eastAsia" w:ascii="宋体" w:hAnsi="宋体" w:cs="宋体"/>
              <w:sz w:val="21"/>
            </w:rPr>
            <w:fldChar w:fldCharType="separate"/>
          </w:r>
          <w:r>
            <w:rPr>
              <w:rFonts w:hint="eastAsia" w:ascii="宋体" w:hAnsi="宋体" w:cs="宋体"/>
              <w:sz w:val="21"/>
            </w:rPr>
            <w:t>7</w:t>
          </w:r>
          <w:r>
            <w:rPr>
              <w:rFonts w:hint="eastAsia" w:ascii="宋体" w:hAnsi="宋体" w:cs="宋体"/>
              <w:sz w:val="21"/>
            </w:rPr>
            <w:fldChar w:fldCharType="end"/>
          </w:r>
          <w:r>
            <w:rPr>
              <w:rFonts w:hint="eastAsia" w:ascii="宋体" w:hAnsi="宋体" w:cs="宋体"/>
              <w:sz w:val="21"/>
            </w:rPr>
            <w:fldChar w:fldCharType="end"/>
          </w:r>
        </w:p>
        <w:p w14:paraId="79575766">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"_Toc13168" </w:instrText>
          </w:r>
          <w:r>
            <w:fldChar w:fldCharType="separate"/>
          </w:r>
          <w:r>
            <w:rPr>
              <w:rFonts w:hint="eastAsia" w:ascii="宋体" w:hAnsi="宋体" w:cs="宋体"/>
              <w:sz w:val="21"/>
              <w:lang w:eastAsia="zh-CN"/>
            </w:rPr>
            <w:t>7.3 现场排查、采样确定重点区域</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_Toc13168 \h </w:instrText>
          </w:r>
          <w:r>
            <w:rPr>
              <w:rFonts w:hint="eastAsia" w:ascii="宋体" w:hAnsi="宋体" w:cs="宋体"/>
              <w:sz w:val="21"/>
            </w:rPr>
            <w:fldChar w:fldCharType="separate"/>
          </w:r>
          <w:r>
            <w:rPr>
              <w:rFonts w:hint="eastAsia" w:ascii="宋体" w:hAnsi="宋体" w:cs="宋体"/>
              <w:sz w:val="21"/>
            </w:rPr>
            <w:t>7</w:t>
          </w:r>
          <w:r>
            <w:rPr>
              <w:rFonts w:hint="eastAsia" w:ascii="宋体" w:hAnsi="宋体" w:cs="宋体"/>
              <w:sz w:val="21"/>
            </w:rPr>
            <w:fldChar w:fldCharType="end"/>
          </w:r>
          <w:r>
            <w:rPr>
              <w:rFonts w:hint="eastAsia" w:ascii="宋体" w:hAnsi="宋体" w:cs="宋体"/>
              <w:sz w:val="21"/>
            </w:rPr>
            <w:fldChar w:fldCharType="end"/>
          </w:r>
        </w:p>
        <w:p w14:paraId="26C0EAC7">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"_Toc15547" </w:instrText>
          </w:r>
          <w:r>
            <w:fldChar w:fldCharType="separate"/>
          </w:r>
          <w:r>
            <w:rPr>
              <w:rFonts w:hint="eastAsia" w:ascii="宋体" w:hAnsi="宋体" w:cs="宋体"/>
              <w:sz w:val="21"/>
              <w:lang w:eastAsia="zh-CN"/>
            </w:rPr>
            <w:t>7.4 排查形式与方法</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_Toc15547 \h </w:instrText>
          </w:r>
          <w:r>
            <w:rPr>
              <w:rFonts w:hint="eastAsia" w:ascii="宋体" w:hAnsi="宋体" w:cs="宋体"/>
              <w:sz w:val="21"/>
            </w:rPr>
            <w:fldChar w:fldCharType="separate"/>
          </w:r>
          <w:r>
            <w:rPr>
              <w:rFonts w:hint="eastAsia" w:ascii="宋体" w:hAnsi="宋体" w:cs="宋体"/>
              <w:sz w:val="21"/>
            </w:rPr>
            <w:t>7</w:t>
          </w:r>
          <w:r>
            <w:rPr>
              <w:rFonts w:hint="eastAsia" w:ascii="宋体" w:hAnsi="宋体" w:cs="宋体"/>
              <w:sz w:val="21"/>
            </w:rPr>
            <w:fldChar w:fldCharType="end"/>
          </w:r>
          <w:r>
            <w:rPr>
              <w:rFonts w:hint="eastAsia" w:ascii="宋体" w:hAnsi="宋体" w:cs="宋体"/>
              <w:sz w:val="21"/>
            </w:rPr>
            <w:fldChar w:fldCharType="end"/>
          </w:r>
        </w:p>
        <w:p w14:paraId="51FB9E8C">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"_Toc4287" </w:instrText>
          </w:r>
          <w:r>
            <w:fldChar w:fldCharType="separate"/>
          </w:r>
          <w:r>
            <w:rPr>
              <w:rFonts w:hint="eastAsia" w:ascii="宋体" w:hAnsi="宋体" w:cs="宋体"/>
              <w:sz w:val="21"/>
              <w:lang w:eastAsia="zh-CN"/>
            </w:rPr>
            <w:t>7.5 设备配备</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_Toc4287 \h </w:instrText>
          </w:r>
          <w:r>
            <w:rPr>
              <w:rFonts w:hint="eastAsia" w:ascii="宋体" w:hAnsi="宋体" w:cs="宋体"/>
              <w:sz w:val="21"/>
            </w:rPr>
            <w:fldChar w:fldCharType="separate"/>
          </w:r>
          <w:r>
            <w:rPr>
              <w:rFonts w:hint="eastAsia" w:ascii="宋体" w:hAnsi="宋体" w:cs="宋体"/>
              <w:sz w:val="21"/>
            </w:rPr>
            <w:t>7</w:t>
          </w:r>
          <w:r>
            <w:rPr>
              <w:rFonts w:hint="eastAsia" w:ascii="宋体" w:hAnsi="宋体" w:cs="宋体"/>
              <w:sz w:val="21"/>
            </w:rPr>
            <w:fldChar w:fldCharType="end"/>
          </w:r>
          <w:r>
            <w:rPr>
              <w:rFonts w:hint="eastAsia" w:ascii="宋体" w:hAnsi="宋体" w:cs="宋体"/>
              <w:sz w:val="21"/>
            </w:rPr>
            <w:fldChar w:fldCharType="end"/>
          </w:r>
        </w:p>
        <w:p w14:paraId="3CFE3AEC">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"_Toc15093" </w:instrText>
          </w:r>
          <w:r>
            <w:fldChar w:fldCharType="separate"/>
          </w:r>
          <w:r>
            <w:rPr>
              <w:rFonts w:hint="eastAsia" w:ascii="宋体" w:hAnsi="宋体" w:cs="宋体"/>
              <w:sz w:val="21"/>
              <w:lang w:eastAsia="zh-CN"/>
            </w:rPr>
            <w:t>7.6 溯源结果确认与记录</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_Toc15093 \h </w:instrText>
          </w:r>
          <w:r>
            <w:rPr>
              <w:rFonts w:hint="eastAsia" w:ascii="宋体" w:hAnsi="宋体" w:cs="宋体"/>
              <w:sz w:val="21"/>
            </w:rPr>
            <w:fldChar w:fldCharType="separate"/>
          </w:r>
          <w:r>
            <w:rPr>
              <w:rFonts w:hint="eastAsia" w:ascii="宋体" w:hAnsi="宋体" w:cs="宋体"/>
              <w:sz w:val="21"/>
            </w:rPr>
            <w:t>8</w:t>
          </w:r>
          <w:r>
            <w:rPr>
              <w:rFonts w:hint="eastAsia" w:ascii="宋体" w:hAnsi="宋体" w:cs="宋体"/>
              <w:sz w:val="21"/>
            </w:rPr>
            <w:fldChar w:fldCharType="end"/>
          </w:r>
          <w:r>
            <w:rPr>
              <w:rFonts w:hint="eastAsia" w:ascii="宋体" w:hAnsi="宋体" w:cs="宋体"/>
              <w:sz w:val="21"/>
            </w:rPr>
            <w:fldChar w:fldCharType="end"/>
          </w:r>
        </w:p>
        <w:p w14:paraId="00275651">
          <w:pPr>
            <w:pStyle w:val="10"/>
            <w:tabs>
              <w:tab w:val="right" w:leader="dot" w:pos="9356"/>
            </w:tabs>
            <w:spacing w:line="400" w:lineRule="exact"/>
            <w:rPr>
              <w:rFonts w:ascii="宋体" w:hAnsi="宋体" w:cs="宋体"/>
              <w:sz w:val="21"/>
            </w:rPr>
          </w:pPr>
          <w:r>
            <w:fldChar w:fldCharType="begin"/>
          </w:r>
          <w:r>
            <w:instrText xml:space="preserve"> HYPERLINK \l "_Toc10176" </w:instrText>
          </w:r>
          <w:r>
            <w:fldChar w:fldCharType="separate"/>
          </w:r>
          <w:r>
            <w:rPr>
              <w:rFonts w:hint="eastAsia" w:ascii="宋体" w:hAnsi="宋体" w:cs="宋体"/>
              <w:sz w:val="21"/>
              <w:lang w:eastAsia="zh-CN"/>
            </w:rPr>
            <w:t>8 多技术集成溯源方法</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_Toc10176 \h </w:instrText>
          </w:r>
          <w:r>
            <w:rPr>
              <w:rFonts w:hint="eastAsia" w:ascii="宋体" w:hAnsi="宋体" w:cs="宋体"/>
              <w:sz w:val="21"/>
            </w:rPr>
            <w:fldChar w:fldCharType="separate"/>
          </w:r>
          <w:r>
            <w:rPr>
              <w:rFonts w:hint="eastAsia" w:ascii="宋体" w:hAnsi="宋体" w:cs="宋体"/>
              <w:sz w:val="21"/>
            </w:rPr>
            <w:t>8</w:t>
          </w:r>
          <w:r>
            <w:rPr>
              <w:rFonts w:hint="eastAsia" w:ascii="宋体" w:hAnsi="宋体" w:cs="宋体"/>
              <w:sz w:val="21"/>
            </w:rPr>
            <w:fldChar w:fldCharType="end"/>
          </w:r>
          <w:r>
            <w:rPr>
              <w:rFonts w:hint="eastAsia" w:ascii="宋体" w:hAnsi="宋体" w:cs="宋体"/>
              <w:sz w:val="21"/>
            </w:rPr>
            <w:fldChar w:fldCharType="end"/>
          </w:r>
        </w:p>
        <w:p w14:paraId="00270818">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"_Toc17551" </w:instrText>
          </w:r>
          <w:r>
            <w:fldChar w:fldCharType="separate"/>
          </w:r>
          <w:r>
            <w:rPr>
              <w:rFonts w:hint="eastAsia" w:ascii="宋体" w:hAnsi="宋体" w:cs="宋体"/>
              <w:sz w:val="21"/>
              <w:lang w:eastAsia="zh-CN"/>
            </w:rPr>
            <w:t>8.1 适用条件</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_Toc17551 \h </w:instrText>
          </w:r>
          <w:r>
            <w:rPr>
              <w:rFonts w:hint="eastAsia" w:ascii="宋体" w:hAnsi="宋体" w:cs="宋体"/>
              <w:sz w:val="21"/>
            </w:rPr>
            <w:fldChar w:fldCharType="separate"/>
          </w:r>
          <w:r>
            <w:rPr>
              <w:rFonts w:hint="eastAsia" w:ascii="宋体" w:hAnsi="宋体" w:cs="宋体"/>
              <w:sz w:val="21"/>
            </w:rPr>
            <w:t>8</w:t>
          </w:r>
          <w:r>
            <w:rPr>
              <w:rFonts w:hint="eastAsia" w:ascii="宋体" w:hAnsi="宋体" w:cs="宋体"/>
              <w:sz w:val="21"/>
            </w:rPr>
            <w:fldChar w:fldCharType="end"/>
          </w:r>
          <w:r>
            <w:rPr>
              <w:rFonts w:hint="eastAsia" w:ascii="宋体" w:hAnsi="宋体" w:cs="宋体"/>
              <w:sz w:val="21"/>
            </w:rPr>
            <w:fldChar w:fldCharType="end"/>
          </w:r>
        </w:p>
        <w:p w14:paraId="746E29B4">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"_Toc5184" </w:instrText>
          </w:r>
          <w:r>
            <w:fldChar w:fldCharType="separate"/>
          </w:r>
          <w:r>
            <w:rPr>
              <w:rFonts w:hint="eastAsia" w:ascii="宋体" w:hAnsi="宋体" w:cs="宋体"/>
              <w:sz w:val="21"/>
              <w:lang w:eastAsia="zh-CN"/>
            </w:rPr>
            <w:t>8.2 地理信息系统（GIS）技术</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_Toc5184 \h </w:instrText>
          </w:r>
          <w:r>
            <w:rPr>
              <w:rFonts w:hint="eastAsia" w:ascii="宋体" w:hAnsi="宋体" w:cs="宋体"/>
              <w:sz w:val="21"/>
            </w:rPr>
            <w:fldChar w:fldCharType="separate"/>
          </w:r>
          <w:r>
            <w:rPr>
              <w:rFonts w:hint="eastAsia" w:ascii="宋体" w:hAnsi="宋体" w:cs="宋体"/>
              <w:sz w:val="21"/>
            </w:rPr>
            <w:t>8</w:t>
          </w:r>
          <w:r>
            <w:rPr>
              <w:rFonts w:hint="eastAsia" w:ascii="宋体" w:hAnsi="宋体" w:cs="宋体"/>
              <w:sz w:val="21"/>
            </w:rPr>
            <w:fldChar w:fldCharType="end"/>
          </w:r>
          <w:r>
            <w:rPr>
              <w:rFonts w:hint="eastAsia" w:ascii="宋体" w:hAnsi="宋体" w:cs="宋体"/>
              <w:sz w:val="21"/>
            </w:rPr>
            <w:fldChar w:fldCharType="end"/>
          </w:r>
        </w:p>
        <w:p w14:paraId="4142D451">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"_Toc960" </w:instrText>
          </w:r>
          <w:r>
            <w:fldChar w:fldCharType="separate"/>
          </w:r>
          <w:r>
            <w:rPr>
              <w:rFonts w:hint="eastAsia" w:ascii="宋体" w:hAnsi="宋体" w:cs="宋体"/>
              <w:sz w:val="21"/>
              <w:lang w:eastAsia="zh-CN"/>
            </w:rPr>
            <w:t>8.3 稳定同位素技术</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_Toc960 \h </w:instrText>
          </w:r>
          <w:r>
            <w:rPr>
              <w:rFonts w:hint="eastAsia" w:ascii="宋体" w:hAnsi="宋体" w:cs="宋体"/>
              <w:sz w:val="21"/>
            </w:rPr>
            <w:fldChar w:fldCharType="separate"/>
          </w:r>
          <w:r>
            <w:rPr>
              <w:rFonts w:hint="eastAsia" w:ascii="宋体" w:hAnsi="宋体" w:cs="宋体"/>
              <w:sz w:val="21"/>
            </w:rPr>
            <w:t>9</w:t>
          </w:r>
          <w:r>
            <w:rPr>
              <w:rFonts w:hint="eastAsia" w:ascii="宋体" w:hAnsi="宋体" w:cs="宋体"/>
              <w:sz w:val="21"/>
            </w:rPr>
            <w:fldChar w:fldCharType="end"/>
          </w:r>
          <w:r>
            <w:rPr>
              <w:rFonts w:hint="eastAsia" w:ascii="宋体" w:hAnsi="宋体" w:cs="宋体"/>
              <w:sz w:val="21"/>
            </w:rPr>
            <w:fldChar w:fldCharType="end"/>
          </w:r>
        </w:p>
        <w:p w14:paraId="3BD7F7F9">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"_Toc26299" </w:instrText>
          </w:r>
          <w:r>
            <w:fldChar w:fldCharType="separate"/>
          </w:r>
          <w:r>
            <w:rPr>
              <w:rFonts w:hint="eastAsia" w:ascii="宋体" w:hAnsi="宋体" w:cs="宋体"/>
              <w:sz w:val="21"/>
              <w:lang w:eastAsia="zh-CN"/>
            </w:rPr>
            <w:t>8.4 数学模型</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_Toc26299 \h </w:instrText>
          </w:r>
          <w:r>
            <w:rPr>
              <w:rFonts w:hint="eastAsia" w:ascii="宋体" w:hAnsi="宋体" w:cs="宋体"/>
              <w:sz w:val="21"/>
            </w:rPr>
            <w:fldChar w:fldCharType="separate"/>
          </w:r>
          <w:r>
            <w:rPr>
              <w:rFonts w:hint="eastAsia" w:ascii="宋体" w:hAnsi="宋体" w:cs="宋体"/>
              <w:sz w:val="21"/>
            </w:rPr>
            <w:t>9</w:t>
          </w:r>
          <w:r>
            <w:rPr>
              <w:rFonts w:hint="eastAsia" w:ascii="宋体" w:hAnsi="宋体" w:cs="宋体"/>
              <w:sz w:val="21"/>
            </w:rPr>
            <w:fldChar w:fldCharType="end"/>
          </w:r>
          <w:r>
            <w:rPr>
              <w:rFonts w:hint="eastAsia" w:ascii="宋体" w:hAnsi="宋体" w:cs="宋体"/>
              <w:sz w:val="21"/>
            </w:rPr>
            <w:fldChar w:fldCharType="end"/>
          </w:r>
        </w:p>
        <w:p w14:paraId="6750EF69">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"_Toc455" </w:instrText>
          </w:r>
          <w:r>
            <w:fldChar w:fldCharType="separate"/>
          </w:r>
          <w:r>
            <w:rPr>
              <w:rFonts w:hint="eastAsia" w:ascii="宋体" w:hAnsi="宋体" w:cs="宋体"/>
              <w:sz w:val="21"/>
              <w:lang w:eastAsia="zh-CN"/>
            </w:rPr>
            <w:t>8.5 三维荧光技术</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_Toc455 \h </w:instrText>
          </w:r>
          <w:r>
            <w:rPr>
              <w:rFonts w:hint="eastAsia" w:ascii="宋体" w:hAnsi="宋体" w:cs="宋体"/>
              <w:sz w:val="21"/>
            </w:rPr>
            <w:fldChar w:fldCharType="separate"/>
          </w:r>
          <w:r>
            <w:rPr>
              <w:rFonts w:hint="eastAsia" w:ascii="宋体" w:hAnsi="宋体" w:cs="宋体"/>
              <w:sz w:val="21"/>
            </w:rPr>
            <w:t>9</w:t>
          </w:r>
          <w:r>
            <w:rPr>
              <w:rFonts w:hint="eastAsia" w:ascii="宋体" w:hAnsi="宋体" w:cs="宋体"/>
              <w:sz w:val="21"/>
            </w:rPr>
            <w:fldChar w:fldCharType="end"/>
          </w:r>
          <w:r>
            <w:rPr>
              <w:rFonts w:hint="eastAsia" w:ascii="宋体" w:hAnsi="宋体" w:cs="宋体"/>
              <w:sz w:val="21"/>
            </w:rPr>
            <w:fldChar w:fldCharType="end"/>
          </w:r>
        </w:p>
        <w:p w14:paraId="26FD74D3">
          <w:pPr>
            <w:pStyle w:val="10"/>
            <w:tabs>
              <w:tab w:val="right" w:leader="dot" w:pos="9356"/>
            </w:tabs>
            <w:spacing w:line="400" w:lineRule="exact"/>
            <w:rPr>
              <w:rFonts w:ascii="宋体" w:hAnsi="宋体" w:cs="宋体"/>
              <w:sz w:val="21"/>
            </w:rPr>
          </w:pPr>
          <w:r>
            <w:fldChar w:fldCharType="begin"/>
          </w:r>
          <w:r>
            <w:instrText xml:space="preserve"> HYPERLINK \l "_Toc7000" </w:instrText>
          </w:r>
          <w:r>
            <w:fldChar w:fldCharType="separate"/>
          </w:r>
          <w:r>
            <w:rPr>
              <w:rFonts w:hint="eastAsia" w:ascii="宋体" w:hAnsi="宋体" w:cs="宋体"/>
              <w:sz w:val="21"/>
              <w:lang w:eastAsia="zh-CN"/>
            </w:rPr>
            <w:t>9 问题清单制定</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_Toc7000 \h </w:instrText>
          </w:r>
          <w:r>
            <w:rPr>
              <w:rFonts w:hint="eastAsia" w:ascii="宋体" w:hAnsi="宋体" w:cs="宋体"/>
              <w:sz w:val="21"/>
            </w:rPr>
            <w:fldChar w:fldCharType="separate"/>
          </w:r>
          <w:r>
            <w:rPr>
              <w:rFonts w:hint="eastAsia" w:ascii="宋体" w:hAnsi="宋体" w:cs="宋体"/>
              <w:sz w:val="21"/>
            </w:rPr>
            <w:t>10</w:t>
          </w:r>
          <w:r>
            <w:rPr>
              <w:rFonts w:hint="eastAsia" w:ascii="宋体" w:hAnsi="宋体" w:cs="宋体"/>
              <w:sz w:val="21"/>
            </w:rPr>
            <w:fldChar w:fldCharType="end"/>
          </w:r>
          <w:r>
            <w:rPr>
              <w:rFonts w:hint="eastAsia" w:ascii="宋体" w:hAnsi="宋体" w:cs="宋体"/>
              <w:sz w:val="21"/>
            </w:rPr>
            <w:fldChar w:fldCharType="end"/>
          </w:r>
        </w:p>
        <w:p w14:paraId="647788C9">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"_Toc10866" </w:instrText>
          </w:r>
          <w:r>
            <w:fldChar w:fldCharType="separate"/>
          </w:r>
          <w:r>
            <w:rPr>
              <w:rFonts w:hint="eastAsia" w:ascii="宋体" w:hAnsi="宋体" w:cs="宋体"/>
              <w:sz w:val="21"/>
              <w:lang w:eastAsia="zh-CN"/>
            </w:rPr>
            <w:t>9.1 问题识别与分类</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_Toc10866 \h </w:instrText>
          </w:r>
          <w:r>
            <w:rPr>
              <w:rFonts w:hint="eastAsia" w:ascii="宋体" w:hAnsi="宋体" w:cs="宋体"/>
              <w:sz w:val="21"/>
            </w:rPr>
            <w:fldChar w:fldCharType="separate"/>
          </w:r>
          <w:r>
            <w:rPr>
              <w:rFonts w:hint="eastAsia" w:ascii="宋体" w:hAnsi="宋体" w:cs="宋体"/>
              <w:sz w:val="21"/>
            </w:rPr>
            <w:t>10</w:t>
          </w:r>
          <w:r>
            <w:rPr>
              <w:rFonts w:hint="eastAsia" w:ascii="宋体" w:hAnsi="宋体" w:cs="宋体"/>
              <w:sz w:val="21"/>
            </w:rPr>
            <w:fldChar w:fldCharType="end"/>
          </w:r>
          <w:r>
            <w:rPr>
              <w:rFonts w:hint="eastAsia" w:ascii="宋体" w:hAnsi="宋体" w:cs="宋体"/>
              <w:sz w:val="21"/>
            </w:rPr>
            <w:fldChar w:fldCharType="end"/>
          </w:r>
        </w:p>
        <w:p w14:paraId="58C76175">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"_Toc21997" </w:instrText>
          </w:r>
          <w:r>
            <w:fldChar w:fldCharType="separate"/>
          </w:r>
          <w:r>
            <w:rPr>
              <w:rFonts w:hint="eastAsia" w:ascii="宋体" w:hAnsi="宋体" w:cs="宋体"/>
              <w:sz w:val="21"/>
              <w:lang w:eastAsia="zh-CN"/>
            </w:rPr>
            <w:t>9.2 评估污染源的贡献</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_Toc21997 \h </w:instrText>
          </w:r>
          <w:r>
            <w:rPr>
              <w:rFonts w:hint="eastAsia" w:ascii="宋体" w:hAnsi="宋体" w:cs="宋体"/>
              <w:sz w:val="21"/>
            </w:rPr>
            <w:fldChar w:fldCharType="separate"/>
          </w:r>
          <w:r>
            <w:rPr>
              <w:rFonts w:hint="eastAsia" w:ascii="宋体" w:hAnsi="宋体" w:cs="宋体"/>
              <w:sz w:val="21"/>
            </w:rPr>
            <w:t>10</w:t>
          </w:r>
          <w:r>
            <w:rPr>
              <w:rFonts w:hint="eastAsia" w:ascii="宋体" w:hAnsi="宋体" w:cs="宋体"/>
              <w:sz w:val="21"/>
            </w:rPr>
            <w:fldChar w:fldCharType="end"/>
          </w:r>
          <w:r>
            <w:rPr>
              <w:rFonts w:hint="eastAsia" w:ascii="宋体" w:hAnsi="宋体" w:cs="宋体"/>
              <w:sz w:val="21"/>
            </w:rPr>
            <w:fldChar w:fldCharType="end"/>
          </w:r>
        </w:p>
        <w:p w14:paraId="73F2A88E">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"_Toc17558" </w:instrText>
          </w:r>
          <w:r>
            <w:fldChar w:fldCharType="separate"/>
          </w:r>
          <w:r>
            <w:rPr>
              <w:rFonts w:hint="eastAsia" w:ascii="宋体" w:hAnsi="宋体" w:cs="宋体"/>
              <w:sz w:val="21"/>
              <w:lang w:eastAsia="zh-CN"/>
            </w:rPr>
            <w:t>9.3 确定污染物排放超标程度</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_Toc17558 \h </w:instrText>
          </w:r>
          <w:r>
            <w:rPr>
              <w:rFonts w:hint="eastAsia" w:ascii="宋体" w:hAnsi="宋体" w:cs="宋体"/>
              <w:sz w:val="21"/>
            </w:rPr>
            <w:fldChar w:fldCharType="separate"/>
          </w:r>
          <w:r>
            <w:rPr>
              <w:rFonts w:hint="eastAsia" w:ascii="宋体" w:hAnsi="宋体" w:cs="宋体"/>
              <w:sz w:val="21"/>
            </w:rPr>
            <w:t>10</w:t>
          </w:r>
          <w:r>
            <w:rPr>
              <w:rFonts w:hint="eastAsia" w:ascii="宋体" w:hAnsi="宋体" w:cs="宋体"/>
              <w:sz w:val="21"/>
            </w:rPr>
            <w:fldChar w:fldCharType="end"/>
          </w:r>
          <w:r>
            <w:rPr>
              <w:rFonts w:hint="eastAsia" w:ascii="宋体" w:hAnsi="宋体" w:cs="宋体"/>
              <w:sz w:val="21"/>
            </w:rPr>
            <w:fldChar w:fldCharType="end"/>
          </w:r>
        </w:p>
        <w:p w14:paraId="3F3954BC">
          <w:pPr>
            <w:pStyle w:val="11"/>
            <w:widowControl w:val="0"/>
            <w:tabs>
              <w:tab w:val="right" w:leader="dot" w:pos="9344"/>
            </w:tabs>
            <w:kinsoku/>
            <w:autoSpaceDE/>
            <w:autoSpaceDN/>
            <w:adjustRightInd w:val="0"/>
            <w:spacing w:line="300" w:lineRule="exact"/>
            <w:ind w:left="210" w:leftChars="0"/>
            <w:jc w:val="both"/>
            <w:textAlignment w:val="auto"/>
            <w:rPr>
              <w:rFonts w:ascii="宋体" w:hAnsi="宋体" w:cs="宋体"/>
              <w:sz w:val="21"/>
            </w:rPr>
          </w:pPr>
          <w:r>
            <w:fldChar w:fldCharType="begin"/>
          </w:r>
          <w:r>
            <w:instrText xml:space="preserve"> HYPERLINK \l "_Toc29443" </w:instrText>
          </w:r>
          <w:r>
            <w:fldChar w:fldCharType="separate"/>
          </w:r>
          <w:r>
            <w:rPr>
              <w:rFonts w:hint="eastAsia" w:ascii="宋体" w:hAnsi="宋体" w:cs="宋体"/>
              <w:sz w:val="21"/>
              <w:lang w:eastAsia="zh-CN"/>
            </w:rPr>
            <w:t>9.4 明确治理措施与建议</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_Toc29443 \h </w:instrText>
          </w:r>
          <w:r>
            <w:rPr>
              <w:rFonts w:hint="eastAsia" w:ascii="宋体" w:hAnsi="宋体" w:cs="宋体"/>
              <w:sz w:val="21"/>
            </w:rPr>
            <w:fldChar w:fldCharType="separate"/>
          </w:r>
          <w:r>
            <w:rPr>
              <w:rFonts w:hint="eastAsia" w:ascii="宋体" w:hAnsi="宋体" w:cs="宋体"/>
              <w:sz w:val="21"/>
            </w:rPr>
            <w:t>10</w:t>
          </w:r>
          <w:r>
            <w:rPr>
              <w:rFonts w:hint="eastAsia" w:ascii="宋体" w:hAnsi="宋体" w:cs="宋体"/>
              <w:sz w:val="21"/>
            </w:rPr>
            <w:fldChar w:fldCharType="end"/>
          </w:r>
          <w:r>
            <w:rPr>
              <w:rFonts w:hint="eastAsia" w:ascii="宋体" w:hAnsi="宋体" w:cs="宋体"/>
              <w:sz w:val="21"/>
            </w:rPr>
            <w:fldChar w:fldCharType="end"/>
          </w:r>
        </w:p>
        <w:p w14:paraId="15748199">
          <w:pPr>
            <w:pStyle w:val="10"/>
            <w:tabs>
              <w:tab w:val="right" w:leader="dot" w:pos="9356"/>
            </w:tabs>
            <w:spacing w:line="400" w:lineRule="exact"/>
            <w:rPr>
              <w:rFonts w:ascii="宋体" w:hAnsi="宋体" w:cs="宋体"/>
              <w:sz w:val="21"/>
            </w:rPr>
          </w:pPr>
          <w:r>
            <w:fldChar w:fldCharType="begin"/>
          </w:r>
          <w:r>
            <w:instrText xml:space="preserve"> HYPERLINK \l "_Toc20336" </w:instrText>
          </w:r>
          <w:r>
            <w:fldChar w:fldCharType="separate"/>
          </w:r>
          <w:r>
            <w:rPr>
              <w:rFonts w:hint="eastAsia" w:ascii="宋体" w:hAnsi="宋体" w:cs="宋体"/>
              <w:sz w:val="21"/>
              <w:lang w:eastAsia="zh-CN"/>
            </w:rPr>
            <w:t>附录A（资料性）多技术集成溯源方法技术特点和适用条件</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_Toc20336 \h </w:instrText>
          </w:r>
          <w:r>
            <w:rPr>
              <w:rFonts w:hint="eastAsia" w:ascii="宋体" w:hAnsi="宋体" w:cs="宋体"/>
              <w:sz w:val="21"/>
            </w:rPr>
            <w:fldChar w:fldCharType="separate"/>
          </w:r>
          <w:r>
            <w:rPr>
              <w:rFonts w:hint="eastAsia" w:ascii="宋体" w:hAnsi="宋体" w:cs="宋体"/>
              <w:sz w:val="21"/>
            </w:rPr>
            <w:t>12</w:t>
          </w:r>
          <w:r>
            <w:rPr>
              <w:rFonts w:hint="eastAsia" w:ascii="宋体" w:hAnsi="宋体" w:cs="宋体"/>
              <w:sz w:val="21"/>
            </w:rPr>
            <w:fldChar w:fldCharType="end"/>
          </w:r>
          <w:r>
            <w:rPr>
              <w:rFonts w:hint="eastAsia" w:ascii="宋体" w:hAnsi="宋体" w:cs="宋体"/>
              <w:sz w:val="21"/>
            </w:rPr>
            <w:fldChar w:fldCharType="end"/>
          </w:r>
        </w:p>
        <w:p w14:paraId="319C8122">
          <w:pPr>
            <w:pStyle w:val="10"/>
            <w:tabs>
              <w:tab w:val="right" w:leader="dot" w:pos="9356"/>
            </w:tabs>
            <w:spacing w:line="400" w:lineRule="exact"/>
            <w:rPr>
              <w:rFonts w:cs="Times New Roman"/>
            </w:rPr>
          </w:pPr>
          <w:r>
            <w:fldChar w:fldCharType="begin"/>
          </w:r>
          <w:r>
            <w:instrText xml:space="preserve"> HYPERLINK \l "_Toc15931" </w:instrText>
          </w:r>
          <w:r>
            <w:fldChar w:fldCharType="separate"/>
          </w:r>
          <w:r>
            <w:rPr>
              <w:rFonts w:hint="eastAsia" w:ascii="宋体" w:hAnsi="宋体" w:cs="宋体"/>
              <w:sz w:val="21"/>
              <w:lang w:eastAsia="zh-CN"/>
            </w:rPr>
            <w:t>附录B（资料性）问题清单</w:t>
          </w:r>
          <w:r>
            <w:rPr>
              <w:rFonts w:hint="eastAsia" w:ascii="宋体" w:hAnsi="宋体" w:cs="宋体"/>
              <w:sz w:val="21"/>
            </w:rPr>
            <w:tab/>
          </w:r>
          <w:r>
            <w:rPr>
              <w:rFonts w:hint="eastAsia" w:ascii="宋体" w:hAnsi="宋体" w:cs="宋体"/>
              <w:sz w:val="21"/>
            </w:rPr>
            <w:fldChar w:fldCharType="begin"/>
          </w:r>
          <w:r>
            <w:rPr>
              <w:rFonts w:hint="eastAsia" w:ascii="宋体" w:hAnsi="宋体" w:cs="宋体"/>
              <w:sz w:val="21"/>
            </w:rPr>
            <w:instrText xml:space="preserve"> PAGEREF _Toc15931 \h </w:instrText>
          </w:r>
          <w:r>
            <w:rPr>
              <w:rFonts w:hint="eastAsia" w:ascii="宋体" w:hAnsi="宋体" w:cs="宋体"/>
              <w:sz w:val="21"/>
            </w:rPr>
            <w:fldChar w:fldCharType="separate"/>
          </w:r>
          <w:r>
            <w:rPr>
              <w:rFonts w:hint="eastAsia" w:ascii="宋体" w:hAnsi="宋体" w:cs="宋体"/>
              <w:sz w:val="21"/>
            </w:rPr>
            <w:t>13</w:t>
          </w:r>
          <w:r>
            <w:rPr>
              <w:rFonts w:hint="eastAsia" w:ascii="宋体" w:hAnsi="宋体" w:cs="宋体"/>
              <w:sz w:val="21"/>
            </w:rPr>
            <w:fldChar w:fldCharType="end"/>
          </w:r>
          <w:r>
            <w:rPr>
              <w:rFonts w:hint="eastAsia" w:ascii="宋体" w:hAnsi="宋体" w:cs="宋体"/>
              <w:sz w:val="21"/>
            </w:rPr>
            <w:fldChar w:fldCharType="end"/>
          </w:r>
          <w:r>
            <w:rPr>
              <w:rFonts w:hint="eastAsia" w:ascii="宋体" w:hAnsi="宋体" w:cs="宋体"/>
              <w:sz w:val="21"/>
            </w:rPr>
            <w:fldChar w:fldCharType="end"/>
          </w:r>
        </w:p>
      </w:sdtContent>
    </w:sdt>
    <w:p w14:paraId="5C12B1D1">
      <w:pPr>
        <w:pStyle w:val="31"/>
        <w:overflowPunct w:val="0"/>
        <w:snapToGrid w:val="0"/>
        <w:spacing w:before="850" w:after="680" w:afterLines="0"/>
        <w:rPr>
          <w:spacing w:val="320"/>
        </w:rPr>
      </w:pPr>
      <w:bookmarkStart w:id="4" w:name="_Toc27511"/>
      <w:bookmarkStart w:id="5" w:name="_Toc186204498"/>
      <w:r>
        <w:rPr>
          <w:spacing w:val="320"/>
        </w:rPr>
        <w:t>前言</w:t>
      </w:r>
      <w:bookmarkEnd w:id="4"/>
      <w:bookmarkEnd w:id="5"/>
    </w:p>
    <w:p w14:paraId="543C8F2B">
      <w:pPr>
        <w:pStyle w:val="30"/>
        <w:overflowPunct w:val="0"/>
        <w:ind w:firstLine="420"/>
        <w:rPr>
          <w:rFonts w:ascii="Times New Roman" w:eastAsiaTheme="minorEastAsia"/>
        </w:rPr>
      </w:pPr>
      <w:r>
        <w:rPr>
          <w:rFonts w:ascii="Times New Roman" w:eastAsiaTheme="minorEastAsia"/>
        </w:rPr>
        <w:t>本文件</w:t>
      </w:r>
      <w:r>
        <w:rPr>
          <w:rFonts w:hint="eastAsia" w:hAnsi="宋体" w:cs="宋体"/>
        </w:rPr>
        <w:t>按照GB/T 1.1—2020《标准化</w:t>
      </w:r>
      <w:r>
        <w:rPr>
          <w:rFonts w:ascii="Times New Roman" w:eastAsiaTheme="minorEastAsia"/>
        </w:rPr>
        <w:t>工作导则 第1部分：标准化文件的结构和起草规则》的规定起草。</w:t>
      </w:r>
    </w:p>
    <w:p w14:paraId="324D4235">
      <w:pPr>
        <w:pStyle w:val="30"/>
        <w:overflowPunct w:val="0"/>
        <w:ind w:firstLine="420"/>
        <w:rPr>
          <w:rFonts w:ascii="Times New Roman" w:eastAsiaTheme="minorEastAsia"/>
        </w:rPr>
      </w:pPr>
      <w:r>
        <w:rPr>
          <w:rFonts w:ascii="Times New Roman" w:eastAsiaTheme="minorEastAsia"/>
        </w:rPr>
        <w:t>请注意本文件的某些内容可能涉及专利。本文件的发布机构不承担识别专利的责任。</w:t>
      </w:r>
    </w:p>
    <w:p w14:paraId="58F1C012">
      <w:pPr>
        <w:pStyle w:val="30"/>
        <w:overflowPunct w:val="0"/>
        <w:ind w:firstLine="420"/>
        <w:rPr>
          <w:rFonts w:ascii="Times New Roman" w:eastAsiaTheme="minorEastAsia"/>
        </w:rPr>
      </w:pPr>
      <w:r>
        <w:rPr>
          <w:rFonts w:ascii="Times New Roman" w:eastAsiaTheme="minorEastAsia"/>
        </w:rPr>
        <w:t>本文件由大连理工大学提出。</w:t>
      </w:r>
    </w:p>
    <w:p w14:paraId="4D62640E">
      <w:pPr>
        <w:pStyle w:val="30"/>
        <w:overflowPunct w:val="0"/>
        <w:ind w:firstLine="420"/>
        <w:rPr>
          <w:rFonts w:ascii="Times New Roman" w:eastAsiaTheme="minorEastAsia"/>
        </w:rPr>
      </w:pPr>
      <w:r>
        <w:rPr>
          <w:rFonts w:ascii="Times New Roman" w:eastAsiaTheme="minorEastAsia"/>
        </w:rPr>
        <w:t>本文件由中国环境科学学会归口。</w:t>
      </w:r>
    </w:p>
    <w:p w14:paraId="52A54E0B">
      <w:pPr>
        <w:pStyle w:val="30"/>
        <w:overflowPunct w:val="0"/>
        <w:ind w:firstLine="420"/>
        <w:rPr>
          <w:rFonts w:ascii="Times New Roman" w:eastAsiaTheme="minorEastAsia"/>
        </w:rPr>
      </w:pPr>
      <w:r>
        <w:rPr>
          <w:rFonts w:ascii="Times New Roman" w:eastAsiaTheme="minorEastAsia"/>
        </w:rPr>
        <w:t>本文件起草单位：大连理工大学、中国环境科学研究院、长江水利委员会长江科学院、北京科技大学</w:t>
      </w:r>
      <w:r>
        <w:rPr>
          <w:rFonts w:hint="eastAsia" w:ascii="Times New Roman" w:eastAsiaTheme="minorEastAsia"/>
        </w:rPr>
        <w:t>、北京师范大学、中国环境监测总站、浙江工商大学</w:t>
      </w:r>
      <w:r>
        <w:rPr>
          <w:rFonts w:ascii="Times New Roman" w:eastAsiaTheme="minorEastAsia"/>
        </w:rPr>
        <w:t>。</w:t>
      </w:r>
    </w:p>
    <w:p w14:paraId="2AAFD77C">
      <w:pPr>
        <w:pStyle w:val="30"/>
        <w:overflowPunct w:val="0"/>
        <w:ind w:firstLine="420"/>
        <w:rPr>
          <w:rFonts w:ascii="Times New Roman" w:eastAsiaTheme="minorEastAsia"/>
        </w:rPr>
      </w:pPr>
      <w:r>
        <w:rPr>
          <w:rFonts w:ascii="Times New Roman" w:eastAsiaTheme="minorEastAsia"/>
        </w:rPr>
        <w:t>本文件主要起草人</w:t>
      </w:r>
      <w:r>
        <w:rPr>
          <w:rFonts w:hint="eastAsia" w:ascii="Times New Roman" w:eastAsiaTheme="minorEastAsia"/>
        </w:rPr>
        <w:t>：****</w:t>
      </w:r>
      <w:r>
        <w:rPr>
          <w:rFonts w:ascii="Times New Roman" w:eastAsiaTheme="minorEastAsia"/>
        </w:rPr>
        <w:t>。</w:t>
      </w:r>
    </w:p>
    <w:p w14:paraId="36EA8192">
      <w:pPr>
        <w:rPr>
          <w:rFonts w:cs="Times New Roman"/>
          <w:lang w:eastAsia="zh-CN"/>
        </w:rPr>
      </w:pPr>
    </w:p>
    <w:p w14:paraId="5D79897E">
      <w:pPr>
        <w:rPr>
          <w:rFonts w:cs="Times New Roman"/>
          <w:lang w:eastAsia="zh-CN"/>
        </w:rPr>
      </w:pPr>
    </w:p>
    <w:p w14:paraId="1A9C7D3E">
      <w:pPr>
        <w:rPr>
          <w:rFonts w:cs="Times New Roman"/>
          <w:lang w:eastAsia="zh-CN"/>
        </w:rPr>
      </w:pPr>
    </w:p>
    <w:p w14:paraId="007D7E88">
      <w:pPr>
        <w:rPr>
          <w:rFonts w:cs="Times New Roman"/>
          <w:lang w:eastAsia="zh-CN"/>
        </w:rPr>
      </w:pPr>
    </w:p>
    <w:p w14:paraId="696BD410">
      <w:pPr>
        <w:rPr>
          <w:rFonts w:cs="Times New Roman"/>
          <w:lang w:eastAsia="zh-CN"/>
        </w:rPr>
      </w:pPr>
    </w:p>
    <w:p w14:paraId="68B34D8B">
      <w:pPr>
        <w:rPr>
          <w:rFonts w:cs="Times New Roman"/>
          <w:lang w:eastAsia="zh-CN"/>
        </w:rPr>
      </w:pPr>
    </w:p>
    <w:p w14:paraId="41B2A9BC">
      <w:pPr>
        <w:rPr>
          <w:rFonts w:cs="Times New Roman"/>
          <w:lang w:eastAsia="zh-CN"/>
        </w:rPr>
      </w:pPr>
    </w:p>
    <w:p w14:paraId="7E265BC6">
      <w:pPr>
        <w:rPr>
          <w:rFonts w:cs="Times New Roman"/>
          <w:lang w:eastAsia="zh-CN"/>
        </w:rPr>
      </w:pPr>
    </w:p>
    <w:p w14:paraId="209BA9E7">
      <w:pPr>
        <w:rPr>
          <w:rFonts w:cs="Times New Roman"/>
          <w:lang w:eastAsia="zh-CN"/>
        </w:rPr>
      </w:pPr>
    </w:p>
    <w:p w14:paraId="0ED1B6D9">
      <w:pPr>
        <w:rPr>
          <w:rFonts w:cs="Times New Roman"/>
          <w:lang w:eastAsia="zh-CN"/>
        </w:rPr>
      </w:pPr>
    </w:p>
    <w:p w14:paraId="1E605197">
      <w:pPr>
        <w:rPr>
          <w:rFonts w:cs="Times New Roman"/>
          <w:lang w:eastAsia="zh-CN"/>
        </w:rPr>
      </w:pPr>
    </w:p>
    <w:p w14:paraId="7026CE84">
      <w:pPr>
        <w:rPr>
          <w:rFonts w:cs="Times New Roman"/>
          <w:lang w:eastAsia="zh-CN"/>
        </w:rPr>
      </w:pPr>
    </w:p>
    <w:p w14:paraId="1BCD94CB">
      <w:pPr>
        <w:rPr>
          <w:rFonts w:cs="Times New Roman"/>
          <w:lang w:eastAsia="zh-CN"/>
        </w:rPr>
      </w:pPr>
    </w:p>
    <w:p w14:paraId="38D1E685">
      <w:pPr>
        <w:rPr>
          <w:rFonts w:cs="Times New Roman"/>
          <w:lang w:eastAsia="zh-CN"/>
        </w:rPr>
      </w:pPr>
    </w:p>
    <w:p w14:paraId="67854DB0">
      <w:pPr>
        <w:rPr>
          <w:rFonts w:cs="Times New Roman"/>
          <w:lang w:eastAsia="zh-CN"/>
        </w:rPr>
      </w:pPr>
    </w:p>
    <w:p w14:paraId="00023CD2">
      <w:pPr>
        <w:rPr>
          <w:rFonts w:cs="Times New Roman"/>
          <w:lang w:eastAsia="zh-CN"/>
        </w:rPr>
      </w:pPr>
    </w:p>
    <w:p w14:paraId="70E3FCA2">
      <w:pPr>
        <w:rPr>
          <w:rFonts w:cs="Times New Roman"/>
          <w:lang w:eastAsia="zh-CN"/>
        </w:rPr>
      </w:pPr>
    </w:p>
    <w:p w14:paraId="755FC378">
      <w:pPr>
        <w:rPr>
          <w:rFonts w:cs="Times New Roman"/>
          <w:lang w:eastAsia="zh-CN"/>
        </w:rPr>
      </w:pPr>
    </w:p>
    <w:p w14:paraId="75DABA84">
      <w:pPr>
        <w:rPr>
          <w:rFonts w:cs="Times New Roman"/>
          <w:lang w:eastAsia="zh-CN"/>
        </w:rPr>
      </w:pPr>
    </w:p>
    <w:p w14:paraId="633257C2">
      <w:pPr>
        <w:rPr>
          <w:rFonts w:cs="Times New Roman"/>
          <w:lang w:eastAsia="zh-CN"/>
        </w:rPr>
      </w:pPr>
    </w:p>
    <w:p w14:paraId="1D5D866B">
      <w:pPr>
        <w:rPr>
          <w:rFonts w:cs="Times New Roman"/>
          <w:lang w:eastAsia="zh-CN"/>
        </w:rPr>
      </w:pPr>
    </w:p>
    <w:p w14:paraId="27FA81A7">
      <w:pPr>
        <w:rPr>
          <w:rFonts w:cs="Times New Roman"/>
          <w:lang w:eastAsia="zh-CN"/>
        </w:rPr>
      </w:pPr>
    </w:p>
    <w:p w14:paraId="504CA1C8">
      <w:pPr>
        <w:rPr>
          <w:rFonts w:cs="Times New Roman"/>
          <w:lang w:eastAsia="zh-CN"/>
        </w:rPr>
      </w:pPr>
    </w:p>
    <w:p w14:paraId="26E765C0">
      <w:pPr>
        <w:rPr>
          <w:rFonts w:cs="Times New Roman"/>
          <w:lang w:eastAsia="zh-CN"/>
        </w:rPr>
      </w:pPr>
    </w:p>
    <w:p w14:paraId="16374667">
      <w:pPr>
        <w:pStyle w:val="31"/>
        <w:overflowPunct w:val="0"/>
        <w:snapToGrid w:val="0"/>
        <w:spacing w:before="850" w:after="680" w:afterLines="0"/>
        <w:rPr>
          <w:spacing w:val="320"/>
        </w:rPr>
      </w:pPr>
      <w:bookmarkStart w:id="6" w:name="_Toc186204499"/>
      <w:bookmarkStart w:id="7" w:name="_Toc31100"/>
      <w:r>
        <w:rPr>
          <w:spacing w:val="320"/>
        </w:rPr>
        <w:t>引言</w:t>
      </w:r>
      <w:bookmarkEnd w:id="6"/>
      <w:bookmarkEnd w:id="7"/>
    </w:p>
    <w:p w14:paraId="6194941D">
      <w:pPr>
        <w:spacing w:line="240" w:lineRule="auto"/>
        <w:ind w:firstLine="408" w:firstLineChars="200"/>
        <w:jc w:val="both"/>
        <w:rPr>
          <w:rFonts w:ascii="宋体" w:hAnsi="宋体" w:cs="宋体"/>
          <w:spacing w:val="-3"/>
          <w:sz w:val="21"/>
          <w:lang w:eastAsia="zh-CN"/>
        </w:rPr>
      </w:pPr>
      <w:r>
        <w:rPr>
          <w:rFonts w:hint="eastAsia" w:ascii="宋体" w:hAnsi="宋体" w:cs="宋体"/>
          <w:spacing w:val="-3"/>
          <w:sz w:val="21"/>
          <w:lang w:eastAsia="zh-CN"/>
        </w:rPr>
        <w:t>在流域环境中，污染源呈现出高度复杂的态势，农业、城市以及工业等多类型污染源相互交织，使得传统单一的溯源技术难以准确识别污染来源。2022年《关于加强入河入海排污口监督管理工作的实施意见》中要求明确开展排查溯源、实施分类整治、严格监督管理等重要工作要求，旨在有效管控入河入海污染物排放。</w:t>
      </w:r>
    </w:p>
    <w:p w14:paraId="1C030D4E">
      <w:pPr>
        <w:spacing w:line="240" w:lineRule="auto"/>
        <w:ind w:firstLine="408" w:firstLineChars="200"/>
        <w:jc w:val="both"/>
        <w:rPr>
          <w:rFonts w:ascii="宋体" w:hAnsi="宋体" w:cs="宋体"/>
          <w:spacing w:val="-3"/>
          <w:sz w:val="21"/>
          <w:lang w:eastAsia="zh-CN"/>
        </w:rPr>
      </w:pPr>
      <w:r>
        <w:rPr>
          <w:rFonts w:hint="eastAsia" w:ascii="宋体" w:hAnsi="宋体" w:cs="宋体"/>
          <w:spacing w:val="-3"/>
          <w:sz w:val="21"/>
          <w:lang w:eastAsia="zh-CN"/>
        </w:rPr>
        <w:t>本指南提供了一套系统的耗氧污染物溯源技术流程，可对调查区域进行全面有序的污染物溯源。在调查区域划定的基础上，结合条件判断与决策的思想，对资料收集分析、野外现场勘察、多技术集成溯源三种手段进行迭代优化，最后编制问题清单。</w:t>
      </w:r>
    </w:p>
    <w:p w14:paraId="39196A9A">
      <w:pPr>
        <w:spacing w:line="240" w:lineRule="auto"/>
        <w:ind w:firstLine="408" w:firstLineChars="200"/>
        <w:jc w:val="both"/>
        <w:rPr>
          <w:rFonts w:ascii="宋体" w:hAnsi="宋体" w:cs="宋体"/>
          <w:spacing w:val="-3"/>
          <w:sz w:val="21"/>
          <w:lang w:eastAsia="zh-CN"/>
        </w:rPr>
        <w:sectPr>
          <w:headerReference r:id="rId5" w:type="default"/>
          <w:footerReference r:id="rId6" w:type="default"/>
          <w:pgSz w:w="11907" w:h="16839"/>
          <w:pgMar w:top="1092" w:right="1134" w:bottom="1153" w:left="1417" w:header="1417" w:footer="995" w:gutter="0"/>
          <w:pgNumType w:fmt="upperRoman" w:start="1"/>
          <w:cols w:space="720" w:num="1"/>
        </w:sectPr>
      </w:pPr>
      <w:r>
        <w:rPr>
          <w:rFonts w:hint="eastAsia" w:ascii="宋体" w:hAnsi="宋体" w:cs="宋体"/>
          <w:spacing w:val="-3"/>
          <w:sz w:val="21"/>
          <w:lang w:eastAsia="zh-CN"/>
        </w:rPr>
        <w:t>本指南有望为流域生态环境的持续改善与修复注入强大动力，切实保障国家关于流域生态环境保护的相关政策在实际治理工作中得以高效贯彻和落实，为规范流域水污染溯源技术、推动流域水环境治理和完善水污染应急处理机制，基于此制定本文件。</w:t>
      </w:r>
    </w:p>
    <w:p w14:paraId="05D770CC">
      <w:pPr>
        <w:pStyle w:val="5"/>
        <w:adjustRightInd w:val="0"/>
        <w:snapToGrid w:val="0"/>
        <w:jc w:val="center"/>
        <w:rPr>
          <w:rFonts w:ascii="Times New Roman" w:hAnsi="Times New Roman" w:cs="Times New Roman"/>
          <w:kern w:val="2"/>
          <w:sz w:val="32"/>
          <w:szCs w:val="32"/>
          <w:lang w:eastAsia="zh-CN"/>
        </w:rPr>
      </w:pPr>
      <w:r>
        <w:rPr>
          <w:rFonts w:ascii="Times New Roman" w:hAnsi="Times New Roman" w:cs="Times New Roman"/>
          <w:kern w:val="2"/>
          <w:sz w:val="32"/>
          <w:szCs w:val="32"/>
          <w:lang w:eastAsia="zh-CN"/>
        </w:rPr>
        <w:t>流域水环境耗氧污染物溯源技术指南</w:t>
      </w:r>
    </w:p>
    <w:p w14:paraId="350EE986">
      <w:pPr>
        <w:pStyle w:val="29"/>
        <w:overflowPunct w:val="0"/>
        <w:spacing w:before="240" w:after="240"/>
        <w:rPr>
          <w:rFonts w:ascii="Times New Roman"/>
        </w:rPr>
      </w:pPr>
      <w:bookmarkStart w:id="8" w:name="_Toc6325"/>
      <w:r>
        <w:rPr>
          <w:rFonts w:ascii="Times New Roman"/>
        </w:rPr>
        <w:t>范围</w:t>
      </w:r>
      <w:bookmarkEnd w:id="8"/>
    </w:p>
    <w:p w14:paraId="182181FD">
      <w:pPr>
        <w:spacing w:line="240" w:lineRule="auto"/>
        <w:ind w:firstLine="408" w:firstLineChars="200"/>
        <w:jc w:val="both"/>
        <w:rPr>
          <w:rFonts w:cs="Times New Roman" w:eastAsiaTheme="minorEastAsia"/>
          <w:spacing w:val="-3"/>
          <w:sz w:val="21"/>
          <w:lang w:eastAsia="zh-CN"/>
        </w:rPr>
      </w:pPr>
      <w:r>
        <w:rPr>
          <w:rFonts w:cs="Times New Roman" w:eastAsiaTheme="minorEastAsia"/>
          <w:spacing w:val="-3"/>
          <w:sz w:val="21"/>
          <w:lang w:eastAsia="zh-CN"/>
        </w:rPr>
        <w:t>本文件规定了流域水环境耗氧污染物溯源的技术流程</w:t>
      </w:r>
      <w:r>
        <w:rPr>
          <w:rFonts w:hint="eastAsia" w:cs="Times New Roman" w:eastAsiaTheme="minorEastAsia"/>
          <w:spacing w:val="-3"/>
          <w:sz w:val="21"/>
          <w:lang w:eastAsia="zh-CN"/>
        </w:rPr>
        <w:t>及</w:t>
      </w:r>
      <w:r>
        <w:rPr>
          <w:rFonts w:cs="Times New Roman" w:eastAsiaTheme="minorEastAsia"/>
          <w:spacing w:val="-3"/>
          <w:sz w:val="21"/>
          <w:lang w:eastAsia="zh-CN"/>
        </w:rPr>
        <w:t>方法步骤。</w:t>
      </w:r>
    </w:p>
    <w:p w14:paraId="58848540">
      <w:pPr>
        <w:spacing w:line="240" w:lineRule="auto"/>
        <w:ind w:firstLine="408" w:firstLineChars="200"/>
        <w:jc w:val="both"/>
        <w:rPr>
          <w:rFonts w:cs="Times New Roman" w:eastAsiaTheme="minorEastAsia"/>
          <w:spacing w:val="-3"/>
          <w:sz w:val="21"/>
          <w:lang w:eastAsia="zh-CN"/>
        </w:rPr>
      </w:pPr>
      <w:r>
        <w:rPr>
          <w:rFonts w:cs="Times New Roman" w:eastAsiaTheme="minorEastAsia"/>
          <w:spacing w:val="-3"/>
          <w:sz w:val="21"/>
          <w:lang w:eastAsia="zh-CN"/>
        </w:rPr>
        <w:t>本文件适用于江河、湖泊、水库等地表水体中耗氧污染物的溯源。</w:t>
      </w:r>
    </w:p>
    <w:p w14:paraId="6EF8C6E2">
      <w:pPr>
        <w:spacing w:line="240" w:lineRule="auto"/>
        <w:ind w:firstLine="408" w:firstLineChars="200"/>
        <w:jc w:val="both"/>
        <w:rPr>
          <w:rFonts w:cs="Times New Roman" w:eastAsiaTheme="minorEastAsia"/>
          <w:spacing w:val="-3"/>
          <w:sz w:val="21"/>
          <w:lang w:eastAsia="zh-CN"/>
        </w:rPr>
      </w:pPr>
    </w:p>
    <w:p w14:paraId="58F2B5C0">
      <w:pPr>
        <w:pStyle w:val="29"/>
        <w:overflowPunct w:val="0"/>
        <w:spacing w:before="240" w:after="240"/>
        <w:rPr>
          <w:rFonts w:ascii="Times New Roman"/>
        </w:rPr>
      </w:pPr>
      <w:bookmarkStart w:id="9" w:name="_Toc25188"/>
      <w:r>
        <w:rPr>
          <w:rFonts w:ascii="Times New Roman"/>
        </w:rPr>
        <w:t>规范性引用文件</w:t>
      </w:r>
      <w:bookmarkEnd w:id="9"/>
    </w:p>
    <w:p w14:paraId="72336515">
      <w:pPr>
        <w:adjustRightInd w:val="0"/>
        <w:snapToGrid w:val="0"/>
        <w:spacing w:line="240" w:lineRule="auto"/>
        <w:ind w:firstLine="420" w:firstLineChars="200"/>
        <w:jc w:val="both"/>
        <w:rPr>
          <w:rFonts w:ascii="宋体" w:hAnsi="宋体" w:cs="宋体"/>
          <w:snapToGrid/>
          <w:color w:val="auto"/>
          <w:sz w:val="21"/>
          <w:szCs w:val="20"/>
          <w:lang w:eastAsia="zh-CN"/>
        </w:rPr>
      </w:pPr>
      <w:r>
        <w:rPr>
          <w:rFonts w:hint="eastAsia" w:ascii="宋体" w:hAnsi="宋体" w:cs="宋体"/>
          <w:snapToGrid/>
          <w:color w:val="auto"/>
          <w:sz w:val="21"/>
          <w:szCs w:val="20"/>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8B9CAC5">
      <w:pPr>
        <w:adjustRightInd w:val="0"/>
        <w:snapToGrid w:val="0"/>
        <w:spacing w:line="240" w:lineRule="auto"/>
        <w:ind w:firstLine="420" w:firstLineChars="200"/>
        <w:jc w:val="both"/>
        <w:rPr>
          <w:rFonts w:ascii="宋体" w:hAnsi="宋体" w:cs="宋体"/>
          <w:snapToGrid/>
          <w:color w:val="auto"/>
          <w:sz w:val="21"/>
          <w:szCs w:val="20"/>
          <w:lang w:eastAsia="zh-CN"/>
        </w:rPr>
      </w:pPr>
      <w:r>
        <w:rPr>
          <w:rFonts w:hint="eastAsia" w:ascii="宋体" w:hAnsi="宋体" w:cs="宋体"/>
          <w:snapToGrid/>
          <w:color w:val="auto"/>
          <w:sz w:val="21"/>
          <w:szCs w:val="20"/>
          <w:lang w:eastAsia="zh-CN"/>
        </w:rPr>
        <w:t>GB</w:t>
      </w:r>
      <w:r>
        <w:rPr>
          <w:rFonts w:hint="eastAsia" w:ascii="宋体" w:hAnsi="宋体" w:cs="宋体"/>
          <w:lang w:eastAsia="zh-CN"/>
        </w:rPr>
        <w:t xml:space="preserve"> </w:t>
      </w:r>
      <w:r>
        <w:rPr>
          <w:rFonts w:hint="eastAsia" w:ascii="宋体" w:hAnsi="宋体" w:cs="宋体"/>
          <w:snapToGrid/>
          <w:color w:val="auto"/>
          <w:sz w:val="21"/>
          <w:szCs w:val="20"/>
          <w:lang w:eastAsia="zh-CN"/>
        </w:rPr>
        <w:t>3838</w:t>
      </w:r>
      <w:r>
        <w:rPr>
          <w:rFonts w:hint="eastAsia" w:ascii="宋体" w:hAnsi="宋体" w:cs="宋体"/>
          <w:lang w:eastAsia="zh-CN"/>
        </w:rPr>
        <w:t xml:space="preserve">  </w:t>
      </w:r>
      <w:r>
        <w:rPr>
          <w:rFonts w:hint="eastAsia" w:ascii="宋体" w:hAnsi="宋体" w:cs="宋体"/>
          <w:snapToGrid/>
          <w:color w:val="auto"/>
          <w:sz w:val="21"/>
          <w:szCs w:val="20"/>
          <w:lang w:eastAsia="zh-CN"/>
        </w:rPr>
        <w:t>地表水环境质量标准</w:t>
      </w:r>
    </w:p>
    <w:p w14:paraId="4AA4B006">
      <w:pPr>
        <w:adjustRightInd w:val="0"/>
        <w:snapToGrid w:val="0"/>
        <w:spacing w:line="240" w:lineRule="auto"/>
        <w:ind w:firstLine="420" w:firstLineChars="200"/>
        <w:jc w:val="both"/>
        <w:rPr>
          <w:rFonts w:ascii="宋体" w:hAnsi="宋体" w:cs="宋体"/>
          <w:snapToGrid/>
          <w:color w:val="auto"/>
          <w:sz w:val="21"/>
          <w:szCs w:val="20"/>
          <w:lang w:eastAsia="zh-CN"/>
        </w:rPr>
      </w:pPr>
      <w:r>
        <w:rPr>
          <w:rFonts w:hint="eastAsia" w:ascii="宋体" w:hAnsi="宋体" w:cs="宋体"/>
          <w:snapToGrid/>
          <w:color w:val="auto"/>
          <w:sz w:val="21"/>
          <w:szCs w:val="20"/>
          <w:lang w:eastAsia="zh-CN"/>
        </w:rPr>
        <w:t>HJ 884  污染源源强核算技术指南准则</w:t>
      </w:r>
    </w:p>
    <w:p w14:paraId="2B01A275">
      <w:pPr>
        <w:adjustRightInd w:val="0"/>
        <w:snapToGrid w:val="0"/>
        <w:spacing w:line="240" w:lineRule="auto"/>
        <w:ind w:firstLine="420" w:firstLineChars="200"/>
        <w:jc w:val="both"/>
        <w:rPr>
          <w:rFonts w:ascii="宋体" w:hAnsi="宋体" w:cs="宋体"/>
          <w:snapToGrid/>
          <w:color w:val="auto"/>
          <w:sz w:val="21"/>
          <w:szCs w:val="20"/>
          <w:lang w:eastAsia="zh-CN"/>
        </w:rPr>
      </w:pPr>
      <w:r>
        <w:rPr>
          <w:rFonts w:hint="eastAsia" w:ascii="宋体" w:hAnsi="宋体" w:cs="宋体"/>
          <w:snapToGrid/>
          <w:color w:val="auto"/>
          <w:sz w:val="21"/>
          <w:szCs w:val="20"/>
          <w:lang w:eastAsia="zh-CN"/>
        </w:rPr>
        <w:t>HJ 1310  入河入海排污口监督管理技术指南 名词术语</w:t>
      </w:r>
    </w:p>
    <w:p w14:paraId="78C238E5">
      <w:pPr>
        <w:adjustRightInd w:val="0"/>
        <w:snapToGrid w:val="0"/>
        <w:spacing w:line="240" w:lineRule="auto"/>
        <w:ind w:firstLine="420" w:firstLineChars="200"/>
        <w:jc w:val="both"/>
        <w:rPr>
          <w:rFonts w:ascii="宋体" w:hAnsi="宋体" w:cs="宋体"/>
          <w:snapToGrid/>
          <w:color w:val="auto"/>
          <w:sz w:val="21"/>
          <w:szCs w:val="20"/>
          <w:lang w:eastAsia="zh-CN"/>
        </w:rPr>
      </w:pPr>
      <w:r>
        <w:rPr>
          <w:rFonts w:hint="eastAsia" w:ascii="宋体" w:hAnsi="宋体" w:cs="宋体"/>
          <w:snapToGrid/>
          <w:color w:val="auto"/>
          <w:sz w:val="21"/>
          <w:szCs w:val="20"/>
          <w:lang w:eastAsia="zh-CN"/>
        </w:rPr>
        <w:t>T/CSES 72  流域水环境模型评估验证技术指南</w:t>
      </w:r>
    </w:p>
    <w:p w14:paraId="4E0D9397">
      <w:pPr>
        <w:adjustRightInd w:val="0"/>
        <w:snapToGrid w:val="0"/>
        <w:spacing w:line="240" w:lineRule="auto"/>
        <w:ind w:firstLine="420" w:firstLineChars="200"/>
        <w:jc w:val="both"/>
        <w:rPr>
          <w:rFonts w:ascii="宋体" w:hAnsi="宋体" w:cs="宋体"/>
          <w:snapToGrid/>
          <w:color w:val="auto"/>
          <w:sz w:val="21"/>
          <w:szCs w:val="20"/>
          <w:lang w:eastAsia="zh-CN"/>
        </w:rPr>
      </w:pPr>
      <w:r>
        <w:rPr>
          <w:rFonts w:hint="eastAsia" w:ascii="宋体" w:hAnsi="宋体" w:cs="宋体"/>
          <w:snapToGrid/>
          <w:color w:val="auto"/>
          <w:sz w:val="21"/>
          <w:szCs w:val="20"/>
          <w:lang w:eastAsia="zh-CN"/>
        </w:rPr>
        <w:t>T/ZAEPI 027  基于三维荧光技术的水环境污染深度溯源技术规范</w:t>
      </w:r>
    </w:p>
    <w:p w14:paraId="79E3DEFE">
      <w:pPr>
        <w:adjustRightInd w:val="0"/>
        <w:snapToGrid w:val="0"/>
        <w:spacing w:line="240" w:lineRule="auto"/>
        <w:ind w:firstLine="420" w:firstLineChars="200"/>
        <w:jc w:val="both"/>
        <w:rPr>
          <w:rFonts w:ascii="宋体" w:hAnsi="宋体" w:cs="宋体"/>
          <w:snapToGrid/>
          <w:color w:val="auto"/>
          <w:sz w:val="21"/>
          <w:szCs w:val="20"/>
          <w:lang w:eastAsia="zh-CN"/>
        </w:rPr>
      </w:pPr>
      <w:r>
        <w:rPr>
          <w:rFonts w:hint="eastAsia" w:ascii="宋体" w:hAnsi="宋体" w:cs="宋体"/>
          <w:snapToGrid/>
          <w:color w:val="auto"/>
          <w:sz w:val="21"/>
          <w:szCs w:val="20"/>
          <w:lang w:eastAsia="zh-CN"/>
        </w:rPr>
        <w:t>《地下水污染同位素源解析技术指南（试行）》（环办土壤〔2022〕16号）</w:t>
      </w:r>
    </w:p>
    <w:p w14:paraId="35EEBFFE">
      <w:pPr>
        <w:adjustRightInd w:val="0"/>
        <w:snapToGrid w:val="0"/>
        <w:spacing w:line="240" w:lineRule="auto"/>
        <w:ind w:firstLine="420" w:firstLineChars="200"/>
        <w:jc w:val="both"/>
        <w:rPr>
          <w:rFonts w:cs="Times New Roman"/>
          <w:snapToGrid/>
          <w:color w:val="auto"/>
          <w:sz w:val="21"/>
          <w:szCs w:val="20"/>
          <w:lang w:eastAsia="zh-CN"/>
        </w:rPr>
      </w:pPr>
    </w:p>
    <w:p w14:paraId="234847B8">
      <w:pPr>
        <w:pStyle w:val="29"/>
        <w:overflowPunct w:val="0"/>
        <w:spacing w:before="240" w:after="240"/>
        <w:rPr>
          <w:rFonts w:ascii="Times New Roman"/>
        </w:rPr>
      </w:pPr>
      <w:bookmarkStart w:id="10" w:name="_Toc17844"/>
      <w:r>
        <w:rPr>
          <w:rFonts w:ascii="Times New Roman"/>
        </w:rPr>
        <w:t>术语和定义</w:t>
      </w:r>
      <w:bookmarkEnd w:id="10"/>
    </w:p>
    <w:p w14:paraId="26F42C85">
      <w:pPr>
        <w:adjustRightInd w:val="0"/>
        <w:snapToGrid w:val="0"/>
        <w:spacing w:line="240" w:lineRule="auto"/>
        <w:ind w:firstLine="408" w:firstLineChars="200"/>
        <w:jc w:val="both"/>
        <w:rPr>
          <w:rFonts w:cs="Times New Roman" w:eastAsiaTheme="minorEastAsia"/>
          <w:spacing w:val="-3"/>
          <w:sz w:val="21"/>
          <w:lang w:eastAsia="zh-CN"/>
        </w:rPr>
      </w:pPr>
      <w:r>
        <w:rPr>
          <w:rFonts w:cs="Times New Roman" w:eastAsiaTheme="minorEastAsia"/>
          <w:spacing w:val="-3"/>
          <w:sz w:val="21"/>
          <w:lang w:eastAsia="zh-CN"/>
        </w:rPr>
        <w:t>下列术语和定义适用于本文件。</w:t>
      </w:r>
    </w:p>
    <w:p w14:paraId="005CB985">
      <w:pPr>
        <w:pStyle w:val="5"/>
        <w:adjustRightInd w:val="0"/>
        <w:snapToGrid w:val="0"/>
        <w:spacing w:before="120" w:beforeLines="50" w:line="240" w:lineRule="auto"/>
        <w:ind w:left="420" w:hanging="420" w:hangingChars="200"/>
        <w:rPr>
          <w:sz w:val="21"/>
          <w:szCs w:val="20"/>
          <w:lang w:eastAsia="zh-CN"/>
        </w:rPr>
      </w:pPr>
      <w:bookmarkStart w:id="11" w:name="_Toc12015"/>
      <w:r>
        <w:rPr>
          <w:rFonts w:hint="eastAsia"/>
          <w:sz w:val="21"/>
          <w:szCs w:val="20"/>
          <w:lang w:eastAsia="zh-CN"/>
        </w:rPr>
        <w:t>3.1</w:t>
      </w:r>
      <w:bookmarkEnd w:id="11"/>
      <w:r>
        <w:rPr>
          <w:rFonts w:hint="eastAsia"/>
          <w:sz w:val="21"/>
          <w:szCs w:val="20"/>
          <w:lang w:eastAsia="zh-CN"/>
        </w:rPr>
        <w:t xml:space="preserve"> </w:t>
      </w:r>
    </w:p>
    <w:p w14:paraId="0045D692">
      <w:pPr>
        <w:pStyle w:val="5"/>
        <w:adjustRightInd w:val="0"/>
        <w:snapToGrid w:val="0"/>
        <w:spacing w:line="240" w:lineRule="auto"/>
        <w:ind w:firstLine="420" w:firstLineChars="200"/>
        <w:jc w:val="both"/>
        <w:rPr>
          <w:sz w:val="21"/>
          <w:szCs w:val="20"/>
          <w:lang w:eastAsia="zh-CN"/>
        </w:rPr>
      </w:pPr>
      <w:r>
        <w:rPr>
          <w:rFonts w:hint="eastAsia"/>
          <w:sz w:val="21"/>
          <w:szCs w:val="20"/>
          <w:lang w:eastAsia="zh-CN"/>
        </w:rPr>
        <w:t>溯源 traceability</w:t>
      </w:r>
    </w:p>
    <w:p w14:paraId="12455BCF">
      <w:pPr>
        <w:adjustRightInd w:val="0"/>
        <w:snapToGrid w:val="0"/>
        <w:spacing w:line="240" w:lineRule="auto"/>
        <w:ind w:firstLine="408" w:firstLineChars="200"/>
        <w:jc w:val="both"/>
        <w:rPr>
          <w:rFonts w:cs="Times New Roman" w:eastAsiaTheme="minorEastAsia"/>
          <w:spacing w:val="-3"/>
          <w:sz w:val="21"/>
          <w:lang w:eastAsia="zh-CN"/>
        </w:rPr>
      </w:pPr>
      <w:bookmarkStart w:id="12" w:name="_Toc23888"/>
      <w:r>
        <w:rPr>
          <w:rFonts w:cs="Times New Roman" w:eastAsiaTheme="minorEastAsia"/>
          <w:spacing w:val="-3"/>
          <w:sz w:val="21"/>
          <w:lang w:eastAsia="zh-CN"/>
        </w:rPr>
        <w:t>通过分析和技术手段，确定地表水中耗氧性污染物的来源与位置，特别针对固定污染源，以支持污染治理和环境管理。</w:t>
      </w:r>
    </w:p>
    <w:p w14:paraId="09DFE1F7">
      <w:pPr>
        <w:pStyle w:val="30"/>
        <w:overflowPunct w:val="0"/>
        <w:ind w:firstLine="420"/>
        <w:rPr>
          <w:rFonts w:ascii="Times New Roman" w:eastAsiaTheme="minorEastAsia"/>
          <w:spacing w:val="-3"/>
          <w:szCs w:val="21"/>
        </w:rPr>
      </w:pPr>
      <w:r>
        <w:rPr>
          <w:rFonts w:hint="eastAsia" w:hAnsi="宋体" w:cs="宋体"/>
        </w:rPr>
        <w:t>[来源：HJ 1310，3.3.7，有修改]</w:t>
      </w:r>
    </w:p>
    <w:p w14:paraId="6CEC8365">
      <w:pPr>
        <w:pStyle w:val="5"/>
        <w:adjustRightInd w:val="0"/>
        <w:snapToGrid w:val="0"/>
        <w:spacing w:before="120" w:beforeLines="50" w:line="240" w:lineRule="auto"/>
        <w:ind w:left="420" w:hanging="420" w:hangingChars="200"/>
        <w:rPr>
          <w:sz w:val="21"/>
          <w:szCs w:val="20"/>
          <w:lang w:eastAsia="zh-CN"/>
        </w:rPr>
      </w:pPr>
      <w:r>
        <w:rPr>
          <w:sz w:val="21"/>
          <w:szCs w:val="20"/>
          <w:lang w:eastAsia="zh-CN"/>
        </w:rPr>
        <w:t xml:space="preserve">3.2 </w:t>
      </w:r>
    </w:p>
    <w:p w14:paraId="4879B4B4">
      <w:pPr>
        <w:pStyle w:val="5"/>
        <w:adjustRightInd w:val="0"/>
        <w:snapToGrid w:val="0"/>
        <w:spacing w:line="240" w:lineRule="auto"/>
        <w:ind w:firstLine="420" w:firstLineChars="200"/>
        <w:jc w:val="both"/>
        <w:rPr>
          <w:sz w:val="21"/>
          <w:szCs w:val="20"/>
          <w:lang w:eastAsia="zh-CN"/>
        </w:rPr>
      </w:pPr>
      <w:r>
        <w:rPr>
          <w:sz w:val="21"/>
          <w:szCs w:val="20"/>
          <w:lang w:eastAsia="zh-CN"/>
        </w:rPr>
        <w:t xml:space="preserve">污染源 </w:t>
      </w:r>
      <w:bookmarkEnd w:id="12"/>
      <w:r>
        <w:rPr>
          <w:sz w:val="21"/>
          <w:szCs w:val="20"/>
          <w:lang w:eastAsia="zh-CN"/>
        </w:rPr>
        <w:t>pollution source</w:t>
      </w:r>
    </w:p>
    <w:p w14:paraId="001648EB">
      <w:pPr>
        <w:spacing w:line="240" w:lineRule="auto"/>
        <w:ind w:firstLine="408" w:firstLineChars="200"/>
        <w:jc w:val="both"/>
        <w:rPr>
          <w:rFonts w:ascii="宋体" w:hAnsi="宋体" w:cs="宋体"/>
          <w:spacing w:val="-3"/>
          <w:sz w:val="21"/>
          <w:lang w:eastAsia="zh-CN"/>
        </w:rPr>
      </w:pPr>
      <w:r>
        <w:rPr>
          <w:rFonts w:hint="eastAsia" w:ascii="宋体" w:hAnsi="宋体" w:cs="宋体"/>
          <w:spacing w:val="-3"/>
          <w:sz w:val="21"/>
          <w:lang w:eastAsia="zh-CN"/>
        </w:rPr>
        <w:t>在地表水环境中造成环境污染的耗氧污染物（COD、氨氮、总氮及总磷）发生源，包括：自然发生源：水体本身存在的自然过程所产生的耗氧性污染物；人为活动源：由于人类活动向环境引入的耗氧性污染物的场所、设备或装置。</w:t>
      </w:r>
      <w:r>
        <w:rPr>
          <w:rFonts w:cs="Times New Roman" w:eastAsiaTheme="minorEastAsia"/>
          <w:spacing w:val="-3"/>
          <w:sz w:val="21"/>
          <w:lang w:eastAsia="zh-CN"/>
        </w:rPr>
        <w:t>可以是水体本身存在的自然源，也可以是由人类活动引入的污染源，不涵盖大气、土壤及地下水中的污染源。</w:t>
      </w:r>
    </w:p>
    <w:p w14:paraId="71F80595">
      <w:pPr>
        <w:pStyle w:val="30"/>
        <w:overflowPunct w:val="0"/>
        <w:ind w:firstLine="420"/>
        <w:rPr>
          <w:rFonts w:hAnsi="宋体" w:cs="宋体"/>
          <w:spacing w:val="-3"/>
          <w:szCs w:val="21"/>
        </w:rPr>
      </w:pPr>
      <w:r>
        <w:rPr>
          <w:rFonts w:hint="eastAsia" w:hAnsi="宋体" w:cs="宋体"/>
        </w:rPr>
        <w:t>[来源：HJ 884，3.2，有修改]</w:t>
      </w:r>
    </w:p>
    <w:p w14:paraId="52FB1765">
      <w:pPr>
        <w:adjustRightInd w:val="0"/>
        <w:snapToGrid w:val="0"/>
        <w:spacing w:line="240" w:lineRule="auto"/>
        <w:ind w:firstLine="408" w:firstLineChars="200"/>
        <w:jc w:val="both"/>
        <w:rPr>
          <w:rFonts w:cs="Times New Roman" w:eastAsiaTheme="minorEastAsia"/>
          <w:spacing w:val="-3"/>
          <w:sz w:val="21"/>
          <w:lang w:eastAsia="zh-CN"/>
        </w:rPr>
      </w:pPr>
    </w:p>
    <w:p w14:paraId="05BD6552">
      <w:pPr>
        <w:pStyle w:val="29"/>
        <w:overflowPunct w:val="0"/>
        <w:spacing w:before="240" w:after="240"/>
        <w:rPr>
          <w:rFonts w:ascii="Times New Roman"/>
        </w:rPr>
      </w:pPr>
      <w:bookmarkStart w:id="13" w:name="_Toc30550"/>
      <w:r>
        <w:rPr>
          <w:rFonts w:ascii="Times New Roman"/>
        </w:rPr>
        <w:t>耗氧污染物溯源技术流程</w:t>
      </w:r>
      <w:bookmarkEnd w:id="13"/>
    </w:p>
    <w:p w14:paraId="4DE4B648">
      <w:pPr>
        <w:pStyle w:val="30"/>
        <w:ind w:firstLine="420"/>
        <w:rPr>
          <w:rFonts w:ascii="Times New Roman"/>
        </w:rPr>
      </w:pPr>
      <w:r>
        <w:rPr>
          <w:rFonts w:ascii="Times New Roman"/>
        </w:rPr>
        <w:t>流域水环境耗氧污染物溯源主要包括确定污染超标流域范围、资料收集与初步分析、野外现场勘察、多技术集成溯源和制定问题清单5个主要步骤，技术流程见</w:t>
      </w:r>
      <w:r>
        <w:rPr>
          <w:rFonts w:hint="eastAsia" w:hAnsi="宋体" w:cs="宋体"/>
        </w:rPr>
        <w:t>图1。</w:t>
      </w:r>
    </w:p>
    <w:p w14:paraId="5A31CA89">
      <w:pPr>
        <w:pStyle w:val="30"/>
        <w:ind w:firstLine="0" w:firstLineChars="0"/>
        <w:jc w:val="center"/>
        <w:rPr>
          <w:rFonts w:ascii="Times New Roman"/>
        </w:rPr>
      </w:pPr>
      <w:r>
        <w:rPr>
          <w:rFonts w:ascii="Times New Roman"/>
        </w:rPr>
        <w:drawing>
          <wp:inline distT="0" distB="0" distL="114300" distR="114300">
            <wp:extent cx="2472055" cy="2186305"/>
            <wp:effectExtent l="0" t="0" r="4445" b="4445"/>
            <wp:docPr id="2" name="图片 2" descr="173781080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7810807721"/>
                    <pic:cNvPicPr>
                      <a:picLocks noChangeAspect="1"/>
                    </pic:cNvPicPr>
                  </pic:nvPicPr>
                  <pic:blipFill>
                    <a:blip r:embed="rId9"/>
                    <a:stretch>
                      <a:fillRect/>
                    </a:stretch>
                  </pic:blipFill>
                  <pic:spPr>
                    <a:xfrm>
                      <a:off x="0" y="0"/>
                      <a:ext cx="2472055" cy="2186305"/>
                    </a:xfrm>
                    <a:prstGeom prst="rect">
                      <a:avLst/>
                    </a:prstGeom>
                  </pic:spPr>
                </pic:pic>
              </a:graphicData>
            </a:graphic>
          </wp:inline>
        </w:drawing>
      </w:r>
    </w:p>
    <w:p w14:paraId="4333D691">
      <w:pPr>
        <w:pStyle w:val="30"/>
        <w:ind w:firstLine="0" w:firstLineChars="0"/>
        <w:jc w:val="center"/>
        <w:rPr>
          <w:rFonts w:ascii="Times New Roman" w:eastAsia="黑体"/>
        </w:rPr>
      </w:pPr>
      <w:r>
        <w:rPr>
          <w:rFonts w:ascii="Times New Roman" w:eastAsia="黑体"/>
        </w:rPr>
        <w:t>图</w:t>
      </w:r>
      <w:r>
        <w:rPr>
          <w:rFonts w:hint="eastAsia" w:ascii="黑体" w:hAnsi="黑体" w:eastAsia="黑体" w:cs="黑体"/>
        </w:rPr>
        <w:t>1</w:t>
      </w:r>
      <w:r>
        <w:rPr>
          <w:rFonts w:ascii="Times New Roman" w:eastAsia="黑体"/>
        </w:rPr>
        <w:t xml:space="preserve"> </w:t>
      </w:r>
      <w:r>
        <w:rPr>
          <w:rFonts w:hint="eastAsia" w:ascii="Times New Roman" w:eastAsia="黑体"/>
        </w:rPr>
        <w:t>流域水环境</w:t>
      </w:r>
      <w:r>
        <w:rPr>
          <w:rFonts w:ascii="Times New Roman" w:eastAsia="黑体"/>
        </w:rPr>
        <w:t>耗氧污染物溯源技术流程</w:t>
      </w:r>
      <w:r>
        <w:rPr>
          <w:rFonts w:hint="eastAsia" w:ascii="Times New Roman" w:eastAsia="黑体"/>
        </w:rPr>
        <w:t>图</w:t>
      </w:r>
    </w:p>
    <w:p w14:paraId="36BB48A0">
      <w:pPr>
        <w:pStyle w:val="30"/>
        <w:ind w:firstLine="420"/>
        <w:rPr>
          <w:rFonts w:ascii="Times New Roman"/>
        </w:rPr>
      </w:pPr>
    </w:p>
    <w:p w14:paraId="49DDF4B2">
      <w:pPr>
        <w:pStyle w:val="29"/>
        <w:overflowPunct w:val="0"/>
        <w:spacing w:before="240" w:after="240"/>
        <w:rPr>
          <w:rFonts w:ascii="Times New Roman"/>
        </w:rPr>
      </w:pPr>
      <w:bookmarkStart w:id="14" w:name="_Toc14763"/>
      <w:r>
        <w:rPr>
          <w:rFonts w:ascii="Times New Roman"/>
        </w:rPr>
        <w:t>污染超标流域范围确定</w:t>
      </w:r>
      <w:bookmarkEnd w:id="14"/>
    </w:p>
    <w:p w14:paraId="630130F2">
      <w:pPr>
        <w:pStyle w:val="28"/>
        <w:overflowPunct w:val="0"/>
        <w:spacing w:before="120" w:after="120"/>
        <w:rPr>
          <w:rFonts w:ascii="Times New Roman"/>
        </w:rPr>
      </w:pPr>
      <w:bookmarkStart w:id="15" w:name="_Toc28461"/>
      <w:r>
        <w:rPr>
          <w:rFonts w:ascii="Times New Roman"/>
        </w:rPr>
        <w:t>收集历史监测数据</w:t>
      </w:r>
      <w:bookmarkEnd w:id="15"/>
    </w:p>
    <w:p w14:paraId="3FBF9D6A">
      <w:pPr>
        <w:pStyle w:val="30"/>
        <w:ind w:firstLine="420"/>
        <w:rPr>
          <w:rFonts w:ascii="Times New Roman"/>
        </w:rPr>
      </w:pPr>
      <w:r>
        <w:rPr>
          <w:rFonts w:ascii="Times New Roman"/>
        </w:rPr>
        <w:t>收集历史水质监测数据，作为确定污染超标流域的基础。优先使用可以提供连续、实时水质信息的自动监测站数据。若自动监测数据不可获取，推荐使用人工监测数据作为补充。</w:t>
      </w:r>
    </w:p>
    <w:p w14:paraId="3506BBC2">
      <w:pPr>
        <w:pStyle w:val="28"/>
        <w:overflowPunct w:val="0"/>
        <w:spacing w:before="120" w:after="120"/>
        <w:rPr>
          <w:rFonts w:ascii="Times New Roman"/>
        </w:rPr>
      </w:pPr>
      <w:bookmarkStart w:id="16" w:name="_Toc4760"/>
      <w:r>
        <w:rPr>
          <w:rFonts w:ascii="Times New Roman"/>
        </w:rPr>
        <w:t>污染超标的初步筛查</w:t>
      </w:r>
      <w:bookmarkEnd w:id="16"/>
    </w:p>
    <w:p w14:paraId="5E5DC98E">
      <w:pPr>
        <w:pStyle w:val="30"/>
        <w:ind w:firstLine="420"/>
        <w:rPr>
          <w:rFonts w:hAnsi="宋体" w:cs="宋体"/>
        </w:rPr>
      </w:pPr>
      <w:r>
        <w:rPr>
          <w:rFonts w:hint="eastAsia" w:hAnsi="宋体" w:cs="宋体"/>
        </w:rPr>
        <w:t>在收集到历史监测数据后，应根据GB 3838中规定的标准值对比污染物浓度。对于COD、氨氮等耗氧污染物，应对比其浓度与水质标准限值进行初步筛查。具体步骤如下：</w:t>
      </w:r>
    </w:p>
    <w:p w14:paraId="4F0A42BF">
      <w:pPr>
        <w:pStyle w:val="30"/>
        <w:ind w:firstLine="420"/>
        <w:rPr>
          <w:rFonts w:hAnsi="宋体" w:cs="宋体"/>
        </w:rPr>
      </w:pPr>
      <w:r>
        <w:rPr>
          <w:rFonts w:hint="eastAsia" w:hAnsi="宋体" w:cs="宋体"/>
        </w:rPr>
        <w:t>a）污染物浓度对比：应对比历史监测数据中的COD、氨氮、总氮和总磷浓度与GB 3838中规定的标准值，筛选出超标的区域。</w:t>
      </w:r>
    </w:p>
    <w:p w14:paraId="57AF8462">
      <w:pPr>
        <w:pStyle w:val="30"/>
        <w:ind w:firstLine="420"/>
        <w:rPr>
          <w:rFonts w:hAnsi="宋体" w:cs="宋体"/>
        </w:rPr>
      </w:pPr>
      <w:r>
        <w:rPr>
          <w:rFonts w:hint="eastAsia" w:hAnsi="宋体" w:cs="宋体"/>
        </w:rPr>
        <w:t>b）时空分布分析：应结合时间和空间因素，分析污染物的浓度变化，确定污染超标的具体时段和区域。</w:t>
      </w:r>
    </w:p>
    <w:p w14:paraId="03768C21">
      <w:pPr>
        <w:pStyle w:val="30"/>
        <w:ind w:firstLine="420"/>
        <w:rPr>
          <w:rFonts w:hAnsi="宋体" w:cs="宋体"/>
        </w:rPr>
      </w:pPr>
      <w:r>
        <w:rPr>
          <w:rFonts w:hint="eastAsia" w:hAnsi="宋体" w:cs="宋体"/>
        </w:rPr>
        <w:t>c）历史趋势判断：应通过分析历史数据的趋势，确认污染超标是否为长期性问题，避免仅根据短期波动做判断。</w:t>
      </w:r>
    </w:p>
    <w:p w14:paraId="75EA905F">
      <w:pPr>
        <w:pStyle w:val="28"/>
        <w:overflowPunct w:val="0"/>
        <w:spacing w:before="120" w:after="120"/>
        <w:rPr>
          <w:rFonts w:ascii="Times New Roman"/>
        </w:rPr>
      </w:pPr>
      <w:bookmarkStart w:id="17" w:name="_Toc28724"/>
      <w:r>
        <w:rPr>
          <w:rFonts w:ascii="Times New Roman"/>
        </w:rPr>
        <w:t>初步确定污染超标流域范围</w:t>
      </w:r>
      <w:bookmarkEnd w:id="17"/>
    </w:p>
    <w:p w14:paraId="42B18A2B">
      <w:pPr>
        <w:pStyle w:val="30"/>
        <w:ind w:firstLine="420"/>
        <w:rPr>
          <w:rFonts w:hAnsi="宋体" w:cs="宋体"/>
        </w:rPr>
      </w:pPr>
      <w:r>
        <w:rPr>
          <w:rFonts w:hAnsi="宋体" w:cs="宋体"/>
        </w:rPr>
        <w:t>基于历史监测数据的筛查结果，可以初步确定污染超标流域的范围，同时，可以启动后续的溯源工作。</w:t>
      </w:r>
    </w:p>
    <w:p w14:paraId="300E5EA0">
      <w:pPr>
        <w:pStyle w:val="30"/>
        <w:ind w:firstLine="420"/>
        <w:rPr>
          <w:rFonts w:hAnsi="宋体" w:cs="宋体"/>
        </w:rPr>
      </w:pPr>
      <w:r>
        <w:rPr>
          <w:rFonts w:hAnsi="宋体" w:cs="宋体"/>
        </w:rPr>
        <w:t>具体的流域范围确认、污染源分析和细化工作</w:t>
      </w:r>
      <w:r>
        <w:rPr>
          <w:rFonts w:hint="eastAsia" w:hAnsi="宋体" w:cs="宋体"/>
        </w:rPr>
        <w:t>见6-9章节</w:t>
      </w:r>
      <w:r>
        <w:rPr>
          <w:rFonts w:hAnsi="宋体" w:cs="宋体"/>
        </w:rPr>
        <w:t>。</w:t>
      </w:r>
    </w:p>
    <w:p w14:paraId="3250F326">
      <w:pPr>
        <w:pStyle w:val="30"/>
        <w:ind w:firstLine="420"/>
        <w:rPr>
          <w:rFonts w:ascii="Times New Roman"/>
        </w:rPr>
      </w:pPr>
    </w:p>
    <w:p w14:paraId="668CB62B">
      <w:pPr>
        <w:pStyle w:val="29"/>
        <w:overflowPunct w:val="0"/>
        <w:spacing w:before="240" w:after="240"/>
        <w:rPr>
          <w:rFonts w:ascii="Times New Roman"/>
        </w:rPr>
      </w:pPr>
      <w:bookmarkStart w:id="18" w:name="_Toc1211"/>
      <w:r>
        <w:rPr>
          <w:rFonts w:ascii="Times New Roman"/>
        </w:rPr>
        <w:t>资料收集与初步分析</w:t>
      </w:r>
      <w:bookmarkEnd w:id="18"/>
    </w:p>
    <w:p w14:paraId="3F3586C2">
      <w:pPr>
        <w:pStyle w:val="28"/>
        <w:overflowPunct w:val="0"/>
        <w:spacing w:before="120" w:after="120"/>
        <w:rPr>
          <w:rFonts w:ascii="Times New Roman"/>
        </w:rPr>
      </w:pPr>
      <w:bookmarkStart w:id="19" w:name="_Toc28740"/>
      <w:r>
        <w:rPr>
          <w:rFonts w:hint="eastAsia" w:ascii="Times New Roman"/>
        </w:rPr>
        <w:t>适用条件</w:t>
      </w:r>
      <w:bookmarkEnd w:id="19"/>
    </w:p>
    <w:p w14:paraId="037F92FA">
      <w:pPr>
        <w:pStyle w:val="30"/>
        <w:ind w:firstLine="420"/>
        <w:rPr>
          <w:rFonts w:hAnsi="宋体" w:cs="宋体"/>
        </w:rPr>
      </w:pPr>
      <w:r>
        <w:rPr>
          <w:rFonts w:hAnsi="宋体" w:cs="宋体"/>
        </w:rPr>
        <w:t>通过对已有的历史监测数据、区域性资料和相关污染源的信息进行初步分析，可以有效识别一些常见的污染源类型。特别适用于农业污染源，如化肥和农药等化学物质的排放，畜禽养殖产生的氮磷污染，以及城市污水排放和部分工业废水排放。适用于大范围、污染源类型较为常见的地区。</w:t>
      </w:r>
    </w:p>
    <w:p w14:paraId="503633C5">
      <w:pPr>
        <w:pStyle w:val="28"/>
        <w:overflowPunct w:val="0"/>
        <w:spacing w:before="120" w:after="120"/>
        <w:rPr>
          <w:rFonts w:ascii="Times New Roman"/>
        </w:rPr>
      </w:pPr>
      <w:bookmarkStart w:id="20" w:name="_Toc24248"/>
      <w:r>
        <w:rPr>
          <w:rFonts w:ascii="Times New Roman"/>
        </w:rPr>
        <w:t>污染源类型及分布</w:t>
      </w:r>
      <w:bookmarkEnd w:id="20"/>
    </w:p>
    <w:p w14:paraId="4A6CFA30">
      <w:pPr>
        <w:pStyle w:val="30"/>
        <w:ind w:firstLine="420"/>
        <w:rPr>
          <w:rFonts w:hAnsi="宋体" w:cs="宋体"/>
        </w:rPr>
      </w:pPr>
      <w:r>
        <w:rPr>
          <w:rFonts w:hAnsi="宋体" w:cs="宋体"/>
        </w:rPr>
        <w:t>在已初步确认的污染超标流域范围内，应重点收集与COD、氨氮等耗氧污染物相关的污染源数据，关注以下几个方面：</w:t>
      </w:r>
    </w:p>
    <w:p w14:paraId="51C6D34F">
      <w:pPr>
        <w:pStyle w:val="30"/>
        <w:ind w:firstLine="420"/>
        <w:rPr>
          <w:rFonts w:hAnsi="宋体" w:cs="宋体"/>
        </w:rPr>
      </w:pPr>
      <w:r>
        <w:rPr>
          <w:rFonts w:hAnsi="宋体" w:cs="宋体"/>
        </w:rPr>
        <w:t>a）农业活动：尤其是化肥、农药的使用，它们是氮、磷污染的主要来源。应收集该流域内农业施肥、灌溉记录、作物种植结构等数据，特别是在雨季和非雨季之间的活动差异。</w:t>
      </w:r>
    </w:p>
    <w:p w14:paraId="53A56FAA">
      <w:pPr>
        <w:pStyle w:val="30"/>
        <w:ind w:firstLine="420"/>
        <w:rPr>
          <w:rFonts w:hAnsi="宋体" w:cs="宋体"/>
        </w:rPr>
      </w:pPr>
      <w:r>
        <w:rPr>
          <w:rFonts w:hAnsi="宋体" w:cs="宋体"/>
        </w:rPr>
        <w:t>b）畜禽养殖：畜禽养殖场是氮、磷、COD等耗氧污染物的重要来源。应收集流域内养殖场的数量、密度、排污处理等情况。</w:t>
      </w:r>
    </w:p>
    <w:p w14:paraId="0CB9B12A">
      <w:pPr>
        <w:pStyle w:val="30"/>
        <w:ind w:firstLine="420"/>
        <w:rPr>
          <w:rFonts w:hAnsi="宋体" w:cs="宋体"/>
        </w:rPr>
      </w:pPr>
      <w:r>
        <w:rPr>
          <w:rFonts w:hAnsi="宋体" w:cs="宋体"/>
        </w:rPr>
        <w:t>c）城市污染源：如污水处理厂的排放情况，包括COD、氮、磷的浓度和排放量，特别关注流域内的主要城市或城镇。</w:t>
      </w:r>
    </w:p>
    <w:p w14:paraId="4ACE5B05">
      <w:pPr>
        <w:pStyle w:val="30"/>
        <w:ind w:firstLine="420"/>
        <w:rPr>
          <w:rFonts w:hAnsi="宋体" w:cs="宋体"/>
        </w:rPr>
      </w:pPr>
      <w:r>
        <w:rPr>
          <w:rFonts w:hAnsi="宋体" w:cs="宋体"/>
        </w:rPr>
        <w:t>d）工业排放：如化工厂、制药厂等工业企业的废水排放数据，特别关注COD污染物的排放。</w:t>
      </w:r>
    </w:p>
    <w:p w14:paraId="6986A296">
      <w:pPr>
        <w:pStyle w:val="28"/>
        <w:overflowPunct w:val="0"/>
        <w:spacing w:before="120" w:after="120"/>
        <w:rPr>
          <w:rFonts w:ascii="Times New Roman"/>
        </w:rPr>
      </w:pPr>
      <w:bookmarkStart w:id="21" w:name="_Toc15073"/>
      <w:r>
        <w:rPr>
          <w:rFonts w:ascii="Times New Roman"/>
        </w:rPr>
        <w:t>水质监测数据</w:t>
      </w:r>
      <w:bookmarkEnd w:id="21"/>
    </w:p>
    <w:p w14:paraId="6D18312D">
      <w:pPr>
        <w:pStyle w:val="30"/>
        <w:ind w:firstLine="420"/>
        <w:rPr>
          <w:rFonts w:hAnsi="宋体" w:cs="宋体"/>
        </w:rPr>
      </w:pPr>
      <w:r>
        <w:rPr>
          <w:rFonts w:hAnsi="宋体" w:cs="宋体"/>
        </w:rPr>
        <w:t>在污染超标流域范围内，收集的水质监测数据应包括：</w:t>
      </w:r>
    </w:p>
    <w:p w14:paraId="54237FA3">
      <w:pPr>
        <w:pStyle w:val="30"/>
        <w:ind w:firstLine="420"/>
        <w:rPr>
          <w:rFonts w:hAnsi="宋体" w:cs="宋体"/>
        </w:rPr>
      </w:pPr>
      <w:r>
        <w:rPr>
          <w:rFonts w:hAnsi="宋体" w:cs="宋体"/>
        </w:rPr>
        <w:t>a）历史水质数据：重点收集该流域内已有的COD、氨氮、总氮、总磷的历史监测数据，尤其是关键监测点的时间序列数据。对于雨季（通常为6月到9月，具体时间根据当地气候确定）与非雨季（通常为10月到次年5月）的数据进行区分。</w:t>
      </w:r>
    </w:p>
    <w:p w14:paraId="70E46674">
      <w:pPr>
        <w:pStyle w:val="30"/>
        <w:ind w:firstLine="420"/>
        <w:rPr>
          <w:rFonts w:hAnsi="宋体" w:cs="宋体"/>
        </w:rPr>
      </w:pPr>
      <w:r>
        <w:rPr>
          <w:rFonts w:hAnsi="宋体" w:cs="宋体"/>
        </w:rPr>
        <w:t>b）空间分布：收集污染超标流域内不同地点（特别是污染热点区域）的水质数据，以明确污染物的空间分布模式。</w:t>
      </w:r>
    </w:p>
    <w:p w14:paraId="053B72F8">
      <w:pPr>
        <w:pStyle w:val="28"/>
        <w:overflowPunct w:val="0"/>
        <w:spacing w:before="120" w:after="120"/>
        <w:rPr>
          <w:rFonts w:ascii="Times New Roman"/>
        </w:rPr>
      </w:pPr>
      <w:bookmarkStart w:id="22" w:name="_Toc16331"/>
      <w:r>
        <w:rPr>
          <w:rFonts w:ascii="Times New Roman"/>
        </w:rPr>
        <w:t>流域与气象数据</w:t>
      </w:r>
      <w:bookmarkEnd w:id="22"/>
    </w:p>
    <w:p w14:paraId="54B64D43">
      <w:pPr>
        <w:pStyle w:val="30"/>
        <w:ind w:firstLine="420"/>
        <w:rPr>
          <w:rFonts w:hAnsi="宋体" w:cs="宋体"/>
        </w:rPr>
      </w:pPr>
      <w:r>
        <w:rPr>
          <w:rFonts w:hAnsi="宋体" w:cs="宋体"/>
        </w:rPr>
        <w:t>a）降水量数据：收集污染超标流域范围内的降水数据，特别是雨季和非雨季的降水量差异。</w:t>
      </w:r>
    </w:p>
    <w:p w14:paraId="70BEF3E1">
      <w:pPr>
        <w:pStyle w:val="30"/>
        <w:ind w:firstLine="420"/>
        <w:rPr>
          <w:rFonts w:hAnsi="宋体" w:cs="宋体"/>
        </w:rPr>
      </w:pPr>
      <w:r>
        <w:rPr>
          <w:rFonts w:hAnsi="宋体" w:cs="宋体"/>
        </w:rPr>
        <w:t>b）流域土地利用类型：关注流域内的土地利用模式（如农业、城市化、工业、森林等）和不同土地利用类型对污染物来源和浓度的影响。</w:t>
      </w:r>
    </w:p>
    <w:p w14:paraId="689EF832">
      <w:pPr>
        <w:pStyle w:val="30"/>
        <w:ind w:firstLine="420"/>
        <w:rPr>
          <w:rFonts w:hAnsi="宋体" w:cs="宋体"/>
        </w:rPr>
      </w:pPr>
      <w:r>
        <w:rPr>
          <w:rFonts w:hAnsi="宋体" w:cs="宋体"/>
        </w:rPr>
        <w:t>c）水文数据：流域的水位、流速等数据，可以帮助分析水体对污染物的稀释和分布。</w:t>
      </w:r>
    </w:p>
    <w:p w14:paraId="35A480F0">
      <w:pPr>
        <w:pStyle w:val="30"/>
        <w:ind w:firstLine="420"/>
        <w:rPr>
          <w:rFonts w:hAnsi="宋体" w:cs="宋体"/>
        </w:rPr>
      </w:pPr>
      <w:r>
        <w:rPr>
          <w:rFonts w:hAnsi="宋体" w:cs="宋体"/>
        </w:rPr>
        <w:t>d）气象数据：如温度、湿度等气象因素，特别是在雨季和非雨季之间的变化，影响农业活动、养殖过程和污染物的降解。</w:t>
      </w:r>
    </w:p>
    <w:p w14:paraId="02F34AD0">
      <w:pPr>
        <w:pStyle w:val="28"/>
        <w:overflowPunct w:val="0"/>
        <w:spacing w:before="120" w:after="120"/>
        <w:rPr>
          <w:rFonts w:ascii="Times New Roman"/>
        </w:rPr>
      </w:pPr>
      <w:bookmarkStart w:id="23" w:name="_Toc29964"/>
      <w:r>
        <w:rPr>
          <w:rFonts w:ascii="Times New Roman"/>
        </w:rPr>
        <w:t>初步分析与溯源判断</w:t>
      </w:r>
      <w:bookmarkEnd w:id="23"/>
    </w:p>
    <w:p w14:paraId="4A89B5F3">
      <w:pPr>
        <w:pStyle w:val="28"/>
        <w:numPr>
          <w:ilvl w:val="3"/>
          <w:numId w:val="1"/>
        </w:numPr>
        <w:overflowPunct w:val="0"/>
        <w:spacing w:before="120" w:after="120"/>
        <w:outlineLvl w:val="9"/>
        <w:rPr>
          <w:rFonts w:ascii="Times New Roman"/>
        </w:rPr>
      </w:pPr>
      <w:r>
        <w:rPr>
          <w:rFonts w:ascii="Times New Roman"/>
        </w:rPr>
        <w:t>数据分析与污染物浓度变化分析</w:t>
      </w:r>
    </w:p>
    <w:p w14:paraId="20160173">
      <w:pPr>
        <w:pStyle w:val="30"/>
        <w:ind w:firstLine="420"/>
        <w:rPr>
          <w:rFonts w:hAnsi="宋体" w:cs="宋体"/>
        </w:rPr>
      </w:pPr>
      <w:r>
        <w:rPr>
          <w:rFonts w:hAnsi="宋体" w:cs="宋体"/>
        </w:rPr>
        <w:t>a）依据已收集的历史水质监测数据，对耗氧污染物进行浓度分析。应区分雨季和非雨季的水质数据，并对比污染物在这两个季节中的浓度变化。</w:t>
      </w:r>
    </w:p>
    <w:p w14:paraId="07425EEA">
      <w:pPr>
        <w:pStyle w:val="30"/>
        <w:ind w:firstLine="420"/>
        <w:rPr>
          <w:rFonts w:hAnsi="宋体" w:cs="宋体"/>
        </w:rPr>
      </w:pPr>
      <w:r>
        <w:rPr>
          <w:rFonts w:hAnsi="宋体" w:cs="宋体"/>
        </w:rPr>
        <w:t>b）重点分析各监测点的空间分布情况，通过比较不同地点的水质数据，识别污染物浓度较高的区域。特别是在污染超标流域范围内，应聚焦那些污染物浓度持续超标的监测点，并进一步分析是否存在明显的空间集聚效应。</w:t>
      </w:r>
    </w:p>
    <w:p w14:paraId="183FEB16">
      <w:pPr>
        <w:pStyle w:val="30"/>
        <w:ind w:firstLine="420"/>
        <w:rPr>
          <w:rFonts w:hAnsi="宋体" w:cs="宋体"/>
        </w:rPr>
      </w:pPr>
      <w:r>
        <w:rPr>
          <w:rFonts w:hAnsi="宋体" w:cs="宋体"/>
        </w:rPr>
        <w:t>c）对比雨季与非雨季数据的差异，例如，雨季期间耗氧污染物浓度因降水量增加而出现的短期暴增，而非雨季期间，耗氧污染物浓度会趋于平稳。通过这种对比分析，可以初步推测污染源的季节性特征。</w:t>
      </w:r>
    </w:p>
    <w:p w14:paraId="672A67AF">
      <w:pPr>
        <w:pStyle w:val="28"/>
        <w:numPr>
          <w:ilvl w:val="3"/>
          <w:numId w:val="1"/>
        </w:numPr>
        <w:overflowPunct w:val="0"/>
        <w:spacing w:before="120" w:after="120"/>
        <w:outlineLvl w:val="9"/>
        <w:rPr>
          <w:rFonts w:ascii="Times New Roman"/>
        </w:rPr>
      </w:pPr>
      <w:r>
        <w:rPr>
          <w:rFonts w:ascii="Times New Roman"/>
        </w:rPr>
        <w:t>污染源初步定位</w:t>
      </w:r>
    </w:p>
    <w:p w14:paraId="60D8835B">
      <w:pPr>
        <w:pStyle w:val="30"/>
        <w:ind w:firstLine="420"/>
        <w:rPr>
          <w:rFonts w:hAnsi="宋体" w:cs="宋体"/>
        </w:rPr>
      </w:pPr>
      <w:r>
        <w:rPr>
          <w:rFonts w:hAnsi="宋体" w:cs="宋体"/>
        </w:rPr>
        <w:t>a）根据耗氧污染物的季节性变化与流域内的活动模式进行关联分析。例如，若在某些特定时期（如施肥季节或雨季前后的几周），氮、磷浓度显著上升，可以推测农业活动（如施肥或灌溉）是污染物的主要来源。再根据流域内农业、养殖、工业等活动的时间节点与水质变化进行比对，确定污染源的可能性。</w:t>
      </w:r>
    </w:p>
    <w:p w14:paraId="6D3431A4">
      <w:pPr>
        <w:pStyle w:val="30"/>
        <w:ind w:firstLine="420"/>
        <w:rPr>
          <w:rFonts w:hAnsi="宋体" w:cs="宋体"/>
        </w:rPr>
      </w:pPr>
      <w:r>
        <w:rPr>
          <w:rFonts w:hAnsi="宋体" w:cs="宋体"/>
        </w:rPr>
        <w:t>b）结合气象和流域土地利用数据分析，比如在雨季时降水较多的情况下，可能会出现由于农业施肥、土壤流失等因素引发的耗氧污染物冲刷。应分析不同土地利用类型（如农业、养殖、工业等）对污染物的贡献，并推测主要污染源的类型和来源。</w:t>
      </w:r>
    </w:p>
    <w:p w14:paraId="06615CE3">
      <w:pPr>
        <w:pStyle w:val="30"/>
        <w:ind w:firstLine="420"/>
        <w:rPr>
          <w:rFonts w:hAnsi="宋体" w:cs="宋体"/>
        </w:rPr>
      </w:pPr>
      <w:r>
        <w:rPr>
          <w:rFonts w:hAnsi="宋体" w:cs="宋体"/>
        </w:rPr>
        <w:t>c）结合畜禽养殖、化肥使用等关键活动的空间分布与水质数据进行交叉验证，进一步确认污染源。例如，若水质监测点位于畜禽养殖区附近，并且氮、磷浓度较高，则可以推测养殖活动可能是污染源之一。</w:t>
      </w:r>
    </w:p>
    <w:p w14:paraId="60353120">
      <w:pPr>
        <w:pStyle w:val="30"/>
        <w:ind w:firstLine="420"/>
        <w:rPr>
          <w:rFonts w:hAnsi="宋体" w:cs="宋体"/>
        </w:rPr>
      </w:pPr>
      <w:r>
        <w:rPr>
          <w:rFonts w:hAnsi="宋体" w:cs="宋体"/>
        </w:rPr>
        <w:t>d）通过初步的时空分析锁定污染源的排放源头，例如，通过分析农业活动的时间（如施肥时段）和污染物浓度的关系，可以确认农业施肥是氮、磷超标的主要来源。如果数据表明某些特定区域的污染物浓度常年偏高，并与排污点、养殖区、工业区等区域高度重合，则可进一步确认污染源。</w:t>
      </w:r>
    </w:p>
    <w:p w14:paraId="73AA8F75">
      <w:pPr>
        <w:pStyle w:val="28"/>
        <w:numPr>
          <w:ilvl w:val="3"/>
          <w:numId w:val="1"/>
        </w:numPr>
        <w:overflowPunct w:val="0"/>
        <w:spacing w:before="120" w:after="120"/>
        <w:outlineLvl w:val="9"/>
        <w:rPr>
          <w:rFonts w:ascii="Times New Roman"/>
        </w:rPr>
      </w:pPr>
      <w:r>
        <w:rPr>
          <w:rFonts w:ascii="Times New Roman"/>
        </w:rPr>
        <w:t>初步溯源结果确认</w:t>
      </w:r>
    </w:p>
    <w:p w14:paraId="714E7EDA">
      <w:pPr>
        <w:pStyle w:val="30"/>
        <w:ind w:firstLine="420"/>
        <w:rPr>
          <w:rFonts w:ascii="Times New Roman"/>
        </w:rPr>
      </w:pPr>
      <w:r>
        <w:rPr>
          <w:rFonts w:ascii="Times New Roman"/>
        </w:rPr>
        <w:t>如果初步分析已经能够准确地识别污染源，并且污染物浓度与源头活动之间有明显的关联性，那么可以认为初步溯源已经成功。此时，应将结果反馈给相关部门或污染治理单位，以进行后续治理工作。</w:t>
      </w:r>
    </w:p>
    <w:p w14:paraId="6B655B11">
      <w:pPr>
        <w:pStyle w:val="30"/>
        <w:ind w:firstLine="420"/>
        <w:rPr>
          <w:rFonts w:ascii="Times New Roman"/>
        </w:rPr>
      </w:pPr>
      <w:r>
        <w:rPr>
          <w:rFonts w:ascii="Times New Roman"/>
        </w:rPr>
        <w:t>若初步分析并未明确污染源，或仍有疑问，则应进入下一步（7</w:t>
      </w:r>
      <w:r>
        <w:rPr>
          <w:rFonts w:hint="eastAsia" w:ascii="Times New Roman"/>
        </w:rPr>
        <w:t xml:space="preserve"> </w:t>
      </w:r>
      <w:r>
        <w:rPr>
          <w:rFonts w:ascii="Times New Roman"/>
        </w:rPr>
        <w:t>野外现场勘查）的详细溯源工作，通过更加精细化的调查与数据收集进一步确认污染源。</w:t>
      </w:r>
    </w:p>
    <w:p w14:paraId="2A638E58">
      <w:pPr>
        <w:pStyle w:val="30"/>
        <w:ind w:firstLine="0" w:firstLineChars="0"/>
        <w:rPr>
          <w:rFonts w:ascii="Times New Roman"/>
        </w:rPr>
      </w:pPr>
    </w:p>
    <w:p w14:paraId="4858807D">
      <w:pPr>
        <w:pStyle w:val="29"/>
        <w:overflowPunct w:val="0"/>
        <w:spacing w:before="240" w:after="240"/>
        <w:rPr>
          <w:rFonts w:ascii="Times New Roman"/>
        </w:rPr>
      </w:pPr>
      <w:bookmarkStart w:id="24" w:name="_Toc6337"/>
      <w:r>
        <w:rPr>
          <w:rFonts w:ascii="Times New Roman"/>
        </w:rPr>
        <w:t>野外现场勘察</w:t>
      </w:r>
      <w:bookmarkEnd w:id="24"/>
    </w:p>
    <w:p w14:paraId="06460FEF">
      <w:pPr>
        <w:pStyle w:val="28"/>
        <w:overflowPunct w:val="0"/>
        <w:spacing w:before="120" w:after="120"/>
        <w:rPr>
          <w:rFonts w:ascii="Times New Roman"/>
        </w:rPr>
      </w:pPr>
      <w:bookmarkStart w:id="25" w:name="_Toc29928"/>
      <w:r>
        <w:rPr>
          <w:rFonts w:ascii="Times New Roman"/>
        </w:rPr>
        <w:t>适用</w:t>
      </w:r>
      <w:r>
        <w:rPr>
          <w:rFonts w:hint="eastAsia" w:ascii="Times New Roman"/>
        </w:rPr>
        <w:t>条件</w:t>
      </w:r>
      <w:bookmarkEnd w:id="25"/>
    </w:p>
    <w:p w14:paraId="48DDF31B">
      <w:pPr>
        <w:pStyle w:val="30"/>
        <w:ind w:firstLine="420"/>
      </w:pPr>
      <w:r>
        <w:rPr>
          <w:rFonts w:ascii="Times New Roman"/>
        </w:rPr>
        <w:t>在资料初步分析未能准确识别污染源的情况下，野外现场勘察能够帮助进一步确认污染源位置和种类。通过对流域进行现场调查、采样和排查，能够找到具体的污染源点。例如，非法排污点、生活污水排放源、点源污染（如工业厂区、污水处理厂等）等。现场勘察能够通过直接的现场证据和采样数据，提供更多关于污染源性质和分布的信息，尤其是能发现一些隐蔽或不易识别的污染源。</w:t>
      </w:r>
    </w:p>
    <w:p w14:paraId="05C41DE4">
      <w:pPr>
        <w:pStyle w:val="28"/>
        <w:overflowPunct w:val="0"/>
        <w:spacing w:before="120" w:after="120"/>
        <w:rPr>
          <w:rFonts w:ascii="Times New Roman"/>
        </w:rPr>
      </w:pPr>
      <w:bookmarkStart w:id="26" w:name="_Toc5519"/>
      <w:r>
        <w:rPr>
          <w:rFonts w:ascii="Times New Roman"/>
        </w:rPr>
        <w:t>绘制点位布设草图</w:t>
      </w:r>
      <w:bookmarkEnd w:id="26"/>
    </w:p>
    <w:p w14:paraId="4FBB6774">
      <w:pPr>
        <w:pStyle w:val="30"/>
        <w:ind w:firstLine="420"/>
        <w:rPr>
          <w:rFonts w:ascii="Times New Roman"/>
        </w:rPr>
      </w:pPr>
      <w:r>
        <w:rPr>
          <w:rFonts w:ascii="Times New Roman"/>
        </w:rPr>
        <w:t>在野外现场勘察前，应根据污染超标流域的地形、地貌、污染源分布以及历史数据，绘制详细的现场点位布设草图。</w:t>
      </w:r>
    </w:p>
    <w:p w14:paraId="637CACBF">
      <w:pPr>
        <w:pStyle w:val="30"/>
        <w:ind w:firstLine="420"/>
        <w:rPr>
          <w:rFonts w:ascii="Times New Roman"/>
        </w:rPr>
      </w:pPr>
      <w:r>
        <w:rPr>
          <w:rFonts w:ascii="Times New Roman"/>
        </w:rPr>
        <w:t>草图应标明勘察区域内各个监测点的位置、耗氧污染物浓度超标点、潜在污染源位置（如养殖场、工业区、农业区等），以便在勘察过程中进行定位和采样。还应标注流域内主要的水系（河流、支流、湖泊等）、排污口以及可能影响水质的其他设施。</w:t>
      </w:r>
    </w:p>
    <w:p w14:paraId="40FC12E6">
      <w:pPr>
        <w:pStyle w:val="28"/>
        <w:overflowPunct w:val="0"/>
        <w:spacing w:before="120" w:after="120"/>
        <w:rPr>
          <w:rFonts w:ascii="Times New Roman"/>
        </w:rPr>
      </w:pPr>
      <w:bookmarkStart w:id="27" w:name="_Toc13168"/>
      <w:r>
        <w:rPr>
          <w:rFonts w:ascii="Times New Roman"/>
        </w:rPr>
        <w:t>现场排查、采样确定重点区域</w:t>
      </w:r>
      <w:bookmarkEnd w:id="27"/>
    </w:p>
    <w:p w14:paraId="216DD088">
      <w:pPr>
        <w:pStyle w:val="30"/>
        <w:ind w:firstLine="420"/>
        <w:rPr>
          <w:rFonts w:hAnsi="宋体" w:cs="宋体"/>
        </w:rPr>
      </w:pPr>
      <w:r>
        <w:rPr>
          <w:rFonts w:hAnsi="宋体" w:cs="宋体"/>
        </w:rPr>
        <w:t>应在污染源附近、污染超标点及其上游、下游等多个关键位置进行水质采样，以确定污染物的浓度变化和源头可能的位置。重点排查污染物超标密集区域，包括农业排放区、畜禽养殖区、工业污水排放区以及城市生活污水排放区等。</w:t>
      </w:r>
    </w:p>
    <w:p w14:paraId="0CE5B61E">
      <w:pPr>
        <w:pStyle w:val="30"/>
        <w:ind w:firstLine="420"/>
        <w:rPr>
          <w:rFonts w:hAnsi="宋体" w:cs="宋体"/>
        </w:rPr>
      </w:pPr>
      <w:r>
        <w:rPr>
          <w:rFonts w:hAnsi="宋体" w:cs="宋体"/>
        </w:rPr>
        <w:t>采样点的布设应依据污染物浓度变化的特点，选择浓度差异较大的区域进行重点采样，并考虑季节性差异（如雨季与非雨季的污染物变化）对采样点位置的影响。</w:t>
      </w:r>
    </w:p>
    <w:p w14:paraId="63886607">
      <w:pPr>
        <w:pStyle w:val="30"/>
        <w:ind w:firstLine="420"/>
        <w:rPr>
          <w:rFonts w:hAnsi="宋体" w:cs="宋体"/>
        </w:rPr>
      </w:pPr>
      <w:r>
        <w:rPr>
          <w:rFonts w:hAnsi="宋体" w:cs="宋体"/>
        </w:rPr>
        <w:t>采样时应采集足够数量的水样，覆盖不同时间段、不同水体位置的变化，确保样本代表性和准确性。如遇降雨特殊情况（例如：无本地降雨但存在上游来水影响时），应制定补充采样方案。</w:t>
      </w:r>
    </w:p>
    <w:p w14:paraId="02BEFF2D">
      <w:pPr>
        <w:pStyle w:val="30"/>
        <w:ind w:firstLine="420"/>
        <w:rPr>
          <w:rFonts w:hAnsi="宋体" w:cs="宋体"/>
        </w:rPr>
      </w:pPr>
      <w:r>
        <w:rPr>
          <w:rFonts w:hAnsi="宋体" w:cs="宋体"/>
        </w:rPr>
        <w:t>根据草图确认现场重点排查区域，并对流域内的可能污染源进行实地调查，如确认养殖场的污水处理设施、农业用肥情况、工业废水排放管道、城市排污管网等。</w:t>
      </w:r>
    </w:p>
    <w:p w14:paraId="745012A6">
      <w:pPr>
        <w:pStyle w:val="28"/>
        <w:overflowPunct w:val="0"/>
        <w:spacing w:before="120" w:after="120"/>
        <w:rPr>
          <w:rFonts w:ascii="Times New Roman"/>
        </w:rPr>
      </w:pPr>
      <w:bookmarkStart w:id="28" w:name="_Toc15547"/>
      <w:r>
        <w:rPr>
          <w:rFonts w:ascii="Times New Roman"/>
        </w:rPr>
        <w:t>排查形式与方法</w:t>
      </w:r>
      <w:bookmarkEnd w:id="28"/>
    </w:p>
    <w:p w14:paraId="3EE85814">
      <w:pPr>
        <w:pStyle w:val="30"/>
        <w:ind w:firstLine="420"/>
        <w:rPr>
          <w:rFonts w:hAnsi="宋体" w:cs="宋体"/>
        </w:rPr>
      </w:pPr>
      <w:r>
        <w:rPr>
          <w:rFonts w:hAnsi="宋体" w:cs="宋体"/>
        </w:rPr>
        <w:t>现场排查应结合不同污染源的特点采用多种形式。例如：</w:t>
      </w:r>
    </w:p>
    <w:p w14:paraId="7287C5B6">
      <w:pPr>
        <w:pStyle w:val="30"/>
        <w:ind w:firstLine="420"/>
        <w:rPr>
          <w:rFonts w:hAnsi="宋体" w:cs="宋体"/>
        </w:rPr>
      </w:pPr>
      <w:r>
        <w:rPr>
          <w:rFonts w:hAnsi="宋体" w:cs="宋体"/>
        </w:rPr>
        <w:t>a）对农业污染源进行实地调查，了解施肥、灌溉、农药使用等情况，检查田间施肥记录和水质监测数据。</w:t>
      </w:r>
    </w:p>
    <w:p w14:paraId="5DB8DE23">
      <w:pPr>
        <w:pStyle w:val="30"/>
        <w:ind w:firstLine="420"/>
        <w:rPr>
          <w:rFonts w:hAnsi="宋体" w:cs="宋体"/>
        </w:rPr>
      </w:pPr>
      <w:r>
        <w:rPr>
          <w:rFonts w:hAnsi="宋体" w:cs="宋体"/>
        </w:rPr>
        <w:t>b）对养殖污染源，应检查养殖场的排污管道、废水处理设施以及养殖过程中污染物的排放情况，并检查是否存在违规排放现象。</w:t>
      </w:r>
    </w:p>
    <w:p w14:paraId="182ECAD8">
      <w:pPr>
        <w:pStyle w:val="30"/>
        <w:ind w:firstLine="420"/>
        <w:rPr>
          <w:rFonts w:hAnsi="宋体" w:cs="宋体"/>
        </w:rPr>
      </w:pPr>
      <w:r>
        <w:rPr>
          <w:rFonts w:hAnsi="宋体" w:cs="宋体"/>
        </w:rPr>
        <w:t>c）对工业污染源，可通过现场核查企业排污口、污水处理设施及其排放记录，并检查是否存在超标排放。</w:t>
      </w:r>
    </w:p>
    <w:p w14:paraId="56288A0C">
      <w:pPr>
        <w:pStyle w:val="28"/>
        <w:overflowPunct w:val="0"/>
        <w:spacing w:before="120" w:after="120"/>
        <w:rPr>
          <w:rFonts w:ascii="Times New Roman"/>
        </w:rPr>
      </w:pPr>
      <w:bookmarkStart w:id="29" w:name="_Toc4287"/>
      <w:r>
        <w:rPr>
          <w:rFonts w:ascii="Times New Roman"/>
        </w:rPr>
        <w:t>设备配备</w:t>
      </w:r>
      <w:bookmarkEnd w:id="29"/>
    </w:p>
    <w:p w14:paraId="6C44D66F">
      <w:pPr>
        <w:pStyle w:val="30"/>
        <w:ind w:firstLine="420"/>
        <w:rPr>
          <w:rFonts w:hAnsi="宋体" w:cs="宋体"/>
        </w:rPr>
      </w:pPr>
      <w:r>
        <w:rPr>
          <w:rFonts w:hAnsi="宋体" w:cs="宋体"/>
        </w:rPr>
        <w:t>在野外现场排查过程中，为支持调查、监测和分析工作需配备合适的排查设备，具体设备清单见表1。</w:t>
      </w:r>
    </w:p>
    <w:p w14:paraId="27E345A1">
      <w:pPr>
        <w:pStyle w:val="30"/>
        <w:ind w:firstLine="420"/>
        <w:rPr>
          <w:rFonts w:hAnsi="宋体" w:cs="宋体"/>
        </w:rPr>
      </w:pPr>
    </w:p>
    <w:p w14:paraId="54F2FB24">
      <w:pPr>
        <w:pStyle w:val="30"/>
        <w:ind w:firstLine="0" w:firstLineChars="0"/>
        <w:rPr>
          <w:rFonts w:ascii="Times New Roman"/>
        </w:rPr>
      </w:pPr>
    </w:p>
    <w:p w14:paraId="08998320">
      <w:pPr>
        <w:pStyle w:val="30"/>
        <w:ind w:firstLine="0" w:firstLineChars="0"/>
        <w:rPr>
          <w:rFonts w:ascii="Times New Roman"/>
        </w:rPr>
      </w:pPr>
    </w:p>
    <w:p w14:paraId="04481D73">
      <w:pPr>
        <w:pStyle w:val="30"/>
        <w:ind w:firstLine="420"/>
        <w:rPr>
          <w:rFonts w:ascii="Times New Roman"/>
        </w:rPr>
      </w:pPr>
    </w:p>
    <w:p w14:paraId="5D9E6871">
      <w:pPr>
        <w:pStyle w:val="30"/>
        <w:ind w:firstLine="420"/>
        <w:rPr>
          <w:rFonts w:ascii="Times New Roman"/>
        </w:rPr>
      </w:pPr>
    </w:p>
    <w:p w14:paraId="2119A293">
      <w:pPr>
        <w:pStyle w:val="30"/>
        <w:ind w:firstLine="0" w:firstLineChars="0"/>
        <w:jc w:val="center"/>
        <w:rPr>
          <w:rFonts w:ascii="黑体" w:hAnsi="黑体" w:eastAsia="黑体" w:cs="黑体"/>
        </w:rPr>
      </w:pPr>
      <w:r>
        <w:rPr>
          <w:rFonts w:hint="eastAsia" w:ascii="黑体" w:hAnsi="黑体" w:eastAsia="黑体" w:cs="黑体"/>
        </w:rPr>
        <w:t>表1 野外现场排查所需设备清单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1845"/>
        <w:gridCol w:w="2340"/>
        <w:gridCol w:w="3757"/>
      </w:tblGrid>
      <w:tr w14:paraId="53F2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10"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6F7EADFA">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54215">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设备类型</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51FFC">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具体设备</w:t>
            </w:r>
          </w:p>
        </w:tc>
        <w:tc>
          <w:tcPr>
            <w:tcW w:w="3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8BFCA">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用途</w:t>
            </w:r>
          </w:p>
        </w:tc>
      </w:tr>
      <w:tr w14:paraId="2D0E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CE33E">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68D34">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水质监测设备</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3C8E5">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pH测量仪、溶解氧仪、电导率计、浊度计和水温计等</w:t>
            </w:r>
          </w:p>
        </w:tc>
        <w:tc>
          <w:tcPr>
            <w:tcW w:w="3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F048F">
            <w:pPr>
              <w:widowControl/>
              <w:adjustRightInd w:val="0"/>
              <w:snapToGrid w:val="0"/>
              <w:spacing w:line="240" w:lineRule="auto"/>
              <w:jc w:val="both"/>
              <w:rPr>
                <w:rFonts w:ascii="宋体" w:hAnsi="宋体" w:cs="宋体"/>
                <w:spacing w:val="-3"/>
                <w:sz w:val="18"/>
                <w:szCs w:val="18"/>
                <w:lang w:eastAsia="zh-CN"/>
              </w:rPr>
            </w:pPr>
            <w:r>
              <w:rPr>
                <w:rFonts w:hint="eastAsia" w:ascii="宋体" w:hAnsi="宋体" w:cs="宋体"/>
                <w:spacing w:val="-3"/>
                <w:sz w:val="18"/>
                <w:szCs w:val="18"/>
                <w:lang w:eastAsia="zh-CN"/>
              </w:rPr>
              <w:t>用于检测水体的酸碱度、溶解氧含量、电导率、浊度、温度等</w:t>
            </w:r>
          </w:p>
        </w:tc>
      </w:tr>
      <w:tr w14:paraId="54D8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C8FE3">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8B0C8">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水样采集设备</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2E722">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水样采集瓶、采样器等</w:t>
            </w:r>
          </w:p>
        </w:tc>
        <w:tc>
          <w:tcPr>
            <w:tcW w:w="3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9F492">
            <w:pPr>
              <w:widowControl/>
              <w:adjustRightInd w:val="0"/>
              <w:snapToGrid w:val="0"/>
              <w:spacing w:line="240" w:lineRule="auto"/>
              <w:jc w:val="both"/>
              <w:rPr>
                <w:rFonts w:ascii="宋体" w:hAnsi="宋体" w:cs="宋体"/>
                <w:spacing w:val="-3"/>
                <w:sz w:val="18"/>
                <w:szCs w:val="18"/>
                <w:lang w:eastAsia="zh-CN"/>
              </w:rPr>
            </w:pPr>
            <w:r>
              <w:rPr>
                <w:rFonts w:hint="eastAsia" w:ascii="宋体" w:hAnsi="宋体" w:cs="宋体"/>
                <w:spacing w:val="-3"/>
                <w:sz w:val="18"/>
                <w:szCs w:val="18"/>
                <w:lang w:eastAsia="zh-CN"/>
              </w:rPr>
              <w:t>采集水样进行后续水质分析</w:t>
            </w:r>
          </w:p>
        </w:tc>
      </w:tr>
      <w:tr w14:paraId="5F06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3531C">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7FEB5">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遥感监测设备</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36608">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水质遥测仪、无人机、无人船等</w:t>
            </w:r>
          </w:p>
        </w:tc>
        <w:tc>
          <w:tcPr>
            <w:tcW w:w="3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E198C">
            <w:pPr>
              <w:widowControl/>
              <w:adjustRightInd w:val="0"/>
              <w:snapToGrid w:val="0"/>
              <w:spacing w:line="240" w:lineRule="auto"/>
              <w:jc w:val="both"/>
              <w:rPr>
                <w:rFonts w:ascii="宋体" w:hAnsi="宋体" w:cs="宋体"/>
                <w:spacing w:val="-3"/>
                <w:sz w:val="18"/>
                <w:szCs w:val="18"/>
                <w:lang w:eastAsia="zh-CN"/>
              </w:rPr>
            </w:pPr>
            <w:r>
              <w:rPr>
                <w:rFonts w:hint="eastAsia" w:ascii="宋体" w:hAnsi="宋体" w:cs="宋体"/>
                <w:spacing w:val="-3"/>
                <w:sz w:val="18"/>
                <w:szCs w:val="18"/>
                <w:lang w:eastAsia="zh-CN"/>
              </w:rPr>
              <w:t>用于远程实时监测水体环境参数，提升监测效率，减少现场操作负担</w:t>
            </w:r>
          </w:p>
        </w:tc>
      </w:tr>
      <w:tr w14:paraId="74AD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0F197">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0F617">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环境调查设备</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D87BA">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GPS定位仪、取样工具、镜头和相机等</w:t>
            </w:r>
          </w:p>
        </w:tc>
        <w:tc>
          <w:tcPr>
            <w:tcW w:w="3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CCD53">
            <w:pPr>
              <w:widowControl/>
              <w:adjustRightInd w:val="0"/>
              <w:snapToGrid w:val="0"/>
              <w:spacing w:line="240" w:lineRule="auto"/>
              <w:jc w:val="both"/>
              <w:rPr>
                <w:rFonts w:ascii="宋体" w:hAnsi="宋体" w:cs="宋体"/>
                <w:spacing w:val="-3"/>
                <w:sz w:val="18"/>
                <w:szCs w:val="18"/>
                <w:lang w:eastAsia="zh-CN"/>
              </w:rPr>
            </w:pPr>
            <w:r>
              <w:rPr>
                <w:rFonts w:hint="eastAsia" w:ascii="宋体" w:hAnsi="宋体" w:cs="宋体"/>
                <w:spacing w:val="-3"/>
                <w:sz w:val="18"/>
                <w:szCs w:val="18"/>
                <w:lang w:eastAsia="zh-CN"/>
              </w:rPr>
              <w:t>用于记录调查地点的坐标、现场调查过程和可能的污染源情况、采集土壤、植被等环境样品</w:t>
            </w:r>
          </w:p>
        </w:tc>
      </w:tr>
      <w:tr w14:paraId="4659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E814E">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361C7">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管线探索设备</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B0455">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管线探测仪、地下管网探测设备等</w:t>
            </w:r>
          </w:p>
        </w:tc>
        <w:tc>
          <w:tcPr>
            <w:tcW w:w="3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20014">
            <w:pPr>
              <w:widowControl/>
              <w:adjustRightInd w:val="0"/>
              <w:snapToGrid w:val="0"/>
              <w:spacing w:line="240" w:lineRule="auto"/>
              <w:jc w:val="both"/>
              <w:rPr>
                <w:rFonts w:ascii="宋体" w:hAnsi="宋体" w:cs="宋体"/>
                <w:spacing w:val="-3"/>
                <w:sz w:val="18"/>
                <w:szCs w:val="18"/>
                <w:lang w:eastAsia="zh-CN"/>
              </w:rPr>
            </w:pPr>
            <w:r>
              <w:rPr>
                <w:rFonts w:hint="eastAsia" w:ascii="宋体" w:hAnsi="宋体" w:cs="宋体"/>
                <w:spacing w:val="-3"/>
                <w:sz w:val="18"/>
                <w:szCs w:val="18"/>
                <w:lang w:eastAsia="zh-CN"/>
              </w:rPr>
              <w:t>用于探测地下排水管线、管网走向及埋深，识别隐藏的排放通道与泄漏风险</w:t>
            </w:r>
          </w:p>
        </w:tc>
      </w:tr>
      <w:tr w14:paraId="68AD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212DD">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AB467">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移动通信设备</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7A0AC">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手持或无线对讲机、手机或平板电脑等</w:t>
            </w:r>
          </w:p>
        </w:tc>
        <w:tc>
          <w:tcPr>
            <w:tcW w:w="3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BA460">
            <w:pPr>
              <w:widowControl/>
              <w:adjustRightInd w:val="0"/>
              <w:snapToGrid w:val="0"/>
              <w:spacing w:line="240" w:lineRule="auto"/>
              <w:jc w:val="both"/>
              <w:rPr>
                <w:rFonts w:ascii="宋体" w:hAnsi="宋体" w:cs="宋体"/>
                <w:spacing w:val="-3"/>
                <w:sz w:val="18"/>
                <w:szCs w:val="18"/>
                <w:lang w:eastAsia="zh-CN"/>
              </w:rPr>
            </w:pPr>
            <w:r>
              <w:rPr>
                <w:rFonts w:hint="eastAsia" w:ascii="宋体" w:hAnsi="宋体" w:cs="宋体"/>
                <w:spacing w:val="-3"/>
                <w:sz w:val="18"/>
                <w:szCs w:val="18"/>
                <w:lang w:eastAsia="zh-CN"/>
              </w:rPr>
              <w:t>用于各组成员之间的即时通讯、记录数据、拍摄照片、发送报告等</w:t>
            </w:r>
          </w:p>
        </w:tc>
      </w:tr>
      <w:tr w14:paraId="4465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08BD2">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0F996">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个人防护装备</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3EAE7">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安全帽、手套、防护服、防护眼镜和口罩等</w:t>
            </w:r>
          </w:p>
        </w:tc>
        <w:tc>
          <w:tcPr>
            <w:tcW w:w="3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7599E">
            <w:pPr>
              <w:widowControl/>
              <w:adjustRightInd w:val="0"/>
              <w:snapToGrid w:val="0"/>
              <w:spacing w:line="240" w:lineRule="auto"/>
              <w:jc w:val="both"/>
              <w:rPr>
                <w:rFonts w:ascii="宋体" w:hAnsi="宋体" w:cs="宋体"/>
                <w:spacing w:val="-3"/>
                <w:sz w:val="18"/>
                <w:szCs w:val="18"/>
                <w:lang w:eastAsia="zh-CN"/>
              </w:rPr>
            </w:pPr>
            <w:r>
              <w:rPr>
                <w:rFonts w:hint="eastAsia" w:ascii="宋体" w:hAnsi="宋体" w:cs="宋体"/>
                <w:spacing w:val="-3"/>
                <w:sz w:val="18"/>
                <w:szCs w:val="18"/>
                <w:lang w:eastAsia="zh-CN"/>
              </w:rPr>
              <w:t>保护人员安全，防止受到污染物的侵害、防止化学物质或颗粒物进入眼睛和呼吸道</w:t>
            </w:r>
          </w:p>
        </w:tc>
      </w:tr>
      <w:tr w14:paraId="0641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6041B">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83DB4">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数据处理和分析设备</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3D737">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笔记本电脑或平板电脑以及数据传输设备等</w:t>
            </w:r>
          </w:p>
        </w:tc>
        <w:tc>
          <w:tcPr>
            <w:tcW w:w="3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434FE">
            <w:pPr>
              <w:widowControl/>
              <w:adjustRightInd w:val="0"/>
              <w:snapToGrid w:val="0"/>
              <w:spacing w:line="240" w:lineRule="auto"/>
              <w:jc w:val="both"/>
              <w:rPr>
                <w:rFonts w:ascii="宋体" w:hAnsi="宋体" w:cs="宋体"/>
                <w:spacing w:val="-3"/>
                <w:sz w:val="18"/>
                <w:szCs w:val="18"/>
                <w:lang w:eastAsia="zh-CN"/>
              </w:rPr>
            </w:pPr>
            <w:r>
              <w:rPr>
                <w:rFonts w:hint="eastAsia" w:ascii="宋体" w:hAnsi="宋体" w:cs="宋体"/>
                <w:spacing w:val="-3"/>
                <w:sz w:val="18"/>
                <w:szCs w:val="18"/>
                <w:lang w:eastAsia="zh-CN"/>
              </w:rPr>
              <w:t>用于现场数据记录、整理和分析、数据的传输和备份</w:t>
            </w:r>
          </w:p>
        </w:tc>
      </w:tr>
      <w:tr w14:paraId="5B8A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D7C96">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9</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15F95">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应急药品</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CAFD7">
            <w:pPr>
              <w:widowControl/>
              <w:adjustRightInd w:val="0"/>
              <w:snapToGrid w:val="0"/>
              <w:spacing w:line="240" w:lineRule="auto"/>
              <w:jc w:val="center"/>
              <w:rPr>
                <w:rFonts w:ascii="宋体" w:hAnsi="宋体" w:cs="宋体"/>
                <w:spacing w:val="-3"/>
                <w:sz w:val="18"/>
                <w:szCs w:val="18"/>
                <w:lang w:eastAsia="zh-CN"/>
              </w:rPr>
            </w:pPr>
            <w:r>
              <w:rPr>
                <w:rFonts w:hint="eastAsia" w:ascii="宋体" w:hAnsi="宋体" w:cs="宋体"/>
                <w:spacing w:val="-3"/>
                <w:sz w:val="18"/>
                <w:szCs w:val="18"/>
                <w:lang w:eastAsia="zh-CN"/>
              </w:rPr>
              <w:t>急救包、止血剂、抗过敏药物、消毒液等</w:t>
            </w:r>
          </w:p>
        </w:tc>
        <w:tc>
          <w:tcPr>
            <w:tcW w:w="3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2CDB4">
            <w:pPr>
              <w:widowControl/>
              <w:adjustRightInd w:val="0"/>
              <w:snapToGrid w:val="0"/>
              <w:spacing w:line="240" w:lineRule="auto"/>
              <w:jc w:val="both"/>
              <w:rPr>
                <w:rFonts w:ascii="宋体" w:hAnsi="宋体" w:cs="宋体"/>
                <w:spacing w:val="-3"/>
                <w:sz w:val="18"/>
                <w:szCs w:val="18"/>
                <w:lang w:eastAsia="zh-CN"/>
              </w:rPr>
            </w:pPr>
            <w:r>
              <w:rPr>
                <w:rFonts w:hint="eastAsia" w:ascii="宋体" w:hAnsi="宋体" w:cs="宋体"/>
                <w:spacing w:val="-3"/>
                <w:sz w:val="18"/>
                <w:szCs w:val="18"/>
                <w:lang w:eastAsia="zh-CN"/>
              </w:rPr>
              <w:t>用于处理现场突发的人员伤害或健康紧急情况，确保现场工作人员的安全与健康</w:t>
            </w:r>
          </w:p>
        </w:tc>
      </w:tr>
    </w:tbl>
    <w:p w14:paraId="67109D59">
      <w:pPr>
        <w:pStyle w:val="30"/>
        <w:ind w:firstLine="0" w:firstLineChars="0"/>
        <w:rPr>
          <w:rFonts w:ascii="Times New Roman"/>
        </w:rPr>
      </w:pPr>
    </w:p>
    <w:p w14:paraId="03713C66">
      <w:pPr>
        <w:pStyle w:val="28"/>
        <w:overflowPunct w:val="0"/>
        <w:spacing w:before="120" w:after="120"/>
        <w:rPr>
          <w:rFonts w:ascii="Times New Roman"/>
        </w:rPr>
      </w:pPr>
      <w:bookmarkStart w:id="30" w:name="_Toc15093"/>
      <w:r>
        <w:rPr>
          <w:rFonts w:ascii="Times New Roman"/>
        </w:rPr>
        <w:t>溯源结果确认与记录</w:t>
      </w:r>
      <w:bookmarkEnd w:id="30"/>
    </w:p>
    <w:p w14:paraId="2A26B919">
      <w:pPr>
        <w:pStyle w:val="30"/>
        <w:ind w:firstLine="420"/>
        <w:rPr>
          <w:rFonts w:ascii="Times New Roman"/>
        </w:rPr>
      </w:pPr>
      <w:r>
        <w:rPr>
          <w:rFonts w:ascii="Times New Roman"/>
        </w:rPr>
        <w:t>对现场采样的水质数据与污染源调查数据进行对比分析，结合流域水文条件、气象因素及污染源活动的季节性变化等因素，进一步验证污染源的位置和性质。</w:t>
      </w:r>
    </w:p>
    <w:p w14:paraId="2A97B5B9">
      <w:pPr>
        <w:pStyle w:val="30"/>
        <w:ind w:firstLine="420"/>
        <w:rPr>
          <w:rFonts w:ascii="Times New Roman"/>
        </w:rPr>
      </w:pPr>
      <w:r>
        <w:rPr>
          <w:rFonts w:ascii="Times New Roman"/>
        </w:rPr>
        <w:t>对污染源进行源追踪，通过追溯污染物浓度变化的轨迹，结合采样点数据，确认污染源的确切位置。</w:t>
      </w:r>
    </w:p>
    <w:p w14:paraId="1923322E">
      <w:pPr>
        <w:pStyle w:val="30"/>
        <w:ind w:firstLine="420"/>
        <w:rPr>
          <w:rFonts w:ascii="Times New Roman"/>
        </w:rPr>
      </w:pPr>
      <w:r>
        <w:rPr>
          <w:rFonts w:ascii="Times New Roman"/>
        </w:rPr>
        <w:t>记录现场勘察过程中的关键发现，包括污染源的具体位置、可能存在的污染源类型、污染物浓度变化的趋势等。</w:t>
      </w:r>
    </w:p>
    <w:p w14:paraId="7648DC7C">
      <w:pPr>
        <w:pStyle w:val="30"/>
        <w:ind w:firstLine="420"/>
        <w:rPr>
          <w:rFonts w:ascii="Times New Roman"/>
        </w:rPr>
      </w:pPr>
      <w:r>
        <w:rPr>
          <w:rFonts w:ascii="Times New Roman"/>
        </w:rPr>
        <w:t>根据现场排查结果，制定问题清单，如发现污染源的具体位置、治理设施的缺失、污染物浓度超标等问题。</w:t>
      </w:r>
    </w:p>
    <w:p w14:paraId="643F6FB7">
      <w:pPr>
        <w:pStyle w:val="30"/>
        <w:ind w:firstLine="420"/>
        <w:rPr>
          <w:rFonts w:ascii="Times New Roman"/>
        </w:rPr>
      </w:pPr>
      <w:r>
        <w:rPr>
          <w:rFonts w:ascii="Times New Roman"/>
        </w:rPr>
        <w:t>若未能成功溯源，应继续进行下一步（</w:t>
      </w:r>
      <w:r>
        <w:rPr>
          <w:rFonts w:hint="eastAsia" w:ascii="Times New Roman"/>
        </w:rPr>
        <w:t xml:space="preserve">8 </w:t>
      </w:r>
      <w:r>
        <w:rPr>
          <w:rFonts w:ascii="Times New Roman"/>
        </w:rPr>
        <w:t>多技术集成溯源方法）溯源工作。</w:t>
      </w:r>
    </w:p>
    <w:p w14:paraId="70ADA442">
      <w:pPr>
        <w:pStyle w:val="30"/>
        <w:ind w:firstLine="420"/>
        <w:rPr>
          <w:rFonts w:ascii="Times New Roman"/>
        </w:rPr>
      </w:pPr>
    </w:p>
    <w:p w14:paraId="50835D94">
      <w:pPr>
        <w:pStyle w:val="29"/>
        <w:overflowPunct w:val="0"/>
        <w:spacing w:before="240" w:after="240"/>
        <w:rPr>
          <w:rFonts w:ascii="Times New Roman"/>
        </w:rPr>
      </w:pPr>
      <w:bookmarkStart w:id="31" w:name="_Toc10176"/>
      <w:r>
        <w:rPr>
          <w:rFonts w:ascii="Times New Roman"/>
        </w:rPr>
        <w:t>多技术集成溯源方法</w:t>
      </w:r>
      <w:bookmarkEnd w:id="31"/>
    </w:p>
    <w:p w14:paraId="5AA9DC4B">
      <w:pPr>
        <w:pStyle w:val="28"/>
        <w:overflowPunct w:val="0"/>
        <w:spacing w:before="120" w:after="120"/>
        <w:rPr>
          <w:rFonts w:ascii="Times New Roman"/>
        </w:rPr>
      </w:pPr>
      <w:bookmarkStart w:id="32" w:name="_Toc17551"/>
      <w:r>
        <w:rPr>
          <w:rFonts w:ascii="Times New Roman"/>
        </w:rPr>
        <w:t>适用</w:t>
      </w:r>
      <w:r>
        <w:rPr>
          <w:rFonts w:hint="eastAsia" w:ascii="Times New Roman"/>
        </w:rPr>
        <w:t>条件</w:t>
      </w:r>
      <w:bookmarkEnd w:id="32"/>
    </w:p>
    <w:p w14:paraId="417507CE">
      <w:pPr>
        <w:pStyle w:val="30"/>
        <w:ind w:firstLine="420"/>
        <w:rPr>
          <w:rFonts w:hAnsi="宋体" w:cs="宋体"/>
        </w:rPr>
      </w:pPr>
      <w:r>
        <w:rPr>
          <w:rFonts w:hint="eastAsia" w:hAnsi="宋体" w:cs="宋体"/>
        </w:rPr>
        <w:t>当资料初步分析和现场勘察无法准确识别复杂的污染源时，可以结合多种技术进行深入溯源。使用地理信息系统（GIS）技术、稳定同位素、数学模型和三维荧光技术中的一种或多种技术进行综合分析，能够溯源一些复杂的污染源类型，如多个污染源交织的区域，或者水质变化不显著但仍然对环境造成影响的污染源。特别适用于污染源较为复杂、变化不显著的情况，是一个更加精准和全面的溯源手段。各项方法优、缺点和适用条件见附录A。</w:t>
      </w:r>
    </w:p>
    <w:p w14:paraId="41B94C84">
      <w:pPr>
        <w:pStyle w:val="28"/>
        <w:overflowPunct w:val="0"/>
        <w:spacing w:before="120" w:after="120"/>
        <w:rPr>
          <w:rFonts w:hAnsi="黑体" w:cs="黑体"/>
        </w:rPr>
      </w:pPr>
      <w:bookmarkStart w:id="33" w:name="_Toc5184"/>
      <w:r>
        <w:rPr>
          <w:rFonts w:hint="eastAsia" w:hAnsi="黑体" w:cs="黑体"/>
        </w:rPr>
        <w:t>地理信息系统（GIS）技术</w:t>
      </w:r>
      <w:bookmarkEnd w:id="33"/>
    </w:p>
    <w:p w14:paraId="7CB94641">
      <w:pPr>
        <w:pStyle w:val="30"/>
        <w:numPr>
          <w:ilvl w:val="0"/>
          <w:numId w:val="6"/>
        </w:numPr>
        <w:overflowPunct w:val="0"/>
        <w:ind w:firstLineChars="0"/>
        <w:rPr>
          <w:rFonts w:hAnsi="宋体" w:cs="宋体"/>
        </w:rPr>
      </w:pPr>
      <w:r>
        <w:rPr>
          <w:rFonts w:hint="eastAsia" w:hAnsi="宋体" w:cs="宋体"/>
        </w:rPr>
        <w:t>数据收集。收集以下3类数据：（1）高分辨率影像，可从公开的遥感数据平台（如Google Earth Engine、NASA Earthdata等）获取，或通过专业的遥感数据提供商（如中国地质调查局、USGS等）购买，包括遥感影像、数字高程模型（DEM）；（2）矢量数据，可以从政府部门的公开数据平台（如国家基础地理信息中心、自然资源部等）获取，或通过开放数据平台（如OpenStreetMap、GeoPlatform等）下载，或通过数字高程模型生成，包括河流、道路及行政区划分布，流域边界、土地利用和植被覆盖，污染源信息等；（3）水质监测数据，可通过水质自动监测站点的实时数据访问接口获得。</w:t>
      </w:r>
    </w:p>
    <w:p w14:paraId="6AC937CD">
      <w:pPr>
        <w:pStyle w:val="30"/>
        <w:numPr>
          <w:ilvl w:val="0"/>
          <w:numId w:val="6"/>
        </w:numPr>
        <w:overflowPunct w:val="0"/>
        <w:ind w:firstLineChars="0"/>
        <w:rPr>
          <w:rFonts w:hAnsi="宋体" w:cs="宋体"/>
        </w:rPr>
      </w:pPr>
      <w:r>
        <w:rPr>
          <w:rFonts w:hint="eastAsia" w:hAnsi="宋体" w:cs="宋体"/>
        </w:rPr>
        <w:t>空间分析。将收集的矢量数据（如河流、道路、行政区划、土地利用等）和影像数据（如遥感影像、DEM）导入GIS软件，进行坐标统一和预处理。通过DEM数据提取流域边界，并使用流域划分工具确定水系网络。通过空间分析方法，如空间插值（IDW、Kriging等），将水质监测数据扩展到流域内未监测区域，推算出污染物浓度的空间分布。同时，通过空间叠加分析，确定潜在的污染热点区域，识别污染源的空间特征。</w:t>
      </w:r>
    </w:p>
    <w:p w14:paraId="446EADFB">
      <w:pPr>
        <w:pStyle w:val="30"/>
        <w:numPr>
          <w:ilvl w:val="0"/>
          <w:numId w:val="6"/>
        </w:numPr>
        <w:overflowPunct w:val="0"/>
        <w:ind w:firstLineChars="0"/>
        <w:rPr>
          <w:rFonts w:hAnsi="宋体" w:cs="宋体"/>
        </w:rPr>
      </w:pPr>
      <w:r>
        <w:rPr>
          <w:rFonts w:hint="eastAsia" w:hAnsi="宋体" w:cs="宋体"/>
        </w:rPr>
        <w:t>污染源预测。基于土地利用类型、社会经济活动和历史水质数据，建立污染源的空间分布模型。结合流域的水文、气象、农业和工业等相关数据，预测污染源的影响范围及其对水质的潜在影响。通过分析污染源类型（如农业排放、工业废水等）及其排放模式，利用GIS工具进一步预测流域内不同区域的污染物浓度变化趋势。结合预测结果与监测数据进行对比，确定潜在污染源的具体位置和污染程度。</w:t>
      </w:r>
    </w:p>
    <w:p w14:paraId="65154F6C">
      <w:pPr>
        <w:pStyle w:val="30"/>
        <w:numPr>
          <w:ilvl w:val="0"/>
          <w:numId w:val="6"/>
        </w:numPr>
        <w:overflowPunct w:val="0"/>
        <w:ind w:firstLineChars="0"/>
        <w:rPr>
          <w:rFonts w:hAnsi="宋体" w:cs="宋体"/>
        </w:rPr>
      </w:pPr>
      <w:r>
        <w:rPr>
          <w:rFonts w:hint="eastAsia" w:hAnsi="宋体" w:cs="宋体"/>
        </w:rPr>
        <w:t>结果验证与精确化。通过现场监测数据与预测结果进行对比分析，验证污染源预测的准确性。通过实际采样和监测，校正模型中的误差，提升预测结果的精度。进一步利用空间分析工具对污染源的分布模式进行精细化调整，识别和确认关键污染源区域。最后，结合现场调查和数据分析结果，完善污染源的溯源路径。</w:t>
      </w:r>
    </w:p>
    <w:p w14:paraId="7D94C8E2">
      <w:pPr>
        <w:pStyle w:val="28"/>
        <w:overflowPunct w:val="0"/>
        <w:spacing w:before="120" w:after="120"/>
        <w:rPr>
          <w:rFonts w:ascii="Times New Roman"/>
        </w:rPr>
      </w:pPr>
      <w:bookmarkStart w:id="34" w:name="_Toc960"/>
      <w:r>
        <w:rPr>
          <w:rFonts w:ascii="Times New Roman"/>
        </w:rPr>
        <w:t>稳定同位素技术</w:t>
      </w:r>
      <w:bookmarkEnd w:id="34"/>
    </w:p>
    <w:p w14:paraId="4FEB8075">
      <w:pPr>
        <w:pStyle w:val="30"/>
        <w:numPr>
          <w:ilvl w:val="0"/>
          <w:numId w:val="7"/>
        </w:numPr>
        <w:overflowPunct w:val="0"/>
        <w:ind w:firstLineChars="0"/>
        <w:rPr>
          <w:rFonts w:hAnsi="宋体" w:cs="宋体"/>
        </w:rPr>
      </w:pPr>
      <w:r>
        <w:rPr>
          <w:rFonts w:hAnsi="宋体" w:cs="宋体"/>
        </w:rPr>
        <w:t>样品采集与准备。在目标流域内选择具有代表性的采样点，涵盖不同类型的水体（如河流、湖泊等）以及可能的污染源区域（如农业排放、工业排放等）。采集水样和沉积物样品时应确保样品的代表性和无污染，采样时还需记录详细的现场环境条件（如流量、水温、降水情况等）。样品采集后，需在实验室进行样品的预处理和浓缩，以确保同位素分析的准确性。</w:t>
      </w:r>
    </w:p>
    <w:p w14:paraId="18ABFA2C">
      <w:pPr>
        <w:pStyle w:val="30"/>
        <w:numPr>
          <w:ilvl w:val="0"/>
          <w:numId w:val="7"/>
        </w:numPr>
        <w:overflowPunct w:val="0"/>
        <w:ind w:firstLineChars="0"/>
        <w:rPr>
          <w:rFonts w:hAnsi="宋体" w:cs="宋体"/>
        </w:rPr>
      </w:pPr>
      <w:r>
        <w:rPr>
          <w:rFonts w:hAnsi="宋体" w:cs="宋体"/>
        </w:rPr>
        <w:t>同位素分析。对采集的水样和沉积物样品进行稳定同位素分析，主要测定污染物的同位素比值，如氮、氧、碳等元素的同位素比（如</w:t>
      </w:r>
      <w:r>
        <w:rPr>
          <w:rFonts w:hAnsi="宋体" w:cs="宋体"/>
          <w:vertAlign w:val="baseline"/>
        </w:rPr>
        <w:t>δ</w:t>
      </w:r>
      <w:r>
        <w:rPr>
          <w:rFonts w:hAnsi="宋体" w:cs="宋体"/>
          <w:vertAlign w:val="superscript"/>
        </w:rPr>
        <w:t>15</w:t>
      </w:r>
      <w:r>
        <w:rPr>
          <w:rFonts w:hAnsi="宋体" w:cs="宋体"/>
        </w:rPr>
        <w:t>N、δ</w:t>
      </w:r>
      <w:r>
        <w:rPr>
          <w:rFonts w:hAnsi="宋体" w:cs="宋体"/>
          <w:vertAlign w:val="superscript"/>
        </w:rPr>
        <w:t>18</w:t>
      </w:r>
      <w:r>
        <w:rPr>
          <w:rFonts w:hAnsi="宋体" w:cs="宋体"/>
        </w:rPr>
        <w:t>O、δ</w:t>
      </w:r>
      <w:r>
        <w:rPr>
          <w:rFonts w:hAnsi="宋体" w:cs="宋体"/>
          <w:vertAlign w:val="superscript"/>
        </w:rPr>
        <w:t>13</w:t>
      </w:r>
      <w:r>
        <w:rPr>
          <w:rFonts w:hAnsi="宋体" w:cs="宋体"/>
        </w:rPr>
        <w:t>C等）。这些同位素比值能反映污染源的特征和流域水体的反应过程。通过分析耗氧污染物（如COD、氨氮、总氮和总磷）中同位素的特征，识别不同污染源（如农业、工业、城市污水等）的贡献。</w:t>
      </w:r>
    </w:p>
    <w:p w14:paraId="18A93285">
      <w:pPr>
        <w:pStyle w:val="30"/>
        <w:numPr>
          <w:ilvl w:val="0"/>
          <w:numId w:val="7"/>
        </w:numPr>
        <w:overflowPunct w:val="0"/>
        <w:ind w:firstLineChars="0"/>
        <w:rPr>
          <w:rFonts w:hAnsi="宋体" w:cs="宋体"/>
        </w:rPr>
      </w:pPr>
      <w:r>
        <w:rPr>
          <w:rFonts w:hAnsi="宋体" w:cs="宋体"/>
        </w:rPr>
        <w:t>同位素数据解析与源头识别。利用同位素数据与已知污染源的同位素特征库进行比对，结合地理信息系统（GIS）等工具，对同位素数据进行空间分析，确定不同污染源对水体污染物的贡献比例。通过同位素比值的差异，可以揭示污染物的来源类型和来源强度。例如，δ</w:t>
      </w:r>
      <w:r>
        <w:rPr>
          <w:rFonts w:hAnsi="宋体" w:cs="宋体"/>
          <w:vertAlign w:val="superscript"/>
        </w:rPr>
        <w:t>15</w:t>
      </w:r>
      <w:r>
        <w:rPr>
          <w:rFonts w:hAnsi="宋体" w:cs="宋体"/>
        </w:rPr>
        <w:t>N值较高的水体可能来自化肥污染，较低的δ15N值可能指示畜禽养殖污染。</w:t>
      </w:r>
    </w:p>
    <w:p w14:paraId="2E03C533">
      <w:pPr>
        <w:pStyle w:val="30"/>
        <w:numPr>
          <w:ilvl w:val="0"/>
          <w:numId w:val="7"/>
        </w:numPr>
        <w:overflowPunct w:val="0"/>
        <w:ind w:firstLineChars="0"/>
        <w:rPr>
          <w:rFonts w:hAnsi="宋体" w:cs="宋体"/>
        </w:rPr>
      </w:pPr>
      <w:r>
        <w:rPr>
          <w:rFonts w:hAnsi="宋体" w:cs="宋体"/>
        </w:rPr>
        <w:t>溯源结果验证与精细化。在同位素分析结果的基础上，通过现场调查和水质监测数据进行溯源结果验证。通过采集更多的样本、对比不同时间和地点的数据，验证同位素分析的准确性。利用溯源结果，结合流域水质监测数据和污染源排放数据，精细化污染源分布，进一步确定关键污染源，并为后续的污染治理措施提供依据。</w:t>
      </w:r>
    </w:p>
    <w:p w14:paraId="61B107CC">
      <w:pPr>
        <w:pStyle w:val="30"/>
        <w:ind w:firstLine="420"/>
        <w:rPr>
          <w:rFonts w:hAnsi="宋体" w:cs="宋体"/>
        </w:rPr>
      </w:pPr>
      <w:r>
        <w:rPr>
          <w:rFonts w:hAnsi="宋体" w:cs="宋体"/>
        </w:rPr>
        <w:t>具体操作可参考</w:t>
      </w:r>
      <w:r>
        <w:rPr>
          <w:rFonts w:hint="eastAsia" w:hAnsi="宋体" w:cs="宋体"/>
        </w:rPr>
        <w:t>《地下水污染同位素源解析技术指南（试行）》（环办土壤〔2022〕16号）</w:t>
      </w:r>
      <w:r>
        <w:rPr>
          <w:rFonts w:hAnsi="宋体" w:cs="宋体"/>
        </w:rPr>
        <w:t>。</w:t>
      </w:r>
    </w:p>
    <w:p w14:paraId="5F8507E1">
      <w:pPr>
        <w:pStyle w:val="28"/>
        <w:overflowPunct w:val="0"/>
        <w:spacing w:before="120" w:after="120"/>
        <w:rPr>
          <w:rFonts w:ascii="Times New Roman"/>
        </w:rPr>
      </w:pPr>
      <w:bookmarkStart w:id="35" w:name="_Toc26299"/>
      <w:r>
        <w:rPr>
          <w:rFonts w:ascii="Times New Roman"/>
        </w:rPr>
        <w:t>数学模型</w:t>
      </w:r>
      <w:bookmarkEnd w:id="35"/>
    </w:p>
    <w:p w14:paraId="0D8C3CBA">
      <w:pPr>
        <w:pStyle w:val="30"/>
        <w:ind w:firstLine="420"/>
        <w:rPr>
          <w:rFonts w:hAnsi="宋体" w:cs="宋体"/>
        </w:rPr>
      </w:pPr>
      <w:r>
        <w:rPr>
          <w:rFonts w:hAnsi="宋体" w:cs="宋体"/>
        </w:rPr>
        <w:t>数学模型在流域水环境耗氧污染物溯源中的应用主要是通过建立模型模拟污染物的来源、传输、转化及其扩散过程。常用的数学模型包括水质模型（如SWAT、MIKE21、Delft3D等）、污染物扩散模型和统计回归模型等。模型选择、构建、校准等具体操作可参考T/CSES 72。</w:t>
      </w:r>
    </w:p>
    <w:p w14:paraId="580253F5">
      <w:pPr>
        <w:pStyle w:val="28"/>
        <w:overflowPunct w:val="0"/>
        <w:spacing w:before="120" w:after="120"/>
        <w:rPr>
          <w:rFonts w:ascii="Times New Roman"/>
        </w:rPr>
      </w:pPr>
      <w:bookmarkStart w:id="36" w:name="_Toc455"/>
      <w:r>
        <w:rPr>
          <w:rFonts w:ascii="Times New Roman"/>
        </w:rPr>
        <w:t>三维荧光技术</w:t>
      </w:r>
      <w:bookmarkEnd w:id="36"/>
    </w:p>
    <w:p w14:paraId="6C5BB42B">
      <w:pPr>
        <w:pStyle w:val="30"/>
        <w:ind w:firstLine="420"/>
        <w:rPr>
          <w:rFonts w:hAnsi="宋体" w:cs="宋体"/>
        </w:rPr>
      </w:pPr>
      <w:bookmarkStart w:id="37" w:name="OLE_LINK1"/>
      <w:r>
        <w:rPr>
          <w:rFonts w:hint="eastAsia" w:hAnsi="宋体" w:cs="宋体"/>
        </w:rPr>
        <w:t>三维荧光技术</w:t>
      </w:r>
      <w:bookmarkEnd w:id="37"/>
      <w:r>
        <w:rPr>
          <w:rFonts w:hint="eastAsia" w:hAnsi="宋体" w:cs="宋体"/>
        </w:rPr>
        <w:t>（3D-EEM）是一种用于水质监测和污染物溯源的先进技术，通过测量水体中溶解物质的荧光特性，能够提供关于污染物来源、类型和浓度的信息。该技术特别适用于溯源COD、氨氮、总氮和总磷等耗氧污染物。</w:t>
      </w:r>
    </w:p>
    <w:p w14:paraId="151BD17B">
      <w:pPr>
        <w:pStyle w:val="30"/>
        <w:numPr>
          <w:ilvl w:val="0"/>
          <w:numId w:val="8"/>
        </w:numPr>
        <w:overflowPunct w:val="0"/>
        <w:ind w:firstLineChars="0"/>
        <w:rPr>
          <w:rFonts w:hAnsi="宋体" w:cs="宋体"/>
        </w:rPr>
      </w:pPr>
      <w:r>
        <w:rPr>
          <w:rFonts w:hAnsi="宋体" w:cs="宋体"/>
        </w:rPr>
        <w:t>样品采集与预处理。选择代表性的水体采样点，包括不同类型的水体（如地表水、污水排放口等）和不同污染源周围的水体。采样时应确保样品的代表性和无污染，采样后需进行适当的预处理，如过滤、酸化等，以去除悬浮物和颗粒物，避免对荧光测量结果的干扰。采集的水样通常需要在低温条件下保存，确保荧光特性的稳定性。</w:t>
      </w:r>
    </w:p>
    <w:p w14:paraId="674018E6">
      <w:pPr>
        <w:pStyle w:val="30"/>
        <w:numPr>
          <w:ilvl w:val="0"/>
          <w:numId w:val="8"/>
        </w:numPr>
        <w:overflowPunct w:val="0"/>
        <w:ind w:firstLineChars="0"/>
        <w:rPr>
          <w:rFonts w:hAnsi="宋体" w:cs="宋体"/>
        </w:rPr>
      </w:pPr>
      <w:r>
        <w:rPr>
          <w:rFonts w:hAnsi="宋体" w:cs="宋体"/>
        </w:rPr>
        <w:t>三维荧光光谱分析。将采集的水样送入三维荧光光谱仪进行测量，获取水样在不同激发波长和发射波长条件下的荧光强度数据，生成三维荧光光谱图（EEM</w:t>
      </w:r>
      <w:r>
        <w:rPr>
          <w:rFonts w:hint="eastAsia" w:hAnsi="宋体" w:cs="宋体"/>
        </w:rPr>
        <w:t>s</w:t>
      </w:r>
      <w:r>
        <w:rPr>
          <w:rFonts w:hAnsi="宋体" w:cs="宋体"/>
        </w:rPr>
        <w:t>）。该光谱图展示了水体中溶解物质的荧光特征，不同的污染物（如有机物、氮磷类物质等）会表现出不同的荧光特性。通过分析荧光强度的峰值和荧光带宽，可以推测水体中污染物的种类和浓度。</w:t>
      </w:r>
    </w:p>
    <w:p w14:paraId="210818C2">
      <w:pPr>
        <w:pStyle w:val="30"/>
        <w:numPr>
          <w:ilvl w:val="0"/>
          <w:numId w:val="8"/>
        </w:numPr>
        <w:overflowPunct w:val="0"/>
        <w:ind w:firstLineChars="0"/>
        <w:rPr>
          <w:rFonts w:hAnsi="宋体" w:cs="宋体"/>
        </w:rPr>
      </w:pPr>
      <w:r>
        <w:rPr>
          <w:rFonts w:hAnsi="宋体" w:cs="宋体"/>
        </w:rPr>
        <w:t>荧光指纹匹配与污染源分析。通过与已知污染源的荧光特征库进行对比，确定水体中污染物的来源。不同的污染源（如农业废水、城市污水、工业废水等）具有特定的荧光“指纹”，这些指纹与流域内的污染源类型密切相关。通过对比荧光光谱，可以判断不同污染源对水体污染的贡献比例。此外，荧光光谱也可以揭示污染物的转化与降解过程，进一步辅助溯源分析。</w:t>
      </w:r>
    </w:p>
    <w:p w14:paraId="4EAA7EDA">
      <w:pPr>
        <w:pStyle w:val="30"/>
        <w:numPr>
          <w:ilvl w:val="0"/>
          <w:numId w:val="8"/>
        </w:numPr>
        <w:overflowPunct w:val="0"/>
        <w:ind w:firstLineChars="0"/>
        <w:rPr>
          <w:rFonts w:hAnsi="宋体" w:cs="宋体"/>
        </w:rPr>
      </w:pPr>
      <w:r>
        <w:rPr>
          <w:rFonts w:hAnsi="宋体" w:cs="宋体"/>
        </w:rPr>
        <w:t>结果验证与溯源精确化。对三维荧光分析结果进行验证，通过与实际水质监测数据（如COD、氨氮、总氮和总磷的浓度）进行对比，检验荧光技术的准确性。如果荧光数据与水质监测结果存在较大差异，需要进一步调整荧光分析方法或增加采样点，确保污染源的识别精度。同时，根据荧光数据和水质模型的结合，精确化污染源的定位，为污染控制和治理措施提供依据。</w:t>
      </w:r>
    </w:p>
    <w:p w14:paraId="7DD149C2">
      <w:pPr>
        <w:pStyle w:val="30"/>
        <w:ind w:firstLine="420"/>
        <w:rPr>
          <w:rFonts w:hAnsi="宋体" w:cs="宋体"/>
        </w:rPr>
      </w:pPr>
      <w:r>
        <w:rPr>
          <w:rFonts w:hAnsi="宋体" w:cs="宋体"/>
        </w:rPr>
        <w:t>具体操作可参考T/ZAEPI 027。</w:t>
      </w:r>
    </w:p>
    <w:p w14:paraId="61078C23">
      <w:pPr>
        <w:pStyle w:val="30"/>
        <w:ind w:firstLine="420"/>
        <w:rPr>
          <w:rFonts w:ascii="Times New Roman"/>
        </w:rPr>
      </w:pPr>
    </w:p>
    <w:p w14:paraId="799813DF">
      <w:pPr>
        <w:pStyle w:val="29"/>
        <w:overflowPunct w:val="0"/>
        <w:spacing w:before="240" w:after="240"/>
        <w:rPr>
          <w:rFonts w:ascii="Times New Roman"/>
        </w:rPr>
      </w:pPr>
      <w:bookmarkStart w:id="38" w:name="_Toc7000"/>
      <w:r>
        <w:rPr>
          <w:rFonts w:ascii="Times New Roman"/>
        </w:rPr>
        <w:t>问题清单制定</w:t>
      </w:r>
      <w:bookmarkEnd w:id="38"/>
    </w:p>
    <w:p w14:paraId="5A3F4733">
      <w:pPr>
        <w:pStyle w:val="28"/>
        <w:overflowPunct w:val="0"/>
        <w:spacing w:before="120" w:after="120"/>
        <w:rPr>
          <w:rFonts w:ascii="Times New Roman"/>
        </w:rPr>
      </w:pPr>
      <w:bookmarkStart w:id="39" w:name="_Toc10866"/>
      <w:r>
        <w:rPr>
          <w:rFonts w:ascii="Times New Roman"/>
        </w:rPr>
        <w:t>问题识别与分类</w:t>
      </w:r>
      <w:bookmarkEnd w:id="39"/>
    </w:p>
    <w:p w14:paraId="489B4CAA">
      <w:pPr>
        <w:pStyle w:val="30"/>
        <w:ind w:firstLine="420"/>
        <w:rPr>
          <w:rFonts w:hAnsi="宋体" w:cs="宋体"/>
        </w:rPr>
      </w:pPr>
      <w:r>
        <w:rPr>
          <w:rFonts w:hint="eastAsia" w:hAnsi="宋体" w:cs="宋体"/>
        </w:rPr>
        <w:t>根据前期溯源结果，识别出流域内的污染问题，并将其分类。（1）根据污染物的种类（COD、氨氮、总氮、总磷）对问题进行分类；（2）根据污染源的类型（如农业、工业、生活污水、城市径流等）对问题进行细分。</w:t>
      </w:r>
    </w:p>
    <w:p w14:paraId="08D8E722">
      <w:pPr>
        <w:pStyle w:val="28"/>
        <w:overflowPunct w:val="0"/>
        <w:spacing w:before="120" w:after="120"/>
        <w:rPr>
          <w:rFonts w:ascii="Times New Roman"/>
        </w:rPr>
      </w:pPr>
      <w:bookmarkStart w:id="40" w:name="_Toc21997"/>
      <w:r>
        <w:rPr>
          <w:rFonts w:ascii="Times New Roman"/>
        </w:rPr>
        <w:t>评估污染源的贡献</w:t>
      </w:r>
      <w:bookmarkEnd w:id="40"/>
    </w:p>
    <w:p w14:paraId="0427C0DF">
      <w:pPr>
        <w:pStyle w:val="30"/>
        <w:ind w:firstLine="420"/>
        <w:rPr>
          <w:rFonts w:hAnsi="宋体" w:cs="宋体"/>
        </w:rPr>
      </w:pPr>
      <w:r>
        <w:rPr>
          <w:rFonts w:hAnsi="宋体" w:cs="宋体"/>
        </w:rPr>
        <w:t>对每个污染源进行评估，确定其对水体污染的贡献程度。这可以通过溯源分析中得到的污染物浓度数据以及源项分布情况来完成。应计算不同污染源对总污染物负荷的贡献比例，特别是占比高或具有显著影响的污染源。</w:t>
      </w:r>
    </w:p>
    <w:p w14:paraId="041EE35D">
      <w:pPr>
        <w:pStyle w:val="28"/>
        <w:overflowPunct w:val="0"/>
        <w:spacing w:before="120" w:after="120"/>
        <w:rPr>
          <w:rFonts w:ascii="Times New Roman"/>
        </w:rPr>
      </w:pPr>
      <w:bookmarkStart w:id="41" w:name="_Toc17558"/>
      <w:r>
        <w:rPr>
          <w:rFonts w:ascii="Times New Roman"/>
        </w:rPr>
        <w:t>确定污染物排放超标程度</w:t>
      </w:r>
      <w:bookmarkEnd w:id="41"/>
    </w:p>
    <w:p w14:paraId="30050AAD">
      <w:pPr>
        <w:pStyle w:val="30"/>
        <w:ind w:firstLine="420"/>
        <w:rPr>
          <w:rFonts w:hAnsi="宋体" w:cs="宋体"/>
        </w:rPr>
      </w:pPr>
      <w:r>
        <w:rPr>
          <w:rFonts w:hAnsi="宋体" w:cs="宋体"/>
        </w:rPr>
        <w:t>根据水质监测数据和模型模拟结果，进一步明确流域内各类污染物的排放超标程度。可以设定阈值，确定污染物超标的严重性和超标范围。对不同污染物进行分级管理，标出“重点治理区”和“次要治理区”。例如，对于超标严重的区域，可能需要立即采取治理措施；而对于超标较轻的区域，则可采取监控、预警等措施。问题清单见附录B。</w:t>
      </w:r>
    </w:p>
    <w:p w14:paraId="4C7768E9">
      <w:pPr>
        <w:pStyle w:val="28"/>
        <w:overflowPunct w:val="0"/>
        <w:spacing w:before="120" w:after="120"/>
        <w:rPr>
          <w:rFonts w:ascii="Times New Roman"/>
        </w:rPr>
      </w:pPr>
      <w:bookmarkStart w:id="42" w:name="_Toc29443"/>
      <w:r>
        <w:rPr>
          <w:rFonts w:ascii="Times New Roman"/>
        </w:rPr>
        <w:t>明确治理措施与建议</w:t>
      </w:r>
      <w:bookmarkEnd w:id="42"/>
    </w:p>
    <w:p w14:paraId="1C009939">
      <w:pPr>
        <w:pStyle w:val="30"/>
        <w:ind w:firstLine="420"/>
        <w:rPr>
          <w:rFonts w:ascii="Times New Roman"/>
        </w:rPr>
      </w:pPr>
      <w:r>
        <w:rPr>
          <w:rFonts w:ascii="Times New Roman"/>
        </w:rPr>
        <w:t>基于问题清单，提出相应的治理措施。例如：</w:t>
      </w:r>
    </w:p>
    <w:p w14:paraId="5E02ECBB">
      <w:pPr>
        <w:pStyle w:val="30"/>
        <w:ind w:firstLine="420"/>
        <w:rPr>
          <w:rFonts w:ascii="Times New Roman"/>
        </w:rPr>
      </w:pPr>
      <w:r>
        <w:rPr>
          <w:rFonts w:ascii="Times New Roman"/>
        </w:rPr>
        <w:t>对农业面源污染问题，可建议优化施肥、喷洒农药的方式，推广生态农业或精准农业。</w:t>
      </w:r>
    </w:p>
    <w:p w14:paraId="3140B7A6">
      <w:pPr>
        <w:pStyle w:val="30"/>
        <w:ind w:firstLine="420"/>
        <w:rPr>
          <w:rFonts w:ascii="Times New Roman"/>
        </w:rPr>
      </w:pPr>
      <w:r>
        <w:rPr>
          <w:rFonts w:ascii="Times New Roman"/>
        </w:rPr>
        <w:t>对工业污染源问题，可建议加大排放监控、提升废水处理技术等。</w:t>
      </w:r>
    </w:p>
    <w:p w14:paraId="1AD21C7F">
      <w:pPr>
        <w:pStyle w:val="30"/>
        <w:ind w:firstLine="420"/>
        <w:rPr>
          <w:rFonts w:ascii="Times New Roman"/>
        </w:rPr>
      </w:pPr>
      <w:r>
        <w:rPr>
          <w:rFonts w:ascii="Times New Roman"/>
        </w:rPr>
        <w:t>对生活污水排放问题，可建议完善污水处理设施，提高污水处理效率。</w:t>
      </w:r>
    </w:p>
    <w:p w14:paraId="099BE8AA">
      <w:pPr>
        <w:pStyle w:val="30"/>
        <w:ind w:firstLine="420"/>
        <w:rPr>
          <w:rFonts w:ascii="Times New Roman"/>
        </w:rPr>
      </w:pPr>
      <w:r>
        <w:rPr>
          <w:rFonts w:ascii="Times New Roman"/>
        </w:rPr>
        <w:t>每个问题应制定具体的治理方案和措施，并根据污染源的类型和污染程度优先处理。</w:t>
      </w:r>
    </w:p>
    <w:p w14:paraId="3D3981E6">
      <w:pPr>
        <w:adjustRightInd w:val="0"/>
        <w:snapToGrid w:val="0"/>
        <w:spacing w:line="240" w:lineRule="auto"/>
        <w:ind w:firstLine="408" w:firstLineChars="200"/>
        <w:jc w:val="both"/>
        <w:rPr>
          <w:rFonts w:cs="Times New Roman" w:eastAsiaTheme="minorEastAsia"/>
          <w:spacing w:val="-3"/>
          <w:sz w:val="21"/>
          <w:lang w:eastAsia="zh-CN"/>
        </w:rPr>
      </w:pPr>
      <w:bookmarkStart w:id="54" w:name="_GoBack"/>
      <w:bookmarkEnd w:id="54"/>
      <w:r>
        <w:rPr>
          <w:rFonts w:cs="Times New Roman" w:eastAsiaTheme="minorEastAsia"/>
          <w:spacing w:val="-3"/>
          <w:sz w:val="21"/>
          <w:lang w:eastAsia="zh-CN"/>
        </w:rPr>
        <w:t>建立一个动态更新的问题清单管理机制。随着后续水质监测、污染源治理措施的实施和效果评估，需要对问题清单进行周期性更新和调整。</w:t>
      </w:r>
    </w:p>
    <w:p w14:paraId="62391A9C">
      <w:pPr>
        <w:rPr>
          <w:rFonts w:cs="Times New Roman"/>
          <w:lang w:eastAsia="zh-CN"/>
        </w:rPr>
      </w:pPr>
    </w:p>
    <w:p w14:paraId="43BECC81">
      <w:pPr>
        <w:rPr>
          <w:rFonts w:cs="Times New Roman"/>
          <w:lang w:eastAsia="zh-CN"/>
        </w:rPr>
      </w:pPr>
    </w:p>
    <w:p w14:paraId="09B8580B">
      <w:pPr>
        <w:rPr>
          <w:rFonts w:cs="Times New Roman"/>
          <w:lang w:eastAsia="zh-CN"/>
        </w:rPr>
      </w:pPr>
    </w:p>
    <w:p w14:paraId="0016560C">
      <w:pPr>
        <w:rPr>
          <w:rFonts w:cs="Times New Roman"/>
          <w:lang w:eastAsia="zh-CN"/>
        </w:rPr>
      </w:pPr>
    </w:p>
    <w:p w14:paraId="73EFB8BD">
      <w:pPr>
        <w:rPr>
          <w:rFonts w:cs="Times New Roman"/>
          <w:lang w:eastAsia="zh-CN"/>
        </w:rPr>
      </w:pPr>
    </w:p>
    <w:p w14:paraId="4E8F1536">
      <w:pPr>
        <w:rPr>
          <w:rFonts w:cs="Times New Roman"/>
          <w:lang w:eastAsia="zh-CN"/>
        </w:rPr>
      </w:pPr>
    </w:p>
    <w:p w14:paraId="622D851E">
      <w:pPr>
        <w:rPr>
          <w:rFonts w:cs="Times New Roman"/>
          <w:lang w:eastAsia="zh-CN"/>
        </w:rPr>
      </w:pPr>
    </w:p>
    <w:p w14:paraId="0758BB33">
      <w:pPr>
        <w:rPr>
          <w:rFonts w:cs="Times New Roman"/>
          <w:lang w:eastAsia="zh-CN"/>
        </w:rPr>
      </w:pPr>
    </w:p>
    <w:p w14:paraId="72124B32">
      <w:pPr>
        <w:rPr>
          <w:rFonts w:cs="Times New Roman"/>
          <w:lang w:eastAsia="zh-CN"/>
        </w:rPr>
      </w:pPr>
    </w:p>
    <w:p w14:paraId="42DBBBCB">
      <w:pPr>
        <w:rPr>
          <w:rFonts w:cs="Times New Roman"/>
          <w:lang w:eastAsia="zh-CN"/>
        </w:rPr>
      </w:pPr>
    </w:p>
    <w:p w14:paraId="02C033B1">
      <w:pPr>
        <w:rPr>
          <w:rFonts w:cs="Times New Roman"/>
          <w:lang w:eastAsia="zh-CN"/>
        </w:rPr>
      </w:pPr>
    </w:p>
    <w:p w14:paraId="228BB1B8">
      <w:pPr>
        <w:rPr>
          <w:rFonts w:cs="Times New Roman"/>
          <w:lang w:eastAsia="zh-CN"/>
        </w:rPr>
      </w:pPr>
    </w:p>
    <w:p w14:paraId="642D9DF6">
      <w:pPr>
        <w:rPr>
          <w:rFonts w:cs="Times New Roman"/>
          <w:lang w:eastAsia="zh-CN"/>
        </w:rPr>
      </w:pPr>
    </w:p>
    <w:p w14:paraId="4511C71A">
      <w:pPr>
        <w:rPr>
          <w:rFonts w:cs="Times New Roman"/>
          <w:lang w:eastAsia="zh-CN"/>
        </w:rPr>
      </w:pPr>
    </w:p>
    <w:p w14:paraId="560FF707">
      <w:pPr>
        <w:rPr>
          <w:rFonts w:cs="Times New Roman"/>
          <w:lang w:eastAsia="zh-CN"/>
        </w:rPr>
      </w:pPr>
    </w:p>
    <w:p w14:paraId="3D84A56E">
      <w:pPr>
        <w:rPr>
          <w:rFonts w:cs="Times New Roman"/>
          <w:lang w:eastAsia="zh-CN"/>
        </w:rPr>
      </w:pPr>
    </w:p>
    <w:p w14:paraId="24CB374B">
      <w:pPr>
        <w:rPr>
          <w:rFonts w:cs="Times New Roman"/>
          <w:lang w:eastAsia="zh-CN"/>
        </w:rPr>
      </w:pPr>
    </w:p>
    <w:p w14:paraId="2314F2EB">
      <w:pPr>
        <w:rPr>
          <w:rFonts w:cs="Times New Roman"/>
          <w:lang w:eastAsia="zh-CN"/>
        </w:rPr>
      </w:pPr>
    </w:p>
    <w:p w14:paraId="75B7DD76">
      <w:pPr>
        <w:rPr>
          <w:rFonts w:cs="Times New Roman"/>
          <w:lang w:eastAsia="zh-CN"/>
        </w:rPr>
      </w:pPr>
    </w:p>
    <w:p w14:paraId="29B7EBA2">
      <w:pPr>
        <w:rPr>
          <w:rFonts w:cs="Times New Roman"/>
          <w:lang w:eastAsia="zh-CN"/>
        </w:rPr>
      </w:pPr>
    </w:p>
    <w:p w14:paraId="0FD771C2">
      <w:pPr>
        <w:rPr>
          <w:rFonts w:cs="Times New Roman"/>
          <w:lang w:eastAsia="zh-CN"/>
        </w:rPr>
      </w:pPr>
    </w:p>
    <w:p w14:paraId="5733D307">
      <w:pPr>
        <w:rPr>
          <w:rFonts w:cs="Times New Roman"/>
          <w:lang w:eastAsia="zh-CN"/>
        </w:rPr>
      </w:pPr>
    </w:p>
    <w:p w14:paraId="7A338C2E">
      <w:pPr>
        <w:rPr>
          <w:rFonts w:cs="Times New Roman"/>
          <w:lang w:eastAsia="zh-CN"/>
        </w:rPr>
      </w:pPr>
    </w:p>
    <w:p w14:paraId="2695BC58">
      <w:pPr>
        <w:rPr>
          <w:rFonts w:cs="Times New Roman"/>
          <w:lang w:eastAsia="zh-CN"/>
        </w:rPr>
      </w:pPr>
    </w:p>
    <w:p w14:paraId="59674AB8">
      <w:pPr>
        <w:rPr>
          <w:rFonts w:cs="Times New Roman"/>
          <w:lang w:eastAsia="zh-CN"/>
        </w:rPr>
      </w:pPr>
    </w:p>
    <w:p w14:paraId="6AAA4B02">
      <w:pPr>
        <w:rPr>
          <w:rFonts w:cs="Times New Roman"/>
          <w:lang w:eastAsia="zh-CN"/>
        </w:rPr>
      </w:pPr>
    </w:p>
    <w:p w14:paraId="220C8796">
      <w:pPr>
        <w:rPr>
          <w:lang w:eastAsia="zh-CN"/>
        </w:rPr>
      </w:pPr>
      <w:bookmarkStart w:id="43" w:name="_Toc185710553"/>
      <w:bookmarkEnd w:id="43"/>
      <w:bookmarkStart w:id="44" w:name="_Toc185594093"/>
      <w:bookmarkEnd w:id="44"/>
      <w:bookmarkStart w:id="45" w:name="_Toc185594055"/>
      <w:bookmarkEnd w:id="45"/>
      <w:bookmarkStart w:id="46" w:name="_Toc185594056"/>
      <w:bookmarkEnd w:id="46"/>
      <w:bookmarkStart w:id="47" w:name="_Toc185710515"/>
      <w:bookmarkEnd w:id="47"/>
      <w:bookmarkStart w:id="48" w:name="_Toc185710514"/>
      <w:bookmarkEnd w:id="48"/>
      <w:bookmarkStart w:id="49" w:name="_Toc185594054"/>
      <w:bookmarkEnd w:id="49"/>
      <w:bookmarkStart w:id="50" w:name="_Toc185710516"/>
      <w:bookmarkEnd w:id="50"/>
      <w:bookmarkStart w:id="51" w:name="_Toc77263541"/>
    </w:p>
    <w:p w14:paraId="55BA42A2">
      <w:pPr>
        <w:rPr>
          <w:lang w:eastAsia="zh-CN"/>
        </w:rPr>
      </w:pPr>
    </w:p>
    <w:p w14:paraId="659B2315">
      <w:pPr>
        <w:pStyle w:val="2"/>
        <w:spacing w:before="850" w:after="0" w:line="240" w:lineRule="auto"/>
        <w:jc w:val="center"/>
        <w:rPr>
          <w:rFonts w:ascii="黑体" w:hAnsi="黑体" w:eastAsia="黑体" w:cs="黑体"/>
          <w:b w:val="0"/>
          <w:sz w:val="21"/>
          <w:szCs w:val="20"/>
          <w:lang w:eastAsia="zh-CN"/>
        </w:rPr>
      </w:pPr>
      <w:bookmarkStart w:id="52" w:name="_Toc20336"/>
      <w:r>
        <w:rPr>
          <w:rFonts w:hint="eastAsia" w:ascii="黑体" w:hAnsi="黑体" w:eastAsia="黑体" w:cs="黑体"/>
          <w:b w:val="0"/>
          <w:sz w:val="21"/>
          <w:szCs w:val="20"/>
          <w:lang w:eastAsia="zh-CN"/>
        </w:rPr>
        <w:t xml:space="preserve">附 录  </w:t>
      </w:r>
      <w:r>
        <w:rPr>
          <w:rFonts w:eastAsia="黑体" w:cs="Times New Roman"/>
          <w:b w:val="0"/>
          <w:sz w:val="21"/>
          <w:szCs w:val="20"/>
          <w:lang w:eastAsia="zh-CN"/>
        </w:rPr>
        <w:t>A</w:t>
      </w:r>
      <w:bookmarkEnd w:id="52"/>
    </w:p>
    <w:p w14:paraId="0B9DBB7E">
      <w:pPr>
        <w:spacing w:line="240" w:lineRule="auto"/>
        <w:jc w:val="center"/>
        <w:rPr>
          <w:rFonts w:eastAsia="黑体" w:cs="Times New Roman"/>
          <w:sz w:val="21"/>
          <w:lang w:eastAsia="zh-CN"/>
        </w:rPr>
      </w:pPr>
      <w:r>
        <w:rPr>
          <w:rFonts w:eastAsia="黑体" w:cs="Times New Roman"/>
          <w:sz w:val="21"/>
          <w:lang w:eastAsia="zh-CN"/>
        </w:rPr>
        <w:t>（资料性）</w:t>
      </w:r>
    </w:p>
    <w:p w14:paraId="3D2E829A">
      <w:pPr>
        <w:spacing w:after="283" w:line="240" w:lineRule="auto"/>
        <w:jc w:val="center"/>
        <w:rPr>
          <w:rFonts w:eastAsia="黑体" w:cs="Times New Roman"/>
          <w:sz w:val="21"/>
          <w:lang w:eastAsia="zh-CN"/>
        </w:rPr>
      </w:pPr>
      <w:r>
        <w:rPr>
          <w:rFonts w:eastAsia="黑体" w:cs="Times New Roman"/>
          <w:sz w:val="21"/>
          <w:lang w:eastAsia="zh-CN"/>
        </w:rPr>
        <w:t>多技术集成溯源方法技术特点和适用条件</w:t>
      </w:r>
    </w:p>
    <w:p w14:paraId="3C551FC4">
      <w:pPr>
        <w:adjustRightInd w:val="0"/>
        <w:snapToGrid w:val="0"/>
        <w:spacing w:line="240" w:lineRule="auto"/>
        <w:ind w:firstLine="408" w:firstLineChars="200"/>
        <w:jc w:val="both"/>
        <w:rPr>
          <w:rFonts w:ascii="宋体" w:hAnsi="宋体" w:cs="宋体"/>
          <w:spacing w:val="-3"/>
          <w:sz w:val="21"/>
          <w:lang w:eastAsia="zh-CN"/>
        </w:rPr>
      </w:pPr>
      <w:r>
        <w:rPr>
          <w:rFonts w:hint="eastAsia" w:ascii="宋体" w:hAnsi="宋体" w:cs="宋体"/>
          <w:spacing w:val="-3"/>
          <w:sz w:val="21"/>
          <w:lang w:eastAsia="zh-CN"/>
        </w:rPr>
        <w:t>流域水环境耗氧污染物溯源的可选技术方法包括地理信息系统（GIS）技术、稳定同位素技术、数学模型和三维荧光技术。不同方法原理、技术特点和适用条件各不相同，如表A.1所示。</w:t>
      </w:r>
    </w:p>
    <w:p w14:paraId="28B08988">
      <w:pPr>
        <w:adjustRightInd w:val="0"/>
        <w:snapToGrid w:val="0"/>
        <w:spacing w:line="240" w:lineRule="auto"/>
        <w:jc w:val="center"/>
        <w:rPr>
          <w:rFonts w:eastAsia="黑体" w:cs="Times New Roman"/>
          <w:spacing w:val="-3"/>
          <w:sz w:val="21"/>
          <w:lang w:eastAsia="zh-CN"/>
        </w:rPr>
      </w:pPr>
      <w:r>
        <w:rPr>
          <w:rFonts w:eastAsia="黑体" w:cs="Times New Roman"/>
          <w:spacing w:val="-3"/>
          <w:sz w:val="21"/>
          <w:lang w:eastAsia="zh-CN"/>
        </w:rPr>
        <w:t>表A.1 多技术集成溯源方法技术特点和适用条件</w:t>
      </w:r>
    </w:p>
    <w:tbl>
      <w:tblPr>
        <w:tblStyle w:val="16"/>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098"/>
        <w:gridCol w:w="1871"/>
        <w:gridCol w:w="1701"/>
        <w:gridCol w:w="1711"/>
      </w:tblGrid>
      <w:tr w14:paraId="4A26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Align w:val="center"/>
          </w:tcPr>
          <w:p w14:paraId="1798EC64">
            <w:pPr>
              <w:widowControl w:val="0"/>
              <w:spacing w:line="240" w:lineRule="auto"/>
              <w:jc w:val="center"/>
              <w:rPr>
                <w:rFonts w:ascii="宋体" w:hAnsi="宋体" w:cs="宋体"/>
                <w:sz w:val="18"/>
                <w:szCs w:val="18"/>
                <w:lang w:eastAsia="zh-CN"/>
              </w:rPr>
            </w:pPr>
            <w:r>
              <w:rPr>
                <w:rFonts w:hint="eastAsia" w:ascii="宋体" w:hAnsi="宋体" w:cs="宋体"/>
                <w:sz w:val="18"/>
                <w:szCs w:val="18"/>
                <w:lang w:eastAsia="zh-CN"/>
              </w:rPr>
              <w:t>溯源方法</w:t>
            </w:r>
          </w:p>
        </w:tc>
        <w:tc>
          <w:tcPr>
            <w:tcW w:w="2098" w:type="dxa"/>
            <w:vAlign w:val="center"/>
          </w:tcPr>
          <w:p w14:paraId="60B184D4">
            <w:pPr>
              <w:widowControl w:val="0"/>
              <w:spacing w:line="240" w:lineRule="auto"/>
              <w:jc w:val="center"/>
              <w:rPr>
                <w:rFonts w:ascii="宋体" w:hAnsi="宋体" w:cs="宋体"/>
                <w:sz w:val="18"/>
                <w:szCs w:val="18"/>
                <w:lang w:eastAsia="zh-CN"/>
              </w:rPr>
            </w:pPr>
            <w:r>
              <w:rPr>
                <w:rFonts w:hint="eastAsia" w:ascii="宋体" w:hAnsi="宋体" w:cs="宋体"/>
                <w:sz w:val="18"/>
                <w:szCs w:val="18"/>
                <w:lang w:eastAsia="zh-CN"/>
              </w:rPr>
              <w:t>技术原理</w:t>
            </w:r>
          </w:p>
        </w:tc>
        <w:tc>
          <w:tcPr>
            <w:tcW w:w="1871" w:type="dxa"/>
            <w:vAlign w:val="center"/>
          </w:tcPr>
          <w:p w14:paraId="1541A451">
            <w:pPr>
              <w:widowControl w:val="0"/>
              <w:spacing w:line="240" w:lineRule="auto"/>
              <w:jc w:val="center"/>
              <w:rPr>
                <w:rFonts w:ascii="宋体" w:hAnsi="宋体" w:cs="宋体"/>
                <w:sz w:val="18"/>
                <w:szCs w:val="18"/>
                <w:lang w:eastAsia="zh-CN"/>
              </w:rPr>
            </w:pPr>
            <w:r>
              <w:rPr>
                <w:rFonts w:hint="eastAsia" w:ascii="宋体" w:hAnsi="宋体" w:cs="宋体"/>
                <w:sz w:val="18"/>
                <w:szCs w:val="18"/>
                <w:lang w:eastAsia="zh-CN"/>
              </w:rPr>
              <w:t>主要优点</w:t>
            </w:r>
          </w:p>
        </w:tc>
        <w:tc>
          <w:tcPr>
            <w:tcW w:w="1701" w:type="dxa"/>
            <w:vAlign w:val="center"/>
          </w:tcPr>
          <w:p w14:paraId="12496F1A">
            <w:pPr>
              <w:widowControl w:val="0"/>
              <w:spacing w:line="240" w:lineRule="auto"/>
              <w:jc w:val="center"/>
              <w:rPr>
                <w:rFonts w:ascii="宋体" w:hAnsi="宋体" w:cs="宋体"/>
                <w:sz w:val="18"/>
                <w:szCs w:val="18"/>
                <w:lang w:eastAsia="zh-CN"/>
              </w:rPr>
            </w:pPr>
            <w:r>
              <w:rPr>
                <w:rFonts w:hint="eastAsia" w:ascii="宋体" w:hAnsi="宋体" w:cs="宋体"/>
                <w:sz w:val="18"/>
                <w:szCs w:val="18"/>
                <w:lang w:eastAsia="zh-CN"/>
              </w:rPr>
              <w:t>技术局限</w:t>
            </w:r>
          </w:p>
        </w:tc>
        <w:tc>
          <w:tcPr>
            <w:tcW w:w="1711" w:type="dxa"/>
            <w:vAlign w:val="center"/>
          </w:tcPr>
          <w:p w14:paraId="2637EA59">
            <w:pPr>
              <w:widowControl w:val="0"/>
              <w:spacing w:line="240" w:lineRule="auto"/>
              <w:jc w:val="center"/>
              <w:rPr>
                <w:rFonts w:ascii="宋体" w:hAnsi="宋体" w:cs="宋体"/>
                <w:sz w:val="18"/>
                <w:szCs w:val="18"/>
                <w:lang w:eastAsia="zh-CN"/>
              </w:rPr>
            </w:pPr>
            <w:r>
              <w:rPr>
                <w:rFonts w:hint="eastAsia" w:ascii="宋体" w:hAnsi="宋体" w:cs="宋体"/>
                <w:sz w:val="18"/>
                <w:szCs w:val="18"/>
                <w:lang w:eastAsia="zh-CN"/>
              </w:rPr>
              <w:t>适用条件</w:t>
            </w:r>
          </w:p>
        </w:tc>
      </w:tr>
      <w:tr w14:paraId="580B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134" w:type="dxa"/>
            <w:vAlign w:val="center"/>
          </w:tcPr>
          <w:p w14:paraId="36375578">
            <w:pPr>
              <w:widowControl w:val="0"/>
              <w:spacing w:line="240" w:lineRule="auto"/>
              <w:jc w:val="center"/>
              <w:rPr>
                <w:rFonts w:ascii="宋体" w:hAnsi="宋体" w:cs="宋体"/>
                <w:sz w:val="18"/>
                <w:szCs w:val="18"/>
                <w:lang w:eastAsia="zh-CN"/>
              </w:rPr>
            </w:pPr>
            <w:r>
              <w:rPr>
                <w:rFonts w:hint="eastAsia" w:ascii="宋体" w:hAnsi="宋体" w:cs="宋体"/>
                <w:sz w:val="18"/>
                <w:szCs w:val="18"/>
                <w:lang w:eastAsia="zh-CN"/>
              </w:rPr>
              <w:t>地理信息系统（GIS）技术</w:t>
            </w:r>
          </w:p>
        </w:tc>
        <w:tc>
          <w:tcPr>
            <w:tcW w:w="2098" w:type="dxa"/>
            <w:vAlign w:val="center"/>
          </w:tcPr>
          <w:p w14:paraId="03D6A2F5">
            <w:pPr>
              <w:pStyle w:val="3"/>
              <w:widowControl w:val="0"/>
              <w:spacing w:line="240" w:lineRule="auto"/>
              <w:ind w:firstLine="0" w:firstLineChars="0"/>
              <w:jc w:val="both"/>
              <w:rPr>
                <w:rFonts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通过空间数据（遥感影像、DEM、矢量数据等）对流域范围内的污染源进行空间分析，识别污染源分布、污染物扩散路径以及影响范围</w:t>
            </w:r>
          </w:p>
        </w:tc>
        <w:tc>
          <w:tcPr>
            <w:tcW w:w="1871" w:type="dxa"/>
            <w:vAlign w:val="center"/>
          </w:tcPr>
          <w:p w14:paraId="5C36339F">
            <w:pPr>
              <w:pStyle w:val="3"/>
              <w:widowControl w:val="0"/>
              <w:spacing w:line="240" w:lineRule="auto"/>
              <w:ind w:firstLine="0" w:firstLineChars="0"/>
              <w:jc w:val="both"/>
              <w:rPr>
                <w:rFonts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（1）能整合多源空间数据，进行区域性污染源识别与评估；（2）操作便捷、适用范围广，适合大范围流域污染源分析</w:t>
            </w:r>
          </w:p>
        </w:tc>
        <w:tc>
          <w:tcPr>
            <w:tcW w:w="1701" w:type="dxa"/>
            <w:vAlign w:val="center"/>
          </w:tcPr>
          <w:p w14:paraId="26673175">
            <w:pPr>
              <w:pStyle w:val="3"/>
              <w:widowControl w:val="0"/>
              <w:spacing w:line="240" w:lineRule="auto"/>
              <w:ind w:firstLine="0" w:firstLineChars="0"/>
              <w:jc w:val="both"/>
              <w:rPr>
                <w:rFonts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（1）依赖高质量空间数据，若数据不完整或精度低，结果会受到较大影响；（2）不适合实时监测</w:t>
            </w:r>
          </w:p>
        </w:tc>
        <w:tc>
          <w:tcPr>
            <w:tcW w:w="1711" w:type="dxa"/>
            <w:vAlign w:val="center"/>
          </w:tcPr>
          <w:p w14:paraId="5FE10F0C">
            <w:pPr>
              <w:pStyle w:val="3"/>
              <w:widowControl w:val="0"/>
              <w:spacing w:line="240" w:lineRule="auto"/>
              <w:ind w:firstLine="0" w:firstLineChars="0"/>
              <w:jc w:val="both"/>
              <w:rPr>
                <w:rFonts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适用于具有空间数据支持的流域，尤其适合需要大范围污染源分析、评估污染源分布情况的研究</w:t>
            </w:r>
          </w:p>
        </w:tc>
      </w:tr>
      <w:tr w14:paraId="19A1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134" w:type="dxa"/>
            <w:vAlign w:val="center"/>
          </w:tcPr>
          <w:p w14:paraId="3FB26A18">
            <w:pPr>
              <w:widowControl w:val="0"/>
              <w:spacing w:line="240" w:lineRule="auto"/>
              <w:jc w:val="center"/>
              <w:rPr>
                <w:rFonts w:ascii="宋体" w:hAnsi="宋体" w:cs="宋体"/>
                <w:sz w:val="18"/>
                <w:szCs w:val="18"/>
                <w:lang w:eastAsia="zh-CN"/>
              </w:rPr>
            </w:pPr>
            <w:r>
              <w:rPr>
                <w:rFonts w:hint="eastAsia" w:ascii="宋体" w:hAnsi="宋体" w:cs="宋体"/>
                <w:sz w:val="18"/>
                <w:szCs w:val="18"/>
                <w:lang w:eastAsia="zh-CN"/>
              </w:rPr>
              <w:t>稳定同位素技术</w:t>
            </w:r>
          </w:p>
        </w:tc>
        <w:tc>
          <w:tcPr>
            <w:tcW w:w="2098" w:type="dxa"/>
            <w:vAlign w:val="center"/>
          </w:tcPr>
          <w:p w14:paraId="3A9CE0ED">
            <w:pPr>
              <w:widowControl w:val="0"/>
              <w:spacing w:line="240" w:lineRule="auto"/>
              <w:jc w:val="both"/>
              <w:rPr>
                <w:rFonts w:ascii="宋体" w:hAnsi="宋体" w:cs="宋体"/>
                <w:sz w:val="18"/>
                <w:szCs w:val="18"/>
                <w:lang w:eastAsia="zh-CN"/>
              </w:rPr>
            </w:pPr>
            <w:r>
              <w:rPr>
                <w:rFonts w:hint="eastAsia" w:ascii="宋体" w:hAnsi="宋体" w:cs="宋体"/>
                <w:sz w:val="18"/>
                <w:szCs w:val="18"/>
                <w:lang w:eastAsia="zh-CN"/>
              </w:rPr>
              <w:t>通过分析水体中稳定同位素的比例，推测污染物的来源、迁移路径及其污染源类型，帮助精确确定污染源</w:t>
            </w:r>
          </w:p>
        </w:tc>
        <w:tc>
          <w:tcPr>
            <w:tcW w:w="1871" w:type="dxa"/>
            <w:vAlign w:val="center"/>
          </w:tcPr>
          <w:p w14:paraId="2F6DC581">
            <w:pPr>
              <w:widowControl w:val="0"/>
              <w:spacing w:line="240" w:lineRule="auto"/>
              <w:jc w:val="both"/>
              <w:rPr>
                <w:rFonts w:ascii="宋体" w:hAnsi="宋体" w:cs="宋体"/>
                <w:sz w:val="18"/>
                <w:szCs w:val="18"/>
                <w:lang w:eastAsia="zh-CN"/>
              </w:rPr>
            </w:pPr>
            <w:r>
              <w:rPr>
                <w:rFonts w:hint="eastAsia" w:ascii="宋体" w:hAnsi="宋体" w:cs="宋体"/>
                <w:sz w:val="18"/>
                <w:szCs w:val="18"/>
                <w:lang w:eastAsia="zh-CN"/>
              </w:rPr>
              <w:t>高灵敏度和高精度，适用于污染源追溯，尤其能精确追溯污染物的源头和迁移过程</w:t>
            </w:r>
          </w:p>
        </w:tc>
        <w:tc>
          <w:tcPr>
            <w:tcW w:w="1701" w:type="dxa"/>
            <w:vAlign w:val="center"/>
          </w:tcPr>
          <w:p w14:paraId="213EC4CD">
            <w:pPr>
              <w:widowControl w:val="0"/>
              <w:spacing w:line="240" w:lineRule="auto"/>
              <w:jc w:val="both"/>
              <w:rPr>
                <w:rFonts w:ascii="宋体" w:hAnsi="宋体" w:cs="宋体"/>
                <w:sz w:val="18"/>
                <w:szCs w:val="18"/>
                <w:lang w:eastAsia="zh-CN"/>
              </w:rPr>
            </w:pPr>
            <w:r>
              <w:rPr>
                <w:rFonts w:hint="eastAsia" w:ascii="宋体" w:hAnsi="宋体" w:cs="宋体"/>
                <w:sz w:val="18"/>
                <w:szCs w:val="18"/>
                <w:lang w:eastAsia="zh-CN"/>
              </w:rPr>
              <w:t>设备和分析成本较高，实施周期较长，需专业技术人员，操作复杂</w:t>
            </w:r>
          </w:p>
        </w:tc>
        <w:tc>
          <w:tcPr>
            <w:tcW w:w="1711" w:type="dxa"/>
            <w:vAlign w:val="center"/>
          </w:tcPr>
          <w:p w14:paraId="0010A546">
            <w:pPr>
              <w:widowControl w:val="0"/>
              <w:spacing w:line="240" w:lineRule="auto"/>
              <w:jc w:val="both"/>
              <w:rPr>
                <w:rFonts w:ascii="宋体" w:hAnsi="宋体" w:cs="宋体"/>
                <w:sz w:val="18"/>
                <w:szCs w:val="18"/>
                <w:lang w:eastAsia="zh-CN"/>
              </w:rPr>
            </w:pPr>
            <w:r>
              <w:rPr>
                <w:rFonts w:hint="eastAsia" w:ascii="宋体" w:hAnsi="宋体" w:cs="宋体"/>
                <w:sz w:val="18"/>
                <w:szCs w:val="18"/>
                <w:lang w:eastAsia="zh-CN"/>
              </w:rPr>
              <w:t>适用于污染源复杂、来源不明确的区域，尤其在污染物具有明确同位素特征，能够精准追溯源头时</w:t>
            </w:r>
          </w:p>
        </w:tc>
      </w:tr>
      <w:tr w14:paraId="77F9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134" w:type="dxa"/>
            <w:vAlign w:val="center"/>
          </w:tcPr>
          <w:p w14:paraId="53CCE7E8">
            <w:pPr>
              <w:widowControl w:val="0"/>
              <w:spacing w:line="240" w:lineRule="auto"/>
              <w:jc w:val="center"/>
              <w:rPr>
                <w:rFonts w:ascii="宋体" w:hAnsi="宋体" w:cs="宋体"/>
                <w:sz w:val="18"/>
                <w:szCs w:val="18"/>
                <w:lang w:eastAsia="zh-CN"/>
              </w:rPr>
            </w:pPr>
            <w:r>
              <w:rPr>
                <w:rFonts w:hint="eastAsia" w:ascii="宋体" w:hAnsi="宋体" w:cs="宋体"/>
                <w:sz w:val="18"/>
                <w:szCs w:val="18"/>
                <w:lang w:eastAsia="zh-CN"/>
              </w:rPr>
              <w:t>数学模型</w:t>
            </w:r>
          </w:p>
        </w:tc>
        <w:tc>
          <w:tcPr>
            <w:tcW w:w="2098" w:type="dxa"/>
            <w:vAlign w:val="center"/>
          </w:tcPr>
          <w:p w14:paraId="76E97F65">
            <w:pPr>
              <w:widowControl w:val="0"/>
              <w:spacing w:line="240" w:lineRule="auto"/>
              <w:jc w:val="both"/>
              <w:rPr>
                <w:rFonts w:ascii="宋体" w:hAnsi="宋体" w:cs="宋体"/>
                <w:sz w:val="18"/>
                <w:szCs w:val="18"/>
                <w:lang w:eastAsia="zh-CN"/>
              </w:rPr>
            </w:pPr>
            <w:r>
              <w:rPr>
                <w:rFonts w:hint="eastAsia" w:ascii="宋体" w:hAnsi="宋体" w:cs="宋体"/>
                <w:sz w:val="18"/>
                <w:szCs w:val="18"/>
                <w:lang w:eastAsia="zh-CN"/>
              </w:rPr>
              <w:t>利用水质模型（如水动力学模型、水质传输模型等）模拟污染物在水体中的扩散、转化和沉降过程，从而确定污染源和其对水质的影响</w:t>
            </w:r>
          </w:p>
        </w:tc>
        <w:tc>
          <w:tcPr>
            <w:tcW w:w="1871" w:type="dxa"/>
            <w:vAlign w:val="center"/>
          </w:tcPr>
          <w:p w14:paraId="76C944B1">
            <w:pPr>
              <w:widowControl w:val="0"/>
              <w:spacing w:line="240" w:lineRule="auto"/>
              <w:jc w:val="both"/>
              <w:rPr>
                <w:rFonts w:ascii="宋体" w:hAnsi="宋体" w:cs="宋体"/>
                <w:sz w:val="18"/>
                <w:szCs w:val="18"/>
                <w:lang w:eastAsia="zh-CN"/>
              </w:rPr>
            </w:pPr>
            <w:r>
              <w:rPr>
                <w:rFonts w:hint="eastAsia" w:ascii="宋体" w:hAnsi="宋体" w:cs="宋体"/>
                <w:sz w:val="18"/>
                <w:szCs w:val="18"/>
                <w:lang w:eastAsia="zh-CN"/>
              </w:rPr>
              <w:t>可以通过精确的模型模拟评估污染源的贡献，适用于大范围流域的长期监测与污染评估</w:t>
            </w:r>
          </w:p>
        </w:tc>
        <w:tc>
          <w:tcPr>
            <w:tcW w:w="1701" w:type="dxa"/>
            <w:vAlign w:val="center"/>
          </w:tcPr>
          <w:p w14:paraId="225D3602">
            <w:pPr>
              <w:widowControl w:val="0"/>
              <w:spacing w:line="240" w:lineRule="auto"/>
              <w:jc w:val="both"/>
              <w:rPr>
                <w:rFonts w:ascii="宋体" w:hAnsi="宋体" w:cs="宋体"/>
                <w:sz w:val="18"/>
                <w:szCs w:val="18"/>
                <w:lang w:eastAsia="zh-CN"/>
              </w:rPr>
            </w:pPr>
            <w:r>
              <w:rPr>
                <w:rFonts w:hint="eastAsia" w:ascii="宋体" w:hAnsi="宋体" w:cs="宋体"/>
                <w:sz w:val="18"/>
                <w:szCs w:val="18"/>
                <w:lang w:eastAsia="zh-CN"/>
              </w:rPr>
              <w:t>（1）模型结果受输入数据的精度和假设条件的影响较大，可能存在一定的误差；（2）模型复杂，维护和更新成本高</w:t>
            </w:r>
          </w:p>
        </w:tc>
        <w:tc>
          <w:tcPr>
            <w:tcW w:w="1711" w:type="dxa"/>
            <w:vAlign w:val="center"/>
          </w:tcPr>
          <w:p w14:paraId="6CEDC05E">
            <w:pPr>
              <w:widowControl w:val="0"/>
              <w:spacing w:line="240" w:lineRule="auto"/>
              <w:jc w:val="both"/>
              <w:rPr>
                <w:rFonts w:ascii="宋体" w:hAnsi="宋体" w:cs="宋体"/>
                <w:sz w:val="18"/>
                <w:szCs w:val="18"/>
                <w:lang w:eastAsia="zh-CN"/>
              </w:rPr>
            </w:pPr>
            <w:r>
              <w:rPr>
                <w:rFonts w:hint="eastAsia" w:ascii="宋体" w:hAnsi="宋体" w:cs="宋体"/>
                <w:sz w:val="18"/>
                <w:szCs w:val="18"/>
                <w:lang w:eastAsia="zh-CN"/>
              </w:rPr>
              <w:t>适用于有长期监测数据、能够进行水质模拟的流域，尤其是可以模拟污染物扩散与转化的区域</w:t>
            </w:r>
          </w:p>
        </w:tc>
      </w:tr>
      <w:tr w14:paraId="5699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134" w:type="dxa"/>
            <w:vAlign w:val="center"/>
          </w:tcPr>
          <w:p w14:paraId="446AC5FF">
            <w:pPr>
              <w:widowControl w:val="0"/>
              <w:spacing w:line="240" w:lineRule="auto"/>
              <w:jc w:val="center"/>
              <w:rPr>
                <w:rFonts w:ascii="宋体" w:hAnsi="宋体" w:cs="宋体"/>
                <w:sz w:val="18"/>
                <w:szCs w:val="18"/>
                <w:lang w:eastAsia="zh-CN"/>
              </w:rPr>
            </w:pPr>
            <w:r>
              <w:rPr>
                <w:rFonts w:hint="eastAsia" w:ascii="宋体" w:hAnsi="宋体" w:cs="宋体"/>
                <w:sz w:val="18"/>
                <w:szCs w:val="18"/>
                <w:lang w:eastAsia="zh-CN"/>
              </w:rPr>
              <w:t>三维荧光技术</w:t>
            </w:r>
          </w:p>
        </w:tc>
        <w:tc>
          <w:tcPr>
            <w:tcW w:w="2098" w:type="dxa"/>
            <w:vAlign w:val="center"/>
          </w:tcPr>
          <w:p w14:paraId="4F3A8EE5">
            <w:pPr>
              <w:widowControl w:val="0"/>
              <w:spacing w:line="240" w:lineRule="auto"/>
              <w:jc w:val="both"/>
              <w:rPr>
                <w:rFonts w:ascii="宋体" w:hAnsi="宋体" w:cs="宋体"/>
                <w:sz w:val="18"/>
                <w:szCs w:val="18"/>
                <w:lang w:eastAsia="zh-CN"/>
              </w:rPr>
            </w:pPr>
            <w:r>
              <w:rPr>
                <w:rFonts w:hint="eastAsia" w:ascii="宋体" w:hAnsi="宋体" w:cs="宋体"/>
                <w:sz w:val="18"/>
                <w:szCs w:val="18"/>
                <w:lang w:eastAsia="zh-CN"/>
              </w:rPr>
              <w:t>通过激发水体中的荧光物质，利用荧光光谱分析技术对水质进行溯源，确定污染物质的来源及浓度</w:t>
            </w:r>
          </w:p>
        </w:tc>
        <w:tc>
          <w:tcPr>
            <w:tcW w:w="1871" w:type="dxa"/>
            <w:vAlign w:val="center"/>
          </w:tcPr>
          <w:p w14:paraId="1488B711">
            <w:pPr>
              <w:widowControl w:val="0"/>
              <w:spacing w:line="240" w:lineRule="auto"/>
              <w:jc w:val="both"/>
              <w:rPr>
                <w:rFonts w:ascii="宋体" w:hAnsi="宋体" w:cs="宋体"/>
                <w:sz w:val="18"/>
                <w:szCs w:val="18"/>
                <w:lang w:eastAsia="zh-CN"/>
              </w:rPr>
            </w:pPr>
            <w:r>
              <w:rPr>
                <w:rFonts w:hint="eastAsia" w:ascii="宋体" w:hAnsi="宋体" w:cs="宋体"/>
                <w:sz w:val="18"/>
                <w:szCs w:val="18"/>
                <w:lang w:eastAsia="zh-CN"/>
              </w:rPr>
              <w:t>高灵敏度、快速无损检测，能够实时监测水质，适用于多污染物源的溯源</w:t>
            </w:r>
          </w:p>
        </w:tc>
        <w:tc>
          <w:tcPr>
            <w:tcW w:w="1701" w:type="dxa"/>
            <w:vAlign w:val="center"/>
          </w:tcPr>
          <w:p w14:paraId="5BE3D2C7">
            <w:pPr>
              <w:widowControl w:val="0"/>
              <w:spacing w:line="240" w:lineRule="auto"/>
              <w:jc w:val="both"/>
              <w:rPr>
                <w:rFonts w:ascii="宋体" w:hAnsi="宋体" w:cs="宋体"/>
                <w:sz w:val="18"/>
                <w:szCs w:val="18"/>
                <w:lang w:eastAsia="zh-CN"/>
              </w:rPr>
            </w:pPr>
            <w:r>
              <w:rPr>
                <w:rFonts w:hint="eastAsia" w:ascii="宋体" w:hAnsi="宋体" w:cs="宋体"/>
                <w:sz w:val="18"/>
                <w:szCs w:val="18"/>
                <w:lang w:eastAsia="zh-CN"/>
              </w:rPr>
              <w:t>（1）仅适用于含有荧光物质的污染源，部分污染物可能无法通过此技术识别；（2）设备投入较高，技术要求较高</w:t>
            </w:r>
          </w:p>
        </w:tc>
        <w:tc>
          <w:tcPr>
            <w:tcW w:w="1711" w:type="dxa"/>
            <w:vAlign w:val="center"/>
          </w:tcPr>
          <w:p w14:paraId="4E1A00B2">
            <w:pPr>
              <w:widowControl w:val="0"/>
              <w:spacing w:line="240" w:lineRule="auto"/>
              <w:jc w:val="both"/>
              <w:rPr>
                <w:rFonts w:ascii="宋体" w:hAnsi="宋体" w:cs="宋体"/>
                <w:sz w:val="18"/>
                <w:szCs w:val="18"/>
                <w:lang w:eastAsia="zh-CN"/>
              </w:rPr>
            </w:pPr>
            <w:r>
              <w:rPr>
                <w:rFonts w:hint="eastAsia" w:ascii="宋体" w:hAnsi="宋体" w:cs="宋体"/>
                <w:sz w:val="18"/>
                <w:szCs w:val="18"/>
                <w:lang w:eastAsia="zh-CN"/>
              </w:rPr>
              <w:t>适用于有荧光特征污染物且需实时溯源的区域，尤其适合识别水中有机污染物、化学物质来源的溯源分析</w:t>
            </w:r>
          </w:p>
        </w:tc>
      </w:tr>
    </w:tbl>
    <w:p w14:paraId="5D143A27">
      <w:pPr>
        <w:adjustRightInd w:val="0"/>
        <w:snapToGrid w:val="0"/>
        <w:spacing w:line="240" w:lineRule="auto"/>
        <w:jc w:val="both"/>
        <w:rPr>
          <w:rFonts w:eastAsia="黑体" w:cs="Times New Roman"/>
          <w:spacing w:val="-3"/>
          <w:sz w:val="21"/>
          <w:lang w:eastAsia="zh-CN"/>
        </w:rPr>
      </w:pPr>
    </w:p>
    <w:p w14:paraId="6C07C6DA">
      <w:pPr>
        <w:rPr>
          <w:rFonts w:cs="Times New Roman"/>
          <w:lang w:eastAsia="zh-CN"/>
        </w:rPr>
      </w:pPr>
    </w:p>
    <w:p w14:paraId="01648D7D">
      <w:pPr>
        <w:rPr>
          <w:rFonts w:cs="Times New Roman"/>
          <w:lang w:eastAsia="zh-CN"/>
        </w:rPr>
      </w:pPr>
    </w:p>
    <w:p w14:paraId="0994A44B">
      <w:pPr>
        <w:rPr>
          <w:lang w:eastAsia="zh-CN"/>
        </w:rPr>
      </w:pPr>
    </w:p>
    <w:p w14:paraId="266F8759">
      <w:pPr>
        <w:rPr>
          <w:lang w:eastAsia="zh-CN"/>
        </w:rPr>
      </w:pPr>
    </w:p>
    <w:p w14:paraId="1FA825DB">
      <w:pPr>
        <w:rPr>
          <w:rFonts w:eastAsia="黑体" w:cs="Times New Roman"/>
          <w:sz w:val="21"/>
          <w:szCs w:val="20"/>
          <w:lang w:eastAsia="zh-CN"/>
        </w:rPr>
      </w:pPr>
    </w:p>
    <w:p w14:paraId="10C10D74">
      <w:pPr>
        <w:rPr>
          <w:rFonts w:eastAsia="黑体" w:cs="Times New Roman"/>
          <w:sz w:val="21"/>
          <w:szCs w:val="20"/>
          <w:lang w:eastAsia="zh-CN"/>
        </w:rPr>
      </w:pPr>
    </w:p>
    <w:p w14:paraId="592DD087">
      <w:pPr>
        <w:rPr>
          <w:rFonts w:eastAsia="黑体" w:cs="Times New Roman"/>
          <w:sz w:val="21"/>
          <w:szCs w:val="20"/>
          <w:lang w:eastAsia="zh-CN"/>
        </w:rPr>
      </w:pPr>
    </w:p>
    <w:p w14:paraId="4DA5A1C6">
      <w:pPr>
        <w:rPr>
          <w:rFonts w:eastAsia="黑体" w:cs="Times New Roman"/>
          <w:sz w:val="21"/>
          <w:szCs w:val="20"/>
          <w:lang w:eastAsia="zh-CN"/>
        </w:rPr>
      </w:pPr>
    </w:p>
    <w:p w14:paraId="663BF91A">
      <w:pPr>
        <w:pStyle w:val="2"/>
        <w:spacing w:before="850" w:after="0" w:line="240" w:lineRule="auto"/>
        <w:jc w:val="center"/>
        <w:rPr>
          <w:rFonts w:ascii="黑体" w:hAnsi="黑体" w:eastAsia="黑体" w:cs="黑体"/>
          <w:b w:val="0"/>
          <w:sz w:val="21"/>
          <w:szCs w:val="20"/>
          <w:lang w:eastAsia="zh-CN"/>
        </w:rPr>
      </w:pPr>
      <w:bookmarkStart w:id="53" w:name="_Toc15931"/>
      <w:r>
        <w:rPr>
          <w:rFonts w:hint="eastAsia" w:ascii="黑体" w:hAnsi="黑体" w:eastAsia="黑体" w:cs="黑体"/>
          <w:b w:val="0"/>
          <w:sz w:val="21"/>
          <w:szCs w:val="20"/>
          <w:lang w:eastAsia="zh-CN"/>
        </w:rPr>
        <w:t xml:space="preserve">附 录  </w:t>
      </w:r>
      <w:bookmarkEnd w:id="51"/>
      <w:r>
        <w:rPr>
          <w:rFonts w:eastAsia="黑体" w:cs="Times New Roman"/>
          <w:b w:val="0"/>
          <w:sz w:val="21"/>
          <w:szCs w:val="20"/>
          <w:lang w:eastAsia="zh-CN"/>
        </w:rPr>
        <w:t>B</w:t>
      </w:r>
      <w:bookmarkEnd w:id="53"/>
    </w:p>
    <w:p w14:paraId="25D041EC">
      <w:pPr>
        <w:spacing w:line="240" w:lineRule="auto"/>
        <w:jc w:val="center"/>
        <w:rPr>
          <w:sz w:val="21"/>
          <w:lang w:eastAsia="zh-CN"/>
        </w:rPr>
      </w:pPr>
      <w:r>
        <w:rPr>
          <w:rFonts w:hint="eastAsia" w:ascii="黑体" w:hAnsi="黑体" w:eastAsia="黑体" w:cs="黑体"/>
          <w:sz w:val="21"/>
          <w:lang w:eastAsia="zh-CN"/>
        </w:rPr>
        <w:t>（资料性）</w:t>
      </w:r>
    </w:p>
    <w:p w14:paraId="417DCEA8">
      <w:pPr>
        <w:spacing w:after="283" w:line="240" w:lineRule="auto"/>
        <w:jc w:val="center"/>
        <w:rPr>
          <w:rFonts w:eastAsia="黑体" w:cs="Times New Roman"/>
          <w:sz w:val="21"/>
          <w:lang w:eastAsia="zh-CN"/>
        </w:rPr>
      </w:pPr>
      <w:r>
        <w:rPr>
          <w:rFonts w:eastAsia="黑体" w:cs="Times New Roman"/>
          <w:sz w:val="21"/>
          <w:lang w:eastAsia="zh-CN"/>
        </w:rPr>
        <w:t>问题清单</w:t>
      </w:r>
    </w:p>
    <w:p w14:paraId="126DC74B">
      <w:pPr>
        <w:spacing w:before="283" w:line="240" w:lineRule="auto"/>
        <w:jc w:val="center"/>
        <w:rPr>
          <w:rFonts w:cs="Times New Roman"/>
          <w:lang w:eastAsia="zh-CN"/>
        </w:rPr>
      </w:pPr>
      <w:r>
        <w:rPr>
          <w:rFonts w:eastAsia="黑体" w:cs="Times New Roman"/>
          <w:sz w:val="21"/>
          <w:lang w:eastAsia="zh-CN"/>
        </w:rPr>
        <w:t>表B.1 问题清单</w:t>
      </w:r>
    </w:p>
    <w:tbl>
      <w:tblPr>
        <w:tblStyle w:val="16"/>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34"/>
        <w:gridCol w:w="1134"/>
        <w:gridCol w:w="964"/>
        <w:gridCol w:w="1134"/>
        <w:gridCol w:w="1134"/>
        <w:gridCol w:w="1134"/>
        <w:gridCol w:w="1069"/>
      </w:tblGrid>
      <w:tr w14:paraId="5618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Align w:val="center"/>
          </w:tcPr>
          <w:p w14:paraId="18834DEF">
            <w:pPr>
              <w:widowControl w:val="0"/>
              <w:spacing w:line="240" w:lineRule="auto"/>
              <w:jc w:val="center"/>
              <w:rPr>
                <w:rFonts w:cs="Times New Roman"/>
                <w:sz w:val="18"/>
                <w:szCs w:val="18"/>
                <w:lang w:eastAsia="zh-CN"/>
              </w:rPr>
            </w:pPr>
            <w:r>
              <w:rPr>
                <w:rFonts w:cs="Times New Roman"/>
                <w:sz w:val="18"/>
                <w:szCs w:val="18"/>
                <w:lang w:eastAsia="zh-CN"/>
              </w:rPr>
              <w:t>序号</w:t>
            </w:r>
          </w:p>
        </w:tc>
        <w:tc>
          <w:tcPr>
            <w:tcW w:w="1134" w:type="dxa"/>
            <w:vAlign w:val="center"/>
          </w:tcPr>
          <w:p w14:paraId="00517A75">
            <w:pPr>
              <w:widowControl w:val="0"/>
              <w:spacing w:line="240" w:lineRule="auto"/>
              <w:jc w:val="center"/>
              <w:rPr>
                <w:rFonts w:cs="Times New Roman"/>
                <w:sz w:val="18"/>
                <w:szCs w:val="18"/>
                <w:lang w:eastAsia="zh-CN"/>
              </w:rPr>
            </w:pPr>
            <w:r>
              <w:rPr>
                <w:rFonts w:cs="Times New Roman"/>
                <w:sz w:val="18"/>
                <w:szCs w:val="18"/>
              </w:rPr>
              <w:t>污染源类型</w:t>
            </w:r>
          </w:p>
        </w:tc>
        <w:tc>
          <w:tcPr>
            <w:tcW w:w="1134" w:type="dxa"/>
            <w:vAlign w:val="center"/>
          </w:tcPr>
          <w:p w14:paraId="50D3898F">
            <w:pPr>
              <w:widowControl w:val="0"/>
              <w:spacing w:line="240" w:lineRule="auto"/>
              <w:jc w:val="center"/>
              <w:rPr>
                <w:rFonts w:cs="Times New Roman"/>
                <w:sz w:val="18"/>
                <w:szCs w:val="18"/>
                <w:lang w:eastAsia="zh-CN"/>
              </w:rPr>
            </w:pPr>
            <w:r>
              <w:rPr>
                <w:rFonts w:cs="Times New Roman"/>
                <w:sz w:val="18"/>
                <w:szCs w:val="18"/>
              </w:rPr>
              <w:t>污染物种类</w:t>
            </w:r>
          </w:p>
        </w:tc>
        <w:tc>
          <w:tcPr>
            <w:tcW w:w="964" w:type="dxa"/>
            <w:vAlign w:val="center"/>
          </w:tcPr>
          <w:p w14:paraId="5E510F7C">
            <w:pPr>
              <w:widowControl w:val="0"/>
              <w:spacing w:line="240" w:lineRule="auto"/>
              <w:jc w:val="center"/>
              <w:rPr>
                <w:rFonts w:cs="Times New Roman"/>
                <w:sz w:val="18"/>
                <w:szCs w:val="18"/>
                <w:lang w:eastAsia="zh-CN"/>
              </w:rPr>
            </w:pPr>
            <w:r>
              <w:rPr>
                <w:rFonts w:cs="Times New Roman"/>
                <w:sz w:val="18"/>
                <w:szCs w:val="18"/>
              </w:rPr>
              <w:t>超标程度</w:t>
            </w:r>
          </w:p>
        </w:tc>
        <w:tc>
          <w:tcPr>
            <w:tcW w:w="1134" w:type="dxa"/>
            <w:vAlign w:val="center"/>
          </w:tcPr>
          <w:p w14:paraId="66CBFCC8">
            <w:pPr>
              <w:widowControl w:val="0"/>
              <w:spacing w:line="240" w:lineRule="auto"/>
              <w:jc w:val="center"/>
              <w:rPr>
                <w:rFonts w:cs="Times New Roman"/>
                <w:sz w:val="18"/>
                <w:szCs w:val="18"/>
                <w:lang w:eastAsia="zh-CN"/>
              </w:rPr>
            </w:pPr>
            <w:r>
              <w:rPr>
                <w:rFonts w:cs="Times New Roman"/>
                <w:sz w:val="18"/>
                <w:szCs w:val="18"/>
              </w:rPr>
              <w:t>污染源位置</w:t>
            </w:r>
          </w:p>
        </w:tc>
        <w:tc>
          <w:tcPr>
            <w:tcW w:w="1134" w:type="dxa"/>
            <w:vAlign w:val="center"/>
          </w:tcPr>
          <w:p w14:paraId="3AAD84B6">
            <w:pPr>
              <w:widowControl w:val="0"/>
              <w:spacing w:line="240" w:lineRule="auto"/>
              <w:jc w:val="center"/>
              <w:rPr>
                <w:rFonts w:cs="Times New Roman"/>
                <w:sz w:val="18"/>
                <w:szCs w:val="18"/>
                <w:lang w:eastAsia="zh-CN"/>
              </w:rPr>
            </w:pPr>
            <w:r>
              <w:rPr>
                <w:rFonts w:cs="Times New Roman"/>
                <w:sz w:val="18"/>
                <w:szCs w:val="18"/>
              </w:rPr>
              <w:t>污染源贡献</w:t>
            </w:r>
          </w:p>
        </w:tc>
        <w:tc>
          <w:tcPr>
            <w:tcW w:w="1134" w:type="dxa"/>
            <w:vAlign w:val="center"/>
          </w:tcPr>
          <w:p w14:paraId="2DC8FDDB">
            <w:pPr>
              <w:widowControl w:val="0"/>
              <w:spacing w:line="240" w:lineRule="auto"/>
              <w:jc w:val="center"/>
              <w:rPr>
                <w:rFonts w:cs="Times New Roman"/>
                <w:sz w:val="18"/>
                <w:szCs w:val="18"/>
                <w:lang w:eastAsia="zh-CN"/>
              </w:rPr>
            </w:pPr>
            <w:r>
              <w:rPr>
                <w:rFonts w:cs="Times New Roman"/>
                <w:sz w:val="18"/>
                <w:szCs w:val="18"/>
              </w:rPr>
              <w:t>治理优先级</w:t>
            </w:r>
          </w:p>
        </w:tc>
        <w:tc>
          <w:tcPr>
            <w:tcW w:w="1069" w:type="dxa"/>
            <w:vAlign w:val="center"/>
          </w:tcPr>
          <w:p w14:paraId="12BF75D4">
            <w:pPr>
              <w:widowControl w:val="0"/>
              <w:spacing w:line="240" w:lineRule="auto"/>
              <w:jc w:val="center"/>
              <w:rPr>
                <w:rFonts w:cs="Times New Roman"/>
                <w:sz w:val="18"/>
                <w:szCs w:val="18"/>
                <w:lang w:eastAsia="zh-CN"/>
              </w:rPr>
            </w:pPr>
            <w:r>
              <w:rPr>
                <w:rFonts w:cs="Times New Roman"/>
                <w:sz w:val="18"/>
                <w:szCs w:val="18"/>
                <w:lang w:eastAsia="zh-CN"/>
              </w:rPr>
              <w:t>治理措施</w:t>
            </w:r>
          </w:p>
        </w:tc>
      </w:tr>
      <w:tr w14:paraId="73CE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Align w:val="center"/>
          </w:tcPr>
          <w:p w14:paraId="74B09B91">
            <w:pPr>
              <w:widowControl w:val="0"/>
              <w:jc w:val="center"/>
              <w:rPr>
                <w:rFonts w:cs="Times New Roman"/>
                <w:sz w:val="18"/>
                <w:szCs w:val="18"/>
                <w:lang w:eastAsia="zh-CN"/>
              </w:rPr>
            </w:pPr>
          </w:p>
        </w:tc>
        <w:tc>
          <w:tcPr>
            <w:tcW w:w="1134" w:type="dxa"/>
            <w:vAlign w:val="center"/>
          </w:tcPr>
          <w:p w14:paraId="364CFEDD">
            <w:pPr>
              <w:widowControl w:val="0"/>
              <w:jc w:val="center"/>
              <w:rPr>
                <w:rFonts w:cs="Times New Roman"/>
                <w:sz w:val="18"/>
                <w:szCs w:val="18"/>
                <w:lang w:eastAsia="zh-CN"/>
              </w:rPr>
            </w:pPr>
          </w:p>
        </w:tc>
        <w:tc>
          <w:tcPr>
            <w:tcW w:w="1134" w:type="dxa"/>
            <w:vAlign w:val="center"/>
          </w:tcPr>
          <w:p w14:paraId="42DA416C">
            <w:pPr>
              <w:widowControl w:val="0"/>
              <w:jc w:val="center"/>
              <w:rPr>
                <w:rFonts w:cs="Times New Roman"/>
                <w:sz w:val="18"/>
                <w:szCs w:val="18"/>
                <w:lang w:eastAsia="zh-CN"/>
              </w:rPr>
            </w:pPr>
          </w:p>
        </w:tc>
        <w:tc>
          <w:tcPr>
            <w:tcW w:w="964" w:type="dxa"/>
            <w:vAlign w:val="center"/>
          </w:tcPr>
          <w:p w14:paraId="4A0C9D9B">
            <w:pPr>
              <w:widowControl w:val="0"/>
              <w:jc w:val="center"/>
              <w:rPr>
                <w:rFonts w:cs="Times New Roman"/>
                <w:sz w:val="18"/>
                <w:szCs w:val="18"/>
                <w:lang w:eastAsia="zh-CN"/>
              </w:rPr>
            </w:pPr>
          </w:p>
        </w:tc>
        <w:tc>
          <w:tcPr>
            <w:tcW w:w="1134" w:type="dxa"/>
            <w:vAlign w:val="center"/>
          </w:tcPr>
          <w:p w14:paraId="61072730">
            <w:pPr>
              <w:widowControl w:val="0"/>
              <w:jc w:val="center"/>
              <w:rPr>
                <w:rFonts w:cs="Times New Roman"/>
                <w:sz w:val="18"/>
                <w:szCs w:val="18"/>
                <w:lang w:eastAsia="zh-CN"/>
              </w:rPr>
            </w:pPr>
          </w:p>
        </w:tc>
        <w:tc>
          <w:tcPr>
            <w:tcW w:w="1134" w:type="dxa"/>
            <w:vAlign w:val="center"/>
          </w:tcPr>
          <w:p w14:paraId="6A773B25">
            <w:pPr>
              <w:widowControl w:val="0"/>
              <w:jc w:val="center"/>
              <w:rPr>
                <w:rFonts w:cs="Times New Roman"/>
                <w:sz w:val="18"/>
                <w:szCs w:val="18"/>
                <w:lang w:eastAsia="zh-CN"/>
              </w:rPr>
            </w:pPr>
          </w:p>
        </w:tc>
        <w:tc>
          <w:tcPr>
            <w:tcW w:w="1134" w:type="dxa"/>
            <w:vAlign w:val="center"/>
          </w:tcPr>
          <w:p w14:paraId="7B24EB0E">
            <w:pPr>
              <w:widowControl w:val="0"/>
              <w:jc w:val="center"/>
              <w:rPr>
                <w:rFonts w:cs="Times New Roman"/>
                <w:sz w:val="18"/>
                <w:szCs w:val="18"/>
                <w:lang w:eastAsia="zh-CN"/>
              </w:rPr>
            </w:pPr>
          </w:p>
        </w:tc>
        <w:tc>
          <w:tcPr>
            <w:tcW w:w="1069" w:type="dxa"/>
            <w:vAlign w:val="center"/>
          </w:tcPr>
          <w:p w14:paraId="525A7883">
            <w:pPr>
              <w:widowControl w:val="0"/>
              <w:jc w:val="center"/>
              <w:rPr>
                <w:rFonts w:cs="Times New Roman"/>
                <w:sz w:val="18"/>
                <w:szCs w:val="18"/>
                <w:lang w:eastAsia="zh-CN"/>
              </w:rPr>
            </w:pPr>
          </w:p>
        </w:tc>
      </w:tr>
    </w:tbl>
    <w:p w14:paraId="45BA9E64">
      <w:pPr>
        <w:rPr>
          <w:rFonts w:cs="Times New Roman"/>
          <w:lang w:eastAsia="zh-CN"/>
        </w:rPr>
      </w:pPr>
    </w:p>
    <w:p w14:paraId="235B2996">
      <w:pPr>
        <w:spacing w:line="240" w:lineRule="auto"/>
        <w:rPr>
          <w:rFonts w:ascii="宋体" w:hAnsi="宋体" w:cs="宋体"/>
          <w:spacing w:val="-3"/>
          <w:sz w:val="21"/>
          <w:lang w:eastAsia="zh-CN"/>
        </w:rPr>
      </w:pPr>
      <w:r>
        <w:rPr>
          <w:rFonts w:hint="eastAsia" w:ascii="宋体" w:hAnsi="宋体" w:cs="宋体"/>
          <w:spacing w:val="-3"/>
          <w:sz w:val="21"/>
          <w:lang w:eastAsia="zh-CN"/>
        </w:rPr>
        <w:t>填表说明：</w:t>
      </w:r>
    </w:p>
    <w:p w14:paraId="7B572F5D">
      <w:pPr>
        <w:numPr>
          <w:ilvl w:val="0"/>
          <w:numId w:val="9"/>
        </w:numPr>
        <w:spacing w:line="240" w:lineRule="auto"/>
        <w:jc w:val="both"/>
        <w:rPr>
          <w:rFonts w:ascii="宋体" w:hAnsi="宋体" w:cs="宋体"/>
          <w:spacing w:val="-3"/>
          <w:sz w:val="21"/>
          <w:lang w:eastAsia="zh-CN"/>
        </w:rPr>
      </w:pPr>
      <w:r>
        <w:rPr>
          <w:rFonts w:hint="eastAsia" w:ascii="宋体" w:hAnsi="宋体" w:cs="宋体"/>
          <w:spacing w:val="-3"/>
          <w:sz w:val="21"/>
          <w:lang w:eastAsia="zh-CN"/>
        </w:rPr>
        <w:t>污染源类型：</w:t>
      </w:r>
      <w:r>
        <w:rPr>
          <w:rFonts w:hint="eastAsia" w:ascii="宋体" w:hAnsi="宋体" w:cs="宋体"/>
          <w:sz w:val="21"/>
          <w:lang w:eastAsia="zh-CN"/>
        </w:rPr>
        <w:t>指流域内主要的污染源，如农业面源污染、生活污水排放、工业污染源等。</w:t>
      </w:r>
    </w:p>
    <w:p w14:paraId="5AC0F4C0">
      <w:pPr>
        <w:numPr>
          <w:ilvl w:val="0"/>
          <w:numId w:val="9"/>
        </w:numPr>
        <w:spacing w:line="240" w:lineRule="auto"/>
        <w:jc w:val="both"/>
        <w:rPr>
          <w:rFonts w:ascii="宋体" w:hAnsi="宋体" w:cs="宋体"/>
          <w:spacing w:val="-3"/>
          <w:sz w:val="21"/>
          <w:lang w:eastAsia="zh-CN"/>
        </w:rPr>
      </w:pPr>
      <w:r>
        <w:rPr>
          <w:rFonts w:hint="eastAsia" w:ascii="宋体" w:hAnsi="宋体" w:cs="宋体"/>
          <w:spacing w:val="-3"/>
          <w:sz w:val="21"/>
          <w:lang w:eastAsia="zh-CN"/>
        </w:rPr>
        <w:t>污染物种类：</w:t>
      </w:r>
      <w:r>
        <w:rPr>
          <w:rFonts w:hint="eastAsia" w:ascii="宋体" w:hAnsi="宋体" w:cs="宋体"/>
          <w:sz w:val="21"/>
          <w:lang w:eastAsia="zh-CN"/>
        </w:rPr>
        <w:t>列出每个污染源对应的污染物种类，本表格中包含COD、氨氮、总氮、总磷等。</w:t>
      </w:r>
    </w:p>
    <w:p w14:paraId="377A4E3B">
      <w:pPr>
        <w:numPr>
          <w:ilvl w:val="0"/>
          <w:numId w:val="9"/>
        </w:numPr>
        <w:spacing w:line="240" w:lineRule="auto"/>
        <w:jc w:val="both"/>
        <w:rPr>
          <w:rFonts w:ascii="宋体" w:hAnsi="宋体" w:cs="宋体"/>
          <w:spacing w:val="-3"/>
          <w:sz w:val="21"/>
          <w:lang w:eastAsia="zh-CN"/>
        </w:rPr>
      </w:pPr>
      <w:r>
        <w:rPr>
          <w:rFonts w:hint="eastAsia" w:ascii="宋体" w:hAnsi="宋体" w:cs="宋体"/>
          <w:spacing w:val="-3"/>
          <w:sz w:val="21"/>
          <w:lang w:eastAsia="zh-CN"/>
        </w:rPr>
        <w:t>超标程度：</w:t>
      </w:r>
      <w:r>
        <w:rPr>
          <w:rFonts w:hint="eastAsia" w:ascii="宋体" w:hAnsi="宋体" w:cs="宋体"/>
          <w:sz w:val="21"/>
          <w:lang w:eastAsia="zh-CN"/>
        </w:rPr>
        <w:t>污染物的超标程度，例如“超标3倍”意味着污染物浓度是标准值的三倍。</w:t>
      </w:r>
    </w:p>
    <w:p w14:paraId="6A17F729">
      <w:pPr>
        <w:numPr>
          <w:ilvl w:val="0"/>
          <w:numId w:val="9"/>
        </w:numPr>
        <w:spacing w:line="240" w:lineRule="auto"/>
        <w:jc w:val="both"/>
        <w:rPr>
          <w:rFonts w:ascii="宋体" w:hAnsi="宋体" w:cs="宋体"/>
          <w:spacing w:val="-3"/>
          <w:sz w:val="21"/>
          <w:lang w:eastAsia="zh-CN"/>
        </w:rPr>
      </w:pPr>
      <w:r>
        <w:rPr>
          <w:rFonts w:hint="eastAsia" w:ascii="宋体" w:hAnsi="宋体" w:cs="宋体"/>
          <w:spacing w:val="-3"/>
          <w:sz w:val="21"/>
          <w:lang w:eastAsia="zh-CN"/>
        </w:rPr>
        <w:t>污染源位置：</w:t>
      </w:r>
      <w:r>
        <w:rPr>
          <w:rFonts w:hint="eastAsia" w:ascii="宋体" w:hAnsi="宋体" w:cs="宋体"/>
          <w:sz w:val="21"/>
          <w:lang w:eastAsia="zh-CN"/>
        </w:rPr>
        <w:t>标明污染源的具体地理位置或排放口位置，以便于后续治理。</w:t>
      </w:r>
    </w:p>
    <w:p w14:paraId="3471D5E8">
      <w:pPr>
        <w:numPr>
          <w:ilvl w:val="0"/>
          <w:numId w:val="9"/>
        </w:numPr>
        <w:spacing w:line="240" w:lineRule="auto"/>
        <w:jc w:val="both"/>
        <w:rPr>
          <w:rFonts w:ascii="宋体" w:hAnsi="宋体" w:cs="宋体"/>
          <w:spacing w:val="-3"/>
          <w:sz w:val="21"/>
          <w:lang w:eastAsia="zh-CN"/>
        </w:rPr>
      </w:pPr>
      <w:r>
        <w:rPr>
          <w:rFonts w:hint="eastAsia" w:ascii="宋体" w:hAnsi="宋体" w:cs="宋体"/>
          <w:spacing w:val="-3"/>
          <w:sz w:val="21"/>
          <w:lang w:eastAsia="zh-CN"/>
        </w:rPr>
        <w:t>污染源贡献：</w:t>
      </w:r>
      <w:r>
        <w:rPr>
          <w:rFonts w:hint="eastAsia" w:ascii="宋体" w:hAnsi="宋体" w:cs="宋体"/>
          <w:sz w:val="21"/>
          <w:lang w:eastAsia="zh-CN"/>
        </w:rPr>
        <w:t>指每个污染源对水体污染的贡献比例，根据溯源结果确定。</w:t>
      </w:r>
    </w:p>
    <w:p w14:paraId="0E280258">
      <w:pPr>
        <w:numPr>
          <w:ilvl w:val="0"/>
          <w:numId w:val="9"/>
        </w:numPr>
        <w:spacing w:line="240" w:lineRule="auto"/>
        <w:jc w:val="both"/>
        <w:rPr>
          <w:rFonts w:ascii="宋体" w:hAnsi="宋体" w:cs="宋体"/>
          <w:spacing w:val="-3"/>
          <w:sz w:val="21"/>
          <w:lang w:eastAsia="zh-CN"/>
        </w:rPr>
      </w:pPr>
      <w:r>
        <w:rPr>
          <w:rFonts w:hint="eastAsia" w:ascii="宋体" w:hAnsi="宋体" w:cs="宋体"/>
          <w:spacing w:val="-3"/>
          <w:sz w:val="21"/>
          <w:lang w:eastAsia="zh-CN"/>
        </w:rPr>
        <w:t>治理优先级：</w:t>
      </w:r>
      <w:r>
        <w:rPr>
          <w:rFonts w:hint="eastAsia" w:ascii="宋体" w:hAnsi="宋体" w:cs="宋体"/>
          <w:sz w:val="21"/>
          <w:lang w:eastAsia="zh-CN"/>
        </w:rPr>
        <w:t>根据超标程度、污染源贡献等因素，评定每个问题的治理优先级，“紧急”表示需要立即治理，“重要”表示应尽快治理，“次要”表示可以延后治理。</w:t>
      </w:r>
    </w:p>
    <w:p w14:paraId="2FEEB460">
      <w:pPr>
        <w:numPr>
          <w:ilvl w:val="0"/>
          <w:numId w:val="9"/>
        </w:numPr>
        <w:spacing w:line="240" w:lineRule="auto"/>
        <w:jc w:val="both"/>
        <w:rPr>
          <w:rFonts w:ascii="宋体" w:hAnsi="宋体" w:cs="宋体"/>
          <w:spacing w:val="-3"/>
          <w:sz w:val="21"/>
          <w:lang w:eastAsia="zh-CN"/>
        </w:rPr>
      </w:pPr>
      <w:r>
        <w:rPr>
          <w:rStyle w:val="18"/>
          <w:rFonts w:hint="eastAsia" w:ascii="宋体" w:hAnsi="宋体" w:cs="宋体"/>
          <w:b w:val="0"/>
          <w:sz w:val="21"/>
          <w:lang w:eastAsia="zh-CN"/>
        </w:rPr>
        <w:t>治理措施</w:t>
      </w:r>
      <w:r>
        <w:rPr>
          <w:rFonts w:hint="eastAsia" w:ascii="宋体" w:hAnsi="宋体" w:cs="宋体"/>
          <w:sz w:val="21"/>
          <w:lang w:eastAsia="zh-CN"/>
        </w:rPr>
        <w:t>：提出针对每个污染源的治理建议，如推广精准施肥技术、完善污水处理设施、加强河道清淤等。</w:t>
      </w:r>
    </w:p>
    <w:p w14:paraId="738A8882">
      <w:pPr>
        <w:spacing w:line="240" w:lineRule="auto"/>
        <w:jc w:val="both"/>
        <w:rPr>
          <w:rFonts w:ascii="宋体" w:hAnsi="宋体" w:cs="宋体"/>
          <w:spacing w:val="-3"/>
          <w:sz w:val="21"/>
          <w:lang w:eastAsia="zh-CN"/>
        </w:rPr>
      </w:pPr>
    </w:p>
    <w:p w14:paraId="24A3E7ED">
      <w:pPr>
        <w:spacing w:line="240" w:lineRule="auto"/>
        <w:jc w:val="both"/>
        <w:rPr>
          <w:rFonts w:ascii="宋体" w:hAnsi="宋体" w:cs="宋体"/>
          <w:spacing w:val="-3"/>
          <w:sz w:val="21"/>
          <w:lang w:eastAsia="zh-CN"/>
        </w:rPr>
      </w:pPr>
    </w:p>
    <w:p w14:paraId="3F053CF3">
      <w:pPr>
        <w:spacing w:line="240" w:lineRule="auto"/>
        <w:jc w:val="both"/>
        <w:rPr>
          <w:rFonts w:ascii="宋体" w:hAnsi="宋体" w:cs="宋体"/>
          <w:spacing w:val="-3"/>
          <w:sz w:val="21"/>
          <w:lang w:eastAsia="zh-CN"/>
        </w:rPr>
      </w:pPr>
      <w:r>
        <mc:AlternateContent>
          <mc:Choice Requires="wps">
            <w:drawing>
              <wp:anchor distT="0" distB="0" distL="114300" distR="114300" simplePos="0" relativeHeight="251663360" behindDoc="0" locked="0" layoutInCell="0" allowOverlap="1">
                <wp:simplePos x="0" y="0"/>
                <wp:positionH relativeFrom="column">
                  <wp:posOffset>2160905</wp:posOffset>
                </wp:positionH>
                <wp:positionV relativeFrom="paragraph">
                  <wp:posOffset>163830</wp:posOffset>
                </wp:positionV>
                <wp:extent cx="1440180" cy="0"/>
                <wp:effectExtent l="0" t="6350" r="7620" b="7620"/>
                <wp:wrapNone/>
                <wp:docPr id="779901861"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12700">
                          <a:solidFill>
                            <a:srgbClr val="000000"/>
                          </a:solidFill>
                          <a:round/>
                        </a:ln>
                      </wps:spPr>
                      <wps:bodyPr/>
                    </wps:wsp>
                  </a:graphicData>
                </a:graphic>
              </wp:anchor>
            </w:drawing>
          </mc:Choice>
          <mc:Fallback>
            <w:pict>
              <v:line id="直接连接符 18" o:spid="_x0000_s1026" o:spt="20" style="position:absolute;left:0pt;margin-left:170.15pt;margin-top:12.9pt;height:0pt;width:113.4pt;z-index:251663360;mso-width-relative:page;mso-height-relative:page;" filled="f" stroked="t" coordsize="21600,21600" o:allowincell="f" o:gfxdata="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liGVtkAAAAJAQAADwAAAAAAAAABACAAAAAiAAAAZHJzL2Rvd25yZXYueG1sUEsBAhQAFAAAAAgA&#10;h07iQFkacDjrAQAAtAMAAA4AAAAAAAAAAQAgAAAAKAEAAGRycy9lMm9Eb2MueG1sUEsFBgAAAAAG&#10;AAYAWQEAAIUFAAAAAA==&#10;">
                <v:fill on="f" focussize="0,0"/>
                <v:stroke weight="1pt" color="#000000" joinstyle="round"/>
                <v:imagedata o:title=""/>
                <o:lock v:ext="edit" aspectratio="f"/>
              </v:line>
            </w:pict>
          </mc:Fallback>
        </mc:AlternateContent>
      </w:r>
    </w:p>
    <w:sectPr>
      <w:footerReference r:id="rId7" w:type="default"/>
      <w:pgSz w:w="11907" w:h="16839"/>
      <w:pgMar w:top="1092" w:right="1134" w:bottom="1734" w:left="1417" w:header="1417" w:footer="157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E63ED">
    <w:pPr>
      <w:spacing w:line="171" w:lineRule="auto"/>
      <w:rPr>
        <w:rFonts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B29F4">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D0B29F4">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F4479">
    <w:pPr>
      <w:spacing w:line="174" w:lineRule="auto"/>
      <w:jc w:val="right"/>
      <w:rPr>
        <w:rFonts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0FDB4">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2F0FDB4">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AB23">
    <w:pPr>
      <w:pStyle w:val="5"/>
      <w:spacing w:line="176" w:lineRule="auto"/>
      <w:ind w:right="9"/>
      <w:jc w:val="right"/>
      <w:rPr>
        <w:rFonts w:eastAsia="宋体"/>
        <w:sz w:val="21"/>
        <w:szCs w:val="21"/>
        <w:lang w:eastAsia="zh-CN"/>
      </w:rPr>
    </w:pPr>
    <w:r>
      <w:rPr>
        <w:spacing w:val="-1"/>
        <w:sz w:val="21"/>
        <w:szCs w:val="21"/>
      </w:rPr>
      <w:t>T/CSES XXXX</w:t>
    </w:r>
    <w:r>
      <w:rPr>
        <w:rFonts w:ascii="宋体" w:hAnsi="宋体" w:eastAsia="宋体" w:cs="宋体"/>
        <w:spacing w:val="-1"/>
        <w:sz w:val="21"/>
        <w:szCs w:val="21"/>
      </w:rPr>
      <w:t>—</w:t>
    </w:r>
    <w:r>
      <w:rPr>
        <w:spacing w:val="-1"/>
        <w:sz w:val="21"/>
        <w:szCs w:val="21"/>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726E9"/>
    <w:multiLevelType w:val="multilevel"/>
    <w:tmpl w:val="848726E9"/>
    <w:lvl w:ilvl="0" w:tentative="0">
      <w:start w:val="1"/>
      <w:numFmt w:val="lowerLetter"/>
      <w:lvlText w:val="%1)"/>
      <w:lvlJc w:val="left"/>
      <w:pPr>
        <w:ind w:left="860" w:hanging="440"/>
      </w:pPr>
      <w:rPr>
        <w:rFonts w:hint="default" w:ascii="宋体" w:hAnsi="宋体" w:eastAsia="宋体" w:cs="宋体"/>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07ED3FEA"/>
    <w:multiLevelType w:val="multilevel"/>
    <w:tmpl w:val="07ED3FEA"/>
    <w:lvl w:ilvl="0" w:tentative="0">
      <w:start w:val="1"/>
      <w:numFmt w:val="none"/>
      <w:pStyle w:val="31"/>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2B54448E"/>
    <w:multiLevelType w:val="singleLevel"/>
    <w:tmpl w:val="2B54448E"/>
    <w:lvl w:ilvl="0" w:tentative="0">
      <w:start w:val="1"/>
      <w:numFmt w:val="decimal"/>
      <w:suff w:val="nothing"/>
      <w:lvlText w:val="%1、"/>
      <w:lvlJc w:val="left"/>
    </w:lvl>
  </w:abstractNum>
  <w:abstractNum w:abstractNumId="3">
    <w:nsid w:val="48802D1C"/>
    <w:multiLevelType w:val="multilevel"/>
    <w:tmpl w:val="48802D1C"/>
    <w:lvl w:ilvl="0" w:tentative="0">
      <w:start w:val="1"/>
      <w:numFmt w:val="upperLetter"/>
      <w:pStyle w:val="37"/>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48B04690"/>
    <w:multiLevelType w:val="multilevel"/>
    <w:tmpl w:val="48B04690"/>
    <w:lvl w:ilvl="0" w:tentative="0">
      <w:start w:val="1"/>
      <w:numFmt w:val="lowerLetter"/>
      <w:lvlText w:val="%1)"/>
      <w:lvlJc w:val="left"/>
      <w:pPr>
        <w:ind w:left="860" w:hanging="440"/>
      </w:pPr>
      <w:rPr>
        <w:rFonts w:hint="default" w:ascii="宋体" w:hAnsi="宋体" w:eastAsia="宋体" w:cs="宋体"/>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5603797C"/>
    <w:multiLevelType w:val="multilevel"/>
    <w:tmpl w:val="5603797C"/>
    <w:lvl w:ilvl="0" w:tentative="0">
      <w:start w:val="1"/>
      <w:numFmt w:val="upperLetter"/>
      <w:pStyle w:val="38"/>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5D31D500"/>
    <w:multiLevelType w:val="multilevel"/>
    <w:tmpl w:val="5D31D500"/>
    <w:lvl w:ilvl="0" w:tentative="0">
      <w:start w:val="1"/>
      <w:numFmt w:val="lowerLetter"/>
      <w:lvlText w:val="%1)"/>
      <w:lvlJc w:val="left"/>
      <w:pPr>
        <w:ind w:left="860" w:hanging="440"/>
      </w:pPr>
      <w:rPr>
        <w:rFonts w:hint="default" w:ascii="宋体" w:hAnsi="宋体" w:eastAsia="宋体" w:cs="宋体"/>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
    <w:nsid w:val="657D3FBC"/>
    <w:multiLevelType w:val="multilevel"/>
    <w:tmpl w:val="657D3FBC"/>
    <w:lvl w:ilvl="0" w:tentative="0">
      <w:start w:val="1"/>
      <w:numFmt w:val="upperLetter"/>
      <w:pStyle w:val="39"/>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9"/>
      <w:suff w:val="nothing"/>
      <w:lvlText w:val="%1%2　"/>
      <w:lvlJc w:val="left"/>
      <w:pPr>
        <w:ind w:left="0" w:firstLine="0"/>
      </w:pPr>
      <w:rPr>
        <w:rFonts w:hint="eastAsia" w:ascii="黑体" w:eastAsia="黑体"/>
        <w:b w:val="0"/>
        <w:i w:val="0"/>
        <w:sz w:val="21"/>
      </w:rPr>
    </w:lvl>
    <w:lvl w:ilvl="2" w:tentative="0">
      <w:start w:val="1"/>
      <w:numFmt w:val="decimal"/>
      <w:pStyle w:val="2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黑体" w:eastAsia="黑体"/>
        <w:b w:val="0"/>
        <w:i w:val="0"/>
        <w:sz w:val="21"/>
        <w:szCs w:val="20"/>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8"/>
  </w:num>
  <w:num w:numId="2">
    <w:abstractNumId w:val="1"/>
  </w:num>
  <w:num w:numId="3">
    <w:abstractNumId w:val="3"/>
  </w:num>
  <w:num w:numId="4">
    <w:abstractNumId w:val="5"/>
  </w:num>
  <w:num w:numId="5">
    <w:abstractNumId w:val="7"/>
  </w:num>
  <w:num w:numId="6">
    <w:abstractNumId w:val="4"/>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cyMDk2MGY2ODg0Yjc4Y2JkZWQyOGVmNDRiNmM2ZGEifQ=="/>
  </w:docVars>
  <w:rsids>
    <w:rsidRoot w:val="00D1206B"/>
    <w:rsid w:val="000010A7"/>
    <w:rsid w:val="00400F38"/>
    <w:rsid w:val="00771B68"/>
    <w:rsid w:val="00801691"/>
    <w:rsid w:val="00894BF9"/>
    <w:rsid w:val="009203C9"/>
    <w:rsid w:val="00A64887"/>
    <w:rsid w:val="00AC5F59"/>
    <w:rsid w:val="00C621A8"/>
    <w:rsid w:val="00D1206B"/>
    <w:rsid w:val="00E768DB"/>
    <w:rsid w:val="00F30AF5"/>
    <w:rsid w:val="012A1BCC"/>
    <w:rsid w:val="02DC6311"/>
    <w:rsid w:val="03AB3696"/>
    <w:rsid w:val="046805DA"/>
    <w:rsid w:val="046B02D6"/>
    <w:rsid w:val="046C073A"/>
    <w:rsid w:val="06736DDF"/>
    <w:rsid w:val="07CC25A1"/>
    <w:rsid w:val="08485B98"/>
    <w:rsid w:val="08A234FA"/>
    <w:rsid w:val="08DA2C94"/>
    <w:rsid w:val="08F8085F"/>
    <w:rsid w:val="09787771"/>
    <w:rsid w:val="09C17D5B"/>
    <w:rsid w:val="0ABD66F1"/>
    <w:rsid w:val="0B35566E"/>
    <w:rsid w:val="0B604798"/>
    <w:rsid w:val="0BCD6AE0"/>
    <w:rsid w:val="0C3D6637"/>
    <w:rsid w:val="0C8460D5"/>
    <w:rsid w:val="0D5469B0"/>
    <w:rsid w:val="0D5A1BF7"/>
    <w:rsid w:val="0DEB70FE"/>
    <w:rsid w:val="0E252C04"/>
    <w:rsid w:val="0E743E81"/>
    <w:rsid w:val="0F9718DF"/>
    <w:rsid w:val="102F5453"/>
    <w:rsid w:val="10B8464E"/>
    <w:rsid w:val="11D32976"/>
    <w:rsid w:val="138E3A5E"/>
    <w:rsid w:val="14632FA8"/>
    <w:rsid w:val="14C22E80"/>
    <w:rsid w:val="15A42EEC"/>
    <w:rsid w:val="15B348B4"/>
    <w:rsid w:val="166E0EC0"/>
    <w:rsid w:val="16815A84"/>
    <w:rsid w:val="16D30263"/>
    <w:rsid w:val="16EB258D"/>
    <w:rsid w:val="189A41EE"/>
    <w:rsid w:val="18C748B7"/>
    <w:rsid w:val="18DF0E3F"/>
    <w:rsid w:val="1A7871D0"/>
    <w:rsid w:val="1AA50C28"/>
    <w:rsid w:val="1B6E7211"/>
    <w:rsid w:val="1BE7774A"/>
    <w:rsid w:val="1CC3409A"/>
    <w:rsid w:val="1D0E6F59"/>
    <w:rsid w:val="1D2B18B9"/>
    <w:rsid w:val="1DB13F4E"/>
    <w:rsid w:val="1DEE25C5"/>
    <w:rsid w:val="1EA45070"/>
    <w:rsid w:val="1EB623F9"/>
    <w:rsid w:val="22267CEA"/>
    <w:rsid w:val="223A2C41"/>
    <w:rsid w:val="22686A41"/>
    <w:rsid w:val="22A747F1"/>
    <w:rsid w:val="23203FA6"/>
    <w:rsid w:val="23867849"/>
    <w:rsid w:val="2480698E"/>
    <w:rsid w:val="25CF46DD"/>
    <w:rsid w:val="26543251"/>
    <w:rsid w:val="265A4FBD"/>
    <w:rsid w:val="26A24A0B"/>
    <w:rsid w:val="26E01966"/>
    <w:rsid w:val="28930B48"/>
    <w:rsid w:val="28FB2A87"/>
    <w:rsid w:val="29774D33"/>
    <w:rsid w:val="2AED1895"/>
    <w:rsid w:val="2BCA6741"/>
    <w:rsid w:val="2D4F6EFD"/>
    <w:rsid w:val="2DB142C8"/>
    <w:rsid w:val="2E901684"/>
    <w:rsid w:val="2FA8323D"/>
    <w:rsid w:val="32540E97"/>
    <w:rsid w:val="32974F9B"/>
    <w:rsid w:val="32AD4790"/>
    <w:rsid w:val="32FD40D4"/>
    <w:rsid w:val="33C1667B"/>
    <w:rsid w:val="3477505C"/>
    <w:rsid w:val="348C4EDB"/>
    <w:rsid w:val="34BD2B26"/>
    <w:rsid w:val="34DB439F"/>
    <w:rsid w:val="355F439E"/>
    <w:rsid w:val="35FC1BEC"/>
    <w:rsid w:val="368813AC"/>
    <w:rsid w:val="377F711E"/>
    <w:rsid w:val="38343BB9"/>
    <w:rsid w:val="38907859"/>
    <w:rsid w:val="399F2FBB"/>
    <w:rsid w:val="3A6A6500"/>
    <w:rsid w:val="3AA840F1"/>
    <w:rsid w:val="3AB605BC"/>
    <w:rsid w:val="3AD35837"/>
    <w:rsid w:val="3AF361F1"/>
    <w:rsid w:val="3B5A3026"/>
    <w:rsid w:val="3BB44691"/>
    <w:rsid w:val="3BF84CC8"/>
    <w:rsid w:val="3C5D604F"/>
    <w:rsid w:val="3D600CB3"/>
    <w:rsid w:val="3E9E5F37"/>
    <w:rsid w:val="3F5405B7"/>
    <w:rsid w:val="403B1563"/>
    <w:rsid w:val="403C77B5"/>
    <w:rsid w:val="406754CF"/>
    <w:rsid w:val="4077259B"/>
    <w:rsid w:val="40E47808"/>
    <w:rsid w:val="41605419"/>
    <w:rsid w:val="41C45CB4"/>
    <w:rsid w:val="43617E99"/>
    <w:rsid w:val="4400284E"/>
    <w:rsid w:val="441D5B50"/>
    <w:rsid w:val="444D285F"/>
    <w:rsid w:val="44A91191"/>
    <w:rsid w:val="44B83ECB"/>
    <w:rsid w:val="455C4456"/>
    <w:rsid w:val="46A07AB0"/>
    <w:rsid w:val="492434DC"/>
    <w:rsid w:val="494B6D71"/>
    <w:rsid w:val="49D7054F"/>
    <w:rsid w:val="4BA762C0"/>
    <w:rsid w:val="4DA71FF5"/>
    <w:rsid w:val="4E7740AE"/>
    <w:rsid w:val="4EC72940"/>
    <w:rsid w:val="4F215A12"/>
    <w:rsid w:val="50E97F21"/>
    <w:rsid w:val="511F145F"/>
    <w:rsid w:val="52F61A04"/>
    <w:rsid w:val="534F73A8"/>
    <w:rsid w:val="539266E3"/>
    <w:rsid w:val="5450632D"/>
    <w:rsid w:val="54AB6860"/>
    <w:rsid w:val="555D56E4"/>
    <w:rsid w:val="57D55F88"/>
    <w:rsid w:val="58DD0FB2"/>
    <w:rsid w:val="5B5F0153"/>
    <w:rsid w:val="5B85605C"/>
    <w:rsid w:val="5C390BF5"/>
    <w:rsid w:val="5D795086"/>
    <w:rsid w:val="5D831EB3"/>
    <w:rsid w:val="5E9C0B40"/>
    <w:rsid w:val="5EAC3900"/>
    <w:rsid w:val="5F6209AB"/>
    <w:rsid w:val="5F795ED8"/>
    <w:rsid w:val="5FE702CF"/>
    <w:rsid w:val="6015367E"/>
    <w:rsid w:val="6071095D"/>
    <w:rsid w:val="61464346"/>
    <w:rsid w:val="61C3355C"/>
    <w:rsid w:val="61F41846"/>
    <w:rsid w:val="62F6671A"/>
    <w:rsid w:val="652748AF"/>
    <w:rsid w:val="66C82E62"/>
    <w:rsid w:val="67002A3B"/>
    <w:rsid w:val="675B5EC3"/>
    <w:rsid w:val="67F35C18"/>
    <w:rsid w:val="682269E1"/>
    <w:rsid w:val="683A4763"/>
    <w:rsid w:val="68774F7F"/>
    <w:rsid w:val="68E636FA"/>
    <w:rsid w:val="692B02A6"/>
    <w:rsid w:val="694D3778"/>
    <w:rsid w:val="695847ED"/>
    <w:rsid w:val="695E1C9B"/>
    <w:rsid w:val="6990539D"/>
    <w:rsid w:val="69BA15C7"/>
    <w:rsid w:val="6A960E91"/>
    <w:rsid w:val="6BDA5F51"/>
    <w:rsid w:val="6BEE7306"/>
    <w:rsid w:val="6CB06CB1"/>
    <w:rsid w:val="6CB37FB6"/>
    <w:rsid w:val="6EE844E0"/>
    <w:rsid w:val="70204881"/>
    <w:rsid w:val="703754E5"/>
    <w:rsid w:val="70E62CA2"/>
    <w:rsid w:val="711B3EE9"/>
    <w:rsid w:val="720A6E64"/>
    <w:rsid w:val="72275320"/>
    <w:rsid w:val="75487539"/>
    <w:rsid w:val="754D6D88"/>
    <w:rsid w:val="75932CCC"/>
    <w:rsid w:val="76C34768"/>
    <w:rsid w:val="77822FF8"/>
    <w:rsid w:val="77E14A35"/>
    <w:rsid w:val="7843609F"/>
    <w:rsid w:val="797136F8"/>
    <w:rsid w:val="7A237AF2"/>
    <w:rsid w:val="7AA27A4B"/>
    <w:rsid w:val="7AC5139D"/>
    <w:rsid w:val="7B9C1B1E"/>
    <w:rsid w:val="7C5E1373"/>
    <w:rsid w:val="7CAD2B4B"/>
    <w:rsid w:val="7CFF3DF8"/>
    <w:rsid w:val="7D6531A0"/>
    <w:rsid w:val="7DA636D5"/>
    <w:rsid w:val="7F402117"/>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spacing w:line="360" w:lineRule="auto"/>
      <w:textAlignment w:val="baseline"/>
    </w:pPr>
    <w:rPr>
      <w:rFonts w:ascii="Times New Roman" w:hAnsi="Times New Roman" w:eastAsia="宋体" w:cs="Arial"/>
      <w:snapToGrid w:val="0"/>
      <w:color w:val="000000"/>
      <w:sz w:val="24"/>
      <w:szCs w:val="21"/>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autoRedefine/>
    <w:unhideWhenUsed/>
    <w:qFormat/>
    <w:uiPriority w:val="9"/>
    <w:pPr>
      <w:keepNext/>
      <w:keepLines/>
      <w:ind w:firstLine="721" w:firstLineChars="200"/>
      <w:outlineLvl w:val="2"/>
    </w:pPr>
    <w:rPr>
      <w:rFonts w:ascii="仿宋_GB2312" w:hAnsi="仿宋_GB2312" w:eastAsia="仿宋_GB2312" w:cs="仿宋_GB2312"/>
      <w:b/>
      <w:bCs/>
      <w:sz w:val="30"/>
      <w:szCs w:val="30"/>
    </w:rPr>
  </w:style>
  <w:style w:type="paragraph" w:styleId="4">
    <w:name w:val="heading 4"/>
    <w:basedOn w:val="1"/>
    <w:next w:val="1"/>
    <w:semiHidden/>
    <w:unhideWhenUsed/>
    <w:qFormat/>
    <w:uiPriority w:val="0"/>
    <w:pPr>
      <w:spacing w:beforeAutospacing="1" w:afterAutospacing="1"/>
      <w:outlineLvl w:val="3"/>
    </w:pPr>
    <w:rPr>
      <w:rFonts w:hint="eastAsia" w:ascii="宋体" w:hAnsi="宋体" w:cs="Times New Roman"/>
      <w:b/>
      <w:bCs/>
      <w:szCs w:val="24"/>
      <w:lang w:eastAsia="zh-CN"/>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Body Text"/>
    <w:basedOn w:val="1"/>
    <w:autoRedefine/>
    <w:semiHidden/>
    <w:qFormat/>
    <w:uiPriority w:val="0"/>
    <w:rPr>
      <w:rFonts w:ascii="黑体" w:hAnsi="黑体" w:eastAsia="黑体" w:cs="黑体"/>
      <w:sz w:val="28"/>
      <w:szCs w:val="28"/>
    </w:rPr>
  </w:style>
  <w:style w:type="paragraph" w:styleId="6">
    <w:name w:val="Body Text Indent"/>
    <w:basedOn w:val="1"/>
    <w:unhideWhenUsed/>
    <w:qFormat/>
    <w:uiPriority w:val="99"/>
    <w:pPr>
      <w:spacing w:after="120"/>
      <w:ind w:left="420" w:leftChars="200"/>
    </w:pPr>
  </w:style>
  <w:style w:type="paragraph" w:styleId="7">
    <w:name w:val="toc 3"/>
    <w:basedOn w:val="1"/>
    <w:next w:val="1"/>
    <w:qFormat/>
    <w:uiPriority w:val="0"/>
    <w:pPr>
      <w:ind w:left="840" w:leftChars="400"/>
    </w:pPr>
  </w:style>
  <w:style w:type="paragraph" w:styleId="8">
    <w:name w:val="footer"/>
    <w:basedOn w:val="1"/>
    <w:autoRedefine/>
    <w:qFormat/>
    <w:uiPriority w:val="0"/>
    <w:pPr>
      <w:tabs>
        <w:tab w:val="center" w:pos="4153"/>
        <w:tab w:val="right" w:pos="8306"/>
      </w:tabs>
      <w:snapToGrid w:val="0"/>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autoRedefine/>
    <w:qFormat/>
    <w:uiPriority w:val="0"/>
    <w:pPr>
      <w:spacing w:beforeAutospacing="1" w:afterAutospacing="1"/>
    </w:pPr>
    <w:rPr>
      <w:rFonts w:cs="Times New Roman"/>
      <w:lang w:eastAsia="zh-CN"/>
    </w:rPr>
  </w:style>
  <w:style w:type="paragraph" w:styleId="13">
    <w:name w:val="Body Text First Indent 2"/>
    <w:basedOn w:val="6"/>
    <w:next w:val="14"/>
    <w:unhideWhenUsed/>
    <w:qFormat/>
    <w:uiPriority w:val="99"/>
    <w:pPr>
      <w:ind w:firstLine="420" w:firstLineChars="200"/>
    </w:p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Table Text"/>
    <w:basedOn w:val="1"/>
    <w:autoRedefine/>
    <w:semiHidden/>
    <w:qFormat/>
    <w:uiPriority w:val="0"/>
    <w:rPr>
      <w:rFonts w:ascii="微软雅黑" w:hAnsi="微软雅黑" w:eastAsia="微软雅黑" w:cs="微软雅黑"/>
      <w:sz w:val="11"/>
      <w:szCs w:val="11"/>
    </w:rPr>
  </w:style>
  <w:style w:type="paragraph" w:styleId="21">
    <w:name w:val="List Paragraph"/>
    <w:basedOn w:val="1"/>
    <w:autoRedefine/>
    <w:qFormat/>
    <w:uiPriority w:val="34"/>
    <w:pPr>
      <w:ind w:firstLine="420" w:firstLineChars="200"/>
    </w:pPr>
  </w:style>
  <w:style w:type="paragraph" w:customStyle="1" w:styleId="22">
    <w:name w:val="WPSOffice手动目录 1"/>
    <w:autoRedefine/>
    <w:qFormat/>
    <w:uiPriority w:val="0"/>
    <w:rPr>
      <w:rFonts w:ascii="Times New Roman" w:hAnsi="Times New Roman" w:eastAsia="宋体" w:cs="Times New Roman"/>
      <w:lang w:val="en-US" w:eastAsia="zh-CN" w:bidi="ar-SA"/>
    </w:rPr>
  </w:style>
  <w:style w:type="paragraph" w:customStyle="1" w:styleId="2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4">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25">
    <w:name w:val="font41"/>
    <w:basedOn w:val="17"/>
    <w:autoRedefine/>
    <w:qFormat/>
    <w:uiPriority w:val="0"/>
    <w:rPr>
      <w:rFonts w:hint="eastAsia" w:ascii="宋体" w:hAnsi="宋体" w:eastAsia="宋体" w:cs="宋体"/>
      <w:color w:val="000000"/>
      <w:sz w:val="21"/>
      <w:szCs w:val="21"/>
      <w:u w:val="none"/>
    </w:rPr>
  </w:style>
  <w:style w:type="character" w:customStyle="1" w:styleId="26">
    <w:name w:val="font21"/>
    <w:basedOn w:val="17"/>
    <w:autoRedefine/>
    <w:qFormat/>
    <w:uiPriority w:val="0"/>
    <w:rPr>
      <w:rFonts w:hint="default" w:ascii="Times New Roman" w:hAnsi="Times New Roman" w:cs="Times New Roman"/>
      <w:color w:val="000000"/>
      <w:sz w:val="21"/>
      <w:szCs w:val="21"/>
      <w:u w:val="none"/>
    </w:rPr>
  </w:style>
  <w:style w:type="paragraph" w:customStyle="1" w:styleId="2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28">
    <w:name w:val="标准文件_一级条标题"/>
    <w:basedOn w:val="29"/>
    <w:next w:val="30"/>
    <w:qFormat/>
    <w:uiPriority w:val="0"/>
    <w:pPr>
      <w:numPr>
        <w:ilvl w:val="2"/>
      </w:numPr>
      <w:spacing w:before="50" w:beforeLines="50" w:after="50" w:afterLines="50"/>
      <w:outlineLvl w:val="1"/>
    </w:pPr>
  </w:style>
  <w:style w:type="paragraph" w:customStyle="1" w:styleId="29">
    <w:name w:val="标准文件_章标题"/>
    <w:next w:val="30"/>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标准文件_前言、引言标题"/>
    <w:next w:val="1"/>
    <w:qFormat/>
    <w:uiPriority w:val="0"/>
    <w:pPr>
      <w:numPr>
        <w:ilvl w:val="0"/>
        <w:numId w:val="2"/>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3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33">
    <w:name w:val="标准文件_页眉偶数页"/>
    <w:basedOn w:val="32"/>
    <w:next w:val="1"/>
    <w:qFormat/>
    <w:uiPriority w:val="0"/>
    <w:pPr>
      <w:jc w:val="left"/>
    </w:pPr>
  </w:style>
  <w:style w:type="paragraph" w:customStyle="1" w:styleId="3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3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36">
    <w:name w:val="标准文件_目录标题"/>
    <w:basedOn w:val="1"/>
    <w:qFormat/>
    <w:uiPriority w:val="0"/>
    <w:pPr>
      <w:spacing w:after="150" w:afterLines="150" w:line="240" w:lineRule="auto"/>
      <w:jc w:val="center"/>
    </w:pPr>
    <w:rPr>
      <w:rFonts w:ascii="黑体" w:eastAsia="黑体"/>
      <w:sz w:val="32"/>
    </w:rPr>
  </w:style>
  <w:style w:type="paragraph" w:customStyle="1" w:styleId="37">
    <w:name w:val="标准文件_附录图标号"/>
    <w:basedOn w:val="30"/>
    <w:next w:val="30"/>
    <w:qFormat/>
    <w:uiPriority w:val="0"/>
    <w:pPr>
      <w:numPr>
        <w:ilvl w:val="0"/>
        <w:numId w:val="3"/>
      </w:numPr>
      <w:spacing w:line="14" w:lineRule="exact"/>
      <w:ind w:firstLine="0" w:firstLineChars="0"/>
      <w:jc w:val="center"/>
    </w:pPr>
    <w:rPr>
      <w:rFonts w:ascii="黑体" w:hAnsi="黑体" w:eastAsia="黑体"/>
      <w:vanish/>
      <w:sz w:val="2"/>
      <w:szCs w:val="21"/>
    </w:rPr>
  </w:style>
  <w:style w:type="paragraph" w:customStyle="1" w:styleId="38">
    <w:name w:val="标准文件_附录表标号"/>
    <w:basedOn w:val="30"/>
    <w:next w:val="30"/>
    <w:qFormat/>
    <w:uiPriority w:val="0"/>
    <w:pPr>
      <w:numPr>
        <w:ilvl w:val="0"/>
        <w:numId w:val="4"/>
      </w:numPr>
      <w:spacing w:line="14" w:lineRule="exact"/>
      <w:ind w:firstLine="0" w:firstLineChars="0"/>
      <w:jc w:val="center"/>
    </w:pPr>
    <w:rPr>
      <w:rFonts w:eastAsia="黑体"/>
      <w:vanish/>
      <w:sz w:val="2"/>
    </w:rPr>
  </w:style>
  <w:style w:type="paragraph" w:customStyle="1" w:styleId="39">
    <w:name w:val="标准文件_附录标识"/>
    <w:next w:val="30"/>
    <w:qFormat/>
    <w:uiPriority w:val="0"/>
    <w:pPr>
      <w:numPr>
        <w:ilvl w:val="0"/>
        <w:numId w:val="5"/>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40">
    <w:name w:val="其他实施日期"/>
    <w:basedOn w:val="41"/>
    <w:qFormat/>
    <w:uiPriority w:val="0"/>
    <w:pPr>
      <w:framePr w:w="3997" w:h="471" w:hRule="exact" w:vSpace="181" w:wrap="around" w:vAnchor="page" w:hAnchor="page" w:x="7089" w:y="14097"/>
    </w:pPr>
  </w:style>
  <w:style w:type="paragraph" w:customStyle="1" w:styleId="41">
    <w:name w:val="实施日期"/>
    <w:basedOn w:val="42"/>
    <w:qFormat/>
    <w:uiPriority w:val="0"/>
    <w:pPr>
      <w:framePr w:hSpace="0" w:wrap="around" w:xAlign="right"/>
      <w:jc w:val="right"/>
    </w:pPr>
  </w:style>
  <w:style w:type="paragraph" w:customStyle="1" w:styleId="4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3">
    <w:name w:val="Revision"/>
    <w:hidden/>
    <w:unhideWhenUsed/>
    <w:qFormat/>
    <w:uiPriority w:val="99"/>
    <w:rPr>
      <w:rFonts w:ascii="Times New Roman" w:hAnsi="Times New Roman" w:eastAsia="宋体" w:cs="Arial"/>
      <w:snapToGrid w:val="0"/>
      <w:color w:val="000000"/>
      <w:sz w:val="24"/>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8834</Words>
  <Characters>9270</Characters>
  <Lines>90</Lines>
  <Paragraphs>25</Paragraphs>
  <TotalTime>44</TotalTime>
  <ScaleCrop>false</ScaleCrop>
  <LinksUpToDate>false</LinksUpToDate>
  <CharactersWithSpaces>9531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2024-02-19T16:22:00Z</dcterms:created>
  <dc:creator>86138</dc:creator>
  <cp:lastModifiedBy>Joker</cp:lastModifiedBy>
  <dcterms:modified xsi:type="dcterms:W3CDTF">2025-02-11T07:23:36Z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2024-03-06T18:18:45Z</vt:filetime>
  </property>
  <property fmtid="{D5CDD505-2E9C-101B-9397-08002B2CF9AE}" pid="4" name="KSOProductBuildVer">
    <vt:lpwstr>2052-12.1.0.19770</vt:lpwstr>
  </property>
  <property fmtid="{D5CDD505-2E9C-101B-9397-08002B2CF9AE}" pid="5" name="ICV">
    <vt:lpwstr>AE39F0CADAA84947AD79C46C977D21C0_13</vt:lpwstr>
  </property>
  <property fmtid="{D5CDD505-2E9C-101B-9397-08002B2CF9AE}" pid="6" name="KSOTemplateDocerSaveRecord">
    <vt:lpwstr>eyJoZGlkIjoiMzEwNTM5NzYwMDRjMzkwZTVkZjY2ODkwMGIxNGU0OTUiLCJ1c2VySWQiOiI0MTg1NTYyNDAifQ==</vt:lpwstr>
  </property>
</Properties>
</file>