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C6AF2" w14:textId="1334FE02" w:rsidR="002971B7" w:rsidRPr="00206A0F" w:rsidRDefault="00AA61EB" w:rsidP="00206A0F">
      <w:pPr>
        <w:ind w:firstLineChars="0" w:firstLine="0"/>
        <w:jc w:val="center"/>
        <w:rPr>
          <w:rFonts w:hint="eastAsia"/>
          <w:b/>
          <w:bCs/>
          <w:sz w:val="36"/>
          <w:szCs w:val="36"/>
        </w:rPr>
      </w:pPr>
      <w:r w:rsidRPr="00206A0F">
        <w:rPr>
          <w:rFonts w:hint="eastAsia"/>
          <w:b/>
          <w:bCs/>
          <w:sz w:val="36"/>
          <w:szCs w:val="36"/>
        </w:rPr>
        <w:t>中国环境科学学会</w:t>
      </w:r>
      <w:r w:rsidR="005A343B" w:rsidRPr="00206A0F">
        <w:rPr>
          <w:rFonts w:hint="eastAsia"/>
          <w:b/>
          <w:bCs/>
          <w:sz w:val="36"/>
          <w:szCs w:val="36"/>
        </w:rPr>
        <w:t>团体</w:t>
      </w:r>
      <w:r w:rsidR="002971B7" w:rsidRPr="00206A0F">
        <w:rPr>
          <w:rFonts w:hint="eastAsia"/>
          <w:b/>
          <w:bCs/>
          <w:sz w:val="36"/>
          <w:szCs w:val="36"/>
        </w:rPr>
        <w:t>标准</w:t>
      </w:r>
      <w:r w:rsidR="007F661A" w:rsidRPr="00206A0F">
        <w:rPr>
          <w:rFonts w:hint="eastAsia"/>
          <w:b/>
          <w:bCs/>
          <w:sz w:val="36"/>
          <w:szCs w:val="36"/>
        </w:rPr>
        <w:t>编制</w:t>
      </w:r>
      <w:r w:rsidR="002971B7" w:rsidRPr="00206A0F">
        <w:rPr>
          <w:rFonts w:hint="eastAsia"/>
          <w:b/>
          <w:bCs/>
          <w:sz w:val="36"/>
          <w:szCs w:val="36"/>
        </w:rPr>
        <w:t>说明</w:t>
      </w:r>
    </w:p>
    <w:p w14:paraId="5C9F60EB" w14:textId="16CAF313" w:rsidR="002178F9" w:rsidRPr="008604FB" w:rsidRDefault="002178F9" w:rsidP="008604FB">
      <w:pPr>
        <w:pStyle w:val="2"/>
        <w:rPr>
          <w:rFonts w:hint="eastAsia"/>
        </w:rPr>
      </w:pPr>
      <w:r w:rsidRPr="008604FB">
        <w:rPr>
          <w:rFonts w:hint="eastAsia"/>
        </w:rPr>
        <w:t>一、</w:t>
      </w:r>
      <w:r w:rsidR="007F661A">
        <w:rPr>
          <w:rFonts w:hint="eastAsia"/>
        </w:rPr>
        <w:t>项目背景</w:t>
      </w:r>
    </w:p>
    <w:p w14:paraId="7CA88BBA" w14:textId="45A32151" w:rsidR="008604FB" w:rsidRPr="008604FB" w:rsidRDefault="008604FB" w:rsidP="008604FB">
      <w:pPr>
        <w:rPr>
          <w:rFonts w:hint="eastAsia"/>
        </w:rPr>
      </w:pPr>
      <w:r w:rsidRPr="008604FB">
        <w:rPr>
          <w:rFonts w:hint="eastAsia"/>
        </w:rPr>
        <w:t>“十三五</w:t>
      </w:r>
      <w:r w:rsidR="008920AB">
        <w:rPr>
          <w:rFonts w:hint="eastAsia"/>
        </w:rPr>
        <w:t>”</w:t>
      </w:r>
      <w:r w:rsidRPr="008604FB">
        <w:rPr>
          <w:rFonts w:hint="eastAsia"/>
        </w:rPr>
        <w:t>以来，我国大气污染形势明显好转，但颗粒物浓度水平距世界先进标准仍有较大差距，大气污染防治工作大气污染防治工作开始步入瓶颈期、攻坚期。精细化、科学化的科技支撑手段是我国大气污染防治步入新阶段的必由之路。</w:t>
      </w:r>
    </w:p>
    <w:p w14:paraId="35E98628" w14:textId="28A58796" w:rsidR="007F661A" w:rsidRDefault="00923E3E" w:rsidP="007F661A">
      <w:pPr>
        <w:rPr>
          <w:rFonts w:hint="eastAsia"/>
        </w:rPr>
      </w:pPr>
      <w:r w:rsidRPr="007F661A">
        <w:rPr>
          <w:rFonts w:hint="eastAsia"/>
        </w:rPr>
        <w:t>细颗粒物源</w:t>
      </w:r>
      <w:r>
        <w:rPr>
          <w:rFonts w:hint="eastAsia"/>
        </w:rPr>
        <w:t>化学成分</w:t>
      </w:r>
      <w:r w:rsidRPr="007F661A">
        <w:rPr>
          <w:rFonts w:hint="eastAsia"/>
        </w:rPr>
        <w:t>谱</w:t>
      </w:r>
      <w:r w:rsidR="007F661A" w:rsidRPr="007F661A">
        <w:rPr>
          <w:rFonts w:hint="eastAsia"/>
        </w:rPr>
        <w:t>构建直接影响来源解析与清单构建结果的准确与精细化程度。</w:t>
      </w:r>
      <w:proofErr w:type="gramStart"/>
      <w:r w:rsidR="004A6C73" w:rsidRPr="004A6C73">
        <w:rPr>
          <w:rFonts w:hint="eastAsia"/>
        </w:rPr>
        <w:t>源谱是</w:t>
      </w:r>
      <w:proofErr w:type="gramEnd"/>
      <w:r w:rsidR="004A6C73" w:rsidRPr="004A6C73">
        <w:rPr>
          <w:rFonts w:hint="eastAsia"/>
        </w:rPr>
        <w:t>污染源通过复杂的理化过程产生颗粒物或颗粒物成分的理化表象，在来源解析工作中扮演着重要角色，科学</w:t>
      </w:r>
      <w:proofErr w:type="gramStart"/>
      <w:r w:rsidR="004A6C73" w:rsidRPr="004A6C73">
        <w:rPr>
          <w:rFonts w:hint="eastAsia"/>
        </w:rPr>
        <w:t>评估源谱的</w:t>
      </w:r>
      <w:proofErr w:type="gramEnd"/>
      <w:r w:rsidR="004A6C73" w:rsidRPr="004A6C73">
        <w:rPr>
          <w:rFonts w:hint="eastAsia"/>
        </w:rPr>
        <w:t>质量和不确定性成为关键</w:t>
      </w:r>
      <w:r w:rsidR="004A6C73">
        <w:rPr>
          <w:rFonts w:hint="eastAsia"/>
        </w:rPr>
        <w:t>。</w:t>
      </w:r>
      <w:r w:rsidR="007F661A" w:rsidRPr="007F661A">
        <w:rPr>
          <w:rFonts w:hint="eastAsia"/>
        </w:rPr>
        <w:t>当前，面向</w:t>
      </w:r>
      <w:r w:rsidRPr="007F661A">
        <w:rPr>
          <w:rFonts w:hint="eastAsia"/>
        </w:rPr>
        <w:t>细颗粒物源</w:t>
      </w:r>
      <w:r>
        <w:rPr>
          <w:rFonts w:hint="eastAsia"/>
        </w:rPr>
        <w:t>化学成分</w:t>
      </w:r>
      <w:r w:rsidRPr="007F661A">
        <w:rPr>
          <w:rFonts w:hint="eastAsia"/>
        </w:rPr>
        <w:t>谱</w:t>
      </w:r>
      <w:r w:rsidR="007F661A" w:rsidRPr="007F661A">
        <w:rPr>
          <w:rFonts w:hint="eastAsia"/>
        </w:rPr>
        <w:t>构建需求，国内外现有源谱的适用性与准确性缺乏系统性评估，导致无法</w:t>
      </w:r>
      <w:proofErr w:type="gramStart"/>
      <w:r w:rsidR="007F661A" w:rsidRPr="007F661A">
        <w:rPr>
          <w:rFonts w:hint="eastAsia"/>
        </w:rPr>
        <w:t>判断源谱的</w:t>
      </w:r>
      <w:proofErr w:type="gramEnd"/>
      <w:r w:rsidR="007F661A" w:rsidRPr="007F661A">
        <w:rPr>
          <w:rFonts w:hint="eastAsia"/>
        </w:rPr>
        <w:t>可靠性。</w:t>
      </w:r>
      <w:proofErr w:type="gramStart"/>
      <w:r w:rsidR="007F661A" w:rsidRPr="007F661A">
        <w:rPr>
          <w:rFonts w:hint="eastAsia"/>
        </w:rPr>
        <w:t>源谱影响因素</w:t>
      </w:r>
      <w:proofErr w:type="gramEnd"/>
      <w:r w:rsidR="007F661A" w:rsidRPr="007F661A">
        <w:rPr>
          <w:rFonts w:hint="eastAsia"/>
        </w:rPr>
        <w:t>众多，国内外源</w:t>
      </w:r>
      <w:proofErr w:type="gramStart"/>
      <w:r w:rsidR="007F661A" w:rsidRPr="007F661A">
        <w:rPr>
          <w:rFonts w:hint="eastAsia"/>
        </w:rPr>
        <w:t>谱研究</w:t>
      </w:r>
      <w:proofErr w:type="gramEnd"/>
      <w:r w:rsidR="007F661A" w:rsidRPr="007F661A">
        <w:rPr>
          <w:rFonts w:hint="eastAsia"/>
        </w:rPr>
        <w:t>中采样、分析等过程各不相同，而评估细颗粒物源</w:t>
      </w:r>
      <w:r w:rsidR="007F661A">
        <w:rPr>
          <w:rFonts w:hint="eastAsia"/>
        </w:rPr>
        <w:t>化学成分</w:t>
      </w:r>
      <w:proofErr w:type="gramStart"/>
      <w:r w:rsidR="007F661A" w:rsidRPr="007F661A">
        <w:rPr>
          <w:rFonts w:hint="eastAsia"/>
        </w:rPr>
        <w:t>谱可以</w:t>
      </w:r>
      <w:proofErr w:type="gramEnd"/>
      <w:r w:rsidR="007F661A" w:rsidRPr="007F661A">
        <w:rPr>
          <w:rFonts w:hint="eastAsia"/>
        </w:rPr>
        <w:t>界定测量结果与真实值间的差距。因此，形成一套统一的细颗粒物源</w:t>
      </w:r>
      <w:r w:rsidR="007F661A">
        <w:rPr>
          <w:rFonts w:hint="eastAsia"/>
        </w:rPr>
        <w:t>化学成分</w:t>
      </w:r>
      <w:r w:rsidR="007F661A" w:rsidRPr="007F661A">
        <w:rPr>
          <w:rFonts w:hint="eastAsia"/>
        </w:rPr>
        <w:t>谱的评价技术规范，是我国大气污染防治向精细化、科学化迈进的内在要求。</w:t>
      </w:r>
    </w:p>
    <w:p w14:paraId="4FBB3C2C" w14:textId="32E340A7" w:rsidR="007F661A" w:rsidRDefault="007F661A" w:rsidP="007F661A">
      <w:pPr>
        <w:rPr>
          <w:rFonts w:hint="eastAsia"/>
        </w:rPr>
      </w:pPr>
      <w:r w:rsidRPr="007F661A">
        <w:rPr>
          <w:rFonts w:hint="eastAsia"/>
        </w:rPr>
        <w:t>为贯彻《中华人民共和国环境保护法》和《中华人民共和国大气污染防治法》，加强空气污染防治，保护和改善生态环境，保障人体健康，规范各污染源废气颗粒物源谱不确定度评价方法，制定本标准。</w:t>
      </w:r>
      <w:r w:rsidR="00455976">
        <w:rPr>
          <w:rFonts w:hint="eastAsia"/>
        </w:rPr>
        <w:t>由</w:t>
      </w:r>
      <w:r w:rsidR="00455976" w:rsidRPr="00455976">
        <w:rPr>
          <w:rFonts w:hint="eastAsia"/>
        </w:rPr>
        <w:t>细颗粒物全</w:t>
      </w:r>
      <w:proofErr w:type="gramStart"/>
      <w:r w:rsidR="00455976" w:rsidRPr="00455976">
        <w:rPr>
          <w:rFonts w:hint="eastAsia"/>
        </w:rPr>
        <w:t>组分源谱测量规范</w:t>
      </w:r>
      <w:proofErr w:type="gramEnd"/>
      <w:r w:rsidR="00455976" w:rsidRPr="00455976">
        <w:rPr>
          <w:rFonts w:hint="eastAsia"/>
        </w:rPr>
        <w:t>及数据库构建</w:t>
      </w:r>
      <w:r w:rsidR="00455976">
        <w:rPr>
          <w:rFonts w:hint="eastAsia"/>
        </w:rPr>
        <w:t>（</w:t>
      </w:r>
      <w:r w:rsidR="00455976" w:rsidRPr="00455976">
        <w:rPr>
          <w:rFonts w:hint="eastAsia"/>
        </w:rPr>
        <w:t>2022YFC3700601</w:t>
      </w:r>
      <w:r w:rsidR="00455976">
        <w:rPr>
          <w:rFonts w:hint="eastAsia"/>
        </w:rPr>
        <w:t>）科研项目支撑，并由中国环境科学学会标准处下达的团体标准制修订计</w:t>
      </w:r>
      <w:r w:rsidR="00455976">
        <w:rPr>
          <w:rFonts w:hint="eastAsia"/>
        </w:rPr>
        <w:lastRenderedPageBreak/>
        <w:t>划批准立项，任务名称为《细颗粒物源化学成分谱不确定度评价技术规范》。</w:t>
      </w:r>
    </w:p>
    <w:p w14:paraId="7D217A1E" w14:textId="30E7E861" w:rsidR="007F661A" w:rsidRDefault="007F661A" w:rsidP="007F661A">
      <w:pPr>
        <w:rPr>
          <w:rFonts w:hint="eastAsia"/>
          <w:bCs/>
        </w:rPr>
      </w:pPr>
      <w:r w:rsidRPr="007F661A">
        <w:rPr>
          <w:rFonts w:hint="eastAsia"/>
        </w:rPr>
        <w:t>本标准规定了大气细颗粒物源</w:t>
      </w:r>
      <w:r>
        <w:rPr>
          <w:rFonts w:hint="eastAsia"/>
        </w:rPr>
        <w:t>化学成分</w:t>
      </w:r>
      <w:r w:rsidRPr="007F661A">
        <w:rPr>
          <w:rFonts w:hint="eastAsia"/>
        </w:rPr>
        <w:t>谱构建工作中各污染源废气颗粒物源成分谱的评价方法。</w:t>
      </w:r>
    </w:p>
    <w:p w14:paraId="221BEA65" w14:textId="3FFED3FF" w:rsidR="003305DA" w:rsidRPr="008604FB" w:rsidRDefault="003305DA" w:rsidP="008604FB">
      <w:pPr>
        <w:pStyle w:val="2"/>
        <w:rPr>
          <w:rFonts w:hint="eastAsia"/>
        </w:rPr>
      </w:pPr>
      <w:r w:rsidRPr="008604FB">
        <w:rPr>
          <w:rFonts w:hint="eastAsia"/>
        </w:rPr>
        <w:t>二、</w:t>
      </w:r>
      <w:r w:rsidR="00B02481" w:rsidRPr="008604FB">
        <w:rPr>
          <w:rFonts w:hint="eastAsia"/>
        </w:rPr>
        <w:t>标准</w:t>
      </w:r>
      <w:r w:rsidR="00396BA3">
        <w:rPr>
          <w:rFonts w:hint="eastAsia"/>
        </w:rPr>
        <w:t>制修订原则</w:t>
      </w:r>
    </w:p>
    <w:p w14:paraId="67528DB5" w14:textId="50FE1C33" w:rsidR="0030480C" w:rsidRPr="0030480C" w:rsidRDefault="0081048D" w:rsidP="0030480C">
      <w:pPr>
        <w:rPr>
          <w:rFonts w:hint="eastAsia"/>
        </w:rPr>
      </w:pPr>
      <w:r>
        <w:rPr>
          <w:rFonts w:hint="eastAsia"/>
        </w:rPr>
        <w:t>为了加强科技支撑大气污染防治工作，现有标准指南</w:t>
      </w:r>
      <w:r w:rsidR="000E3C98">
        <w:rPr>
          <w:rFonts w:hint="eastAsia"/>
        </w:rPr>
        <w:t>《</w:t>
      </w:r>
      <w:r w:rsidR="000E3C98" w:rsidRPr="0030480C">
        <w:rPr>
          <w:rFonts w:hint="eastAsia"/>
        </w:rPr>
        <w:t>JJF 1059.1-2012 测量不确定度评定与表示</w:t>
      </w:r>
      <w:r w:rsidR="000E3C98">
        <w:rPr>
          <w:rFonts w:hint="eastAsia"/>
        </w:rPr>
        <w:t>》、《</w:t>
      </w:r>
      <w:r w:rsidR="000E3C98" w:rsidRPr="0030480C">
        <w:rPr>
          <w:rFonts w:hint="eastAsia"/>
        </w:rPr>
        <w:t>GB/T 27418-2017 测量不确定度评定和表示</w:t>
      </w:r>
      <w:r w:rsidR="000E3C98">
        <w:rPr>
          <w:rFonts w:hint="eastAsia"/>
        </w:rPr>
        <w:t>》、《</w:t>
      </w:r>
      <w:r w:rsidR="000E3C98" w:rsidRPr="0030480C">
        <w:rPr>
          <w:rFonts w:hint="eastAsia"/>
        </w:rPr>
        <w:t>JJF 1001-2011  通用计量术语及定义技术规范</w:t>
      </w:r>
      <w:r w:rsidR="000E3C98">
        <w:rPr>
          <w:rFonts w:hint="eastAsia"/>
        </w:rPr>
        <w:t>》、《</w:t>
      </w:r>
      <w:r w:rsidR="000E3C98" w:rsidRPr="0030480C">
        <w:rPr>
          <w:rFonts w:hint="eastAsia"/>
        </w:rPr>
        <w:t>GB T 6379.1-2004 测量方法与结果的准确度（正确度与精密度）</w:t>
      </w:r>
      <w:r w:rsidR="000E3C98">
        <w:rPr>
          <w:rFonts w:hint="eastAsia"/>
        </w:rPr>
        <w:t>》</w:t>
      </w:r>
      <w:r w:rsidR="000E3C98" w:rsidRPr="002D7FA4">
        <w:rPr>
          <w:rFonts w:hint="eastAsia"/>
          <w:b/>
          <w:bCs/>
        </w:rPr>
        <w:t>涉及评估不确定性的方法</w:t>
      </w:r>
      <w:r w:rsidR="000E3C98">
        <w:rPr>
          <w:rFonts w:hint="eastAsia"/>
        </w:rPr>
        <w:t>。</w:t>
      </w:r>
      <w:proofErr w:type="gramStart"/>
      <w:r w:rsidR="00104D97">
        <w:rPr>
          <w:rFonts w:hint="eastAsia"/>
        </w:rPr>
        <w:t>源谱不确定度</w:t>
      </w:r>
      <w:proofErr w:type="gramEnd"/>
      <w:r w:rsidR="00104D97">
        <w:rPr>
          <w:rFonts w:hint="eastAsia"/>
        </w:rPr>
        <w:t>涉及采样、分析等过程，所以现有标准还包括</w:t>
      </w:r>
      <w:r>
        <w:rPr>
          <w:rFonts w:hint="eastAsia"/>
        </w:rPr>
        <w:t>《</w:t>
      </w:r>
      <w:r w:rsidR="0030480C" w:rsidRPr="0030480C">
        <w:t>GB/T 6682  分析实验室用水规格和试验方法</w:t>
      </w:r>
      <w:r>
        <w:rPr>
          <w:rFonts w:hint="eastAsia"/>
        </w:rPr>
        <w:t>》、《</w:t>
      </w:r>
      <w:r w:rsidR="0030480C" w:rsidRPr="0030480C">
        <w:t>GB/T 16157  固定污染源排气中颗粒物测定与气态污染物采样方法</w:t>
      </w:r>
      <w:r>
        <w:rPr>
          <w:rFonts w:hint="eastAsia"/>
        </w:rPr>
        <w:t>》、《</w:t>
      </w:r>
      <w:r w:rsidR="0030480C" w:rsidRPr="0030480C">
        <w:t>HJ/T 48  烟尘采样器技术条件</w:t>
      </w:r>
      <w:r>
        <w:rPr>
          <w:rFonts w:hint="eastAsia"/>
        </w:rPr>
        <w:t>》、《</w:t>
      </w:r>
      <w:r w:rsidR="0030480C" w:rsidRPr="0030480C">
        <w:t>HJ 93  环境空气颗粒物(PM</w:t>
      </w:r>
      <w:r w:rsidR="0030480C" w:rsidRPr="0030480C">
        <w:rPr>
          <w:vertAlign w:val="subscript"/>
        </w:rPr>
        <w:t>10</w:t>
      </w:r>
      <w:r w:rsidR="0030480C" w:rsidRPr="0030480C">
        <w:t>和PM</w:t>
      </w:r>
      <w:r w:rsidR="0030480C" w:rsidRPr="0030480C">
        <w:rPr>
          <w:vertAlign w:val="subscript"/>
        </w:rPr>
        <w:t>2.5</w:t>
      </w:r>
      <w:r w:rsidR="0030480C" w:rsidRPr="0030480C">
        <w:t>)采样器技术要求及检测方法</w:t>
      </w:r>
      <w:r>
        <w:rPr>
          <w:rFonts w:hint="eastAsia"/>
        </w:rPr>
        <w:t>》、《</w:t>
      </w:r>
      <w:r w:rsidR="0030480C" w:rsidRPr="0030480C">
        <w:t>HJ/T 373  固定污染源监测质量保证与质量控制技术规范（试行）</w:t>
      </w:r>
      <w:r>
        <w:rPr>
          <w:rFonts w:hint="eastAsia"/>
        </w:rPr>
        <w:t>》、《</w:t>
      </w:r>
      <w:r w:rsidR="0030480C" w:rsidRPr="0030480C">
        <w:t>HJ/T 397  固定源废气监测技术规范</w:t>
      </w:r>
      <w:r>
        <w:rPr>
          <w:rFonts w:hint="eastAsia"/>
        </w:rPr>
        <w:t>》、《</w:t>
      </w:r>
      <w:r w:rsidR="0030480C" w:rsidRPr="0030480C">
        <w:t>HJ 618  环境空气 PM</w:t>
      </w:r>
      <w:r w:rsidR="0030480C" w:rsidRPr="0030480C">
        <w:rPr>
          <w:vertAlign w:val="subscript"/>
        </w:rPr>
        <w:t>10</w:t>
      </w:r>
      <w:r w:rsidR="0030480C" w:rsidRPr="0030480C">
        <w:t>和PM</w:t>
      </w:r>
      <w:r w:rsidR="0030480C" w:rsidRPr="0030480C">
        <w:rPr>
          <w:vertAlign w:val="subscript"/>
        </w:rPr>
        <w:t>2.5</w:t>
      </w:r>
      <w:r w:rsidR="0030480C" w:rsidRPr="0030480C">
        <w:t>的测定 重量法</w:t>
      </w:r>
      <w:r>
        <w:rPr>
          <w:rFonts w:hint="eastAsia"/>
        </w:rPr>
        <w:t>》、《</w:t>
      </w:r>
      <w:r w:rsidR="0030480C" w:rsidRPr="0030480C">
        <w:t>HJ 656  环境空气颗粒物(PM</w:t>
      </w:r>
      <w:r w:rsidR="0030480C" w:rsidRPr="0030480C">
        <w:rPr>
          <w:vertAlign w:val="subscript"/>
        </w:rPr>
        <w:t>2.5</w:t>
      </w:r>
      <w:r w:rsidR="0030480C" w:rsidRPr="0030480C">
        <w:t>)手工监测方法(重量法)技术规范</w:t>
      </w:r>
      <w:r>
        <w:rPr>
          <w:rFonts w:hint="eastAsia"/>
        </w:rPr>
        <w:t>》、</w:t>
      </w:r>
      <w:r w:rsidR="0030480C" w:rsidRPr="0030480C">
        <w:t>《环境空气颗粒物来源解析监测技术方法指南》（</w:t>
      </w:r>
      <w:proofErr w:type="gramStart"/>
      <w:r w:rsidR="0030480C" w:rsidRPr="0030480C">
        <w:t>环办函</w:t>
      </w:r>
      <w:proofErr w:type="gramEnd"/>
      <w:r w:rsidR="0030480C" w:rsidRPr="0030480C">
        <w:t>[2020]8号）</w:t>
      </w:r>
      <w:r>
        <w:rPr>
          <w:rFonts w:hint="eastAsia"/>
        </w:rPr>
        <w:t>、</w:t>
      </w:r>
      <w:r w:rsidR="0030480C" w:rsidRPr="0030480C">
        <w:t>《大气颗粒物来源解析技术指南（试行）》（环发[2013]92号）</w:t>
      </w:r>
      <w:r w:rsidRPr="002D7FA4">
        <w:rPr>
          <w:rFonts w:hint="eastAsia"/>
          <w:b/>
          <w:bCs/>
        </w:rPr>
        <w:t>涉及固定源、移动源、生物质燃烧源、扬尘源等污染源的采样方法</w:t>
      </w:r>
      <w:r>
        <w:rPr>
          <w:rFonts w:hint="eastAsia"/>
        </w:rPr>
        <w:t>。</w:t>
      </w:r>
      <w:r w:rsidR="00104D97">
        <w:rPr>
          <w:rFonts w:hint="eastAsia"/>
        </w:rPr>
        <w:t>包括</w:t>
      </w:r>
      <w:r>
        <w:rPr>
          <w:rFonts w:hint="eastAsia"/>
        </w:rPr>
        <w:t>《</w:t>
      </w:r>
      <w:r w:rsidR="0030480C" w:rsidRPr="0030480C">
        <w:rPr>
          <w:rFonts w:hint="eastAsia"/>
        </w:rPr>
        <w:t>HJ 800-2016 环境空气 颗粒物中水溶性阳离子（Li</w:t>
      </w:r>
      <w:r w:rsidR="0030480C" w:rsidRPr="0030480C">
        <w:rPr>
          <w:rFonts w:hint="eastAsia"/>
          <w:vertAlign w:val="superscript"/>
        </w:rPr>
        <w:t>+</w:t>
      </w:r>
      <w:r w:rsidR="0030480C" w:rsidRPr="0030480C">
        <w:rPr>
          <w:rFonts w:hint="eastAsia"/>
        </w:rPr>
        <w:t>、Na</w:t>
      </w:r>
      <w:r w:rsidR="0030480C" w:rsidRPr="0030480C">
        <w:rPr>
          <w:rFonts w:hint="eastAsia"/>
          <w:vertAlign w:val="superscript"/>
        </w:rPr>
        <w:t>+</w:t>
      </w:r>
      <w:r w:rsidR="0030480C" w:rsidRPr="0030480C">
        <w:rPr>
          <w:rFonts w:hint="eastAsia"/>
        </w:rPr>
        <w:t>、NH</w:t>
      </w:r>
      <w:r w:rsidR="0030480C" w:rsidRPr="0030480C">
        <w:rPr>
          <w:rFonts w:hint="eastAsia"/>
          <w:vertAlign w:val="subscript"/>
        </w:rPr>
        <w:t>4</w:t>
      </w:r>
      <w:r w:rsidR="0030480C" w:rsidRPr="0030480C">
        <w:rPr>
          <w:rFonts w:hint="eastAsia"/>
          <w:vertAlign w:val="superscript"/>
        </w:rPr>
        <w:t>+</w:t>
      </w:r>
      <w:r w:rsidR="0030480C" w:rsidRPr="0030480C">
        <w:rPr>
          <w:rFonts w:hint="eastAsia"/>
        </w:rPr>
        <w:t>、K</w:t>
      </w:r>
      <w:r w:rsidR="0030480C" w:rsidRPr="0030480C">
        <w:rPr>
          <w:rFonts w:hint="eastAsia"/>
          <w:vertAlign w:val="superscript"/>
        </w:rPr>
        <w:t>+</w:t>
      </w:r>
      <w:r w:rsidR="0030480C" w:rsidRPr="0030480C">
        <w:rPr>
          <w:rFonts w:hint="eastAsia"/>
        </w:rPr>
        <w:t>、Ca</w:t>
      </w:r>
      <w:r w:rsidR="0030480C" w:rsidRPr="0030480C">
        <w:rPr>
          <w:rFonts w:hint="eastAsia"/>
          <w:vertAlign w:val="superscript"/>
        </w:rPr>
        <w:t>2+</w:t>
      </w:r>
      <w:r w:rsidR="0030480C" w:rsidRPr="0030480C">
        <w:rPr>
          <w:rFonts w:hint="eastAsia"/>
        </w:rPr>
        <w:t>、Mg</w:t>
      </w:r>
      <w:r w:rsidR="0030480C" w:rsidRPr="0030480C">
        <w:rPr>
          <w:rFonts w:hint="eastAsia"/>
          <w:vertAlign w:val="superscript"/>
        </w:rPr>
        <w:t>2+</w:t>
      </w:r>
      <w:r w:rsidR="0030480C" w:rsidRPr="0030480C">
        <w:rPr>
          <w:rFonts w:hint="eastAsia"/>
        </w:rPr>
        <w:t>）的测定 离子色谱法</w:t>
      </w:r>
      <w:r>
        <w:rPr>
          <w:rFonts w:hint="eastAsia"/>
        </w:rPr>
        <w:t>》、《</w:t>
      </w:r>
      <w:r w:rsidR="0030480C" w:rsidRPr="0030480C">
        <w:rPr>
          <w:rFonts w:hint="eastAsia"/>
        </w:rPr>
        <w:t>HJ 777-2015</w:t>
      </w:r>
      <w:r w:rsidR="0030480C" w:rsidRPr="0030480C">
        <w:rPr>
          <w:rFonts w:hint="eastAsia"/>
        </w:rPr>
        <w:lastRenderedPageBreak/>
        <w:t>空气和废气 颗粒物中金属元素的测定电感耦合等离子体发射光谱法</w:t>
      </w:r>
      <w:r>
        <w:rPr>
          <w:rFonts w:hint="eastAsia"/>
        </w:rPr>
        <w:t>》、《</w:t>
      </w:r>
      <w:r w:rsidR="0030480C" w:rsidRPr="0030480C">
        <w:rPr>
          <w:rFonts w:hint="eastAsia"/>
        </w:rPr>
        <w:t>HJ 1329-2023环境空气颗粒物（PM</w:t>
      </w:r>
      <w:r w:rsidR="0030480C" w:rsidRPr="0030480C">
        <w:rPr>
          <w:rFonts w:hint="eastAsia"/>
          <w:vertAlign w:val="subscript"/>
        </w:rPr>
        <w:t>2.5</w:t>
      </w:r>
      <w:r w:rsidR="0030480C" w:rsidRPr="0030480C">
        <w:rPr>
          <w:rFonts w:hint="eastAsia"/>
        </w:rPr>
        <w:t>）中无机元素连续自动监测技术规范</w:t>
      </w:r>
      <w:r>
        <w:rPr>
          <w:rFonts w:hint="eastAsia"/>
        </w:rPr>
        <w:t>》、《</w:t>
      </w:r>
      <w:r w:rsidR="0030480C" w:rsidRPr="0030480C">
        <w:rPr>
          <w:rFonts w:hint="eastAsia"/>
        </w:rPr>
        <w:t>HJ 1327-2023环境空气颗粒物（PM</w:t>
      </w:r>
      <w:r w:rsidR="0030480C" w:rsidRPr="0030480C">
        <w:rPr>
          <w:rFonts w:hint="eastAsia"/>
          <w:vertAlign w:val="subscript"/>
        </w:rPr>
        <w:t>2.5</w:t>
      </w:r>
      <w:r w:rsidR="0030480C" w:rsidRPr="0030480C">
        <w:rPr>
          <w:rFonts w:hint="eastAsia"/>
        </w:rPr>
        <w:t>）中有机碳和元素碳连续自动监测技术规范</w:t>
      </w:r>
      <w:r>
        <w:rPr>
          <w:rFonts w:hint="eastAsia"/>
        </w:rPr>
        <w:t>》</w:t>
      </w:r>
      <w:r w:rsidRPr="002D7FA4">
        <w:rPr>
          <w:rFonts w:hint="eastAsia"/>
          <w:b/>
          <w:bCs/>
        </w:rPr>
        <w:t>涉及大气细颗粒物组分的分析方法</w:t>
      </w:r>
      <w:r>
        <w:rPr>
          <w:rFonts w:hint="eastAsia"/>
        </w:rPr>
        <w:t>。</w:t>
      </w:r>
      <w:r w:rsidR="00104D97">
        <w:rPr>
          <w:rFonts w:hint="eastAsia"/>
        </w:rPr>
        <w:t>以上标准</w:t>
      </w:r>
      <w:r w:rsidR="002B503E">
        <w:rPr>
          <w:rFonts w:hint="eastAsia"/>
        </w:rPr>
        <w:t>仍存在</w:t>
      </w:r>
      <w:r w:rsidR="002B503E" w:rsidRPr="002B503E">
        <w:rPr>
          <w:rFonts w:hint="eastAsia"/>
        </w:rPr>
        <w:t>排放源缺失、指南</w:t>
      </w:r>
      <w:r w:rsidR="002B503E">
        <w:rPr>
          <w:rFonts w:hint="eastAsia"/>
        </w:rPr>
        <w:t>标准</w:t>
      </w:r>
      <w:r w:rsidR="002B503E" w:rsidRPr="002B503E">
        <w:rPr>
          <w:rFonts w:hint="eastAsia"/>
        </w:rPr>
        <w:t>之间交叉重叠等问题</w:t>
      </w:r>
      <w:r w:rsidR="002B503E">
        <w:rPr>
          <w:rFonts w:hint="eastAsia"/>
        </w:rPr>
        <w:t>，且尚未建立大气细颗粒物成分</w:t>
      </w:r>
      <w:proofErr w:type="gramStart"/>
      <w:r w:rsidR="002B503E">
        <w:rPr>
          <w:rFonts w:hint="eastAsia"/>
        </w:rPr>
        <w:t>谱评价</w:t>
      </w:r>
      <w:proofErr w:type="gramEnd"/>
      <w:r w:rsidR="002B503E">
        <w:rPr>
          <w:rFonts w:hint="eastAsia"/>
        </w:rPr>
        <w:t>方法，对于</w:t>
      </w:r>
      <w:proofErr w:type="gramStart"/>
      <w:r w:rsidR="002B503E">
        <w:rPr>
          <w:rFonts w:hint="eastAsia"/>
        </w:rPr>
        <w:t>评估源谱可行性</w:t>
      </w:r>
      <w:proofErr w:type="gramEnd"/>
      <w:r w:rsidR="002B503E">
        <w:rPr>
          <w:rFonts w:hint="eastAsia"/>
        </w:rPr>
        <w:t>和准确性存在一定困难。</w:t>
      </w:r>
    </w:p>
    <w:p w14:paraId="0225B311" w14:textId="1DCF2F3D" w:rsidR="0030480C" w:rsidRDefault="002B503E" w:rsidP="008604FB">
      <w:pPr>
        <w:rPr>
          <w:rFonts w:hint="eastAsia"/>
        </w:rPr>
      </w:pPr>
      <w:r w:rsidRPr="002B503E">
        <w:rPr>
          <w:rFonts w:hint="eastAsia"/>
        </w:rPr>
        <w:t>综上所述，当前形势下亟需发布</w:t>
      </w:r>
      <w:r w:rsidR="00104D97" w:rsidRPr="00104D97">
        <w:rPr>
          <w:rFonts w:hint="eastAsia"/>
        </w:rPr>
        <w:t>细颗粒物源化学成分谱的不确定度评价技术规范</w:t>
      </w:r>
      <w:r w:rsidRPr="002B503E">
        <w:rPr>
          <w:rFonts w:hint="eastAsia"/>
        </w:rPr>
        <w:t>出台。</w:t>
      </w:r>
    </w:p>
    <w:p w14:paraId="64A278A1" w14:textId="78C8A1A4" w:rsidR="008E7F7B" w:rsidRDefault="008E7F7B" w:rsidP="008E7F7B">
      <w:pPr>
        <w:pStyle w:val="2"/>
        <w:rPr>
          <w:rFonts w:hint="eastAsia"/>
        </w:rPr>
      </w:pPr>
      <w:r>
        <w:rPr>
          <w:rFonts w:hint="eastAsia"/>
        </w:rPr>
        <w:t>三、国内外相关标准</w:t>
      </w:r>
    </w:p>
    <w:p w14:paraId="3C6C2697" w14:textId="0F471A2E" w:rsidR="008E7F7B" w:rsidRDefault="00EE2221" w:rsidP="00504E4A">
      <w:pPr>
        <w:rPr>
          <w:rFonts w:hint="eastAsia"/>
        </w:rPr>
      </w:pPr>
      <w:r>
        <w:rPr>
          <w:rFonts w:hint="eastAsia"/>
        </w:rPr>
        <w:t>目前关于不确定度的国外标准主要包括美国环保署（EPA）标准、欧洲标准化委员会（CEN）标准和国际标准化组织（ISO）标准。美国EPA标准有</w:t>
      </w:r>
      <w:r w:rsidRPr="00EE2221">
        <w:rPr>
          <w:rFonts w:hint="eastAsia"/>
        </w:rPr>
        <w:t>EPA/625/R-96/010系列《Compendium of Methods for the Determination of Inorganic Compounds in Ambient Air》</w:t>
      </w:r>
      <w:r>
        <w:rPr>
          <w:rFonts w:hint="eastAsia"/>
        </w:rPr>
        <w:t>，该标准涵盖金属、离子等测量精密度和准确度要求；</w:t>
      </w:r>
      <w:r w:rsidRPr="00EE2221">
        <w:rPr>
          <w:rFonts w:hint="eastAsia"/>
        </w:rPr>
        <w:t>EPA/454/B-13-004《Quality Assurance Guidance Document 2.12》涉及采样器较准和称量不确定度评估</w:t>
      </w:r>
      <w:r>
        <w:rPr>
          <w:rFonts w:hint="eastAsia"/>
        </w:rPr>
        <w:t>。欧洲CEN标准中</w:t>
      </w:r>
      <w:r w:rsidRPr="00EE2221">
        <w:rPr>
          <w:rFonts w:hint="eastAsia"/>
        </w:rPr>
        <w:t>EN 12341:2014《Ambient air - Gravimetric measurement of PM</w:t>
      </w:r>
      <w:r w:rsidRPr="00D017FA">
        <w:rPr>
          <w:rFonts w:hint="eastAsia"/>
          <w:vertAlign w:val="subscript"/>
        </w:rPr>
        <w:t>10</w:t>
      </w:r>
      <w:r w:rsidRPr="00EE2221">
        <w:rPr>
          <w:rFonts w:hint="eastAsia"/>
        </w:rPr>
        <w:t xml:space="preserve"> or PM</w:t>
      </w:r>
      <w:r w:rsidRPr="00EE2221">
        <w:rPr>
          <w:rFonts w:hint="eastAsia"/>
          <w:vertAlign w:val="subscript"/>
        </w:rPr>
        <w:t>2.5</w:t>
      </w:r>
      <w:r w:rsidRPr="00EE2221">
        <w:rPr>
          <w:rFonts w:hint="eastAsia"/>
        </w:rPr>
        <w:t>》规范PM</w:t>
      </w:r>
      <w:r w:rsidRPr="00EE2221">
        <w:rPr>
          <w:rFonts w:hint="eastAsia"/>
          <w:vertAlign w:val="subscript"/>
        </w:rPr>
        <w:t>10</w:t>
      </w:r>
      <w:r w:rsidRPr="00EE2221">
        <w:rPr>
          <w:rFonts w:hint="eastAsia"/>
        </w:rPr>
        <w:t>/PM</w:t>
      </w:r>
      <w:r w:rsidRPr="00EE2221">
        <w:rPr>
          <w:rFonts w:hint="eastAsia"/>
          <w:vertAlign w:val="subscript"/>
        </w:rPr>
        <w:t>2.5</w:t>
      </w:r>
      <w:r w:rsidRPr="00EE2221">
        <w:rPr>
          <w:rFonts w:hint="eastAsia"/>
        </w:rPr>
        <w:t>的称量方法</w:t>
      </w:r>
      <w:r>
        <w:rPr>
          <w:rFonts w:hint="eastAsia"/>
        </w:rPr>
        <w:t>；</w:t>
      </w:r>
      <w:r w:rsidRPr="00EE2221">
        <w:rPr>
          <w:rFonts w:hint="eastAsia"/>
        </w:rPr>
        <w:t>EN 14907:2005《Ambient air quality - Measurement of Pb, Cd, As, Ni in PM</w:t>
      </w:r>
      <w:r w:rsidRPr="00EE2221">
        <w:rPr>
          <w:rFonts w:hint="eastAsia"/>
          <w:vertAlign w:val="subscript"/>
        </w:rPr>
        <w:t>10</w:t>
      </w:r>
      <w:r w:rsidRPr="00EE2221">
        <w:rPr>
          <w:rFonts w:hint="eastAsia"/>
        </w:rPr>
        <w:t>》规定总金属组分分析的精密度要求</w:t>
      </w:r>
      <w:r>
        <w:rPr>
          <w:rFonts w:hint="eastAsia"/>
        </w:rPr>
        <w:t>；</w:t>
      </w:r>
      <w:r w:rsidRPr="00EE2221">
        <w:rPr>
          <w:rFonts w:hint="eastAsia"/>
        </w:rPr>
        <w:t>CEN/TR 16243:2011《Ambient air quality - Guide for the measurement of elemental carbon (EC) and organic carbon (OC)》涉及热光法的</w:t>
      </w:r>
      <w:r w:rsidRPr="00EE2221">
        <w:rPr>
          <w:rFonts w:hint="eastAsia"/>
        </w:rPr>
        <w:lastRenderedPageBreak/>
        <w:t>不确定度来源分析</w:t>
      </w:r>
      <w:r w:rsidR="00504E4A">
        <w:rPr>
          <w:rFonts w:hint="eastAsia"/>
        </w:rPr>
        <w:t>。ISO标准中</w:t>
      </w:r>
      <w:r w:rsidR="00504E4A" w:rsidRPr="00504E4A">
        <w:rPr>
          <w:rFonts w:hint="eastAsia"/>
        </w:rPr>
        <w:t>ISO 20988:2007《Air quality - Guidelines for estimating measurement uncertainty》提供A类/B类评定框架</w:t>
      </w:r>
      <w:r w:rsidR="00504E4A">
        <w:rPr>
          <w:rFonts w:hint="eastAsia"/>
        </w:rPr>
        <w:t>；</w:t>
      </w:r>
      <w:r w:rsidR="00504E4A" w:rsidRPr="00504E4A">
        <w:rPr>
          <w:rFonts w:hint="eastAsia"/>
        </w:rPr>
        <w:t>ISO 14956:2002《Air quality - Evaluation of measurement procedure suitability》包含测量不确定度要求、评估方法适用性</w:t>
      </w:r>
      <w:r w:rsidR="00504E4A">
        <w:rPr>
          <w:rFonts w:hint="eastAsia"/>
        </w:rPr>
        <w:t>。</w:t>
      </w:r>
    </w:p>
    <w:p w14:paraId="3FAA63DF" w14:textId="0B6CBCA1" w:rsidR="00504E4A" w:rsidRDefault="00504E4A" w:rsidP="00504E4A">
      <w:r>
        <w:rPr>
          <w:rFonts w:hint="eastAsia"/>
        </w:rPr>
        <w:t>国内相关标准有颗粒物采样与称量相关标准、化学组分分析相关标准和不确定度评定通用标准。</w:t>
      </w:r>
      <w:r w:rsidRPr="00504E4A">
        <w:rPr>
          <w:rFonts w:hint="eastAsia"/>
        </w:rPr>
        <w:t>颗粒物采样与称量相关标准</w:t>
      </w:r>
      <w:r>
        <w:rPr>
          <w:rFonts w:hint="eastAsia"/>
        </w:rPr>
        <w:t>中</w:t>
      </w:r>
      <w:r w:rsidRPr="00504E4A">
        <w:rPr>
          <w:rFonts w:hint="eastAsia"/>
        </w:rPr>
        <w:t>GB/T 16157-1996《固定污染源排气中颗粒物测定与气态污染物采样方法》规范</w:t>
      </w:r>
      <w:r>
        <w:rPr>
          <w:rFonts w:hint="eastAsia"/>
        </w:rPr>
        <w:t>了</w:t>
      </w:r>
      <w:r w:rsidRPr="00504E4A">
        <w:rPr>
          <w:rFonts w:hint="eastAsia"/>
        </w:rPr>
        <w:t>固定污染源颗粒物采样的仪器、方法及操作流程，包括切割器、滤膜使用等要求</w:t>
      </w:r>
      <w:r>
        <w:rPr>
          <w:rFonts w:hint="eastAsia"/>
        </w:rPr>
        <w:t>；</w:t>
      </w:r>
      <w:r w:rsidRPr="00504E4A">
        <w:rPr>
          <w:rFonts w:hint="eastAsia"/>
        </w:rPr>
        <w:t>HJ 618-2011《环境空气PM</w:t>
      </w:r>
      <w:r w:rsidRPr="00504E4A">
        <w:rPr>
          <w:rFonts w:hint="eastAsia"/>
          <w:vertAlign w:val="subscript"/>
        </w:rPr>
        <w:t>10</w:t>
      </w:r>
      <w:r w:rsidRPr="00504E4A">
        <w:rPr>
          <w:rFonts w:hint="eastAsia"/>
        </w:rPr>
        <w:t>和PM</w:t>
      </w:r>
      <w:r w:rsidRPr="00504E4A">
        <w:rPr>
          <w:rFonts w:hint="eastAsia"/>
          <w:vertAlign w:val="subscript"/>
        </w:rPr>
        <w:t>2.5</w:t>
      </w:r>
      <w:r w:rsidRPr="00504E4A">
        <w:rPr>
          <w:rFonts w:hint="eastAsia"/>
        </w:rPr>
        <w:t>的测定 重量法》—规定环境空气PM</w:t>
      </w:r>
      <w:r w:rsidRPr="00504E4A">
        <w:rPr>
          <w:rFonts w:hint="eastAsia"/>
          <w:vertAlign w:val="subscript"/>
        </w:rPr>
        <w:t>10</w:t>
      </w:r>
      <w:r w:rsidRPr="00504E4A">
        <w:rPr>
          <w:rFonts w:hint="eastAsia"/>
        </w:rPr>
        <w:t>和PM</w:t>
      </w:r>
      <w:r w:rsidRPr="00504E4A">
        <w:rPr>
          <w:rFonts w:hint="eastAsia"/>
          <w:vertAlign w:val="subscript"/>
        </w:rPr>
        <w:t>2.5</w:t>
      </w:r>
      <w:r w:rsidRPr="00504E4A">
        <w:rPr>
          <w:rFonts w:hint="eastAsia"/>
        </w:rPr>
        <w:t>的手工采样及称量方法</w:t>
      </w:r>
      <w:r>
        <w:rPr>
          <w:rFonts w:hint="eastAsia"/>
        </w:rPr>
        <w:t>；</w:t>
      </w:r>
      <w:r w:rsidRPr="00504E4A">
        <w:rPr>
          <w:rFonts w:hint="eastAsia"/>
        </w:rPr>
        <w:t>HJ 656-2013《环境空气颗粒物PM</w:t>
      </w:r>
      <w:r w:rsidRPr="00504E4A">
        <w:rPr>
          <w:rFonts w:hint="eastAsia"/>
          <w:vertAlign w:val="subscript"/>
        </w:rPr>
        <w:t>2.5</w:t>
      </w:r>
      <w:r w:rsidRPr="00504E4A">
        <w:rPr>
          <w:rFonts w:hint="eastAsia"/>
        </w:rPr>
        <w:t>手工监测方法（重量法）技术规范》细化PM</w:t>
      </w:r>
      <w:r w:rsidRPr="00504E4A">
        <w:rPr>
          <w:rFonts w:hint="eastAsia"/>
          <w:vertAlign w:val="subscript"/>
        </w:rPr>
        <w:t>2.5</w:t>
      </w:r>
      <w:r w:rsidRPr="00504E4A">
        <w:rPr>
          <w:rFonts w:hint="eastAsia"/>
        </w:rPr>
        <w:t>手工监测的称量环境（温湿度控制）、天平校准及数据记录要求</w:t>
      </w:r>
      <w:r>
        <w:rPr>
          <w:rFonts w:hint="eastAsia"/>
        </w:rPr>
        <w:t>。</w:t>
      </w:r>
      <w:r w:rsidRPr="00504E4A">
        <w:rPr>
          <w:rFonts w:hint="eastAsia"/>
        </w:rPr>
        <w:t>化学组分分析相关标准</w:t>
      </w:r>
      <w:r>
        <w:rPr>
          <w:rFonts w:hint="eastAsia"/>
        </w:rPr>
        <w:t>中</w:t>
      </w:r>
      <w:r w:rsidRPr="00504E4A">
        <w:t>HJ 800-2016《环境空气 颗粒物中水溶性阳离子（Li</w:t>
      </w:r>
      <w:r w:rsidRPr="00504E4A">
        <w:rPr>
          <w:rFonts w:ascii="Cambria Math" w:hAnsi="Cambria Math" w:cs="Cambria Math"/>
        </w:rPr>
        <w:t>⁺</w:t>
      </w:r>
      <w:r w:rsidRPr="00504E4A">
        <w:t>、Na</w:t>
      </w:r>
      <w:r w:rsidRPr="00504E4A">
        <w:rPr>
          <w:rFonts w:ascii="Cambria Math" w:hAnsi="Cambria Math" w:cs="Cambria Math"/>
        </w:rPr>
        <w:t>⁺</w:t>
      </w:r>
      <w:r w:rsidRPr="00504E4A">
        <w:t>、NH</w:t>
      </w:r>
      <w:r w:rsidRPr="00504E4A">
        <w:rPr>
          <w:rFonts w:ascii="Cambria Math" w:hAnsi="Cambria Math" w:cs="Cambria Math"/>
        </w:rPr>
        <w:t>₄⁺</w:t>
      </w:r>
      <w:r w:rsidRPr="00504E4A">
        <w:t>、K</w:t>
      </w:r>
      <w:r w:rsidRPr="00504E4A">
        <w:rPr>
          <w:rFonts w:ascii="Cambria Math" w:hAnsi="Cambria Math" w:cs="Cambria Math"/>
        </w:rPr>
        <w:t>⁺</w:t>
      </w:r>
      <w:r w:rsidRPr="00504E4A">
        <w:t>、Ca</w:t>
      </w:r>
      <w:r w:rsidRPr="00504E4A">
        <w:rPr>
          <w:rFonts w:ascii="Calibri" w:hAnsi="Calibri" w:cs="Calibri"/>
        </w:rPr>
        <w:t>²⁺</w:t>
      </w:r>
      <w:r w:rsidRPr="00504E4A">
        <w:t>、Mg</w:t>
      </w:r>
      <w:r w:rsidRPr="00504E4A">
        <w:rPr>
          <w:rFonts w:ascii="Calibri" w:hAnsi="Calibri" w:cs="Calibri"/>
        </w:rPr>
        <w:t>²⁺</w:t>
      </w:r>
      <w:r w:rsidRPr="00504E4A">
        <w:t>）的测定 离子色谱法》规范颗粒物中水溶性阳离子提取、分析精密度和准确度指标</w:t>
      </w:r>
      <w:r>
        <w:rPr>
          <w:rFonts w:hint="eastAsia"/>
        </w:rPr>
        <w:t>；</w:t>
      </w:r>
      <w:r w:rsidRPr="00504E4A">
        <w:rPr>
          <w:rFonts w:hint="eastAsia"/>
        </w:rPr>
        <w:t>HJ 777-2015《空气和废气 颗粒物中金属元素的测定 电感耦合等离子体发射光谱法》—规定金属前处理及ICP分析方法检出限、重复性要求</w:t>
      </w:r>
      <w:r>
        <w:rPr>
          <w:rFonts w:hint="eastAsia"/>
        </w:rPr>
        <w:t>；</w:t>
      </w:r>
      <w:r w:rsidRPr="00504E4A">
        <w:rPr>
          <w:rFonts w:hint="eastAsia"/>
        </w:rPr>
        <w:t>HJ 1327-2023《环境空气颗粒物（PM</w:t>
      </w:r>
      <w:r w:rsidRPr="00504E4A">
        <w:rPr>
          <w:rFonts w:hint="eastAsia"/>
          <w:vertAlign w:val="subscript"/>
        </w:rPr>
        <w:t>2.5</w:t>
      </w:r>
      <w:r w:rsidRPr="00504E4A">
        <w:rPr>
          <w:rFonts w:hint="eastAsia"/>
        </w:rPr>
        <w:t>）中有机碳和元素碳连续自动监测技术规范》涉及热光法的质控要求</w:t>
      </w:r>
      <w:r>
        <w:rPr>
          <w:rFonts w:hint="eastAsia"/>
        </w:rPr>
        <w:t>。</w:t>
      </w:r>
      <w:r w:rsidRPr="00504E4A">
        <w:rPr>
          <w:rFonts w:hint="eastAsia"/>
        </w:rPr>
        <w:t>不确定度评定通用标准</w:t>
      </w:r>
      <w:r>
        <w:rPr>
          <w:rFonts w:hint="eastAsia"/>
        </w:rPr>
        <w:t>中</w:t>
      </w:r>
      <w:r w:rsidRPr="00504E4A">
        <w:rPr>
          <w:rFonts w:hint="eastAsia"/>
        </w:rPr>
        <w:t>JJF 1059.1-2012《测量不确定度评定与表示》提供A类/B类评定方法</w:t>
      </w:r>
      <w:r>
        <w:rPr>
          <w:rFonts w:hint="eastAsia"/>
        </w:rPr>
        <w:t>；</w:t>
      </w:r>
      <w:r w:rsidRPr="00504E4A">
        <w:rPr>
          <w:rFonts w:hint="eastAsia"/>
        </w:rPr>
        <w:lastRenderedPageBreak/>
        <w:t>GB/T 27418-2017《测量不确定度评定和表示》强调合成不确定度计算</w:t>
      </w:r>
      <w:r>
        <w:rPr>
          <w:rFonts w:hint="eastAsia"/>
        </w:rPr>
        <w:t>。</w:t>
      </w:r>
    </w:p>
    <w:p w14:paraId="1CB0B54E" w14:textId="07E14ADF" w:rsidR="002D0D4D" w:rsidRDefault="001E17E4" w:rsidP="001E17E4">
      <w:pPr>
        <w:pStyle w:val="2"/>
        <w:rPr>
          <w:rFonts w:hint="eastAsia"/>
        </w:rPr>
      </w:pPr>
      <w:r>
        <w:rPr>
          <w:rFonts w:hint="eastAsia"/>
        </w:rPr>
        <w:t>四、</w:t>
      </w:r>
      <w:r w:rsidR="002D0D4D">
        <w:rPr>
          <w:rFonts w:hint="eastAsia"/>
        </w:rPr>
        <w:t>标准</w:t>
      </w:r>
      <w:r>
        <w:rPr>
          <w:rFonts w:hint="eastAsia"/>
        </w:rPr>
        <w:t>制修订必要性</w:t>
      </w:r>
    </w:p>
    <w:p w14:paraId="619FA75A" w14:textId="408F0CC2" w:rsidR="00451D9A" w:rsidRDefault="00451D9A" w:rsidP="00451D9A">
      <w:pPr>
        <w:rPr>
          <w:rFonts w:hint="eastAsia"/>
        </w:rPr>
      </w:pPr>
      <w:r>
        <w:rPr>
          <w:rFonts w:hint="eastAsia"/>
        </w:rPr>
        <w:t>目前标准存在的问题主要有：</w:t>
      </w:r>
    </w:p>
    <w:p w14:paraId="11CE86E5" w14:textId="524808AB" w:rsidR="00451D9A" w:rsidRPr="00451D9A" w:rsidRDefault="00451D9A" w:rsidP="00451D9A">
      <w:pPr>
        <w:ind w:firstLine="562"/>
        <w:rPr>
          <w:rFonts w:hint="eastAsia"/>
          <w:b/>
          <w:bCs/>
        </w:rPr>
      </w:pPr>
      <w:r w:rsidRPr="00451D9A">
        <w:rPr>
          <w:rFonts w:hint="eastAsia"/>
          <w:b/>
          <w:bCs/>
        </w:rPr>
        <w:t>（1）细颗粒物全组分覆盖不足</w:t>
      </w:r>
    </w:p>
    <w:p w14:paraId="3B19AEFF" w14:textId="1EAA0D3D" w:rsidR="00451D9A" w:rsidRPr="00451D9A" w:rsidRDefault="00451D9A" w:rsidP="00451D9A">
      <w:pPr>
        <w:rPr>
          <w:rFonts w:hint="eastAsia"/>
        </w:rPr>
      </w:pPr>
      <w:r w:rsidRPr="00451D9A">
        <w:rPr>
          <w:rFonts w:hint="eastAsia"/>
        </w:rPr>
        <w:t>现有标准多聚焦单一组分（如重金属、离子），缺乏全组分（无机+有机）的整合评价框架</w:t>
      </w:r>
      <w:r>
        <w:rPr>
          <w:rFonts w:hint="eastAsia"/>
        </w:rPr>
        <w:t>。</w:t>
      </w:r>
    </w:p>
    <w:p w14:paraId="635B4221" w14:textId="30817033" w:rsidR="00451D9A" w:rsidRPr="00451D9A" w:rsidRDefault="00451D9A" w:rsidP="00451D9A">
      <w:pPr>
        <w:ind w:firstLine="562"/>
        <w:rPr>
          <w:rFonts w:hint="eastAsia"/>
          <w:b/>
          <w:bCs/>
        </w:rPr>
      </w:pPr>
      <w:r w:rsidRPr="00451D9A">
        <w:rPr>
          <w:rFonts w:hint="eastAsia"/>
          <w:b/>
          <w:bCs/>
        </w:rPr>
        <w:t>（2）</w:t>
      </w:r>
      <w:proofErr w:type="gramStart"/>
      <w:r w:rsidRPr="00451D9A">
        <w:rPr>
          <w:rFonts w:hint="eastAsia"/>
          <w:b/>
          <w:bCs/>
        </w:rPr>
        <w:t>源谱不确定度</w:t>
      </w:r>
      <w:proofErr w:type="gramEnd"/>
      <w:r w:rsidRPr="00451D9A">
        <w:rPr>
          <w:rFonts w:hint="eastAsia"/>
          <w:b/>
          <w:bCs/>
        </w:rPr>
        <w:t>评定方法缺乏</w:t>
      </w:r>
    </w:p>
    <w:p w14:paraId="3F04CF7E" w14:textId="7CCAA8FC" w:rsidR="00451D9A" w:rsidRPr="00451D9A" w:rsidRDefault="00451D9A" w:rsidP="00451D9A">
      <w:pPr>
        <w:rPr>
          <w:rFonts w:hint="eastAsia"/>
        </w:rPr>
      </w:pPr>
      <w:r w:rsidRPr="00451D9A">
        <w:rPr>
          <w:rFonts w:hint="eastAsia"/>
        </w:rPr>
        <w:t>欧美国家在颗粒物源解析领域已形成部分技术指南，但未明确提出全组分不确定度评价的完整框架；相关规范侧重于通用测量不确定度评定，缺乏系统评定</w:t>
      </w:r>
      <w:proofErr w:type="gramStart"/>
      <w:r w:rsidRPr="00451D9A">
        <w:rPr>
          <w:rFonts w:hint="eastAsia"/>
        </w:rPr>
        <w:t>源谱全</w:t>
      </w:r>
      <w:proofErr w:type="gramEnd"/>
      <w:r w:rsidRPr="00451D9A">
        <w:rPr>
          <w:rFonts w:hint="eastAsia"/>
        </w:rPr>
        <w:t>组分不确定度的方法</w:t>
      </w:r>
      <w:r>
        <w:rPr>
          <w:rFonts w:hint="eastAsia"/>
        </w:rPr>
        <w:t>。</w:t>
      </w:r>
    </w:p>
    <w:p w14:paraId="3698F701" w14:textId="083DCDBD" w:rsidR="00451D9A" w:rsidRPr="00451D9A" w:rsidRDefault="00451D9A" w:rsidP="00451D9A">
      <w:pPr>
        <w:ind w:firstLine="562"/>
        <w:rPr>
          <w:rFonts w:hint="eastAsia"/>
          <w:b/>
          <w:bCs/>
        </w:rPr>
      </w:pPr>
      <w:r w:rsidRPr="00451D9A">
        <w:rPr>
          <w:rFonts w:hint="eastAsia"/>
          <w:b/>
          <w:bCs/>
        </w:rPr>
        <w:t>（3）区域适用性限制</w:t>
      </w:r>
    </w:p>
    <w:p w14:paraId="749F7AEA" w14:textId="05C1C4DC" w:rsidR="00504E4A" w:rsidRDefault="00451D9A" w:rsidP="00451D9A">
      <w:pPr>
        <w:rPr>
          <w:rFonts w:hint="eastAsia"/>
        </w:rPr>
      </w:pPr>
      <w:r w:rsidRPr="00451D9A">
        <w:rPr>
          <w:rFonts w:hint="eastAsia"/>
        </w:rPr>
        <w:t>欧美标准基于本地污染源特征设计，与我国复杂工业源、移动源差异较大，部分方法需本土化调整</w:t>
      </w:r>
      <w:r>
        <w:rPr>
          <w:rFonts w:hint="eastAsia"/>
        </w:rPr>
        <w:t>。</w:t>
      </w:r>
    </w:p>
    <w:p w14:paraId="10692E86" w14:textId="34AA615E" w:rsidR="00C45201" w:rsidRDefault="00C45201" w:rsidP="00C45201">
      <w:r>
        <w:rPr>
          <w:rFonts w:hint="eastAsia"/>
        </w:rPr>
        <w:t>基于以上标准我们将</w:t>
      </w:r>
      <w:r w:rsidRPr="00C45201">
        <w:rPr>
          <w:rFonts w:hint="eastAsia"/>
        </w:rPr>
        <w:t>引用GB/T 16157固定污染源排气中颗粒物测定与气态污染物采样方法、HJ 618环境空气PM</w:t>
      </w:r>
      <w:r w:rsidRPr="00C45201">
        <w:rPr>
          <w:rFonts w:hint="eastAsia"/>
          <w:vertAlign w:val="subscript"/>
        </w:rPr>
        <w:t>10</w:t>
      </w:r>
      <w:r w:rsidRPr="00C45201">
        <w:rPr>
          <w:rFonts w:hint="eastAsia"/>
        </w:rPr>
        <w:t>和PM</w:t>
      </w:r>
      <w:r w:rsidRPr="00C45201">
        <w:rPr>
          <w:rFonts w:hint="eastAsia"/>
          <w:vertAlign w:val="subscript"/>
        </w:rPr>
        <w:t>2.5</w:t>
      </w:r>
      <w:r w:rsidRPr="00C45201">
        <w:rPr>
          <w:rFonts w:hint="eastAsia"/>
        </w:rPr>
        <w:t>的测定重量法、HJ 800-2016 环境空气 颗粒物中水溶性阳离子（Li</w:t>
      </w:r>
      <w:r w:rsidRPr="00C45201">
        <w:rPr>
          <w:rFonts w:hint="eastAsia"/>
          <w:vertAlign w:val="superscript"/>
        </w:rPr>
        <w:t>+</w:t>
      </w:r>
      <w:r w:rsidRPr="00C45201">
        <w:rPr>
          <w:rFonts w:hint="eastAsia"/>
        </w:rPr>
        <w:t>、Na</w:t>
      </w:r>
      <w:r w:rsidRPr="00C45201">
        <w:rPr>
          <w:rFonts w:hint="eastAsia"/>
          <w:vertAlign w:val="superscript"/>
        </w:rPr>
        <w:t>+</w:t>
      </w:r>
      <w:r w:rsidRPr="00C45201">
        <w:rPr>
          <w:rFonts w:hint="eastAsia"/>
        </w:rPr>
        <w:t>、NH</w:t>
      </w:r>
      <w:r w:rsidRPr="00C45201">
        <w:rPr>
          <w:rFonts w:hint="eastAsia"/>
          <w:vertAlign w:val="subscript"/>
        </w:rPr>
        <w:t>4</w:t>
      </w:r>
      <w:r w:rsidRPr="00C45201">
        <w:rPr>
          <w:rFonts w:hint="eastAsia"/>
          <w:vertAlign w:val="superscript"/>
        </w:rPr>
        <w:t>+</w:t>
      </w:r>
      <w:r w:rsidRPr="00C45201">
        <w:rPr>
          <w:rFonts w:hint="eastAsia"/>
        </w:rPr>
        <w:t>、K</w:t>
      </w:r>
      <w:r w:rsidRPr="00C45201">
        <w:rPr>
          <w:rFonts w:hint="eastAsia"/>
          <w:vertAlign w:val="superscript"/>
        </w:rPr>
        <w:t>+</w:t>
      </w:r>
      <w:r w:rsidRPr="00C45201">
        <w:rPr>
          <w:rFonts w:hint="eastAsia"/>
        </w:rPr>
        <w:t>、Ca</w:t>
      </w:r>
      <w:r w:rsidRPr="00C45201">
        <w:rPr>
          <w:rFonts w:hint="eastAsia"/>
          <w:vertAlign w:val="superscript"/>
        </w:rPr>
        <w:t>2+</w:t>
      </w:r>
      <w:r w:rsidRPr="00C45201">
        <w:rPr>
          <w:rFonts w:hint="eastAsia"/>
        </w:rPr>
        <w:t>、Mg</w:t>
      </w:r>
      <w:r w:rsidRPr="00C45201">
        <w:rPr>
          <w:rFonts w:hint="eastAsia"/>
          <w:vertAlign w:val="superscript"/>
        </w:rPr>
        <w:t>2+</w:t>
      </w:r>
      <w:r w:rsidRPr="00C45201">
        <w:rPr>
          <w:rFonts w:hint="eastAsia"/>
        </w:rPr>
        <w:t>）的测定 离子色谱法等标准，明确各环节输入参数；在GB/T 27418-2017 测量不确定度评定和表示 基础上扩展至颗粒物多组分不确定度的计算</w:t>
      </w:r>
      <w:r>
        <w:rPr>
          <w:rFonts w:hint="eastAsia"/>
        </w:rPr>
        <w:t>；</w:t>
      </w:r>
      <w:r w:rsidRPr="00C45201">
        <w:rPr>
          <w:rFonts w:hint="eastAsia"/>
        </w:rPr>
        <w:t>避免与称量、金属/离子/</w:t>
      </w:r>
      <w:proofErr w:type="gramStart"/>
      <w:r w:rsidRPr="00C45201">
        <w:rPr>
          <w:rFonts w:hint="eastAsia"/>
        </w:rPr>
        <w:t>碳分析</w:t>
      </w:r>
      <w:proofErr w:type="gramEnd"/>
      <w:r w:rsidRPr="00C45201">
        <w:rPr>
          <w:rFonts w:hint="eastAsia"/>
        </w:rPr>
        <w:t>等标准和规范的重复，仅聚焦不确定度量化</w:t>
      </w:r>
      <w:r>
        <w:rPr>
          <w:rFonts w:hint="eastAsia"/>
        </w:rPr>
        <w:t>。</w:t>
      </w:r>
      <w:r w:rsidR="00770956">
        <w:rPr>
          <w:rFonts w:hint="eastAsia"/>
        </w:rPr>
        <w:t>该标准的制定是精细化</w:t>
      </w:r>
      <w:r w:rsidR="00770956">
        <w:rPr>
          <w:rFonts w:hint="eastAsia"/>
        </w:rPr>
        <w:t>治</w:t>
      </w:r>
      <w:proofErr w:type="gramStart"/>
      <w:r w:rsidR="00770956">
        <w:rPr>
          <w:rFonts w:hint="eastAsia"/>
        </w:rPr>
        <w:t>霾</w:t>
      </w:r>
      <w:proofErr w:type="gramEnd"/>
      <w:r w:rsidR="00770956">
        <w:rPr>
          <w:rFonts w:hint="eastAsia"/>
        </w:rPr>
        <w:t>的迫切需求</w:t>
      </w:r>
      <w:r w:rsidR="00770956">
        <w:rPr>
          <w:rFonts w:hint="eastAsia"/>
        </w:rPr>
        <w:t>，</w:t>
      </w:r>
      <w:proofErr w:type="gramStart"/>
      <w:r w:rsidR="00770956" w:rsidRPr="00770956">
        <w:rPr>
          <w:rFonts w:hint="eastAsia"/>
        </w:rPr>
        <w:t>源谱数据质量</w:t>
      </w:r>
      <w:proofErr w:type="gramEnd"/>
      <w:r w:rsidR="00770956" w:rsidRPr="00770956">
        <w:rPr>
          <w:rFonts w:hint="eastAsia"/>
        </w:rPr>
        <w:t>提升的关键支撑</w:t>
      </w:r>
      <w:r w:rsidR="00770956">
        <w:rPr>
          <w:rFonts w:hint="eastAsia"/>
        </w:rPr>
        <w:t>和</w:t>
      </w:r>
      <w:r w:rsidR="00770956" w:rsidRPr="00770956">
        <w:rPr>
          <w:rFonts w:hint="eastAsia"/>
        </w:rPr>
        <w:t>国际标准本土化的必然要求</w:t>
      </w:r>
      <w:r w:rsidR="00770956">
        <w:rPr>
          <w:rFonts w:hint="eastAsia"/>
        </w:rPr>
        <w:t>。</w:t>
      </w:r>
    </w:p>
    <w:p w14:paraId="633D1679" w14:textId="7CB6D178" w:rsidR="004955EC" w:rsidRDefault="004955EC" w:rsidP="004955EC">
      <w:pPr>
        <w:pStyle w:val="2"/>
      </w:pPr>
      <w:r>
        <w:rPr>
          <w:rFonts w:hint="eastAsia"/>
        </w:rPr>
        <w:lastRenderedPageBreak/>
        <w:t>五、标准制修订原则</w:t>
      </w:r>
    </w:p>
    <w:p w14:paraId="6351972A" w14:textId="1B17C47D" w:rsidR="004955EC" w:rsidRDefault="001F6DEE" w:rsidP="00C45201">
      <w:r>
        <w:rPr>
          <w:rFonts w:hint="eastAsia"/>
        </w:rPr>
        <w:t>1．全流程覆盖原则</w:t>
      </w:r>
    </w:p>
    <w:p w14:paraId="4F5DF444" w14:textId="4CEF9CD1" w:rsidR="001F6DEE" w:rsidRDefault="001F6DEE" w:rsidP="00C45201">
      <w:r w:rsidRPr="001F6DEE">
        <w:rPr>
          <w:rFonts w:hint="eastAsia"/>
        </w:rPr>
        <w:t>涵盖采样（流量校准、重复性）、称量（天平线性、环境控制）、分析（提取效率、曲线拟合）全环节不确定度量化。</w:t>
      </w:r>
    </w:p>
    <w:p w14:paraId="3A6F712E" w14:textId="190571AC" w:rsidR="001F6DEE" w:rsidRDefault="001F6DEE" w:rsidP="00C45201">
      <w:r>
        <w:rPr>
          <w:rFonts w:hint="eastAsia"/>
        </w:rPr>
        <w:t>2.兼容性与创新性并重</w:t>
      </w:r>
    </w:p>
    <w:p w14:paraId="27E290E2" w14:textId="6EA54C04" w:rsidR="001F6DEE" w:rsidRDefault="001F6DEE" w:rsidP="00C45201">
      <w:pPr>
        <w:rPr>
          <w:rFonts w:hint="eastAsia"/>
        </w:rPr>
      </w:pPr>
      <w:r w:rsidRPr="001F6DEE">
        <w:rPr>
          <w:rFonts w:hint="eastAsia"/>
        </w:rPr>
        <w:t>兼容现有标准</w:t>
      </w:r>
      <w:r>
        <w:rPr>
          <w:rFonts w:hint="eastAsia"/>
        </w:rPr>
        <w:t>，</w:t>
      </w:r>
      <w:r w:rsidRPr="001F6DEE">
        <w:rPr>
          <w:rFonts w:hint="eastAsia"/>
        </w:rPr>
        <w:t>直接引用GB/T 16157、HJ 618等规范的输入参数</w:t>
      </w:r>
      <w:r>
        <w:rPr>
          <w:rFonts w:hint="eastAsia"/>
        </w:rPr>
        <w:t>；</w:t>
      </w:r>
      <w:r w:rsidRPr="001F6DEE">
        <w:rPr>
          <w:rFonts w:hint="eastAsia"/>
        </w:rPr>
        <w:t>创新评价框架</w:t>
      </w:r>
      <w:r>
        <w:rPr>
          <w:rFonts w:hint="eastAsia"/>
        </w:rPr>
        <w:t>，</w:t>
      </w:r>
      <w:r w:rsidRPr="001F6DEE">
        <w:rPr>
          <w:rFonts w:hint="eastAsia"/>
        </w:rPr>
        <w:t>首次提出“源谱有效性分级”（A-D级），整合定性指标（采样规范性）与定量指标（不确定度阈值）</w:t>
      </w:r>
      <w:r w:rsidR="005E629A">
        <w:rPr>
          <w:rFonts w:hint="eastAsia"/>
        </w:rPr>
        <w:t>。</w:t>
      </w:r>
    </w:p>
    <w:p w14:paraId="086F8FF0" w14:textId="2172362A" w:rsidR="00376B8D" w:rsidRDefault="004955EC" w:rsidP="00376B8D">
      <w:pPr>
        <w:pStyle w:val="2"/>
        <w:rPr>
          <w:rFonts w:hint="eastAsia"/>
        </w:rPr>
      </w:pPr>
      <w:r>
        <w:rPr>
          <w:rFonts w:hint="eastAsia"/>
        </w:rPr>
        <w:t>六</w:t>
      </w:r>
      <w:r w:rsidR="00376B8D">
        <w:rPr>
          <w:rFonts w:hint="eastAsia"/>
        </w:rPr>
        <w:t>、主要内容及依据</w:t>
      </w:r>
    </w:p>
    <w:p w14:paraId="44A77CEC" w14:textId="5F1A9D0F" w:rsidR="00BB769F" w:rsidRDefault="00BB769F" w:rsidP="00657EFF">
      <w:pPr>
        <w:rPr>
          <w:rFonts w:hint="eastAsia"/>
        </w:rPr>
      </w:pPr>
      <w:r>
        <w:rPr>
          <w:rFonts w:hint="eastAsia"/>
        </w:rPr>
        <w:t>本标准首次系统规定了细颗粒物源化学成分谱</w:t>
      </w:r>
      <w:proofErr w:type="gramStart"/>
      <w:r>
        <w:rPr>
          <w:rFonts w:hint="eastAsia"/>
        </w:rPr>
        <w:t>构建全</w:t>
      </w:r>
      <w:proofErr w:type="gramEnd"/>
      <w:r>
        <w:rPr>
          <w:rFonts w:hint="eastAsia"/>
        </w:rPr>
        <w:t>流程的不确定度评价方法</w:t>
      </w:r>
      <w:r w:rsidR="006E0E5D">
        <w:rPr>
          <w:rFonts w:hint="eastAsia"/>
        </w:rPr>
        <w:t>，涵盖采样、称量、</w:t>
      </w:r>
      <w:r w:rsidR="00184CF8">
        <w:rPr>
          <w:rFonts w:hint="eastAsia"/>
        </w:rPr>
        <w:t>化学分析三大环节，输出合成不确定度</w:t>
      </w:r>
      <w:proofErr w:type="gramStart"/>
      <w:r w:rsidR="00184CF8">
        <w:rPr>
          <w:rFonts w:hint="eastAsia"/>
        </w:rPr>
        <w:t>及源谱有效性</w:t>
      </w:r>
      <w:proofErr w:type="gramEnd"/>
      <w:r w:rsidR="00184CF8">
        <w:rPr>
          <w:rFonts w:hint="eastAsia"/>
        </w:rPr>
        <w:t>等级。</w:t>
      </w:r>
    </w:p>
    <w:p w14:paraId="1B3FE003" w14:textId="63556B8D" w:rsidR="001903B4" w:rsidRDefault="001903B4" w:rsidP="00657EFF">
      <w:pPr>
        <w:rPr>
          <w:rFonts w:hint="eastAsia"/>
        </w:rPr>
      </w:pPr>
      <w:r>
        <w:rPr>
          <w:rFonts w:hint="eastAsia"/>
        </w:rPr>
        <w:t>根据</w:t>
      </w:r>
      <w:r w:rsidRPr="001903B4">
        <w:rPr>
          <w:rFonts w:hint="eastAsia"/>
        </w:rPr>
        <w:t>JJF 1001-2011 通用计量术语及定义技术规范</w:t>
      </w:r>
      <w:r>
        <w:rPr>
          <w:rFonts w:hint="eastAsia"/>
        </w:rPr>
        <w:t xml:space="preserve"> 明确了14项关键术语，包括测量结果、测得的量值、测量精密度、测量重复性、实验标准偏差、测量不确定度、标准不确定度、相对标准不确定度、测量不确定度的A类评定、测量不确定度的B类评定、包含因子、仪器的测量不确定度、定义的不确定度、合成标准不确定度。</w:t>
      </w:r>
    </w:p>
    <w:p w14:paraId="4B6F7C8F" w14:textId="15C51446" w:rsidR="002A3591" w:rsidRDefault="005C70E6" w:rsidP="00657EFF">
      <w:pPr>
        <w:rPr>
          <w:rFonts w:hint="eastAsia"/>
        </w:rPr>
      </w:pPr>
      <w:r>
        <w:rPr>
          <w:rFonts w:hint="eastAsia"/>
        </w:rPr>
        <w:t xml:space="preserve">根据JJF 1059.1-2012 测量不确定度评定与表示、GB/T 27418-2017 测量不确定度评定和表示 </w:t>
      </w:r>
      <w:proofErr w:type="gramStart"/>
      <w:r>
        <w:rPr>
          <w:rFonts w:hint="eastAsia"/>
        </w:rPr>
        <w:t>确定源谱不确定度</w:t>
      </w:r>
      <w:proofErr w:type="gramEnd"/>
      <w:r>
        <w:rPr>
          <w:rFonts w:hint="eastAsia"/>
        </w:rPr>
        <w:t>评定分为A类评定方法和B类评定方法。</w:t>
      </w:r>
      <w:r w:rsidR="005D22FF">
        <w:rPr>
          <w:rFonts w:hint="eastAsia"/>
        </w:rPr>
        <w:t>首先</w:t>
      </w:r>
      <w:proofErr w:type="gramStart"/>
      <w:r w:rsidR="005D22FF">
        <w:rPr>
          <w:rFonts w:hint="eastAsia"/>
        </w:rPr>
        <w:t>确定源谱不确定度</w:t>
      </w:r>
      <w:proofErr w:type="gramEnd"/>
      <w:r w:rsidR="005D22FF">
        <w:rPr>
          <w:rFonts w:hint="eastAsia"/>
        </w:rPr>
        <w:t>来源，</w:t>
      </w:r>
      <w:proofErr w:type="gramStart"/>
      <w:r w:rsidR="005D22FF" w:rsidRPr="005D22FF">
        <w:rPr>
          <w:rFonts w:hint="eastAsia"/>
        </w:rPr>
        <w:t>根据源谱构建</w:t>
      </w:r>
      <w:proofErr w:type="gramEnd"/>
      <w:r w:rsidR="005D22FF" w:rsidRPr="005D22FF">
        <w:rPr>
          <w:rFonts w:hint="eastAsia"/>
        </w:rPr>
        <w:t>过程及关键环节识别流程，采样过程</w:t>
      </w:r>
      <w:r w:rsidR="00E75D64">
        <w:rPr>
          <w:rFonts w:hint="eastAsia"/>
        </w:rPr>
        <w:t>（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rel(</m:t>
            </m:r>
            <m:r>
              <w:rPr>
                <w:rFonts w:ascii="Cambria Math" w:hAnsi="Cambria Math" w:hint="eastAsia"/>
              </w:rPr>
              <m:t>s</m:t>
            </m:r>
            <m:r>
              <w:rPr>
                <w:rFonts w:ascii="Cambria Math" w:hAnsi="Cambria Math"/>
              </w:rPr>
              <m:t>)</m:t>
            </m:r>
          </m:sub>
        </m:sSub>
      </m:oMath>
      <w:r w:rsidR="00E75D64">
        <w:rPr>
          <w:rFonts w:hint="eastAsia"/>
        </w:rPr>
        <w:t>）</w:t>
      </w:r>
      <w:r w:rsidR="005D22FF" w:rsidRPr="005D22FF">
        <w:rPr>
          <w:rFonts w:hint="eastAsia"/>
        </w:rPr>
        <w:t>、称量过程</w:t>
      </w:r>
      <w:r w:rsidR="00E75D64">
        <w:rPr>
          <w:rFonts w:hint="eastAsia"/>
        </w:rPr>
        <w:t>（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rel(</m:t>
            </m:r>
            <m:r>
              <w:rPr>
                <w:rFonts w:ascii="Cambria Math" w:hAnsi="Cambria Math" w:hint="eastAsia"/>
              </w:rPr>
              <m:t>m</m:t>
            </m:r>
            <m:r>
              <w:rPr>
                <w:rFonts w:ascii="Cambria Math" w:hAnsi="Cambria Math"/>
              </w:rPr>
              <m:t>)</m:t>
            </m:r>
          </m:sub>
        </m:sSub>
      </m:oMath>
      <w:r w:rsidR="00E75D64">
        <w:rPr>
          <w:rFonts w:hint="eastAsia"/>
        </w:rPr>
        <w:t>）</w:t>
      </w:r>
      <w:r w:rsidR="005D22FF" w:rsidRPr="005D22FF">
        <w:rPr>
          <w:rFonts w:hint="eastAsia"/>
        </w:rPr>
        <w:t>、分析过程</w:t>
      </w:r>
      <w:r w:rsidR="00E75D64">
        <w:rPr>
          <w:rFonts w:hint="eastAsia"/>
        </w:rPr>
        <w:t>（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rel(</m:t>
            </m:r>
            <m:r>
              <w:rPr>
                <w:rFonts w:ascii="Cambria Math" w:hAnsi="Cambria Math" w:hint="eastAsia"/>
              </w:rPr>
              <m:t>a</m:t>
            </m:r>
            <m:r>
              <w:rPr>
                <w:rFonts w:ascii="Cambria Math" w:hAnsi="Cambria Math"/>
              </w:rPr>
              <m:t>)</m:t>
            </m:r>
          </m:sub>
        </m:sSub>
      </m:oMath>
      <w:r w:rsidR="00E75D64">
        <w:rPr>
          <w:rFonts w:hint="eastAsia"/>
        </w:rPr>
        <w:t>）</w:t>
      </w:r>
      <w:r w:rsidR="005D22FF" w:rsidRPr="005D22FF">
        <w:rPr>
          <w:rFonts w:hint="eastAsia"/>
        </w:rPr>
        <w:t>为源谱不确定度主要来源。</w:t>
      </w:r>
    </w:p>
    <w:p w14:paraId="1B5131A4" w14:textId="2F3ADC4B" w:rsidR="002A3591" w:rsidRDefault="005C70E6" w:rsidP="00657EFF">
      <w:pPr>
        <w:rPr>
          <w:rFonts w:hint="eastAsia"/>
        </w:rPr>
      </w:pPr>
      <w:r>
        <w:rPr>
          <w:rFonts w:hint="eastAsia"/>
        </w:rPr>
        <w:lastRenderedPageBreak/>
        <w:t>采样过程中</w:t>
      </w:r>
      <w:r w:rsidRPr="005C70E6">
        <w:rPr>
          <w:rFonts w:hint="eastAsia"/>
        </w:rPr>
        <w:t>不同污染源的采样方法详见《固定污染源排气中颗粒物测定与气态污染物采样方法》（GB/T 16157）、《烟尘采样器技术条件》（HJ/T 48）、《环境空气颗粒物(PM</w:t>
      </w:r>
      <w:r w:rsidRPr="005C70E6">
        <w:rPr>
          <w:rFonts w:hint="eastAsia"/>
          <w:vertAlign w:val="subscript"/>
        </w:rPr>
        <w:t>10</w:t>
      </w:r>
      <w:r w:rsidRPr="005C70E6">
        <w:rPr>
          <w:rFonts w:hint="eastAsia"/>
        </w:rPr>
        <w:t>和PM</w:t>
      </w:r>
      <w:r w:rsidRPr="005C70E6">
        <w:rPr>
          <w:rFonts w:hint="eastAsia"/>
          <w:vertAlign w:val="subscript"/>
        </w:rPr>
        <w:t>2.5</w:t>
      </w:r>
      <w:r w:rsidRPr="005C70E6">
        <w:rPr>
          <w:rFonts w:hint="eastAsia"/>
        </w:rPr>
        <w:t>)采样器技术要求及检测方法》（HJ 93）和《环境空气颗粒物来源解析监测技术方法指南》（</w:t>
      </w:r>
      <w:proofErr w:type="gramStart"/>
      <w:r w:rsidRPr="005C70E6">
        <w:rPr>
          <w:rFonts w:hint="eastAsia"/>
        </w:rPr>
        <w:t>环办函</w:t>
      </w:r>
      <w:proofErr w:type="gramEnd"/>
      <w:r w:rsidRPr="005C70E6">
        <w:rPr>
          <w:rFonts w:hint="eastAsia"/>
        </w:rPr>
        <w:t>[2020]8号），采样过程引入的不确定度包括仪器本身</w:t>
      </w:r>
      <w:r w:rsidR="00322E03">
        <w:rPr>
          <w:rFonts w:hint="eastAsia"/>
        </w:rPr>
        <w:t>（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rel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 w:hint="eastAsia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hint="eastAsia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)</m:t>
            </m:r>
          </m:sub>
        </m:sSub>
      </m:oMath>
      <w:r w:rsidR="00322E03">
        <w:rPr>
          <w:rFonts w:hint="eastAsia"/>
        </w:rPr>
        <w:t>）</w:t>
      </w:r>
      <w:r w:rsidRPr="005C70E6">
        <w:rPr>
          <w:rFonts w:hint="eastAsia"/>
        </w:rPr>
        <w:t>以及重复采样</w:t>
      </w:r>
      <w:r w:rsidR="00322E03">
        <w:rPr>
          <w:rFonts w:hint="eastAsia"/>
        </w:rPr>
        <w:t>（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rel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 w:hint="eastAsia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)</m:t>
            </m:r>
          </m:sub>
        </m:sSub>
      </m:oMath>
      <w:r w:rsidR="00322E03">
        <w:rPr>
          <w:rFonts w:hint="eastAsia"/>
        </w:rPr>
        <w:t>）</w:t>
      </w:r>
      <w:r w:rsidRPr="005C70E6">
        <w:rPr>
          <w:rFonts w:hint="eastAsia"/>
        </w:rPr>
        <w:t>引入的不确定度</w:t>
      </w:r>
      <w:r>
        <w:rPr>
          <w:rFonts w:hint="eastAsia"/>
        </w:rPr>
        <w:t>。</w:t>
      </w:r>
      <w:r w:rsidR="009265F1">
        <w:rPr>
          <w:rFonts w:hint="eastAsia"/>
        </w:rPr>
        <w:t>普遍情况下，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 w:hint="eastAsia"/>
                  </w:rPr>
                  <m:t>s</m:t>
                </m:r>
              </m:e>
              <m:sub>
                <m:r>
                  <w:rPr>
                    <w:rFonts w:ascii="Cambria Math" w:hAnsi="Cambria Math" w:hint="eastAsia"/>
                  </w:rPr>
                  <m:t>1</m:t>
                </m:r>
              </m:sub>
            </m:sSub>
          </m:sub>
        </m:sSub>
      </m:oMath>
      <w:r w:rsidR="009265F1">
        <w:rPr>
          <w:rFonts w:hint="eastAsia"/>
        </w:rPr>
        <w:t>的计算需要涵盖采样流量、切割器效率、捕集效率三方面引入的不确定度。重复采样不确定度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 w:hint="eastAsia"/>
                  </w:rPr>
                  <m:t>s</m:t>
                </m:r>
              </m:e>
              <m:sub>
                <m:r>
                  <w:rPr>
                    <w:rFonts w:ascii="Cambria Math" w:hAnsi="Cambria Math" w:hint="eastAsia"/>
                  </w:rPr>
                  <m:t>2</m:t>
                </m:r>
              </m:sub>
            </m:sSub>
          </m:sub>
        </m:sSub>
      </m:oMath>
      <w:r w:rsidR="009265F1">
        <w:rPr>
          <w:rFonts w:hint="eastAsia"/>
        </w:rPr>
        <w:t>主要来源于</w:t>
      </w:r>
      <w:r w:rsidR="009265F1">
        <w:t>气压、温度、</w:t>
      </w:r>
      <w:r w:rsidR="009265F1">
        <w:rPr>
          <w:rFonts w:hint="eastAsia"/>
        </w:rPr>
        <w:t>湿度</w:t>
      </w:r>
      <w:r w:rsidR="009265F1">
        <w:t>、</w:t>
      </w:r>
      <w:r w:rsidR="009265F1">
        <w:rPr>
          <w:rFonts w:hint="eastAsia"/>
        </w:rPr>
        <w:t>工况设定、人员操作变</w:t>
      </w:r>
      <w:r w:rsidR="009265F1" w:rsidRPr="00D33426">
        <w:rPr>
          <w:rFonts w:hint="eastAsia"/>
        </w:rPr>
        <w:t>化等随机效应造成的影响，难以人为修正或减小。</w:t>
      </w:r>
      <w:r w:rsidR="009265F1">
        <w:rPr>
          <w:rFonts w:hint="eastAsia"/>
        </w:rPr>
        <w:t>由于颗粒物平行样品的个数设置普遍较少，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 w:hint="eastAsia"/>
                  </w:rPr>
                  <m:t>s</m:t>
                </m:r>
              </m:e>
              <m:sub>
                <m:r>
                  <w:rPr>
                    <w:rFonts w:ascii="Cambria Math" w:hAnsi="Cambria Math" w:hint="eastAsia"/>
                  </w:rPr>
                  <m:t>2</m:t>
                </m:r>
              </m:sub>
            </m:sSub>
          </m:sub>
        </m:sSub>
      </m:oMath>
      <w:r w:rsidR="009265F1">
        <w:rPr>
          <w:rFonts w:hint="eastAsia"/>
        </w:rPr>
        <w:t>按照极差法计算。</w:t>
      </w:r>
    </w:p>
    <w:p w14:paraId="76F2C202" w14:textId="38E56FAF" w:rsidR="002A3591" w:rsidRDefault="00995392" w:rsidP="00657EFF">
      <w:pPr>
        <w:rPr>
          <w:rFonts w:hint="eastAsia"/>
        </w:rPr>
      </w:pPr>
      <w:r w:rsidRPr="00995392">
        <w:rPr>
          <w:rFonts w:hint="eastAsia"/>
        </w:rPr>
        <w:t>称量规范详见《环境空气PM</w:t>
      </w:r>
      <w:r w:rsidRPr="00995392">
        <w:rPr>
          <w:rFonts w:hint="eastAsia"/>
          <w:vertAlign w:val="subscript"/>
        </w:rPr>
        <w:t>10</w:t>
      </w:r>
      <w:r w:rsidRPr="00995392">
        <w:rPr>
          <w:rFonts w:hint="eastAsia"/>
        </w:rPr>
        <w:t>和PM</w:t>
      </w:r>
      <w:r w:rsidRPr="00995392">
        <w:rPr>
          <w:rFonts w:hint="eastAsia"/>
          <w:vertAlign w:val="subscript"/>
        </w:rPr>
        <w:t>2.5</w:t>
      </w:r>
      <w:r w:rsidRPr="00995392">
        <w:rPr>
          <w:rFonts w:hint="eastAsia"/>
        </w:rPr>
        <w:t>的测定重量法》（HJ 618）和《环境空气颗粒物PM</w:t>
      </w:r>
      <w:r w:rsidRPr="00995392">
        <w:rPr>
          <w:rFonts w:hint="eastAsia"/>
          <w:vertAlign w:val="subscript"/>
        </w:rPr>
        <w:t>2.5</w:t>
      </w:r>
      <w:r w:rsidRPr="00995392">
        <w:rPr>
          <w:rFonts w:hint="eastAsia"/>
        </w:rPr>
        <w:t>手工监测方法(重量法)技术规范》（HJ 656），不确定度评定需要综合考虑采样前后两次称量过程</w:t>
      </w:r>
      <w:r w:rsidR="00322E03">
        <w:rPr>
          <w:rFonts w:hint="eastAsia"/>
        </w:rPr>
        <w:t>（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 w:hint="eastAsia"/>
              </w:rPr>
              <m:t>u</m:t>
            </m:r>
          </m:e>
          <m:sub>
            <m:r>
              <w:rPr>
                <w:rFonts w:ascii="Cambria Math" w:hAnsi="Cambria Math" w:hint="eastAsia"/>
              </w:rPr>
              <m:t>rel</m:t>
            </m:r>
            <m:r>
              <w:rPr>
                <w:rFonts w:ascii="Cambria Math" w:hAnsi="Cambria Math"/>
              </w:rPr>
              <m:t>(m)</m:t>
            </m:r>
          </m:sub>
        </m:sSub>
      </m:oMath>
      <w:r w:rsidR="00322E03">
        <w:rPr>
          <w:rFonts w:hint="eastAsia"/>
        </w:rPr>
        <w:t>）</w:t>
      </w:r>
      <w:r>
        <w:rPr>
          <w:rFonts w:hint="eastAsia"/>
        </w:rPr>
        <w:t>。</w:t>
      </w:r>
      <w:r w:rsidR="009265F1" w:rsidRPr="005C5D30">
        <w:rPr>
          <w:rFonts w:hint="eastAsia"/>
        </w:rPr>
        <w:t>称量重复性、可读性</w:t>
      </w:r>
      <w:r w:rsidR="009265F1" w:rsidRPr="00C26C03">
        <w:rPr>
          <w:rFonts w:hint="eastAsia"/>
        </w:rPr>
        <w:t>、线性不确定度</w:t>
      </w:r>
      <w:r w:rsidR="009265F1">
        <w:rPr>
          <w:rFonts w:hint="eastAsia"/>
        </w:rPr>
        <w:t>、</w:t>
      </w:r>
      <w:r w:rsidR="009265F1" w:rsidRPr="005C5D30">
        <w:rPr>
          <w:rFonts w:hint="eastAsia"/>
        </w:rPr>
        <w:t>示</w:t>
      </w:r>
      <w:proofErr w:type="gramStart"/>
      <w:r w:rsidR="009265F1" w:rsidRPr="005C5D30">
        <w:rPr>
          <w:rFonts w:hint="eastAsia"/>
        </w:rPr>
        <w:t>数估读</w:t>
      </w:r>
      <w:proofErr w:type="gramEnd"/>
      <w:r w:rsidR="009265F1">
        <w:rPr>
          <w:rFonts w:hint="eastAsia"/>
        </w:rPr>
        <w:t>以及</w:t>
      </w:r>
      <w:r w:rsidR="009265F1" w:rsidRPr="00CB1358">
        <w:t>空气浮力、湿度</w:t>
      </w:r>
      <w:r w:rsidR="009265F1">
        <w:rPr>
          <w:rFonts w:hint="eastAsia"/>
        </w:rPr>
        <w:t>和</w:t>
      </w:r>
      <w:r w:rsidR="009265F1" w:rsidRPr="00CB1358">
        <w:t>静电</w:t>
      </w:r>
      <w:r w:rsidR="009265F1">
        <w:rPr>
          <w:rFonts w:hint="eastAsia"/>
        </w:rPr>
        <w:t>等环境因素均会对称量结果造成影响</w:t>
      </w:r>
      <w:r w:rsidR="009265F1" w:rsidRPr="00D33426">
        <w:rPr>
          <w:rFonts w:hint="eastAsia"/>
        </w:rPr>
        <w:t>。</w:t>
      </w:r>
      <w:proofErr w:type="gramStart"/>
      <w:r w:rsidR="009265F1" w:rsidRPr="00D33426">
        <w:rPr>
          <w:rFonts w:ascii="Cambria Math" w:hAnsi="Cambria Math" w:cs="Cambria Math" w:hint="eastAsia"/>
        </w:rPr>
        <w:t>但示数估读</w:t>
      </w:r>
      <w:proofErr w:type="gramEnd"/>
      <w:r w:rsidR="009265F1" w:rsidRPr="00D33426">
        <w:rPr>
          <w:rFonts w:ascii="Cambria Math" w:hAnsi="Cambria Math" w:cs="Cambria Math" w:hint="eastAsia"/>
        </w:rPr>
        <w:t>引入的不确定度远小于测量重复性，可以忽略不计。在天平室内，</w:t>
      </w:r>
      <w:r w:rsidR="009265F1" w:rsidRPr="00D33426">
        <w:rPr>
          <w:rFonts w:hint="eastAsia"/>
        </w:rPr>
        <w:t>环境因素造成的影响也小到可忽略不计</w:t>
      </w:r>
      <w:r w:rsidR="009265F1">
        <w:rPr>
          <w:rFonts w:hint="eastAsia"/>
        </w:rPr>
        <w:t>。因</w:t>
      </w:r>
      <w:r w:rsidR="009265F1" w:rsidRPr="00562EC6">
        <w:rPr>
          <w:rFonts w:hint="eastAsia"/>
        </w:rPr>
        <w:t>此仅考虑称量重复性</w:t>
      </w:r>
      <w:r w:rsidR="009265F1" w:rsidRPr="00562EC6">
        <w:t>(</w:t>
      </w:r>
      <w:r w:rsidR="009265F1" w:rsidRPr="00562EC6">
        <w:rPr>
          <w:rFonts w:ascii="Cambria Math" w:hAnsi="Cambria Math" w:cs="Cambria Math"/>
        </w:rPr>
        <w:t>𝑢</w:t>
      </w:r>
      <w:r w:rsidR="009265F1" w:rsidRPr="00562EC6">
        <w:rPr>
          <w:rFonts w:ascii="Cambria Math" w:hAnsi="Cambria Math" w:cs="Cambria Math"/>
          <w:vertAlign w:val="subscript"/>
        </w:rPr>
        <w:t>𝑚1</w:t>
      </w:r>
      <w:r w:rsidR="009265F1" w:rsidRPr="00562EC6">
        <w:t>)</w:t>
      </w:r>
      <w:r w:rsidR="009265F1" w:rsidRPr="00562EC6">
        <w:rPr>
          <w:rFonts w:hint="eastAsia"/>
        </w:rPr>
        <w:t>、可读性</w:t>
      </w:r>
      <w:r w:rsidR="009265F1" w:rsidRPr="00562EC6">
        <w:t>(</w:t>
      </w:r>
      <w:r w:rsidR="009265F1" w:rsidRPr="00562EC6">
        <w:rPr>
          <w:rFonts w:ascii="Cambria Math" w:hAnsi="Cambria Math" w:cs="Cambria Math"/>
        </w:rPr>
        <w:t>𝑢</w:t>
      </w:r>
      <w:r w:rsidR="009265F1" w:rsidRPr="00562EC6">
        <w:rPr>
          <w:rFonts w:ascii="Cambria Math" w:hAnsi="Cambria Math" w:cs="Cambria Math"/>
          <w:vertAlign w:val="subscript"/>
        </w:rPr>
        <w:t>𝑚2</w:t>
      </w:r>
      <w:r w:rsidR="009265F1" w:rsidRPr="00562EC6">
        <w:t>)</w:t>
      </w:r>
      <w:r w:rsidR="009265F1" w:rsidRPr="00562EC6">
        <w:rPr>
          <w:rFonts w:hint="eastAsia"/>
        </w:rPr>
        <w:t>以及线性不确定度（</w:t>
      </w:r>
      <w:r w:rsidR="009265F1" w:rsidRPr="00562EC6">
        <w:rPr>
          <w:rFonts w:ascii="Cambria Math" w:hAnsi="Cambria Math" w:cs="Cambria Math"/>
        </w:rPr>
        <w:t>𝑢</w:t>
      </w:r>
      <w:r w:rsidR="009265F1" w:rsidRPr="00562EC6">
        <w:rPr>
          <w:rFonts w:ascii="Cambria Math" w:hAnsi="Cambria Math" w:cs="Cambria Math"/>
          <w:vertAlign w:val="subscript"/>
        </w:rPr>
        <w:t>𝑚3</w:t>
      </w:r>
      <w:r w:rsidR="009265F1" w:rsidRPr="00562EC6">
        <w:rPr>
          <w:rFonts w:ascii="Cambria Math" w:hAnsi="Cambria Math" w:cs="Cambria Math" w:hint="eastAsia"/>
        </w:rPr>
        <w:t>）</w:t>
      </w:r>
      <w:r w:rsidR="009265F1">
        <w:rPr>
          <w:rFonts w:hint="eastAsia"/>
        </w:rPr>
        <w:t>。</w:t>
      </w:r>
    </w:p>
    <w:p w14:paraId="61FDF725" w14:textId="64F4F551" w:rsidR="00376B8D" w:rsidRDefault="006A5534" w:rsidP="00657EFF">
      <w:pPr>
        <w:rPr>
          <w:rFonts w:hint="eastAsia"/>
        </w:rPr>
      </w:pPr>
      <w:proofErr w:type="gramStart"/>
      <w:r w:rsidRPr="006A5534">
        <w:rPr>
          <w:rFonts w:hint="eastAsia"/>
        </w:rPr>
        <w:t>源谱的</w:t>
      </w:r>
      <w:proofErr w:type="gramEnd"/>
      <w:r w:rsidRPr="006A5534">
        <w:rPr>
          <w:rFonts w:hint="eastAsia"/>
        </w:rPr>
        <w:t>化学分析主要是针对水溶性离子、无机元素以及碳组分，具体分析仪器方法详见《环境空气 颗粒物中水溶性阳离子（Li</w:t>
      </w:r>
      <w:r w:rsidRPr="006A5534">
        <w:rPr>
          <w:rFonts w:hint="eastAsia"/>
          <w:vertAlign w:val="superscript"/>
        </w:rPr>
        <w:t>+</w:t>
      </w:r>
      <w:r w:rsidRPr="006A5534">
        <w:rPr>
          <w:rFonts w:hint="eastAsia"/>
        </w:rPr>
        <w:t>、Na</w:t>
      </w:r>
      <w:r w:rsidRPr="006A5534">
        <w:rPr>
          <w:rFonts w:hint="eastAsia"/>
          <w:vertAlign w:val="superscript"/>
        </w:rPr>
        <w:t>+</w:t>
      </w:r>
      <w:r w:rsidRPr="006A5534">
        <w:rPr>
          <w:rFonts w:hint="eastAsia"/>
        </w:rPr>
        <w:t>、NH</w:t>
      </w:r>
      <w:r w:rsidRPr="006A5534">
        <w:rPr>
          <w:rFonts w:hint="eastAsia"/>
          <w:vertAlign w:val="subscript"/>
        </w:rPr>
        <w:t>4</w:t>
      </w:r>
      <w:r w:rsidRPr="006A5534">
        <w:rPr>
          <w:rFonts w:hint="eastAsia"/>
          <w:vertAlign w:val="superscript"/>
        </w:rPr>
        <w:t>+</w:t>
      </w:r>
      <w:r w:rsidRPr="006A5534">
        <w:rPr>
          <w:rFonts w:hint="eastAsia"/>
        </w:rPr>
        <w:t>、K</w:t>
      </w:r>
      <w:r w:rsidRPr="006A5534">
        <w:rPr>
          <w:rFonts w:hint="eastAsia"/>
          <w:vertAlign w:val="superscript"/>
        </w:rPr>
        <w:t>+</w:t>
      </w:r>
      <w:r w:rsidRPr="006A5534">
        <w:rPr>
          <w:rFonts w:hint="eastAsia"/>
        </w:rPr>
        <w:t>、Ca</w:t>
      </w:r>
      <w:r w:rsidRPr="006A5534">
        <w:rPr>
          <w:rFonts w:hint="eastAsia"/>
          <w:vertAlign w:val="superscript"/>
        </w:rPr>
        <w:t>2+</w:t>
      </w:r>
      <w:r w:rsidRPr="006A5534">
        <w:rPr>
          <w:rFonts w:hint="eastAsia"/>
        </w:rPr>
        <w:t>、Mg</w:t>
      </w:r>
      <w:r w:rsidRPr="006A5534">
        <w:rPr>
          <w:rFonts w:hint="eastAsia"/>
          <w:vertAlign w:val="superscript"/>
        </w:rPr>
        <w:t>2+</w:t>
      </w:r>
      <w:r w:rsidRPr="006A5534">
        <w:rPr>
          <w:rFonts w:hint="eastAsia"/>
        </w:rPr>
        <w:t>）的测定 离子色谱法》（HJ 800-2016）、《化学试剂离子色谱法测定通则》（GB/T 34672-2017）、《空气和废气</w:t>
      </w:r>
      <w:r w:rsidRPr="006A5534">
        <w:rPr>
          <w:rFonts w:hint="eastAsia"/>
        </w:rPr>
        <w:lastRenderedPageBreak/>
        <w:t>颗粒物中金属元素的测定电感耦合等离子体发射光谱法》（HJ 777-2015）、《环境空气颗粒物（PM</w:t>
      </w:r>
      <w:r w:rsidRPr="002A3591">
        <w:rPr>
          <w:rFonts w:hint="eastAsia"/>
          <w:vertAlign w:val="subscript"/>
        </w:rPr>
        <w:t>2.5</w:t>
      </w:r>
      <w:r w:rsidRPr="006A5534">
        <w:rPr>
          <w:rFonts w:hint="eastAsia"/>
        </w:rPr>
        <w:t>）中无机元素连续自动监测技术规范》（HJ 1329-2023）和《环境空气颗粒物（PM</w:t>
      </w:r>
      <w:r w:rsidRPr="002A3591">
        <w:rPr>
          <w:rFonts w:hint="eastAsia"/>
          <w:vertAlign w:val="subscript"/>
        </w:rPr>
        <w:t>2.5</w:t>
      </w:r>
      <w:r w:rsidRPr="006A5534">
        <w:rPr>
          <w:rFonts w:hint="eastAsia"/>
        </w:rPr>
        <w:t>）中有机碳和元素碳连续自动监测技术规范》（HJ 1327-2023）。</w:t>
      </w:r>
      <w:r w:rsidR="00322E03">
        <w:rPr>
          <w:rFonts w:hint="eastAsia"/>
        </w:rPr>
        <w:t>离子和元素中引入的不确定度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hint="eastAsia"/>
              </w:rPr>
              <m:t>u</m:t>
            </m:r>
          </m:e>
          <m:sub>
            <m:r>
              <w:rPr>
                <w:rFonts w:ascii="Cambria Math" w:hAnsi="Cambria Math" w:hint="eastAsia"/>
              </w:rPr>
              <m:t>rel</m:t>
            </m:r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 w:hint="eastAsia"/>
                  </w:rPr>
                  <m:t>a</m:t>
                </m:r>
              </m:e>
              <m:sub>
                <m:r>
                  <w:rPr>
                    <w:rFonts w:ascii="Cambria Math" w:hAnsi="Cambria Math" w:hint="eastAsia"/>
                  </w:rPr>
                  <m:t>R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)</m:t>
            </m:r>
          </m:sub>
        </m:sSub>
      </m:oMath>
      <w:r w:rsidR="00322E03">
        <w:rPr>
          <w:rFonts w:hint="eastAsia"/>
        </w:rPr>
        <w:t>、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hint="eastAsia"/>
              </w:rPr>
              <m:t>u</m:t>
            </m:r>
          </m:e>
          <m:sub>
            <m:r>
              <w:rPr>
                <w:rFonts w:ascii="Cambria Math" w:hAnsi="Cambria Math" w:hint="eastAsia"/>
              </w:rPr>
              <m:t>rel</m:t>
            </m:r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 w:hint="eastAsia"/>
                  </w:rPr>
                  <m:t>a</m:t>
                </m:r>
              </m:e>
              <m:sub>
                <m:r>
                  <w:rPr>
                    <w:rFonts w:ascii="Cambria Math" w:hAnsi="Cambria Math" w:hint="eastAsia"/>
                  </w:rPr>
                  <m:t>e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)</m:t>
            </m:r>
          </m:sub>
        </m:sSub>
      </m:oMath>
      <w:r w:rsidR="00322E03">
        <w:rPr>
          <w:rFonts w:hint="eastAsia"/>
        </w:rPr>
        <w:t>、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hint="eastAsia"/>
              </w:rPr>
              <m:t>u</m:t>
            </m:r>
          </m:e>
          <m:sub>
            <m:r>
              <w:rPr>
                <w:rFonts w:ascii="Cambria Math" w:hAnsi="Cambria Math" w:hint="eastAsia"/>
              </w:rPr>
              <m:t>rel</m:t>
            </m:r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 w:hint="eastAsia"/>
                  </w:rPr>
                  <m:t>a</m:t>
                </m:r>
              </m:e>
              <m:sub>
                <m:r>
                  <w:rPr>
                    <w:rFonts w:ascii="Cambria Math" w:hAnsi="Cambria Math" w:hint="eastAsia"/>
                  </w:rPr>
                  <m:t>c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)</m:t>
            </m:r>
          </m:sub>
        </m:sSub>
      </m:oMath>
      <w:r w:rsidR="00322E03" w:rsidRPr="00322E03">
        <w:rPr>
          <w:rFonts w:hint="eastAsia"/>
        </w:rPr>
        <w:t>分别表示</w:t>
      </w:r>
      <w:r w:rsidR="00322E03" w:rsidRPr="00562EC6">
        <w:rPr>
          <w:rFonts w:hint="eastAsia"/>
        </w:rPr>
        <w:t>重复测定、样品提取以及标准曲线拟</w:t>
      </w:r>
      <w:r w:rsidR="00322E03">
        <w:rPr>
          <w:rFonts w:hint="eastAsia"/>
        </w:rPr>
        <w:t>合的相对不确定度；</w:t>
      </w:r>
      <w:r w:rsidR="00322E03" w:rsidRPr="00791ED6">
        <w:rPr>
          <w:rFonts w:hint="eastAsia"/>
        </w:rPr>
        <w:t>碳组分的分析不确定度计算考虑重复测量误差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 w:hint="eastAsia"/>
              </w:rPr>
              <m:t>u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 w:hint="eastAsia"/>
                  </w:rPr>
                  <m:t>a</m:t>
                </m:r>
              </m:e>
              <m:sub>
                <m:r>
                  <w:rPr>
                    <w:rFonts w:ascii="Cambria Math" w:hAnsi="Cambria Math" w:hint="eastAsia"/>
                  </w:rPr>
                  <m:t>R</m:t>
                </m:r>
              </m:sub>
            </m:sSub>
          </m:sub>
        </m:sSub>
      </m:oMath>
      <w:r w:rsidR="00322E03" w:rsidRPr="00791ED6">
        <w:rPr>
          <w:rFonts w:hint="eastAsia"/>
        </w:rPr>
        <w:t>以及稳定性检测误差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 w:hint="eastAsia"/>
              </w:rPr>
              <m:t>u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 w:hint="eastAsia"/>
                  </w:rPr>
                  <m:t>a</m:t>
                </m:r>
              </m:e>
              <m:sub>
                <m:r>
                  <w:rPr>
                    <w:rFonts w:ascii="Cambria Math" w:hAnsi="Cambria Math" w:hint="eastAsia"/>
                  </w:rPr>
                  <m:t>w</m:t>
                </m:r>
              </m:sub>
            </m:sSub>
          </m:sub>
        </m:sSub>
      </m:oMath>
      <w:r w:rsidR="00322E03">
        <w:rPr>
          <w:rFonts w:hint="eastAsia"/>
        </w:rPr>
        <w:t>。</w:t>
      </w:r>
    </w:p>
    <w:p w14:paraId="3852D13F" w14:textId="5FB67F08" w:rsidR="00855164" w:rsidRDefault="00AB4CA9" w:rsidP="00657EFF">
      <w:pPr>
        <w:rPr>
          <w:rFonts w:hint="eastAsia"/>
        </w:rPr>
      </w:pPr>
      <w:r w:rsidRPr="00AB4CA9">
        <w:rPr>
          <w:rFonts w:hint="eastAsia"/>
        </w:rPr>
        <w:t>基于以上要素通过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rel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rel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(</m:t>
                    </m:r>
                    <m:r>
                      <w:rPr>
                        <w:rFonts w:ascii="Cambria Math" w:hAnsi="Cambria Math" w:hint="eastAsia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)</m:t>
                    </m:r>
                  </m:sub>
                </m:sSub>
              </m:e>
              <m:sup>
                <m:r>
                  <m:rPr>
                    <m:sty m:val="p"/>
                  </m:rPr>
                  <w:rPr>
                    <w:rFonts w:ascii="Cambria Math" w:hAnsi="Cambria Math" w:hint="eastAsia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hint="eastAsia"/>
              </w:rPr>
              <m:t>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rel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(</m:t>
                    </m:r>
                    <m:r>
                      <w:rPr>
                        <w:rFonts w:ascii="Cambria Math" w:hAnsi="Cambria Math" w:hint="eastAsia"/>
                      </w:rPr>
                      <m:t>m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)</m:t>
                    </m:r>
                  </m:sub>
                </m:sSub>
              </m:e>
              <m:sup>
                <m:r>
                  <m:rPr>
                    <m:sty m:val="p"/>
                  </m:rPr>
                  <w:rPr>
                    <w:rFonts w:ascii="Cambria Math" w:hAnsi="Cambria Math" w:hint="eastAsia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hint="eastAsia"/>
              </w:rPr>
              <m:t>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rel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(</m:t>
                    </m:r>
                    <m:r>
                      <w:rPr>
                        <w:rFonts w:ascii="Cambria Math" w:hAnsi="Cambria Math" w:hint="eastAsia"/>
                      </w:rPr>
                      <m:t>a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)</m:t>
                    </m:r>
                  </m:sub>
                </m:sSub>
              </m:e>
              <m:sup>
                <m:r>
                  <m:rPr>
                    <m:sty m:val="p"/>
                  </m:rPr>
                  <w:rPr>
                    <w:rFonts w:ascii="Cambria Math" w:hAnsi="Cambria Math" w:hint="eastAsia"/>
                  </w:rPr>
                  <m:t>2</m:t>
                </m:r>
              </m:sup>
            </m:sSup>
          </m:e>
        </m:rad>
      </m:oMath>
      <w:r w:rsidRPr="00AB4CA9">
        <w:rPr>
          <w:rFonts w:hint="eastAsia"/>
        </w:rPr>
        <w:t>计算</w:t>
      </w:r>
      <w:proofErr w:type="gramStart"/>
      <w:r w:rsidRPr="00AB4CA9">
        <w:rPr>
          <w:rFonts w:hint="eastAsia"/>
        </w:rPr>
        <w:t>得到源谱组分</w:t>
      </w:r>
      <w:proofErr w:type="gramEnd"/>
      <w:r w:rsidRPr="00AB4CA9">
        <w:rPr>
          <w:rFonts w:hint="eastAsia"/>
        </w:rPr>
        <w:t>的相对合成不确定度。</w:t>
      </w:r>
      <w:r>
        <w:rPr>
          <w:rFonts w:hint="eastAsia"/>
        </w:rPr>
        <w:t>并</w:t>
      </w:r>
      <w:r w:rsidRPr="00AB4CA9">
        <w:rPr>
          <w:rFonts w:hint="eastAsia"/>
        </w:rPr>
        <w:t>构建了细颗粒物</w:t>
      </w:r>
      <w:r>
        <w:rPr>
          <w:rFonts w:hint="eastAsia"/>
        </w:rPr>
        <w:t>源化学</w:t>
      </w:r>
      <w:r w:rsidRPr="00AB4CA9">
        <w:rPr>
          <w:rFonts w:hint="eastAsia"/>
        </w:rPr>
        <w:t>成分谱的有效性评价规范</w:t>
      </w:r>
      <w:r>
        <w:rPr>
          <w:rFonts w:hint="eastAsia"/>
        </w:rPr>
        <w:t>，</w:t>
      </w:r>
      <w:r w:rsidR="00F83A4B">
        <w:rPr>
          <w:rFonts w:hint="eastAsia"/>
        </w:rPr>
        <w:t>在定性评价和定量评价两个层次出发，对源成分谱的有效性进行评价，</w:t>
      </w:r>
      <w:r w:rsidR="00F83A4B" w:rsidRPr="006A61D0">
        <w:rPr>
          <w:rFonts w:hint="eastAsia"/>
        </w:rPr>
        <w:t>其中</w:t>
      </w:r>
      <w:r w:rsidR="000E038F" w:rsidRPr="006A61D0">
        <w:rPr>
          <w:rFonts w:hint="eastAsia"/>
        </w:rPr>
        <w:t>定性指标没有具体数值</w:t>
      </w:r>
      <w:r w:rsidR="000E038F">
        <w:rPr>
          <w:rFonts w:hint="eastAsia"/>
        </w:rPr>
        <w:t xml:space="preserve">，根据HJ-777-2015 </w:t>
      </w:r>
      <w:r w:rsidR="000E038F" w:rsidRPr="000E038F">
        <w:rPr>
          <w:rFonts w:hint="eastAsia"/>
        </w:rPr>
        <w:t>空气和废气 颗粒物中金属元素的测定电感耦合等离子体发射光谱法</w:t>
      </w:r>
      <w:r w:rsidR="000E038F">
        <w:rPr>
          <w:rFonts w:hint="eastAsia"/>
        </w:rPr>
        <w:t>、冯银厂等《</w:t>
      </w:r>
      <w:r w:rsidR="000E038F" w:rsidRPr="000E038F">
        <w:rPr>
          <w:rFonts w:hint="eastAsia"/>
        </w:rPr>
        <w:t>中国大气颗粒物源排放理化特征与源谱库构建</w:t>
      </w:r>
      <w:r w:rsidR="000E038F">
        <w:rPr>
          <w:rFonts w:hint="eastAsia"/>
        </w:rPr>
        <w:t>》（2024）</w:t>
      </w:r>
      <w:r w:rsidR="0072190A">
        <w:rPr>
          <w:rFonts w:hint="eastAsia"/>
        </w:rPr>
        <w:t>等</w:t>
      </w:r>
      <w:r w:rsidR="00721E74">
        <w:rPr>
          <w:rFonts w:hint="eastAsia"/>
        </w:rPr>
        <w:t>参考相关操作规范</w:t>
      </w:r>
      <w:r w:rsidR="00C645A0">
        <w:rPr>
          <w:rFonts w:hint="eastAsia"/>
        </w:rPr>
        <w:t>。</w:t>
      </w:r>
      <w:r w:rsidR="00F83A4B">
        <w:rPr>
          <w:rFonts w:hint="eastAsia"/>
        </w:rPr>
        <w:t>定性指标包括采样方法、样品运输储藏、滤膜称量、颗粒物质量分析、元素离子分析的规范性</w:t>
      </w:r>
      <w:r w:rsidR="00C645A0">
        <w:rPr>
          <w:rFonts w:hint="eastAsia"/>
        </w:rPr>
        <w:t>；</w:t>
      </w:r>
      <w:r w:rsidR="00F83A4B">
        <w:rPr>
          <w:rFonts w:hint="eastAsia"/>
        </w:rPr>
        <w:t>定量指标包括采样年份、组分数量、组分含量、组分比值和</w:t>
      </w:r>
      <w:proofErr w:type="gramStart"/>
      <w:r w:rsidR="00F83A4B">
        <w:rPr>
          <w:rFonts w:hint="eastAsia"/>
        </w:rPr>
        <w:t>源谱</w:t>
      </w:r>
      <w:proofErr w:type="gramEnd"/>
      <w:r w:rsidR="00F83A4B">
        <w:rPr>
          <w:rFonts w:hint="eastAsia"/>
        </w:rPr>
        <w:t>不确定度。</w:t>
      </w:r>
      <w:r w:rsidR="00F83A4B" w:rsidRPr="006A61D0">
        <w:rPr>
          <w:rFonts w:hint="eastAsia"/>
        </w:rPr>
        <w:t>定量指标中，特征组分、特征比值的合理性参考</w:t>
      </w:r>
      <w:proofErr w:type="gramStart"/>
      <w:r w:rsidR="00D97990">
        <w:rPr>
          <w:rFonts w:hint="eastAsia"/>
        </w:rPr>
        <w:t>余卓君《</w:t>
      </w:r>
      <w:r w:rsidR="00D97990" w:rsidRPr="00B70A04">
        <w:rPr>
          <w:rFonts w:ascii="Times New Roman" w:hint="eastAsia"/>
          <w:kern w:val="2"/>
          <w:szCs w:val="24"/>
        </w:rPr>
        <w:t>排放源成分谱的构建方法研究</w:t>
      </w:r>
      <w:r w:rsidR="00D97990">
        <w:rPr>
          <w:rFonts w:ascii="Times New Roman" w:hint="eastAsia"/>
          <w:kern w:val="2"/>
          <w:szCs w:val="24"/>
        </w:rPr>
        <w:t>》</w:t>
      </w:r>
      <w:proofErr w:type="gramEnd"/>
      <w:r w:rsidR="00D97990">
        <w:rPr>
          <w:rFonts w:ascii="Times New Roman" w:hint="eastAsia"/>
          <w:kern w:val="2"/>
          <w:szCs w:val="24"/>
        </w:rPr>
        <w:t>（</w:t>
      </w:r>
      <w:r w:rsidR="00D97990">
        <w:rPr>
          <w:rFonts w:ascii="Times New Roman" w:hint="eastAsia"/>
          <w:kern w:val="2"/>
          <w:szCs w:val="24"/>
        </w:rPr>
        <w:t>2020</w:t>
      </w:r>
      <w:r w:rsidR="00D97990">
        <w:rPr>
          <w:rFonts w:ascii="Times New Roman" w:hint="eastAsia"/>
          <w:kern w:val="2"/>
          <w:szCs w:val="24"/>
        </w:rPr>
        <w:t>）</w:t>
      </w:r>
      <w:r w:rsidR="00F83A4B" w:rsidRPr="006A61D0">
        <w:rPr>
          <w:rFonts w:hint="eastAsia"/>
        </w:rPr>
        <w:t>研究</w:t>
      </w:r>
      <w:r w:rsidR="00F83A4B">
        <w:rPr>
          <w:rFonts w:hint="eastAsia"/>
        </w:rPr>
        <w:t>，对于采样年份</w:t>
      </w:r>
      <w:r w:rsidR="00721E74">
        <w:rPr>
          <w:rFonts w:hint="eastAsia"/>
        </w:rPr>
        <w:t>根据大气污染防治历程</w:t>
      </w:r>
      <w:r w:rsidR="00F83A4B">
        <w:rPr>
          <w:rFonts w:hint="eastAsia"/>
        </w:rPr>
        <w:t>可分2010年之前、2010~2017年、2017年之后，对于组分数量可分为10个以下、10~20个、20个以上，</w:t>
      </w:r>
      <w:r w:rsidR="000E038F">
        <w:rPr>
          <w:rFonts w:hint="eastAsia"/>
        </w:rPr>
        <w:t>根据Zhang et al. (Atmos. Environ., 2024</w:t>
      </w:r>
      <w:r w:rsidR="000E038F">
        <w:t>）</w:t>
      </w:r>
      <w:r w:rsidR="000E038F">
        <w:rPr>
          <w:rFonts w:hint="eastAsia"/>
        </w:rPr>
        <w:t>研究将源谱</w:t>
      </w:r>
      <w:r w:rsidR="00F83A4B">
        <w:rPr>
          <w:rFonts w:hint="eastAsia"/>
        </w:rPr>
        <w:t>不确定度大小可分为＜25%、25~45%、＞45%。</w:t>
      </w:r>
    </w:p>
    <w:p w14:paraId="242CBE3D" w14:textId="0681F0A8" w:rsidR="00E14CB1" w:rsidRDefault="004955EC" w:rsidP="00E14CB1">
      <w:pPr>
        <w:pStyle w:val="2"/>
        <w:rPr>
          <w:rFonts w:hint="eastAsia"/>
        </w:rPr>
      </w:pPr>
      <w:r>
        <w:rPr>
          <w:rFonts w:hint="eastAsia"/>
        </w:rPr>
        <w:lastRenderedPageBreak/>
        <w:t>七</w:t>
      </w:r>
      <w:r w:rsidR="00E14CB1">
        <w:rPr>
          <w:rFonts w:hint="eastAsia"/>
        </w:rPr>
        <w:t>、试验验证及试行情况</w:t>
      </w:r>
    </w:p>
    <w:p w14:paraId="159FCDF8" w14:textId="492A25A3" w:rsidR="00E14CB1" w:rsidRDefault="00AB4CA9" w:rsidP="00D34BF8">
      <w:pPr>
        <w:jc w:val="both"/>
        <w:rPr>
          <w:rFonts w:hint="eastAsia"/>
        </w:rPr>
      </w:pPr>
      <w:r>
        <w:rPr>
          <w:rFonts w:hint="eastAsia"/>
        </w:rPr>
        <w:t>工业源是大气污染的重要来源之一，且工业源颗粒</w:t>
      </w:r>
      <w:proofErr w:type="gramStart"/>
      <w:r>
        <w:rPr>
          <w:rFonts w:hint="eastAsia"/>
        </w:rPr>
        <w:t>物源谱仍有</w:t>
      </w:r>
      <w:proofErr w:type="gramEnd"/>
      <w:r>
        <w:rPr>
          <w:rFonts w:hint="eastAsia"/>
        </w:rPr>
        <w:t>不足。在96条工业源谱中剔除</w:t>
      </w:r>
      <w:proofErr w:type="gramStart"/>
      <w:r>
        <w:rPr>
          <w:rFonts w:hint="eastAsia"/>
        </w:rPr>
        <w:t>掉数据</w:t>
      </w:r>
      <w:proofErr w:type="gramEnd"/>
      <w:r>
        <w:rPr>
          <w:rFonts w:hint="eastAsia"/>
        </w:rPr>
        <w:t>缺失或零值较多的源谱，筛选出53条包含平行样品</w:t>
      </w:r>
      <w:proofErr w:type="gramStart"/>
      <w:r>
        <w:rPr>
          <w:rFonts w:hint="eastAsia"/>
        </w:rPr>
        <w:t>的源谱进行</w:t>
      </w:r>
      <w:proofErr w:type="gramEnd"/>
      <w:r>
        <w:rPr>
          <w:rFonts w:hint="eastAsia"/>
        </w:rPr>
        <w:t>评估分析。</w:t>
      </w:r>
      <w:proofErr w:type="gramStart"/>
      <w:r>
        <w:rPr>
          <w:rFonts w:hint="eastAsia"/>
        </w:rPr>
        <w:t>源谱具体</w:t>
      </w:r>
      <w:proofErr w:type="gramEnd"/>
      <w:r>
        <w:rPr>
          <w:rFonts w:hint="eastAsia"/>
        </w:rPr>
        <w:t>情况如表1所示。</w:t>
      </w:r>
    </w:p>
    <w:p w14:paraId="32FD9065" w14:textId="1F1BE436" w:rsidR="00D34BF8" w:rsidRDefault="00D34BF8" w:rsidP="00D34BF8">
      <w:pPr>
        <w:jc w:val="center"/>
        <w:rPr>
          <w:rFonts w:hint="eastAsia"/>
        </w:rPr>
      </w:pPr>
      <w:r>
        <w:rPr>
          <w:rFonts w:hint="eastAsia"/>
        </w:rPr>
        <w:t xml:space="preserve">表1 </w:t>
      </w:r>
      <w:proofErr w:type="gramStart"/>
      <w:r>
        <w:rPr>
          <w:rFonts w:hint="eastAsia"/>
        </w:rPr>
        <w:t>目标源谱信息</w:t>
      </w:r>
      <w:proofErr w:type="gramEnd"/>
    </w:p>
    <w:tbl>
      <w:tblPr>
        <w:tblStyle w:val="a7"/>
        <w:tblW w:w="9703" w:type="dxa"/>
        <w:jc w:val="center"/>
        <w:tblLook w:val="04A0" w:firstRow="1" w:lastRow="0" w:firstColumn="1" w:lastColumn="0" w:noHBand="0" w:noVBand="1"/>
      </w:tblPr>
      <w:tblGrid>
        <w:gridCol w:w="1766"/>
        <w:gridCol w:w="985"/>
        <w:gridCol w:w="990"/>
        <w:gridCol w:w="985"/>
        <w:gridCol w:w="1356"/>
        <w:gridCol w:w="1325"/>
        <w:gridCol w:w="1356"/>
        <w:gridCol w:w="940"/>
      </w:tblGrid>
      <w:tr w:rsidR="00AB4CA9" w14:paraId="1806D9DE" w14:textId="77777777" w:rsidTr="00D34BF8">
        <w:trPr>
          <w:trHeight w:val="624"/>
          <w:jc w:val="center"/>
        </w:trPr>
        <w:tc>
          <w:tcPr>
            <w:tcW w:w="176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89CFCC5" w14:textId="77777777" w:rsidR="00AB4CA9" w:rsidRDefault="00AB4CA9" w:rsidP="00261B7B">
            <w:pPr>
              <w:ind w:firstLineChars="0" w:firstLine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源类</w:t>
            </w:r>
          </w:p>
        </w:tc>
        <w:tc>
          <w:tcPr>
            <w:tcW w:w="985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999F631" w14:textId="77777777" w:rsidR="00AB4CA9" w:rsidRDefault="00AB4CA9" w:rsidP="00261B7B">
            <w:pPr>
              <w:ind w:firstLineChars="0" w:firstLine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建材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286B3D4" w14:textId="77777777" w:rsidR="00AB4CA9" w:rsidRDefault="00AB4CA9" w:rsidP="00261B7B">
            <w:pPr>
              <w:ind w:firstLineChars="0" w:firstLine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钢铁</w:t>
            </w:r>
          </w:p>
        </w:tc>
        <w:tc>
          <w:tcPr>
            <w:tcW w:w="985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4ADB9CA" w14:textId="77777777" w:rsidR="00AB4CA9" w:rsidRDefault="00AB4CA9" w:rsidP="00261B7B">
            <w:pPr>
              <w:ind w:firstLineChars="0" w:firstLine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化工</w:t>
            </w:r>
          </w:p>
        </w:tc>
        <w:tc>
          <w:tcPr>
            <w:tcW w:w="135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7BD31D4" w14:textId="77777777" w:rsidR="00AB4CA9" w:rsidRDefault="00AB4CA9" w:rsidP="00261B7B">
            <w:pPr>
              <w:ind w:firstLineChars="0" w:firstLine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有色冶金</w:t>
            </w:r>
          </w:p>
        </w:tc>
        <w:tc>
          <w:tcPr>
            <w:tcW w:w="1325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A3353C9" w14:textId="77777777" w:rsidR="00D34BF8" w:rsidRDefault="00AB4CA9" w:rsidP="00261B7B">
            <w:pPr>
              <w:ind w:firstLineChars="0" w:firstLine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垃圾</w:t>
            </w:r>
          </w:p>
          <w:p w14:paraId="602D7BBD" w14:textId="0C0EADEF" w:rsidR="00AB4CA9" w:rsidRDefault="00AB4CA9" w:rsidP="00261B7B">
            <w:pPr>
              <w:ind w:firstLineChars="0" w:firstLine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焚烧</w:t>
            </w:r>
          </w:p>
        </w:tc>
        <w:tc>
          <w:tcPr>
            <w:tcW w:w="135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BF0E6D0" w14:textId="77777777" w:rsidR="00AB4CA9" w:rsidRDefault="00AB4CA9" w:rsidP="00261B7B">
            <w:pPr>
              <w:ind w:firstLineChars="0" w:firstLine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燃煤锅炉</w:t>
            </w:r>
          </w:p>
        </w:tc>
        <w:tc>
          <w:tcPr>
            <w:tcW w:w="94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3D39BA4" w14:textId="77777777" w:rsidR="00AB4CA9" w:rsidRDefault="00AB4CA9" w:rsidP="00261B7B">
            <w:pPr>
              <w:ind w:firstLineChars="0" w:firstLine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总数</w:t>
            </w:r>
          </w:p>
        </w:tc>
      </w:tr>
      <w:tr w:rsidR="00AB4CA9" w14:paraId="23207E01" w14:textId="77777777" w:rsidTr="00D34BF8">
        <w:trPr>
          <w:trHeight w:val="624"/>
          <w:jc w:val="center"/>
        </w:trPr>
        <w:tc>
          <w:tcPr>
            <w:tcW w:w="176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59E0D3B7" w14:textId="77777777" w:rsidR="00AB4CA9" w:rsidRDefault="00AB4CA9" w:rsidP="00261B7B">
            <w:pPr>
              <w:ind w:firstLineChars="0" w:firstLine="0"/>
              <w:jc w:val="center"/>
              <w:rPr>
                <w:rFonts w:hint="eastAsia"/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源谱个数</w:t>
            </w:r>
            <w:proofErr w:type="gramEnd"/>
          </w:p>
        </w:tc>
        <w:tc>
          <w:tcPr>
            <w:tcW w:w="985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21270AEB" w14:textId="77777777" w:rsidR="00AB4CA9" w:rsidRDefault="00AB4CA9" w:rsidP="00AB4CA9">
            <w:pPr>
              <w:ind w:firstLineChars="0" w:firstLine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71DAA160" w14:textId="77777777" w:rsidR="00AB4CA9" w:rsidRDefault="00AB4CA9" w:rsidP="00AB4CA9">
            <w:pPr>
              <w:ind w:firstLineChars="0" w:firstLine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985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6B6DCF11" w14:textId="77777777" w:rsidR="00AB4CA9" w:rsidRDefault="00AB4CA9" w:rsidP="00AB4CA9">
            <w:pPr>
              <w:ind w:firstLineChars="0" w:firstLine="0"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6EADAE4B" w14:textId="77777777" w:rsidR="00AB4CA9" w:rsidRDefault="00AB4CA9" w:rsidP="00AB4CA9">
            <w:pPr>
              <w:ind w:firstLineChars="0" w:firstLine="0"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12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18045B79" w14:textId="77777777" w:rsidR="00AB4CA9" w:rsidRDefault="00AB4CA9" w:rsidP="00AB4CA9">
            <w:pPr>
              <w:ind w:firstLineChars="0" w:firstLine="0"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7A35FDE8" w14:textId="77777777" w:rsidR="00AB4CA9" w:rsidRDefault="00AB4CA9" w:rsidP="00AB4CA9">
            <w:pPr>
              <w:ind w:firstLineChars="0" w:firstLine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045A9C07" w14:textId="77777777" w:rsidR="00AB4CA9" w:rsidRDefault="00AB4CA9" w:rsidP="00AB4CA9">
            <w:pPr>
              <w:ind w:firstLineChars="0" w:firstLine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53</w:t>
            </w:r>
          </w:p>
        </w:tc>
      </w:tr>
      <w:tr w:rsidR="00AB4CA9" w14:paraId="35DD705D" w14:textId="77777777" w:rsidTr="00D34BF8">
        <w:trPr>
          <w:trHeight w:val="624"/>
          <w:jc w:val="center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EAE74" w14:textId="77777777" w:rsidR="00AB4CA9" w:rsidRDefault="00AB4CA9" w:rsidP="00261B7B">
            <w:pPr>
              <w:ind w:firstLineChars="0" w:firstLine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采样仪器</w:t>
            </w:r>
          </w:p>
        </w:tc>
        <w:tc>
          <w:tcPr>
            <w:tcW w:w="793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C7538E" w14:textId="77777777" w:rsidR="00AB4CA9" w:rsidRDefault="00AB4CA9" w:rsidP="00AB4CA9">
            <w:pPr>
              <w:ind w:firstLineChars="0" w:firstLine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便携式稀释通道四采样器（</w:t>
            </w:r>
            <w:r>
              <w:rPr>
                <w:szCs w:val="21"/>
              </w:rPr>
              <w:t>PDSI-01P型，陕西正大环保科技有限公司）</w:t>
            </w:r>
          </w:p>
        </w:tc>
      </w:tr>
      <w:tr w:rsidR="00AB4CA9" w14:paraId="6FCEC9CD" w14:textId="77777777" w:rsidTr="00D34BF8">
        <w:trPr>
          <w:trHeight w:val="624"/>
          <w:jc w:val="center"/>
        </w:trPr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C6A58" w14:textId="77777777" w:rsidR="00AB4CA9" w:rsidRDefault="00AB4CA9" w:rsidP="00261B7B">
            <w:pPr>
              <w:ind w:firstLineChars="0" w:firstLine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称量仪器</w:t>
            </w:r>
          </w:p>
        </w:tc>
        <w:tc>
          <w:tcPr>
            <w:tcW w:w="793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F85B2E" w14:textId="77777777" w:rsidR="00AB4CA9" w:rsidRDefault="00AB4CA9" w:rsidP="00AB4CA9">
            <w:pPr>
              <w:ind w:firstLineChars="0" w:firstLine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百万分之一和十万分之一精密天平</w:t>
            </w:r>
          </w:p>
        </w:tc>
      </w:tr>
      <w:tr w:rsidR="00AB4CA9" w14:paraId="781CBD4A" w14:textId="77777777" w:rsidTr="00D34BF8">
        <w:trPr>
          <w:trHeight w:val="624"/>
          <w:jc w:val="center"/>
        </w:trPr>
        <w:tc>
          <w:tcPr>
            <w:tcW w:w="176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67D6476" w14:textId="77777777" w:rsidR="00261B7B" w:rsidRDefault="00AB4CA9" w:rsidP="00261B7B">
            <w:pPr>
              <w:ind w:firstLineChars="0" w:firstLine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化学分析</w:t>
            </w:r>
          </w:p>
          <w:p w14:paraId="6B20B25C" w14:textId="37B21932" w:rsidR="00AB4CA9" w:rsidRDefault="00AB4CA9" w:rsidP="00261B7B">
            <w:pPr>
              <w:ind w:firstLineChars="0" w:firstLine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仪器</w:t>
            </w:r>
          </w:p>
        </w:tc>
        <w:tc>
          <w:tcPr>
            <w:tcW w:w="7937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0675B0C" w14:textId="77777777" w:rsidR="00AB4CA9" w:rsidRDefault="00AB4CA9" w:rsidP="00AB4CA9">
            <w:pPr>
              <w:ind w:firstLineChars="0" w:firstLine="0"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ICP</w:t>
            </w:r>
            <w:r>
              <w:rPr>
                <w:rFonts w:hint="eastAsia"/>
                <w:szCs w:val="21"/>
              </w:rPr>
              <w:t>-OES</w:t>
            </w:r>
            <w:r>
              <w:rPr>
                <w:szCs w:val="21"/>
              </w:rPr>
              <w:t>元素分析</w:t>
            </w:r>
            <w:r>
              <w:rPr>
                <w:rFonts w:hint="eastAsia"/>
                <w:szCs w:val="21"/>
              </w:rPr>
              <w:t>仪</w:t>
            </w:r>
            <w:r>
              <w:rPr>
                <w:szCs w:val="21"/>
              </w:rPr>
              <w:t>（</w:t>
            </w:r>
            <w:proofErr w:type="spellStart"/>
            <w:r>
              <w:rPr>
                <w:szCs w:val="21"/>
              </w:rPr>
              <w:t>Thermo</w:t>
            </w:r>
            <w:proofErr w:type="spellEnd"/>
            <w:r>
              <w:rPr>
                <w:szCs w:val="21"/>
              </w:rPr>
              <w:t xml:space="preserve"> </w:t>
            </w:r>
            <w:proofErr w:type="spellStart"/>
            <w:r>
              <w:rPr>
                <w:szCs w:val="21"/>
              </w:rPr>
              <w:t>iCAP</w:t>
            </w:r>
            <w:proofErr w:type="spellEnd"/>
            <w:r>
              <w:rPr>
                <w:szCs w:val="21"/>
              </w:rPr>
              <w:t xml:space="preserve"> 7000）、离子色谱分析</w:t>
            </w:r>
            <w:r>
              <w:rPr>
                <w:rFonts w:hint="eastAsia"/>
                <w:szCs w:val="21"/>
              </w:rPr>
              <w:t>仪</w:t>
            </w:r>
            <w:r>
              <w:rPr>
                <w:szCs w:val="21"/>
              </w:rPr>
              <w:t>（</w:t>
            </w:r>
            <w:proofErr w:type="spellStart"/>
            <w:r>
              <w:rPr>
                <w:szCs w:val="21"/>
              </w:rPr>
              <w:t>Thermo</w:t>
            </w:r>
            <w:proofErr w:type="spellEnd"/>
            <w:r>
              <w:rPr>
                <w:szCs w:val="21"/>
              </w:rPr>
              <w:t xml:space="preserve"> ICS900）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DRI 2001A型有机碳/元素碳（OC/EC）分析仪</w:t>
            </w:r>
          </w:p>
        </w:tc>
      </w:tr>
    </w:tbl>
    <w:p w14:paraId="295DF057" w14:textId="6D48EB55" w:rsidR="00AB4CA9" w:rsidRPr="002C60D3" w:rsidRDefault="002C60D3" w:rsidP="00657EFF">
      <w:pPr>
        <w:ind w:firstLine="562"/>
        <w:rPr>
          <w:rFonts w:hint="eastAsia"/>
          <w:b/>
          <w:bCs/>
        </w:rPr>
      </w:pPr>
      <w:r w:rsidRPr="002C60D3">
        <w:rPr>
          <w:rFonts w:hint="eastAsia"/>
          <w:b/>
          <w:bCs/>
        </w:rPr>
        <w:t>（1）采样过程中产生</w:t>
      </w:r>
      <w:proofErr w:type="gramStart"/>
      <w:r w:rsidRPr="002C60D3">
        <w:rPr>
          <w:rFonts w:hint="eastAsia"/>
          <w:b/>
          <w:bCs/>
        </w:rPr>
        <w:t>的源谱不确定</w:t>
      </w:r>
      <w:r w:rsidR="00261FE2">
        <w:rPr>
          <w:rFonts w:hint="eastAsia"/>
          <w:b/>
          <w:bCs/>
        </w:rPr>
        <w:t>度</w:t>
      </w:r>
      <w:proofErr w:type="gramEnd"/>
      <w:r w:rsidRPr="002C60D3">
        <w:rPr>
          <w:rFonts w:hint="eastAsia"/>
          <w:b/>
          <w:bCs/>
        </w:rPr>
        <w:t>分析</w:t>
      </w:r>
    </w:p>
    <w:p w14:paraId="7B208EC2" w14:textId="6A6E4E60" w:rsidR="002C60D3" w:rsidRDefault="002C60D3" w:rsidP="00657EFF">
      <w:pPr>
        <w:rPr>
          <w:rFonts w:hint="eastAsia"/>
        </w:rPr>
      </w:pPr>
      <w:r>
        <w:rPr>
          <w:rFonts w:ascii="宋体" w:hAnsi="宋体" w:cs="Times New Roman" w:hint="eastAsia"/>
          <w:szCs w:val="24"/>
        </w:rPr>
        <w:t>工业源排放颗粒物的采集通常</w:t>
      </w:r>
      <w:r>
        <w:rPr>
          <w:rFonts w:cs="Times New Roman" w:hint="eastAsia"/>
          <w:szCs w:val="24"/>
        </w:rPr>
        <w:t>使用</w:t>
      </w:r>
      <w:r>
        <w:rPr>
          <w:rFonts w:ascii="宋体" w:hAnsi="宋体" w:cs="Times New Roman" w:hint="eastAsia"/>
          <w:szCs w:val="24"/>
        </w:rPr>
        <w:t>稀释通道采样法，</w:t>
      </w:r>
      <w:bookmarkStart w:id="0" w:name="_Hlk166339485"/>
      <w:r>
        <w:rPr>
          <w:rFonts w:ascii="宋体" w:hAnsi="宋体" w:cs="Times New Roman" w:hint="eastAsia"/>
          <w:szCs w:val="24"/>
        </w:rPr>
        <w:t>该方法可以</w:t>
      </w:r>
      <w:bookmarkEnd w:id="0"/>
      <w:r>
        <w:rPr>
          <w:rFonts w:cs="Times New Roman" w:hint="eastAsia"/>
          <w:szCs w:val="24"/>
        </w:rPr>
        <w:t>反映污染源的真实排放特征并保护仪器与滤膜。图1（a）表示稀释通道法得到的</w:t>
      </w:r>
      <w:proofErr w:type="gramStart"/>
      <w:r>
        <w:rPr>
          <w:rFonts w:cs="Times New Roman" w:hint="eastAsia"/>
          <w:szCs w:val="24"/>
        </w:rPr>
        <w:t>目标源谱的</w:t>
      </w:r>
      <w:proofErr w:type="gramEnd"/>
      <w:r>
        <w:rPr>
          <w:rFonts w:cs="Times New Roman" w:hint="eastAsia"/>
          <w:szCs w:val="24"/>
        </w:rPr>
        <w:t>采样不确定性，每个点表示一组平行样品。结果表明，对于Al、Mg、Na、Pb、Si、Cl</w:t>
      </w:r>
      <w:r>
        <w:rPr>
          <w:rFonts w:cs="Times New Roman"/>
          <w:szCs w:val="24"/>
          <w:vertAlign w:val="superscript"/>
        </w:rPr>
        <w:t>-</w:t>
      </w:r>
      <w:r>
        <w:rPr>
          <w:rFonts w:cs="Times New Roman" w:hint="eastAsia"/>
          <w:szCs w:val="24"/>
        </w:rPr>
        <w:t>以及SO</w:t>
      </w:r>
      <w:r>
        <w:rPr>
          <w:rFonts w:cs="Times New Roman"/>
          <w:szCs w:val="24"/>
          <w:vertAlign w:val="subscript"/>
        </w:rPr>
        <w:t>4</w:t>
      </w:r>
      <w:r>
        <w:rPr>
          <w:rFonts w:cs="Times New Roman"/>
          <w:szCs w:val="24"/>
          <w:vertAlign w:val="superscript"/>
        </w:rPr>
        <w:t>2-</w:t>
      </w:r>
      <w:r>
        <w:rPr>
          <w:rFonts w:cs="Times New Roman" w:hint="eastAsia"/>
          <w:szCs w:val="24"/>
        </w:rPr>
        <w:t>，75%</w:t>
      </w:r>
      <w:proofErr w:type="gramStart"/>
      <w:r>
        <w:rPr>
          <w:rFonts w:cs="Times New Roman" w:hint="eastAsia"/>
          <w:szCs w:val="24"/>
        </w:rPr>
        <w:t>源谱的</w:t>
      </w:r>
      <w:proofErr w:type="gramEnd"/>
      <m:oMath>
        <m:sSub>
          <m:sSubPr>
            <m:ctrlPr>
              <w:rPr>
                <w:rFonts w:ascii="Cambria Math" w:hAnsi="Cambria Math" w:cs="Times New Roman"/>
                <w:i/>
                <w:color w:val="000000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</w:rPr>
              <m:t>u</m:t>
            </m:r>
          </m:e>
          <m:sub>
            <m:r>
              <w:rPr>
                <w:rFonts w:ascii="Cambria Math" w:hAnsi="Cambria Math" w:cs="Times New Roman"/>
                <w:color w:val="000000"/>
              </w:rPr>
              <m:t>rel(s)</m:t>
            </m:r>
          </m:sub>
        </m:sSub>
      </m:oMath>
      <w:r>
        <w:rPr>
          <w:rFonts w:cs="Times New Roman" w:hint="eastAsia"/>
          <w:szCs w:val="24"/>
        </w:rPr>
        <w:t>值以及平均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</w:rPr>
              <m:t>u</m:t>
            </m:r>
          </m:e>
          <m:sub>
            <m:r>
              <w:rPr>
                <w:rFonts w:ascii="Cambria Math" w:hAnsi="Cambria Math" w:cs="Times New Roman"/>
                <w:color w:val="000000"/>
              </w:rPr>
              <m:t>rel(s)</m:t>
            </m:r>
          </m:sub>
        </m:sSub>
      </m:oMath>
      <w:r>
        <w:rPr>
          <w:rFonts w:cs="Times New Roman" w:hint="eastAsia"/>
          <w:szCs w:val="24"/>
        </w:rPr>
        <w:t>值均小于20%，不确定性较小，具有较高的可靠性，并且</w:t>
      </w:r>
      <w:proofErr w:type="gramStart"/>
      <w:r>
        <w:rPr>
          <w:rFonts w:cs="Times New Roman" w:hint="eastAsia"/>
          <w:szCs w:val="24"/>
        </w:rPr>
        <w:t>不同源谱间不确定度</w:t>
      </w:r>
      <w:proofErr w:type="gramEnd"/>
      <w:r>
        <w:rPr>
          <w:rFonts w:cs="Times New Roman" w:hint="eastAsia"/>
          <w:szCs w:val="24"/>
        </w:rPr>
        <w:t>差距较小、离群点较少。其余组分的平均Us</w:t>
      </w:r>
      <w:proofErr w:type="gramStart"/>
      <w:r>
        <w:rPr>
          <w:rFonts w:cs="Times New Roman" w:hint="eastAsia"/>
          <w:szCs w:val="24"/>
        </w:rPr>
        <w:t>值集中</w:t>
      </w:r>
      <w:proofErr w:type="gramEnd"/>
      <w:r>
        <w:rPr>
          <w:rFonts w:cs="Times New Roman" w:hint="eastAsia"/>
          <w:szCs w:val="24"/>
        </w:rPr>
        <w:t>在20%~40%之间，并且离散点较多、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</w:rPr>
              <m:t>u</m:t>
            </m:r>
          </m:e>
          <m:sub>
            <m:r>
              <w:rPr>
                <w:rFonts w:ascii="Cambria Math" w:hAnsi="Cambria Math" w:cs="Times New Roman"/>
                <w:color w:val="000000"/>
              </w:rPr>
              <m:t>rel(s)</m:t>
            </m:r>
          </m:sub>
        </m:sSub>
      </m:oMath>
      <w:r>
        <w:rPr>
          <w:rFonts w:cs="Times New Roman" w:hint="eastAsia"/>
          <w:szCs w:val="24"/>
        </w:rPr>
        <w:t>值较大，说明其</w:t>
      </w:r>
      <w:r>
        <w:rPr>
          <w:rFonts w:cs="Times New Roman" w:hint="eastAsia"/>
          <w:szCs w:val="24"/>
        </w:rPr>
        <w:lastRenderedPageBreak/>
        <w:t>对应</w:t>
      </w:r>
      <w:proofErr w:type="gramStart"/>
      <w:r>
        <w:rPr>
          <w:rFonts w:cs="Times New Roman" w:hint="eastAsia"/>
          <w:szCs w:val="24"/>
        </w:rPr>
        <w:t>源谱受</w:t>
      </w:r>
      <w:proofErr w:type="gramEnd"/>
      <w:r>
        <w:rPr>
          <w:rFonts w:cs="Times New Roman" w:hint="eastAsia"/>
          <w:szCs w:val="24"/>
        </w:rPr>
        <w:t>采样过程影响较大。总体来说，相较于水溶性离子，采样过程对无机元素不确定性的影响更小，元素采样结果更稳定。</w:t>
      </w:r>
      <w:r w:rsidRPr="000A1B02">
        <w:rPr>
          <w:rFonts w:cs="Times New Roman" w:hint="eastAsia"/>
          <w:szCs w:val="24"/>
        </w:rPr>
        <w:t>如</w:t>
      </w:r>
      <w:r>
        <w:rPr>
          <w:rFonts w:cs="Times New Roman" w:hint="eastAsia"/>
          <w:szCs w:val="24"/>
        </w:rPr>
        <w:t>图1（b）</w:t>
      </w:r>
      <w:r w:rsidRPr="000A1B02">
        <w:rPr>
          <w:rFonts w:cs="Times New Roman" w:hint="eastAsia"/>
          <w:szCs w:val="24"/>
        </w:rPr>
        <w:t>所示，</w:t>
      </w:r>
      <w:r>
        <w:rPr>
          <w:rFonts w:cs="Times New Roman" w:hint="eastAsia"/>
          <w:szCs w:val="24"/>
        </w:rPr>
        <w:t>对于采样来说，各种随机因素对重复采样的影响是其不确定性的主要来源，仪器参数误差仅占较小部分，</w:t>
      </w:r>
      <w:r w:rsidRPr="000A1B02">
        <w:rPr>
          <w:rFonts w:cs="Times New Roman" w:hint="eastAsia"/>
          <w:szCs w:val="24"/>
        </w:rPr>
        <w:t>这种不确定性可以反映特定</w:t>
      </w:r>
      <w:r>
        <w:rPr>
          <w:rFonts w:cs="Times New Roman" w:hint="eastAsia"/>
          <w:szCs w:val="24"/>
        </w:rPr>
        <w:t>污染源</w:t>
      </w:r>
      <w:r w:rsidRPr="000A1B02">
        <w:rPr>
          <w:rFonts w:cs="Times New Roman" w:hint="eastAsia"/>
          <w:szCs w:val="24"/>
        </w:rPr>
        <w:t>的稳定性。</w:t>
      </w:r>
      <w:r>
        <w:rPr>
          <w:rFonts w:cs="Times New Roman" w:hint="eastAsia"/>
          <w:szCs w:val="24"/>
        </w:rPr>
        <w:t>日常工作中，无论是想要从哪一方面减少采样不确定度</w:t>
      </w:r>
      <w:r w:rsidRPr="00512E4D">
        <w:rPr>
          <w:rFonts w:cs="Times New Roman" w:hint="eastAsia"/>
          <w:szCs w:val="24"/>
        </w:rPr>
        <w:t>，仪器性能的维护和调试工作都必不可少，保证仪器处在最佳工作状态才能保证数据结果可靠真实。</w:t>
      </w:r>
    </w:p>
    <w:p w14:paraId="00B131A6" w14:textId="64A9F3DE" w:rsidR="002C60D3" w:rsidRDefault="002C60D3" w:rsidP="00657EFF">
      <w:pPr>
        <w:ind w:firstLine="400"/>
        <w:rPr>
          <w:rFonts w:hint="eastAsia"/>
        </w:rPr>
      </w:pPr>
      <w:r w:rsidRPr="003958D0">
        <w:rPr>
          <w:rFonts w:cs="Times New Roman"/>
          <w:noProof/>
          <w:sz w:val="20"/>
          <w:szCs w:val="20"/>
        </w:rPr>
        <w:drawing>
          <wp:inline distT="0" distB="0" distL="0" distR="0" wp14:anchorId="66FD79B7" wp14:editId="1E786D74">
            <wp:extent cx="5274310" cy="2332990"/>
            <wp:effectExtent l="0" t="0" r="0" b="0"/>
            <wp:docPr id="189523555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3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4A51A3" w14:textId="1430EAD0" w:rsidR="002C60D3" w:rsidRDefault="002C60D3" w:rsidP="002C60D3">
      <w:pPr>
        <w:jc w:val="center"/>
        <w:rPr>
          <w:rFonts w:hint="eastAsia"/>
        </w:rPr>
      </w:pPr>
      <w:r>
        <w:rPr>
          <w:rFonts w:hint="eastAsia"/>
        </w:rPr>
        <w:t>图1（a）</w:t>
      </w:r>
      <w:proofErr w:type="gramStart"/>
      <w:r>
        <w:rPr>
          <w:rFonts w:hint="eastAsia"/>
        </w:rPr>
        <w:t>目标源谱采样</w:t>
      </w:r>
      <w:proofErr w:type="gramEnd"/>
      <w:r>
        <w:rPr>
          <w:rFonts w:hint="eastAsia"/>
        </w:rPr>
        <w:t>的相对不确定度</w:t>
      </w:r>
      <w:r w:rsidRPr="00885296">
        <w:rPr>
          <w:rFonts w:cs="Times New Roman"/>
          <w:sz w:val="18"/>
          <w:szCs w:val="18"/>
        </w:rPr>
        <w:t>(</w:t>
      </w:r>
      <m:oMath>
        <m:sSub>
          <m:sSubPr>
            <m:ctrlPr>
              <w:rPr>
                <w:rFonts w:ascii="Cambria Math" w:hAnsi="Cambria Math" w:cs="Times New Roman"/>
                <w:i/>
                <w:sz w:val="18"/>
                <w:szCs w:val="18"/>
              </w:rPr>
            </m:ctrlPr>
          </m:sSubPr>
          <m:e>
            <w:bookmarkStart w:id="1" w:name="_Hlk169352948"/>
            <m:r>
              <w:rPr>
                <w:rFonts w:ascii="Cambria Math" w:hAnsi="Cambria Math" w:cs="Times New Roman"/>
                <w:sz w:val="18"/>
                <w:szCs w:val="18"/>
              </w:rPr>
              <m:t>u</m:t>
            </m:r>
          </m:e>
          <m:sub>
            <m:r>
              <w:rPr>
                <w:rFonts w:ascii="Cambria Math" w:hAnsi="Cambria Math" w:cs="Times New Roman"/>
                <w:sz w:val="18"/>
                <w:szCs w:val="18"/>
              </w:rPr>
              <m:t>rel(s)</m:t>
            </m:r>
            <w:bookmarkEnd w:id="1"/>
          </m:sub>
        </m:sSub>
      </m:oMath>
      <w:r w:rsidRPr="00885296">
        <w:rPr>
          <w:rFonts w:cs="Times New Roman"/>
          <w:sz w:val="18"/>
          <w:szCs w:val="18"/>
        </w:rPr>
        <w:t>)</w:t>
      </w:r>
      <w:r>
        <w:rPr>
          <w:rFonts w:hint="eastAsia"/>
        </w:rPr>
        <w:t>；（b）不确定度分量对</w:t>
      </w:r>
      <m:oMath>
        <m:sSub>
          <m:sSubPr>
            <m:ctrlPr>
              <w:rPr>
                <w:rFonts w:ascii="Cambria Math" w:hAnsi="Cambria Math" w:cs="Times New Roman"/>
                <w:i/>
                <w:sz w:val="18"/>
                <w:szCs w:val="18"/>
              </w:rPr>
            </m:ctrlPr>
          </m:sSubPr>
          <m:e>
            <m:r>
              <w:rPr>
                <w:rFonts w:ascii="Cambria Math" w:hAnsi="Cambria Math" w:cs="Times New Roman"/>
                <w:sz w:val="18"/>
                <w:szCs w:val="18"/>
              </w:rPr>
              <m:t>u</m:t>
            </m:r>
          </m:e>
          <m:sub>
            <m:r>
              <w:rPr>
                <w:rFonts w:ascii="Cambria Math" w:hAnsi="Cambria Math" w:cs="Times New Roman"/>
                <w:sz w:val="18"/>
                <w:szCs w:val="18"/>
              </w:rPr>
              <m:t>rel(s)</m:t>
            </m:r>
          </m:sub>
        </m:sSub>
      </m:oMath>
      <w:r>
        <w:rPr>
          <w:rFonts w:hint="eastAsia"/>
        </w:rPr>
        <w:t>平均值的贡献率</w:t>
      </w:r>
    </w:p>
    <w:p w14:paraId="61920204" w14:textId="7F28C160" w:rsidR="00952DD5" w:rsidRPr="002C60D3" w:rsidRDefault="00952DD5" w:rsidP="00952DD5">
      <w:pPr>
        <w:ind w:firstLine="562"/>
        <w:rPr>
          <w:rFonts w:hint="eastAsia"/>
          <w:b/>
          <w:bCs/>
        </w:rPr>
      </w:pPr>
      <w:r w:rsidRPr="002C60D3">
        <w:rPr>
          <w:rFonts w:hint="eastAsia"/>
          <w:b/>
          <w:bCs/>
        </w:rPr>
        <w:t>（</w:t>
      </w:r>
      <w:r>
        <w:rPr>
          <w:rFonts w:hint="eastAsia"/>
          <w:b/>
          <w:bCs/>
        </w:rPr>
        <w:t>2</w:t>
      </w:r>
      <w:r w:rsidRPr="002C60D3">
        <w:rPr>
          <w:rFonts w:hint="eastAsia"/>
          <w:b/>
          <w:bCs/>
        </w:rPr>
        <w:t>）</w:t>
      </w:r>
      <w:r>
        <w:rPr>
          <w:rFonts w:hint="eastAsia"/>
          <w:b/>
          <w:bCs/>
        </w:rPr>
        <w:t>称量</w:t>
      </w:r>
      <w:r w:rsidRPr="002C60D3">
        <w:rPr>
          <w:rFonts w:hint="eastAsia"/>
          <w:b/>
          <w:bCs/>
        </w:rPr>
        <w:t>过程中产生</w:t>
      </w:r>
      <w:proofErr w:type="gramStart"/>
      <w:r w:rsidRPr="002C60D3">
        <w:rPr>
          <w:rFonts w:hint="eastAsia"/>
          <w:b/>
          <w:bCs/>
        </w:rPr>
        <w:t>的源谱不确定</w:t>
      </w:r>
      <w:r w:rsidR="00261FE2">
        <w:rPr>
          <w:rFonts w:hint="eastAsia"/>
          <w:b/>
          <w:bCs/>
        </w:rPr>
        <w:t>度</w:t>
      </w:r>
      <w:proofErr w:type="gramEnd"/>
      <w:r w:rsidRPr="002C60D3">
        <w:rPr>
          <w:rFonts w:hint="eastAsia"/>
          <w:b/>
          <w:bCs/>
        </w:rPr>
        <w:t>分析</w:t>
      </w:r>
    </w:p>
    <w:p w14:paraId="1095AEAF" w14:textId="36466B56" w:rsidR="00952DD5" w:rsidRDefault="00952DD5" w:rsidP="00952DD5">
      <w:pPr>
        <w:rPr>
          <w:rFonts w:ascii="宋体" w:hAnsi="宋体" w:hint="eastAsia"/>
          <w:szCs w:val="24"/>
        </w:rPr>
      </w:pPr>
      <w:r>
        <w:rPr>
          <w:rFonts w:cs="Times New Roman" w:hint="eastAsia"/>
          <w:szCs w:val="24"/>
        </w:rPr>
        <w:t>使用百万分之一和十万分之一精密天平分别对直径为</w:t>
      </w:r>
      <w:r>
        <w:rPr>
          <w:rFonts w:cs="Times New Roman"/>
          <w:szCs w:val="24"/>
        </w:rPr>
        <w:t>90mm</w:t>
      </w:r>
      <w:r>
        <w:rPr>
          <w:rFonts w:cs="Times New Roman" w:hint="eastAsia"/>
          <w:szCs w:val="24"/>
        </w:rPr>
        <w:t>、</w:t>
      </w:r>
      <w:r>
        <w:rPr>
          <w:rFonts w:cs="Times New Roman"/>
          <w:szCs w:val="24"/>
        </w:rPr>
        <w:t>70mm</w:t>
      </w:r>
      <w:r>
        <w:rPr>
          <w:rFonts w:cs="Times New Roman" w:hint="eastAsia"/>
          <w:szCs w:val="24"/>
        </w:rPr>
        <w:t>和</w:t>
      </w:r>
      <w:r>
        <w:rPr>
          <w:rFonts w:cs="Times New Roman"/>
          <w:szCs w:val="24"/>
        </w:rPr>
        <w:t>25mm、47mm的</w:t>
      </w:r>
      <w:r>
        <w:rPr>
          <w:rFonts w:ascii="宋体" w:hAnsi="宋体"/>
          <w:szCs w:val="24"/>
        </w:rPr>
        <w:t>不同材质</w:t>
      </w:r>
      <w:r>
        <w:rPr>
          <w:rFonts w:ascii="宋体" w:hAnsi="宋体" w:hint="eastAsia"/>
          <w:szCs w:val="24"/>
        </w:rPr>
        <w:t>滤膜进行称量，得到其质量并根据上述</w:t>
      </w:r>
      <w:r>
        <w:rPr>
          <w:rFonts w:ascii="宋体" w:hAnsi="宋体"/>
          <w:szCs w:val="24"/>
        </w:rPr>
        <w:t>方法进行称量</w:t>
      </w:r>
      <w:r>
        <w:rPr>
          <w:rFonts w:ascii="宋体" w:hAnsi="宋体" w:hint="eastAsia"/>
          <w:szCs w:val="24"/>
        </w:rPr>
        <w:t>过程不确定性评估，结果见</w:t>
      </w:r>
      <w:r>
        <w:rPr>
          <w:rFonts w:ascii="宋体" w:hAnsi="宋体" w:hint="eastAsia"/>
          <w:szCs w:val="24"/>
        </w:rPr>
        <w:fldChar w:fldCharType="begin"/>
      </w:r>
      <w:r>
        <w:rPr>
          <w:rFonts w:ascii="宋体" w:hAnsi="宋体" w:hint="eastAsia"/>
          <w:szCs w:val="24"/>
        </w:rPr>
        <w:instrText xml:space="preserve"> REF _Ref181367099 \h </w:instrText>
      </w:r>
      <w:r>
        <w:rPr>
          <w:rFonts w:ascii="宋体" w:hAnsi="宋体" w:hint="eastAsia"/>
          <w:szCs w:val="24"/>
        </w:rPr>
      </w:r>
      <w:r>
        <w:rPr>
          <w:rFonts w:ascii="宋体" w:hAnsi="宋体" w:hint="eastAsia"/>
          <w:szCs w:val="24"/>
        </w:rPr>
        <w:fldChar w:fldCharType="separate"/>
      </w:r>
      <w:r>
        <w:rPr>
          <w:rFonts w:hint="eastAsia"/>
        </w:rPr>
        <w:t>图2</w:t>
      </w:r>
      <w:r>
        <w:rPr>
          <w:rFonts w:ascii="宋体" w:hAnsi="宋体" w:hint="eastAsia"/>
          <w:szCs w:val="24"/>
        </w:rPr>
        <w:fldChar w:fldCharType="end"/>
      </w:r>
      <w:r>
        <w:rPr>
          <w:rFonts w:ascii="宋体" w:hAnsi="宋体" w:hint="eastAsia"/>
          <w:szCs w:val="24"/>
        </w:rPr>
        <w:t>。</w:t>
      </w:r>
    </w:p>
    <w:p w14:paraId="595B376E" w14:textId="33847187" w:rsidR="00952DD5" w:rsidRDefault="00952DD5" w:rsidP="00952DD5">
      <w:pPr>
        <w:rPr>
          <w:rFonts w:cs="Times New Roman" w:hint="eastAsia"/>
          <w:szCs w:val="24"/>
        </w:rPr>
      </w:pPr>
      <w:r>
        <w:rPr>
          <w:rFonts w:ascii="宋体" w:hAnsi="宋体" w:hint="eastAsia"/>
          <w:szCs w:val="24"/>
        </w:rPr>
        <w:t>结果显示，对于</w:t>
      </w:r>
      <w:r>
        <w:rPr>
          <w:rFonts w:cs="Times New Roman"/>
          <w:szCs w:val="24"/>
        </w:rPr>
        <w:t>P膜和Q膜</w:t>
      </w:r>
      <w:r>
        <w:rPr>
          <w:rFonts w:ascii="宋体" w:hAnsi="宋体"/>
          <w:szCs w:val="24"/>
        </w:rPr>
        <w:t>来说，</w:t>
      </w:r>
      <w:r>
        <w:rPr>
          <w:rFonts w:ascii="宋体" w:hAnsi="宋体" w:hint="eastAsia"/>
          <w:szCs w:val="24"/>
        </w:rPr>
        <w:t>滤膜直径越小，质量越小，其称量过程引入的不确定度也越大</w:t>
      </w:r>
      <w:r>
        <w:rPr>
          <w:rFonts w:cs="Times New Roman" w:hint="eastAsia"/>
          <w:szCs w:val="24"/>
        </w:rPr>
        <w:t>。这可能是由于面积越大的滤膜所能负载的颗粒物越多，而颗粒物浓度较高的烟气会大幅降低滤膜称重误</w:t>
      </w:r>
      <w:r>
        <w:rPr>
          <w:rFonts w:cs="Times New Roman" w:hint="eastAsia"/>
          <w:szCs w:val="24"/>
        </w:rPr>
        <w:lastRenderedPageBreak/>
        <w:t>差带来的影响，天平负载量越大，微弱扰动造成的影响越小。相同直径下，不同材质滤膜所造成的称量不确定度也不同，</w:t>
      </w:r>
      <w:r>
        <w:rPr>
          <w:rFonts w:cs="Times New Roman"/>
          <w:szCs w:val="24"/>
        </w:rPr>
        <w:t>Q</w:t>
      </w:r>
      <w:r>
        <w:rPr>
          <w:rFonts w:cs="Times New Roman" w:hint="eastAsia"/>
          <w:szCs w:val="24"/>
        </w:rPr>
        <w:t>膜引入的不确定度大于</w:t>
      </w:r>
      <w:r>
        <w:rPr>
          <w:rFonts w:cs="Times New Roman"/>
          <w:szCs w:val="24"/>
        </w:rPr>
        <w:t>P</w:t>
      </w:r>
      <w:r>
        <w:rPr>
          <w:rFonts w:cs="Times New Roman" w:hint="eastAsia"/>
          <w:szCs w:val="24"/>
        </w:rPr>
        <w:t>膜和</w:t>
      </w:r>
      <w:r>
        <w:rPr>
          <w:rFonts w:cs="Times New Roman"/>
          <w:szCs w:val="24"/>
        </w:rPr>
        <w:t>T</w:t>
      </w:r>
      <w:r>
        <w:rPr>
          <w:rFonts w:cs="Times New Roman" w:hint="eastAsia"/>
          <w:szCs w:val="24"/>
        </w:rPr>
        <w:t>膜。这可能是因为呈纤维状的石英膜材质更加柔软且具有更大的空隙，更易破损或掉渣。并且气泵抽气时柔性大的空隙</w:t>
      </w:r>
      <w:proofErr w:type="gramStart"/>
      <w:r>
        <w:rPr>
          <w:rFonts w:cs="Times New Roman" w:hint="eastAsia"/>
          <w:szCs w:val="24"/>
        </w:rPr>
        <w:t>滤</w:t>
      </w:r>
      <w:proofErr w:type="gramEnd"/>
      <w:r>
        <w:rPr>
          <w:rFonts w:cs="Times New Roman"/>
          <w:szCs w:val="24"/>
        </w:rPr>
        <w:t>透膜阻力小，作用在滤膜与</w:t>
      </w:r>
      <w:r>
        <w:rPr>
          <w:rFonts w:cs="Times New Roman" w:hint="eastAsia"/>
          <w:szCs w:val="24"/>
        </w:rPr>
        <w:t>颗粒物</w:t>
      </w:r>
      <w:r>
        <w:rPr>
          <w:rFonts w:cs="Times New Roman"/>
          <w:szCs w:val="24"/>
        </w:rPr>
        <w:t>间的撞击压力相对较小</w:t>
      </w:r>
      <w:r>
        <w:rPr>
          <w:rFonts w:cs="Times New Roman" w:hint="eastAsia"/>
          <w:szCs w:val="24"/>
        </w:rPr>
        <w:t>，颗粒物与滤膜结合松散，移动过程中更容易出现损耗。与之相反，T膜和P</w:t>
      </w:r>
      <w:proofErr w:type="gramStart"/>
      <w:r>
        <w:rPr>
          <w:rFonts w:cs="Times New Roman" w:hint="eastAsia"/>
          <w:szCs w:val="24"/>
        </w:rPr>
        <w:t>膜属于</w:t>
      </w:r>
      <w:proofErr w:type="gramEnd"/>
      <w:r>
        <w:rPr>
          <w:rFonts w:cs="Times New Roman" w:hint="eastAsia"/>
          <w:szCs w:val="24"/>
        </w:rPr>
        <w:t>有机膜，材质较硬、表面光滑且化学性质非常稳定，颗粒物与滤膜镶嵌较为紧密，因而引入的称量误差也较小。整体来看，由于案例中使用的分析天平精密度足够高，称量过程引入的不确定度十分小，最高只达到</w:t>
      </w:r>
      <w:r>
        <w:rPr>
          <w:rFonts w:cs="Times New Roman"/>
          <w:szCs w:val="24"/>
        </w:rPr>
        <w:t>0.3%</w:t>
      </w:r>
      <w:r>
        <w:rPr>
          <w:rFonts w:cs="Times New Roman" w:hint="eastAsia"/>
          <w:szCs w:val="24"/>
        </w:rPr>
        <w:t>，称量过程</w:t>
      </w:r>
      <w:proofErr w:type="gramStart"/>
      <w:r>
        <w:rPr>
          <w:rFonts w:cs="Times New Roman" w:hint="eastAsia"/>
          <w:szCs w:val="24"/>
        </w:rPr>
        <w:t>对源谱不确定性</w:t>
      </w:r>
      <w:proofErr w:type="gramEnd"/>
      <w:r>
        <w:rPr>
          <w:rFonts w:cs="Times New Roman" w:hint="eastAsia"/>
          <w:szCs w:val="24"/>
        </w:rPr>
        <w:t>的影响整体较小。</w:t>
      </w:r>
    </w:p>
    <w:p w14:paraId="1968AC86" w14:textId="1918A663" w:rsidR="00952DD5" w:rsidRDefault="00952DD5" w:rsidP="00952DD5">
      <w:pPr>
        <w:ind w:firstLineChars="0" w:firstLine="0"/>
        <w:jc w:val="center"/>
        <w:rPr>
          <w:rFonts w:cs="Times New Roman" w:hint="eastAsia"/>
          <w:szCs w:val="24"/>
        </w:rPr>
      </w:pPr>
      <w:r w:rsidRPr="00C555C2">
        <w:rPr>
          <w:rFonts w:ascii="宋体" w:hAnsi="宋体"/>
          <w:noProof/>
          <w:szCs w:val="24"/>
        </w:rPr>
        <w:drawing>
          <wp:inline distT="0" distB="0" distL="0" distR="0" wp14:anchorId="61B3E48D" wp14:editId="4D53E517">
            <wp:extent cx="2790770" cy="2542087"/>
            <wp:effectExtent l="0" t="0" r="0" b="0"/>
            <wp:docPr id="134794437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331" cy="2562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D60773" w14:textId="7D70C8BD" w:rsidR="00952DD5" w:rsidRDefault="00952DD5" w:rsidP="00952DD5">
      <w:pPr>
        <w:pStyle w:val="a9"/>
        <w:ind w:firstLine="360"/>
        <w:rPr>
          <w:rFonts w:cs="Times New Roman"/>
          <w:szCs w:val="21"/>
        </w:rPr>
      </w:pPr>
      <w:r>
        <w:rPr>
          <w:rFonts w:cs="Times New Roman" w:hint="eastAsia"/>
          <w:szCs w:val="21"/>
        </w:rPr>
        <w:t>图</w:t>
      </w:r>
      <w:r>
        <w:rPr>
          <w:rFonts w:cs="Times New Roman" w:hint="eastAsia"/>
          <w:szCs w:val="21"/>
        </w:rPr>
        <w:t xml:space="preserve">2 </w:t>
      </w:r>
      <w:r>
        <w:rPr>
          <w:rFonts w:cs="Times New Roman" w:hint="eastAsia"/>
          <w:szCs w:val="21"/>
        </w:rPr>
        <w:t>不同材质和直径滤膜称量相对不确定度</w:t>
      </w:r>
      <m:oMath>
        <m:sSub>
          <m:sSubPr>
            <m:ctrlPr>
              <w:rPr>
                <w:rFonts w:ascii="Cambria Math" w:hAnsi="Cambria Math" w:cs="Times New Roman"/>
                <w:i/>
                <w:szCs w:val="21"/>
              </w:rPr>
            </m:ctrlPr>
          </m:sSubPr>
          <m:e>
            <m:r>
              <w:rPr>
                <w:rFonts w:ascii="Cambria Math" w:hAnsi="Cambria Math" w:cs="Times New Roman" w:hint="eastAsia"/>
                <w:szCs w:val="21"/>
              </w:rPr>
              <m:t>u</m:t>
            </m:r>
          </m:e>
          <m:sub>
            <m:r>
              <w:rPr>
                <w:rFonts w:ascii="Cambria Math" w:hAnsi="Cambria Math" w:cs="Times New Roman" w:hint="eastAsia"/>
                <w:szCs w:val="21"/>
              </w:rPr>
              <m:t>rel</m:t>
            </m:r>
            <m:d>
              <m:dPr>
                <m:ctrlPr>
                  <w:rPr>
                    <w:rFonts w:ascii="Cambria Math" w:hAnsi="Cambria Math" w:cs="Times New Roman"/>
                    <w:i/>
                    <w:szCs w:val="21"/>
                  </w:rPr>
                </m:ctrlPr>
              </m:dPr>
              <m:e>
                <m:r>
                  <w:rPr>
                    <w:rFonts w:ascii="Cambria Math" w:hAnsi="Cambria Math" w:cs="Times New Roman"/>
                    <w:szCs w:val="21"/>
                  </w:rPr>
                  <m:t>m</m:t>
                </m:r>
              </m:e>
            </m:d>
          </m:sub>
        </m:sSub>
      </m:oMath>
    </w:p>
    <w:p w14:paraId="77E8967F" w14:textId="77777777" w:rsidR="00952DD5" w:rsidRDefault="00952DD5" w:rsidP="00952DD5">
      <w:pPr>
        <w:jc w:val="center"/>
        <w:rPr>
          <w:rFonts w:cs="Times New Roman" w:hint="eastAsia"/>
        </w:rPr>
      </w:pPr>
      <w:r>
        <w:rPr>
          <w:rFonts w:cs="Times New Roman" w:hint="eastAsia"/>
        </w:rPr>
        <w:t>（注：</w:t>
      </w:r>
      <w:r>
        <w:rPr>
          <w:rFonts w:cs="Times New Roman"/>
        </w:rPr>
        <w:t>Q</w:t>
      </w:r>
      <w:r>
        <w:rPr>
          <w:rFonts w:cs="Times New Roman" w:hint="eastAsia"/>
        </w:rPr>
        <w:t>、</w:t>
      </w:r>
      <w:r>
        <w:rPr>
          <w:rFonts w:cs="Times New Roman"/>
        </w:rPr>
        <w:t>P</w:t>
      </w:r>
      <w:r>
        <w:rPr>
          <w:rFonts w:cs="Times New Roman" w:hint="eastAsia"/>
        </w:rPr>
        <w:t>、</w:t>
      </w:r>
      <w:r>
        <w:rPr>
          <w:rFonts w:cs="Times New Roman"/>
        </w:rPr>
        <w:t>T</w:t>
      </w:r>
      <w:r>
        <w:rPr>
          <w:rFonts w:cs="Times New Roman" w:hint="eastAsia"/>
        </w:rPr>
        <w:t>代表滤膜材质，</w:t>
      </w:r>
      <w:r>
        <w:rPr>
          <w:rFonts w:cs="Times New Roman"/>
        </w:rPr>
        <w:t>90</w:t>
      </w:r>
      <w:r>
        <w:rPr>
          <w:rFonts w:cs="Times New Roman" w:hint="eastAsia"/>
        </w:rPr>
        <w:t>、</w:t>
      </w:r>
      <w:r>
        <w:rPr>
          <w:rFonts w:cs="Times New Roman"/>
        </w:rPr>
        <w:t>70</w:t>
      </w:r>
      <w:r>
        <w:rPr>
          <w:rFonts w:cs="Times New Roman" w:hint="eastAsia"/>
        </w:rPr>
        <w:t>、</w:t>
      </w:r>
      <w:r>
        <w:rPr>
          <w:rFonts w:cs="Times New Roman"/>
        </w:rPr>
        <w:t>47</w:t>
      </w:r>
      <w:r>
        <w:rPr>
          <w:rFonts w:cs="Times New Roman" w:hint="eastAsia"/>
        </w:rPr>
        <w:t>、</w:t>
      </w:r>
      <w:r>
        <w:rPr>
          <w:rFonts w:cs="Times New Roman"/>
        </w:rPr>
        <w:t>25</w:t>
      </w:r>
      <w:r>
        <w:rPr>
          <w:rFonts w:cs="Times New Roman" w:hint="eastAsia"/>
        </w:rPr>
        <w:t>代表滤膜直径）</w:t>
      </w:r>
    </w:p>
    <w:p w14:paraId="1C08A984" w14:textId="77777777" w:rsidR="00952DD5" w:rsidRPr="00952DD5" w:rsidRDefault="00952DD5" w:rsidP="00952DD5">
      <w:pPr>
        <w:ind w:firstLineChars="0" w:firstLine="0"/>
        <w:jc w:val="center"/>
        <w:rPr>
          <w:rFonts w:cs="Times New Roman" w:hint="eastAsia"/>
          <w:szCs w:val="24"/>
        </w:rPr>
      </w:pPr>
    </w:p>
    <w:p w14:paraId="677539B4" w14:textId="7F9BAC6A" w:rsidR="00952DD5" w:rsidRPr="002C60D3" w:rsidRDefault="00952DD5" w:rsidP="00952DD5">
      <w:pPr>
        <w:ind w:firstLine="562"/>
        <w:rPr>
          <w:rFonts w:hint="eastAsia"/>
          <w:b/>
          <w:bCs/>
        </w:rPr>
      </w:pPr>
      <w:r w:rsidRPr="002C60D3">
        <w:rPr>
          <w:rFonts w:hint="eastAsia"/>
          <w:b/>
          <w:bCs/>
        </w:rPr>
        <w:t>（</w:t>
      </w:r>
      <w:r>
        <w:rPr>
          <w:rFonts w:hint="eastAsia"/>
          <w:b/>
          <w:bCs/>
        </w:rPr>
        <w:t>3</w:t>
      </w:r>
      <w:r w:rsidRPr="002C60D3">
        <w:rPr>
          <w:rFonts w:hint="eastAsia"/>
          <w:b/>
          <w:bCs/>
        </w:rPr>
        <w:t>）</w:t>
      </w:r>
      <w:r>
        <w:rPr>
          <w:rFonts w:hint="eastAsia"/>
          <w:b/>
          <w:bCs/>
        </w:rPr>
        <w:t>分析</w:t>
      </w:r>
      <w:r w:rsidRPr="002C60D3">
        <w:rPr>
          <w:rFonts w:hint="eastAsia"/>
          <w:b/>
          <w:bCs/>
        </w:rPr>
        <w:t>过程中产生</w:t>
      </w:r>
      <w:proofErr w:type="gramStart"/>
      <w:r w:rsidRPr="002C60D3">
        <w:rPr>
          <w:rFonts w:hint="eastAsia"/>
          <w:b/>
          <w:bCs/>
        </w:rPr>
        <w:t>的源谱不确定</w:t>
      </w:r>
      <w:r w:rsidR="00261FE2">
        <w:rPr>
          <w:rFonts w:hint="eastAsia"/>
          <w:b/>
          <w:bCs/>
        </w:rPr>
        <w:t>度</w:t>
      </w:r>
      <w:proofErr w:type="gramEnd"/>
      <w:r w:rsidRPr="002C60D3">
        <w:rPr>
          <w:rFonts w:hint="eastAsia"/>
          <w:b/>
          <w:bCs/>
        </w:rPr>
        <w:t>分析</w:t>
      </w:r>
    </w:p>
    <w:p w14:paraId="49E289D7" w14:textId="1E06D34C" w:rsidR="00261FE2" w:rsidRDefault="00261FE2" w:rsidP="00261FE2">
      <w:pPr>
        <w:rPr>
          <w:rFonts w:cs="Times New Roman" w:hint="eastAsia"/>
          <w:szCs w:val="24"/>
        </w:rPr>
      </w:pPr>
      <w:r>
        <w:rPr>
          <w:rFonts w:cs="Times New Roman" w:hint="eastAsia"/>
          <w:szCs w:val="24"/>
        </w:rPr>
        <w:t>使用标准样品为国家有色金属及电子材料分析测试中心标样，取</w:t>
      </w:r>
      <w:r>
        <w:rPr>
          <w:rFonts w:cs="Times New Roman"/>
          <w:szCs w:val="24"/>
        </w:rPr>
        <w:t>P90空白滤膜，每张均裁剪为8份</w:t>
      </w:r>
      <w:r>
        <w:rPr>
          <w:rFonts w:cs="Times New Roman" w:hint="eastAsia"/>
          <w:szCs w:val="24"/>
        </w:rPr>
        <w:t>高温消解</w:t>
      </w:r>
      <w:r>
        <w:rPr>
          <w:rFonts w:cs="Times New Roman"/>
          <w:szCs w:val="24"/>
        </w:rPr>
        <w:t>，每个样品进样测定10</w:t>
      </w:r>
      <w:r>
        <w:rPr>
          <w:rFonts w:cs="Times New Roman"/>
          <w:szCs w:val="24"/>
        </w:rPr>
        <w:lastRenderedPageBreak/>
        <w:t>次</w:t>
      </w:r>
      <w:r>
        <w:rPr>
          <w:rFonts w:cs="Times New Roman" w:hint="eastAsia"/>
          <w:szCs w:val="24"/>
        </w:rPr>
        <w:t>，根据相对误差得到平均加标回收率。图3（a）表示重复测定以及样品提取引入的不确定度，两者分别表征了仪器分析的精密度与准确度。结果表明，离子以及大部分重金属元素的重复测定误差都小于</w:t>
      </w:r>
      <w:r>
        <w:rPr>
          <w:rFonts w:cs="Times New Roman"/>
          <w:szCs w:val="24"/>
        </w:rPr>
        <w:t>5%</w:t>
      </w:r>
      <w:r>
        <w:rPr>
          <w:rFonts w:cs="Times New Roman" w:hint="eastAsia"/>
          <w:szCs w:val="24"/>
        </w:rPr>
        <w:t>，仅有</w:t>
      </w:r>
      <w:r>
        <w:rPr>
          <w:rFonts w:cs="Times New Roman"/>
          <w:szCs w:val="24"/>
        </w:rPr>
        <w:t>Cu</w:t>
      </w:r>
      <w:r>
        <w:rPr>
          <w:rFonts w:cs="Times New Roman" w:hint="eastAsia"/>
          <w:szCs w:val="24"/>
        </w:rPr>
        <w:t>和</w:t>
      </w:r>
      <w:r>
        <w:rPr>
          <w:rFonts w:cs="Times New Roman"/>
          <w:szCs w:val="24"/>
        </w:rPr>
        <w:t>As</w:t>
      </w:r>
      <w:r>
        <w:rPr>
          <w:rFonts w:cs="Times New Roman" w:hint="eastAsia"/>
          <w:szCs w:val="24"/>
        </w:rPr>
        <w:t>元素较高，分别达到</w:t>
      </w:r>
      <w:r>
        <w:rPr>
          <w:rFonts w:cs="Times New Roman"/>
          <w:szCs w:val="24"/>
        </w:rPr>
        <w:t>9%</w:t>
      </w:r>
      <w:r>
        <w:rPr>
          <w:rFonts w:cs="Times New Roman" w:hint="eastAsia"/>
          <w:szCs w:val="24"/>
        </w:rPr>
        <w:t>和</w:t>
      </w:r>
      <w:r>
        <w:rPr>
          <w:rFonts w:cs="Times New Roman"/>
          <w:szCs w:val="24"/>
        </w:rPr>
        <w:t>7%</w:t>
      </w:r>
      <w:r>
        <w:rPr>
          <w:rFonts w:cs="Times New Roman" w:hint="eastAsia"/>
          <w:szCs w:val="24"/>
        </w:rPr>
        <w:t>。</w:t>
      </w:r>
      <w:r w:rsidRPr="00700400">
        <w:rPr>
          <w:rFonts w:cs="Times New Roman" w:hint="eastAsia"/>
          <w:szCs w:val="24"/>
        </w:rPr>
        <w:t>同样，除Ca</w:t>
      </w:r>
      <w:r w:rsidRPr="00700400">
        <w:rPr>
          <w:rFonts w:cs="Times New Roman" w:hint="eastAsia"/>
          <w:szCs w:val="24"/>
          <w:vertAlign w:val="superscript"/>
        </w:rPr>
        <w:t>2+</w:t>
      </w:r>
      <w:r w:rsidRPr="00700400">
        <w:rPr>
          <w:rFonts w:cs="Times New Roman" w:hint="eastAsia"/>
          <w:szCs w:val="24"/>
        </w:rPr>
        <w:t>和V外，其余组分的</w:t>
      </w:r>
      <w:r>
        <w:rPr>
          <w:rFonts w:cs="Times New Roman" w:hint="eastAsia"/>
          <w:szCs w:val="24"/>
        </w:rPr>
        <w:t>样品提取</w:t>
      </w:r>
      <w:r w:rsidRPr="00700400">
        <w:rPr>
          <w:rFonts w:cs="Times New Roman" w:hint="eastAsia"/>
          <w:szCs w:val="24"/>
        </w:rPr>
        <w:t>不确定度较小，</w:t>
      </w:r>
      <w:r>
        <w:rPr>
          <w:rFonts w:cs="Times New Roman" w:hint="eastAsia"/>
          <w:szCs w:val="24"/>
        </w:rPr>
        <w:t>都</w:t>
      </w:r>
      <w:r w:rsidRPr="00700400">
        <w:rPr>
          <w:rFonts w:cs="Times New Roman" w:hint="eastAsia"/>
          <w:szCs w:val="24"/>
        </w:rPr>
        <w:t>低于5%</w:t>
      </w:r>
      <w:r>
        <w:rPr>
          <w:rFonts w:cs="Times New Roman" w:hint="eastAsia"/>
          <w:szCs w:val="24"/>
        </w:rPr>
        <w:t>，说明</w:t>
      </w:r>
      <w:r>
        <w:rPr>
          <w:rFonts w:cs="Times New Roman"/>
          <w:szCs w:val="24"/>
        </w:rPr>
        <w:t>ICP</w:t>
      </w:r>
      <w:r>
        <w:rPr>
          <w:rFonts w:cs="Times New Roman" w:hint="eastAsia"/>
          <w:szCs w:val="24"/>
        </w:rPr>
        <w:t>和</w:t>
      </w:r>
      <w:r>
        <w:rPr>
          <w:rFonts w:cs="Times New Roman"/>
          <w:szCs w:val="24"/>
        </w:rPr>
        <w:t>IC</w:t>
      </w:r>
      <w:r>
        <w:rPr>
          <w:rFonts w:cs="Times New Roman" w:hint="eastAsia"/>
          <w:szCs w:val="24"/>
        </w:rPr>
        <w:t>都具有较高的精密度。</w:t>
      </w:r>
    </w:p>
    <w:p w14:paraId="12CEE017" w14:textId="77777777" w:rsidR="00261FE2" w:rsidRDefault="00261FE2" w:rsidP="00261FE2">
      <w:pPr>
        <w:ind w:firstLineChars="0" w:firstLine="0"/>
        <w:rPr>
          <w:rFonts w:hint="eastAsia"/>
        </w:rPr>
      </w:pPr>
      <w:r w:rsidRPr="00C72504">
        <w:rPr>
          <w:rFonts w:cs="Times New Roman"/>
          <w:noProof/>
          <w:sz w:val="20"/>
          <w:szCs w:val="20"/>
          <w:highlight w:val="yellow"/>
        </w:rPr>
        <w:drawing>
          <wp:inline distT="0" distB="0" distL="0" distR="0" wp14:anchorId="5FF8B710" wp14:editId="6393CB6F">
            <wp:extent cx="5274310" cy="2368550"/>
            <wp:effectExtent l="0" t="0" r="2540" b="0"/>
            <wp:docPr id="19269206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6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783CF" w14:textId="73E4B957" w:rsidR="00261FE2" w:rsidRDefault="00261FE2" w:rsidP="00261FE2">
      <w:pPr>
        <w:pStyle w:val="a9"/>
        <w:ind w:firstLine="360"/>
      </w:pPr>
      <w:bookmarkStart w:id="2" w:name="_Toc182406167"/>
      <w:r>
        <w:rPr>
          <w:rFonts w:hint="eastAsia"/>
        </w:rPr>
        <w:t>图</w:t>
      </w:r>
      <w:r>
        <w:rPr>
          <w:rFonts w:hint="eastAsia"/>
        </w:rPr>
        <w:t>3</w:t>
      </w:r>
      <w:r>
        <w:rPr>
          <w:rFonts w:cs="Times New Roman" w:hint="eastAsia"/>
          <w:szCs w:val="21"/>
        </w:rPr>
        <w:t>（</w:t>
      </w:r>
      <w:r>
        <w:rPr>
          <w:rFonts w:cs="Times New Roman" w:hint="eastAsia"/>
          <w:szCs w:val="21"/>
        </w:rPr>
        <w:t>a</w:t>
      </w:r>
      <w:r>
        <w:rPr>
          <w:rFonts w:cs="Times New Roman" w:hint="eastAsia"/>
          <w:szCs w:val="21"/>
        </w:rPr>
        <w:t>）</w:t>
      </w:r>
      <w:r>
        <w:rPr>
          <w:rFonts w:cs="Times New Roman"/>
          <w:szCs w:val="21"/>
        </w:rPr>
        <w:t>ICP</w:t>
      </w:r>
      <w:r>
        <w:rPr>
          <w:rFonts w:cs="Times New Roman" w:hint="eastAsia"/>
          <w:szCs w:val="21"/>
        </w:rPr>
        <w:t>元素分析以及离子色谱法重复测定；（</w:t>
      </w:r>
      <w:r>
        <w:rPr>
          <w:rFonts w:cs="Times New Roman" w:hint="eastAsia"/>
          <w:szCs w:val="21"/>
        </w:rPr>
        <w:t>b</w:t>
      </w:r>
      <w:r>
        <w:rPr>
          <w:rFonts w:cs="Times New Roman" w:hint="eastAsia"/>
          <w:szCs w:val="21"/>
        </w:rPr>
        <w:t>）组分分析相对不确定度</w:t>
      </w:r>
      <m:oMath>
        <m:sSub>
          <m:sSubPr>
            <m:ctrlPr>
              <w:rPr>
                <w:rFonts w:ascii="Cambria Math" w:hAnsi="Cambria Math" w:cs="Times New Roman"/>
                <w:i/>
                <w:szCs w:val="21"/>
              </w:rPr>
            </m:ctrlPr>
          </m:sSubPr>
          <m:e>
            <m:r>
              <w:rPr>
                <w:rFonts w:ascii="Cambria Math" w:hAnsi="Cambria Math" w:cs="Times New Roman" w:hint="eastAsia"/>
                <w:szCs w:val="21"/>
              </w:rPr>
              <m:t>u</m:t>
            </m:r>
          </m:e>
          <m:sub>
            <m:r>
              <w:rPr>
                <w:rFonts w:ascii="Cambria Math" w:hAnsi="Cambria Math" w:cs="Times New Roman" w:hint="eastAsia"/>
                <w:szCs w:val="21"/>
              </w:rPr>
              <m:t>rel</m:t>
            </m:r>
            <m:d>
              <m:dPr>
                <m:ctrlPr>
                  <w:rPr>
                    <w:rFonts w:ascii="Cambria Math" w:hAnsi="Cambria Math" w:cs="Times New Roman"/>
                    <w:i/>
                    <w:szCs w:val="21"/>
                  </w:rPr>
                </m:ctrlPr>
              </m:dPr>
              <m:e>
                <m:r>
                  <w:rPr>
                    <w:rFonts w:ascii="Cambria Math" w:hAnsi="Cambria Math" w:cs="Times New Roman" w:hint="eastAsia"/>
                    <w:szCs w:val="21"/>
                  </w:rPr>
                  <m:t>a</m:t>
                </m:r>
              </m:e>
            </m:d>
          </m:sub>
        </m:sSub>
      </m:oMath>
      <w:r>
        <w:rPr>
          <w:rFonts w:cs="Times New Roman" w:hint="eastAsia"/>
          <w:szCs w:val="21"/>
        </w:rPr>
        <w:t>以及样品提取不确定度</w:t>
      </w:r>
      <w:bookmarkEnd w:id="2"/>
    </w:p>
    <w:p w14:paraId="7508718A" w14:textId="152B6C51" w:rsidR="00261FE2" w:rsidRDefault="00261FE2" w:rsidP="00261FE2">
      <w:pPr>
        <w:rPr>
          <w:rFonts w:cs="Times New Roman" w:hint="eastAsia"/>
        </w:rPr>
      </w:pPr>
      <w:r>
        <w:rPr>
          <w:rFonts w:cs="Times New Roman" w:hint="eastAsia"/>
          <w:szCs w:val="24"/>
        </w:rPr>
        <w:t>图3（b）</w:t>
      </w:r>
      <w:r>
        <w:rPr>
          <w:rFonts w:cs="Times New Roman"/>
          <w:szCs w:val="24"/>
        </w:rPr>
        <w:t>定量展示了</w:t>
      </w:r>
      <w:proofErr w:type="gramStart"/>
      <w:r>
        <w:rPr>
          <w:rFonts w:cs="Times New Roman"/>
          <w:szCs w:val="24"/>
        </w:rPr>
        <w:t>各分析</w:t>
      </w:r>
      <w:proofErr w:type="gramEnd"/>
      <w:r>
        <w:rPr>
          <w:rFonts w:cs="Times New Roman"/>
          <w:szCs w:val="24"/>
        </w:rPr>
        <w:t>仪器</w:t>
      </w:r>
      <w:proofErr w:type="gramStart"/>
      <w:r>
        <w:rPr>
          <w:rFonts w:cs="Times New Roman"/>
          <w:szCs w:val="24"/>
        </w:rPr>
        <w:t>对源谱主要</w:t>
      </w:r>
      <w:proofErr w:type="gramEnd"/>
      <w:r>
        <w:rPr>
          <w:rFonts w:cs="Times New Roman"/>
          <w:szCs w:val="24"/>
        </w:rPr>
        <w:t>组分造成的不确定性</w:t>
      </w:r>
      <m:oMath>
        <m:sSub>
          <m:sSubPr>
            <m:ctrlPr>
              <w:rPr>
                <w:rFonts w:ascii="Cambria Math" w:hAnsi="Cambria Math" w:cs="Times New Roman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Cs w:val="24"/>
              </w:rPr>
              <m:t>u</m:t>
            </m:r>
          </m:e>
          <m:sub>
            <m:r>
              <w:rPr>
                <w:rFonts w:ascii="Cambria Math" w:hAnsi="Cambria Math" w:cs="Times New Roman"/>
                <w:szCs w:val="24"/>
              </w:rPr>
              <m:t>rel</m:t>
            </m:r>
            <m:d>
              <m:dPr>
                <m:ctrlPr>
                  <w:rPr>
                    <w:rFonts w:ascii="Cambria Math" w:hAnsi="Cambria Math" w:cs="Times New Roman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Cs w:val="24"/>
                  </w:rPr>
                  <m:t>a</m:t>
                </m:r>
              </m:e>
            </m:d>
          </m:sub>
        </m:sSub>
      </m:oMath>
      <w:r>
        <w:rPr>
          <w:rFonts w:cs="Times New Roman"/>
          <w:szCs w:val="24"/>
        </w:rPr>
        <w:t>。对于元素和离子，V、Zn以及Na</w:t>
      </w:r>
      <w:r>
        <w:rPr>
          <w:rFonts w:cs="Times New Roman"/>
          <w:szCs w:val="24"/>
          <w:vertAlign w:val="superscript"/>
        </w:rPr>
        <w:t>+</w:t>
      </w:r>
      <w:r>
        <w:rPr>
          <w:rFonts w:cs="Times New Roman"/>
          <w:szCs w:val="24"/>
        </w:rPr>
        <w:t>的</w:t>
      </w:r>
      <m:oMath>
        <m:sSub>
          <m:sSubPr>
            <m:ctrlPr>
              <w:rPr>
                <w:rFonts w:ascii="Cambria Math" w:hAnsi="Cambria Math" w:cs="Times New Roman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Cs w:val="24"/>
              </w:rPr>
              <m:t>u</m:t>
            </m:r>
          </m:e>
          <m:sub>
            <m:r>
              <w:rPr>
                <w:rFonts w:ascii="Cambria Math" w:hAnsi="Cambria Math" w:cs="Times New Roman"/>
                <w:szCs w:val="24"/>
              </w:rPr>
              <m:t>rel</m:t>
            </m:r>
            <m:d>
              <m:dPr>
                <m:ctrlPr>
                  <w:rPr>
                    <w:rFonts w:ascii="Cambria Math" w:hAnsi="Cambria Math" w:cs="Times New Roman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Cs w:val="24"/>
                  </w:rPr>
                  <m:t>a</m:t>
                </m:r>
              </m:e>
            </m:d>
          </m:sub>
        </m:sSub>
      </m:oMath>
      <w:r>
        <w:rPr>
          <w:rFonts w:cs="Times New Roman"/>
          <w:szCs w:val="24"/>
        </w:rPr>
        <w:t>值最大，均大于50%；地壳元素Ca、Al、Si、K以及Mn元素</w:t>
      </w:r>
      <m:oMath>
        <m:sSub>
          <m:sSubPr>
            <m:ctrlPr>
              <w:rPr>
                <w:rFonts w:ascii="Cambria Math" w:hAnsi="Cambria Math" w:cs="Times New Roman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Cs w:val="24"/>
              </w:rPr>
              <m:t>u</m:t>
            </m:r>
          </m:e>
          <m:sub>
            <m:r>
              <w:rPr>
                <w:rFonts w:ascii="Cambria Math" w:hAnsi="Cambria Math" w:cs="Times New Roman"/>
                <w:szCs w:val="24"/>
              </w:rPr>
              <m:t>rel</m:t>
            </m:r>
            <m:d>
              <m:dPr>
                <m:ctrlPr>
                  <w:rPr>
                    <w:rFonts w:ascii="Cambria Math" w:hAnsi="Cambria Math" w:cs="Times New Roman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Cs w:val="24"/>
                  </w:rPr>
                  <m:t>a</m:t>
                </m:r>
              </m:e>
            </m:d>
          </m:sub>
        </m:sSub>
      </m:oMath>
      <w:r>
        <w:rPr>
          <w:rFonts w:cs="Times New Roman"/>
          <w:szCs w:val="24"/>
        </w:rPr>
        <w:t>值最小(3.7%~6.1%)；其余组分集中在10%~30%之间。除了Al、Ca、Si不确定度主要来源于样品提取过程，其余组分不确定度均主要来源于曲线拟合，说明曲线拟合对分析结果的影响最大。对于碳组分，EC的</w:t>
      </w:r>
      <m:oMath>
        <m:sSub>
          <m:sSubPr>
            <m:ctrlPr>
              <w:rPr>
                <w:rFonts w:ascii="Cambria Math" w:hAnsi="Cambria Math" w:cs="Times New Roman"/>
                <w:i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Cs w:val="24"/>
              </w:rPr>
              <m:t>u</m:t>
            </m:r>
          </m:e>
          <m:sub>
            <m:r>
              <w:rPr>
                <w:rFonts w:ascii="Cambria Math" w:hAnsi="Cambria Math" w:cs="Times New Roman"/>
                <w:szCs w:val="24"/>
              </w:rPr>
              <m:t>rel</m:t>
            </m:r>
            <m:d>
              <m:dPr>
                <m:ctrlPr>
                  <w:rPr>
                    <w:rFonts w:ascii="Cambria Math" w:hAnsi="Cambria Math" w:cs="Times New Roman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Cs w:val="24"/>
                  </w:rPr>
                  <m:t>a</m:t>
                </m:r>
              </m:e>
            </m:d>
          </m:sub>
        </m:sSub>
      </m:oMath>
      <w:r>
        <w:rPr>
          <w:rFonts w:cs="Times New Roman"/>
          <w:szCs w:val="24"/>
        </w:rPr>
        <w:t>值为13.9%，略大于OC（9.9%），造成不确定性的主要来源分别为重复测定和三</w:t>
      </w:r>
      <w:r>
        <w:rPr>
          <w:rFonts w:cs="Times New Roman"/>
          <w:szCs w:val="24"/>
        </w:rPr>
        <w:lastRenderedPageBreak/>
        <w:t>峰检测过程。相比于元素分析，碳组分没有繁琐的前处理过程导致其不确定度普遍较小。</w:t>
      </w:r>
    </w:p>
    <w:p w14:paraId="0EA3F355" w14:textId="450EE26B" w:rsidR="00261FE2" w:rsidRPr="002C60D3" w:rsidRDefault="00261FE2" w:rsidP="00261FE2">
      <w:pPr>
        <w:ind w:firstLine="562"/>
        <w:rPr>
          <w:rFonts w:hint="eastAsia"/>
          <w:b/>
          <w:bCs/>
        </w:rPr>
      </w:pPr>
      <w:r w:rsidRPr="002C60D3">
        <w:rPr>
          <w:rFonts w:hint="eastAsia"/>
          <w:b/>
          <w:bCs/>
        </w:rPr>
        <w:t>（</w:t>
      </w:r>
      <w:r>
        <w:rPr>
          <w:rFonts w:hint="eastAsia"/>
          <w:b/>
          <w:bCs/>
        </w:rPr>
        <w:t>4</w:t>
      </w:r>
      <w:r w:rsidRPr="002C60D3">
        <w:rPr>
          <w:rFonts w:hint="eastAsia"/>
          <w:b/>
          <w:bCs/>
        </w:rPr>
        <w:t>）</w:t>
      </w:r>
      <w:proofErr w:type="gramStart"/>
      <w:r w:rsidRPr="002C60D3">
        <w:rPr>
          <w:rFonts w:hint="eastAsia"/>
          <w:b/>
          <w:bCs/>
        </w:rPr>
        <w:t>源谱</w:t>
      </w:r>
      <w:r>
        <w:rPr>
          <w:rFonts w:hint="eastAsia"/>
          <w:b/>
          <w:bCs/>
        </w:rPr>
        <w:t>组分</w:t>
      </w:r>
      <w:proofErr w:type="gramEnd"/>
      <w:r>
        <w:rPr>
          <w:rFonts w:hint="eastAsia"/>
          <w:b/>
          <w:bCs/>
        </w:rPr>
        <w:t>综合</w:t>
      </w:r>
      <w:r w:rsidRPr="002C60D3">
        <w:rPr>
          <w:rFonts w:hint="eastAsia"/>
          <w:b/>
          <w:bCs/>
        </w:rPr>
        <w:t>不确定</w:t>
      </w:r>
      <w:r>
        <w:rPr>
          <w:rFonts w:hint="eastAsia"/>
          <w:b/>
          <w:bCs/>
        </w:rPr>
        <w:t>度</w:t>
      </w:r>
      <w:r w:rsidRPr="002C60D3">
        <w:rPr>
          <w:rFonts w:hint="eastAsia"/>
          <w:b/>
          <w:bCs/>
        </w:rPr>
        <w:t>分析</w:t>
      </w:r>
    </w:p>
    <w:p w14:paraId="1D4E47EB" w14:textId="554C9478" w:rsidR="004B09B7" w:rsidRDefault="004B09B7" w:rsidP="004B09B7">
      <w:pPr>
        <w:rPr>
          <w:rFonts w:cs="Times New Roman" w:hint="eastAsia"/>
          <w:szCs w:val="24"/>
        </w:rPr>
      </w:pPr>
      <w:proofErr w:type="gramStart"/>
      <w:r>
        <w:rPr>
          <w:rFonts w:cs="Times New Roman" w:hint="eastAsia"/>
          <w:szCs w:val="24"/>
        </w:rPr>
        <w:t>得到源谱采样</w:t>
      </w:r>
      <w:proofErr w:type="gramEnd"/>
      <w:r>
        <w:rPr>
          <w:rFonts w:cs="Times New Roman" w:hint="eastAsia"/>
          <w:szCs w:val="24"/>
        </w:rPr>
        <w:t>、称量、分析</w:t>
      </w:r>
      <w:proofErr w:type="gramStart"/>
      <w:r>
        <w:rPr>
          <w:rFonts w:cs="Times New Roman" w:hint="eastAsia"/>
          <w:szCs w:val="24"/>
        </w:rPr>
        <w:t>三过程</w:t>
      </w:r>
      <w:proofErr w:type="gramEnd"/>
      <w:r>
        <w:rPr>
          <w:rFonts w:cs="Times New Roman" w:hint="eastAsia"/>
          <w:szCs w:val="24"/>
        </w:rPr>
        <w:t>引入的不确定度后，将其融合为源谱组分综合不确定度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Cs w:val="24"/>
              </w:rPr>
              <m:t>u</m:t>
            </m:r>
          </m:e>
          <m:sub>
            <m:r>
              <w:rPr>
                <w:rFonts w:ascii="Cambria Math" w:hAnsi="Cambria Math" w:cs="Times New Roman"/>
                <w:color w:val="000000"/>
                <w:szCs w:val="24"/>
              </w:rPr>
              <m:t>rel</m:t>
            </m:r>
          </m:sub>
        </m:sSub>
      </m:oMath>
      <w:r>
        <w:rPr>
          <w:rFonts w:cs="Times New Roman" w:hint="eastAsia"/>
          <w:szCs w:val="24"/>
        </w:rPr>
        <w:t>（图4），图5（a）表示各分量在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Cs w:val="24"/>
              </w:rPr>
              <m:t>u</m:t>
            </m:r>
          </m:e>
          <m:sub>
            <m:r>
              <w:rPr>
                <w:rFonts w:ascii="Cambria Math" w:hAnsi="Cambria Math" w:cs="Times New Roman"/>
                <w:color w:val="000000"/>
                <w:szCs w:val="24"/>
              </w:rPr>
              <m:t>rel</m:t>
            </m:r>
          </m:sub>
        </m:sSub>
      </m:oMath>
      <w:r>
        <w:rPr>
          <w:rFonts w:cs="Times New Roman" w:hint="eastAsia"/>
          <w:color w:val="000000"/>
          <w:szCs w:val="24"/>
        </w:rPr>
        <w:t>中的占比情况</w:t>
      </w:r>
      <w:r>
        <w:rPr>
          <w:rFonts w:cs="Times New Roman" w:hint="eastAsia"/>
          <w:szCs w:val="24"/>
        </w:rPr>
        <w:t>。</w:t>
      </w:r>
    </w:p>
    <w:p w14:paraId="5F29D53D" w14:textId="77777777" w:rsidR="004B09B7" w:rsidRDefault="004B09B7" w:rsidP="004B09B7">
      <w:pPr>
        <w:ind w:firstLineChars="0" w:firstLine="0"/>
        <w:jc w:val="center"/>
        <w:rPr>
          <w:rFonts w:cs="Times New Roman" w:hint="eastAsia"/>
          <w:szCs w:val="24"/>
        </w:rPr>
      </w:pPr>
      <w:r w:rsidRPr="00D948B0">
        <w:rPr>
          <w:rFonts w:cs="Times New Roman"/>
          <w:noProof/>
          <w:sz w:val="20"/>
          <w:szCs w:val="20"/>
        </w:rPr>
        <w:drawing>
          <wp:inline distT="0" distB="0" distL="0" distR="0" wp14:anchorId="2193F309" wp14:editId="43DF60C8">
            <wp:extent cx="3031701" cy="2604708"/>
            <wp:effectExtent l="0" t="0" r="0" b="5715"/>
            <wp:docPr id="26704758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047589" name=""/>
                    <pic:cNvPicPr/>
                  </pic:nvPicPr>
                  <pic:blipFill rotWithShape="1">
                    <a:blip r:embed="rId10"/>
                    <a:srcRect t="7395"/>
                    <a:stretch/>
                  </pic:blipFill>
                  <pic:spPr bwMode="auto">
                    <a:xfrm>
                      <a:off x="0" y="0"/>
                      <a:ext cx="3042434" cy="26139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E68151" w14:textId="5937FE6A" w:rsidR="004B09B7" w:rsidRDefault="004B09B7" w:rsidP="004B09B7">
      <w:pPr>
        <w:pStyle w:val="a9"/>
        <w:ind w:firstLine="360"/>
        <w:rPr>
          <w:rFonts w:cs="Times New Roman"/>
          <w:szCs w:val="21"/>
        </w:rPr>
      </w:pPr>
      <w:bookmarkStart w:id="3" w:name="_Toc182406168"/>
      <w:r>
        <w:rPr>
          <w:rFonts w:hint="eastAsia"/>
        </w:rPr>
        <w:t>图</w:t>
      </w:r>
      <w:r>
        <w:rPr>
          <w:rFonts w:hint="eastAsia"/>
        </w:rPr>
        <w:t xml:space="preserve">4 </w:t>
      </w:r>
      <w:proofErr w:type="gramStart"/>
      <w:r>
        <w:rPr>
          <w:rFonts w:cs="Times New Roman" w:hint="eastAsia"/>
          <w:szCs w:val="21"/>
        </w:rPr>
        <w:t>源谱组分</w:t>
      </w:r>
      <w:proofErr w:type="gramEnd"/>
      <w:r>
        <w:rPr>
          <w:rFonts w:cs="Times New Roman" w:hint="eastAsia"/>
          <w:szCs w:val="21"/>
        </w:rPr>
        <w:t>综合相对不确定度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Cs w:val="21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Cs w:val="21"/>
              </w:rPr>
              <m:t>u</m:t>
            </m:r>
          </m:e>
          <m:sub>
            <m:r>
              <w:rPr>
                <w:rFonts w:ascii="Cambria Math" w:hAnsi="Cambria Math" w:cs="Times New Roman"/>
                <w:color w:val="000000"/>
                <w:szCs w:val="21"/>
              </w:rPr>
              <m:t>rel</m:t>
            </m:r>
          </m:sub>
        </m:sSub>
      </m:oMath>
      <w:bookmarkEnd w:id="3"/>
    </w:p>
    <w:p w14:paraId="3FFBD971" w14:textId="007E77F7" w:rsidR="004B09B7" w:rsidRDefault="004B09B7" w:rsidP="004B09B7">
      <w:pPr>
        <w:rPr>
          <w:rFonts w:cs="Times New Roman" w:hint="eastAsia"/>
          <w:color w:val="000000"/>
          <w:szCs w:val="24"/>
        </w:rPr>
      </w:pPr>
      <w:r>
        <w:rPr>
          <w:rFonts w:cs="Times New Roman" w:hint="eastAsia"/>
          <w:szCs w:val="24"/>
        </w:rPr>
        <w:t>结果显示，</w:t>
      </w:r>
      <w:bookmarkStart w:id="4" w:name="_Hlk167292467"/>
      <w:r>
        <w:rPr>
          <w:rFonts w:cs="Times New Roman" w:hint="eastAsia"/>
          <w:szCs w:val="24"/>
        </w:rPr>
        <w:t>V、Zn、Na</w:t>
      </w:r>
      <w:r>
        <w:rPr>
          <w:rFonts w:cs="Times New Roman"/>
          <w:szCs w:val="24"/>
          <w:vertAlign w:val="superscript"/>
        </w:rPr>
        <w:t>+</w:t>
      </w:r>
      <w:r>
        <w:rPr>
          <w:rFonts w:cs="Times New Roman" w:hint="eastAsia"/>
          <w:szCs w:val="24"/>
        </w:rPr>
        <w:t>在所有组分中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Cs w:val="24"/>
              </w:rPr>
              <m:t>u</m:t>
            </m:r>
          </m:e>
          <m:sub>
            <m:r>
              <w:rPr>
                <w:rFonts w:ascii="Cambria Math" w:hAnsi="Cambria Math" w:cs="Times New Roman"/>
                <w:color w:val="000000"/>
                <w:szCs w:val="24"/>
              </w:rPr>
              <m:t>rel</m:t>
            </m:r>
          </m:sub>
        </m:sSub>
      </m:oMath>
      <w:r>
        <w:rPr>
          <w:rFonts w:cs="Times New Roman" w:hint="eastAsia"/>
          <w:color w:val="000000"/>
          <w:szCs w:val="24"/>
        </w:rPr>
        <w:t>值</w:t>
      </w:r>
      <w:r>
        <w:rPr>
          <w:rFonts w:cs="Times New Roman" w:hint="eastAsia"/>
          <w:szCs w:val="24"/>
        </w:rPr>
        <w:t>最大</w:t>
      </w:r>
      <w:bookmarkEnd w:id="4"/>
      <w:r>
        <w:rPr>
          <w:rFonts w:cs="Times New Roman" w:hint="eastAsia"/>
          <w:szCs w:val="24"/>
        </w:rPr>
        <w:t>，均大于50%，不确定性主要来源于分析过程。对于其他元素来说，Al、Si、Na、Ca等地壳元素平均不确定度较小，分布较集中且主要来源于采样过程，说明地壳元素在</w:t>
      </w:r>
      <w:proofErr w:type="gramStart"/>
      <w:r>
        <w:rPr>
          <w:rFonts w:cs="Times New Roman" w:hint="eastAsia"/>
          <w:szCs w:val="24"/>
        </w:rPr>
        <w:t>源谱获得</w:t>
      </w:r>
      <w:proofErr w:type="gramEnd"/>
      <w:r>
        <w:rPr>
          <w:rFonts w:cs="Times New Roman" w:hint="eastAsia"/>
          <w:szCs w:val="24"/>
        </w:rPr>
        <w:t>过程中更稳定，</w:t>
      </w:r>
      <w:proofErr w:type="gramStart"/>
      <w:r>
        <w:rPr>
          <w:rFonts w:cs="Times New Roman" w:hint="eastAsia"/>
          <w:szCs w:val="24"/>
        </w:rPr>
        <w:t>不同源谱间差异</w:t>
      </w:r>
      <w:proofErr w:type="gramEnd"/>
      <w:r>
        <w:rPr>
          <w:rFonts w:cs="Times New Roman" w:hint="eastAsia"/>
          <w:szCs w:val="24"/>
        </w:rPr>
        <w:t>更小。</w:t>
      </w:r>
      <w:bookmarkStart w:id="5" w:name="_Hlk167292629"/>
      <w:r>
        <w:rPr>
          <w:rFonts w:cs="Times New Roman" w:hint="eastAsia"/>
          <w:szCs w:val="24"/>
        </w:rPr>
        <w:t>NH</w:t>
      </w:r>
      <w:r>
        <w:rPr>
          <w:rFonts w:cs="Times New Roman"/>
          <w:szCs w:val="24"/>
          <w:vertAlign w:val="subscript"/>
        </w:rPr>
        <w:t>4</w:t>
      </w:r>
      <w:r>
        <w:rPr>
          <w:rFonts w:cs="Times New Roman"/>
          <w:szCs w:val="24"/>
          <w:vertAlign w:val="superscript"/>
        </w:rPr>
        <w:t>+</w:t>
      </w:r>
      <w:r>
        <w:rPr>
          <w:rFonts w:cs="Times New Roman" w:hint="eastAsia"/>
          <w:szCs w:val="24"/>
        </w:rPr>
        <w:t>等离子以及碳组分平均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Cs w:val="24"/>
              </w:rPr>
              <m:t>u</m:t>
            </m:r>
          </m:e>
          <m:sub>
            <m:r>
              <w:rPr>
                <w:rFonts w:ascii="Cambria Math" w:hAnsi="Cambria Math" w:cs="Times New Roman"/>
                <w:color w:val="000000"/>
                <w:szCs w:val="24"/>
              </w:rPr>
              <m:t>rel</m:t>
            </m:r>
          </m:sub>
        </m:sSub>
      </m:oMath>
      <w:r>
        <w:rPr>
          <w:rFonts w:hAnsi="Cambria Math" w:cs="Times New Roman" w:hint="eastAsia"/>
          <w:color w:val="000000"/>
          <w:szCs w:val="24"/>
        </w:rPr>
        <w:t>较小（</w:t>
      </w:r>
      <w:r>
        <w:rPr>
          <w:rFonts w:cs="Times New Roman" w:hint="eastAsia"/>
          <w:color w:val="000000"/>
          <w:szCs w:val="24"/>
        </w:rPr>
        <w:t>小于40%</w:t>
      </w:r>
      <w:r>
        <w:rPr>
          <w:rFonts w:hAnsi="Cambria Math" w:cs="Times New Roman" w:hint="eastAsia"/>
          <w:color w:val="000000"/>
          <w:szCs w:val="24"/>
        </w:rPr>
        <w:t>）</w:t>
      </w:r>
      <w:r>
        <w:rPr>
          <w:rFonts w:cs="Times New Roman" w:hint="eastAsia"/>
          <w:color w:val="000000"/>
          <w:szCs w:val="24"/>
        </w:rPr>
        <w:t>，但数据分布集中性较差，并存在较多离群点，需要着重注意采样环节的可能误差。图5（b）综合了不同评估环节对元素、离子和</w:t>
      </w:r>
      <w:proofErr w:type="gramStart"/>
      <w:r>
        <w:rPr>
          <w:rFonts w:cs="Times New Roman" w:hint="eastAsia"/>
          <w:color w:val="000000"/>
          <w:szCs w:val="24"/>
        </w:rPr>
        <w:t>碳组分</w:t>
      </w:r>
      <w:proofErr w:type="gramEnd"/>
      <w:r>
        <w:rPr>
          <w:rFonts w:cs="Times New Roman" w:hint="eastAsia"/>
          <w:color w:val="000000"/>
          <w:szCs w:val="24"/>
        </w:rPr>
        <w:t>综合不确定度的平均贡献率。结果显示，不管对于元素、离子还是碳组分，采样环节均是贡献</w:t>
      </w:r>
      <w:r>
        <w:rPr>
          <w:rFonts w:cs="Times New Roman" w:hint="eastAsia"/>
          <w:color w:val="000000"/>
          <w:szCs w:val="24"/>
        </w:rPr>
        <w:lastRenderedPageBreak/>
        <w:t>率最大的不确定度分量。因此要想整体</w:t>
      </w:r>
      <w:proofErr w:type="gramStart"/>
      <w:r>
        <w:rPr>
          <w:rFonts w:cs="Times New Roman" w:hint="eastAsia"/>
          <w:color w:val="000000"/>
          <w:szCs w:val="24"/>
        </w:rPr>
        <w:t>提高源谱质量</w:t>
      </w:r>
      <w:proofErr w:type="gramEnd"/>
      <w:r>
        <w:rPr>
          <w:rFonts w:cs="Times New Roman" w:hint="eastAsia"/>
          <w:color w:val="000000"/>
          <w:szCs w:val="24"/>
        </w:rPr>
        <w:t>，需要严格控制采样条件，尽可能减小仪器参数校准和重复采样误差。</w:t>
      </w:r>
    </w:p>
    <w:bookmarkEnd w:id="5"/>
    <w:p w14:paraId="3BD195CC" w14:textId="77777777" w:rsidR="004B09B7" w:rsidRDefault="004B09B7" w:rsidP="004B09B7">
      <w:pPr>
        <w:ind w:firstLineChars="0" w:firstLine="0"/>
        <w:rPr>
          <w:rFonts w:hint="eastAsia"/>
        </w:rPr>
      </w:pPr>
      <w:r w:rsidRPr="00613CD1">
        <w:rPr>
          <w:rFonts w:cs="Times New Roman"/>
          <w:b/>
          <w:bCs/>
          <w:noProof/>
          <w:sz w:val="18"/>
          <w:szCs w:val="18"/>
        </w:rPr>
        <w:drawing>
          <wp:inline distT="0" distB="0" distL="0" distR="0" wp14:anchorId="6B90C18E" wp14:editId="2B5E49D1">
            <wp:extent cx="5166733" cy="2393315"/>
            <wp:effectExtent l="0" t="0" r="0" b="6985"/>
            <wp:docPr id="49669640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696402" name=""/>
                    <pic:cNvPicPr/>
                  </pic:nvPicPr>
                  <pic:blipFill rotWithShape="1">
                    <a:blip r:embed="rId11"/>
                    <a:srcRect l="2040"/>
                    <a:stretch/>
                  </pic:blipFill>
                  <pic:spPr bwMode="auto">
                    <a:xfrm>
                      <a:off x="0" y="0"/>
                      <a:ext cx="5166733" cy="23933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6C9377" w14:textId="5C31DD01" w:rsidR="004B09B7" w:rsidRDefault="004B09B7" w:rsidP="004B09B7">
      <w:pPr>
        <w:pStyle w:val="a9"/>
        <w:rPr>
          <w:rFonts w:cs="Times New Roman"/>
          <w:szCs w:val="21"/>
        </w:rPr>
      </w:pPr>
      <w:bookmarkStart w:id="6" w:name="_Toc182406169"/>
      <w:r>
        <w:rPr>
          <w:rFonts w:hint="eastAsia"/>
        </w:rPr>
        <w:t>图</w:t>
      </w:r>
      <w:r>
        <w:rPr>
          <w:rFonts w:hint="eastAsia"/>
        </w:rPr>
        <w:t xml:space="preserve">5 </w:t>
      </w:r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r>
        <w:rPr>
          <w:rFonts w:cs="Times New Roman" w:hint="eastAsia"/>
          <w:szCs w:val="21"/>
        </w:rPr>
        <w:t>不同评估环节对组分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Cs w:val="21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Cs w:val="21"/>
              </w:rPr>
              <m:t>u</m:t>
            </m:r>
          </m:e>
          <m:sub>
            <m:r>
              <w:rPr>
                <w:rFonts w:ascii="Cambria Math" w:hAnsi="Cambria Math" w:cs="Times New Roman"/>
                <w:color w:val="000000"/>
                <w:szCs w:val="21"/>
              </w:rPr>
              <m:t>rel</m:t>
            </m:r>
          </m:sub>
        </m:sSub>
      </m:oMath>
      <w:r>
        <w:rPr>
          <w:rFonts w:cs="Times New Roman" w:hint="eastAsia"/>
          <w:color w:val="000000"/>
          <w:szCs w:val="21"/>
        </w:rPr>
        <w:t>贡献率</w:t>
      </w:r>
      <w:r>
        <w:rPr>
          <w:rFonts w:cs="Times New Roman" w:hint="eastAsia"/>
          <w:noProof/>
        </w:rPr>
        <w:t>；（</w:t>
      </w:r>
      <w:r>
        <w:rPr>
          <w:rFonts w:cs="Times New Roman" w:hint="eastAsia"/>
          <w:noProof/>
        </w:rPr>
        <w:t>b</w:t>
      </w:r>
      <w:r>
        <w:rPr>
          <w:rFonts w:cs="Times New Roman" w:hint="eastAsia"/>
          <w:noProof/>
        </w:rPr>
        <w:t>）</w:t>
      </w:r>
      <w:r>
        <w:rPr>
          <w:rFonts w:cs="Times New Roman" w:hint="eastAsia"/>
          <w:szCs w:val="21"/>
        </w:rPr>
        <w:t>不同评估环节对元素、离子以及碳组分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Cs w:val="21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Cs w:val="21"/>
              </w:rPr>
              <m:t>u</m:t>
            </m:r>
          </m:e>
          <m:sub>
            <m:r>
              <w:rPr>
                <w:rFonts w:ascii="Cambria Math" w:hAnsi="Cambria Math" w:cs="Times New Roman"/>
                <w:color w:val="000000"/>
                <w:szCs w:val="21"/>
              </w:rPr>
              <m:t>rel</m:t>
            </m:r>
          </m:sub>
        </m:sSub>
      </m:oMath>
      <w:r>
        <w:rPr>
          <w:rFonts w:cs="Times New Roman" w:hint="eastAsia"/>
          <w:color w:val="000000"/>
          <w:szCs w:val="21"/>
        </w:rPr>
        <w:t>平均</w:t>
      </w:r>
      <w:r>
        <w:rPr>
          <w:rFonts w:cs="Times New Roman" w:hint="eastAsia"/>
          <w:szCs w:val="21"/>
        </w:rPr>
        <w:t>贡献率</w:t>
      </w:r>
      <w:bookmarkEnd w:id="6"/>
    </w:p>
    <w:p w14:paraId="4A622CB3" w14:textId="0CC83810" w:rsidR="004B09B7" w:rsidRDefault="004B09B7" w:rsidP="004B09B7">
      <w:pPr>
        <w:rPr>
          <w:rFonts w:cs="Times New Roman" w:hint="eastAsia"/>
          <w:color w:val="000000"/>
          <w:szCs w:val="24"/>
        </w:rPr>
      </w:pPr>
      <w:r>
        <w:rPr>
          <w:rFonts w:cs="Times New Roman" w:hint="eastAsia"/>
          <w:szCs w:val="24"/>
        </w:rPr>
        <w:t>对53条</w:t>
      </w:r>
      <w:proofErr w:type="gramStart"/>
      <w:r>
        <w:rPr>
          <w:rFonts w:cs="Times New Roman" w:hint="eastAsia"/>
          <w:szCs w:val="24"/>
        </w:rPr>
        <w:t>目标源谱组分</w:t>
      </w:r>
      <w:proofErr w:type="gramEnd"/>
      <w:r>
        <w:rPr>
          <w:rFonts w:cs="Times New Roman" w:hint="eastAsia"/>
          <w:szCs w:val="24"/>
        </w:rPr>
        <w:t>平均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Cs w:val="24"/>
              </w:rPr>
              <m:t>u</m:t>
            </m:r>
          </m:e>
          <m:sub>
            <m:r>
              <w:rPr>
                <w:rFonts w:ascii="Cambria Math" w:hAnsi="Cambria Math" w:cs="Times New Roman"/>
                <w:color w:val="000000"/>
                <w:szCs w:val="24"/>
              </w:rPr>
              <m:t>rel</m:t>
            </m:r>
          </m:sub>
        </m:sSub>
      </m:oMath>
      <w:r>
        <w:rPr>
          <w:rFonts w:cs="Times New Roman" w:hint="eastAsia"/>
          <w:color w:val="000000"/>
          <w:szCs w:val="24"/>
        </w:rPr>
        <w:t>值进行统计（图6）后发现，仅有</w:t>
      </w:r>
      <w:proofErr w:type="gramStart"/>
      <w:r>
        <w:rPr>
          <w:rFonts w:cs="Times New Roman" w:hint="eastAsia"/>
          <w:color w:val="000000"/>
          <w:szCs w:val="24"/>
        </w:rPr>
        <w:t>两条源谱平均</w:t>
      </w:r>
      <w:proofErr w:type="gramEnd"/>
      <w:r>
        <w:rPr>
          <w:rFonts w:cs="Times New Roman" w:hint="eastAsia"/>
          <w:color w:val="000000"/>
          <w:szCs w:val="24"/>
        </w:rPr>
        <w:t>综合不确定度在25%以下，绝大部分源谱（n=42）</w:t>
      </w:r>
      <m:oMath>
        <m:sSub>
          <m:sSubPr>
            <m:ctrlPr>
              <w:rPr>
                <w:rFonts w:ascii="Cambria Math" w:hAnsi="Cambria Math"/>
                <w:i/>
                <w:iCs/>
                <w:color w:val="000000" w:themeColor="text1"/>
                <w:kern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iCs/>
                    <w:color w:val="000000" w:themeColor="text1"/>
                    <w:kern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color w:val="000000" w:themeColor="text1"/>
                    <w:kern w:val="24"/>
                    <w:szCs w:val="24"/>
                  </w:rPr>
                  <m:t>u</m:t>
                </m:r>
              </m:e>
            </m:acc>
          </m:e>
          <m:sub>
            <m:r>
              <w:rPr>
                <w:rFonts w:ascii="Cambria Math" w:hAnsi="Cambria Math"/>
                <w:color w:val="000000" w:themeColor="text1"/>
                <w:kern w:val="24"/>
                <w:szCs w:val="24"/>
              </w:rPr>
              <m:t>rel</m:t>
            </m:r>
          </m:sub>
        </m:sSub>
      </m:oMath>
      <w:proofErr w:type="gramStart"/>
      <w:r>
        <w:rPr>
          <w:rFonts w:cs="Times New Roman" w:hint="eastAsia"/>
          <w:color w:val="000000"/>
          <w:szCs w:val="24"/>
        </w:rPr>
        <w:t>值集中</w:t>
      </w:r>
      <w:proofErr w:type="gramEnd"/>
      <w:r>
        <w:rPr>
          <w:rFonts w:cs="Times New Roman" w:hint="eastAsia"/>
          <w:color w:val="000000"/>
          <w:szCs w:val="24"/>
        </w:rPr>
        <w:t>在25~40%，</w:t>
      </w:r>
      <m:oMath>
        <m:sSub>
          <m:sSubPr>
            <m:ctrlPr>
              <w:rPr>
                <w:rFonts w:ascii="Cambria Math" w:hAnsi="Cambria Math"/>
                <w:i/>
                <w:iCs/>
                <w:color w:val="000000" w:themeColor="text1"/>
                <w:kern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iCs/>
                    <w:color w:val="000000" w:themeColor="text1"/>
                    <w:kern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color w:val="000000" w:themeColor="text1"/>
                    <w:kern w:val="24"/>
                    <w:szCs w:val="24"/>
                  </w:rPr>
                  <m:t>u</m:t>
                </m:r>
              </m:e>
            </m:acc>
          </m:e>
          <m:sub>
            <m:r>
              <w:rPr>
                <w:rFonts w:ascii="Cambria Math" w:hAnsi="Cambria Math"/>
                <w:color w:val="000000" w:themeColor="text1"/>
                <w:kern w:val="24"/>
                <w:szCs w:val="24"/>
              </w:rPr>
              <m:t>rel</m:t>
            </m:r>
          </m:sub>
        </m:sSub>
      </m:oMath>
      <w:r>
        <w:rPr>
          <w:rFonts w:cs="Times New Roman" w:hint="eastAsia"/>
          <w:color w:val="000000"/>
          <w:szCs w:val="24"/>
        </w:rPr>
        <w:t>值在30%~40%的</w:t>
      </w:r>
      <w:proofErr w:type="gramStart"/>
      <w:r>
        <w:rPr>
          <w:rFonts w:cs="Times New Roman" w:hint="eastAsia"/>
          <w:color w:val="000000"/>
          <w:szCs w:val="24"/>
        </w:rPr>
        <w:t>源谱数量</w:t>
      </w:r>
      <w:proofErr w:type="gramEnd"/>
      <w:r>
        <w:rPr>
          <w:rFonts w:cs="Times New Roman" w:hint="eastAsia"/>
          <w:color w:val="000000"/>
          <w:szCs w:val="24"/>
        </w:rPr>
        <w:t>最多，占</w:t>
      </w:r>
      <w:proofErr w:type="gramStart"/>
      <w:r>
        <w:rPr>
          <w:rFonts w:cs="Times New Roman" w:hint="eastAsia"/>
          <w:color w:val="000000"/>
          <w:szCs w:val="24"/>
        </w:rPr>
        <w:t>到源谱</w:t>
      </w:r>
      <w:proofErr w:type="gramEnd"/>
      <w:r>
        <w:rPr>
          <w:rFonts w:cs="Times New Roman" w:hint="eastAsia"/>
          <w:color w:val="000000"/>
          <w:szCs w:val="24"/>
        </w:rPr>
        <w:t>总数的45%。此外有</w:t>
      </w:r>
      <w:proofErr w:type="gramStart"/>
      <w:r>
        <w:rPr>
          <w:rFonts w:cs="Times New Roman" w:hint="eastAsia"/>
          <w:color w:val="000000"/>
          <w:szCs w:val="24"/>
        </w:rPr>
        <w:t>5条源谱</w:t>
      </w:r>
      <w:proofErr w:type="gramEnd"/>
      <m:oMath>
        <m:sSub>
          <m:sSubPr>
            <m:ctrlPr>
              <w:rPr>
                <w:rFonts w:ascii="Cambria Math" w:hAnsi="Cambria Math"/>
                <w:i/>
                <w:iCs/>
                <w:color w:val="000000" w:themeColor="text1"/>
                <w:kern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iCs/>
                    <w:color w:val="000000" w:themeColor="text1"/>
                    <w:kern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color w:val="000000" w:themeColor="text1"/>
                    <w:kern w:val="24"/>
                    <w:szCs w:val="24"/>
                  </w:rPr>
                  <m:t>u</m:t>
                </m:r>
              </m:e>
            </m:acc>
          </m:e>
          <m:sub>
            <m:r>
              <w:rPr>
                <w:rFonts w:ascii="Cambria Math" w:hAnsi="Cambria Math"/>
                <w:color w:val="000000" w:themeColor="text1"/>
                <w:kern w:val="24"/>
                <w:szCs w:val="24"/>
              </w:rPr>
              <m:t>rel</m:t>
            </m:r>
          </m:sub>
        </m:sSub>
      </m:oMath>
      <w:r>
        <w:rPr>
          <w:rFonts w:cs="Times New Roman" w:hint="eastAsia"/>
          <w:color w:val="000000"/>
          <w:szCs w:val="24"/>
        </w:rPr>
        <w:t>值大于50%，其不确定性较大，在使用</w:t>
      </w:r>
      <w:proofErr w:type="gramStart"/>
      <w:r>
        <w:rPr>
          <w:rFonts w:cs="Times New Roman" w:hint="eastAsia"/>
          <w:color w:val="000000"/>
          <w:szCs w:val="24"/>
        </w:rPr>
        <w:t>这些源谱前</w:t>
      </w:r>
      <w:proofErr w:type="gramEnd"/>
      <w:r>
        <w:rPr>
          <w:rFonts w:cs="Times New Roman" w:hint="eastAsia"/>
          <w:color w:val="000000"/>
          <w:szCs w:val="24"/>
        </w:rPr>
        <w:t>，应检查其是否具有代表性、时效性以及真实性，数据脱离实际情况</w:t>
      </w:r>
      <w:proofErr w:type="gramStart"/>
      <w:r>
        <w:rPr>
          <w:rFonts w:cs="Times New Roman" w:hint="eastAsia"/>
          <w:color w:val="000000"/>
          <w:szCs w:val="24"/>
        </w:rPr>
        <w:t>的源谱不应</w:t>
      </w:r>
      <w:proofErr w:type="gramEnd"/>
      <w:r>
        <w:rPr>
          <w:rFonts w:cs="Times New Roman" w:hint="eastAsia"/>
          <w:color w:val="000000"/>
          <w:szCs w:val="24"/>
        </w:rPr>
        <w:t>被进一步应用。</w:t>
      </w:r>
    </w:p>
    <w:p w14:paraId="33599B3B" w14:textId="77777777" w:rsidR="004B09B7" w:rsidRDefault="004B09B7" w:rsidP="004B09B7">
      <w:pPr>
        <w:ind w:firstLineChars="0" w:firstLine="0"/>
        <w:jc w:val="center"/>
        <w:rPr>
          <w:rFonts w:cs="Times New Roman" w:hint="eastAsia"/>
          <w:szCs w:val="24"/>
        </w:rPr>
      </w:pPr>
      <w:r w:rsidRPr="00613CD1">
        <w:rPr>
          <w:noProof/>
        </w:rPr>
        <w:drawing>
          <wp:inline distT="0" distB="0" distL="0" distR="0" wp14:anchorId="5B4299B0" wp14:editId="250EC8B6">
            <wp:extent cx="5274310" cy="2116455"/>
            <wp:effectExtent l="0" t="0" r="2540" b="0"/>
            <wp:docPr id="2463763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37636" name=""/>
                    <pic:cNvPicPr/>
                  </pic:nvPicPr>
                  <pic:blipFill rotWithShape="1">
                    <a:blip r:embed="rId12"/>
                    <a:srcRect t="7875"/>
                    <a:stretch/>
                  </pic:blipFill>
                  <pic:spPr bwMode="auto">
                    <a:xfrm>
                      <a:off x="0" y="0"/>
                      <a:ext cx="5274310" cy="21164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A4F5DC" w14:textId="5FA6F02F" w:rsidR="004B09B7" w:rsidRDefault="004B09B7" w:rsidP="004B09B7">
      <w:pPr>
        <w:pStyle w:val="a9"/>
        <w:rPr>
          <w:rFonts w:cs="Times New Roman"/>
          <w:color w:val="000000"/>
          <w:szCs w:val="21"/>
        </w:rPr>
      </w:pPr>
      <w:bookmarkStart w:id="7" w:name="_Ref181368634"/>
      <w:bookmarkStart w:id="8" w:name="_Toc182406170"/>
      <w:r>
        <w:rPr>
          <w:rFonts w:hint="eastAsia"/>
        </w:rPr>
        <w:t>图</w:t>
      </w:r>
      <w:bookmarkEnd w:id="7"/>
      <w:r>
        <w:rPr>
          <w:rFonts w:hint="eastAsia"/>
        </w:rPr>
        <w:t xml:space="preserve">6 </w:t>
      </w:r>
      <w:r>
        <w:rPr>
          <w:rFonts w:cs="Times New Roman" w:hint="eastAsia"/>
          <w:szCs w:val="21"/>
        </w:rPr>
        <w:t>组分</w:t>
      </w:r>
      <m:oMath>
        <m:sSub>
          <m:sSubPr>
            <m:ctrlPr>
              <w:rPr>
                <w:rFonts w:ascii="Cambria Math" w:hAnsi="Cambria Math"/>
                <w:i/>
                <w:iCs/>
                <w:color w:val="000000" w:themeColor="text1"/>
                <w:kern w:val="24"/>
                <w:szCs w:val="21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iCs/>
                    <w:color w:val="000000" w:themeColor="text1"/>
                    <w:kern w:val="24"/>
                    <w:szCs w:val="21"/>
                  </w:rPr>
                </m:ctrlPr>
              </m:accPr>
              <m:e>
                <m:r>
                  <w:rPr>
                    <w:rFonts w:ascii="Cambria Math" w:hAnsi="Cambria Math"/>
                    <w:color w:val="000000" w:themeColor="text1"/>
                    <w:kern w:val="24"/>
                    <w:szCs w:val="21"/>
                  </w:rPr>
                  <m:t>u</m:t>
                </m:r>
              </m:e>
            </m:acc>
          </m:e>
          <m:sub>
            <m:r>
              <w:rPr>
                <w:rFonts w:ascii="Cambria Math" w:hAnsi="Cambria Math"/>
                <w:color w:val="000000" w:themeColor="text1"/>
                <w:kern w:val="24"/>
                <w:szCs w:val="21"/>
              </w:rPr>
              <m:t>rel</m:t>
            </m:r>
          </m:sub>
        </m:sSub>
      </m:oMath>
      <w:r>
        <w:rPr>
          <w:rFonts w:cs="Times New Roman" w:hint="eastAsia"/>
          <w:color w:val="000000"/>
          <w:szCs w:val="21"/>
        </w:rPr>
        <w:t>值在各个区间内</w:t>
      </w:r>
      <w:proofErr w:type="gramStart"/>
      <w:r>
        <w:rPr>
          <w:rFonts w:cs="Times New Roman" w:hint="eastAsia"/>
          <w:color w:val="000000"/>
          <w:szCs w:val="21"/>
        </w:rPr>
        <w:t>的源谱条数</w:t>
      </w:r>
      <w:bookmarkEnd w:id="8"/>
      <w:proofErr w:type="gramEnd"/>
    </w:p>
    <w:p w14:paraId="475E6761" w14:textId="291922F6" w:rsidR="00DE0FCB" w:rsidRDefault="004955EC" w:rsidP="00DE0FCB">
      <w:pPr>
        <w:pStyle w:val="2"/>
      </w:pPr>
      <w:r>
        <w:rPr>
          <w:rFonts w:hint="eastAsia"/>
        </w:rPr>
        <w:lastRenderedPageBreak/>
        <w:t>八</w:t>
      </w:r>
      <w:r w:rsidR="00DE0FCB">
        <w:rPr>
          <w:rFonts w:hint="eastAsia"/>
        </w:rPr>
        <w:t>、工作过程</w:t>
      </w:r>
    </w:p>
    <w:p w14:paraId="3495936E" w14:textId="0D69AA59" w:rsidR="00DE0FCB" w:rsidRDefault="00DE0FCB" w:rsidP="00DE0FCB">
      <w:pPr>
        <w:ind w:firstLine="562"/>
        <w:rPr>
          <w:b/>
          <w:bCs/>
        </w:rPr>
      </w:pPr>
      <w:r>
        <w:rPr>
          <w:rFonts w:hint="eastAsia"/>
          <w:b/>
          <w:bCs/>
        </w:rPr>
        <w:t>（1）</w:t>
      </w:r>
      <w:r w:rsidRPr="00DE0FCB">
        <w:rPr>
          <w:b/>
          <w:bCs/>
        </w:rPr>
        <w:t>成立编制组（202</w:t>
      </w:r>
      <w:r>
        <w:rPr>
          <w:rFonts w:hint="eastAsia"/>
          <w:b/>
          <w:bCs/>
        </w:rPr>
        <w:t>4</w:t>
      </w:r>
      <w:r w:rsidRPr="00DE0FCB">
        <w:rPr>
          <w:b/>
          <w:bCs/>
        </w:rPr>
        <w:t>年</w:t>
      </w:r>
      <w:r>
        <w:rPr>
          <w:rFonts w:hint="eastAsia"/>
          <w:b/>
          <w:bCs/>
        </w:rPr>
        <w:t>12</w:t>
      </w:r>
      <w:r w:rsidRPr="00DE0FCB">
        <w:rPr>
          <w:b/>
          <w:bCs/>
        </w:rPr>
        <w:t>月）</w:t>
      </w:r>
    </w:p>
    <w:p w14:paraId="76AD1DCF" w14:textId="695990D2" w:rsidR="00DE0FCB" w:rsidRDefault="00DE0FCB" w:rsidP="00DE0FCB">
      <w:r w:rsidRPr="00DE0FCB">
        <w:t>由中国环境科学学会牵头，联合南开大学、</w:t>
      </w:r>
      <w:r>
        <w:rPr>
          <w:rFonts w:hint="eastAsia"/>
        </w:rPr>
        <w:t>清华大学</w:t>
      </w:r>
      <w:r w:rsidRPr="00DE0FCB">
        <w:t>、</w:t>
      </w:r>
      <w:r>
        <w:rPr>
          <w:rFonts w:hint="eastAsia"/>
        </w:rPr>
        <w:t>北京师范大学</w:t>
      </w:r>
      <w:r w:rsidRPr="00DE0FCB">
        <w:t>的</w:t>
      </w:r>
      <w:r>
        <w:rPr>
          <w:rFonts w:hint="eastAsia"/>
        </w:rPr>
        <w:t>7</w:t>
      </w:r>
      <w:r w:rsidRPr="00DE0FCB">
        <w:t>名专家组成编制组，涵盖大气化学、源解析技术及计量学领域。</w:t>
      </w:r>
    </w:p>
    <w:p w14:paraId="2DE82021" w14:textId="22611718" w:rsidR="007B0DF8" w:rsidRDefault="007B0DF8" w:rsidP="007B0DF8">
      <w:pPr>
        <w:ind w:firstLine="562"/>
        <w:rPr>
          <w:b/>
          <w:bCs/>
        </w:rPr>
      </w:pPr>
      <w:r>
        <w:rPr>
          <w:rFonts w:hint="eastAsia"/>
          <w:b/>
          <w:bCs/>
        </w:rPr>
        <w:t>（2）</w:t>
      </w:r>
      <w:r w:rsidRPr="00DE0FCB">
        <w:rPr>
          <w:b/>
          <w:bCs/>
        </w:rPr>
        <w:t>立项</w:t>
      </w:r>
      <w:r>
        <w:rPr>
          <w:rFonts w:hint="eastAsia"/>
          <w:b/>
          <w:bCs/>
        </w:rPr>
        <w:t>论证</w:t>
      </w:r>
      <w:r w:rsidRPr="00DE0FCB">
        <w:rPr>
          <w:b/>
          <w:bCs/>
        </w:rPr>
        <w:t>（202</w:t>
      </w:r>
      <w:r>
        <w:rPr>
          <w:rFonts w:hint="eastAsia"/>
          <w:b/>
          <w:bCs/>
        </w:rPr>
        <w:t>5</w:t>
      </w:r>
      <w:r w:rsidRPr="00DE0FCB">
        <w:rPr>
          <w:b/>
          <w:bCs/>
        </w:rPr>
        <w:t>年</w:t>
      </w:r>
      <w:r>
        <w:rPr>
          <w:rFonts w:hint="eastAsia"/>
          <w:b/>
          <w:bCs/>
        </w:rPr>
        <w:t>4</w:t>
      </w:r>
      <w:r w:rsidRPr="00DE0FCB">
        <w:rPr>
          <w:b/>
          <w:bCs/>
        </w:rPr>
        <w:t>月）</w:t>
      </w:r>
    </w:p>
    <w:p w14:paraId="606F7D87" w14:textId="66E3F1A5" w:rsidR="007B0DF8" w:rsidRPr="00DE0FCB" w:rsidRDefault="00EC3753" w:rsidP="00EC3753">
      <w:pPr>
        <w:rPr>
          <w:rFonts w:hint="eastAsia"/>
        </w:rPr>
      </w:pPr>
      <w:r>
        <w:rPr>
          <w:rFonts w:hint="eastAsia"/>
        </w:rPr>
        <w:t>根据《中国环境科学学会标准管理办法》《中国环境科学学会团体标准质量管理规范》的有关规定，2025年4月16日召开《</w:t>
      </w:r>
      <w:r w:rsidR="003B68A8">
        <w:rPr>
          <w:rFonts w:hint="eastAsia"/>
        </w:rPr>
        <w:t>细颗粒物源化学成分谱不确定度评价技术规范</w:t>
      </w:r>
      <w:r>
        <w:rPr>
          <w:rFonts w:hint="eastAsia"/>
        </w:rPr>
        <w:t>》标准立项论证会</w:t>
      </w:r>
      <w:r w:rsidR="006A4FA8">
        <w:rPr>
          <w:rFonts w:hint="eastAsia"/>
        </w:rPr>
        <w:t>。</w:t>
      </w:r>
    </w:p>
    <w:p w14:paraId="79978817" w14:textId="6A90C6EC" w:rsidR="00DE0FCB" w:rsidRDefault="00DE0FCB" w:rsidP="00DE0FCB">
      <w:pPr>
        <w:ind w:firstLine="562"/>
        <w:rPr>
          <w:b/>
          <w:bCs/>
        </w:rPr>
      </w:pPr>
      <w:r>
        <w:rPr>
          <w:rFonts w:hint="eastAsia"/>
          <w:b/>
          <w:bCs/>
        </w:rPr>
        <w:t>（</w:t>
      </w:r>
      <w:r w:rsidR="006A4FA8">
        <w:rPr>
          <w:rFonts w:hint="eastAsia"/>
          <w:b/>
          <w:bCs/>
        </w:rPr>
        <w:t>3</w:t>
      </w:r>
      <w:r>
        <w:rPr>
          <w:rFonts w:hint="eastAsia"/>
          <w:b/>
          <w:bCs/>
        </w:rPr>
        <w:t>）</w:t>
      </w:r>
      <w:r w:rsidRPr="00DE0FCB">
        <w:rPr>
          <w:b/>
          <w:bCs/>
        </w:rPr>
        <w:t>立项审查意见（202</w:t>
      </w:r>
      <w:r w:rsidR="007B0DF8">
        <w:rPr>
          <w:rFonts w:hint="eastAsia"/>
          <w:b/>
          <w:bCs/>
        </w:rPr>
        <w:t>5</w:t>
      </w:r>
      <w:r w:rsidRPr="00DE0FCB">
        <w:rPr>
          <w:b/>
          <w:bCs/>
        </w:rPr>
        <w:t>年</w:t>
      </w:r>
      <w:r w:rsidR="007B0DF8">
        <w:rPr>
          <w:rFonts w:hint="eastAsia"/>
          <w:b/>
          <w:bCs/>
        </w:rPr>
        <w:t>5</w:t>
      </w:r>
      <w:r w:rsidRPr="00DE0FCB">
        <w:rPr>
          <w:b/>
          <w:bCs/>
        </w:rPr>
        <w:t>月）</w:t>
      </w:r>
    </w:p>
    <w:p w14:paraId="180E8AEF" w14:textId="3A31AE95" w:rsidR="00DE0FCB" w:rsidRPr="00DE0FCB" w:rsidRDefault="00DE0FCB" w:rsidP="00DE0FCB">
      <w:r w:rsidRPr="00DE0FCB">
        <w:t>经学会标准化技术委员会审查，认为该标准：符合国家大气污染防治精细化管控需求；填补了国内</w:t>
      </w:r>
      <w:proofErr w:type="gramStart"/>
      <w:r w:rsidRPr="00DE0FCB">
        <w:t>外源谱全流程</w:t>
      </w:r>
      <w:proofErr w:type="gramEnd"/>
      <w:r w:rsidRPr="00DE0FCB">
        <w:t>不确定度评价标准的空白；技术路线科学可行，同意立项</w:t>
      </w:r>
      <w:r w:rsidR="007B0DF8">
        <w:rPr>
          <w:rFonts w:hint="eastAsia"/>
        </w:rPr>
        <w:t>。</w:t>
      </w:r>
    </w:p>
    <w:p w14:paraId="3D25AE19" w14:textId="6C6E95DF" w:rsidR="005F33F4" w:rsidRDefault="004955EC" w:rsidP="005F33F4">
      <w:pPr>
        <w:pStyle w:val="2"/>
        <w:rPr>
          <w:rFonts w:hint="eastAsia"/>
        </w:rPr>
      </w:pPr>
      <w:r>
        <w:rPr>
          <w:rFonts w:hint="eastAsia"/>
        </w:rPr>
        <w:t>九</w:t>
      </w:r>
      <w:r w:rsidR="005F33F4">
        <w:rPr>
          <w:rFonts w:hint="eastAsia"/>
        </w:rPr>
        <w:t>、标准实施的效益分析</w:t>
      </w:r>
    </w:p>
    <w:p w14:paraId="18509EA1" w14:textId="15A8A4C3" w:rsidR="005F33F4" w:rsidRPr="00491992" w:rsidRDefault="00491992" w:rsidP="00657EFF">
      <w:pPr>
        <w:ind w:firstLine="562"/>
        <w:rPr>
          <w:rFonts w:hint="eastAsia"/>
          <w:b/>
          <w:bCs/>
        </w:rPr>
      </w:pPr>
      <w:r w:rsidRPr="00491992">
        <w:rPr>
          <w:rFonts w:hint="eastAsia"/>
          <w:b/>
          <w:bCs/>
        </w:rPr>
        <w:t>（1）提升</w:t>
      </w:r>
      <w:proofErr w:type="gramStart"/>
      <w:r w:rsidRPr="00491992">
        <w:rPr>
          <w:rFonts w:hint="eastAsia"/>
          <w:b/>
          <w:bCs/>
        </w:rPr>
        <w:t>源谱数据</w:t>
      </w:r>
      <w:proofErr w:type="gramEnd"/>
      <w:r w:rsidRPr="00491992">
        <w:rPr>
          <w:rFonts w:hint="eastAsia"/>
          <w:b/>
          <w:bCs/>
        </w:rPr>
        <w:t>科学性和可比性</w:t>
      </w:r>
    </w:p>
    <w:p w14:paraId="1464CC3C" w14:textId="69B8E17B" w:rsidR="00491992" w:rsidRDefault="00491992" w:rsidP="00657EFF">
      <w:pPr>
        <w:rPr>
          <w:rFonts w:hint="eastAsia"/>
        </w:rPr>
      </w:pPr>
      <w:r w:rsidRPr="00491992">
        <w:rPr>
          <w:rFonts w:hint="eastAsia"/>
        </w:rPr>
        <w:t>统一</w:t>
      </w:r>
      <w:r>
        <w:rPr>
          <w:rFonts w:hint="eastAsia"/>
        </w:rPr>
        <w:t>了</w:t>
      </w:r>
      <w:r w:rsidRPr="00491992">
        <w:rPr>
          <w:rFonts w:hint="eastAsia"/>
        </w:rPr>
        <w:t>评价框架</w:t>
      </w:r>
      <w:r>
        <w:rPr>
          <w:rFonts w:hint="eastAsia"/>
        </w:rPr>
        <w:t>，</w:t>
      </w:r>
      <w:r w:rsidRPr="00491992">
        <w:rPr>
          <w:rFonts w:hint="eastAsia"/>
        </w:rPr>
        <w:t>首次建立标准化</w:t>
      </w:r>
      <w:proofErr w:type="gramStart"/>
      <w:r w:rsidRPr="00491992">
        <w:rPr>
          <w:rFonts w:hint="eastAsia"/>
        </w:rPr>
        <w:t>的</w:t>
      </w:r>
      <w:r>
        <w:rPr>
          <w:rFonts w:hint="eastAsia"/>
        </w:rPr>
        <w:t>源谱</w:t>
      </w:r>
      <w:r w:rsidRPr="00491992">
        <w:rPr>
          <w:rFonts w:hint="eastAsia"/>
        </w:rPr>
        <w:t>不确定度</w:t>
      </w:r>
      <w:proofErr w:type="gramEnd"/>
      <w:r w:rsidRPr="00491992">
        <w:rPr>
          <w:rFonts w:hint="eastAsia"/>
        </w:rPr>
        <w:t>评定流程，解决</w:t>
      </w:r>
      <w:proofErr w:type="gramStart"/>
      <w:r w:rsidRPr="00491992">
        <w:rPr>
          <w:rFonts w:hint="eastAsia"/>
        </w:rPr>
        <w:t>以往源谱数据因</w:t>
      </w:r>
      <w:proofErr w:type="gramEnd"/>
      <w:r w:rsidRPr="00491992">
        <w:rPr>
          <w:rFonts w:hint="eastAsia"/>
        </w:rPr>
        <w:t>方法差异导致的不可比问题。量化</w:t>
      </w:r>
      <w:r>
        <w:rPr>
          <w:rFonts w:hint="eastAsia"/>
        </w:rPr>
        <w:t>了</w:t>
      </w:r>
      <w:r w:rsidRPr="00491992">
        <w:rPr>
          <w:rFonts w:hint="eastAsia"/>
        </w:rPr>
        <w:t>数据可靠性</w:t>
      </w:r>
      <w:r>
        <w:rPr>
          <w:rFonts w:hint="eastAsia"/>
        </w:rPr>
        <w:t>，</w:t>
      </w:r>
      <w:r w:rsidRPr="00491992">
        <w:rPr>
          <w:rFonts w:hint="eastAsia"/>
        </w:rPr>
        <w:t>通过输出相对合成不确定度，</w:t>
      </w:r>
      <w:proofErr w:type="gramStart"/>
      <w:r w:rsidRPr="00491992">
        <w:rPr>
          <w:rFonts w:hint="eastAsia"/>
        </w:rPr>
        <w:t>明确源</w:t>
      </w:r>
      <w:proofErr w:type="gramEnd"/>
      <w:r w:rsidRPr="00491992">
        <w:rPr>
          <w:rFonts w:hint="eastAsia"/>
        </w:rPr>
        <w:t>谱中各化学组分（如金属离子、碳组分）的置信水平，为模型输入提供误差范围依据。</w:t>
      </w:r>
    </w:p>
    <w:p w14:paraId="7BBB3D18" w14:textId="51FDB7ED" w:rsidR="00491992" w:rsidRPr="00491992" w:rsidRDefault="00491992" w:rsidP="00657EFF">
      <w:pPr>
        <w:ind w:firstLine="562"/>
        <w:rPr>
          <w:rFonts w:hint="eastAsia"/>
          <w:b/>
          <w:bCs/>
        </w:rPr>
      </w:pPr>
      <w:r w:rsidRPr="00491992">
        <w:rPr>
          <w:rFonts w:hint="eastAsia"/>
          <w:b/>
          <w:bCs/>
        </w:rPr>
        <w:t>（2）支撑精准污染防治决策</w:t>
      </w:r>
    </w:p>
    <w:p w14:paraId="661C1B9D" w14:textId="730CDAF1" w:rsidR="00491992" w:rsidRDefault="00491992" w:rsidP="00657EFF">
      <w:pPr>
        <w:rPr>
          <w:rFonts w:hint="eastAsia"/>
        </w:rPr>
      </w:pPr>
      <w:r w:rsidRPr="00491992">
        <w:rPr>
          <w:rFonts w:hint="eastAsia"/>
        </w:rPr>
        <w:t>优化</w:t>
      </w:r>
      <w:r>
        <w:rPr>
          <w:rFonts w:hint="eastAsia"/>
        </w:rPr>
        <w:t>了</w:t>
      </w:r>
      <w:r w:rsidRPr="00491992">
        <w:rPr>
          <w:rFonts w:hint="eastAsia"/>
        </w:rPr>
        <w:t>源解析结果</w:t>
      </w:r>
      <w:r>
        <w:rPr>
          <w:rFonts w:hint="eastAsia"/>
        </w:rPr>
        <w:t>，</w:t>
      </w:r>
      <w:r w:rsidRPr="00491992">
        <w:rPr>
          <w:rFonts w:hint="eastAsia"/>
        </w:rPr>
        <w:t>降低采样、称量、分析环节的不确定度（如规范极差法用于重复性差的场景），提升源贡献率计算准确性，识别</w:t>
      </w:r>
      <w:r w:rsidRPr="00491992">
        <w:rPr>
          <w:rFonts w:hint="eastAsia"/>
        </w:rPr>
        <w:lastRenderedPageBreak/>
        <w:t>关键污染源更可靠。</w:t>
      </w:r>
      <w:r>
        <w:rPr>
          <w:rFonts w:hint="eastAsia"/>
        </w:rPr>
        <w:t>可以</w:t>
      </w:r>
      <w:r w:rsidRPr="00491992">
        <w:rPr>
          <w:rFonts w:hint="eastAsia"/>
        </w:rPr>
        <w:t>助力清单精细化</w:t>
      </w:r>
      <w:r>
        <w:rPr>
          <w:rFonts w:hint="eastAsia"/>
        </w:rPr>
        <w:t>，</w:t>
      </w:r>
      <w:proofErr w:type="gramStart"/>
      <w:r w:rsidRPr="00491992">
        <w:rPr>
          <w:rFonts w:hint="eastAsia"/>
        </w:rPr>
        <w:t>通过源谱有效性</w:t>
      </w:r>
      <w:proofErr w:type="gramEnd"/>
      <w:r>
        <w:rPr>
          <w:rFonts w:hint="eastAsia"/>
        </w:rPr>
        <w:t>评价等级</w:t>
      </w:r>
      <w:r w:rsidRPr="00491992">
        <w:rPr>
          <w:rFonts w:hint="eastAsia"/>
        </w:rPr>
        <w:t>（A-D级），筛选</w:t>
      </w:r>
      <w:proofErr w:type="gramStart"/>
      <w:r w:rsidRPr="00491992">
        <w:rPr>
          <w:rFonts w:hint="eastAsia"/>
        </w:rPr>
        <w:t>高质量源谱纳入</w:t>
      </w:r>
      <w:proofErr w:type="gramEnd"/>
      <w:r w:rsidRPr="00491992">
        <w:rPr>
          <w:rFonts w:hint="eastAsia"/>
        </w:rPr>
        <w:t>排放清单，减少政策制定中的误判风险。</w:t>
      </w:r>
    </w:p>
    <w:p w14:paraId="3A929C50" w14:textId="378F438E" w:rsidR="00491992" w:rsidRPr="00491992" w:rsidRDefault="00491992" w:rsidP="00657EFF">
      <w:pPr>
        <w:ind w:firstLine="562"/>
        <w:rPr>
          <w:rFonts w:hint="eastAsia"/>
          <w:b/>
          <w:bCs/>
        </w:rPr>
      </w:pPr>
      <w:r w:rsidRPr="00491992">
        <w:rPr>
          <w:rFonts w:hint="eastAsia"/>
          <w:b/>
          <w:bCs/>
        </w:rPr>
        <w:t>（3）推动监测技术进步</w:t>
      </w:r>
    </w:p>
    <w:p w14:paraId="68A67BE8" w14:textId="6887DC77" w:rsidR="00491992" w:rsidRDefault="00491992" w:rsidP="00491992">
      <w:pPr>
        <w:rPr>
          <w:rFonts w:hint="eastAsia"/>
        </w:rPr>
      </w:pPr>
      <w:r>
        <w:rPr>
          <w:rFonts w:hint="eastAsia"/>
        </w:rPr>
        <w:t>要求采样（流量校准）、称量（环境控制）、分析（加标回收率验证）等环节量化不确定度，促进实验室标准化建设。明确仪器参数（如切割器效率、天平线性）对不确定度的影响，推动高精度监测设备需求。</w:t>
      </w:r>
    </w:p>
    <w:p w14:paraId="07974F98" w14:textId="4BA713DF" w:rsidR="00491992" w:rsidRPr="00AD3E95" w:rsidRDefault="00491992" w:rsidP="00491992">
      <w:pPr>
        <w:ind w:firstLine="562"/>
        <w:rPr>
          <w:rFonts w:hint="eastAsia"/>
          <w:b/>
          <w:bCs/>
        </w:rPr>
      </w:pPr>
      <w:r w:rsidRPr="00AD3E95">
        <w:rPr>
          <w:rFonts w:hint="eastAsia"/>
          <w:b/>
          <w:bCs/>
        </w:rPr>
        <w:t>（4）降低环境管理成本</w:t>
      </w:r>
    </w:p>
    <w:p w14:paraId="45CD55EB" w14:textId="079A4D30" w:rsidR="00491992" w:rsidRPr="00491992" w:rsidRDefault="00491992" w:rsidP="00491992">
      <w:pPr>
        <w:rPr>
          <w:rFonts w:hint="eastAsia"/>
        </w:rPr>
      </w:pPr>
      <w:r>
        <w:rPr>
          <w:rFonts w:hint="eastAsia"/>
        </w:rPr>
        <w:t>规范化的</w:t>
      </w:r>
      <w:proofErr w:type="gramStart"/>
      <w:r>
        <w:rPr>
          <w:rFonts w:hint="eastAsia"/>
        </w:rPr>
        <w:t>源谱评价</w:t>
      </w:r>
      <w:proofErr w:type="gramEnd"/>
      <w:r>
        <w:rPr>
          <w:rFonts w:hint="eastAsia"/>
        </w:rPr>
        <w:t>避免无效数据积累，节约科研与监测资源，减少重复研究。为污染源追责提供经不确定性验证的证据链，降低争议成本，提升执法效率。</w:t>
      </w:r>
    </w:p>
    <w:p w14:paraId="70AABE4D" w14:textId="27EF9C5C" w:rsidR="005F33F4" w:rsidRDefault="004955EC" w:rsidP="005F33F4">
      <w:pPr>
        <w:pStyle w:val="2"/>
        <w:rPr>
          <w:rFonts w:hint="eastAsia"/>
        </w:rPr>
      </w:pPr>
      <w:r>
        <w:rPr>
          <w:rFonts w:hint="eastAsia"/>
        </w:rPr>
        <w:t>十</w:t>
      </w:r>
      <w:r w:rsidR="005F33F4">
        <w:rPr>
          <w:rFonts w:hint="eastAsia"/>
        </w:rPr>
        <w:t>、标准实施的建议</w:t>
      </w:r>
    </w:p>
    <w:p w14:paraId="048EAA1B" w14:textId="44E459E2" w:rsidR="00AA757A" w:rsidRPr="00AD3E95" w:rsidRDefault="00AA757A" w:rsidP="00657EFF">
      <w:pPr>
        <w:ind w:firstLine="562"/>
        <w:rPr>
          <w:rFonts w:hint="eastAsia"/>
          <w:b/>
          <w:bCs/>
        </w:rPr>
      </w:pPr>
      <w:r w:rsidRPr="00AD3E95">
        <w:rPr>
          <w:rFonts w:hint="eastAsia"/>
          <w:b/>
          <w:bCs/>
        </w:rPr>
        <w:t>（1）试点期</w:t>
      </w:r>
    </w:p>
    <w:p w14:paraId="7EBF864E" w14:textId="29AEC9AB" w:rsidR="00AA757A" w:rsidRDefault="001B32D2" w:rsidP="00657EFF">
      <w:pPr>
        <w:rPr>
          <w:rFonts w:hint="eastAsia"/>
        </w:rPr>
      </w:pPr>
      <w:r>
        <w:rPr>
          <w:rFonts w:hint="eastAsia"/>
        </w:rPr>
        <w:t>标准发布一年内，国家大气污染防治重点城市需要对新建源解析项目提供含有至少3个关键组分的不确定度分析内容。</w:t>
      </w:r>
      <w:r w:rsidR="001322CC">
        <w:rPr>
          <w:rFonts w:hint="eastAsia"/>
        </w:rPr>
        <w:t>并强化相关专业人员培训，</w:t>
      </w:r>
      <w:r w:rsidR="001322CC" w:rsidRPr="004426E3">
        <w:rPr>
          <w:rFonts w:hint="eastAsia"/>
        </w:rPr>
        <w:t>针对B类评定（仪器参数误差）和极差法应用（小样本场景）开展专项培训</w:t>
      </w:r>
      <w:r w:rsidR="001322CC">
        <w:rPr>
          <w:rFonts w:hint="eastAsia"/>
        </w:rPr>
        <w:t>。</w:t>
      </w:r>
    </w:p>
    <w:p w14:paraId="07B22899" w14:textId="6D17577F" w:rsidR="00AA757A" w:rsidRPr="00AD3E95" w:rsidRDefault="00AA757A" w:rsidP="00657EFF">
      <w:pPr>
        <w:ind w:firstLine="562"/>
        <w:rPr>
          <w:rFonts w:hint="eastAsia"/>
          <w:b/>
          <w:bCs/>
        </w:rPr>
      </w:pPr>
      <w:r w:rsidRPr="00AD3E95">
        <w:rPr>
          <w:rFonts w:hint="eastAsia"/>
          <w:b/>
          <w:bCs/>
        </w:rPr>
        <w:t>（2）过渡期</w:t>
      </w:r>
    </w:p>
    <w:p w14:paraId="7E566225" w14:textId="4D7071BB" w:rsidR="00AA757A" w:rsidRDefault="001B32D2" w:rsidP="00657EFF">
      <w:pPr>
        <w:rPr>
          <w:rFonts w:hint="eastAsia"/>
        </w:rPr>
      </w:pPr>
      <w:r>
        <w:rPr>
          <w:rFonts w:hint="eastAsia"/>
        </w:rPr>
        <w:t>标准发布1-3年，所有源谱数据库更新要包含组分不确定度数据</w:t>
      </w:r>
      <w:r w:rsidR="00B2248F">
        <w:rPr>
          <w:rFonts w:hint="eastAsia"/>
        </w:rPr>
        <w:t>。</w:t>
      </w:r>
      <w:r w:rsidR="004426E3">
        <w:rPr>
          <w:rFonts w:hint="eastAsia"/>
        </w:rPr>
        <w:t>建立配套工具库</w:t>
      </w:r>
      <w:r w:rsidR="00B2248F">
        <w:rPr>
          <w:rFonts w:hint="eastAsia"/>
        </w:rPr>
        <w:t>，可以方便</w:t>
      </w:r>
      <w:proofErr w:type="gramStart"/>
      <w:r w:rsidR="00B2248F">
        <w:rPr>
          <w:rFonts w:hint="eastAsia"/>
        </w:rPr>
        <w:t>数据库源谱不确定度</w:t>
      </w:r>
      <w:proofErr w:type="gramEnd"/>
      <w:r w:rsidR="00B2248F">
        <w:rPr>
          <w:rFonts w:hint="eastAsia"/>
        </w:rPr>
        <w:t>计算。</w:t>
      </w:r>
      <w:r w:rsidR="001322CC" w:rsidRPr="001322CC">
        <w:rPr>
          <w:rFonts w:hint="eastAsia"/>
        </w:rPr>
        <w:t>对现有源</w:t>
      </w:r>
      <w:proofErr w:type="gramStart"/>
      <w:r w:rsidR="001322CC" w:rsidRPr="001322CC">
        <w:rPr>
          <w:rFonts w:hint="eastAsia"/>
        </w:rPr>
        <w:t>谱库</w:t>
      </w:r>
      <w:r w:rsidR="001322CC" w:rsidRPr="001322CC">
        <w:rPr>
          <w:rFonts w:hint="eastAsia"/>
        </w:rPr>
        <w:lastRenderedPageBreak/>
        <w:t>按</w:t>
      </w:r>
      <w:proofErr w:type="gramEnd"/>
      <w:r w:rsidR="001322CC" w:rsidRPr="001322CC">
        <w:rPr>
          <w:rFonts w:hint="eastAsia"/>
        </w:rPr>
        <w:t>本标准重新定级，标识低置信度数据。在京津冀、长三角等重点区域先行应用，验证标准对重污染成因分析的提升效果。</w:t>
      </w:r>
    </w:p>
    <w:p w14:paraId="47A29D69" w14:textId="137A3782" w:rsidR="00AA757A" w:rsidRPr="00AD3E95" w:rsidRDefault="00AA757A" w:rsidP="00657EFF">
      <w:pPr>
        <w:ind w:firstLine="562"/>
        <w:rPr>
          <w:rFonts w:hint="eastAsia"/>
          <w:b/>
          <w:bCs/>
        </w:rPr>
      </w:pPr>
      <w:r w:rsidRPr="00AD3E95">
        <w:rPr>
          <w:rFonts w:hint="eastAsia"/>
          <w:b/>
          <w:bCs/>
        </w:rPr>
        <w:t>（3）全面期</w:t>
      </w:r>
    </w:p>
    <w:p w14:paraId="0928540B" w14:textId="3405409A" w:rsidR="001B32D2" w:rsidRPr="00E14CB1" w:rsidRDefault="001322CC" w:rsidP="00657EFF">
      <w:pPr>
        <w:rPr>
          <w:rFonts w:hint="eastAsia"/>
        </w:rPr>
      </w:pPr>
      <w:r>
        <w:rPr>
          <w:rFonts w:hint="eastAsia"/>
        </w:rPr>
        <w:t>发布</w:t>
      </w:r>
      <w:r w:rsidR="001B32D2">
        <w:rPr>
          <w:rFonts w:hint="eastAsia"/>
        </w:rPr>
        <w:t>3年后，所有源解析报告均要按照本标准评价为准。</w:t>
      </w:r>
      <w:r w:rsidR="004426E3">
        <w:rPr>
          <w:rFonts w:hint="eastAsia"/>
        </w:rPr>
        <w:t>并不断完善标准体系，增补新兴源类的不确定度评价指南，基于机器学习方法对重复不确定度的预测进行优化，最终推动与国际标准接轨。</w:t>
      </w:r>
    </w:p>
    <w:p w14:paraId="0FA2B611" w14:textId="77777777" w:rsidR="004426E3" w:rsidRPr="00E14CB1" w:rsidRDefault="004426E3">
      <w:pPr>
        <w:rPr>
          <w:rFonts w:hint="eastAsia"/>
        </w:rPr>
      </w:pPr>
    </w:p>
    <w:sectPr w:rsidR="004426E3" w:rsidRPr="00E14CB1" w:rsidSect="00DD3E5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C9BAF" w14:textId="77777777" w:rsidR="007507C9" w:rsidRDefault="007507C9" w:rsidP="008604FB">
      <w:pPr>
        <w:rPr>
          <w:rFonts w:hint="eastAsia"/>
        </w:rPr>
      </w:pPr>
      <w:r>
        <w:separator/>
      </w:r>
    </w:p>
  </w:endnote>
  <w:endnote w:type="continuationSeparator" w:id="0">
    <w:p w14:paraId="600EF2DA" w14:textId="77777777" w:rsidR="007507C9" w:rsidRDefault="007507C9" w:rsidP="008604F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450CB" w14:textId="77777777" w:rsidR="00466E64" w:rsidRDefault="00466E64">
    <w:pPr>
      <w:pStyle w:val="a5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E3FCA" w14:textId="77777777" w:rsidR="00466E64" w:rsidRDefault="00466E64">
    <w:pPr>
      <w:pStyle w:val="a5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E167D" w14:textId="77777777" w:rsidR="00466E64" w:rsidRDefault="00466E64">
    <w:pPr>
      <w:pStyle w:val="a5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73A5D" w14:textId="77777777" w:rsidR="007507C9" w:rsidRDefault="007507C9" w:rsidP="008604FB">
      <w:pPr>
        <w:rPr>
          <w:rFonts w:hint="eastAsia"/>
        </w:rPr>
      </w:pPr>
      <w:r>
        <w:separator/>
      </w:r>
    </w:p>
  </w:footnote>
  <w:footnote w:type="continuationSeparator" w:id="0">
    <w:p w14:paraId="18840E2F" w14:textId="77777777" w:rsidR="007507C9" w:rsidRDefault="007507C9" w:rsidP="008604F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640F0" w14:textId="77777777" w:rsidR="00466E64" w:rsidRDefault="00466E64">
    <w:pPr>
      <w:pStyle w:val="a3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1C4B2" w14:textId="77777777" w:rsidR="00466E64" w:rsidRDefault="00466E64">
    <w:pPr>
      <w:pStyle w:val="a3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2BA14" w14:textId="77777777" w:rsidR="00466E64" w:rsidRDefault="00466E64">
    <w:pPr>
      <w:pStyle w:val="a3"/>
      <w:ind w:firstLine="360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75458"/>
    <w:multiLevelType w:val="multilevel"/>
    <w:tmpl w:val="D39A6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C157AC"/>
    <w:multiLevelType w:val="multilevel"/>
    <w:tmpl w:val="3E5CB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8613995">
    <w:abstractNumId w:val="1"/>
  </w:num>
  <w:num w:numId="2" w16cid:durableId="1619290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71B7"/>
    <w:rsid w:val="00075376"/>
    <w:rsid w:val="000768F4"/>
    <w:rsid w:val="0009361C"/>
    <w:rsid w:val="000A2D78"/>
    <w:rsid w:val="000C3483"/>
    <w:rsid w:val="000D1BF8"/>
    <w:rsid w:val="000E038F"/>
    <w:rsid w:val="000E35AC"/>
    <w:rsid w:val="000E3C98"/>
    <w:rsid w:val="000F0913"/>
    <w:rsid w:val="00104D97"/>
    <w:rsid w:val="0011530D"/>
    <w:rsid w:val="00125A34"/>
    <w:rsid w:val="001322CC"/>
    <w:rsid w:val="00184CF8"/>
    <w:rsid w:val="001903B4"/>
    <w:rsid w:val="001B32D2"/>
    <w:rsid w:val="001E17E4"/>
    <w:rsid w:val="001F6DEE"/>
    <w:rsid w:val="00206A0F"/>
    <w:rsid w:val="002178F9"/>
    <w:rsid w:val="00221383"/>
    <w:rsid w:val="002535A1"/>
    <w:rsid w:val="00257DFB"/>
    <w:rsid w:val="00261B7B"/>
    <w:rsid w:val="00261FE2"/>
    <w:rsid w:val="00284CFB"/>
    <w:rsid w:val="002971B7"/>
    <w:rsid w:val="002A0DD1"/>
    <w:rsid w:val="002A3591"/>
    <w:rsid w:val="002B503E"/>
    <w:rsid w:val="002C60D3"/>
    <w:rsid w:val="002D0D4D"/>
    <w:rsid w:val="002D7FA4"/>
    <w:rsid w:val="002F3DA0"/>
    <w:rsid w:val="0030480C"/>
    <w:rsid w:val="00322E03"/>
    <w:rsid w:val="003305DA"/>
    <w:rsid w:val="00336CB8"/>
    <w:rsid w:val="003504C3"/>
    <w:rsid w:val="00356FFE"/>
    <w:rsid w:val="00363736"/>
    <w:rsid w:val="003705F3"/>
    <w:rsid w:val="00376B8D"/>
    <w:rsid w:val="00396BA3"/>
    <w:rsid w:val="003A1ACF"/>
    <w:rsid w:val="003B00F6"/>
    <w:rsid w:val="003B68A8"/>
    <w:rsid w:val="00410576"/>
    <w:rsid w:val="0041306A"/>
    <w:rsid w:val="004426E3"/>
    <w:rsid w:val="00447A67"/>
    <w:rsid w:val="00451D9A"/>
    <w:rsid w:val="00455976"/>
    <w:rsid w:val="00466E64"/>
    <w:rsid w:val="00486D96"/>
    <w:rsid w:val="00491992"/>
    <w:rsid w:val="004955EC"/>
    <w:rsid w:val="004A2F16"/>
    <w:rsid w:val="004A6C73"/>
    <w:rsid w:val="004B09B7"/>
    <w:rsid w:val="004B5A8E"/>
    <w:rsid w:val="004C1096"/>
    <w:rsid w:val="0050495D"/>
    <w:rsid w:val="00504E4A"/>
    <w:rsid w:val="005A343B"/>
    <w:rsid w:val="005C70E6"/>
    <w:rsid w:val="005D22FF"/>
    <w:rsid w:val="005E629A"/>
    <w:rsid w:val="005F33F4"/>
    <w:rsid w:val="00602484"/>
    <w:rsid w:val="00610EB3"/>
    <w:rsid w:val="0061284C"/>
    <w:rsid w:val="00617533"/>
    <w:rsid w:val="00623653"/>
    <w:rsid w:val="00627B93"/>
    <w:rsid w:val="00657EFF"/>
    <w:rsid w:val="0069708E"/>
    <w:rsid w:val="006A16B0"/>
    <w:rsid w:val="006A4FA8"/>
    <w:rsid w:val="006A5534"/>
    <w:rsid w:val="006D2AA2"/>
    <w:rsid w:val="006E0E5D"/>
    <w:rsid w:val="006E139D"/>
    <w:rsid w:val="006E5CAF"/>
    <w:rsid w:val="006F40E3"/>
    <w:rsid w:val="007125A7"/>
    <w:rsid w:val="0072190A"/>
    <w:rsid w:val="00721E74"/>
    <w:rsid w:val="007507C9"/>
    <w:rsid w:val="00770956"/>
    <w:rsid w:val="007A5C35"/>
    <w:rsid w:val="007A78FC"/>
    <w:rsid w:val="007B0DF8"/>
    <w:rsid w:val="007C50A9"/>
    <w:rsid w:val="007F0A5B"/>
    <w:rsid w:val="007F661A"/>
    <w:rsid w:val="00807308"/>
    <w:rsid w:val="0081048D"/>
    <w:rsid w:val="00831075"/>
    <w:rsid w:val="008339AA"/>
    <w:rsid w:val="00855164"/>
    <w:rsid w:val="00855318"/>
    <w:rsid w:val="008604FB"/>
    <w:rsid w:val="0086766E"/>
    <w:rsid w:val="00880799"/>
    <w:rsid w:val="008823E0"/>
    <w:rsid w:val="008920AB"/>
    <w:rsid w:val="00892384"/>
    <w:rsid w:val="008E7F7B"/>
    <w:rsid w:val="008F7109"/>
    <w:rsid w:val="00923E3E"/>
    <w:rsid w:val="009265F1"/>
    <w:rsid w:val="00952DD5"/>
    <w:rsid w:val="00966A69"/>
    <w:rsid w:val="00995392"/>
    <w:rsid w:val="009A1C22"/>
    <w:rsid w:val="009A7E1C"/>
    <w:rsid w:val="009D605D"/>
    <w:rsid w:val="009E1E4E"/>
    <w:rsid w:val="009F4CE5"/>
    <w:rsid w:val="00A3048A"/>
    <w:rsid w:val="00A557D4"/>
    <w:rsid w:val="00A963F8"/>
    <w:rsid w:val="00AA61EB"/>
    <w:rsid w:val="00AA757A"/>
    <w:rsid w:val="00AB4CA9"/>
    <w:rsid w:val="00AB660C"/>
    <w:rsid w:val="00AC764A"/>
    <w:rsid w:val="00AD3E95"/>
    <w:rsid w:val="00B02481"/>
    <w:rsid w:val="00B04E4D"/>
    <w:rsid w:val="00B2248F"/>
    <w:rsid w:val="00B22B8F"/>
    <w:rsid w:val="00B56A97"/>
    <w:rsid w:val="00B7008A"/>
    <w:rsid w:val="00BB769F"/>
    <w:rsid w:val="00BD1CEB"/>
    <w:rsid w:val="00BD2BC5"/>
    <w:rsid w:val="00BE2922"/>
    <w:rsid w:val="00BE79EE"/>
    <w:rsid w:val="00C45201"/>
    <w:rsid w:val="00C645A0"/>
    <w:rsid w:val="00C87810"/>
    <w:rsid w:val="00D017FA"/>
    <w:rsid w:val="00D34BF8"/>
    <w:rsid w:val="00D61924"/>
    <w:rsid w:val="00D74318"/>
    <w:rsid w:val="00D80E8C"/>
    <w:rsid w:val="00D97990"/>
    <w:rsid w:val="00DA586F"/>
    <w:rsid w:val="00DB788B"/>
    <w:rsid w:val="00DD3E58"/>
    <w:rsid w:val="00DD6371"/>
    <w:rsid w:val="00DE0FCB"/>
    <w:rsid w:val="00DE5109"/>
    <w:rsid w:val="00E07407"/>
    <w:rsid w:val="00E0749C"/>
    <w:rsid w:val="00E078F2"/>
    <w:rsid w:val="00E14CB1"/>
    <w:rsid w:val="00E27CEB"/>
    <w:rsid w:val="00E75D64"/>
    <w:rsid w:val="00EC3753"/>
    <w:rsid w:val="00EC55FF"/>
    <w:rsid w:val="00EE2221"/>
    <w:rsid w:val="00F4244B"/>
    <w:rsid w:val="00F83A4B"/>
    <w:rsid w:val="00FD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9119CB"/>
  <w15:docId w15:val="{A9B571F8-E4CC-46AC-A39E-31E9B25E9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0DF8"/>
    <w:pPr>
      <w:shd w:val="clear" w:color="auto" w:fill="FFFFFF"/>
      <w:ind w:firstLineChars="200" w:firstLine="560"/>
      <w:textAlignment w:val="baseline"/>
    </w:pPr>
    <w:rPr>
      <w:rFonts w:ascii="仿宋" w:eastAsia="仿宋" w:hAnsi="仿宋" w:cs="宋体"/>
      <w:kern w:val="0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8604FB"/>
    <w:pPr>
      <w:spacing w:beforeLines="100" w:before="312"/>
      <w:ind w:left="108" w:right="176" w:firstLine="723"/>
      <w:jc w:val="center"/>
      <w:outlineLvl w:val="0"/>
    </w:pPr>
    <w:rPr>
      <w:rFonts w:ascii="黑体" w:eastAsia="黑体" w:hAnsi="黑体"/>
      <w:b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8604FB"/>
    <w:pPr>
      <w:spacing w:line="560" w:lineRule="exact"/>
      <w:outlineLvl w:val="1"/>
    </w:pPr>
    <w:rPr>
      <w:rFonts w:ascii="黑体" w:eastAsia="黑体" w:hAnsi="黑体"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1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A61E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A61E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A61EB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8604FB"/>
    <w:rPr>
      <w:rFonts w:ascii="黑体" w:eastAsia="黑体" w:hAnsi="黑体" w:cs="宋体"/>
      <w:bCs/>
      <w:kern w:val="0"/>
      <w:sz w:val="28"/>
      <w:szCs w:val="28"/>
      <w:shd w:val="clear" w:color="auto" w:fill="FFFFFF"/>
    </w:rPr>
  </w:style>
  <w:style w:type="character" w:customStyle="1" w:styleId="10">
    <w:name w:val="标题 1 字符"/>
    <w:basedOn w:val="a0"/>
    <w:link w:val="1"/>
    <w:uiPriority w:val="9"/>
    <w:rsid w:val="008604FB"/>
    <w:rPr>
      <w:rFonts w:ascii="黑体" w:eastAsia="黑体" w:hAnsi="黑体"/>
      <w:b/>
      <w:sz w:val="36"/>
      <w:szCs w:val="36"/>
      <w:shd w:val="clear" w:color="auto" w:fill="FFFFFF"/>
    </w:rPr>
  </w:style>
  <w:style w:type="table" w:styleId="a7">
    <w:name w:val="Table Grid"/>
    <w:basedOn w:val="a1"/>
    <w:uiPriority w:val="39"/>
    <w:qFormat/>
    <w:rsid w:val="00BD1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C60D3"/>
    <w:pPr>
      <w:ind w:firstLine="420"/>
    </w:pPr>
  </w:style>
  <w:style w:type="paragraph" w:styleId="a9">
    <w:name w:val="caption"/>
    <w:aliases w:val="表,表标题,图注,题注-QBPT,Caption Char,Caption Char Char Char,Caption Char Char1,Caption Char Char Char Char,Caption Char Char,题注(图注),Char Char Char Char Char,信息主题,题注(图注) + 居中,图1-1,Char2,Char2 Char,统战部题注,图2,图3,1题注"/>
    <w:basedOn w:val="a"/>
    <w:next w:val="a"/>
    <w:link w:val="aa"/>
    <w:unhideWhenUsed/>
    <w:qFormat/>
    <w:rsid w:val="00952DD5"/>
    <w:pPr>
      <w:widowControl w:val="0"/>
      <w:shd w:val="clear" w:color="auto" w:fill="auto"/>
      <w:spacing w:line="360" w:lineRule="auto"/>
      <w:ind w:firstLineChars="0" w:firstLine="0"/>
      <w:jc w:val="center"/>
      <w:textAlignment w:val="auto"/>
    </w:pPr>
    <w:rPr>
      <w:rFonts w:ascii="Times New Roman" w:eastAsia="宋体" w:hAnsi="Times New Roman" w:cstheme="majorBidi"/>
      <w:kern w:val="2"/>
      <w:sz w:val="24"/>
      <w:szCs w:val="20"/>
    </w:rPr>
  </w:style>
  <w:style w:type="character" w:customStyle="1" w:styleId="aa">
    <w:name w:val="题注 字符"/>
    <w:aliases w:val="表 字符,表标题 字符,图注 字符,题注-QBPT 字符,Caption Char 字符,Caption Char Char Char 字符,Caption Char Char1 字符,Caption Char Char Char Char 字符,Caption Char Char 字符,题注(图注) 字符,Char Char Char Char Char 字符,信息主题 字符,题注(图注) + 居中 字符,图1-1 字符,Char2 字符,Char2 Char 字符,统战部题注 字符"/>
    <w:link w:val="a9"/>
    <w:qFormat/>
    <w:rsid w:val="00952DD5"/>
    <w:rPr>
      <w:rFonts w:ascii="Times New Roman" w:eastAsia="宋体" w:hAnsi="Times New Roman" w:cstheme="majorBidi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8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2542</TotalTime>
  <Pages>17</Pages>
  <Words>1430</Words>
  <Characters>8151</Characters>
  <Application>Microsoft Office Word</Application>
  <DocSecurity>0</DocSecurity>
  <Lines>67</Lines>
  <Paragraphs>19</Paragraphs>
  <ScaleCrop>false</ScaleCrop>
  <Company/>
  <LinksUpToDate>false</LinksUpToDate>
  <CharactersWithSpaces>9562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雪涵 王</cp:lastModifiedBy>
  <cp:revision>118</cp:revision>
  <dcterms:created xsi:type="dcterms:W3CDTF">2023-10-11T01:47:00Z</dcterms:created>
  <dcterms:modified xsi:type="dcterms:W3CDTF">2025-08-15T07:23:00Z</dcterms:modified>
</cp:coreProperties>
</file>