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DC3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1018AD4">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337C666">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52BD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0BC43BB">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ACF1FC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17F46E1">
                  <w:pPr>
                    <w:pStyle w:val="54"/>
                    <w:framePr w:wrap="notBeside" w:vAnchor="page" w:hAnchor="page" w:x="1372" w:y="568"/>
                    <w:ind w:left="420" w:right="624"/>
                    <w:rPr>
                      <w:rFonts w:hint="eastAsia" w:ascii="宋体" w:hAnsi="宋体"/>
                      <w:sz w:val="28"/>
                      <w:szCs w:val="28"/>
                    </w:rPr>
                  </w:pPr>
                  <w:r>
                    <w:rPr>
                      <w:sz w:val="21"/>
                      <w:szCs w:val="21"/>
                    </w:rPr>
                    <w:t xml:space="preserve"> </w:t>
                  </w:r>
                </w:p>
              </w:tc>
            </w:tr>
          </w:tbl>
          <w:p w14:paraId="2703AAD4">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450E90AE">
      <w:pPr>
        <w:pStyle w:val="55"/>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5AD14331">
      <w:pPr>
        <w:pStyle w:val="200"/>
      </w:pPr>
      <w:r>
        <w:t>T/</w:t>
      </w:r>
      <w:r>
        <w:fldChar w:fldCharType="begin">
          <w:ffData>
            <w:name w:val="文字1"/>
            <w:enabled/>
            <w:calcOnExit w:val="0"/>
            <w:textInput>
              <w:default w:val="CSES"/>
            </w:textInput>
          </w:ffData>
        </w:fldChar>
      </w:r>
      <w:bookmarkStart w:id="3" w:name="文字1"/>
      <w:r>
        <w:instrText xml:space="preserve"> FORMTEXT </w:instrText>
      </w:r>
      <w:r>
        <w:fldChar w:fldCharType="separate"/>
      </w:r>
      <w:r>
        <w:t>CSES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90BA2CB">
      <w:pPr>
        <w:pStyle w:val="201"/>
        <w:rPr>
          <w:rFonts w:hint="eastAsia" w:hAnsi="黑体"/>
        </w:rPr>
      </w:pPr>
    </w:p>
    <w:p w14:paraId="3E71001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01E457C">
      <w:pPr>
        <w:pStyle w:val="55"/>
        <w:framePr w:w="9639" w:h="6976" w:hRule="exact" w:hSpace="0" w:vSpace="0" w:wrap="around" w:hAnchor="page" w:y="6408"/>
        <w:jc w:val="center"/>
        <w:rPr>
          <w:rFonts w:hint="eastAsia" w:ascii="黑体" w:hAnsi="黑体" w:eastAsia="黑体"/>
          <w:b w:val="0"/>
          <w:bCs w:val="0"/>
          <w:w w:val="100"/>
        </w:rPr>
      </w:pPr>
    </w:p>
    <w:p w14:paraId="745C5D91">
      <w:pPr>
        <w:pStyle w:val="202"/>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危险废物填埋场环境安全性能评估技术规范</w:t>
      </w:r>
      <w:r>
        <w:fldChar w:fldCharType="end"/>
      </w:r>
      <w:bookmarkEnd w:id="6"/>
    </w:p>
    <w:p w14:paraId="167E745F">
      <w:pPr>
        <w:framePr w:w="9639" w:h="6974" w:hRule="exact" w:wrap="around" w:vAnchor="page" w:hAnchor="page" w:x="1419" w:y="6408" w:anchorLock="1"/>
        <w:ind w:left="-1418"/>
      </w:pPr>
    </w:p>
    <w:p w14:paraId="0C431B2F">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Specifications for Environmental Safety Performance Assessment of Hazardous Waste Landfills</w:t>
      </w:r>
      <w:r>
        <w:rPr>
          <w:rFonts w:eastAsia="黑体"/>
          <w:szCs w:val="28"/>
        </w:rPr>
        <w:fldChar w:fldCharType="end"/>
      </w:r>
      <w:bookmarkEnd w:id="7"/>
    </w:p>
    <w:p w14:paraId="0576962C">
      <w:pPr>
        <w:framePr w:w="9639" w:h="6974" w:hRule="exact" w:wrap="around" w:vAnchor="page" w:hAnchor="page" w:x="1419" w:y="6408" w:anchorLock="1"/>
        <w:spacing w:line="760" w:lineRule="exact"/>
        <w:ind w:left="-1418"/>
      </w:pPr>
    </w:p>
    <w:p w14:paraId="316BBD06">
      <w:pPr>
        <w:pStyle w:val="130"/>
        <w:framePr w:w="9639" w:h="6974" w:hRule="exact" w:wrap="around" w:vAnchor="page" w:hAnchor="page" w:x="1419" w:y="6408" w:anchorLock="1"/>
        <w:textAlignment w:val="bottom"/>
        <w:rPr>
          <w:rFonts w:eastAsia="黑体"/>
          <w:szCs w:val="28"/>
        </w:rPr>
      </w:pPr>
    </w:p>
    <w:p w14:paraId="0D3F5B03">
      <w:pPr>
        <w:pStyle w:val="130"/>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52932EAC">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7372593E">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04D69AC9">
      <w:pPr>
        <w:pStyle w:val="198"/>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37FCBCDA">
      <w:pPr>
        <w:pStyle w:val="199"/>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75E5DAFF">
      <w:pPr>
        <w:pStyle w:val="156"/>
        <w:framePr w:h="584" w:hRule="exact" w:hSpace="181" w:vSpace="181" w:wrap="around" w:y="14800"/>
        <w:rPr>
          <w:rFonts w:hint="eastAsia" w:hAnsi="黑体"/>
        </w:rPr>
      </w:pPr>
      <w:r>
        <w:rPr>
          <w:rFonts w:hAnsi="黑体"/>
          <w:w w:val="100"/>
          <w:sz w:val="28"/>
        </w:rPr>
        <w:fldChar w:fldCharType="begin">
          <w:ffData>
            <w:name w:val="fm"/>
            <w:enabled/>
            <w:calcOnExit w:val="0"/>
            <w:textInput>
              <w:default w:val="中国环境科学学会"/>
            </w:textInput>
          </w:ffData>
        </w:fldChar>
      </w:r>
      <w:bookmarkStart w:id="16" w:name="fm"/>
      <w:r>
        <w:rPr>
          <w:rFonts w:hAnsi="黑体"/>
          <w:w w:val="100"/>
          <w:sz w:val="28"/>
        </w:rPr>
        <w:instrText xml:space="preserve"> FORMTEXT </w:instrText>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6"/>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0E0F66BF">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FE55578">
      <w:pPr>
        <w:pStyle w:val="96"/>
        <w:spacing w:after="360"/>
      </w:pPr>
      <w:bookmarkStart w:id="17" w:name="BookMark1"/>
      <w:r>
        <w:rPr>
          <w:rFonts w:hint="eastAsia"/>
          <w:spacing w:val="320"/>
        </w:rPr>
        <w:t>目</w:t>
      </w:r>
      <w:r>
        <w:rPr>
          <w:rFonts w:hint="eastAsia"/>
        </w:rPr>
        <w:t>次</w:t>
      </w:r>
    </w:p>
    <w:p w14:paraId="101C67DF">
      <w:pPr>
        <w:pStyle w:val="21"/>
        <w:tabs>
          <w:tab w:val="right" w:leader="dot" w:pos="9354"/>
        </w:tabs>
        <w:rPr>
          <w:rFonts w:hint="default" w:ascii="Times New Roman" w:hAnsi="Times New Roman" w:eastAsia="宋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"1-1" \h \t "标准文件_一级条标题,2,标准文件_附录一级条标题,2," </w:instrText>
      </w:r>
      <w:r>
        <w:rPr>
          <w:rFonts w:hint="default" w:ascii="Times New Roman" w:hAnsi="Times New Roman" w:cs="Times New Roman"/>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_Toc18193 </w:instrText>
      </w:r>
      <w:r>
        <w:rPr>
          <w:rFonts w:hint="default" w:ascii="Times New Roman" w:hAnsi="Times New Roman" w:eastAsia="宋体" w:cs="Times New Roman"/>
        </w:rPr>
        <w:fldChar w:fldCharType="separate"/>
      </w:r>
      <w:r>
        <w:rPr>
          <w:rFonts w:hint="default" w:ascii="Times New Roman" w:hAnsi="Times New Roman" w:eastAsia="宋体" w:cs="Times New Roman"/>
          <w:spacing w:val="320"/>
        </w:rPr>
        <w:t>前</w:t>
      </w:r>
      <w:r>
        <w:rPr>
          <w:rFonts w:hint="default" w:ascii="Times New Roman" w:hAnsi="Times New Roman" w:eastAsia="宋体" w:cs="Times New Roman"/>
        </w:rPr>
        <w:t>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_Toc18193 \h </w:instrText>
      </w:r>
      <w:r>
        <w:rPr>
          <w:rFonts w:hint="default" w:ascii="Times New Roman" w:hAnsi="Times New Roman" w:eastAsia="宋体" w:cs="Times New Roman"/>
        </w:rPr>
        <w:fldChar w:fldCharType="separate"/>
      </w:r>
      <w:r>
        <w:rPr>
          <w:rFonts w:hint="default" w:ascii="Times New Roman" w:hAnsi="Times New Roman" w:eastAsia="宋体" w:cs="Times New Roman"/>
        </w:rPr>
        <w:t>III</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2F9A4C2">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_Toc3668 </w:instrText>
      </w:r>
      <w:r>
        <w:rPr>
          <w:rFonts w:hint="default" w:ascii="Times New Roman" w:hAnsi="Times New Roman" w:eastAsia="宋体" w:cs="Times New Roman"/>
        </w:rPr>
        <w:fldChar w:fldCharType="separate"/>
      </w:r>
      <w:r>
        <w:rPr>
          <w:rFonts w:hint="default" w:ascii="Times New Roman" w:hAnsi="Times New Roman" w:eastAsia="宋体" w:cs="Times New Roman"/>
          <w:spacing w:val="320"/>
        </w:rPr>
        <w:t>引</w:t>
      </w:r>
      <w:r>
        <w:rPr>
          <w:rFonts w:hint="default" w:ascii="Times New Roman" w:hAnsi="Times New Roman" w:eastAsia="宋体" w:cs="Times New Roman"/>
        </w:rPr>
        <w:t>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_Toc3668 \h </w:instrText>
      </w:r>
      <w:r>
        <w:rPr>
          <w:rFonts w:hint="default" w:ascii="Times New Roman" w:hAnsi="Times New Roman" w:eastAsia="宋体" w:cs="Times New Roman"/>
        </w:rPr>
        <w:fldChar w:fldCharType="separate"/>
      </w:r>
      <w:r>
        <w:rPr>
          <w:rFonts w:hint="default" w:ascii="Times New Roman" w:hAnsi="Times New Roman" w:eastAsia="宋体" w:cs="Times New Roman"/>
        </w:rPr>
        <w:t>IV</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19B8BC7">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_Toc26240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1 </w:t>
      </w:r>
      <w:r>
        <w:rPr>
          <w:rFonts w:hint="default" w:ascii="Times New Roman" w:hAnsi="Times New Roman" w:eastAsia="宋体" w:cs="Times New Roman"/>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_Toc26240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65B9B50">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_Toc2576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2 </w:t>
      </w:r>
      <w:r>
        <w:rPr>
          <w:rFonts w:hint="default" w:ascii="Times New Roman" w:hAnsi="Times New Roman" w:eastAsia="宋体" w:cs="Times New Roman"/>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_Toc2576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962384E">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_Toc14683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3 </w:t>
      </w:r>
      <w:r>
        <w:rPr>
          <w:rFonts w:hint="default" w:ascii="Times New Roman" w:hAnsi="Times New Roman" w:eastAsia="宋体" w:cs="Times New Roman"/>
          <w:szCs w:val="21"/>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_Toc14683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3D570C1">
      <w:pPr>
        <w:pStyle w:val="26"/>
        <w:tabs>
          <w:tab w:val="right" w:leader="dot" w:pos="9354"/>
          <w:tab w:val="clear" w:pos="9344"/>
        </w:tabs>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_Toc17144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3.1 填埋场环境安全性能</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_Toc17144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1</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7660FBF4">
      <w:pPr>
        <w:pStyle w:val="26"/>
        <w:tabs>
          <w:tab w:val="right" w:leader="dot" w:pos="9354"/>
          <w:tab w:val="clear" w:pos="9344"/>
        </w:tabs>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_Toc28496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3.2 功能单元</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_Toc28496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1</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3E0EDC45">
      <w:pPr>
        <w:pStyle w:val="26"/>
        <w:tabs>
          <w:tab w:val="right" w:leader="dot" w:pos="9354"/>
          <w:tab w:val="clear" w:pos="9344"/>
        </w:tabs>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_Toc8106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3.3 设计寿命</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_Toc8106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2</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08C7F89B">
      <w:pPr>
        <w:pStyle w:val="26"/>
        <w:tabs>
          <w:tab w:val="right" w:leader="dot" w:pos="9354"/>
          <w:tab w:val="clear" w:pos="9344"/>
        </w:tabs>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_Toc31656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3.4 环境安全性能综合评估</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_Toc31656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2</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68DA72DE">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_Toc14587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3.5 显著变化（明显变化）</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_Toc14587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2</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670E83A6">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_Toc968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rPr>
        <w:t xml:space="preserve">4 </w:t>
      </w:r>
      <w:r>
        <w:rPr>
          <w:rFonts w:hint="default" w:ascii="Times New Roman" w:hAnsi="Times New Roman" w:eastAsia="宋体" w:cs="Times New Roman"/>
          <w:szCs w:val="21"/>
        </w:rPr>
        <w:t>评估原则及基本要求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_Toc968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EE29C10">
      <w:pPr>
        <w:pStyle w:val="26"/>
        <w:tabs>
          <w:tab w:val="right" w:leader="dot" w:pos="9354"/>
          <w:tab w:val="clear" w:pos="9344"/>
        </w:tabs>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_Toc30463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4.1 评估原则</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_Toc30463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2</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4398E4C3">
      <w:pPr>
        <w:pStyle w:val="26"/>
        <w:tabs>
          <w:tab w:val="right" w:leader="dot" w:pos="9354"/>
          <w:tab w:val="clear" w:pos="9344"/>
        </w:tabs>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_Toc20147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4.2 评估频率要求</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_Toc20147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2</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139E7A78">
      <w:pPr>
        <w:pStyle w:val="26"/>
        <w:tabs>
          <w:tab w:val="right" w:leader="dot" w:pos="9354"/>
          <w:tab w:val="clear" w:pos="9344"/>
        </w:tabs>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_Toc28416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4.3 评估实施方式</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_Toc28416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2</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27B010C9">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_Toc9617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4.4 评估程序与流程</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_Toc9617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3</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2E540A96">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_Toc21090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5 </w:t>
      </w:r>
      <w:r>
        <w:rPr>
          <w:rFonts w:hint="default" w:ascii="Times New Roman" w:hAnsi="Times New Roman" w:eastAsia="宋体" w:cs="Times New Roman"/>
        </w:rPr>
        <w:t>评估准备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_Toc21090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E26CF71">
      <w:pPr>
        <w:pStyle w:val="26"/>
        <w:tabs>
          <w:tab w:val="right" w:leader="dot" w:pos="9354"/>
          <w:tab w:val="clear" w:pos="9344"/>
        </w:tabs>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_Toc21904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5.1 评估资料收集</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_Toc21904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3</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39DC4304">
      <w:pPr>
        <w:pStyle w:val="26"/>
        <w:tabs>
          <w:tab w:val="right" w:leader="dot" w:pos="9354"/>
          <w:tab w:val="clear" w:pos="9344"/>
        </w:tabs>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_Toc32147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5.2 监测工作开展</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_Toc32147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4</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3ACAB382">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HYPERLINK \l _Toc17811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5.3 工作方案编制</w:t>
      </w:r>
      <w:r>
        <w:rPr>
          <w:rFonts w:hint="default" w:ascii="Times New Roman" w:hAnsi="Times New Roman" w:eastAsia="宋体" w:cs="Times New Roman"/>
          <w:i w:val="0"/>
          <w:kern w:val="2"/>
          <w:sz w:val="21"/>
          <w:szCs w:val="21"/>
          <w:lang w:val="en-US" w:eastAsia="zh-CN" w:bidi="ar-SA"/>
        </w:rPr>
        <w:tab/>
      </w:r>
      <w:r>
        <w:rPr>
          <w:rFonts w:hint="default" w:ascii="Times New Roman" w:hAnsi="Times New Roman" w:eastAsia="宋体" w:cs="Times New Roman"/>
          <w:i w:val="0"/>
          <w:kern w:val="2"/>
          <w:sz w:val="21"/>
          <w:szCs w:val="21"/>
          <w:lang w:val="en-US" w:eastAsia="zh-CN" w:bidi="ar-SA"/>
        </w:rPr>
        <w:fldChar w:fldCharType="begin"/>
      </w:r>
      <w:r>
        <w:rPr>
          <w:rFonts w:hint="default" w:ascii="Times New Roman" w:hAnsi="Times New Roman" w:eastAsia="宋体" w:cs="Times New Roman"/>
          <w:i w:val="0"/>
          <w:kern w:val="2"/>
          <w:sz w:val="21"/>
          <w:szCs w:val="21"/>
          <w:lang w:val="en-US" w:eastAsia="zh-CN" w:bidi="ar-SA"/>
        </w:rPr>
        <w:instrText xml:space="preserve"> PAGEREF _Toc17811 \h </w:instrText>
      </w:r>
      <w:r>
        <w:rPr>
          <w:rFonts w:hint="default" w:ascii="Times New Roman" w:hAnsi="Times New Roman" w:eastAsia="宋体" w:cs="Times New Roman"/>
          <w:i w:val="0"/>
          <w:kern w:val="2"/>
          <w:sz w:val="21"/>
          <w:szCs w:val="21"/>
          <w:lang w:val="en-US" w:eastAsia="zh-CN" w:bidi="ar-SA"/>
        </w:rPr>
        <w:fldChar w:fldCharType="separate"/>
      </w:r>
      <w:r>
        <w:rPr>
          <w:rFonts w:hint="default" w:ascii="Times New Roman" w:hAnsi="Times New Roman" w:eastAsia="宋体" w:cs="Times New Roman"/>
          <w:i w:val="0"/>
          <w:kern w:val="2"/>
          <w:sz w:val="21"/>
          <w:szCs w:val="21"/>
          <w:lang w:val="en-US" w:eastAsia="zh-CN" w:bidi="ar-SA"/>
        </w:rPr>
        <w:t>4</w:t>
      </w:r>
      <w:r>
        <w:rPr>
          <w:rFonts w:hint="default" w:ascii="Times New Roman" w:hAnsi="Times New Roman" w:eastAsia="宋体" w:cs="Times New Roman"/>
          <w:i w:val="0"/>
          <w:kern w:val="2"/>
          <w:sz w:val="21"/>
          <w:szCs w:val="21"/>
          <w:lang w:val="en-US" w:eastAsia="zh-CN" w:bidi="ar-SA"/>
        </w:rPr>
        <w:fldChar w:fldCharType="end"/>
      </w:r>
      <w:r>
        <w:rPr>
          <w:rFonts w:hint="default" w:ascii="Times New Roman" w:hAnsi="Times New Roman" w:eastAsia="宋体" w:cs="Times New Roman"/>
          <w:i w:val="0"/>
          <w:kern w:val="2"/>
          <w:sz w:val="21"/>
          <w:szCs w:val="21"/>
          <w:lang w:val="en-US" w:eastAsia="zh-CN" w:bidi="ar-SA"/>
        </w:rPr>
        <w:fldChar w:fldCharType="end"/>
      </w:r>
    </w:p>
    <w:p w14:paraId="15A9FF6E">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_Toc28523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6 </w:t>
      </w:r>
      <w:r>
        <w:rPr>
          <w:rFonts w:hint="default" w:ascii="Times New Roman" w:hAnsi="Times New Roman" w:eastAsia="宋体" w:cs="Times New Roman"/>
        </w:rPr>
        <w:t>评估实施</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_Toc28523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96F43BC">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_Toc26248 </w:instrText>
      </w:r>
      <w:r>
        <w:rPr>
          <w:rFonts w:hint="default" w:ascii="Times New Roman" w:hAnsi="Times New Roman" w:eastAsia="宋体" w:cs="Times New Roman"/>
        </w:rPr>
        <w:fldChar w:fldCharType="separate"/>
      </w:r>
      <w:r>
        <w:rPr>
          <w:rFonts w:hint="default" w:ascii="Times New Roman" w:hAnsi="Times New Roman" w:eastAsia="宋体" w:cs="Times New Roman"/>
          <w:i w:val="0"/>
          <w:kern w:val="2"/>
          <w:sz w:val="21"/>
          <w:szCs w:val="21"/>
          <w:lang w:val="en-US" w:eastAsia="zh-CN" w:bidi="ar-SA"/>
        </w:rPr>
        <w:t>6.1</w:t>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eastAsia="宋体" w:cs="Times New Roman"/>
        </w:rPr>
        <w:t>评估内容</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_Toc26248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0B6A3C4">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_Toc29873 </w:instrText>
      </w:r>
      <w:r>
        <w:rPr>
          <w:rFonts w:hint="default" w:ascii="Times New Roman" w:hAnsi="Times New Roman" w:eastAsia="宋体" w:cs="Times New Roman"/>
        </w:rPr>
        <w:fldChar w:fldCharType="separate"/>
      </w:r>
      <w:r>
        <w:rPr>
          <w:rFonts w:hint="default" w:ascii="Times New Roman" w:hAnsi="Times New Roman" w:eastAsia="宋体" w:cs="Times New Roman"/>
          <w:i w:val="0"/>
          <w:kern w:val="2"/>
          <w:sz w:val="21"/>
          <w:szCs w:val="21"/>
          <w:lang w:val="en-US" w:eastAsia="zh-CN" w:bidi="ar-SA"/>
        </w:rPr>
        <w:t xml:space="preserve">6.2 </w:t>
      </w:r>
      <w:r>
        <w:rPr>
          <w:rFonts w:hint="default" w:ascii="Times New Roman" w:hAnsi="Times New Roman" w:eastAsia="宋体" w:cs="Times New Roman"/>
        </w:rPr>
        <w:t>主要功能单元性能评估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_Toc29873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0AF03E5">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_Toc15208 </w:instrText>
      </w:r>
      <w:r>
        <w:rPr>
          <w:rFonts w:hint="default" w:ascii="Times New Roman" w:hAnsi="Times New Roman" w:eastAsia="宋体" w:cs="Times New Roman"/>
        </w:rPr>
        <w:fldChar w:fldCharType="separate"/>
      </w:r>
      <w:r>
        <w:rPr>
          <w:rFonts w:hint="default" w:ascii="Times New Roman" w:hAnsi="Times New Roman" w:eastAsia="宋体" w:cs="Times New Roman"/>
          <w:i w:val="0"/>
          <w:kern w:val="2"/>
          <w:sz w:val="21"/>
          <w:szCs w:val="21"/>
          <w:lang w:val="en-US" w:eastAsia="zh-CN" w:bidi="ar-SA"/>
        </w:rPr>
        <w:t>6.3</w:t>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eastAsia="宋体" w:cs="Times New Roman"/>
        </w:rPr>
        <w:t>地下水污染状况评估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_Toc15208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75E5703">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_Toc28829 </w:instrText>
      </w:r>
      <w:r>
        <w:rPr>
          <w:rFonts w:hint="default" w:ascii="Times New Roman" w:hAnsi="Times New Roman" w:eastAsia="宋体" w:cs="Times New Roman"/>
        </w:rPr>
        <w:fldChar w:fldCharType="separate"/>
      </w:r>
      <w:r>
        <w:rPr>
          <w:rFonts w:hint="default" w:ascii="Times New Roman" w:hAnsi="Times New Roman" w:eastAsia="宋体" w:cs="Times New Roman"/>
          <w:i w:val="0"/>
          <w:kern w:val="2"/>
          <w:sz w:val="21"/>
          <w:szCs w:val="21"/>
          <w:lang w:val="en-US" w:eastAsia="zh-CN" w:bidi="ar-SA"/>
        </w:rPr>
        <w:t>6.4</w:t>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eastAsia="宋体" w:cs="Times New Roman"/>
        </w:rPr>
        <w:t>环境安全性能综合评估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_Toc28829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7548770">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_Toc24100 </w:instrText>
      </w:r>
      <w:r>
        <w:rPr>
          <w:rFonts w:hint="default" w:ascii="Times New Roman" w:hAnsi="Times New Roman" w:eastAsia="宋体" w:cs="Times New Roman"/>
        </w:rPr>
        <w:fldChar w:fldCharType="separate"/>
      </w:r>
      <w:r>
        <w:rPr>
          <w:rFonts w:hint="default" w:ascii="Times New Roman" w:hAnsi="Times New Roman" w:eastAsia="宋体" w:cs="Times New Roman"/>
          <w:i w:val="0"/>
          <w:kern w:val="2"/>
          <w:sz w:val="21"/>
          <w:szCs w:val="21"/>
          <w:lang w:val="en-US" w:eastAsia="zh-CN" w:bidi="ar-SA"/>
        </w:rPr>
        <w:t>6.5</w:t>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eastAsia="宋体" w:cs="Times New Roman"/>
        </w:rPr>
        <w:t>评估结论与判定标准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_Toc24100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77B312D">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_Toc12939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7 </w:t>
      </w:r>
      <w:r>
        <w:rPr>
          <w:rFonts w:hint="default" w:ascii="Times New Roman" w:hAnsi="Times New Roman" w:eastAsia="宋体" w:cs="Times New Roman"/>
        </w:rPr>
        <w:t>报告编制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_Toc12939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489EFB5">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_Toc20752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8 </w:t>
      </w:r>
      <w:r>
        <w:rPr>
          <w:rFonts w:hint="default" w:ascii="Times New Roman" w:hAnsi="Times New Roman" w:eastAsia="宋体" w:cs="Times New Roman"/>
        </w:rPr>
        <w:t>监督管理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_Toc20752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B63DA0F">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_Toc2629 </w:instrText>
      </w:r>
      <w:r>
        <w:rPr>
          <w:rFonts w:hint="default" w:ascii="Times New Roman" w:hAnsi="Times New Roman" w:eastAsia="宋体" w:cs="Times New Roman"/>
        </w:rPr>
        <w:fldChar w:fldCharType="separate"/>
      </w:r>
      <w:r>
        <w:rPr>
          <w:rFonts w:hint="default" w:ascii="Times New Roman" w:hAnsi="Times New Roman" w:eastAsia="宋体" w:cs="Times New Roman"/>
          <w:spacing w:val="100"/>
        </w:rPr>
        <w:t>附录A</w:t>
      </w:r>
      <w:r>
        <w:rPr>
          <w:rFonts w:hint="default" w:ascii="Times New Roman" w:hAnsi="Times New Roman" w:eastAsia="宋体" w:cs="Times New Roman"/>
        </w:rPr>
        <w:t xml:space="preserve"> 危废填埋场环境安全性能评估项目工作方案</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_Toc2629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6C3BFBF">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_Toc10376 </w:instrText>
      </w:r>
      <w:r>
        <w:rPr>
          <w:rFonts w:hint="default" w:ascii="Times New Roman" w:hAnsi="Times New Roman" w:eastAsia="宋体" w:cs="Times New Roman"/>
        </w:rPr>
        <w:fldChar w:fldCharType="separate"/>
      </w:r>
      <w:r>
        <w:rPr>
          <w:rFonts w:hint="default" w:ascii="Times New Roman" w:hAnsi="Times New Roman" w:eastAsia="宋体" w:cs="Times New Roman"/>
          <w:spacing w:val="100"/>
        </w:rPr>
        <w:t>附录B</w:t>
      </w:r>
      <w:r>
        <w:rPr>
          <w:rFonts w:hint="default" w:ascii="Times New Roman" w:hAnsi="Times New Roman" w:eastAsia="宋体" w:cs="Times New Roman"/>
        </w:rPr>
        <w:t>渗滤液采样核实记录表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_Toc10376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C2A70DD">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_Toc6023 </w:instrText>
      </w:r>
      <w:r>
        <w:rPr>
          <w:rFonts w:hint="default" w:ascii="Times New Roman" w:hAnsi="Times New Roman" w:eastAsia="宋体" w:cs="Times New Roman"/>
        </w:rPr>
        <w:fldChar w:fldCharType="separate"/>
      </w:r>
      <w:r>
        <w:rPr>
          <w:rFonts w:hint="default" w:ascii="Times New Roman" w:hAnsi="Times New Roman" w:eastAsia="宋体" w:cs="Times New Roman"/>
          <w:spacing w:val="100"/>
        </w:rPr>
        <w:t>附录C</w:t>
      </w:r>
      <w:r>
        <w:rPr>
          <w:rFonts w:hint="default" w:ascii="Times New Roman" w:hAnsi="Times New Roman" w:eastAsia="宋体" w:cs="Times New Roman"/>
        </w:rPr>
        <w:t xml:space="preserve"> 防渗层上最大渗滤液水头的计算公式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_Toc6023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4524081">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_Toc14054 </w:instrText>
      </w:r>
      <w:r>
        <w:rPr>
          <w:rFonts w:hint="default" w:ascii="Times New Roman" w:hAnsi="Times New Roman" w:eastAsia="宋体" w:cs="Times New Roman"/>
        </w:rPr>
        <w:fldChar w:fldCharType="separate"/>
      </w:r>
      <w:r>
        <w:rPr>
          <w:rFonts w:hint="default" w:ascii="Times New Roman" w:hAnsi="Times New Roman" w:eastAsia="宋体" w:cs="Times New Roman"/>
        </w:rPr>
        <w:t>C.1　Moore 80方法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_Toc14054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3817017">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_Toc30373 </w:instrText>
      </w:r>
      <w:r>
        <w:rPr>
          <w:rFonts w:hint="default" w:ascii="Times New Roman" w:hAnsi="Times New Roman" w:eastAsia="宋体" w:cs="Times New Roman"/>
        </w:rPr>
        <w:fldChar w:fldCharType="separate"/>
      </w:r>
      <w:r>
        <w:rPr>
          <w:rFonts w:hint="default" w:ascii="Times New Roman" w:hAnsi="Times New Roman" w:eastAsia="宋体" w:cs="Times New Roman"/>
        </w:rPr>
        <w:t>C.2　Moore 83方法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_Toc30373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178FD39">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_Toc29954 </w:instrText>
      </w:r>
      <w:r>
        <w:rPr>
          <w:rFonts w:hint="default" w:ascii="Times New Roman" w:hAnsi="Times New Roman" w:eastAsia="宋体" w:cs="Times New Roman"/>
        </w:rPr>
        <w:fldChar w:fldCharType="separate"/>
      </w:r>
      <w:r>
        <w:rPr>
          <w:rFonts w:hint="default" w:ascii="Times New Roman" w:hAnsi="Times New Roman" w:eastAsia="宋体" w:cs="Times New Roman"/>
        </w:rPr>
        <w:t>C.3　Giroud 92方法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_Toc29954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6F7251D">
      <w:pPr>
        <w:pStyle w:val="26"/>
        <w:tabs>
          <w:tab w:val="right" w:leader="dot" w:pos="9354"/>
          <w:tab w:val="clear" w:pos="934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_Toc15240 </w:instrText>
      </w:r>
      <w:r>
        <w:rPr>
          <w:rFonts w:hint="default" w:ascii="Times New Roman" w:hAnsi="Times New Roman" w:eastAsia="宋体" w:cs="Times New Roman"/>
        </w:rPr>
        <w:fldChar w:fldCharType="separate"/>
      </w:r>
      <w:r>
        <w:rPr>
          <w:rFonts w:hint="default" w:ascii="Times New Roman" w:hAnsi="Times New Roman" w:eastAsia="宋体" w:cs="Times New Roman"/>
        </w:rPr>
        <w:t>C.4　McEnroe 93方法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_Toc15240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5DD4E15">
      <w:pPr>
        <w:pStyle w:val="21"/>
        <w:tabs>
          <w:tab w:val="right" w:leader="dot" w:pos="9354"/>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_Toc29650 </w:instrText>
      </w:r>
      <w:r>
        <w:rPr>
          <w:rFonts w:hint="default" w:ascii="Times New Roman" w:hAnsi="Times New Roman" w:eastAsia="宋体" w:cs="Times New Roman"/>
        </w:rPr>
        <w:fldChar w:fldCharType="separate"/>
      </w:r>
      <w:r>
        <w:rPr>
          <w:rFonts w:hint="default" w:ascii="Times New Roman" w:hAnsi="Times New Roman" w:eastAsia="宋体" w:cs="Times New Roman"/>
          <w:spacing w:val="100"/>
        </w:rPr>
        <w:t>附录D</w:t>
      </w:r>
      <w:r>
        <w:rPr>
          <w:rFonts w:hint="default" w:ascii="Times New Roman" w:hAnsi="Times New Roman" w:eastAsia="宋体" w:cs="Times New Roman"/>
        </w:rPr>
        <w:t>评估报告编制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_Toc29650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8D64119">
      <w:pPr>
        <w:pStyle w:val="21"/>
        <w:tabs>
          <w:tab w:val="right" w:leader="dot" w:pos="9354"/>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_Toc2159 </w:instrText>
      </w:r>
      <w:r>
        <w:rPr>
          <w:rFonts w:hint="default" w:ascii="Times New Roman" w:hAnsi="Times New Roman" w:eastAsia="宋体" w:cs="Times New Roman"/>
        </w:rPr>
        <w:fldChar w:fldCharType="separate"/>
      </w:r>
      <w:r>
        <w:rPr>
          <w:rFonts w:hint="eastAsia"/>
          <w:spacing w:val="105"/>
        </w:rPr>
        <w:t>参考文</w:t>
      </w:r>
      <w:r>
        <w:rPr>
          <w:rFonts w:hint="eastAsia"/>
        </w:rPr>
        <w:t>献</w:t>
      </w:r>
      <w:r>
        <w:tab/>
      </w:r>
      <w:r>
        <w:fldChar w:fldCharType="begin"/>
      </w:r>
      <w:r>
        <w:instrText xml:space="preserve"> PAGEREF _Toc2159 \h </w:instrText>
      </w:r>
      <w:r>
        <w:fldChar w:fldCharType="separate"/>
      </w:r>
      <w:r>
        <w:t>14</w:t>
      </w:r>
      <w:r>
        <w:fldChar w:fldCharType="end"/>
      </w:r>
      <w:r>
        <w:rPr>
          <w:rFonts w:hint="default" w:ascii="Times New Roman" w:hAnsi="Times New Roman" w:eastAsia="宋体" w:cs="Times New Roman"/>
        </w:rPr>
        <w:fldChar w:fldCharType="end"/>
      </w:r>
    </w:p>
    <w:p w14:paraId="64086A1C">
      <w:pPr>
        <w:pStyle w:val="96"/>
        <w:spacing w:after="360"/>
        <w:rPr>
          <w:rFonts w:hint="default" w:ascii="Times New Roman" w:hAnsi="Times New Roman" w:cs="Times New Roman"/>
        </w:rPr>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linePitch="312" w:charSpace="0"/>
        </w:sectPr>
      </w:pPr>
      <w:r>
        <w:rPr>
          <w:rFonts w:hint="default" w:ascii="Times New Roman" w:hAnsi="Times New Roman" w:eastAsia="宋体" w:cs="Times New Roman"/>
        </w:rPr>
        <w:fldChar w:fldCharType="end"/>
      </w:r>
    </w:p>
    <w:bookmarkEnd w:id="17"/>
    <w:p w14:paraId="31DBAE88">
      <w:pPr>
        <w:pStyle w:val="94"/>
        <w:spacing w:after="360"/>
      </w:pPr>
      <w:bookmarkStart w:id="18" w:name="_Toc11253"/>
      <w:bookmarkStart w:id="19" w:name="_Toc17985"/>
      <w:bookmarkStart w:id="20" w:name="_Toc18193"/>
      <w:bookmarkStart w:id="21" w:name="BookMark2"/>
      <w:bookmarkStart w:id="22" w:name="_Toc25018"/>
      <w:bookmarkStart w:id="23" w:name="_Toc22723"/>
      <w:bookmarkStart w:id="24" w:name="BookMark3"/>
      <w:r>
        <w:rPr>
          <w:spacing w:val="320"/>
        </w:rPr>
        <w:t>前</w:t>
      </w:r>
      <w:r>
        <w:t>言</w:t>
      </w:r>
      <w:bookmarkEnd w:id="18"/>
      <w:bookmarkEnd w:id="19"/>
      <w:bookmarkEnd w:id="20"/>
    </w:p>
    <w:p w14:paraId="53C362A2">
      <w:pPr>
        <w:pStyle w:val="61"/>
        <w:ind w:firstLine="420"/>
      </w:pPr>
      <w:r>
        <w:rPr>
          <w:rFonts w:hint="eastAsia"/>
        </w:rPr>
        <w:t>为贯彻《中华人民共和国环境保护法》《中华人民共和国固体废物污染环境防治法》《中华人民共和国土壤污染防治法》，本文件规定了危险废物柔性填埋场主要功能单元的性能评估内容与方法、地下水污染状况评估方法、环境安全性能</w:t>
      </w:r>
      <w:r>
        <w:rPr>
          <w:rFonts w:hint="eastAsia"/>
          <w:lang w:val="en-US" w:eastAsia="zh-CN"/>
        </w:rPr>
        <w:t>综合</w:t>
      </w:r>
      <w:r>
        <w:rPr>
          <w:rFonts w:hint="eastAsia"/>
        </w:rPr>
        <w:t>评估判断标准及处置建议等技术要求，适用于运行、封场阶段危险废物柔性填埋场的环境安全性能评估工作。刚性填埋场环境安全性能评估可参照本文件执行。</w:t>
      </w:r>
    </w:p>
    <w:p w14:paraId="09ABC8C8">
      <w:pPr>
        <w:pStyle w:val="61"/>
        <w:ind w:firstLine="420"/>
      </w:pPr>
      <w:r>
        <w:rPr>
          <w:rFonts w:hint="eastAsia"/>
        </w:rPr>
        <w:t>请注意本文件的某些内容可能涉及专利。本文件的发布机构不承担识别专利的责任。</w:t>
      </w:r>
    </w:p>
    <w:p w14:paraId="1E4251A9">
      <w:pPr>
        <w:pStyle w:val="61"/>
        <w:ind w:firstLine="420"/>
      </w:pPr>
      <w:r>
        <w:rPr>
          <w:rFonts w:hint="eastAsia"/>
        </w:rPr>
        <w:t>本文件由××××提出。</w:t>
      </w:r>
    </w:p>
    <w:p w14:paraId="7143924A">
      <w:pPr>
        <w:pStyle w:val="61"/>
        <w:ind w:firstLine="420"/>
      </w:pPr>
      <w:r>
        <w:rPr>
          <w:rFonts w:hint="eastAsia"/>
        </w:rPr>
        <w:t>本文件由中国环境科学学会归口。</w:t>
      </w:r>
    </w:p>
    <w:p w14:paraId="48500F2D">
      <w:pPr>
        <w:pStyle w:val="61"/>
        <w:ind w:firstLine="420"/>
      </w:pPr>
      <w:r>
        <w:rPr>
          <w:rFonts w:hint="eastAsia"/>
        </w:rPr>
        <w:t>本文件起草单位：</w:t>
      </w:r>
    </w:p>
    <w:p w14:paraId="42631993">
      <w:pPr>
        <w:pStyle w:val="61"/>
        <w:ind w:firstLine="420"/>
      </w:pPr>
      <w:r>
        <w:rPr>
          <w:rFonts w:hint="eastAsia"/>
        </w:rPr>
        <w:t>本文件主要起草人：中国环境科学研究院、兰州大学。</w:t>
      </w:r>
    </w:p>
    <w:bookmarkEnd w:id="21"/>
    <w:p w14:paraId="6ED8E947">
      <w:pPr>
        <w:spacing w:after="360"/>
      </w:pPr>
      <w:r>
        <w:rPr>
          <w:spacing w:val="320"/>
        </w:rPr>
        <w:br w:type="page"/>
      </w:r>
    </w:p>
    <w:p w14:paraId="127A3092">
      <w:pPr>
        <w:pStyle w:val="94"/>
        <w:spacing w:after="360"/>
      </w:pPr>
      <w:bookmarkStart w:id="25" w:name="_Toc3668"/>
      <w:r>
        <w:rPr>
          <w:spacing w:val="320"/>
        </w:rPr>
        <w:t>引</w:t>
      </w:r>
      <w:r>
        <w:t>言</w:t>
      </w:r>
      <w:bookmarkEnd w:id="22"/>
      <w:bookmarkEnd w:id="23"/>
      <w:bookmarkEnd w:id="25"/>
    </w:p>
    <w:p w14:paraId="74A61A8A">
      <w:pPr>
        <w:pStyle w:val="61"/>
        <w:ind w:firstLine="420"/>
      </w:pPr>
      <w:r>
        <w:rPr>
          <w:rFonts w:hint="eastAsia"/>
        </w:rPr>
        <w:t>危险废物填埋是固体废物最终处置的重要方式之一。填埋场在运行及封场期间，其防渗系统、导排系统、覆盖系统等关键功能单元的完整性直接关系到渗滤液迁移控制与地下水环境安全。为加强风险预警、落实源头防控，有必要建立科学、系统、可操作的评估技术规范。</w:t>
      </w:r>
    </w:p>
    <w:p w14:paraId="2355279B">
      <w:pPr>
        <w:pStyle w:val="61"/>
        <w:ind w:firstLine="420"/>
      </w:pPr>
      <w:r>
        <w:rPr>
          <w:rFonts w:hint="eastAsia"/>
        </w:rPr>
        <w:t>本规范提出了危险废物</w:t>
      </w:r>
      <w:r>
        <w:rPr>
          <w:rFonts w:hint="eastAsia"/>
          <w:lang w:val="en-US" w:eastAsia="zh-CN"/>
        </w:rPr>
        <w:t>柔性</w:t>
      </w:r>
      <w:r>
        <w:rPr>
          <w:rFonts w:hint="eastAsia"/>
        </w:rPr>
        <w:t>填埋场环境安全性能评估的基本原则与评估流程，明确了评估适用情形、关键技术指标与判断方法，并结合功能单元性能测试、地下水污染状况分析和模型计算等手段，对填埋场安全性能进行综合评估，为环境监管和企业自查提供技术支撑，提升危险废物安全处置的科学化与标准化水平。</w:t>
      </w:r>
    </w:p>
    <w:p w14:paraId="14DD285F">
      <w:pPr>
        <w:pStyle w:val="61"/>
        <w:ind w:firstLine="420"/>
      </w:pPr>
    </w:p>
    <w:p w14:paraId="03628DCC">
      <w:pPr>
        <w:pStyle w:val="61"/>
        <w:ind w:firstLine="420"/>
      </w:pPr>
    </w:p>
    <w:p w14:paraId="76E670F2">
      <w:pPr>
        <w:pStyle w:val="61"/>
        <w:ind w:firstLine="420"/>
      </w:pPr>
    </w:p>
    <w:p w14:paraId="0187E9B5">
      <w:pPr>
        <w:pStyle w:val="61"/>
        <w:ind w:firstLine="420"/>
      </w:pPr>
    </w:p>
    <w:p w14:paraId="561D668C">
      <w:pPr>
        <w:pStyle w:val="61"/>
        <w:ind w:firstLine="420"/>
        <w:sectPr>
          <w:headerReference r:id="rId13" w:type="default"/>
          <w:footerReference r:id="rId15" w:type="default"/>
          <w:headerReference r:id="rId14" w:type="even"/>
          <w:footerReference r:id="rId16" w:type="even"/>
          <w:pgSz w:w="11906" w:h="16838"/>
          <w:pgMar w:top="2409" w:right="1134" w:bottom="1134" w:left="1134" w:header="1418" w:footer="1134" w:gutter="283"/>
          <w:pgNumType w:fmt="upperRoman"/>
          <w:cols w:space="0" w:num="1"/>
          <w:formProt w:val="0"/>
          <w:rtlGutter w:val="0"/>
          <w:docGrid w:linePitch="312" w:charSpace="0"/>
        </w:sectPr>
      </w:pPr>
    </w:p>
    <w:bookmarkEnd w:id="24"/>
    <w:p w14:paraId="40F3DFA1">
      <w:pPr>
        <w:spacing w:line="20" w:lineRule="exact"/>
        <w:jc w:val="center"/>
        <w:rPr>
          <w:rFonts w:hint="eastAsia" w:ascii="黑体" w:hAnsi="黑体" w:eastAsia="黑体"/>
          <w:sz w:val="32"/>
          <w:szCs w:val="32"/>
        </w:rPr>
      </w:pPr>
      <w:bookmarkStart w:id="26" w:name="BookMark4"/>
    </w:p>
    <w:p w14:paraId="66D6EF77">
      <w:pPr>
        <w:spacing w:line="20" w:lineRule="exact"/>
        <w:jc w:val="center"/>
        <w:rPr>
          <w:rFonts w:hint="eastAsia" w:ascii="黑体" w:hAnsi="黑体" w:eastAsia="黑体"/>
          <w:sz w:val="32"/>
          <w:szCs w:val="32"/>
        </w:rPr>
      </w:pPr>
    </w:p>
    <w:p w14:paraId="5EAD891C">
      <w:pPr>
        <w:pStyle w:val="182"/>
        <w:spacing w:after="528" w:afterLines="220"/>
        <w:rPr>
          <w:rFonts w:hint="eastAsia"/>
        </w:rPr>
      </w:pPr>
      <w:sdt>
        <w:sdtPr>
          <w:tag w:val="NEW_STAND_NAME"/>
          <w:id w:val="595910757"/>
          <w:lock w:val="sdtLocked"/>
          <w:placeholder>
            <w:docPart w:val="1372F4FE3A5242C98876936A4D5A7CDD"/>
          </w:placeholder>
        </w:sdtPr>
        <w:sdtContent>
          <w:bookmarkStart w:id="27" w:name="NEW_STAND_NAME"/>
          <w:r>
            <w:rPr>
              <w:rFonts w:hint="eastAsia"/>
            </w:rPr>
            <w:t>危险废物填埋场环境安全性能评估技术规范</w:t>
          </w:r>
        </w:sdtContent>
      </w:sdt>
    </w:p>
    <w:bookmarkEnd w:id="27"/>
    <w:p w14:paraId="4271F20E">
      <w:pPr>
        <w:pStyle w:val="109"/>
        <w:spacing w:before="240" w:after="240"/>
      </w:pPr>
      <w:bookmarkStart w:id="28" w:name="_Toc400"/>
      <w:bookmarkStart w:id="29" w:name="_Toc26986771"/>
      <w:bookmarkStart w:id="30" w:name="_Toc26648465"/>
      <w:bookmarkStart w:id="31" w:name="_Toc24884218"/>
      <w:bookmarkStart w:id="32" w:name="_Toc17233325"/>
      <w:bookmarkStart w:id="33" w:name="_Toc26718930"/>
      <w:bookmarkStart w:id="34" w:name="_Toc15387"/>
      <w:bookmarkStart w:id="35" w:name="_Toc26986530"/>
      <w:bookmarkStart w:id="36" w:name="_Toc24884211"/>
      <w:bookmarkStart w:id="37" w:name="_Toc77262523"/>
      <w:bookmarkStart w:id="38" w:name="_Toc26240"/>
      <w:bookmarkStart w:id="39" w:name="_Toc17233333"/>
      <w:bookmarkStart w:id="40" w:name="_Toc17386"/>
      <w:bookmarkStart w:id="41" w:name="_Toc26319"/>
      <w:bookmarkStart w:id="42" w:name="_Toc77262524"/>
      <w:bookmarkStart w:id="43" w:name="_Toc26648466"/>
      <w:bookmarkStart w:id="44" w:name="_Toc17233334"/>
      <w:bookmarkStart w:id="45" w:name="_Toc26718931"/>
      <w:bookmarkStart w:id="46" w:name="_Toc26986531"/>
      <w:bookmarkStart w:id="47" w:name="_Toc17233326"/>
      <w:bookmarkStart w:id="48" w:name="_Toc26986772"/>
      <w:bookmarkStart w:id="49" w:name="_Toc24884212"/>
      <w:bookmarkStart w:id="50" w:name="_Toc24884219"/>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285FD8BB">
      <w:pPr>
        <w:pStyle w:val="61"/>
        <w:ind w:firstLine="420"/>
      </w:pPr>
      <w:r>
        <w:rPr>
          <w:rFonts w:hint="eastAsia"/>
        </w:rPr>
        <w:t>本文件确立了危险废物柔性填埋场环境安全性能评估（以下简称评估）的基本原则，规定了评估实施、评估方法、报告编制及成果报送等基本要求。</w:t>
      </w:r>
    </w:p>
    <w:p w14:paraId="4437201A">
      <w:pPr>
        <w:pStyle w:val="61"/>
        <w:ind w:firstLine="420"/>
      </w:pPr>
      <w:r>
        <w:rPr>
          <w:rFonts w:hint="eastAsia"/>
        </w:rPr>
        <w:t>本文件适用于各类危险废物</w:t>
      </w:r>
      <w:r>
        <w:rPr>
          <w:rFonts w:hint="eastAsia"/>
          <w:lang w:val="en-US" w:eastAsia="zh-CN"/>
        </w:rPr>
        <w:t>柔性</w:t>
      </w:r>
      <w:r>
        <w:rPr>
          <w:rFonts w:hint="eastAsia"/>
        </w:rPr>
        <w:t>填埋场在运行、停用和封场阶段的环境安全性能评估工作，包括填埋场企业各阶段定期开展的环境安全性能评估，产废企业委托处置危险废物合同签订前的危险废物填埋场性能评估，以及主管部门对危险废物填埋场环境安全性能评估。</w:t>
      </w:r>
    </w:p>
    <w:p w14:paraId="259FD215">
      <w:pPr>
        <w:pStyle w:val="61"/>
        <w:ind w:firstLine="420"/>
      </w:pPr>
      <w:r>
        <w:rPr>
          <w:rFonts w:hint="eastAsia"/>
        </w:rPr>
        <w:t>本文件同时适用于首次评估和后续定期评估。</w:t>
      </w:r>
    </w:p>
    <w:p w14:paraId="7F4B28DF">
      <w:pPr>
        <w:pStyle w:val="109"/>
        <w:spacing w:before="240" w:after="240"/>
      </w:pPr>
      <w:bookmarkStart w:id="51" w:name="_Toc2576"/>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DC964944E7AE40958021BBAF2621156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6BF82A">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61C0E32">
      <w:pPr>
        <w:pStyle w:val="61"/>
        <w:ind w:firstLine="420"/>
        <w:rPr>
          <w:rFonts w:ascii="Times New Roman"/>
        </w:rPr>
      </w:pPr>
      <w:r>
        <w:rPr>
          <w:rFonts w:ascii="Times New Roman"/>
        </w:rPr>
        <w:t xml:space="preserve">GB 18598     </w:t>
      </w:r>
      <w:r>
        <w:rPr>
          <w:rFonts w:hint="eastAsia" w:ascii="Times New Roman"/>
        </w:rPr>
        <w:t xml:space="preserve">        </w:t>
      </w:r>
      <w:r>
        <w:rPr>
          <w:rFonts w:ascii="Times New Roman"/>
        </w:rPr>
        <w:t xml:space="preserve">  危险废物填埋污染控制标准</w:t>
      </w:r>
    </w:p>
    <w:p w14:paraId="090B1DA4">
      <w:pPr>
        <w:pStyle w:val="61"/>
        <w:ind w:firstLine="420"/>
        <w:rPr>
          <w:rFonts w:ascii="Times New Roman"/>
        </w:rPr>
      </w:pPr>
      <w:r>
        <w:rPr>
          <w:rFonts w:ascii="Times New Roman"/>
        </w:rPr>
        <w:t xml:space="preserve">GB 50108    </w:t>
      </w:r>
      <w:r>
        <w:rPr>
          <w:rFonts w:hint="eastAsia" w:ascii="Times New Roman"/>
        </w:rPr>
        <w:t xml:space="preserve">        </w:t>
      </w:r>
      <w:r>
        <w:rPr>
          <w:rFonts w:ascii="Times New Roman"/>
        </w:rPr>
        <w:t xml:space="preserve">   地下工程防水技术规范</w:t>
      </w:r>
    </w:p>
    <w:p w14:paraId="3810D8CA">
      <w:pPr>
        <w:pStyle w:val="61"/>
        <w:ind w:firstLine="420"/>
        <w:rPr>
          <w:rFonts w:ascii="Times New Roman"/>
        </w:rPr>
      </w:pPr>
      <w:r>
        <w:rPr>
          <w:rFonts w:hint="eastAsia" w:ascii="Times New Roman"/>
        </w:rPr>
        <w:t xml:space="preserve">GB 5085.7              </w:t>
      </w:r>
      <w:r>
        <w:rPr>
          <w:rFonts w:ascii="Times New Roman"/>
        </w:rPr>
        <w:t>危险废物鉴别标准 通则</w:t>
      </w:r>
    </w:p>
    <w:p w14:paraId="1D594AB7">
      <w:pPr>
        <w:pStyle w:val="61"/>
        <w:ind w:firstLine="420"/>
        <w:rPr>
          <w:rFonts w:ascii="Times New Roman"/>
        </w:rPr>
      </w:pPr>
      <w:r>
        <w:rPr>
          <w:rFonts w:ascii="Times New Roman"/>
        </w:rPr>
        <w:t xml:space="preserve">GB/T 14848   </w:t>
      </w:r>
      <w:r>
        <w:rPr>
          <w:rFonts w:hint="eastAsia" w:ascii="Times New Roman"/>
        </w:rPr>
        <w:t xml:space="preserve">        </w:t>
      </w:r>
      <w:r>
        <w:rPr>
          <w:rFonts w:ascii="Times New Roman"/>
        </w:rPr>
        <w:t xml:space="preserve">  地下水质量标准</w:t>
      </w:r>
    </w:p>
    <w:p w14:paraId="1D2E124F">
      <w:pPr>
        <w:pStyle w:val="61"/>
        <w:ind w:firstLine="420"/>
        <w:rPr>
          <w:rFonts w:ascii="Times New Roman"/>
        </w:rPr>
      </w:pPr>
      <w:r>
        <w:rPr>
          <w:rFonts w:ascii="Times New Roman"/>
        </w:rPr>
        <w:t>GB/T</w:t>
      </w:r>
      <w:r>
        <w:rPr>
          <w:rFonts w:hint="eastAsia" w:ascii="Times New Roman"/>
        </w:rPr>
        <w:t xml:space="preserve"> </w:t>
      </w:r>
      <w:r>
        <w:rPr>
          <w:rFonts w:ascii="Times New Roman"/>
        </w:rPr>
        <w:t>50869</w:t>
      </w:r>
      <w:r>
        <w:rPr>
          <w:rFonts w:hint="eastAsia" w:ascii="Times New Roman"/>
        </w:rPr>
        <w:t xml:space="preserve">             生活垃圾卫生填埋处理技术规范</w:t>
      </w:r>
    </w:p>
    <w:p w14:paraId="728F5CD7">
      <w:pPr>
        <w:pStyle w:val="61"/>
        <w:ind w:firstLine="420"/>
        <w:rPr>
          <w:rFonts w:ascii="Times New Roman"/>
        </w:rPr>
      </w:pPr>
      <w:r>
        <w:rPr>
          <w:rFonts w:ascii="Times New Roman"/>
        </w:rPr>
        <w:t xml:space="preserve">CJJ 113      </w:t>
      </w:r>
      <w:r>
        <w:rPr>
          <w:rFonts w:hint="eastAsia" w:ascii="Times New Roman"/>
        </w:rPr>
        <w:t xml:space="preserve">        </w:t>
      </w:r>
      <w:r>
        <w:rPr>
          <w:rFonts w:ascii="Times New Roman"/>
        </w:rPr>
        <w:t xml:space="preserve">   生活垃圾卫生填埋场防渗系统工程技术规范</w:t>
      </w:r>
    </w:p>
    <w:p w14:paraId="00E99224">
      <w:pPr>
        <w:pStyle w:val="61"/>
        <w:ind w:firstLine="420"/>
        <w:rPr>
          <w:rFonts w:ascii="Times New Roman"/>
        </w:rPr>
      </w:pPr>
      <w:r>
        <w:rPr>
          <w:rFonts w:ascii="Times New Roman"/>
        </w:rPr>
        <w:t xml:space="preserve">CJJ 176     </w:t>
      </w:r>
      <w:r>
        <w:rPr>
          <w:rFonts w:hint="eastAsia" w:ascii="Times New Roman"/>
        </w:rPr>
        <w:t xml:space="preserve">        </w:t>
      </w:r>
      <w:r>
        <w:rPr>
          <w:rFonts w:ascii="Times New Roman"/>
        </w:rPr>
        <w:t xml:space="preserve">    生活垃圾卫生填埋场岩土工程技术规范</w:t>
      </w:r>
    </w:p>
    <w:p w14:paraId="1B982BD9">
      <w:pPr>
        <w:pStyle w:val="61"/>
        <w:ind w:firstLine="420"/>
        <w:rPr>
          <w:rFonts w:ascii="Times New Roman"/>
        </w:rPr>
      </w:pPr>
      <w:r>
        <w:rPr>
          <w:rFonts w:ascii="Times New Roman"/>
        </w:rPr>
        <w:t>CJJ 181</w:t>
      </w:r>
      <w:r>
        <w:rPr>
          <w:rFonts w:hint="eastAsia" w:ascii="Times New Roman"/>
        </w:rPr>
        <w:t xml:space="preserve">                 城镇排水管道检测与评估技术规程</w:t>
      </w:r>
    </w:p>
    <w:p w14:paraId="03A47D81">
      <w:pPr>
        <w:pStyle w:val="61"/>
        <w:ind w:firstLine="420"/>
        <w:rPr>
          <w:rFonts w:ascii="Times New Roman"/>
        </w:rPr>
      </w:pPr>
      <w:r>
        <w:rPr>
          <w:rFonts w:ascii="Times New Roman"/>
        </w:rPr>
        <w:t xml:space="preserve">CJ/T 234     </w:t>
      </w:r>
      <w:r>
        <w:rPr>
          <w:rFonts w:hint="eastAsia" w:ascii="Times New Roman"/>
        </w:rPr>
        <w:t xml:space="preserve">        </w:t>
      </w:r>
      <w:r>
        <w:rPr>
          <w:rFonts w:ascii="Times New Roman"/>
        </w:rPr>
        <w:t xml:space="preserve">   垃圾填埋场用高密度聚乙烯土工膜</w:t>
      </w:r>
    </w:p>
    <w:p w14:paraId="37D6E339">
      <w:pPr>
        <w:pStyle w:val="61"/>
        <w:ind w:firstLine="420"/>
        <w:rPr>
          <w:rFonts w:ascii="Times New Roman"/>
        </w:rPr>
      </w:pPr>
      <w:r>
        <w:rPr>
          <w:rFonts w:ascii="Times New Roman"/>
        </w:rPr>
        <w:t>CJJ/T</w:t>
      </w:r>
      <w:r>
        <w:rPr>
          <w:rFonts w:hint="eastAsia" w:ascii="Times New Roman"/>
        </w:rPr>
        <w:t xml:space="preserve"> </w:t>
      </w:r>
      <w:r>
        <w:rPr>
          <w:rFonts w:ascii="Times New Roman"/>
        </w:rPr>
        <w:t>214</w:t>
      </w:r>
      <w:r>
        <w:rPr>
          <w:rFonts w:hint="eastAsia" w:ascii="Times New Roman"/>
        </w:rPr>
        <w:t xml:space="preserve">                生活垃圾填埋场防渗土工膜渗漏破损探测技术规程</w:t>
      </w:r>
    </w:p>
    <w:p w14:paraId="316E2121">
      <w:pPr>
        <w:pStyle w:val="61"/>
        <w:ind w:firstLine="420"/>
        <w:rPr>
          <w:rFonts w:ascii="Times New Roman"/>
        </w:rPr>
      </w:pPr>
      <w:r>
        <w:rPr>
          <w:rFonts w:hint="eastAsia" w:ascii="Times New Roman"/>
        </w:rPr>
        <w:t>HJ 1276</w:t>
      </w:r>
      <w:r>
        <w:rPr>
          <w:rFonts w:ascii="Times New Roman"/>
        </w:rPr>
        <w:t xml:space="preserve">                 </w:t>
      </w:r>
      <w:r>
        <w:rPr>
          <w:rFonts w:hint="eastAsia" w:ascii="Times New Roman"/>
        </w:rPr>
        <w:t xml:space="preserve">危险废物识别标志设置技术规范 </w:t>
      </w:r>
    </w:p>
    <w:p w14:paraId="24CC6F41">
      <w:pPr>
        <w:pStyle w:val="61"/>
        <w:ind w:firstLine="420"/>
        <w:rPr>
          <w:rFonts w:ascii="Times New Roman"/>
        </w:rPr>
      </w:pPr>
      <w:r>
        <w:rPr>
          <w:rFonts w:ascii="Times New Roman"/>
        </w:rPr>
        <w:t xml:space="preserve">HJ 164 </w:t>
      </w:r>
      <w:r>
        <w:rPr>
          <w:rFonts w:hint="eastAsia" w:ascii="Times New Roman"/>
        </w:rPr>
        <w:t xml:space="preserve">                 </w:t>
      </w:r>
      <w:r>
        <w:rPr>
          <w:rFonts w:ascii="Times New Roman"/>
        </w:rPr>
        <w:t>地下水环境监测技术规范</w:t>
      </w:r>
    </w:p>
    <w:p w14:paraId="53FF446B">
      <w:pPr>
        <w:pStyle w:val="61"/>
        <w:ind w:firstLine="420"/>
        <w:rPr>
          <w:rFonts w:ascii="Times New Roman"/>
        </w:rPr>
      </w:pPr>
      <w:r>
        <w:rPr>
          <w:rFonts w:ascii="Times New Roman"/>
        </w:rPr>
        <w:t>HJ 25.2</w:t>
      </w:r>
      <w:r>
        <w:rPr>
          <w:rFonts w:hint="eastAsia" w:ascii="Times New Roman"/>
        </w:rPr>
        <w:t xml:space="preserve">                </w:t>
      </w:r>
      <w:r>
        <w:rPr>
          <w:rFonts w:ascii="Times New Roman"/>
        </w:rPr>
        <w:t xml:space="preserve"> 污染地块环境状况调查评估技术指南</w:t>
      </w:r>
    </w:p>
    <w:p w14:paraId="78DEEDB3">
      <w:pPr>
        <w:pStyle w:val="61"/>
        <w:ind w:firstLine="420"/>
        <w:rPr>
          <w:rFonts w:ascii="Times New Roman"/>
        </w:rPr>
      </w:pPr>
      <w:r>
        <w:rPr>
          <w:rFonts w:ascii="Times New Roman"/>
        </w:rPr>
        <w:t xml:space="preserve">HJ 610 </w:t>
      </w:r>
      <w:r>
        <w:rPr>
          <w:rFonts w:hint="eastAsia" w:ascii="Times New Roman"/>
        </w:rPr>
        <w:t xml:space="preserve">                 </w:t>
      </w:r>
      <w:r>
        <w:rPr>
          <w:rFonts w:ascii="Times New Roman"/>
        </w:rPr>
        <w:t>环境影响评价技术导则 地下水环境</w:t>
      </w:r>
    </w:p>
    <w:p w14:paraId="3005EF03">
      <w:pPr>
        <w:pStyle w:val="61"/>
        <w:ind w:firstLine="420"/>
        <w:rPr>
          <w:rFonts w:ascii="Times New Roman"/>
        </w:rPr>
      </w:pPr>
      <w:r>
        <w:rPr>
          <w:rFonts w:ascii="Times New Roman"/>
        </w:rPr>
        <w:t xml:space="preserve">HJ/T 298 </w:t>
      </w:r>
      <w:r>
        <w:rPr>
          <w:rFonts w:hint="eastAsia" w:ascii="Times New Roman"/>
        </w:rPr>
        <w:t xml:space="preserve">                </w:t>
      </w:r>
      <w:r>
        <w:rPr>
          <w:rFonts w:ascii="Times New Roman"/>
        </w:rPr>
        <w:t xml:space="preserve">危险废物鉴别技术规范 </w:t>
      </w:r>
    </w:p>
    <w:p w14:paraId="1CAE481A">
      <w:pPr>
        <w:pStyle w:val="61"/>
        <w:ind w:firstLine="420"/>
        <w:rPr>
          <w:rFonts w:ascii="Times New Roman"/>
        </w:rPr>
      </w:pPr>
      <w:r>
        <w:rPr>
          <w:rFonts w:ascii="Times New Roman"/>
        </w:rPr>
        <w:t xml:space="preserve">NY/T 1121.16 </w:t>
      </w:r>
      <w:r>
        <w:rPr>
          <w:rFonts w:hint="eastAsia" w:ascii="Times New Roman"/>
        </w:rPr>
        <w:t xml:space="preserve">      </w:t>
      </w:r>
      <w:r>
        <w:rPr>
          <w:rFonts w:ascii="Times New Roman"/>
        </w:rPr>
        <w:t>土壤检测第16部分:土壤水溶性盐总量的测定《污染源自                                       动监控管理办法》</w:t>
      </w:r>
      <w:r>
        <w:rPr>
          <w:rFonts w:hint="eastAsia" w:ascii="Times New Roman"/>
        </w:rPr>
        <w:t>（</w:t>
      </w:r>
      <w:r>
        <w:rPr>
          <w:rFonts w:ascii="Times New Roman"/>
        </w:rPr>
        <w:t>国家环境保护总局令第28号</w:t>
      </w:r>
      <w:r>
        <w:rPr>
          <w:rFonts w:hint="eastAsia" w:ascii="Times New Roman"/>
        </w:rPr>
        <w:t>）</w:t>
      </w:r>
    </w:p>
    <w:p w14:paraId="727FA208">
      <w:pPr>
        <w:pStyle w:val="61"/>
        <w:ind w:firstLine="420"/>
        <w:rPr>
          <w:rFonts w:ascii="Times New Roman"/>
        </w:rPr>
      </w:pPr>
      <w:r>
        <w:rPr>
          <w:rFonts w:hint="eastAsia" w:ascii="Times New Roman"/>
        </w:rPr>
        <w:t>SL 21                   降水量观测规范</w:t>
      </w:r>
    </w:p>
    <w:p w14:paraId="6510D5F9">
      <w:pPr>
        <w:pStyle w:val="109"/>
        <w:spacing w:before="240" w:after="240"/>
      </w:pPr>
      <w:bookmarkStart w:id="52" w:name="_Toc4153"/>
      <w:bookmarkStart w:id="53" w:name="_Toc14683"/>
      <w:bookmarkStart w:id="54" w:name="_Toc77262525"/>
      <w:bookmarkStart w:id="55" w:name="_Toc20394"/>
      <w:r>
        <w:rPr>
          <w:rFonts w:hint="eastAsia"/>
          <w:szCs w:val="21"/>
        </w:rPr>
        <w:t>术语和定义</w:t>
      </w:r>
      <w:bookmarkEnd w:id="52"/>
      <w:bookmarkEnd w:id="53"/>
      <w:bookmarkEnd w:id="54"/>
      <w:bookmarkEnd w:id="55"/>
    </w:p>
    <w:sdt>
      <w:sdtPr>
        <w:id w:val="-1909835108"/>
        <w:placeholder>
          <w:docPart w:val="A454B307285A4DAEA22E8E1D89E19A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1EDAB11">
          <w:pPr>
            <w:pStyle w:val="61"/>
            <w:ind w:firstLine="420"/>
            <w:rPr>
              <w:rFonts w:ascii="Calibri" w:hAnsi="Calibri"/>
              <w:kern w:val="2"/>
              <w:szCs w:val="21"/>
            </w:rPr>
          </w:pPr>
          <w:bookmarkStart w:id="56" w:name="_Toc26986532"/>
          <w:bookmarkEnd w:id="56"/>
          <w:r>
            <w:t>下列术语和定义适用于本文件。</w:t>
          </w:r>
        </w:p>
      </w:sdtContent>
    </w:sdt>
    <w:p w14:paraId="6875FB9C">
      <w:pPr>
        <w:pStyle w:val="110"/>
        <w:spacing w:before="120" w:after="120"/>
        <w:outlineLvl w:val="9"/>
      </w:pPr>
      <w:bookmarkStart w:id="57" w:name="_Toc3686"/>
      <w:bookmarkEnd w:id="57"/>
      <w:bookmarkStart w:id="58" w:name="_Toc22741"/>
      <w:bookmarkEnd w:id="58"/>
      <w:bookmarkStart w:id="59" w:name="_Toc21047"/>
      <w:bookmarkEnd w:id="59"/>
      <w:bookmarkStart w:id="60" w:name="_Toc23766"/>
      <w:bookmarkEnd w:id="60"/>
      <w:bookmarkStart w:id="61" w:name="_Toc11310"/>
      <w:bookmarkEnd w:id="61"/>
      <w:bookmarkStart w:id="62" w:name="_Toc20829"/>
      <w:bookmarkEnd w:id="62"/>
      <w:bookmarkStart w:id="63" w:name="_Toc30858"/>
      <w:bookmarkEnd w:id="63"/>
      <w:bookmarkStart w:id="64" w:name="_Toc27475"/>
      <w:bookmarkEnd w:id="64"/>
      <w:bookmarkStart w:id="65" w:name="_Toc17144"/>
      <w:bookmarkEnd w:id="65"/>
    </w:p>
    <w:p w14:paraId="114287EF">
      <w:pPr>
        <w:pStyle w:val="61"/>
        <w:ind w:firstLine="420"/>
        <w:rPr>
          <w:rFonts w:ascii="Times New Roman" w:eastAsia="黑体"/>
        </w:rPr>
      </w:pPr>
      <w:r>
        <w:rPr>
          <w:rFonts w:ascii="黑体" w:hAnsi="黑体" w:eastAsia="黑体"/>
        </w:rPr>
        <w:t>填埋场环境安全性能</w:t>
      </w:r>
      <w:r>
        <w:rPr>
          <w:rFonts w:hint="eastAsia" w:ascii="黑体" w:hAnsi="黑体" w:eastAsia="黑体"/>
        </w:rPr>
        <w:t xml:space="preserve"> </w:t>
      </w:r>
      <w:r>
        <w:rPr>
          <w:rFonts w:ascii="Times New Roman" w:eastAsia="黑体"/>
        </w:rPr>
        <w:t xml:space="preserve"> Environmental safety performance of hazardous waste landfills</w:t>
      </w:r>
    </w:p>
    <w:p w14:paraId="4065A3C1">
      <w:pPr>
        <w:pStyle w:val="61"/>
        <w:ind w:firstLine="420"/>
      </w:pPr>
      <w:r>
        <w:rPr>
          <w:rFonts w:hint="eastAsia"/>
        </w:rPr>
        <w:t>填埋场具备的防止危险废物中有害组分泄漏并迁移扩散产生人体健康风险或导致环境质量恶化的能力。</w:t>
      </w:r>
    </w:p>
    <w:p w14:paraId="16480B57">
      <w:pPr>
        <w:pStyle w:val="110"/>
        <w:spacing w:before="120" w:after="120"/>
        <w:outlineLvl w:val="9"/>
      </w:pPr>
      <w:bookmarkStart w:id="66" w:name="_Toc2526"/>
      <w:bookmarkEnd w:id="66"/>
      <w:bookmarkStart w:id="67" w:name="_Toc4454"/>
      <w:bookmarkEnd w:id="67"/>
      <w:bookmarkStart w:id="68" w:name="_Toc25612"/>
      <w:bookmarkEnd w:id="68"/>
      <w:bookmarkStart w:id="69" w:name="_Toc28496"/>
      <w:bookmarkEnd w:id="69"/>
      <w:bookmarkStart w:id="70" w:name="_Toc6058"/>
      <w:bookmarkEnd w:id="70"/>
      <w:bookmarkStart w:id="71" w:name="_Toc4519"/>
      <w:bookmarkEnd w:id="71"/>
      <w:bookmarkStart w:id="72" w:name="_Toc16010"/>
      <w:bookmarkEnd w:id="72"/>
    </w:p>
    <w:p w14:paraId="64E7D57B">
      <w:pPr>
        <w:pStyle w:val="61"/>
        <w:ind w:firstLine="420"/>
        <w:rPr>
          <w:rFonts w:ascii="Times New Roman" w:eastAsia="黑体"/>
        </w:rPr>
      </w:pPr>
      <w:r>
        <w:rPr>
          <w:rFonts w:ascii="Times New Roman" w:eastAsia="黑体"/>
        </w:rPr>
        <w:t>功能单元</w:t>
      </w:r>
      <w:r>
        <w:rPr>
          <w:rFonts w:hint="eastAsia" w:ascii="黑体" w:hAnsi="黑体" w:eastAsia="黑体"/>
        </w:rPr>
        <w:t xml:space="preserve"> </w:t>
      </w:r>
      <w:r>
        <w:rPr>
          <w:rFonts w:ascii="Times New Roman" w:eastAsia="黑体"/>
        </w:rPr>
        <w:t xml:space="preserve"> functional unit</w:t>
      </w:r>
    </w:p>
    <w:p w14:paraId="2CF5B776">
      <w:pPr>
        <w:pStyle w:val="61"/>
        <w:ind w:firstLine="420"/>
      </w:pPr>
      <w:r>
        <w:rPr>
          <w:rFonts w:hint="eastAsia"/>
        </w:rPr>
        <w:t>填埋场中承担特定运行功能的组成部分，包括但不限于防渗系统、导排系统、覆盖系统、渗滤液处理系统、渗漏检测层等。</w:t>
      </w:r>
    </w:p>
    <w:p w14:paraId="00B519BC">
      <w:pPr>
        <w:pStyle w:val="110"/>
        <w:spacing w:before="120" w:after="120"/>
        <w:outlineLvl w:val="9"/>
      </w:pPr>
      <w:bookmarkStart w:id="73" w:name="_Toc27033"/>
      <w:bookmarkEnd w:id="73"/>
      <w:bookmarkStart w:id="74" w:name="_Toc10645"/>
      <w:bookmarkEnd w:id="74"/>
      <w:bookmarkStart w:id="75" w:name="_Toc1296"/>
      <w:bookmarkEnd w:id="75"/>
      <w:bookmarkStart w:id="76" w:name="_Toc26258"/>
      <w:bookmarkEnd w:id="76"/>
      <w:bookmarkStart w:id="77" w:name="_Toc8106"/>
      <w:bookmarkEnd w:id="77"/>
    </w:p>
    <w:p w14:paraId="3EA8EAA8">
      <w:pPr>
        <w:pStyle w:val="61"/>
        <w:ind w:firstLine="420"/>
        <w:rPr>
          <w:rFonts w:ascii="Times New Roman" w:eastAsia="黑体"/>
        </w:rPr>
      </w:pPr>
      <w:r>
        <w:rPr>
          <w:rFonts w:hint="eastAsia" w:ascii="Times New Roman" w:eastAsia="黑体"/>
        </w:rPr>
        <w:t>设计寿命  design service life</w:t>
      </w:r>
    </w:p>
    <w:p w14:paraId="713F130F">
      <w:pPr>
        <w:pStyle w:val="61"/>
        <w:ind w:firstLine="420"/>
        <w:rPr>
          <w:rFonts w:ascii="Times New Roman" w:eastAsia="黑体"/>
        </w:rPr>
      </w:pPr>
      <w:r>
        <w:rPr>
          <w:rFonts w:hint="eastAsia"/>
        </w:rPr>
        <w:t>进行填埋场设计时，在充分考虑填埋场施工、运行维护等情况下确定的丧失填埋场具有的阻隔废物与环境介质联系功能的预期时间。实现阻隔功能需要通过填埋场的合理选址、规范建设及安全运行等有效措施完成。</w:t>
      </w:r>
    </w:p>
    <w:p w14:paraId="1BCB1E90">
      <w:pPr>
        <w:pStyle w:val="110"/>
        <w:spacing w:before="120" w:after="120"/>
        <w:outlineLvl w:val="9"/>
      </w:pPr>
      <w:bookmarkStart w:id="78" w:name="_Toc31656"/>
      <w:bookmarkEnd w:id="78"/>
      <w:bookmarkStart w:id="79" w:name="_Toc7377"/>
      <w:bookmarkEnd w:id="79"/>
      <w:bookmarkStart w:id="80" w:name="_Toc27022"/>
      <w:bookmarkEnd w:id="80"/>
    </w:p>
    <w:p w14:paraId="5A603461">
      <w:pPr>
        <w:pStyle w:val="61"/>
        <w:ind w:firstLine="420"/>
        <w:rPr>
          <w:rFonts w:ascii="Times New Roman" w:eastAsia="黑体"/>
        </w:rPr>
      </w:pPr>
      <w:r>
        <w:rPr>
          <w:rFonts w:ascii="Times New Roman" w:eastAsia="黑体"/>
        </w:rPr>
        <w:t>环境安全性能</w:t>
      </w:r>
      <w:r>
        <w:rPr>
          <w:rFonts w:hint="eastAsia" w:ascii="Times New Roman" w:eastAsia="黑体"/>
          <w:lang w:val="en-US" w:eastAsia="zh-CN"/>
        </w:rPr>
        <w:t>综合</w:t>
      </w:r>
      <w:r>
        <w:rPr>
          <w:rFonts w:ascii="Times New Roman" w:eastAsia="黑体"/>
        </w:rPr>
        <w:t>评估</w:t>
      </w:r>
      <w:r>
        <w:rPr>
          <w:rFonts w:hint="eastAsia" w:ascii="Times New Roman" w:eastAsia="黑体"/>
        </w:rPr>
        <w:t xml:space="preserve">  </w:t>
      </w:r>
      <w:r>
        <w:rPr>
          <w:rFonts w:hint="eastAsia" w:ascii="Times New Roman" w:eastAsia="黑体"/>
          <w:lang w:val="en-US" w:eastAsia="zh-CN"/>
        </w:rPr>
        <w:t>c</w:t>
      </w:r>
      <w:r>
        <w:rPr>
          <w:rFonts w:hint="eastAsia" w:ascii="Times New Roman" w:eastAsia="黑体"/>
        </w:rPr>
        <w:t xml:space="preserve">omprehensive </w:t>
      </w:r>
      <w:r>
        <w:rPr>
          <w:rFonts w:hint="eastAsia" w:ascii="Times New Roman" w:eastAsia="黑体"/>
          <w:lang w:val="en-US" w:eastAsia="zh-CN"/>
        </w:rPr>
        <w:t>a</w:t>
      </w:r>
      <w:r>
        <w:rPr>
          <w:rFonts w:hint="eastAsia" w:ascii="Times New Roman" w:eastAsia="黑体"/>
        </w:rPr>
        <w:t xml:space="preserve">ssessment of </w:t>
      </w:r>
      <w:r>
        <w:rPr>
          <w:rFonts w:hint="eastAsia" w:ascii="Times New Roman" w:eastAsia="黑体"/>
          <w:lang w:val="en-US" w:eastAsia="zh-CN"/>
        </w:rPr>
        <w:t>e</w:t>
      </w:r>
      <w:r>
        <w:rPr>
          <w:rFonts w:hint="eastAsia" w:ascii="Times New Roman" w:eastAsia="黑体"/>
        </w:rPr>
        <w:t xml:space="preserve">nvironmental </w:t>
      </w:r>
      <w:r>
        <w:rPr>
          <w:rFonts w:hint="eastAsia" w:ascii="Times New Roman" w:eastAsia="黑体"/>
          <w:lang w:val="en-US" w:eastAsia="zh-CN"/>
        </w:rPr>
        <w:t>s</w:t>
      </w:r>
      <w:r>
        <w:rPr>
          <w:rFonts w:hint="eastAsia" w:ascii="Times New Roman" w:eastAsia="黑体"/>
        </w:rPr>
        <w:t xml:space="preserve">afety </w:t>
      </w:r>
      <w:r>
        <w:rPr>
          <w:rFonts w:hint="eastAsia" w:ascii="Times New Roman" w:eastAsia="黑体"/>
          <w:lang w:val="en-US" w:eastAsia="zh-CN"/>
        </w:rPr>
        <w:t>p</w:t>
      </w:r>
      <w:r>
        <w:rPr>
          <w:rFonts w:hint="eastAsia" w:ascii="Times New Roman" w:eastAsia="黑体"/>
        </w:rPr>
        <w:t>erformance</w:t>
      </w:r>
    </w:p>
    <w:p w14:paraId="37C664AD">
      <w:pPr>
        <w:pStyle w:val="61"/>
        <w:ind w:firstLine="420"/>
      </w:pPr>
      <w:r>
        <w:t>指通过监测数据分析、功能单元检测和污染物迁移预测，对危险废物填埋场当前环境安全状态及未来潜在风险进行诊断和预警的综合评估过程。</w:t>
      </w:r>
    </w:p>
    <w:p w14:paraId="17E06B54">
      <w:pPr>
        <w:pStyle w:val="110"/>
        <w:spacing w:before="120" w:after="120"/>
        <w:outlineLvl w:val="9"/>
        <w:rPr>
          <w:rFonts w:ascii="Times New Roman"/>
          <w:sz w:val="24"/>
          <w:szCs w:val="32"/>
        </w:rPr>
      </w:pPr>
      <w:bookmarkStart w:id="81" w:name="_Toc4651"/>
      <w:bookmarkEnd w:id="81"/>
      <w:bookmarkStart w:id="82" w:name="_Toc27784"/>
      <w:bookmarkEnd w:id="82"/>
      <w:bookmarkStart w:id="83" w:name="_Toc30293"/>
      <w:bookmarkEnd w:id="83"/>
      <w:bookmarkStart w:id="84" w:name="_Toc10032"/>
      <w:bookmarkEnd w:id="84"/>
      <w:bookmarkStart w:id="85" w:name="_Toc14587"/>
      <w:bookmarkEnd w:id="85"/>
      <w:bookmarkStart w:id="86" w:name="_Toc30497"/>
      <w:bookmarkEnd w:id="86"/>
      <w:bookmarkStart w:id="87" w:name="_Toc15408"/>
      <w:bookmarkEnd w:id="87"/>
    </w:p>
    <w:p w14:paraId="17822CAA">
      <w:pPr>
        <w:pStyle w:val="61"/>
        <w:ind w:firstLine="420"/>
        <w:rPr>
          <w:rFonts w:ascii="Times New Roman" w:eastAsia="黑体"/>
        </w:rPr>
      </w:pPr>
      <w:r>
        <w:rPr>
          <w:rFonts w:hint="eastAsia" w:ascii="Times New Roman" w:eastAsia="黑体"/>
        </w:rPr>
        <w:t>显著变化（明显变化）　significant variation</w:t>
      </w:r>
    </w:p>
    <w:p w14:paraId="1EB07D99">
      <w:pPr>
        <w:pStyle w:val="61"/>
        <w:ind w:firstLine="420"/>
        <w:rPr>
          <w:rFonts w:ascii="Times New Roman"/>
        </w:rPr>
      </w:pPr>
      <w:r>
        <w:rPr>
          <w:rFonts w:hint="eastAsia" w:ascii="Times New Roman"/>
        </w:rPr>
        <w:t>指通过统计学的显著性检验（如95%置信水平下的t检验、曼-惠特尼U检验等），表明本期某项环境监测指标的值相较于背景值、上期监测值或历史数据序列，存在统计学意义上的显著差异（或称“明显变化”）。</w:t>
      </w:r>
    </w:p>
    <w:p w14:paraId="0A4686F3">
      <w:pPr>
        <w:pStyle w:val="109"/>
        <w:spacing w:before="240" w:after="240"/>
        <w:rPr>
          <w:szCs w:val="21"/>
        </w:rPr>
      </w:pPr>
      <w:bookmarkStart w:id="88" w:name="_Toc26489"/>
      <w:bookmarkStart w:id="89" w:name="_Toc968"/>
      <w:bookmarkStart w:id="90" w:name="_Toc3694"/>
      <w:bookmarkStart w:id="91" w:name="_Toc192165988"/>
      <w:r>
        <w:rPr>
          <w:rFonts w:hint="eastAsia"/>
          <w:szCs w:val="21"/>
        </w:rPr>
        <w:t>评估原则及基本要求</w:t>
      </w:r>
      <w:bookmarkEnd w:id="88"/>
      <w:bookmarkEnd w:id="89"/>
      <w:bookmarkEnd w:id="90"/>
      <w:bookmarkEnd w:id="91"/>
    </w:p>
    <w:p w14:paraId="4EB3D2A5">
      <w:pPr>
        <w:pStyle w:val="241"/>
        <w:widowControl/>
        <w:numPr>
          <w:ilvl w:val="0"/>
          <w:numId w:val="2"/>
        </w:numPr>
        <w:shd w:val="clear" w:color="FFFFFF" w:fill="FFFFFF"/>
        <w:spacing w:before="540" w:after="600"/>
        <w:ind w:firstLineChars="0"/>
        <w:jc w:val="center"/>
        <w:outlineLvl w:val="0"/>
        <w:rPr>
          <w:rFonts w:ascii="黑体" w:hAnsi="Times New Roman" w:eastAsia="黑体"/>
          <w:vanish/>
          <w:kern w:val="0"/>
          <w:sz w:val="32"/>
          <w:szCs w:val="20"/>
        </w:rPr>
      </w:pPr>
    </w:p>
    <w:p w14:paraId="63A4F0E3">
      <w:pPr>
        <w:pStyle w:val="241"/>
        <w:widowControl/>
        <w:numPr>
          <w:ilvl w:val="0"/>
          <w:numId w:val="2"/>
        </w:numPr>
        <w:shd w:val="clear" w:color="FFFFFF" w:fill="FFFFFF"/>
        <w:spacing w:before="540" w:after="600"/>
        <w:ind w:firstLineChars="0"/>
        <w:jc w:val="center"/>
        <w:outlineLvl w:val="0"/>
        <w:rPr>
          <w:rFonts w:ascii="黑体" w:hAnsi="Times New Roman" w:eastAsia="黑体"/>
          <w:vanish/>
          <w:kern w:val="0"/>
          <w:sz w:val="32"/>
          <w:szCs w:val="20"/>
        </w:rPr>
      </w:pPr>
    </w:p>
    <w:p w14:paraId="49BA125A">
      <w:pPr>
        <w:pStyle w:val="241"/>
        <w:widowControl/>
        <w:numPr>
          <w:ilvl w:val="0"/>
          <w:numId w:val="2"/>
        </w:numPr>
        <w:shd w:val="clear" w:color="FFFFFF" w:fill="FFFFFF"/>
        <w:spacing w:before="540" w:after="600"/>
        <w:ind w:firstLineChars="0"/>
        <w:jc w:val="center"/>
        <w:outlineLvl w:val="0"/>
        <w:rPr>
          <w:rFonts w:ascii="黑体" w:hAnsi="Times New Roman" w:eastAsia="黑体"/>
          <w:vanish/>
          <w:kern w:val="0"/>
          <w:sz w:val="32"/>
          <w:szCs w:val="20"/>
        </w:rPr>
      </w:pPr>
    </w:p>
    <w:p w14:paraId="025ED107">
      <w:pPr>
        <w:pStyle w:val="241"/>
        <w:widowControl/>
        <w:numPr>
          <w:ilvl w:val="0"/>
          <w:numId w:val="2"/>
        </w:numPr>
        <w:shd w:val="clear" w:color="FFFFFF" w:fill="FFFFFF"/>
        <w:spacing w:before="540" w:after="600"/>
        <w:ind w:firstLineChars="0"/>
        <w:jc w:val="center"/>
        <w:outlineLvl w:val="0"/>
        <w:rPr>
          <w:rFonts w:ascii="黑体" w:hAnsi="Times New Roman" w:eastAsia="黑体"/>
          <w:vanish/>
          <w:kern w:val="0"/>
          <w:sz w:val="32"/>
          <w:szCs w:val="20"/>
        </w:rPr>
      </w:pPr>
    </w:p>
    <w:p w14:paraId="0A85B437">
      <w:pPr>
        <w:pStyle w:val="241"/>
        <w:widowControl/>
        <w:numPr>
          <w:ilvl w:val="1"/>
          <w:numId w:val="2"/>
        </w:numPr>
        <w:spacing w:before="240" w:beforeLines="100" w:after="240" w:afterLines="100"/>
        <w:ind w:firstLineChars="0"/>
        <w:outlineLvl w:val="0"/>
        <w:rPr>
          <w:rFonts w:ascii="黑体" w:hAnsi="Times New Roman" w:eastAsia="黑体"/>
          <w:vanish/>
          <w:kern w:val="0"/>
          <w:szCs w:val="20"/>
        </w:rPr>
      </w:pPr>
      <w:bookmarkStart w:id="92" w:name="_Toc192165989"/>
      <w:bookmarkEnd w:id="92"/>
    </w:p>
    <w:p w14:paraId="465F5E13">
      <w:pPr>
        <w:pStyle w:val="241"/>
        <w:widowControl/>
        <w:numPr>
          <w:ilvl w:val="1"/>
          <w:numId w:val="2"/>
        </w:numPr>
        <w:spacing w:before="240" w:beforeLines="100" w:after="240" w:afterLines="100"/>
        <w:ind w:firstLineChars="0"/>
        <w:outlineLvl w:val="0"/>
        <w:rPr>
          <w:rFonts w:ascii="黑体" w:hAnsi="Times New Roman" w:eastAsia="黑体"/>
          <w:vanish/>
          <w:kern w:val="0"/>
          <w:szCs w:val="20"/>
        </w:rPr>
      </w:pPr>
      <w:bookmarkStart w:id="93" w:name="_Toc192165990"/>
      <w:bookmarkEnd w:id="93"/>
    </w:p>
    <w:p w14:paraId="53A8E34C">
      <w:pPr>
        <w:pStyle w:val="241"/>
        <w:widowControl/>
        <w:numPr>
          <w:ilvl w:val="1"/>
          <w:numId w:val="2"/>
        </w:numPr>
        <w:spacing w:before="240" w:beforeLines="100" w:after="240" w:afterLines="100"/>
        <w:ind w:firstLineChars="0"/>
        <w:outlineLvl w:val="0"/>
        <w:rPr>
          <w:rFonts w:ascii="黑体" w:hAnsi="Times New Roman" w:eastAsia="黑体"/>
          <w:vanish/>
          <w:kern w:val="0"/>
          <w:szCs w:val="20"/>
        </w:rPr>
      </w:pPr>
      <w:bookmarkStart w:id="94" w:name="_Toc192165991"/>
      <w:bookmarkEnd w:id="94"/>
    </w:p>
    <w:p w14:paraId="1124B474">
      <w:pPr>
        <w:pStyle w:val="241"/>
        <w:widowControl/>
        <w:numPr>
          <w:ilvl w:val="1"/>
          <w:numId w:val="2"/>
        </w:numPr>
        <w:spacing w:before="240" w:beforeLines="100" w:after="240" w:afterLines="100"/>
        <w:ind w:firstLineChars="0"/>
        <w:outlineLvl w:val="0"/>
        <w:rPr>
          <w:rFonts w:ascii="黑体" w:hAnsi="Times New Roman" w:eastAsia="黑体"/>
          <w:vanish/>
          <w:kern w:val="0"/>
          <w:szCs w:val="20"/>
        </w:rPr>
      </w:pPr>
      <w:bookmarkStart w:id="95" w:name="_Toc192165992"/>
      <w:bookmarkEnd w:id="95"/>
    </w:p>
    <w:p w14:paraId="482B7173">
      <w:pPr>
        <w:pStyle w:val="110"/>
        <w:spacing w:before="120" w:after="120"/>
        <w:rPr>
          <w:rFonts w:hint="eastAsia" w:hAnsi="黑体"/>
        </w:rPr>
      </w:pPr>
      <w:bookmarkStart w:id="96" w:name="_Toc7720"/>
      <w:bookmarkStart w:id="97" w:name="_Toc7123"/>
      <w:bookmarkStart w:id="98" w:name="_Toc30463"/>
      <w:bookmarkStart w:id="99" w:name="_Toc192165993"/>
      <w:r>
        <w:rPr>
          <w:rFonts w:hint="eastAsia" w:hAnsi="黑体"/>
        </w:rPr>
        <w:t>评估原则</w:t>
      </w:r>
      <w:bookmarkEnd w:id="96"/>
      <w:bookmarkEnd w:id="97"/>
      <w:bookmarkEnd w:id="98"/>
      <w:bookmarkEnd w:id="99"/>
    </w:p>
    <w:p w14:paraId="45AC222B">
      <w:pPr>
        <w:pStyle w:val="61"/>
        <w:ind w:firstLine="420"/>
      </w:pPr>
      <w:r>
        <w:rPr>
          <w:rFonts w:hint="eastAsia"/>
        </w:rPr>
        <w:t>填埋场环境安全性能评估应遵循以下基本原则：</w:t>
      </w:r>
    </w:p>
    <w:p w14:paraId="77A799D8">
      <w:pPr>
        <w:pStyle w:val="179"/>
        <w:numPr>
          <w:ilvl w:val="0"/>
          <w:numId w:val="32"/>
        </w:numPr>
      </w:pPr>
      <w:r>
        <w:rPr>
          <w:rFonts w:hint="eastAsia"/>
        </w:rPr>
        <w:t xml:space="preserve">系统评估：应调查评估填埋场所有重点功能单元性能，以及填埋场建设运营各个步骤的质量影响，并在此基础上评估填埋场全生命周期整体环境安全性能；  </w:t>
      </w:r>
    </w:p>
    <w:p w14:paraId="73C5E595">
      <w:pPr>
        <w:pStyle w:val="179"/>
        <w:numPr>
          <w:ilvl w:val="0"/>
          <w:numId w:val="32"/>
        </w:numPr>
      </w:pPr>
      <w:r>
        <w:rPr>
          <w:rFonts w:hint="eastAsia"/>
        </w:rPr>
        <w:t xml:space="preserve">分类施策：根据初次、再次评估，例行、应急评估等不同评估场景，以及不同区域的不同条件和要求，制定相应的评估方案；  </w:t>
      </w:r>
    </w:p>
    <w:p w14:paraId="2FD9CEAF">
      <w:pPr>
        <w:pStyle w:val="179"/>
        <w:numPr>
          <w:ilvl w:val="0"/>
          <w:numId w:val="33"/>
        </w:numPr>
      </w:pPr>
      <w:r>
        <w:rPr>
          <w:rFonts w:hint="eastAsia" w:ascii="Times New Roman"/>
        </w:rPr>
        <w:t>适时</w:t>
      </w:r>
      <w:r>
        <w:rPr>
          <w:rFonts w:ascii="Times New Roman"/>
        </w:rPr>
        <w:t>补充：除按规定周期开展定期评估外，评估期间如防渗层完整性检测、渗漏检测层渗漏量或地下水监测等数据出现显著异常时，应开展</w:t>
      </w:r>
      <w:r>
        <w:rPr>
          <w:rFonts w:hint="eastAsia" w:ascii="Times New Roman"/>
        </w:rPr>
        <w:t>实时</w:t>
      </w:r>
      <w:r>
        <w:rPr>
          <w:rFonts w:ascii="Times New Roman"/>
        </w:rPr>
        <w:t>补充评估。</w:t>
      </w:r>
    </w:p>
    <w:p w14:paraId="51DAD914">
      <w:pPr>
        <w:pStyle w:val="110"/>
        <w:spacing w:before="120" w:after="120"/>
        <w:rPr>
          <w:rFonts w:hint="eastAsia" w:hAnsi="黑体"/>
        </w:rPr>
      </w:pPr>
      <w:bookmarkStart w:id="100" w:name="_Toc20147"/>
      <w:r>
        <w:rPr>
          <w:rFonts w:hint="eastAsia" w:hAnsi="黑体"/>
        </w:rPr>
        <w:t>评估频率要求</w:t>
      </w:r>
      <w:bookmarkEnd w:id="100"/>
    </w:p>
    <w:p w14:paraId="53C6B55F">
      <w:pPr>
        <w:pStyle w:val="61"/>
        <w:ind w:firstLine="420"/>
      </w:pPr>
      <w:r>
        <w:rPr>
          <w:rFonts w:hint="eastAsia"/>
        </w:rPr>
        <w:t>首次评估：填埋场建设完成后、正式运行前应开展首次评估。首次评估应全面获取基础资料，对主要功能单元和地下水污染状况进行完整评估，为后续定期评估和趋势比对建立基线。</w:t>
      </w:r>
    </w:p>
    <w:p w14:paraId="2FF986BB">
      <w:pPr>
        <w:pStyle w:val="61"/>
        <w:ind w:firstLine="420"/>
        <w:rPr>
          <w:rFonts w:hint="eastAsia" w:ascii="Times New Roman" w:eastAsia="宋体"/>
          <w:lang w:eastAsia="zh-CN"/>
        </w:rPr>
      </w:pPr>
      <w:r>
        <w:rPr>
          <w:rFonts w:hint="eastAsia" w:ascii="Times New Roman"/>
        </w:rPr>
        <w:t>定期评估：填埋场投入运行后应定期开展评估，评估频次不得低于2年/次</w:t>
      </w:r>
      <w:r>
        <w:rPr>
          <w:rFonts w:hint="eastAsia" w:ascii="Times New Roman"/>
          <w:lang w:eastAsia="zh-CN"/>
        </w:rPr>
        <w:t>。</w:t>
      </w:r>
    </w:p>
    <w:p w14:paraId="02480342">
      <w:pPr>
        <w:pStyle w:val="61"/>
        <w:ind w:firstLine="420"/>
        <w:rPr>
          <w:rFonts w:ascii="Times New Roman"/>
        </w:rPr>
      </w:pPr>
      <w:r>
        <w:rPr>
          <w:rFonts w:hint="eastAsia" w:ascii="Times New Roman"/>
        </w:rPr>
        <w:t>补充评估：在定期评估周期内，出现下列情形之一的，应启动补充评估</w:t>
      </w:r>
      <w:r>
        <w:rPr>
          <w:rFonts w:ascii="Times New Roman"/>
        </w:rPr>
        <w:t>，对功能单元运行状态进行复核，并修正原有评估结果</w:t>
      </w:r>
      <w:r>
        <w:rPr>
          <w:rFonts w:hint="eastAsia" w:ascii="Times New Roman"/>
        </w:rPr>
        <w:t>：</w:t>
      </w:r>
    </w:p>
    <w:p w14:paraId="353F1DCC">
      <w:pPr>
        <w:pStyle w:val="179"/>
        <w:numPr>
          <w:ilvl w:val="0"/>
          <w:numId w:val="34"/>
        </w:numPr>
        <w:rPr>
          <w:rFonts w:ascii="Times New Roman"/>
        </w:rPr>
      </w:pPr>
      <w:r>
        <w:rPr>
          <w:rFonts w:ascii="Times New Roman"/>
        </w:rPr>
        <w:t>渗漏检测层渗漏速率发生明显增加或超过可接受渗漏速率（ALR）；</w:t>
      </w:r>
    </w:p>
    <w:p w14:paraId="5166EA89">
      <w:pPr>
        <w:pStyle w:val="179"/>
        <w:numPr>
          <w:ilvl w:val="0"/>
          <w:numId w:val="34"/>
        </w:numPr>
        <w:rPr>
          <w:rFonts w:ascii="Times New Roman"/>
        </w:rPr>
      </w:pPr>
      <w:r>
        <w:rPr>
          <w:rFonts w:ascii="Times New Roman"/>
        </w:rPr>
        <w:t>地下水水质监测数据发生明显变化，如污染物浓度持续升高、超标或出现异常波动趋势；</w:t>
      </w:r>
    </w:p>
    <w:p w14:paraId="74405D6D">
      <w:pPr>
        <w:pStyle w:val="179"/>
        <w:numPr>
          <w:ilvl w:val="0"/>
          <w:numId w:val="34"/>
        </w:numPr>
        <w:rPr>
          <w:rFonts w:ascii="Times New Roman"/>
        </w:rPr>
      </w:pPr>
      <w:r>
        <w:rPr>
          <w:rFonts w:hint="eastAsia" w:ascii="Times New Roman"/>
        </w:rPr>
        <w:t>原有评估结论不足以反映填埋场当前运行阶段的环境风险水平；</w:t>
      </w:r>
    </w:p>
    <w:p w14:paraId="644D040C">
      <w:pPr>
        <w:pStyle w:val="179"/>
        <w:numPr>
          <w:ilvl w:val="0"/>
          <w:numId w:val="34"/>
        </w:numPr>
        <w:rPr>
          <w:rFonts w:ascii="Times New Roman"/>
        </w:rPr>
      </w:pPr>
      <w:r>
        <w:rPr>
          <w:rFonts w:ascii="Times New Roman"/>
        </w:rPr>
        <w:t>填埋场关键功能单元发生改造、老化、失效等影响整体安全性能的重大变化。</w:t>
      </w:r>
    </w:p>
    <w:p w14:paraId="79A13E76">
      <w:pPr>
        <w:pStyle w:val="110"/>
        <w:spacing w:before="120" w:after="120"/>
        <w:rPr>
          <w:rFonts w:hint="eastAsia" w:hAnsi="黑体"/>
        </w:rPr>
      </w:pPr>
      <w:bookmarkStart w:id="101" w:name="_Toc17620"/>
      <w:bookmarkStart w:id="102" w:name="_Toc11566"/>
      <w:bookmarkStart w:id="103" w:name="_Toc28416"/>
      <w:r>
        <w:rPr>
          <w:rFonts w:hint="eastAsia" w:hAnsi="黑体"/>
        </w:rPr>
        <w:t>评估实施方式</w:t>
      </w:r>
      <w:bookmarkEnd w:id="101"/>
      <w:bookmarkEnd w:id="102"/>
      <w:bookmarkEnd w:id="103"/>
      <w:r>
        <w:rPr>
          <w:rFonts w:hint="eastAsia" w:hAnsi="黑体"/>
        </w:rPr>
        <w:t xml:space="preserve"> </w:t>
      </w:r>
    </w:p>
    <w:p w14:paraId="2D91C80F">
      <w:pPr>
        <w:pStyle w:val="179"/>
        <w:numPr>
          <w:ilvl w:val="0"/>
          <w:numId w:val="35"/>
        </w:numPr>
        <w:rPr>
          <w:rFonts w:ascii="Times New Roman"/>
        </w:rPr>
      </w:pPr>
      <w:r>
        <w:rPr>
          <w:rFonts w:hint="eastAsia" w:ascii="Times New Roman"/>
        </w:rPr>
        <w:t>对需实施环境安全性能评估的填埋场，运营单位可委托技术服务机构开展评估，也可自行开展评估。评估实施单位（包括接受委托的第三方机构和自行开展评估的单位，下同）对评估报告的内容和评估结论负责并承担相应责任。</w:t>
      </w:r>
    </w:p>
    <w:p w14:paraId="1DF1E841">
      <w:pPr>
        <w:pStyle w:val="179"/>
        <w:numPr>
          <w:ilvl w:val="0"/>
          <w:numId w:val="35"/>
        </w:numPr>
        <w:rPr>
          <w:rFonts w:hint="eastAsia" w:ascii="Times New Roman"/>
        </w:rPr>
      </w:pPr>
      <w:r>
        <w:rPr>
          <w:rFonts w:hint="eastAsia" w:ascii="Times New Roman"/>
        </w:rPr>
        <w:t>评估实施单位需具备开展评估工作的相应能力，配备从事防渗层完整性检测、固体废物污染防治等相关领域的专业技术人员。技术负责人应具备环境保护相关专业的高级及以上职称且从事固体废物填埋工作5年以上。</w:t>
      </w:r>
    </w:p>
    <w:p w14:paraId="76834A38">
      <w:pPr>
        <w:pStyle w:val="179"/>
        <w:numPr>
          <w:ilvl w:val="0"/>
          <w:numId w:val="35"/>
        </w:numPr>
        <w:rPr>
          <w:rFonts w:hint="eastAsia" w:ascii="Times New Roman"/>
        </w:rPr>
      </w:pPr>
      <w:r>
        <w:rPr>
          <w:rFonts w:hint="eastAsia" w:ascii="Times New Roman"/>
        </w:rPr>
        <w:t>评估工作可采用总包</w:t>
      </w:r>
      <w:r>
        <w:rPr>
          <w:rFonts w:hint="default" w:ascii="Times New Roman" w:hAnsi="Times New Roman" w:cs="Times New Roman"/>
        </w:rPr>
        <w:t>–</w:t>
      </w:r>
      <w:r>
        <w:rPr>
          <w:rFonts w:hint="eastAsia" w:ascii="Times New Roman"/>
        </w:rPr>
        <w:t>分包模式。总包单位对评估工作的整体质量、方法一致性和成果完整性负责；分包单位数量原则上不得超过2家，分包单位仅对其承担的专项工作负责，应确保数据真实可靠、方法符合相关标准，并接受总包单位的技术统筹与质量管理。</w:t>
      </w:r>
    </w:p>
    <w:p w14:paraId="7057C957">
      <w:pPr>
        <w:pStyle w:val="110"/>
        <w:spacing w:before="120" w:after="120"/>
        <w:rPr>
          <w:rFonts w:hint="eastAsia" w:hAnsi="黑体"/>
        </w:rPr>
      </w:pPr>
      <w:bookmarkStart w:id="104" w:name="_Toc28354"/>
      <w:bookmarkStart w:id="105" w:name="_Toc9697"/>
      <w:bookmarkStart w:id="106" w:name="_Toc9617"/>
      <w:r>
        <w:rPr>
          <w:rFonts w:hint="eastAsia" w:hAnsi="黑体"/>
        </w:rPr>
        <w:t>评估程序与流程</w:t>
      </w:r>
      <w:bookmarkEnd w:id="104"/>
      <w:bookmarkEnd w:id="105"/>
      <w:bookmarkEnd w:id="106"/>
    </w:p>
    <w:p w14:paraId="29011CE7">
      <w:pPr>
        <w:pStyle w:val="61"/>
        <w:ind w:firstLine="420"/>
      </w:pPr>
      <w:r>
        <w:rPr>
          <w:rFonts w:ascii="Times New Roman"/>
        </w:rPr>
        <w:t>环境安全性能评估按</w:t>
      </w:r>
      <w:r>
        <w:rPr>
          <w:rFonts w:hint="eastAsia" w:ascii="Times New Roman"/>
        </w:rPr>
        <w:t>图1</w:t>
      </w:r>
      <w:r>
        <w:rPr>
          <w:rFonts w:ascii="Times New Roman"/>
        </w:rPr>
        <w:t>程序实施</w:t>
      </w:r>
      <w:r>
        <w:rPr>
          <w:rFonts w:hint="eastAsia" w:ascii="Times New Roman"/>
        </w:rPr>
        <w:t>，</w:t>
      </w:r>
      <w:r>
        <w:rPr>
          <w:rFonts w:ascii="Times New Roman"/>
        </w:rPr>
        <w:t>应按照</w:t>
      </w:r>
      <w:r>
        <w:rPr>
          <w:rFonts w:hint="eastAsia" w:ascii="Times New Roman"/>
        </w:rPr>
        <w:t>本规范</w:t>
      </w:r>
      <w:r>
        <w:rPr>
          <w:rFonts w:ascii="Times New Roman"/>
        </w:rPr>
        <w:t>第5</w:t>
      </w:r>
      <w:r>
        <w:rPr>
          <w:rFonts w:hint="eastAsia" w:ascii="Times New Roman"/>
        </w:rPr>
        <w:t>条</w:t>
      </w:r>
      <w:r>
        <w:rPr>
          <w:rFonts w:ascii="Times New Roman"/>
        </w:rPr>
        <w:t>开展评估准备工作</w:t>
      </w:r>
      <w:r>
        <w:rPr>
          <w:rFonts w:hint="eastAsia" w:ascii="Times New Roman"/>
          <w:lang w:eastAsia="zh-CN"/>
        </w:rPr>
        <w:t>，</w:t>
      </w:r>
      <w:r>
        <w:rPr>
          <w:rFonts w:ascii="Times New Roman"/>
        </w:rPr>
        <w:t>按照第6</w:t>
      </w:r>
      <w:r>
        <w:rPr>
          <w:rFonts w:hint="eastAsia" w:ascii="Times New Roman"/>
        </w:rPr>
        <w:t>条</w:t>
      </w:r>
      <w:r>
        <w:rPr>
          <w:rFonts w:ascii="Times New Roman"/>
        </w:rPr>
        <w:t>启动并开展评估实施</w:t>
      </w:r>
      <w:r>
        <w:rPr>
          <w:rFonts w:hint="eastAsia" w:ascii="Times New Roman"/>
          <w:lang w:eastAsia="zh-CN"/>
        </w:rPr>
        <w:t>，</w:t>
      </w:r>
      <w:r>
        <w:rPr>
          <w:rFonts w:ascii="Times New Roman"/>
        </w:rPr>
        <w:t>按照第7</w:t>
      </w:r>
      <w:r>
        <w:rPr>
          <w:rFonts w:hint="eastAsia" w:ascii="Times New Roman"/>
        </w:rPr>
        <w:t>条</w:t>
      </w:r>
      <w:r>
        <w:rPr>
          <w:rFonts w:ascii="Times New Roman"/>
        </w:rPr>
        <w:t xml:space="preserve">编制成果报告并组织专家评审，评审后报送所在地市生态环境主管部门备案。 </w:t>
      </w:r>
    </w:p>
    <w:p w14:paraId="2ABEA149">
      <w:pPr>
        <w:pStyle w:val="61"/>
        <w:ind w:firstLine="0" w:firstLineChars="0"/>
        <w:jc w:val="center"/>
        <w:rPr>
          <w:rStyle w:val="37"/>
          <w:rFonts w:hint="eastAsia" w:ascii="Calibri" w:hAnsi="Calibri" w:eastAsia="宋体"/>
          <w:kern w:val="2"/>
          <w:lang w:eastAsia="zh-CN"/>
        </w:rPr>
      </w:pPr>
      <w:r>
        <w:rPr>
          <w:rStyle w:val="37"/>
          <w:rFonts w:hint="eastAsia" w:ascii="Calibri" w:hAnsi="Calibri" w:eastAsia="宋体"/>
          <w:kern w:val="2"/>
          <w:lang w:eastAsia="zh-CN"/>
        </w:rPr>
        <w:drawing>
          <wp:inline distT="0" distB="0" distL="114300" distR="114300">
            <wp:extent cx="4251325" cy="4716780"/>
            <wp:effectExtent l="0" t="0" r="0" b="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34"/>
                    <a:stretch>
                      <a:fillRect/>
                    </a:stretch>
                  </pic:blipFill>
                  <pic:spPr>
                    <a:xfrm>
                      <a:off x="0" y="0"/>
                      <a:ext cx="4251325" cy="4716780"/>
                    </a:xfrm>
                    <a:prstGeom prst="rect">
                      <a:avLst/>
                    </a:prstGeom>
                  </pic:spPr>
                </pic:pic>
              </a:graphicData>
            </a:graphic>
          </wp:inline>
        </w:drawing>
      </w:r>
    </w:p>
    <w:p w14:paraId="53F7A7EB">
      <w:pPr>
        <w:pStyle w:val="61"/>
        <w:autoSpaceDE/>
        <w:autoSpaceDN/>
        <w:ind w:firstLine="0" w:firstLineChars="0"/>
        <w:jc w:val="center"/>
        <w:rPr>
          <w:rFonts w:ascii="Times New Roman"/>
        </w:rPr>
      </w:pPr>
      <w:r>
        <w:rPr>
          <w:rFonts w:ascii="Times New Roman"/>
        </w:rPr>
        <w:t>图1 评估总体流程图</w:t>
      </w:r>
    </w:p>
    <w:p w14:paraId="6E3E3F6A">
      <w:pPr>
        <w:pStyle w:val="109"/>
        <w:spacing w:before="240" w:after="240"/>
      </w:pPr>
      <w:bookmarkStart w:id="107" w:name="_Toc22604"/>
      <w:bookmarkStart w:id="108" w:name="_Toc192165999"/>
      <w:bookmarkStart w:id="109" w:name="_Toc14806"/>
      <w:bookmarkStart w:id="110" w:name="_Toc21090"/>
      <w:r>
        <w:rPr>
          <w:rFonts w:hint="eastAsia"/>
        </w:rPr>
        <w:t>评估准备</w:t>
      </w:r>
      <w:bookmarkEnd w:id="107"/>
      <w:bookmarkEnd w:id="108"/>
      <w:bookmarkEnd w:id="109"/>
      <w:bookmarkEnd w:id="110"/>
    </w:p>
    <w:p w14:paraId="6513B3CD">
      <w:pPr>
        <w:pStyle w:val="110"/>
        <w:spacing w:before="120" w:after="120"/>
        <w:rPr>
          <w:rFonts w:hint="eastAsia"/>
        </w:rPr>
      </w:pPr>
      <w:bookmarkStart w:id="111" w:name="_Toc10862"/>
      <w:bookmarkStart w:id="112" w:name="_Toc21904"/>
      <w:r>
        <w:rPr>
          <w:rFonts w:hint="eastAsia"/>
        </w:rPr>
        <w:t>评估资料收集</w:t>
      </w:r>
      <w:bookmarkEnd w:id="111"/>
      <w:bookmarkEnd w:id="112"/>
    </w:p>
    <w:p w14:paraId="3FE5A7B3">
      <w:pPr>
        <w:pStyle w:val="61"/>
        <w:ind w:firstLine="420"/>
      </w:pPr>
      <w:r>
        <w:rPr>
          <w:rFonts w:hint="eastAsia"/>
        </w:rPr>
        <w:t>评估准备阶段应系统收集以下资料：</w:t>
      </w:r>
    </w:p>
    <w:p w14:paraId="685F4AE7">
      <w:pPr>
        <w:pStyle w:val="61"/>
        <w:ind w:firstLine="420"/>
      </w:pPr>
      <w:r>
        <w:rPr>
          <w:rFonts w:hint="eastAsia"/>
        </w:rPr>
        <w:t xml:space="preserve">填埋场以往环评报告、环保竣工验收报告、设计和施工资料、水文地质勘测报告、环境安全性能评估报告、监测方案，以及渗滤液水位、产生量和组分浓度，防渗层完整性监测、地下水监测、渗漏检测层渗漏速率等相关监测报告、图纸、台账等资料。掌握填埋场的基本情况、生产建设现状、以往环境安全（事故）情况、地质概况等。 </w:t>
      </w:r>
    </w:p>
    <w:p w14:paraId="2AC967B2">
      <w:pPr>
        <w:pStyle w:val="110"/>
        <w:spacing w:before="120" w:after="120"/>
      </w:pPr>
      <w:bookmarkStart w:id="113" w:name="_Toc13799"/>
      <w:bookmarkStart w:id="114" w:name="_Toc32147"/>
      <w:bookmarkStart w:id="115" w:name="_Toc2527"/>
      <w:r>
        <w:rPr>
          <w:rFonts w:hint="eastAsia"/>
        </w:rPr>
        <w:t>监测工作开展</w:t>
      </w:r>
      <w:bookmarkEnd w:id="113"/>
      <w:bookmarkEnd w:id="114"/>
    </w:p>
    <w:p w14:paraId="0B9BE119">
      <w:pPr>
        <w:pStyle w:val="61"/>
        <w:ind w:firstLine="420"/>
      </w:pPr>
      <w:r>
        <w:rPr>
          <w:rFonts w:hint="eastAsia" w:ascii="Times New Roman"/>
        </w:rPr>
        <w:t>（1）</w:t>
      </w:r>
      <w:r>
        <w:rPr>
          <w:rFonts w:hint="eastAsia"/>
        </w:rPr>
        <w:t>应按照以下频率要求获取相关监测数据：</w:t>
      </w:r>
      <w:bookmarkEnd w:id="115"/>
    </w:p>
    <w:p w14:paraId="35DCE205">
      <w:pPr>
        <w:adjustRightInd/>
        <w:spacing w:line="360" w:lineRule="auto"/>
        <w:jc w:val="center"/>
        <w:rPr>
          <w:rFonts w:ascii="宋体" w:hAnsi="Times New Roman"/>
          <w:b/>
          <w:bCs/>
          <w:kern w:val="0"/>
          <w:szCs w:val="20"/>
        </w:rPr>
      </w:pPr>
      <w:r>
        <w:rPr>
          <w:rFonts w:ascii="Times New Roman" w:hAnsi="Times New Roman"/>
          <w:b/>
          <w:bCs/>
          <w:kern w:val="0"/>
          <w:szCs w:val="20"/>
        </w:rPr>
        <w:t>表1 填埋场主要监测项目及频率</w:t>
      </w:r>
      <w:r>
        <w:rPr>
          <w:rStyle w:val="37"/>
          <w:rFonts w:hint="eastAsia"/>
        </w:rPr>
        <w:t>（/次）</w:t>
      </w:r>
    </w:p>
    <w:tbl>
      <w:tblPr>
        <w:tblStyle w:val="30"/>
        <w:tblW w:w="4261" w:type="pct"/>
        <w:jc w:val="center"/>
        <w:tblLayout w:type="fixed"/>
        <w:tblCellMar>
          <w:top w:w="0" w:type="dxa"/>
          <w:left w:w="108" w:type="dxa"/>
          <w:bottom w:w="0" w:type="dxa"/>
          <w:right w:w="108" w:type="dxa"/>
        </w:tblCellMar>
      </w:tblPr>
      <w:tblGrid>
        <w:gridCol w:w="2564"/>
        <w:gridCol w:w="1415"/>
        <w:gridCol w:w="899"/>
        <w:gridCol w:w="1428"/>
        <w:gridCol w:w="1850"/>
      </w:tblGrid>
      <w:tr w14:paraId="3B487B7F">
        <w:tblPrEx>
          <w:tblCellMar>
            <w:top w:w="0" w:type="dxa"/>
            <w:left w:w="108" w:type="dxa"/>
            <w:bottom w:w="0" w:type="dxa"/>
            <w:right w:w="108" w:type="dxa"/>
          </w:tblCellMar>
        </w:tblPrEx>
        <w:trPr>
          <w:trHeight w:val="288" w:hRule="atLeast"/>
          <w:jc w:val="center"/>
        </w:trPr>
        <w:tc>
          <w:tcPr>
            <w:tcW w:w="1571" w:type="pct"/>
            <w:tcBorders>
              <w:top w:val="single" w:color="auto" w:sz="12" w:space="0"/>
              <w:left w:val="single" w:color="auto" w:sz="12" w:space="0"/>
              <w:bottom w:val="single" w:color="auto" w:sz="4" w:space="0"/>
              <w:right w:val="single" w:color="auto" w:sz="4" w:space="0"/>
            </w:tcBorders>
            <w:noWrap/>
            <w:vAlign w:val="center"/>
          </w:tcPr>
          <w:p w14:paraId="75D7BC92">
            <w:pPr>
              <w:widowControl/>
              <w:jc w:val="center"/>
              <w:textAlignment w:val="center"/>
              <w:rPr>
                <w:rFonts w:ascii="宋体" w:hAnsi="宋体"/>
                <w:b/>
                <w:bCs/>
                <w:color w:val="000000"/>
              </w:rPr>
            </w:pPr>
            <w:r>
              <w:rPr>
                <w:rFonts w:ascii="宋体" w:hAnsi="宋体"/>
                <w:b/>
                <w:bCs/>
                <w:color w:val="000000"/>
                <w:kern w:val="0"/>
                <w:lang w:bidi="ar"/>
              </w:rPr>
              <w:t>项目</w:t>
            </w:r>
          </w:p>
        </w:tc>
        <w:tc>
          <w:tcPr>
            <w:tcW w:w="868" w:type="pct"/>
            <w:tcBorders>
              <w:top w:val="single" w:color="auto" w:sz="12" w:space="0"/>
              <w:left w:val="single" w:color="auto" w:sz="4" w:space="0"/>
              <w:bottom w:val="single" w:color="auto" w:sz="4" w:space="0"/>
              <w:right w:val="single" w:color="auto" w:sz="4" w:space="0"/>
            </w:tcBorders>
            <w:noWrap/>
            <w:vAlign w:val="center"/>
          </w:tcPr>
          <w:p w14:paraId="706A1650">
            <w:pPr>
              <w:widowControl/>
              <w:jc w:val="center"/>
              <w:textAlignment w:val="center"/>
              <w:rPr>
                <w:rFonts w:ascii="宋体" w:hAnsi="宋体"/>
                <w:b/>
                <w:bCs/>
                <w:color w:val="000000"/>
              </w:rPr>
            </w:pPr>
            <w:r>
              <w:rPr>
                <w:rFonts w:ascii="宋体" w:hAnsi="宋体"/>
                <w:b/>
                <w:bCs/>
                <w:color w:val="000000"/>
                <w:kern w:val="0"/>
                <w:lang w:bidi="ar"/>
              </w:rPr>
              <w:t>运行期</w:t>
            </w:r>
          </w:p>
        </w:tc>
        <w:tc>
          <w:tcPr>
            <w:tcW w:w="551" w:type="pct"/>
            <w:tcBorders>
              <w:top w:val="single" w:color="auto" w:sz="12" w:space="0"/>
              <w:left w:val="single" w:color="auto" w:sz="4" w:space="0"/>
              <w:bottom w:val="single" w:color="auto" w:sz="4" w:space="0"/>
              <w:right w:val="single" w:color="auto" w:sz="4" w:space="0"/>
            </w:tcBorders>
            <w:noWrap/>
            <w:vAlign w:val="center"/>
          </w:tcPr>
          <w:p w14:paraId="30E6DCD8">
            <w:pPr>
              <w:widowControl/>
              <w:jc w:val="center"/>
              <w:textAlignment w:val="center"/>
              <w:rPr>
                <w:rFonts w:ascii="宋体" w:hAnsi="宋体"/>
                <w:b/>
                <w:bCs/>
                <w:color w:val="000000"/>
              </w:rPr>
            </w:pPr>
            <w:r>
              <w:rPr>
                <w:rFonts w:ascii="宋体" w:hAnsi="宋体"/>
                <w:b/>
                <w:bCs/>
                <w:color w:val="000000"/>
                <w:kern w:val="0"/>
                <w:lang w:bidi="ar"/>
              </w:rPr>
              <w:t>封场期</w:t>
            </w:r>
          </w:p>
        </w:tc>
        <w:tc>
          <w:tcPr>
            <w:tcW w:w="875" w:type="pct"/>
            <w:tcBorders>
              <w:top w:val="single" w:color="auto" w:sz="12" w:space="0"/>
              <w:left w:val="single" w:color="auto" w:sz="4" w:space="0"/>
              <w:bottom w:val="single" w:color="auto" w:sz="4" w:space="0"/>
              <w:right w:val="single" w:color="auto" w:sz="4" w:space="0"/>
            </w:tcBorders>
            <w:noWrap/>
            <w:vAlign w:val="center"/>
          </w:tcPr>
          <w:p w14:paraId="23B325F5">
            <w:pPr>
              <w:widowControl/>
              <w:jc w:val="center"/>
              <w:textAlignment w:val="center"/>
              <w:rPr>
                <w:rFonts w:ascii="宋体" w:hAnsi="宋体"/>
                <w:b/>
                <w:bCs/>
                <w:color w:val="000000"/>
              </w:rPr>
            </w:pPr>
            <w:r>
              <w:rPr>
                <w:rFonts w:ascii="宋体" w:hAnsi="宋体"/>
                <w:b/>
                <w:bCs/>
                <w:color w:val="000000"/>
                <w:kern w:val="0"/>
                <w:lang w:bidi="ar"/>
              </w:rPr>
              <w:t>设计寿命期</w:t>
            </w:r>
          </w:p>
        </w:tc>
        <w:tc>
          <w:tcPr>
            <w:tcW w:w="1133" w:type="pct"/>
            <w:tcBorders>
              <w:top w:val="single" w:color="auto" w:sz="12" w:space="0"/>
              <w:left w:val="single" w:color="auto" w:sz="4" w:space="0"/>
              <w:bottom w:val="single" w:color="auto" w:sz="4" w:space="0"/>
              <w:right w:val="single" w:color="auto" w:sz="12" w:space="0"/>
            </w:tcBorders>
            <w:noWrap/>
            <w:vAlign w:val="center"/>
          </w:tcPr>
          <w:p w14:paraId="2AC3F987">
            <w:pPr>
              <w:widowControl/>
              <w:jc w:val="center"/>
              <w:textAlignment w:val="center"/>
              <w:rPr>
                <w:rFonts w:ascii="宋体" w:hAnsi="宋体"/>
                <w:b/>
                <w:bCs/>
                <w:color w:val="000000"/>
              </w:rPr>
            </w:pPr>
            <w:r>
              <w:rPr>
                <w:rFonts w:ascii="宋体" w:hAnsi="宋体"/>
                <w:b/>
                <w:bCs/>
                <w:color w:val="000000"/>
                <w:kern w:val="0"/>
                <w:lang w:bidi="ar"/>
              </w:rPr>
              <w:t>设计寿命期后</w:t>
            </w:r>
          </w:p>
        </w:tc>
      </w:tr>
      <w:tr w14:paraId="50CCE188">
        <w:tblPrEx>
          <w:tblCellMar>
            <w:top w:w="0" w:type="dxa"/>
            <w:left w:w="108" w:type="dxa"/>
            <w:bottom w:w="0" w:type="dxa"/>
            <w:right w:w="108" w:type="dxa"/>
          </w:tblCellMar>
        </w:tblPrEx>
        <w:trPr>
          <w:trHeight w:val="288" w:hRule="atLeast"/>
          <w:jc w:val="center"/>
        </w:trPr>
        <w:tc>
          <w:tcPr>
            <w:tcW w:w="1571" w:type="pct"/>
            <w:tcBorders>
              <w:top w:val="single" w:color="auto" w:sz="4" w:space="0"/>
              <w:left w:val="single" w:color="auto" w:sz="12" w:space="0"/>
              <w:bottom w:val="single" w:color="auto" w:sz="4" w:space="0"/>
              <w:right w:val="single" w:color="auto" w:sz="4" w:space="0"/>
            </w:tcBorders>
            <w:noWrap/>
            <w:vAlign w:val="center"/>
          </w:tcPr>
          <w:p w14:paraId="66B68D9A">
            <w:pPr>
              <w:widowControl/>
              <w:jc w:val="center"/>
              <w:textAlignment w:val="center"/>
              <w:rPr>
                <w:rFonts w:ascii="宋体" w:hAnsi="宋体"/>
                <w:color w:val="000000"/>
                <w:kern w:val="0"/>
                <w:lang w:bidi="ar"/>
              </w:rPr>
            </w:pPr>
            <w:r>
              <w:rPr>
                <w:rFonts w:ascii="宋体" w:hAnsi="宋体"/>
                <w:color w:val="000000"/>
                <w:kern w:val="0"/>
                <w:lang w:bidi="ar"/>
              </w:rPr>
              <w:t>渗滤液产生量</w:t>
            </w:r>
          </w:p>
        </w:tc>
        <w:tc>
          <w:tcPr>
            <w:tcW w:w="868" w:type="pct"/>
            <w:tcBorders>
              <w:top w:val="single" w:color="auto" w:sz="4" w:space="0"/>
              <w:left w:val="single" w:color="auto" w:sz="4" w:space="0"/>
              <w:bottom w:val="single" w:color="auto" w:sz="4" w:space="0"/>
              <w:right w:val="single" w:color="auto" w:sz="4" w:space="0"/>
            </w:tcBorders>
            <w:noWrap/>
            <w:vAlign w:val="center"/>
          </w:tcPr>
          <w:p w14:paraId="04633E51">
            <w:pPr>
              <w:widowControl/>
              <w:jc w:val="center"/>
              <w:textAlignment w:val="center"/>
              <w:rPr>
                <w:rFonts w:ascii="宋体" w:hAnsi="宋体"/>
                <w:color w:val="000000"/>
                <w:kern w:val="0"/>
                <w:lang w:bidi="ar"/>
              </w:rPr>
            </w:pPr>
            <w:r>
              <w:rPr>
                <w:rFonts w:ascii="宋体" w:hAnsi="宋体"/>
                <w:color w:val="000000"/>
                <w:kern w:val="0"/>
                <w:lang w:bidi="ar"/>
              </w:rPr>
              <w:t>运行记录-日</w:t>
            </w:r>
          </w:p>
        </w:tc>
        <w:tc>
          <w:tcPr>
            <w:tcW w:w="551" w:type="pct"/>
            <w:tcBorders>
              <w:top w:val="single" w:color="auto" w:sz="4" w:space="0"/>
              <w:left w:val="single" w:color="auto" w:sz="4" w:space="0"/>
              <w:bottom w:val="single" w:color="auto" w:sz="4" w:space="0"/>
              <w:right w:val="single" w:color="auto" w:sz="4" w:space="0"/>
            </w:tcBorders>
            <w:noWrap/>
            <w:vAlign w:val="center"/>
          </w:tcPr>
          <w:p w14:paraId="6E5A5615">
            <w:pPr>
              <w:widowControl/>
              <w:jc w:val="center"/>
              <w:textAlignment w:val="center"/>
              <w:rPr>
                <w:rFonts w:ascii="宋体" w:hAnsi="宋体"/>
                <w:color w:val="000000"/>
              </w:rPr>
            </w:pPr>
            <w:r>
              <w:rPr>
                <w:rFonts w:ascii="宋体" w:hAnsi="宋体"/>
                <w:color w:val="000000"/>
                <w:kern w:val="0"/>
                <w:lang w:bidi="ar"/>
              </w:rPr>
              <w:t>月</w:t>
            </w:r>
          </w:p>
        </w:tc>
        <w:tc>
          <w:tcPr>
            <w:tcW w:w="875" w:type="pct"/>
            <w:tcBorders>
              <w:top w:val="single" w:color="auto" w:sz="4" w:space="0"/>
              <w:left w:val="single" w:color="auto" w:sz="4" w:space="0"/>
              <w:bottom w:val="single" w:color="auto" w:sz="4" w:space="0"/>
              <w:right w:val="single" w:color="auto" w:sz="4" w:space="0"/>
            </w:tcBorders>
            <w:noWrap/>
            <w:vAlign w:val="center"/>
          </w:tcPr>
          <w:p w14:paraId="1AA5475C">
            <w:pPr>
              <w:widowControl/>
              <w:jc w:val="center"/>
              <w:textAlignment w:val="center"/>
              <w:rPr>
                <w:rFonts w:ascii="宋体" w:hAnsi="宋体"/>
                <w:color w:val="000000"/>
              </w:rPr>
            </w:pPr>
            <w:r>
              <w:rPr>
                <w:rFonts w:ascii="宋体" w:hAnsi="宋体"/>
                <w:color w:val="000000"/>
                <w:kern w:val="0"/>
                <w:lang w:bidi="ar"/>
              </w:rPr>
              <w:t>月</w:t>
            </w:r>
          </w:p>
        </w:tc>
        <w:tc>
          <w:tcPr>
            <w:tcW w:w="1133" w:type="pct"/>
            <w:tcBorders>
              <w:top w:val="single" w:color="auto" w:sz="4" w:space="0"/>
              <w:left w:val="single" w:color="auto" w:sz="4" w:space="0"/>
              <w:bottom w:val="single" w:color="auto" w:sz="4" w:space="0"/>
              <w:right w:val="single" w:color="auto" w:sz="12" w:space="0"/>
            </w:tcBorders>
            <w:noWrap/>
            <w:vAlign w:val="center"/>
          </w:tcPr>
          <w:p w14:paraId="51AF6545">
            <w:pPr>
              <w:widowControl/>
              <w:jc w:val="center"/>
              <w:textAlignment w:val="center"/>
              <w:rPr>
                <w:rFonts w:ascii="宋体" w:hAnsi="宋体"/>
                <w:color w:val="000000"/>
              </w:rPr>
            </w:pPr>
            <w:r>
              <w:rPr>
                <w:rFonts w:ascii="宋体" w:hAnsi="宋体"/>
                <w:color w:val="000000"/>
                <w:kern w:val="0"/>
                <w:lang w:bidi="ar"/>
              </w:rPr>
              <w:t>月</w:t>
            </w:r>
          </w:p>
        </w:tc>
      </w:tr>
      <w:tr w14:paraId="4BCB20E4">
        <w:tblPrEx>
          <w:tblCellMar>
            <w:top w:w="0" w:type="dxa"/>
            <w:left w:w="108" w:type="dxa"/>
            <w:bottom w:w="0" w:type="dxa"/>
            <w:right w:w="108" w:type="dxa"/>
          </w:tblCellMar>
        </w:tblPrEx>
        <w:trPr>
          <w:trHeight w:val="288" w:hRule="atLeast"/>
          <w:jc w:val="center"/>
        </w:trPr>
        <w:tc>
          <w:tcPr>
            <w:tcW w:w="1571" w:type="pct"/>
            <w:tcBorders>
              <w:top w:val="single" w:color="auto" w:sz="4" w:space="0"/>
              <w:left w:val="single" w:color="auto" w:sz="12" w:space="0"/>
              <w:bottom w:val="single" w:color="auto" w:sz="4" w:space="0"/>
              <w:right w:val="single" w:color="auto" w:sz="4" w:space="0"/>
            </w:tcBorders>
            <w:noWrap/>
            <w:vAlign w:val="center"/>
          </w:tcPr>
          <w:p w14:paraId="5EF4F399">
            <w:pPr>
              <w:widowControl/>
              <w:jc w:val="center"/>
              <w:textAlignment w:val="center"/>
              <w:rPr>
                <w:rFonts w:ascii="宋体" w:hAnsi="宋体"/>
                <w:color w:val="000000"/>
              </w:rPr>
            </w:pPr>
            <w:r>
              <w:rPr>
                <w:rFonts w:ascii="宋体" w:hAnsi="宋体"/>
                <w:color w:val="000000"/>
                <w:kern w:val="0"/>
                <w:lang w:bidi="ar"/>
              </w:rPr>
              <w:t>渗滤液组分和浓度</w:t>
            </w:r>
          </w:p>
        </w:tc>
        <w:tc>
          <w:tcPr>
            <w:tcW w:w="868" w:type="pct"/>
            <w:tcBorders>
              <w:top w:val="single" w:color="auto" w:sz="4" w:space="0"/>
              <w:left w:val="single" w:color="auto" w:sz="4" w:space="0"/>
              <w:bottom w:val="single" w:color="auto" w:sz="4" w:space="0"/>
              <w:right w:val="single" w:color="auto" w:sz="4" w:space="0"/>
            </w:tcBorders>
            <w:noWrap/>
            <w:vAlign w:val="center"/>
          </w:tcPr>
          <w:p w14:paraId="76322293">
            <w:pPr>
              <w:widowControl/>
              <w:jc w:val="center"/>
              <w:textAlignment w:val="center"/>
              <w:rPr>
                <w:rFonts w:ascii="宋体" w:hAnsi="宋体"/>
                <w:color w:val="000000"/>
              </w:rPr>
            </w:pPr>
            <w:r>
              <w:rPr>
                <w:rFonts w:ascii="宋体" w:hAnsi="宋体"/>
                <w:color w:val="000000"/>
                <w:kern w:val="0"/>
                <w:lang w:bidi="ar"/>
              </w:rPr>
              <w:t>月</w:t>
            </w:r>
          </w:p>
        </w:tc>
        <w:tc>
          <w:tcPr>
            <w:tcW w:w="551" w:type="pct"/>
            <w:tcBorders>
              <w:top w:val="single" w:color="auto" w:sz="4" w:space="0"/>
              <w:left w:val="single" w:color="auto" w:sz="4" w:space="0"/>
              <w:bottom w:val="single" w:color="auto" w:sz="4" w:space="0"/>
              <w:right w:val="single" w:color="auto" w:sz="4" w:space="0"/>
            </w:tcBorders>
            <w:noWrap/>
            <w:vAlign w:val="center"/>
          </w:tcPr>
          <w:p w14:paraId="7C65541D">
            <w:pPr>
              <w:widowControl/>
              <w:jc w:val="center"/>
              <w:textAlignment w:val="center"/>
              <w:rPr>
                <w:rFonts w:ascii="宋体" w:hAnsi="宋体"/>
                <w:color w:val="000000"/>
              </w:rPr>
            </w:pPr>
            <w:r>
              <w:rPr>
                <w:rFonts w:ascii="宋体" w:hAnsi="宋体"/>
                <w:color w:val="000000"/>
                <w:kern w:val="0"/>
                <w:lang w:bidi="ar"/>
              </w:rPr>
              <w:t>月</w:t>
            </w:r>
          </w:p>
        </w:tc>
        <w:tc>
          <w:tcPr>
            <w:tcW w:w="875" w:type="pct"/>
            <w:tcBorders>
              <w:top w:val="single" w:color="auto" w:sz="4" w:space="0"/>
              <w:left w:val="single" w:color="auto" w:sz="4" w:space="0"/>
              <w:bottom w:val="single" w:color="auto" w:sz="4" w:space="0"/>
              <w:right w:val="single" w:color="auto" w:sz="4" w:space="0"/>
            </w:tcBorders>
            <w:noWrap/>
            <w:vAlign w:val="center"/>
          </w:tcPr>
          <w:p w14:paraId="5658E055">
            <w:pPr>
              <w:widowControl/>
              <w:jc w:val="center"/>
              <w:textAlignment w:val="center"/>
              <w:rPr>
                <w:rFonts w:ascii="宋体" w:hAnsi="宋体"/>
                <w:color w:val="000000"/>
              </w:rPr>
            </w:pPr>
            <w:r>
              <w:rPr>
                <w:rFonts w:ascii="宋体" w:hAnsi="宋体"/>
                <w:color w:val="000000"/>
                <w:kern w:val="0"/>
                <w:lang w:bidi="ar"/>
              </w:rPr>
              <w:t>月</w:t>
            </w:r>
          </w:p>
        </w:tc>
        <w:tc>
          <w:tcPr>
            <w:tcW w:w="1133" w:type="pct"/>
            <w:tcBorders>
              <w:top w:val="single" w:color="auto" w:sz="4" w:space="0"/>
              <w:left w:val="single" w:color="auto" w:sz="4" w:space="0"/>
              <w:bottom w:val="single" w:color="auto" w:sz="4" w:space="0"/>
              <w:right w:val="single" w:color="auto" w:sz="12" w:space="0"/>
            </w:tcBorders>
            <w:noWrap/>
            <w:vAlign w:val="center"/>
          </w:tcPr>
          <w:p w14:paraId="2AA30A33">
            <w:pPr>
              <w:widowControl/>
              <w:jc w:val="center"/>
              <w:textAlignment w:val="center"/>
              <w:rPr>
                <w:rFonts w:ascii="宋体" w:hAnsi="宋体"/>
                <w:color w:val="000000"/>
              </w:rPr>
            </w:pPr>
            <w:r>
              <w:rPr>
                <w:rFonts w:ascii="宋体" w:hAnsi="宋体"/>
                <w:color w:val="000000"/>
                <w:kern w:val="0"/>
                <w:lang w:bidi="ar"/>
              </w:rPr>
              <w:t>月</w:t>
            </w:r>
          </w:p>
        </w:tc>
      </w:tr>
      <w:tr w14:paraId="335CD295">
        <w:tblPrEx>
          <w:tblCellMar>
            <w:top w:w="0" w:type="dxa"/>
            <w:left w:w="108" w:type="dxa"/>
            <w:bottom w:w="0" w:type="dxa"/>
            <w:right w:w="108" w:type="dxa"/>
          </w:tblCellMar>
        </w:tblPrEx>
        <w:trPr>
          <w:trHeight w:val="288" w:hRule="atLeast"/>
          <w:jc w:val="center"/>
        </w:trPr>
        <w:tc>
          <w:tcPr>
            <w:tcW w:w="1571" w:type="pct"/>
            <w:tcBorders>
              <w:top w:val="single" w:color="auto" w:sz="4" w:space="0"/>
              <w:left w:val="single" w:color="auto" w:sz="12" w:space="0"/>
              <w:bottom w:val="single" w:color="auto" w:sz="4" w:space="0"/>
              <w:right w:val="single" w:color="auto" w:sz="4" w:space="0"/>
            </w:tcBorders>
            <w:noWrap/>
            <w:vAlign w:val="center"/>
          </w:tcPr>
          <w:p w14:paraId="4AB9A6EA">
            <w:pPr>
              <w:widowControl/>
              <w:jc w:val="center"/>
              <w:textAlignment w:val="center"/>
              <w:rPr>
                <w:rFonts w:ascii="宋体" w:hAnsi="宋体"/>
                <w:color w:val="000000"/>
              </w:rPr>
            </w:pPr>
            <w:r>
              <w:rPr>
                <w:rFonts w:ascii="宋体" w:hAnsi="宋体"/>
                <w:color w:val="000000"/>
                <w:kern w:val="0"/>
                <w:lang w:bidi="ar"/>
              </w:rPr>
              <w:t>渗漏检测层渗漏量</w:t>
            </w:r>
          </w:p>
        </w:tc>
        <w:tc>
          <w:tcPr>
            <w:tcW w:w="868" w:type="pct"/>
            <w:tcBorders>
              <w:top w:val="single" w:color="auto" w:sz="4" w:space="0"/>
              <w:left w:val="single" w:color="auto" w:sz="4" w:space="0"/>
              <w:bottom w:val="single" w:color="auto" w:sz="4" w:space="0"/>
              <w:right w:val="single" w:color="auto" w:sz="4" w:space="0"/>
            </w:tcBorders>
            <w:noWrap/>
            <w:vAlign w:val="center"/>
          </w:tcPr>
          <w:p w14:paraId="4F4541EA">
            <w:pPr>
              <w:widowControl/>
              <w:jc w:val="center"/>
              <w:textAlignment w:val="center"/>
              <w:rPr>
                <w:rFonts w:ascii="宋体" w:hAnsi="宋体"/>
                <w:color w:val="000000"/>
              </w:rPr>
            </w:pPr>
            <w:r>
              <w:rPr>
                <w:rFonts w:ascii="宋体" w:hAnsi="宋体"/>
                <w:color w:val="000000"/>
                <w:kern w:val="0"/>
                <w:lang w:bidi="ar"/>
              </w:rPr>
              <w:t>星期</w:t>
            </w:r>
          </w:p>
        </w:tc>
        <w:tc>
          <w:tcPr>
            <w:tcW w:w="551" w:type="pct"/>
            <w:tcBorders>
              <w:top w:val="single" w:color="auto" w:sz="4" w:space="0"/>
              <w:left w:val="single" w:color="auto" w:sz="4" w:space="0"/>
              <w:bottom w:val="single" w:color="auto" w:sz="4" w:space="0"/>
              <w:right w:val="single" w:color="auto" w:sz="4" w:space="0"/>
            </w:tcBorders>
            <w:noWrap/>
            <w:vAlign w:val="center"/>
          </w:tcPr>
          <w:p w14:paraId="2EFE7EDB">
            <w:pPr>
              <w:widowControl/>
              <w:jc w:val="center"/>
              <w:textAlignment w:val="center"/>
              <w:rPr>
                <w:rFonts w:ascii="宋体" w:hAnsi="宋体"/>
                <w:color w:val="000000"/>
              </w:rPr>
            </w:pPr>
            <w:r>
              <w:rPr>
                <w:rFonts w:ascii="宋体" w:hAnsi="宋体"/>
                <w:color w:val="000000"/>
                <w:kern w:val="0"/>
                <w:lang w:bidi="ar"/>
              </w:rPr>
              <w:t>月</w:t>
            </w:r>
          </w:p>
        </w:tc>
        <w:tc>
          <w:tcPr>
            <w:tcW w:w="875" w:type="pct"/>
            <w:tcBorders>
              <w:top w:val="single" w:color="auto" w:sz="4" w:space="0"/>
              <w:left w:val="single" w:color="auto" w:sz="4" w:space="0"/>
              <w:bottom w:val="single" w:color="auto" w:sz="4" w:space="0"/>
              <w:right w:val="single" w:color="auto" w:sz="4" w:space="0"/>
            </w:tcBorders>
            <w:noWrap/>
            <w:vAlign w:val="center"/>
          </w:tcPr>
          <w:p w14:paraId="74557105">
            <w:pPr>
              <w:widowControl/>
              <w:jc w:val="center"/>
              <w:textAlignment w:val="center"/>
              <w:rPr>
                <w:rFonts w:ascii="宋体" w:hAnsi="宋体"/>
                <w:color w:val="000000"/>
              </w:rPr>
            </w:pPr>
            <w:r>
              <w:rPr>
                <w:rFonts w:ascii="宋体" w:hAnsi="宋体"/>
                <w:color w:val="000000"/>
                <w:kern w:val="0"/>
                <w:lang w:bidi="ar"/>
              </w:rPr>
              <w:t>星期</w:t>
            </w:r>
          </w:p>
        </w:tc>
        <w:tc>
          <w:tcPr>
            <w:tcW w:w="1133" w:type="pct"/>
            <w:tcBorders>
              <w:top w:val="single" w:color="auto" w:sz="4" w:space="0"/>
              <w:left w:val="single" w:color="auto" w:sz="4" w:space="0"/>
              <w:bottom w:val="single" w:color="auto" w:sz="4" w:space="0"/>
              <w:right w:val="single" w:color="auto" w:sz="12" w:space="0"/>
            </w:tcBorders>
            <w:noWrap/>
            <w:vAlign w:val="center"/>
          </w:tcPr>
          <w:p w14:paraId="0CDDC860">
            <w:pPr>
              <w:widowControl/>
              <w:jc w:val="center"/>
              <w:textAlignment w:val="center"/>
              <w:rPr>
                <w:rFonts w:ascii="宋体" w:hAnsi="宋体"/>
                <w:color w:val="000000"/>
              </w:rPr>
            </w:pPr>
            <w:r>
              <w:rPr>
                <w:rFonts w:ascii="宋体" w:hAnsi="宋体"/>
                <w:color w:val="000000"/>
                <w:kern w:val="0"/>
                <w:lang w:bidi="ar"/>
              </w:rPr>
              <w:t>星期</w:t>
            </w:r>
          </w:p>
        </w:tc>
      </w:tr>
      <w:tr w14:paraId="772F68BC">
        <w:tblPrEx>
          <w:tblCellMar>
            <w:top w:w="0" w:type="dxa"/>
            <w:left w:w="108" w:type="dxa"/>
            <w:bottom w:w="0" w:type="dxa"/>
            <w:right w:w="108" w:type="dxa"/>
          </w:tblCellMar>
        </w:tblPrEx>
        <w:trPr>
          <w:trHeight w:val="288" w:hRule="atLeast"/>
          <w:jc w:val="center"/>
        </w:trPr>
        <w:tc>
          <w:tcPr>
            <w:tcW w:w="1571" w:type="pct"/>
            <w:tcBorders>
              <w:top w:val="single" w:color="auto" w:sz="4" w:space="0"/>
              <w:left w:val="single" w:color="auto" w:sz="12" w:space="0"/>
              <w:bottom w:val="single" w:color="auto" w:sz="4" w:space="0"/>
              <w:right w:val="single" w:color="auto" w:sz="4" w:space="0"/>
            </w:tcBorders>
            <w:noWrap/>
            <w:vAlign w:val="center"/>
          </w:tcPr>
          <w:p w14:paraId="0B077174">
            <w:pPr>
              <w:widowControl/>
              <w:jc w:val="center"/>
              <w:textAlignment w:val="center"/>
              <w:rPr>
                <w:rFonts w:ascii="宋体" w:hAnsi="宋体"/>
                <w:color w:val="000000"/>
              </w:rPr>
            </w:pPr>
            <w:r>
              <w:rPr>
                <w:rFonts w:ascii="宋体" w:hAnsi="宋体"/>
                <w:color w:val="000000"/>
                <w:kern w:val="0"/>
                <w:lang w:bidi="ar"/>
              </w:rPr>
              <w:t>渗滤液水位</w:t>
            </w:r>
          </w:p>
        </w:tc>
        <w:tc>
          <w:tcPr>
            <w:tcW w:w="868" w:type="pct"/>
            <w:tcBorders>
              <w:top w:val="single" w:color="auto" w:sz="4" w:space="0"/>
              <w:left w:val="single" w:color="auto" w:sz="4" w:space="0"/>
              <w:bottom w:val="single" w:color="auto" w:sz="4" w:space="0"/>
              <w:right w:val="single" w:color="auto" w:sz="4" w:space="0"/>
            </w:tcBorders>
            <w:noWrap/>
            <w:vAlign w:val="center"/>
          </w:tcPr>
          <w:p w14:paraId="37982205">
            <w:pPr>
              <w:widowControl/>
              <w:jc w:val="center"/>
              <w:textAlignment w:val="center"/>
              <w:rPr>
                <w:rFonts w:ascii="宋体" w:hAnsi="宋体"/>
                <w:color w:val="000000"/>
              </w:rPr>
            </w:pPr>
            <w:r>
              <w:rPr>
                <w:rFonts w:ascii="宋体" w:hAnsi="宋体"/>
                <w:color w:val="000000"/>
                <w:kern w:val="0"/>
                <w:lang w:bidi="ar"/>
              </w:rPr>
              <w:t>月</w:t>
            </w:r>
          </w:p>
        </w:tc>
        <w:tc>
          <w:tcPr>
            <w:tcW w:w="551" w:type="pct"/>
            <w:tcBorders>
              <w:top w:val="single" w:color="auto" w:sz="4" w:space="0"/>
              <w:left w:val="single" w:color="auto" w:sz="4" w:space="0"/>
              <w:bottom w:val="single" w:color="auto" w:sz="4" w:space="0"/>
              <w:right w:val="single" w:color="auto" w:sz="4" w:space="0"/>
            </w:tcBorders>
            <w:noWrap/>
            <w:vAlign w:val="center"/>
          </w:tcPr>
          <w:p w14:paraId="625DDA1A">
            <w:pPr>
              <w:widowControl/>
              <w:jc w:val="center"/>
              <w:textAlignment w:val="center"/>
              <w:rPr>
                <w:rFonts w:ascii="宋体" w:hAnsi="宋体"/>
                <w:color w:val="000000"/>
              </w:rPr>
            </w:pPr>
            <w:r>
              <w:rPr>
                <w:rFonts w:ascii="宋体" w:hAnsi="宋体"/>
                <w:color w:val="000000"/>
                <w:kern w:val="0"/>
                <w:lang w:bidi="ar"/>
              </w:rPr>
              <w:t>月</w:t>
            </w:r>
          </w:p>
        </w:tc>
        <w:tc>
          <w:tcPr>
            <w:tcW w:w="875" w:type="pct"/>
            <w:tcBorders>
              <w:top w:val="single" w:color="auto" w:sz="4" w:space="0"/>
              <w:left w:val="single" w:color="auto" w:sz="4" w:space="0"/>
              <w:bottom w:val="single" w:color="auto" w:sz="4" w:space="0"/>
              <w:right w:val="single" w:color="auto" w:sz="4" w:space="0"/>
            </w:tcBorders>
            <w:noWrap/>
            <w:vAlign w:val="center"/>
          </w:tcPr>
          <w:p w14:paraId="458511CE">
            <w:pPr>
              <w:widowControl/>
              <w:jc w:val="center"/>
              <w:textAlignment w:val="center"/>
              <w:rPr>
                <w:rFonts w:ascii="宋体" w:hAnsi="宋体"/>
                <w:color w:val="000000"/>
              </w:rPr>
            </w:pPr>
            <w:r>
              <w:rPr>
                <w:rFonts w:ascii="宋体" w:hAnsi="宋体"/>
                <w:color w:val="000000"/>
                <w:kern w:val="0"/>
                <w:lang w:bidi="ar"/>
              </w:rPr>
              <w:t>月</w:t>
            </w:r>
          </w:p>
        </w:tc>
        <w:tc>
          <w:tcPr>
            <w:tcW w:w="1133" w:type="pct"/>
            <w:tcBorders>
              <w:top w:val="single" w:color="auto" w:sz="4" w:space="0"/>
              <w:left w:val="single" w:color="auto" w:sz="4" w:space="0"/>
              <w:bottom w:val="single" w:color="auto" w:sz="4" w:space="0"/>
              <w:right w:val="single" w:color="auto" w:sz="12" w:space="0"/>
            </w:tcBorders>
            <w:noWrap/>
            <w:vAlign w:val="center"/>
          </w:tcPr>
          <w:p w14:paraId="1D08D711">
            <w:pPr>
              <w:widowControl/>
              <w:jc w:val="center"/>
              <w:textAlignment w:val="center"/>
              <w:rPr>
                <w:rFonts w:ascii="宋体" w:hAnsi="宋体"/>
                <w:color w:val="000000"/>
              </w:rPr>
            </w:pPr>
            <w:r>
              <w:rPr>
                <w:rFonts w:ascii="宋体" w:hAnsi="宋体"/>
                <w:color w:val="000000"/>
                <w:kern w:val="0"/>
                <w:lang w:bidi="ar"/>
              </w:rPr>
              <w:t>月</w:t>
            </w:r>
          </w:p>
        </w:tc>
      </w:tr>
      <w:tr w14:paraId="69A8AE88">
        <w:tblPrEx>
          <w:tblCellMar>
            <w:top w:w="0" w:type="dxa"/>
            <w:left w:w="108" w:type="dxa"/>
            <w:bottom w:w="0" w:type="dxa"/>
            <w:right w:w="108" w:type="dxa"/>
          </w:tblCellMar>
        </w:tblPrEx>
        <w:trPr>
          <w:trHeight w:val="288" w:hRule="atLeast"/>
          <w:jc w:val="center"/>
        </w:trPr>
        <w:tc>
          <w:tcPr>
            <w:tcW w:w="1571" w:type="pct"/>
            <w:tcBorders>
              <w:top w:val="single" w:color="auto" w:sz="4" w:space="0"/>
              <w:left w:val="single" w:color="auto" w:sz="12" w:space="0"/>
              <w:bottom w:val="single" w:color="auto" w:sz="4" w:space="0"/>
              <w:right w:val="single" w:color="auto" w:sz="4" w:space="0"/>
            </w:tcBorders>
            <w:noWrap/>
            <w:vAlign w:val="center"/>
          </w:tcPr>
          <w:p w14:paraId="70D1F206">
            <w:pPr>
              <w:widowControl/>
              <w:jc w:val="center"/>
              <w:textAlignment w:val="center"/>
              <w:rPr>
                <w:rFonts w:ascii="宋体" w:hAnsi="宋体"/>
                <w:color w:val="000000"/>
              </w:rPr>
            </w:pPr>
            <w:r>
              <w:rPr>
                <w:rFonts w:ascii="宋体" w:hAnsi="宋体"/>
                <w:color w:val="000000"/>
                <w:kern w:val="0"/>
                <w:lang w:bidi="ar"/>
              </w:rPr>
              <w:t>渗滤液导排管检测和清淤</w:t>
            </w:r>
          </w:p>
        </w:tc>
        <w:tc>
          <w:tcPr>
            <w:tcW w:w="868" w:type="pct"/>
            <w:tcBorders>
              <w:top w:val="single" w:color="auto" w:sz="4" w:space="0"/>
              <w:left w:val="single" w:color="auto" w:sz="4" w:space="0"/>
              <w:bottom w:val="single" w:color="auto" w:sz="4" w:space="0"/>
              <w:right w:val="single" w:color="auto" w:sz="4" w:space="0"/>
            </w:tcBorders>
            <w:noWrap/>
            <w:vAlign w:val="center"/>
          </w:tcPr>
          <w:p w14:paraId="413EC897">
            <w:pPr>
              <w:widowControl/>
              <w:jc w:val="center"/>
              <w:textAlignment w:val="center"/>
              <w:rPr>
                <w:rFonts w:ascii="宋体" w:hAnsi="宋体"/>
                <w:color w:val="000000"/>
              </w:rPr>
            </w:pPr>
            <w:r>
              <w:rPr>
                <w:rFonts w:ascii="宋体" w:hAnsi="宋体"/>
                <w:color w:val="000000"/>
                <w:kern w:val="0"/>
                <w:lang w:bidi="ar"/>
              </w:rPr>
              <w:t>半年</w:t>
            </w:r>
          </w:p>
        </w:tc>
        <w:tc>
          <w:tcPr>
            <w:tcW w:w="551" w:type="pct"/>
            <w:tcBorders>
              <w:top w:val="single" w:color="auto" w:sz="4" w:space="0"/>
              <w:left w:val="single" w:color="auto" w:sz="4" w:space="0"/>
              <w:bottom w:val="single" w:color="auto" w:sz="4" w:space="0"/>
              <w:right w:val="single" w:color="auto" w:sz="4" w:space="0"/>
            </w:tcBorders>
            <w:noWrap/>
            <w:vAlign w:val="center"/>
          </w:tcPr>
          <w:p w14:paraId="20A21ECD">
            <w:pPr>
              <w:widowControl/>
              <w:jc w:val="center"/>
              <w:textAlignment w:val="center"/>
              <w:rPr>
                <w:rFonts w:ascii="宋体" w:hAnsi="宋体"/>
                <w:color w:val="000000"/>
              </w:rPr>
            </w:pPr>
            <w:r>
              <w:rPr>
                <w:rFonts w:ascii="宋体" w:hAnsi="宋体"/>
                <w:color w:val="000000"/>
                <w:kern w:val="0"/>
                <w:lang w:bidi="ar"/>
              </w:rPr>
              <w:t>半年</w:t>
            </w:r>
          </w:p>
        </w:tc>
        <w:tc>
          <w:tcPr>
            <w:tcW w:w="875" w:type="pct"/>
            <w:tcBorders>
              <w:top w:val="single" w:color="auto" w:sz="4" w:space="0"/>
              <w:left w:val="single" w:color="auto" w:sz="4" w:space="0"/>
              <w:bottom w:val="single" w:color="auto" w:sz="4" w:space="0"/>
              <w:right w:val="single" w:color="auto" w:sz="4" w:space="0"/>
            </w:tcBorders>
            <w:noWrap/>
            <w:vAlign w:val="center"/>
          </w:tcPr>
          <w:p w14:paraId="06845F11">
            <w:pPr>
              <w:widowControl/>
              <w:jc w:val="center"/>
              <w:textAlignment w:val="center"/>
              <w:rPr>
                <w:rFonts w:ascii="宋体" w:hAnsi="宋体"/>
                <w:color w:val="000000"/>
              </w:rPr>
            </w:pPr>
            <w:r>
              <w:rPr>
                <w:rFonts w:ascii="宋体" w:hAnsi="宋体"/>
                <w:color w:val="000000"/>
                <w:kern w:val="0"/>
                <w:lang w:bidi="ar"/>
              </w:rPr>
              <w:t>半年</w:t>
            </w:r>
          </w:p>
        </w:tc>
        <w:tc>
          <w:tcPr>
            <w:tcW w:w="1133" w:type="pct"/>
            <w:tcBorders>
              <w:top w:val="single" w:color="auto" w:sz="4" w:space="0"/>
              <w:left w:val="single" w:color="auto" w:sz="4" w:space="0"/>
              <w:bottom w:val="single" w:color="auto" w:sz="4" w:space="0"/>
              <w:right w:val="single" w:color="auto" w:sz="12" w:space="0"/>
            </w:tcBorders>
            <w:noWrap/>
            <w:vAlign w:val="center"/>
          </w:tcPr>
          <w:p w14:paraId="1F3FB252">
            <w:pPr>
              <w:widowControl/>
              <w:jc w:val="center"/>
              <w:textAlignment w:val="center"/>
              <w:rPr>
                <w:rFonts w:ascii="宋体" w:hAnsi="宋体"/>
                <w:color w:val="000000"/>
              </w:rPr>
            </w:pPr>
            <w:r>
              <w:rPr>
                <w:rFonts w:ascii="宋体" w:hAnsi="宋体"/>
                <w:color w:val="000000"/>
                <w:kern w:val="0"/>
                <w:lang w:bidi="ar"/>
              </w:rPr>
              <w:t>半年</w:t>
            </w:r>
          </w:p>
        </w:tc>
      </w:tr>
      <w:tr w14:paraId="3E636CDE">
        <w:tblPrEx>
          <w:tblCellMar>
            <w:top w:w="0" w:type="dxa"/>
            <w:left w:w="108" w:type="dxa"/>
            <w:bottom w:w="0" w:type="dxa"/>
            <w:right w:w="108" w:type="dxa"/>
          </w:tblCellMar>
        </w:tblPrEx>
        <w:trPr>
          <w:trHeight w:val="288" w:hRule="atLeast"/>
          <w:jc w:val="center"/>
        </w:trPr>
        <w:tc>
          <w:tcPr>
            <w:tcW w:w="1571" w:type="pct"/>
            <w:tcBorders>
              <w:top w:val="single" w:color="auto" w:sz="4" w:space="0"/>
              <w:left w:val="single" w:color="auto" w:sz="12" w:space="0"/>
              <w:bottom w:val="single" w:color="auto" w:sz="4" w:space="0"/>
              <w:right w:val="single" w:color="auto" w:sz="4" w:space="0"/>
            </w:tcBorders>
            <w:noWrap/>
            <w:vAlign w:val="center"/>
          </w:tcPr>
          <w:p w14:paraId="073C80D6">
            <w:pPr>
              <w:widowControl/>
              <w:jc w:val="center"/>
              <w:textAlignment w:val="center"/>
              <w:rPr>
                <w:rFonts w:ascii="宋体" w:hAnsi="宋体"/>
                <w:color w:val="000000"/>
              </w:rPr>
            </w:pPr>
            <w:r>
              <w:rPr>
                <w:rFonts w:ascii="宋体" w:hAnsi="宋体"/>
                <w:color w:val="000000"/>
                <w:kern w:val="0"/>
                <w:lang w:bidi="ar"/>
              </w:rPr>
              <w:t>地下水监测</w:t>
            </w:r>
          </w:p>
        </w:tc>
        <w:tc>
          <w:tcPr>
            <w:tcW w:w="868" w:type="pct"/>
            <w:tcBorders>
              <w:top w:val="single" w:color="auto" w:sz="4" w:space="0"/>
              <w:left w:val="single" w:color="auto" w:sz="4" w:space="0"/>
              <w:bottom w:val="single" w:color="auto" w:sz="4" w:space="0"/>
              <w:right w:val="single" w:color="auto" w:sz="4" w:space="0"/>
            </w:tcBorders>
            <w:noWrap/>
            <w:vAlign w:val="center"/>
          </w:tcPr>
          <w:p w14:paraId="372734A9">
            <w:pPr>
              <w:widowControl/>
              <w:jc w:val="center"/>
              <w:textAlignment w:val="center"/>
              <w:rPr>
                <w:rFonts w:ascii="宋体" w:hAnsi="宋体"/>
                <w:color w:val="000000"/>
              </w:rPr>
            </w:pPr>
            <w:r>
              <w:rPr>
                <w:rFonts w:ascii="宋体" w:hAnsi="宋体"/>
                <w:color w:val="000000"/>
                <w:kern w:val="0"/>
                <w:lang w:bidi="ar"/>
              </w:rPr>
              <w:t>月</w:t>
            </w:r>
          </w:p>
        </w:tc>
        <w:tc>
          <w:tcPr>
            <w:tcW w:w="551" w:type="pct"/>
            <w:tcBorders>
              <w:top w:val="single" w:color="auto" w:sz="4" w:space="0"/>
              <w:left w:val="single" w:color="auto" w:sz="4" w:space="0"/>
              <w:bottom w:val="single" w:color="auto" w:sz="4" w:space="0"/>
              <w:right w:val="single" w:color="auto" w:sz="4" w:space="0"/>
            </w:tcBorders>
            <w:noWrap/>
            <w:vAlign w:val="center"/>
          </w:tcPr>
          <w:p w14:paraId="761C0398">
            <w:pPr>
              <w:widowControl/>
              <w:jc w:val="center"/>
              <w:textAlignment w:val="center"/>
              <w:rPr>
                <w:rFonts w:ascii="宋体" w:hAnsi="宋体"/>
                <w:color w:val="000000"/>
              </w:rPr>
            </w:pPr>
            <w:r>
              <w:rPr>
                <w:rFonts w:ascii="宋体" w:hAnsi="宋体"/>
                <w:color w:val="000000"/>
                <w:kern w:val="0"/>
                <w:lang w:bidi="ar"/>
              </w:rPr>
              <w:t>星期</w:t>
            </w:r>
          </w:p>
        </w:tc>
        <w:tc>
          <w:tcPr>
            <w:tcW w:w="875" w:type="pct"/>
            <w:tcBorders>
              <w:top w:val="single" w:color="auto" w:sz="4" w:space="0"/>
              <w:left w:val="single" w:color="auto" w:sz="4" w:space="0"/>
              <w:bottom w:val="single" w:color="auto" w:sz="4" w:space="0"/>
              <w:right w:val="single" w:color="auto" w:sz="4" w:space="0"/>
            </w:tcBorders>
            <w:noWrap/>
            <w:vAlign w:val="center"/>
          </w:tcPr>
          <w:p w14:paraId="2BC2D402">
            <w:pPr>
              <w:widowControl/>
              <w:jc w:val="center"/>
              <w:textAlignment w:val="center"/>
              <w:rPr>
                <w:rFonts w:ascii="宋体" w:hAnsi="宋体"/>
                <w:color w:val="000000"/>
              </w:rPr>
            </w:pPr>
            <w:r>
              <w:rPr>
                <w:rFonts w:ascii="宋体" w:hAnsi="宋体"/>
                <w:color w:val="000000"/>
                <w:kern w:val="0"/>
                <w:lang w:bidi="ar"/>
              </w:rPr>
              <w:t>星期</w:t>
            </w:r>
          </w:p>
        </w:tc>
        <w:tc>
          <w:tcPr>
            <w:tcW w:w="1133" w:type="pct"/>
            <w:tcBorders>
              <w:top w:val="single" w:color="auto" w:sz="4" w:space="0"/>
              <w:left w:val="single" w:color="auto" w:sz="4" w:space="0"/>
              <w:bottom w:val="single" w:color="auto" w:sz="4" w:space="0"/>
              <w:right w:val="single" w:color="auto" w:sz="12" w:space="0"/>
            </w:tcBorders>
            <w:noWrap/>
            <w:vAlign w:val="center"/>
          </w:tcPr>
          <w:p w14:paraId="6C4C18E1">
            <w:pPr>
              <w:widowControl/>
              <w:jc w:val="center"/>
              <w:textAlignment w:val="center"/>
              <w:rPr>
                <w:rFonts w:ascii="宋体" w:hAnsi="宋体"/>
                <w:color w:val="000000"/>
              </w:rPr>
            </w:pPr>
            <w:r>
              <w:rPr>
                <w:rFonts w:ascii="宋体" w:hAnsi="宋体"/>
                <w:color w:val="000000"/>
                <w:kern w:val="0"/>
                <w:lang w:bidi="ar"/>
              </w:rPr>
              <w:t>星期</w:t>
            </w:r>
          </w:p>
        </w:tc>
      </w:tr>
      <w:tr w14:paraId="2289AEC7">
        <w:tblPrEx>
          <w:tblCellMar>
            <w:top w:w="0" w:type="dxa"/>
            <w:left w:w="108" w:type="dxa"/>
            <w:bottom w:w="0" w:type="dxa"/>
            <w:right w:w="108" w:type="dxa"/>
          </w:tblCellMar>
        </w:tblPrEx>
        <w:trPr>
          <w:trHeight w:val="288" w:hRule="atLeast"/>
          <w:jc w:val="center"/>
        </w:trPr>
        <w:tc>
          <w:tcPr>
            <w:tcW w:w="1571" w:type="pct"/>
            <w:tcBorders>
              <w:top w:val="single" w:color="auto" w:sz="4" w:space="0"/>
              <w:left w:val="single" w:color="auto" w:sz="12" w:space="0"/>
              <w:bottom w:val="single" w:color="auto" w:sz="12" w:space="0"/>
              <w:right w:val="single" w:color="auto" w:sz="4" w:space="0"/>
            </w:tcBorders>
            <w:noWrap/>
            <w:vAlign w:val="center"/>
          </w:tcPr>
          <w:p w14:paraId="075467AE">
            <w:pPr>
              <w:widowControl/>
              <w:jc w:val="center"/>
              <w:textAlignment w:val="center"/>
              <w:rPr>
                <w:rFonts w:ascii="宋体" w:hAnsi="宋体"/>
                <w:color w:val="000000"/>
              </w:rPr>
            </w:pPr>
            <w:r>
              <w:rPr>
                <w:rFonts w:ascii="宋体" w:hAnsi="宋体"/>
                <w:color w:val="000000"/>
                <w:kern w:val="0"/>
                <w:lang w:bidi="ar"/>
              </w:rPr>
              <w:t>防渗层有效性</w:t>
            </w:r>
          </w:p>
        </w:tc>
        <w:tc>
          <w:tcPr>
            <w:tcW w:w="3428" w:type="pct"/>
            <w:gridSpan w:val="4"/>
            <w:tcBorders>
              <w:top w:val="single" w:color="auto" w:sz="4" w:space="0"/>
              <w:left w:val="single" w:color="auto" w:sz="4" w:space="0"/>
              <w:bottom w:val="single" w:color="auto" w:sz="12" w:space="0"/>
              <w:right w:val="single" w:color="auto" w:sz="12" w:space="0"/>
            </w:tcBorders>
            <w:noWrap/>
            <w:vAlign w:val="center"/>
          </w:tcPr>
          <w:p w14:paraId="4C1A2852">
            <w:pPr>
              <w:widowControl/>
              <w:jc w:val="center"/>
              <w:textAlignment w:val="center"/>
              <w:rPr>
                <w:rFonts w:ascii="宋体" w:hAnsi="宋体"/>
                <w:color w:val="000000"/>
              </w:rPr>
            </w:pPr>
            <w:r>
              <w:rPr>
                <w:rFonts w:hint="default" w:ascii="Times New Roman" w:hAnsi="Times New Roman" w:cs="Times New Roman"/>
                <w:color w:val="000000"/>
                <w:kern w:val="0"/>
                <w:lang w:bidi="ar"/>
              </w:rPr>
              <w:t>2</w:t>
            </w:r>
            <w:r>
              <w:rPr>
                <w:rFonts w:hint="eastAsia" w:ascii="宋体" w:hAnsi="宋体"/>
                <w:color w:val="000000"/>
                <w:kern w:val="0"/>
                <w:lang w:bidi="ar"/>
              </w:rPr>
              <w:t>年</w:t>
            </w:r>
          </w:p>
        </w:tc>
      </w:tr>
    </w:tbl>
    <w:p w14:paraId="1702CBBB">
      <w:pPr>
        <w:pStyle w:val="61"/>
        <w:ind w:firstLine="420"/>
        <w:rPr>
          <w:rFonts w:ascii="Times New Roman"/>
        </w:rPr>
      </w:pPr>
      <w:bookmarkStart w:id="116" w:name="_Toc30421"/>
      <w:bookmarkStart w:id="117" w:name="_Toc2381"/>
      <w:r>
        <w:rPr>
          <w:rFonts w:hint="eastAsia" w:ascii="Times New Roman"/>
        </w:rPr>
        <w:t>（2）监测方法：</w:t>
      </w:r>
    </w:p>
    <w:p w14:paraId="614E8AB1">
      <w:pPr>
        <w:pStyle w:val="179"/>
        <w:numPr>
          <w:ilvl w:val="0"/>
          <w:numId w:val="36"/>
        </w:numPr>
        <w:rPr>
          <w:rFonts w:ascii="Times New Roman"/>
        </w:rPr>
      </w:pPr>
      <w:r>
        <w:rPr>
          <w:rFonts w:ascii="Times New Roman"/>
        </w:rPr>
        <w:t>渗滤液产生量：在填埋场内部渗滤液导排井安装流量计等专业计量设备，通过对导排量计量进行渗滤液产生量的实时监测与记录。</w:t>
      </w:r>
    </w:p>
    <w:p w14:paraId="1D2B8643">
      <w:pPr>
        <w:pStyle w:val="179"/>
        <w:numPr>
          <w:ilvl w:val="0"/>
          <w:numId w:val="36"/>
        </w:numPr>
        <w:rPr>
          <w:rFonts w:ascii="Times New Roman"/>
        </w:rPr>
      </w:pPr>
      <w:r>
        <w:rPr>
          <w:rFonts w:ascii="Times New Roman"/>
        </w:rPr>
        <w:t>渗滤液组分和浓度：参照《危险废物填埋污染控制标准》</w:t>
      </w:r>
      <w:r>
        <w:rPr>
          <w:rFonts w:hint="eastAsia" w:ascii="Times New Roman"/>
        </w:rPr>
        <w:t>（</w:t>
      </w:r>
      <w:r>
        <w:rPr>
          <w:rFonts w:ascii="Times New Roman"/>
        </w:rPr>
        <w:t>GB 18598）</w:t>
      </w:r>
      <w:r>
        <w:rPr>
          <w:rFonts w:hint="eastAsia" w:ascii="Times New Roman"/>
        </w:rPr>
        <w:t>中废水污染物浓度控制指标及对应检测方法</w:t>
      </w:r>
      <w:r>
        <w:rPr>
          <w:rFonts w:ascii="Times New Roman"/>
        </w:rPr>
        <w:t>。</w:t>
      </w:r>
    </w:p>
    <w:p w14:paraId="29CA89A4">
      <w:pPr>
        <w:pStyle w:val="179"/>
        <w:numPr>
          <w:ilvl w:val="0"/>
          <w:numId w:val="36"/>
        </w:numPr>
        <w:rPr>
          <w:rFonts w:ascii="Times New Roman"/>
        </w:rPr>
      </w:pPr>
      <w:r>
        <w:rPr>
          <w:rFonts w:ascii="Times New Roman"/>
        </w:rPr>
        <w:t>渗漏检测层渗漏量：参照《危险废物填埋污染控制标准》</w:t>
      </w:r>
      <w:r>
        <w:rPr>
          <w:rFonts w:hint="eastAsia" w:ascii="Times New Roman"/>
        </w:rPr>
        <w:t>（</w:t>
      </w:r>
      <w:r>
        <w:rPr>
          <w:rFonts w:ascii="Times New Roman"/>
        </w:rPr>
        <w:t>GB 18598）</w:t>
      </w:r>
      <w:r>
        <w:rPr>
          <w:rFonts w:hint="eastAsia" w:ascii="Times New Roman"/>
        </w:rPr>
        <w:t>中主防渗层渗漏速率与可接受渗漏速率计算方法。</w:t>
      </w:r>
    </w:p>
    <w:p w14:paraId="5A0F0F20">
      <w:pPr>
        <w:pStyle w:val="179"/>
        <w:numPr>
          <w:ilvl w:val="0"/>
          <w:numId w:val="36"/>
        </w:numPr>
        <w:rPr>
          <w:rFonts w:ascii="Times New Roman"/>
        </w:rPr>
      </w:pPr>
      <w:r>
        <w:rPr>
          <w:rFonts w:ascii="Times New Roman"/>
        </w:rPr>
        <w:t>渗滤液水位：参照《生活垃圾卫生填埋处理岩土工程技术标准》</w:t>
      </w:r>
      <w:r>
        <w:rPr>
          <w:rFonts w:hint="eastAsia" w:ascii="Times New Roman"/>
        </w:rPr>
        <w:t>（</w:t>
      </w:r>
      <w:r>
        <w:rPr>
          <w:rFonts w:ascii="Times New Roman"/>
        </w:rPr>
        <w:t>GB/T51451）中7.2节</w:t>
      </w:r>
      <w:r>
        <w:rPr>
          <w:rFonts w:hint="eastAsia" w:ascii="Times New Roman"/>
          <w:lang w:eastAsia="zh-CN"/>
        </w:rPr>
        <w:t>“</w:t>
      </w:r>
      <w:r>
        <w:rPr>
          <w:rFonts w:ascii="Times New Roman"/>
        </w:rPr>
        <w:t>渗沥液液位监测与预警</w:t>
      </w:r>
      <w:r>
        <w:rPr>
          <w:rFonts w:hint="eastAsia" w:ascii="Times New Roman"/>
          <w:lang w:eastAsia="zh-CN"/>
        </w:rPr>
        <w:t>”</w:t>
      </w:r>
      <w:r>
        <w:rPr>
          <w:rFonts w:ascii="Times New Roman"/>
        </w:rPr>
        <w:t>。</w:t>
      </w:r>
    </w:p>
    <w:p w14:paraId="0EC42175">
      <w:pPr>
        <w:pStyle w:val="179"/>
        <w:numPr>
          <w:ilvl w:val="0"/>
          <w:numId w:val="36"/>
        </w:numPr>
        <w:rPr>
          <w:rFonts w:ascii="Times New Roman"/>
        </w:rPr>
      </w:pPr>
      <w:r>
        <w:rPr>
          <w:rFonts w:ascii="Times New Roman"/>
        </w:rPr>
        <w:t>渗滤液导排管检测和清淤：采用管道闭路电视（CCTV）机器人进行内部影像检测与评估</w:t>
      </w:r>
      <w:r>
        <w:rPr>
          <w:rFonts w:hint="eastAsia" w:ascii="Times New Roman"/>
        </w:rPr>
        <w:t>。</w:t>
      </w:r>
      <w:r>
        <w:rPr>
          <w:rFonts w:ascii="Times New Roman"/>
        </w:rPr>
        <w:t>具体方法参照《城镇排水管道检测与评估技术规程》（CJJ 181）。</w:t>
      </w:r>
    </w:p>
    <w:p w14:paraId="15444F63">
      <w:pPr>
        <w:pStyle w:val="179"/>
        <w:numPr>
          <w:ilvl w:val="0"/>
          <w:numId w:val="36"/>
        </w:numPr>
        <w:rPr>
          <w:rFonts w:ascii="Times New Roman"/>
        </w:rPr>
      </w:pPr>
      <w:r>
        <w:rPr>
          <w:rFonts w:ascii="Times New Roman"/>
        </w:rPr>
        <w:t>地下水监测：参照《地下水环境监测技术规范》（HJ 164）。</w:t>
      </w:r>
    </w:p>
    <w:p w14:paraId="78A6402F">
      <w:pPr>
        <w:pStyle w:val="110"/>
        <w:spacing w:before="120" w:after="120"/>
      </w:pPr>
      <w:bookmarkStart w:id="118" w:name="_Toc17811"/>
      <w:r>
        <w:rPr>
          <w:rFonts w:hint="eastAsia"/>
        </w:rPr>
        <w:t>工作方案编制</w:t>
      </w:r>
      <w:bookmarkEnd w:id="116"/>
      <w:bookmarkEnd w:id="117"/>
      <w:bookmarkEnd w:id="118"/>
    </w:p>
    <w:p w14:paraId="1CF94642">
      <w:pPr>
        <w:pStyle w:val="61"/>
        <w:ind w:firstLine="420"/>
        <w:rPr>
          <w:rFonts w:ascii="Times New Roman"/>
        </w:rPr>
      </w:pPr>
      <w:r>
        <w:rPr>
          <w:rFonts w:ascii="Times New Roman"/>
        </w:rPr>
        <w:t>危废填埋场环境安全性能评估项目工作方案需涵盖项目概况，包括填埋场概况、评估工作由来、工作目标及编制依据；工程建设和运行概况，涉及区域气象气候、场地水文地质、填埋场规模与经营范围、填埋场设计情况、历史环境事件及应用情况</w:t>
      </w:r>
      <w:r>
        <w:rPr>
          <w:rFonts w:hint="eastAsia" w:ascii="Times New Roman"/>
        </w:rPr>
        <w:t>、</w:t>
      </w:r>
      <w:r>
        <w:rPr>
          <w:rFonts w:ascii="Times New Roman"/>
        </w:rPr>
        <w:t>监测方案及执行情况；总体思路与工作内容；检测和评估方法，包括填埋场设计合理性分析、监测数据获取、主要功能单元性能评估、整体性能评估以及整改方案编制；最终需形成结果并提出相关建议。</w:t>
      </w:r>
      <w:r>
        <w:rPr>
          <w:rFonts w:hint="eastAsia" w:ascii="Times New Roman"/>
        </w:rPr>
        <w:t>（</w:t>
      </w:r>
      <w:r>
        <w:rPr>
          <w:rFonts w:ascii="Times New Roman"/>
        </w:rPr>
        <w:t>详见附录A</w:t>
      </w:r>
      <w:r>
        <w:rPr>
          <w:rFonts w:hint="eastAsia" w:ascii="Times New Roman"/>
        </w:rPr>
        <w:t>）</w:t>
      </w:r>
    </w:p>
    <w:p w14:paraId="22091D22">
      <w:pPr>
        <w:pStyle w:val="109"/>
        <w:spacing w:before="240" w:after="240"/>
      </w:pPr>
      <w:bookmarkStart w:id="119" w:name="_Toc3794"/>
      <w:bookmarkStart w:id="120" w:name="_Toc28523"/>
      <w:bookmarkStart w:id="121" w:name="_Toc28993"/>
      <w:r>
        <w:rPr>
          <w:rFonts w:hint="eastAsia"/>
        </w:rPr>
        <w:t>评估实施</w:t>
      </w:r>
      <w:bookmarkEnd w:id="119"/>
      <w:bookmarkEnd w:id="120"/>
      <w:bookmarkEnd w:id="121"/>
    </w:p>
    <w:p w14:paraId="52AF5BF2">
      <w:pPr>
        <w:pStyle w:val="110"/>
        <w:spacing w:before="120" w:after="120"/>
      </w:pPr>
      <w:bookmarkStart w:id="122" w:name="_Toc9439"/>
      <w:bookmarkStart w:id="123" w:name="_Toc6149"/>
      <w:bookmarkStart w:id="124" w:name="_Toc26248"/>
      <w:r>
        <w:rPr>
          <w:rFonts w:hint="eastAsia"/>
        </w:rPr>
        <w:t>评估内容</w:t>
      </w:r>
      <w:bookmarkEnd w:id="122"/>
      <w:bookmarkEnd w:id="123"/>
      <w:bookmarkEnd w:id="124"/>
    </w:p>
    <w:p w14:paraId="0E6AC11E">
      <w:pPr>
        <w:pStyle w:val="61"/>
        <w:ind w:firstLine="420"/>
      </w:pPr>
      <w:r>
        <w:rPr>
          <w:rFonts w:hint="eastAsia"/>
        </w:rPr>
        <w:t>评估内容应包括设计运行评估、监测方案合理性评估、主要功能单元评估以及环境安全性能综合评估。</w:t>
      </w:r>
    </w:p>
    <w:p w14:paraId="184FC36D">
      <w:pPr>
        <w:pStyle w:val="70"/>
        <w:spacing w:before="120" w:after="120"/>
      </w:pPr>
      <w:r>
        <w:rPr>
          <w:rFonts w:hint="eastAsia"/>
        </w:rPr>
        <w:t>设计运行规范性评估</w:t>
      </w:r>
    </w:p>
    <w:p w14:paraId="01F628F7">
      <w:pPr>
        <w:pStyle w:val="61"/>
        <w:ind w:firstLine="420"/>
      </w:pPr>
      <w:r>
        <w:rPr>
          <w:rFonts w:hint="eastAsia"/>
        </w:rPr>
        <w:t>设计运行规范性评估应对填埋场主要功能单元的设计、施工及运行条件进行系统性审查，确保其符合环境安全要求。评估内容包括：</w:t>
      </w:r>
    </w:p>
    <w:p w14:paraId="45B21633">
      <w:pPr>
        <w:pStyle w:val="179"/>
        <w:numPr>
          <w:ilvl w:val="0"/>
          <w:numId w:val="37"/>
        </w:numPr>
        <w:rPr>
          <w:rFonts w:hint="default" w:ascii="Times New Roman" w:hAnsi="Times New Roman" w:cs="Times New Roman"/>
        </w:rPr>
      </w:pPr>
      <w:r>
        <w:rPr>
          <w:rFonts w:hint="default" w:ascii="Times New Roman" w:hAnsi="Times New Roman" w:cs="Times New Roman"/>
        </w:rPr>
        <w:t>设计与施工质量评估：依据设计和施工文件、施工方法、施工组织与质量控制方案、监理记录、验收资料及材料性能测试报告等，查验防渗层和导排层等结构、材料和施工质量是否满足《危险废物填埋污染控制标准》</w:t>
      </w:r>
      <w:r>
        <w:rPr>
          <w:rFonts w:hint="default" w:ascii="Times New Roman" w:hAnsi="Times New Roman" w:cs="Times New Roman"/>
          <w:lang w:eastAsia="zh-CN"/>
        </w:rPr>
        <w:t>（</w:t>
      </w:r>
      <w:r>
        <w:rPr>
          <w:rFonts w:hint="default" w:ascii="Times New Roman" w:hAnsi="Times New Roman" w:cs="Times New Roman"/>
        </w:rPr>
        <w:t>GB 18598</w:t>
      </w:r>
      <w:r>
        <w:rPr>
          <w:rFonts w:hint="default" w:ascii="Times New Roman" w:hAnsi="Times New Roman" w:cs="Times New Roman"/>
          <w:lang w:eastAsia="zh-CN"/>
        </w:rPr>
        <w:t>）</w:t>
      </w:r>
      <w:r>
        <w:rPr>
          <w:rFonts w:hint="default" w:ascii="Times New Roman" w:hAnsi="Times New Roman" w:cs="Times New Roman"/>
        </w:rPr>
        <w:t>中关于结构配置、性能指标及质量要求相关标准要求。</w:t>
      </w:r>
    </w:p>
    <w:p w14:paraId="7C573C57">
      <w:pPr>
        <w:pStyle w:val="179"/>
        <w:numPr>
          <w:ilvl w:val="0"/>
          <w:numId w:val="37"/>
        </w:numPr>
        <w:rPr>
          <w:rFonts w:hint="default" w:ascii="Times New Roman" w:hAnsi="Times New Roman" w:cs="Times New Roman"/>
        </w:rPr>
      </w:pPr>
      <w:r>
        <w:rPr>
          <w:rFonts w:hint="default" w:ascii="Times New Roman" w:hAnsi="Times New Roman" w:cs="Times New Roman"/>
        </w:rPr>
        <w:t>选址合理性评估：依据场址调查及水文地质勘察资料、施工记录、监理和验收文件，查验场址条件及天然防渗层是否满足安全防护要求</w:t>
      </w:r>
      <w:r>
        <w:rPr>
          <w:rFonts w:hint="eastAsia" w:ascii="Times New Roman" w:cs="Times New Roman"/>
          <w:lang w:eastAsia="zh-CN"/>
        </w:rPr>
        <w:t>。</w:t>
      </w:r>
      <w:r>
        <w:rPr>
          <w:rFonts w:hint="default" w:ascii="Times New Roman" w:hAnsi="Times New Roman" w:cs="Times New Roman"/>
        </w:rPr>
        <w:t>自然灾害预防评估依据场址地震烈度、洪水强度及相关基础数据，按100年一遇灾害频率核算自然灾害及次生灾害对填埋场及下游区域的潜在影响，判定其防灾能力的充分性。</w:t>
      </w:r>
    </w:p>
    <w:p w14:paraId="189E19D7">
      <w:pPr>
        <w:pStyle w:val="179"/>
        <w:numPr>
          <w:ilvl w:val="0"/>
          <w:numId w:val="37"/>
        </w:numPr>
        <w:rPr>
          <w:rFonts w:hint="default" w:ascii="Times New Roman" w:hAnsi="Times New Roman" w:cs="Times New Roman"/>
        </w:rPr>
      </w:pPr>
      <w:r>
        <w:rPr>
          <w:rFonts w:hint="default" w:ascii="Times New Roman" w:hAnsi="Times New Roman" w:cs="Times New Roman"/>
        </w:rPr>
        <w:t>规范化运行评估：依据运行记录，包括接收废物检测数据、稳定化（固化）处理参数及分类填埋信息等，通过资料分析验证运行条件对渗滤液产生特征的影响，并校核渗滤液调查数据的合理性。</w:t>
      </w:r>
    </w:p>
    <w:p w14:paraId="73EBB38A">
      <w:pPr>
        <w:pStyle w:val="70"/>
        <w:spacing w:before="120" w:after="120"/>
      </w:pPr>
      <w:r>
        <w:rPr>
          <w:rFonts w:hint="eastAsia"/>
        </w:rPr>
        <w:t>监测方案合理性评估</w:t>
      </w:r>
    </w:p>
    <w:p w14:paraId="1D834715">
      <w:pPr>
        <w:pStyle w:val="61"/>
        <w:ind w:firstLine="420"/>
      </w:pPr>
      <w:r>
        <w:t>监测方案合理性评估应确保监测体系能够准确反映填埋场运行期间的环境安全状况。评估内容包括：</w:t>
      </w:r>
    </w:p>
    <w:p w14:paraId="32D9864E">
      <w:pPr>
        <w:pStyle w:val="179"/>
        <w:numPr>
          <w:ilvl w:val="0"/>
          <w:numId w:val="38"/>
        </w:numPr>
      </w:pPr>
      <w:r>
        <w:rPr>
          <w:rFonts w:hint="eastAsia"/>
        </w:rPr>
        <w:t>监测点位是否覆盖主要功能单元及关键风险区域；</w:t>
      </w:r>
    </w:p>
    <w:p w14:paraId="67304AA6">
      <w:pPr>
        <w:pStyle w:val="179"/>
        <w:numPr>
          <w:ilvl w:val="0"/>
          <w:numId w:val="38"/>
        </w:numPr>
        <w:rPr>
          <w:rFonts w:ascii="Times New Roman"/>
        </w:rPr>
      </w:pPr>
      <w:r>
        <w:rPr>
          <w:rFonts w:hint="eastAsia"/>
        </w:rPr>
        <w:t>监测频次是否满足本标准</w:t>
      </w:r>
      <w:r>
        <w:rPr>
          <w:rFonts w:hint="eastAsia" w:ascii="Times New Roman"/>
        </w:rPr>
        <w:t>表1的要求；</w:t>
      </w:r>
    </w:p>
    <w:p w14:paraId="0F5A609D">
      <w:pPr>
        <w:pStyle w:val="179"/>
        <w:numPr>
          <w:ilvl w:val="0"/>
          <w:numId w:val="38"/>
        </w:numPr>
      </w:pPr>
      <w:r>
        <w:rPr>
          <w:rFonts w:hint="eastAsia" w:ascii="Times New Roman"/>
        </w:rPr>
        <w:t>监测项目与监测方法</w:t>
      </w:r>
      <w:r>
        <w:rPr>
          <w:rFonts w:hint="eastAsia"/>
        </w:rPr>
        <w:t>是否符合国家或行业标准；</w:t>
      </w:r>
    </w:p>
    <w:p w14:paraId="30E2E695">
      <w:pPr>
        <w:pStyle w:val="179"/>
        <w:numPr>
          <w:ilvl w:val="0"/>
          <w:numId w:val="38"/>
        </w:numPr>
      </w:pPr>
      <w:r>
        <w:rPr>
          <w:rFonts w:hint="eastAsia"/>
        </w:rPr>
        <w:t>数据质量控制措施是否有效，能保障监测数据的真实性和可比性；</w:t>
      </w:r>
    </w:p>
    <w:p w14:paraId="4904D264">
      <w:pPr>
        <w:pStyle w:val="179"/>
        <w:numPr>
          <w:ilvl w:val="0"/>
          <w:numId w:val="38"/>
        </w:numPr>
      </w:pPr>
      <w:r>
        <w:rPr>
          <w:rFonts w:hint="eastAsia"/>
        </w:rPr>
        <w:t>监测方案是否满足环境安全性能评估对趋势分析和异常识别的需求。</w:t>
      </w:r>
    </w:p>
    <w:p w14:paraId="2C672E67">
      <w:pPr>
        <w:pStyle w:val="70"/>
        <w:spacing w:before="120" w:after="120"/>
      </w:pPr>
      <w:r>
        <w:rPr>
          <w:rFonts w:hint="eastAsia"/>
        </w:rPr>
        <w:t>主要功能单元性能评估</w:t>
      </w:r>
    </w:p>
    <w:p w14:paraId="0D6BF6F2">
      <w:pPr>
        <w:pStyle w:val="61"/>
        <w:ind w:firstLine="420"/>
      </w:pPr>
      <w:r>
        <w:rPr>
          <w:rFonts w:hint="eastAsia"/>
        </w:rPr>
        <w:t>评估填埋场的主要功能单元性能，包括但不限于以下方面：</w:t>
      </w:r>
    </w:p>
    <w:p w14:paraId="01ED4702">
      <w:pPr>
        <w:pStyle w:val="179"/>
        <w:numPr>
          <w:ilvl w:val="0"/>
          <w:numId w:val="39"/>
        </w:numPr>
      </w:pPr>
      <w:r>
        <w:rPr>
          <w:rFonts w:hint="eastAsia"/>
        </w:rPr>
        <w:t>覆盖层效果：评估覆盖层的防渗性能及其对渗滤液产生量的控制效果</w:t>
      </w:r>
      <w:r>
        <w:rPr>
          <w:rFonts w:hint="eastAsia"/>
          <w:lang w:eastAsia="zh-CN"/>
        </w:rPr>
        <w:t>；</w:t>
      </w:r>
    </w:p>
    <w:p w14:paraId="06C9C7D6">
      <w:pPr>
        <w:pStyle w:val="179"/>
        <w:numPr>
          <w:ilvl w:val="0"/>
          <w:numId w:val="39"/>
        </w:numPr>
      </w:pPr>
      <w:r>
        <w:rPr>
          <w:rFonts w:hint="eastAsia"/>
        </w:rPr>
        <w:t>导排层有效性：评估导排层的排水性能及其对渗滤液水位的控制效果</w:t>
      </w:r>
      <w:r>
        <w:rPr>
          <w:rFonts w:hint="eastAsia"/>
          <w:lang w:eastAsia="zh-CN"/>
        </w:rPr>
        <w:t>；</w:t>
      </w:r>
    </w:p>
    <w:p w14:paraId="06040163">
      <w:pPr>
        <w:pStyle w:val="179"/>
        <w:numPr>
          <w:ilvl w:val="0"/>
          <w:numId w:val="39"/>
        </w:numPr>
      </w:pPr>
      <w:r>
        <w:rPr>
          <w:rFonts w:hint="eastAsia"/>
        </w:rPr>
        <w:t>固化效果：评估固化处理的效果及其对渗滤液组分浓度的控制效果</w:t>
      </w:r>
      <w:r>
        <w:rPr>
          <w:rFonts w:hint="eastAsia"/>
          <w:lang w:eastAsia="zh-CN"/>
        </w:rPr>
        <w:t>；</w:t>
      </w:r>
    </w:p>
    <w:p w14:paraId="62B5F69D">
      <w:pPr>
        <w:pStyle w:val="179"/>
        <w:numPr>
          <w:ilvl w:val="0"/>
          <w:numId w:val="39"/>
        </w:numPr>
      </w:pPr>
      <w:r>
        <w:rPr>
          <w:rFonts w:hint="eastAsia"/>
        </w:rPr>
        <w:t>防渗层完整性：评估防渗层的完整性</w:t>
      </w:r>
      <w:r>
        <w:rPr>
          <w:rFonts w:hint="eastAsia"/>
          <w:lang w:eastAsia="zh-CN"/>
        </w:rPr>
        <w:t>；</w:t>
      </w:r>
    </w:p>
    <w:p w14:paraId="79C2D6CD">
      <w:pPr>
        <w:pStyle w:val="179"/>
        <w:numPr>
          <w:ilvl w:val="0"/>
          <w:numId w:val="39"/>
        </w:numPr>
      </w:pPr>
      <w:r>
        <w:rPr>
          <w:rFonts w:hint="eastAsia"/>
        </w:rPr>
        <w:t>地下水污染状况：评估地下水的水质状况及其是否受到填埋场的影响</w:t>
      </w:r>
      <w:r>
        <w:rPr>
          <w:rFonts w:hint="eastAsia"/>
          <w:lang w:eastAsia="zh-CN"/>
        </w:rPr>
        <w:t>。</w:t>
      </w:r>
    </w:p>
    <w:p w14:paraId="42B773C1">
      <w:pPr>
        <w:pStyle w:val="70"/>
        <w:spacing w:before="120" w:after="120"/>
      </w:pPr>
      <w:r>
        <w:rPr>
          <w:rFonts w:hint="eastAsia"/>
        </w:rPr>
        <w:t>环境安全性能综合评估</w:t>
      </w:r>
    </w:p>
    <w:p w14:paraId="12E08191">
      <w:pPr>
        <w:pStyle w:val="61"/>
        <w:ind w:firstLine="420"/>
      </w:pPr>
      <w:r>
        <w:rPr>
          <w:rFonts w:hint="eastAsia"/>
        </w:rPr>
        <w:t>填埋场环境安全性能综合评估，主要包含渗滤液产生与渗漏情况评估，以及污染情况评估。</w:t>
      </w:r>
    </w:p>
    <w:p w14:paraId="49D751F8">
      <w:pPr>
        <w:pStyle w:val="61"/>
        <w:ind w:firstLine="420"/>
      </w:pPr>
      <w:r>
        <w:rPr>
          <w:rFonts w:hint="eastAsia"/>
        </w:rPr>
        <w:t>在渗滤液产生和渗漏评估方面，根</w:t>
      </w:r>
      <w:r>
        <w:rPr>
          <w:rFonts w:hint="default" w:ascii="Times New Roman"/>
        </w:rPr>
        <w:t>据6.1.1确定</w:t>
      </w:r>
      <w:r>
        <w:rPr>
          <w:rFonts w:hint="eastAsia"/>
        </w:rPr>
        <w:t>的关键参数，如衬层漏洞数量、导排层渗透系数等。借助填埋场水文特性，利用这些参数对渗滤液产生量、水位变化及渗漏情况展开评估。通过模型模拟，将模拟结果与现场现状检测结果对比，涵盖覆盖层、导排层实际运行状态，以及渗滤液实际收集量和模型预测产生量的差异，以此评估填埋场渗滤液管理状况。</w:t>
      </w:r>
    </w:p>
    <w:p w14:paraId="64707D12">
      <w:pPr>
        <w:pStyle w:val="61"/>
        <w:ind w:firstLine="420"/>
      </w:pPr>
      <w:r>
        <w:rPr>
          <w:rFonts w:hint="eastAsia"/>
        </w:rPr>
        <w:t>对于污染情况评估，结合渗滤液渗漏情况，运用地下水污染迁移扩散模型，充分考虑填埋场周边地质、水文地质参数及污染物特性，预测污染物在地下水中的浓度分布和扩散趋势。</w:t>
      </w:r>
    </w:p>
    <w:p w14:paraId="4A7AFD8C">
      <w:pPr>
        <w:pStyle w:val="110"/>
        <w:spacing w:before="120" w:after="120"/>
      </w:pPr>
      <w:bookmarkStart w:id="125" w:name="_Toc29873"/>
      <w:r>
        <w:rPr>
          <w:rFonts w:hint="eastAsia"/>
        </w:rPr>
        <w:t>主要功能单元性能评估</w:t>
      </w:r>
      <w:bookmarkEnd w:id="125"/>
    </w:p>
    <w:p w14:paraId="6B5DADD0">
      <w:pPr>
        <w:pStyle w:val="70"/>
        <w:spacing w:before="120" w:after="120"/>
      </w:pPr>
      <w:r>
        <w:rPr>
          <w:rFonts w:hint="eastAsia"/>
        </w:rPr>
        <w:t>覆盖层效果评估</w:t>
      </w:r>
    </w:p>
    <w:p w14:paraId="03E1E91F">
      <w:pPr>
        <w:pStyle w:val="61"/>
        <w:ind w:firstLine="420"/>
      </w:pPr>
      <w:r>
        <w:rPr>
          <w:rFonts w:hint="eastAsia"/>
        </w:rPr>
        <w:t>覆盖层的效果评估是填埋场环境安全性能评估的重要组成部分，主要用于评估渗滤液的产生量与渗漏风险，确保填埋场的渗滤液管理符合标准要求。以下为覆盖层效果的评估标准与方法：</w:t>
      </w:r>
    </w:p>
    <w:p w14:paraId="0CB8F4C0">
      <w:pPr>
        <w:pStyle w:val="179"/>
        <w:numPr>
          <w:ilvl w:val="0"/>
          <w:numId w:val="40"/>
        </w:numPr>
      </w:pPr>
      <w:r>
        <w:rPr>
          <w:rFonts w:hint="eastAsia"/>
        </w:rPr>
        <w:t>评估标准</w:t>
      </w:r>
    </w:p>
    <w:p w14:paraId="2E921CDA">
      <w:pPr>
        <w:pStyle w:val="61"/>
        <w:ind w:firstLine="420"/>
        <w:rPr>
          <w:rFonts w:hint="default" w:ascii="Times New Roman" w:hAnsi="Times New Roman" w:cs="Times New Roman"/>
        </w:rPr>
      </w:pPr>
      <w:r>
        <w:rPr>
          <w:rFonts w:ascii="Times New Roman"/>
        </w:rPr>
        <w:t>填埋场渗滤液产生量应满足以下要求</w:t>
      </w:r>
      <w:r>
        <w:rPr>
          <w:rFonts w:hint="default" w:ascii="Times New Roman" w:hAnsi="Times New Roman" w:cs="Times New Roman"/>
        </w:rPr>
        <w:t>：</w:t>
      </w:r>
    </w:p>
    <w:p w14:paraId="027C4C35">
      <w:pPr>
        <w:pStyle w:val="61"/>
        <w:ind w:firstLine="420"/>
        <w:rPr>
          <w:rFonts w:hint="default" w:ascii="Times New Roman" w:hAnsi="Times New Roman" w:cs="Times New Roman"/>
        </w:rPr>
      </w:pPr>
      <w:r>
        <w:rPr>
          <w:rFonts w:hint="default" w:ascii="Times New Roman" w:hAnsi="Times New Roman" w:cs="Times New Roman"/>
        </w:rPr>
        <w:t>在一年的时间周期内，渗滤液产生量不得超过填埋场降水量的20%，且允许最多不超过两个月的渗滤液产生量超出该标准（超标月份应集中出现在丰水期）。除上述允许超标月份外，其余各月渗滤液产生量应严格控制在当月填埋场降水量的20%以内。</w:t>
      </w:r>
    </w:p>
    <w:p w14:paraId="75844D2A">
      <w:pPr>
        <w:adjustRightInd/>
        <w:spacing w:line="360" w:lineRule="auto"/>
        <w:ind w:firstLine="3150" w:firstLineChars="1500"/>
        <w:jc w:val="right"/>
        <w:rPr>
          <w:rFonts w:ascii="Times New Roman" w:hAnsi="Times New Roman"/>
          <w:iCs/>
          <w:szCs w:val="24"/>
        </w:rPr>
      </w:pPr>
      <m:oMath>
        <m:f>
          <m:fPr>
            <m:ctrlPr>
              <w:rPr>
                <w:rFonts w:ascii="Cambria Math" w:hAnsi="Cambria Math" w:cs="Cambria Math"/>
                <w:i/>
              </w:rPr>
            </m:ctrlPr>
          </m:fPr>
          <m:num>
            <m:r>
              <m:rPr/>
              <w:rPr>
                <w:rFonts w:ascii="Cambria Math" w:hAnsi="Cambria Math"/>
              </w:rPr>
              <m:t>Q</m:t>
            </m:r>
            <m:r>
              <m:rPr/>
              <w:rPr>
                <w:rFonts w:ascii="Cambria Math" w:hAnsi="Cambria Math" w:cs="Cambria Math"/>
              </w:rPr>
              <m:t>×1000</m:t>
            </m:r>
            <m:ctrlPr>
              <w:rPr>
                <w:rFonts w:ascii="Cambria Math" w:hAnsi="Cambria Math" w:cs="Cambria Math"/>
                <w:i/>
              </w:rPr>
            </m:ctrlPr>
          </m:num>
          <m:den>
            <m:r>
              <m:rPr/>
              <w:rPr>
                <w:rFonts w:ascii="Cambria Math" w:hAnsi="Cambria Math" w:cs="Cambria Math"/>
              </w:rPr>
              <m:t>P×A</m:t>
            </m:r>
            <m:ctrlPr>
              <w:rPr>
                <w:rFonts w:ascii="Cambria Math" w:hAnsi="Cambria Math" w:cs="Cambria Math"/>
                <w:i/>
              </w:rPr>
            </m:ctrlPr>
          </m:den>
        </m:f>
        <m:r>
          <m:rPr/>
          <w:rPr>
            <w:rFonts w:ascii="Cambria Math" w:hAnsi="Cambria Math" w:cs="Cambria Math"/>
          </w:rPr>
          <m:t>&lt;0.2</m:t>
        </m:r>
      </m:oMath>
      <w:r>
        <w:rPr>
          <w:rFonts w:hint="eastAsia" w:hAnsi="Cambria Math" w:cs="Cambria Math"/>
          <w:iCs/>
          <w:sz w:val="24"/>
          <w:szCs w:val="32"/>
        </w:rPr>
        <w:t xml:space="preserve">                                   </w:t>
      </w:r>
      <w:r>
        <w:rPr>
          <w:rFonts w:ascii="Times New Roman" w:hAnsi="Times New Roman"/>
          <w:iCs/>
        </w:rPr>
        <w:t>（</w:t>
      </w:r>
      <w:r>
        <w:rPr>
          <w:rFonts w:hint="eastAsia" w:ascii="Times New Roman" w:hAnsi="Times New Roman"/>
          <w:iCs/>
        </w:rPr>
        <w:t>1</w:t>
      </w:r>
      <w:r>
        <w:rPr>
          <w:rFonts w:ascii="Times New Roman" w:hAnsi="Times New Roman"/>
          <w:iCs/>
        </w:rPr>
        <w:t>）</w:t>
      </w:r>
    </w:p>
    <w:p w14:paraId="6F914223">
      <w:pPr>
        <w:pStyle w:val="61"/>
        <w:ind w:firstLine="420"/>
        <w:rPr>
          <w:rFonts w:ascii="Times New Roman"/>
        </w:rPr>
      </w:pPr>
      <w:r>
        <w:rPr>
          <w:rFonts w:hint="eastAsia" w:ascii="Times New Roman"/>
        </w:rPr>
        <w:t>式中：</w:t>
      </w:r>
      <m:oMath>
        <m:r>
          <m:rPr>
            <m:sty m:val="p"/>
          </m:rPr>
          <w:rPr>
            <w:rFonts w:ascii="Cambria Math" w:hAnsi="Cambria Math"/>
          </w:rPr>
          <m:t>Q</m:t>
        </m:r>
      </m:oMath>
      <w:r>
        <w:rPr>
          <w:rFonts w:hint="eastAsia" w:ascii="Times New Roman"/>
        </w:rPr>
        <w:t xml:space="preserve">  —填埋场每月渗滤液产生量，m</w:t>
      </w:r>
      <w:r>
        <w:rPr>
          <w:rFonts w:hint="eastAsia" w:ascii="Times New Roman"/>
          <w:vertAlign w:val="superscript"/>
        </w:rPr>
        <w:t>3</w:t>
      </w:r>
      <w:r>
        <w:rPr>
          <w:rFonts w:hint="eastAsia" w:ascii="Times New Roman"/>
        </w:rPr>
        <w:t>/月；</w:t>
      </w:r>
    </w:p>
    <w:p w14:paraId="32A32FA1">
      <w:pPr>
        <w:pStyle w:val="61"/>
        <w:ind w:firstLine="1050" w:firstLineChars="500"/>
        <w:rPr>
          <w:rFonts w:ascii="Times New Roman"/>
        </w:rPr>
      </w:pPr>
      <m:oMath>
        <m:r>
          <m:rPr>
            <m:sty m:val="p"/>
          </m:rPr>
          <w:rPr>
            <w:rFonts w:ascii="Cambria Math" w:hAnsi="Cambria Math"/>
          </w:rPr>
          <m:t>P</m:t>
        </m:r>
      </m:oMath>
      <w:r>
        <w:rPr>
          <w:rFonts w:hint="eastAsia" w:ascii="Times New Roman"/>
        </w:rPr>
        <w:t xml:space="preserve">  —填埋场本地的月降雨量，mm/月；</w:t>
      </w:r>
    </w:p>
    <w:p w14:paraId="3966F128">
      <w:pPr>
        <w:pStyle w:val="61"/>
        <w:ind w:firstLine="1050" w:firstLineChars="500"/>
        <w:rPr>
          <w:rFonts w:ascii="Times New Roman"/>
        </w:rPr>
      </w:pPr>
      <m:oMath>
        <m:r>
          <m:rPr>
            <m:sty m:val="p"/>
          </m:rPr>
          <w:rPr>
            <w:rFonts w:ascii="Cambria Math" w:hAnsi="Cambria Math"/>
          </w:rPr>
          <m:t>A</m:t>
        </m:r>
      </m:oMath>
      <w:r>
        <w:rPr>
          <w:rFonts w:hint="eastAsia" w:ascii="Times New Roman"/>
        </w:rPr>
        <w:t xml:space="preserve">  —填埋库底至填埋体表面的平均面积，m</w:t>
      </w:r>
      <w:r>
        <w:rPr>
          <w:rFonts w:hint="eastAsia" w:ascii="Times New Roman"/>
          <w:vertAlign w:val="superscript"/>
        </w:rPr>
        <w:t>2</w:t>
      </w:r>
      <w:r>
        <w:rPr>
          <w:rFonts w:hint="eastAsia" w:ascii="Times New Roman"/>
        </w:rPr>
        <w:t>。</w:t>
      </w:r>
    </w:p>
    <w:p w14:paraId="561AD3E2">
      <w:pPr>
        <w:pStyle w:val="61"/>
        <w:ind w:firstLine="420"/>
        <w:rPr>
          <w:rFonts w:ascii="Times New Roman"/>
        </w:rPr>
      </w:pPr>
      <w:r>
        <w:rPr>
          <w:rFonts w:hint="eastAsia"/>
        </w:rPr>
        <w:t>在部分地区，受蒸发量大于降水量等气候条件影响，可能出现渗滤液产生量或渗漏检测层流量较小、未能采集到渗滤液的情况。此时应提供相应证明材料，包</w:t>
      </w:r>
      <w:r>
        <w:rPr>
          <w:rFonts w:ascii="Times New Roman"/>
        </w:rPr>
        <w:t>括：</w:t>
      </w:r>
    </w:p>
    <w:p w14:paraId="052DED68">
      <w:pPr>
        <w:pStyle w:val="61"/>
        <w:ind w:firstLine="420"/>
        <w:rPr>
          <w:rFonts w:ascii="Times New Roman"/>
        </w:rPr>
      </w:pPr>
      <w:r>
        <w:rPr>
          <w:rFonts w:hint="eastAsia" w:ascii="Times New Roman"/>
        </w:rPr>
        <w:t>①</w:t>
      </w:r>
      <w:r>
        <w:rPr>
          <w:rFonts w:ascii="Times New Roman"/>
        </w:rPr>
        <w:t>当地气象主管部门或官方气象网站发布的同期降雨量与蒸发量数据；</w:t>
      </w:r>
    </w:p>
    <w:p w14:paraId="2C80C418">
      <w:pPr>
        <w:pStyle w:val="61"/>
        <w:ind w:firstLine="420"/>
        <w:rPr>
          <w:rFonts w:ascii="Times New Roman"/>
        </w:rPr>
      </w:pPr>
      <w:r>
        <w:rPr>
          <w:rFonts w:hint="eastAsia" w:ascii="Times New Roman"/>
        </w:rPr>
        <w:t>②</w:t>
      </w:r>
      <w:r>
        <w:rPr>
          <w:rFonts w:ascii="Times New Roman"/>
        </w:rPr>
        <w:t>渗滤液抽排系统运行及现场检查记录；</w:t>
      </w:r>
    </w:p>
    <w:p w14:paraId="0001B044">
      <w:pPr>
        <w:pStyle w:val="61"/>
        <w:ind w:firstLine="420"/>
        <w:rPr>
          <w:rFonts w:ascii="Times New Roman"/>
        </w:rPr>
      </w:pPr>
      <w:r>
        <w:rPr>
          <w:rFonts w:hint="eastAsia" w:ascii="Times New Roman"/>
        </w:rPr>
        <w:t>③</w:t>
      </w:r>
      <w:r>
        <w:rPr>
          <w:rFonts w:ascii="Times New Roman"/>
        </w:rPr>
        <w:t>采样人员和审核人员签字确认的现场记录，内容应包括采样时间、采样点位、采样人、复核人等信息。</w:t>
      </w:r>
      <w:r>
        <w:rPr>
          <w:rFonts w:hint="eastAsia" w:ascii="Times New Roman"/>
        </w:rPr>
        <w:t>（</w:t>
      </w:r>
      <w:r>
        <w:rPr>
          <w:rFonts w:ascii="Times New Roman"/>
        </w:rPr>
        <w:t>具体信息见附录B</w:t>
      </w:r>
      <w:r>
        <w:rPr>
          <w:rFonts w:hint="eastAsia" w:ascii="Times New Roman"/>
        </w:rPr>
        <w:t>）</w:t>
      </w:r>
    </w:p>
    <w:p w14:paraId="3D3E51D1">
      <w:pPr>
        <w:pStyle w:val="179"/>
        <w:numPr>
          <w:ilvl w:val="0"/>
          <w:numId w:val="40"/>
        </w:numPr>
      </w:pPr>
      <w:r>
        <w:rPr>
          <w:rFonts w:hint="eastAsia"/>
        </w:rPr>
        <w:t>降雨量检测</w:t>
      </w:r>
    </w:p>
    <w:p w14:paraId="3911450F">
      <w:pPr>
        <w:pStyle w:val="61"/>
        <w:ind w:firstLine="420"/>
        <w:rPr>
          <w:rFonts w:ascii="Times New Roman"/>
        </w:rPr>
      </w:pPr>
      <w:r>
        <w:rPr>
          <w:rFonts w:hint="eastAsia" w:ascii="Times New Roman"/>
        </w:rPr>
        <w:t>降雨量检测采用以下两种方式：在填埋场内安装雨量计，雨量计设置符合《降水量观测规范》</w:t>
      </w:r>
      <w:r>
        <w:rPr>
          <w:rFonts w:hint="eastAsia" w:ascii="Times New Roman"/>
          <w:lang w:eastAsia="zh-CN"/>
        </w:rPr>
        <w:t>（</w:t>
      </w:r>
      <w:r>
        <w:rPr>
          <w:rFonts w:hint="eastAsia" w:ascii="Times New Roman"/>
        </w:rPr>
        <w:t>SL21</w:t>
      </w:r>
      <w:r>
        <w:rPr>
          <w:rFonts w:hint="eastAsia" w:ascii="Times New Roman"/>
          <w:lang w:eastAsia="zh-CN"/>
        </w:rPr>
        <w:t>）</w:t>
      </w:r>
      <w:r>
        <w:rPr>
          <w:rFonts w:hint="eastAsia" w:ascii="Times New Roman"/>
        </w:rPr>
        <w:t>中的相关要求，实时监测并记录填埋场区域内的降雨量数据；若填埋场未设置雨量计，则可参考本市气象站点公布的与填埋场区域具有相似气象条件的降雨量数据。</w:t>
      </w:r>
    </w:p>
    <w:p w14:paraId="0BC05201">
      <w:pPr>
        <w:pStyle w:val="70"/>
        <w:spacing w:before="120" w:after="120"/>
        <w:rPr>
          <w:rFonts w:ascii="Times New Roman"/>
        </w:rPr>
      </w:pPr>
      <w:r>
        <w:rPr>
          <w:rFonts w:ascii="Times New Roman"/>
        </w:rPr>
        <w:t>导排层有效性评估方法</w:t>
      </w:r>
    </w:p>
    <w:p w14:paraId="6C16A988">
      <w:pPr>
        <w:pStyle w:val="61"/>
        <w:ind w:firstLine="420"/>
        <w:rPr>
          <w:rFonts w:ascii="Times New Roman"/>
        </w:rPr>
      </w:pPr>
      <w:r>
        <w:rPr>
          <w:rFonts w:hint="eastAsia" w:ascii="Times New Roman"/>
        </w:rPr>
        <w:t>根据填埋场导排系统设计参数，包括导排主管、导排支管坡度、导排层厚度、导排支管间距、导排介质渗透系数，利用相关水力学公式（Moore 80方法、Moore 83方法、Giroud 92方法、McEnroe 93方法）对最大渗滤液水位进行计算，若计算结果为最大渗滤液水头小于0.3m时，则表明导排系统设计合理，导排效果较好，具体计算方法详见附录C。</w:t>
      </w:r>
    </w:p>
    <w:p w14:paraId="3C72B6F3">
      <w:pPr>
        <w:pStyle w:val="70"/>
        <w:spacing w:before="120" w:after="120"/>
      </w:pPr>
      <w:r>
        <w:rPr>
          <w:rFonts w:hint="eastAsia"/>
        </w:rPr>
        <w:t>稳定化效果评估</w:t>
      </w:r>
    </w:p>
    <w:p w14:paraId="17E15B87">
      <w:pPr>
        <w:pStyle w:val="61"/>
        <w:ind w:firstLine="420"/>
        <w:rPr>
          <w:rFonts w:ascii="Times New Roman"/>
        </w:rPr>
      </w:pPr>
      <w:r>
        <w:rPr>
          <w:rFonts w:hint="eastAsia" w:ascii="Times New Roman"/>
        </w:rPr>
        <w:t>固化效果评估方法包括直接评估法和间接评估法。</w:t>
      </w:r>
    </w:p>
    <w:p w14:paraId="3B80F5F4">
      <w:pPr>
        <w:pStyle w:val="61"/>
        <w:ind w:firstLine="420"/>
        <w:rPr>
          <w:rFonts w:ascii="Times New Roman"/>
        </w:rPr>
      </w:pPr>
      <w:r>
        <w:rPr>
          <w:rFonts w:hint="eastAsia" w:ascii="Times New Roman"/>
        </w:rPr>
        <w:t>（1）直接评估法</w:t>
      </w:r>
    </w:p>
    <w:p w14:paraId="5D68560C">
      <w:pPr>
        <w:pStyle w:val="61"/>
        <w:ind w:firstLine="420"/>
        <w:rPr>
          <w:rFonts w:ascii="Times New Roman"/>
        </w:rPr>
      </w:pPr>
      <w:r>
        <w:rPr>
          <w:rFonts w:hint="eastAsia" w:ascii="Times New Roman"/>
        </w:rPr>
        <w:t>直接评估法通过检测入场危险废物的浸出浓度，核实其是否符合《危险废物填埋污染控制标准》（GB 18598）中规定的入场控制限值。</w:t>
      </w:r>
    </w:p>
    <w:p w14:paraId="06BA0459">
      <w:pPr>
        <w:pStyle w:val="61"/>
        <w:numPr>
          <w:ilvl w:val="0"/>
          <w:numId w:val="41"/>
        </w:numPr>
        <w:ind w:firstLine="420"/>
        <w:rPr>
          <w:rFonts w:ascii="Times New Roman"/>
        </w:rPr>
      </w:pPr>
      <w:r>
        <w:rPr>
          <w:rFonts w:hint="eastAsia" w:ascii="Times New Roman"/>
        </w:rPr>
        <w:t>间接评估法</w:t>
      </w:r>
    </w:p>
    <w:p w14:paraId="294572B8">
      <w:pPr>
        <w:pStyle w:val="61"/>
        <w:ind w:firstLine="420"/>
        <w:rPr>
          <w:rFonts w:ascii="Times New Roman"/>
        </w:rPr>
      </w:pPr>
      <w:r>
        <w:rPr>
          <w:rFonts w:hint="eastAsia" w:ascii="Times New Roman"/>
        </w:rPr>
        <w:t>基于实际渗滤液中污染物浓度，根据实际液固比和入场固废的浸出实验液固比，反推全场危险废物的总体浸出浓度，总体浸出浓度C*根据公式（2）计算。对比其是否符合《危险废物填埋污染控制标准》（GB 18598）中规定的入场控制限值。</w:t>
      </w:r>
    </w:p>
    <w:p w14:paraId="684ED302">
      <w:pPr>
        <w:spacing w:line="360" w:lineRule="auto"/>
        <w:ind w:firstLine="420" w:firstLineChars="200"/>
        <w:jc w:val="right"/>
        <w:rPr>
          <w:rFonts w:ascii="Times New Roman" w:hAnsi="Times New Roman" w:eastAsia="等线"/>
          <w:i/>
          <w:sz w:val="24"/>
          <w:szCs w:val="32"/>
        </w:rPr>
      </w:pPr>
      <m:oMath>
        <m:sSup>
          <m:sSupPr>
            <m:ctrlPr>
              <w:rPr>
                <w:rFonts w:ascii="Cambria Math" w:hAnsi="Cambria Math" w:cs="Cambria Math"/>
                <w:i/>
              </w:rPr>
            </m:ctrlPr>
          </m:sSupPr>
          <m:e>
            <m:r>
              <m:rPr/>
              <w:rPr>
                <w:rFonts w:ascii="Cambria Math" w:hAnsi="Cambria Math" w:cs="Cambria Math"/>
              </w:rPr>
              <m:t>C</m:t>
            </m:r>
            <m:ctrlPr>
              <w:rPr>
                <w:rFonts w:ascii="Cambria Math" w:hAnsi="Cambria Math" w:cs="Cambria Math"/>
                <w:i/>
              </w:rPr>
            </m:ctrlPr>
          </m:e>
          <m:sup>
            <m:r>
              <m:rPr>
                <m:sty m:val="p"/>
              </m:rPr>
              <w:rPr>
                <w:rFonts w:hint="eastAsia" w:ascii="Times New Roman" w:hAnsi="Times New Roman"/>
                <w:color w:val="000000"/>
                <w:sz w:val="24"/>
                <w:szCs w:val="28"/>
              </w:rPr>
              <m:t>∗</m:t>
            </m:r>
            <m:ctrlPr>
              <w:rPr>
                <w:rFonts w:ascii="Cambria Math" w:hAnsi="Cambria Math" w:cs="Cambria Math"/>
                <w:i/>
              </w:rPr>
            </m:ctrlPr>
          </m:sup>
        </m:sSup>
        <m:r>
          <m:rP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m:rPr/>
                  <w:rPr>
                    <w:rFonts w:ascii="Cambria Math" w:hAnsi="Cambria Math" w:cs="Cambria Math"/>
                  </w:rPr>
                  <m:t>C</m:t>
                </m:r>
                <m:ctrlPr>
                  <w:rPr>
                    <w:rFonts w:ascii="Cambria Math" w:hAnsi="Cambria Math" w:cs="Cambria Math"/>
                    <w:i/>
                  </w:rPr>
                </m:ctrlPr>
              </m:e>
              <m:sub>
                <m:r>
                  <m:rPr/>
                  <w:rPr>
                    <w:rFonts w:ascii="Cambria Math" w:hAnsi="Cambria Math" w:cs="Cambria Math"/>
                  </w:rPr>
                  <m:t>i</m:t>
                </m:r>
                <m:ctrlPr>
                  <w:rPr>
                    <w:rFonts w:ascii="Cambria Math" w:hAnsi="Cambria Math" w:cs="Cambria Math"/>
                    <w:i/>
                  </w:rPr>
                </m:ctrlPr>
              </m:sub>
            </m:sSub>
            <m:r>
              <m:rPr/>
              <w:rPr>
                <w:rFonts w:ascii="Cambria Math" w:hAnsi="Cambria Math" w:cs="Cambria Math"/>
              </w:rPr>
              <m:t>×</m:t>
            </m:r>
            <m:sSub>
              <m:sSubPr>
                <m:ctrlPr>
                  <w:rPr>
                    <w:rFonts w:ascii="Cambria Math" w:hAnsi="Cambria Math"/>
                    <w:i/>
                    <w:iCs/>
                  </w:rPr>
                </m:ctrlPr>
              </m:sSubPr>
              <m:e>
                <m:r>
                  <m:rPr/>
                  <w:rPr>
                    <w:rFonts w:ascii="Cambria Math" w:hAnsi="Cambria Math"/>
                  </w:rPr>
                  <m:t>L/S</m:t>
                </m:r>
                <m:ctrlPr>
                  <w:rPr>
                    <w:rFonts w:ascii="Cambria Math" w:hAnsi="Cambria Math"/>
                    <w:i/>
                    <w:iCs/>
                  </w:rPr>
                </m:ctrlPr>
              </m:e>
              <m:sub>
                <m:r>
                  <m:rPr/>
                  <w:rPr>
                    <w:rFonts w:hint="default" w:ascii="Cambria Math" w:hAnsi="Cambria Math"/>
                    <w:lang w:val="en-US" w:eastAsia="zh-CN"/>
                  </w:rPr>
                  <m:t>i</m:t>
                </m:r>
                <m:ctrlPr>
                  <w:rPr>
                    <w:rFonts w:ascii="Cambria Math" w:hAnsi="Cambria Math"/>
                    <w:i/>
                    <w:iCs/>
                  </w:rPr>
                </m:ctrlPr>
              </m:sub>
            </m:sSub>
            <m:ctrlPr>
              <w:rPr>
                <w:rFonts w:ascii="Cambria Math" w:hAnsi="Cambria Math" w:cs="Cambria Math"/>
                <w:i/>
              </w:rPr>
            </m:ctrlPr>
          </m:num>
          <m:den>
            <m:sSub>
              <m:sSubPr>
                <m:ctrlPr>
                  <w:rPr>
                    <w:rFonts w:ascii="Cambria Math" w:hAnsi="Cambria Math"/>
                    <w:i/>
                    <w:iCs/>
                  </w:rPr>
                </m:ctrlPr>
              </m:sSubPr>
              <m:e>
                <m:r>
                  <m:rPr/>
                  <w:rPr>
                    <w:rFonts w:ascii="Cambria Math" w:hAnsi="Cambria Math"/>
                  </w:rPr>
                  <m:t>L/S</m:t>
                </m:r>
                <m:ctrlPr>
                  <w:rPr>
                    <w:rFonts w:ascii="Cambria Math" w:hAnsi="Cambria Math"/>
                    <w:i/>
                    <w:iCs/>
                  </w:rPr>
                </m:ctrlPr>
              </m:e>
              <m:sub>
                <m:r>
                  <m:rPr/>
                  <w:rPr>
                    <w:rFonts w:hint="default" w:ascii="Cambria Math" w:hAnsi="Cambria Math"/>
                    <w:lang w:val="en-US" w:eastAsia="zh-CN"/>
                  </w:rPr>
                  <m:t>0</m:t>
                </m:r>
                <m:ctrlPr>
                  <w:rPr>
                    <w:rFonts w:ascii="Cambria Math" w:hAnsi="Cambria Math"/>
                    <w:i/>
                    <w:iCs/>
                  </w:rPr>
                </m:ctrlPr>
              </m:sub>
            </m:sSub>
            <m:ctrlPr>
              <w:rPr>
                <w:rFonts w:ascii="Cambria Math" w:hAnsi="Cambria Math" w:cs="Cambria Math"/>
                <w:i/>
              </w:rPr>
            </m:ctrlPr>
          </m:den>
        </m:f>
      </m:oMath>
      <w:r>
        <w:rPr>
          <w:rFonts w:ascii="Times New Roman" w:hAnsi="Times New Roman"/>
          <w:i/>
        </w:rPr>
        <w:t xml:space="preserve"> </w:t>
      </w:r>
      <w:r>
        <w:rPr>
          <w:rFonts w:hint="eastAsia" w:ascii="Times New Roman" w:hAnsi="Times New Roman"/>
          <w:i/>
        </w:rPr>
        <w:t xml:space="preserve">                                 </w:t>
      </w:r>
      <w:r>
        <w:rPr>
          <w:rFonts w:ascii="Times New Roman" w:hAnsi="Times New Roman"/>
          <w:iCs/>
        </w:rPr>
        <w:t>（2）</w:t>
      </w:r>
    </w:p>
    <w:p w14:paraId="3301EF96">
      <w:pPr>
        <w:pStyle w:val="61"/>
        <w:ind w:firstLine="420"/>
        <w:rPr>
          <w:rFonts w:ascii="Times New Roman"/>
        </w:rPr>
      </w:pPr>
      <w:r>
        <w:rPr>
          <w:rFonts w:hint="eastAsia" w:ascii="Times New Roman"/>
        </w:rPr>
        <w:t>式中：</w:t>
      </w:r>
      <m:oMath>
        <m:sSup>
          <m:sSupPr>
            <m:ctrlPr>
              <w:rPr>
                <w:rFonts w:hint="eastAsia" w:ascii="Cambria Math" w:hAnsi="Cambria Math"/>
              </w:rPr>
            </m:ctrlPr>
          </m:sSupPr>
          <m:e>
            <m:r>
              <m:rPr>
                <m:sty m:val="p"/>
              </m:rPr>
              <w:rPr>
                <w:rFonts w:ascii="Times New Roman"/>
              </w:rPr>
              <m:t>C</m:t>
            </m:r>
            <m:ctrlPr>
              <w:rPr>
                <w:rFonts w:hint="eastAsia" w:ascii="Cambria Math" w:hAnsi="Cambria Math"/>
              </w:rPr>
            </m:ctrlPr>
          </m:e>
          <m:sup>
            <m:r>
              <m:rPr>
                <m:sty m:val="p"/>
              </m:rPr>
              <w:rPr>
                <w:rFonts w:hint="eastAsia" w:ascii="Times New Roman"/>
              </w:rPr>
              <m:t>∗</m:t>
            </m:r>
            <m:ctrlPr>
              <w:rPr>
                <w:rFonts w:hint="eastAsia" w:ascii="Cambria Math" w:hAnsi="Cambria Math"/>
              </w:rPr>
            </m:ctrlPr>
          </m:sup>
        </m:sSup>
      </m:oMath>
      <w:r>
        <w:rPr>
          <w:rFonts w:hint="eastAsia" w:ascii="Times New Roman"/>
        </w:rPr>
        <w:t xml:space="preserve">  —总体浸出浓度；</w:t>
      </w:r>
    </w:p>
    <w:p w14:paraId="6C510AA2">
      <w:pPr>
        <w:pStyle w:val="61"/>
        <w:ind w:firstLine="1050" w:firstLineChars="500"/>
        <w:rPr>
          <w:rFonts w:ascii="Times New Roman"/>
        </w:rPr>
      </w:pPr>
      <m:oMath>
        <m:sSub>
          <m:sSubPr>
            <m:ctrlPr>
              <w:rPr>
                <w:rFonts w:hint="eastAsia" w:ascii="Cambria Math" w:hAnsi="Cambria Math"/>
              </w:rPr>
            </m:ctrlPr>
          </m:sSubPr>
          <m:e>
            <m:r>
              <m:rPr>
                <m:sty m:val="p"/>
              </m:rPr>
              <w:rPr>
                <w:rFonts w:hint="eastAsia" w:ascii="Times New Roman"/>
              </w:rPr>
              <m:t>C</m:t>
            </m:r>
            <m:ctrlPr>
              <w:rPr>
                <w:rFonts w:hint="eastAsia" w:ascii="Cambria Math" w:hAnsi="Cambria Math"/>
              </w:rPr>
            </m:ctrlPr>
          </m:e>
          <m:sub>
            <m:r>
              <m:rPr>
                <m:sty m:val="p"/>
              </m:rPr>
              <w:rPr>
                <w:rFonts w:hint="eastAsia" w:ascii="Times New Roman"/>
              </w:rPr>
              <m:t>i</m:t>
            </m:r>
            <m:ctrlPr>
              <w:rPr>
                <w:rFonts w:hint="eastAsia" w:ascii="Cambria Math" w:hAnsi="Cambria Math"/>
              </w:rPr>
            </m:ctrlPr>
          </m:sub>
        </m:sSub>
      </m:oMath>
      <w:r>
        <w:rPr>
          <w:rFonts w:hint="eastAsia" w:ascii="Times New Roman"/>
        </w:rPr>
        <w:t xml:space="preserve">  —渗滤液中污染物i的浓度；</w:t>
      </w:r>
    </w:p>
    <w:p w14:paraId="7C11CB14">
      <w:pPr>
        <w:pStyle w:val="61"/>
        <w:ind w:firstLine="1050" w:firstLineChars="500"/>
        <w:rPr>
          <w:rFonts w:ascii="Times New Roman"/>
        </w:rPr>
      </w:pPr>
      <m:oMath>
        <m:sSub>
          <m:sSubPr>
            <m:ctrlPr>
              <w:rPr>
                <w:rFonts w:hint="eastAsia" w:ascii="Cambria Math" w:hAnsi="Cambria Math"/>
              </w:rPr>
            </m:ctrlPr>
          </m:sSubPr>
          <m:e>
            <m:r>
              <m:rPr>
                <m:sty m:val="p"/>
              </m:rPr>
              <w:rPr>
                <w:rFonts w:hint="eastAsia" w:ascii="Times New Roman"/>
              </w:rPr>
              <m:t>L/S</m:t>
            </m:r>
            <m:ctrlPr>
              <w:rPr>
                <w:rFonts w:hint="eastAsia" w:ascii="Cambria Math" w:hAnsi="Cambria Math"/>
              </w:rPr>
            </m:ctrlPr>
          </m:e>
          <m:sub>
            <m:r>
              <m:rPr>
                <m:sty m:val="p"/>
              </m:rPr>
              <w:rPr>
                <w:rFonts w:hint="eastAsia" w:ascii="Times New Roman"/>
              </w:rPr>
              <m:t>i</m:t>
            </m:r>
            <m:ctrlPr>
              <w:rPr>
                <w:rFonts w:hint="eastAsia" w:ascii="Cambria Math" w:hAnsi="Cambria Math"/>
              </w:rPr>
            </m:ctrlPr>
          </m:sub>
        </m:sSub>
      </m:oMath>
      <w:r>
        <w:rPr>
          <w:rFonts w:hint="eastAsia" w:ascii="Times New Roman"/>
        </w:rPr>
        <w:t xml:space="preserve"> —浸出实验的液固比；</w:t>
      </w:r>
    </w:p>
    <w:p w14:paraId="51A8C390">
      <w:pPr>
        <w:pStyle w:val="61"/>
        <w:ind w:firstLine="1050" w:firstLineChars="500"/>
        <w:rPr>
          <w:rFonts w:ascii="Times New Roman"/>
        </w:rPr>
      </w:pPr>
      <m:oMath>
        <m:sSub>
          <m:sSubPr>
            <m:ctrlPr>
              <w:rPr>
                <w:rFonts w:hint="eastAsia" w:ascii="Cambria Math" w:hAnsi="Cambria Math"/>
              </w:rPr>
            </m:ctrlPr>
          </m:sSubPr>
          <m:e>
            <m:r>
              <m:rPr>
                <m:sty m:val="p"/>
              </m:rPr>
              <w:rPr>
                <w:rFonts w:hint="eastAsia" w:ascii="Times New Roman"/>
              </w:rPr>
              <m:t>L/S</m:t>
            </m:r>
            <m:ctrlPr>
              <w:rPr>
                <w:rFonts w:hint="eastAsia" w:ascii="Cambria Math" w:hAnsi="Cambria Math"/>
              </w:rPr>
            </m:ctrlPr>
          </m:e>
          <m:sub>
            <m:r>
              <m:rPr>
                <m:sty m:val="p"/>
              </m:rPr>
              <w:rPr>
                <w:rFonts w:hint="eastAsia" w:ascii="Times New Roman"/>
              </w:rPr>
              <m:t>0</m:t>
            </m:r>
            <m:ctrlPr>
              <w:rPr>
                <w:rFonts w:hint="eastAsia" w:ascii="Cambria Math" w:hAnsi="Cambria Math"/>
              </w:rPr>
            </m:ctrlPr>
          </m:sub>
        </m:sSub>
      </m:oMath>
      <w:r>
        <w:rPr>
          <w:rFonts w:hint="eastAsia" w:ascii="Times New Roman"/>
        </w:rPr>
        <w:t xml:space="preserve"> —实际条件下的液固比。</w:t>
      </w:r>
    </w:p>
    <w:p w14:paraId="52634A8C">
      <w:pPr>
        <w:pStyle w:val="61"/>
        <w:ind w:firstLine="420"/>
        <w:rPr>
          <w:rFonts w:ascii="Times New Roman"/>
        </w:rPr>
      </w:pPr>
      <w:r>
        <w:rPr>
          <w:rFonts w:hint="eastAsia" w:ascii="Times New Roman"/>
        </w:rPr>
        <w:t>实际条件下的液固比根据公式</w:t>
      </w:r>
      <w:r>
        <w:rPr>
          <w:rFonts w:hint="eastAsia" w:ascii="Times New Roman"/>
          <w:lang w:val="en-US" w:eastAsia="zh-CN"/>
        </w:rPr>
        <w:t>3</w:t>
      </w:r>
      <w:r>
        <w:rPr>
          <w:rFonts w:hint="eastAsia" w:ascii="Times New Roman"/>
        </w:rPr>
        <w:t>计算：</w:t>
      </w:r>
    </w:p>
    <w:p w14:paraId="462FB187">
      <w:pPr>
        <w:spacing w:line="360" w:lineRule="auto"/>
        <w:ind w:firstLine="420" w:firstLineChars="200"/>
        <w:jc w:val="right"/>
        <w:rPr>
          <w:rFonts w:ascii="Times New Roman" w:hAnsi="Times New Roman"/>
          <w:iCs/>
        </w:rPr>
      </w:pPr>
      <m:oMath>
        <m:sSub>
          <m:sSubPr>
            <m:ctrlPr>
              <w:rPr>
                <w:rFonts w:ascii="Cambria Math" w:hAnsi="Cambria Math"/>
                <w:i/>
                <w:iCs/>
              </w:rPr>
            </m:ctrlPr>
          </m:sSubPr>
          <m:e>
            <m:r>
              <m:rPr/>
              <w:rPr>
                <w:rFonts w:ascii="Cambria Math" w:hAnsi="Cambria Math"/>
              </w:rPr>
              <m:t>L/S</m:t>
            </m:r>
            <m:ctrlPr>
              <w:rPr>
                <w:rFonts w:ascii="Cambria Math" w:hAnsi="Cambria Math"/>
                <w:i/>
                <w:iCs/>
              </w:rPr>
            </m:ctrlPr>
          </m:e>
          <m:sub>
            <m:r>
              <m:rPr/>
              <w:rPr>
                <w:rFonts w:ascii="Cambria Math" w:hAnsi="Cambria Math"/>
              </w:rPr>
              <m:t>0</m:t>
            </m:r>
            <m:ctrlPr>
              <w:rPr>
                <w:rFonts w:ascii="Cambria Math" w:hAnsi="Cambria Math"/>
                <w:i/>
                <w:iCs/>
              </w:rPr>
            </m:ctrlPr>
          </m:sub>
        </m:sSub>
        <m:r>
          <m:rPr/>
          <w:rPr>
            <w:rFonts w:ascii="Cambria Math" w:hAnsi="Cambria Math"/>
          </w:rPr>
          <m:t>=</m:t>
        </m:r>
        <m:f>
          <m:fPr>
            <m:ctrlPr>
              <w:rPr>
                <w:rFonts w:ascii="Cambria Math" w:hAnsi="Cambria Math"/>
                <w:i/>
                <w:iCs/>
              </w:rPr>
            </m:ctrlPr>
          </m:fPr>
          <m:num>
            <m:r>
              <m:rPr/>
              <w:rPr>
                <w:rFonts w:ascii="Cambria Math" w:hAnsi="Cambria Math"/>
              </w:rPr>
              <m:t>P</m:t>
            </m:r>
            <m:ctrlPr>
              <w:rPr>
                <w:rFonts w:ascii="Cambria Math" w:hAnsi="Cambria Math"/>
                <w:i/>
                <w:iCs/>
              </w:rPr>
            </m:ctrlPr>
          </m:num>
          <m:den>
            <m:r>
              <m:rPr/>
              <w:rPr>
                <w:rFonts w:ascii="Cambria Math" w:hAnsi="Cambria Math"/>
              </w:rPr>
              <m:t>d×1000</m:t>
            </m:r>
            <m:ctrlPr>
              <w:rPr>
                <w:rFonts w:ascii="Cambria Math" w:hAnsi="Cambria Math"/>
                <w:i/>
                <w:iCs/>
              </w:rPr>
            </m:ctrlPr>
          </m:den>
        </m:f>
      </m:oMath>
      <w:r>
        <w:rPr>
          <w:rFonts w:hint="eastAsia" w:hAnsi="Cambria Math"/>
          <w:iCs/>
        </w:rPr>
        <w:t xml:space="preserve">                                 </w:t>
      </w:r>
      <w:r>
        <w:rPr>
          <w:rFonts w:ascii="Times New Roman" w:hAnsi="Times New Roman"/>
          <w:iCs/>
        </w:rPr>
        <w:t>（</w:t>
      </w:r>
      <w:r>
        <w:rPr>
          <w:rFonts w:hint="eastAsia" w:ascii="Times New Roman" w:hAnsi="Times New Roman"/>
          <w:iCs/>
        </w:rPr>
        <w:t>3</w:t>
      </w:r>
      <w:r>
        <w:rPr>
          <w:rFonts w:ascii="Times New Roman" w:hAnsi="Times New Roman"/>
          <w:iCs/>
        </w:rPr>
        <w:t>）</w:t>
      </w:r>
      <w:bookmarkStart w:id="126" w:name="pindex1040"/>
      <w:bookmarkEnd w:id="126"/>
    </w:p>
    <w:p w14:paraId="2EBA6BA0">
      <w:pPr>
        <w:pStyle w:val="61"/>
        <w:ind w:firstLine="420"/>
        <w:rPr>
          <w:rFonts w:ascii="Times New Roman"/>
        </w:rPr>
      </w:pPr>
      <w:r>
        <w:rPr>
          <w:rFonts w:hint="eastAsia" w:ascii="Times New Roman"/>
        </w:rPr>
        <w:t>式中：</w:t>
      </w:r>
      <w:sdt>
        <w:sdtPr>
          <w:rPr>
            <w:rFonts w:hint="eastAsia" w:ascii="Times New Roman"/>
          </w:rPr>
          <w:alias w:val="多余空格"/>
          <w:id w:val="147459801"/>
        </w:sdtPr>
        <w:sdtEndPr>
          <w:rPr>
            <w:rFonts w:hint="eastAsia" w:ascii="Times New Roman"/>
          </w:rPr>
        </w:sdtEndPr>
        <w:sdtContent>
          <w:bookmarkStart w:id="127" w:name="bkReivew181036"/>
          <w:r>
            <w:rPr>
              <w:rFonts w:hint="eastAsia" w:ascii="Times New Roman"/>
            </w:rPr>
            <w:t>P  —</w:t>
          </w:r>
          <w:bookmarkEnd w:id="127"/>
        </w:sdtContent>
      </w:sdt>
      <w:r>
        <w:rPr>
          <w:rFonts w:hint="eastAsia" w:ascii="Times New Roman"/>
        </w:rPr>
        <w:t>填埋至今累积的降雨量，mm；</w:t>
      </w:r>
    </w:p>
    <w:p w14:paraId="40BF9BF6">
      <w:pPr>
        <w:pStyle w:val="61"/>
        <w:ind w:firstLine="1050" w:firstLineChars="500"/>
        <w:rPr>
          <w:rFonts w:ascii="Times New Roman"/>
        </w:rPr>
      </w:pPr>
      <m:oMath>
        <m:r>
          <m:rPr>
            <m:sty m:val="p"/>
          </m:rPr>
          <w:rPr>
            <w:rFonts w:hint="eastAsia" w:ascii="Times New Roman"/>
          </w:rPr>
          <m:t>d</m:t>
        </m:r>
      </m:oMath>
      <w:r>
        <w:rPr>
          <w:rFonts w:hint="eastAsia" w:ascii="Times New Roman"/>
        </w:rPr>
        <w:t xml:space="preserve">  —堆体的厚度，m。</w:t>
      </w:r>
    </w:p>
    <w:p w14:paraId="41202094">
      <w:pPr>
        <w:pStyle w:val="61"/>
        <w:ind w:firstLine="420" w:firstLineChars="0"/>
        <w:rPr>
          <w:rFonts w:ascii="Times New Roman"/>
        </w:rPr>
      </w:pPr>
      <w:r>
        <w:rPr>
          <w:rFonts w:hint="eastAsia" w:ascii="Times New Roman"/>
        </w:rPr>
        <w:t>间接评估法主要作为验证性手段，不作为固化效果达标判定的唯一依据。若计算结果未满足《危险废物填埋污染控制标准》（GB 18598）入场控制限值，应结合运行条件、渗滤液产生特征、废物组成变化、固化/稳定化工艺参数等进行原因分析。</w:t>
      </w:r>
    </w:p>
    <w:p w14:paraId="11CF071C">
      <w:pPr>
        <w:pStyle w:val="70"/>
        <w:spacing w:before="120" w:after="120"/>
      </w:pPr>
      <w:r>
        <w:rPr>
          <w:rFonts w:hint="eastAsia"/>
        </w:rPr>
        <w:t>防渗层完整性评估方法</w:t>
      </w:r>
    </w:p>
    <w:p w14:paraId="4E506F60">
      <w:pPr>
        <w:pStyle w:val="61"/>
        <w:ind w:firstLine="420" w:firstLineChars="0"/>
        <w:rPr>
          <w:rFonts w:hint="default" w:ascii="Times New Roman" w:hAnsi="Times New Roman" w:cs="Times New Roman"/>
        </w:rPr>
      </w:pPr>
      <w:r>
        <w:rPr>
          <w:rFonts w:hint="eastAsia" w:ascii="Times New Roman"/>
        </w:rPr>
        <w:t>防渗层完整性评估应基于定期检测结果、渗漏量特征及漏点定位情况，对填埋区和渗滤液调节池防渗系统的完好性进行系统判定。当出现填埋场相关的污染迹象或疑似异常时，应立即开展防渗层完整性检测</w:t>
      </w:r>
      <w:r>
        <w:rPr>
          <w:rFonts w:hint="default" w:ascii="Times New Roman" w:hAnsi="Times New Roman" w:cs="Times New Roman"/>
        </w:rPr>
        <w:t>，并据此启动评估。评估对象包括填埋区防渗层及渗滤液调节池防渗层。具体方法如下：</w:t>
      </w:r>
    </w:p>
    <w:p w14:paraId="2D548512">
      <w:pPr>
        <w:pStyle w:val="61"/>
        <w:ind w:firstLine="420" w:firstLineChars="0"/>
        <w:rPr>
          <w:rFonts w:hint="default" w:ascii="Times New Roman" w:hAnsi="Times New Roman" w:cs="Times New Roman"/>
        </w:rPr>
      </w:pPr>
      <w:r>
        <w:rPr>
          <w:rFonts w:hint="default" w:ascii="Times New Roman" w:hAnsi="Times New Roman" w:cs="Times New Roman"/>
        </w:rPr>
        <w:t>（1）对于已安装电极格栅等在线监测系统的填埋场，优先采用该系统进行完整性检测和漏点定位，判断是否存在防渗层漏点，对漏洞进行定位指导后续漏点修补。</w:t>
      </w:r>
    </w:p>
    <w:p w14:paraId="7464C2F2">
      <w:pPr>
        <w:pStyle w:val="61"/>
        <w:ind w:firstLine="420" w:firstLineChars="0"/>
        <w:rPr>
          <w:rFonts w:hint="default" w:ascii="Times New Roman" w:hAnsi="Times New Roman" w:cs="Times New Roman"/>
        </w:rPr>
      </w:pPr>
      <w:r>
        <w:rPr>
          <w:rFonts w:hint="default" w:ascii="Times New Roman" w:hAnsi="Times New Roman" w:cs="Times New Roman"/>
        </w:rPr>
        <w:t>（2）未安装在线监测系统但设置渗漏检测层的，可依据渗漏检测层渗滤液收集量进行防渗层完整性初步判断。当渗漏检测层渗滤液收集量低于可接受渗漏速率（ALR）时，可评估为防渗层完整性较好；当渗滤液收集量高于ALR或出现异常变化时，应当进一步开展防渗层完整性检测和漏点定位。</w:t>
      </w:r>
    </w:p>
    <w:p w14:paraId="4F1225E8">
      <w:pPr>
        <w:pStyle w:val="61"/>
        <w:ind w:firstLine="420" w:firstLineChars="0"/>
        <w:rPr>
          <w:rFonts w:hint="default" w:ascii="Times New Roman" w:hAnsi="Times New Roman" w:cs="Times New Roman"/>
        </w:rPr>
      </w:pPr>
      <w:r>
        <w:rPr>
          <w:rFonts w:hint="default" w:ascii="Times New Roman" w:hAnsi="Times New Roman" w:cs="Times New Roman"/>
        </w:rPr>
        <w:t>（3）开展防渗层完整性检测和漏点定位时，应根据防渗层上方介质厚度选择适宜的检测方法：</w:t>
      </w:r>
    </w:p>
    <w:p w14:paraId="06450934">
      <w:pPr>
        <w:pStyle w:val="179"/>
        <w:numPr>
          <w:ilvl w:val="0"/>
          <w:numId w:val="42"/>
        </w:numPr>
        <w:rPr>
          <w:rFonts w:hint="default" w:ascii="Times New Roman" w:hAnsi="Times New Roman" w:cs="Times New Roman"/>
        </w:rPr>
      </w:pPr>
      <w:r>
        <w:rPr>
          <w:rFonts w:hint="default" w:ascii="Times New Roman" w:hAnsi="Times New Roman" w:cs="Times New Roman"/>
        </w:rPr>
        <w:t>介质厚度小于1 m时，可采用偶极子法进行防渗层完整性检测与漏点定位。检测时传感器间距不得小于1 m，并应明确标识漏点位置，漏点定位精度不应小于1 cm</w:t>
      </w:r>
      <w:r>
        <w:rPr>
          <w:rFonts w:hint="eastAsia" w:ascii="Times New Roman" w:cs="Times New Roman"/>
          <w:lang w:eastAsia="zh-CN"/>
        </w:rPr>
        <w:t>；</w:t>
      </w:r>
    </w:p>
    <w:p w14:paraId="217ED427">
      <w:pPr>
        <w:pStyle w:val="179"/>
        <w:numPr>
          <w:ilvl w:val="0"/>
          <w:numId w:val="42"/>
        </w:numPr>
        <w:rPr>
          <w:rFonts w:hint="default" w:ascii="Times New Roman" w:hAnsi="Times New Roman" w:cs="Times New Roman"/>
        </w:rPr>
      </w:pPr>
      <w:r>
        <w:rPr>
          <w:rFonts w:hint="default" w:ascii="Times New Roman" w:hAnsi="Times New Roman" w:cs="Times New Roman"/>
        </w:rPr>
        <w:t>介质厚度大于1 m时，宜采用被动式偶极子法等无损检测方法开展检测，漏点定位精度不应小于1 m</w:t>
      </w:r>
      <w:r>
        <w:rPr>
          <w:rFonts w:hint="eastAsia" w:ascii="Times New Roman" w:cs="Times New Roman"/>
          <w:lang w:eastAsia="zh-CN"/>
        </w:rPr>
        <w:t>；</w:t>
      </w:r>
    </w:p>
    <w:p w14:paraId="199DA1DB">
      <w:pPr>
        <w:pStyle w:val="179"/>
        <w:numPr>
          <w:ilvl w:val="0"/>
          <w:numId w:val="42"/>
        </w:numPr>
        <w:rPr>
          <w:rFonts w:hint="default" w:ascii="Times New Roman" w:hAnsi="Times New Roman" w:cs="Times New Roman"/>
        </w:rPr>
      </w:pPr>
      <w:r>
        <w:rPr>
          <w:rFonts w:hint="default" w:ascii="Times New Roman" w:hAnsi="Times New Roman" w:cs="Times New Roman"/>
        </w:rPr>
        <w:t>不具备无损检测条件的，可通过开挖削薄堆体，使检测厚度满足偶极子法要求后再行检测。</w:t>
      </w:r>
    </w:p>
    <w:p w14:paraId="5788A9DB">
      <w:pPr>
        <w:pStyle w:val="61"/>
        <w:ind w:firstLine="420" w:firstLineChars="0"/>
        <w:rPr>
          <w:rFonts w:hint="default" w:ascii="Times New Roman" w:hAnsi="Times New Roman" w:cs="Times New Roman"/>
        </w:rPr>
      </w:pPr>
      <w:r>
        <w:rPr>
          <w:rFonts w:hint="default" w:ascii="Times New Roman" w:hAnsi="Times New Roman" w:cs="Times New Roman"/>
        </w:rPr>
        <w:t>（4）可采用高密度电法等物探方法识别渗滤液渗漏对地下水造成的电性异常变化，用作防渗层完整性评估的补充依据。但不得以高密度电法作为唯一依据判定防渗层完整性或进行漏点定位。</w:t>
      </w:r>
    </w:p>
    <w:p w14:paraId="30E91319">
      <w:pPr>
        <w:pStyle w:val="110"/>
        <w:spacing w:before="120" w:after="120"/>
      </w:pPr>
      <w:bookmarkStart w:id="128" w:name="_Toc15208"/>
      <w:r>
        <w:rPr>
          <w:rFonts w:hint="eastAsia"/>
        </w:rPr>
        <w:t>地下水污染状况评</w:t>
      </w:r>
      <w:r>
        <w:t>估</w:t>
      </w:r>
      <w:bookmarkEnd w:id="128"/>
    </w:p>
    <w:p w14:paraId="788E6611">
      <w:pPr>
        <w:pStyle w:val="61"/>
        <w:ind w:firstLine="420"/>
        <w:rPr>
          <w:rFonts w:ascii="Times New Roman"/>
        </w:rPr>
      </w:pPr>
      <w:r>
        <w:rPr>
          <w:rFonts w:hint="eastAsia" w:ascii="Times New Roman"/>
        </w:rPr>
        <w:t>地下水污染状况评估从采样监测、污染状况评估及污染来源识别与成因分析三个层次开展。</w:t>
      </w:r>
    </w:p>
    <w:p w14:paraId="09EE9F07">
      <w:pPr>
        <w:pStyle w:val="61"/>
        <w:numPr>
          <w:ilvl w:val="0"/>
          <w:numId w:val="43"/>
        </w:numPr>
        <w:ind w:firstLine="420"/>
        <w:rPr>
          <w:rFonts w:ascii="Times New Roman"/>
        </w:rPr>
      </w:pPr>
      <w:r>
        <w:rPr>
          <w:rFonts w:hint="eastAsia" w:ascii="Times New Roman"/>
        </w:rPr>
        <w:t>采样与监测要求</w:t>
      </w:r>
    </w:p>
    <w:p w14:paraId="225784F8">
      <w:pPr>
        <w:pStyle w:val="179"/>
        <w:numPr>
          <w:ilvl w:val="0"/>
          <w:numId w:val="44"/>
        </w:numPr>
        <w:rPr>
          <w:rFonts w:ascii="Times New Roman"/>
        </w:rPr>
      </w:pPr>
      <w:r>
        <w:rPr>
          <w:rFonts w:hint="eastAsia" w:ascii="Times New Roman"/>
        </w:rPr>
        <w:t>地下水监测井布设应采取系统布点、必要时加密布点的方式，优先覆盖填埋场下游区域，确保监测点位能够反映地下水污染程度、空间分布及扩散范围</w:t>
      </w:r>
      <w:r>
        <w:rPr>
          <w:rFonts w:hint="eastAsia" w:ascii="Times New Roman"/>
          <w:lang w:eastAsia="zh-CN"/>
        </w:rPr>
        <w:t>；</w:t>
      </w:r>
    </w:p>
    <w:p w14:paraId="1294E521">
      <w:pPr>
        <w:pStyle w:val="179"/>
        <w:numPr>
          <w:ilvl w:val="0"/>
          <w:numId w:val="44"/>
        </w:numPr>
        <w:rPr>
          <w:rFonts w:ascii="Times New Roman"/>
        </w:rPr>
      </w:pPr>
      <w:r>
        <w:rPr>
          <w:rFonts w:hint="eastAsia" w:ascii="Times New Roman"/>
        </w:rPr>
        <w:t>监测井布设数量与密度应以满足污染识别与趋势判断为基本原则，具体要求应符合《建设项目环境影响评价技术导则 地下水环境》（HJ 25.2）的相关规定</w:t>
      </w:r>
      <w:r>
        <w:rPr>
          <w:rFonts w:hint="eastAsia" w:ascii="Times New Roman"/>
          <w:lang w:eastAsia="zh-CN"/>
        </w:rPr>
        <w:t>；</w:t>
      </w:r>
    </w:p>
    <w:p w14:paraId="7526DDF4">
      <w:pPr>
        <w:pStyle w:val="179"/>
        <w:numPr>
          <w:ilvl w:val="0"/>
          <w:numId w:val="44"/>
        </w:numPr>
        <w:rPr>
          <w:rFonts w:ascii="Times New Roman"/>
        </w:rPr>
      </w:pPr>
      <w:r>
        <w:rPr>
          <w:rFonts w:hint="eastAsia" w:ascii="Times New Roman"/>
        </w:rPr>
        <w:t>地下水采样方法、监测项目与分析方法应符合《地下水环境监测技术规范》（HJ 164）的相关要求。监测层位、因子设置应符合《危险废物填埋污染控制标准》（GB 18598）中的相关要求</w:t>
      </w:r>
      <w:r>
        <w:rPr>
          <w:rFonts w:hint="eastAsia" w:ascii="Times New Roman"/>
          <w:lang w:eastAsia="zh-CN"/>
        </w:rPr>
        <w:t>；</w:t>
      </w:r>
    </w:p>
    <w:p w14:paraId="6F1DD7F8">
      <w:pPr>
        <w:pStyle w:val="179"/>
        <w:numPr>
          <w:ilvl w:val="0"/>
          <w:numId w:val="44"/>
        </w:numPr>
        <w:rPr>
          <w:rFonts w:ascii="Times New Roman"/>
        </w:rPr>
      </w:pPr>
      <w:r>
        <w:rPr>
          <w:rFonts w:hint="eastAsia" w:ascii="Times New Roman"/>
        </w:rPr>
        <w:t>地下水监测频次应符合本标准第5.2节中的规定，封场初期或出现污染迹象时，应根据实际情况适当提高采样频率或增设补充井位。</w:t>
      </w:r>
    </w:p>
    <w:p w14:paraId="66F32886">
      <w:pPr>
        <w:pStyle w:val="61"/>
        <w:numPr>
          <w:ilvl w:val="0"/>
          <w:numId w:val="43"/>
        </w:numPr>
        <w:ind w:firstLine="420"/>
        <w:rPr>
          <w:rFonts w:ascii="Times New Roman"/>
        </w:rPr>
      </w:pPr>
      <w:r>
        <w:rPr>
          <w:rFonts w:hint="eastAsia" w:ascii="Times New Roman"/>
        </w:rPr>
        <w:t>污染状况评估</w:t>
      </w:r>
    </w:p>
    <w:p w14:paraId="19667805">
      <w:pPr>
        <w:pStyle w:val="61"/>
        <w:ind w:firstLine="420"/>
        <w:rPr>
          <w:rFonts w:ascii="Times New Roman"/>
        </w:rPr>
      </w:pPr>
      <w:r>
        <w:rPr>
          <w:rFonts w:ascii="Times New Roman"/>
        </w:rPr>
        <w:t>地下水污染状况评估应以监测结果为依据，判定地下水污染物是否符合相关标准要求。监测结果应与《地下水质量标准》（GB/T 14848）或其他适用标准限值进行对比，确定污染物是否超标。</w:t>
      </w:r>
    </w:p>
    <w:p w14:paraId="0B171B68">
      <w:pPr>
        <w:pStyle w:val="61"/>
        <w:numPr>
          <w:ilvl w:val="0"/>
          <w:numId w:val="43"/>
        </w:numPr>
        <w:ind w:firstLine="420"/>
        <w:rPr>
          <w:rFonts w:ascii="Times New Roman"/>
        </w:rPr>
      </w:pPr>
      <w:r>
        <w:rPr>
          <w:rFonts w:ascii="Times New Roman"/>
        </w:rPr>
        <w:t>污染来源识别与成因分析</w:t>
      </w:r>
    </w:p>
    <w:p w14:paraId="1083121E">
      <w:pPr>
        <w:pStyle w:val="179"/>
        <w:numPr>
          <w:ilvl w:val="0"/>
          <w:numId w:val="45"/>
        </w:numPr>
      </w:pPr>
      <w:r>
        <w:rPr>
          <w:rFonts w:hint="eastAsia"/>
        </w:rPr>
        <w:t>无污染情形：若监测数据全部低于标准限值，且未发</w:t>
      </w:r>
      <w:r>
        <w:rPr>
          <w:rFonts w:hint="eastAsia"/>
          <w:highlight w:val="none"/>
        </w:rPr>
        <w:t>现明显升</w:t>
      </w:r>
      <w:r>
        <w:rPr>
          <w:rFonts w:hint="eastAsia"/>
        </w:rPr>
        <w:t>高趋势，可判定填埋场对地下水环境未产生不利影响</w:t>
      </w:r>
      <w:r>
        <w:rPr>
          <w:rFonts w:hint="eastAsia"/>
          <w:lang w:eastAsia="zh-CN"/>
        </w:rPr>
        <w:t>；</w:t>
      </w:r>
    </w:p>
    <w:p w14:paraId="0F5AB842">
      <w:pPr>
        <w:pStyle w:val="179"/>
        <w:numPr>
          <w:ilvl w:val="0"/>
          <w:numId w:val="45"/>
        </w:numPr>
        <w:rPr>
          <w:rFonts w:ascii="Times New Roman"/>
        </w:rPr>
      </w:pPr>
      <w:r>
        <w:rPr>
          <w:rFonts w:hint="eastAsia"/>
        </w:rPr>
        <w:t>非特征污染物超标情形：若存在超标但非本项目危险废物特征相关指标，且无持续上升趋势，初步判定与填埋场无直接关联，可继续常规监测</w:t>
      </w:r>
      <w:r>
        <w:rPr>
          <w:rFonts w:hint="eastAsia"/>
          <w:lang w:eastAsia="zh-CN"/>
        </w:rPr>
        <w:t>；</w:t>
      </w:r>
    </w:p>
    <w:p w14:paraId="265B67A9">
      <w:pPr>
        <w:pStyle w:val="179"/>
        <w:numPr>
          <w:ilvl w:val="0"/>
          <w:numId w:val="45"/>
        </w:numPr>
        <w:rPr>
          <w:rFonts w:ascii="Times New Roman"/>
        </w:rPr>
      </w:pPr>
      <w:r>
        <w:rPr>
          <w:rFonts w:hint="eastAsia"/>
        </w:rPr>
        <w:t>特征污染物异常情形：当检测结果中发现典型危险废物相关污染物超标，或持续上升趋势显著，应进一步结合空间位置开展成因分析，具体包括：</w:t>
      </w:r>
      <w:r>
        <w:rPr>
          <w:rFonts w:hint="eastAsia" w:ascii="Times New Roman"/>
        </w:rPr>
        <w:t>上下游浓度比较、浓度梯度与迁移方向分析、相关性分析等。</w:t>
      </w:r>
    </w:p>
    <w:p w14:paraId="1BA49444">
      <w:pPr>
        <w:pStyle w:val="110"/>
        <w:spacing w:before="120" w:after="120"/>
      </w:pPr>
      <w:bookmarkStart w:id="129" w:name="_Toc28829"/>
      <w:r>
        <w:rPr>
          <w:rFonts w:hint="eastAsia"/>
        </w:rPr>
        <w:t>环境安全性能综合评估</w:t>
      </w:r>
      <w:bookmarkEnd w:id="129"/>
    </w:p>
    <w:p w14:paraId="13D8AE53">
      <w:pPr>
        <w:pStyle w:val="61"/>
        <w:ind w:firstLine="420"/>
        <w:rPr>
          <w:rFonts w:ascii="Times New Roman"/>
        </w:rPr>
      </w:pPr>
      <w:r>
        <w:rPr>
          <w:rFonts w:hint="eastAsia" w:ascii="Times New Roman"/>
        </w:rPr>
        <w:t>环境安全性能综合评估应在地下水监测结果或主要功能单元运行状况表明存在潜在环境风险时开展。当监测数据或运行检测结果显示污染物浓度异常升高、防渗系统性能下降或存在渗漏风险时，应结合水文地质条件，采用模型开展污染迁移预测，</w:t>
      </w:r>
      <w:r>
        <w:rPr>
          <w:rFonts w:ascii="Times New Roman"/>
        </w:rPr>
        <w:t>综合评估填埋场全生命周期环境风险。评估内容包括以下两部分：</w:t>
      </w:r>
    </w:p>
    <w:p w14:paraId="7AA473C6">
      <w:pPr>
        <w:pStyle w:val="179"/>
        <w:numPr>
          <w:ilvl w:val="0"/>
          <w:numId w:val="46"/>
        </w:numPr>
        <w:rPr>
          <w:rFonts w:ascii="Times New Roman"/>
        </w:rPr>
      </w:pPr>
      <w:bookmarkStart w:id="130" w:name="OLE_LINK1"/>
      <w:r>
        <w:rPr>
          <w:rFonts w:ascii="Times New Roman"/>
        </w:rPr>
        <w:t>渗滤液产生和渗漏控制性能</w:t>
      </w:r>
    </w:p>
    <w:p w14:paraId="11FA7A07">
      <w:pPr>
        <w:pStyle w:val="61"/>
        <w:ind w:firstLine="420"/>
        <w:rPr>
          <w:rFonts w:ascii="Times New Roman"/>
        </w:rPr>
      </w:pPr>
      <w:r>
        <w:rPr>
          <w:rFonts w:ascii="Times New Roman"/>
        </w:rPr>
        <w:t>根据6.2评估获得的导排层渗透系数、防渗层漏洞数量等，结合填埋场实际的封场覆盖、渗滤液收集和导排、防渗层等结构，利用填埋场水文特性模型对渗滤液的产生和渗漏情况进行预测；根据预测结果，渗滤液产生和渗漏控制情况分别按6.2.1和6.2.4</w:t>
      </w:r>
      <w:r>
        <w:rPr>
          <w:rFonts w:hint="eastAsia" w:ascii="Times New Roman"/>
        </w:rPr>
        <w:t>b</w:t>
      </w:r>
      <w:r>
        <w:rPr>
          <w:rFonts w:ascii="Times New Roman"/>
        </w:rPr>
        <w:t>进行评估。</w:t>
      </w:r>
    </w:p>
    <w:p w14:paraId="51282533">
      <w:pPr>
        <w:pStyle w:val="179"/>
        <w:numPr>
          <w:ilvl w:val="0"/>
          <w:numId w:val="46"/>
        </w:numPr>
        <w:rPr>
          <w:rFonts w:ascii="Times New Roman"/>
        </w:rPr>
      </w:pPr>
      <w:r>
        <w:rPr>
          <w:rFonts w:ascii="Times New Roman"/>
        </w:rPr>
        <w:t>地下水污染风险评估</w:t>
      </w:r>
    </w:p>
    <w:p w14:paraId="0C27FA62">
      <w:pPr>
        <w:pStyle w:val="61"/>
        <w:ind w:firstLine="420"/>
        <w:rPr>
          <w:rFonts w:ascii="Times New Roman"/>
        </w:rPr>
      </w:pPr>
      <w:r>
        <w:rPr>
          <w:rFonts w:ascii="Times New Roman"/>
        </w:rPr>
        <w:t>以6.</w:t>
      </w:r>
      <w:r>
        <w:rPr>
          <w:rFonts w:hint="eastAsia" w:ascii="Times New Roman"/>
          <w:lang w:val="en-US" w:eastAsia="zh-CN"/>
        </w:rPr>
        <w:t>4</w:t>
      </w:r>
      <w:r>
        <w:rPr>
          <w:rFonts w:ascii="Times New Roman"/>
        </w:rPr>
        <w:t>a获得的渗滤液渗漏强度作为地下水污染源强，参照《环境影响评价技术导则 地下水环境》（HJ610-2016）第9节</w:t>
      </w:r>
      <w:r>
        <w:rPr>
          <w:rFonts w:hint="eastAsia" w:ascii="Times New Roman"/>
          <w:lang w:eastAsia="zh-CN"/>
        </w:rPr>
        <w:t>“</w:t>
      </w:r>
      <w:r>
        <w:rPr>
          <w:rFonts w:ascii="Times New Roman"/>
        </w:rPr>
        <w:t>地下水环境影响预测</w:t>
      </w:r>
      <w:r>
        <w:rPr>
          <w:rFonts w:hint="eastAsia" w:ascii="Times New Roman"/>
          <w:lang w:eastAsia="zh-CN"/>
        </w:rPr>
        <w:t>”</w:t>
      </w:r>
      <w:r>
        <w:rPr>
          <w:rFonts w:ascii="Times New Roman"/>
        </w:rPr>
        <w:t>规定，结合Monte</w:t>
      </w:r>
      <w:r>
        <w:rPr>
          <w:rFonts w:hint="eastAsia" w:ascii="Times New Roman"/>
        </w:rPr>
        <w:t xml:space="preserve"> </w:t>
      </w:r>
      <w:r>
        <w:rPr>
          <w:rFonts w:ascii="Times New Roman"/>
        </w:rPr>
        <w:t>carlo分析进行参数不确定性分析，开展渗漏条件下的地下水污染预测，预测时间不小于T，分别考虑5%、50%和90%、95%置信区间浓度，预测</w:t>
      </w:r>
      <w:r>
        <w:rPr>
          <w:rFonts w:hint="eastAsia" w:ascii="Times New Roman"/>
        </w:rPr>
        <w:t>渗滤液渗漏量和浓度的变化趋势以及对地下水水质的影响趋势，并用地下水的监测数据予以校正，给出预测期内地下水污染超标程度、概率和范围</w:t>
      </w:r>
      <w:r>
        <w:rPr>
          <w:rFonts w:ascii="Times New Roman"/>
        </w:rPr>
        <w:t>。</w:t>
      </w:r>
    </w:p>
    <w:p w14:paraId="74BD47CE">
      <w:pPr>
        <w:pStyle w:val="61"/>
        <w:ind w:firstLine="420"/>
        <w:jc w:val="center"/>
        <w:rPr>
          <w:rFonts w:ascii="Times New Roman"/>
        </w:rPr>
      </w:pPr>
      <w:r>
        <w:rPr>
          <w:rFonts w:ascii="Times New Roman"/>
        </w:rPr>
        <w:t>T=场库设施继续运行时间+污染物的包气带穿透时间</w:t>
      </w:r>
    </w:p>
    <w:p w14:paraId="1C78B19C">
      <w:pPr>
        <w:pStyle w:val="110"/>
        <w:spacing w:before="120" w:after="120"/>
        <w:rPr>
          <w:rFonts w:ascii="Times New Roman"/>
        </w:rPr>
      </w:pPr>
      <w:bookmarkStart w:id="131" w:name="_Toc7627"/>
      <w:bookmarkStart w:id="132" w:name="_Toc24100"/>
      <w:r>
        <w:rPr>
          <w:rFonts w:ascii="Times New Roman"/>
        </w:rPr>
        <w:t>评估结论与判定标准</w:t>
      </w:r>
      <w:bookmarkEnd w:id="131"/>
      <w:bookmarkEnd w:id="132"/>
    </w:p>
    <w:p w14:paraId="5D42663E">
      <w:pPr>
        <w:pStyle w:val="61"/>
        <w:ind w:firstLine="420"/>
      </w:pPr>
      <w:r>
        <w:rPr>
          <w:rFonts w:hint="eastAsia"/>
        </w:rPr>
        <w:t>根据本技术规范，危险废物填埋场环境安全性能评估应综合分析主要功能单元评估结果、地下水污染状况及环境安全性能</w:t>
      </w:r>
      <w:r>
        <w:rPr>
          <w:rFonts w:hint="eastAsia"/>
          <w:lang w:val="en-US" w:eastAsia="zh-CN"/>
        </w:rPr>
        <w:t>综合</w:t>
      </w:r>
      <w:r>
        <w:rPr>
          <w:rFonts w:hint="eastAsia"/>
        </w:rPr>
        <w:t>评估结果，形成最终结论。结论应包括评估是否合格及需采取的后续措施，具体如下：</w:t>
      </w:r>
    </w:p>
    <w:p w14:paraId="575937AE">
      <w:pPr>
        <w:pStyle w:val="70"/>
        <w:spacing w:before="120" w:after="120"/>
      </w:pPr>
      <w:r>
        <w:rPr>
          <w:rFonts w:hint="eastAsia"/>
        </w:rPr>
        <w:t>判断依据</w:t>
      </w:r>
    </w:p>
    <w:p w14:paraId="14BA0247">
      <w:pPr>
        <w:pStyle w:val="61"/>
        <w:ind w:firstLine="420"/>
      </w:pPr>
      <w:r>
        <w:rPr>
          <w:rFonts w:hint="eastAsia"/>
        </w:rPr>
        <w:t>危险废物填埋场环境安全性能评估的依据为在填埋场整个生命周期内不会对地下水产生污染风险。评估结论应基于以下三个层次的综合判断：</w:t>
      </w:r>
    </w:p>
    <w:p w14:paraId="3EF61F21">
      <w:pPr>
        <w:pStyle w:val="179"/>
        <w:numPr>
          <w:ilvl w:val="0"/>
          <w:numId w:val="47"/>
        </w:numPr>
      </w:pPr>
      <w:r>
        <w:rPr>
          <w:rFonts w:hint="eastAsia"/>
        </w:rPr>
        <w:t>主要功能单元评估结果。包括覆盖层、防渗系统、导排系统、固化稳定化等设施的运行状况与防护效果；</w:t>
      </w:r>
    </w:p>
    <w:p w14:paraId="03151DD1">
      <w:pPr>
        <w:pStyle w:val="179"/>
        <w:numPr>
          <w:ilvl w:val="0"/>
          <w:numId w:val="47"/>
        </w:numPr>
      </w:pPr>
      <w:r>
        <w:rPr>
          <w:rFonts w:hint="eastAsia"/>
        </w:rPr>
        <w:t>地下水污染状况评估结果。包括地下水监测点污染物浓度是否超标、变化趋势及空间分布特征；</w:t>
      </w:r>
    </w:p>
    <w:p w14:paraId="5C2592D2">
      <w:pPr>
        <w:pStyle w:val="179"/>
        <w:numPr>
          <w:ilvl w:val="0"/>
          <w:numId w:val="47"/>
        </w:numPr>
      </w:pPr>
      <w:r>
        <w:rPr>
          <w:rFonts w:hint="eastAsia"/>
        </w:rPr>
        <w:t>环境安全性能综合评估结果。当发生疑似渗漏或地下水污染显著变化时，结合数值模拟等手段，对污染迁移趋势和潜在风险进行综合判断。</w:t>
      </w:r>
    </w:p>
    <w:p w14:paraId="287E6F77">
      <w:pPr>
        <w:pStyle w:val="70"/>
        <w:spacing w:before="120" w:after="120"/>
      </w:pPr>
      <w:r>
        <w:rPr>
          <w:rFonts w:hint="eastAsia"/>
        </w:rPr>
        <w:t>评估结果判定</w:t>
      </w:r>
    </w:p>
    <w:p w14:paraId="1586E54D">
      <w:pPr>
        <w:pStyle w:val="61"/>
        <w:ind w:firstLine="420"/>
      </w:pPr>
      <w:r>
        <w:rPr>
          <w:rFonts w:hint="eastAsia"/>
        </w:rPr>
        <w:t>根据评估结果，填埋场环境安全性能可作如下判定：</w:t>
      </w:r>
    </w:p>
    <w:p w14:paraId="73176FDF">
      <w:pPr>
        <w:pStyle w:val="61"/>
        <w:ind w:firstLine="420"/>
      </w:pPr>
      <w:r>
        <w:rPr>
          <w:rFonts w:hint="eastAsia"/>
        </w:rPr>
        <w:t>（1）合格</w:t>
      </w:r>
    </w:p>
    <w:p w14:paraId="652BA0FD">
      <w:pPr>
        <w:pStyle w:val="61"/>
        <w:ind w:firstLine="420"/>
      </w:pPr>
      <w:r>
        <w:rPr>
          <w:rFonts w:hint="eastAsia"/>
        </w:rPr>
        <w:t>主要功能单元运行正常，地下水监测结果符合标准要求，且未发现显著波动或污染趋势的，应判定环境安全性能为合格。</w:t>
      </w:r>
    </w:p>
    <w:p w14:paraId="55CC082A">
      <w:pPr>
        <w:pStyle w:val="61"/>
        <w:ind w:firstLine="420"/>
      </w:pPr>
      <w:r>
        <w:rPr>
          <w:rFonts w:hint="eastAsia"/>
        </w:rPr>
        <w:t>（2）基本合格</w:t>
      </w:r>
    </w:p>
    <w:p w14:paraId="0F620F93">
      <w:pPr>
        <w:pStyle w:val="61"/>
        <w:ind w:firstLine="420"/>
      </w:pPr>
      <w:r>
        <w:rPr>
          <w:rFonts w:hint="eastAsia"/>
        </w:rPr>
        <w:t>主要功能单元存在一定缺陷，但地下水监测结果未超标且无不利变化趋势的，可判定环境安全性能为基本合格。</w:t>
      </w:r>
    </w:p>
    <w:p w14:paraId="3FFC257D">
      <w:pPr>
        <w:pStyle w:val="61"/>
        <w:ind w:firstLine="420"/>
      </w:pPr>
      <w:r>
        <w:rPr>
          <w:rFonts w:hint="eastAsia"/>
        </w:rPr>
        <w:t>（3）不合格</w:t>
      </w:r>
    </w:p>
    <w:p w14:paraId="4736F0E5">
      <w:pPr>
        <w:pStyle w:val="61"/>
        <w:ind w:firstLine="420"/>
      </w:pPr>
      <w:r>
        <w:rPr>
          <w:rFonts w:hint="eastAsia"/>
        </w:rPr>
        <w:t>地下水中一项或多项污染物浓度显著升高、出现超标或趋势性变化，或由稳定状态转为持续超标的，应判定环境安全性能为不合格。</w:t>
      </w:r>
    </w:p>
    <w:p w14:paraId="21C45BC8">
      <w:pPr>
        <w:pStyle w:val="61"/>
        <w:ind w:firstLine="420"/>
      </w:pPr>
      <w:r>
        <w:rPr>
          <w:rFonts w:hint="eastAsia"/>
        </w:rPr>
        <w:t>此时应开展环境安全性能</w:t>
      </w:r>
      <w:r>
        <w:rPr>
          <w:rFonts w:hint="eastAsia"/>
          <w:lang w:val="en-US" w:eastAsia="zh-CN"/>
        </w:rPr>
        <w:t>综合</w:t>
      </w:r>
      <w:r>
        <w:rPr>
          <w:rFonts w:hint="eastAsia"/>
        </w:rPr>
        <w:t>评估，并结合污染物迁移模拟结果，判定环境安全性能</w:t>
      </w:r>
      <w:r>
        <w:rPr>
          <w:rFonts w:hint="eastAsia"/>
          <w:lang w:val="en-US" w:eastAsia="zh-CN"/>
        </w:rPr>
        <w:t>是否</w:t>
      </w:r>
      <w:r>
        <w:rPr>
          <w:rFonts w:hint="eastAsia"/>
        </w:rPr>
        <w:t>合格：</w:t>
      </w:r>
    </w:p>
    <w:p w14:paraId="0501D24A">
      <w:pPr>
        <w:pStyle w:val="179"/>
        <w:numPr>
          <w:ilvl w:val="0"/>
          <w:numId w:val="48"/>
        </w:numPr>
      </w:pPr>
      <w:r>
        <w:rPr>
          <w:rFonts w:hint="eastAsia"/>
        </w:rPr>
        <w:t>若预测结果表明污染物迁移范围有限，预测期内浓度</w:t>
      </w:r>
      <w:r>
        <w:rPr>
          <w:rFonts w:ascii="Times New Roman"/>
        </w:rPr>
        <w:t>不超过《地下水质量标准》（GB/T 14848）</w:t>
      </w:r>
      <w:r>
        <w:rPr>
          <w:rFonts w:hint="eastAsia"/>
        </w:rPr>
        <w:t>限值，或扩散范围局限于场界内且无明显外迁趋势的，</w:t>
      </w:r>
      <w:r>
        <w:rPr>
          <w:rFonts w:hint="eastAsia"/>
          <w:lang w:val="en-US" w:eastAsia="zh-CN"/>
        </w:rPr>
        <w:t>判定为基本合格</w:t>
      </w:r>
      <w:r>
        <w:rPr>
          <w:rFonts w:hint="eastAsia"/>
        </w:rPr>
        <w:t>；</w:t>
      </w:r>
    </w:p>
    <w:p w14:paraId="31ED1110">
      <w:pPr>
        <w:pStyle w:val="179"/>
        <w:numPr>
          <w:ilvl w:val="0"/>
          <w:numId w:val="48"/>
        </w:numPr>
      </w:pPr>
      <w:r>
        <w:rPr>
          <w:rFonts w:hint="eastAsia"/>
        </w:rPr>
        <w:t>若预测结果表明污染物在预测期内持续超标、迁移至敏感受体区域，或污染羽流呈持续扩展趋势的，维持不合格判定。</w:t>
      </w:r>
    </w:p>
    <w:p w14:paraId="6EB464C8">
      <w:pPr>
        <w:pStyle w:val="70"/>
        <w:spacing w:before="120" w:after="120"/>
      </w:pPr>
      <w:r>
        <w:rPr>
          <w:rFonts w:hint="eastAsia"/>
        </w:rPr>
        <w:t>后续处置建议</w:t>
      </w:r>
    </w:p>
    <w:p w14:paraId="198B41EC">
      <w:pPr>
        <w:pStyle w:val="61"/>
        <w:ind w:firstLine="420"/>
      </w:pPr>
      <w:r>
        <w:rPr>
          <w:rFonts w:hint="eastAsia"/>
        </w:rPr>
        <w:t>填埋场运营单位应根据环境安全性能评估结果，采取相应后续处置措施，确保设施运行符合环境安全要求并有效控制潜在风险。</w:t>
      </w:r>
    </w:p>
    <w:tbl>
      <w:tblPr>
        <w:tblStyle w:val="31"/>
        <w:tblW w:w="44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6491"/>
      </w:tblGrid>
      <w:tr w14:paraId="6006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tcBorders>
              <w:top w:val="single" w:color="auto" w:sz="12" w:space="0"/>
              <w:left w:val="single" w:color="auto" w:sz="12" w:space="0"/>
            </w:tcBorders>
            <w:vAlign w:val="center"/>
          </w:tcPr>
          <w:p w14:paraId="0E6CB88E">
            <w:pPr>
              <w:jc w:val="center"/>
              <w:textAlignment w:val="center"/>
              <w:rPr>
                <w:rFonts w:hint="eastAsia" w:ascii="宋体" w:hAnsi="宋体" w:cs="宋体"/>
                <w:b/>
                <w:bCs/>
                <w:color w:val="000000"/>
                <w:kern w:val="0"/>
                <w:lang w:bidi="ar"/>
              </w:rPr>
            </w:pPr>
            <w:r>
              <w:rPr>
                <w:rFonts w:hint="eastAsia" w:ascii="宋体" w:hAnsi="宋体" w:cs="宋体"/>
                <w:b/>
                <w:bCs/>
                <w:color w:val="000000"/>
                <w:kern w:val="0"/>
                <w:lang w:bidi="ar"/>
              </w:rPr>
              <w:t>判定结果</w:t>
            </w:r>
          </w:p>
        </w:tc>
        <w:tc>
          <w:tcPr>
            <w:tcW w:w="3852" w:type="pct"/>
            <w:tcBorders>
              <w:top w:val="single" w:color="auto" w:sz="12" w:space="0"/>
              <w:right w:val="single" w:color="auto" w:sz="12" w:space="0"/>
            </w:tcBorders>
            <w:vAlign w:val="center"/>
          </w:tcPr>
          <w:p w14:paraId="7BF0CD70">
            <w:pPr>
              <w:jc w:val="center"/>
              <w:textAlignment w:val="center"/>
              <w:rPr>
                <w:rFonts w:hint="eastAsia" w:ascii="宋体" w:hAnsi="宋体" w:cs="宋体"/>
                <w:b/>
                <w:bCs/>
                <w:color w:val="000000"/>
                <w:kern w:val="0"/>
                <w:lang w:bidi="ar"/>
              </w:rPr>
            </w:pPr>
            <w:r>
              <w:rPr>
                <w:rFonts w:hint="eastAsia" w:ascii="宋体" w:hAnsi="宋体" w:cs="宋体"/>
                <w:b/>
                <w:bCs/>
                <w:color w:val="000000"/>
                <w:kern w:val="0"/>
                <w:lang w:bidi="ar"/>
              </w:rPr>
              <w:t>处置建议</w:t>
            </w:r>
          </w:p>
        </w:tc>
      </w:tr>
      <w:tr w14:paraId="1C0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tcBorders>
              <w:left w:val="single" w:color="auto" w:sz="12" w:space="0"/>
            </w:tcBorders>
            <w:vAlign w:val="center"/>
          </w:tcPr>
          <w:p w14:paraId="6C0C0EB6">
            <w:pPr>
              <w:jc w:val="center"/>
              <w:textAlignment w:val="center"/>
              <w:rPr>
                <w:rFonts w:hint="eastAsia" w:ascii="宋体" w:hAnsi="宋体" w:cs="宋体"/>
                <w:color w:val="000000"/>
                <w:kern w:val="0"/>
                <w:lang w:bidi="ar"/>
              </w:rPr>
            </w:pPr>
            <w:r>
              <w:rPr>
                <w:rFonts w:hint="eastAsia" w:ascii="宋体" w:hAnsi="宋体" w:cs="宋体"/>
                <w:color w:val="000000"/>
                <w:kern w:val="0"/>
                <w:lang w:bidi="ar"/>
              </w:rPr>
              <w:t>合格</w:t>
            </w:r>
          </w:p>
        </w:tc>
        <w:tc>
          <w:tcPr>
            <w:tcW w:w="3852" w:type="pct"/>
            <w:tcBorders>
              <w:right w:val="single" w:color="auto" w:sz="12" w:space="0"/>
            </w:tcBorders>
            <w:vAlign w:val="center"/>
          </w:tcPr>
          <w:p w14:paraId="259D3B94">
            <w:pPr>
              <w:jc w:val="center"/>
              <w:textAlignment w:val="center"/>
              <w:rPr>
                <w:rFonts w:hint="eastAsia" w:ascii="宋体" w:hAnsi="宋体" w:cs="宋体"/>
                <w:color w:val="000000"/>
                <w:kern w:val="0"/>
                <w:lang w:bidi="ar"/>
              </w:rPr>
            </w:pPr>
            <w:r>
              <w:rPr>
                <w:rFonts w:hint="eastAsia" w:ascii="宋体" w:hAnsi="宋体" w:cs="宋体"/>
                <w:color w:val="000000"/>
                <w:kern w:val="0"/>
                <w:lang w:bidi="ar"/>
              </w:rPr>
              <w:t>正常运行，继续按周期开展环境监测和例行评估</w:t>
            </w:r>
          </w:p>
        </w:tc>
      </w:tr>
      <w:tr w14:paraId="3F3A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tcBorders>
              <w:left w:val="single" w:color="auto" w:sz="12" w:space="0"/>
            </w:tcBorders>
            <w:vAlign w:val="center"/>
          </w:tcPr>
          <w:p w14:paraId="488B90C7">
            <w:pPr>
              <w:jc w:val="center"/>
              <w:textAlignment w:val="center"/>
              <w:rPr>
                <w:rFonts w:hint="eastAsia" w:ascii="宋体" w:hAnsi="宋体" w:cs="宋体"/>
                <w:color w:val="000000"/>
                <w:kern w:val="0"/>
                <w:lang w:bidi="ar"/>
              </w:rPr>
            </w:pPr>
            <w:r>
              <w:rPr>
                <w:rFonts w:hint="eastAsia" w:ascii="宋体" w:hAnsi="宋体" w:cs="宋体"/>
                <w:color w:val="000000"/>
                <w:kern w:val="0"/>
                <w:lang w:bidi="ar"/>
              </w:rPr>
              <w:t>基本合格</w:t>
            </w:r>
          </w:p>
        </w:tc>
        <w:tc>
          <w:tcPr>
            <w:tcW w:w="3852" w:type="pct"/>
            <w:tcBorders>
              <w:right w:val="single" w:color="auto" w:sz="12" w:space="0"/>
            </w:tcBorders>
            <w:vAlign w:val="center"/>
          </w:tcPr>
          <w:p w14:paraId="2D3E0460">
            <w:pPr>
              <w:jc w:val="center"/>
              <w:textAlignment w:val="center"/>
              <w:rPr>
                <w:rFonts w:hint="eastAsia" w:ascii="宋体" w:hAnsi="宋体" w:cs="宋体"/>
                <w:color w:val="000000"/>
                <w:kern w:val="0"/>
                <w:lang w:bidi="ar"/>
              </w:rPr>
            </w:pPr>
            <w:r>
              <w:rPr>
                <w:rFonts w:hint="eastAsia" w:ascii="宋体" w:hAnsi="宋体" w:cs="宋体"/>
                <w:color w:val="000000"/>
                <w:kern w:val="0"/>
                <w:lang w:bidi="ar"/>
              </w:rPr>
              <w:t>限期完成功能单元修复或整改，加强地下水监测与模拟验证</w:t>
            </w:r>
          </w:p>
        </w:tc>
      </w:tr>
      <w:tr w14:paraId="1EBD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tcBorders>
              <w:left w:val="single" w:color="auto" w:sz="12" w:space="0"/>
              <w:bottom w:val="single" w:color="auto" w:sz="12" w:space="0"/>
            </w:tcBorders>
            <w:vAlign w:val="center"/>
          </w:tcPr>
          <w:p w14:paraId="48441D8B">
            <w:pPr>
              <w:jc w:val="center"/>
              <w:textAlignment w:val="center"/>
              <w:rPr>
                <w:rFonts w:hint="eastAsia" w:ascii="宋体" w:hAnsi="宋体" w:cs="宋体"/>
                <w:color w:val="000000"/>
                <w:kern w:val="0"/>
                <w:lang w:bidi="ar"/>
              </w:rPr>
            </w:pPr>
            <w:r>
              <w:rPr>
                <w:rFonts w:hint="eastAsia" w:ascii="宋体" w:hAnsi="宋体" w:cs="宋体"/>
                <w:color w:val="000000"/>
                <w:kern w:val="0"/>
                <w:lang w:bidi="ar"/>
              </w:rPr>
              <w:t>不合格</w:t>
            </w:r>
          </w:p>
        </w:tc>
        <w:tc>
          <w:tcPr>
            <w:tcW w:w="3852" w:type="pct"/>
            <w:tcBorders>
              <w:bottom w:val="single" w:color="auto" w:sz="12" w:space="0"/>
              <w:right w:val="single" w:color="auto" w:sz="12" w:space="0"/>
            </w:tcBorders>
            <w:vAlign w:val="center"/>
          </w:tcPr>
          <w:p w14:paraId="782E2E91">
            <w:pPr>
              <w:jc w:val="center"/>
              <w:textAlignment w:val="center"/>
              <w:rPr>
                <w:rFonts w:hint="eastAsia" w:ascii="宋体" w:hAnsi="宋体" w:cs="宋体"/>
                <w:color w:val="000000"/>
                <w:kern w:val="0"/>
                <w:lang w:bidi="ar"/>
              </w:rPr>
            </w:pPr>
            <w:r>
              <w:rPr>
                <w:rFonts w:hint="eastAsia" w:ascii="宋体" w:hAnsi="宋体" w:cs="宋体"/>
                <w:color w:val="000000"/>
                <w:kern w:val="0"/>
                <w:lang w:bidi="ar"/>
              </w:rPr>
              <w:t>停止填埋作业，启动污染阻断或修复工程，必要时进行分区封场或永久停用</w:t>
            </w:r>
          </w:p>
        </w:tc>
      </w:tr>
      <w:bookmarkEnd w:id="130"/>
    </w:tbl>
    <w:p w14:paraId="61F41843">
      <w:pPr>
        <w:pStyle w:val="109"/>
        <w:spacing w:before="240" w:after="240"/>
      </w:pPr>
      <w:bookmarkStart w:id="133" w:name="_Toc12939"/>
      <w:bookmarkStart w:id="134" w:name="_Toc14345"/>
      <w:bookmarkStart w:id="135" w:name="_Toc31112"/>
      <w:r>
        <w:rPr>
          <w:rFonts w:hint="eastAsia"/>
        </w:rPr>
        <w:t>报告编制</w:t>
      </w:r>
      <w:bookmarkEnd w:id="133"/>
      <w:bookmarkEnd w:id="134"/>
      <w:bookmarkEnd w:id="135"/>
    </w:p>
    <w:p w14:paraId="6C53B86D">
      <w:pPr>
        <w:pStyle w:val="61"/>
        <w:ind w:firstLine="420"/>
        <w:rPr>
          <w:rFonts w:ascii="Times New Roman"/>
        </w:rPr>
      </w:pPr>
      <w:r>
        <w:rPr>
          <w:rFonts w:hint="eastAsia" w:ascii="Times New Roman"/>
        </w:rPr>
        <w:t>评估报告应包括以下内容：填埋场概况（基本信息、历史运行情况、生态环境背景）；调查和监测方案；现有环境安全性能评估资料分析；检测和评估方法；主要功能单元性能评估（覆盖层、导排层、固化效果、防渗层）；地下水污染状况评估；整体环境安全性能评估（渗滤液产生和渗漏控制、污染阻隔控制）；结论及建议。（详见附录D）</w:t>
      </w:r>
    </w:p>
    <w:p w14:paraId="62D711A0">
      <w:pPr>
        <w:pStyle w:val="109"/>
        <w:spacing w:before="240" w:after="240"/>
      </w:pPr>
      <w:bookmarkStart w:id="136" w:name="_Toc193"/>
      <w:bookmarkStart w:id="137" w:name="_Toc19198"/>
      <w:bookmarkStart w:id="138" w:name="_Toc20752"/>
      <w:r>
        <w:rPr>
          <w:rFonts w:hint="eastAsia"/>
        </w:rPr>
        <w:t>监督管理</w:t>
      </w:r>
      <w:bookmarkEnd w:id="136"/>
      <w:bookmarkEnd w:id="137"/>
      <w:bookmarkEnd w:id="138"/>
    </w:p>
    <w:p w14:paraId="6FCC13D8">
      <w:pPr>
        <w:pStyle w:val="61"/>
        <w:ind w:firstLine="420"/>
        <w:rPr>
          <w:rFonts w:ascii="Times New Roman"/>
        </w:rPr>
      </w:pPr>
      <w:r>
        <w:rPr>
          <w:rFonts w:ascii="Times New Roman"/>
        </w:rPr>
        <w:t>地方生态环境主管部门应加强对危险废物填埋场环境安全性能评估工作的监督管理，定期检查评估工作的实施情况，并对评估结果进行审查。对未按要求开展评估或评估结果不达标的填埋场，应责令限期整改并依法处理。</w:t>
      </w:r>
    </w:p>
    <w:p w14:paraId="032234D1">
      <w:pPr>
        <w:pStyle w:val="61"/>
        <w:ind w:firstLine="0" w:firstLineChars="0"/>
      </w:pPr>
    </w:p>
    <w:p w14:paraId="5250E667">
      <w:pPr>
        <w:pStyle w:val="61"/>
        <w:ind w:firstLine="420"/>
      </w:pPr>
    </w:p>
    <w:p w14:paraId="04A3EB45">
      <w:pPr>
        <w:pStyle w:val="61"/>
        <w:ind w:firstLine="420"/>
        <w:sectPr>
          <w:headerReference r:id="rId17" w:type="default"/>
          <w:footerReference r:id="rId19" w:type="default"/>
          <w:headerReference r:id="rId18" w:type="even"/>
          <w:footerReference r:id="rId20" w:type="even"/>
          <w:pgSz w:w="11906" w:h="16838"/>
          <w:pgMar w:top="2410" w:right="1134" w:bottom="1134" w:left="1134" w:header="1418" w:footer="1134" w:gutter="284"/>
          <w:pgNumType w:start="1"/>
          <w:cols w:space="425" w:num="1"/>
          <w:formProt w:val="0"/>
          <w:docGrid w:linePitch="312" w:charSpace="0"/>
        </w:sectPr>
      </w:pPr>
    </w:p>
    <w:bookmarkEnd w:id="26"/>
    <w:p w14:paraId="1F856520">
      <w:pPr>
        <w:pStyle w:val="203"/>
        <w:rPr>
          <w:rFonts w:hint="eastAsia"/>
          <w:vanish w:val="0"/>
        </w:rPr>
      </w:pPr>
      <w:bookmarkStart w:id="139" w:name="BookMark5"/>
    </w:p>
    <w:p w14:paraId="5B8532CC">
      <w:pPr>
        <w:pStyle w:val="204"/>
        <w:rPr>
          <w:vanish w:val="0"/>
        </w:rPr>
      </w:pPr>
    </w:p>
    <w:p w14:paraId="1FFAA277">
      <w:pPr>
        <w:pStyle w:val="81"/>
        <w:numPr>
          <w:ilvl w:val="0"/>
          <w:numId w:val="0"/>
        </w:numPr>
        <w:spacing w:before="60" w:after="120"/>
      </w:pPr>
      <w:bookmarkStart w:id="140" w:name="_Toc14075"/>
      <w:bookmarkStart w:id="141" w:name="_Toc30212"/>
      <w:bookmarkStart w:id="142" w:name="_Toc2629"/>
      <w:r>
        <w:rPr>
          <w:rFonts w:hint="eastAsia"/>
          <w:spacing w:val="100"/>
          <w:lang w:val="en-US" w:eastAsia="zh-CN"/>
        </w:rPr>
        <w:t xml:space="preserve">                                                     </w:t>
      </w:r>
      <w:r>
        <w:rPr>
          <w:rFonts w:hint="eastAsia"/>
          <w:spacing w:val="100"/>
        </w:rPr>
        <w:t>附录A</w:t>
      </w:r>
      <w:r>
        <w:br w:type="textWrapping"/>
      </w:r>
      <w:r>
        <w:rPr>
          <w:rFonts w:hint="eastAsia"/>
        </w:rPr>
        <w:t>（规范性）</w:t>
      </w:r>
      <w:r>
        <w:br w:type="textWrapping"/>
      </w:r>
      <w:r>
        <w:rPr>
          <w:rFonts w:hint="eastAsia"/>
        </w:rPr>
        <w:t>危废填埋场环境安全性能评估项目工作方案</w:t>
      </w:r>
      <w:bookmarkEnd w:id="140"/>
      <w:bookmarkEnd w:id="141"/>
      <w:bookmarkEnd w:id="142"/>
    </w:p>
    <w:p w14:paraId="6D376759">
      <w:pPr>
        <w:pStyle w:val="61"/>
        <w:ind w:firstLine="420"/>
        <w:rPr>
          <w:rFonts w:ascii="Times New Roman"/>
        </w:rPr>
      </w:pPr>
      <w:r>
        <w:rPr>
          <w:rFonts w:hint="eastAsia" w:ascii="Times New Roman"/>
        </w:rPr>
        <w:t>一、</w:t>
      </w:r>
      <w:r>
        <w:rPr>
          <w:rFonts w:ascii="Times New Roman"/>
        </w:rPr>
        <w:t>项目概况</w:t>
      </w:r>
    </w:p>
    <w:p w14:paraId="0184C369">
      <w:pPr>
        <w:pStyle w:val="61"/>
        <w:ind w:firstLine="420"/>
        <w:rPr>
          <w:rFonts w:ascii="Times New Roman"/>
        </w:rPr>
      </w:pPr>
      <w:r>
        <w:rPr>
          <w:rFonts w:ascii="Times New Roman"/>
        </w:rPr>
        <w:t>（一）填埋场概况</w:t>
      </w:r>
    </w:p>
    <w:p w14:paraId="5D495335">
      <w:pPr>
        <w:pStyle w:val="61"/>
        <w:ind w:firstLine="420"/>
        <w:rPr>
          <w:rFonts w:ascii="Times New Roman"/>
        </w:rPr>
      </w:pPr>
      <w:r>
        <w:rPr>
          <w:rFonts w:ascii="Times New Roman"/>
        </w:rPr>
        <w:t>填埋场所属单位、地址、库容和年处置规模、运行时间等。</w:t>
      </w:r>
    </w:p>
    <w:p w14:paraId="6109FDB5">
      <w:pPr>
        <w:pStyle w:val="61"/>
        <w:ind w:firstLine="420"/>
        <w:rPr>
          <w:rFonts w:ascii="Times New Roman"/>
        </w:rPr>
      </w:pPr>
      <w:r>
        <w:rPr>
          <w:rFonts w:ascii="Times New Roman"/>
        </w:rPr>
        <w:t>（二）评估工作由来</w:t>
      </w:r>
    </w:p>
    <w:p w14:paraId="5756EBCF">
      <w:pPr>
        <w:pStyle w:val="61"/>
        <w:ind w:firstLine="420"/>
        <w:rPr>
          <w:rFonts w:ascii="Times New Roman"/>
        </w:rPr>
      </w:pPr>
      <w:r>
        <w:rPr>
          <w:rFonts w:ascii="Times New Roman"/>
        </w:rPr>
        <w:t>一般包括2种情况：一是按照国家标准定期开展的评估；二是出现问题要开展评估。说明委托情况，包括接受委托的时间及评估工作开展的时间。</w:t>
      </w:r>
    </w:p>
    <w:p w14:paraId="3CA142FC">
      <w:pPr>
        <w:pStyle w:val="61"/>
        <w:ind w:firstLine="420"/>
        <w:rPr>
          <w:rFonts w:ascii="Times New Roman"/>
        </w:rPr>
      </w:pPr>
      <w:r>
        <w:rPr>
          <w:rFonts w:ascii="Times New Roman"/>
        </w:rPr>
        <w:t>（三）工作目标</w:t>
      </w:r>
    </w:p>
    <w:p w14:paraId="11938EC6">
      <w:pPr>
        <w:pStyle w:val="61"/>
        <w:ind w:firstLine="420"/>
        <w:rPr>
          <w:rFonts w:ascii="Times New Roman"/>
        </w:rPr>
      </w:pPr>
      <w:r>
        <w:rPr>
          <w:rFonts w:ascii="Times New Roman"/>
        </w:rPr>
        <w:t>根据相关标准和规范，收集渗滤液水位、渗滤液量、组分浓度、渗漏层渗漏量、地下水监测、防渗层完整性等数据；依据数据评估填埋场主要单元（覆盖层、固化稳定化措施、防渗层、导排系统、地下水污染等）的性能。若存在明显问题，使用模型对整体环境安全性能进行评估，根据评估结果决定是否对填埋场后续运行计划进行修订以及采取必要的应急处置措施。</w:t>
      </w:r>
    </w:p>
    <w:p w14:paraId="64D8F182">
      <w:pPr>
        <w:pStyle w:val="61"/>
        <w:ind w:firstLine="420"/>
        <w:rPr>
          <w:rFonts w:ascii="Times New Roman"/>
        </w:rPr>
      </w:pPr>
      <w:r>
        <w:rPr>
          <w:rFonts w:ascii="Times New Roman"/>
        </w:rPr>
        <w:t>（四）编制依据</w:t>
      </w:r>
    </w:p>
    <w:p w14:paraId="71B5EF2D">
      <w:pPr>
        <w:pStyle w:val="61"/>
        <w:ind w:firstLine="420"/>
        <w:rPr>
          <w:rFonts w:ascii="Times New Roman"/>
        </w:rPr>
      </w:pPr>
      <w:r>
        <w:rPr>
          <w:rFonts w:hint="eastAsia" w:ascii="Times New Roman"/>
        </w:rPr>
        <w:t>二、</w:t>
      </w:r>
      <w:r>
        <w:rPr>
          <w:rFonts w:ascii="Times New Roman"/>
        </w:rPr>
        <w:t>工程建设和运行概况</w:t>
      </w:r>
    </w:p>
    <w:p w14:paraId="6BA58137">
      <w:pPr>
        <w:pStyle w:val="61"/>
        <w:ind w:firstLine="420"/>
        <w:rPr>
          <w:rFonts w:ascii="Times New Roman"/>
        </w:rPr>
      </w:pPr>
      <w:r>
        <w:rPr>
          <w:rFonts w:ascii="Times New Roman"/>
        </w:rPr>
        <w:t>（一）区域气象气候</w:t>
      </w:r>
    </w:p>
    <w:p w14:paraId="475AFC2A">
      <w:pPr>
        <w:pStyle w:val="61"/>
        <w:ind w:firstLine="420"/>
        <w:rPr>
          <w:rFonts w:ascii="Times New Roman"/>
        </w:rPr>
      </w:pPr>
      <w:r>
        <w:rPr>
          <w:rFonts w:ascii="Times New Roman"/>
        </w:rPr>
        <w:t>（二）场地水文地质</w:t>
      </w:r>
    </w:p>
    <w:p w14:paraId="0888A15E">
      <w:pPr>
        <w:pStyle w:val="61"/>
        <w:ind w:firstLine="420"/>
        <w:rPr>
          <w:rFonts w:ascii="Times New Roman"/>
        </w:rPr>
      </w:pPr>
      <w:r>
        <w:rPr>
          <w:rFonts w:ascii="Times New Roman"/>
        </w:rPr>
        <w:t>（三）填埋场规模和经营范围</w:t>
      </w:r>
    </w:p>
    <w:p w14:paraId="7CA338E9">
      <w:pPr>
        <w:pStyle w:val="61"/>
        <w:ind w:firstLine="420"/>
        <w:rPr>
          <w:rFonts w:ascii="Times New Roman"/>
        </w:rPr>
      </w:pPr>
      <w:r>
        <w:rPr>
          <w:rFonts w:ascii="Times New Roman"/>
        </w:rPr>
        <w:t>（四）填埋场设计情况</w:t>
      </w:r>
    </w:p>
    <w:p w14:paraId="1CCB3177">
      <w:pPr>
        <w:pStyle w:val="61"/>
        <w:ind w:firstLine="420"/>
        <w:rPr>
          <w:rFonts w:ascii="Times New Roman"/>
        </w:rPr>
      </w:pPr>
      <w:r>
        <w:rPr>
          <w:rFonts w:ascii="Times New Roman"/>
        </w:rPr>
        <w:t>（五）</w:t>
      </w:r>
      <w:r>
        <w:rPr>
          <w:rFonts w:hint="eastAsia" w:ascii="Times New Roman"/>
        </w:rPr>
        <w:t>历史环境事件及应用情况</w:t>
      </w:r>
    </w:p>
    <w:p w14:paraId="3A356E95">
      <w:pPr>
        <w:pStyle w:val="61"/>
        <w:ind w:firstLine="420"/>
        <w:rPr>
          <w:rFonts w:ascii="Times New Roman"/>
        </w:rPr>
      </w:pPr>
      <w:r>
        <w:rPr>
          <w:rFonts w:ascii="Times New Roman"/>
        </w:rPr>
        <w:t>（</w:t>
      </w:r>
      <w:r>
        <w:rPr>
          <w:rFonts w:hint="eastAsia" w:ascii="Times New Roman"/>
        </w:rPr>
        <w:t>六</w:t>
      </w:r>
      <w:r>
        <w:rPr>
          <w:rFonts w:ascii="Times New Roman"/>
        </w:rPr>
        <w:t>）填埋场监测方案及执行情况</w:t>
      </w:r>
    </w:p>
    <w:p w14:paraId="2EE0277E">
      <w:pPr>
        <w:pStyle w:val="61"/>
        <w:ind w:firstLine="420"/>
        <w:rPr>
          <w:rFonts w:ascii="Times New Roman"/>
        </w:rPr>
      </w:pPr>
      <w:r>
        <w:rPr>
          <w:rFonts w:hint="eastAsia" w:ascii="Times New Roman"/>
        </w:rPr>
        <w:t>三、</w:t>
      </w:r>
      <w:r>
        <w:rPr>
          <w:rFonts w:ascii="Times New Roman"/>
        </w:rPr>
        <w:t>总体思路和工作内容</w:t>
      </w:r>
    </w:p>
    <w:p w14:paraId="6857CCAF">
      <w:pPr>
        <w:pStyle w:val="61"/>
        <w:ind w:firstLine="420"/>
        <w:rPr>
          <w:rFonts w:ascii="Times New Roman"/>
        </w:rPr>
      </w:pPr>
      <w:r>
        <w:rPr>
          <w:rFonts w:ascii="Times New Roman"/>
        </w:rPr>
        <w:t>（一）总体思路</w:t>
      </w:r>
    </w:p>
    <w:p w14:paraId="0B545375">
      <w:pPr>
        <w:pStyle w:val="61"/>
        <w:ind w:firstLine="420"/>
        <w:rPr>
          <w:rFonts w:ascii="Times New Roman"/>
        </w:rPr>
      </w:pPr>
      <w:r>
        <w:rPr>
          <w:rFonts w:ascii="Times New Roman"/>
        </w:rPr>
        <w:t>初步调查，评估设计合理性；获取监测数据；基于数据评估功能单元性能；如符合要求，终止评估；不符合则进一步评估整体风险；提出整改措施。对可立行整改的问题立即修复，其他问题根据风险判断进行整改或暂时封场。</w:t>
      </w:r>
    </w:p>
    <w:p w14:paraId="3D1268F9">
      <w:pPr>
        <w:pStyle w:val="61"/>
        <w:ind w:firstLine="420"/>
        <w:rPr>
          <w:rFonts w:ascii="Times New Roman"/>
        </w:rPr>
      </w:pPr>
      <w:r>
        <w:rPr>
          <w:rFonts w:ascii="Times New Roman"/>
        </w:rPr>
        <w:t>（二）工作内容</w:t>
      </w:r>
    </w:p>
    <w:p w14:paraId="0651FE83">
      <w:pPr>
        <w:pStyle w:val="61"/>
        <w:ind w:firstLine="420"/>
        <w:rPr>
          <w:rFonts w:ascii="Times New Roman"/>
        </w:rPr>
      </w:pPr>
      <w:r>
        <w:rPr>
          <w:rFonts w:ascii="Times New Roman"/>
        </w:rPr>
        <w:t>（1）填埋场设计合理性分析</w:t>
      </w:r>
    </w:p>
    <w:p w14:paraId="129DAA34">
      <w:pPr>
        <w:pStyle w:val="61"/>
        <w:ind w:firstLine="420"/>
        <w:rPr>
          <w:rFonts w:ascii="Times New Roman"/>
        </w:rPr>
      </w:pPr>
      <w:r>
        <w:rPr>
          <w:rFonts w:ascii="Times New Roman"/>
        </w:rPr>
        <w:t>（2）填埋场监测数据获取：调查获取渗滤液水位、渗滤液产生量、渗滤液组分和浓度、渗漏检测层渗漏量、地下水监测、防渗层完整性检测结果等监测数据</w:t>
      </w:r>
    </w:p>
    <w:p w14:paraId="459752B9">
      <w:pPr>
        <w:pStyle w:val="61"/>
        <w:ind w:firstLine="420"/>
        <w:rPr>
          <w:rFonts w:ascii="Times New Roman"/>
        </w:rPr>
      </w:pPr>
      <w:r>
        <w:rPr>
          <w:rFonts w:ascii="Times New Roman"/>
        </w:rPr>
        <w:t>（3）填埋场主要功能单元性能评估。</w:t>
      </w:r>
    </w:p>
    <w:p w14:paraId="594D6822">
      <w:pPr>
        <w:pStyle w:val="61"/>
        <w:ind w:firstLine="420"/>
        <w:rPr>
          <w:rFonts w:ascii="Times New Roman"/>
        </w:rPr>
      </w:pPr>
      <w:r>
        <w:rPr>
          <w:rFonts w:ascii="Times New Roman"/>
        </w:rPr>
        <w:t>根据渗滤液产生量：评估覆盖层效果；</w:t>
      </w:r>
    </w:p>
    <w:p w14:paraId="09A0D3E5">
      <w:pPr>
        <w:pStyle w:val="61"/>
        <w:ind w:firstLine="420"/>
        <w:rPr>
          <w:rFonts w:ascii="Times New Roman"/>
        </w:rPr>
      </w:pPr>
      <w:r>
        <w:rPr>
          <w:rFonts w:ascii="Times New Roman"/>
        </w:rPr>
        <w:t>根据渗滤液水位：评估导排层效果；</w:t>
      </w:r>
    </w:p>
    <w:p w14:paraId="79EDAF1C">
      <w:pPr>
        <w:pStyle w:val="61"/>
        <w:ind w:firstLine="420"/>
        <w:rPr>
          <w:rFonts w:ascii="Times New Roman"/>
        </w:rPr>
      </w:pPr>
      <w:r>
        <w:rPr>
          <w:rFonts w:ascii="Times New Roman"/>
        </w:rPr>
        <w:t>根据渗滤液组分和浓度：评估固化效果；</w:t>
      </w:r>
    </w:p>
    <w:p w14:paraId="2E63CAD8">
      <w:pPr>
        <w:pStyle w:val="61"/>
        <w:ind w:firstLine="420"/>
        <w:rPr>
          <w:rFonts w:ascii="Times New Roman"/>
        </w:rPr>
      </w:pPr>
      <w:r>
        <w:rPr>
          <w:rFonts w:ascii="Times New Roman"/>
        </w:rPr>
        <w:t>根据渗漏检测层渗漏量和防渗层完整性检测结果：评估防渗层完整性；</w:t>
      </w:r>
    </w:p>
    <w:p w14:paraId="45699C1B">
      <w:pPr>
        <w:pStyle w:val="61"/>
        <w:ind w:firstLine="420"/>
        <w:rPr>
          <w:rFonts w:ascii="Times New Roman"/>
        </w:rPr>
      </w:pPr>
      <w:r>
        <w:rPr>
          <w:rFonts w:ascii="Times New Roman"/>
        </w:rPr>
        <w:t>根据地下水监测数据：评估实际渗漏污染情况。</w:t>
      </w:r>
    </w:p>
    <w:p w14:paraId="7F969744">
      <w:pPr>
        <w:pStyle w:val="61"/>
        <w:ind w:firstLine="420"/>
        <w:rPr>
          <w:rFonts w:ascii="Times New Roman"/>
        </w:rPr>
      </w:pPr>
      <w:r>
        <w:rPr>
          <w:rFonts w:ascii="Times New Roman"/>
        </w:rPr>
        <w:t>（4）填埋场整体性能评估</w:t>
      </w:r>
    </w:p>
    <w:p w14:paraId="4F35F547">
      <w:pPr>
        <w:pStyle w:val="61"/>
        <w:ind w:firstLine="420"/>
        <w:rPr>
          <w:rFonts w:ascii="Times New Roman"/>
        </w:rPr>
      </w:pPr>
      <w:r>
        <w:rPr>
          <w:rFonts w:ascii="Times New Roman"/>
        </w:rPr>
        <w:t>（5）整改对策和建议</w:t>
      </w:r>
    </w:p>
    <w:p w14:paraId="640F7C15">
      <w:pPr>
        <w:pStyle w:val="61"/>
        <w:ind w:firstLine="420"/>
        <w:rPr>
          <w:rFonts w:ascii="Times New Roman"/>
        </w:rPr>
      </w:pPr>
      <w:r>
        <w:rPr>
          <w:rFonts w:hint="eastAsia" w:ascii="Times New Roman"/>
        </w:rPr>
        <w:t>四、</w:t>
      </w:r>
      <w:r>
        <w:rPr>
          <w:rFonts w:ascii="Times New Roman"/>
        </w:rPr>
        <w:t>检测和评估方法</w:t>
      </w:r>
    </w:p>
    <w:p w14:paraId="411822EC">
      <w:pPr>
        <w:pStyle w:val="61"/>
        <w:ind w:firstLine="420"/>
        <w:rPr>
          <w:rFonts w:ascii="Times New Roman"/>
        </w:rPr>
      </w:pPr>
      <w:r>
        <w:rPr>
          <w:rFonts w:ascii="Times New Roman"/>
        </w:rPr>
        <w:t>（一）填埋场设计合理性分析</w:t>
      </w:r>
    </w:p>
    <w:p w14:paraId="560083C9">
      <w:pPr>
        <w:pStyle w:val="61"/>
        <w:ind w:firstLine="420"/>
        <w:rPr>
          <w:rFonts w:ascii="Times New Roman"/>
        </w:rPr>
      </w:pPr>
      <w:r>
        <w:rPr>
          <w:rFonts w:ascii="Times New Roman"/>
        </w:rPr>
        <w:t>（二）填埋场监测数据获取：</w:t>
      </w:r>
    </w:p>
    <w:p w14:paraId="6CCC9DDE">
      <w:pPr>
        <w:pStyle w:val="61"/>
        <w:ind w:firstLine="420"/>
        <w:rPr>
          <w:rFonts w:ascii="Times New Roman"/>
        </w:rPr>
      </w:pPr>
      <w:r>
        <w:rPr>
          <w:rFonts w:ascii="Times New Roman"/>
        </w:rPr>
        <w:t>（三）填埋场主要功能单元性能评估</w:t>
      </w:r>
    </w:p>
    <w:p w14:paraId="00D1446A">
      <w:pPr>
        <w:pStyle w:val="61"/>
        <w:ind w:firstLine="420"/>
        <w:rPr>
          <w:rFonts w:ascii="Times New Roman"/>
        </w:rPr>
      </w:pPr>
      <w:r>
        <w:rPr>
          <w:rFonts w:ascii="Times New Roman"/>
        </w:rPr>
        <w:t>（四）填埋场整体</w:t>
      </w:r>
      <w:bookmarkStart w:id="167" w:name="_GoBack"/>
      <w:bookmarkEnd w:id="167"/>
      <w:r>
        <w:rPr>
          <w:rFonts w:ascii="Times New Roman"/>
        </w:rPr>
        <w:t>性能评估</w:t>
      </w:r>
    </w:p>
    <w:p w14:paraId="773A463C">
      <w:pPr>
        <w:pStyle w:val="61"/>
        <w:ind w:firstLine="420"/>
        <w:rPr>
          <w:rFonts w:ascii="Times New Roman"/>
        </w:rPr>
        <w:sectPr>
          <w:headerReference r:id="rId21" w:type="default"/>
          <w:footerReference r:id="rId23" w:type="default"/>
          <w:headerReference r:id="rId22" w:type="even"/>
          <w:footerReference r:id="rId24" w:type="even"/>
          <w:pgSz w:w="11906" w:h="16838"/>
          <w:pgMar w:top="2410" w:right="1134" w:bottom="1134" w:left="1134" w:header="1418" w:footer="1134" w:gutter="284"/>
          <w:cols w:space="425" w:num="1"/>
          <w:formProt w:val="0"/>
          <w:docGrid w:linePitch="312" w:charSpace="0"/>
        </w:sectPr>
      </w:pPr>
      <w:r>
        <w:rPr>
          <w:rFonts w:ascii="Times New Roman"/>
        </w:rPr>
        <w:t>（五）整改方案编制</w:t>
      </w:r>
      <w:r>
        <w:rPr>
          <w:rFonts w:hint="eastAsia" w:ascii="Times New Roman"/>
        </w:rPr>
        <w:t xml:space="preserve">  </w:t>
      </w:r>
    </w:p>
    <w:p w14:paraId="11A560B0">
      <w:pPr>
        <w:pStyle w:val="203"/>
        <w:rPr>
          <w:rFonts w:hint="eastAsia"/>
          <w:vanish w:val="0"/>
        </w:rPr>
      </w:pPr>
    </w:p>
    <w:p w14:paraId="107B0CBE">
      <w:pPr>
        <w:pStyle w:val="204"/>
        <w:rPr>
          <w:vanish w:val="0"/>
        </w:rPr>
      </w:pPr>
    </w:p>
    <w:p w14:paraId="5BA48F77">
      <w:pPr>
        <w:pStyle w:val="81"/>
        <w:numPr>
          <w:ilvl w:val="0"/>
          <w:numId w:val="0"/>
        </w:numPr>
        <w:spacing w:before="60" w:after="120"/>
      </w:pPr>
      <w:bookmarkStart w:id="143" w:name="_Toc10376"/>
      <w:bookmarkStart w:id="144" w:name="_Toc28268"/>
      <w:bookmarkStart w:id="145" w:name="_Toc4556"/>
      <w:r>
        <w:rPr>
          <w:rFonts w:hint="eastAsia"/>
          <w:spacing w:val="100"/>
        </w:rPr>
        <w:t xml:space="preserve">附录B  </w:t>
      </w:r>
      <w:r>
        <w:br w:type="textWrapping"/>
      </w:r>
      <w:r>
        <w:rPr>
          <w:rFonts w:hint="eastAsia"/>
        </w:rPr>
        <w:t>渗滤液采样核实记录表</w:t>
      </w:r>
      <w:bookmarkEnd w:id="143"/>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82"/>
        <w:gridCol w:w="1333"/>
        <w:gridCol w:w="1334"/>
        <w:gridCol w:w="907"/>
        <w:gridCol w:w="907"/>
        <w:gridCol w:w="1758"/>
        <w:gridCol w:w="4363"/>
        <w:gridCol w:w="1120"/>
        <w:gridCol w:w="1120"/>
      </w:tblGrid>
      <w:tr w14:paraId="589E8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181" w:type="pct"/>
            <w:tcBorders>
              <w:tl2br w:val="nil"/>
              <w:tr2bl w:val="nil"/>
            </w:tcBorders>
            <w:shd w:val="clear" w:color="auto" w:fill="FFFFFF"/>
            <w:vAlign w:val="center"/>
          </w:tcPr>
          <w:p w14:paraId="5320BC25">
            <w:pPr>
              <w:jc w:val="center"/>
              <w:rPr>
                <w:rFonts w:ascii="Times New Roman" w:hAnsi="Times New Roman"/>
                <w:b/>
                <w:bCs/>
                <w:color w:val="000000"/>
              </w:rPr>
            </w:pPr>
            <w:r>
              <w:rPr>
                <w:rFonts w:ascii="Times New Roman" w:hAnsi="Times New Roman"/>
                <w:spacing w:val="100"/>
              </w:rPr>
              <w:br w:type="page"/>
            </w:r>
            <w:r>
              <w:rPr>
                <w:rFonts w:ascii="Times New Roman" w:hAnsi="Times New Roman"/>
                <w:b/>
                <w:bCs/>
                <w:color w:val="000000"/>
                <w:kern w:val="0"/>
                <w:lang w:bidi="ar"/>
              </w:rPr>
              <w:t>序号</w:t>
            </w:r>
          </w:p>
        </w:tc>
        <w:tc>
          <w:tcPr>
            <w:tcW w:w="500" w:type="pct"/>
            <w:tcBorders>
              <w:tl2br w:val="nil"/>
              <w:tr2bl w:val="nil"/>
            </w:tcBorders>
            <w:shd w:val="clear" w:color="auto" w:fill="FFFFFF"/>
            <w:vAlign w:val="center"/>
          </w:tcPr>
          <w:p w14:paraId="29DEB135">
            <w:pPr>
              <w:widowControl/>
              <w:jc w:val="center"/>
              <w:rPr>
                <w:rFonts w:ascii="Times New Roman" w:hAnsi="Times New Roman"/>
                <w:b/>
                <w:bCs/>
                <w:color w:val="000000"/>
              </w:rPr>
            </w:pPr>
            <w:r>
              <w:rPr>
                <w:rFonts w:ascii="Times New Roman" w:hAnsi="Times New Roman"/>
                <w:b/>
                <w:bCs/>
                <w:color w:val="000000"/>
                <w:kern w:val="0"/>
                <w:lang w:bidi="ar"/>
              </w:rPr>
              <w:t>填埋单元名称</w:t>
            </w:r>
          </w:p>
        </w:tc>
        <w:tc>
          <w:tcPr>
            <w:tcW w:w="500" w:type="pct"/>
            <w:tcBorders>
              <w:tl2br w:val="nil"/>
              <w:tr2bl w:val="nil"/>
            </w:tcBorders>
            <w:shd w:val="clear" w:color="auto" w:fill="FFFFFF"/>
            <w:vAlign w:val="center"/>
          </w:tcPr>
          <w:p w14:paraId="5F4108F5">
            <w:pPr>
              <w:widowControl/>
              <w:jc w:val="center"/>
              <w:rPr>
                <w:rFonts w:ascii="Times New Roman" w:hAnsi="Times New Roman"/>
                <w:b/>
                <w:bCs/>
                <w:color w:val="000000"/>
              </w:rPr>
            </w:pPr>
            <w:r>
              <w:rPr>
                <w:rFonts w:ascii="Times New Roman" w:hAnsi="Times New Roman"/>
                <w:b/>
                <w:bCs/>
                <w:color w:val="000000"/>
                <w:kern w:val="0"/>
                <w:lang w:bidi="ar"/>
              </w:rPr>
              <w:t>采样点位编号</w:t>
            </w:r>
          </w:p>
        </w:tc>
        <w:tc>
          <w:tcPr>
            <w:tcW w:w="340" w:type="pct"/>
            <w:tcBorders>
              <w:tl2br w:val="nil"/>
              <w:tr2bl w:val="nil"/>
            </w:tcBorders>
            <w:shd w:val="clear" w:color="auto" w:fill="FFFFFF"/>
            <w:vAlign w:val="center"/>
          </w:tcPr>
          <w:p w14:paraId="5D017C83">
            <w:pPr>
              <w:widowControl/>
              <w:jc w:val="center"/>
              <w:rPr>
                <w:rFonts w:ascii="Times New Roman" w:hAnsi="Times New Roman"/>
                <w:b/>
                <w:bCs/>
                <w:color w:val="000000"/>
              </w:rPr>
            </w:pPr>
            <w:r>
              <w:rPr>
                <w:rFonts w:ascii="Times New Roman" w:hAnsi="Times New Roman"/>
                <w:b/>
                <w:bCs/>
                <w:color w:val="000000"/>
                <w:kern w:val="0"/>
                <w:lang w:bidi="ar"/>
              </w:rPr>
              <w:t>采样日期</w:t>
            </w:r>
          </w:p>
        </w:tc>
        <w:tc>
          <w:tcPr>
            <w:tcW w:w="340" w:type="pct"/>
            <w:tcBorders>
              <w:tl2br w:val="nil"/>
              <w:tr2bl w:val="nil"/>
            </w:tcBorders>
            <w:shd w:val="clear" w:color="auto" w:fill="FFFFFF"/>
            <w:vAlign w:val="center"/>
          </w:tcPr>
          <w:p w14:paraId="1D12A1CE">
            <w:pPr>
              <w:widowControl/>
              <w:jc w:val="center"/>
              <w:rPr>
                <w:rFonts w:ascii="Times New Roman" w:hAnsi="Times New Roman"/>
                <w:b/>
                <w:bCs/>
                <w:color w:val="000000"/>
              </w:rPr>
            </w:pPr>
            <w:r>
              <w:rPr>
                <w:rFonts w:ascii="Times New Roman" w:hAnsi="Times New Roman"/>
                <w:b/>
                <w:bCs/>
                <w:color w:val="000000"/>
                <w:kern w:val="0"/>
                <w:lang w:bidi="ar"/>
              </w:rPr>
              <w:t>采样时间</w:t>
            </w:r>
          </w:p>
        </w:tc>
        <w:tc>
          <w:tcPr>
            <w:tcW w:w="659" w:type="pct"/>
            <w:tcBorders>
              <w:tl2br w:val="nil"/>
              <w:tr2bl w:val="nil"/>
            </w:tcBorders>
            <w:shd w:val="clear" w:color="auto" w:fill="FFFFFF"/>
            <w:vAlign w:val="center"/>
          </w:tcPr>
          <w:p w14:paraId="6ED62B1C">
            <w:pPr>
              <w:widowControl/>
              <w:jc w:val="center"/>
              <w:rPr>
                <w:rFonts w:ascii="Times New Roman" w:hAnsi="Times New Roman"/>
                <w:b/>
                <w:bCs/>
                <w:color w:val="000000"/>
              </w:rPr>
            </w:pPr>
            <w:r>
              <w:rPr>
                <w:rFonts w:ascii="Times New Roman" w:hAnsi="Times New Roman"/>
                <w:b/>
                <w:bCs/>
                <w:color w:val="000000"/>
                <w:kern w:val="0"/>
                <w:lang w:bidi="ar"/>
              </w:rPr>
              <w:t>是否采集到渗滤液</w:t>
            </w:r>
          </w:p>
        </w:tc>
        <w:tc>
          <w:tcPr>
            <w:tcW w:w="1636" w:type="pct"/>
            <w:tcBorders>
              <w:tl2br w:val="nil"/>
              <w:tr2bl w:val="nil"/>
            </w:tcBorders>
            <w:shd w:val="clear" w:color="auto" w:fill="FFFFFF"/>
            <w:vAlign w:val="center"/>
          </w:tcPr>
          <w:p w14:paraId="2940B1C2">
            <w:pPr>
              <w:widowControl/>
              <w:jc w:val="center"/>
              <w:rPr>
                <w:rFonts w:ascii="Times New Roman" w:hAnsi="Times New Roman"/>
                <w:b/>
                <w:bCs/>
                <w:color w:val="000000"/>
              </w:rPr>
            </w:pPr>
            <w:r>
              <w:rPr>
                <w:rFonts w:ascii="Times New Roman" w:hAnsi="Times New Roman"/>
                <w:b/>
                <w:bCs/>
                <w:color w:val="000000"/>
                <w:kern w:val="0"/>
                <w:lang w:bidi="ar"/>
              </w:rPr>
              <w:t>备注说明（如导排井检查情况、流量极少等）</w:t>
            </w:r>
          </w:p>
        </w:tc>
        <w:tc>
          <w:tcPr>
            <w:tcW w:w="420" w:type="pct"/>
            <w:tcBorders>
              <w:tl2br w:val="nil"/>
              <w:tr2bl w:val="nil"/>
            </w:tcBorders>
            <w:shd w:val="clear" w:color="auto" w:fill="FFFFFF"/>
            <w:vAlign w:val="center"/>
          </w:tcPr>
          <w:p w14:paraId="31F01833">
            <w:pPr>
              <w:widowControl/>
              <w:jc w:val="center"/>
              <w:rPr>
                <w:rFonts w:ascii="Times New Roman" w:hAnsi="Times New Roman"/>
                <w:b/>
                <w:bCs/>
                <w:color w:val="000000"/>
              </w:rPr>
            </w:pPr>
            <w:r>
              <w:rPr>
                <w:rFonts w:ascii="Times New Roman" w:hAnsi="Times New Roman"/>
                <w:b/>
                <w:bCs/>
                <w:color w:val="000000"/>
                <w:kern w:val="0"/>
                <w:lang w:bidi="ar"/>
              </w:rPr>
              <w:t>采样人签字</w:t>
            </w:r>
          </w:p>
        </w:tc>
        <w:tc>
          <w:tcPr>
            <w:tcW w:w="420" w:type="pct"/>
            <w:tcBorders>
              <w:tl2br w:val="nil"/>
              <w:tr2bl w:val="nil"/>
            </w:tcBorders>
            <w:shd w:val="clear" w:color="auto" w:fill="FFFFFF"/>
            <w:vAlign w:val="center"/>
          </w:tcPr>
          <w:p w14:paraId="62DD2342">
            <w:pPr>
              <w:widowControl/>
              <w:jc w:val="center"/>
              <w:rPr>
                <w:rFonts w:ascii="Times New Roman" w:hAnsi="Times New Roman"/>
                <w:b/>
                <w:bCs/>
                <w:color w:val="000000"/>
              </w:rPr>
            </w:pPr>
            <w:r>
              <w:rPr>
                <w:rFonts w:ascii="Times New Roman" w:hAnsi="Times New Roman"/>
                <w:b/>
                <w:bCs/>
                <w:color w:val="000000"/>
                <w:kern w:val="0"/>
                <w:lang w:bidi="ar"/>
              </w:rPr>
              <w:t>复核人签字</w:t>
            </w:r>
          </w:p>
        </w:tc>
      </w:tr>
      <w:tr w14:paraId="21BF0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c>
          <w:tcPr>
            <w:tcW w:w="181" w:type="pct"/>
            <w:tcBorders>
              <w:tl2br w:val="nil"/>
              <w:tr2bl w:val="nil"/>
            </w:tcBorders>
            <w:shd w:val="clear" w:color="auto" w:fill="FFFFFF"/>
            <w:vAlign w:val="center"/>
          </w:tcPr>
          <w:p w14:paraId="54A6288F">
            <w:pPr>
              <w:widowControl/>
              <w:jc w:val="center"/>
              <w:rPr>
                <w:rFonts w:ascii="Times New Roman" w:hAnsi="Times New Roman"/>
                <w:color w:val="000000"/>
              </w:rPr>
            </w:pPr>
            <w:r>
              <w:rPr>
                <w:rFonts w:ascii="Times New Roman" w:hAnsi="Times New Roman"/>
                <w:color w:val="000000"/>
                <w:kern w:val="0"/>
                <w:lang w:bidi="ar"/>
              </w:rPr>
              <w:t>1</w:t>
            </w:r>
          </w:p>
        </w:tc>
        <w:tc>
          <w:tcPr>
            <w:tcW w:w="500" w:type="pct"/>
            <w:tcBorders>
              <w:tl2br w:val="nil"/>
              <w:tr2bl w:val="nil"/>
            </w:tcBorders>
            <w:shd w:val="clear" w:color="auto" w:fill="FFFFFF"/>
            <w:vAlign w:val="center"/>
          </w:tcPr>
          <w:p w14:paraId="056ED7BC">
            <w:pPr>
              <w:widowControl/>
              <w:jc w:val="center"/>
              <w:rPr>
                <w:rFonts w:ascii="Times New Roman" w:hAnsi="Times New Roman"/>
                <w:color w:val="000000"/>
              </w:rPr>
            </w:pPr>
          </w:p>
        </w:tc>
        <w:tc>
          <w:tcPr>
            <w:tcW w:w="500" w:type="pct"/>
            <w:tcBorders>
              <w:tl2br w:val="nil"/>
              <w:tr2bl w:val="nil"/>
            </w:tcBorders>
            <w:shd w:val="clear" w:color="auto" w:fill="FFFFFF"/>
            <w:vAlign w:val="center"/>
          </w:tcPr>
          <w:p w14:paraId="0856FC5A">
            <w:pPr>
              <w:widowControl/>
              <w:jc w:val="center"/>
              <w:rPr>
                <w:rFonts w:ascii="Times New Roman" w:hAnsi="Times New Roman"/>
                <w:color w:val="000000"/>
              </w:rPr>
            </w:pPr>
          </w:p>
        </w:tc>
        <w:tc>
          <w:tcPr>
            <w:tcW w:w="340" w:type="pct"/>
            <w:tcBorders>
              <w:tl2br w:val="nil"/>
              <w:tr2bl w:val="nil"/>
            </w:tcBorders>
            <w:shd w:val="clear" w:color="auto" w:fill="FFFFFF"/>
            <w:vAlign w:val="center"/>
          </w:tcPr>
          <w:p w14:paraId="0C1BACE4">
            <w:pPr>
              <w:widowControl/>
              <w:jc w:val="center"/>
              <w:rPr>
                <w:rFonts w:ascii="Times New Roman" w:hAnsi="Times New Roman"/>
                <w:color w:val="000000"/>
              </w:rPr>
            </w:pPr>
          </w:p>
        </w:tc>
        <w:tc>
          <w:tcPr>
            <w:tcW w:w="340" w:type="pct"/>
            <w:tcBorders>
              <w:tl2br w:val="nil"/>
              <w:tr2bl w:val="nil"/>
            </w:tcBorders>
            <w:shd w:val="clear" w:color="auto" w:fill="FFFFFF"/>
            <w:vAlign w:val="center"/>
          </w:tcPr>
          <w:p w14:paraId="1CC4500B">
            <w:pPr>
              <w:widowControl/>
              <w:jc w:val="center"/>
              <w:rPr>
                <w:rFonts w:ascii="Times New Roman" w:hAnsi="Times New Roman"/>
                <w:color w:val="000000"/>
              </w:rPr>
            </w:pPr>
          </w:p>
        </w:tc>
        <w:tc>
          <w:tcPr>
            <w:tcW w:w="659" w:type="pct"/>
            <w:tcBorders>
              <w:tl2br w:val="nil"/>
              <w:tr2bl w:val="nil"/>
            </w:tcBorders>
            <w:shd w:val="clear" w:color="auto" w:fill="FFFFFF"/>
            <w:vAlign w:val="center"/>
          </w:tcPr>
          <w:p w14:paraId="323F65BA">
            <w:pPr>
              <w:widowControl/>
              <w:jc w:val="center"/>
              <w:rPr>
                <w:rFonts w:ascii="Times New Roman" w:hAnsi="Times New Roman"/>
                <w:color w:val="000000"/>
              </w:rPr>
            </w:pPr>
          </w:p>
        </w:tc>
        <w:tc>
          <w:tcPr>
            <w:tcW w:w="1636" w:type="pct"/>
            <w:tcBorders>
              <w:tl2br w:val="nil"/>
              <w:tr2bl w:val="nil"/>
            </w:tcBorders>
            <w:shd w:val="clear" w:color="auto" w:fill="FFFFFF"/>
            <w:vAlign w:val="center"/>
          </w:tcPr>
          <w:p w14:paraId="452E5F18">
            <w:pPr>
              <w:widowControl/>
              <w:jc w:val="center"/>
              <w:rPr>
                <w:rFonts w:ascii="Times New Roman" w:hAnsi="Times New Roman"/>
                <w:color w:val="000000"/>
              </w:rPr>
            </w:pPr>
          </w:p>
        </w:tc>
        <w:tc>
          <w:tcPr>
            <w:tcW w:w="420" w:type="pct"/>
            <w:tcBorders>
              <w:tl2br w:val="nil"/>
              <w:tr2bl w:val="nil"/>
            </w:tcBorders>
            <w:shd w:val="clear" w:color="auto" w:fill="FFFFFF"/>
            <w:vAlign w:val="center"/>
          </w:tcPr>
          <w:p w14:paraId="1F030359">
            <w:pPr>
              <w:widowControl/>
              <w:jc w:val="center"/>
              <w:rPr>
                <w:rFonts w:ascii="Times New Roman" w:hAnsi="Times New Roman"/>
                <w:color w:val="000000"/>
              </w:rPr>
            </w:pPr>
          </w:p>
        </w:tc>
        <w:tc>
          <w:tcPr>
            <w:tcW w:w="420" w:type="pct"/>
            <w:tcBorders>
              <w:tl2br w:val="nil"/>
              <w:tr2bl w:val="nil"/>
            </w:tcBorders>
            <w:shd w:val="clear" w:color="auto" w:fill="FFFFFF"/>
            <w:vAlign w:val="center"/>
          </w:tcPr>
          <w:p w14:paraId="51A428D3">
            <w:pPr>
              <w:widowControl/>
              <w:jc w:val="center"/>
              <w:rPr>
                <w:rFonts w:ascii="Times New Roman" w:hAnsi="Times New Roman"/>
                <w:color w:val="000000"/>
              </w:rPr>
            </w:pPr>
          </w:p>
        </w:tc>
      </w:tr>
      <w:tr w14:paraId="1B85F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c>
          <w:tcPr>
            <w:tcW w:w="181" w:type="pct"/>
            <w:tcBorders>
              <w:tl2br w:val="nil"/>
              <w:tr2bl w:val="nil"/>
            </w:tcBorders>
            <w:shd w:val="clear" w:color="auto" w:fill="FFFFFF"/>
            <w:vAlign w:val="center"/>
          </w:tcPr>
          <w:p w14:paraId="38CA64B4">
            <w:pPr>
              <w:widowControl/>
              <w:jc w:val="center"/>
              <w:rPr>
                <w:rFonts w:ascii="Times New Roman" w:hAnsi="Times New Roman"/>
                <w:color w:val="000000"/>
              </w:rPr>
            </w:pPr>
            <w:r>
              <w:rPr>
                <w:rFonts w:ascii="Times New Roman" w:hAnsi="Times New Roman"/>
                <w:color w:val="000000"/>
                <w:kern w:val="0"/>
                <w:lang w:bidi="ar"/>
              </w:rPr>
              <w:t>2</w:t>
            </w:r>
          </w:p>
        </w:tc>
        <w:tc>
          <w:tcPr>
            <w:tcW w:w="500" w:type="pct"/>
            <w:tcBorders>
              <w:tl2br w:val="nil"/>
              <w:tr2bl w:val="nil"/>
            </w:tcBorders>
            <w:shd w:val="clear" w:color="auto" w:fill="FFFFFF"/>
            <w:vAlign w:val="center"/>
          </w:tcPr>
          <w:p w14:paraId="47861D57">
            <w:pPr>
              <w:widowControl/>
              <w:jc w:val="center"/>
              <w:rPr>
                <w:rFonts w:ascii="Times New Roman" w:hAnsi="Times New Roman"/>
                <w:color w:val="000000"/>
              </w:rPr>
            </w:pPr>
          </w:p>
        </w:tc>
        <w:tc>
          <w:tcPr>
            <w:tcW w:w="500" w:type="pct"/>
            <w:tcBorders>
              <w:tl2br w:val="nil"/>
              <w:tr2bl w:val="nil"/>
            </w:tcBorders>
            <w:shd w:val="clear" w:color="auto" w:fill="FFFFFF"/>
            <w:vAlign w:val="center"/>
          </w:tcPr>
          <w:p w14:paraId="7F20652C">
            <w:pPr>
              <w:widowControl/>
              <w:jc w:val="center"/>
              <w:rPr>
                <w:rFonts w:ascii="Times New Roman" w:hAnsi="Times New Roman"/>
                <w:color w:val="000000"/>
              </w:rPr>
            </w:pPr>
          </w:p>
        </w:tc>
        <w:tc>
          <w:tcPr>
            <w:tcW w:w="340" w:type="pct"/>
            <w:tcBorders>
              <w:tl2br w:val="nil"/>
              <w:tr2bl w:val="nil"/>
            </w:tcBorders>
            <w:shd w:val="clear" w:color="auto" w:fill="FFFFFF"/>
            <w:vAlign w:val="center"/>
          </w:tcPr>
          <w:p w14:paraId="18D64FA2">
            <w:pPr>
              <w:widowControl/>
              <w:jc w:val="center"/>
              <w:rPr>
                <w:rFonts w:ascii="Times New Roman" w:hAnsi="Times New Roman"/>
                <w:color w:val="000000"/>
              </w:rPr>
            </w:pPr>
          </w:p>
        </w:tc>
        <w:tc>
          <w:tcPr>
            <w:tcW w:w="340" w:type="pct"/>
            <w:tcBorders>
              <w:tl2br w:val="nil"/>
              <w:tr2bl w:val="nil"/>
            </w:tcBorders>
            <w:shd w:val="clear" w:color="auto" w:fill="FFFFFF"/>
            <w:vAlign w:val="center"/>
          </w:tcPr>
          <w:p w14:paraId="70B9BD0F">
            <w:pPr>
              <w:widowControl/>
              <w:jc w:val="center"/>
              <w:rPr>
                <w:rFonts w:ascii="Times New Roman" w:hAnsi="Times New Roman"/>
                <w:color w:val="000000"/>
              </w:rPr>
            </w:pPr>
          </w:p>
        </w:tc>
        <w:tc>
          <w:tcPr>
            <w:tcW w:w="659" w:type="pct"/>
            <w:tcBorders>
              <w:tl2br w:val="nil"/>
              <w:tr2bl w:val="nil"/>
            </w:tcBorders>
            <w:shd w:val="clear" w:color="auto" w:fill="FFFFFF"/>
            <w:vAlign w:val="center"/>
          </w:tcPr>
          <w:p w14:paraId="2096E608">
            <w:pPr>
              <w:widowControl/>
              <w:jc w:val="center"/>
              <w:rPr>
                <w:rFonts w:ascii="Times New Roman" w:hAnsi="Times New Roman"/>
                <w:color w:val="000000"/>
              </w:rPr>
            </w:pPr>
          </w:p>
        </w:tc>
        <w:tc>
          <w:tcPr>
            <w:tcW w:w="1636" w:type="pct"/>
            <w:tcBorders>
              <w:tl2br w:val="nil"/>
              <w:tr2bl w:val="nil"/>
            </w:tcBorders>
            <w:shd w:val="clear" w:color="auto" w:fill="FFFFFF"/>
            <w:vAlign w:val="center"/>
          </w:tcPr>
          <w:p w14:paraId="580384DD">
            <w:pPr>
              <w:widowControl/>
              <w:jc w:val="center"/>
              <w:rPr>
                <w:rFonts w:ascii="Times New Roman" w:hAnsi="Times New Roman"/>
                <w:color w:val="000000"/>
              </w:rPr>
            </w:pPr>
          </w:p>
        </w:tc>
        <w:tc>
          <w:tcPr>
            <w:tcW w:w="420" w:type="pct"/>
            <w:tcBorders>
              <w:tl2br w:val="nil"/>
              <w:tr2bl w:val="nil"/>
            </w:tcBorders>
            <w:shd w:val="clear" w:color="auto" w:fill="FFFFFF"/>
            <w:vAlign w:val="center"/>
          </w:tcPr>
          <w:p w14:paraId="1A0D08D3">
            <w:pPr>
              <w:widowControl/>
              <w:jc w:val="center"/>
              <w:rPr>
                <w:rFonts w:ascii="Times New Roman" w:hAnsi="Times New Roman"/>
                <w:color w:val="000000"/>
              </w:rPr>
            </w:pPr>
          </w:p>
        </w:tc>
        <w:tc>
          <w:tcPr>
            <w:tcW w:w="420" w:type="pct"/>
            <w:tcBorders>
              <w:tl2br w:val="nil"/>
              <w:tr2bl w:val="nil"/>
            </w:tcBorders>
            <w:shd w:val="clear" w:color="auto" w:fill="FFFFFF"/>
            <w:vAlign w:val="center"/>
          </w:tcPr>
          <w:p w14:paraId="011847C5">
            <w:pPr>
              <w:widowControl/>
              <w:jc w:val="center"/>
              <w:rPr>
                <w:rFonts w:ascii="Times New Roman" w:hAnsi="Times New Roman"/>
                <w:color w:val="000000"/>
              </w:rPr>
            </w:pPr>
          </w:p>
        </w:tc>
      </w:tr>
    </w:tbl>
    <w:p w14:paraId="7E72D5E2">
      <w:pPr>
        <w:rPr>
          <w:spacing w:val="100"/>
        </w:rPr>
      </w:pPr>
    </w:p>
    <w:p w14:paraId="168436A7">
      <w:pPr>
        <w:rPr>
          <w:spacing w:val="100"/>
        </w:rPr>
      </w:pPr>
      <w:r>
        <w:rPr>
          <w:rFonts w:hint="eastAsia"/>
          <w:spacing w:val="100"/>
        </w:rPr>
        <w:br w:type="page"/>
      </w:r>
    </w:p>
    <w:p w14:paraId="693163FB">
      <w:pPr>
        <w:pStyle w:val="81"/>
        <w:numPr>
          <w:ilvl w:val="0"/>
          <w:numId w:val="0"/>
        </w:numPr>
        <w:spacing w:before="60" w:after="120"/>
        <w:rPr>
          <w:spacing w:val="100"/>
        </w:rPr>
        <w:sectPr>
          <w:headerReference r:id="rId25" w:type="default"/>
          <w:footerReference r:id="rId27" w:type="default"/>
          <w:headerReference r:id="rId26" w:type="even"/>
          <w:footerReference r:id="rId28" w:type="even"/>
          <w:pgSz w:w="16838" w:h="11906" w:orient="landscape"/>
          <w:pgMar w:top="1134" w:right="2410" w:bottom="1134" w:left="1134" w:header="1418" w:footer="1134" w:gutter="284"/>
          <w:cols w:space="425" w:num="1"/>
          <w:formProt w:val="0"/>
          <w:docGrid w:linePitch="312" w:charSpace="0"/>
        </w:sectPr>
      </w:pPr>
    </w:p>
    <w:p w14:paraId="26D580AE">
      <w:pPr>
        <w:pStyle w:val="81"/>
        <w:numPr>
          <w:ilvl w:val="0"/>
          <w:numId w:val="0"/>
        </w:numPr>
        <w:spacing w:before="60" w:after="120"/>
        <w:outlineLvl w:val="0"/>
      </w:pPr>
      <w:bookmarkStart w:id="146" w:name="_Toc6023"/>
      <w:r>
        <w:rPr>
          <w:rFonts w:hint="eastAsia"/>
          <w:spacing w:val="100"/>
        </w:rPr>
        <w:t>附</w:t>
      </w:r>
      <w:r>
        <w:rPr>
          <w:rFonts w:ascii="Times New Roman"/>
          <w:spacing w:val="100"/>
        </w:rPr>
        <w:t>录</w:t>
      </w:r>
      <w:r>
        <w:rPr>
          <w:spacing w:val="100"/>
        </w:rPr>
        <w:t>C</w:t>
      </w:r>
      <w:r>
        <w:br w:type="textWrapping"/>
      </w:r>
      <w:r>
        <w:rPr>
          <w:rFonts w:hint="eastAsia"/>
        </w:rPr>
        <w:t>（资料性）</w:t>
      </w:r>
      <w:r>
        <w:br w:type="textWrapping"/>
      </w:r>
      <w:r>
        <w:rPr>
          <w:rFonts w:hint="eastAsia"/>
        </w:rPr>
        <w:t>防渗层上最大渗滤液水头的计算公式</w:t>
      </w:r>
      <w:bookmarkEnd w:id="139"/>
      <w:bookmarkEnd w:id="144"/>
      <w:bookmarkEnd w:id="145"/>
      <w:bookmarkEnd w:id="146"/>
      <w:bookmarkStart w:id="147" w:name="BookMark6"/>
    </w:p>
    <w:p w14:paraId="67B66DA6">
      <w:pPr>
        <w:adjustRightInd/>
        <w:spacing w:line="360" w:lineRule="auto"/>
        <w:ind w:firstLine="630" w:firstLineChars="300"/>
        <w:jc w:val="center"/>
      </w:pPr>
    </w:p>
    <w:p w14:paraId="5C995C5C">
      <w:pPr>
        <w:pStyle w:val="83"/>
        <w:numPr>
          <w:ilvl w:val="1"/>
          <w:numId w:val="0"/>
        </w:numPr>
        <w:spacing w:before="120" w:after="120"/>
        <w:rPr>
          <w:rFonts w:ascii="Times New Roman"/>
        </w:rPr>
      </w:pPr>
      <w:bookmarkStart w:id="148" w:name="_Toc26937"/>
      <w:bookmarkStart w:id="149" w:name="_Toc9555"/>
      <w:bookmarkStart w:id="150" w:name="_Toc14054"/>
      <w:r>
        <w:rPr>
          <w:rFonts w:hint="eastAsia"/>
        </w:rPr>
        <w:t>C.1　</w:t>
      </w:r>
      <w:r>
        <w:rPr>
          <w:rFonts w:ascii="Times New Roman"/>
        </w:rPr>
        <w:t>Moore 80方法</w:t>
      </w:r>
      <w:bookmarkEnd w:id="148"/>
      <w:bookmarkEnd w:id="149"/>
      <w:bookmarkEnd w:id="150"/>
    </w:p>
    <w:p w14:paraId="02791436">
      <w:pPr>
        <w:pStyle w:val="61"/>
        <w:ind w:firstLine="420"/>
        <w:rPr>
          <w:rFonts w:ascii="Times New Roman"/>
        </w:rPr>
      </w:pPr>
      <w:r>
        <w:rPr>
          <w:rFonts w:ascii="Times New Roman"/>
        </w:rPr>
        <w:t>估算填埋场中防渗系统上方最大渗滤液水位的方法最早见于美国联邦环保署（Enviromental Protection Agency U.S.A，USEPA）组织编写的两份技术指导手册（USEPA，1980；USEPA，1989）。具体公式如下：</w:t>
      </w:r>
    </w:p>
    <w:p w14:paraId="7A090679">
      <w:pPr>
        <w:pStyle w:val="61"/>
        <w:ind w:firstLine="420"/>
        <w:jc w:val="right"/>
        <w:rPr>
          <w:rFonts w:ascii="Times New Roman"/>
        </w:rPr>
      </w:pPr>
      <m:oMath>
        <m:sSub>
          <m:sSubPr>
            <m:ctrlPr>
              <w:rPr>
                <w:rFonts w:hint="eastAsia" w:ascii="Cambria Math" w:hAnsi="Cambria Math"/>
              </w:rPr>
            </m:ctrlPr>
          </m:sSubPr>
          <m:e>
            <m:r>
              <m:rPr>
                <m:sty m:val="p"/>
              </m:rPr>
              <w:rPr>
                <w:rFonts w:hint="eastAsia" w:ascii="Cambria Math" w:hAnsi="Cambria Math"/>
              </w:rPr>
              <m:t>y</m:t>
            </m:r>
            <m:ctrlPr>
              <w:rPr>
                <w:rFonts w:hint="eastAsia" w:ascii="Cambria Math" w:hAnsi="Cambria Math"/>
              </w:rPr>
            </m:ctrlPr>
          </m:e>
          <m:sub>
            <m:r>
              <m:rPr>
                <m:sty m:val="p"/>
              </m:rPr>
              <w:rPr>
                <w:rFonts w:hint="eastAsia" w:ascii="Cambria Math" w:hAnsi="Cambria Math"/>
              </w:rPr>
              <m:t>max</m:t>
            </m:r>
            <m:ctrlPr>
              <w:rPr>
                <w:rFonts w:hint="eastAsia" w:ascii="Cambria Math" w:hAnsi="Cambria Math"/>
              </w:rPr>
            </m:ctrlPr>
          </m:sub>
        </m:sSub>
        <m:r>
          <m:rPr>
            <m:sty m:val="p"/>
          </m:rPr>
          <w:rPr>
            <w:rFonts w:hint="eastAsia" w:ascii="Cambria Math" w:hAnsi="Cambria Math"/>
          </w:rPr>
          <m:t>=L×(</m:t>
        </m:r>
        <m:sSup>
          <m:sSupPr>
            <m:ctrlPr>
              <w:rPr>
                <w:rFonts w:hint="eastAsia" w:ascii="Cambria Math" w:hAnsi="Cambria Math"/>
              </w:rPr>
            </m:ctrlPr>
          </m:sSupPr>
          <m:e>
            <m:f>
              <m:fPr>
                <m:ctrlPr>
                  <w:rPr>
                    <w:rFonts w:hint="eastAsia" w:ascii="Cambria Math" w:hAnsi="Cambria Math"/>
                  </w:rPr>
                </m:ctrlPr>
              </m:fPr>
              <m:num>
                <m:r>
                  <m:rPr>
                    <m:sty m:val="p"/>
                  </m:rPr>
                  <w:rPr>
                    <w:rFonts w:hint="eastAsia" w:ascii="Cambria Math" w:hAnsi="Cambria Math"/>
                  </w:rPr>
                  <m:t>r</m:t>
                </m:r>
                <m:ctrlPr>
                  <w:rPr>
                    <w:rFonts w:hint="eastAsia" w:ascii="Cambria Math" w:hAnsi="Cambria Math"/>
                  </w:rPr>
                </m:ctrlPr>
              </m:num>
              <m:den>
                <m:r>
                  <m:rPr>
                    <m:sty m:val="p"/>
                  </m:rPr>
                  <w:rPr>
                    <w:rFonts w:hint="eastAsia" w:ascii="Cambria Math" w:hAnsi="Cambria Math"/>
                  </w:rPr>
                  <m:t>k</m:t>
                </m:r>
                <m:ctrlPr>
                  <w:rPr>
                    <w:rFonts w:hint="eastAsia" w:ascii="Cambria Math" w:hAnsi="Cambria Math"/>
                  </w:rPr>
                </m:ctrlPr>
              </m:den>
            </m:f>
            <m:r>
              <m:rPr>
                <m:sty m:val="p"/>
              </m:rPr>
              <w:rPr>
                <w:rFonts w:hint="eastAsia" w:ascii="Cambria Math" w:hAnsi="Cambria Math"/>
              </w:rPr>
              <m:t>)</m:t>
            </m:r>
            <m:ctrlPr>
              <w:rPr>
                <w:rFonts w:hint="eastAsia" w:ascii="Cambria Math" w:hAnsi="Cambria Math"/>
              </w:rPr>
            </m:ctrlPr>
          </m:e>
          <m:sup>
            <m:f>
              <m:fPr>
                <m:ctrlPr>
                  <w:rPr>
                    <w:rFonts w:hint="eastAsia" w:ascii="Cambria Math" w:hAnsi="Cambria Math"/>
                  </w:rPr>
                </m:ctrlPr>
              </m:fPr>
              <m:num>
                <m:r>
                  <m:rPr>
                    <m:sty m:val="p"/>
                  </m:rPr>
                  <w:rPr>
                    <w:rFonts w:hint="eastAsia" w:ascii="Cambria Math" w:hAnsi="Cambria Math"/>
                  </w:rPr>
                  <m:t>1</m:t>
                </m:r>
                <m:ctrlPr>
                  <w:rPr>
                    <w:rFonts w:hint="eastAsia" w:ascii="Cambria Math" w:hAnsi="Cambria Math"/>
                  </w:rPr>
                </m:ctrlPr>
              </m:num>
              <m:den>
                <m:r>
                  <m:rPr>
                    <m:sty m:val="p"/>
                  </m:rPr>
                  <w:rPr>
                    <w:rFonts w:hint="eastAsia" w:ascii="Cambria Math" w:hAnsi="Cambria Math"/>
                  </w:rPr>
                  <m:t>2</m:t>
                </m:r>
                <m:ctrlPr>
                  <w:rPr>
                    <w:rFonts w:hint="eastAsia" w:ascii="Cambria Math" w:hAnsi="Cambria Math"/>
                  </w:rPr>
                </m:ctrlPr>
              </m:den>
            </m:f>
            <m:ctrlPr>
              <w:rPr>
                <w:rFonts w:hint="eastAsia" w:ascii="Cambria Math" w:hAnsi="Cambria Math"/>
              </w:rPr>
            </m:ctrlPr>
          </m:sup>
        </m:sSup>
        <m:r>
          <m:rPr>
            <m:sty m:val="p"/>
          </m:rPr>
          <w:rPr>
            <w:rFonts w:hint="eastAsia" w:ascii="Cambria Math" w:hAnsi="Cambria Math"/>
          </w:rPr>
          <m:t>×(</m:t>
        </m:r>
        <m:f>
          <m:fPr>
            <m:ctrlPr>
              <w:rPr>
                <w:rFonts w:hint="eastAsia" w:ascii="Cambria Math" w:hAnsi="Cambria Math"/>
              </w:rPr>
            </m:ctrlPr>
          </m:fPr>
          <m:num>
            <m:r>
              <m:rPr>
                <m:sty m:val="p"/>
              </m:rPr>
              <w:rPr>
                <w:rFonts w:hint="eastAsia" w:ascii="Cambria Math" w:hAnsi="Cambria Math"/>
              </w:rPr>
              <m:t>k×</m:t>
            </m:r>
            <m:sSup>
              <m:sSupPr>
                <m:ctrlPr>
                  <w:rPr>
                    <w:rFonts w:hint="eastAsia" w:ascii="Cambria Math" w:hAnsi="Cambria Math"/>
                  </w:rPr>
                </m:ctrlPr>
              </m:sSupPr>
              <m:e>
                <m:r>
                  <m:rPr>
                    <m:sty m:val="p"/>
                  </m:rPr>
                  <w:rPr>
                    <w:rFonts w:hint="eastAsia" w:ascii="Cambria Math" w:hAnsi="Cambria Math"/>
                  </w:rPr>
                  <m:t>S</m:t>
                </m:r>
                <m:ctrlPr>
                  <w:rPr>
                    <w:rFonts w:hint="eastAsia" w:ascii="Cambria Math" w:hAnsi="Cambria Math"/>
                  </w:rPr>
                </m:ctrlPr>
              </m:e>
              <m:sup>
                <m:r>
                  <m:rPr>
                    <m:sty m:val="p"/>
                  </m:rPr>
                  <w:rPr>
                    <w:rFonts w:hint="eastAsia" w:ascii="Cambria Math" w:hAnsi="Cambria Math"/>
                  </w:rPr>
                  <m:t>2</m:t>
                </m:r>
                <m:ctrlPr>
                  <w:rPr>
                    <w:rFonts w:hint="eastAsia" w:ascii="Cambria Math" w:hAnsi="Cambria Math"/>
                  </w:rPr>
                </m:ctrlPr>
              </m:sup>
            </m:sSup>
            <m:ctrlPr>
              <w:rPr>
                <w:rFonts w:hint="eastAsia" w:ascii="Cambria Math" w:hAnsi="Cambria Math"/>
              </w:rPr>
            </m:ctrlPr>
          </m:num>
          <m:den>
            <m:r>
              <m:rPr>
                <m:sty m:val="p"/>
              </m:rPr>
              <w:rPr>
                <w:rFonts w:hint="eastAsia" w:ascii="Cambria Math" w:hAnsi="Cambria Math"/>
              </w:rPr>
              <m:t>r</m:t>
            </m:r>
            <m:ctrlPr>
              <w:rPr>
                <w:rFonts w:hint="eastAsia" w:ascii="Cambria Math" w:hAnsi="Cambria Math"/>
              </w:rPr>
            </m:ctrlPr>
          </m:den>
        </m:f>
        <m:r>
          <m:rPr>
            <m:sty m:val="p"/>
          </m:rPr>
          <w:rPr>
            <w:rFonts w:hint="eastAsia" w:ascii="Cambria Math" w:hAnsi="Cambria Math"/>
          </w:rPr>
          <m:t>+1−</m:t>
        </m:r>
        <m:f>
          <m:fPr>
            <m:ctrlPr>
              <w:rPr>
                <w:rFonts w:hint="eastAsia" w:ascii="Cambria Math" w:hAnsi="Cambria Math"/>
              </w:rPr>
            </m:ctrlPr>
          </m:fPr>
          <m:num>
            <m:r>
              <m:rPr>
                <m:sty m:val="p"/>
              </m:rPr>
              <w:rPr>
                <w:rFonts w:hint="eastAsia" w:ascii="Cambria Math" w:hAnsi="Cambria Math"/>
              </w:rPr>
              <m:t>k×S</m:t>
            </m:r>
            <m:ctrlPr>
              <w:rPr>
                <w:rFonts w:hint="eastAsia" w:ascii="Cambria Math" w:hAnsi="Cambria Math"/>
              </w:rPr>
            </m:ctrlPr>
          </m:num>
          <m:den>
            <m:r>
              <m:rPr>
                <m:sty m:val="p"/>
              </m:rPr>
              <w:rPr>
                <w:rFonts w:hint="eastAsia" w:ascii="Cambria Math" w:hAnsi="Cambria Math"/>
              </w:rPr>
              <m:t>r</m:t>
            </m:r>
            <m:ctrlPr>
              <w:rPr>
                <w:rFonts w:hint="eastAsia" w:ascii="Cambria Math" w:hAnsi="Cambria Math"/>
              </w:rPr>
            </m:ctrlPr>
          </m:den>
        </m:f>
        <m:r>
          <m:rPr>
            <m:sty m:val="p"/>
          </m:rPr>
          <w:rPr>
            <w:rFonts w:hint="eastAsia" w:ascii="Cambria Math" w:hAnsi="Cambria Math"/>
          </w:rPr>
          <m:t>(</m:t>
        </m:r>
        <m:sSup>
          <m:sSupPr>
            <m:ctrlPr>
              <w:rPr>
                <w:rFonts w:hint="eastAsia" w:ascii="Cambria Math" w:hAnsi="Cambria Math"/>
              </w:rPr>
            </m:ctrlPr>
          </m:sSupPr>
          <m:e>
            <m:r>
              <m:rPr>
                <m:sty m:val="p"/>
              </m:rPr>
              <w:rPr>
                <w:rFonts w:hint="eastAsia" w:ascii="Cambria Math" w:hAnsi="Cambria Math"/>
              </w:rPr>
              <m:t>S</m:t>
            </m:r>
            <m:ctrlPr>
              <w:rPr>
                <w:rFonts w:hint="eastAsia" w:ascii="Cambria Math" w:hAnsi="Cambria Math"/>
              </w:rPr>
            </m:ctrlPr>
          </m:e>
          <m:sup>
            <m:r>
              <m:rPr>
                <m:sty m:val="p"/>
              </m:rPr>
              <w:rPr>
                <w:rFonts w:hint="eastAsia" w:ascii="Cambria Math" w:hAnsi="Cambria Math"/>
              </w:rPr>
              <m:t>2</m:t>
            </m:r>
            <m:ctrlPr>
              <w:rPr>
                <w:rFonts w:hint="eastAsia" w:ascii="Cambria Math" w:hAnsi="Cambria Math"/>
              </w:rPr>
            </m:ctrlPr>
          </m:sup>
        </m:sSup>
        <m:r>
          <m:rPr>
            <m:sty m:val="p"/>
          </m:rPr>
          <w:rPr>
            <w:rFonts w:hint="eastAsia" w:ascii="Cambria Math" w:hAnsi="Cambria Math"/>
          </w:rPr>
          <m:t>+</m:t>
        </m:r>
        <m:sSup>
          <m:sSupPr>
            <m:ctrlPr>
              <w:rPr>
                <w:rFonts w:hint="eastAsia" w:ascii="Cambria Math" w:hAnsi="Cambria Math"/>
              </w:rPr>
            </m:ctrlPr>
          </m:sSupPr>
          <m:e>
            <m:f>
              <m:fPr>
                <m:ctrlPr>
                  <w:rPr>
                    <w:rFonts w:hint="eastAsia" w:ascii="Cambria Math" w:hAnsi="Cambria Math"/>
                  </w:rPr>
                </m:ctrlPr>
              </m:fPr>
              <m:num>
                <m:r>
                  <m:rPr>
                    <m:sty m:val="p"/>
                  </m:rPr>
                  <w:rPr>
                    <w:rFonts w:hint="eastAsia" w:ascii="Cambria Math" w:hAnsi="Cambria Math"/>
                  </w:rPr>
                  <m:t>r</m:t>
                </m:r>
                <m:ctrlPr>
                  <w:rPr>
                    <w:rFonts w:hint="eastAsia" w:ascii="Cambria Math" w:hAnsi="Cambria Math"/>
                  </w:rPr>
                </m:ctrlPr>
              </m:num>
              <m:den>
                <m:r>
                  <m:rPr>
                    <m:sty m:val="p"/>
                  </m:rPr>
                  <w:rPr>
                    <w:rFonts w:hint="eastAsia" w:ascii="Cambria Math" w:hAnsi="Cambria Math"/>
                  </w:rPr>
                  <m:t>k</m:t>
                </m:r>
                <m:ctrlPr>
                  <w:rPr>
                    <w:rFonts w:hint="eastAsia" w:ascii="Cambria Math" w:hAnsi="Cambria Math"/>
                  </w:rPr>
                </m:ctrlPr>
              </m:den>
            </m:f>
            <m:r>
              <m:rPr>
                <m:sty m:val="p"/>
              </m:rPr>
              <w:rPr>
                <w:rFonts w:hint="eastAsia" w:ascii="Cambria Math" w:hAnsi="Cambria Math"/>
              </w:rPr>
              <m:t>)</m:t>
            </m:r>
            <m:ctrlPr>
              <w:rPr>
                <w:rFonts w:hint="eastAsia" w:ascii="Cambria Math" w:hAnsi="Cambria Math"/>
              </w:rPr>
            </m:ctrlPr>
          </m:e>
          <m:sup>
            <m:f>
              <m:fPr>
                <m:ctrlPr>
                  <w:rPr>
                    <w:rFonts w:hint="eastAsia" w:ascii="Cambria Math" w:hAnsi="Cambria Math"/>
                  </w:rPr>
                </m:ctrlPr>
              </m:fPr>
              <m:num>
                <m:r>
                  <m:rPr>
                    <m:sty m:val="p"/>
                  </m:rPr>
                  <w:rPr>
                    <w:rFonts w:hint="eastAsia" w:ascii="Cambria Math" w:hAnsi="Cambria Math"/>
                  </w:rPr>
                  <m:t>1</m:t>
                </m:r>
                <m:ctrlPr>
                  <w:rPr>
                    <w:rFonts w:hint="eastAsia" w:ascii="Cambria Math" w:hAnsi="Cambria Math"/>
                  </w:rPr>
                </m:ctrlPr>
              </m:num>
              <m:den>
                <m:r>
                  <m:rPr>
                    <m:sty m:val="p"/>
                  </m:rPr>
                  <w:rPr>
                    <w:rFonts w:hint="eastAsia" w:ascii="Cambria Math" w:hAnsi="Cambria Math"/>
                  </w:rPr>
                  <m:t>2</m:t>
                </m:r>
                <m:ctrlPr>
                  <w:rPr>
                    <w:rFonts w:hint="eastAsia" w:ascii="Cambria Math" w:hAnsi="Cambria Math"/>
                  </w:rPr>
                </m:ctrlPr>
              </m:den>
            </m:f>
            <m:ctrlPr>
              <w:rPr>
                <w:rFonts w:hint="eastAsia" w:ascii="Cambria Math" w:hAnsi="Cambria Math"/>
              </w:rPr>
            </m:ctrlPr>
          </m:sup>
        </m:sSup>
      </m:oMath>
      <w:r>
        <w:rPr>
          <w:rFonts w:hint="eastAsia" w:ascii="Times New Roman"/>
        </w:rPr>
        <w:t xml:space="preserve">                      （</w:t>
      </w:r>
      <w:r>
        <w:rPr>
          <w:rFonts w:hint="eastAsia" w:ascii="Times New Roman"/>
          <w:lang w:val="en-US" w:eastAsia="zh-CN"/>
        </w:rPr>
        <w:t>C</w:t>
      </w:r>
      <w:r>
        <w:rPr>
          <w:rFonts w:hint="eastAsia" w:ascii="Times New Roman"/>
        </w:rPr>
        <w:t>.1）</w:t>
      </w:r>
    </w:p>
    <w:p w14:paraId="474A4C44">
      <w:pPr>
        <w:pStyle w:val="61"/>
        <w:ind w:firstLine="420"/>
        <w:rPr>
          <w:rFonts w:ascii="Times New Roman"/>
        </w:rPr>
      </w:pPr>
    </w:p>
    <w:p w14:paraId="085CA44C">
      <w:pPr>
        <w:pStyle w:val="61"/>
        <w:ind w:firstLine="420"/>
        <w:rPr>
          <w:rFonts w:ascii="Times New Roman"/>
        </w:rPr>
      </w:pPr>
      <w:r>
        <w:rPr>
          <w:rFonts w:hint="eastAsia" w:ascii="Times New Roman"/>
        </w:rPr>
        <w:t>式中：</w:t>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max</m:t>
            </m:r>
            <m:ctrlPr>
              <w:rPr>
                <w:rFonts w:ascii="Cambria Math" w:hAnsi="Cambria Math"/>
              </w:rPr>
            </m:ctrlPr>
          </m:sub>
        </m:sSub>
      </m:oMath>
      <w:r>
        <w:rPr>
          <w:rFonts w:hint="eastAsia" w:ascii="Times New Roman"/>
        </w:rPr>
        <w:t xml:space="preserve">  —填埋场中防渗系统上方最大渗滤液水位，m；</w:t>
      </w:r>
    </w:p>
    <w:p w14:paraId="6517B80C">
      <w:pPr>
        <w:pStyle w:val="61"/>
        <w:ind w:firstLine="1050" w:firstLineChars="500"/>
        <w:rPr>
          <w:rFonts w:ascii="Times New Roman"/>
        </w:rPr>
      </w:pPr>
      <m:oMath>
        <m:r>
          <m:rPr>
            <m:sty m:val="p"/>
          </m:rPr>
          <w:rPr>
            <w:rFonts w:ascii="Cambria Math" w:hAnsi="Cambria Math"/>
          </w:rPr>
          <m:t>L</m:t>
        </m:r>
      </m:oMath>
      <w:r>
        <w:rPr>
          <w:rFonts w:hint="eastAsia" w:ascii="Times New Roman"/>
        </w:rPr>
        <w:t xml:space="preserve">     —最大水平排水距离，m；</w:t>
      </w:r>
    </w:p>
    <w:p w14:paraId="59FC864A">
      <w:pPr>
        <w:pStyle w:val="61"/>
        <w:ind w:firstLine="1050" w:firstLineChars="500"/>
        <w:rPr>
          <w:rFonts w:ascii="Times New Roman"/>
        </w:rPr>
      </w:pPr>
      <m:oMath>
        <m:r>
          <m:rPr>
            <m:sty m:val="p"/>
          </m:rPr>
          <w:rPr>
            <w:rFonts w:ascii="Cambria Math" w:hAnsi="Cambria Math"/>
          </w:rPr>
          <m:t>r</m:t>
        </m:r>
      </m:oMath>
      <w:r>
        <w:rPr>
          <w:rFonts w:hint="eastAsia" w:ascii="Times New Roman"/>
        </w:rPr>
        <w:t xml:space="preserve">     —单位时间内填埋场中水分的净补给量（净补给强度），cm/d；</w:t>
      </w:r>
    </w:p>
    <w:p w14:paraId="47B8AE3B">
      <w:pPr>
        <w:pStyle w:val="61"/>
        <w:ind w:firstLine="1050" w:firstLineChars="500"/>
        <w:rPr>
          <w:rFonts w:ascii="Times New Roman"/>
        </w:rPr>
      </w:pPr>
      <m:oMath>
        <m:r>
          <m:rPr>
            <m:sty m:val="p"/>
          </m:rPr>
          <w:rPr>
            <w:rFonts w:ascii="Cambria Math" w:hAnsi="Cambria Math"/>
          </w:rPr>
          <m:t>S</m:t>
        </m:r>
      </m:oMath>
      <w:r>
        <w:rPr>
          <w:rFonts w:hint="eastAsia" w:ascii="Times New Roman"/>
        </w:rPr>
        <w:t xml:space="preserve">     —填埋场库底坡度，无量纲；</w:t>
      </w:r>
    </w:p>
    <w:p w14:paraId="1300F61D">
      <w:pPr>
        <w:pStyle w:val="61"/>
        <w:ind w:firstLine="1050" w:firstLineChars="500"/>
        <w:rPr>
          <w:rFonts w:ascii="Times New Roman"/>
        </w:rPr>
      </w:pPr>
      <m:oMath>
        <m:r>
          <m:rPr>
            <m:sty m:val="p"/>
          </m:rPr>
          <w:rPr>
            <w:rFonts w:ascii="Cambria Math" w:hAnsi="Cambria Math"/>
          </w:rPr>
          <m:t>k</m:t>
        </m:r>
      </m:oMath>
      <w:r>
        <w:rPr>
          <w:rFonts w:hint="eastAsia" w:ascii="Times New Roman"/>
        </w:rPr>
        <w:t xml:space="preserve">     —介质饱和渗透系数，cm/s。</w:t>
      </w:r>
    </w:p>
    <w:p w14:paraId="26EE607F">
      <w:pPr>
        <w:pStyle w:val="83"/>
        <w:numPr>
          <w:ilvl w:val="1"/>
          <w:numId w:val="0"/>
        </w:numPr>
        <w:spacing w:before="120" w:after="120"/>
        <w:rPr>
          <w:rFonts w:ascii="Times New Roman"/>
        </w:rPr>
      </w:pPr>
      <w:bookmarkStart w:id="151" w:name="_Toc27003"/>
      <w:bookmarkStart w:id="152" w:name="_Toc7029"/>
      <w:bookmarkStart w:id="153" w:name="_Toc30373"/>
      <w:r>
        <w:rPr>
          <w:rFonts w:hint="eastAsia"/>
        </w:rPr>
        <w:t>C.2　</w:t>
      </w:r>
      <w:r>
        <w:rPr>
          <w:rFonts w:hint="eastAsia" w:ascii="Times New Roman"/>
        </w:rPr>
        <w:t>Moore 83方法</w:t>
      </w:r>
      <w:bookmarkEnd w:id="151"/>
      <w:bookmarkEnd w:id="152"/>
      <w:bookmarkEnd w:id="153"/>
    </w:p>
    <w:p w14:paraId="21F8B730">
      <w:pPr>
        <w:pStyle w:val="61"/>
        <w:ind w:firstLine="420"/>
        <w:rPr>
          <w:rFonts w:ascii="Times New Roman"/>
        </w:rPr>
      </w:pPr>
      <w:r>
        <w:rPr>
          <w:rFonts w:hint="eastAsia" w:ascii="Times New Roman"/>
        </w:rPr>
        <w:t>由Moore提出的（1983年），具体公式表达如下：</w:t>
      </w:r>
    </w:p>
    <w:p w14:paraId="5D98781D">
      <w:pPr>
        <w:pStyle w:val="61"/>
        <w:ind w:firstLine="420"/>
        <w:jc w:val="right"/>
        <w:rPr>
          <w:rFonts w:ascii="Times New Roman"/>
        </w:rPr>
      </w:pP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hint="eastAsia" w:ascii="Cambria Math" w:hAnsi="Cambria Math"/>
          </w:rPr>
          <m:t>=</m:t>
        </m:r>
        <m:r>
          <m:rPr>
            <m:sty m:val="p"/>
          </m:rPr>
          <w:rPr>
            <w:rFonts w:ascii="Cambria Math" w:hAnsi="Cambria Math"/>
          </w:rPr>
          <m:t>L×[</m:t>
        </m:r>
        <m:r>
          <m:rPr>
            <m:sty m:val="p"/>
          </m:rPr>
          <w:rPr>
            <w:rFonts w:hint="eastAsia" w:ascii="Cambria Math" w:hAnsi="Cambria Math"/>
          </w:rPr>
          <m:t>(</m:t>
        </m:r>
        <m:sSup>
          <m:sSupPr>
            <m:ctrlPr>
              <w:rPr>
                <w:rFonts w:ascii="Cambria Math" w:hAnsi="Cambria Math"/>
              </w:rPr>
            </m:ctrlPr>
          </m:sSupPr>
          <m:e>
            <m:f>
              <m:fPr>
                <m:ctrlPr>
                  <w:rPr>
                    <w:rFonts w:ascii="Cambria Math" w:hAnsi="Cambria Math"/>
                  </w:rPr>
                </m:ctrlPr>
              </m:fPr>
              <m:num>
                <m:r>
                  <m:rPr>
                    <m:sty m:val="p"/>
                  </m:rPr>
                  <w:rPr>
                    <w:rFonts w:ascii="Cambria Math" w:hAnsi="Cambria Math"/>
                  </w:rPr>
                  <m:t>r</m:t>
                </m:r>
                <m:ctrlPr>
                  <w:rPr>
                    <w:rFonts w:ascii="Cambria Math" w:hAnsi="Cambria Math"/>
                  </w:rPr>
                </m:ctrlPr>
              </m:num>
              <m:den>
                <m:r>
                  <m:rPr>
                    <m:sty m:val="p"/>
                  </m:rPr>
                  <w:rPr>
                    <w:rFonts w:ascii="Cambria Math" w:hAnsi="Cambria Math"/>
                  </w:rPr>
                  <m:t>k</m:t>
                </m:r>
                <m:ctrlPr>
                  <w:rPr>
                    <w:rFonts w:ascii="Cambria Math" w:hAnsi="Cambria Math"/>
                  </w:rPr>
                </m:ctrlPr>
              </m:den>
            </m:f>
            <m:r>
              <m:rPr>
                <m:sty m:val="p"/>
              </m:rPr>
              <w:rPr>
                <w:rFonts w:hint="eastAsia" w:ascii="Cambria Math" w:hAnsi="Cambria Math"/>
              </w:rPr>
              <m:t>+</m:t>
            </m:r>
            <m:sSup>
              <m:sSupPr>
                <m:ctrlPr>
                  <w:rPr>
                    <w:rFonts w:ascii="Cambria Math" w:hAnsi="Cambria Math"/>
                  </w:rPr>
                </m:ctrlPr>
              </m:sSupPr>
              <m:e>
                <m:r>
                  <m:rPr>
                    <m:sty m:val="p"/>
                  </m:rPr>
                  <w:rPr>
                    <w:rFonts w:ascii="Cambria Math" w:hAnsi="Cambria Math"/>
                  </w:rPr>
                  <m:t>tan</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hint="eastAsia" w:ascii="Cambria Math" w:hAnsi="Cambria Math"/>
              </w:rPr>
              <m:t>α)</m:t>
            </m:r>
            <m:ctrlPr>
              <w:rPr>
                <w:rFonts w:ascii="Cambria Math" w:hAnsi="Cambria Math"/>
              </w:rPr>
            </m:ctrlPr>
          </m:e>
          <m:sup>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2</m:t>
                </m:r>
                <m:ctrlPr>
                  <w:rPr>
                    <w:rFonts w:ascii="Cambria Math" w:hAnsi="Cambria Math"/>
                  </w:rPr>
                </m:ctrlPr>
              </m:den>
            </m:f>
            <m:ctrlPr>
              <w:rPr>
                <w:rFonts w:ascii="Cambria Math" w:hAnsi="Cambria Math"/>
              </w:rPr>
            </m:ctrlPr>
          </m:sup>
        </m:sSup>
        <m:r>
          <m:rPr>
            <m:sty m:val="p"/>
          </m:rPr>
          <w:rPr>
            <w:rFonts w:ascii="Cambria Math" w:hAnsi="Cambria Math"/>
          </w:rPr>
          <m:t>−</m:t>
        </m:r>
        <m:func>
          <m:funcPr>
            <m:ctrlPr>
              <w:rPr>
                <w:rFonts w:ascii="Cambria Math" w:hAnsi="Cambria Math"/>
              </w:rPr>
            </m:ctrlPr>
          </m:funcPr>
          <m:fName>
            <m:r>
              <m:rPr>
                <m:sty m:val="p"/>
              </m:rPr>
              <w:rPr>
                <w:rFonts w:ascii="Cambria Math" w:hAnsi="Cambria Math"/>
              </w:rPr>
              <m:t>tan</m:t>
            </m:r>
            <m:ctrlPr>
              <w:rPr>
                <w:rFonts w:ascii="Cambria Math" w:hAnsi="Cambria Math"/>
              </w:rPr>
            </m:ctrlPr>
          </m:fName>
          <m:e>
            <m:r>
              <m:rPr>
                <m:sty m:val="p"/>
              </m:rPr>
              <w:rPr>
                <w:rFonts w:hint="eastAsia" w:ascii="Cambria Math" w:hAnsi="Cambria Math"/>
              </w:rPr>
              <m:t>α</m:t>
            </m:r>
            <m:ctrlPr>
              <w:rPr>
                <w:rFonts w:ascii="Cambria Math" w:hAnsi="Cambria Math"/>
              </w:rPr>
            </m:ctrlPr>
          </m:e>
        </m:func>
        <m:r>
          <m:rPr>
            <m:sty m:val="p"/>
          </m:rPr>
          <w:rPr>
            <w:rFonts w:ascii="Cambria Math" w:hAnsi="Cambria Math"/>
          </w:rPr>
          <m:t>]</m:t>
        </m:r>
      </m:oMath>
      <w:r>
        <w:rPr>
          <w:rFonts w:ascii="Times New Roman"/>
        </w:rPr>
        <w:t xml:space="preserve"> </w:t>
      </w:r>
      <w:r>
        <w:rPr>
          <w:rFonts w:hint="eastAsia" w:ascii="Times New Roman"/>
        </w:rPr>
        <w:t xml:space="preserve">  </w:t>
      </w:r>
      <w:r>
        <w:rPr>
          <w:rFonts w:ascii="Times New Roman"/>
        </w:rPr>
        <w:t xml:space="preserve">  </w:t>
      </w:r>
      <w:r>
        <w:rPr>
          <w:rFonts w:hint="eastAsia" w:ascii="Times New Roman"/>
        </w:rPr>
        <w:t xml:space="preserve">             </w:t>
      </w:r>
      <w:r>
        <w:rPr>
          <w:rFonts w:ascii="Times New Roman"/>
        </w:rPr>
        <w:t xml:space="preserve">  </w:t>
      </w:r>
      <w:r>
        <w:rPr>
          <w:rFonts w:hint="eastAsia" w:ascii="Times New Roman"/>
        </w:rPr>
        <w:t xml:space="preserve">  （</w:t>
      </w:r>
      <w:r>
        <w:rPr>
          <w:rFonts w:hint="eastAsia" w:ascii="Times New Roman"/>
          <w:lang w:val="en-US" w:eastAsia="zh-CN"/>
        </w:rPr>
        <w:t>C</w:t>
      </w:r>
      <w:r>
        <w:rPr>
          <w:rFonts w:hint="eastAsia" w:ascii="Times New Roman"/>
        </w:rPr>
        <w:t>.2）</w:t>
      </w:r>
    </w:p>
    <w:p w14:paraId="3D44DBE8">
      <w:pPr>
        <w:pStyle w:val="83"/>
        <w:numPr>
          <w:ilvl w:val="1"/>
          <w:numId w:val="0"/>
        </w:numPr>
        <w:spacing w:before="120" w:after="120"/>
        <w:rPr>
          <w:rFonts w:ascii="Times New Roman"/>
        </w:rPr>
      </w:pPr>
      <w:bookmarkStart w:id="154" w:name="_Toc28869"/>
      <w:bookmarkStart w:id="155" w:name="_Toc8374"/>
      <w:bookmarkStart w:id="156" w:name="_Toc29954"/>
      <w:r>
        <w:rPr>
          <w:rFonts w:hint="eastAsia"/>
        </w:rPr>
        <w:t>C.3　</w:t>
      </w:r>
      <w:r>
        <w:rPr>
          <w:rFonts w:hint="eastAsia" w:ascii="Times New Roman"/>
        </w:rPr>
        <w:t>Giroud 92方法</w:t>
      </w:r>
      <w:bookmarkEnd w:id="154"/>
      <w:bookmarkEnd w:id="155"/>
      <w:bookmarkEnd w:id="156"/>
    </w:p>
    <w:p w14:paraId="15B5384A">
      <w:pPr>
        <w:pStyle w:val="61"/>
        <w:ind w:firstLine="420"/>
        <w:rPr>
          <w:rFonts w:ascii="Times New Roman"/>
        </w:rPr>
      </w:pPr>
      <w:r>
        <w:rPr>
          <w:rFonts w:hint="eastAsia" w:ascii="Times New Roman"/>
        </w:rPr>
        <w:t>Giroud等人推导的估算填埋场中防渗系统上方最大渗滤液水位公式具体形式如下所示：</w:t>
      </w:r>
    </w:p>
    <w:p w14:paraId="643D1CAA">
      <w:pPr>
        <w:pStyle w:val="61"/>
        <w:ind w:firstLine="420"/>
        <w:jc w:val="right"/>
        <w:rPr>
          <w:rFonts w:ascii="Times New Roman"/>
        </w:rPr>
      </w:pPr>
      <m:oMath>
        <m:sSub>
          <m:sSubPr>
            <m:ctrlPr>
              <w:rPr>
                <w:rFonts w:ascii="Cambria Math" w:hAnsi="Cambria Math"/>
              </w:rPr>
            </m:ctrlPr>
          </m:sSubPr>
          <m:e>
            <m:r>
              <m:rPr>
                <m:sty m:val="p"/>
              </m:rPr>
              <w:rPr>
                <w:rFonts w:hint="eastAsia" w:ascii="Cambria Math" w:hAnsi="Cambria Math"/>
              </w:rPr>
              <m:t>y</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=j×L</m:t>
        </m:r>
        <m:f>
          <m:fPr>
            <m:ctrlPr>
              <w:rPr>
                <w:rFonts w:ascii="Cambria Math" w:hAnsi="Cambria Math"/>
              </w:rPr>
            </m:ctrlPr>
          </m:fPr>
          <m:num>
            <m:rad>
              <m:radPr>
                <m:degHide m:val="1"/>
                <m:ctrlPr>
                  <w:rPr>
                    <w:rFonts w:ascii="Cambria Math" w:hAnsi="Cambria Math"/>
                  </w:rPr>
                </m:ctrlPr>
              </m:radPr>
              <m:deg>
                <m:ctrlPr>
                  <w:rPr>
                    <w:rFonts w:ascii="Cambria Math" w:hAnsi="Cambria Math"/>
                  </w:rPr>
                </m:ctrlPr>
              </m:deg>
              <m:e>
                <m:r>
                  <m:rPr>
                    <m:sty m:val="p"/>
                  </m:rPr>
                  <w:rPr>
                    <w:rFonts w:ascii="Cambria Math" w:hAnsi="Cambria Math"/>
                  </w:rPr>
                  <m:t>1+4λ</m:t>
                </m:r>
                <m:ctrlPr>
                  <w:rPr>
                    <w:rFonts w:ascii="Cambria Math" w:hAnsi="Cambria Math"/>
                  </w:rPr>
                </m:ctrlPr>
              </m:e>
            </m:rad>
            <m:r>
              <m:rPr>
                <m:sty m:val="p"/>
              </m:rPr>
              <w:rPr>
                <w:rFonts w:ascii="Cambria Math" w:hAnsi="Cambria Math"/>
              </w:rPr>
              <m:t>−1</m:t>
            </m:r>
            <m:ctrlPr>
              <w:rPr>
                <w:rFonts w:ascii="Cambria Math" w:hAnsi="Cambria Math"/>
              </w:rPr>
            </m:ctrlPr>
          </m:num>
          <m:den>
            <m:r>
              <m:rPr>
                <m:sty m:val="p"/>
              </m:rPr>
              <w:rPr>
                <w:rFonts w:ascii="Cambria Math" w:hAnsi="Cambria Math"/>
              </w:rPr>
              <m:t>2cos</m:t>
            </m:r>
            <m:r>
              <m:rPr>
                <m:sty m:val="p"/>
              </m:rPr>
              <w:rPr>
                <w:rFonts w:hint="eastAsia" w:ascii="Cambria Math" w:hAnsi="Cambria Math"/>
              </w:rPr>
              <m:t>α</m:t>
            </m:r>
            <m:ctrlPr>
              <w:rPr>
                <w:rFonts w:ascii="Cambria Math" w:hAnsi="Cambria Math"/>
              </w:rPr>
            </m:ctrlPr>
          </m:den>
        </m:f>
        <m:r>
          <m:rPr>
            <m:sty m:val="p"/>
          </m:rPr>
          <w:rPr>
            <w:rFonts w:ascii="Cambria Math" w:hAnsi="Cambria Math"/>
          </w:rPr>
          <m:t>×tan</m:t>
        </m:r>
        <m:r>
          <m:rPr>
            <m:sty m:val="p"/>
          </m:rPr>
          <w:rPr>
            <w:rFonts w:hint="eastAsia" w:ascii="Cambria Math" w:hAnsi="Cambria Math"/>
          </w:rPr>
          <m:t>α</m:t>
        </m:r>
      </m:oMath>
      <w:r>
        <w:rPr>
          <w:rFonts w:ascii="Times New Roman"/>
        </w:rPr>
        <w:t xml:space="preserve"> </w:t>
      </w:r>
      <w:r>
        <w:rPr>
          <w:rFonts w:hint="eastAsia" w:ascii="Times New Roman"/>
        </w:rPr>
        <w:t xml:space="preserve">  </w:t>
      </w:r>
      <w:r>
        <w:rPr>
          <w:rFonts w:ascii="Times New Roman"/>
        </w:rPr>
        <w:t xml:space="preserve">   </w:t>
      </w:r>
      <w:r>
        <w:rPr>
          <w:rFonts w:hint="eastAsia" w:ascii="Times New Roman"/>
        </w:rPr>
        <w:t xml:space="preserve">                </w:t>
      </w:r>
      <w:r>
        <w:rPr>
          <w:rFonts w:ascii="Times New Roman"/>
        </w:rPr>
        <w:t xml:space="preserve">    </w:t>
      </w:r>
      <w:r>
        <w:rPr>
          <w:rFonts w:hint="eastAsia" w:ascii="Times New Roman"/>
        </w:rPr>
        <w:t xml:space="preserve">  （</w:t>
      </w:r>
      <w:r>
        <w:rPr>
          <w:rFonts w:hint="eastAsia" w:ascii="Times New Roman"/>
          <w:lang w:val="en-US" w:eastAsia="zh-CN"/>
        </w:rPr>
        <w:t>C</w:t>
      </w:r>
      <w:r>
        <w:rPr>
          <w:rFonts w:hint="eastAsia" w:ascii="Times New Roman"/>
        </w:rPr>
        <w:t>.3）</w:t>
      </w:r>
    </w:p>
    <w:p w14:paraId="17817EED">
      <w:pPr>
        <w:pStyle w:val="61"/>
        <w:ind w:firstLine="420"/>
        <w:jc w:val="right"/>
        <w:rPr>
          <w:rFonts w:ascii="Times New Roman"/>
        </w:rPr>
      </w:pPr>
      <w:r>
        <w:rPr>
          <w:rFonts w:ascii="Times New Roman"/>
        </w:rPr>
        <w:t>j=1-0.12</w:t>
      </w:r>
      <m:oMath>
        <m:sSup>
          <m:sSupPr>
            <m:ctrlPr>
              <w:rPr>
                <w:rFonts w:ascii="Cambria Math" w:hAnsi="Cambria Math"/>
              </w:rPr>
            </m:ctrlPr>
          </m:sSupPr>
          <m:e>
            <m:r>
              <m:rPr>
                <m:sty m:val="p"/>
              </m:rPr>
              <w:rPr>
                <w:rFonts w:ascii="Cambria Math" w:hAnsi="Cambria Math"/>
              </w:rPr>
              <m:t>e</m:t>
            </m:r>
            <m:ctrlPr>
              <w:rPr>
                <w:rFonts w:ascii="Cambria Math" w:hAnsi="Cambria Math"/>
              </w:rPr>
            </m:ctrlPr>
          </m:e>
          <m:sup>
            <m:r>
              <m:rPr>
                <m:sty m:val="p"/>
              </m:rPr>
              <w:rPr>
                <w:rFonts w:ascii="Cambria Math" w:hAnsi="Cambria Math"/>
              </w:rPr>
              <m:t>−</m:t>
            </m:r>
            <m:sSup>
              <m:sSupPr>
                <m:ctrlPr>
                  <w:rPr>
                    <w:rFonts w:ascii="Cambria Math" w:hAnsi="Cambria Math"/>
                  </w:rPr>
                </m:ctrlPr>
              </m:sSupPr>
              <m:e>
                <m:r>
                  <m:rPr>
                    <m:sty m:val="p"/>
                  </m:rPr>
                  <w:rPr>
                    <w:rFonts w:ascii="Cambria Math" w:hAnsi="Cambria Math"/>
                  </w:rPr>
                  <m:t>[log⁡</m:t>
                </m:r>
                <m:sSup>
                  <m:sSupPr>
                    <m:ctrlPr>
                      <w:rPr>
                        <w:rFonts w:ascii="Cambria Math" w:hAnsi="Cambria Math"/>
                      </w:rPr>
                    </m:ctrlPr>
                  </m:sSupPr>
                  <m:e>
                    <m:f>
                      <m:fPr>
                        <m:ctrlPr>
                          <w:rPr>
                            <w:rFonts w:ascii="Cambria Math" w:hAnsi="Cambria Math"/>
                          </w:rPr>
                        </m:ctrlPr>
                      </m:fPr>
                      <m:num>
                        <m:r>
                          <m:rPr>
                            <m:sty m:val="p"/>
                          </m:rPr>
                          <w:rPr>
                            <w:rFonts w:ascii="Cambria Math" w:hAnsi="Cambria Math"/>
                          </w:rPr>
                          <m:t>8λ</m:t>
                        </m:r>
                        <m:ctrlPr>
                          <w:rPr>
                            <w:rFonts w:ascii="Cambria Math" w:hAnsi="Cambria Math"/>
                          </w:rPr>
                        </m:ctrlPr>
                      </m:num>
                      <m:den>
                        <m:r>
                          <m:rPr>
                            <m:sty m:val="p"/>
                          </m:rPr>
                          <w:rPr>
                            <w:rFonts w:ascii="Cambria Math" w:hAnsi="Cambria Math"/>
                          </w:rPr>
                          <m:t>5</m:t>
                        </m:r>
                        <m:ctrlPr>
                          <w:rPr>
                            <w:rFonts w:ascii="Cambria Math" w:hAnsi="Cambria Math"/>
                          </w:rPr>
                        </m:ctrlPr>
                      </m:den>
                    </m:f>
                    <m:ctrlPr>
                      <w:rPr>
                        <w:rFonts w:ascii="Cambria Math" w:hAnsi="Cambria Math"/>
                      </w:rPr>
                    </m:ctrlPr>
                  </m:e>
                  <m:sup>
                    <m:r>
                      <m:rPr>
                        <m:sty m:val="p"/>
                      </m:rPr>
                      <w:rPr>
                        <w:rFonts w:ascii="Cambria Math" w:hAnsi="Cambria Math"/>
                      </w:rPr>
                      <m:t>5/8</m:t>
                    </m:r>
                    <m:ctrlPr>
                      <w:rPr>
                        <w:rFonts w:ascii="Cambria Math" w:hAnsi="Cambria Math"/>
                      </w:rPr>
                    </m:ctrlPr>
                  </m:sup>
                </m:sSup>
                <m:r>
                  <m:rPr>
                    <m:sty m:val="p"/>
                  </m:rPr>
                  <w:rPr>
                    <w:rFonts w:ascii="Cambria Math" w:hAnsi="Cambria Math"/>
                  </w:rPr>
                  <m:t>]</m:t>
                </m:r>
                <m:ctrlPr>
                  <w:rPr>
                    <w:rFonts w:ascii="Cambria Math" w:hAnsi="Cambria Math"/>
                  </w:rPr>
                </m:ctrlPr>
              </m:e>
              <m:sup>
                <m:r>
                  <m:rPr>
                    <m:sty m:val="p"/>
                  </m:rPr>
                  <w:rPr>
                    <w:rFonts w:ascii="Cambria Math" w:hAnsi="Cambria Math"/>
                  </w:rPr>
                  <m:t>2</m:t>
                </m:r>
                <m:ctrlPr>
                  <w:rPr>
                    <w:rFonts w:ascii="Cambria Math" w:hAnsi="Cambria Math"/>
                  </w:rPr>
                </m:ctrlPr>
              </m:sup>
            </m:sSup>
            <m:ctrlPr>
              <w:rPr>
                <w:rFonts w:ascii="Cambria Math" w:hAnsi="Cambria Math"/>
              </w:rPr>
            </m:ctrlPr>
          </m:sup>
        </m:sSup>
      </m:oMath>
      <w:r>
        <w:rPr>
          <w:rFonts w:ascii="Times New Roman"/>
        </w:rPr>
        <w:t xml:space="preserve"> </w:t>
      </w:r>
      <w:r>
        <w:rPr>
          <w:rFonts w:hint="eastAsia" w:ascii="Times New Roman"/>
        </w:rPr>
        <w:t xml:space="preserve">  </w:t>
      </w:r>
      <w:r>
        <w:rPr>
          <w:rFonts w:ascii="Times New Roman"/>
        </w:rPr>
        <w:t xml:space="preserve">       </w:t>
      </w:r>
      <w:r>
        <w:rPr>
          <w:rFonts w:hint="eastAsia" w:ascii="Times New Roman"/>
        </w:rPr>
        <w:t xml:space="preserve">              </w:t>
      </w:r>
      <w:r>
        <w:rPr>
          <w:rFonts w:ascii="Times New Roman"/>
        </w:rPr>
        <w:t xml:space="preserve"> </w:t>
      </w:r>
      <w:r>
        <w:rPr>
          <w:rFonts w:hint="eastAsia" w:ascii="Times New Roman"/>
        </w:rPr>
        <w:t xml:space="preserve"> </w:t>
      </w:r>
      <w:r>
        <w:rPr>
          <w:rFonts w:ascii="Times New Roman"/>
        </w:rPr>
        <w:t xml:space="preserve">   </w:t>
      </w:r>
      <w:r>
        <w:rPr>
          <w:rFonts w:hint="eastAsia" w:ascii="Times New Roman"/>
        </w:rPr>
        <w:t xml:space="preserve"> （</w:t>
      </w:r>
      <w:r>
        <w:rPr>
          <w:rFonts w:hint="eastAsia" w:ascii="Times New Roman"/>
          <w:lang w:val="en-US" w:eastAsia="zh-CN"/>
        </w:rPr>
        <w:t>C</w:t>
      </w:r>
      <w:r>
        <w:rPr>
          <w:rFonts w:hint="eastAsia" w:ascii="Times New Roman"/>
        </w:rPr>
        <w:t>.4）</w:t>
      </w:r>
    </w:p>
    <w:p w14:paraId="5DEF036B">
      <w:pPr>
        <w:pStyle w:val="61"/>
        <w:ind w:firstLine="420"/>
        <w:rPr>
          <w:rFonts w:ascii="Times New Roman"/>
        </w:rPr>
      </w:pPr>
      <w:r>
        <w:rPr>
          <w:rFonts w:hint="eastAsia" w:ascii="Times New Roman"/>
        </w:rPr>
        <w:t>式中：</w:t>
      </w:r>
      <m:oMath>
        <m:r>
          <m:rPr>
            <m:sty m:val="p"/>
          </m:rPr>
          <w:rPr>
            <w:rFonts w:ascii="Cambria Math" w:hAnsi="Cambria Math"/>
          </w:rPr>
          <m:t>λ=</m:t>
        </m:r>
        <m:f>
          <m:fPr>
            <m:ctrlPr>
              <w:rPr>
                <w:rFonts w:ascii="Cambria Math" w:hAnsi="Cambria Math"/>
              </w:rPr>
            </m:ctrlPr>
          </m:fPr>
          <m:num>
            <m:r>
              <m:rPr>
                <m:sty m:val="p"/>
              </m:rPr>
              <w:rPr>
                <w:rFonts w:ascii="Cambria Math" w:hAnsi="Cambria Math"/>
              </w:rPr>
              <m:t>r</m:t>
            </m:r>
            <m:ctrlPr>
              <w:rPr>
                <w:rFonts w:ascii="Cambria Math" w:hAnsi="Cambria Math"/>
              </w:rPr>
            </m:ctrlPr>
          </m:num>
          <m:den>
            <m:r>
              <m:rPr>
                <m:sty m:val="p"/>
              </m:rPr>
              <w:rPr>
                <w:rFonts w:ascii="Cambria Math" w:hAnsi="Cambria Math"/>
              </w:rPr>
              <m:t>k×</m:t>
            </m:r>
            <m:sSup>
              <m:sSupPr>
                <m:ctrlPr>
                  <w:rPr>
                    <w:rFonts w:ascii="Cambria Math" w:hAnsi="Cambria Math"/>
                  </w:rPr>
                </m:ctrlPr>
              </m:sSupPr>
              <m:e>
                <m:r>
                  <m:rPr>
                    <m:sty m:val="p"/>
                  </m:rPr>
                  <w:rPr>
                    <w:rFonts w:ascii="Cambria Math" w:hAnsi="Cambria Math"/>
                  </w:rPr>
                  <m:t>tan</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hint="eastAsia" w:ascii="Cambria Math" w:hAnsi="Cambria Math"/>
              </w:rPr>
              <m:t>α</m:t>
            </m:r>
            <m:ctrlPr>
              <w:rPr>
                <w:rFonts w:ascii="Cambria Math" w:hAnsi="Cambria Math"/>
              </w:rPr>
            </m:ctrlPr>
          </m:den>
        </m:f>
      </m:oMath>
      <w:r>
        <w:rPr>
          <w:rFonts w:hint="eastAsia" w:ascii="Times New Roman"/>
        </w:rPr>
        <w:t xml:space="preserve">  —特征参数，表征了渗滤液供给和导排特征；</w:t>
      </w:r>
    </w:p>
    <w:p w14:paraId="3562F7FD">
      <w:pPr>
        <w:pStyle w:val="83"/>
        <w:numPr>
          <w:ilvl w:val="1"/>
          <w:numId w:val="0"/>
        </w:numPr>
        <w:spacing w:before="120" w:after="120"/>
        <w:rPr>
          <w:rFonts w:ascii="Times New Roman"/>
        </w:rPr>
      </w:pPr>
      <w:bookmarkStart w:id="157" w:name="_Toc12319"/>
      <w:bookmarkStart w:id="158" w:name="_Toc15240"/>
      <w:bookmarkStart w:id="159" w:name="_Toc28923"/>
      <w:r>
        <w:rPr>
          <w:rFonts w:hint="eastAsia"/>
        </w:rPr>
        <w:t>C.4　</w:t>
      </w:r>
      <w:r>
        <w:rPr>
          <w:rFonts w:hint="eastAsia" w:ascii="Times New Roman"/>
        </w:rPr>
        <w:t>McEnroe 93方法</w:t>
      </w:r>
      <w:bookmarkEnd w:id="157"/>
      <w:bookmarkEnd w:id="158"/>
      <w:bookmarkEnd w:id="159"/>
    </w:p>
    <w:p w14:paraId="30D06FC4">
      <w:pPr>
        <w:pStyle w:val="61"/>
        <w:ind w:firstLine="420"/>
        <w:rPr>
          <w:rFonts w:ascii="Times New Roman"/>
        </w:rPr>
      </w:pPr>
      <w:r>
        <w:rPr>
          <w:rFonts w:hint="eastAsia" w:ascii="Times New Roman"/>
        </w:rPr>
        <w:t>McEnroe在1993根据DuPuit假定的扩展形式建立了防渗系统上方渗滤液水头分布的控制方程，并推导了最大渗滤液水头计算的解析解公式如下:</w:t>
      </w:r>
    </w:p>
    <w:p w14:paraId="475C7749">
      <w:pPr>
        <w:pStyle w:val="61"/>
        <w:ind w:firstLine="420"/>
        <w:rPr>
          <w:rFonts w:ascii="Times New Roman"/>
        </w:rPr>
      </w:pPr>
      <w:r>
        <w:rPr>
          <w:rFonts w:hint="eastAsia" w:ascii="Times New Roman"/>
        </w:rPr>
        <w:t>如果R＜0.25，</w:t>
      </w:r>
      <m:oMath>
        <m:sSub>
          <m:sSubPr>
            <m:ctrlPr>
              <w:rPr>
                <w:rFonts w:hint="eastAsia" w:ascii="Cambria Math" w:hAnsi="Cambria Math"/>
              </w:rPr>
            </m:ctrlPr>
          </m:sSubPr>
          <m:e>
            <m:r>
              <m:rPr>
                <m:sty m:val="p"/>
              </m:rPr>
              <w:rPr>
                <w:rFonts w:hint="eastAsia" w:ascii="Cambria Math" w:hAnsi="Cambria Math"/>
              </w:rPr>
              <m:t>y</m:t>
            </m:r>
            <m:ctrlPr>
              <w:rPr>
                <w:rFonts w:hint="eastAsia" w:ascii="Cambria Math" w:hAnsi="Cambria Math"/>
              </w:rPr>
            </m:ctrlPr>
          </m:e>
          <m:sub>
            <m:r>
              <m:rPr>
                <m:sty m:val="p"/>
              </m:rPr>
              <w:rPr>
                <w:rFonts w:hint="eastAsia" w:ascii="Cambria Math" w:hAnsi="Cambria Math"/>
              </w:rPr>
              <m:t>max</m:t>
            </m:r>
            <m:ctrlPr>
              <w:rPr>
                <w:rFonts w:hint="eastAsia" w:ascii="Cambria Math" w:hAnsi="Cambria Math"/>
              </w:rPr>
            </m:ctrlPr>
          </m:sub>
        </m:sSub>
      </m:oMath>
      <w:r>
        <w:rPr>
          <w:rFonts w:hint="eastAsia" w:ascii="Times New Roman"/>
        </w:rPr>
        <w:t>根据下式计算：</w:t>
      </w:r>
    </w:p>
    <w:p w14:paraId="4159177E">
      <w:pPr>
        <w:pStyle w:val="61"/>
        <w:ind w:firstLine="420"/>
        <w:jc w:val="right"/>
        <w:rPr>
          <w:rFonts w:ascii="Times New Roman"/>
        </w:rPr>
      </w:pPr>
      <m:oMath>
        <m:sSub>
          <m:sSubPr>
            <m:ctrlPr>
              <w:rPr>
                <w:rFonts w:hint="eastAsia" w:ascii="Cambria Math" w:hAnsi="Cambria Math"/>
              </w:rPr>
            </m:ctrlPr>
          </m:sSubPr>
          <m:e>
            <m:r>
              <m:rPr>
                <m:sty m:val="p"/>
              </m:rPr>
              <w:rPr>
                <w:rFonts w:hint="eastAsia" w:ascii="Cambria Math" w:hAnsi="Cambria Math"/>
              </w:rPr>
              <m:t>y</m:t>
            </m:r>
            <m:ctrlPr>
              <w:rPr>
                <w:rFonts w:hint="eastAsia" w:ascii="Cambria Math" w:hAnsi="Cambria Math"/>
              </w:rPr>
            </m:ctrlPr>
          </m:e>
          <m:sub>
            <m:r>
              <m:rPr>
                <m:sty m:val="p"/>
              </m:rPr>
              <w:rPr>
                <w:rFonts w:hint="eastAsia" w:ascii="Cambria Math" w:hAnsi="Cambria Math"/>
              </w:rPr>
              <m:t>max</m:t>
            </m:r>
            <m:ctrlPr>
              <w:rPr>
                <w:rFonts w:hint="eastAsia" w:ascii="Cambria Math" w:hAnsi="Cambria Math"/>
              </w:rPr>
            </m:ctrlPr>
          </m:sub>
        </m:sSub>
        <m:r>
          <m:rPr>
            <m:sty m:val="p"/>
          </m:rPr>
          <w:rPr>
            <w:rFonts w:hint="eastAsia" w:ascii="Cambria Math" w:hAnsi="Cambria Math"/>
          </w:rPr>
          <m:t>=LS×</m:t>
        </m:r>
        <m:sSup>
          <m:sSupPr>
            <m:ctrlPr>
              <w:rPr>
                <w:rFonts w:hint="eastAsia" w:ascii="Cambria Math" w:hAnsi="Cambria Math"/>
              </w:rPr>
            </m:ctrlPr>
          </m:sSupPr>
          <m:e>
            <m:r>
              <m:rPr>
                <m:sty m:val="p"/>
              </m:rPr>
              <w:rPr>
                <w:rFonts w:hint="eastAsia" w:ascii="Cambria Math" w:hAnsi="Cambria Math"/>
              </w:rPr>
              <m:t>（R−RS+</m:t>
            </m:r>
            <m:sSup>
              <m:sSupPr>
                <m:ctrlPr>
                  <w:rPr>
                    <w:rFonts w:hint="eastAsia" w:ascii="Cambria Math" w:hAnsi="Cambria Math"/>
                  </w:rPr>
                </m:ctrlPr>
              </m:sSupPr>
              <m:e>
                <m:r>
                  <m:rPr>
                    <m:sty m:val="p"/>
                  </m:rPr>
                  <w:rPr>
                    <w:rFonts w:hint="eastAsia" w:ascii="Cambria Math" w:hAnsi="Cambria Math"/>
                  </w:rPr>
                  <m:t>R</m:t>
                </m:r>
                <m:ctrlPr>
                  <w:rPr>
                    <w:rFonts w:hint="eastAsia" w:ascii="Cambria Math" w:hAnsi="Cambria Math"/>
                  </w:rPr>
                </m:ctrlPr>
              </m:e>
              <m:sup>
                <m:r>
                  <m:rPr>
                    <m:sty m:val="p"/>
                  </m:rPr>
                  <w:rPr>
                    <w:rFonts w:hint="eastAsia" w:ascii="Cambria Math" w:hAnsi="Cambria Math"/>
                  </w:rPr>
                  <m:t>2</m:t>
                </m:r>
                <m:ctrlPr>
                  <w:rPr>
                    <w:rFonts w:hint="eastAsia" w:ascii="Cambria Math" w:hAnsi="Cambria Math"/>
                  </w:rPr>
                </m:ctrlPr>
              </m:sup>
            </m:sSup>
            <m:sSup>
              <m:sSupPr>
                <m:ctrlPr>
                  <w:rPr>
                    <w:rFonts w:hint="eastAsia" w:ascii="Cambria Math" w:hAnsi="Cambria Math"/>
                  </w:rPr>
                </m:ctrlPr>
              </m:sSupPr>
              <m:e>
                <m:r>
                  <m:rPr>
                    <m:sty m:val="p"/>
                  </m:rPr>
                  <w:rPr>
                    <w:rFonts w:hint="eastAsia" w:ascii="Cambria Math" w:hAnsi="Cambria Math"/>
                  </w:rPr>
                  <m:t>S</m:t>
                </m:r>
                <m:ctrlPr>
                  <w:rPr>
                    <w:rFonts w:hint="eastAsia" w:ascii="Cambria Math" w:hAnsi="Cambria Math"/>
                  </w:rPr>
                </m:ctrlPr>
              </m:e>
              <m:sup>
                <m:r>
                  <m:rPr>
                    <m:sty m:val="p"/>
                  </m:rPr>
                  <w:rPr>
                    <w:rFonts w:hint="eastAsia" w:ascii="Cambria Math" w:hAnsi="Cambria Math"/>
                  </w:rPr>
                  <m:t>2</m:t>
                </m:r>
                <m:ctrlPr>
                  <w:rPr>
                    <w:rFonts w:hint="eastAsia" w:ascii="Cambria Math" w:hAnsi="Cambria Math"/>
                  </w:rPr>
                </m:ctrlPr>
              </m:sup>
            </m:sSup>
            <m:r>
              <m:rPr>
                <m:sty m:val="p"/>
              </m:rPr>
              <w:rPr>
                <w:rFonts w:hint="eastAsia" w:ascii="Cambria Math" w:hAnsi="Cambria Math"/>
              </w:rPr>
              <m:t>)</m:t>
            </m:r>
            <m:ctrlPr>
              <w:rPr>
                <w:rFonts w:hint="eastAsia" w:ascii="Cambria Math" w:hAnsi="Cambria Math"/>
              </w:rPr>
            </m:ctrlPr>
          </m:e>
          <m:sup>
            <m:f>
              <m:fPr>
                <m:ctrlPr>
                  <w:rPr>
                    <w:rFonts w:hint="eastAsia" w:ascii="Cambria Math" w:hAnsi="Cambria Math"/>
                  </w:rPr>
                </m:ctrlPr>
              </m:fPr>
              <m:num>
                <m:r>
                  <m:rPr>
                    <m:sty m:val="p"/>
                  </m:rPr>
                  <w:rPr>
                    <w:rFonts w:hint="eastAsia" w:ascii="Cambria Math" w:hAnsi="Cambria Math"/>
                  </w:rPr>
                  <m:t>1</m:t>
                </m:r>
                <m:ctrlPr>
                  <w:rPr>
                    <w:rFonts w:hint="eastAsia" w:ascii="Cambria Math" w:hAnsi="Cambria Math"/>
                  </w:rPr>
                </m:ctrlPr>
              </m:num>
              <m:den>
                <m:r>
                  <m:rPr>
                    <m:sty m:val="p"/>
                  </m:rPr>
                  <w:rPr>
                    <w:rFonts w:hint="eastAsia" w:ascii="Cambria Math" w:hAnsi="Cambria Math"/>
                  </w:rPr>
                  <m:t>2</m:t>
                </m:r>
                <m:ctrlPr>
                  <w:rPr>
                    <w:rFonts w:hint="eastAsia" w:ascii="Cambria Math" w:hAnsi="Cambria Math"/>
                  </w:rPr>
                </m:ctrlPr>
              </m:den>
            </m:f>
            <m:ctrlPr>
              <w:rPr>
                <w:rFonts w:hint="eastAsia" w:ascii="Cambria Math" w:hAnsi="Cambria Math"/>
              </w:rPr>
            </m:ctrlPr>
          </m:sup>
        </m:sSup>
        <m:r>
          <m:rPr>
            <m:sty m:val="p"/>
          </m:rPr>
          <w:rPr>
            <w:rFonts w:hint="eastAsia" w:ascii="Cambria Math" w:hAnsi="Cambria Math"/>
          </w:rPr>
          <m:t>×</m:t>
        </m:r>
        <m:sSup>
          <m:sSupPr>
            <m:ctrlPr>
              <w:rPr>
                <w:rFonts w:hint="eastAsia" w:ascii="Cambria Math" w:hAnsi="Cambria Math"/>
              </w:rPr>
            </m:ctrlPr>
          </m:sSupPr>
          <m:e>
            <m:r>
              <m:rPr>
                <m:sty m:val="p"/>
              </m:rPr>
              <w:rPr>
                <w:rFonts w:hint="eastAsia" w:ascii="Cambria Math" w:hAnsi="Cambria Math"/>
              </w:rPr>
              <m:t>[</m:t>
            </m:r>
            <m:f>
              <m:fPr>
                <m:ctrlPr>
                  <w:rPr>
                    <w:rFonts w:hint="eastAsia" w:ascii="Cambria Math" w:hAnsi="Cambria Math"/>
                  </w:rPr>
                </m:ctrlPr>
              </m:fPr>
              <m:num>
                <m:d>
                  <m:dPr>
                    <m:ctrlPr>
                      <w:rPr>
                        <w:rFonts w:hint="eastAsia" w:ascii="Cambria Math" w:hAnsi="Cambria Math"/>
                      </w:rPr>
                    </m:ctrlPr>
                  </m:dPr>
                  <m:e>
                    <m:r>
                      <m:rPr>
                        <m:sty m:val="p"/>
                      </m:rPr>
                      <w:rPr>
                        <w:rFonts w:hint="eastAsia" w:ascii="Cambria Math" w:hAnsi="Cambria Math"/>
                      </w:rPr>
                      <m:t>1−A−2R</m:t>
                    </m:r>
                    <m:ctrlPr>
                      <w:rPr>
                        <w:rFonts w:hint="eastAsia" w:ascii="Cambria Math" w:hAnsi="Cambria Math"/>
                      </w:rPr>
                    </m:ctrlPr>
                  </m:e>
                </m:d>
                <m:d>
                  <m:dPr>
                    <m:ctrlPr>
                      <w:rPr>
                        <w:rFonts w:hint="eastAsia" w:ascii="Cambria Math" w:hAnsi="Cambria Math"/>
                      </w:rPr>
                    </m:ctrlPr>
                  </m:dPr>
                  <m:e>
                    <m:r>
                      <m:rPr>
                        <m:sty m:val="p"/>
                      </m:rPr>
                      <w:rPr>
                        <w:rFonts w:hint="eastAsia" w:ascii="Cambria Math" w:hAnsi="Cambria Math"/>
                      </w:rPr>
                      <m:t>1+A−2RS</m:t>
                    </m:r>
                    <m:ctrlPr>
                      <w:rPr>
                        <w:rFonts w:hint="eastAsia" w:ascii="Cambria Math" w:hAnsi="Cambria Math"/>
                      </w:rPr>
                    </m:ctrlPr>
                  </m:e>
                </m:d>
                <m:ctrlPr>
                  <w:rPr>
                    <w:rFonts w:hint="eastAsia" w:ascii="Cambria Math" w:hAnsi="Cambria Math"/>
                  </w:rPr>
                </m:ctrlPr>
              </m:num>
              <m:den>
                <m:r>
                  <m:rPr>
                    <m:sty m:val="p"/>
                  </m:rPr>
                  <w:rPr>
                    <w:rFonts w:hint="eastAsia" w:ascii="Cambria Math" w:hAnsi="Cambria Math"/>
                  </w:rPr>
                  <m:t>(1+A−2R)(1−A−2RS</m:t>
                </m:r>
                <m:ctrlPr>
                  <w:rPr>
                    <w:rFonts w:hint="eastAsia" w:ascii="Cambria Math" w:hAnsi="Cambria Math"/>
                  </w:rPr>
                </m:ctrlPr>
              </m:den>
            </m:f>
            <m:r>
              <m:rPr>
                <m:sty m:val="p"/>
              </m:rPr>
              <w:rPr>
                <w:rFonts w:hint="eastAsia" w:ascii="Cambria Math" w:hAnsi="Cambria Math"/>
              </w:rPr>
              <m:t>]</m:t>
            </m:r>
            <m:ctrlPr>
              <w:rPr>
                <w:rFonts w:hint="eastAsia" w:ascii="Cambria Math" w:hAnsi="Cambria Math"/>
              </w:rPr>
            </m:ctrlPr>
          </m:e>
          <m:sup>
            <m:f>
              <m:fPr>
                <m:ctrlPr>
                  <w:rPr>
                    <w:rFonts w:hint="eastAsia" w:ascii="Cambria Math" w:hAnsi="Cambria Math"/>
                  </w:rPr>
                </m:ctrlPr>
              </m:fPr>
              <m:num>
                <m:r>
                  <m:rPr>
                    <m:sty m:val="p"/>
                  </m:rPr>
                  <w:rPr>
                    <w:rFonts w:hint="eastAsia" w:ascii="Cambria Math" w:hAnsi="Cambria Math"/>
                  </w:rPr>
                  <m:t>1</m:t>
                </m:r>
                <m:ctrlPr>
                  <w:rPr>
                    <w:rFonts w:hint="eastAsia" w:ascii="Cambria Math" w:hAnsi="Cambria Math"/>
                  </w:rPr>
                </m:ctrlPr>
              </m:num>
              <m:den>
                <m:r>
                  <m:rPr>
                    <m:sty m:val="p"/>
                  </m:rPr>
                  <w:rPr>
                    <w:rFonts w:hint="eastAsia" w:ascii="Cambria Math" w:hAnsi="Cambria Math"/>
                  </w:rPr>
                  <m:t>2A</m:t>
                </m:r>
                <m:ctrlPr>
                  <w:rPr>
                    <w:rFonts w:hint="eastAsia" w:ascii="Cambria Math" w:hAnsi="Cambria Math"/>
                  </w:rPr>
                </m:ctrlPr>
              </m:den>
            </m:f>
            <m:ctrlPr>
              <w:rPr>
                <w:rFonts w:hint="eastAsia" w:ascii="Cambria Math" w:hAnsi="Cambria Math"/>
              </w:rPr>
            </m:ctrlPr>
          </m:sup>
        </m:sSup>
      </m:oMath>
      <w:r>
        <w:rPr>
          <w:rFonts w:hint="eastAsia" w:ascii="Times New Roman"/>
        </w:rPr>
        <w:t xml:space="preserve">             （</w:t>
      </w:r>
      <w:r>
        <w:rPr>
          <w:rFonts w:hint="eastAsia" w:ascii="Times New Roman"/>
          <w:lang w:val="en-US" w:eastAsia="zh-CN"/>
        </w:rPr>
        <w:t>C</w:t>
      </w:r>
      <w:r>
        <w:rPr>
          <w:rFonts w:hint="eastAsia" w:ascii="Times New Roman"/>
        </w:rPr>
        <w:t>.5）</w:t>
      </w:r>
    </w:p>
    <w:p w14:paraId="11E70CCD">
      <w:pPr>
        <w:pStyle w:val="61"/>
        <w:ind w:firstLine="420"/>
        <w:rPr>
          <w:rFonts w:ascii="Times New Roman"/>
        </w:rPr>
      </w:pPr>
      <w:r>
        <w:rPr>
          <w:rFonts w:hint="eastAsia" w:ascii="Times New Roman"/>
        </w:rPr>
        <w:t>如果R=0.25，</w:t>
      </w:r>
      <m:oMath>
        <m:sSub>
          <m:sSubPr>
            <m:ctrlPr>
              <w:rPr>
                <w:rFonts w:hint="eastAsia" w:ascii="Cambria Math" w:hAnsi="Cambria Math"/>
              </w:rPr>
            </m:ctrlPr>
          </m:sSubPr>
          <m:e>
            <m:r>
              <m:rPr>
                <m:sty m:val="p"/>
              </m:rPr>
              <w:rPr>
                <w:rFonts w:hint="eastAsia" w:ascii="Cambria Math" w:hAnsi="Cambria Math"/>
              </w:rPr>
              <m:t>y</m:t>
            </m:r>
            <m:ctrlPr>
              <w:rPr>
                <w:rFonts w:hint="eastAsia" w:ascii="Cambria Math" w:hAnsi="Cambria Math"/>
              </w:rPr>
            </m:ctrlPr>
          </m:e>
          <m:sub>
            <m:r>
              <m:rPr>
                <m:sty m:val="p"/>
              </m:rPr>
              <w:rPr>
                <w:rFonts w:hint="eastAsia" w:ascii="Cambria Math" w:hAnsi="Cambria Math"/>
              </w:rPr>
              <m:t>max</m:t>
            </m:r>
            <m:ctrlPr>
              <w:rPr>
                <w:rFonts w:hint="eastAsia" w:ascii="Cambria Math" w:hAnsi="Cambria Math"/>
              </w:rPr>
            </m:ctrlPr>
          </m:sub>
        </m:sSub>
      </m:oMath>
      <w:r>
        <w:rPr>
          <w:rFonts w:hint="eastAsia" w:ascii="Times New Roman"/>
        </w:rPr>
        <w:t>根据下式计算：</w:t>
      </w:r>
    </w:p>
    <w:p w14:paraId="67E2C7A6">
      <w:pPr>
        <w:pStyle w:val="61"/>
        <w:ind w:firstLine="420"/>
        <w:jc w:val="right"/>
        <w:rPr>
          <w:rFonts w:ascii="Times New Roman"/>
        </w:rPr>
      </w:pPr>
      <m:oMath>
        <m:sSub>
          <m:sSubPr>
            <m:ctrlPr>
              <w:rPr>
                <w:rFonts w:hint="eastAsia" w:ascii="Cambria Math" w:hAnsi="Cambria Math"/>
              </w:rPr>
            </m:ctrlPr>
          </m:sSubPr>
          <m:e>
            <m:r>
              <m:rPr>
                <m:sty m:val="p"/>
              </m:rPr>
              <w:rPr>
                <w:rFonts w:hint="eastAsia" w:ascii="Cambria Math" w:hAnsi="Cambria Math"/>
              </w:rPr>
              <m:t>y</m:t>
            </m:r>
            <m:ctrlPr>
              <w:rPr>
                <w:rFonts w:hint="eastAsia" w:ascii="Cambria Math" w:hAnsi="Cambria Math"/>
              </w:rPr>
            </m:ctrlPr>
          </m:e>
          <m:sub>
            <m:r>
              <m:rPr>
                <m:sty m:val="p"/>
              </m:rPr>
              <w:rPr>
                <w:rFonts w:hint="eastAsia" w:ascii="Cambria Math" w:hAnsi="Cambria Math"/>
              </w:rPr>
              <m:t>max</m:t>
            </m:r>
            <m:ctrlPr>
              <w:rPr>
                <w:rFonts w:hint="eastAsia" w:ascii="Cambria Math" w:hAnsi="Cambria Math"/>
              </w:rPr>
            </m:ctrlPr>
          </m:sub>
        </m:sSub>
        <m:r>
          <m:rPr>
            <m:sty m:val="p"/>
          </m:rPr>
          <w:rPr>
            <w:rFonts w:hint="eastAsia" w:ascii="Cambria Math" w:hAnsi="Cambria Math"/>
          </w:rPr>
          <m:t>=LSR×</m:t>
        </m:r>
        <m:f>
          <m:fPr>
            <m:ctrlPr>
              <w:rPr>
                <w:rFonts w:hint="eastAsia" w:ascii="Cambria Math" w:hAnsi="Cambria Math"/>
              </w:rPr>
            </m:ctrlPr>
          </m:fPr>
          <m:num>
            <m:r>
              <m:rPr>
                <m:sty m:val="p"/>
              </m:rPr>
              <w:rPr>
                <w:rFonts w:hint="eastAsia" w:ascii="Cambria Math" w:hAnsi="Cambria Math"/>
              </w:rPr>
              <m:t>1−2RS</m:t>
            </m:r>
            <m:ctrlPr>
              <w:rPr>
                <w:rFonts w:hint="eastAsia" w:ascii="Cambria Math" w:hAnsi="Cambria Math"/>
              </w:rPr>
            </m:ctrlPr>
          </m:num>
          <m:den>
            <m:r>
              <m:rPr>
                <m:sty m:val="p"/>
              </m:rPr>
              <w:rPr>
                <w:rFonts w:hint="eastAsia" w:ascii="Cambria Math" w:hAnsi="Cambria Math"/>
              </w:rPr>
              <m:t>1−2R</m:t>
            </m:r>
            <m:ctrlPr>
              <w:rPr>
                <w:rFonts w:hint="eastAsia" w:ascii="Cambria Math" w:hAnsi="Cambria Math"/>
              </w:rPr>
            </m:ctrlPr>
          </m:den>
        </m:f>
        <m:r>
          <m:rPr>
            <m:sty m:val="p"/>
          </m:rPr>
          <w:rPr>
            <w:rFonts w:hint="eastAsia" w:ascii="Cambria Math" w:hAnsi="Cambria Math"/>
          </w:rPr>
          <m:t>EXP[</m:t>
        </m:r>
        <m:f>
          <m:fPr>
            <m:ctrlPr>
              <w:rPr>
                <w:rFonts w:hint="eastAsia" w:ascii="Cambria Math" w:hAnsi="Cambria Math"/>
              </w:rPr>
            </m:ctrlPr>
          </m:fPr>
          <m:num>
            <m:r>
              <m:rPr>
                <m:sty m:val="p"/>
              </m:rPr>
              <w:rPr>
                <w:rFonts w:hint="eastAsia" w:ascii="Cambria Math" w:hAnsi="Cambria Math"/>
              </w:rPr>
              <m:t>2R(S−1)</m:t>
            </m:r>
            <m:ctrlPr>
              <w:rPr>
                <w:rFonts w:hint="eastAsia" w:ascii="Cambria Math" w:hAnsi="Cambria Math"/>
              </w:rPr>
            </m:ctrlPr>
          </m:num>
          <m:den>
            <m:r>
              <m:rPr>
                <m:sty m:val="p"/>
              </m:rPr>
              <w:rPr>
                <w:rFonts w:hint="eastAsia" w:ascii="Cambria Math" w:hAnsi="Cambria Math"/>
              </w:rPr>
              <m:t>(1−2R)(1−2RS)</m:t>
            </m:r>
            <m:ctrlPr>
              <w:rPr>
                <w:rFonts w:hint="eastAsia" w:ascii="Cambria Math" w:hAnsi="Cambria Math"/>
              </w:rPr>
            </m:ctrlPr>
          </m:den>
        </m:f>
        <m:r>
          <m:rPr>
            <m:sty m:val="p"/>
          </m:rPr>
          <w:rPr>
            <w:rFonts w:hint="eastAsia" w:ascii="Cambria Math" w:hAnsi="Cambria Math"/>
          </w:rPr>
          <m:t>]</m:t>
        </m:r>
      </m:oMath>
      <w:r>
        <w:rPr>
          <w:rFonts w:hint="eastAsia" w:ascii="Times New Roman"/>
        </w:rPr>
        <w:t xml:space="preserve">                   （</w:t>
      </w:r>
      <w:r>
        <w:rPr>
          <w:rFonts w:hint="eastAsia" w:ascii="Times New Roman"/>
          <w:lang w:val="en-US" w:eastAsia="zh-CN"/>
        </w:rPr>
        <w:t>C</w:t>
      </w:r>
      <w:r>
        <w:rPr>
          <w:rFonts w:hint="eastAsia" w:ascii="Times New Roman"/>
        </w:rPr>
        <w:t>.</w:t>
      </w:r>
      <w:r>
        <w:rPr>
          <w:rFonts w:hint="eastAsia" w:ascii="Times New Roman"/>
          <w:lang w:val="en-US" w:eastAsia="zh-CN"/>
        </w:rPr>
        <w:t>6</w:t>
      </w:r>
      <w:r>
        <w:rPr>
          <w:rFonts w:hint="eastAsia" w:ascii="Times New Roman"/>
        </w:rPr>
        <w:t>）</w:t>
      </w:r>
    </w:p>
    <w:p w14:paraId="02120778">
      <w:pPr>
        <w:pStyle w:val="61"/>
        <w:ind w:firstLine="420"/>
        <w:rPr>
          <w:rFonts w:ascii="Times New Roman"/>
        </w:rPr>
      </w:pPr>
      <w:r>
        <w:rPr>
          <w:rFonts w:hint="eastAsia" w:ascii="Times New Roman"/>
        </w:rPr>
        <w:t>如果R＞0.25，</w:t>
      </w:r>
      <m:oMath>
        <m:sSub>
          <m:sSubPr>
            <m:ctrlPr>
              <w:rPr>
                <w:rFonts w:hint="eastAsia" w:ascii="Cambria Math" w:hAnsi="Cambria Math"/>
              </w:rPr>
            </m:ctrlPr>
          </m:sSubPr>
          <m:e>
            <m:r>
              <m:rPr>
                <m:sty m:val="p"/>
              </m:rPr>
              <w:rPr>
                <w:rFonts w:hint="eastAsia" w:ascii="Cambria Math" w:hAnsi="Cambria Math"/>
              </w:rPr>
              <m:t>y</m:t>
            </m:r>
            <m:ctrlPr>
              <w:rPr>
                <w:rFonts w:hint="eastAsia" w:ascii="Cambria Math" w:hAnsi="Cambria Math"/>
              </w:rPr>
            </m:ctrlPr>
          </m:e>
          <m:sub>
            <m:r>
              <m:rPr>
                <m:sty m:val="p"/>
              </m:rPr>
              <w:rPr>
                <w:rFonts w:hint="eastAsia" w:ascii="Cambria Math" w:hAnsi="Cambria Math"/>
              </w:rPr>
              <m:t>max</m:t>
            </m:r>
            <m:ctrlPr>
              <w:rPr>
                <w:rFonts w:hint="eastAsia" w:ascii="Cambria Math" w:hAnsi="Cambria Math"/>
              </w:rPr>
            </m:ctrlPr>
          </m:sub>
        </m:sSub>
      </m:oMath>
      <w:r>
        <w:rPr>
          <w:rFonts w:hint="eastAsia" w:ascii="Times New Roman"/>
        </w:rPr>
        <w:t>根据下式计算：</w:t>
      </w:r>
    </w:p>
    <w:p w14:paraId="08B54A1C">
      <w:pPr>
        <w:pStyle w:val="61"/>
        <w:ind w:firstLine="420"/>
        <w:jc w:val="right"/>
        <w:rPr>
          <w:rFonts w:ascii="Times New Roman"/>
        </w:rPr>
      </w:pPr>
      <m:oMath>
        <m:sSub>
          <m:sSubPr>
            <m:ctrlPr>
              <w:rPr>
                <w:rFonts w:hint="eastAsia" w:ascii="Cambria Math" w:hAnsi="Cambria Math"/>
              </w:rPr>
            </m:ctrlPr>
          </m:sSubPr>
          <m:e>
            <m:r>
              <m:rPr>
                <m:sty m:val="p"/>
              </m:rPr>
              <w:rPr>
                <w:rFonts w:hint="eastAsia" w:ascii="Cambria Math" w:hAnsi="Cambria Math"/>
              </w:rPr>
              <m:t>y</m:t>
            </m:r>
            <m:ctrlPr>
              <w:rPr>
                <w:rFonts w:hint="eastAsia" w:ascii="Cambria Math" w:hAnsi="Cambria Math"/>
              </w:rPr>
            </m:ctrlPr>
          </m:e>
          <m:sub>
            <m:r>
              <m:rPr>
                <m:sty m:val="p"/>
              </m:rPr>
              <w:rPr>
                <w:rFonts w:hint="eastAsia" w:ascii="Cambria Math" w:hAnsi="Cambria Math"/>
              </w:rPr>
              <m:t>max</m:t>
            </m:r>
            <m:ctrlPr>
              <w:rPr>
                <w:rFonts w:hint="eastAsia" w:ascii="Cambria Math" w:hAnsi="Cambria Math"/>
              </w:rPr>
            </m:ctrlPr>
          </m:sub>
        </m:sSub>
        <m:r>
          <m:rPr>
            <m:sty m:val="p"/>
          </m:rPr>
          <w:rPr>
            <w:rFonts w:hint="eastAsia" w:ascii="Cambria Math" w:hAnsi="Cambria Math"/>
          </w:rPr>
          <m:t>=LS×</m:t>
        </m:r>
        <m:sSup>
          <m:sSupPr>
            <m:ctrlPr>
              <w:rPr>
                <w:rFonts w:hint="eastAsia" w:ascii="Cambria Math" w:hAnsi="Cambria Math"/>
              </w:rPr>
            </m:ctrlPr>
          </m:sSupPr>
          <m:e>
            <m:r>
              <m:rPr>
                <m:sty m:val="p"/>
              </m:rPr>
              <w:rPr>
                <w:rFonts w:hint="eastAsia" w:ascii="Cambria Math" w:hAnsi="Cambria Math"/>
              </w:rPr>
              <m:t>（R−RS+</m:t>
            </m:r>
            <m:sSup>
              <m:sSupPr>
                <m:ctrlPr>
                  <w:rPr>
                    <w:rFonts w:hint="eastAsia" w:ascii="Cambria Math" w:hAnsi="Cambria Math"/>
                  </w:rPr>
                </m:ctrlPr>
              </m:sSupPr>
              <m:e>
                <m:r>
                  <m:rPr>
                    <m:sty m:val="p"/>
                  </m:rPr>
                  <w:rPr>
                    <w:rFonts w:hint="eastAsia" w:ascii="Cambria Math" w:hAnsi="Cambria Math"/>
                  </w:rPr>
                  <m:t>R</m:t>
                </m:r>
                <m:ctrlPr>
                  <w:rPr>
                    <w:rFonts w:hint="eastAsia" w:ascii="Cambria Math" w:hAnsi="Cambria Math"/>
                  </w:rPr>
                </m:ctrlPr>
              </m:e>
              <m:sup>
                <m:r>
                  <m:rPr>
                    <m:sty m:val="p"/>
                  </m:rPr>
                  <w:rPr>
                    <w:rFonts w:hint="eastAsia" w:ascii="Cambria Math" w:hAnsi="Cambria Math"/>
                  </w:rPr>
                  <m:t>2</m:t>
                </m:r>
                <m:ctrlPr>
                  <w:rPr>
                    <w:rFonts w:hint="eastAsia" w:ascii="Cambria Math" w:hAnsi="Cambria Math"/>
                  </w:rPr>
                </m:ctrlPr>
              </m:sup>
            </m:sSup>
            <m:sSup>
              <m:sSupPr>
                <m:ctrlPr>
                  <w:rPr>
                    <w:rFonts w:hint="eastAsia" w:ascii="Cambria Math" w:hAnsi="Cambria Math"/>
                  </w:rPr>
                </m:ctrlPr>
              </m:sSupPr>
              <m:e>
                <m:r>
                  <m:rPr>
                    <m:sty m:val="p"/>
                  </m:rPr>
                  <w:rPr>
                    <w:rFonts w:hint="eastAsia" w:ascii="Cambria Math" w:hAnsi="Cambria Math"/>
                  </w:rPr>
                  <m:t>S</m:t>
                </m:r>
                <m:ctrlPr>
                  <w:rPr>
                    <w:rFonts w:hint="eastAsia" w:ascii="Cambria Math" w:hAnsi="Cambria Math"/>
                  </w:rPr>
                </m:ctrlPr>
              </m:e>
              <m:sup>
                <m:r>
                  <m:rPr>
                    <m:sty m:val="p"/>
                  </m:rPr>
                  <w:rPr>
                    <w:rFonts w:hint="eastAsia" w:ascii="Cambria Math" w:hAnsi="Cambria Math"/>
                  </w:rPr>
                  <m:t>2</m:t>
                </m:r>
                <m:ctrlPr>
                  <w:rPr>
                    <w:rFonts w:hint="eastAsia" w:ascii="Cambria Math" w:hAnsi="Cambria Math"/>
                  </w:rPr>
                </m:ctrlPr>
              </m:sup>
            </m:sSup>
            <m:r>
              <m:rPr>
                <m:sty m:val="p"/>
              </m:rPr>
              <w:rPr>
                <w:rFonts w:hint="eastAsia" w:ascii="Cambria Math" w:hAnsi="Cambria Math"/>
              </w:rPr>
              <m:t>)</m:t>
            </m:r>
            <m:ctrlPr>
              <w:rPr>
                <w:rFonts w:hint="eastAsia" w:ascii="Cambria Math" w:hAnsi="Cambria Math"/>
              </w:rPr>
            </m:ctrlPr>
          </m:e>
          <m:sup>
            <m:f>
              <m:fPr>
                <m:ctrlPr>
                  <w:rPr>
                    <w:rFonts w:hint="eastAsia" w:ascii="Cambria Math" w:hAnsi="Cambria Math"/>
                  </w:rPr>
                </m:ctrlPr>
              </m:fPr>
              <m:num>
                <m:r>
                  <m:rPr>
                    <m:sty m:val="p"/>
                  </m:rPr>
                  <w:rPr>
                    <w:rFonts w:hint="eastAsia" w:ascii="Cambria Math" w:hAnsi="Cambria Math"/>
                  </w:rPr>
                  <m:t>1</m:t>
                </m:r>
                <m:ctrlPr>
                  <w:rPr>
                    <w:rFonts w:hint="eastAsia" w:ascii="Cambria Math" w:hAnsi="Cambria Math"/>
                  </w:rPr>
                </m:ctrlPr>
              </m:num>
              <m:den>
                <m:r>
                  <m:rPr>
                    <m:sty m:val="p"/>
                  </m:rPr>
                  <w:rPr>
                    <w:rFonts w:hint="eastAsia" w:ascii="Cambria Math" w:hAnsi="Cambria Math"/>
                  </w:rPr>
                  <m:t>2</m:t>
                </m:r>
                <m:ctrlPr>
                  <w:rPr>
                    <w:rFonts w:hint="eastAsia" w:ascii="Cambria Math" w:hAnsi="Cambria Math"/>
                  </w:rPr>
                </m:ctrlPr>
              </m:den>
            </m:f>
            <m:ctrlPr>
              <w:rPr>
                <w:rFonts w:hint="eastAsia" w:ascii="Cambria Math" w:hAnsi="Cambria Math"/>
              </w:rPr>
            </m:ctrlPr>
          </m:sup>
        </m:sSup>
        <m:r>
          <m:rPr>
            <m:sty m:val="p"/>
          </m:rPr>
          <w:rPr>
            <w:rFonts w:hint="eastAsia" w:ascii="Cambria Math" w:hAnsi="Cambria Math"/>
          </w:rPr>
          <m:t xml:space="preserve"> EXP[</m:t>
        </m:r>
        <m:f>
          <m:fPr>
            <m:ctrlPr>
              <w:rPr>
                <w:rFonts w:hint="eastAsia" w:ascii="Cambria Math" w:hAnsi="Cambria Math"/>
              </w:rPr>
            </m:ctrlPr>
          </m:fPr>
          <m:num>
            <m:r>
              <m:rPr>
                <m:sty m:val="p"/>
              </m:rPr>
              <w:rPr>
                <w:rFonts w:hint="eastAsia" w:ascii="Cambria Math" w:hAnsi="Cambria Math"/>
              </w:rPr>
              <m:t>1</m:t>
            </m:r>
            <m:ctrlPr>
              <w:rPr>
                <w:rFonts w:hint="eastAsia" w:ascii="Cambria Math" w:hAnsi="Cambria Math"/>
              </w:rPr>
            </m:ctrlPr>
          </m:num>
          <m:den>
            <m:r>
              <m:rPr>
                <m:sty m:val="p"/>
              </m:rPr>
              <w:rPr>
                <w:rFonts w:hint="eastAsia" w:ascii="Cambria Math" w:hAnsi="Cambria Math"/>
              </w:rPr>
              <m:t>B</m:t>
            </m:r>
            <m:ctrlPr>
              <w:rPr>
                <w:rFonts w:hint="eastAsia" w:ascii="Cambria Math" w:hAnsi="Cambria Math"/>
              </w:rPr>
            </m:ctrlPr>
          </m:den>
        </m:f>
        <m:sSup>
          <m:sSupPr>
            <m:ctrlPr>
              <w:rPr>
                <w:rFonts w:hint="eastAsia" w:ascii="Cambria Math" w:hAnsi="Cambria Math"/>
              </w:rPr>
            </m:ctrlPr>
          </m:sSupPr>
          <m:e>
            <m:r>
              <m:rPr>
                <m:sty m:val="p"/>
              </m:rPr>
              <w:rPr>
                <w:rFonts w:hint="eastAsia" w:ascii="Cambria Math" w:hAnsi="Cambria Math"/>
              </w:rPr>
              <m:t>tan</m:t>
            </m:r>
            <m:ctrlPr>
              <w:rPr>
                <w:rFonts w:hint="eastAsia" w:ascii="Cambria Math" w:hAnsi="Cambria Math"/>
              </w:rPr>
            </m:ctrlPr>
          </m:e>
          <m:sup>
            <m:r>
              <m:rPr>
                <m:sty m:val="p"/>
              </m:rPr>
              <w:rPr>
                <w:rFonts w:hint="eastAsia" w:ascii="Cambria Math" w:hAnsi="Cambria Math"/>
              </w:rPr>
              <m:t>−1</m:t>
            </m:r>
            <m:ctrlPr>
              <w:rPr>
                <w:rFonts w:hint="eastAsia" w:ascii="Cambria Math" w:hAnsi="Cambria Math"/>
              </w:rPr>
            </m:ctrlPr>
          </m:sup>
        </m:sSup>
        <m:r>
          <m:rPr>
            <m:sty m:val="p"/>
          </m:rPr>
          <w:rPr>
            <w:rFonts w:hint="eastAsia" w:ascii="Cambria Math" w:hAnsi="Cambria Math"/>
          </w:rPr>
          <m:t>(</m:t>
        </m:r>
        <m:f>
          <m:fPr>
            <m:ctrlPr>
              <w:rPr>
                <w:rFonts w:hint="eastAsia" w:ascii="Cambria Math" w:hAnsi="Cambria Math"/>
              </w:rPr>
            </m:ctrlPr>
          </m:fPr>
          <m:num>
            <m:r>
              <m:rPr>
                <m:sty m:val="p"/>
              </m:rPr>
              <w:rPr>
                <w:rFonts w:hint="eastAsia" w:ascii="Cambria Math" w:hAnsi="Cambria Math"/>
              </w:rPr>
              <m:t>2RS−1</m:t>
            </m:r>
            <m:ctrlPr>
              <w:rPr>
                <w:rFonts w:hint="eastAsia" w:ascii="Cambria Math" w:hAnsi="Cambria Math"/>
              </w:rPr>
            </m:ctrlPr>
          </m:num>
          <m:den>
            <m:r>
              <m:rPr>
                <m:sty m:val="p"/>
              </m:rPr>
              <w:rPr>
                <w:rFonts w:hint="eastAsia" w:ascii="Cambria Math" w:hAnsi="Cambria Math"/>
              </w:rPr>
              <m:t>B</m:t>
            </m:r>
            <m:ctrlPr>
              <w:rPr>
                <w:rFonts w:hint="eastAsia" w:ascii="Cambria Math" w:hAnsi="Cambria Math"/>
              </w:rPr>
            </m:ctrlPr>
          </m:den>
        </m:f>
        <m:r>
          <m:rPr>
            <m:sty m:val="p"/>
          </m:rPr>
          <w:rPr>
            <w:rFonts w:hint="eastAsia" w:ascii="Cambria Math" w:hAnsi="Cambria Math"/>
          </w:rPr>
          <m:t>−</m:t>
        </m:r>
        <m:f>
          <m:fPr>
            <m:ctrlPr>
              <w:rPr>
                <w:rFonts w:hint="eastAsia" w:ascii="Cambria Math" w:hAnsi="Cambria Math"/>
              </w:rPr>
            </m:ctrlPr>
          </m:fPr>
          <m:num>
            <m:r>
              <m:rPr>
                <m:sty m:val="p"/>
              </m:rPr>
              <w:rPr>
                <w:rFonts w:hint="eastAsia" w:ascii="Cambria Math" w:hAnsi="Cambria Math"/>
              </w:rPr>
              <m:t>1</m:t>
            </m:r>
            <m:ctrlPr>
              <w:rPr>
                <w:rFonts w:hint="eastAsia" w:ascii="Cambria Math" w:hAnsi="Cambria Math"/>
              </w:rPr>
            </m:ctrlPr>
          </m:num>
          <m:den>
            <m:r>
              <m:rPr>
                <m:sty m:val="p"/>
              </m:rPr>
              <w:rPr>
                <w:rFonts w:hint="eastAsia" w:ascii="Cambria Math" w:hAnsi="Cambria Math"/>
              </w:rPr>
              <m:t>B</m:t>
            </m:r>
            <m:ctrlPr>
              <w:rPr>
                <w:rFonts w:hint="eastAsia" w:ascii="Cambria Math" w:hAnsi="Cambria Math"/>
              </w:rPr>
            </m:ctrlPr>
          </m:den>
        </m:f>
        <m:sSup>
          <m:sSupPr>
            <m:ctrlPr>
              <w:rPr>
                <w:rFonts w:hint="eastAsia" w:ascii="Cambria Math" w:hAnsi="Cambria Math"/>
              </w:rPr>
            </m:ctrlPr>
          </m:sSupPr>
          <m:e>
            <m:r>
              <m:rPr>
                <m:sty m:val="p"/>
              </m:rPr>
              <w:rPr>
                <w:rFonts w:hint="eastAsia" w:ascii="Cambria Math" w:hAnsi="Cambria Math"/>
              </w:rPr>
              <m:t>tan</m:t>
            </m:r>
            <m:ctrlPr>
              <w:rPr>
                <w:rFonts w:hint="eastAsia" w:ascii="Cambria Math" w:hAnsi="Cambria Math"/>
              </w:rPr>
            </m:ctrlPr>
          </m:e>
          <m:sup>
            <m:r>
              <m:rPr>
                <m:sty m:val="p"/>
              </m:rPr>
              <w:rPr>
                <w:rFonts w:hint="eastAsia" w:ascii="Cambria Math" w:hAnsi="Cambria Math"/>
              </w:rPr>
              <m:t>−1</m:t>
            </m:r>
            <m:ctrlPr>
              <w:rPr>
                <w:rFonts w:hint="eastAsia" w:ascii="Cambria Math" w:hAnsi="Cambria Math"/>
              </w:rPr>
            </m:ctrlPr>
          </m:sup>
        </m:sSup>
        <m:f>
          <m:fPr>
            <m:ctrlPr>
              <w:rPr>
                <w:rFonts w:hint="eastAsia" w:ascii="Cambria Math" w:hAnsi="Cambria Math"/>
              </w:rPr>
            </m:ctrlPr>
          </m:fPr>
          <m:num>
            <m:r>
              <m:rPr>
                <m:sty m:val="p"/>
              </m:rPr>
              <w:rPr>
                <w:rFonts w:hint="eastAsia" w:ascii="Cambria Math" w:hAnsi="Cambria Math"/>
              </w:rPr>
              <m:t>2R−1</m:t>
            </m:r>
            <m:ctrlPr>
              <w:rPr>
                <w:rFonts w:hint="eastAsia" w:ascii="Cambria Math" w:hAnsi="Cambria Math"/>
              </w:rPr>
            </m:ctrlPr>
          </m:num>
          <m:den>
            <m:r>
              <m:rPr>
                <m:sty m:val="p"/>
              </m:rPr>
              <w:rPr>
                <w:rFonts w:hint="eastAsia" w:ascii="Cambria Math" w:hAnsi="Cambria Math"/>
              </w:rPr>
              <m:t>B</m:t>
            </m:r>
            <m:ctrlPr>
              <w:rPr>
                <w:rFonts w:hint="eastAsia" w:ascii="Cambria Math" w:hAnsi="Cambria Math"/>
              </w:rPr>
            </m:ctrlPr>
          </m:den>
        </m:f>
        <m:r>
          <m:rPr>
            <m:sty m:val="p"/>
          </m:rPr>
          <w:rPr>
            <w:rFonts w:hint="eastAsia" w:ascii="Cambria Math" w:hAnsi="Cambria Math"/>
          </w:rPr>
          <m:t>)]</m:t>
        </m:r>
      </m:oMath>
      <w:r>
        <w:rPr>
          <w:rFonts w:hint="eastAsia" w:ascii="Times New Roman"/>
        </w:rPr>
        <w:t xml:space="preserve">       （</w:t>
      </w:r>
      <w:r>
        <w:rPr>
          <w:rFonts w:hint="eastAsia" w:ascii="Times New Roman"/>
          <w:lang w:val="en-US" w:eastAsia="zh-CN"/>
        </w:rPr>
        <w:t>C</w:t>
      </w:r>
      <w:r>
        <w:rPr>
          <w:rFonts w:hint="eastAsia" w:ascii="Times New Roman"/>
        </w:rPr>
        <w:t>.</w:t>
      </w:r>
      <w:r>
        <w:rPr>
          <w:rFonts w:hint="eastAsia" w:ascii="Times New Roman"/>
          <w:lang w:val="en-US" w:eastAsia="zh-CN"/>
        </w:rPr>
        <w:t>7</w:t>
      </w:r>
      <w:r>
        <w:rPr>
          <w:rFonts w:hint="eastAsia" w:ascii="Times New Roman"/>
        </w:rPr>
        <w:t>）</w:t>
      </w:r>
    </w:p>
    <w:p w14:paraId="2DE8BA8A">
      <w:pPr>
        <w:pStyle w:val="61"/>
        <w:ind w:firstLine="420"/>
        <w:rPr>
          <w:rFonts w:ascii="Times New Roman"/>
        </w:rPr>
      </w:pPr>
      <w:r>
        <w:rPr>
          <w:rFonts w:hint="eastAsia" w:ascii="Times New Roman"/>
        </w:rPr>
        <w:t>其中：R= r/(k</w:t>
      </w:r>
      <m:oMath>
        <m:r>
          <m:rPr>
            <m:sty m:val="p"/>
          </m:rPr>
          <w:rPr>
            <w:rFonts w:hint="eastAsia" w:ascii="Cambria Math" w:hAnsi="Cambria Math"/>
          </w:rPr>
          <m:t>×</m:t>
        </m:r>
      </m:oMath>
      <w:r>
        <w:rPr>
          <w:rFonts w:hint="eastAsia" w:ascii="Times New Roman"/>
        </w:rPr>
        <w:t>sin</w:t>
      </w:r>
      <m:oMath>
        <m:r>
          <m:rPr>
            <m:sty m:val="p"/>
          </m:rPr>
          <w:rPr>
            <w:rFonts w:hint="eastAsia" w:ascii="Cambria Math" w:hAnsi="Cambria Math"/>
          </w:rPr>
          <m:t>α</m:t>
        </m:r>
      </m:oMath>
      <w:r>
        <w:rPr>
          <w:rFonts w:hint="eastAsia" w:ascii="Times New Roman"/>
        </w:rPr>
        <w:t>)；A=(1-4R)1/2；B=(4R-1)1/2</w:t>
      </w:r>
    </w:p>
    <w:p w14:paraId="54490A9A">
      <w:pPr>
        <w:pStyle w:val="61"/>
        <w:ind w:firstLine="420"/>
        <w:rPr>
          <w:rFonts w:ascii="Times New Roman"/>
        </w:rPr>
      </w:pPr>
      <w:r>
        <w:rPr>
          <w:rFonts w:hint="eastAsia" w:ascii="Times New Roman"/>
        </w:rPr>
        <w:t>式中：</w:t>
      </w:r>
      <m:oMath>
        <m:r>
          <m:rPr>
            <m:sty m:val="p"/>
          </m:rPr>
          <w:rPr>
            <w:rFonts w:hint="eastAsia" w:ascii="Cambria Math" w:hAnsi="Cambria Math"/>
          </w:rPr>
          <m:t>R</m:t>
        </m:r>
        <m:r>
          <m:rPr>
            <m:sty m:val="p"/>
          </m:rPr>
          <w:rPr>
            <w:rFonts w:ascii="Cambria Math" w:hAnsi="Cambria Math"/>
          </w:rPr>
          <m:t>=</m:t>
        </m:r>
        <m:f>
          <m:fPr>
            <m:ctrlPr>
              <w:rPr>
                <w:rFonts w:hint="eastAsia" w:ascii="Cambria Math" w:hAnsi="Cambria Math"/>
              </w:rPr>
            </m:ctrlPr>
          </m:fPr>
          <m:num>
            <m:r>
              <m:rPr>
                <m:sty m:val="p"/>
              </m:rPr>
              <w:rPr>
                <w:rFonts w:hint="eastAsia" w:ascii="Cambria Math" w:hAnsi="Cambria Math"/>
              </w:rPr>
              <m:t>r</m:t>
            </m:r>
            <m:ctrlPr>
              <w:rPr>
                <w:rFonts w:hint="eastAsia" w:ascii="Cambria Math" w:hAnsi="Cambria Math"/>
              </w:rPr>
            </m:ctrlPr>
          </m:num>
          <m:den>
            <m:r>
              <m:rPr>
                <m:sty m:val="p"/>
              </m:rPr>
              <w:rPr>
                <w:rFonts w:hint="eastAsia" w:ascii="Cambria Math" w:hAnsi="Cambria Math"/>
              </w:rPr>
              <m:t>k×</m:t>
            </m:r>
            <m:func>
              <m:funcPr>
                <m:ctrlPr>
                  <w:rPr>
                    <w:rFonts w:hint="eastAsia" w:ascii="Cambria Math" w:hAnsi="Cambria Math"/>
                  </w:rPr>
                </m:ctrlPr>
              </m:funcPr>
              <m:fName>
                <m:r>
                  <m:rPr>
                    <m:sty m:val="p"/>
                  </m:rPr>
                  <w:rPr>
                    <w:rFonts w:hint="eastAsia" w:ascii="Cambria Math" w:hAnsi="Cambria Math"/>
                  </w:rPr>
                  <m:t>sin</m:t>
                </m:r>
                <m:ctrlPr>
                  <w:rPr>
                    <w:rFonts w:hint="eastAsia" w:ascii="Cambria Math" w:hAnsi="Cambria Math"/>
                  </w:rPr>
                </m:ctrlPr>
              </m:fName>
              <m:e>
                <m:r>
                  <m:rPr>
                    <m:sty m:val="p"/>
                  </m:rPr>
                  <w:rPr>
                    <w:rFonts w:hint="eastAsia" w:ascii="Cambria Math" w:hAnsi="Cambria Math"/>
                  </w:rPr>
                  <m:t>α</m:t>
                </m:r>
                <m:ctrlPr>
                  <w:rPr>
                    <w:rFonts w:hint="eastAsia" w:ascii="Cambria Math" w:hAnsi="Cambria Math"/>
                  </w:rPr>
                </m:ctrlPr>
              </m:e>
            </m:func>
            <m:ctrlPr>
              <w:rPr>
                <w:rFonts w:hint="eastAsia" w:ascii="Cambria Math" w:hAnsi="Cambria Math"/>
              </w:rPr>
            </m:ctrlPr>
          </m:den>
        </m:f>
      </m:oMath>
      <w:r>
        <w:rPr>
          <w:rFonts w:hint="eastAsia" w:ascii="Times New Roman"/>
        </w:rPr>
        <w:t xml:space="preserve">  ；</w:t>
      </w:r>
      <m:oMath>
        <m:r>
          <m:rPr>
            <m:sty m:val="p"/>
          </m:rPr>
          <w:rPr>
            <w:rFonts w:ascii="Cambria Math" w:hAnsi="Cambria Math"/>
          </w:rPr>
          <m:t>A=</m:t>
        </m:r>
        <m:sSup>
          <m:sSupPr>
            <m:ctrlPr>
              <w:rPr>
                <w:rFonts w:ascii="Cambria Math" w:hAnsi="Cambria Math"/>
              </w:rPr>
            </m:ctrlPr>
          </m:sSupPr>
          <m:e>
            <m:d>
              <m:dPr>
                <m:ctrlPr>
                  <w:rPr>
                    <w:rFonts w:ascii="Cambria Math" w:hAnsi="Cambria Math"/>
                  </w:rPr>
                </m:ctrlPr>
              </m:dPr>
              <m:e>
                <m:r>
                  <m:rPr>
                    <m:sty m:val="p"/>
                  </m:rPr>
                  <w:rPr>
                    <w:rFonts w:ascii="Cambria Math" w:hAnsi="Cambria Math"/>
                  </w:rPr>
                  <m:t>1−4R</m:t>
                </m:r>
                <m:ctrlPr>
                  <w:rPr>
                    <w:rFonts w:ascii="Cambria Math" w:hAnsi="Cambria Math"/>
                  </w:rPr>
                </m:ctrlPr>
              </m:e>
            </m:d>
            <m:ctrlPr>
              <w:rPr>
                <w:rFonts w:ascii="Cambria Math" w:hAnsi="Cambria Math"/>
              </w:rPr>
            </m:ctrlPr>
          </m:e>
          <m:sup>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2</m:t>
                </m:r>
                <m:ctrlPr>
                  <w:rPr>
                    <w:rFonts w:ascii="Cambria Math" w:hAnsi="Cambria Math"/>
                  </w:rPr>
                </m:ctrlPr>
              </m:den>
            </m:f>
            <m:ctrlPr>
              <w:rPr>
                <w:rFonts w:ascii="Cambria Math" w:hAnsi="Cambria Math"/>
              </w:rPr>
            </m:ctrlPr>
          </m:sup>
        </m:sSup>
      </m:oMath>
      <w:r>
        <w:rPr>
          <w:rFonts w:hint="eastAsia" w:ascii="Times New Roman"/>
        </w:rPr>
        <w:t xml:space="preserve">  ；</w:t>
      </w:r>
      <m:oMath>
        <m:r>
          <m:rPr>
            <m:sty m:val="p"/>
          </m:rPr>
          <w:rPr>
            <w:rFonts w:ascii="Cambria Math" w:hAnsi="Cambria Math"/>
          </w:rPr>
          <m:t>B=</m:t>
        </m:r>
        <m:sSup>
          <m:sSupPr>
            <m:ctrlPr>
              <w:rPr>
                <w:rFonts w:ascii="Cambria Math" w:hAnsi="Cambria Math"/>
              </w:rPr>
            </m:ctrlPr>
          </m:sSupPr>
          <m:e>
            <m:d>
              <m:dPr>
                <m:ctrlPr>
                  <w:rPr>
                    <w:rFonts w:ascii="Cambria Math" w:hAnsi="Cambria Math"/>
                  </w:rPr>
                </m:ctrlPr>
              </m:dPr>
              <m:e>
                <m:r>
                  <m:rPr>
                    <m:sty m:val="p"/>
                  </m:rPr>
                  <w:rPr>
                    <w:rFonts w:ascii="Cambria Math" w:hAnsi="Cambria Math"/>
                  </w:rPr>
                  <m:t>4R−1</m:t>
                </m:r>
                <m:ctrlPr>
                  <w:rPr>
                    <w:rFonts w:ascii="Cambria Math" w:hAnsi="Cambria Math"/>
                  </w:rPr>
                </m:ctrlPr>
              </m:e>
            </m:d>
            <m:ctrlPr>
              <w:rPr>
                <w:rFonts w:ascii="Cambria Math" w:hAnsi="Cambria Math"/>
              </w:rPr>
            </m:ctrlPr>
          </m:e>
          <m:sup>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2</m:t>
                </m:r>
                <m:ctrlPr>
                  <w:rPr>
                    <w:rFonts w:ascii="Cambria Math" w:hAnsi="Cambria Math"/>
                  </w:rPr>
                </m:ctrlPr>
              </m:den>
            </m:f>
            <m:ctrlPr>
              <w:rPr>
                <w:rFonts w:ascii="Cambria Math" w:hAnsi="Cambria Math"/>
              </w:rPr>
            </m:ctrlPr>
          </m:sup>
        </m:sSup>
      </m:oMath>
      <w:r>
        <w:rPr>
          <w:rFonts w:hint="eastAsia" w:ascii="Times New Roman"/>
        </w:rPr>
        <w:t xml:space="preserve">  。</w:t>
      </w:r>
    </w:p>
    <w:p w14:paraId="112895AB">
      <w:pPr>
        <w:rPr>
          <w:rFonts w:ascii="Times New Roman" w:hAnsi="Times New Roman"/>
        </w:rPr>
      </w:pPr>
      <w:r>
        <w:rPr>
          <w:rFonts w:hint="eastAsia" w:ascii="Times New Roman" w:hAnsi="Times New Roman"/>
        </w:rPr>
        <w:br w:type="page"/>
      </w:r>
    </w:p>
    <w:p w14:paraId="77F494CA">
      <w:pPr>
        <w:pStyle w:val="81"/>
        <w:numPr>
          <w:ilvl w:val="0"/>
          <w:numId w:val="0"/>
        </w:numPr>
        <w:shd w:val="clear" w:color="FFFFFF" w:fill="FFFFFF"/>
        <w:spacing w:before="60" w:after="120"/>
        <w:rPr>
          <w:rFonts w:hint="default" w:eastAsia="黑体"/>
          <w:lang w:val="en-US" w:eastAsia="zh-CN"/>
        </w:rPr>
      </w:pPr>
      <w:bookmarkStart w:id="160" w:name="_Toc25432"/>
      <w:bookmarkStart w:id="161" w:name="_Toc25098"/>
      <w:bookmarkStart w:id="162" w:name="_Toc29650"/>
      <w:r>
        <w:rPr>
          <w:rFonts w:hint="eastAsia"/>
          <w:spacing w:val="100"/>
        </w:rPr>
        <w:t>附录D</w:t>
      </w:r>
      <w:r>
        <w:br w:type="textWrapping"/>
      </w:r>
      <w:r>
        <w:rPr>
          <w:rFonts w:hint="eastAsia"/>
        </w:rPr>
        <w:t>（规范性）</w:t>
      </w:r>
      <w:r>
        <w:br w:type="textWrapping"/>
      </w:r>
      <w:r>
        <w:rPr>
          <w:rFonts w:hint="eastAsia"/>
          <w:lang w:val="en-US" w:eastAsia="zh-CN"/>
        </w:rPr>
        <w:t>评估报告编制</w:t>
      </w:r>
    </w:p>
    <w:bookmarkEnd w:id="160"/>
    <w:bookmarkEnd w:id="161"/>
    <w:bookmarkEnd w:id="162"/>
    <w:p w14:paraId="70977328">
      <w:pPr>
        <w:pStyle w:val="61"/>
        <w:ind w:firstLine="420"/>
        <w:rPr>
          <w:rFonts w:ascii="Times New Roman"/>
        </w:rPr>
      </w:pPr>
      <w:r>
        <w:rPr>
          <w:rFonts w:hint="eastAsia" w:ascii="Times New Roman"/>
        </w:rPr>
        <w:t>一、填埋场概况</w:t>
      </w:r>
    </w:p>
    <w:p w14:paraId="7D29C68E">
      <w:pPr>
        <w:pStyle w:val="61"/>
        <w:ind w:firstLine="420"/>
        <w:rPr>
          <w:rFonts w:ascii="Times New Roman"/>
        </w:rPr>
      </w:pPr>
      <w:r>
        <w:rPr>
          <w:rFonts w:hint="eastAsia" w:ascii="Times New Roman"/>
        </w:rPr>
        <w:t>（一）填埋场基本信息：包括填埋场的位置、规模、建设背景、设计标准等；</w:t>
      </w:r>
    </w:p>
    <w:p w14:paraId="46B32DB2">
      <w:pPr>
        <w:pStyle w:val="61"/>
        <w:ind w:firstLine="420"/>
        <w:rPr>
          <w:rFonts w:ascii="Times New Roman"/>
        </w:rPr>
      </w:pPr>
      <w:r>
        <w:rPr>
          <w:rFonts w:hint="eastAsia" w:ascii="Times New Roman"/>
        </w:rPr>
        <w:t>（二）填埋场历史运行情况：包括填埋场的运营时间、填埋废物种类、填埋量、历史环境安全事件等；</w:t>
      </w:r>
    </w:p>
    <w:p w14:paraId="62ECE618">
      <w:pPr>
        <w:pStyle w:val="61"/>
        <w:ind w:firstLine="420"/>
        <w:rPr>
          <w:rFonts w:ascii="Times New Roman"/>
        </w:rPr>
      </w:pPr>
      <w:r>
        <w:rPr>
          <w:rFonts w:hint="eastAsia" w:ascii="Times New Roman"/>
        </w:rPr>
        <w:t>（三）填埋场的生态环境背景：包括周围环境的水文地质条件、气候特点等。</w:t>
      </w:r>
    </w:p>
    <w:p w14:paraId="35441E28">
      <w:pPr>
        <w:pStyle w:val="61"/>
        <w:ind w:firstLine="420"/>
        <w:rPr>
          <w:rFonts w:ascii="Times New Roman"/>
        </w:rPr>
      </w:pPr>
      <w:r>
        <w:rPr>
          <w:rFonts w:hint="eastAsia" w:ascii="Times New Roman"/>
        </w:rPr>
        <w:t>二、调查和监测方案</w:t>
      </w:r>
    </w:p>
    <w:p w14:paraId="1145AC8A">
      <w:pPr>
        <w:pStyle w:val="61"/>
        <w:ind w:firstLine="420"/>
        <w:rPr>
          <w:rFonts w:ascii="Times New Roman"/>
        </w:rPr>
      </w:pPr>
      <w:r>
        <w:rPr>
          <w:rFonts w:hint="eastAsia" w:ascii="Times New Roman"/>
        </w:rPr>
        <w:t>描述评估工作中采用的调查方法和监测方案，涵盖渗滤液、水质、渗漏检测层、地下水等相关监测内容。</w:t>
      </w:r>
    </w:p>
    <w:p w14:paraId="38F8F2F7">
      <w:pPr>
        <w:pStyle w:val="61"/>
        <w:ind w:firstLine="420"/>
        <w:rPr>
          <w:rFonts w:ascii="Times New Roman"/>
        </w:rPr>
      </w:pPr>
      <w:r>
        <w:rPr>
          <w:rFonts w:hint="eastAsia" w:ascii="Times New Roman"/>
        </w:rPr>
        <w:t>三、现有环境安全性能评估资料分析</w:t>
      </w:r>
    </w:p>
    <w:p w14:paraId="418DB67C">
      <w:pPr>
        <w:pStyle w:val="61"/>
        <w:ind w:firstLine="420"/>
        <w:rPr>
          <w:rFonts w:ascii="Times New Roman"/>
        </w:rPr>
      </w:pPr>
      <w:r>
        <w:rPr>
          <w:rFonts w:hint="eastAsia" w:ascii="Times New Roman"/>
        </w:rPr>
        <w:t>对收集到的所有相关环境安全性能评估数据进行分析，评估现有措施的效果和填埋场的环境影响。</w:t>
      </w:r>
    </w:p>
    <w:p w14:paraId="749E9B32">
      <w:pPr>
        <w:pStyle w:val="61"/>
        <w:ind w:firstLine="420"/>
        <w:rPr>
          <w:rFonts w:ascii="Times New Roman"/>
        </w:rPr>
      </w:pPr>
      <w:r>
        <w:rPr>
          <w:rFonts w:hint="eastAsia" w:ascii="Times New Roman"/>
        </w:rPr>
        <w:t>四、检测和评估方法</w:t>
      </w:r>
    </w:p>
    <w:p w14:paraId="03B4B971">
      <w:pPr>
        <w:pStyle w:val="61"/>
        <w:ind w:firstLine="420"/>
        <w:rPr>
          <w:rFonts w:ascii="Times New Roman"/>
        </w:rPr>
      </w:pPr>
      <w:r>
        <w:rPr>
          <w:rFonts w:hint="eastAsia" w:ascii="Times New Roman"/>
        </w:rPr>
        <w:t>介绍使用的检测技术和评估方法，包括实验室检测、现场监测及填埋场主要功能单元性能评估方法。</w:t>
      </w:r>
    </w:p>
    <w:p w14:paraId="473AC34C">
      <w:pPr>
        <w:pStyle w:val="61"/>
        <w:ind w:firstLine="420"/>
        <w:rPr>
          <w:rFonts w:ascii="Times New Roman"/>
        </w:rPr>
      </w:pPr>
      <w:r>
        <w:rPr>
          <w:rFonts w:hint="eastAsia" w:ascii="Times New Roman"/>
        </w:rPr>
        <w:t>五、主要功能单元性能评估</w:t>
      </w:r>
    </w:p>
    <w:p w14:paraId="34630AA2">
      <w:pPr>
        <w:pStyle w:val="61"/>
        <w:ind w:firstLine="420"/>
        <w:rPr>
          <w:rFonts w:ascii="Times New Roman"/>
        </w:rPr>
      </w:pPr>
      <w:r>
        <w:rPr>
          <w:rFonts w:hint="eastAsia" w:ascii="Times New Roman"/>
        </w:rPr>
        <w:t>（一）覆盖层性能评估</w:t>
      </w:r>
    </w:p>
    <w:p w14:paraId="569BC264">
      <w:pPr>
        <w:pStyle w:val="61"/>
        <w:ind w:firstLine="420"/>
        <w:rPr>
          <w:rFonts w:ascii="Times New Roman"/>
        </w:rPr>
      </w:pPr>
      <w:r>
        <w:rPr>
          <w:rFonts w:hint="eastAsia" w:ascii="Times New Roman"/>
        </w:rPr>
        <w:t>（二）导排层性能评估</w:t>
      </w:r>
    </w:p>
    <w:p w14:paraId="307D527E">
      <w:pPr>
        <w:pStyle w:val="61"/>
        <w:ind w:firstLine="420"/>
        <w:rPr>
          <w:rFonts w:ascii="Times New Roman"/>
        </w:rPr>
      </w:pPr>
      <w:r>
        <w:rPr>
          <w:rFonts w:hint="eastAsia" w:ascii="Times New Roman"/>
        </w:rPr>
        <w:t>（三）固化效果评估</w:t>
      </w:r>
    </w:p>
    <w:p w14:paraId="52D26F48">
      <w:pPr>
        <w:pStyle w:val="61"/>
        <w:ind w:firstLine="420"/>
        <w:rPr>
          <w:rFonts w:ascii="Times New Roman"/>
        </w:rPr>
      </w:pPr>
      <w:r>
        <w:rPr>
          <w:rFonts w:hint="eastAsia" w:ascii="Times New Roman"/>
        </w:rPr>
        <w:t>（四）防渗层完整性评估</w:t>
      </w:r>
    </w:p>
    <w:p w14:paraId="6E04103E">
      <w:pPr>
        <w:pStyle w:val="61"/>
        <w:ind w:firstLine="420"/>
        <w:rPr>
          <w:rFonts w:ascii="Times New Roman"/>
        </w:rPr>
      </w:pPr>
      <w:r>
        <w:rPr>
          <w:rFonts w:hint="eastAsia" w:ascii="Times New Roman"/>
        </w:rPr>
        <w:t>六、地下水污染状况评估</w:t>
      </w:r>
    </w:p>
    <w:p w14:paraId="2CF01ABA">
      <w:pPr>
        <w:pStyle w:val="61"/>
        <w:ind w:firstLine="420"/>
        <w:rPr>
          <w:rFonts w:ascii="Times New Roman"/>
        </w:rPr>
      </w:pPr>
      <w:r>
        <w:rPr>
          <w:rFonts w:hint="eastAsia" w:ascii="Times New Roman"/>
        </w:rPr>
        <w:t>评估地下水水质及其受到填埋场渗漏影响的情况，通过监测数据和模拟分析，预测潜在的污染风险。</w:t>
      </w:r>
    </w:p>
    <w:p w14:paraId="123E2352">
      <w:pPr>
        <w:pStyle w:val="61"/>
        <w:ind w:firstLine="420"/>
        <w:rPr>
          <w:rFonts w:ascii="Times New Roman"/>
        </w:rPr>
      </w:pPr>
      <w:r>
        <w:rPr>
          <w:rFonts w:hint="eastAsia" w:ascii="Times New Roman"/>
        </w:rPr>
        <w:t>七、整体环境安全性能评估</w:t>
      </w:r>
    </w:p>
    <w:p w14:paraId="74DDBAC8">
      <w:pPr>
        <w:pStyle w:val="61"/>
        <w:ind w:firstLine="420"/>
        <w:rPr>
          <w:rFonts w:ascii="Times New Roman"/>
        </w:rPr>
      </w:pPr>
      <w:r>
        <w:rPr>
          <w:rFonts w:hint="eastAsia" w:ascii="Times New Roman"/>
        </w:rPr>
        <w:t>（一）渗滤液产生和渗漏控制性能评估</w:t>
      </w:r>
    </w:p>
    <w:p w14:paraId="79537B1F">
      <w:pPr>
        <w:pStyle w:val="61"/>
        <w:ind w:firstLine="420"/>
        <w:rPr>
          <w:rFonts w:ascii="Times New Roman"/>
        </w:rPr>
      </w:pPr>
      <w:r>
        <w:rPr>
          <w:rFonts w:hint="eastAsia" w:ascii="Times New Roman"/>
        </w:rPr>
        <w:t>（二）污染阻隔控制性能评估</w:t>
      </w:r>
    </w:p>
    <w:p w14:paraId="12A746D5">
      <w:pPr>
        <w:pStyle w:val="61"/>
        <w:ind w:firstLine="420"/>
        <w:rPr>
          <w:rFonts w:ascii="Times New Roman"/>
        </w:rPr>
      </w:pPr>
      <w:r>
        <w:rPr>
          <w:rFonts w:hint="eastAsia" w:ascii="Times New Roman"/>
        </w:rPr>
        <w:t>八、结论及建议</w:t>
      </w:r>
    </w:p>
    <w:p w14:paraId="36550284">
      <w:pPr>
        <w:rPr>
          <w:rFonts w:ascii="Times New Roman"/>
        </w:rPr>
      </w:pPr>
      <w:r>
        <w:rPr>
          <w:rFonts w:hint="eastAsia" w:ascii="Times New Roman"/>
        </w:rPr>
        <w:br w:type="page"/>
      </w:r>
    </w:p>
    <w:p w14:paraId="764E5113">
      <w:pPr>
        <w:pStyle w:val="61"/>
        <w:ind w:firstLine="420"/>
        <w:rPr>
          <w:rFonts w:ascii="Times New Roman"/>
        </w:rPr>
        <w:sectPr>
          <w:pgSz w:w="11906" w:h="16838"/>
          <w:pgMar w:top="2410" w:right="1134" w:bottom="1134" w:left="1134" w:header="1418" w:footer="1134" w:gutter="284"/>
          <w:cols w:space="425" w:num="1"/>
          <w:formProt w:val="0"/>
          <w:docGrid w:linePitch="312" w:charSpace="0"/>
        </w:sectPr>
      </w:pPr>
    </w:p>
    <w:p w14:paraId="35893EEA">
      <w:pPr>
        <w:pStyle w:val="68"/>
        <w:spacing w:before="96" w:after="120"/>
      </w:pPr>
      <w:bookmarkStart w:id="163" w:name="_Toc25064"/>
      <w:bookmarkStart w:id="164" w:name="_Toc2159"/>
      <w:bookmarkStart w:id="165" w:name="_Toc3565"/>
      <w:r>
        <w:rPr>
          <w:rFonts w:hint="eastAsia"/>
          <w:spacing w:val="105"/>
        </w:rPr>
        <w:t>参考文</w:t>
      </w:r>
      <w:r>
        <w:rPr>
          <w:rFonts w:hint="eastAsia"/>
        </w:rPr>
        <w:t>献</w:t>
      </w:r>
      <w:bookmarkEnd w:id="163"/>
      <w:bookmarkEnd w:id="164"/>
      <w:bookmarkEnd w:id="165"/>
    </w:p>
    <w:p w14:paraId="6D3F57F8">
      <w:pPr>
        <w:pStyle w:val="61"/>
        <w:ind w:firstLine="420"/>
      </w:pPr>
      <w:r>
        <w:rPr>
          <w:rFonts w:hint="eastAsia"/>
        </w:rPr>
        <w:t>[1]</w:t>
      </w:r>
      <w:r>
        <w:t xml:space="preserve">  </w:t>
      </w:r>
      <w:r>
        <w:rPr>
          <w:rFonts w:hint="eastAsia"/>
        </w:rPr>
        <w:t>GB EEEE XXXXXXXXX XXXXXXXXXXXXXXXXXXXXXXXXXXXXXXXXXX XXX XXXX XXXXXXXXXX。</w:t>
      </w:r>
    </w:p>
    <w:p w14:paraId="321EB171">
      <w:pPr>
        <w:pStyle w:val="61"/>
        <w:ind w:firstLine="420"/>
      </w:pPr>
      <w:r>
        <w:rPr>
          <w:rFonts w:hint="eastAsia"/>
        </w:rPr>
        <w:t xml:space="preserve">[2] </w:t>
      </w:r>
      <w:r>
        <w:t xml:space="preserve"> </w:t>
      </w:r>
      <w:r>
        <w:rPr>
          <w:rFonts w:hint="eastAsia"/>
        </w:rPr>
        <w:t>GB FFFF—2014 XXXXXXXXX XXXXXXXXXXXXXXXXXXXXXXXXXXXXXXXXXXX XXXXXXXXXX。</w:t>
      </w:r>
    </w:p>
    <w:p w14:paraId="5E8A08B3">
      <w:pPr>
        <w:pStyle w:val="61"/>
        <w:ind w:firstLine="420"/>
      </w:pPr>
    </w:p>
    <w:bookmarkEnd w:id="147"/>
    <w:p w14:paraId="707CB442">
      <w:pPr>
        <w:pStyle w:val="61"/>
        <w:ind w:firstLine="420"/>
      </w:pPr>
    </w:p>
    <w:p w14:paraId="7B1C4421">
      <w:pPr>
        <w:pStyle w:val="61"/>
        <w:ind w:firstLine="0" w:firstLineChars="0"/>
        <w:jc w:val="center"/>
      </w:pPr>
      <w:bookmarkStart w:id="166"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6"/>
    </w:p>
    <w:sectPr>
      <w:headerReference r:id="rId29" w:type="default"/>
      <w:footerReference r:id="rId31" w:type="default"/>
      <w:headerReference r:id="rId30" w:type="even"/>
      <w:footerReference r:id="rId32"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B558">
    <w:pPr>
      <w:pStyle w:val="19"/>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3038">
    <w:pPr>
      <w:pStyle w:val="56"/>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81A4">
    <w:pPr>
      <w:pStyle w:val="57"/>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B61FC">
    <w:pPr>
      <w:pStyle w:val="56"/>
    </w:pPr>
    <w:r>
      <w:fldChar w:fldCharType="begin"/>
    </w:r>
    <w:r>
      <w:instrText xml:space="preserve"> PAGE   \* MERGEFORMAT \* MERGEFORMAT </w:instrText>
    </w:r>
    <w:r>
      <w:fldChar w:fldCharType="separate"/>
    </w:r>
    <w:r>
      <w:t>4</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DF26">
    <w:pPr>
      <w:pStyle w:val="57"/>
    </w:pPr>
    <w:r>
      <w:fldChar w:fldCharType="begin"/>
    </w:r>
    <w:r>
      <w:instrText xml:space="preserve">PAGE   \* MERGEFORMAT</w:instrText>
    </w:r>
    <w:r>
      <w:fldChar w:fldCharType="separate"/>
    </w:r>
    <w:r>
      <w:rPr>
        <w:lang w:val="zh-CN"/>
      </w:rPr>
      <w:t>5</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1CAA">
    <w:pPr>
      <w:pStyle w:val="56"/>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4C69">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2274">
    <w:pPr>
      <w:pStyle w:val="57"/>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0C2D">
    <w:pPr>
      <w:pStyle w:val="56"/>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BB66">
    <w:pPr>
      <w:pStyle w:val="57"/>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1664">
    <w:pPr>
      <w:pStyle w:val="56"/>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8C8C6">
    <w:pPr>
      <w:pStyle w:val="57"/>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68C1">
    <w:pPr>
      <w:pStyle w:val="56"/>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945B">
    <w:pPr>
      <w:pStyle w:val="57"/>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85D3">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2F80E">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75D0">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DA09">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A1827">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7F56">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21FED">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B29D">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CCE6">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AE12">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C7D6">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0049">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2CB17">
    <w:pPr>
      <w:pStyle w:val="67"/>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D6B7">
    <w:pPr>
      <w:pStyle w:val="66"/>
      <w:rPr>
        <w:rFonts w:hint="eastAsia"/>
      </w:rPr>
    </w:pPr>
    <w:r>
      <w:fldChar w:fldCharType="begin"/>
    </w:r>
    <w:r>
      <w:instrText xml:space="preserve"> STYLEREF  标准文件_文件编号  \* MERGEFORMAT </w:instrText>
    </w:r>
    <w:r>
      <w:fldChar w:fldCharType="separate"/>
    </w:r>
    <w:r>
      <w:t>T/CSES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62233"/>
    <w:multiLevelType w:val="singleLevel"/>
    <w:tmpl w:val="A3262233"/>
    <w:lvl w:ilvl="0" w:tentative="0">
      <w:start w:val="2"/>
      <w:numFmt w:val="decimal"/>
      <w:suff w:val="nothing"/>
      <w:lvlText w:val="（%1）"/>
      <w:lvlJc w:val="left"/>
    </w:lvl>
  </w:abstractNum>
  <w:abstractNum w:abstractNumId="1">
    <w:nsid w:val="A90F4645"/>
    <w:multiLevelType w:val="multilevel"/>
    <w:tmpl w:val="A90F464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AF46CFA3"/>
    <w:multiLevelType w:val="multilevel"/>
    <w:tmpl w:val="AF46CFA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CE811440"/>
    <w:multiLevelType w:val="multilevel"/>
    <w:tmpl w:val="CE81144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DB714C0A"/>
    <w:multiLevelType w:val="multilevel"/>
    <w:tmpl w:val="DB714C0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FCD016BF"/>
    <w:multiLevelType w:val="multilevel"/>
    <w:tmpl w:val="FCD016BF"/>
    <w:lvl w:ilvl="0" w:tentative="0">
      <w:start w:val="1"/>
      <w:numFmt w:val="lowerLetter"/>
      <w:pStyle w:val="179"/>
      <w:suff w:val="nothing"/>
      <w:lvlText w:val="%1)"/>
      <w:lvlJc w:val="left"/>
      <w:pPr>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0FCE7466"/>
    <w:multiLevelType w:val="multilevel"/>
    <w:tmpl w:val="0FCE746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1806EE41"/>
    <w:multiLevelType w:val="multilevel"/>
    <w:tmpl w:val="1806EE4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197B7E4D"/>
    <w:multiLevelType w:val="multilevel"/>
    <w:tmpl w:val="197B7E4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1B67F5AD"/>
    <w:multiLevelType w:val="multilevel"/>
    <w:tmpl w:val="1B67F5A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0">
    <w:nsid w:val="28668F76"/>
    <w:multiLevelType w:val="multilevel"/>
    <w:tmpl w:val="28668F7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3">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6">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8">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FE2AB39"/>
    <w:multiLevelType w:val="singleLevel"/>
    <w:tmpl w:val="5FE2AB39"/>
    <w:lvl w:ilvl="0" w:tentative="0">
      <w:start w:val="1"/>
      <w:numFmt w:val="decimal"/>
      <w:suff w:val="nothing"/>
      <w:lvlText w:val="（%1）"/>
      <w:lvlJc w:val="left"/>
    </w:lvl>
  </w:abstractNum>
  <w:abstractNum w:abstractNumId="32">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3">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4">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5">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6">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7">
    <w:nsid w:val="6B83EEAE"/>
    <w:multiLevelType w:val="multilevel"/>
    <w:tmpl w:val="6B83EEA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1">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2">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3">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FD1BBB8"/>
    <w:multiLevelType w:val="multilevel"/>
    <w:tmpl w:val="7FD1BBB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6"/>
  </w:num>
  <w:num w:numId="2">
    <w:abstractNumId w:val="40"/>
  </w:num>
  <w:num w:numId="3">
    <w:abstractNumId w:val="11"/>
  </w:num>
  <w:num w:numId="4">
    <w:abstractNumId w:val="35"/>
  </w:num>
  <w:num w:numId="5">
    <w:abstractNumId w:val="29"/>
  </w:num>
  <w:num w:numId="6">
    <w:abstractNumId w:val="24"/>
  </w:num>
  <w:num w:numId="7">
    <w:abstractNumId w:val="17"/>
  </w:num>
  <w:num w:numId="8">
    <w:abstractNumId w:val="9"/>
  </w:num>
  <w:num w:numId="9">
    <w:abstractNumId w:val="19"/>
  </w:num>
  <w:num w:numId="10">
    <w:abstractNumId w:val="27"/>
  </w:num>
  <w:num w:numId="11">
    <w:abstractNumId w:val="38"/>
  </w:num>
  <w:num w:numId="12">
    <w:abstractNumId w:val="22"/>
  </w:num>
  <w:num w:numId="13">
    <w:abstractNumId w:val="5"/>
  </w:num>
  <w:num w:numId="14">
    <w:abstractNumId w:val="16"/>
  </w:num>
  <w:num w:numId="15">
    <w:abstractNumId w:val="30"/>
  </w:num>
  <w:num w:numId="16">
    <w:abstractNumId w:val="33"/>
  </w:num>
  <w:num w:numId="17">
    <w:abstractNumId w:val="28"/>
  </w:num>
  <w:num w:numId="18">
    <w:abstractNumId w:val="42"/>
  </w:num>
  <w:num w:numId="19">
    <w:abstractNumId w:val="26"/>
  </w:num>
  <w:num w:numId="20">
    <w:abstractNumId w:val="7"/>
  </w:num>
  <w:num w:numId="21">
    <w:abstractNumId w:val="21"/>
  </w:num>
  <w:num w:numId="22">
    <w:abstractNumId w:val="43"/>
  </w:num>
  <w:num w:numId="23">
    <w:abstractNumId w:val="32"/>
  </w:num>
  <w:num w:numId="24">
    <w:abstractNumId w:val="12"/>
  </w:num>
  <w:num w:numId="25">
    <w:abstractNumId w:val="39"/>
  </w:num>
  <w:num w:numId="26">
    <w:abstractNumId w:val="41"/>
  </w:num>
  <w:num w:numId="27">
    <w:abstractNumId w:val="8"/>
  </w:num>
  <w:num w:numId="28">
    <w:abstractNumId w:val="10"/>
  </w:num>
  <w:num w:numId="29">
    <w:abstractNumId w:val="25"/>
  </w:num>
  <w:num w:numId="30">
    <w:abstractNumId w:val="36"/>
  </w:num>
  <w:num w:numId="31">
    <w:abstractNumId w:val="3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4"/>
  </w:num>
  <w:num w:numId="35">
    <w:abstractNumId w:val="44"/>
  </w:num>
  <w:num w:numId="36">
    <w:abstractNumId w:val="2"/>
  </w:num>
  <w:num w:numId="37">
    <w:abstractNumId w:val="1"/>
  </w:num>
  <w:num w:numId="38">
    <w:abstractNumId w:val="20"/>
  </w:num>
  <w:num w:numId="39">
    <w:abstractNumId w:val="3"/>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8"/>
  </w:num>
  <w:num w:numId="43">
    <w:abstractNumId w:val="31"/>
  </w:num>
  <w:num w:numId="44">
    <w:abstractNumId w:val="15"/>
  </w:num>
  <w:num w:numId="45">
    <w:abstractNumId w:val="4"/>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75"/>
    <w:rsid w:val="0000040A"/>
    <w:rsid w:val="00000A94"/>
    <w:rsid w:val="00001972"/>
    <w:rsid w:val="00001D9A"/>
    <w:rsid w:val="00007B3A"/>
    <w:rsid w:val="000107E0"/>
    <w:rsid w:val="00011FDE"/>
    <w:rsid w:val="00012FFD"/>
    <w:rsid w:val="00014162"/>
    <w:rsid w:val="00014340"/>
    <w:rsid w:val="0001508B"/>
    <w:rsid w:val="00016A9C"/>
    <w:rsid w:val="00022184"/>
    <w:rsid w:val="00022762"/>
    <w:rsid w:val="000238E0"/>
    <w:rsid w:val="000249DB"/>
    <w:rsid w:val="0002595E"/>
    <w:rsid w:val="000303C3"/>
    <w:rsid w:val="000331D3"/>
    <w:rsid w:val="000346A5"/>
    <w:rsid w:val="000359C3"/>
    <w:rsid w:val="00035A7D"/>
    <w:rsid w:val="000365ED"/>
    <w:rsid w:val="0004249A"/>
    <w:rsid w:val="00042AC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2DF"/>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271"/>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1E7"/>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283"/>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2BB9"/>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2130"/>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742"/>
    <w:rsid w:val="00432DAA"/>
    <w:rsid w:val="00434305"/>
    <w:rsid w:val="00435DF7"/>
    <w:rsid w:val="0044083F"/>
    <w:rsid w:val="00441AE7"/>
    <w:rsid w:val="00445574"/>
    <w:rsid w:val="004467FB"/>
    <w:rsid w:val="00446C7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8C3"/>
    <w:rsid w:val="004939AE"/>
    <w:rsid w:val="004A12DF"/>
    <w:rsid w:val="004A1BA8"/>
    <w:rsid w:val="004A4B57"/>
    <w:rsid w:val="004A63FA"/>
    <w:rsid w:val="004A6A3D"/>
    <w:rsid w:val="004B0272"/>
    <w:rsid w:val="004B2701"/>
    <w:rsid w:val="004B2E1B"/>
    <w:rsid w:val="004B3A32"/>
    <w:rsid w:val="004B3AA8"/>
    <w:rsid w:val="004B3E93"/>
    <w:rsid w:val="004C1FBC"/>
    <w:rsid w:val="004C25A2"/>
    <w:rsid w:val="004C3F1D"/>
    <w:rsid w:val="004C3F1F"/>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68C"/>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4CB"/>
    <w:rsid w:val="006015CE"/>
    <w:rsid w:val="00604784"/>
    <w:rsid w:val="00606419"/>
    <w:rsid w:val="00607D29"/>
    <w:rsid w:val="00612952"/>
    <w:rsid w:val="006138FE"/>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1FCC"/>
    <w:rsid w:val="006C2079"/>
    <w:rsid w:val="006C5A62"/>
    <w:rsid w:val="006C5D68"/>
    <w:rsid w:val="006C6976"/>
    <w:rsid w:val="006C6DD0"/>
    <w:rsid w:val="006D04EA"/>
    <w:rsid w:val="006D16C4"/>
    <w:rsid w:val="006D3E96"/>
    <w:rsid w:val="006D4515"/>
    <w:rsid w:val="006D48CB"/>
    <w:rsid w:val="006D4BB1"/>
    <w:rsid w:val="006D6593"/>
    <w:rsid w:val="006F03A8"/>
    <w:rsid w:val="006F2ACA"/>
    <w:rsid w:val="006F2ADC"/>
    <w:rsid w:val="006F2BFE"/>
    <w:rsid w:val="006F31E9"/>
    <w:rsid w:val="006F6284"/>
    <w:rsid w:val="006F7EDE"/>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B8C"/>
    <w:rsid w:val="00781DD2"/>
    <w:rsid w:val="00783ECF"/>
    <w:rsid w:val="0078413A"/>
    <w:rsid w:val="00785AED"/>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375"/>
    <w:rsid w:val="007C22CD"/>
    <w:rsid w:val="007C2D89"/>
    <w:rsid w:val="007C4593"/>
    <w:rsid w:val="007C5309"/>
    <w:rsid w:val="007C6069"/>
    <w:rsid w:val="007C76A3"/>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9FE"/>
    <w:rsid w:val="00842A47"/>
    <w:rsid w:val="00842E70"/>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434"/>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0DD"/>
    <w:rsid w:val="009245AE"/>
    <w:rsid w:val="009245F5"/>
    <w:rsid w:val="009249EC"/>
    <w:rsid w:val="009273B3"/>
    <w:rsid w:val="009305B5"/>
    <w:rsid w:val="009378DD"/>
    <w:rsid w:val="009429D5"/>
    <w:rsid w:val="00942BF1"/>
    <w:rsid w:val="00945180"/>
    <w:rsid w:val="00945428"/>
    <w:rsid w:val="0094607B"/>
    <w:rsid w:val="009475C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B80"/>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95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5EF"/>
    <w:rsid w:val="00B113DB"/>
    <w:rsid w:val="00B11D8A"/>
    <w:rsid w:val="00B12981"/>
    <w:rsid w:val="00B147DD"/>
    <w:rsid w:val="00B14B1B"/>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48D"/>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B4D"/>
    <w:rsid w:val="00D51BF3"/>
    <w:rsid w:val="00D66846"/>
    <w:rsid w:val="00D675FB"/>
    <w:rsid w:val="00D71F25"/>
    <w:rsid w:val="00D72A9C"/>
    <w:rsid w:val="00D77031"/>
    <w:rsid w:val="00D83B46"/>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9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98F"/>
    <w:rsid w:val="00E56800"/>
    <w:rsid w:val="00E60C63"/>
    <w:rsid w:val="00E62DC7"/>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864"/>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AD2"/>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47E08"/>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3433CD"/>
    <w:rsid w:val="04BF41D9"/>
    <w:rsid w:val="057F0AF7"/>
    <w:rsid w:val="05BD08CB"/>
    <w:rsid w:val="087A19F6"/>
    <w:rsid w:val="0C8D4099"/>
    <w:rsid w:val="0DD57ECE"/>
    <w:rsid w:val="0E87566C"/>
    <w:rsid w:val="10817803"/>
    <w:rsid w:val="10CC2F15"/>
    <w:rsid w:val="17E02DE1"/>
    <w:rsid w:val="26C80178"/>
    <w:rsid w:val="28C62394"/>
    <w:rsid w:val="2A584F22"/>
    <w:rsid w:val="2FC11140"/>
    <w:rsid w:val="31BC4075"/>
    <w:rsid w:val="334B2535"/>
    <w:rsid w:val="3B612BB6"/>
    <w:rsid w:val="3D9A4EEB"/>
    <w:rsid w:val="3F746C97"/>
    <w:rsid w:val="3FB656C5"/>
    <w:rsid w:val="40517D66"/>
    <w:rsid w:val="415D5C35"/>
    <w:rsid w:val="478713DC"/>
    <w:rsid w:val="489F270F"/>
    <w:rsid w:val="48D94910"/>
    <w:rsid w:val="499F5761"/>
    <w:rsid w:val="4A83683A"/>
    <w:rsid w:val="52C54687"/>
    <w:rsid w:val="53CA1B48"/>
    <w:rsid w:val="542A2644"/>
    <w:rsid w:val="56A1405A"/>
    <w:rsid w:val="58DA5D21"/>
    <w:rsid w:val="58FB296E"/>
    <w:rsid w:val="5C361105"/>
    <w:rsid w:val="5EAD69EB"/>
    <w:rsid w:val="5EDA046D"/>
    <w:rsid w:val="661D4761"/>
    <w:rsid w:val="67313632"/>
    <w:rsid w:val="696D2095"/>
    <w:rsid w:val="6C447F46"/>
    <w:rsid w:val="6C5C4A0C"/>
    <w:rsid w:val="71151851"/>
    <w:rsid w:val="726F3939"/>
    <w:rsid w:val="762B32F0"/>
    <w:rsid w:val="7A25575E"/>
    <w:rsid w:val="7B667D04"/>
    <w:rsid w:val="7C23393A"/>
    <w:rsid w:val="7E304914"/>
    <w:rsid w:val="7F47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0"/>
    <w:rPr>
      <w:rFonts w:eastAsia="黑体" w:asciiTheme="majorHAnsi" w:hAnsiTheme="majorHAnsi" w:cstheme="majorBidi"/>
      <w:sz w:val="20"/>
      <w:szCs w:val="20"/>
    </w:rPr>
  </w:style>
  <w:style w:type="paragraph" w:styleId="14">
    <w:name w:val="annotation text"/>
    <w:basedOn w:val="1"/>
    <w:link w:val="235"/>
    <w:semiHidden/>
    <w:unhideWhenUsed/>
    <w:qFormat/>
    <w:uiPriority w:val="99"/>
    <w:pPr>
      <w:jc w:val="left"/>
    </w:pPr>
  </w:style>
  <w:style w:type="paragraph" w:styleId="15">
    <w:name w:val="Body Text"/>
    <w:basedOn w:val="1"/>
    <w:link w:val="91"/>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50"/>
    <w:semiHidden/>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Normal (Web)"/>
    <w:basedOn w:val="1"/>
    <w:semiHidden/>
    <w:unhideWhenUsed/>
    <w:qFormat/>
    <w:uiPriority w:val="99"/>
    <w:pPr>
      <w:spacing w:beforeAutospacing="1" w:afterAutospacing="1"/>
      <w:jc w:val="left"/>
    </w:pPr>
    <w:rPr>
      <w:kern w:val="0"/>
      <w:sz w:val="24"/>
    </w:rPr>
  </w:style>
  <w:style w:type="paragraph" w:styleId="28">
    <w:name w:val="Title"/>
    <w:basedOn w:val="1"/>
    <w:next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4"/>
    <w:next w:val="14"/>
    <w:link w:val="236"/>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2"/>
    <w:qFormat/>
    <w:uiPriority w:val="0"/>
    <w:rPr>
      <w:rFonts w:ascii="Times New Roman" w:hAnsi="Times New Roman" w:eastAsia="宋体" w:cs="Times New Roman"/>
      <w:b/>
      <w:bCs/>
      <w:kern w:val="44"/>
      <w:sz w:val="44"/>
      <w:szCs w:val="44"/>
    </w:rPr>
  </w:style>
  <w:style w:type="character" w:customStyle="1" w:styleId="40">
    <w:name w:val="标题 2 字符"/>
    <w:link w:val="3"/>
    <w:qFormat/>
    <w:uiPriority w:val="0"/>
    <w:rPr>
      <w:rFonts w:ascii="Arial" w:hAnsi="Arial" w:eastAsia="黑体" w:cs="Times New Roman"/>
      <w:b/>
      <w:bCs/>
      <w:sz w:val="32"/>
      <w:szCs w:val="32"/>
    </w:rPr>
  </w:style>
  <w:style w:type="character" w:customStyle="1" w:styleId="41">
    <w:name w:val="标题 3 字符"/>
    <w:link w:val="4"/>
    <w:qFormat/>
    <w:uiPriority w:val="0"/>
    <w:rPr>
      <w:rFonts w:ascii="Times New Roman" w:hAnsi="Times New Roman" w:eastAsia="宋体" w:cs="Times New Roman"/>
      <w:b/>
      <w:bCs/>
      <w:sz w:val="32"/>
      <w:szCs w:val="32"/>
    </w:rPr>
  </w:style>
  <w:style w:type="character" w:customStyle="1" w:styleId="42">
    <w:name w:val="标题 4 字符"/>
    <w:link w:val="5"/>
    <w:qFormat/>
    <w:uiPriority w:val="0"/>
    <w:rPr>
      <w:rFonts w:ascii="Arial" w:hAnsi="Arial" w:eastAsia="黑体" w:cs="Times New Roman"/>
      <w:b/>
      <w:bCs/>
      <w:sz w:val="28"/>
      <w:szCs w:val="28"/>
    </w:rPr>
  </w:style>
  <w:style w:type="character" w:customStyle="1" w:styleId="43">
    <w:name w:val="标题 5 字符"/>
    <w:link w:val="6"/>
    <w:qFormat/>
    <w:uiPriority w:val="0"/>
    <w:rPr>
      <w:rFonts w:ascii="Times New Roman" w:hAnsi="Times New Roman" w:eastAsia="宋体" w:cs="Times New Roman"/>
      <w:b/>
      <w:bCs/>
      <w:sz w:val="28"/>
      <w:szCs w:val="28"/>
    </w:rPr>
  </w:style>
  <w:style w:type="character" w:customStyle="1" w:styleId="44">
    <w:name w:val="标题 6 字符"/>
    <w:link w:val="7"/>
    <w:qFormat/>
    <w:uiPriority w:val="0"/>
    <w:rPr>
      <w:rFonts w:ascii="Arial" w:hAnsi="Arial" w:eastAsia="黑体" w:cs="Times New Roman"/>
      <w:b/>
      <w:bCs/>
      <w:sz w:val="24"/>
      <w:szCs w:val="24"/>
    </w:rPr>
  </w:style>
  <w:style w:type="character" w:customStyle="1" w:styleId="45">
    <w:name w:val="标题 7 字符"/>
    <w:link w:val="8"/>
    <w:qFormat/>
    <w:uiPriority w:val="0"/>
    <w:rPr>
      <w:rFonts w:ascii="Times New Roman" w:hAnsi="Times New Roman" w:eastAsia="宋体" w:cs="Times New Roman"/>
      <w:b/>
      <w:bCs/>
      <w:sz w:val="24"/>
      <w:szCs w:val="24"/>
    </w:rPr>
  </w:style>
  <w:style w:type="character" w:customStyle="1" w:styleId="46">
    <w:name w:val="标题 8 字符"/>
    <w:link w:val="9"/>
    <w:qFormat/>
    <w:uiPriority w:val="0"/>
    <w:rPr>
      <w:rFonts w:ascii="Arial" w:hAnsi="Arial" w:eastAsia="黑体" w:cs="Times New Roman"/>
      <w:sz w:val="24"/>
      <w:szCs w:val="24"/>
    </w:rPr>
  </w:style>
  <w:style w:type="character" w:customStyle="1" w:styleId="47">
    <w:name w:val="标题 9 字符"/>
    <w:link w:val="10"/>
    <w:qFormat/>
    <w:uiPriority w:val="0"/>
    <w:rPr>
      <w:rFonts w:ascii="Arial" w:hAnsi="Arial" w:eastAsia="黑体" w:cs="Times New Roman"/>
      <w:szCs w:val="21"/>
    </w:rPr>
  </w:style>
  <w:style w:type="character" w:customStyle="1" w:styleId="48">
    <w:name w:val="页眉 字符"/>
    <w:link w:val="20"/>
    <w:qFormat/>
    <w:uiPriority w:val="99"/>
    <w:rPr>
      <w:rFonts w:ascii="Times New Roman" w:hAnsi="Times New Roman" w:eastAsia="宋体" w:cs="Times New Roman"/>
      <w:sz w:val="18"/>
      <w:szCs w:val="18"/>
    </w:rPr>
  </w:style>
  <w:style w:type="character" w:customStyle="1" w:styleId="49">
    <w:name w:val="页脚 字符"/>
    <w:link w:val="19"/>
    <w:qFormat/>
    <w:uiPriority w:val="99"/>
    <w:rPr>
      <w:rFonts w:ascii="宋体" w:hAnsi="Times New Roman" w:eastAsia="宋体" w:cs="Times New Roman"/>
      <w:sz w:val="18"/>
      <w:szCs w:val="18"/>
    </w:rPr>
  </w:style>
  <w:style w:type="character" w:customStyle="1" w:styleId="50">
    <w:name w:val="批注框文本 字符"/>
    <w:link w:val="18"/>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8"/>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5"/>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semiHidden/>
    <w:qFormat/>
    <w:uiPriority w:val="0"/>
    <w:rPr>
      <w:rFonts w:ascii="宋体" w:hAnsi="Times New Roman" w:eastAsia="宋体" w:cs="Times New Roman"/>
      <w:sz w:val="18"/>
      <w:szCs w:val="18"/>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ind w:left="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tabs>
        <w:tab w:val="left" w:pos="851"/>
      </w:tabs>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next w:val="61"/>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qFormat/>
    <w:uiPriority w:val="0"/>
    <w:rPr>
      <w:rFonts w:ascii="黑体" w:eastAsia="黑体"/>
      <w:spacing w:val="85"/>
      <w:w w:val="100"/>
      <w:position w:val="3"/>
      <w:sz w:val="28"/>
      <w:szCs w:val="28"/>
    </w:rPr>
  </w:style>
  <w:style w:type="character" w:customStyle="1" w:styleId="235">
    <w:name w:val="批注文字 字符"/>
    <w:basedOn w:val="32"/>
    <w:link w:val="14"/>
    <w:semiHidden/>
    <w:qFormat/>
    <w:uiPriority w:val="99"/>
    <w:rPr>
      <w:kern w:val="2"/>
      <w:sz w:val="21"/>
      <w:szCs w:val="21"/>
    </w:rPr>
  </w:style>
  <w:style w:type="character" w:customStyle="1" w:styleId="236">
    <w:name w:val="批注主题 字符"/>
    <w:basedOn w:val="235"/>
    <w:link w:val="29"/>
    <w:semiHidden/>
    <w:qFormat/>
    <w:uiPriority w:val="99"/>
    <w:rPr>
      <w:b/>
      <w:bCs/>
      <w:kern w:val="2"/>
      <w:sz w:val="21"/>
      <w:szCs w:val="21"/>
    </w:rPr>
  </w:style>
  <w:style w:type="paragraph" w:customStyle="1" w:styleId="237">
    <w:name w:val="mbody"/>
    <w:basedOn w:val="1"/>
    <w:qFormat/>
    <w:uiPriority w:val="0"/>
    <w:pPr>
      <w:spacing w:line="360" w:lineRule="auto"/>
      <w:ind w:firstLine="200" w:firstLineChars="200"/>
    </w:pPr>
    <w:rPr>
      <w:rFonts w:ascii="宋体" w:hAnsi="宋体"/>
      <w:sz w:val="24"/>
      <w:szCs w:val="28"/>
    </w:rPr>
  </w:style>
  <w:style w:type="paragraph" w:customStyle="1" w:styleId="238">
    <w:name w:val="公式"/>
    <w:basedOn w:val="13"/>
    <w:qFormat/>
    <w:uiPriority w:val="0"/>
    <w:pPr>
      <w:spacing w:before="50" w:beforeLines="50" w:line="300" w:lineRule="auto"/>
      <w:jc w:val="right"/>
    </w:pPr>
    <w:rPr>
      <w:rFonts w:ascii="Times New Roman" w:hAnsi="Times New Roman" w:eastAsia="宋体"/>
      <w:sz w:val="24"/>
    </w:rPr>
  </w:style>
  <w:style w:type="paragraph" w:customStyle="1" w:styleId="239">
    <w:name w:val="table cap"/>
    <w:basedOn w:val="1"/>
    <w:qFormat/>
    <w:uiPriority w:val="1"/>
    <w:pPr>
      <w:snapToGrid w:val="0"/>
      <w:spacing w:before="50" w:beforeLines="50"/>
      <w:ind w:left="420" w:hanging="420"/>
      <w:jc w:val="center"/>
    </w:pPr>
  </w:style>
  <w:style w:type="paragraph" w:customStyle="1" w:styleId="240">
    <w:name w:val="正文（首行缩进）"/>
    <w:basedOn w:val="1"/>
    <w:qFormat/>
    <w:uiPriority w:val="0"/>
    <w:pPr>
      <w:ind w:firstLine="200"/>
    </w:pPr>
  </w:style>
  <w:style w:type="paragraph" w:styleId="241">
    <w:name w:val="List Paragraph"/>
    <w:basedOn w:val="1"/>
    <w:qFormat/>
    <w:uiPriority w:val="34"/>
    <w:pPr>
      <w:ind w:firstLine="420" w:firstLineChars="200"/>
    </w:pPr>
  </w:style>
  <w:style w:type="paragraph" w:customStyle="1" w:styleId="242">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glossaryDocument" Target="glossary/document.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jpe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2F4FE3A5242C98876936A4D5A7CDD"/>
        <w:style w:val=""/>
        <w:category>
          <w:name w:val="常规"/>
          <w:gallery w:val="placeholder"/>
        </w:category>
        <w:types>
          <w:type w:val="bbPlcHdr"/>
        </w:types>
        <w:behaviors>
          <w:behavior w:val="content"/>
        </w:behaviors>
        <w:description w:val=""/>
        <w:guid w:val="{393FDA10-800D-41B1-A2C0-45E5DBD84985}"/>
      </w:docPartPr>
      <w:docPartBody>
        <w:p w14:paraId="548B0552">
          <w:pPr>
            <w:pStyle w:val="5"/>
            <w:rPr>
              <w:rFonts w:hint="eastAsia"/>
            </w:rPr>
          </w:pPr>
          <w:r>
            <w:rPr>
              <w:rStyle w:val="4"/>
              <w:rFonts w:hint="eastAsia"/>
            </w:rPr>
            <w:t>单击或点击此处输入文字。</w:t>
          </w:r>
        </w:p>
      </w:docPartBody>
    </w:docPart>
    <w:docPart>
      <w:docPartPr>
        <w:name w:val="DC964944E7AE40958021BBAF26211563"/>
        <w:style w:val=""/>
        <w:category>
          <w:name w:val="常规"/>
          <w:gallery w:val="placeholder"/>
        </w:category>
        <w:types>
          <w:type w:val="bbPlcHdr"/>
        </w:types>
        <w:behaviors>
          <w:behavior w:val="content"/>
        </w:behaviors>
        <w:description w:val=""/>
        <w:guid w:val="{5EB0063D-84F0-465C-915E-3EA293316F66}"/>
      </w:docPartPr>
      <w:docPartBody>
        <w:p w14:paraId="47B0DBE9">
          <w:pPr>
            <w:pStyle w:val="6"/>
            <w:rPr>
              <w:rFonts w:hint="eastAsia"/>
            </w:rPr>
          </w:pPr>
          <w:r>
            <w:rPr>
              <w:rStyle w:val="4"/>
              <w:rFonts w:hint="eastAsia"/>
            </w:rPr>
            <w:t>选择一项。</w:t>
          </w:r>
        </w:p>
      </w:docPartBody>
    </w:docPart>
    <w:docPart>
      <w:docPartPr>
        <w:name w:val="A454B307285A4DAEA22E8E1D89E19A89"/>
        <w:style w:val=""/>
        <w:category>
          <w:name w:val="常规"/>
          <w:gallery w:val="placeholder"/>
        </w:category>
        <w:types>
          <w:type w:val="bbPlcHdr"/>
        </w:types>
        <w:behaviors>
          <w:behavior w:val="content"/>
        </w:behaviors>
        <w:description w:val=""/>
        <w:guid w:val="{B9ACC384-0DC7-4433-ACD3-5CBE303AD6A0}"/>
      </w:docPartPr>
      <w:docPartBody>
        <w:p w14:paraId="3A0D32C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73"/>
    <w:rsid w:val="000772DF"/>
    <w:rsid w:val="0016721B"/>
    <w:rsid w:val="00423742"/>
    <w:rsid w:val="005D373D"/>
    <w:rsid w:val="00657FB7"/>
    <w:rsid w:val="00B313B5"/>
    <w:rsid w:val="00B44CC8"/>
    <w:rsid w:val="00B61790"/>
    <w:rsid w:val="00CE5A74"/>
    <w:rsid w:val="00D84D73"/>
    <w:rsid w:val="00E85299"/>
    <w:rsid w:val="00F23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2F4FE3A5242C98876936A4D5A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C964944E7AE40958021BBAF262115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454B307285A4DAEA22E8E1D89E19A8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1EEB5-B2D5-40EC-AAAD-1DAC5992911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19</Pages>
  <Words>4881</Words>
  <Characters>5347</Characters>
  <Lines>423</Lines>
  <Paragraphs>352</Paragraphs>
  <TotalTime>1</TotalTime>
  <ScaleCrop>false</ScaleCrop>
  <LinksUpToDate>false</LinksUpToDate>
  <CharactersWithSpaces>5808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2025-11-25T07:17:00Z</dcterms:created>
  <dc:creator>54257</dc:creator>
  <dc:description>&lt;config cover="true" show_menu="true" version="1.0.0" doctype="SDKXY"&gt;_x000d_
&lt;/config&gt;</dc:description>
  <cp:lastModifiedBy>晴天</cp:lastModifiedBy>
  <cp:lastPrinted>2025-11-14T15:01:00Z</cp:lastPrinted>
  <dcterms:modified xsi:type="dcterms:W3CDTF">2025-11-27T08:54:54Z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eyJoZGlkIjoiNDZjY2UyNGZjZTJhMjIwNGIyMzJiZGViOTZmNmU1ZWIiLCJ1c2VySWQiOiIzNTYxNjg4OTMifQ==</vt:lpwstr>
  </property>
  <property fmtid="{D5CDD505-2E9C-101B-9397-08002B2CF9AE}" pid="16" name="KSOProductBuildVer">
    <vt:lpwstr>2052-12.1.0.23542</vt:lpwstr>
  </property>
  <property fmtid="{D5CDD505-2E9C-101B-9397-08002B2CF9AE}" pid="17" name="ICV">
    <vt:lpwstr>2BD29F95701048CAA217314993A0BAD7_13</vt:lpwstr>
  </property>
</Properties>
</file>